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D71C1B" w14:textId="77777777" w:rsidR="00224D17" w:rsidRDefault="00224D17" w:rsidP="007C1083">
      <w:pPr>
        <w:pStyle w:val="NoSpacing"/>
        <w:bidi/>
        <w:jc w:val="center"/>
        <w:rPr>
          <w:rFonts w:asciiTheme="minorBidi" w:eastAsia="Times New Roman" w:hAnsiTheme="minorBidi"/>
          <w:b/>
          <w:bCs/>
          <w:sz w:val="32"/>
          <w:szCs w:val="32"/>
          <w:rtl/>
        </w:rPr>
      </w:pPr>
    </w:p>
    <w:p w14:paraId="14FAAE16" w14:textId="77777777" w:rsidR="00346101" w:rsidRPr="00923BE2" w:rsidRDefault="00346101" w:rsidP="004E26A0">
      <w:pPr>
        <w:pStyle w:val="NoSpacing"/>
        <w:jc w:val="center"/>
        <w:rPr>
          <w:rFonts w:ascii="Cambria" w:eastAsia="Times New Roman" w:hAnsi="Cambria"/>
          <w:b/>
          <w:bCs/>
          <w:sz w:val="30"/>
          <w:szCs w:val="30"/>
        </w:rPr>
      </w:pPr>
    </w:p>
    <w:p w14:paraId="0B886C9D" w14:textId="77777777" w:rsidR="004E26A0" w:rsidRPr="00923BE2" w:rsidRDefault="004E26A0" w:rsidP="00923BE2">
      <w:pPr>
        <w:pStyle w:val="NoSpacing"/>
        <w:jc w:val="center"/>
        <w:rPr>
          <w:rFonts w:ascii="Cambria" w:eastAsia="Times New Roman" w:hAnsi="Cambria"/>
          <w:b/>
          <w:bCs/>
          <w:sz w:val="30"/>
          <w:szCs w:val="30"/>
        </w:rPr>
      </w:pPr>
      <w:r w:rsidRPr="00923BE2">
        <w:rPr>
          <w:rFonts w:ascii="Cambria" w:eastAsia="Times New Roman" w:hAnsi="Cambria"/>
          <w:b/>
          <w:bCs/>
          <w:sz w:val="30"/>
          <w:szCs w:val="30"/>
        </w:rPr>
        <w:t>Contribution of the National Human Rights Committee on the State of Qatar’s Implementation of the Convention on the Rights of Persons with Disabilities</w:t>
      </w:r>
    </w:p>
    <w:p w14:paraId="3716732D" w14:textId="77777777" w:rsidR="00923BE2" w:rsidRPr="00923BE2" w:rsidRDefault="00923BE2" w:rsidP="00923BE2">
      <w:pPr>
        <w:pStyle w:val="NoSpacing"/>
        <w:jc w:val="center"/>
        <w:rPr>
          <w:rFonts w:ascii="Cambria" w:eastAsia="Times New Roman" w:hAnsi="Cambria"/>
          <w:b/>
          <w:bCs/>
          <w:sz w:val="30"/>
          <w:szCs w:val="30"/>
        </w:rPr>
      </w:pPr>
    </w:p>
    <w:p w14:paraId="0BBB7F81" w14:textId="77777777" w:rsidR="004E26A0" w:rsidRPr="00923BE2" w:rsidRDefault="004E26A0" w:rsidP="00923BE2">
      <w:pPr>
        <w:pStyle w:val="NoSpacing"/>
        <w:jc w:val="center"/>
        <w:rPr>
          <w:rFonts w:ascii="Cambria" w:eastAsia="Times New Roman" w:hAnsi="Cambria"/>
          <w:b/>
          <w:bCs/>
          <w:sz w:val="30"/>
          <w:szCs w:val="30"/>
        </w:rPr>
      </w:pPr>
      <w:r w:rsidRPr="00923BE2">
        <w:rPr>
          <w:rFonts w:ascii="Cambria" w:eastAsia="Times New Roman" w:hAnsi="Cambria"/>
          <w:b/>
          <w:bCs/>
          <w:sz w:val="30"/>
          <w:szCs w:val="30"/>
        </w:rPr>
        <w:t>Thirty-Fifth Session (12–27 August 2026)</w:t>
      </w:r>
    </w:p>
    <w:p w14:paraId="331741BE" w14:textId="77777777" w:rsidR="004E26A0" w:rsidRPr="00923BE2" w:rsidRDefault="004E26A0" w:rsidP="00923BE2">
      <w:pPr>
        <w:pStyle w:val="NoSpacing"/>
        <w:jc w:val="center"/>
        <w:rPr>
          <w:rFonts w:ascii="Cambria" w:eastAsia="Times New Roman" w:hAnsi="Cambria"/>
          <w:b/>
          <w:bCs/>
          <w:sz w:val="30"/>
          <w:szCs w:val="30"/>
        </w:rPr>
      </w:pPr>
      <w:r w:rsidRPr="00923BE2">
        <w:rPr>
          <w:rFonts w:ascii="Cambria" w:eastAsia="Times New Roman" w:hAnsi="Cambria"/>
          <w:b/>
          <w:bCs/>
          <w:sz w:val="30"/>
          <w:szCs w:val="30"/>
        </w:rPr>
        <w:t>Committee on the Rights of Persons with Disabilities</w:t>
      </w:r>
    </w:p>
    <w:p w14:paraId="7AC257AD" w14:textId="77777777" w:rsidR="00923BE2" w:rsidRDefault="00923BE2" w:rsidP="004E26A0">
      <w:pPr>
        <w:pStyle w:val="NoSpacing"/>
        <w:rPr>
          <w:rFonts w:ascii="Cambria" w:eastAsia="Times New Roman" w:hAnsi="Cambria"/>
          <w:b/>
          <w:bCs/>
          <w:sz w:val="32"/>
          <w:szCs w:val="32"/>
        </w:rPr>
      </w:pPr>
    </w:p>
    <w:p w14:paraId="1E41F39C" w14:textId="08BF9C06" w:rsidR="004E26A0" w:rsidRPr="00923BE2" w:rsidRDefault="004E26A0" w:rsidP="00923BE2">
      <w:pPr>
        <w:pStyle w:val="NoSpacing"/>
        <w:spacing w:before="240"/>
        <w:rPr>
          <w:rFonts w:ascii="Cambria" w:eastAsia="Times New Roman" w:hAnsi="Cambria"/>
          <w:b/>
          <w:bCs/>
          <w:sz w:val="24"/>
          <w:szCs w:val="24"/>
        </w:rPr>
      </w:pPr>
      <w:r w:rsidRPr="00923BE2">
        <w:rPr>
          <w:rFonts w:ascii="Cambria" w:eastAsia="Times New Roman" w:hAnsi="Cambria"/>
          <w:b/>
          <w:bCs/>
          <w:sz w:val="24"/>
          <w:szCs w:val="24"/>
        </w:rPr>
        <w:t>Introduction</w:t>
      </w:r>
      <w:r w:rsidR="00722F80">
        <w:rPr>
          <w:rFonts w:ascii="Cambria" w:eastAsia="Times New Roman" w:hAnsi="Cambria"/>
          <w:b/>
          <w:bCs/>
          <w:sz w:val="24"/>
          <w:szCs w:val="24"/>
        </w:rPr>
        <w:t>:</w:t>
      </w:r>
    </w:p>
    <w:p w14:paraId="2D71891B" w14:textId="43B1A022" w:rsidR="00B57B37" w:rsidRDefault="004E26A0" w:rsidP="00917E36">
      <w:pPr>
        <w:pStyle w:val="NoSpacing"/>
        <w:spacing w:before="240"/>
        <w:jc w:val="both"/>
        <w:rPr>
          <w:rFonts w:ascii="Cambria" w:eastAsia="Times New Roman" w:hAnsi="Cambria" w:cs="Arial"/>
          <w:sz w:val="24"/>
          <w:szCs w:val="24"/>
        </w:rPr>
      </w:pPr>
      <w:r w:rsidRPr="00923BE2">
        <w:rPr>
          <w:rFonts w:ascii="Cambria" w:eastAsia="Times New Roman" w:hAnsi="Cambria"/>
          <w:sz w:val="24"/>
          <w:szCs w:val="24"/>
        </w:rPr>
        <w:t>The National Human Rights Committee (NHRC) of the State of Qatar hereby submits this contribution on the implementation of the Convention on the Rights of Persons with Disabilities (CRPD) to the United Nations Committee on the Rights of Persons with Disabilities, on the occasion of its Thirty-Fifth Session, to be held from 12 to 27 August 2026</w:t>
      </w:r>
      <w:r w:rsidR="00917E36">
        <w:rPr>
          <w:rFonts w:ascii="Cambria" w:eastAsia="Times New Roman" w:hAnsi="Cambria" w:cs="Arial"/>
          <w:sz w:val="24"/>
          <w:szCs w:val="24"/>
        </w:rPr>
        <w:t>.</w:t>
      </w:r>
    </w:p>
    <w:p w14:paraId="09FDA603" w14:textId="77777777" w:rsidR="0027221E" w:rsidRPr="0027221E" w:rsidRDefault="0027221E" w:rsidP="0027221E">
      <w:pPr>
        <w:pStyle w:val="NoSpacing"/>
        <w:spacing w:before="240"/>
        <w:jc w:val="both"/>
        <w:rPr>
          <w:rFonts w:ascii="Cambria" w:eastAsia="Times New Roman" w:hAnsi="Cambria"/>
          <w:sz w:val="24"/>
          <w:szCs w:val="24"/>
        </w:rPr>
      </w:pPr>
      <w:r w:rsidRPr="0027221E">
        <w:rPr>
          <w:rFonts w:ascii="Cambria" w:eastAsia="Times New Roman" w:hAnsi="Cambria"/>
          <w:sz w:val="24"/>
          <w:szCs w:val="24"/>
        </w:rPr>
        <w:t>This contribution is submitted in furtherance of the NHRC’s mandate as an independent national human rights institution accredited with “A” status in accordance with the Paris Principles. In this capacity, the Committee is entrusted with monitoring the human rights situation, following up on the implementation of the State’s international human rights obligations, and promoting the protection and advancement of human rights.</w:t>
      </w:r>
    </w:p>
    <w:p w14:paraId="43F93506" w14:textId="57375C60" w:rsidR="00917E36" w:rsidRDefault="0027221E" w:rsidP="0027221E">
      <w:pPr>
        <w:pStyle w:val="NoSpacing"/>
        <w:spacing w:before="240"/>
        <w:jc w:val="both"/>
        <w:rPr>
          <w:rFonts w:ascii="Cambria" w:eastAsia="Times New Roman" w:hAnsi="Cambria"/>
          <w:sz w:val="24"/>
          <w:szCs w:val="24"/>
        </w:rPr>
      </w:pPr>
      <w:r w:rsidRPr="0027221E">
        <w:rPr>
          <w:rFonts w:ascii="Cambria" w:eastAsia="Times New Roman" w:hAnsi="Cambria"/>
          <w:sz w:val="24"/>
          <w:szCs w:val="24"/>
        </w:rPr>
        <w:t>This report has been prepared within the framework of the NHRC’s oversight and advisory mandate to assess the practical implementation of the Convention, monitor the progress achieved and the challenges that remain, identify existing gaps, and formulate appropriate recommendations aimed at strengthening the State’s compliance with international standards relating to the rights of persons with disabilities.</w:t>
      </w:r>
    </w:p>
    <w:p w14:paraId="5F94AA0F" w14:textId="3A4F4B81" w:rsidR="007E0688" w:rsidRDefault="007E0688" w:rsidP="0027221E">
      <w:pPr>
        <w:pStyle w:val="NoSpacing"/>
        <w:spacing w:before="240"/>
        <w:jc w:val="both"/>
        <w:rPr>
          <w:rFonts w:ascii="Cambria" w:eastAsia="Times New Roman" w:hAnsi="Cambria"/>
          <w:sz w:val="24"/>
          <w:szCs w:val="24"/>
        </w:rPr>
      </w:pPr>
      <w:r w:rsidRPr="007E0688">
        <w:rPr>
          <w:rFonts w:ascii="Cambria" w:eastAsia="Times New Roman" w:hAnsi="Cambria"/>
          <w:sz w:val="24"/>
          <w:szCs w:val="24"/>
        </w:rPr>
        <w:t>This contribution focuses on several key thematic areas, including the progress achieved in implementing the Convention; the extent to which national legislation, policies, and strategies are aligned with its provisions; and the degree to which these measures have been effectively implemented in practice. It further identifies the principal implementation gaps, with particular emphasis on the priorities established by the NHRC, namely inclusive education, healthcare and rehabilitation, employment and economic empowerment, and social protection. In addition, it identifies categories of persons with disabilities who continue to experience exclusion or marginalization.</w:t>
      </w:r>
    </w:p>
    <w:p w14:paraId="48400596" w14:textId="361641E4" w:rsidR="009272D8" w:rsidRDefault="00B60026" w:rsidP="0027221E">
      <w:pPr>
        <w:pStyle w:val="NoSpacing"/>
        <w:spacing w:before="240"/>
        <w:jc w:val="both"/>
        <w:rPr>
          <w:rFonts w:ascii="Cambria" w:eastAsia="Times New Roman" w:hAnsi="Cambria"/>
          <w:sz w:val="24"/>
          <w:szCs w:val="24"/>
        </w:rPr>
      </w:pPr>
      <w:r w:rsidRPr="00B60026">
        <w:rPr>
          <w:rFonts w:ascii="Cambria" w:eastAsia="Times New Roman" w:hAnsi="Cambria"/>
          <w:sz w:val="24"/>
          <w:szCs w:val="24"/>
        </w:rPr>
        <w:t>For each thematic area, the Committee sets out specific recommendations, concluding with a comprehensive set of overarching recommendations and future priorities intended to strengthen the implementation of the Convention, address the identified gaps and challenges, and support the continued development of national legislation, policies, and programs relating to the rights of persons with disabilities.</w:t>
      </w:r>
    </w:p>
    <w:p w14:paraId="29CB2879" w14:textId="77777777" w:rsidR="00930BF7" w:rsidRDefault="00930BF7" w:rsidP="0027221E">
      <w:pPr>
        <w:pStyle w:val="NoSpacing"/>
        <w:spacing w:before="240"/>
        <w:jc w:val="both"/>
        <w:rPr>
          <w:rFonts w:ascii="Cambria" w:eastAsia="Times New Roman" w:hAnsi="Cambria"/>
          <w:sz w:val="24"/>
          <w:szCs w:val="24"/>
        </w:rPr>
      </w:pPr>
    </w:p>
    <w:p w14:paraId="3199B33A" w14:textId="707D76C8" w:rsidR="00930BF7" w:rsidRDefault="00930BF7">
      <w:pPr>
        <w:bidi w:val="0"/>
        <w:spacing w:after="160" w:line="259" w:lineRule="auto"/>
        <w:rPr>
          <w:rFonts w:ascii="Cambria" w:eastAsia="Times New Roman" w:hAnsi="Cambria"/>
          <w:sz w:val="24"/>
          <w:szCs w:val="24"/>
        </w:rPr>
      </w:pPr>
      <w:r>
        <w:rPr>
          <w:rFonts w:ascii="Cambria" w:eastAsia="Times New Roman" w:hAnsi="Cambria"/>
          <w:sz w:val="24"/>
          <w:szCs w:val="24"/>
        </w:rPr>
        <w:br w:type="page"/>
      </w:r>
    </w:p>
    <w:p w14:paraId="1842D823" w14:textId="77777777" w:rsidR="00930BF7" w:rsidRDefault="00930BF7" w:rsidP="0027221E">
      <w:pPr>
        <w:pStyle w:val="NoSpacing"/>
        <w:spacing w:before="240"/>
        <w:jc w:val="both"/>
        <w:rPr>
          <w:rFonts w:ascii="Cambria" w:eastAsia="Times New Roman" w:hAnsi="Cambria"/>
          <w:sz w:val="24"/>
          <w:szCs w:val="24"/>
        </w:rPr>
      </w:pPr>
    </w:p>
    <w:p w14:paraId="27C0B3C0" w14:textId="77777777" w:rsidR="00930BF7" w:rsidRDefault="00930BF7" w:rsidP="0027221E">
      <w:pPr>
        <w:pStyle w:val="NoSpacing"/>
        <w:spacing w:before="240"/>
        <w:jc w:val="both"/>
        <w:rPr>
          <w:rFonts w:ascii="Cambria" w:eastAsia="Times New Roman" w:hAnsi="Cambria"/>
          <w:sz w:val="24"/>
          <w:szCs w:val="24"/>
        </w:rPr>
      </w:pPr>
    </w:p>
    <w:p w14:paraId="5D8F71BF" w14:textId="294722F5" w:rsidR="00744B22" w:rsidRPr="00744B22" w:rsidRDefault="00744B22" w:rsidP="00744B22">
      <w:pPr>
        <w:pStyle w:val="NoSpacing"/>
        <w:spacing w:before="240"/>
        <w:rPr>
          <w:rFonts w:ascii="Cambria" w:eastAsia="Times New Roman" w:hAnsi="Cambria"/>
          <w:b/>
          <w:bCs/>
          <w:sz w:val="24"/>
          <w:szCs w:val="24"/>
        </w:rPr>
      </w:pPr>
      <w:r w:rsidRPr="00744B22">
        <w:rPr>
          <w:rFonts w:ascii="Cambria" w:eastAsia="Times New Roman" w:hAnsi="Cambria"/>
          <w:b/>
          <w:bCs/>
          <w:sz w:val="24"/>
          <w:szCs w:val="24"/>
        </w:rPr>
        <w:t>First: Progress Achieved to Date in the Implementation of the Convention</w:t>
      </w:r>
    </w:p>
    <w:p w14:paraId="2D868995" w14:textId="4E2BB998" w:rsidR="00930BF7" w:rsidRDefault="00744B22" w:rsidP="00744B22">
      <w:pPr>
        <w:pStyle w:val="NoSpacing"/>
        <w:spacing w:before="240"/>
        <w:jc w:val="both"/>
        <w:rPr>
          <w:rFonts w:ascii="Cambria" w:eastAsia="Times New Roman" w:hAnsi="Cambria"/>
          <w:sz w:val="24"/>
          <w:szCs w:val="24"/>
        </w:rPr>
      </w:pPr>
      <w:r w:rsidRPr="00744B22">
        <w:rPr>
          <w:rFonts w:ascii="Cambria" w:eastAsia="Times New Roman" w:hAnsi="Cambria"/>
          <w:sz w:val="24"/>
          <w:szCs w:val="24"/>
        </w:rPr>
        <w:t>This section addresses the implementation of the general obligations set forth in the Convention on the Rights of Persons with Disabilities, in particular Article 4, concerning the adoption of legislative, administrative, and other measures necessary to give effect to the rights recognized in the Convention, and Article 33, relating to national frameworks for implementation and monitoring. In this context, the National Human Rights Committee reviews the principal legislative and institutional developments undertaken by the State of Qatar and assesses their contribution to strengthening the protection of the rights of persons with disabilities and advancing the transition from a legislative framework to the effective realization of those rights in practice.</w:t>
      </w:r>
    </w:p>
    <w:p w14:paraId="363FB719" w14:textId="77777777" w:rsidR="00C758EA" w:rsidRPr="00C758EA" w:rsidRDefault="00C758EA" w:rsidP="00C758EA">
      <w:pPr>
        <w:pStyle w:val="NoSpacing"/>
        <w:spacing w:before="240"/>
        <w:jc w:val="both"/>
        <w:rPr>
          <w:rFonts w:ascii="Cambria" w:eastAsia="Times New Roman" w:hAnsi="Cambria"/>
          <w:sz w:val="24"/>
          <w:szCs w:val="24"/>
        </w:rPr>
      </w:pPr>
      <w:r w:rsidRPr="00C758EA">
        <w:rPr>
          <w:rFonts w:ascii="Cambria" w:eastAsia="Times New Roman" w:hAnsi="Cambria"/>
          <w:sz w:val="24"/>
          <w:szCs w:val="24"/>
        </w:rPr>
        <w:t>Law No. (22) of 2025 concerning Persons with Disabilities was promulgated, representing a significant legislative milestone towards aligning the national legal framework with the provisions of the Convention on the Rights of Persons with Disabilities. The Law comprises four chapters addressing definitions, general principles, rights, legal protection, and criminal provisions.</w:t>
      </w:r>
    </w:p>
    <w:p w14:paraId="373F43FA" w14:textId="1C6D0BFA" w:rsidR="00B7291A" w:rsidRDefault="00C758EA" w:rsidP="00C758EA">
      <w:pPr>
        <w:pStyle w:val="NoSpacing"/>
        <w:spacing w:before="240"/>
        <w:jc w:val="both"/>
        <w:rPr>
          <w:rFonts w:ascii="Cambria" w:eastAsia="Times New Roman" w:hAnsi="Cambria"/>
          <w:sz w:val="24"/>
          <w:szCs w:val="24"/>
        </w:rPr>
      </w:pPr>
      <w:r w:rsidRPr="00C758EA">
        <w:rPr>
          <w:rFonts w:ascii="Cambria" w:eastAsia="Times New Roman" w:hAnsi="Cambria"/>
          <w:sz w:val="24"/>
          <w:szCs w:val="24"/>
        </w:rPr>
        <w:t xml:space="preserve">The Law adopts advanced concepts that are fully consistent with the </w:t>
      </w:r>
      <w:r w:rsidR="005C0863">
        <w:rPr>
          <w:rFonts w:ascii="Cambria" w:eastAsia="Times New Roman" w:hAnsi="Cambria"/>
          <w:sz w:val="24"/>
          <w:szCs w:val="24"/>
        </w:rPr>
        <w:t xml:space="preserve">International </w:t>
      </w:r>
      <w:r w:rsidRPr="00C758EA">
        <w:rPr>
          <w:rFonts w:ascii="Cambria" w:eastAsia="Times New Roman" w:hAnsi="Cambria"/>
          <w:sz w:val="24"/>
          <w:szCs w:val="24"/>
        </w:rPr>
        <w:t>Convention, including discrimination on the basis of disability, reasonable accommodation, accessibility, digital accessibility, and free and informed consent. It further affirms the principles of full and effective participation, equality and non-discrimination, respect for dignity and individual autonomy, and the integration of the rights of persons with disabilities into national policies and development plans.</w:t>
      </w:r>
    </w:p>
    <w:p w14:paraId="16D49545" w14:textId="77777777" w:rsidR="00C629EB" w:rsidRPr="00C629EB" w:rsidRDefault="00C629EB" w:rsidP="00C629EB">
      <w:pPr>
        <w:pStyle w:val="NoSpacing"/>
        <w:spacing w:before="240"/>
        <w:jc w:val="both"/>
        <w:rPr>
          <w:rFonts w:ascii="Cambria" w:eastAsia="Times New Roman" w:hAnsi="Cambria"/>
          <w:sz w:val="24"/>
          <w:szCs w:val="24"/>
        </w:rPr>
      </w:pPr>
      <w:r w:rsidRPr="00C629EB">
        <w:rPr>
          <w:rFonts w:ascii="Cambria" w:eastAsia="Times New Roman" w:hAnsi="Cambria"/>
          <w:sz w:val="24"/>
          <w:szCs w:val="24"/>
        </w:rPr>
        <w:t>The Law establishes a comprehensive framework for civil, political, economic, social, and cultural rights, including the rights to liberty and security of the person, privacy, freedom of expression, family life, political participation, access to justice, education, healthcare and rehabilitation, employment, housing, banking services, and accessibility. It further recognizes the denial of reasonable accommodation as a form of discrimination.</w:t>
      </w:r>
    </w:p>
    <w:p w14:paraId="6478DBD3" w14:textId="21A78953" w:rsidR="002078DD" w:rsidRDefault="00C629EB" w:rsidP="00C629EB">
      <w:pPr>
        <w:pStyle w:val="NoSpacing"/>
        <w:spacing w:before="240"/>
        <w:jc w:val="both"/>
        <w:rPr>
          <w:rFonts w:ascii="Cambria" w:eastAsia="Times New Roman" w:hAnsi="Cambria"/>
          <w:sz w:val="24"/>
          <w:szCs w:val="24"/>
        </w:rPr>
      </w:pPr>
      <w:r w:rsidRPr="00C629EB">
        <w:rPr>
          <w:rFonts w:ascii="Cambria" w:eastAsia="Times New Roman" w:hAnsi="Cambria"/>
          <w:sz w:val="24"/>
          <w:szCs w:val="24"/>
        </w:rPr>
        <w:t xml:space="preserve">In addition, the Law introduces a sanctions regime designed to ensure the effective protection of these rights by criminalizing violence and exploitation, the conduct of research or experimentation without free and informed consent, and neglect in the provision of care. It also imposes penalties for violations of privacy, acts of discrimination, and the failure to provide reasonable </w:t>
      </w:r>
      <w:r w:rsidR="00BC7AAA">
        <w:rPr>
          <w:rFonts w:ascii="Cambria" w:eastAsia="Times New Roman" w:hAnsi="Cambria"/>
          <w:sz w:val="24"/>
          <w:szCs w:val="24"/>
        </w:rPr>
        <w:t>arrangements</w:t>
      </w:r>
      <w:r w:rsidRPr="00C629EB">
        <w:rPr>
          <w:rFonts w:ascii="Cambria" w:eastAsia="Times New Roman" w:hAnsi="Cambria"/>
          <w:sz w:val="24"/>
          <w:szCs w:val="24"/>
        </w:rPr>
        <w:t>.</w:t>
      </w:r>
    </w:p>
    <w:p w14:paraId="3969C2A7" w14:textId="0A781DF2" w:rsidR="00BC7AAA" w:rsidRDefault="00BC7AAA" w:rsidP="00C629EB">
      <w:pPr>
        <w:pStyle w:val="NoSpacing"/>
        <w:spacing w:before="240"/>
        <w:jc w:val="both"/>
        <w:rPr>
          <w:rFonts w:ascii="Cambria" w:eastAsia="Times New Roman" w:hAnsi="Cambria"/>
          <w:sz w:val="24"/>
          <w:szCs w:val="24"/>
        </w:rPr>
      </w:pPr>
      <w:r w:rsidRPr="00BC7AAA">
        <w:rPr>
          <w:rFonts w:ascii="Cambria" w:eastAsia="Times New Roman" w:hAnsi="Cambria"/>
          <w:sz w:val="24"/>
          <w:szCs w:val="24"/>
        </w:rPr>
        <w:t>Furthermore, the scope of liability has been expanded to include legal persons and those responsible for the actual management of such entities, thereby reinforcing the principle of accountability.</w:t>
      </w:r>
    </w:p>
    <w:p w14:paraId="55D40D01" w14:textId="28764D37" w:rsidR="007C2D3B" w:rsidRDefault="007C2D3B" w:rsidP="00C629EB">
      <w:pPr>
        <w:pStyle w:val="NoSpacing"/>
        <w:spacing w:before="240"/>
        <w:jc w:val="both"/>
        <w:rPr>
          <w:rFonts w:ascii="Cambria" w:eastAsia="Times New Roman" w:hAnsi="Cambria"/>
          <w:sz w:val="24"/>
          <w:szCs w:val="24"/>
        </w:rPr>
      </w:pPr>
      <w:r w:rsidRPr="007C2D3B">
        <w:rPr>
          <w:rFonts w:ascii="Cambria" w:eastAsia="Times New Roman" w:hAnsi="Cambria"/>
          <w:sz w:val="24"/>
          <w:szCs w:val="24"/>
        </w:rPr>
        <w:t>The National Human Rights Committee considers that the Law constitutes a significant advancement in strengthening the legal protection afforded to persons with disabilities and lays the foundation for shifting the national framework from the mere recognition of rights to ensuring their effective realization in accordance with the principles of the Convention and international human rights standards.</w:t>
      </w:r>
    </w:p>
    <w:p w14:paraId="3AC70A26" w14:textId="77777777" w:rsidR="00B0548C" w:rsidRDefault="00B0548C" w:rsidP="00C629EB">
      <w:pPr>
        <w:pStyle w:val="NoSpacing"/>
        <w:spacing w:before="240"/>
        <w:jc w:val="both"/>
        <w:rPr>
          <w:rFonts w:ascii="Cambria" w:eastAsia="Times New Roman" w:hAnsi="Cambria"/>
          <w:sz w:val="24"/>
          <w:szCs w:val="24"/>
        </w:rPr>
      </w:pPr>
    </w:p>
    <w:p w14:paraId="408EA037" w14:textId="77777777" w:rsidR="00B0548C" w:rsidRDefault="00B0548C" w:rsidP="00C629EB">
      <w:pPr>
        <w:pStyle w:val="NoSpacing"/>
        <w:spacing w:before="240"/>
        <w:jc w:val="both"/>
        <w:rPr>
          <w:rFonts w:ascii="Cambria" w:eastAsia="Times New Roman" w:hAnsi="Cambria"/>
          <w:sz w:val="24"/>
          <w:szCs w:val="24"/>
        </w:rPr>
      </w:pPr>
    </w:p>
    <w:p w14:paraId="6DBC9670" w14:textId="77777777" w:rsidR="00B0548C" w:rsidRPr="00B0548C" w:rsidRDefault="00B0548C" w:rsidP="00B0548C">
      <w:pPr>
        <w:pStyle w:val="NoSpacing"/>
        <w:spacing w:before="240"/>
        <w:jc w:val="both"/>
        <w:rPr>
          <w:rFonts w:ascii="Cambria" w:eastAsia="Times New Roman" w:hAnsi="Cambria"/>
          <w:sz w:val="24"/>
          <w:szCs w:val="24"/>
        </w:rPr>
      </w:pPr>
      <w:r w:rsidRPr="00B0548C">
        <w:rPr>
          <w:rFonts w:ascii="Cambria" w:eastAsia="Times New Roman" w:hAnsi="Cambria"/>
          <w:sz w:val="24"/>
          <w:szCs w:val="24"/>
        </w:rPr>
        <w:t>Among the most significant features distinguishing Law No. (22) of 2025 from the former Law No. (2) of 2004 are the following:</w:t>
      </w:r>
    </w:p>
    <w:p w14:paraId="2A9AF761" w14:textId="77777777" w:rsidR="00B0548C" w:rsidRPr="00B0548C" w:rsidRDefault="00B0548C" w:rsidP="00B0548C">
      <w:pPr>
        <w:pStyle w:val="NoSpacing"/>
        <w:numPr>
          <w:ilvl w:val="0"/>
          <w:numId w:val="12"/>
        </w:numPr>
        <w:spacing w:before="240"/>
        <w:jc w:val="both"/>
        <w:rPr>
          <w:rFonts w:ascii="Cambria" w:eastAsia="Times New Roman" w:hAnsi="Cambria"/>
          <w:sz w:val="24"/>
          <w:szCs w:val="24"/>
        </w:rPr>
      </w:pPr>
      <w:r w:rsidRPr="00B0548C">
        <w:rPr>
          <w:rFonts w:ascii="Cambria" w:eastAsia="Times New Roman" w:hAnsi="Cambria"/>
          <w:sz w:val="24"/>
          <w:szCs w:val="24"/>
        </w:rPr>
        <w:t>Replacing the welfare-based approach with a rights-based approach, in full conformity with the Convention on the Rights of Persons with Disabilities.</w:t>
      </w:r>
    </w:p>
    <w:p w14:paraId="161101E8" w14:textId="76830060" w:rsidR="00B0548C" w:rsidRPr="00B0548C" w:rsidRDefault="00B0548C" w:rsidP="00B0548C">
      <w:pPr>
        <w:pStyle w:val="NoSpacing"/>
        <w:numPr>
          <w:ilvl w:val="0"/>
          <w:numId w:val="12"/>
        </w:numPr>
        <w:spacing w:before="240"/>
        <w:jc w:val="both"/>
        <w:rPr>
          <w:rFonts w:ascii="Cambria" w:eastAsia="Times New Roman" w:hAnsi="Cambria"/>
          <w:sz w:val="24"/>
          <w:szCs w:val="24"/>
        </w:rPr>
      </w:pPr>
      <w:r w:rsidRPr="00B0548C">
        <w:rPr>
          <w:rFonts w:ascii="Cambria" w:eastAsia="Times New Roman" w:hAnsi="Cambria"/>
          <w:sz w:val="24"/>
          <w:szCs w:val="24"/>
        </w:rPr>
        <w:t xml:space="preserve">Prohibiting discrimination on the basis of disability and requiring all relevant entities to provide reasonable </w:t>
      </w:r>
      <w:r w:rsidR="008C63DF">
        <w:rPr>
          <w:rFonts w:ascii="Cambria" w:eastAsia="Times New Roman" w:hAnsi="Cambria"/>
          <w:sz w:val="24"/>
          <w:szCs w:val="24"/>
        </w:rPr>
        <w:t>arrangements</w:t>
      </w:r>
      <w:r w:rsidRPr="00B0548C">
        <w:rPr>
          <w:rFonts w:ascii="Cambria" w:eastAsia="Times New Roman" w:hAnsi="Cambria"/>
          <w:sz w:val="24"/>
          <w:szCs w:val="24"/>
        </w:rPr>
        <w:t>.</w:t>
      </w:r>
    </w:p>
    <w:p w14:paraId="2582E791" w14:textId="77777777" w:rsidR="00B0548C" w:rsidRPr="00B0548C" w:rsidRDefault="00B0548C" w:rsidP="00B0548C">
      <w:pPr>
        <w:pStyle w:val="NoSpacing"/>
        <w:numPr>
          <w:ilvl w:val="0"/>
          <w:numId w:val="12"/>
        </w:numPr>
        <w:spacing w:before="240"/>
        <w:jc w:val="both"/>
        <w:rPr>
          <w:rFonts w:ascii="Cambria" w:eastAsia="Times New Roman" w:hAnsi="Cambria"/>
          <w:sz w:val="24"/>
          <w:szCs w:val="24"/>
        </w:rPr>
      </w:pPr>
      <w:r w:rsidRPr="00B0548C">
        <w:rPr>
          <w:rFonts w:ascii="Cambria" w:eastAsia="Times New Roman" w:hAnsi="Cambria"/>
          <w:sz w:val="24"/>
          <w:szCs w:val="24"/>
        </w:rPr>
        <w:t>Guaranteeing accessibility to the physical environment, transportation, information, and digital services.</w:t>
      </w:r>
    </w:p>
    <w:p w14:paraId="7149BA2E" w14:textId="29FA67B0" w:rsidR="00B0548C" w:rsidRDefault="00B0548C" w:rsidP="00B0548C">
      <w:pPr>
        <w:pStyle w:val="NoSpacing"/>
        <w:numPr>
          <w:ilvl w:val="0"/>
          <w:numId w:val="12"/>
        </w:numPr>
        <w:spacing w:before="240"/>
        <w:jc w:val="both"/>
        <w:rPr>
          <w:rFonts w:ascii="Cambria" w:eastAsia="Times New Roman" w:hAnsi="Cambria"/>
          <w:sz w:val="24"/>
          <w:szCs w:val="24"/>
        </w:rPr>
      </w:pPr>
      <w:r w:rsidRPr="00B0548C">
        <w:rPr>
          <w:rFonts w:ascii="Cambria" w:eastAsia="Times New Roman" w:hAnsi="Cambria"/>
          <w:sz w:val="24"/>
          <w:szCs w:val="24"/>
        </w:rPr>
        <w:t>Explicitly recognizing the rights to inclusive education, employment, healthcare, rehabilitation, housing, and participation in cultural, sporting, and political life.</w:t>
      </w:r>
    </w:p>
    <w:p w14:paraId="69966B8F" w14:textId="77777777" w:rsidR="00F90347" w:rsidRPr="00F90347" w:rsidRDefault="00F90347" w:rsidP="00F90347">
      <w:pPr>
        <w:pStyle w:val="NoSpacing"/>
        <w:numPr>
          <w:ilvl w:val="0"/>
          <w:numId w:val="12"/>
        </w:numPr>
        <w:spacing w:before="240"/>
        <w:jc w:val="both"/>
        <w:rPr>
          <w:rFonts w:ascii="Cambria" w:eastAsia="Times New Roman" w:hAnsi="Cambria"/>
          <w:sz w:val="24"/>
          <w:szCs w:val="24"/>
        </w:rPr>
      </w:pPr>
      <w:r w:rsidRPr="00F90347">
        <w:rPr>
          <w:rFonts w:ascii="Cambria" w:eastAsia="Times New Roman" w:hAnsi="Cambria"/>
          <w:sz w:val="24"/>
          <w:szCs w:val="24"/>
        </w:rPr>
        <w:t>Establishing employment quotas for persons with disabilities in both the public and private sectors, as determined by the Council of Ministers.</w:t>
      </w:r>
    </w:p>
    <w:p w14:paraId="4AA94249" w14:textId="77777777" w:rsidR="00F90347" w:rsidRPr="00F90347" w:rsidRDefault="00F90347" w:rsidP="00F90347">
      <w:pPr>
        <w:pStyle w:val="NoSpacing"/>
        <w:numPr>
          <w:ilvl w:val="0"/>
          <w:numId w:val="12"/>
        </w:numPr>
        <w:spacing w:before="240"/>
        <w:jc w:val="both"/>
        <w:rPr>
          <w:rFonts w:ascii="Cambria" w:eastAsia="Times New Roman" w:hAnsi="Cambria"/>
          <w:sz w:val="24"/>
          <w:szCs w:val="24"/>
        </w:rPr>
      </w:pPr>
      <w:r w:rsidRPr="00F90347">
        <w:rPr>
          <w:rFonts w:ascii="Cambria" w:eastAsia="Times New Roman" w:hAnsi="Cambria"/>
          <w:sz w:val="24"/>
          <w:szCs w:val="24"/>
        </w:rPr>
        <w:t>Establishing a unified national database and issuing identification cards to facilitate access to services and benefits.</w:t>
      </w:r>
    </w:p>
    <w:p w14:paraId="695B72B8" w14:textId="776AF05F" w:rsidR="00F90347" w:rsidRDefault="00F90347" w:rsidP="00F90347">
      <w:pPr>
        <w:pStyle w:val="NoSpacing"/>
        <w:numPr>
          <w:ilvl w:val="0"/>
          <w:numId w:val="12"/>
        </w:numPr>
        <w:spacing w:before="240"/>
        <w:jc w:val="both"/>
        <w:rPr>
          <w:rFonts w:ascii="Cambria" w:eastAsia="Times New Roman" w:hAnsi="Cambria"/>
          <w:sz w:val="24"/>
          <w:szCs w:val="24"/>
        </w:rPr>
      </w:pPr>
      <w:r w:rsidRPr="00F90347">
        <w:rPr>
          <w:rFonts w:ascii="Cambria" w:eastAsia="Times New Roman" w:hAnsi="Cambria"/>
          <w:sz w:val="24"/>
          <w:szCs w:val="24"/>
        </w:rPr>
        <w:t xml:space="preserve">Introducing penalties for violations, including fines and, in certain cases, imprisonment, </w:t>
      </w:r>
      <w:r w:rsidR="00FC76D6">
        <w:rPr>
          <w:rFonts w:ascii="Cambria" w:eastAsia="Times New Roman" w:hAnsi="Cambria"/>
          <w:sz w:val="24"/>
          <w:szCs w:val="24"/>
        </w:rPr>
        <w:t xml:space="preserve">with </w:t>
      </w:r>
      <w:r w:rsidRPr="00F90347">
        <w:rPr>
          <w:rFonts w:ascii="Cambria" w:eastAsia="Times New Roman" w:hAnsi="Cambria"/>
          <w:sz w:val="24"/>
          <w:szCs w:val="24"/>
        </w:rPr>
        <w:t>enhanced penalties in cases involving neglect, exploitation, or violence.</w:t>
      </w:r>
    </w:p>
    <w:p w14:paraId="0E1E5228" w14:textId="23B4E01D" w:rsidR="00FC76D6" w:rsidRDefault="00E67F2D" w:rsidP="00FC76D6">
      <w:pPr>
        <w:pStyle w:val="NoSpacing"/>
        <w:spacing w:before="240"/>
        <w:jc w:val="both"/>
        <w:rPr>
          <w:rFonts w:ascii="Cambria" w:eastAsia="Times New Roman" w:hAnsi="Cambria"/>
          <w:b/>
          <w:bCs/>
          <w:sz w:val="24"/>
          <w:szCs w:val="24"/>
        </w:rPr>
      </w:pPr>
      <w:r w:rsidRPr="00E32F46">
        <w:rPr>
          <w:rFonts w:ascii="Cambria" w:eastAsia="Times New Roman" w:hAnsi="Cambria"/>
          <w:b/>
          <w:bCs/>
          <w:sz w:val="24"/>
          <w:szCs w:val="24"/>
        </w:rPr>
        <w:t>Notwithstanding the significant legislative progress achieved through the promulgation of the Law on the Rights of Persons with Disabilities of 2025, the area of independent living and inclusion in the community, as provided for under Article 19 of the Convention on the Rights of Persons with Disabilities, still requires further development.</w:t>
      </w:r>
    </w:p>
    <w:p w14:paraId="1204CEE9" w14:textId="36F47684" w:rsidR="00370143" w:rsidRDefault="00370143" w:rsidP="00FC76D6">
      <w:pPr>
        <w:pStyle w:val="NoSpacing"/>
        <w:spacing w:before="240"/>
        <w:jc w:val="both"/>
        <w:rPr>
          <w:rFonts w:ascii="Cambria" w:eastAsia="Times New Roman" w:hAnsi="Cambria"/>
          <w:b/>
          <w:bCs/>
          <w:sz w:val="24"/>
          <w:szCs w:val="24"/>
        </w:rPr>
      </w:pPr>
      <w:r w:rsidRPr="00370143">
        <w:rPr>
          <w:rFonts w:ascii="Cambria" w:eastAsia="Times New Roman" w:hAnsi="Cambria"/>
          <w:b/>
          <w:bCs/>
          <w:sz w:val="24"/>
          <w:szCs w:val="24"/>
        </w:rPr>
        <w:t>While the national legislative framework incorporates a number of support measures aimed at empowering persons with disabilities, including provisions under the Social Security Law that provide certain forms of assistance</w:t>
      </w:r>
      <w:r>
        <w:rPr>
          <w:rFonts w:ascii="Cambria" w:eastAsia="Times New Roman" w:hAnsi="Cambria"/>
          <w:b/>
          <w:bCs/>
          <w:sz w:val="24"/>
          <w:szCs w:val="24"/>
        </w:rPr>
        <w:t xml:space="preserve">, </w:t>
      </w:r>
      <w:r w:rsidRPr="00370143">
        <w:rPr>
          <w:rFonts w:ascii="Cambria" w:eastAsia="Times New Roman" w:hAnsi="Cambria"/>
          <w:b/>
          <w:bCs/>
          <w:sz w:val="24"/>
          <w:szCs w:val="24"/>
        </w:rPr>
        <w:t>such as the caregiver allowance granted to individuals whose need for personal assistance has been established, thereby reflecting recognition of the importance of personal support</w:t>
      </w:r>
      <w:r w:rsidR="00BD2BDA">
        <w:rPr>
          <w:rFonts w:ascii="Cambria" w:eastAsia="Times New Roman" w:hAnsi="Cambria"/>
          <w:b/>
          <w:bCs/>
          <w:sz w:val="24"/>
          <w:szCs w:val="24"/>
        </w:rPr>
        <w:t>.</w:t>
      </w:r>
      <w:r w:rsidR="006E67AD">
        <w:rPr>
          <w:rFonts w:ascii="Cambria" w:eastAsia="Times New Roman" w:hAnsi="Cambria"/>
          <w:b/>
          <w:bCs/>
          <w:sz w:val="24"/>
          <w:szCs w:val="24"/>
        </w:rPr>
        <w:t xml:space="preserve"> </w:t>
      </w:r>
      <w:r w:rsidR="00BD2BDA">
        <w:rPr>
          <w:rFonts w:ascii="Cambria" w:eastAsia="Times New Roman" w:hAnsi="Cambria"/>
          <w:b/>
          <w:bCs/>
          <w:sz w:val="24"/>
          <w:szCs w:val="24"/>
        </w:rPr>
        <w:t>However, t</w:t>
      </w:r>
      <w:r w:rsidRPr="00370143">
        <w:rPr>
          <w:rFonts w:ascii="Cambria" w:eastAsia="Times New Roman" w:hAnsi="Cambria"/>
          <w:b/>
          <w:bCs/>
          <w:sz w:val="24"/>
          <w:szCs w:val="24"/>
        </w:rPr>
        <w:t>he principal challenge lies in transforming these measures from social or financial assistance into a comprehensive framework for independent living. Such a framework should be grounded in the right of persons with disabilities to choose their place of residence and living arrangements, as well as to access the support services necessary to enable their full and effective participation in society. Furthermore, the regulation of this right requires additional safeguards to ensure the availability of community-based living alternatives and to avoid reliance on traditional care models as the primary option.</w:t>
      </w:r>
    </w:p>
    <w:p w14:paraId="12FA231A" w14:textId="77777777" w:rsidR="00160919" w:rsidRDefault="00160919" w:rsidP="00FC76D6">
      <w:pPr>
        <w:pStyle w:val="NoSpacing"/>
        <w:spacing w:before="240"/>
        <w:jc w:val="both"/>
        <w:rPr>
          <w:rFonts w:ascii="Cambria" w:eastAsia="Times New Roman" w:hAnsi="Cambria"/>
          <w:b/>
          <w:bCs/>
          <w:sz w:val="24"/>
          <w:szCs w:val="24"/>
        </w:rPr>
      </w:pPr>
    </w:p>
    <w:p w14:paraId="18FDA023" w14:textId="77777777" w:rsidR="00160919" w:rsidRDefault="00160919" w:rsidP="00FC76D6">
      <w:pPr>
        <w:pStyle w:val="NoSpacing"/>
        <w:spacing w:before="240"/>
        <w:jc w:val="both"/>
        <w:rPr>
          <w:rFonts w:ascii="Cambria" w:eastAsia="Times New Roman" w:hAnsi="Cambria"/>
          <w:b/>
          <w:bCs/>
          <w:sz w:val="24"/>
          <w:szCs w:val="24"/>
        </w:rPr>
      </w:pPr>
    </w:p>
    <w:p w14:paraId="5BC730F1" w14:textId="77777777" w:rsidR="00160919" w:rsidRDefault="00160919" w:rsidP="00FC76D6">
      <w:pPr>
        <w:pStyle w:val="NoSpacing"/>
        <w:spacing w:before="240"/>
        <w:jc w:val="both"/>
        <w:rPr>
          <w:rFonts w:ascii="Cambria" w:eastAsia="Times New Roman" w:hAnsi="Cambria"/>
          <w:b/>
          <w:bCs/>
          <w:sz w:val="24"/>
          <w:szCs w:val="24"/>
        </w:rPr>
      </w:pPr>
    </w:p>
    <w:p w14:paraId="302784B2" w14:textId="2785675E" w:rsidR="00160919" w:rsidRDefault="00E33158" w:rsidP="00FC76D6">
      <w:pPr>
        <w:pStyle w:val="NoSpacing"/>
        <w:spacing w:before="240"/>
        <w:jc w:val="both"/>
        <w:rPr>
          <w:rFonts w:ascii="Cambria" w:eastAsia="Times New Roman" w:hAnsi="Cambria"/>
          <w:b/>
          <w:bCs/>
          <w:sz w:val="24"/>
          <w:szCs w:val="24"/>
        </w:rPr>
      </w:pPr>
      <w:r w:rsidRPr="00E33158">
        <w:rPr>
          <w:rFonts w:ascii="Cambria" w:eastAsia="Times New Roman" w:hAnsi="Cambria"/>
          <w:b/>
          <w:bCs/>
          <w:sz w:val="24"/>
          <w:szCs w:val="24"/>
        </w:rPr>
        <w:t>The National Human Rights Committee further emphasizes that the effectiveness of the Law remains contingent upon the timely issuance of the implementing regulations and executive decisions envisaged therein, particularly those relating to the unified disability classification system, disability identification cards, employment quotas, digital accessibility standards, and grievance and complaints procedures. These instruments constitute essential mechanisms for translating the legislative provisions into enforceable and effective rights.</w:t>
      </w:r>
    </w:p>
    <w:p w14:paraId="52B1B315" w14:textId="7EE02E58" w:rsidR="009A41E8" w:rsidRDefault="009A41E8" w:rsidP="00FC76D6">
      <w:pPr>
        <w:pStyle w:val="NoSpacing"/>
        <w:spacing w:before="240"/>
        <w:jc w:val="both"/>
        <w:rPr>
          <w:rFonts w:ascii="Cambria" w:eastAsia="Times New Roman" w:hAnsi="Cambria"/>
          <w:b/>
          <w:bCs/>
          <w:sz w:val="24"/>
          <w:szCs w:val="24"/>
        </w:rPr>
      </w:pPr>
      <w:r w:rsidRPr="009A41E8">
        <w:rPr>
          <w:rFonts w:ascii="Cambria" w:eastAsia="Times New Roman" w:hAnsi="Cambria"/>
          <w:b/>
          <w:bCs/>
          <w:sz w:val="24"/>
          <w:szCs w:val="24"/>
        </w:rPr>
        <w:t>The National Human Rights Committee recommends that the implementation of this Law be undertaken in full compliance with Article 33 of the Convention on the Rights of Persons with Disabilities, through the strengthening of national monitoring mechanisms, the enhancement of institutional coordination, and the effective participation of organizations of persons with disabilities in the formulation of policies and implementing regulations. Such measures are essential to ensuring the practical and sustainable implementation of the Law and to reinforcing the principles of the rule of law and institutional governance.</w:t>
      </w:r>
    </w:p>
    <w:p w14:paraId="52BE5CC4" w14:textId="77777777" w:rsidR="00B40546" w:rsidRDefault="00B40546" w:rsidP="00FC76D6">
      <w:pPr>
        <w:pStyle w:val="NoSpacing"/>
        <w:spacing w:before="240"/>
        <w:jc w:val="both"/>
        <w:rPr>
          <w:rFonts w:ascii="Cambria" w:eastAsia="Times New Roman" w:hAnsi="Cambria"/>
          <w:b/>
          <w:bCs/>
          <w:sz w:val="24"/>
          <w:szCs w:val="24"/>
        </w:rPr>
      </w:pPr>
    </w:p>
    <w:p w14:paraId="75C78CFD" w14:textId="355BA5CD" w:rsidR="004B4BA3" w:rsidRPr="004B4BA3" w:rsidRDefault="004B4BA3" w:rsidP="004B4BA3">
      <w:pPr>
        <w:pStyle w:val="NoSpacing"/>
        <w:spacing w:before="240"/>
        <w:rPr>
          <w:rFonts w:ascii="Cambria" w:eastAsia="Times New Roman" w:hAnsi="Cambria"/>
          <w:b/>
          <w:bCs/>
          <w:sz w:val="24"/>
          <w:szCs w:val="24"/>
        </w:rPr>
      </w:pPr>
      <w:r>
        <w:rPr>
          <w:rFonts w:ascii="Cambria" w:eastAsia="Times New Roman" w:hAnsi="Cambria"/>
          <w:b/>
          <w:bCs/>
          <w:sz w:val="24"/>
          <w:szCs w:val="24"/>
        </w:rPr>
        <w:t>Second:</w:t>
      </w:r>
      <w:r w:rsidRPr="004B4BA3">
        <w:rPr>
          <w:rFonts w:ascii="Cambria" w:eastAsia="Times New Roman" w:hAnsi="Cambria"/>
          <w:b/>
          <w:bCs/>
          <w:sz w:val="24"/>
          <w:szCs w:val="24"/>
        </w:rPr>
        <w:t xml:space="preserve"> Policies and Strategies and Their Alignment with the Convention</w:t>
      </w:r>
    </w:p>
    <w:p w14:paraId="3278B2B7" w14:textId="2B32D9EF" w:rsidR="004B4BA3" w:rsidRDefault="004B4BA3" w:rsidP="004B4BA3">
      <w:pPr>
        <w:pStyle w:val="NoSpacing"/>
        <w:spacing w:before="240"/>
        <w:jc w:val="both"/>
        <w:rPr>
          <w:rFonts w:ascii="Cambria" w:eastAsia="Times New Roman" w:hAnsi="Cambria"/>
          <w:sz w:val="24"/>
          <w:szCs w:val="24"/>
        </w:rPr>
      </w:pPr>
      <w:r w:rsidRPr="004B4BA3">
        <w:rPr>
          <w:rFonts w:ascii="Cambria" w:eastAsia="Times New Roman" w:hAnsi="Cambria"/>
          <w:sz w:val="24"/>
          <w:szCs w:val="24"/>
        </w:rPr>
        <w:t>This section examines the extent to which national policies and strategies are aligned with the obligations set forth in the Convention on the Rights of Persons with Disabilities, particularly Article 4, concerning the mainstreaming of the rights of persons with disabilities into all public policies and programs; Article 31, relating to the collection of data and statistics; and Article 33, concerning national implementation and monitoring mechanisms. It also assesses the extent to which these policies reflect the principles of equality and non-discrimination, effective participation, accessibility, and inclusion within the community.</w:t>
      </w:r>
    </w:p>
    <w:p w14:paraId="5F3F9B08" w14:textId="6991AF00" w:rsidR="005027ED" w:rsidRDefault="005E0B5A" w:rsidP="004B4BA3">
      <w:pPr>
        <w:pStyle w:val="NoSpacing"/>
        <w:spacing w:before="240"/>
        <w:jc w:val="both"/>
        <w:rPr>
          <w:rFonts w:ascii="Cambria" w:eastAsia="Times New Roman" w:hAnsi="Cambria"/>
          <w:sz w:val="24"/>
          <w:szCs w:val="24"/>
        </w:rPr>
      </w:pPr>
      <w:r w:rsidRPr="005E0B5A">
        <w:rPr>
          <w:rFonts w:ascii="Cambria" w:eastAsia="Times New Roman" w:hAnsi="Cambria"/>
          <w:sz w:val="24"/>
          <w:szCs w:val="24"/>
        </w:rPr>
        <w:t xml:space="preserve">The Ministry of Social Development and Family plays a central role in leading the development of policies and strategies relating to persons with disabilities. Pursuant to Law No. (22) of 2025 concerning Persons with Disabilities, the Ministry serves as the principal government authority responsible for formulating and implementing policies and programs that support persons with disabilities and promote their social inclusion. The Minister of Social Development and Family also </w:t>
      </w:r>
      <w:proofErr w:type="gramStart"/>
      <w:r w:rsidRPr="005E0B5A">
        <w:rPr>
          <w:rFonts w:ascii="Cambria" w:eastAsia="Times New Roman" w:hAnsi="Cambria"/>
          <w:sz w:val="24"/>
          <w:szCs w:val="24"/>
        </w:rPr>
        <w:t>chairs</w:t>
      </w:r>
      <w:proofErr w:type="gramEnd"/>
      <w:r w:rsidRPr="005E0B5A">
        <w:rPr>
          <w:rFonts w:ascii="Cambria" w:eastAsia="Times New Roman" w:hAnsi="Cambria"/>
          <w:sz w:val="24"/>
          <w:szCs w:val="24"/>
        </w:rPr>
        <w:t xml:space="preserve"> the National Committee for Women, Children, Older Persons and Persons with Disabilities, established pursuant to Council of Ministers Decision No. (26) of 2019, which comprises representatives from fifteen relevant governmental and national entities.</w:t>
      </w:r>
    </w:p>
    <w:p w14:paraId="5F5D3234" w14:textId="2F3097C5" w:rsidR="005E0B5A" w:rsidRDefault="00874FF8" w:rsidP="004B4BA3">
      <w:pPr>
        <w:pStyle w:val="NoSpacing"/>
        <w:spacing w:before="240"/>
        <w:jc w:val="both"/>
        <w:rPr>
          <w:rFonts w:ascii="Cambria" w:eastAsia="Times New Roman" w:hAnsi="Cambria"/>
          <w:sz w:val="24"/>
          <w:szCs w:val="24"/>
        </w:rPr>
      </w:pPr>
      <w:r w:rsidRPr="00874FF8">
        <w:rPr>
          <w:rFonts w:ascii="Cambria" w:eastAsia="Times New Roman" w:hAnsi="Cambria"/>
          <w:sz w:val="24"/>
          <w:szCs w:val="24"/>
        </w:rPr>
        <w:t>The Ministry also oversees the Qatar Foundation for Social Work, which serves as the principal executive body responsible for translating these policies into practical programs and field-based services. The Foundation supervises several specialized centers that provide care, rehabilitation, and empowerment services to the targeted groups, including persons with disabilities.</w:t>
      </w:r>
    </w:p>
    <w:p w14:paraId="52431D7E" w14:textId="77777777" w:rsidR="00874FF8" w:rsidRDefault="00874FF8" w:rsidP="004B4BA3">
      <w:pPr>
        <w:pStyle w:val="NoSpacing"/>
        <w:spacing w:before="240"/>
        <w:jc w:val="both"/>
        <w:rPr>
          <w:rFonts w:ascii="Cambria" w:eastAsia="Times New Roman" w:hAnsi="Cambria"/>
          <w:sz w:val="24"/>
          <w:szCs w:val="24"/>
        </w:rPr>
      </w:pPr>
    </w:p>
    <w:p w14:paraId="72A1C008" w14:textId="77777777" w:rsidR="00874FF8" w:rsidRDefault="00874FF8" w:rsidP="004B4BA3">
      <w:pPr>
        <w:pStyle w:val="NoSpacing"/>
        <w:spacing w:before="240"/>
        <w:jc w:val="both"/>
        <w:rPr>
          <w:rFonts w:ascii="Cambria" w:eastAsia="Times New Roman" w:hAnsi="Cambria"/>
          <w:sz w:val="24"/>
          <w:szCs w:val="24"/>
        </w:rPr>
      </w:pPr>
    </w:p>
    <w:p w14:paraId="5A0403E5" w14:textId="45CD0E51" w:rsidR="00874FF8" w:rsidRPr="00874FF8" w:rsidRDefault="00874FF8" w:rsidP="00874FF8">
      <w:pPr>
        <w:pStyle w:val="NoSpacing"/>
        <w:spacing w:before="240"/>
        <w:jc w:val="both"/>
        <w:rPr>
          <w:rFonts w:ascii="Cambria" w:eastAsia="Times New Roman" w:hAnsi="Cambria"/>
          <w:sz w:val="24"/>
          <w:szCs w:val="24"/>
        </w:rPr>
      </w:pPr>
      <w:r w:rsidRPr="00874FF8">
        <w:rPr>
          <w:rFonts w:ascii="Cambria" w:eastAsia="Times New Roman" w:hAnsi="Cambria"/>
          <w:sz w:val="24"/>
          <w:szCs w:val="24"/>
        </w:rPr>
        <w:t>Through its affiliated centers, the Foundation provides early intervention services, rehabilitation programs, psychosocial support, family counselling, and community empowerment initiatives, thereby contributing to the social inclusion of persons with disabilities and advancing the objectives of national policies.</w:t>
      </w:r>
    </w:p>
    <w:p w14:paraId="3371EE9D" w14:textId="5AF309F5" w:rsidR="00874FF8" w:rsidRDefault="00874FF8" w:rsidP="00874FF8">
      <w:pPr>
        <w:pStyle w:val="NoSpacing"/>
        <w:spacing w:before="240"/>
        <w:jc w:val="both"/>
        <w:rPr>
          <w:rFonts w:ascii="Cambria" w:eastAsia="Times New Roman" w:hAnsi="Cambria"/>
          <w:sz w:val="24"/>
          <w:szCs w:val="24"/>
        </w:rPr>
      </w:pPr>
      <w:r w:rsidRPr="00874FF8">
        <w:rPr>
          <w:rFonts w:ascii="Cambria" w:eastAsia="Times New Roman" w:hAnsi="Cambria"/>
          <w:sz w:val="24"/>
          <w:szCs w:val="24"/>
        </w:rPr>
        <w:t>The development and implementation of policies relating to persons with disabilities in the State of Qatar are carried out through coordinated efforts among several competent authorities responsible for implementing the aforementioned Law, most notably:</w:t>
      </w:r>
    </w:p>
    <w:p w14:paraId="6ECB07D6" w14:textId="29EDB83A" w:rsidR="000070B7" w:rsidRPr="000070B7" w:rsidRDefault="000070B7" w:rsidP="000070B7">
      <w:pPr>
        <w:pStyle w:val="NoSpacing"/>
        <w:numPr>
          <w:ilvl w:val="0"/>
          <w:numId w:val="13"/>
        </w:numPr>
        <w:spacing w:before="240"/>
        <w:jc w:val="both"/>
        <w:rPr>
          <w:rFonts w:ascii="Cambria" w:eastAsia="Times New Roman" w:hAnsi="Cambria"/>
          <w:sz w:val="24"/>
          <w:szCs w:val="24"/>
        </w:rPr>
      </w:pPr>
      <w:r w:rsidRPr="000070B7">
        <w:rPr>
          <w:rFonts w:ascii="Cambria" w:eastAsia="Times New Roman" w:hAnsi="Cambria"/>
          <w:b/>
          <w:bCs/>
          <w:sz w:val="24"/>
          <w:szCs w:val="24"/>
        </w:rPr>
        <w:t>The Ministry of Education and Higher Education</w:t>
      </w:r>
      <w:r>
        <w:rPr>
          <w:rFonts w:ascii="Cambria" w:eastAsia="Times New Roman" w:hAnsi="Cambria"/>
          <w:b/>
          <w:bCs/>
          <w:sz w:val="24"/>
          <w:szCs w:val="24"/>
        </w:rPr>
        <w:t>:</w:t>
      </w:r>
      <w:r w:rsidRPr="000070B7">
        <w:rPr>
          <w:rFonts w:ascii="Cambria" w:eastAsia="Times New Roman" w:hAnsi="Cambria"/>
          <w:sz w:val="24"/>
          <w:szCs w:val="24"/>
        </w:rPr>
        <w:t xml:space="preserve"> which is responsible for developing and implementing inclusive education policies and ensuring appropriate educational opportunities for students with disabilities.</w:t>
      </w:r>
    </w:p>
    <w:p w14:paraId="7DF887A9" w14:textId="40728F42" w:rsidR="000070B7" w:rsidRPr="000070B7" w:rsidRDefault="000070B7" w:rsidP="000070B7">
      <w:pPr>
        <w:pStyle w:val="NoSpacing"/>
        <w:numPr>
          <w:ilvl w:val="0"/>
          <w:numId w:val="13"/>
        </w:numPr>
        <w:spacing w:before="240"/>
        <w:jc w:val="both"/>
        <w:rPr>
          <w:rFonts w:ascii="Cambria" w:eastAsia="Times New Roman" w:hAnsi="Cambria"/>
          <w:sz w:val="24"/>
          <w:szCs w:val="24"/>
        </w:rPr>
      </w:pPr>
      <w:r w:rsidRPr="000070B7">
        <w:rPr>
          <w:rFonts w:ascii="Cambria" w:eastAsia="Times New Roman" w:hAnsi="Cambria"/>
          <w:b/>
          <w:bCs/>
          <w:sz w:val="24"/>
          <w:szCs w:val="24"/>
        </w:rPr>
        <w:t>The Ministry of Public Health</w:t>
      </w:r>
      <w:r>
        <w:rPr>
          <w:rFonts w:ascii="Cambria" w:eastAsia="Times New Roman" w:hAnsi="Cambria"/>
          <w:b/>
          <w:bCs/>
          <w:sz w:val="24"/>
          <w:szCs w:val="24"/>
        </w:rPr>
        <w:t>:</w:t>
      </w:r>
      <w:r w:rsidRPr="000070B7">
        <w:rPr>
          <w:rFonts w:ascii="Cambria" w:eastAsia="Times New Roman" w:hAnsi="Cambria"/>
          <w:sz w:val="24"/>
          <w:szCs w:val="24"/>
        </w:rPr>
        <w:t xml:space="preserve"> which plays a key role in early diagnosis, medical rehabilitation, and the provision of supporting healthcare services.</w:t>
      </w:r>
    </w:p>
    <w:p w14:paraId="42796664" w14:textId="4F74A5D2" w:rsidR="000070B7" w:rsidRPr="000070B7" w:rsidRDefault="000070B7" w:rsidP="000070B7">
      <w:pPr>
        <w:pStyle w:val="NoSpacing"/>
        <w:numPr>
          <w:ilvl w:val="0"/>
          <w:numId w:val="13"/>
        </w:numPr>
        <w:spacing w:before="240"/>
        <w:jc w:val="both"/>
        <w:rPr>
          <w:rFonts w:ascii="Cambria" w:eastAsia="Times New Roman" w:hAnsi="Cambria"/>
          <w:sz w:val="24"/>
          <w:szCs w:val="24"/>
        </w:rPr>
      </w:pPr>
      <w:r w:rsidRPr="000070B7">
        <w:rPr>
          <w:rFonts w:ascii="Cambria" w:eastAsia="Times New Roman" w:hAnsi="Cambria"/>
          <w:b/>
          <w:bCs/>
          <w:sz w:val="24"/>
          <w:szCs w:val="24"/>
        </w:rPr>
        <w:t>The Ministry of Labor</w:t>
      </w:r>
      <w:r>
        <w:rPr>
          <w:rFonts w:ascii="Cambria" w:eastAsia="Times New Roman" w:hAnsi="Cambria"/>
          <w:b/>
          <w:bCs/>
          <w:sz w:val="24"/>
          <w:szCs w:val="24"/>
        </w:rPr>
        <w:t>:</w:t>
      </w:r>
      <w:r w:rsidRPr="000070B7">
        <w:rPr>
          <w:rFonts w:ascii="Cambria" w:eastAsia="Times New Roman" w:hAnsi="Cambria"/>
          <w:b/>
          <w:bCs/>
          <w:sz w:val="24"/>
          <w:szCs w:val="24"/>
        </w:rPr>
        <w:t xml:space="preserve"> </w:t>
      </w:r>
      <w:r w:rsidRPr="000070B7">
        <w:rPr>
          <w:rFonts w:ascii="Cambria" w:eastAsia="Times New Roman" w:hAnsi="Cambria"/>
          <w:sz w:val="24"/>
          <w:szCs w:val="24"/>
        </w:rPr>
        <w:t>which is responsible for promoting employment policies, ensuring equal opportunities, and facilitating the integration of persons with disabilities into the labor market.</w:t>
      </w:r>
    </w:p>
    <w:p w14:paraId="4659D7E1" w14:textId="00403ABC" w:rsidR="000070B7" w:rsidRPr="000070B7" w:rsidRDefault="000070B7" w:rsidP="000070B7">
      <w:pPr>
        <w:pStyle w:val="NoSpacing"/>
        <w:numPr>
          <w:ilvl w:val="0"/>
          <w:numId w:val="13"/>
        </w:numPr>
        <w:spacing w:before="240"/>
        <w:jc w:val="both"/>
        <w:rPr>
          <w:rFonts w:ascii="Cambria" w:eastAsia="Times New Roman" w:hAnsi="Cambria"/>
          <w:sz w:val="24"/>
          <w:szCs w:val="24"/>
        </w:rPr>
      </w:pPr>
      <w:r w:rsidRPr="00595148">
        <w:rPr>
          <w:rFonts w:ascii="Cambria" w:eastAsia="Times New Roman" w:hAnsi="Cambria"/>
          <w:b/>
          <w:bCs/>
          <w:sz w:val="24"/>
          <w:szCs w:val="24"/>
        </w:rPr>
        <w:t>The National Planning Council</w:t>
      </w:r>
      <w:r w:rsidR="00595148">
        <w:rPr>
          <w:rFonts w:ascii="Cambria" w:eastAsia="Times New Roman" w:hAnsi="Cambria"/>
          <w:b/>
          <w:bCs/>
          <w:sz w:val="24"/>
          <w:szCs w:val="24"/>
        </w:rPr>
        <w:t>:</w:t>
      </w:r>
      <w:r w:rsidRPr="000070B7">
        <w:rPr>
          <w:rFonts w:ascii="Cambria" w:eastAsia="Times New Roman" w:hAnsi="Cambria"/>
          <w:sz w:val="24"/>
          <w:szCs w:val="24"/>
        </w:rPr>
        <w:t xml:space="preserve"> which contributes to the collection, production, and dissemination of official data and statistics relevant to persons with disabilities.</w:t>
      </w:r>
    </w:p>
    <w:p w14:paraId="37D2282D" w14:textId="0CDD86E3" w:rsidR="00796884" w:rsidRDefault="000070B7" w:rsidP="000070B7">
      <w:pPr>
        <w:pStyle w:val="NoSpacing"/>
        <w:numPr>
          <w:ilvl w:val="0"/>
          <w:numId w:val="13"/>
        </w:numPr>
        <w:spacing w:before="240"/>
        <w:jc w:val="both"/>
        <w:rPr>
          <w:rFonts w:ascii="Cambria" w:eastAsia="Times New Roman" w:hAnsi="Cambria"/>
          <w:sz w:val="24"/>
          <w:szCs w:val="24"/>
        </w:rPr>
      </w:pPr>
      <w:r w:rsidRPr="00595148">
        <w:rPr>
          <w:rFonts w:ascii="Cambria" w:eastAsia="Times New Roman" w:hAnsi="Cambria"/>
          <w:b/>
          <w:bCs/>
          <w:sz w:val="24"/>
          <w:szCs w:val="24"/>
        </w:rPr>
        <w:t>The National Human Rights Committee</w:t>
      </w:r>
      <w:r w:rsidR="00595148">
        <w:rPr>
          <w:rFonts w:ascii="Cambria" w:eastAsia="Times New Roman" w:hAnsi="Cambria"/>
          <w:b/>
          <w:bCs/>
          <w:sz w:val="24"/>
          <w:szCs w:val="24"/>
        </w:rPr>
        <w:t>:</w:t>
      </w:r>
      <w:r w:rsidRPr="000070B7">
        <w:rPr>
          <w:rFonts w:ascii="Cambria" w:eastAsia="Times New Roman" w:hAnsi="Cambria"/>
          <w:sz w:val="24"/>
          <w:szCs w:val="24"/>
        </w:rPr>
        <w:t xml:space="preserve"> which performs oversight and advisory functions to ensure that national policies are consistent with international human rights standards.</w:t>
      </w:r>
    </w:p>
    <w:p w14:paraId="6B34A5BF" w14:textId="498D8FD5" w:rsidR="00595148" w:rsidRDefault="00620436" w:rsidP="00595148">
      <w:pPr>
        <w:pStyle w:val="NoSpacing"/>
        <w:spacing w:before="240"/>
        <w:jc w:val="both"/>
        <w:rPr>
          <w:rFonts w:ascii="Cambria" w:eastAsia="Times New Roman" w:hAnsi="Cambria"/>
          <w:sz w:val="24"/>
          <w:szCs w:val="24"/>
        </w:rPr>
      </w:pPr>
      <w:r w:rsidRPr="00620436">
        <w:rPr>
          <w:rFonts w:ascii="Cambria" w:eastAsia="Times New Roman" w:hAnsi="Cambria"/>
          <w:sz w:val="24"/>
          <w:szCs w:val="24"/>
        </w:rPr>
        <w:t>This institutional framework operates within the overarching framework of the Qatar National Vision 2030 and the State's international obligations, particularly the Convention on the Rights of Persons with Disabilities, thereby promoting the principles of equality, non-discrimination, universal accessibility, and inclusive service delivery.</w:t>
      </w:r>
    </w:p>
    <w:p w14:paraId="1C5DA22B" w14:textId="4DCDA251" w:rsidR="00620436" w:rsidRDefault="00620436" w:rsidP="00595148">
      <w:pPr>
        <w:pStyle w:val="NoSpacing"/>
        <w:spacing w:before="240"/>
        <w:jc w:val="both"/>
        <w:rPr>
          <w:rFonts w:ascii="Cambria" w:eastAsia="Times New Roman" w:hAnsi="Cambria"/>
          <w:sz w:val="24"/>
          <w:szCs w:val="24"/>
        </w:rPr>
      </w:pPr>
      <w:r w:rsidRPr="00620436">
        <w:rPr>
          <w:rFonts w:ascii="Cambria" w:eastAsia="Times New Roman" w:hAnsi="Cambria"/>
          <w:sz w:val="24"/>
          <w:szCs w:val="24"/>
        </w:rPr>
        <w:t>These policies are reflected in the existence of an extensive network of institutions and organizations operating in the field of disability. The State of Qatar has more than 34 specialized centers, organizations, and associations providing services to persons with intellectual, visual, hearing, and physical disabilities.</w:t>
      </w:r>
    </w:p>
    <w:p w14:paraId="3F212A9E" w14:textId="71C9F4D8" w:rsidR="00E83D2A" w:rsidRDefault="00E83D2A" w:rsidP="00595148">
      <w:pPr>
        <w:pStyle w:val="NoSpacing"/>
        <w:spacing w:before="240"/>
        <w:jc w:val="both"/>
        <w:rPr>
          <w:rFonts w:ascii="Cambria" w:eastAsia="Times New Roman" w:hAnsi="Cambria"/>
          <w:sz w:val="24"/>
          <w:szCs w:val="24"/>
        </w:rPr>
      </w:pPr>
      <w:r w:rsidRPr="00E83D2A">
        <w:rPr>
          <w:rFonts w:ascii="Cambria" w:eastAsia="Times New Roman" w:hAnsi="Cambria"/>
          <w:sz w:val="24"/>
          <w:szCs w:val="24"/>
        </w:rPr>
        <w:t>Notwithstanding these institutional developments and the availability of a relatively comprehensive statistical database on persons with disabilities through the National Planning Council's Open Data Portal, which includes demographic, social, and geographical indicators</w:t>
      </w:r>
      <w:r w:rsidR="003C0278">
        <w:rPr>
          <w:rFonts w:ascii="Cambria" w:eastAsia="Times New Roman" w:hAnsi="Cambria"/>
          <w:sz w:val="24"/>
          <w:szCs w:val="24"/>
        </w:rPr>
        <w:t xml:space="preserve">, </w:t>
      </w:r>
      <w:r w:rsidRPr="00E83D2A">
        <w:rPr>
          <w:rFonts w:ascii="Cambria" w:eastAsia="Times New Roman" w:hAnsi="Cambria"/>
          <w:sz w:val="24"/>
          <w:szCs w:val="24"/>
        </w:rPr>
        <w:t>such as disability type, sex, nationality, age, municipality, employment sector, and registration in disability centers</w:t>
      </w:r>
      <w:r w:rsidR="003C0278">
        <w:rPr>
          <w:rFonts w:ascii="Cambria" w:eastAsia="Times New Roman" w:hAnsi="Cambria"/>
          <w:sz w:val="24"/>
          <w:szCs w:val="24"/>
        </w:rPr>
        <w:t xml:space="preserve">. However, </w:t>
      </w:r>
      <w:r w:rsidRPr="00E83D2A">
        <w:rPr>
          <w:rFonts w:ascii="Cambria" w:eastAsia="Times New Roman" w:hAnsi="Cambria"/>
          <w:sz w:val="24"/>
          <w:szCs w:val="24"/>
        </w:rPr>
        <w:t xml:space="preserve">the available data remain largely aggregated in nature. They do not include individual-level information or more detailed data relating to health, education, or social circumstances, thereby limiting </w:t>
      </w:r>
      <w:r w:rsidRPr="00E83D2A">
        <w:rPr>
          <w:rFonts w:ascii="Cambria" w:eastAsia="Times New Roman" w:hAnsi="Cambria"/>
          <w:sz w:val="24"/>
          <w:szCs w:val="24"/>
        </w:rPr>
        <w:lastRenderedPageBreak/>
        <w:t>the ability to conduct accurate, evidence-based assessments of individual needs and to develop targeted policies and interventions.</w:t>
      </w:r>
    </w:p>
    <w:p w14:paraId="7A0E948A" w14:textId="2F41AAA2" w:rsidR="008E654C" w:rsidRDefault="008E654C" w:rsidP="00595148">
      <w:pPr>
        <w:pStyle w:val="NoSpacing"/>
        <w:spacing w:before="240"/>
        <w:jc w:val="both"/>
        <w:rPr>
          <w:rFonts w:ascii="Cambria" w:eastAsia="Times New Roman" w:hAnsi="Cambria"/>
          <w:sz w:val="24"/>
          <w:szCs w:val="24"/>
        </w:rPr>
      </w:pPr>
      <w:r w:rsidRPr="008E654C">
        <w:rPr>
          <w:rFonts w:ascii="Cambria" w:eastAsia="Times New Roman" w:hAnsi="Cambria"/>
          <w:sz w:val="24"/>
          <w:szCs w:val="24"/>
        </w:rPr>
        <w:t>Although a wide range of programs has been established in the areas of healthcare, education, and rehabilitation, supported by the allocation of adequate financial resources to ensure the provision of necessary medical supplies, the National Human Rights Committee has identified several challenges affecting the effective implementation of these policies. Among the most significant are disparities in the level of expertise among some professionals working in the disability sector and the limited commitment of many institutions to publishing periodic reports or data concerning the services they provide.</w:t>
      </w:r>
    </w:p>
    <w:p w14:paraId="5454E871" w14:textId="5353FA47" w:rsidR="00B46DB4" w:rsidRDefault="0082094C" w:rsidP="00595148">
      <w:pPr>
        <w:pStyle w:val="NoSpacing"/>
        <w:spacing w:before="240"/>
        <w:jc w:val="both"/>
        <w:rPr>
          <w:rFonts w:ascii="Cambria" w:eastAsia="Times New Roman" w:hAnsi="Cambria"/>
          <w:sz w:val="24"/>
          <w:szCs w:val="24"/>
        </w:rPr>
      </w:pPr>
      <w:r w:rsidRPr="0082094C">
        <w:rPr>
          <w:rFonts w:ascii="Cambria" w:eastAsia="Times New Roman" w:hAnsi="Cambria"/>
          <w:sz w:val="24"/>
          <w:szCs w:val="24"/>
        </w:rPr>
        <w:t>Furthermore, some government-supported centers suffer from limited-service capacity, thereby restricting the range of options available to persons with disabilities. As a result, some families are compelled to seek services from private centers, which often involve substantial costs and place an additional financial burden on households, particularly those with limited income who care for family members with disabilities.</w:t>
      </w:r>
    </w:p>
    <w:p w14:paraId="52667F1E" w14:textId="382FC55C" w:rsidR="00CC2802" w:rsidRDefault="00CC2802" w:rsidP="00595148">
      <w:pPr>
        <w:pStyle w:val="NoSpacing"/>
        <w:spacing w:before="240"/>
        <w:jc w:val="both"/>
        <w:rPr>
          <w:rFonts w:ascii="Cambria" w:eastAsia="Times New Roman" w:hAnsi="Cambria"/>
          <w:sz w:val="24"/>
          <w:szCs w:val="24"/>
        </w:rPr>
      </w:pPr>
      <w:r w:rsidRPr="00CC2802">
        <w:rPr>
          <w:rFonts w:ascii="Cambria" w:eastAsia="Times New Roman" w:hAnsi="Cambria"/>
          <w:sz w:val="24"/>
          <w:szCs w:val="24"/>
        </w:rPr>
        <w:t>The Committee also draws attention to the absence of publicly available information or published reports concerning the supervisory role exercised by the competent authorities within the Ministry of Social Development and Family over centers and institutions providing services to persons with disabilities. In particular, there is a lack of publicly accessible information regarding the number and nature of inspection visits, identified violations, and the corrective or enforcement measures taken.</w:t>
      </w:r>
    </w:p>
    <w:p w14:paraId="41E629A1" w14:textId="45D9D58B" w:rsidR="00952EA0" w:rsidRDefault="00952EA0" w:rsidP="00595148">
      <w:pPr>
        <w:pStyle w:val="NoSpacing"/>
        <w:spacing w:before="240"/>
        <w:jc w:val="both"/>
        <w:rPr>
          <w:rFonts w:ascii="Cambria" w:eastAsia="Times New Roman" w:hAnsi="Cambria"/>
          <w:sz w:val="24"/>
          <w:szCs w:val="24"/>
        </w:rPr>
      </w:pPr>
      <w:r w:rsidRPr="00952EA0">
        <w:rPr>
          <w:rFonts w:ascii="Cambria" w:eastAsia="Times New Roman" w:hAnsi="Cambria"/>
          <w:sz w:val="24"/>
          <w:szCs w:val="24"/>
        </w:rPr>
        <w:t>In addition, the Persons with Disabilities Unit of the National Human Rights Committee received a complaint from Ms. A.D., a woman with a physical disability and an advocate for the rights of persons with disabilities, concerning the limited participation of persons with disabilities in the development of policies and decisions affecting their rights. In her view, this reflects the need to further strengthen the principle of "Nothing About Us Without Us" by ensuring the meaningful participation of persons with disabilities and their representative organizations throughout the processes of policy formulation and service evaluation.</w:t>
      </w:r>
    </w:p>
    <w:p w14:paraId="4049EC01" w14:textId="3205F0C2" w:rsidR="000B67CB" w:rsidRPr="006108B7" w:rsidRDefault="000B67CB" w:rsidP="00595148">
      <w:pPr>
        <w:pStyle w:val="NoSpacing"/>
        <w:spacing w:before="240"/>
        <w:jc w:val="both"/>
        <w:rPr>
          <w:rFonts w:ascii="Cambria" w:eastAsia="Times New Roman" w:hAnsi="Cambria"/>
          <w:b/>
          <w:bCs/>
          <w:sz w:val="24"/>
          <w:szCs w:val="24"/>
        </w:rPr>
      </w:pPr>
      <w:r w:rsidRPr="006108B7">
        <w:rPr>
          <w:rFonts w:ascii="Cambria" w:eastAsia="Times New Roman" w:hAnsi="Cambria"/>
          <w:b/>
          <w:bCs/>
          <w:sz w:val="24"/>
          <w:szCs w:val="24"/>
        </w:rPr>
        <w:t>Illustrative Table: National Strategies Relevant to the Rights of Persons with Disabilities</w:t>
      </w:r>
    </w:p>
    <w:tbl>
      <w:tblPr>
        <w:tblW w:w="4866" w:type="pct"/>
        <w:tblCellMar>
          <w:left w:w="0" w:type="dxa"/>
          <w:right w:w="0" w:type="dxa"/>
        </w:tblCellMar>
        <w:tblLook w:val="04A0" w:firstRow="1" w:lastRow="0" w:firstColumn="1" w:lastColumn="0" w:noHBand="0" w:noVBand="1"/>
      </w:tblPr>
      <w:tblGrid>
        <w:gridCol w:w="2330"/>
        <w:gridCol w:w="1898"/>
        <w:gridCol w:w="1613"/>
        <w:gridCol w:w="2924"/>
      </w:tblGrid>
      <w:tr w:rsidR="007C1083" w:rsidRPr="00C269F6" w14:paraId="0CBE09A5" w14:textId="77777777" w:rsidTr="00C269F6">
        <w:trPr>
          <w:trHeight w:val="828"/>
        </w:trPr>
        <w:tc>
          <w:tcPr>
            <w:tcW w:w="1329"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168B8DF0" w14:textId="72000A9C" w:rsidR="007C1083" w:rsidRPr="00C269F6" w:rsidRDefault="006108B7" w:rsidP="00C269F6">
            <w:pPr>
              <w:bidi w:val="0"/>
              <w:spacing w:after="0" w:line="240" w:lineRule="auto"/>
              <w:rPr>
                <w:rFonts w:ascii="Cambria" w:hAnsi="Cambria"/>
                <w:b/>
                <w:bCs/>
                <w:sz w:val="24"/>
                <w:szCs w:val="24"/>
                <w:lang w:eastAsia="en-GB"/>
              </w:rPr>
            </w:pPr>
            <w:r w:rsidRPr="00C269F6">
              <w:rPr>
                <w:rFonts w:ascii="Cambria" w:hAnsi="Cambria"/>
                <w:b/>
                <w:bCs/>
                <w:sz w:val="24"/>
                <w:szCs w:val="24"/>
                <w:lang w:eastAsia="en-GB"/>
              </w:rPr>
              <w:t>Strategy / Framework</w:t>
            </w:r>
          </w:p>
        </w:tc>
        <w:tc>
          <w:tcPr>
            <w:tcW w:w="1083"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02D0F726" w14:textId="6E0B1538" w:rsidR="007C1083" w:rsidRPr="00C269F6" w:rsidRDefault="006108B7" w:rsidP="00C269F6">
            <w:pPr>
              <w:bidi w:val="0"/>
              <w:spacing w:after="0" w:line="240" w:lineRule="auto"/>
              <w:rPr>
                <w:rFonts w:ascii="Cambria" w:hAnsi="Cambria"/>
                <w:b/>
                <w:bCs/>
                <w:sz w:val="24"/>
                <w:szCs w:val="24"/>
                <w:lang w:eastAsia="en-GB"/>
              </w:rPr>
            </w:pPr>
            <w:r w:rsidRPr="00C269F6">
              <w:rPr>
                <w:rFonts w:ascii="Cambria" w:hAnsi="Cambria"/>
                <w:b/>
                <w:bCs/>
                <w:sz w:val="24"/>
                <w:szCs w:val="24"/>
                <w:lang w:eastAsia="en-GB"/>
              </w:rPr>
              <w:t xml:space="preserve">Period </w:t>
            </w:r>
          </w:p>
        </w:tc>
        <w:tc>
          <w:tcPr>
            <w:tcW w:w="920"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25A620CF" w14:textId="234FA08A" w:rsidR="007C1083" w:rsidRPr="00C269F6" w:rsidRDefault="006108B7" w:rsidP="00C269F6">
            <w:pPr>
              <w:bidi w:val="0"/>
              <w:spacing w:after="0" w:line="240" w:lineRule="auto"/>
              <w:rPr>
                <w:rFonts w:ascii="Cambria" w:hAnsi="Cambria"/>
                <w:b/>
                <w:bCs/>
                <w:sz w:val="24"/>
                <w:szCs w:val="24"/>
                <w:lang w:eastAsia="en-GB"/>
              </w:rPr>
            </w:pPr>
            <w:r w:rsidRPr="00C269F6">
              <w:rPr>
                <w:rFonts w:ascii="Cambria" w:hAnsi="Cambria"/>
                <w:b/>
                <w:bCs/>
                <w:sz w:val="24"/>
                <w:szCs w:val="24"/>
                <w:lang w:eastAsia="en-GB"/>
              </w:rPr>
              <w:t>Responsible Authority</w:t>
            </w:r>
          </w:p>
        </w:tc>
        <w:tc>
          <w:tcPr>
            <w:tcW w:w="1668"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71455AEC" w14:textId="4573BC30" w:rsidR="007C1083" w:rsidRPr="00C269F6" w:rsidRDefault="006108B7" w:rsidP="00C269F6">
            <w:pPr>
              <w:bidi w:val="0"/>
              <w:spacing w:after="0" w:line="240" w:lineRule="auto"/>
              <w:rPr>
                <w:rFonts w:ascii="Cambria" w:hAnsi="Cambria"/>
                <w:b/>
                <w:bCs/>
                <w:sz w:val="24"/>
                <w:szCs w:val="24"/>
                <w:lang w:eastAsia="en-GB"/>
              </w:rPr>
            </w:pPr>
            <w:r w:rsidRPr="00C269F6">
              <w:rPr>
                <w:rFonts w:ascii="Cambria" w:hAnsi="Cambria"/>
                <w:b/>
                <w:bCs/>
                <w:sz w:val="24"/>
                <w:szCs w:val="24"/>
                <w:lang w:eastAsia="en-GB"/>
              </w:rPr>
              <w:t>Key Disability-Related Priorities</w:t>
            </w:r>
          </w:p>
        </w:tc>
      </w:tr>
      <w:tr w:rsidR="007C1083" w:rsidRPr="00C269F6" w14:paraId="23C4AD34" w14:textId="77777777" w:rsidTr="00C269F6">
        <w:trPr>
          <w:trHeight w:val="828"/>
        </w:trPr>
        <w:tc>
          <w:tcPr>
            <w:tcW w:w="1329"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184C6CC" w14:textId="2C0C7E07" w:rsidR="007C1083" w:rsidRPr="00C269F6" w:rsidRDefault="00DE54E2" w:rsidP="00C269F6">
            <w:pPr>
              <w:bidi w:val="0"/>
              <w:spacing w:after="0" w:line="240" w:lineRule="auto"/>
              <w:rPr>
                <w:rFonts w:ascii="Cambria" w:hAnsi="Cambria"/>
                <w:sz w:val="24"/>
                <w:szCs w:val="24"/>
                <w:lang w:eastAsia="en-GB"/>
              </w:rPr>
            </w:pPr>
            <w:r w:rsidRPr="00C269F6">
              <w:rPr>
                <w:rFonts w:ascii="Cambria" w:hAnsi="Cambria"/>
                <w:b/>
                <w:bCs/>
                <w:sz w:val="24"/>
                <w:szCs w:val="24"/>
                <w:lang w:eastAsia="en-GB"/>
              </w:rPr>
              <w:t>National Strategy of the Ministry of Social Development and Family</w:t>
            </w:r>
          </w:p>
        </w:tc>
        <w:tc>
          <w:tcPr>
            <w:tcW w:w="1083" w:type="pct"/>
            <w:tcBorders>
              <w:top w:val="nil"/>
              <w:left w:val="nil"/>
              <w:bottom w:val="single" w:sz="8" w:space="0" w:color="auto"/>
              <w:right w:val="single" w:sz="8" w:space="0" w:color="auto"/>
            </w:tcBorders>
            <w:tcMar>
              <w:top w:w="0" w:type="dxa"/>
              <w:left w:w="108" w:type="dxa"/>
              <w:bottom w:w="0" w:type="dxa"/>
              <w:right w:w="108" w:type="dxa"/>
            </w:tcMar>
            <w:hideMark/>
          </w:tcPr>
          <w:p w14:paraId="0DCB615F" w14:textId="1276E698" w:rsidR="007C1083" w:rsidRPr="00C269F6" w:rsidRDefault="009E7379" w:rsidP="00C269F6">
            <w:pPr>
              <w:bidi w:val="0"/>
              <w:spacing w:after="0" w:line="240" w:lineRule="auto"/>
              <w:rPr>
                <w:rFonts w:ascii="Cambria" w:hAnsi="Cambria"/>
                <w:sz w:val="24"/>
                <w:szCs w:val="24"/>
                <w:lang w:eastAsia="en-GB"/>
              </w:rPr>
            </w:pPr>
            <w:r w:rsidRPr="00C269F6">
              <w:rPr>
                <w:rFonts w:ascii="Cambria" w:hAnsi="Cambria"/>
                <w:sz w:val="24"/>
                <w:szCs w:val="24"/>
                <w:lang w:eastAsia="en-GB"/>
              </w:rPr>
              <w:t>2025–2030</w:t>
            </w:r>
          </w:p>
        </w:tc>
        <w:tc>
          <w:tcPr>
            <w:tcW w:w="920" w:type="pct"/>
            <w:tcBorders>
              <w:top w:val="nil"/>
              <w:left w:val="nil"/>
              <w:bottom w:val="single" w:sz="8" w:space="0" w:color="auto"/>
              <w:right w:val="single" w:sz="8" w:space="0" w:color="auto"/>
            </w:tcBorders>
            <w:tcMar>
              <w:top w:w="0" w:type="dxa"/>
              <w:left w:w="108" w:type="dxa"/>
              <w:bottom w:w="0" w:type="dxa"/>
              <w:right w:w="108" w:type="dxa"/>
            </w:tcMar>
            <w:hideMark/>
          </w:tcPr>
          <w:p w14:paraId="4E63244C" w14:textId="1637BE6E" w:rsidR="007C1083" w:rsidRPr="00C269F6" w:rsidRDefault="00AD254E" w:rsidP="00C269F6">
            <w:pPr>
              <w:bidi w:val="0"/>
              <w:spacing w:after="0" w:line="240" w:lineRule="auto"/>
              <w:rPr>
                <w:rFonts w:ascii="Cambria" w:hAnsi="Cambria"/>
                <w:sz w:val="24"/>
                <w:szCs w:val="24"/>
                <w:lang w:eastAsia="en-GB"/>
              </w:rPr>
            </w:pPr>
            <w:r w:rsidRPr="00C269F6">
              <w:rPr>
                <w:rFonts w:ascii="Cambria" w:hAnsi="Cambria"/>
                <w:sz w:val="24"/>
                <w:szCs w:val="24"/>
                <w:lang w:eastAsia="en-GB"/>
              </w:rPr>
              <w:t>Ministry of Social Development and Family</w:t>
            </w:r>
          </w:p>
        </w:tc>
        <w:tc>
          <w:tcPr>
            <w:tcW w:w="1668" w:type="pct"/>
            <w:tcBorders>
              <w:top w:val="nil"/>
              <w:left w:val="nil"/>
              <w:bottom w:val="single" w:sz="8" w:space="0" w:color="auto"/>
              <w:right w:val="single" w:sz="8" w:space="0" w:color="auto"/>
            </w:tcBorders>
            <w:tcMar>
              <w:top w:w="0" w:type="dxa"/>
              <w:left w:w="108" w:type="dxa"/>
              <w:bottom w:w="0" w:type="dxa"/>
              <w:right w:w="108" w:type="dxa"/>
            </w:tcMar>
            <w:hideMark/>
          </w:tcPr>
          <w:p w14:paraId="4C744695" w14:textId="34A47B59" w:rsidR="007C1083" w:rsidRPr="00C269F6" w:rsidRDefault="00592CF2" w:rsidP="00C269F6">
            <w:pPr>
              <w:bidi w:val="0"/>
              <w:spacing w:after="0" w:line="240" w:lineRule="auto"/>
              <w:rPr>
                <w:rFonts w:ascii="Cambria" w:hAnsi="Cambria"/>
                <w:sz w:val="24"/>
                <w:szCs w:val="24"/>
                <w:lang w:eastAsia="en-GB"/>
              </w:rPr>
            </w:pPr>
            <w:r w:rsidRPr="00C269F6">
              <w:rPr>
                <w:rFonts w:ascii="Cambria" w:hAnsi="Cambria"/>
                <w:sz w:val="24"/>
                <w:szCs w:val="24"/>
                <w:lang w:eastAsia="en-GB"/>
              </w:rPr>
              <w:t>Empowerment; social inclusion; transition from a welfare-based to a rights-based approach; development of social services</w:t>
            </w:r>
          </w:p>
        </w:tc>
      </w:tr>
      <w:tr w:rsidR="007C1083" w:rsidRPr="00C269F6" w14:paraId="635A9614" w14:textId="77777777" w:rsidTr="00C269F6">
        <w:trPr>
          <w:trHeight w:val="828"/>
        </w:trPr>
        <w:tc>
          <w:tcPr>
            <w:tcW w:w="1329"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B356D05" w14:textId="6B48CD2E" w:rsidR="007C1083" w:rsidRPr="00C269F6" w:rsidRDefault="00DE54E2" w:rsidP="00C269F6">
            <w:pPr>
              <w:bidi w:val="0"/>
              <w:spacing w:after="0" w:line="240" w:lineRule="auto"/>
              <w:rPr>
                <w:rFonts w:ascii="Cambria" w:hAnsi="Cambria"/>
                <w:sz w:val="24"/>
                <w:szCs w:val="24"/>
                <w:lang w:eastAsia="en-GB"/>
              </w:rPr>
            </w:pPr>
            <w:r w:rsidRPr="00C269F6">
              <w:rPr>
                <w:rFonts w:ascii="Cambria" w:hAnsi="Cambria"/>
                <w:b/>
                <w:bCs/>
                <w:sz w:val="24"/>
                <w:szCs w:val="24"/>
                <w:lang w:eastAsia="en-GB"/>
              </w:rPr>
              <w:t>Third National Development Strategy (NDS3)</w:t>
            </w:r>
          </w:p>
        </w:tc>
        <w:tc>
          <w:tcPr>
            <w:tcW w:w="1083" w:type="pct"/>
            <w:tcBorders>
              <w:top w:val="nil"/>
              <w:left w:val="nil"/>
              <w:bottom w:val="single" w:sz="8" w:space="0" w:color="auto"/>
              <w:right w:val="single" w:sz="8" w:space="0" w:color="auto"/>
            </w:tcBorders>
            <w:tcMar>
              <w:top w:w="0" w:type="dxa"/>
              <w:left w:w="108" w:type="dxa"/>
              <w:bottom w:w="0" w:type="dxa"/>
              <w:right w:w="108" w:type="dxa"/>
            </w:tcMar>
            <w:hideMark/>
          </w:tcPr>
          <w:p w14:paraId="5BA43D72" w14:textId="570CA9A5" w:rsidR="007C1083" w:rsidRPr="00C269F6" w:rsidRDefault="009E7379" w:rsidP="00C269F6">
            <w:pPr>
              <w:bidi w:val="0"/>
              <w:spacing w:after="0" w:line="240" w:lineRule="auto"/>
              <w:rPr>
                <w:rFonts w:ascii="Cambria" w:hAnsi="Cambria"/>
                <w:sz w:val="24"/>
                <w:szCs w:val="24"/>
                <w:lang w:eastAsia="en-GB"/>
              </w:rPr>
            </w:pPr>
            <w:r w:rsidRPr="00C269F6">
              <w:rPr>
                <w:rFonts w:ascii="Cambria" w:hAnsi="Cambria"/>
                <w:sz w:val="24"/>
                <w:szCs w:val="24"/>
                <w:lang w:eastAsia="en-GB"/>
              </w:rPr>
              <w:t>2024–2030</w:t>
            </w:r>
          </w:p>
        </w:tc>
        <w:tc>
          <w:tcPr>
            <w:tcW w:w="920" w:type="pct"/>
            <w:tcBorders>
              <w:top w:val="nil"/>
              <w:left w:val="nil"/>
              <w:bottom w:val="single" w:sz="8" w:space="0" w:color="auto"/>
              <w:right w:val="single" w:sz="8" w:space="0" w:color="auto"/>
            </w:tcBorders>
            <w:tcMar>
              <w:top w:w="0" w:type="dxa"/>
              <w:left w:w="108" w:type="dxa"/>
              <w:bottom w:w="0" w:type="dxa"/>
              <w:right w:w="108" w:type="dxa"/>
            </w:tcMar>
            <w:hideMark/>
          </w:tcPr>
          <w:p w14:paraId="46D61614" w14:textId="7E701F75" w:rsidR="007C1083" w:rsidRPr="00C269F6" w:rsidRDefault="00AD254E" w:rsidP="00C269F6">
            <w:pPr>
              <w:bidi w:val="0"/>
              <w:spacing w:after="0" w:line="240" w:lineRule="auto"/>
              <w:rPr>
                <w:rFonts w:ascii="Cambria" w:hAnsi="Cambria"/>
                <w:sz w:val="24"/>
                <w:szCs w:val="24"/>
                <w:lang w:eastAsia="en-GB"/>
              </w:rPr>
            </w:pPr>
            <w:r w:rsidRPr="00C269F6">
              <w:rPr>
                <w:rFonts w:ascii="Cambria" w:hAnsi="Cambria"/>
                <w:sz w:val="24"/>
                <w:szCs w:val="24"/>
                <w:lang w:eastAsia="en-GB"/>
              </w:rPr>
              <w:t>State of Qatar (Council of Ministers)</w:t>
            </w:r>
          </w:p>
        </w:tc>
        <w:tc>
          <w:tcPr>
            <w:tcW w:w="1668" w:type="pct"/>
            <w:tcBorders>
              <w:top w:val="nil"/>
              <w:left w:val="nil"/>
              <w:bottom w:val="single" w:sz="8" w:space="0" w:color="auto"/>
              <w:right w:val="single" w:sz="8" w:space="0" w:color="auto"/>
            </w:tcBorders>
            <w:tcMar>
              <w:top w:w="0" w:type="dxa"/>
              <w:left w:w="108" w:type="dxa"/>
              <w:bottom w:w="0" w:type="dxa"/>
              <w:right w:w="108" w:type="dxa"/>
            </w:tcMar>
            <w:hideMark/>
          </w:tcPr>
          <w:p w14:paraId="1E19EB0A" w14:textId="67087261" w:rsidR="007C1083" w:rsidRPr="00C269F6" w:rsidRDefault="00592CF2" w:rsidP="00C269F6">
            <w:pPr>
              <w:bidi w:val="0"/>
              <w:spacing w:after="0" w:line="240" w:lineRule="auto"/>
              <w:rPr>
                <w:rFonts w:ascii="Cambria" w:hAnsi="Cambria"/>
                <w:sz w:val="24"/>
                <w:szCs w:val="24"/>
                <w:lang w:eastAsia="en-GB"/>
              </w:rPr>
            </w:pPr>
            <w:r w:rsidRPr="00C269F6">
              <w:rPr>
                <w:rFonts w:ascii="Cambria" w:hAnsi="Cambria"/>
                <w:sz w:val="24"/>
                <w:szCs w:val="24"/>
                <w:lang w:eastAsia="en-GB"/>
              </w:rPr>
              <w:t xml:space="preserve">Inclusion in education and employment; equal opportunities; enhancement of </w:t>
            </w:r>
            <w:r w:rsidRPr="00C269F6">
              <w:rPr>
                <w:rFonts w:ascii="Cambria" w:hAnsi="Cambria"/>
                <w:sz w:val="24"/>
                <w:szCs w:val="24"/>
                <w:lang w:eastAsia="en-GB"/>
              </w:rPr>
              <w:lastRenderedPageBreak/>
              <w:t>healthcare services; universal accessibility</w:t>
            </w:r>
          </w:p>
        </w:tc>
      </w:tr>
      <w:tr w:rsidR="007C1083" w:rsidRPr="00C269F6" w14:paraId="43B5A2F8" w14:textId="77777777" w:rsidTr="00C269F6">
        <w:trPr>
          <w:trHeight w:val="828"/>
        </w:trPr>
        <w:tc>
          <w:tcPr>
            <w:tcW w:w="1329"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53C66FE" w14:textId="274D877A" w:rsidR="007C1083" w:rsidRPr="00C269F6" w:rsidRDefault="00DE54E2" w:rsidP="00C269F6">
            <w:pPr>
              <w:bidi w:val="0"/>
              <w:spacing w:after="0" w:line="240" w:lineRule="auto"/>
              <w:rPr>
                <w:rFonts w:ascii="Cambria" w:hAnsi="Cambria"/>
                <w:sz w:val="24"/>
                <w:szCs w:val="24"/>
                <w:lang w:eastAsia="en-GB"/>
              </w:rPr>
            </w:pPr>
            <w:r w:rsidRPr="00C269F6">
              <w:rPr>
                <w:rFonts w:ascii="Cambria" w:hAnsi="Cambria"/>
                <w:b/>
                <w:bCs/>
                <w:sz w:val="24"/>
                <w:szCs w:val="24"/>
                <w:lang w:eastAsia="en-GB"/>
              </w:rPr>
              <w:lastRenderedPageBreak/>
              <w:t>Ministry of Education and Higher Education Strategy (Inclusive Education)</w:t>
            </w:r>
          </w:p>
        </w:tc>
        <w:tc>
          <w:tcPr>
            <w:tcW w:w="1083" w:type="pct"/>
            <w:tcBorders>
              <w:top w:val="nil"/>
              <w:left w:val="nil"/>
              <w:bottom w:val="single" w:sz="8" w:space="0" w:color="auto"/>
              <w:right w:val="single" w:sz="8" w:space="0" w:color="auto"/>
            </w:tcBorders>
            <w:tcMar>
              <w:top w:w="0" w:type="dxa"/>
              <w:left w:w="108" w:type="dxa"/>
              <w:bottom w:w="0" w:type="dxa"/>
              <w:right w:w="108" w:type="dxa"/>
            </w:tcMar>
            <w:hideMark/>
          </w:tcPr>
          <w:p w14:paraId="1947DD11" w14:textId="4F1D0AD4" w:rsidR="007C1083" w:rsidRPr="00C269F6" w:rsidRDefault="009E7379" w:rsidP="00C269F6">
            <w:pPr>
              <w:bidi w:val="0"/>
              <w:spacing w:after="0" w:line="240" w:lineRule="auto"/>
              <w:rPr>
                <w:rFonts w:ascii="Cambria" w:hAnsi="Cambria"/>
                <w:sz w:val="24"/>
                <w:szCs w:val="24"/>
                <w:lang w:eastAsia="en-GB"/>
              </w:rPr>
            </w:pPr>
            <w:r w:rsidRPr="00C269F6">
              <w:rPr>
                <w:rFonts w:ascii="Cambria" w:hAnsi="Cambria"/>
                <w:sz w:val="24"/>
                <w:szCs w:val="24"/>
                <w:lang w:eastAsia="en-GB"/>
              </w:rPr>
              <w:t>2023–2030 (within the framework of Qatar National Vision 2030)</w:t>
            </w:r>
          </w:p>
        </w:tc>
        <w:tc>
          <w:tcPr>
            <w:tcW w:w="920" w:type="pct"/>
            <w:tcBorders>
              <w:top w:val="nil"/>
              <w:left w:val="nil"/>
              <w:bottom w:val="single" w:sz="8" w:space="0" w:color="auto"/>
              <w:right w:val="single" w:sz="8" w:space="0" w:color="auto"/>
            </w:tcBorders>
            <w:tcMar>
              <w:top w:w="0" w:type="dxa"/>
              <w:left w:w="108" w:type="dxa"/>
              <w:bottom w:w="0" w:type="dxa"/>
              <w:right w:w="108" w:type="dxa"/>
            </w:tcMar>
            <w:hideMark/>
          </w:tcPr>
          <w:p w14:paraId="74F890E4" w14:textId="70EABA46" w:rsidR="007C1083" w:rsidRPr="00C269F6" w:rsidRDefault="00AD254E" w:rsidP="00C269F6">
            <w:pPr>
              <w:bidi w:val="0"/>
              <w:spacing w:after="0" w:line="240" w:lineRule="auto"/>
              <w:rPr>
                <w:rFonts w:ascii="Cambria" w:hAnsi="Cambria"/>
                <w:sz w:val="24"/>
                <w:szCs w:val="24"/>
                <w:lang w:eastAsia="en-GB"/>
              </w:rPr>
            </w:pPr>
            <w:r w:rsidRPr="00C269F6">
              <w:rPr>
                <w:rFonts w:ascii="Cambria" w:hAnsi="Cambria"/>
                <w:sz w:val="24"/>
                <w:szCs w:val="24"/>
                <w:lang w:eastAsia="en-GB"/>
              </w:rPr>
              <w:t>Ministry of Education and Higher Education</w:t>
            </w:r>
          </w:p>
        </w:tc>
        <w:tc>
          <w:tcPr>
            <w:tcW w:w="1668" w:type="pct"/>
            <w:tcBorders>
              <w:top w:val="nil"/>
              <w:left w:val="nil"/>
              <w:bottom w:val="single" w:sz="8" w:space="0" w:color="auto"/>
              <w:right w:val="single" w:sz="8" w:space="0" w:color="auto"/>
            </w:tcBorders>
            <w:tcMar>
              <w:top w:w="0" w:type="dxa"/>
              <w:left w:w="108" w:type="dxa"/>
              <w:bottom w:w="0" w:type="dxa"/>
              <w:right w:w="108" w:type="dxa"/>
            </w:tcMar>
            <w:hideMark/>
          </w:tcPr>
          <w:p w14:paraId="7EDB721C" w14:textId="5B846C84" w:rsidR="007C1083" w:rsidRPr="00C269F6" w:rsidRDefault="00592CF2" w:rsidP="00C269F6">
            <w:pPr>
              <w:bidi w:val="0"/>
              <w:spacing w:after="0" w:line="240" w:lineRule="auto"/>
              <w:rPr>
                <w:rFonts w:ascii="Cambria" w:hAnsi="Cambria"/>
                <w:sz w:val="24"/>
                <w:szCs w:val="24"/>
                <w:lang w:eastAsia="en-GB"/>
              </w:rPr>
            </w:pPr>
            <w:r w:rsidRPr="00C269F6">
              <w:rPr>
                <w:rFonts w:ascii="Cambria" w:hAnsi="Cambria"/>
                <w:sz w:val="24"/>
                <w:szCs w:val="24"/>
                <w:lang w:eastAsia="en-GB"/>
              </w:rPr>
              <w:t>Inclusive education; support for students with disabilities; support services; educational technologies</w:t>
            </w:r>
          </w:p>
        </w:tc>
      </w:tr>
      <w:tr w:rsidR="007C1083" w:rsidRPr="00C269F6" w14:paraId="7E5C1103" w14:textId="77777777" w:rsidTr="00C269F6">
        <w:trPr>
          <w:trHeight w:val="828"/>
        </w:trPr>
        <w:tc>
          <w:tcPr>
            <w:tcW w:w="1329"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A39D53E" w14:textId="07449D83" w:rsidR="007C1083" w:rsidRPr="00C269F6" w:rsidRDefault="00DE54E2" w:rsidP="00C269F6">
            <w:pPr>
              <w:bidi w:val="0"/>
              <w:spacing w:after="0" w:line="240" w:lineRule="auto"/>
              <w:rPr>
                <w:rFonts w:ascii="Cambria" w:hAnsi="Cambria"/>
                <w:sz w:val="24"/>
                <w:szCs w:val="24"/>
                <w:lang w:eastAsia="en-GB"/>
              </w:rPr>
            </w:pPr>
            <w:r w:rsidRPr="00C269F6">
              <w:rPr>
                <w:rFonts w:ascii="Cambria" w:hAnsi="Cambria"/>
                <w:b/>
                <w:bCs/>
                <w:sz w:val="24"/>
                <w:szCs w:val="24"/>
                <w:lang w:eastAsia="en-GB"/>
              </w:rPr>
              <w:t>National Health Strategy for Persons with Disabilities</w:t>
            </w:r>
          </w:p>
        </w:tc>
        <w:tc>
          <w:tcPr>
            <w:tcW w:w="1083" w:type="pct"/>
            <w:tcBorders>
              <w:top w:val="nil"/>
              <w:left w:val="nil"/>
              <w:bottom w:val="single" w:sz="8" w:space="0" w:color="auto"/>
              <w:right w:val="single" w:sz="8" w:space="0" w:color="auto"/>
            </w:tcBorders>
            <w:tcMar>
              <w:top w:w="0" w:type="dxa"/>
              <w:left w:w="108" w:type="dxa"/>
              <w:bottom w:w="0" w:type="dxa"/>
              <w:right w:w="108" w:type="dxa"/>
            </w:tcMar>
            <w:hideMark/>
          </w:tcPr>
          <w:p w14:paraId="07B67A80" w14:textId="4048A5C2" w:rsidR="007C1083" w:rsidRPr="00C269F6" w:rsidRDefault="009E7379" w:rsidP="00C269F6">
            <w:pPr>
              <w:bidi w:val="0"/>
              <w:spacing w:after="0" w:line="240" w:lineRule="auto"/>
              <w:rPr>
                <w:rFonts w:ascii="Cambria" w:hAnsi="Cambria"/>
                <w:sz w:val="24"/>
                <w:szCs w:val="24"/>
                <w:lang w:eastAsia="en-GB"/>
              </w:rPr>
            </w:pPr>
            <w:r w:rsidRPr="00C269F6">
              <w:rPr>
                <w:rFonts w:ascii="Cambria" w:hAnsi="Cambria"/>
                <w:sz w:val="24"/>
                <w:szCs w:val="24"/>
                <w:lang w:eastAsia="en-GB"/>
              </w:rPr>
              <w:t>Ongoing within the framework of Qatar National Vision 2030</w:t>
            </w:r>
          </w:p>
        </w:tc>
        <w:tc>
          <w:tcPr>
            <w:tcW w:w="920" w:type="pct"/>
            <w:tcBorders>
              <w:top w:val="nil"/>
              <w:left w:val="nil"/>
              <w:bottom w:val="single" w:sz="8" w:space="0" w:color="auto"/>
              <w:right w:val="single" w:sz="8" w:space="0" w:color="auto"/>
            </w:tcBorders>
            <w:tcMar>
              <w:top w:w="0" w:type="dxa"/>
              <w:left w:w="108" w:type="dxa"/>
              <w:bottom w:w="0" w:type="dxa"/>
              <w:right w:w="108" w:type="dxa"/>
            </w:tcMar>
            <w:hideMark/>
          </w:tcPr>
          <w:p w14:paraId="7E864535" w14:textId="46FF5277" w:rsidR="007C1083" w:rsidRPr="00C269F6" w:rsidRDefault="00AD254E" w:rsidP="00C269F6">
            <w:pPr>
              <w:bidi w:val="0"/>
              <w:spacing w:after="0" w:line="240" w:lineRule="auto"/>
              <w:rPr>
                <w:rFonts w:ascii="Cambria" w:hAnsi="Cambria"/>
                <w:sz w:val="24"/>
                <w:szCs w:val="24"/>
                <w:lang w:eastAsia="en-GB"/>
              </w:rPr>
            </w:pPr>
            <w:r w:rsidRPr="00C269F6">
              <w:rPr>
                <w:rFonts w:ascii="Cambria" w:hAnsi="Cambria"/>
                <w:sz w:val="24"/>
                <w:szCs w:val="24"/>
                <w:lang w:eastAsia="en-GB"/>
              </w:rPr>
              <w:t>Ministry of Public Health</w:t>
            </w:r>
          </w:p>
        </w:tc>
        <w:tc>
          <w:tcPr>
            <w:tcW w:w="1668" w:type="pct"/>
            <w:tcBorders>
              <w:top w:val="nil"/>
              <w:left w:val="nil"/>
              <w:bottom w:val="single" w:sz="8" w:space="0" w:color="auto"/>
              <w:right w:val="single" w:sz="8" w:space="0" w:color="auto"/>
            </w:tcBorders>
            <w:tcMar>
              <w:top w:w="0" w:type="dxa"/>
              <w:left w:w="108" w:type="dxa"/>
              <w:bottom w:w="0" w:type="dxa"/>
              <w:right w:w="108" w:type="dxa"/>
            </w:tcMar>
            <w:hideMark/>
          </w:tcPr>
          <w:p w14:paraId="0019F1C0" w14:textId="32BF5F6F" w:rsidR="007C1083" w:rsidRPr="00C269F6" w:rsidRDefault="00592CF2" w:rsidP="00C269F6">
            <w:pPr>
              <w:bidi w:val="0"/>
              <w:spacing w:after="0" w:line="240" w:lineRule="auto"/>
              <w:rPr>
                <w:rFonts w:ascii="Cambria" w:hAnsi="Cambria"/>
                <w:sz w:val="24"/>
                <w:szCs w:val="24"/>
                <w:lang w:eastAsia="en-GB"/>
              </w:rPr>
            </w:pPr>
            <w:r w:rsidRPr="00C269F6">
              <w:rPr>
                <w:rFonts w:ascii="Cambria" w:hAnsi="Cambria"/>
                <w:sz w:val="24"/>
                <w:szCs w:val="24"/>
                <w:lang w:eastAsia="en-GB"/>
              </w:rPr>
              <w:t>Early diagnosis; rehabilitation; early intervention; improving quality of life</w:t>
            </w:r>
          </w:p>
        </w:tc>
      </w:tr>
      <w:tr w:rsidR="007C1083" w:rsidRPr="00C269F6" w14:paraId="7AEB9888" w14:textId="77777777" w:rsidTr="00C269F6">
        <w:trPr>
          <w:trHeight w:val="828"/>
        </w:trPr>
        <w:tc>
          <w:tcPr>
            <w:tcW w:w="1329"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D059E1F" w14:textId="4979BDC0" w:rsidR="007C1083" w:rsidRPr="00C269F6" w:rsidRDefault="00AD254E" w:rsidP="00C269F6">
            <w:pPr>
              <w:bidi w:val="0"/>
              <w:spacing w:after="0" w:line="240" w:lineRule="auto"/>
              <w:rPr>
                <w:rFonts w:ascii="Cambria" w:hAnsi="Cambria"/>
                <w:sz w:val="24"/>
                <w:szCs w:val="24"/>
                <w:lang w:eastAsia="en-GB"/>
              </w:rPr>
            </w:pPr>
            <w:r w:rsidRPr="00C269F6">
              <w:rPr>
                <w:rFonts w:ascii="Cambria" w:hAnsi="Cambria"/>
                <w:b/>
                <w:bCs/>
                <w:sz w:val="24"/>
                <w:szCs w:val="24"/>
                <w:lang w:eastAsia="en-GB"/>
              </w:rPr>
              <w:t>Labor</w:t>
            </w:r>
            <w:r w:rsidR="00DE54E2" w:rsidRPr="00C269F6">
              <w:rPr>
                <w:rFonts w:ascii="Cambria" w:hAnsi="Cambria"/>
                <w:b/>
                <w:bCs/>
                <w:sz w:val="24"/>
                <w:szCs w:val="24"/>
                <w:lang w:eastAsia="en-GB"/>
              </w:rPr>
              <w:t xml:space="preserve"> Market and Employment Inclusion Strategy</w:t>
            </w:r>
          </w:p>
        </w:tc>
        <w:tc>
          <w:tcPr>
            <w:tcW w:w="1083" w:type="pct"/>
            <w:tcBorders>
              <w:top w:val="nil"/>
              <w:left w:val="nil"/>
              <w:bottom w:val="single" w:sz="8" w:space="0" w:color="auto"/>
              <w:right w:val="single" w:sz="8" w:space="0" w:color="auto"/>
            </w:tcBorders>
            <w:tcMar>
              <w:top w:w="0" w:type="dxa"/>
              <w:left w:w="108" w:type="dxa"/>
              <w:bottom w:w="0" w:type="dxa"/>
              <w:right w:w="108" w:type="dxa"/>
            </w:tcMar>
            <w:hideMark/>
          </w:tcPr>
          <w:p w14:paraId="4B8FE074" w14:textId="04BD4EAA" w:rsidR="007C1083" w:rsidRPr="00C269F6" w:rsidRDefault="009E7379" w:rsidP="00C269F6">
            <w:pPr>
              <w:bidi w:val="0"/>
              <w:spacing w:after="0" w:line="240" w:lineRule="auto"/>
              <w:rPr>
                <w:rFonts w:ascii="Cambria" w:hAnsi="Cambria"/>
                <w:sz w:val="24"/>
                <w:szCs w:val="24"/>
                <w:lang w:eastAsia="en-GB"/>
              </w:rPr>
            </w:pPr>
            <w:r w:rsidRPr="00C269F6">
              <w:rPr>
                <w:rFonts w:ascii="Cambria" w:hAnsi="Cambria"/>
                <w:sz w:val="24"/>
                <w:szCs w:val="24"/>
                <w:lang w:eastAsia="en-GB"/>
              </w:rPr>
              <w:t>Ongoing within the framework of Qatar National Vision 2030</w:t>
            </w:r>
          </w:p>
        </w:tc>
        <w:tc>
          <w:tcPr>
            <w:tcW w:w="920" w:type="pct"/>
            <w:tcBorders>
              <w:top w:val="nil"/>
              <w:left w:val="nil"/>
              <w:bottom w:val="single" w:sz="8" w:space="0" w:color="auto"/>
              <w:right w:val="single" w:sz="8" w:space="0" w:color="auto"/>
            </w:tcBorders>
            <w:tcMar>
              <w:top w:w="0" w:type="dxa"/>
              <w:left w:w="108" w:type="dxa"/>
              <w:bottom w:w="0" w:type="dxa"/>
              <w:right w:w="108" w:type="dxa"/>
            </w:tcMar>
            <w:hideMark/>
          </w:tcPr>
          <w:p w14:paraId="69A2B022" w14:textId="116FE70E" w:rsidR="007C1083" w:rsidRPr="00C269F6" w:rsidRDefault="00AD254E" w:rsidP="00C269F6">
            <w:pPr>
              <w:bidi w:val="0"/>
              <w:spacing w:after="0" w:line="240" w:lineRule="auto"/>
              <w:rPr>
                <w:rFonts w:ascii="Cambria" w:hAnsi="Cambria"/>
                <w:sz w:val="24"/>
                <w:szCs w:val="24"/>
                <w:lang w:eastAsia="en-GB"/>
              </w:rPr>
            </w:pPr>
            <w:r w:rsidRPr="00C269F6">
              <w:rPr>
                <w:rFonts w:ascii="Cambria" w:hAnsi="Cambria"/>
                <w:sz w:val="24"/>
                <w:szCs w:val="24"/>
                <w:lang w:eastAsia="en-GB"/>
              </w:rPr>
              <w:t>Ministry of Labor</w:t>
            </w:r>
          </w:p>
        </w:tc>
        <w:tc>
          <w:tcPr>
            <w:tcW w:w="1668" w:type="pct"/>
            <w:tcBorders>
              <w:top w:val="nil"/>
              <w:left w:val="nil"/>
              <w:bottom w:val="single" w:sz="8" w:space="0" w:color="auto"/>
              <w:right w:val="single" w:sz="8" w:space="0" w:color="auto"/>
            </w:tcBorders>
            <w:tcMar>
              <w:top w:w="0" w:type="dxa"/>
              <w:left w:w="108" w:type="dxa"/>
              <w:bottom w:w="0" w:type="dxa"/>
              <w:right w:w="108" w:type="dxa"/>
            </w:tcMar>
            <w:hideMark/>
          </w:tcPr>
          <w:p w14:paraId="214BFB12" w14:textId="572860A4" w:rsidR="007C1083" w:rsidRPr="00C269F6" w:rsidRDefault="00C269F6" w:rsidP="00C269F6">
            <w:pPr>
              <w:bidi w:val="0"/>
              <w:spacing w:after="0" w:line="240" w:lineRule="auto"/>
              <w:rPr>
                <w:rFonts w:ascii="Cambria" w:hAnsi="Cambria"/>
                <w:sz w:val="24"/>
                <w:szCs w:val="24"/>
                <w:lang w:eastAsia="en-GB"/>
              </w:rPr>
            </w:pPr>
            <w:r w:rsidRPr="00C269F6">
              <w:rPr>
                <w:rFonts w:ascii="Cambria" w:hAnsi="Cambria"/>
                <w:sz w:val="24"/>
                <w:szCs w:val="24"/>
                <w:lang w:eastAsia="en-GB"/>
              </w:rPr>
              <w:t>Employment; equal opportunities; workplace arrangements; vocational training</w:t>
            </w:r>
          </w:p>
        </w:tc>
      </w:tr>
      <w:tr w:rsidR="007C1083" w:rsidRPr="00C269F6" w14:paraId="45AE7283" w14:textId="77777777" w:rsidTr="00C269F6">
        <w:trPr>
          <w:trHeight w:val="828"/>
        </w:trPr>
        <w:tc>
          <w:tcPr>
            <w:tcW w:w="1329"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B47A60C" w14:textId="66462F1E" w:rsidR="007C1083" w:rsidRPr="00C269F6" w:rsidRDefault="00DE54E2" w:rsidP="00C269F6">
            <w:pPr>
              <w:bidi w:val="0"/>
              <w:spacing w:after="0" w:line="240" w:lineRule="auto"/>
              <w:rPr>
                <w:rFonts w:ascii="Cambria" w:hAnsi="Cambria"/>
                <w:sz w:val="24"/>
                <w:szCs w:val="24"/>
                <w:lang w:eastAsia="en-GB"/>
              </w:rPr>
            </w:pPr>
            <w:r w:rsidRPr="00C269F6">
              <w:rPr>
                <w:rFonts w:ascii="Cambria" w:hAnsi="Cambria"/>
                <w:b/>
                <w:bCs/>
                <w:sz w:val="24"/>
                <w:szCs w:val="24"/>
                <w:lang w:eastAsia="en-GB"/>
              </w:rPr>
              <w:t>Qatar National Vision 2030 (Overarching National Framework)</w:t>
            </w:r>
          </w:p>
        </w:tc>
        <w:tc>
          <w:tcPr>
            <w:tcW w:w="1083" w:type="pct"/>
            <w:tcBorders>
              <w:top w:val="nil"/>
              <w:left w:val="nil"/>
              <w:bottom w:val="single" w:sz="8" w:space="0" w:color="auto"/>
              <w:right w:val="single" w:sz="8" w:space="0" w:color="auto"/>
            </w:tcBorders>
            <w:tcMar>
              <w:top w:w="0" w:type="dxa"/>
              <w:left w:w="108" w:type="dxa"/>
              <w:bottom w:w="0" w:type="dxa"/>
              <w:right w:w="108" w:type="dxa"/>
            </w:tcMar>
            <w:hideMark/>
          </w:tcPr>
          <w:p w14:paraId="46B9F1F3" w14:textId="175621D5" w:rsidR="007C1083" w:rsidRPr="00C269F6" w:rsidRDefault="009E7379" w:rsidP="00C269F6">
            <w:pPr>
              <w:bidi w:val="0"/>
              <w:spacing w:after="0" w:line="240" w:lineRule="auto"/>
              <w:rPr>
                <w:rFonts w:ascii="Cambria" w:hAnsi="Cambria"/>
                <w:sz w:val="24"/>
                <w:szCs w:val="24"/>
                <w:lang w:eastAsia="en-GB"/>
              </w:rPr>
            </w:pPr>
            <w:r w:rsidRPr="00C269F6">
              <w:rPr>
                <w:rFonts w:ascii="Cambria" w:hAnsi="Cambria"/>
                <w:sz w:val="24"/>
                <w:szCs w:val="24"/>
                <w:lang w:eastAsia="en-GB"/>
              </w:rPr>
              <w:t>2008–2030</w:t>
            </w:r>
          </w:p>
        </w:tc>
        <w:tc>
          <w:tcPr>
            <w:tcW w:w="920" w:type="pct"/>
            <w:tcBorders>
              <w:top w:val="nil"/>
              <w:left w:val="nil"/>
              <w:bottom w:val="single" w:sz="8" w:space="0" w:color="auto"/>
              <w:right w:val="single" w:sz="8" w:space="0" w:color="auto"/>
            </w:tcBorders>
            <w:tcMar>
              <w:top w:w="0" w:type="dxa"/>
              <w:left w:w="108" w:type="dxa"/>
              <w:bottom w:w="0" w:type="dxa"/>
              <w:right w:w="108" w:type="dxa"/>
            </w:tcMar>
            <w:hideMark/>
          </w:tcPr>
          <w:p w14:paraId="6683DE14" w14:textId="2D209268" w:rsidR="007C1083" w:rsidRPr="00C269F6" w:rsidRDefault="00AD254E" w:rsidP="00C269F6">
            <w:pPr>
              <w:bidi w:val="0"/>
              <w:spacing w:after="0" w:line="240" w:lineRule="auto"/>
              <w:rPr>
                <w:rFonts w:ascii="Cambria" w:hAnsi="Cambria"/>
                <w:sz w:val="24"/>
                <w:szCs w:val="24"/>
                <w:lang w:eastAsia="en-GB"/>
              </w:rPr>
            </w:pPr>
            <w:r w:rsidRPr="00C269F6">
              <w:rPr>
                <w:rFonts w:ascii="Cambria" w:hAnsi="Cambria"/>
                <w:sz w:val="24"/>
                <w:szCs w:val="24"/>
                <w:lang w:eastAsia="en-GB"/>
              </w:rPr>
              <w:t>State of Qatar</w:t>
            </w:r>
          </w:p>
        </w:tc>
        <w:tc>
          <w:tcPr>
            <w:tcW w:w="1668" w:type="pct"/>
            <w:tcBorders>
              <w:top w:val="nil"/>
              <w:left w:val="nil"/>
              <w:bottom w:val="single" w:sz="8" w:space="0" w:color="auto"/>
              <w:right w:val="single" w:sz="8" w:space="0" w:color="auto"/>
            </w:tcBorders>
            <w:tcMar>
              <w:top w:w="0" w:type="dxa"/>
              <w:left w:w="108" w:type="dxa"/>
              <w:bottom w:w="0" w:type="dxa"/>
              <w:right w:w="108" w:type="dxa"/>
            </w:tcMar>
            <w:hideMark/>
          </w:tcPr>
          <w:p w14:paraId="6BEB8732" w14:textId="58711B6A" w:rsidR="007C1083" w:rsidRPr="00C269F6" w:rsidRDefault="00C269F6" w:rsidP="00C269F6">
            <w:pPr>
              <w:bidi w:val="0"/>
              <w:spacing w:after="0" w:line="240" w:lineRule="auto"/>
              <w:rPr>
                <w:rFonts w:ascii="Cambria" w:hAnsi="Cambria"/>
                <w:sz w:val="24"/>
                <w:szCs w:val="24"/>
                <w:lang w:eastAsia="en-GB"/>
              </w:rPr>
            </w:pPr>
            <w:r w:rsidRPr="00C269F6">
              <w:rPr>
                <w:rFonts w:ascii="Cambria" w:hAnsi="Cambria"/>
                <w:sz w:val="24"/>
                <w:szCs w:val="24"/>
                <w:lang w:eastAsia="en-GB"/>
              </w:rPr>
              <w:t>Human development; social justice; inclusion; building an inclusive society</w:t>
            </w:r>
          </w:p>
        </w:tc>
      </w:tr>
    </w:tbl>
    <w:p w14:paraId="5FD5ECE7" w14:textId="77777777" w:rsidR="00733FAF" w:rsidRPr="00D5443C" w:rsidRDefault="00D5443C" w:rsidP="00733FAF">
      <w:pPr>
        <w:pStyle w:val="NoSpacing"/>
        <w:spacing w:before="240"/>
        <w:jc w:val="both"/>
        <w:rPr>
          <w:rFonts w:ascii="Cambria" w:eastAsia="Times New Roman" w:hAnsi="Cambria"/>
          <w:sz w:val="24"/>
          <w:szCs w:val="24"/>
        </w:rPr>
      </w:pPr>
      <w:r w:rsidRPr="00D5443C">
        <w:rPr>
          <w:rFonts w:ascii="Cambria" w:eastAsia="Times New Roman" w:hAnsi="Cambria"/>
          <w:sz w:val="24"/>
          <w:szCs w:val="24"/>
        </w:rPr>
        <w:t xml:space="preserve">According to the most recent official data available from the Qatar Population Census </w:t>
      </w:r>
      <w:r w:rsidR="00B94B17" w:rsidRPr="00A56325">
        <w:rPr>
          <w:rStyle w:val="FootnoteReference"/>
          <w:rFonts w:asciiTheme="minorBidi" w:hAnsiTheme="minorBidi"/>
          <w:sz w:val="28"/>
          <w:szCs w:val="28"/>
          <w:rtl/>
        </w:rPr>
        <w:footnoteReference w:id="1"/>
      </w:r>
      <w:r w:rsidR="00733FAF" w:rsidRPr="00D5443C">
        <w:rPr>
          <w:rFonts w:ascii="Cambria" w:eastAsia="Times New Roman" w:hAnsi="Cambria"/>
          <w:sz w:val="24"/>
          <w:szCs w:val="24"/>
        </w:rPr>
        <w:t>2020, the total number of persons with disabilities in the State of Qatar stands at 18,360, including 7,562 Qatari nationals and 10,798 non-Qataris</w:t>
      </w:r>
      <w:r w:rsidR="00733FAF" w:rsidRPr="00D5443C">
        <w:rPr>
          <w:rFonts w:ascii="Cambria" w:eastAsia="Times New Roman" w:hAnsi="Cambria"/>
          <w:sz w:val="24"/>
          <w:szCs w:val="24"/>
          <w:rtl/>
        </w:rPr>
        <w:t>.</w:t>
      </w:r>
    </w:p>
    <w:p w14:paraId="2CEE4930" w14:textId="77777777" w:rsidR="00733FAF" w:rsidRDefault="00733FAF" w:rsidP="00733FAF">
      <w:pPr>
        <w:pStyle w:val="NoSpacing"/>
        <w:spacing w:before="240"/>
        <w:jc w:val="both"/>
        <w:rPr>
          <w:rFonts w:ascii="Cambria" w:eastAsia="Times New Roman" w:hAnsi="Cambria"/>
          <w:sz w:val="24"/>
          <w:szCs w:val="24"/>
        </w:rPr>
      </w:pPr>
      <w:r w:rsidRPr="00D5443C">
        <w:rPr>
          <w:rFonts w:ascii="Cambria" w:eastAsia="Times New Roman" w:hAnsi="Cambria"/>
          <w:sz w:val="24"/>
          <w:szCs w:val="24"/>
        </w:rPr>
        <w:t>The official statistics provide detailed classifications of persons with disabilities according to sex, age, nationality, municipality, and type of functional difficulty. In terms of sex, the data indicate that males constitute a higher proportion of persons with disabilities than females, a trend that is attributable, in part, to the country's overall demographic composition, which is predominantly male.</w:t>
      </w:r>
    </w:p>
    <w:p w14:paraId="1B507511" w14:textId="577AFC15" w:rsidR="005B14C0" w:rsidRDefault="005B14C0" w:rsidP="005B14C0">
      <w:pPr>
        <w:pStyle w:val="NoSpacing"/>
        <w:spacing w:before="240"/>
        <w:jc w:val="both"/>
        <w:rPr>
          <w:rFonts w:ascii="Cambria" w:eastAsia="Times New Roman" w:hAnsi="Cambria"/>
          <w:sz w:val="24"/>
          <w:szCs w:val="24"/>
        </w:rPr>
      </w:pPr>
      <w:r w:rsidRPr="005B14C0">
        <w:rPr>
          <w:rFonts w:ascii="Cambria" w:eastAsia="Times New Roman" w:hAnsi="Cambria"/>
          <w:sz w:val="24"/>
          <w:szCs w:val="24"/>
        </w:rPr>
        <w:t>The data further demonstrate that the prevalence of disability increases with age, particularly among persons aged 60 years and above, while cases are recorded across all age groups beginning from five years of age and older.</w:t>
      </w:r>
    </w:p>
    <w:p w14:paraId="706832A1" w14:textId="7548F1DF" w:rsidR="005B14C0" w:rsidRDefault="005B14C0" w:rsidP="005B14C0">
      <w:pPr>
        <w:pStyle w:val="NoSpacing"/>
        <w:spacing w:before="240"/>
        <w:jc w:val="both"/>
        <w:rPr>
          <w:rFonts w:ascii="Cambria" w:eastAsia="Times New Roman" w:hAnsi="Cambria"/>
          <w:sz w:val="24"/>
          <w:szCs w:val="24"/>
        </w:rPr>
      </w:pPr>
      <w:r w:rsidRPr="005B14C0">
        <w:rPr>
          <w:rFonts w:ascii="Cambria" w:eastAsia="Times New Roman" w:hAnsi="Cambria"/>
          <w:sz w:val="24"/>
          <w:szCs w:val="24"/>
        </w:rPr>
        <w:t>With regard to the type of functional difficulty, mobility difficulties constitute the largest category, with 9,995 cases, followed by difficulties with remembering or concentrating (7,895 cases), vision difficulties (7,077 cases), communication or speech difficulties (6,328 cases), hearing difficulties (6,242 cases), and self-care difficulties (5,532 cases).</w:t>
      </w:r>
    </w:p>
    <w:p w14:paraId="222BAD8C" w14:textId="6605AFFD" w:rsidR="00C34804" w:rsidRDefault="00C34804" w:rsidP="00C34804">
      <w:pPr>
        <w:pStyle w:val="NoSpacing"/>
        <w:spacing w:before="240"/>
        <w:jc w:val="both"/>
        <w:rPr>
          <w:rFonts w:ascii="Cambria" w:eastAsia="Times New Roman" w:hAnsi="Cambria"/>
          <w:sz w:val="24"/>
          <w:szCs w:val="24"/>
        </w:rPr>
      </w:pPr>
      <w:r w:rsidRPr="00C34804">
        <w:rPr>
          <w:rFonts w:ascii="Cambria" w:eastAsia="Times New Roman" w:hAnsi="Cambria"/>
          <w:sz w:val="24"/>
          <w:szCs w:val="24"/>
        </w:rPr>
        <w:t xml:space="preserve">It should be noted that these figures represent the number of reported functional difficulties rather than the number of individuals with disabilities, as a single person may </w:t>
      </w:r>
      <w:r w:rsidRPr="00C34804">
        <w:rPr>
          <w:rFonts w:ascii="Cambria" w:eastAsia="Times New Roman" w:hAnsi="Cambria"/>
          <w:sz w:val="24"/>
          <w:szCs w:val="24"/>
        </w:rPr>
        <w:lastRenderedPageBreak/>
        <w:t>experience more than one type of functional difficulty. Consequently, these figures should not be aggregated to determine the total number of persons with disabilities.</w:t>
      </w:r>
    </w:p>
    <w:p w14:paraId="506BF46A" w14:textId="7A40A5C8" w:rsidR="007C1083" w:rsidRDefault="00366069" w:rsidP="00366069">
      <w:pPr>
        <w:pStyle w:val="NoSpacing"/>
        <w:spacing w:before="240"/>
        <w:jc w:val="both"/>
        <w:rPr>
          <w:rFonts w:asciiTheme="minorBidi" w:hAnsiTheme="minorBidi"/>
          <w:sz w:val="28"/>
          <w:szCs w:val="28"/>
          <w:rtl/>
        </w:rPr>
      </w:pPr>
      <w:r w:rsidRPr="00366069">
        <w:rPr>
          <w:rFonts w:ascii="Cambria" w:eastAsia="Times New Roman" w:hAnsi="Cambria"/>
          <w:sz w:val="24"/>
          <w:szCs w:val="24"/>
        </w:rPr>
        <w:t xml:space="preserve">The data are also disaggregated by geographic distribution across the country's municipalities, including Doha, Al Rayyan, Al Wakrah, Al Khor and Al Thakhira, Umm Salal, Al </w:t>
      </w:r>
      <w:proofErr w:type="spellStart"/>
      <w:r w:rsidRPr="00366069">
        <w:rPr>
          <w:rFonts w:ascii="Cambria" w:eastAsia="Times New Roman" w:hAnsi="Cambria"/>
          <w:sz w:val="24"/>
          <w:szCs w:val="24"/>
        </w:rPr>
        <w:t>Daayen</w:t>
      </w:r>
      <w:proofErr w:type="spellEnd"/>
      <w:r w:rsidRPr="00366069">
        <w:rPr>
          <w:rFonts w:ascii="Cambria" w:eastAsia="Times New Roman" w:hAnsi="Cambria"/>
          <w:sz w:val="24"/>
          <w:szCs w:val="24"/>
        </w:rPr>
        <w:t>, Al Shamal, and Al Sheehaniya, thereby providing an important statistical basis for the planning of policies, programs, and services relating to the rights of persons with disabilities and for ensuring equitable access across different population groups and geographic areas.</w:t>
      </w:r>
      <w:r w:rsidR="009D1EC3" w:rsidRPr="00A56325">
        <w:rPr>
          <w:rStyle w:val="FootnoteReference"/>
          <w:rFonts w:asciiTheme="minorBidi" w:hAnsiTheme="minorBidi"/>
          <w:sz w:val="28"/>
          <w:szCs w:val="28"/>
          <w:rtl/>
        </w:rPr>
        <w:footnoteReference w:id="2"/>
      </w:r>
    </w:p>
    <w:p w14:paraId="2B7FF66E" w14:textId="15D60EC4" w:rsidR="00366069" w:rsidRDefault="00EC6C3E" w:rsidP="00EC6C3E">
      <w:pPr>
        <w:pStyle w:val="NoSpacing"/>
        <w:spacing w:before="240"/>
        <w:jc w:val="both"/>
        <w:rPr>
          <w:rFonts w:ascii="Cambria" w:eastAsia="Times New Roman" w:hAnsi="Cambria"/>
          <w:sz w:val="24"/>
          <w:szCs w:val="24"/>
        </w:rPr>
      </w:pPr>
      <w:r w:rsidRPr="00EC6C3E">
        <w:rPr>
          <w:rFonts w:ascii="Cambria" w:eastAsia="Times New Roman" w:hAnsi="Cambria"/>
          <w:sz w:val="24"/>
          <w:szCs w:val="24"/>
        </w:rPr>
        <w:t>The Qatar Population Census 2020 represents a significant advancement in the field of disability statistics, as it adopts a classification of functional difficulties that closely aligns with the Washington Group Methodology on Disability Statistics, thereby providing data that can be effectively analysed with respect to the different types of functional difficulties and the characteristics of persons with disabilities.</w:t>
      </w:r>
    </w:p>
    <w:p w14:paraId="267A9CCB" w14:textId="1E7BCFFB" w:rsidR="00636457" w:rsidRDefault="00636457" w:rsidP="00EC6C3E">
      <w:pPr>
        <w:pStyle w:val="NoSpacing"/>
        <w:spacing w:before="240"/>
        <w:jc w:val="both"/>
        <w:rPr>
          <w:rFonts w:ascii="Cambria" w:eastAsia="Times New Roman" w:hAnsi="Cambria"/>
          <w:sz w:val="24"/>
          <w:szCs w:val="24"/>
        </w:rPr>
      </w:pPr>
      <w:r w:rsidRPr="00636457">
        <w:rPr>
          <w:rFonts w:ascii="Cambria" w:eastAsia="Times New Roman" w:hAnsi="Cambria"/>
          <w:sz w:val="24"/>
          <w:szCs w:val="24"/>
        </w:rPr>
        <w:t>Nevertheless, while the official data available in Qatar provide essential demographic indicators relating to persons with disabilities</w:t>
      </w:r>
      <w:r w:rsidR="00D34E3E">
        <w:rPr>
          <w:rFonts w:ascii="Cambria" w:eastAsia="Times New Roman" w:hAnsi="Cambria"/>
          <w:sz w:val="24"/>
          <w:szCs w:val="24"/>
        </w:rPr>
        <w:t xml:space="preserve">, </w:t>
      </w:r>
      <w:r w:rsidRPr="00636457">
        <w:rPr>
          <w:rFonts w:ascii="Cambria" w:eastAsia="Times New Roman" w:hAnsi="Cambria"/>
          <w:sz w:val="24"/>
          <w:szCs w:val="24"/>
        </w:rPr>
        <w:t>including age, sex, nationality, municipality of residence, and selected social, educational, and employment indicators</w:t>
      </w:r>
      <w:r w:rsidR="00420B7A">
        <w:rPr>
          <w:rFonts w:ascii="Cambria" w:eastAsia="Times New Roman" w:hAnsi="Cambria"/>
          <w:sz w:val="24"/>
          <w:szCs w:val="24"/>
        </w:rPr>
        <w:t xml:space="preserve">; </w:t>
      </w:r>
      <w:r w:rsidRPr="00636457">
        <w:rPr>
          <w:rFonts w:ascii="Cambria" w:eastAsia="Times New Roman" w:hAnsi="Cambria"/>
          <w:sz w:val="24"/>
          <w:szCs w:val="24"/>
        </w:rPr>
        <w:t>there remains a need to develop a comprehensive, human rights-based national database. Such a database should place greater emphasis on measuring the actual enjoyment and exercise of rights, including the barriers encountered by persons with disabilities, independent living arrangements, the need for personal assistance, accessibility of services, and the effectiveness of protection and redress mechanisms.</w:t>
      </w:r>
    </w:p>
    <w:p w14:paraId="32987D9D" w14:textId="264A8ECD" w:rsidR="001725CD" w:rsidRPr="008C5392" w:rsidRDefault="001725CD" w:rsidP="001725CD">
      <w:pPr>
        <w:pStyle w:val="NoSpacing"/>
        <w:spacing w:before="240"/>
        <w:jc w:val="both"/>
        <w:rPr>
          <w:rFonts w:ascii="Cambria" w:eastAsia="Times New Roman" w:hAnsi="Cambria"/>
          <w:b/>
          <w:bCs/>
          <w:sz w:val="24"/>
          <w:szCs w:val="24"/>
        </w:rPr>
      </w:pPr>
      <w:r w:rsidRPr="008C5392">
        <w:rPr>
          <w:rFonts w:ascii="Cambria" w:eastAsia="Times New Roman" w:hAnsi="Cambria"/>
          <w:b/>
          <w:bCs/>
          <w:sz w:val="24"/>
          <w:szCs w:val="24"/>
        </w:rPr>
        <w:t>The National Human Rights Committee therefore recommends continuing the development of a comprehensive, rights-based national database on persons with disabilities that complements the existing demographic and social data with indicators measuring effective participation, independent living, personal assistance, and accessibility to services, thereby strengthening evidence-based planning and monitoring of the implementation of rights.</w:t>
      </w:r>
    </w:p>
    <w:p w14:paraId="68AA9A58" w14:textId="0AA223B1" w:rsidR="001725CD" w:rsidRDefault="001725CD" w:rsidP="001725CD">
      <w:pPr>
        <w:pStyle w:val="NoSpacing"/>
        <w:spacing w:before="240"/>
        <w:jc w:val="both"/>
        <w:rPr>
          <w:rFonts w:ascii="Cambria" w:eastAsia="Times New Roman" w:hAnsi="Cambria"/>
          <w:b/>
          <w:bCs/>
          <w:sz w:val="24"/>
          <w:szCs w:val="24"/>
        </w:rPr>
      </w:pPr>
      <w:r w:rsidRPr="008C5392">
        <w:rPr>
          <w:rFonts w:ascii="Cambria" w:eastAsia="Times New Roman" w:hAnsi="Cambria"/>
          <w:b/>
          <w:bCs/>
          <w:sz w:val="24"/>
          <w:szCs w:val="24"/>
        </w:rPr>
        <w:t xml:space="preserve">Continuing to develop solutions aimed at increasing the capacity of government-run </w:t>
      </w:r>
      <w:r w:rsidR="008C5392" w:rsidRPr="008C5392">
        <w:rPr>
          <w:rFonts w:ascii="Cambria" w:eastAsia="Times New Roman" w:hAnsi="Cambria"/>
          <w:b/>
          <w:bCs/>
          <w:sz w:val="24"/>
          <w:szCs w:val="24"/>
        </w:rPr>
        <w:t>centers</w:t>
      </w:r>
      <w:r w:rsidRPr="008C5392">
        <w:rPr>
          <w:rFonts w:ascii="Cambria" w:eastAsia="Times New Roman" w:hAnsi="Cambria"/>
          <w:b/>
          <w:bCs/>
          <w:sz w:val="24"/>
          <w:szCs w:val="24"/>
        </w:rPr>
        <w:t xml:space="preserve"> and services in order to meet the growing needs of persons with disabilities.</w:t>
      </w:r>
    </w:p>
    <w:p w14:paraId="0669DE45" w14:textId="6E39451A" w:rsidR="00185443" w:rsidRDefault="00185443" w:rsidP="001725CD">
      <w:pPr>
        <w:pStyle w:val="NoSpacing"/>
        <w:spacing w:before="240"/>
        <w:jc w:val="both"/>
        <w:rPr>
          <w:rFonts w:ascii="Cambria" w:eastAsia="Times New Roman" w:hAnsi="Cambria"/>
          <w:b/>
          <w:bCs/>
          <w:sz w:val="24"/>
          <w:szCs w:val="24"/>
        </w:rPr>
      </w:pPr>
      <w:r w:rsidRPr="00185443">
        <w:rPr>
          <w:rFonts w:ascii="Cambria" w:eastAsia="Times New Roman" w:hAnsi="Cambria"/>
          <w:b/>
          <w:bCs/>
          <w:sz w:val="24"/>
          <w:szCs w:val="24"/>
        </w:rPr>
        <w:t>Strengthening the knowledge, skills, and professional capacities of personnel working with persons with disabilities to ensure the delivery of specialized, high-quality services that effectively respond to their needs.</w:t>
      </w:r>
    </w:p>
    <w:p w14:paraId="37246F3F" w14:textId="77777777" w:rsidR="00185443" w:rsidRDefault="00185443" w:rsidP="001725CD">
      <w:pPr>
        <w:pStyle w:val="NoSpacing"/>
        <w:spacing w:before="240"/>
        <w:jc w:val="both"/>
        <w:rPr>
          <w:rFonts w:ascii="Cambria" w:eastAsia="Times New Roman" w:hAnsi="Cambria"/>
          <w:b/>
          <w:bCs/>
          <w:sz w:val="24"/>
          <w:szCs w:val="24"/>
        </w:rPr>
      </w:pPr>
    </w:p>
    <w:p w14:paraId="432221DF" w14:textId="77777777" w:rsidR="00185443" w:rsidRDefault="00185443" w:rsidP="001725CD">
      <w:pPr>
        <w:pStyle w:val="NoSpacing"/>
        <w:spacing w:before="240"/>
        <w:jc w:val="both"/>
        <w:rPr>
          <w:rFonts w:ascii="Cambria" w:eastAsia="Times New Roman" w:hAnsi="Cambria"/>
          <w:b/>
          <w:bCs/>
          <w:sz w:val="24"/>
          <w:szCs w:val="24"/>
        </w:rPr>
      </w:pPr>
    </w:p>
    <w:p w14:paraId="3B91F6DE" w14:textId="0BCC994F" w:rsidR="00185443" w:rsidRDefault="00185443" w:rsidP="001725CD">
      <w:pPr>
        <w:pStyle w:val="NoSpacing"/>
        <w:spacing w:before="240"/>
        <w:jc w:val="both"/>
        <w:rPr>
          <w:rFonts w:ascii="Cambria" w:eastAsia="Times New Roman" w:hAnsi="Cambria"/>
          <w:b/>
          <w:bCs/>
          <w:sz w:val="24"/>
          <w:szCs w:val="24"/>
        </w:rPr>
      </w:pPr>
      <w:r w:rsidRPr="00185443">
        <w:rPr>
          <w:rFonts w:ascii="Cambria" w:eastAsia="Times New Roman" w:hAnsi="Cambria"/>
          <w:b/>
          <w:bCs/>
          <w:sz w:val="24"/>
          <w:szCs w:val="24"/>
        </w:rPr>
        <w:t>Continuing the harmonization of national legislation and public policies with the requirements of the Convention on the Rights of Persons with Disabilities and enhancing their effective implementation in practice.</w:t>
      </w:r>
    </w:p>
    <w:p w14:paraId="2F9C7A00" w14:textId="5356D65A" w:rsidR="00A7136F" w:rsidRDefault="00A7136F" w:rsidP="001725CD">
      <w:pPr>
        <w:pStyle w:val="NoSpacing"/>
        <w:spacing w:before="240"/>
        <w:jc w:val="both"/>
        <w:rPr>
          <w:rFonts w:ascii="Cambria" w:eastAsia="Times New Roman" w:hAnsi="Cambria"/>
          <w:b/>
          <w:bCs/>
          <w:sz w:val="24"/>
          <w:szCs w:val="24"/>
        </w:rPr>
      </w:pPr>
      <w:r w:rsidRPr="00A7136F">
        <w:rPr>
          <w:rFonts w:ascii="Cambria" w:eastAsia="Times New Roman" w:hAnsi="Cambria"/>
          <w:b/>
          <w:bCs/>
          <w:sz w:val="24"/>
          <w:szCs w:val="24"/>
        </w:rPr>
        <w:t>Strengthening the supervisory and regulatory role of the competent authorities over centers and institutions operating in the disability sector, while promoting transparency through the regular publication of reports on inspection outcomes, identified violations, and corrective measures taken to ensure the quality of services and protect persons with disabilities from violence, neglect, and exploitation.</w:t>
      </w:r>
    </w:p>
    <w:p w14:paraId="4642C511" w14:textId="2C8ED25A" w:rsidR="00B05A1B" w:rsidRPr="00B05A1B" w:rsidRDefault="00B05A1B" w:rsidP="00B05A1B">
      <w:pPr>
        <w:pStyle w:val="NoSpacing"/>
        <w:spacing w:before="240"/>
        <w:jc w:val="both"/>
        <w:rPr>
          <w:rFonts w:ascii="Cambria" w:eastAsia="Times New Roman" w:hAnsi="Cambria"/>
          <w:b/>
          <w:bCs/>
          <w:sz w:val="24"/>
          <w:szCs w:val="24"/>
        </w:rPr>
      </w:pPr>
      <w:r w:rsidRPr="00B05A1B">
        <w:rPr>
          <w:rFonts w:ascii="Cambria" w:eastAsia="Times New Roman" w:hAnsi="Cambria"/>
          <w:b/>
          <w:bCs/>
          <w:sz w:val="24"/>
          <w:szCs w:val="24"/>
        </w:rPr>
        <w:t>Enhancing mechanisms for the meaningful participation of persons with disabilities and their representative organizations in the formulation of policies and programs and in the evaluation of services, including through the establishment of formal and regular consultation mechanisms that ensure their views and recommendations are duly considered in decisions affecting their rights.</w:t>
      </w:r>
    </w:p>
    <w:p w14:paraId="7557A428" w14:textId="77C03825" w:rsidR="00B05A1B" w:rsidRDefault="00B05A1B" w:rsidP="00B05A1B">
      <w:pPr>
        <w:pStyle w:val="NoSpacing"/>
        <w:spacing w:before="240"/>
        <w:jc w:val="both"/>
        <w:rPr>
          <w:rFonts w:ascii="Cambria" w:eastAsia="Times New Roman" w:hAnsi="Cambria"/>
          <w:b/>
          <w:bCs/>
          <w:sz w:val="24"/>
          <w:szCs w:val="24"/>
        </w:rPr>
      </w:pPr>
      <w:r w:rsidRPr="00B05A1B">
        <w:rPr>
          <w:rFonts w:ascii="Cambria" w:eastAsia="Times New Roman" w:hAnsi="Cambria"/>
          <w:b/>
          <w:bCs/>
          <w:sz w:val="24"/>
          <w:szCs w:val="24"/>
        </w:rPr>
        <w:t>Expanding the space available for civil society organizations and facilitating the registration and legal establishment of associations representing persons with disabilities, thereby strengthening their participation in public life and enabling them to contribute effectively to the development of policies and programs relating to the rights of persons with disabilities, advocate for their interests, and promote their full inclusion in society.</w:t>
      </w:r>
    </w:p>
    <w:p w14:paraId="4EFDB60F" w14:textId="77777777" w:rsidR="00356DA1" w:rsidRDefault="00356DA1" w:rsidP="00B05A1B">
      <w:pPr>
        <w:pStyle w:val="NoSpacing"/>
        <w:spacing w:before="240"/>
        <w:jc w:val="both"/>
        <w:rPr>
          <w:rFonts w:ascii="Cambria" w:eastAsia="Times New Roman" w:hAnsi="Cambria"/>
          <w:b/>
          <w:bCs/>
          <w:sz w:val="24"/>
          <w:szCs w:val="24"/>
        </w:rPr>
      </w:pPr>
    </w:p>
    <w:p w14:paraId="25F6B8C2" w14:textId="2E3CD14E" w:rsidR="00356DA1" w:rsidRDefault="00356DA1" w:rsidP="00B05A1B">
      <w:pPr>
        <w:pStyle w:val="NoSpacing"/>
        <w:spacing w:before="240"/>
        <w:jc w:val="both"/>
        <w:rPr>
          <w:rFonts w:ascii="Cambria" w:eastAsia="Times New Roman" w:hAnsi="Cambria"/>
          <w:b/>
          <w:bCs/>
          <w:sz w:val="24"/>
          <w:szCs w:val="24"/>
        </w:rPr>
      </w:pPr>
      <w:r>
        <w:rPr>
          <w:rFonts w:ascii="Cambria" w:eastAsia="Times New Roman" w:hAnsi="Cambria"/>
          <w:b/>
          <w:bCs/>
          <w:sz w:val="24"/>
          <w:szCs w:val="24"/>
        </w:rPr>
        <w:t>Third:</w:t>
      </w:r>
      <w:r w:rsidRPr="00356DA1">
        <w:rPr>
          <w:rFonts w:ascii="Cambria" w:eastAsia="Times New Roman" w:hAnsi="Cambria"/>
          <w:b/>
          <w:bCs/>
          <w:sz w:val="24"/>
          <w:szCs w:val="24"/>
        </w:rPr>
        <w:t xml:space="preserve"> Practical Implementation of the Convention, Key Implementation Gaps, and Categories of Persons with Disabilities Particularly at Risk of Exclusion</w:t>
      </w:r>
    </w:p>
    <w:p w14:paraId="075C824C" w14:textId="5CFDF2B8" w:rsidR="00183006" w:rsidRDefault="00183006" w:rsidP="00B05A1B">
      <w:pPr>
        <w:pStyle w:val="NoSpacing"/>
        <w:spacing w:before="240"/>
        <w:jc w:val="both"/>
        <w:rPr>
          <w:rFonts w:ascii="Cambria" w:eastAsia="Times New Roman" w:hAnsi="Cambria"/>
          <w:sz w:val="24"/>
          <w:szCs w:val="24"/>
        </w:rPr>
      </w:pPr>
      <w:r w:rsidRPr="00183006">
        <w:rPr>
          <w:rFonts w:ascii="Cambria" w:eastAsia="Times New Roman" w:hAnsi="Cambria"/>
          <w:sz w:val="24"/>
          <w:szCs w:val="24"/>
        </w:rPr>
        <w:t>This section examines the practical realization of the rights enshrined in the Convention on the Rights of Persons with Disabilities through an assessment of the implementation of several of its substantive provisions, in particular Article 9 on accessibility, Article 19 on living independently and being included in the community, Article 24 on education, Articles 25 and 26 on health and rehabilitation, Article 27 on work and employment, and Article 28 on an adequate standard of living and social protection. It further identifies the principal implementation gaps that continue to impede the full enjoyment of these rights and highlights the categories of persons with disabilities that remain particularly vulnerable to exclusion and marginalization.</w:t>
      </w:r>
    </w:p>
    <w:p w14:paraId="3A83A276" w14:textId="1FC35F6A" w:rsidR="000C38C6" w:rsidRDefault="000C38C6" w:rsidP="00B05A1B">
      <w:pPr>
        <w:pStyle w:val="NoSpacing"/>
        <w:spacing w:before="240"/>
        <w:jc w:val="both"/>
        <w:rPr>
          <w:rFonts w:ascii="Cambria" w:eastAsia="Times New Roman" w:hAnsi="Cambria"/>
          <w:sz w:val="24"/>
          <w:szCs w:val="24"/>
        </w:rPr>
      </w:pPr>
      <w:r w:rsidRPr="000C38C6">
        <w:rPr>
          <w:rFonts w:ascii="Cambria" w:eastAsia="Times New Roman" w:hAnsi="Cambria"/>
          <w:sz w:val="24"/>
          <w:szCs w:val="24"/>
        </w:rPr>
        <w:t>The State of Qatar has attached considerable importance to the implementation of the Convention across several key sectors, particularly education, healthcare, and employment, while also promoting the empowerment of persons with disabilities through improved access to public services and the strengthening of social protection measures.</w:t>
      </w:r>
    </w:p>
    <w:p w14:paraId="1050D963" w14:textId="77777777" w:rsidR="003678C2" w:rsidRDefault="003678C2" w:rsidP="00B05A1B">
      <w:pPr>
        <w:pStyle w:val="NoSpacing"/>
        <w:spacing w:before="240"/>
        <w:jc w:val="both"/>
        <w:rPr>
          <w:rFonts w:ascii="Cambria" w:eastAsia="Times New Roman" w:hAnsi="Cambria"/>
          <w:sz w:val="24"/>
          <w:szCs w:val="24"/>
        </w:rPr>
      </w:pPr>
    </w:p>
    <w:p w14:paraId="712F6634" w14:textId="77777777" w:rsidR="003678C2" w:rsidRDefault="003678C2" w:rsidP="00B05A1B">
      <w:pPr>
        <w:pStyle w:val="NoSpacing"/>
        <w:spacing w:before="240"/>
        <w:jc w:val="both"/>
        <w:rPr>
          <w:rFonts w:ascii="Cambria" w:eastAsia="Times New Roman" w:hAnsi="Cambria"/>
          <w:sz w:val="24"/>
          <w:szCs w:val="24"/>
        </w:rPr>
      </w:pPr>
    </w:p>
    <w:p w14:paraId="7BBB9CB1" w14:textId="77777777" w:rsidR="003678C2" w:rsidRDefault="003678C2" w:rsidP="00B05A1B">
      <w:pPr>
        <w:pStyle w:val="NoSpacing"/>
        <w:spacing w:before="240"/>
        <w:jc w:val="both"/>
        <w:rPr>
          <w:rFonts w:ascii="Cambria" w:eastAsia="Times New Roman" w:hAnsi="Cambria"/>
          <w:sz w:val="24"/>
          <w:szCs w:val="24"/>
        </w:rPr>
      </w:pPr>
    </w:p>
    <w:p w14:paraId="52BE7877" w14:textId="77777777" w:rsidR="003678C2" w:rsidRPr="003678C2" w:rsidRDefault="003678C2" w:rsidP="003678C2">
      <w:pPr>
        <w:pStyle w:val="NoSpacing"/>
        <w:spacing w:before="240"/>
        <w:jc w:val="both"/>
        <w:rPr>
          <w:rFonts w:ascii="Cambria" w:eastAsia="Times New Roman" w:hAnsi="Cambria"/>
          <w:b/>
          <w:bCs/>
          <w:sz w:val="24"/>
          <w:szCs w:val="24"/>
        </w:rPr>
      </w:pPr>
      <w:r w:rsidRPr="003678C2">
        <w:rPr>
          <w:rFonts w:ascii="Cambria" w:eastAsia="Times New Roman" w:hAnsi="Cambria"/>
          <w:b/>
          <w:bCs/>
          <w:sz w:val="24"/>
          <w:szCs w:val="24"/>
        </w:rPr>
        <w:t>The practical implementation of the Convention is reflected in several key areas, including the following:</w:t>
      </w:r>
    </w:p>
    <w:p w14:paraId="22C61E88" w14:textId="77777777" w:rsidR="003678C2" w:rsidRPr="003678C2" w:rsidRDefault="003678C2" w:rsidP="003678C2">
      <w:pPr>
        <w:pStyle w:val="NoSpacing"/>
        <w:spacing w:before="240"/>
        <w:rPr>
          <w:rFonts w:ascii="Cambria" w:eastAsia="Times New Roman" w:hAnsi="Cambria"/>
          <w:b/>
          <w:bCs/>
          <w:sz w:val="24"/>
          <w:szCs w:val="24"/>
        </w:rPr>
      </w:pPr>
      <w:r w:rsidRPr="003678C2">
        <w:rPr>
          <w:rFonts w:ascii="Cambria" w:eastAsia="Times New Roman" w:hAnsi="Cambria"/>
          <w:b/>
          <w:bCs/>
          <w:sz w:val="24"/>
          <w:szCs w:val="24"/>
        </w:rPr>
        <w:t>A. Inclusive Education</w:t>
      </w:r>
    </w:p>
    <w:p w14:paraId="5FABD522" w14:textId="53A1F8FA" w:rsidR="003678C2" w:rsidRDefault="003678C2" w:rsidP="003678C2">
      <w:pPr>
        <w:pStyle w:val="NoSpacing"/>
        <w:spacing w:before="240"/>
        <w:jc w:val="both"/>
        <w:rPr>
          <w:rFonts w:ascii="Cambria" w:eastAsia="Times New Roman" w:hAnsi="Cambria"/>
          <w:sz w:val="24"/>
          <w:szCs w:val="24"/>
        </w:rPr>
      </w:pPr>
      <w:r w:rsidRPr="003678C2">
        <w:rPr>
          <w:rFonts w:ascii="Cambria" w:eastAsia="Times New Roman" w:hAnsi="Cambria"/>
          <w:sz w:val="24"/>
          <w:szCs w:val="24"/>
        </w:rPr>
        <w:t>In 2018, the Ministry of Education and Higher Education established Qatar's first national database for students with disabilities as part of the digital transformation of the education sector. The database was created to consolidate student information across government schools, facilitate the preparation of Individualized Education Plans (IEPs), and generate statistical data relating to the services provided to students with disabilities.</w:t>
      </w:r>
    </w:p>
    <w:p w14:paraId="0649096C" w14:textId="5205964C" w:rsidR="00FC7E48" w:rsidRDefault="00FC7E48" w:rsidP="003678C2">
      <w:pPr>
        <w:pStyle w:val="NoSpacing"/>
        <w:spacing w:before="240"/>
        <w:jc w:val="both"/>
        <w:rPr>
          <w:rFonts w:ascii="Cambria" w:eastAsia="Times New Roman" w:hAnsi="Cambria"/>
          <w:sz w:val="24"/>
          <w:szCs w:val="24"/>
        </w:rPr>
      </w:pPr>
      <w:r w:rsidRPr="00FC7E48">
        <w:rPr>
          <w:rFonts w:ascii="Cambria" w:eastAsia="Times New Roman" w:hAnsi="Cambria"/>
          <w:sz w:val="24"/>
          <w:szCs w:val="24"/>
        </w:rPr>
        <w:t xml:space="preserve">Qatar has adopted an </w:t>
      </w:r>
      <w:r w:rsidR="00E42ED3" w:rsidRPr="00FC7E48">
        <w:rPr>
          <w:rFonts w:ascii="Cambria" w:eastAsia="Times New Roman" w:hAnsi="Cambria"/>
          <w:sz w:val="24"/>
          <w:szCs w:val="24"/>
        </w:rPr>
        <w:t xml:space="preserve">Inclusive Education Model </w:t>
      </w:r>
      <w:r w:rsidRPr="00FC7E48">
        <w:rPr>
          <w:rFonts w:ascii="Cambria" w:eastAsia="Times New Roman" w:hAnsi="Cambria"/>
          <w:sz w:val="24"/>
          <w:szCs w:val="24"/>
        </w:rPr>
        <w:t>within government schools under the supervision of the Ministry, whereby students with disabilities are educated alongside their peers without disabilities while receiving specialized educational support services. This includes the development of an Individualized Education Plan (IEP) for each student based on their specific needs, the establishment of resource rooms within schools, and the provision of support by special education teachers, speech and language therapists, and behavioral specialists, where required. These measures are intended to promote equal educational opportunities and foster inclusion within the learning environment.</w:t>
      </w:r>
    </w:p>
    <w:p w14:paraId="57BAFEDE" w14:textId="3BD063B4" w:rsidR="00DF2776" w:rsidRDefault="00DF2776" w:rsidP="00DF2776">
      <w:pPr>
        <w:pStyle w:val="NoSpacing"/>
        <w:spacing w:before="240"/>
        <w:jc w:val="both"/>
        <w:rPr>
          <w:rFonts w:ascii="Cambria" w:eastAsia="Times New Roman" w:hAnsi="Cambria"/>
          <w:sz w:val="24"/>
          <w:szCs w:val="24"/>
        </w:rPr>
      </w:pPr>
      <w:r w:rsidRPr="00DF2776">
        <w:rPr>
          <w:rFonts w:ascii="Cambria" w:eastAsia="Times New Roman" w:hAnsi="Cambria"/>
          <w:sz w:val="24"/>
          <w:szCs w:val="24"/>
        </w:rPr>
        <w:t xml:space="preserve">According to data published by the Planning and Statistics Authority, </w:t>
      </w:r>
      <w:r w:rsidR="007C1083" w:rsidRPr="00A56325">
        <w:rPr>
          <w:rStyle w:val="FootnoteReference"/>
          <w:rFonts w:asciiTheme="minorBidi" w:hAnsiTheme="minorBidi"/>
          <w:sz w:val="28"/>
          <w:szCs w:val="28"/>
          <w:rtl/>
        </w:rPr>
        <w:footnoteReference w:id="3"/>
      </w:r>
      <w:r w:rsidR="007C1083" w:rsidRPr="00A56325">
        <w:rPr>
          <w:rFonts w:asciiTheme="minorBidi" w:hAnsiTheme="minorBidi"/>
          <w:sz w:val="28"/>
          <w:szCs w:val="28"/>
          <w:rtl/>
        </w:rPr>
        <w:t xml:space="preserve"> </w:t>
      </w:r>
      <w:r w:rsidRPr="00DF2776">
        <w:rPr>
          <w:rFonts w:ascii="Cambria" w:eastAsia="Times New Roman" w:hAnsi="Cambria"/>
          <w:sz w:val="24"/>
          <w:szCs w:val="24"/>
        </w:rPr>
        <w:t>annual statistics are issued on the number of students with disabilities enrolled in government schools under the inclusive education system. During the 2021–2022 academic year, 1,667 students with disabilities were enrolled in government schools, with the data disaggregated by educational stage, nationality, and sex.</w:t>
      </w:r>
    </w:p>
    <w:p w14:paraId="5253017F" w14:textId="59C85D7E" w:rsidR="00BF40FD" w:rsidRDefault="00BF40FD" w:rsidP="00BF40FD">
      <w:pPr>
        <w:pStyle w:val="NoSpacing"/>
        <w:spacing w:before="240"/>
        <w:jc w:val="both"/>
        <w:rPr>
          <w:rFonts w:ascii="Cambria" w:eastAsia="Times New Roman" w:hAnsi="Cambria"/>
          <w:sz w:val="24"/>
          <w:szCs w:val="24"/>
        </w:rPr>
      </w:pPr>
      <w:r w:rsidRPr="00BF40FD">
        <w:rPr>
          <w:rFonts w:ascii="Cambria" w:eastAsia="Times New Roman" w:hAnsi="Cambria"/>
          <w:sz w:val="24"/>
          <w:szCs w:val="24"/>
        </w:rPr>
        <w:t xml:space="preserve">The Ministry of Education and Higher Education </w:t>
      </w:r>
      <w:r w:rsidR="007C1083" w:rsidRPr="00A56325">
        <w:rPr>
          <w:rStyle w:val="FootnoteReference"/>
          <w:rFonts w:asciiTheme="minorBidi" w:hAnsiTheme="minorBidi"/>
          <w:sz w:val="28"/>
          <w:szCs w:val="28"/>
          <w:rtl/>
        </w:rPr>
        <w:footnoteReference w:id="4"/>
      </w:r>
      <w:r w:rsidRPr="00BF40FD">
        <w:rPr>
          <w:rFonts w:ascii="Cambria" w:eastAsia="Times New Roman" w:hAnsi="Cambria"/>
          <w:sz w:val="24"/>
          <w:szCs w:val="24"/>
        </w:rPr>
        <w:t xml:space="preserve"> has also announced the enhancement of its electronic registration service for students with disabilities in government schools, with the aim of simplifying admission procedures and improving assessment and placement mechanisms as part of the ongoing expansion of inclusive education programs. More than 4,000 students are currently enrolled in these programs across approximately 99 government schools, including around 82 schools offering direct inclusion classrooms.</w:t>
      </w:r>
    </w:p>
    <w:p w14:paraId="613ED45C" w14:textId="7594798E" w:rsidR="007C1083" w:rsidRDefault="0071447A" w:rsidP="002F3FCC">
      <w:pPr>
        <w:pStyle w:val="NoSpacing"/>
        <w:spacing w:before="240"/>
        <w:jc w:val="both"/>
        <w:rPr>
          <w:rFonts w:ascii="Cambria" w:eastAsia="Times New Roman" w:hAnsi="Cambria"/>
          <w:sz w:val="24"/>
          <w:szCs w:val="24"/>
        </w:rPr>
      </w:pPr>
      <w:r w:rsidRPr="0071447A">
        <w:rPr>
          <w:rFonts w:ascii="Cambria" w:eastAsia="Times New Roman" w:hAnsi="Cambria"/>
          <w:sz w:val="24"/>
          <w:szCs w:val="24"/>
        </w:rPr>
        <w:t>In addition, Qatar Foundation contributes to disability-inclusive education through Renad Academy</w:t>
      </w:r>
      <w:r w:rsidR="007C1083" w:rsidRPr="00A56325">
        <w:rPr>
          <w:rStyle w:val="FootnoteReference"/>
          <w:rFonts w:asciiTheme="minorBidi" w:hAnsiTheme="minorBidi"/>
          <w:sz w:val="28"/>
          <w:szCs w:val="28"/>
        </w:rPr>
        <w:footnoteReference w:id="5"/>
      </w:r>
      <w:r w:rsidR="00067B89" w:rsidRPr="0071447A">
        <w:rPr>
          <w:rFonts w:ascii="Cambria" w:eastAsia="Times New Roman" w:hAnsi="Cambria"/>
          <w:sz w:val="24"/>
          <w:szCs w:val="24"/>
        </w:rPr>
        <w:t xml:space="preserve">, a specialized school serving children with </w:t>
      </w:r>
      <w:proofErr w:type="gramStart"/>
      <w:r w:rsidR="00067B89" w:rsidRPr="0071447A">
        <w:rPr>
          <w:rFonts w:ascii="Cambria" w:eastAsia="Times New Roman" w:hAnsi="Cambria"/>
          <w:sz w:val="24"/>
          <w:szCs w:val="24"/>
        </w:rPr>
        <w:t>Autism Spectrum Disorder</w:t>
      </w:r>
      <w:proofErr w:type="gramEnd"/>
      <w:r w:rsidR="00067B89" w:rsidRPr="0071447A">
        <w:rPr>
          <w:rFonts w:ascii="Cambria" w:eastAsia="Times New Roman" w:hAnsi="Cambria"/>
          <w:sz w:val="24"/>
          <w:szCs w:val="24"/>
        </w:rPr>
        <w:t xml:space="preserve"> (ASD). The Academy accommodates approximately 134 students and provides a comprehensive individualized educational model based on Individualized Education </w:t>
      </w:r>
      <w:r w:rsidR="00067B89" w:rsidRPr="0071447A">
        <w:rPr>
          <w:rFonts w:ascii="Cambria" w:eastAsia="Times New Roman" w:hAnsi="Cambria"/>
          <w:sz w:val="24"/>
          <w:szCs w:val="24"/>
        </w:rPr>
        <w:lastRenderedPageBreak/>
        <w:t>Plans (IEPs) complemented by therapeutic support services, with the objective of strengthening students' academic, social, and independent living skills.</w:t>
      </w:r>
      <w:r w:rsidR="00924DF9">
        <w:rPr>
          <w:rStyle w:val="FootnoteReference"/>
          <w:rFonts w:asciiTheme="minorBidi" w:hAnsiTheme="minorBidi"/>
          <w:sz w:val="28"/>
          <w:szCs w:val="28"/>
        </w:rPr>
        <w:footnoteReference w:id="6"/>
      </w:r>
    </w:p>
    <w:p w14:paraId="30FCE6F6" w14:textId="77777777" w:rsidR="0013417A" w:rsidRPr="0013417A" w:rsidRDefault="0013417A" w:rsidP="0013417A">
      <w:pPr>
        <w:pStyle w:val="NoSpacing"/>
        <w:spacing w:before="240"/>
        <w:jc w:val="both"/>
        <w:rPr>
          <w:rFonts w:ascii="Cambria" w:eastAsia="Times New Roman" w:hAnsi="Cambria"/>
          <w:b/>
          <w:bCs/>
          <w:sz w:val="24"/>
          <w:szCs w:val="24"/>
        </w:rPr>
      </w:pPr>
      <w:r w:rsidRPr="0013417A">
        <w:rPr>
          <w:rFonts w:ascii="Cambria" w:eastAsia="Times New Roman" w:hAnsi="Cambria"/>
          <w:b/>
          <w:bCs/>
          <w:sz w:val="24"/>
          <w:szCs w:val="24"/>
        </w:rPr>
        <w:t>The National Human Rights Committee recommends the publication of more detailed statistical data on students with disabilities, including data disaggregated by type of disability, together with regular updates to ensure the availability of current information.</w:t>
      </w:r>
    </w:p>
    <w:p w14:paraId="42E2E533" w14:textId="1FCA40AD" w:rsidR="002F3FCC" w:rsidRDefault="0013417A" w:rsidP="0013417A">
      <w:pPr>
        <w:pStyle w:val="NoSpacing"/>
        <w:spacing w:before="240"/>
        <w:jc w:val="both"/>
        <w:rPr>
          <w:rFonts w:ascii="Cambria" w:eastAsia="Times New Roman" w:hAnsi="Cambria"/>
          <w:b/>
          <w:bCs/>
          <w:sz w:val="24"/>
          <w:szCs w:val="24"/>
        </w:rPr>
      </w:pPr>
      <w:r w:rsidRPr="0013417A">
        <w:rPr>
          <w:rFonts w:ascii="Cambria" w:eastAsia="Times New Roman" w:hAnsi="Cambria"/>
          <w:b/>
          <w:bCs/>
          <w:sz w:val="24"/>
          <w:szCs w:val="24"/>
        </w:rPr>
        <w:t>The Committee further recommends strengthening inclusive education services in schools to better respond to the diverse needs of students with disabilities, thereby enhancing the quality of inclusive education and improving the effectiveness of the support services provided.</w:t>
      </w:r>
    </w:p>
    <w:p w14:paraId="75CC3C03" w14:textId="77777777" w:rsidR="000365CD" w:rsidRPr="000365CD" w:rsidRDefault="000365CD" w:rsidP="000365CD">
      <w:pPr>
        <w:pStyle w:val="NoSpacing"/>
        <w:spacing w:before="240"/>
        <w:rPr>
          <w:rFonts w:ascii="Cambria" w:eastAsia="Times New Roman" w:hAnsi="Cambria"/>
          <w:b/>
          <w:bCs/>
          <w:sz w:val="24"/>
          <w:szCs w:val="24"/>
        </w:rPr>
      </w:pPr>
      <w:r w:rsidRPr="000365CD">
        <w:rPr>
          <w:rFonts w:ascii="Cambria" w:eastAsia="Times New Roman" w:hAnsi="Cambria"/>
          <w:b/>
          <w:bCs/>
          <w:sz w:val="24"/>
          <w:szCs w:val="24"/>
        </w:rPr>
        <w:t>B. Health and Rehabilitation</w:t>
      </w:r>
    </w:p>
    <w:p w14:paraId="791B41C0" w14:textId="77777777" w:rsidR="000365CD" w:rsidRPr="000365CD" w:rsidRDefault="000365CD" w:rsidP="000365CD">
      <w:pPr>
        <w:pStyle w:val="NoSpacing"/>
        <w:spacing w:before="240"/>
        <w:jc w:val="both"/>
        <w:rPr>
          <w:rFonts w:ascii="Cambria" w:eastAsia="Times New Roman" w:hAnsi="Cambria"/>
          <w:sz w:val="24"/>
          <w:szCs w:val="24"/>
        </w:rPr>
      </w:pPr>
      <w:r w:rsidRPr="000365CD">
        <w:rPr>
          <w:rFonts w:ascii="Cambria" w:eastAsia="Times New Roman" w:hAnsi="Cambria"/>
          <w:sz w:val="24"/>
          <w:szCs w:val="24"/>
        </w:rPr>
        <w:t>Health and rehabilitation services for persons with disabilities constitute a fundamental component of Qatar's social protection and healthcare system. These services are delivered through a combination of public and private sector institutions to ensure early diagnosis, rehabilitation, psychosocial support, and preparation for educational and social inclusion.</w:t>
      </w:r>
    </w:p>
    <w:p w14:paraId="6CD4EDA0" w14:textId="79BD20BD" w:rsidR="007C1083" w:rsidRDefault="000365CD" w:rsidP="001C55C1">
      <w:pPr>
        <w:pStyle w:val="NoSpacing"/>
        <w:spacing w:before="240"/>
        <w:jc w:val="both"/>
        <w:rPr>
          <w:rFonts w:ascii="Cambria" w:eastAsia="Times New Roman" w:hAnsi="Cambria"/>
          <w:sz w:val="24"/>
          <w:szCs w:val="24"/>
        </w:rPr>
      </w:pPr>
      <w:r w:rsidRPr="000365CD">
        <w:rPr>
          <w:rFonts w:ascii="Cambria" w:eastAsia="Times New Roman" w:hAnsi="Cambria"/>
          <w:sz w:val="24"/>
          <w:szCs w:val="24"/>
        </w:rPr>
        <w:t>Government-funded and, in many cases, free rehabilitation services are widely available. The Qatar Rehabilitation Institute (QRI), operating under Hamad Medical Corporation (HMC), is among the leading government institutions providing specialized physiotherapy, occupational therapy, speech and language therapy, neurological rehabilitation, and physical rehabilitation services for both children and adults.</w:t>
      </w:r>
      <w:r w:rsidR="00475040">
        <w:rPr>
          <w:rStyle w:val="FootnoteReference"/>
          <w:rFonts w:asciiTheme="minorBidi" w:eastAsia="Times New Roman" w:hAnsiTheme="minorBidi"/>
          <w:sz w:val="28"/>
          <w:szCs w:val="28"/>
          <w:rtl/>
          <w:lang w:val="en-GB" w:eastAsia="en-GB"/>
        </w:rPr>
        <w:footnoteReference w:id="7"/>
      </w:r>
    </w:p>
    <w:p w14:paraId="4124094D" w14:textId="77777777" w:rsidR="00057310" w:rsidRPr="00057310" w:rsidRDefault="00057310" w:rsidP="00057310">
      <w:pPr>
        <w:pStyle w:val="NoSpacing"/>
        <w:spacing w:before="240"/>
        <w:jc w:val="both"/>
        <w:rPr>
          <w:rFonts w:ascii="Cambria" w:eastAsia="Times New Roman" w:hAnsi="Cambria"/>
          <w:sz w:val="24"/>
          <w:szCs w:val="24"/>
        </w:rPr>
      </w:pPr>
      <w:r w:rsidRPr="00057310">
        <w:rPr>
          <w:rFonts w:ascii="Cambria" w:eastAsia="Times New Roman" w:hAnsi="Cambria"/>
          <w:sz w:val="24"/>
          <w:szCs w:val="24"/>
        </w:rPr>
        <w:t xml:space="preserve">The Institute also delivers community-based rehabilitation services and long-term follow-up programmes. According to Hamad Medical Corporation (2024), more than 5,000 beneficiaries </w:t>
      </w:r>
      <w:r w:rsidR="007C1083" w:rsidRPr="0071020F">
        <w:rPr>
          <w:rStyle w:val="FootnoteReference"/>
          <w:rFonts w:asciiTheme="minorBidi" w:eastAsia="Times New Roman" w:hAnsiTheme="minorBidi"/>
          <w:sz w:val="28"/>
          <w:szCs w:val="28"/>
          <w:rtl/>
          <w:lang w:val="en-GB" w:eastAsia="en-GB"/>
        </w:rPr>
        <w:footnoteReference w:id="8"/>
      </w:r>
      <w:r>
        <w:rPr>
          <w:rFonts w:ascii="Cambria" w:eastAsia="Times New Roman" w:hAnsi="Cambria"/>
          <w:sz w:val="24"/>
          <w:szCs w:val="24"/>
        </w:rPr>
        <w:t xml:space="preserve"> </w:t>
      </w:r>
      <w:r w:rsidRPr="00057310">
        <w:rPr>
          <w:rFonts w:ascii="Cambria" w:eastAsia="Times New Roman" w:hAnsi="Cambria"/>
          <w:sz w:val="24"/>
          <w:szCs w:val="24"/>
        </w:rPr>
        <w:t>receive community rehabilitation services annually.</w:t>
      </w:r>
    </w:p>
    <w:p w14:paraId="6D5294B1" w14:textId="18B7EBB5" w:rsidR="007C1083" w:rsidRDefault="00057310" w:rsidP="00BB15D9">
      <w:pPr>
        <w:pStyle w:val="NoSpacing"/>
        <w:spacing w:before="240"/>
        <w:jc w:val="both"/>
        <w:rPr>
          <w:rFonts w:asciiTheme="minorBidi" w:eastAsia="Times New Roman" w:hAnsiTheme="minorBidi"/>
          <w:sz w:val="28"/>
          <w:szCs w:val="28"/>
          <w:lang w:val="en-GB" w:eastAsia="en-GB"/>
        </w:rPr>
      </w:pPr>
      <w:r w:rsidRPr="00057310">
        <w:rPr>
          <w:rFonts w:ascii="Cambria" w:eastAsia="Times New Roman" w:hAnsi="Cambria"/>
          <w:sz w:val="24"/>
          <w:szCs w:val="24"/>
        </w:rPr>
        <w:t>Hamad Medical Corporation further provides a comprehensive range of services, including rehabilitation, early intervention, early diagnosis for children, behavioral intervention, psychological care, and early rehabilitation programs for persons with disabilities through its network of hospitals and specialized healthcare centers.</w:t>
      </w:r>
      <w:r w:rsidR="007C1083" w:rsidRPr="0071020F">
        <w:rPr>
          <w:rStyle w:val="FootnoteReference"/>
          <w:rFonts w:asciiTheme="minorBidi" w:eastAsia="Times New Roman" w:hAnsiTheme="minorBidi"/>
          <w:sz w:val="28"/>
          <w:szCs w:val="28"/>
          <w:rtl/>
          <w:lang w:val="en-GB" w:eastAsia="en-GB"/>
        </w:rPr>
        <w:footnoteReference w:id="9"/>
      </w:r>
    </w:p>
    <w:p w14:paraId="141F3E4B" w14:textId="42C237B3" w:rsidR="007C1083" w:rsidRDefault="00BB15D9" w:rsidP="00FC26F3">
      <w:pPr>
        <w:pStyle w:val="NoSpacing"/>
        <w:spacing w:before="240"/>
        <w:jc w:val="both"/>
        <w:rPr>
          <w:rFonts w:asciiTheme="minorBidi" w:eastAsia="Times New Roman" w:hAnsiTheme="minorBidi"/>
          <w:sz w:val="28"/>
          <w:szCs w:val="28"/>
          <w:lang w:val="en-GB" w:eastAsia="en-GB"/>
        </w:rPr>
      </w:pPr>
      <w:r w:rsidRPr="00BB15D9">
        <w:rPr>
          <w:rFonts w:ascii="Cambria" w:eastAsia="Times New Roman" w:hAnsi="Cambria"/>
          <w:sz w:val="24"/>
          <w:szCs w:val="24"/>
        </w:rPr>
        <w:t xml:space="preserve">The Primary Health Care Corporation (PHCC) serves as the principal gateway to the national healthcare system by providing early screening services, referring patients to </w:t>
      </w:r>
      <w:r w:rsidRPr="00BB15D9">
        <w:rPr>
          <w:rFonts w:ascii="Cambria" w:eastAsia="Times New Roman" w:hAnsi="Cambria"/>
          <w:sz w:val="24"/>
          <w:szCs w:val="24"/>
        </w:rPr>
        <w:lastRenderedPageBreak/>
        <w:t>specialized rehabilitation centres, and ensuring follow-up care for individuals with chronic conditions.</w:t>
      </w:r>
      <w:r w:rsidR="007C1083" w:rsidRPr="0071020F">
        <w:rPr>
          <w:rStyle w:val="FootnoteReference"/>
          <w:rFonts w:asciiTheme="minorBidi" w:eastAsia="Times New Roman" w:hAnsiTheme="minorBidi"/>
          <w:sz w:val="28"/>
          <w:szCs w:val="28"/>
          <w:rtl/>
          <w:lang w:val="en-GB" w:eastAsia="en-GB"/>
        </w:rPr>
        <w:footnoteReference w:id="10"/>
      </w:r>
    </w:p>
    <w:p w14:paraId="1D5C8B7E" w14:textId="77777777" w:rsidR="00FC26F3" w:rsidRPr="00FC26F3" w:rsidRDefault="00FC26F3" w:rsidP="00FC26F3">
      <w:pPr>
        <w:pStyle w:val="NoSpacing"/>
        <w:spacing w:before="240"/>
        <w:jc w:val="both"/>
        <w:rPr>
          <w:rFonts w:ascii="Cambria" w:eastAsia="Times New Roman" w:hAnsi="Cambria"/>
          <w:sz w:val="24"/>
          <w:szCs w:val="24"/>
        </w:rPr>
      </w:pPr>
      <w:r w:rsidRPr="00FC26F3">
        <w:rPr>
          <w:rFonts w:ascii="Cambria" w:eastAsia="Times New Roman" w:hAnsi="Cambria"/>
          <w:sz w:val="24"/>
          <w:szCs w:val="24"/>
        </w:rPr>
        <w:t>As part of ongoing efforts to strengthen mental health and rehabilitation services, the National Human Rights Committee has observed Hamad Medical Corporation's initiatives to improve service management and reduce waiting times through the enhancement of patient triage procedures and the prioritization of cases according to the degree of clinical need and severity. These measures are intended to ensure that available resources are allocated promptly to those requiring the highest level of care.</w:t>
      </w:r>
    </w:p>
    <w:p w14:paraId="304677B2" w14:textId="3A7FD23A" w:rsidR="00FC26F3" w:rsidRDefault="00FC26F3" w:rsidP="00FC26F3">
      <w:pPr>
        <w:pStyle w:val="NoSpacing"/>
        <w:spacing w:before="240"/>
        <w:jc w:val="both"/>
        <w:rPr>
          <w:rFonts w:ascii="Cambria" w:eastAsia="Times New Roman" w:hAnsi="Cambria"/>
          <w:sz w:val="24"/>
          <w:szCs w:val="24"/>
        </w:rPr>
      </w:pPr>
      <w:r w:rsidRPr="00FC26F3">
        <w:rPr>
          <w:rFonts w:ascii="Cambria" w:eastAsia="Times New Roman" w:hAnsi="Cambria"/>
          <w:sz w:val="24"/>
          <w:szCs w:val="24"/>
        </w:rPr>
        <w:t>The adoption of stepped-care models, multidisciplinary teams, and the expansion of community-based mental health services has also contributed to improving timely access to services while reducing pressure on specialist outpatient clinics.</w:t>
      </w:r>
    </w:p>
    <w:p w14:paraId="0423414E" w14:textId="67D3C0C8" w:rsidR="00FF44E6" w:rsidRDefault="00FF44E6" w:rsidP="00FF44E6">
      <w:pPr>
        <w:pStyle w:val="NoSpacing"/>
        <w:spacing w:before="240"/>
        <w:jc w:val="both"/>
        <w:rPr>
          <w:rFonts w:ascii="Cambria" w:eastAsia="Times New Roman" w:hAnsi="Cambria"/>
          <w:sz w:val="24"/>
          <w:szCs w:val="24"/>
        </w:rPr>
      </w:pPr>
      <w:r>
        <w:rPr>
          <w:rFonts w:ascii="Cambria" w:eastAsia="Times New Roman" w:hAnsi="Cambria"/>
          <w:sz w:val="24"/>
          <w:szCs w:val="24"/>
        </w:rPr>
        <w:t>T</w:t>
      </w:r>
      <w:r w:rsidRPr="00FF44E6">
        <w:rPr>
          <w:rFonts w:ascii="Cambria" w:eastAsia="Times New Roman" w:hAnsi="Cambria"/>
          <w:sz w:val="24"/>
          <w:szCs w:val="24"/>
        </w:rPr>
        <w:t>he National Human Rights Committee continues to receive complaints from a number of parents and guardians of persons with disabilities concerning the lengthy waiting periods for appointments at outpatient clinics, particularly dental clinics.</w:t>
      </w:r>
    </w:p>
    <w:p w14:paraId="191BCB0B" w14:textId="3A4ECB44" w:rsidR="008C5E29" w:rsidRDefault="008C5E29" w:rsidP="008C5E29">
      <w:pPr>
        <w:pStyle w:val="NoSpacing"/>
        <w:spacing w:before="240"/>
        <w:jc w:val="both"/>
        <w:rPr>
          <w:rFonts w:ascii="Cambria" w:eastAsia="Times New Roman" w:hAnsi="Cambria"/>
          <w:b/>
          <w:bCs/>
          <w:sz w:val="24"/>
          <w:szCs w:val="24"/>
        </w:rPr>
      </w:pPr>
      <w:r w:rsidRPr="00263942">
        <w:rPr>
          <w:rFonts w:ascii="Cambria" w:eastAsia="Times New Roman" w:hAnsi="Cambria"/>
          <w:b/>
          <w:bCs/>
          <w:sz w:val="24"/>
          <w:szCs w:val="24"/>
        </w:rPr>
        <w:t>Accordingly, the National Human Rights Committee therefore recommends the continued development of systems for measuring waiting times and the publication of clear performance indicators relating to access to mental health and rehabilitation services within Hamad Medical Corporation, in order to assess the effectiveness of these measures and ensure that they respond adequately to the needs of persons with disabilities.</w:t>
      </w:r>
    </w:p>
    <w:p w14:paraId="7622814A" w14:textId="77777777" w:rsidR="00263942" w:rsidRPr="00263942" w:rsidRDefault="00263942" w:rsidP="00263942">
      <w:pPr>
        <w:pStyle w:val="NoSpacing"/>
        <w:spacing w:before="240"/>
        <w:rPr>
          <w:rFonts w:ascii="Cambria" w:eastAsia="Times New Roman" w:hAnsi="Cambria"/>
          <w:b/>
          <w:bCs/>
          <w:sz w:val="24"/>
          <w:szCs w:val="24"/>
        </w:rPr>
      </w:pPr>
      <w:r w:rsidRPr="00263942">
        <w:rPr>
          <w:rFonts w:ascii="Cambria" w:eastAsia="Times New Roman" w:hAnsi="Cambria"/>
          <w:b/>
          <w:bCs/>
          <w:sz w:val="24"/>
          <w:szCs w:val="24"/>
        </w:rPr>
        <w:t>C. Employment and Economic Empowerment</w:t>
      </w:r>
    </w:p>
    <w:p w14:paraId="13E2F0C5" w14:textId="778FAD46" w:rsidR="00EF1D25" w:rsidRDefault="00263942" w:rsidP="00EF1D25">
      <w:pPr>
        <w:pStyle w:val="NoSpacing"/>
        <w:spacing w:before="240"/>
        <w:jc w:val="both"/>
        <w:rPr>
          <w:rFonts w:ascii="Cambria" w:eastAsia="Times New Roman" w:hAnsi="Cambria"/>
          <w:sz w:val="24"/>
          <w:szCs w:val="24"/>
        </w:rPr>
      </w:pPr>
      <w:r w:rsidRPr="00263942">
        <w:rPr>
          <w:rFonts w:ascii="Cambria" w:eastAsia="Times New Roman" w:hAnsi="Cambria"/>
          <w:sz w:val="24"/>
          <w:szCs w:val="24"/>
        </w:rPr>
        <w:t xml:space="preserve">In recent years, the State of Qatar has made available updated official data reflecting the participation of persons with disabilities in the labor market. Statistics published by the National Planning Council </w:t>
      </w:r>
      <w:r w:rsidR="007C1083" w:rsidRPr="00E70230">
        <w:rPr>
          <w:rStyle w:val="FootnoteReference"/>
          <w:rFonts w:asciiTheme="minorBidi" w:hAnsiTheme="minorBidi"/>
          <w:sz w:val="28"/>
          <w:szCs w:val="28"/>
          <w:rtl/>
        </w:rPr>
        <w:footnoteReference w:id="11"/>
      </w:r>
      <w:r w:rsidR="00EF1D25" w:rsidRPr="00EF1D25">
        <w:rPr>
          <w:rFonts w:ascii="Cambria" w:eastAsia="Times New Roman" w:hAnsi="Cambria"/>
          <w:sz w:val="24"/>
          <w:szCs w:val="24"/>
        </w:rPr>
        <w:t xml:space="preserve"> </w:t>
      </w:r>
      <w:r w:rsidR="00EF1D25" w:rsidRPr="00263942">
        <w:rPr>
          <w:rFonts w:ascii="Cambria" w:eastAsia="Times New Roman" w:hAnsi="Cambria"/>
          <w:sz w:val="24"/>
          <w:szCs w:val="24"/>
        </w:rPr>
        <w:t>classify persons with disabilities across different labor force categories, including employed persons, unemployed persons, students, and trainees. These data demonstrate that persons with disabilities do not constitute a homogeneous group in terms of economic participation; rather, their labor market outcomes vary considerably according to different levels of integration into the workforce.</w:t>
      </w:r>
    </w:p>
    <w:p w14:paraId="449C10AE" w14:textId="6F048144" w:rsidR="007C1083" w:rsidRDefault="00A01F76" w:rsidP="009054F0">
      <w:pPr>
        <w:pStyle w:val="NoSpacing"/>
        <w:spacing w:before="240"/>
        <w:jc w:val="both"/>
        <w:rPr>
          <w:rFonts w:ascii="Cambria" w:eastAsia="Times New Roman" w:hAnsi="Cambria"/>
          <w:sz w:val="24"/>
          <w:szCs w:val="24"/>
        </w:rPr>
      </w:pPr>
      <w:r w:rsidRPr="00A01F76">
        <w:rPr>
          <w:rFonts w:ascii="Cambria" w:eastAsia="Times New Roman" w:hAnsi="Cambria"/>
          <w:sz w:val="24"/>
          <w:szCs w:val="24"/>
        </w:rPr>
        <w:t>The detailed statistics further illustrate the distribution of persons with disabilities aged 15 years and above according to economic activity, including participation across various sectors of the economy as well as those remaining outside the labor force. The data indicate that, throughout the period from 2010 to 2020, a substantial proportion of persons with disabilities remained outside the active labor market, with significant disparities in employment rates based on sex, nationality, and economic sector.</w:t>
      </w:r>
      <w:r w:rsidR="007C1083" w:rsidRPr="00E70230">
        <w:rPr>
          <w:rStyle w:val="FootnoteReference"/>
          <w:rFonts w:asciiTheme="minorBidi" w:hAnsiTheme="minorBidi"/>
          <w:sz w:val="28"/>
          <w:szCs w:val="28"/>
        </w:rPr>
        <w:footnoteReference w:id="12"/>
      </w:r>
    </w:p>
    <w:p w14:paraId="0F397914" w14:textId="77777777" w:rsidR="003971D8" w:rsidRDefault="003971D8" w:rsidP="003971D8">
      <w:pPr>
        <w:pStyle w:val="NoSpacing"/>
        <w:spacing w:before="240"/>
        <w:jc w:val="both"/>
        <w:rPr>
          <w:rFonts w:ascii="Cambria" w:eastAsia="Times New Roman" w:hAnsi="Cambria"/>
          <w:sz w:val="24"/>
          <w:szCs w:val="24"/>
        </w:rPr>
      </w:pPr>
    </w:p>
    <w:p w14:paraId="6BBE4CB7" w14:textId="77777777" w:rsidR="003971D8" w:rsidRDefault="003971D8" w:rsidP="003971D8">
      <w:pPr>
        <w:pStyle w:val="NoSpacing"/>
        <w:spacing w:before="240"/>
        <w:jc w:val="both"/>
        <w:rPr>
          <w:rFonts w:ascii="Cambria" w:eastAsia="Times New Roman" w:hAnsi="Cambria"/>
          <w:sz w:val="24"/>
          <w:szCs w:val="24"/>
        </w:rPr>
      </w:pPr>
    </w:p>
    <w:p w14:paraId="3E452E4B" w14:textId="77777777" w:rsidR="003971D8" w:rsidRDefault="003971D8" w:rsidP="003971D8">
      <w:pPr>
        <w:pStyle w:val="NoSpacing"/>
        <w:spacing w:before="240"/>
        <w:jc w:val="both"/>
        <w:rPr>
          <w:rFonts w:ascii="Cambria" w:eastAsia="Times New Roman" w:hAnsi="Cambria"/>
          <w:sz w:val="24"/>
          <w:szCs w:val="24"/>
        </w:rPr>
      </w:pPr>
    </w:p>
    <w:p w14:paraId="3238C5AB" w14:textId="25702302" w:rsidR="007C1083" w:rsidRDefault="003971D8" w:rsidP="00CC2C29">
      <w:pPr>
        <w:pStyle w:val="NoSpacing"/>
        <w:spacing w:before="240"/>
        <w:jc w:val="both"/>
        <w:rPr>
          <w:rFonts w:asciiTheme="minorBidi" w:hAnsiTheme="minorBidi"/>
          <w:sz w:val="28"/>
          <w:szCs w:val="28"/>
        </w:rPr>
      </w:pPr>
      <w:r w:rsidRPr="003971D8">
        <w:rPr>
          <w:rFonts w:ascii="Cambria" w:eastAsia="Times New Roman" w:hAnsi="Cambria"/>
          <w:sz w:val="24"/>
          <w:szCs w:val="24"/>
        </w:rPr>
        <w:t>With regard to practical measures promoting employment, limited indicators are available concerning initiatives to facilitate the employment of persons with disabilities. It was reported that 132 persons secured employment opportunities through social security and social assistance programs during 2023.</w:t>
      </w:r>
      <w:r w:rsidR="007C1083" w:rsidRPr="00E70230">
        <w:rPr>
          <w:rStyle w:val="FootnoteReference"/>
          <w:rFonts w:asciiTheme="minorBidi" w:hAnsiTheme="minorBidi"/>
          <w:sz w:val="28"/>
          <w:szCs w:val="28"/>
          <w:rtl/>
        </w:rPr>
        <w:footnoteReference w:id="13"/>
      </w:r>
      <w:r w:rsidR="007C1083" w:rsidRPr="00E70230">
        <w:rPr>
          <w:rFonts w:asciiTheme="minorBidi" w:hAnsiTheme="minorBidi"/>
          <w:sz w:val="28"/>
          <w:szCs w:val="28"/>
        </w:rPr>
        <w:t xml:space="preserve"> </w:t>
      </w:r>
    </w:p>
    <w:p w14:paraId="4A62B9DE" w14:textId="2452D53F" w:rsidR="00B619C4" w:rsidRDefault="00CC2C29" w:rsidP="00B619C4">
      <w:pPr>
        <w:pStyle w:val="NoSpacing"/>
        <w:spacing w:before="240"/>
        <w:jc w:val="both"/>
        <w:rPr>
          <w:rFonts w:ascii="Cambria" w:eastAsia="Times New Roman" w:hAnsi="Cambria"/>
          <w:sz w:val="24"/>
          <w:szCs w:val="24"/>
        </w:rPr>
      </w:pPr>
      <w:r w:rsidRPr="003971D8">
        <w:rPr>
          <w:rFonts w:ascii="Cambria" w:eastAsia="Times New Roman" w:hAnsi="Cambria"/>
          <w:sz w:val="24"/>
          <w:szCs w:val="24"/>
        </w:rPr>
        <w:t>In 2024, the Civil Service and Government Development Bureau announced the recognition of nine government entities for successfully achieving the 2</w:t>
      </w:r>
      <w:r w:rsidR="00B619C4">
        <w:rPr>
          <w:rFonts w:ascii="Cambria" w:eastAsia="Times New Roman" w:hAnsi="Cambria"/>
          <w:sz w:val="24"/>
          <w:szCs w:val="24"/>
        </w:rPr>
        <w:t xml:space="preserve">% </w:t>
      </w:r>
      <w:r w:rsidRPr="003971D8">
        <w:rPr>
          <w:rFonts w:ascii="Cambria" w:eastAsia="Times New Roman" w:hAnsi="Cambria"/>
          <w:sz w:val="24"/>
          <w:szCs w:val="24"/>
        </w:rPr>
        <w:t>employment quota for persons with disabilities</w:t>
      </w:r>
      <w:r w:rsidR="007C1083" w:rsidRPr="00E70230">
        <w:rPr>
          <w:rStyle w:val="FootnoteReference"/>
          <w:rFonts w:asciiTheme="minorBidi" w:hAnsiTheme="minorBidi"/>
          <w:sz w:val="28"/>
          <w:szCs w:val="28"/>
          <w:rtl/>
        </w:rPr>
        <w:footnoteReference w:id="14"/>
      </w:r>
      <w:r w:rsidR="00B619C4" w:rsidRPr="003971D8">
        <w:rPr>
          <w:rFonts w:ascii="Cambria" w:eastAsia="Times New Roman" w:hAnsi="Cambria"/>
          <w:sz w:val="24"/>
          <w:szCs w:val="24"/>
        </w:rPr>
        <w:t>, as part of national efforts to strengthen compliance with policies promoting their inclusion in the workplace.</w:t>
      </w:r>
    </w:p>
    <w:p w14:paraId="1B67716A" w14:textId="77777777" w:rsidR="002068C5" w:rsidRPr="002068C5" w:rsidRDefault="002068C5" w:rsidP="002068C5">
      <w:pPr>
        <w:pStyle w:val="NoSpacing"/>
        <w:spacing w:before="240"/>
        <w:jc w:val="both"/>
        <w:rPr>
          <w:rFonts w:ascii="Cambria" w:eastAsia="Times New Roman" w:hAnsi="Cambria"/>
          <w:b/>
          <w:bCs/>
          <w:sz w:val="24"/>
          <w:szCs w:val="24"/>
        </w:rPr>
      </w:pPr>
      <w:r w:rsidRPr="002068C5">
        <w:rPr>
          <w:rFonts w:ascii="Cambria" w:eastAsia="Times New Roman" w:hAnsi="Cambria"/>
          <w:b/>
          <w:bCs/>
          <w:sz w:val="24"/>
          <w:szCs w:val="24"/>
        </w:rPr>
        <w:t>The National Human Rights Committee recommends further strengthening the national data system relating to persons with disabilities, particularly employment statistics, to ensure that it is more comprehensive and accurate. Such data should include indicators relating to employment and unemployment rates, type of disability, sex, age, educational attainment, economic sector, and the sustainability of employment.</w:t>
      </w:r>
    </w:p>
    <w:p w14:paraId="66207AA7" w14:textId="68449D33" w:rsidR="002068C5" w:rsidRPr="002068C5" w:rsidRDefault="002068C5" w:rsidP="002068C5">
      <w:pPr>
        <w:pStyle w:val="NoSpacing"/>
        <w:spacing w:before="240"/>
        <w:jc w:val="both"/>
        <w:rPr>
          <w:rFonts w:ascii="Cambria" w:eastAsia="Times New Roman" w:hAnsi="Cambria"/>
          <w:b/>
          <w:bCs/>
          <w:sz w:val="24"/>
          <w:szCs w:val="24"/>
        </w:rPr>
      </w:pPr>
      <w:r w:rsidRPr="002068C5">
        <w:rPr>
          <w:rFonts w:ascii="Cambria" w:eastAsia="Times New Roman" w:hAnsi="Cambria"/>
          <w:b/>
          <w:bCs/>
          <w:sz w:val="24"/>
          <w:szCs w:val="24"/>
        </w:rPr>
        <w:t xml:space="preserve">D. Accessibility and </w:t>
      </w:r>
      <w:r w:rsidR="002006BD">
        <w:rPr>
          <w:rFonts w:ascii="Cambria" w:eastAsia="Times New Roman" w:hAnsi="Cambria"/>
          <w:b/>
          <w:bCs/>
          <w:sz w:val="24"/>
          <w:szCs w:val="24"/>
        </w:rPr>
        <w:t>Infrastructure</w:t>
      </w:r>
    </w:p>
    <w:p w14:paraId="66C3B191" w14:textId="4BED1AC3" w:rsidR="00B619C4" w:rsidRDefault="002068C5" w:rsidP="002068C5">
      <w:pPr>
        <w:pStyle w:val="NoSpacing"/>
        <w:spacing w:before="240"/>
        <w:jc w:val="both"/>
        <w:rPr>
          <w:rFonts w:ascii="Cambria" w:eastAsia="Times New Roman" w:hAnsi="Cambria"/>
          <w:sz w:val="24"/>
          <w:szCs w:val="24"/>
        </w:rPr>
      </w:pPr>
      <w:r w:rsidRPr="002068C5">
        <w:rPr>
          <w:rFonts w:ascii="Cambria" w:eastAsia="Times New Roman" w:hAnsi="Cambria"/>
          <w:sz w:val="24"/>
          <w:szCs w:val="24"/>
        </w:rPr>
        <w:t>The State of Qatar has adopted a number of regulatory frameworks and technical standards aimed at enhancing accessibility for persons with disabilities. These include the Qatar Accessibility Code, the Qatar Construction Specifications (QCS), which incorporate accessibility requirements for the design and construction of buildings, the Qatar Highway Design Manual (QHDM), which sets standards for accessible sidewalks, pedestrian crossings, and public spaces, and the Ministry of Transport's Accessible Transport Standards, which regulate accessibility requirements for public transportation and related infrastructure.</w:t>
      </w:r>
    </w:p>
    <w:p w14:paraId="579602A1" w14:textId="4B982B38" w:rsidR="002006BD" w:rsidRDefault="00487431" w:rsidP="002068C5">
      <w:pPr>
        <w:pStyle w:val="NoSpacing"/>
        <w:spacing w:before="240"/>
        <w:jc w:val="both"/>
        <w:rPr>
          <w:rFonts w:ascii="Cambria" w:eastAsia="Times New Roman" w:hAnsi="Cambria"/>
          <w:sz w:val="24"/>
          <w:szCs w:val="24"/>
        </w:rPr>
      </w:pPr>
      <w:r w:rsidRPr="00487431">
        <w:rPr>
          <w:rFonts w:ascii="Cambria" w:eastAsia="Times New Roman" w:hAnsi="Cambria"/>
          <w:sz w:val="24"/>
          <w:szCs w:val="24"/>
        </w:rPr>
        <w:t>The State has also adopted the Qatar e-Accessibility Policy, which requires government entities to comply with the Web Content Accessibility Guidelines (WCAG) 2.0 Level AA, thereby ensuring that government websites and digital services are accessible to persons with disabilities.</w:t>
      </w:r>
    </w:p>
    <w:p w14:paraId="1FCB5627" w14:textId="50758476" w:rsidR="00487431" w:rsidRDefault="00487431" w:rsidP="002068C5">
      <w:pPr>
        <w:pStyle w:val="NoSpacing"/>
        <w:spacing w:before="240"/>
        <w:jc w:val="both"/>
        <w:rPr>
          <w:rFonts w:ascii="Cambria" w:eastAsia="Times New Roman" w:hAnsi="Cambria"/>
          <w:sz w:val="24"/>
          <w:szCs w:val="24"/>
        </w:rPr>
      </w:pPr>
      <w:r w:rsidRPr="00487431">
        <w:rPr>
          <w:rFonts w:ascii="Cambria" w:eastAsia="Times New Roman" w:hAnsi="Cambria"/>
          <w:sz w:val="24"/>
          <w:szCs w:val="24"/>
        </w:rPr>
        <w:t>Current practices in major infrastructure projects, including public transport projects, indicate that accessibility requirements are increasingly being incorporated into both the design and implementation phases.</w:t>
      </w:r>
    </w:p>
    <w:p w14:paraId="43CE1905" w14:textId="5A144979" w:rsidR="00487431" w:rsidRDefault="00BE26D4" w:rsidP="002068C5">
      <w:pPr>
        <w:pStyle w:val="NoSpacing"/>
        <w:spacing w:before="240"/>
        <w:jc w:val="both"/>
        <w:rPr>
          <w:rFonts w:ascii="Cambria" w:eastAsia="Times New Roman" w:hAnsi="Cambria"/>
          <w:sz w:val="24"/>
          <w:szCs w:val="24"/>
        </w:rPr>
      </w:pPr>
      <w:r w:rsidRPr="00BE26D4">
        <w:rPr>
          <w:rFonts w:ascii="Cambria" w:eastAsia="Times New Roman" w:hAnsi="Cambria"/>
          <w:sz w:val="24"/>
          <w:szCs w:val="24"/>
        </w:rPr>
        <w:t xml:space="preserve">Notwithstanding the existence of these legislative and technical standards, publicly available and up-to-date data remain insufficient to assess the extent of their implementation in practice. The competent authorities do not publish indicators on the number or proportion of government buildings, public facilities, educational institutions, or healthcare facilities that comply with accessibility standards, nor do they disclose </w:t>
      </w:r>
      <w:r w:rsidRPr="00BE26D4">
        <w:rPr>
          <w:rFonts w:ascii="Cambria" w:eastAsia="Times New Roman" w:hAnsi="Cambria"/>
          <w:sz w:val="24"/>
          <w:szCs w:val="24"/>
        </w:rPr>
        <w:lastRenderedPageBreak/>
        <w:t>information concerning inspection outcomes, compliance rates, reported violations, corrective measures undertaken, or the accessibility of public transportation systems and digital services.</w:t>
      </w:r>
    </w:p>
    <w:p w14:paraId="73C99E76" w14:textId="0EEBC919" w:rsidR="00BE26D4" w:rsidRDefault="00BE26D4" w:rsidP="002068C5">
      <w:pPr>
        <w:pStyle w:val="NoSpacing"/>
        <w:spacing w:before="240"/>
        <w:jc w:val="both"/>
        <w:rPr>
          <w:rFonts w:ascii="Cambria" w:eastAsia="Times New Roman" w:hAnsi="Cambria"/>
          <w:sz w:val="24"/>
          <w:szCs w:val="24"/>
        </w:rPr>
      </w:pPr>
      <w:r w:rsidRPr="00BE26D4">
        <w:rPr>
          <w:rFonts w:ascii="Cambria" w:eastAsia="Times New Roman" w:hAnsi="Cambria"/>
          <w:sz w:val="24"/>
          <w:szCs w:val="24"/>
        </w:rPr>
        <w:t>This lack of publicly available data significantly limits the ability to evaluate the effective implementation of the right to accessibility and to monitor progress in accordance with the obligations set out in Articles 9 and 31 of the Convention on the Rights of Persons with Disabilities, particularly those relating to accessibility and the collection of data and statistics necessary for monitoring implementation.</w:t>
      </w:r>
    </w:p>
    <w:p w14:paraId="43E66841" w14:textId="5B44D073" w:rsidR="002E498B" w:rsidRDefault="002E498B" w:rsidP="002068C5">
      <w:pPr>
        <w:pStyle w:val="NoSpacing"/>
        <w:spacing w:before="240"/>
        <w:jc w:val="both"/>
        <w:rPr>
          <w:rFonts w:ascii="Cambria" w:eastAsia="Times New Roman" w:hAnsi="Cambria"/>
          <w:sz w:val="24"/>
          <w:szCs w:val="24"/>
        </w:rPr>
      </w:pPr>
      <w:r w:rsidRPr="002E498B">
        <w:rPr>
          <w:rFonts w:ascii="Cambria" w:eastAsia="Times New Roman" w:hAnsi="Cambria"/>
          <w:sz w:val="24"/>
          <w:szCs w:val="24"/>
        </w:rPr>
        <w:t>The National Human Rights Committee further wishes to emphasize that field observations indicate that many government buildings, hotels, restaurants, shopping centers, and public facilities in the State of Qatar incorporate accessibility features such as ramps, lifts, accessible sanitary facilities, and designated parking spaces. These observations reflect tangible efforts to promote an inclusive physical environment. Nevertheless, such observations cannot substitute for official statistical data and evidence-based monitoring.</w:t>
      </w:r>
      <w:r w:rsidR="00F93664" w:rsidRPr="00F93664">
        <w:t xml:space="preserve"> </w:t>
      </w:r>
      <w:r w:rsidR="00F93664" w:rsidRPr="00F93664">
        <w:rPr>
          <w:rFonts w:ascii="Cambria" w:eastAsia="Times New Roman" w:hAnsi="Cambria"/>
          <w:sz w:val="24"/>
          <w:szCs w:val="24"/>
        </w:rPr>
        <w:t>At present, no published national reports provide quantitative indicators on the number or proportion of buildings and facilities complying with accessibility standards, the level of compliance with the Qatar Accessibility Code, the results of inspection and enforcement activities, or annual progress achieved in implementing accessibility requirements. The absence of such information limits the ability to conduct an objective assessment of the implementation of Article 9 of the Convention, while also constraining the capacity of relevant authorities and civil society organizations to monitor progress and identify areas requiring improvement.</w:t>
      </w:r>
    </w:p>
    <w:p w14:paraId="52789465" w14:textId="77777777" w:rsidR="00A7090F" w:rsidRPr="00A7090F" w:rsidRDefault="00A7090F" w:rsidP="00A7090F">
      <w:pPr>
        <w:pStyle w:val="NoSpacing"/>
        <w:spacing w:before="240"/>
        <w:jc w:val="both"/>
        <w:rPr>
          <w:rFonts w:ascii="Cambria" w:eastAsia="Times New Roman" w:hAnsi="Cambria"/>
          <w:sz w:val="24"/>
          <w:szCs w:val="24"/>
        </w:rPr>
      </w:pPr>
      <w:r w:rsidRPr="00A7090F">
        <w:rPr>
          <w:rFonts w:ascii="Cambria" w:eastAsia="Times New Roman" w:hAnsi="Cambria"/>
          <w:sz w:val="24"/>
          <w:szCs w:val="24"/>
        </w:rPr>
        <w:t>The National Human Rights Committee has received complaints from several citizens with disabilities concerning the absence of certain accessibility requirements in a number of government service facilities, including the lack of appropriate wayfinding signage and accessible ramps. These deficiencies adversely affect their ability to access public services on an equal basis with others.</w:t>
      </w:r>
    </w:p>
    <w:p w14:paraId="506CD301" w14:textId="15CB2C8C" w:rsidR="00A7090F" w:rsidRPr="008367C6" w:rsidRDefault="00A7090F" w:rsidP="00A7090F">
      <w:pPr>
        <w:pStyle w:val="NoSpacing"/>
        <w:spacing w:before="240"/>
        <w:jc w:val="both"/>
        <w:rPr>
          <w:rFonts w:ascii="Cambria" w:eastAsia="Times New Roman" w:hAnsi="Cambria"/>
          <w:b/>
          <w:bCs/>
          <w:sz w:val="24"/>
          <w:szCs w:val="24"/>
        </w:rPr>
      </w:pPr>
      <w:r w:rsidRPr="008367C6">
        <w:rPr>
          <w:rFonts w:ascii="Cambria" w:eastAsia="Times New Roman" w:hAnsi="Cambria"/>
          <w:b/>
          <w:bCs/>
          <w:sz w:val="24"/>
          <w:szCs w:val="24"/>
        </w:rPr>
        <w:t xml:space="preserve">Accordingly, the </w:t>
      </w:r>
      <w:r w:rsidR="008367C6">
        <w:rPr>
          <w:rFonts w:ascii="Cambria" w:eastAsia="Times New Roman" w:hAnsi="Cambria"/>
          <w:b/>
          <w:bCs/>
          <w:sz w:val="24"/>
          <w:szCs w:val="24"/>
        </w:rPr>
        <w:t>NHRC</w:t>
      </w:r>
      <w:r w:rsidRPr="008367C6">
        <w:rPr>
          <w:rFonts w:ascii="Cambria" w:eastAsia="Times New Roman" w:hAnsi="Cambria"/>
          <w:b/>
          <w:bCs/>
          <w:sz w:val="24"/>
          <w:szCs w:val="24"/>
        </w:rPr>
        <w:t xml:space="preserve"> recommends strengthening the implementation of accessibility standards across government service facilities and ensuring the provision of reasonable accommodation and other necessary accessibility measures to guarantee that persons with disabilities can access public services on an equal basis with others.</w:t>
      </w:r>
    </w:p>
    <w:p w14:paraId="5E7D8091" w14:textId="490BB049" w:rsidR="00A7090F" w:rsidRDefault="00A7090F" w:rsidP="00A7090F">
      <w:pPr>
        <w:pStyle w:val="NoSpacing"/>
        <w:spacing w:before="240"/>
        <w:jc w:val="both"/>
        <w:rPr>
          <w:rFonts w:ascii="Cambria" w:eastAsia="Times New Roman" w:hAnsi="Cambria"/>
          <w:b/>
          <w:bCs/>
          <w:sz w:val="24"/>
          <w:szCs w:val="24"/>
        </w:rPr>
      </w:pPr>
      <w:r w:rsidRPr="008367C6">
        <w:rPr>
          <w:rFonts w:ascii="Cambria" w:eastAsia="Times New Roman" w:hAnsi="Cambria"/>
          <w:b/>
          <w:bCs/>
          <w:sz w:val="24"/>
          <w:szCs w:val="24"/>
        </w:rPr>
        <w:t>The Committee further recommends the preparation and publication of periodic national reports containing measurable indicators on accessibility across all sectors, thereby enhancing transparency and supporting effective monitoring and accountability.</w:t>
      </w:r>
    </w:p>
    <w:p w14:paraId="628BD8D3" w14:textId="77777777" w:rsidR="00215DB5" w:rsidRPr="00215DB5" w:rsidRDefault="00215DB5" w:rsidP="00215DB5">
      <w:pPr>
        <w:pStyle w:val="NoSpacing"/>
        <w:spacing w:before="240"/>
        <w:rPr>
          <w:rFonts w:ascii="Cambria" w:eastAsia="Times New Roman" w:hAnsi="Cambria"/>
          <w:b/>
          <w:bCs/>
          <w:sz w:val="24"/>
          <w:szCs w:val="24"/>
        </w:rPr>
      </w:pPr>
      <w:r w:rsidRPr="00215DB5">
        <w:rPr>
          <w:rFonts w:ascii="Cambria" w:eastAsia="Times New Roman" w:hAnsi="Cambria"/>
          <w:b/>
          <w:bCs/>
          <w:sz w:val="24"/>
          <w:szCs w:val="24"/>
        </w:rPr>
        <w:t>E. Social Protection</w:t>
      </w:r>
    </w:p>
    <w:p w14:paraId="4BCDDDBE" w14:textId="5FB705C1" w:rsidR="00215DB5" w:rsidRDefault="00215DB5" w:rsidP="00215DB5">
      <w:pPr>
        <w:pStyle w:val="NoSpacing"/>
        <w:spacing w:before="240"/>
        <w:jc w:val="both"/>
        <w:rPr>
          <w:rFonts w:ascii="Cambria" w:eastAsia="Times New Roman" w:hAnsi="Cambria"/>
          <w:sz w:val="24"/>
          <w:szCs w:val="24"/>
        </w:rPr>
      </w:pPr>
      <w:r w:rsidRPr="00215DB5">
        <w:rPr>
          <w:rFonts w:ascii="Cambria" w:eastAsia="Times New Roman" w:hAnsi="Cambria"/>
          <w:sz w:val="24"/>
          <w:szCs w:val="24"/>
        </w:rPr>
        <w:t xml:space="preserve">Complaints and observations received by the National Human Rights Committee indicate that certain groups of persons with disabilities continue to experience higher levels of vulnerability or indirect exclusion in accessing services and exercising their rights. Persons with intellectual disabilities, for example, continue to face challenges relating to inclusive education and access to employment opportunities, while in some cases </w:t>
      </w:r>
      <w:r w:rsidRPr="00215DB5">
        <w:rPr>
          <w:rFonts w:ascii="Cambria" w:eastAsia="Times New Roman" w:hAnsi="Cambria"/>
          <w:sz w:val="24"/>
          <w:szCs w:val="24"/>
        </w:rPr>
        <w:lastRenderedPageBreak/>
        <w:t>reliance persists on institutional care models rather than community-based inclusion pathways.</w:t>
      </w:r>
    </w:p>
    <w:p w14:paraId="0E4AEAB2" w14:textId="1120C237" w:rsidR="00C20A08" w:rsidRDefault="00C20A08" w:rsidP="00215DB5">
      <w:pPr>
        <w:pStyle w:val="NoSpacing"/>
        <w:spacing w:before="240"/>
        <w:jc w:val="both"/>
        <w:rPr>
          <w:rFonts w:ascii="Cambria" w:eastAsia="Times New Roman" w:hAnsi="Cambria"/>
          <w:sz w:val="24"/>
          <w:szCs w:val="24"/>
        </w:rPr>
      </w:pPr>
      <w:r w:rsidRPr="00C20A08">
        <w:rPr>
          <w:rFonts w:ascii="Cambria" w:eastAsia="Times New Roman" w:hAnsi="Cambria"/>
          <w:sz w:val="24"/>
          <w:szCs w:val="24"/>
        </w:rPr>
        <w:t>Similarly, persons with severe or multiple disabilities encounter additional barriers to achieving full inclusion owing to their higher support needs, which may result in continued dependence on specialized centers and services. In the same context, non-visible disabilities, including certain psychosocial disabilities and learning disabilities, may not receive sufficient attention within implementation mechanisms and policy frameworks, thereby affecting the extent to which the needs of these groups are adequately addressed and their equal access to available services is ensured.</w:t>
      </w:r>
    </w:p>
    <w:p w14:paraId="105D1361" w14:textId="77777777" w:rsidR="00B47259" w:rsidRPr="00B47259" w:rsidRDefault="00B47259" w:rsidP="00B47259">
      <w:pPr>
        <w:pStyle w:val="NoSpacing"/>
        <w:spacing w:before="240"/>
        <w:jc w:val="both"/>
        <w:rPr>
          <w:rFonts w:ascii="Cambria" w:eastAsia="Times New Roman" w:hAnsi="Cambria"/>
          <w:sz w:val="24"/>
          <w:szCs w:val="24"/>
        </w:rPr>
      </w:pPr>
      <w:r w:rsidRPr="00B47259">
        <w:rPr>
          <w:rFonts w:ascii="Cambria" w:eastAsia="Times New Roman" w:hAnsi="Cambria"/>
          <w:sz w:val="24"/>
          <w:szCs w:val="24"/>
        </w:rPr>
        <w:t>Certain cases also indicate that some students with disabilities and non-Qatari workers with disabilities continue to face challenges in accessing services and the support they require, reflecting the persistence of practical gaps in achieving substantive equality despite the existence of relevant legislative and policy frameworks.</w:t>
      </w:r>
    </w:p>
    <w:p w14:paraId="0FE0718F" w14:textId="3DD90097" w:rsidR="00B47259" w:rsidRDefault="00B47259" w:rsidP="00B47259">
      <w:pPr>
        <w:pStyle w:val="NoSpacing"/>
        <w:spacing w:before="240"/>
        <w:jc w:val="both"/>
        <w:rPr>
          <w:rFonts w:ascii="Cambria" w:eastAsia="Times New Roman" w:hAnsi="Cambria"/>
          <w:sz w:val="24"/>
          <w:szCs w:val="24"/>
        </w:rPr>
      </w:pPr>
      <w:r w:rsidRPr="00B47259">
        <w:rPr>
          <w:rFonts w:ascii="Cambria" w:eastAsia="Times New Roman" w:hAnsi="Cambria"/>
          <w:sz w:val="24"/>
          <w:szCs w:val="24"/>
        </w:rPr>
        <w:t>With regard to protection from violence and abuse, the State's obligations include ensuring that persons with disabilities are protected from all forms of violence, including physical, psychological, and sexual violence, as well as neglect and exploitation, whether occurring within the family, residential care institutions, or the workplace. Although general reporting channels and protection mechanisms are in place, this area continues to present several challenges, including the underreporting of incidents and difficulties in early identification, particularly in cases involving persons with intellectual disabilities or communication impairments.</w:t>
      </w:r>
    </w:p>
    <w:p w14:paraId="58D13A0E" w14:textId="228726B7" w:rsidR="00BE028E" w:rsidRDefault="00BE028E" w:rsidP="00B47259">
      <w:pPr>
        <w:pStyle w:val="NoSpacing"/>
        <w:spacing w:before="240"/>
        <w:jc w:val="both"/>
        <w:rPr>
          <w:rFonts w:ascii="Cambria" w:eastAsia="Times New Roman" w:hAnsi="Cambria"/>
          <w:sz w:val="24"/>
          <w:szCs w:val="24"/>
        </w:rPr>
      </w:pPr>
      <w:r w:rsidRPr="00BE028E">
        <w:rPr>
          <w:rFonts w:ascii="Cambria" w:eastAsia="Times New Roman" w:hAnsi="Cambria"/>
          <w:sz w:val="24"/>
          <w:szCs w:val="24"/>
        </w:rPr>
        <w:t>Furthermore, the limited availability of data and statistics relating to the prevalence, patterns, and causes of violence against persons with disabilities constrains the development of more responsive and effective policies and protective measures. This is compounded by barriers that may hinder effective access to justice and protection services, including the need to strengthen procedural accommodations and ensure the availability of appropriate communication support, so that persons with disabilities may enjoy protection on an equal basis with others.</w:t>
      </w:r>
    </w:p>
    <w:p w14:paraId="38919F9E" w14:textId="101A637F" w:rsidR="005B7BFC" w:rsidRDefault="005B7BFC" w:rsidP="005B7BFC">
      <w:pPr>
        <w:pStyle w:val="NoSpacing"/>
        <w:spacing w:before="240"/>
        <w:jc w:val="both"/>
        <w:rPr>
          <w:rFonts w:ascii="Cambria" w:eastAsia="Times New Roman" w:hAnsi="Cambria"/>
          <w:b/>
          <w:bCs/>
          <w:sz w:val="24"/>
          <w:szCs w:val="24"/>
        </w:rPr>
      </w:pPr>
      <w:r w:rsidRPr="00802033">
        <w:rPr>
          <w:rFonts w:ascii="Cambria" w:eastAsia="Times New Roman" w:hAnsi="Cambria"/>
          <w:b/>
          <w:bCs/>
          <w:sz w:val="24"/>
          <w:szCs w:val="24"/>
        </w:rPr>
        <w:t>The National Human Rights Committee therefore recommends strengthening community inclusion and support services for persons with disabilities, particularly persons with intellectual disabilities and those with severe or multiple disabilities, while expanding community-based alternatives and reducing reliance on institutional care.</w:t>
      </w:r>
    </w:p>
    <w:p w14:paraId="44CBFF35" w14:textId="77777777" w:rsidR="00B43BD4" w:rsidRDefault="00802033" w:rsidP="00B43BD4">
      <w:pPr>
        <w:pStyle w:val="NoSpacing"/>
        <w:spacing w:before="240"/>
        <w:jc w:val="both"/>
        <w:rPr>
          <w:rFonts w:ascii="Cambria" w:eastAsia="Times New Roman" w:hAnsi="Cambria"/>
          <w:b/>
          <w:bCs/>
          <w:sz w:val="24"/>
          <w:szCs w:val="24"/>
        </w:rPr>
      </w:pPr>
      <w:r w:rsidRPr="00802033">
        <w:rPr>
          <w:rFonts w:ascii="Cambria" w:eastAsia="Times New Roman" w:hAnsi="Cambria"/>
          <w:b/>
          <w:bCs/>
          <w:sz w:val="24"/>
          <w:szCs w:val="24"/>
        </w:rPr>
        <w:t>Ensuring the identification and recognition of non-visible disabilities and integrating the needs of persons with such disabilities into relevant policies, programs, and service</w:t>
      </w:r>
      <w:r w:rsidR="00B43BD4">
        <w:rPr>
          <w:rFonts w:ascii="Cambria" w:eastAsia="Times New Roman" w:hAnsi="Cambria"/>
          <w:b/>
          <w:bCs/>
          <w:sz w:val="24"/>
          <w:szCs w:val="24"/>
        </w:rPr>
        <w:t>s.</w:t>
      </w:r>
    </w:p>
    <w:p w14:paraId="36DBCEB2" w14:textId="741AD78C" w:rsidR="00802033" w:rsidRPr="00802033" w:rsidRDefault="00802033" w:rsidP="00B43BD4">
      <w:pPr>
        <w:pStyle w:val="NoSpacing"/>
        <w:spacing w:before="240"/>
        <w:jc w:val="both"/>
        <w:rPr>
          <w:rFonts w:ascii="Cambria" w:eastAsia="Times New Roman" w:hAnsi="Cambria"/>
          <w:b/>
          <w:bCs/>
          <w:sz w:val="24"/>
          <w:szCs w:val="24"/>
        </w:rPr>
      </w:pPr>
      <w:r w:rsidRPr="00802033">
        <w:rPr>
          <w:rFonts w:ascii="Cambria" w:eastAsia="Times New Roman" w:hAnsi="Cambria"/>
          <w:b/>
          <w:bCs/>
          <w:sz w:val="24"/>
          <w:szCs w:val="24"/>
        </w:rPr>
        <w:t>Strengthening measures to prevent and eliminate discrimination on the basis of disability in education, employment, and public services, while ensuring equality of opportunity and the equal enjoyment of rights.</w:t>
      </w:r>
    </w:p>
    <w:p w14:paraId="374C8E17" w14:textId="29956592" w:rsidR="00802033" w:rsidRDefault="00802033" w:rsidP="00802033">
      <w:pPr>
        <w:pStyle w:val="NoSpacing"/>
        <w:spacing w:before="240"/>
        <w:jc w:val="both"/>
        <w:rPr>
          <w:rFonts w:ascii="Cambria" w:eastAsia="Times New Roman" w:hAnsi="Cambria"/>
          <w:b/>
          <w:bCs/>
          <w:sz w:val="24"/>
          <w:szCs w:val="24"/>
        </w:rPr>
      </w:pPr>
      <w:r w:rsidRPr="00802033">
        <w:rPr>
          <w:rFonts w:ascii="Cambria" w:eastAsia="Times New Roman" w:hAnsi="Cambria"/>
          <w:b/>
          <w:bCs/>
          <w:sz w:val="24"/>
          <w:szCs w:val="24"/>
        </w:rPr>
        <w:t>Developing more effective mechanisms for monitoring violence, abuse, and exploitation, strengthening reporting and protection systems, and ensuring effective access to justice and remedies for persons with disabilities.</w:t>
      </w:r>
    </w:p>
    <w:p w14:paraId="2674F4AF" w14:textId="77777777" w:rsidR="00F17DD2" w:rsidRDefault="00F17DD2" w:rsidP="00802033">
      <w:pPr>
        <w:pStyle w:val="NoSpacing"/>
        <w:spacing w:before="240"/>
        <w:jc w:val="both"/>
        <w:rPr>
          <w:rFonts w:ascii="Cambria" w:eastAsia="Times New Roman" w:hAnsi="Cambria"/>
          <w:b/>
          <w:bCs/>
          <w:sz w:val="24"/>
          <w:szCs w:val="24"/>
        </w:rPr>
      </w:pPr>
    </w:p>
    <w:p w14:paraId="5871CDB3" w14:textId="77777777" w:rsidR="00F17DD2" w:rsidRDefault="00F17DD2" w:rsidP="00802033">
      <w:pPr>
        <w:pStyle w:val="NoSpacing"/>
        <w:spacing w:before="240"/>
        <w:jc w:val="both"/>
        <w:rPr>
          <w:rFonts w:ascii="Cambria" w:eastAsia="Times New Roman" w:hAnsi="Cambria"/>
          <w:b/>
          <w:bCs/>
          <w:sz w:val="24"/>
          <w:szCs w:val="24"/>
        </w:rPr>
      </w:pPr>
    </w:p>
    <w:p w14:paraId="59FB3019" w14:textId="765242E5" w:rsidR="00F17DD2" w:rsidRPr="00F17DD2" w:rsidRDefault="00F17DD2" w:rsidP="00F17DD2">
      <w:pPr>
        <w:pStyle w:val="NoSpacing"/>
        <w:spacing w:before="240"/>
        <w:rPr>
          <w:rFonts w:ascii="Cambria" w:eastAsia="Times New Roman" w:hAnsi="Cambria"/>
          <w:b/>
          <w:bCs/>
          <w:sz w:val="24"/>
          <w:szCs w:val="24"/>
        </w:rPr>
      </w:pPr>
      <w:r>
        <w:rPr>
          <w:rFonts w:ascii="Cambria" w:eastAsia="Times New Roman" w:hAnsi="Cambria"/>
          <w:b/>
          <w:bCs/>
          <w:sz w:val="24"/>
          <w:szCs w:val="24"/>
        </w:rPr>
        <w:t xml:space="preserve">Fourth: </w:t>
      </w:r>
      <w:r w:rsidRPr="00F17DD2">
        <w:rPr>
          <w:rFonts w:ascii="Cambria" w:eastAsia="Times New Roman" w:hAnsi="Cambria"/>
          <w:b/>
          <w:bCs/>
          <w:sz w:val="24"/>
          <w:szCs w:val="24"/>
        </w:rPr>
        <w:t>Summary of Recommendations and Future Priorities</w:t>
      </w:r>
    </w:p>
    <w:p w14:paraId="22D58CA0" w14:textId="4FA3D514" w:rsidR="00F17DD2" w:rsidRDefault="00F17DD2" w:rsidP="00F17DD2">
      <w:pPr>
        <w:pStyle w:val="NoSpacing"/>
        <w:spacing w:before="240"/>
        <w:jc w:val="both"/>
        <w:rPr>
          <w:rFonts w:ascii="Cambria" w:eastAsia="Times New Roman" w:hAnsi="Cambria"/>
          <w:sz w:val="24"/>
          <w:szCs w:val="24"/>
        </w:rPr>
      </w:pPr>
      <w:r w:rsidRPr="00F17DD2">
        <w:rPr>
          <w:rFonts w:ascii="Cambria" w:eastAsia="Times New Roman" w:hAnsi="Cambria"/>
          <w:sz w:val="24"/>
          <w:szCs w:val="24"/>
        </w:rPr>
        <w:t>The recommendations set out in this section are grounded in the provisions of the Convention on the Rights of Persons with Disabilities and are intended to support the full and effective implementation of the State of Qatar's obligations thereunder. They seek to strengthen legislative and institutional alignment with the Convention, enhance public policies, reinforce national monitoring and follow-up mechanisms in accordance with Article 33, and ensure the effective participation of persons with disabilities and their representative organizations, in line with Article 4(3) of the Convention and the principle of "Nothing About Us Without Us."</w:t>
      </w:r>
    </w:p>
    <w:p w14:paraId="43FC007E" w14:textId="7BCADEE8" w:rsidR="00804A68" w:rsidRPr="00804A68" w:rsidRDefault="00804A68" w:rsidP="00804A68">
      <w:pPr>
        <w:pStyle w:val="NoSpacing"/>
        <w:spacing w:before="240"/>
        <w:jc w:val="both"/>
        <w:rPr>
          <w:rFonts w:ascii="Cambria" w:eastAsia="Times New Roman" w:hAnsi="Cambria"/>
          <w:sz w:val="24"/>
          <w:szCs w:val="24"/>
        </w:rPr>
      </w:pPr>
      <w:r w:rsidRPr="00804A68">
        <w:rPr>
          <w:rFonts w:ascii="Cambria" w:eastAsia="Times New Roman" w:hAnsi="Cambria"/>
          <w:sz w:val="24"/>
          <w:szCs w:val="24"/>
        </w:rPr>
        <w:t>In light of the progress achieved and the challenges identified in implementing the Convention on the Rights of Persons with Disabilities, the National Human Rights Committee submits the following recommendations and future priorities with a view to strengthening implementation of the Convention, addressing the identified gaps and challenges, and supporting the continued development of national legislation, policies, and programs relating to the rights of persons with disabilities:</w:t>
      </w:r>
    </w:p>
    <w:p w14:paraId="5875B9B6" w14:textId="158347A7" w:rsidR="00366F27" w:rsidRDefault="00804A68" w:rsidP="00BC5E04">
      <w:pPr>
        <w:pStyle w:val="NoSpacing"/>
        <w:numPr>
          <w:ilvl w:val="0"/>
          <w:numId w:val="14"/>
        </w:numPr>
        <w:spacing w:before="240"/>
        <w:jc w:val="both"/>
        <w:rPr>
          <w:rFonts w:ascii="Cambria" w:eastAsia="Times New Roman" w:hAnsi="Cambria"/>
          <w:sz w:val="24"/>
          <w:szCs w:val="24"/>
        </w:rPr>
      </w:pPr>
      <w:r w:rsidRPr="00804A68">
        <w:rPr>
          <w:rFonts w:ascii="Cambria" w:eastAsia="Times New Roman" w:hAnsi="Cambria"/>
          <w:sz w:val="24"/>
          <w:szCs w:val="24"/>
        </w:rPr>
        <w:t>Continue harmonizing national legislation, policies, and strategies with the provisions of the Convention on the Rights of Persons with Disabilities, while expediting the issuance of the executive regulations and implementing decisions necessary to ensure the full and effective implementation of Law No. (22) of 2025 concerning Persons with Disabilities.</w:t>
      </w:r>
    </w:p>
    <w:p w14:paraId="07739F68" w14:textId="7FF37528" w:rsidR="00BC5E04" w:rsidRPr="00BC5E04" w:rsidRDefault="00BC5E04" w:rsidP="00BC5E04">
      <w:pPr>
        <w:pStyle w:val="NoSpacing"/>
        <w:numPr>
          <w:ilvl w:val="0"/>
          <w:numId w:val="14"/>
        </w:numPr>
        <w:spacing w:before="240"/>
        <w:jc w:val="both"/>
        <w:rPr>
          <w:rFonts w:ascii="Cambria" w:eastAsia="Times New Roman" w:hAnsi="Cambria"/>
          <w:sz w:val="24"/>
          <w:szCs w:val="24"/>
        </w:rPr>
      </w:pPr>
      <w:r w:rsidRPr="00BC5E04">
        <w:rPr>
          <w:rFonts w:ascii="Cambria" w:eastAsia="Times New Roman" w:hAnsi="Cambria"/>
          <w:sz w:val="24"/>
          <w:szCs w:val="24"/>
        </w:rPr>
        <w:t>Strengthen national coordination and monitoring mechanisms for the implementation of the Convention in accordance with Article 33, ensuring clearly defined responsibilities for all relevant authorities and the effective participation of persons with disabilities and their representative organizations in the formulation, implementation, and evaluation of policies and programs, consistent with the principle of "Nothing About Us Without Us."</w:t>
      </w:r>
    </w:p>
    <w:p w14:paraId="5A21A8D0" w14:textId="79B717DE" w:rsidR="00BC5E04" w:rsidRDefault="00BC5E04" w:rsidP="00BC5E04">
      <w:pPr>
        <w:pStyle w:val="NoSpacing"/>
        <w:numPr>
          <w:ilvl w:val="0"/>
          <w:numId w:val="14"/>
        </w:numPr>
        <w:spacing w:before="240"/>
        <w:jc w:val="both"/>
        <w:rPr>
          <w:rFonts w:ascii="Cambria" w:eastAsia="Times New Roman" w:hAnsi="Cambria"/>
          <w:sz w:val="24"/>
          <w:szCs w:val="24"/>
        </w:rPr>
      </w:pPr>
      <w:r w:rsidRPr="00BC5E04">
        <w:rPr>
          <w:rFonts w:ascii="Cambria" w:eastAsia="Times New Roman" w:hAnsi="Cambria"/>
          <w:sz w:val="24"/>
          <w:szCs w:val="24"/>
        </w:rPr>
        <w:t>Develop a comprehensive, rights-based national database on persons with disabilities incorporating measurable indicators relating to the effective enjoyment of rights, accessibility, independent living, personal assistance, and participation in education, employment, and social life.</w:t>
      </w:r>
    </w:p>
    <w:p w14:paraId="23B08871" w14:textId="198C56CF" w:rsidR="009E1C0F" w:rsidRPr="009E1C0F" w:rsidRDefault="009E1C0F" w:rsidP="009E1C0F">
      <w:pPr>
        <w:pStyle w:val="NoSpacing"/>
        <w:numPr>
          <w:ilvl w:val="0"/>
          <w:numId w:val="14"/>
        </w:numPr>
        <w:spacing w:before="240"/>
        <w:jc w:val="both"/>
        <w:rPr>
          <w:rFonts w:ascii="Cambria" w:eastAsia="Times New Roman" w:hAnsi="Cambria"/>
          <w:sz w:val="24"/>
          <w:szCs w:val="24"/>
        </w:rPr>
      </w:pPr>
      <w:r w:rsidRPr="009E1C0F">
        <w:rPr>
          <w:rFonts w:ascii="Cambria" w:eastAsia="Times New Roman" w:hAnsi="Cambria"/>
          <w:sz w:val="24"/>
          <w:szCs w:val="24"/>
        </w:rPr>
        <w:t xml:space="preserve">Enhance the quality and inclusiveness of inclusive education by ensuring the provision of reasonable </w:t>
      </w:r>
      <w:r>
        <w:rPr>
          <w:rFonts w:ascii="Cambria" w:eastAsia="Times New Roman" w:hAnsi="Cambria"/>
          <w:sz w:val="24"/>
          <w:szCs w:val="24"/>
        </w:rPr>
        <w:t>arrangements</w:t>
      </w:r>
      <w:r w:rsidRPr="009E1C0F">
        <w:rPr>
          <w:rFonts w:ascii="Cambria" w:eastAsia="Times New Roman" w:hAnsi="Cambria"/>
          <w:sz w:val="24"/>
          <w:szCs w:val="24"/>
        </w:rPr>
        <w:t xml:space="preserve"> and appropriate support services for students with disabilities, while improving data collection and statistics disaggregated by type of disability and educational needs.</w:t>
      </w:r>
    </w:p>
    <w:p w14:paraId="677929D3" w14:textId="466F0E59" w:rsidR="00B92442" w:rsidRDefault="009E1C0F" w:rsidP="009E1C0F">
      <w:pPr>
        <w:pStyle w:val="NoSpacing"/>
        <w:numPr>
          <w:ilvl w:val="0"/>
          <w:numId w:val="14"/>
        </w:numPr>
        <w:spacing w:before="240"/>
        <w:jc w:val="both"/>
        <w:rPr>
          <w:rFonts w:ascii="Cambria" w:eastAsia="Times New Roman" w:hAnsi="Cambria"/>
          <w:sz w:val="24"/>
          <w:szCs w:val="24"/>
        </w:rPr>
      </w:pPr>
      <w:r w:rsidRPr="009E1C0F">
        <w:rPr>
          <w:rFonts w:ascii="Cambria" w:eastAsia="Times New Roman" w:hAnsi="Cambria"/>
          <w:sz w:val="24"/>
          <w:szCs w:val="24"/>
        </w:rPr>
        <w:t>Continue strengthening healthcare, rehabilitation, and early intervention services, improving access to such services, and enhancing systems for measuring service quality and waiting times to ensure effective responses to the needs of persons with disabilities.</w:t>
      </w:r>
    </w:p>
    <w:p w14:paraId="39DAA738" w14:textId="2E1DA451" w:rsidR="009E1C0F" w:rsidRDefault="00AC5F69" w:rsidP="009E1C0F">
      <w:pPr>
        <w:pStyle w:val="NoSpacing"/>
        <w:numPr>
          <w:ilvl w:val="0"/>
          <w:numId w:val="14"/>
        </w:numPr>
        <w:spacing w:before="240"/>
        <w:jc w:val="both"/>
        <w:rPr>
          <w:rFonts w:ascii="Cambria" w:eastAsia="Times New Roman" w:hAnsi="Cambria"/>
          <w:sz w:val="24"/>
          <w:szCs w:val="24"/>
        </w:rPr>
      </w:pPr>
      <w:r w:rsidRPr="00AC5F69">
        <w:rPr>
          <w:rFonts w:ascii="Cambria" w:eastAsia="Times New Roman" w:hAnsi="Cambria"/>
          <w:sz w:val="24"/>
          <w:szCs w:val="24"/>
        </w:rPr>
        <w:lastRenderedPageBreak/>
        <w:t>Promote employment opportunities and economic empowerment for persons with disabilities, ensure equality of opportunity in the labor market, and further develop employment-related data covering employment, unemployment, job retention, and labor market sustainability, disaggregated by sex, age, type of disability, and economic sector.</w:t>
      </w:r>
    </w:p>
    <w:p w14:paraId="6BCF9E56" w14:textId="77777777" w:rsidR="00AC5F69" w:rsidRPr="00AC5F69" w:rsidRDefault="00AC5F69" w:rsidP="00AC5F69">
      <w:pPr>
        <w:pStyle w:val="NoSpacing"/>
        <w:numPr>
          <w:ilvl w:val="0"/>
          <w:numId w:val="14"/>
        </w:numPr>
        <w:spacing w:before="240"/>
        <w:jc w:val="both"/>
        <w:rPr>
          <w:rFonts w:ascii="Cambria" w:eastAsia="Times New Roman" w:hAnsi="Cambria"/>
          <w:sz w:val="24"/>
          <w:szCs w:val="24"/>
        </w:rPr>
      </w:pPr>
      <w:r w:rsidRPr="00AC5F69">
        <w:rPr>
          <w:rFonts w:ascii="Cambria" w:eastAsia="Times New Roman" w:hAnsi="Cambria"/>
          <w:sz w:val="24"/>
          <w:szCs w:val="24"/>
        </w:rPr>
        <w:t>Strengthen the right to independent living and inclusion in the community by expanding personal assistance services and community-based alternatives, thereby ensuring the right of persons with disabilities to choose their place of residence, determine their living arrangements, and participate fully in society.</w:t>
      </w:r>
    </w:p>
    <w:p w14:paraId="16FA3C7C" w14:textId="77777777" w:rsidR="00AC5F69" w:rsidRPr="00AC5F69" w:rsidRDefault="00AC5F69" w:rsidP="00AC5F69">
      <w:pPr>
        <w:pStyle w:val="NoSpacing"/>
        <w:numPr>
          <w:ilvl w:val="0"/>
          <w:numId w:val="14"/>
        </w:numPr>
        <w:spacing w:before="240"/>
        <w:jc w:val="both"/>
        <w:rPr>
          <w:rFonts w:ascii="Cambria" w:eastAsia="Times New Roman" w:hAnsi="Cambria"/>
          <w:sz w:val="24"/>
          <w:szCs w:val="24"/>
        </w:rPr>
      </w:pPr>
      <w:r w:rsidRPr="00AC5F69">
        <w:rPr>
          <w:rFonts w:ascii="Cambria" w:eastAsia="Times New Roman" w:hAnsi="Cambria"/>
          <w:sz w:val="24"/>
          <w:szCs w:val="24"/>
        </w:rPr>
        <w:t>Enhance universal accessibility to the physical environment, transportation, information, and digital services, establish measurable indicators to assess compliance with accessibility standards, and publish periodic reports on progress achieved and remaining challenges.</w:t>
      </w:r>
    </w:p>
    <w:p w14:paraId="35B5275E" w14:textId="73135278" w:rsidR="00AC5F69" w:rsidRDefault="00AC5F69" w:rsidP="00AC5F69">
      <w:pPr>
        <w:pStyle w:val="NoSpacing"/>
        <w:numPr>
          <w:ilvl w:val="0"/>
          <w:numId w:val="14"/>
        </w:numPr>
        <w:spacing w:before="240"/>
        <w:jc w:val="both"/>
        <w:rPr>
          <w:rFonts w:ascii="Cambria" w:eastAsia="Times New Roman" w:hAnsi="Cambria"/>
          <w:sz w:val="24"/>
          <w:szCs w:val="24"/>
        </w:rPr>
      </w:pPr>
      <w:r w:rsidRPr="00AC5F69">
        <w:rPr>
          <w:rFonts w:ascii="Cambria" w:eastAsia="Times New Roman" w:hAnsi="Cambria"/>
          <w:sz w:val="24"/>
          <w:szCs w:val="24"/>
        </w:rPr>
        <w:t>Strengthen oversight of institutions and centers providing services to persons with disabilities and enhance transparency through the regular publication of reports on service quality, inspection outcomes, and corrective measures undertaken.</w:t>
      </w:r>
    </w:p>
    <w:p w14:paraId="027ADFE5" w14:textId="77777777" w:rsidR="00CF416D" w:rsidRPr="00CF416D" w:rsidRDefault="00CF416D" w:rsidP="00CF416D">
      <w:pPr>
        <w:pStyle w:val="NoSpacing"/>
        <w:numPr>
          <w:ilvl w:val="0"/>
          <w:numId w:val="14"/>
        </w:numPr>
        <w:spacing w:before="240"/>
        <w:jc w:val="both"/>
        <w:rPr>
          <w:rFonts w:ascii="Cambria" w:eastAsia="Times New Roman" w:hAnsi="Cambria"/>
          <w:sz w:val="24"/>
          <w:szCs w:val="24"/>
        </w:rPr>
      </w:pPr>
      <w:r w:rsidRPr="00CF416D">
        <w:rPr>
          <w:rFonts w:ascii="Cambria" w:eastAsia="Times New Roman" w:hAnsi="Cambria"/>
          <w:sz w:val="24"/>
          <w:szCs w:val="24"/>
        </w:rPr>
        <w:t>Strengthen protection against violence, exploitation, and neglect, particularly for persons with disabilities at heightened risk, by developing more effective monitoring, reporting, and protection mechanisms and ensuring effective access to justice, complaints mechanisms, and remedies.</w:t>
      </w:r>
    </w:p>
    <w:p w14:paraId="268BE6E0" w14:textId="52EFA18C" w:rsidR="00E94F40" w:rsidRDefault="00CF416D" w:rsidP="00CF416D">
      <w:pPr>
        <w:pStyle w:val="NoSpacing"/>
        <w:numPr>
          <w:ilvl w:val="0"/>
          <w:numId w:val="14"/>
        </w:numPr>
        <w:spacing w:before="240"/>
        <w:jc w:val="both"/>
        <w:rPr>
          <w:rFonts w:ascii="Cambria" w:eastAsia="Times New Roman" w:hAnsi="Cambria"/>
          <w:sz w:val="24"/>
          <w:szCs w:val="24"/>
        </w:rPr>
      </w:pPr>
      <w:r w:rsidRPr="00CF416D">
        <w:rPr>
          <w:rFonts w:ascii="Cambria" w:eastAsia="Times New Roman" w:hAnsi="Cambria"/>
          <w:sz w:val="24"/>
          <w:szCs w:val="24"/>
        </w:rPr>
        <w:t>Give particular attention to groups facing heightened risks of exclusion or marginalization, including persons with intellectual disabilities, persons with severe or multiple disabilities, and persons with non-visible disabilities, ensuring that their needs are fully reflected in national policies and programs.</w:t>
      </w:r>
    </w:p>
    <w:p w14:paraId="31DF441B" w14:textId="77777777" w:rsidR="00301080" w:rsidRPr="00301080" w:rsidRDefault="00301080" w:rsidP="00301080">
      <w:pPr>
        <w:pStyle w:val="NoSpacing"/>
        <w:numPr>
          <w:ilvl w:val="0"/>
          <w:numId w:val="14"/>
        </w:numPr>
        <w:spacing w:before="240"/>
        <w:jc w:val="both"/>
        <w:rPr>
          <w:rFonts w:ascii="Cambria" w:eastAsia="Times New Roman" w:hAnsi="Cambria"/>
          <w:sz w:val="24"/>
          <w:szCs w:val="24"/>
        </w:rPr>
      </w:pPr>
      <w:r w:rsidRPr="00301080">
        <w:rPr>
          <w:rFonts w:ascii="Cambria" w:eastAsia="Times New Roman" w:hAnsi="Cambria"/>
          <w:sz w:val="24"/>
          <w:szCs w:val="24"/>
        </w:rPr>
        <w:t>Continue advancing the transition from a welfare-based approach to a human rights-based approach, thereby safeguarding the autonomy, dignity, and full and effective participation of persons with disabilities in all aspects of life on an equal basis with others.</w:t>
      </w:r>
    </w:p>
    <w:p w14:paraId="050311CA" w14:textId="44F64559" w:rsidR="00CF416D" w:rsidRPr="00F17DD2" w:rsidRDefault="00301080" w:rsidP="00253A56">
      <w:pPr>
        <w:pStyle w:val="NoSpacing"/>
        <w:numPr>
          <w:ilvl w:val="0"/>
          <w:numId w:val="14"/>
        </w:numPr>
        <w:spacing w:before="240"/>
        <w:jc w:val="both"/>
        <w:rPr>
          <w:rFonts w:ascii="Cambria" w:eastAsia="Times New Roman" w:hAnsi="Cambria"/>
          <w:sz w:val="24"/>
          <w:szCs w:val="24"/>
        </w:rPr>
      </w:pPr>
      <w:r w:rsidRPr="00301080">
        <w:rPr>
          <w:rFonts w:ascii="Cambria" w:eastAsia="Times New Roman" w:hAnsi="Cambria"/>
          <w:sz w:val="24"/>
          <w:szCs w:val="24"/>
        </w:rPr>
        <w:t>Expand opportunities for civil society participation and facilitate the registration and legal establishment of organizations representing persons with disabilities.</w:t>
      </w:r>
    </w:p>
    <w:sectPr w:rsidR="00CF416D" w:rsidRPr="00F17DD2">
      <w:headerReference w:type="default"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5CE0AF" w14:textId="77777777" w:rsidR="00A013AA" w:rsidRDefault="00A013AA" w:rsidP="007C1083">
      <w:pPr>
        <w:spacing w:after="0" w:line="240" w:lineRule="auto"/>
      </w:pPr>
      <w:r>
        <w:separator/>
      </w:r>
    </w:p>
  </w:endnote>
  <w:endnote w:type="continuationSeparator" w:id="0">
    <w:p w14:paraId="6A41DFA6" w14:textId="77777777" w:rsidR="00A013AA" w:rsidRDefault="00A013AA" w:rsidP="007C108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lusail">
    <w:altName w:val="Cambria"/>
    <w:panose1 w:val="00000000000000000000"/>
    <w:charset w:val="00"/>
    <w:family w:val="roman"/>
    <w:notTrueType/>
    <w:pitch w:val="default"/>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775789825"/>
      <w:docPartObj>
        <w:docPartGallery w:val="Page Numbers (Bottom of Page)"/>
        <w:docPartUnique/>
      </w:docPartObj>
    </w:sdtPr>
    <w:sdtEndPr>
      <w:rPr>
        <w:noProof/>
      </w:rPr>
    </w:sdtEndPr>
    <w:sdtContent>
      <w:p w14:paraId="002C5505" w14:textId="1C070C4B" w:rsidR="00346101" w:rsidRDefault="0034610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380F0AC" w14:textId="77777777" w:rsidR="00346101" w:rsidRDefault="0034610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178C5B" w14:textId="77777777" w:rsidR="00A013AA" w:rsidRDefault="00A013AA" w:rsidP="007C1083">
      <w:pPr>
        <w:spacing w:after="0" w:line="240" w:lineRule="auto"/>
      </w:pPr>
      <w:r>
        <w:separator/>
      </w:r>
    </w:p>
  </w:footnote>
  <w:footnote w:type="continuationSeparator" w:id="0">
    <w:p w14:paraId="6855432E" w14:textId="77777777" w:rsidR="00A013AA" w:rsidRDefault="00A013AA" w:rsidP="007C1083">
      <w:pPr>
        <w:spacing w:after="0" w:line="240" w:lineRule="auto"/>
      </w:pPr>
      <w:r>
        <w:continuationSeparator/>
      </w:r>
    </w:p>
  </w:footnote>
  <w:footnote w:id="1">
    <w:p w14:paraId="7AC1063C" w14:textId="46BB0432" w:rsidR="00B94B17" w:rsidRPr="00025F6A" w:rsidRDefault="00B94B17" w:rsidP="001D184D">
      <w:pPr>
        <w:pStyle w:val="FootnoteText"/>
        <w:bidi w:val="0"/>
        <w:rPr>
          <w:sz w:val="16"/>
          <w:szCs w:val="16"/>
          <w:lang w:bidi="ar-QA"/>
        </w:rPr>
      </w:pPr>
      <w:r w:rsidRPr="00025F6A">
        <w:rPr>
          <w:rStyle w:val="FootnoteReference"/>
          <w:sz w:val="16"/>
          <w:szCs w:val="16"/>
        </w:rPr>
        <w:footnoteRef/>
      </w:r>
      <w:r w:rsidRPr="00025F6A">
        <w:rPr>
          <w:sz w:val="16"/>
          <w:szCs w:val="16"/>
          <w:rtl/>
        </w:rPr>
        <w:t xml:space="preserve"> </w:t>
      </w:r>
      <w:r w:rsidR="001D184D" w:rsidRPr="00025F6A">
        <w:rPr>
          <w:sz w:val="16"/>
          <w:szCs w:val="16"/>
        </w:rPr>
        <w:t>Planning and Statistics Authority, Qatar Population Census 2020 and the Qatar Open Data Portal (Data.gov.qa), Data on Persons with Disabilities, disaggregated by nationality, sex, age, municipality, and type of functional difficulty</w:t>
      </w:r>
      <w:r w:rsidR="001D184D" w:rsidRPr="00025F6A">
        <w:rPr>
          <w:rFonts w:cs="Arial"/>
          <w:sz w:val="16"/>
          <w:szCs w:val="16"/>
          <w:rtl/>
        </w:rPr>
        <w:t>.</w:t>
      </w:r>
    </w:p>
  </w:footnote>
  <w:footnote w:id="2">
    <w:p w14:paraId="1F96C690" w14:textId="6FFCBE21" w:rsidR="009D1EC3" w:rsidRPr="00025F6A" w:rsidRDefault="009D1EC3" w:rsidP="002F15AC">
      <w:pPr>
        <w:pStyle w:val="pdq2pgselectionanchorcontainer"/>
        <w:rPr>
          <w:sz w:val="16"/>
          <w:szCs w:val="16"/>
        </w:rPr>
      </w:pPr>
      <w:r w:rsidRPr="00025F6A">
        <w:rPr>
          <w:rStyle w:val="FootnoteReference"/>
          <w:sz w:val="16"/>
          <w:szCs w:val="16"/>
        </w:rPr>
        <w:footnoteRef/>
      </w:r>
      <w:r w:rsidRPr="00025F6A">
        <w:rPr>
          <w:sz w:val="16"/>
          <w:szCs w:val="16"/>
          <w:rtl/>
        </w:rPr>
        <w:t xml:space="preserve"> </w:t>
      </w:r>
      <w:r w:rsidR="002F15AC" w:rsidRPr="00025F6A">
        <w:rPr>
          <w:sz w:val="16"/>
          <w:szCs w:val="16"/>
        </w:rPr>
        <w:t xml:space="preserve">Qatar Open Data Portal – Data on Persons with Disabilities by Nationality, Sex, and Age Groups (5 Years and Above): </w:t>
      </w:r>
      <w:r w:rsidR="002F15AC" w:rsidRPr="00025F6A">
        <w:rPr>
          <w:sz w:val="16"/>
          <w:szCs w:val="16"/>
          <w:u w:val="single"/>
        </w:rPr>
        <w:t>Persons with Functional Difficulties by Nationality, Sex, and Age Groups (5 Years and Above)</w:t>
      </w:r>
      <w:r w:rsidR="002F15AC" w:rsidRPr="00025F6A">
        <w:rPr>
          <w:sz w:val="16"/>
          <w:szCs w:val="16"/>
          <w:u w:val="single"/>
          <w:rtl/>
        </w:rPr>
        <w:t>.</w:t>
      </w:r>
    </w:p>
    <w:p w14:paraId="1D9BE96E" w14:textId="4A2E1D67" w:rsidR="002F15AC" w:rsidRPr="00025F6A" w:rsidRDefault="009D1EC3" w:rsidP="002F15AC">
      <w:pPr>
        <w:bidi w:val="0"/>
        <w:spacing w:before="100" w:beforeAutospacing="1" w:after="100" w:afterAutospacing="1" w:line="240" w:lineRule="auto"/>
        <w:rPr>
          <w:rFonts w:ascii="Times New Roman" w:eastAsia="Times New Roman" w:hAnsi="Times New Roman" w:cs="Times New Roman"/>
          <w:sz w:val="16"/>
          <w:szCs w:val="16"/>
          <w:lang w:val="en-GB" w:eastAsia="en-GB"/>
        </w:rPr>
      </w:pPr>
      <w:r w:rsidRPr="00025F6A">
        <w:rPr>
          <w:rFonts w:ascii="Times New Roman" w:eastAsia="Times New Roman" w:hAnsi="Times New Roman" w:cs="Times New Roman" w:hint="cs"/>
          <w:sz w:val="16"/>
          <w:szCs w:val="16"/>
          <w:rtl/>
          <w:lang w:val="en-GB" w:eastAsia="en-GB"/>
        </w:rPr>
        <w:t>-</w:t>
      </w:r>
      <w:r w:rsidR="007209C7" w:rsidRPr="00025F6A">
        <w:rPr>
          <w:rFonts w:ascii="Times New Roman" w:eastAsia="Times New Roman" w:hAnsi="Times New Roman" w:cs="Times New Roman"/>
          <w:sz w:val="16"/>
          <w:szCs w:val="16"/>
          <w:lang w:val="en-GB" w:eastAsia="en-GB"/>
        </w:rPr>
        <w:t xml:space="preserve">Qatar Open Data Portal – Data on Persons with Disabilities by Nationality, Sex, and Municipality: </w:t>
      </w:r>
      <w:r w:rsidR="007209C7" w:rsidRPr="00025F6A">
        <w:rPr>
          <w:rFonts w:ascii="Times New Roman" w:eastAsia="Times New Roman" w:hAnsi="Times New Roman" w:cs="Times New Roman"/>
          <w:sz w:val="16"/>
          <w:szCs w:val="16"/>
          <w:u w:val="single"/>
          <w:lang w:val="en-GB" w:eastAsia="en-GB"/>
        </w:rPr>
        <w:t>Number of Persons with Disabilities by Nationality, Sex, and Municipality.</w:t>
      </w:r>
    </w:p>
    <w:p w14:paraId="41A200C5" w14:textId="23D52789" w:rsidR="007209C7" w:rsidRPr="00025F6A" w:rsidRDefault="009D1EC3" w:rsidP="007209C7">
      <w:pPr>
        <w:bidi w:val="0"/>
        <w:spacing w:before="100" w:beforeAutospacing="1" w:after="100" w:afterAutospacing="1" w:line="240" w:lineRule="auto"/>
        <w:rPr>
          <w:rFonts w:ascii="Times New Roman" w:eastAsia="Times New Roman" w:hAnsi="Times New Roman" w:cs="Times New Roman"/>
          <w:sz w:val="16"/>
          <w:szCs w:val="16"/>
          <w:lang w:val="en-GB" w:eastAsia="en-GB"/>
        </w:rPr>
      </w:pPr>
      <w:r w:rsidRPr="00025F6A">
        <w:rPr>
          <w:rFonts w:ascii="Times New Roman" w:eastAsia="Times New Roman" w:hAnsi="Times New Roman" w:cs="Times New Roman" w:hint="cs"/>
          <w:sz w:val="16"/>
          <w:szCs w:val="16"/>
          <w:rtl/>
          <w:lang w:val="en-GB" w:eastAsia="en-GB"/>
        </w:rPr>
        <w:t>-</w:t>
      </w:r>
      <w:r w:rsidR="007209C7" w:rsidRPr="00025F6A">
        <w:rPr>
          <w:rFonts w:ascii="Times New Roman" w:eastAsia="Times New Roman" w:hAnsi="Times New Roman" w:cs="Times New Roman"/>
          <w:sz w:val="16"/>
          <w:szCs w:val="16"/>
          <w:lang w:val="en-GB" w:eastAsia="en-GB"/>
        </w:rPr>
        <w:t xml:space="preserve"> Qatar Open Data Portal – Data on Persons with Disabilities by Nationality, Sex, and Type of Difficulty: </w:t>
      </w:r>
      <w:r w:rsidR="007209C7" w:rsidRPr="00025F6A">
        <w:rPr>
          <w:rFonts w:ascii="Times New Roman" w:eastAsia="Times New Roman" w:hAnsi="Times New Roman" w:cs="Times New Roman"/>
          <w:sz w:val="16"/>
          <w:szCs w:val="16"/>
          <w:u w:val="single"/>
          <w:lang w:val="en-GB" w:eastAsia="en-GB"/>
        </w:rPr>
        <w:t>Number of Persons with Disabilities by Nationality, Sex, and Type of Functional Difficulty</w:t>
      </w:r>
      <w:r w:rsidR="007209C7" w:rsidRPr="00025F6A">
        <w:rPr>
          <w:rFonts w:ascii="Times New Roman" w:eastAsia="Times New Roman" w:hAnsi="Times New Roman" w:cs="Times New Roman"/>
          <w:sz w:val="16"/>
          <w:szCs w:val="16"/>
          <w:rtl/>
          <w:lang w:val="en-GB" w:eastAsia="en-GB"/>
        </w:rPr>
        <w:t>.</w:t>
      </w:r>
    </w:p>
    <w:p w14:paraId="02F4A120" w14:textId="14F0463A" w:rsidR="009D1EC3" w:rsidRPr="009D1EC3" w:rsidRDefault="009D1EC3">
      <w:pPr>
        <w:pStyle w:val="FootnoteText"/>
        <w:rPr>
          <w:lang w:val="en-GB"/>
        </w:rPr>
      </w:pPr>
    </w:p>
  </w:footnote>
  <w:footnote w:id="3">
    <w:p w14:paraId="6521D86C" w14:textId="2114C190" w:rsidR="007C1083" w:rsidRPr="00025F6A" w:rsidRDefault="007C1083" w:rsidP="0012103B">
      <w:pPr>
        <w:pStyle w:val="FootnoteText"/>
        <w:bidi w:val="0"/>
        <w:rPr>
          <w:sz w:val="16"/>
          <w:szCs w:val="16"/>
          <w:u w:val="single"/>
          <w:lang w:bidi="ar-QA"/>
        </w:rPr>
      </w:pPr>
      <w:r w:rsidRPr="00025F6A">
        <w:rPr>
          <w:rStyle w:val="FootnoteReference"/>
          <w:sz w:val="16"/>
          <w:szCs w:val="16"/>
          <w:u w:val="single"/>
        </w:rPr>
        <w:footnoteRef/>
      </w:r>
      <w:r w:rsidRPr="00025F6A">
        <w:rPr>
          <w:sz w:val="16"/>
          <w:szCs w:val="16"/>
          <w:u w:val="single"/>
          <w:rtl/>
        </w:rPr>
        <w:t xml:space="preserve"> </w:t>
      </w:r>
      <w:r w:rsidR="0012103B" w:rsidRPr="00025F6A">
        <w:rPr>
          <w:sz w:val="16"/>
          <w:szCs w:val="16"/>
          <w:u w:val="single"/>
        </w:rPr>
        <w:t>Number of Students with Disabilities Integrated into Public Schools by Educational Stage, Nationality, and Gender — State of Qatar Open Data</w:t>
      </w:r>
    </w:p>
  </w:footnote>
  <w:footnote w:id="4">
    <w:p w14:paraId="5488B332" w14:textId="1393E86B" w:rsidR="007C1083" w:rsidRPr="00025F6A" w:rsidRDefault="007C1083" w:rsidP="0012103B">
      <w:pPr>
        <w:bidi w:val="0"/>
        <w:spacing w:before="100" w:beforeAutospacing="1" w:after="100" w:afterAutospacing="1" w:line="240" w:lineRule="auto"/>
        <w:rPr>
          <w:sz w:val="16"/>
          <w:szCs w:val="16"/>
        </w:rPr>
      </w:pPr>
      <w:r w:rsidRPr="00025F6A">
        <w:rPr>
          <w:rStyle w:val="FootnoteReference"/>
          <w:sz w:val="16"/>
          <w:szCs w:val="16"/>
        </w:rPr>
        <w:footnoteRef/>
      </w:r>
      <w:r w:rsidRPr="00025F6A">
        <w:rPr>
          <w:sz w:val="16"/>
          <w:szCs w:val="16"/>
          <w:rtl/>
        </w:rPr>
        <w:t xml:space="preserve"> </w:t>
      </w:r>
      <w:hyperlink r:id="rId1" w:history="1">
        <w:r w:rsidRPr="00025F6A">
          <w:rPr>
            <w:rStyle w:val="Hyperlink"/>
            <w:color w:val="auto"/>
            <w:sz w:val="16"/>
            <w:szCs w:val="16"/>
          </w:rPr>
          <w:t>Qatar's Education Ministry launches online registration for students with disabilities | The Peninsula Qatar</w:t>
        </w:r>
      </w:hyperlink>
    </w:p>
    <w:p w14:paraId="1B4F7183" w14:textId="77777777" w:rsidR="007C1083" w:rsidRPr="00025F6A" w:rsidRDefault="007C1083" w:rsidP="0012103B">
      <w:pPr>
        <w:pStyle w:val="FootnoteText"/>
        <w:bidi w:val="0"/>
        <w:rPr>
          <w:sz w:val="16"/>
          <w:szCs w:val="16"/>
          <w:lang w:val="en-GB"/>
        </w:rPr>
      </w:pPr>
    </w:p>
  </w:footnote>
  <w:footnote w:id="5">
    <w:p w14:paraId="51C27B17" w14:textId="77777777" w:rsidR="007C1083" w:rsidRDefault="007C1083" w:rsidP="0012103B">
      <w:pPr>
        <w:pStyle w:val="FootnoteText"/>
        <w:bidi w:val="0"/>
      </w:pPr>
      <w:r w:rsidRPr="00025F6A">
        <w:rPr>
          <w:rStyle w:val="FootnoteReference"/>
          <w:sz w:val="16"/>
          <w:szCs w:val="16"/>
        </w:rPr>
        <w:footnoteRef/>
      </w:r>
      <w:r w:rsidRPr="00025F6A">
        <w:rPr>
          <w:sz w:val="16"/>
          <w:szCs w:val="16"/>
          <w:rtl/>
        </w:rPr>
        <w:t xml:space="preserve"> </w:t>
      </w:r>
      <w:hyperlink r:id="rId2" w:history="1">
        <w:r w:rsidRPr="00025F6A">
          <w:rPr>
            <w:rStyle w:val="Hyperlink"/>
            <w:color w:val="auto"/>
            <w:sz w:val="16"/>
            <w:szCs w:val="16"/>
          </w:rPr>
          <w:t>Renad Academy | Autism Community Hub | Qatar Foundation</w:t>
        </w:r>
      </w:hyperlink>
    </w:p>
  </w:footnote>
  <w:footnote w:id="6">
    <w:p w14:paraId="1242D78F" w14:textId="1F44635E" w:rsidR="00924DF9" w:rsidRPr="00025F6A" w:rsidRDefault="00924DF9" w:rsidP="00594896">
      <w:pPr>
        <w:pStyle w:val="FootnoteText"/>
        <w:bidi w:val="0"/>
        <w:rPr>
          <w:sz w:val="16"/>
          <w:szCs w:val="16"/>
        </w:rPr>
      </w:pPr>
      <w:r w:rsidRPr="00025F6A">
        <w:rPr>
          <w:rStyle w:val="FootnoteReference"/>
          <w:sz w:val="16"/>
          <w:szCs w:val="16"/>
        </w:rPr>
        <w:footnoteRef/>
      </w:r>
      <w:r w:rsidRPr="00025F6A">
        <w:rPr>
          <w:sz w:val="16"/>
          <w:szCs w:val="16"/>
          <w:rtl/>
        </w:rPr>
        <w:t xml:space="preserve"> </w:t>
      </w:r>
      <w:r w:rsidR="00B3790B" w:rsidRPr="00025F6A">
        <w:rPr>
          <w:sz w:val="16"/>
          <w:szCs w:val="16"/>
        </w:rPr>
        <w:t>In addition to government services, Qatar has private international schools that implement inclusive education and provide educational support services for students with special educational needs, such as learning support teachers, resource rooms, and Individualized Education Plans (IEPs), while adopting various international curricula</w:t>
      </w:r>
      <w:r w:rsidR="00B3790B" w:rsidRPr="00025F6A">
        <w:rPr>
          <w:rFonts w:cs="Arial"/>
          <w:sz w:val="16"/>
          <w:szCs w:val="16"/>
          <w:rtl/>
        </w:rPr>
        <w:t>.</w:t>
      </w:r>
      <w:r w:rsidR="00594896" w:rsidRPr="00025F6A">
        <w:rPr>
          <w:rFonts w:cs="Arial"/>
          <w:sz w:val="16"/>
          <w:szCs w:val="16"/>
        </w:rPr>
        <w:t xml:space="preserve"> </w:t>
      </w:r>
      <w:r w:rsidR="00B3790B" w:rsidRPr="00025F6A">
        <w:rPr>
          <w:sz w:val="16"/>
          <w:szCs w:val="16"/>
        </w:rPr>
        <w:t>Licensed private centers, such as HOPE Qatar Centre and Omega Center, provide educational and rehabilitation programs that include occupational therapy, speech and language therapy, behavioral therapy, skills development, and support for the gradual transition of children into inclusive educational environments</w:t>
      </w:r>
      <w:r w:rsidR="00B3790B" w:rsidRPr="00025F6A">
        <w:rPr>
          <w:rFonts w:cs="Arial"/>
          <w:sz w:val="16"/>
          <w:szCs w:val="16"/>
          <w:rtl/>
        </w:rPr>
        <w:t>.</w:t>
      </w:r>
    </w:p>
  </w:footnote>
  <w:footnote w:id="7">
    <w:p w14:paraId="0CAFB63D" w14:textId="523271F8" w:rsidR="00475040" w:rsidRPr="00025F6A" w:rsidRDefault="00475040" w:rsidP="00594896">
      <w:pPr>
        <w:pStyle w:val="FootnoteText"/>
        <w:bidi w:val="0"/>
        <w:rPr>
          <w:sz w:val="16"/>
          <w:szCs w:val="16"/>
          <w:lang w:bidi="ar-QA"/>
        </w:rPr>
      </w:pPr>
      <w:r w:rsidRPr="00025F6A">
        <w:rPr>
          <w:rStyle w:val="FootnoteReference"/>
          <w:sz w:val="16"/>
          <w:szCs w:val="16"/>
        </w:rPr>
        <w:footnoteRef/>
      </w:r>
      <w:r w:rsidRPr="00025F6A">
        <w:rPr>
          <w:sz w:val="16"/>
          <w:szCs w:val="16"/>
          <w:rtl/>
        </w:rPr>
        <w:t xml:space="preserve"> </w:t>
      </w:r>
      <w:r w:rsidR="00594896" w:rsidRPr="00025F6A">
        <w:rPr>
          <w:sz w:val="16"/>
          <w:szCs w:val="16"/>
        </w:rPr>
        <w:t xml:space="preserve">In addition to government services, Qatar has licensed private centers that provide health, educational, and rehabilitation programs for children with disabilities, including occupational therapy, speech and language therapy, behavioral therapy, early intervention, and Individualized Education Plans (IEPs). These centers work in coordination with the services provided by Hamad Medical Corporation, Sidra Medicine, and the Primary Health Care Corporation to support the educational and social inclusion of children. The most prominent centers include HOPE Qatar Centre, Omega Center, Jumpstart Center, Leo Kanner Center, Child Development Center, and </w:t>
      </w:r>
      <w:r w:rsidR="00594896" w:rsidRPr="00025F6A">
        <w:rPr>
          <w:sz w:val="16"/>
          <w:szCs w:val="16"/>
        </w:rPr>
        <w:t>Reenaz Specialized Center</w:t>
      </w:r>
      <w:r w:rsidR="00594896" w:rsidRPr="00025F6A">
        <w:rPr>
          <w:rFonts w:cs="Arial"/>
          <w:sz w:val="16"/>
          <w:szCs w:val="16"/>
          <w:rtl/>
        </w:rPr>
        <w:t>.</w:t>
      </w:r>
    </w:p>
  </w:footnote>
  <w:footnote w:id="8">
    <w:p w14:paraId="2CF90CA7" w14:textId="77777777" w:rsidR="007C1083" w:rsidRPr="00025F6A" w:rsidRDefault="007C1083" w:rsidP="00594896">
      <w:pPr>
        <w:pStyle w:val="FootnoteText"/>
        <w:bidi w:val="0"/>
        <w:rPr>
          <w:sz w:val="16"/>
          <w:szCs w:val="16"/>
        </w:rPr>
      </w:pPr>
      <w:r w:rsidRPr="00025F6A">
        <w:rPr>
          <w:rStyle w:val="FootnoteReference"/>
          <w:sz w:val="16"/>
          <w:szCs w:val="16"/>
        </w:rPr>
        <w:footnoteRef/>
      </w:r>
      <w:r w:rsidRPr="00025F6A">
        <w:rPr>
          <w:sz w:val="16"/>
          <w:szCs w:val="16"/>
          <w:rtl/>
        </w:rPr>
        <w:t xml:space="preserve"> </w:t>
      </w:r>
      <w:r w:rsidRPr="00025F6A">
        <w:rPr>
          <w:rFonts w:ascii="Times New Roman" w:hAnsi="Times New Roman" w:cs="Times New Roman"/>
          <w:sz w:val="16"/>
          <w:szCs w:val="16"/>
          <w:lang w:val="en-GB" w:eastAsia="en-GB"/>
        </w:rPr>
        <w:t xml:space="preserve"> </w:t>
      </w:r>
      <w:hyperlink r:id="rId3" w:tgtFrame="_new" w:history="1">
        <w:r w:rsidRPr="00025F6A">
          <w:rPr>
            <w:rFonts w:ascii="Times New Roman" w:hAnsi="Times New Roman" w:cs="Times New Roman"/>
            <w:sz w:val="16"/>
            <w:szCs w:val="16"/>
            <w:u w:val="single"/>
            <w:lang w:val="en-GB" w:eastAsia="en-GB"/>
          </w:rPr>
          <w:t>https://www.hamad.qa</w:t>
        </w:r>
      </w:hyperlink>
    </w:p>
  </w:footnote>
  <w:footnote w:id="9">
    <w:p w14:paraId="696740B3" w14:textId="77777777" w:rsidR="007C1083" w:rsidRPr="00926D32" w:rsidRDefault="007C1083" w:rsidP="00594896">
      <w:pPr>
        <w:pStyle w:val="FootnoteText"/>
        <w:bidi w:val="0"/>
        <w:rPr>
          <w:sz w:val="18"/>
          <w:szCs w:val="18"/>
        </w:rPr>
      </w:pPr>
      <w:r w:rsidRPr="00025F6A">
        <w:rPr>
          <w:rStyle w:val="FootnoteReference"/>
          <w:sz w:val="16"/>
          <w:szCs w:val="16"/>
        </w:rPr>
        <w:footnoteRef/>
      </w:r>
      <w:r w:rsidRPr="00025F6A">
        <w:rPr>
          <w:sz w:val="16"/>
          <w:szCs w:val="16"/>
          <w:rtl/>
        </w:rPr>
        <w:t xml:space="preserve"> </w:t>
      </w:r>
      <w:hyperlink r:id="rId4" w:tgtFrame="_new" w:history="1">
        <w:r w:rsidRPr="00025F6A">
          <w:rPr>
            <w:rFonts w:ascii="Times New Roman" w:hAnsi="Times New Roman" w:cs="Times New Roman"/>
            <w:sz w:val="16"/>
            <w:szCs w:val="16"/>
            <w:u w:val="single"/>
            <w:lang w:val="en-GB" w:eastAsia="en-GB"/>
          </w:rPr>
          <w:t>https://www.hamad.qa</w:t>
        </w:r>
      </w:hyperlink>
    </w:p>
  </w:footnote>
  <w:footnote w:id="10">
    <w:p w14:paraId="392A11A8" w14:textId="77777777" w:rsidR="007C1083" w:rsidRPr="00025F6A" w:rsidRDefault="007C1083" w:rsidP="006D052D">
      <w:pPr>
        <w:pStyle w:val="FootnoteText"/>
        <w:bidi w:val="0"/>
        <w:rPr>
          <w:sz w:val="16"/>
          <w:szCs w:val="16"/>
        </w:rPr>
      </w:pPr>
      <w:r w:rsidRPr="00025F6A">
        <w:rPr>
          <w:rStyle w:val="FootnoteReference"/>
          <w:sz w:val="16"/>
          <w:szCs w:val="16"/>
        </w:rPr>
        <w:footnoteRef/>
      </w:r>
      <w:r w:rsidRPr="00025F6A">
        <w:rPr>
          <w:sz w:val="16"/>
          <w:szCs w:val="16"/>
          <w:rtl/>
        </w:rPr>
        <w:t xml:space="preserve"> </w:t>
      </w:r>
      <w:r w:rsidRPr="00025F6A">
        <w:rPr>
          <w:rFonts w:ascii="Times New Roman" w:hAnsi="Times New Roman" w:cs="Times New Roman"/>
          <w:sz w:val="16"/>
          <w:szCs w:val="16"/>
          <w:lang w:val="en-GB" w:eastAsia="en-GB"/>
        </w:rPr>
        <w:t xml:space="preserve"> </w:t>
      </w:r>
      <w:hyperlink r:id="rId5" w:tgtFrame="_new" w:history="1">
        <w:r w:rsidRPr="00025F6A">
          <w:rPr>
            <w:rFonts w:ascii="Times New Roman" w:hAnsi="Times New Roman" w:cs="Times New Roman"/>
            <w:sz w:val="16"/>
            <w:szCs w:val="16"/>
            <w:u w:val="single"/>
            <w:lang w:val="en-GB" w:eastAsia="en-GB"/>
          </w:rPr>
          <w:t>https://www.phcc.gov.qa</w:t>
        </w:r>
      </w:hyperlink>
    </w:p>
  </w:footnote>
  <w:footnote w:id="11">
    <w:p w14:paraId="3C4E857F" w14:textId="4A597076" w:rsidR="007C1083" w:rsidRPr="00025F6A" w:rsidRDefault="007C1083" w:rsidP="006D052D">
      <w:pPr>
        <w:pStyle w:val="FootnoteText"/>
        <w:bidi w:val="0"/>
        <w:rPr>
          <w:rFonts w:ascii="lusail" w:hAnsi="lusail"/>
          <w:sz w:val="16"/>
          <w:szCs w:val="16"/>
          <w:shd w:val="clear" w:color="auto" w:fill="F2F3F4"/>
          <w:rtl/>
        </w:rPr>
      </w:pPr>
      <w:r w:rsidRPr="00025F6A">
        <w:rPr>
          <w:rStyle w:val="FootnoteReference"/>
          <w:sz w:val="16"/>
          <w:szCs w:val="16"/>
        </w:rPr>
        <w:footnoteRef/>
      </w:r>
      <w:r w:rsidRPr="00025F6A">
        <w:rPr>
          <w:sz w:val="16"/>
          <w:szCs w:val="16"/>
          <w:rtl/>
        </w:rPr>
        <w:t xml:space="preserve"> </w:t>
      </w:r>
      <w:r w:rsidR="006D052D" w:rsidRPr="00025F6A">
        <w:rPr>
          <w:sz w:val="16"/>
          <w:szCs w:val="16"/>
        </w:rPr>
        <w:t xml:space="preserve">Number of Persons with Disabilities by Nationality, Gender, and </w:t>
      </w:r>
      <w:r w:rsidR="006D052D" w:rsidRPr="00025F6A">
        <w:rPr>
          <w:sz w:val="16"/>
          <w:szCs w:val="16"/>
        </w:rPr>
        <w:t>Labour Force Status — State of Qatar Open Data</w:t>
      </w:r>
    </w:p>
    <w:p w14:paraId="7B37E485" w14:textId="77777777" w:rsidR="006D052D" w:rsidRPr="00025F6A" w:rsidRDefault="006D052D" w:rsidP="006D052D">
      <w:pPr>
        <w:pStyle w:val="FootnoteText"/>
        <w:bidi w:val="0"/>
        <w:rPr>
          <w:sz w:val="16"/>
          <w:szCs w:val="16"/>
          <w:u w:val="single"/>
        </w:rPr>
      </w:pPr>
      <w:r w:rsidRPr="00025F6A">
        <w:rPr>
          <w:sz w:val="16"/>
          <w:szCs w:val="16"/>
          <w:u w:val="single"/>
        </w:rPr>
        <w:t>Employed Persons with Functional Difficulties (15 Years and Above) by Nationality, Gender, and Economic Activity — State of Qatar Open Data</w:t>
      </w:r>
    </w:p>
    <w:p w14:paraId="2B641F7F" w14:textId="2A46C0A6" w:rsidR="007C1083" w:rsidRPr="001B3CBE" w:rsidRDefault="006D052D" w:rsidP="006D052D">
      <w:pPr>
        <w:pStyle w:val="FootnoteText"/>
        <w:bidi w:val="0"/>
        <w:rPr>
          <w:sz w:val="18"/>
          <w:szCs w:val="18"/>
        </w:rPr>
      </w:pPr>
      <w:r w:rsidRPr="00025F6A">
        <w:rPr>
          <w:sz w:val="16"/>
          <w:szCs w:val="16"/>
        </w:rPr>
        <w:t>This dataset presents the number of persons with disabilities in the State of Qatar by economic activity, nationality, and gender for the years 2010–2020. The economic activities include sectors such as agriculture, industry, services, and utilities. These data contribute to understanding the participation of persons with disabilities in the labour market and support inclusive employment planning</w:t>
      </w:r>
      <w:r w:rsidRPr="00025F6A">
        <w:rPr>
          <w:rFonts w:cs="Arial"/>
          <w:sz w:val="16"/>
          <w:szCs w:val="16"/>
          <w:rtl/>
        </w:rPr>
        <w:t>.</w:t>
      </w:r>
    </w:p>
  </w:footnote>
  <w:footnote w:id="12">
    <w:p w14:paraId="3B19141E" w14:textId="77777777" w:rsidR="007C1083" w:rsidRPr="001B3CBE" w:rsidRDefault="007C1083" w:rsidP="00F04329">
      <w:pPr>
        <w:pStyle w:val="FootnoteText"/>
        <w:bidi w:val="0"/>
        <w:rPr>
          <w:sz w:val="18"/>
          <w:szCs w:val="18"/>
        </w:rPr>
      </w:pPr>
      <w:r w:rsidRPr="001B3CBE">
        <w:rPr>
          <w:rStyle w:val="FootnoteReference"/>
          <w:sz w:val="18"/>
          <w:szCs w:val="18"/>
        </w:rPr>
        <w:footnoteRef/>
      </w:r>
      <w:r w:rsidRPr="001B3CBE">
        <w:rPr>
          <w:sz w:val="18"/>
          <w:szCs w:val="18"/>
          <w:rtl/>
        </w:rPr>
        <w:t xml:space="preserve"> </w:t>
      </w:r>
    </w:p>
  </w:footnote>
  <w:footnote w:id="13">
    <w:p w14:paraId="4C259997" w14:textId="77777777" w:rsidR="007C1083" w:rsidRPr="00025F6A" w:rsidRDefault="007C1083" w:rsidP="00F04329">
      <w:pPr>
        <w:bidi w:val="0"/>
        <w:spacing w:after="0" w:line="240" w:lineRule="auto"/>
        <w:rPr>
          <w:rFonts w:asciiTheme="minorBidi" w:hAnsiTheme="minorBidi"/>
          <w:sz w:val="16"/>
          <w:szCs w:val="16"/>
          <w:rtl/>
        </w:rPr>
      </w:pPr>
      <w:r w:rsidRPr="00025F6A">
        <w:rPr>
          <w:rStyle w:val="FootnoteReference"/>
          <w:sz w:val="16"/>
          <w:szCs w:val="16"/>
        </w:rPr>
        <w:footnoteRef/>
      </w:r>
      <w:r w:rsidRPr="00025F6A">
        <w:rPr>
          <w:sz w:val="16"/>
          <w:szCs w:val="16"/>
          <w:rtl/>
        </w:rPr>
        <w:t xml:space="preserve"> </w:t>
      </w:r>
      <w:hyperlink r:id="rId6" w:history="1">
        <w:r w:rsidRPr="00025F6A">
          <w:rPr>
            <w:rStyle w:val="Hyperlink"/>
            <w:rFonts w:asciiTheme="minorBidi" w:hAnsiTheme="minorBidi"/>
            <w:color w:val="auto"/>
            <w:sz w:val="16"/>
            <w:szCs w:val="16"/>
          </w:rPr>
          <w:t>Approximately 20,000 beneficiaries obtained social security in 2023: MSDF | The Peninsula Qatar</w:t>
        </w:r>
      </w:hyperlink>
    </w:p>
    <w:p w14:paraId="598215C3" w14:textId="77777777" w:rsidR="007C1083" w:rsidRPr="00025F6A" w:rsidRDefault="007C1083" w:rsidP="00F04329">
      <w:pPr>
        <w:pStyle w:val="FootnoteText"/>
        <w:bidi w:val="0"/>
        <w:rPr>
          <w:sz w:val="16"/>
          <w:szCs w:val="16"/>
        </w:rPr>
      </w:pPr>
    </w:p>
  </w:footnote>
  <w:footnote w:id="14">
    <w:p w14:paraId="6E89C6DC" w14:textId="69AEB9E1" w:rsidR="007C1083" w:rsidRPr="00F04329" w:rsidRDefault="007C1083" w:rsidP="00F04329">
      <w:pPr>
        <w:pStyle w:val="FootnoteText"/>
        <w:bidi w:val="0"/>
        <w:rPr>
          <w:sz w:val="18"/>
          <w:szCs w:val="18"/>
          <w:u w:val="single"/>
        </w:rPr>
      </w:pPr>
      <w:r w:rsidRPr="00025F6A">
        <w:rPr>
          <w:rStyle w:val="FootnoteReference"/>
          <w:sz w:val="16"/>
          <w:szCs w:val="16"/>
          <w:u w:val="single"/>
        </w:rPr>
        <w:footnoteRef/>
      </w:r>
      <w:r w:rsidRPr="00025F6A">
        <w:rPr>
          <w:sz w:val="16"/>
          <w:szCs w:val="16"/>
          <w:u w:val="single"/>
          <w:rtl/>
        </w:rPr>
        <w:t xml:space="preserve"> </w:t>
      </w:r>
      <w:r w:rsidR="00F04329" w:rsidRPr="00025F6A">
        <w:rPr>
          <w:sz w:val="16"/>
          <w:szCs w:val="16"/>
          <w:u w:val="single"/>
        </w:rPr>
        <w:t>Civil Service and Government Development Bureau Honours 9 Ministries and Government Entities for Achieving the 2% Employment Target for Persons with Disabilities | Sharek</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C9D213" w14:textId="4C16D7D7" w:rsidR="007C1083" w:rsidRDefault="00224D17" w:rsidP="00224D17">
    <w:pPr>
      <w:pStyle w:val="Header"/>
      <w:jc w:val="right"/>
    </w:pPr>
    <w:r>
      <w:rPr>
        <w:noProof/>
      </w:rPr>
      <w:drawing>
        <wp:anchor distT="0" distB="0" distL="114300" distR="114300" simplePos="0" relativeHeight="251658240" behindDoc="0" locked="0" layoutInCell="1" allowOverlap="1" wp14:anchorId="236326F4" wp14:editId="0808AC05">
          <wp:simplePos x="0" y="0"/>
          <wp:positionH relativeFrom="page">
            <wp:align>left</wp:align>
          </wp:positionH>
          <wp:positionV relativeFrom="paragraph">
            <wp:posOffset>-449580</wp:posOffset>
          </wp:positionV>
          <wp:extent cx="2235200" cy="1210310"/>
          <wp:effectExtent l="0" t="0" r="0" b="8890"/>
          <wp:wrapSquare wrapText="bothSides"/>
          <wp:docPr id="6" name="Picture 6" descr="C:\Users\f111005\OneDrive - National Human Rights Committee\Desktop\شعار اللجنة.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f111005\OneDrive - National Human Rights Committee\Desktop\شعار اللجنة.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35200" cy="1210310"/>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58237F"/>
    <w:multiLevelType w:val="multilevel"/>
    <w:tmpl w:val="E73EFB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BB13FC2"/>
    <w:multiLevelType w:val="multilevel"/>
    <w:tmpl w:val="743467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9C1436D"/>
    <w:multiLevelType w:val="hybridMultilevel"/>
    <w:tmpl w:val="E36095A6"/>
    <w:lvl w:ilvl="0" w:tplc="3FAAE1B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BD00282"/>
    <w:multiLevelType w:val="multilevel"/>
    <w:tmpl w:val="C1C892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F992D2B"/>
    <w:multiLevelType w:val="multilevel"/>
    <w:tmpl w:val="FF5C08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4D963E51"/>
    <w:multiLevelType w:val="multilevel"/>
    <w:tmpl w:val="E5E662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8EF1A3A"/>
    <w:multiLevelType w:val="multilevel"/>
    <w:tmpl w:val="BD3072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4BC3CE4"/>
    <w:multiLevelType w:val="multilevel"/>
    <w:tmpl w:val="5A2A73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A761105"/>
    <w:multiLevelType w:val="hybridMultilevel"/>
    <w:tmpl w:val="64385668"/>
    <w:lvl w:ilvl="0" w:tplc="3FAAE1B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6CF71B9C"/>
    <w:multiLevelType w:val="hybridMultilevel"/>
    <w:tmpl w:val="A9D01632"/>
    <w:lvl w:ilvl="0" w:tplc="3FAAE1B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711F7FB3"/>
    <w:multiLevelType w:val="multilevel"/>
    <w:tmpl w:val="8AF8F6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C3D0608"/>
    <w:multiLevelType w:val="multilevel"/>
    <w:tmpl w:val="33FE21A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7C661FC4"/>
    <w:multiLevelType w:val="multilevel"/>
    <w:tmpl w:val="C3645E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D2E225E"/>
    <w:multiLevelType w:val="multilevel"/>
    <w:tmpl w:val="6D76E9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28406313">
    <w:abstractNumId w:val="11"/>
  </w:num>
  <w:num w:numId="2" w16cid:durableId="34818686">
    <w:abstractNumId w:val="5"/>
  </w:num>
  <w:num w:numId="3" w16cid:durableId="990985166">
    <w:abstractNumId w:val="6"/>
  </w:num>
  <w:num w:numId="4" w16cid:durableId="891503717">
    <w:abstractNumId w:val="1"/>
  </w:num>
  <w:num w:numId="5" w16cid:durableId="842940127">
    <w:abstractNumId w:val="3"/>
  </w:num>
  <w:num w:numId="6" w16cid:durableId="515579536">
    <w:abstractNumId w:val="10"/>
  </w:num>
  <w:num w:numId="7" w16cid:durableId="576014940">
    <w:abstractNumId w:val="12"/>
  </w:num>
  <w:num w:numId="8" w16cid:durableId="1173564753">
    <w:abstractNumId w:val="4"/>
  </w:num>
  <w:num w:numId="9" w16cid:durableId="1218669321">
    <w:abstractNumId w:val="0"/>
  </w:num>
  <w:num w:numId="10" w16cid:durableId="822818721">
    <w:abstractNumId w:val="13"/>
  </w:num>
  <w:num w:numId="11" w16cid:durableId="676998919">
    <w:abstractNumId w:val="7"/>
  </w:num>
  <w:num w:numId="12" w16cid:durableId="254440556">
    <w:abstractNumId w:val="2"/>
  </w:num>
  <w:num w:numId="13" w16cid:durableId="71124535">
    <w:abstractNumId w:val="8"/>
  </w:num>
  <w:num w:numId="14" w16cid:durableId="78199547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0757"/>
    <w:rsid w:val="000070B7"/>
    <w:rsid w:val="00014C70"/>
    <w:rsid w:val="00020BAF"/>
    <w:rsid w:val="0002215E"/>
    <w:rsid w:val="00025F6A"/>
    <w:rsid w:val="0003559A"/>
    <w:rsid w:val="000365CD"/>
    <w:rsid w:val="00037B89"/>
    <w:rsid w:val="0004501A"/>
    <w:rsid w:val="00057310"/>
    <w:rsid w:val="00067B89"/>
    <w:rsid w:val="000872B2"/>
    <w:rsid w:val="000B5AC4"/>
    <w:rsid w:val="000B67CB"/>
    <w:rsid w:val="000C38C6"/>
    <w:rsid w:val="000D0E3C"/>
    <w:rsid w:val="000E1BF1"/>
    <w:rsid w:val="000E3176"/>
    <w:rsid w:val="000F08C8"/>
    <w:rsid w:val="000F1AF5"/>
    <w:rsid w:val="000F201A"/>
    <w:rsid w:val="000F208D"/>
    <w:rsid w:val="00100417"/>
    <w:rsid w:val="001021F7"/>
    <w:rsid w:val="001152F8"/>
    <w:rsid w:val="0012103B"/>
    <w:rsid w:val="0013417A"/>
    <w:rsid w:val="0013748C"/>
    <w:rsid w:val="00143706"/>
    <w:rsid w:val="001516D1"/>
    <w:rsid w:val="00160919"/>
    <w:rsid w:val="00164CE8"/>
    <w:rsid w:val="001725CD"/>
    <w:rsid w:val="00183006"/>
    <w:rsid w:val="00185443"/>
    <w:rsid w:val="00190CDF"/>
    <w:rsid w:val="001A22DE"/>
    <w:rsid w:val="001B3CBE"/>
    <w:rsid w:val="001C55C1"/>
    <w:rsid w:val="001D184D"/>
    <w:rsid w:val="002006BD"/>
    <w:rsid w:val="002025A7"/>
    <w:rsid w:val="002068C5"/>
    <w:rsid w:val="002078DD"/>
    <w:rsid w:val="00215DB5"/>
    <w:rsid w:val="00224D17"/>
    <w:rsid w:val="00231499"/>
    <w:rsid w:val="00231D7A"/>
    <w:rsid w:val="00243462"/>
    <w:rsid w:val="00263942"/>
    <w:rsid w:val="0027221E"/>
    <w:rsid w:val="002A4B41"/>
    <w:rsid w:val="002A6EDE"/>
    <w:rsid w:val="002C14C3"/>
    <w:rsid w:val="002D3125"/>
    <w:rsid w:val="002E38A2"/>
    <w:rsid w:val="002E498B"/>
    <w:rsid w:val="002F15AC"/>
    <w:rsid w:val="002F3FCC"/>
    <w:rsid w:val="002F59B7"/>
    <w:rsid w:val="00301080"/>
    <w:rsid w:val="00315D43"/>
    <w:rsid w:val="00340976"/>
    <w:rsid w:val="00346101"/>
    <w:rsid w:val="00352C7C"/>
    <w:rsid w:val="00356DA1"/>
    <w:rsid w:val="00363440"/>
    <w:rsid w:val="00366069"/>
    <w:rsid w:val="00366F27"/>
    <w:rsid w:val="003678C2"/>
    <w:rsid w:val="00370143"/>
    <w:rsid w:val="003853F0"/>
    <w:rsid w:val="00387200"/>
    <w:rsid w:val="00391F86"/>
    <w:rsid w:val="003926E3"/>
    <w:rsid w:val="003971D8"/>
    <w:rsid w:val="003B66FC"/>
    <w:rsid w:val="003C0278"/>
    <w:rsid w:val="003C05B4"/>
    <w:rsid w:val="003C2AA7"/>
    <w:rsid w:val="003E0CA2"/>
    <w:rsid w:val="00402FA6"/>
    <w:rsid w:val="00420B7A"/>
    <w:rsid w:val="00475040"/>
    <w:rsid w:val="00484967"/>
    <w:rsid w:val="00487431"/>
    <w:rsid w:val="004B1CFD"/>
    <w:rsid w:val="004B4BA3"/>
    <w:rsid w:val="004B5282"/>
    <w:rsid w:val="004B5761"/>
    <w:rsid w:val="004B5EE1"/>
    <w:rsid w:val="004D1ADA"/>
    <w:rsid w:val="004E26A0"/>
    <w:rsid w:val="00502210"/>
    <w:rsid w:val="005027ED"/>
    <w:rsid w:val="00540BF7"/>
    <w:rsid w:val="00544042"/>
    <w:rsid w:val="00546B74"/>
    <w:rsid w:val="00557A96"/>
    <w:rsid w:val="00557ECE"/>
    <w:rsid w:val="00571E7C"/>
    <w:rsid w:val="00590805"/>
    <w:rsid w:val="00592CF2"/>
    <w:rsid w:val="00594896"/>
    <w:rsid w:val="00595148"/>
    <w:rsid w:val="005B14C0"/>
    <w:rsid w:val="005B7013"/>
    <w:rsid w:val="005B7BFC"/>
    <w:rsid w:val="005C0863"/>
    <w:rsid w:val="005D2DA7"/>
    <w:rsid w:val="005E0B5A"/>
    <w:rsid w:val="005E1099"/>
    <w:rsid w:val="00600263"/>
    <w:rsid w:val="006108B7"/>
    <w:rsid w:val="006178E0"/>
    <w:rsid w:val="00620436"/>
    <w:rsid w:val="00626100"/>
    <w:rsid w:val="00635E00"/>
    <w:rsid w:val="00636457"/>
    <w:rsid w:val="00665600"/>
    <w:rsid w:val="00674FB8"/>
    <w:rsid w:val="00684351"/>
    <w:rsid w:val="00691D8C"/>
    <w:rsid w:val="006A469C"/>
    <w:rsid w:val="006B459F"/>
    <w:rsid w:val="006C21D3"/>
    <w:rsid w:val="006D052D"/>
    <w:rsid w:val="006D23AC"/>
    <w:rsid w:val="006E67AD"/>
    <w:rsid w:val="00700B7B"/>
    <w:rsid w:val="00704029"/>
    <w:rsid w:val="0071447A"/>
    <w:rsid w:val="007209C7"/>
    <w:rsid w:val="00722F80"/>
    <w:rsid w:val="00733FAF"/>
    <w:rsid w:val="00744B22"/>
    <w:rsid w:val="00762E60"/>
    <w:rsid w:val="00781AB5"/>
    <w:rsid w:val="00796884"/>
    <w:rsid w:val="007B3B3E"/>
    <w:rsid w:val="007C1083"/>
    <w:rsid w:val="007C2D3B"/>
    <w:rsid w:val="007C3121"/>
    <w:rsid w:val="007D7219"/>
    <w:rsid w:val="007E0688"/>
    <w:rsid w:val="007F1047"/>
    <w:rsid w:val="007F3B24"/>
    <w:rsid w:val="007F77B5"/>
    <w:rsid w:val="00802033"/>
    <w:rsid w:val="0080364F"/>
    <w:rsid w:val="00804A68"/>
    <w:rsid w:val="0080645E"/>
    <w:rsid w:val="00816F56"/>
    <w:rsid w:val="0082094C"/>
    <w:rsid w:val="00833FF6"/>
    <w:rsid w:val="008367C6"/>
    <w:rsid w:val="0084073F"/>
    <w:rsid w:val="00852E5B"/>
    <w:rsid w:val="00874FF8"/>
    <w:rsid w:val="00880A59"/>
    <w:rsid w:val="008A2F62"/>
    <w:rsid w:val="008C5392"/>
    <w:rsid w:val="008C567C"/>
    <w:rsid w:val="008C5E29"/>
    <w:rsid w:val="008C63DF"/>
    <w:rsid w:val="008D3E8F"/>
    <w:rsid w:val="008D6455"/>
    <w:rsid w:val="008E654C"/>
    <w:rsid w:val="008F64B6"/>
    <w:rsid w:val="009054F0"/>
    <w:rsid w:val="00917E36"/>
    <w:rsid w:val="00923BE2"/>
    <w:rsid w:val="00924DF9"/>
    <w:rsid w:val="00926D32"/>
    <w:rsid w:val="009272D8"/>
    <w:rsid w:val="00930BF7"/>
    <w:rsid w:val="00952EA0"/>
    <w:rsid w:val="009604FF"/>
    <w:rsid w:val="009663C8"/>
    <w:rsid w:val="0097543C"/>
    <w:rsid w:val="009A41E8"/>
    <w:rsid w:val="009B55B9"/>
    <w:rsid w:val="009D1EC3"/>
    <w:rsid w:val="009D24D1"/>
    <w:rsid w:val="009E0AAD"/>
    <w:rsid w:val="009E1163"/>
    <w:rsid w:val="009E1C0F"/>
    <w:rsid w:val="009E346E"/>
    <w:rsid w:val="009E7379"/>
    <w:rsid w:val="009E73F7"/>
    <w:rsid w:val="00A013AA"/>
    <w:rsid w:val="00A01F76"/>
    <w:rsid w:val="00A422A6"/>
    <w:rsid w:val="00A56325"/>
    <w:rsid w:val="00A707FA"/>
    <w:rsid w:val="00A7090F"/>
    <w:rsid w:val="00A7136F"/>
    <w:rsid w:val="00A76D4C"/>
    <w:rsid w:val="00A77F06"/>
    <w:rsid w:val="00AC5F69"/>
    <w:rsid w:val="00AD254E"/>
    <w:rsid w:val="00AD33A2"/>
    <w:rsid w:val="00AD6AE5"/>
    <w:rsid w:val="00B0548C"/>
    <w:rsid w:val="00B05A1B"/>
    <w:rsid w:val="00B12877"/>
    <w:rsid w:val="00B3191D"/>
    <w:rsid w:val="00B3790B"/>
    <w:rsid w:val="00B40546"/>
    <w:rsid w:val="00B43BD4"/>
    <w:rsid w:val="00B46DB4"/>
    <w:rsid w:val="00B47259"/>
    <w:rsid w:val="00B57B37"/>
    <w:rsid w:val="00B60026"/>
    <w:rsid w:val="00B619C4"/>
    <w:rsid w:val="00B7291A"/>
    <w:rsid w:val="00B80D9D"/>
    <w:rsid w:val="00B85083"/>
    <w:rsid w:val="00B87AD9"/>
    <w:rsid w:val="00B92442"/>
    <w:rsid w:val="00B94B17"/>
    <w:rsid w:val="00BB15D9"/>
    <w:rsid w:val="00BC5E04"/>
    <w:rsid w:val="00BC7AAA"/>
    <w:rsid w:val="00BD2BDA"/>
    <w:rsid w:val="00BE028E"/>
    <w:rsid w:val="00BE26D4"/>
    <w:rsid w:val="00BE4FB0"/>
    <w:rsid w:val="00BE5574"/>
    <w:rsid w:val="00BE69C2"/>
    <w:rsid w:val="00BF40FD"/>
    <w:rsid w:val="00C20A08"/>
    <w:rsid w:val="00C269F6"/>
    <w:rsid w:val="00C33571"/>
    <w:rsid w:val="00C34804"/>
    <w:rsid w:val="00C50217"/>
    <w:rsid w:val="00C5393D"/>
    <w:rsid w:val="00C629EB"/>
    <w:rsid w:val="00C72D8A"/>
    <w:rsid w:val="00C758EA"/>
    <w:rsid w:val="00CA1B58"/>
    <w:rsid w:val="00CA59C1"/>
    <w:rsid w:val="00CA6425"/>
    <w:rsid w:val="00CC2802"/>
    <w:rsid w:val="00CC2C29"/>
    <w:rsid w:val="00CC3166"/>
    <w:rsid w:val="00CD0D39"/>
    <w:rsid w:val="00CE6602"/>
    <w:rsid w:val="00CF416D"/>
    <w:rsid w:val="00D101EF"/>
    <w:rsid w:val="00D2231F"/>
    <w:rsid w:val="00D34E3E"/>
    <w:rsid w:val="00D5443C"/>
    <w:rsid w:val="00D63248"/>
    <w:rsid w:val="00D66ADA"/>
    <w:rsid w:val="00D6768D"/>
    <w:rsid w:val="00D82BB4"/>
    <w:rsid w:val="00D8324D"/>
    <w:rsid w:val="00DE54E2"/>
    <w:rsid w:val="00DF2776"/>
    <w:rsid w:val="00E32F46"/>
    <w:rsid w:val="00E33158"/>
    <w:rsid w:val="00E42ED3"/>
    <w:rsid w:val="00E45B82"/>
    <w:rsid w:val="00E67F2D"/>
    <w:rsid w:val="00E83D2A"/>
    <w:rsid w:val="00E8412F"/>
    <w:rsid w:val="00E94F40"/>
    <w:rsid w:val="00EA106E"/>
    <w:rsid w:val="00EC6063"/>
    <w:rsid w:val="00EC6C3E"/>
    <w:rsid w:val="00ED3D02"/>
    <w:rsid w:val="00EE33DC"/>
    <w:rsid w:val="00EF049E"/>
    <w:rsid w:val="00EF1D25"/>
    <w:rsid w:val="00F02426"/>
    <w:rsid w:val="00F04329"/>
    <w:rsid w:val="00F14EA7"/>
    <w:rsid w:val="00F17DD2"/>
    <w:rsid w:val="00F40FEC"/>
    <w:rsid w:val="00F60757"/>
    <w:rsid w:val="00F90347"/>
    <w:rsid w:val="00F9174A"/>
    <w:rsid w:val="00F93664"/>
    <w:rsid w:val="00FC0173"/>
    <w:rsid w:val="00FC26F3"/>
    <w:rsid w:val="00FC76D6"/>
    <w:rsid w:val="00FC7E48"/>
    <w:rsid w:val="00FD2A3F"/>
    <w:rsid w:val="00FF44E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A5BCDD2"/>
  <w15:chartTrackingRefBased/>
  <w15:docId w15:val="{C9A7301B-339D-4F74-8F7B-02A6FD5A4D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C1083"/>
    <w:pPr>
      <w:bidi/>
      <w:spacing w:after="200" w:line="276" w:lineRule="auto"/>
    </w:pPr>
    <w:rPr>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C1083"/>
    <w:pPr>
      <w:spacing w:after="0" w:line="240" w:lineRule="auto"/>
    </w:pPr>
    <w:rPr>
      <w:lang w:val="en-US"/>
    </w:rPr>
  </w:style>
  <w:style w:type="character" w:customStyle="1" w:styleId="NoSpacingChar">
    <w:name w:val="No Spacing Char"/>
    <w:basedOn w:val="DefaultParagraphFont"/>
    <w:link w:val="NoSpacing"/>
    <w:uiPriority w:val="1"/>
    <w:rsid w:val="007C1083"/>
    <w:rPr>
      <w:lang w:val="en-US"/>
    </w:rPr>
  </w:style>
  <w:style w:type="paragraph" w:styleId="FootnoteText">
    <w:name w:val="footnote text"/>
    <w:aliases w:val="Footnote Text_a"/>
    <w:basedOn w:val="Normal"/>
    <w:link w:val="FootnoteTextChar"/>
    <w:unhideWhenUsed/>
    <w:rsid w:val="007C1083"/>
    <w:pPr>
      <w:spacing w:after="0" w:line="240" w:lineRule="auto"/>
    </w:pPr>
    <w:rPr>
      <w:rFonts w:eastAsia="Times New Roman"/>
      <w:sz w:val="20"/>
      <w:szCs w:val="20"/>
    </w:rPr>
  </w:style>
  <w:style w:type="character" w:customStyle="1" w:styleId="FootnoteTextChar">
    <w:name w:val="Footnote Text Char"/>
    <w:aliases w:val="Footnote Text_a Char"/>
    <w:basedOn w:val="DefaultParagraphFont"/>
    <w:link w:val="FootnoteText"/>
    <w:rsid w:val="007C1083"/>
    <w:rPr>
      <w:rFonts w:eastAsia="Times New Roman"/>
      <w:sz w:val="20"/>
      <w:szCs w:val="20"/>
      <w:lang w:val="en-US"/>
    </w:rPr>
  </w:style>
  <w:style w:type="character" w:styleId="FootnoteReference">
    <w:name w:val="footnote reference"/>
    <w:aliases w:val="4_GA,4_G,Footnotes refss,Appel note de bas de p.,Footnote text,ftref,referencia nota al pie,BVI fnr,4_Footnote text,callout,nota pié di pagina,Fußnotenzeichen DISS,16 Point,Superscript 6 Point,Footnote Reference1"/>
    <w:basedOn w:val="DefaultParagraphFont"/>
    <w:unhideWhenUsed/>
    <w:rsid w:val="007C1083"/>
    <w:rPr>
      <w:vertAlign w:val="superscript"/>
    </w:rPr>
  </w:style>
  <w:style w:type="character" w:styleId="Strong">
    <w:name w:val="Strong"/>
    <w:basedOn w:val="DefaultParagraphFont"/>
    <w:uiPriority w:val="22"/>
    <w:qFormat/>
    <w:rsid w:val="007C1083"/>
    <w:rPr>
      <w:b/>
      <w:bCs/>
    </w:rPr>
  </w:style>
  <w:style w:type="character" w:styleId="Hyperlink">
    <w:name w:val="Hyperlink"/>
    <w:basedOn w:val="DefaultParagraphFont"/>
    <w:uiPriority w:val="99"/>
    <w:semiHidden/>
    <w:unhideWhenUsed/>
    <w:rsid w:val="007C1083"/>
    <w:rPr>
      <w:color w:val="0000FF"/>
      <w:u w:val="single"/>
    </w:rPr>
  </w:style>
  <w:style w:type="paragraph" w:customStyle="1" w:styleId="pdq2pgselectionanchorcontainer">
    <w:name w:val="pdq2pg_selectionanchorcontainer"/>
    <w:basedOn w:val="Normal"/>
    <w:rsid w:val="007C1083"/>
    <w:pPr>
      <w:bidi w:val="0"/>
      <w:spacing w:before="100" w:beforeAutospacing="1" w:after="100" w:afterAutospacing="1" w:line="240" w:lineRule="auto"/>
    </w:pPr>
    <w:rPr>
      <w:rFonts w:ascii="Times New Roman" w:eastAsia="Times New Roman" w:hAnsi="Times New Roman" w:cs="Times New Roman"/>
      <w:sz w:val="24"/>
      <w:szCs w:val="24"/>
      <w:lang w:val="en-GB" w:eastAsia="en-GB"/>
    </w:rPr>
  </w:style>
  <w:style w:type="paragraph" w:styleId="NormalWeb">
    <w:name w:val="Normal (Web)"/>
    <w:basedOn w:val="Normal"/>
    <w:uiPriority w:val="99"/>
    <w:unhideWhenUsed/>
    <w:rsid w:val="007C1083"/>
    <w:pPr>
      <w:bidi w:val="0"/>
      <w:spacing w:before="100" w:beforeAutospacing="1" w:after="100" w:afterAutospacing="1" w:line="240" w:lineRule="auto"/>
    </w:pPr>
    <w:rPr>
      <w:rFonts w:ascii="Times New Roman" w:eastAsia="Times New Roman" w:hAnsi="Times New Roman" w:cs="Times New Roman"/>
      <w:sz w:val="24"/>
      <w:szCs w:val="24"/>
      <w:lang w:val="en-GB" w:eastAsia="en-GB"/>
    </w:rPr>
  </w:style>
  <w:style w:type="paragraph" w:styleId="Header">
    <w:name w:val="header"/>
    <w:basedOn w:val="Normal"/>
    <w:link w:val="HeaderChar"/>
    <w:uiPriority w:val="99"/>
    <w:unhideWhenUsed/>
    <w:rsid w:val="007C1083"/>
    <w:pPr>
      <w:tabs>
        <w:tab w:val="center" w:pos="4513"/>
        <w:tab w:val="right" w:pos="9026"/>
      </w:tabs>
      <w:spacing w:after="0" w:line="240" w:lineRule="auto"/>
    </w:pPr>
  </w:style>
  <w:style w:type="character" w:customStyle="1" w:styleId="HeaderChar">
    <w:name w:val="Header Char"/>
    <w:basedOn w:val="DefaultParagraphFont"/>
    <w:link w:val="Header"/>
    <w:uiPriority w:val="99"/>
    <w:rsid w:val="007C1083"/>
    <w:rPr>
      <w:lang w:val="en-US"/>
    </w:rPr>
  </w:style>
  <w:style w:type="paragraph" w:styleId="Footer">
    <w:name w:val="footer"/>
    <w:basedOn w:val="Normal"/>
    <w:link w:val="FooterChar"/>
    <w:uiPriority w:val="99"/>
    <w:unhideWhenUsed/>
    <w:rsid w:val="007C1083"/>
    <w:pPr>
      <w:tabs>
        <w:tab w:val="center" w:pos="4513"/>
        <w:tab w:val="right" w:pos="9026"/>
      </w:tabs>
      <w:spacing w:after="0" w:line="240" w:lineRule="auto"/>
    </w:pPr>
  </w:style>
  <w:style w:type="character" w:customStyle="1" w:styleId="FooterChar">
    <w:name w:val="Footer Char"/>
    <w:basedOn w:val="DefaultParagraphFont"/>
    <w:link w:val="Footer"/>
    <w:uiPriority w:val="99"/>
    <w:rsid w:val="007C1083"/>
    <w:rPr>
      <w:lang w:val="en-US"/>
    </w:rPr>
  </w:style>
  <w:style w:type="paragraph" w:customStyle="1" w:styleId="isselectedend">
    <w:name w:val="isselectedend"/>
    <w:basedOn w:val="Normal"/>
    <w:rsid w:val="00363440"/>
    <w:pPr>
      <w:bidi w:val="0"/>
      <w:spacing w:before="100" w:beforeAutospacing="1" w:after="100" w:afterAutospacing="1" w:line="240" w:lineRule="auto"/>
    </w:pPr>
    <w:rPr>
      <w:rFonts w:ascii="Times New Roman" w:eastAsia="Times New Roman" w:hAnsi="Times New Roman" w:cs="Times New Roman"/>
      <w:sz w:val="24"/>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563484">
      <w:bodyDiv w:val="1"/>
      <w:marLeft w:val="0"/>
      <w:marRight w:val="0"/>
      <w:marTop w:val="0"/>
      <w:marBottom w:val="0"/>
      <w:divBdr>
        <w:top w:val="none" w:sz="0" w:space="0" w:color="auto"/>
        <w:left w:val="none" w:sz="0" w:space="0" w:color="auto"/>
        <w:bottom w:val="none" w:sz="0" w:space="0" w:color="auto"/>
        <w:right w:val="none" w:sz="0" w:space="0" w:color="auto"/>
      </w:divBdr>
    </w:div>
    <w:div w:id="36048043">
      <w:bodyDiv w:val="1"/>
      <w:marLeft w:val="0"/>
      <w:marRight w:val="0"/>
      <w:marTop w:val="0"/>
      <w:marBottom w:val="0"/>
      <w:divBdr>
        <w:top w:val="none" w:sz="0" w:space="0" w:color="auto"/>
        <w:left w:val="none" w:sz="0" w:space="0" w:color="auto"/>
        <w:bottom w:val="none" w:sz="0" w:space="0" w:color="auto"/>
        <w:right w:val="none" w:sz="0" w:space="0" w:color="auto"/>
      </w:divBdr>
    </w:div>
    <w:div w:id="94137777">
      <w:bodyDiv w:val="1"/>
      <w:marLeft w:val="0"/>
      <w:marRight w:val="0"/>
      <w:marTop w:val="0"/>
      <w:marBottom w:val="0"/>
      <w:divBdr>
        <w:top w:val="none" w:sz="0" w:space="0" w:color="auto"/>
        <w:left w:val="none" w:sz="0" w:space="0" w:color="auto"/>
        <w:bottom w:val="none" w:sz="0" w:space="0" w:color="auto"/>
        <w:right w:val="none" w:sz="0" w:space="0" w:color="auto"/>
      </w:divBdr>
    </w:div>
    <w:div w:id="130442796">
      <w:bodyDiv w:val="1"/>
      <w:marLeft w:val="0"/>
      <w:marRight w:val="0"/>
      <w:marTop w:val="0"/>
      <w:marBottom w:val="0"/>
      <w:divBdr>
        <w:top w:val="none" w:sz="0" w:space="0" w:color="auto"/>
        <w:left w:val="none" w:sz="0" w:space="0" w:color="auto"/>
        <w:bottom w:val="none" w:sz="0" w:space="0" w:color="auto"/>
        <w:right w:val="none" w:sz="0" w:space="0" w:color="auto"/>
      </w:divBdr>
    </w:div>
    <w:div w:id="175537641">
      <w:bodyDiv w:val="1"/>
      <w:marLeft w:val="0"/>
      <w:marRight w:val="0"/>
      <w:marTop w:val="0"/>
      <w:marBottom w:val="0"/>
      <w:divBdr>
        <w:top w:val="none" w:sz="0" w:space="0" w:color="auto"/>
        <w:left w:val="none" w:sz="0" w:space="0" w:color="auto"/>
        <w:bottom w:val="none" w:sz="0" w:space="0" w:color="auto"/>
        <w:right w:val="none" w:sz="0" w:space="0" w:color="auto"/>
      </w:divBdr>
    </w:div>
    <w:div w:id="210581136">
      <w:bodyDiv w:val="1"/>
      <w:marLeft w:val="0"/>
      <w:marRight w:val="0"/>
      <w:marTop w:val="0"/>
      <w:marBottom w:val="0"/>
      <w:divBdr>
        <w:top w:val="none" w:sz="0" w:space="0" w:color="auto"/>
        <w:left w:val="none" w:sz="0" w:space="0" w:color="auto"/>
        <w:bottom w:val="none" w:sz="0" w:space="0" w:color="auto"/>
        <w:right w:val="none" w:sz="0" w:space="0" w:color="auto"/>
      </w:divBdr>
    </w:div>
    <w:div w:id="497698951">
      <w:bodyDiv w:val="1"/>
      <w:marLeft w:val="0"/>
      <w:marRight w:val="0"/>
      <w:marTop w:val="0"/>
      <w:marBottom w:val="0"/>
      <w:divBdr>
        <w:top w:val="none" w:sz="0" w:space="0" w:color="auto"/>
        <w:left w:val="none" w:sz="0" w:space="0" w:color="auto"/>
        <w:bottom w:val="none" w:sz="0" w:space="0" w:color="auto"/>
        <w:right w:val="none" w:sz="0" w:space="0" w:color="auto"/>
      </w:divBdr>
    </w:div>
    <w:div w:id="957419677">
      <w:bodyDiv w:val="1"/>
      <w:marLeft w:val="0"/>
      <w:marRight w:val="0"/>
      <w:marTop w:val="0"/>
      <w:marBottom w:val="0"/>
      <w:divBdr>
        <w:top w:val="none" w:sz="0" w:space="0" w:color="auto"/>
        <w:left w:val="none" w:sz="0" w:space="0" w:color="auto"/>
        <w:bottom w:val="none" w:sz="0" w:space="0" w:color="auto"/>
        <w:right w:val="none" w:sz="0" w:space="0" w:color="auto"/>
      </w:divBdr>
    </w:div>
    <w:div w:id="1303608959">
      <w:bodyDiv w:val="1"/>
      <w:marLeft w:val="0"/>
      <w:marRight w:val="0"/>
      <w:marTop w:val="0"/>
      <w:marBottom w:val="0"/>
      <w:divBdr>
        <w:top w:val="none" w:sz="0" w:space="0" w:color="auto"/>
        <w:left w:val="none" w:sz="0" w:space="0" w:color="auto"/>
        <w:bottom w:val="none" w:sz="0" w:space="0" w:color="auto"/>
        <w:right w:val="none" w:sz="0" w:space="0" w:color="auto"/>
      </w:divBdr>
    </w:div>
    <w:div w:id="1512180636">
      <w:bodyDiv w:val="1"/>
      <w:marLeft w:val="0"/>
      <w:marRight w:val="0"/>
      <w:marTop w:val="0"/>
      <w:marBottom w:val="0"/>
      <w:divBdr>
        <w:top w:val="none" w:sz="0" w:space="0" w:color="auto"/>
        <w:left w:val="none" w:sz="0" w:space="0" w:color="auto"/>
        <w:bottom w:val="none" w:sz="0" w:space="0" w:color="auto"/>
        <w:right w:val="none" w:sz="0" w:space="0" w:color="auto"/>
      </w:divBdr>
    </w:div>
    <w:div w:id="1729110936">
      <w:bodyDiv w:val="1"/>
      <w:marLeft w:val="0"/>
      <w:marRight w:val="0"/>
      <w:marTop w:val="0"/>
      <w:marBottom w:val="0"/>
      <w:divBdr>
        <w:top w:val="none" w:sz="0" w:space="0" w:color="auto"/>
        <w:left w:val="none" w:sz="0" w:space="0" w:color="auto"/>
        <w:bottom w:val="none" w:sz="0" w:space="0" w:color="auto"/>
        <w:right w:val="none" w:sz="0" w:space="0" w:color="auto"/>
      </w:divBdr>
    </w:div>
    <w:div w:id="1773087607">
      <w:bodyDiv w:val="1"/>
      <w:marLeft w:val="0"/>
      <w:marRight w:val="0"/>
      <w:marTop w:val="0"/>
      <w:marBottom w:val="0"/>
      <w:divBdr>
        <w:top w:val="none" w:sz="0" w:space="0" w:color="auto"/>
        <w:left w:val="none" w:sz="0" w:space="0" w:color="auto"/>
        <w:bottom w:val="none" w:sz="0" w:space="0" w:color="auto"/>
        <w:right w:val="none" w:sz="0" w:space="0" w:color="auto"/>
      </w:divBdr>
    </w:div>
    <w:div w:id="18478631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4.xml"/></Relationships>
</file>

<file path=word/_rels/footnotes.xml.rels><?xml version="1.0" encoding="UTF-8" standalone="yes"?>
<Relationships xmlns="http://schemas.openxmlformats.org/package/2006/relationships"><Relationship Id="rId3" Type="http://schemas.openxmlformats.org/officeDocument/2006/relationships/hyperlink" Target="https://www.hamad.qa" TargetMode="External"/><Relationship Id="rId2" Type="http://schemas.openxmlformats.org/officeDocument/2006/relationships/hyperlink" Target="https://www.qf.org.qa/community/autism/renad-academy?utm_source=chatgpt.com" TargetMode="External"/><Relationship Id="rId1" Type="http://schemas.openxmlformats.org/officeDocument/2006/relationships/hyperlink" Target="https://thepeninsulaqatar.vercel.app/article/04/05/2026/qatars-education-ministry-launches-online-registration-for-students-with-disabilities?utm_source=chatgpt.com" TargetMode="External"/><Relationship Id="rId6" Type="http://schemas.openxmlformats.org/officeDocument/2006/relationships/hyperlink" Target="https://thepeninsulaqatar.com/article/07/01/2024/approximately-20000-beneficiaries-obtained-social-security-in-2023-msdf?utm_source=chatgpt.com" TargetMode="External"/><Relationship Id="rId5" Type="http://schemas.openxmlformats.org/officeDocument/2006/relationships/hyperlink" Target="https://www.phcc.gov.qa" TargetMode="External"/><Relationship Id="rId4" Type="http://schemas.openxmlformats.org/officeDocument/2006/relationships/hyperlink" Target="https://www.hamad.qa"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1A3F5FACD05E93499D4EAF05403D4F75" ma:contentTypeVersion="39" ma:contentTypeDescription="Create a new document." ma:contentTypeScope="" ma:versionID="04f219aa2b14fb72407f906d90ce0b14">
  <xsd:schema xmlns:xsd="http://www.w3.org/2001/XMLSchema" xmlns:xs="http://www.w3.org/2001/XMLSchema" xmlns:p="http://schemas.microsoft.com/office/2006/metadata/properties" xmlns:ns3="985ec44e-1bab-4c0b-9df0-6ba128686fc9" xmlns:ns4="11a6fe0c-d8de-4390-afb3-d9c7c54181f0" xmlns:ns5="c43d6523-f909-4250-bbe1-6bcdc0c7194c" targetNamespace="http://schemas.microsoft.com/office/2006/metadata/properties" ma:root="true" ma:fieldsID="6114bf3172f2cca0606142aa0e93b40f" ns3:_="" ns4:_="" ns5:_="">
    <xsd:import namespace="985ec44e-1bab-4c0b-9df0-6ba128686fc9"/>
    <xsd:import namespace="11a6fe0c-d8de-4390-afb3-d9c7c54181f0"/>
    <xsd:import namespace="c43d6523-f909-4250-bbe1-6bcdc0c7194c"/>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DateTaken" minOccurs="0"/>
                <xsd:element ref="ns5:MediaLengthInSeconds" minOccurs="0"/>
                <xsd:element ref="ns4:SharedWithUsers" minOccurs="0"/>
                <xsd:element ref="ns4:SharedWithDetails" minOccurs="0"/>
                <xsd:element ref="ns5:MediaServiceObjectDetectorVersions" minOccurs="0"/>
                <xsd:element ref="ns5:MediaServiceSearchProperties" minOccurs="0"/>
                <xsd:element ref="ns5:MediaServiceGenerationTime" minOccurs="0"/>
                <xsd:element ref="ns5:MediaServiceEventHashCode" minOccurs="0"/>
                <xsd:element ref="ns5:lcf76f155ced4ddcb4097134ff3c332f" minOccurs="0"/>
                <xsd:element ref="ns3:TaxCatchAll" minOccurs="0"/>
                <xsd:element ref="ns5:MediaServiceOCR" minOccurs="0"/>
                <xsd:element ref="ns5:MediaServiceLocation" minOccurs="0"/>
                <xsd:element ref="ns5: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General Document"/>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2"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3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43d6523-f909-4250-bbe1-6bcdc0c7194c"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ObjectDetectorVersions" ma:index="36" nillable="true" ma:displayName="MediaServiceObjectDetectorVersions" ma:hidden="true" ma:indexed="true" ma:internalName="MediaServiceObjectDetectorVersions" ma:readOnly="true">
      <xsd:simpleType>
        <xsd:restriction base="dms:Text"/>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GenerationTime" ma:index="38" nillable="true" ma:displayName="MediaServiceGenerationTime" ma:hidden="true" ma:internalName="MediaServiceGenerationTime" ma:readOnly="true">
      <xsd:simpleType>
        <xsd:restriction base="dms:Text"/>
      </xsd:simpleType>
    </xsd:element>
    <xsd:element name="MediaServiceEventHashCode" ma:index="39" nillable="true" ma:displayName="MediaServiceEventHashCode" ma:hidden="true" ma:internalName="MediaServiceEventHashCode"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3" nillable="true" ma:displayName="Extracted Text" ma:internalName="MediaServiceOCR" ma:readOnly="true">
      <xsd:simpleType>
        <xsd:restriction base="dms:Note">
          <xsd:maxLength value="255"/>
        </xsd:restriction>
      </xsd:simpleType>
    </xsd:element>
    <xsd:element name="MediaServiceLocation" ma:index="44" nillable="true" ma:displayName="Location" ma:description="" ma:indexed="true" ma:internalName="MediaServiceLocation" ma:readOnly="true">
      <xsd:simpleType>
        <xsd:restriction base="dms:Text"/>
      </xsd:simpleType>
    </xsd:element>
    <xsd:element name="MediaServiceBillingMetadata" ma:index="45"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2026-07-20T08:50:27+00:00</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lcf76f155ced4ddcb4097134ff3c332f xmlns="c43d6523-f909-4250-bbe1-6bcdc0c7194c">
      <Terms xmlns="http://schemas.microsoft.com/office/infopath/2007/PartnerControls"/>
    </lcf76f155ced4ddcb4097134ff3c332f>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401AA5E9-476D-4021-832A-71482E9C31F1}">
  <ds:schemaRefs>
    <ds:schemaRef ds:uri="http://schemas.openxmlformats.org/officeDocument/2006/bibliography"/>
  </ds:schemaRefs>
</ds:datastoreItem>
</file>

<file path=customXml/itemProps2.xml><?xml version="1.0" encoding="utf-8"?>
<ds:datastoreItem xmlns:ds="http://schemas.openxmlformats.org/officeDocument/2006/customXml" ds:itemID="{D293C110-FE6C-44A0-AFD5-0FE873DE699E}"/>
</file>

<file path=customXml/itemProps3.xml><?xml version="1.0" encoding="utf-8"?>
<ds:datastoreItem xmlns:ds="http://schemas.openxmlformats.org/officeDocument/2006/customXml" ds:itemID="{20DEE394-01D4-402E-A8A5-68EC366CC130}"/>
</file>

<file path=customXml/itemProps4.xml><?xml version="1.0" encoding="utf-8"?>
<ds:datastoreItem xmlns:ds="http://schemas.openxmlformats.org/officeDocument/2006/customXml" ds:itemID="{4E7A7966-8182-4399-8552-D5C9A54D8CEE}"/>
</file>

<file path=docMetadata/LabelInfo.xml><?xml version="1.0" encoding="utf-8"?>
<clbl:labelList xmlns:clbl="http://schemas.microsoft.com/office/2020/mipLabelMetadata">
  <clbl:label id="{8b77875e-5908-45a0-9cb4-dec9ae074618}"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Normal</Template>
  <TotalTime>0</TotalTime>
  <Pages>17</Pages>
  <Words>6145</Words>
  <Characters>39699</Characters>
  <Application>Microsoft Office Word</Application>
  <DocSecurity>4</DocSecurity>
  <Lines>708</Lines>
  <Paragraphs>178</Paragraphs>
  <ScaleCrop>false</ScaleCrop>
  <HeadingPairs>
    <vt:vector size="2" baseType="variant">
      <vt:variant>
        <vt:lpstr>Title</vt:lpstr>
      </vt:variant>
      <vt:variant>
        <vt:i4>1</vt:i4>
      </vt:variant>
    </vt:vector>
  </HeadingPairs>
  <TitlesOfParts>
    <vt:vector size="1" baseType="lpstr">
      <vt:lpstr/>
    </vt:vector>
  </TitlesOfParts>
  <Company>NHRC</Company>
  <LinksUpToDate>false</LinksUpToDate>
  <CharactersWithSpaces>45666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Hala Al-Ali</dc:creator>
  <cp:keywords/>
  <dc:description/>
  <cp:lastModifiedBy>Jorge Araya</cp:lastModifiedBy>
  <cp:revision>2</cp:revision>
  <dcterms:created xsi:type="dcterms:W3CDTF">2026-07-20T08:50:00Z</dcterms:created>
  <dcterms:modified xsi:type="dcterms:W3CDTF">2026-07-20T08:50:00Z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0x0101001A3F5FACD05E93499D4EAF05403D4F75</vt:lpwstr>
  </property>
</Properties>
</file>