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DCB536" w14:textId="77777777" w:rsidR="00E61D65" w:rsidRDefault="00327F5E" w:rsidP="00CA7200">
      <w:pPr>
        <w:jc w:val="center"/>
        <w:rPr>
          <w:rFonts w:asciiTheme="majorBidi" w:hAnsiTheme="majorBidi" w:cstheme="majorBidi"/>
          <w:b/>
          <w:bCs/>
          <w:sz w:val="32"/>
          <w:szCs w:val="32"/>
          <w:rtl/>
        </w:rPr>
      </w:pPr>
      <w:r w:rsidRPr="00CA7200">
        <w:rPr>
          <w:rFonts w:asciiTheme="majorBidi" w:hAnsiTheme="majorBidi" w:cstheme="majorBidi"/>
          <w:b/>
          <w:bCs/>
          <w:sz w:val="32"/>
          <w:szCs w:val="32"/>
        </w:rPr>
        <w:t xml:space="preserve">Partner for Transparency report to the Committee on the Elimination </w:t>
      </w:r>
    </w:p>
    <w:p w14:paraId="4DDC3B4A" w14:textId="57938831" w:rsidR="00327F5E" w:rsidRPr="00CA7200" w:rsidRDefault="00327F5E" w:rsidP="00CA7200">
      <w:pPr>
        <w:jc w:val="center"/>
        <w:rPr>
          <w:rFonts w:asciiTheme="majorBidi" w:hAnsiTheme="majorBidi" w:cstheme="majorBidi"/>
          <w:b/>
          <w:bCs/>
          <w:sz w:val="32"/>
          <w:szCs w:val="32"/>
        </w:rPr>
      </w:pPr>
      <w:r w:rsidRPr="00CA7200">
        <w:rPr>
          <w:rFonts w:asciiTheme="majorBidi" w:hAnsiTheme="majorBidi" w:cstheme="majorBidi"/>
          <w:b/>
          <w:bCs/>
          <w:sz w:val="32"/>
          <w:szCs w:val="32"/>
        </w:rPr>
        <w:t xml:space="preserve">of </w:t>
      </w:r>
      <w:r w:rsidR="00BF34D3" w:rsidRPr="00CA7200">
        <w:rPr>
          <w:rFonts w:asciiTheme="majorBidi" w:hAnsiTheme="majorBidi" w:cstheme="majorBidi"/>
          <w:b/>
          <w:bCs/>
          <w:sz w:val="32"/>
          <w:szCs w:val="32"/>
        </w:rPr>
        <w:t>all Forms of Discrimination ag</w:t>
      </w:r>
      <w:r w:rsidRPr="00CA7200">
        <w:rPr>
          <w:rFonts w:asciiTheme="majorBidi" w:hAnsiTheme="majorBidi" w:cstheme="majorBidi"/>
          <w:b/>
          <w:bCs/>
          <w:sz w:val="32"/>
          <w:szCs w:val="32"/>
        </w:rPr>
        <w:t>ainst Women in Egypt</w:t>
      </w:r>
    </w:p>
    <w:p w14:paraId="40D6F827" w14:textId="77777777" w:rsidR="00507814" w:rsidRPr="00CA7200" w:rsidRDefault="00327F5E" w:rsidP="00CA7200">
      <w:pPr>
        <w:jc w:val="both"/>
        <w:rPr>
          <w:rFonts w:asciiTheme="majorBidi" w:hAnsiTheme="majorBidi" w:cstheme="majorBidi"/>
          <w:b/>
          <w:bCs/>
          <w:sz w:val="28"/>
          <w:szCs w:val="28"/>
        </w:rPr>
      </w:pPr>
      <w:r w:rsidRPr="00CA7200">
        <w:rPr>
          <w:rFonts w:asciiTheme="majorBidi" w:hAnsiTheme="majorBidi" w:cstheme="majorBidi"/>
          <w:b/>
          <w:bCs/>
          <w:sz w:val="28"/>
          <w:szCs w:val="28"/>
        </w:rPr>
        <w:t xml:space="preserve">1. Egyptian reservations </w:t>
      </w:r>
      <w:r w:rsidR="005B25BF" w:rsidRPr="00CA7200">
        <w:rPr>
          <w:rFonts w:asciiTheme="majorBidi" w:hAnsiTheme="majorBidi" w:cstheme="majorBidi"/>
          <w:b/>
          <w:bCs/>
          <w:sz w:val="28"/>
          <w:szCs w:val="28"/>
        </w:rPr>
        <w:t>to</w:t>
      </w:r>
      <w:r w:rsidRPr="00CA7200">
        <w:rPr>
          <w:rFonts w:asciiTheme="majorBidi" w:hAnsiTheme="majorBidi" w:cstheme="majorBidi"/>
          <w:b/>
          <w:bCs/>
          <w:sz w:val="28"/>
          <w:szCs w:val="28"/>
        </w:rPr>
        <w:t xml:space="preserve"> the terms of the agreement</w:t>
      </w:r>
    </w:p>
    <w:p w14:paraId="11FAC7C3" w14:textId="335B907D" w:rsidR="00507814" w:rsidRPr="00CA7200" w:rsidRDefault="00327F5E" w:rsidP="000A0058">
      <w:pPr>
        <w:ind w:firstLine="720"/>
        <w:jc w:val="both"/>
        <w:rPr>
          <w:rFonts w:asciiTheme="majorBidi" w:hAnsiTheme="majorBidi" w:cstheme="majorBidi"/>
          <w:b/>
          <w:bCs/>
          <w:sz w:val="28"/>
          <w:szCs w:val="28"/>
        </w:rPr>
      </w:pPr>
      <w:r w:rsidRPr="00CA7200">
        <w:rPr>
          <w:rFonts w:asciiTheme="majorBidi" w:hAnsiTheme="majorBidi" w:cstheme="majorBidi"/>
          <w:sz w:val="28"/>
          <w:szCs w:val="28"/>
        </w:rPr>
        <w:t>Although Egypt is one of the first countries to ratify the Convention on the Elimination of All Forms of Discr</w:t>
      </w:r>
      <w:r w:rsidR="00755F3A" w:rsidRPr="00CA7200">
        <w:rPr>
          <w:rFonts w:asciiTheme="majorBidi" w:hAnsiTheme="majorBidi" w:cstheme="majorBidi"/>
          <w:sz w:val="28"/>
          <w:szCs w:val="28"/>
        </w:rPr>
        <w:t>imination a</w:t>
      </w:r>
      <w:r w:rsidR="005B25BF" w:rsidRPr="00CA7200">
        <w:rPr>
          <w:rFonts w:asciiTheme="majorBidi" w:hAnsiTheme="majorBidi" w:cstheme="majorBidi"/>
          <w:sz w:val="28"/>
          <w:szCs w:val="28"/>
        </w:rPr>
        <w:t>gainst Women, it made</w:t>
      </w:r>
      <w:r w:rsidR="003F41BC" w:rsidRPr="00CA7200">
        <w:rPr>
          <w:rFonts w:asciiTheme="majorBidi" w:hAnsiTheme="majorBidi" w:cstheme="majorBidi"/>
          <w:sz w:val="28"/>
          <w:szCs w:val="28"/>
        </w:rPr>
        <w:t xml:space="preserve"> </w:t>
      </w:r>
      <w:r w:rsidR="005B25BF" w:rsidRPr="00CA7200">
        <w:rPr>
          <w:rFonts w:asciiTheme="majorBidi" w:hAnsiTheme="majorBidi" w:cstheme="majorBidi"/>
          <w:sz w:val="28"/>
          <w:szCs w:val="28"/>
        </w:rPr>
        <w:t xml:space="preserve">reservations </w:t>
      </w:r>
      <w:r w:rsidR="00755F3A" w:rsidRPr="00CA7200">
        <w:rPr>
          <w:rFonts w:asciiTheme="majorBidi" w:hAnsiTheme="majorBidi" w:cstheme="majorBidi"/>
          <w:sz w:val="28"/>
          <w:szCs w:val="28"/>
        </w:rPr>
        <w:t xml:space="preserve">to 4 articles; Article (2), the </w:t>
      </w:r>
      <w:r w:rsidRPr="00CA7200">
        <w:rPr>
          <w:rFonts w:asciiTheme="majorBidi" w:hAnsiTheme="majorBidi" w:cstheme="majorBidi"/>
          <w:sz w:val="28"/>
          <w:szCs w:val="28"/>
        </w:rPr>
        <w:t>second paragraph of Article</w:t>
      </w:r>
      <w:r w:rsidR="008B6138" w:rsidRPr="00CA7200">
        <w:rPr>
          <w:rFonts w:asciiTheme="majorBidi" w:hAnsiTheme="majorBidi" w:cstheme="majorBidi"/>
          <w:sz w:val="28"/>
          <w:szCs w:val="28"/>
        </w:rPr>
        <w:t xml:space="preserve"> (9), </w:t>
      </w:r>
      <w:r w:rsidRPr="00CA7200">
        <w:rPr>
          <w:rFonts w:asciiTheme="majorBidi" w:hAnsiTheme="majorBidi" w:cstheme="majorBidi"/>
          <w:sz w:val="28"/>
          <w:szCs w:val="28"/>
        </w:rPr>
        <w:t xml:space="preserve">Article (16) and the first paragraph of Article (29). Egypt </w:t>
      </w:r>
      <w:r w:rsidR="008B6138" w:rsidRPr="00CA7200">
        <w:rPr>
          <w:rFonts w:asciiTheme="majorBidi" w:hAnsiTheme="majorBidi" w:cstheme="majorBidi"/>
          <w:sz w:val="28"/>
          <w:szCs w:val="28"/>
        </w:rPr>
        <w:t>withdrew</w:t>
      </w:r>
      <w:r w:rsidRPr="00CA7200">
        <w:rPr>
          <w:rFonts w:asciiTheme="majorBidi" w:hAnsiTheme="majorBidi" w:cstheme="majorBidi"/>
          <w:sz w:val="28"/>
          <w:szCs w:val="28"/>
        </w:rPr>
        <w:t xml:space="preserve"> its reservation </w:t>
      </w:r>
      <w:r w:rsidR="008B6138" w:rsidRPr="00CA7200">
        <w:rPr>
          <w:rFonts w:asciiTheme="majorBidi" w:hAnsiTheme="majorBidi" w:cstheme="majorBidi"/>
          <w:sz w:val="28"/>
          <w:szCs w:val="28"/>
        </w:rPr>
        <w:t>to</w:t>
      </w:r>
      <w:r w:rsidRPr="00CA7200">
        <w:rPr>
          <w:rFonts w:asciiTheme="majorBidi" w:hAnsiTheme="majorBidi" w:cstheme="majorBidi"/>
          <w:sz w:val="28"/>
          <w:szCs w:val="28"/>
        </w:rPr>
        <w:t xml:space="preserve"> the second paragraph of Article 9 of the convention during the forty-fifth session of the Committee on the Elimination of All Forms of Discrimination against Women, </w:t>
      </w:r>
      <w:r w:rsidR="008B6138" w:rsidRPr="00CA7200">
        <w:rPr>
          <w:rFonts w:asciiTheme="majorBidi" w:hAnsiTheme="majorBidi" w:cstheme="majorBidi"/>
          <w:sz w:val="28"/>
          <w:szCs w:val="28"/>
        </w:rPr>
        <w:t>which</w:t>
      </w:r>
      <w:r w:rsidRPr="00CA7200">
        <w:rPr>
          <w:rFonts w:asciiTheme="majorBidi" w:hAnsiTheme="majorBidi" w:cstheme="majorBidi"/>
          <w:sz w:val="28"/>
          <w:szCs w:val="28"/>
        </w:rPr>
        <w:t xml:space="preserve"> was mentioned in </w:t>
      </w:r>
      <w:r w:rsidR="008B6138" w:rsidRPr="00CA7200">
        <w:rPr>
          <w:rFonts w:asciiTheme="majorBidi" w:hAnsiTheme="majorBidi" w:cstheme="majorBidi"/>
          <w:sz w:val="28"/>
          <w:szCs w:val="28"/>
        </w:rPr>
        <w:t>the combined sixth and seventh periodic reports</w:t>
      </w:r>
      <w:r w:rsidR="008B6138" w:rsidRPr="00CA7200">
        <w:rPr>
          <w:rStyle w:val="FootnoteReference"/>
          <w:rFonts w:asciiTheme="majorBidi" w:hAnsiTheme="majorBidi" w:cstheme="majorBidi"/>
          <w:sz w:val="28"/>
          <w:szCs w:val="28"/>
        </w:rPr>
        <w:footnoteReference w:id="1"/>
      </w:r>
      <w:r w:rsidR="008B6138" w:rsidRPr="00CA7200">
        <w:rPr>
          <w:rFonts w:asciiTheme="majorBidi" w:hAnsiTheme="majorBidi" w:cstheme="majorBidi"/>
          <w:sz w:val="28"/>
          <w:szCs w:val="28"/>
        </w:rPr>
        <w:t xml:space="preserve">. </w:t>
      </w:r>
    </w:p>
    <w:p w14:paraId="5CCE4447" w14:textId="015A8001"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b/>
          <w:bCs/>
          <w:sz w:val="28"/>
          <w:szCs w:val="28"/>
        </w:rPr>
        <w:t xml:space="preserve"> Egypt withdrew its reservation to this article after </w:t>
      </w:r>
      <w:r w:rsidR="00507814" w:rsidRPr="00CA7200">
        <w:rPr>
          <w:rFonts w:asciiTheme="majorBidi" w:hAnsiTheme="majorBidi" w:cstheme="majorBidi"/>
          <w:b/>
          <w:bCs/>
          <w:sz w:val="28"/>
          <w:szCs w:val="28"/>
        </w:rPr>
        <w:t>amending</w:t>
      </w:r>
      <w:r w:rsidRPr="00CA7200">
        <w:rPr>
          <w:rFonts w:asciiTheme="majorBidi" w:hAnsiTheme="majorBidi" w:cstheme="majorBidi"/>
          <w:b/>
          <w:bCs/>
          <w:sz w:val="28"/>
          <w:szCs w:val="28"/>
        </w:rPr>
        <w:t xml:space="preserve"> </w:t>
      </w:r>
      <w:bookmarkStart w:id="0" w:name="OLE_LINK8"/>
      <w:bookmarkStart w:id="1" w:name="OLE_LINK9"/>
      <w:r w:rsidRPr="00CA7200">
        <w:rPr>
          <w:rFonts w:asciiTheme="majorBidi" w:hAnsiTheme="majorBidi" w:cstheme="majorBidi"/>
          <w:b/>
          <w:bCs/>
          <w:sz w:val="28"/>
          <w:szCs w:val="28"/>
        </w:rPr>
        <w:t>the Nationality Law No. 26 of 1976</w:t>
      </w:r>
      <w:bookmarkEnd w:id="0"/>
      <w:bookmarkEnd w:id="1"/>
      <w:r w:rsidRPr="00CA7200">
        <w:rPr>
          <w:rFonts w:asciiTheme="majorBidi" w:hAnsiTheme="majorBidi" w:cstheme="majorBidi"/>
          <w:b/>
          <w:bCs/>
          <w:sz w:val="28"/>
          <w:szCs w:val="28"/>
        </w:rPr>
        <w:t xml:space="preserve">, </w:t>
      </w:r>
      <w:r w:rsidR="008D5A7E" w:rsidRPr="00CA7200">
        <w:rPr>
          <w:rFonts w:asciiTheme="majorBidi" w:hAnsiTheme="majorBidi" w:cstheme="majorBidi"/>
          <w:b/>
          <w:bCs/>
          <w:sz w:val="28"/>
          <w:szCs w:val="28"/>
        </w:rPr>
        <w:t>under</w:t>
      </w:r>
      <w:r w:rsidRPr="00CA7200">
        <w:rPr>
          <w:rFonts w:asciiTheme="majorBidi" w:hAnsiTheme="majorBidi" w:cstheme="majorBidi"/>
          <w:b/>
          <w:bCs/>
          <w:sz w:val="28"/>
          <w:szCs w:val="28"/>
        </w:rPr>
        <w:t xml:space="preserve"> Law No. 154 of 2004</w:t>
      </w:r>
      <w:r w:rsidR="000A0058">
        <w:rPr>
          <w:rFonts w:asciiTheme="majorBidi" w:hAnsiTheme="majorBidi" w:cstheme="majorBidi"/>
          <w:sz w:val="28"/>
          <w:szCs w:val="28"/>
        </w:rPr>
        <w:t xml:space="preserve">. </w:t>
      </w:r>
      <w:r w:rsidR="000A0058" w:rsidRPr="000A0058">
        <w:rPr>
          <w:rFonts w:asciiTheme="majorBidi" w:hAnsiTheme="majorBidi" w:cstheme="majorBidi"/>
          <w:b/>
          <w:bCs/>
          <w:sz w:val="28"/>
          <w:szCs w:val="28"/>
        </w:rPr>
        <w:t>As well,</w:t>
      </w:r>
      <w:r w:rsidR="008D5A7E" w:rsidRPr="00CA7200">
        <w:rPr>
          <w:rFonts w:asciiTheme="majorBidi" w:hAnsiTheme="majorBidi" w:cstheme="majorBidi"/>
          <w:sz w:val="28"/>
          <w:szCs w:val="28"/>
        </w:rPr>
        <w:t xml:space="preserve"> </w:t>
      </w:r>
      <w:r w:rsidR="000A0058">
        <w:rPr>
          <w:rFonts w:asciiTheme="majorBidi" w:hAnsiTheme="majorBidi" w:cstheme="majorBidi"/>
          <w:b/>
          <w:bCs/>
          <w:sz w:val="28"/>
          <w:szCs w:val="28"/>
        </w:rPr>
        <w:t>a</w:t>
      </w:r>
      <w:r w:rsidRPr="00CA7200">
        <w:rPr>
          <w:rFonts w:asciiTheme="majorBidi" w:hAnsiTheme="majorBidi" w:cstheme="majorBidi"/>
          <w:b/>
          <w:bCs/>
          <w:sz w:val="28"/>
          <w:szCs w:val="28"/>
        </w:rPr>
        <w:t>n article authorizing the same right was also approved in the Egyptian Constitution of 2014</w:t>
      </w:r>
      <w:r w:rsidRPr="00CA7200">
        <w:rPr>
          <w:rFonts w:asciiTheme="majorBidi" w:hAnsiTheme="majorBidi" w:cstheme="majorBidi"/>
          <w:sz w:val="28"/>
          <w:szCs w:val="28"/>
        </w:rPr>
        <w:t xml:space="preserve"> </w:t>
      </w:r>
      <w:r w:rsidRPr="000A0058">
        <w:rPr>
          <w:rFonts w:asciiTheme="majorBidi" w:hAnsiTheme="majorBidi" w:cstheme="majorBidi"/>
          <w:b/>
          <w:bCs/>
          <w:sz w:val="28"/>
          <w:szCs w:val="28"/>
        </w:rPr>
        <w:t xml:space="preserve">and its amendments in the text of Article </w:t>
      </w:r>
      <w:r w:rsidR="008D5A7E" w:rsidRPr="000A0058">
        <w:rPr>
          <w:rFonts w:asciiTheme="majorBidi" w:hAnsiTheme="majorBidi" w:cstheme="majorBidi"/>
          <w:b/>
          <w:bCs/>
          <w:sz w:val="28"/>
          <w:szCs w:val="28"/>
        </w:rPr>
        <w:t>6</w:t>
      </w:r>
      <w:r w:rsidRPr="000A0058">
        <w:rPr>
          <w:rFonts w:asciiTheme="majorBidi" w:hAnsiTheme="majorBidi" w:cstheme="majorBidi"/>
          <w:b/>
          <w:bCs/>
          <w:sz w:val="28"/>
          <w:szCs w:val="28"/>
        </w:rPr>
        <w:t>, which granted citizenship to everyone born to an Egyptian father or mother.</w:t>
      </w:r>
      <w:r w:rsidR="008D5A7E" w:rsidRPr="000A0058">
        <w:rPr>
          <w:rStyle w:val="FootnoteReference"/>
          <w:rFonts w:asciiTheme="majorBidi" w:hAnsiTheme="majorBidi" w:cstheme="majorBidi"/>
          <w:b/>
          <w:bCs/>
          <w:sz w:val="28"/>
          <w:szCs w:val="28"/>
        </w:rPr>
        <w:footnoteReference w:id="2"/>
      </w:r>
    </w:p>
    <w:p w14:paraId="701E39B9" w14:textId="77777777" w:rsidR="00B578F1"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 xml:space="preserve">Moreover, Egypt's reservation to </w:t>
      </w:r>
      <w:r w:rsidR="00412326" w:rsidRPr="00CA7200">
        <w:rPr>
          <w:rFonts w:asciiTheme="majorBidi" w:hAnsiTheme="majorBidi" w:cstheme="majorBidi"/>
          <w:sz w:val="28"/>
          <w:szCs w:val="28"/>
        </w:rPr>
        <w:t>the first paragraph of Article 29</w:t>
      </w:r>
      <w:r w:rsidRPr="00CA7200">
        <w:rPr>
          <w:rFonts w:asciiTheme="majorBidi" w:hAnsiTheme="majorBidi" w:cstheme="majorBidi"/>
          <w:sz w:val="28"/>
          <w:szCs w:val="28"/>
        </w:rPr>
        <w:t xml:space="preserve"> </w:t>
      </w:r>
      <w:r w:rsidR="00412326" w:rsidRPr="00CA7200">
        <w:rPr>
          <w:rFonts w:asciiTheme="majorBidi" w:hAnsiTheme="majorBidi" w:cstheme="majorBidi"/>
          <w:sz w:val="28"/>
          <w:szCs w:val="28"/>
        </w:rPr>
        <w:t>doesn’t</w:t>
      </w:r>
      <w:r w:rsidRPr="00CA7200">
        <w:rPr>
          <w:rFonts w:asciiTheme="majorBidi" w:hAnsiTheme="majorBidi" w:cstheme="majorBidi"/>
          <w:sz w:val="28"/>
          <w:szCs w:val="28"/>
        </w:rPr>
        <w:t xml:space="preserve"> contradict the subject of the Convention on the Elimination of All Forms of Discrimination against Women, especially since the second paragraph of the previous article </w:t>
      </w:r>
      <w:r w:rsidR="005A17FE" w:rsidRPr="00CA7200">
        <w:rPr>
          <w:rFonts w:asciiTheme="majorBidi" w:hAnsiTheme="majorBidi" w:cstheme="majorBidi"/>
          <w:sz w:val="28"/>
          <w:szCs w:val="28"/>
        </w:rPr>
        <w:t xml:space="preserve">allows each State Party, at the time of signature or ratification of the Convention or accession thereto, to declare that it doesn’t consider itself bound by paragraph I of this article, </w:t>
      </w:r>
      <w:r w:rsidR="00B578F1" w:rsidRPr="00CA7200">
        <w:rPr>
          <w:rFonts w:asciiTheme="majorBidi" w:hAnsiTheme="majorBidi" w:cstheme="majorBidi"/>
          <w:sz w:val="28"/>
          <w:szCs w:val="28"/>
        </w:rPr>
        <w:t>on resourcing to arbitration as a means of settling disputes over the interpretation or application of the present Convention.</w:t>
      </w:r>
      <w:r w:rsidR="00B578F1" w:rsidRPr="00CA7200">
        <w:rPr>
          <w:rStyle w:val="FootnoteReference"/>
          <w:rFonts w:asciiTheme="majorBidi" w:hAnsiTheme="majorBidi" w:cstheme="majorBidi"/>
          <w:sz w:val="28"/>
          <w:szCs w:val="28"/>
        </w:rPr>
        <w:footnoteReference w:id="3"/>
      </w:r>
    </w:p>
    <w:p w14:paraId="5299578E" w14:textId="14717285"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b/>
          <w:bCs/>
          <w:sz w:val="28"/>
          <w:szCs w:val="28"/>
        </w:rPr>
        <w:t>However, despite withdrawing its reservations to the previous texts</w:t>
      </w:r>
      <w:r w:rsidRPr="00CA7200">
        <w:rPr>
          <w:rFonts w:asciiTheme="majorBidi" w:hAnsiTheme="majorBidi" w:cstheme="majorBidi"/>
          <w:sz w:val="28"/>
          <w:szCs w:val="28"/>
        </w:rPr>
        <w:t>,</w:t>
      </w:r>
      <w:r w:rsidR="00FF5AF9" w:rsidRPr="00CA7200">
        <w:rPr>
          <w:rFonts w:asciiTheme="majorBidi" w:hAnsiTheme="majorBidi" w:cstheme="majorBidi"/>
          <w:sz w:val="28"/>
          <w:szCs w:val="28"/>
        </w:rPr>
        <w:t xml:space="preserve"> Egypt it is still making</w:t>
      </w:r>
      <w:r w:rsidRPr="00CA7200">
        <w:rPr>
          <w:rFonts w:asciiTheme="majorBidi" w:hAnsiTheme="majorBidi" w:cstheme="majorBidi"/>
          <w:sz w:val="28"/>
          <w:szCs w:val="28"/>
        </w:rPr>
        <w:t xml:space="preserve"> reservations on Article No. (2) of the convention</w:t>
      </w:r>
      <w:r w:rsidR="00506499">
        <w:rPr>
          <w:rFonts w:asciiTheme="majorBidi" w:hAnsiTheme="majorBidi" w:cstheme="majorBidi"/>
          <w:sz w:val="28"/>
          <w:szCs w:val="28"/>
        </w:rPr>
        <w:t xml:space="preserve">. </w:t>
      </w:r>
      <w:r w:rsidRPr="00CA7200">
        <w:rPr>
          <w:rFonts w:asciiTheme="majorBidi" w:hAnsiTheme="majorBidi" w:cstheme="majorBidi"/>
          <w:sz w:val="28"/>
          <w:szCs w:val="28"/>
        </w:rPr>
        <w:t xml:space="preserve">Egypt linked its reservation </w:t>
      </w:r>
      <w:r w:rsidR="00FF5AF9" w:rsidRPr="00CA7200">
        <w:rPr>
          <w:rFonts w:asciiTheme="majorBidi" w:hAnsiTheme="majorBidi" w:cstheme="majorBidi"/>
          <w:sz w:val="28"/>
          <w:szCs w:val="28"/>
        </w:rPr>
        <w:t>to</w:t>
      </w:r>
      <w:r w:rsidRPr="00CA7200">
        <w:rPr>
          <w:rFonts w:asciiTheme="majorBidi" w:hAnsiTheme="majorBidi" w:cstheme="majorBidi"/>
          <w:sz w:val="28"/>
          <w:szCs w:val="28"/>
        </w:rPr>
        <w:t xml:space="preserve"> the article to </w:t>
      </w:r>
      <w:r w:rsidR="00FF5AF9" w:rsidRPr="00CA7200">
        <w:rPr>
          <w:rFonts w:asciiTheme="majorBidi" w:hAnsiTheme="majorBidi" w:cstheme="majorBidi"/>
          <w:sz w:val="28"/>
          <w:szCs w:val="28"/>
        </w:rPr>
        <w:t xml:space="preserve">its </w:t>
      </w:r>
      <w:r w:rsidRPr="00CA7200">
        <w:rPr>
          <w:rFonts w:asciiTheme="majorBidi" w:hAnsiTheme="majorBidi" w:cstheme="majorBidi"/>
          <w:sz w:val="28"/>
          <w:szCs w:val="28"/>
        </w:rPr>
        <w:t xml:space="preserve">conflict </w:t>
      </w:r>
      <w:r w:rsidR="00FF5AF9" w:rsidRPr="00CA7200">
        <w:rPr>
          <w:rFonts w:asciiTheme="majorBidi" w:hAnsiTheme="majorBidi" w:cstheme="majorBidi"/>
          <w:sz w:val="28"/>
          <w:szCs w:val="28"/>
        </w:rPr>
        <w:t>with</w:t>
      </w:r>
      <w:r w:rsidRPr="00CA7200">
        <w:rPr>
          <w:rFonts w:asciiTheme="majorBidi" w:hAnsiTheme="majorBidi" w:cstheme="majorBidi"/>
          <w:sz w:val="28"/>
          <w:szCs w:val="28"/>
        </w:rPr>
        <w:t xml:space="preserve"> the provisions of Islamic law</w:t>
      </w:r>
      <w:r w:rsidR="00FF5AF9" w:rsidRPr="00CA7200">
        <w:rPr>
          <w:rFonts w:asciiTheme="majorBidi" w:hAnsiTheme="majorBidi" w:cstheme="majorBidi"/>
          <w:sz w:val="28"/>
          <w:szCs w:val="28"/>
        </w:rPr>
        <w:t xml:space="preserve"> (Sharia’)</w:t>
      </w:r>
      <w:r w:rsidRPr="00CA7200">
        <w:rPr>
          <w:rFonts w:asciiTheme="majorBidi" w:hAnsiTheme="majorBidi" w:cstheme="majorBidi"/>
          <w:sz w:val="28"/>
          <w:szCs w:val="28"/>
        </w:rPr>
        <w:t xml:space="preserve">, and </w:t>
      </w:r>
      <w:r w:rsidR="00FF5AF9" w:rsidRPr="00CA7200">
        <w:rPr>
          <w:rFonts w:asciiTheme="majorBidi" w:hAnsiTheme="majorBidi" w:cstheme="majorBidi"/>
          <w:sz w:val="28"/>
          <w:szCs w:val="28"/>
        </w:rPr>
        <w:t>expressed its willingness</w:t>
      </w:r>
      <w:r w:rsidRPr="00CA7200">
        <w:rPr>
          <w:rFonts w:asciiTheme="majorBidi" w:hAnsiTheme="majorBidi" w:cstheme="majorBidi"/>
          <w:sz w:val="28"/>
          <w:szCs w:val="28"/>
        </w:rPr>
        <w:t xml:space="preserve"> to </w:t>
      </w:r>
      <w:r w:rsidR="00FF5AF9" w:rsidRPr="00CA7200">
        <w:rPr>
          <w:rFonts w:asciiTheme="majorBidi" w:hAnsiTheme="majorBidi" w:cstheme="majorBidi"/>
          <w:sz w:val="28"/>
          <w:szCs w:val="28"/>
        </w:rPr>
        <w:t>implement</w:t>
      </w:r>
      <w:r w:rsidRPr="00CA7200">
        <w:rPr>
          <w:rFonts w:asciiTheme="majorBidi" w:hAnsiTheme="majorBidi" w:cstheme="majorBidi"/>
          <w:sz w:val="28"/>
          <w:szCs w:val="28"/>
        </w:rPr>
        <w:t xml:space="preserve"> </w:t>
      </w:r>
      <w:r w:rsidR="00FF5AF9" w:rsidRPr="00CA7200">
        <w:rPr>
          <w:rFonts w:asciiTheme="majorBidi" w:hAnsiTheme="majorBidi" w:cstheme="majorBidi"/>
          <w:sz w:val="28"/>
          <w:szCs w:val="28"/>
        </w:rPr>
        <w:t>the provisions of</w:t>
      </w:r>
      <w:r w:rsidRPr="00CA7200">
        <w:rPr>
          <w:rFonts w:asciiTheme="majorBidi" w:hAnsiTheme="majorBidi" w:cstheme="majorBidi"/>
          <w:sz w:val="28"/>
          <w:szCs w:val="28"/>
        </w:rPr>
        <w:t xml:space="preserve"> the </w:t>
      </w:r>
      <w:r w:rsidR="00384ED3" w:rsidRPr="00CA7200">
        <w:rPr>
          <w:rFonts w:asciiTheme="majorBidi" w:hAnsiTheme="majorBidi" w:cstheme="majorBidi"/>
          <w:sz w:val="28"/>
          <w:szCs w:val="28"/>
        </w:rPr>
        <w:t>article, as long as it doesn’t contradict</w:t>
      </w:r>
      <w:r w:rsidRPr="00CA7200">
        <w:rPr>
          <w:rFonts w:asciiTheme="majorBidi" w:hAnsiTheme="majorBidi" w:cstheme="majorBidi"/>
          <w:sz w:val="28"/>
          <w:szCs w:val="28"/>
        </w:rPr>
        <w:t xml:space="preserve"> the principles and provisions of Islamic law, and after consulting with the relevant ministries or religious institutions.</w:t>
      </w:r>
      <w:r w:rsidR="00384ED3" w:rsidRPr="00CA7200">
        <w:rPr>
          <w:rStyle w:val="FootnoteReference"/>
          <w:rFonts w:asciiTheme="majorBidi" w:hAnsiTheme="majorBidi" w:cstheme="majorBidi"/>
          <w:sz w:val="28"/>
          <w:szCs w:val="28"/>
        </w:rPr>
        <w:footnoteReference w:id="4"/>
      </w:r>
    </w:p>
    <w:p w14:paraId="5FC0CB69" w14:textId="77777777" w:rsidR="00F630AB" w:rsidRPr="00CA7200" w:rsidRDefault="00384ED3"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 xml:space="preserve">Egypt also didn’t </w:t>
      </w:r>
      <w:r w:rsidR="00327F5E" w:rsidRPr="00CA7200">
        <w:rPr>
          <w:rFonts w:asciiTheme="majorBidi" w:hAnsiTheme="majorBidi" w:cstheme="majorBidi"/>
          <w:sz w:val="28"/>
          <w:szCs w:val="28"/>
        </w:rPr>
        <w:t xml:space="preserve">withdraw its reservation </w:t>
      </w:r>
      <w:r w:rsidRPr="00CA7200">
        <w:rPr>
          <w:rFonts w:asciiTheme="majorBidi" w:hAnsiTheme="majorBidi" w:cstheme="majorBidi"/>
          <w:sz w:val="28"/>
          <w:szCs w:val="28"/>
        </w:rPr>
        <w:t>to</w:t>
      </w:r>
      <w:r w:rsidR="00327F5E" w:rsidRPr="00CA7200">
        <w:rPr>
          <w:rFonts w:asciiTheme="majorBidi" w:hAnsiTheme="majorBidi" w:cstheme="majorBidi"/>
          <w:sz w:val="28"/>
          <w:szCs w:val="28"/>
        </w:rPr>
        <w:t xml:space="preserve"> </w:t>
      </w:r>
      <w:r w:rsidR="009D500B" w:rsidRPr="00CA7200">
        <w:rPr>
          <w:rFonts w:asciiTheme="majorBidi" w:hAnsiTheme="majorBidi" w:cstheme="majorBidi"/>
          <w:sz w:val="28"/>
          <w:szCs w:val="28"/>
        </w:rPr>
        <w:t>Article (16)</w:t>
      </w:r>
      <w:r w:rsidRPr="00CA7200">
        <w:rPr>
          <w:rFonts w:asciiTheme="majorBidi" w:hAnsiTheme="majorBidi" w:cstheme="majorBidi"/>
          <w:sz w:val="28"/>
          <w:szCs w:val="28"/>
        </w:rPr>
        <w:t xml:space="preserve"> </w:t>
      </w:r>
      <w:r w:rsidR="009D500B" w:rsidRPr="00CA7200">
        <w:rPr>
          <w:rFonts w:asciiTheme="majorBidi" w:hAnsiTheme="majorBidi" w:cstheme="majorBidi"/>
          <w:b/>
          <w:bCs/>
          <w:sz w:val="28"/>
          <w:szCs w:val="28"/>
        </w:rPr>
        <w:t>on</w:t>
      </w:r>
      <w:r w:rsidRPr="00CA7200">
        <w:rPr>
          <w:rFonts w:asciiTheme="majorBidi" w:hAnsiTheme="majorBidi" w:cstheme="majorBidi"/>
          <w:b/>
          <w:bCs/>
          <w:sz w:val="28"/>
          <w:szCs w:val="28"/>
        </w:rPr>
        <w:t xml:space="preserve"> eliminating discrimination against women in all matters relating to marriage and family relations</w:t>
      </w:r>
      <w:r w:rsidR="00327F5E" w:rsidRPr="00CA7200">
        <w:rPr>
          <w:rFonts w:asciiTheme="majorBidi" w:hAnsiTheme="majorBidi" w:cstheme="majorBidi"/>
          <w:b/>
          <w:bCs/>
          <w:sz w:val="28"/>
          <w:szCs w:val="28"/>
        </w:rPr>
        <w:t xml:space="preserve"> during marriage and divorce</w:t>
      </w:r>
      <w:r w:rsidR="009D500B" w:rsidRPr="00CA7200">
        <w:rPr>
          <w:rFonts w:asciiTheme="majorBidi" w:hAnsiTheme="majorBidi" w:cstheme="majorBidi"/>
          <w:sz w:val="28"/>
          <w:szCs w:val="28"/>
        </w:rPr>
        <w:t xml:space="preserve">. </w:t>
      </w:r>
      <w:r w:rsidR="00327F5E" w:rsidRPr="00CA7200">
        <w:rPr>
          <w:rFonts w:asciiTheme="majorBidi" w:hAnsiTheme="majorBidi" w:cstheme="majorBidi"/>
          <w:sz w:val="28"/>
          <w:szCs w:val="28"/>
        </w:rPr>
        <w:t xml:space="preserve">Egypt postponed </w:t>
      </w:r>
      <w:r w:rsidR="009D500B" w:rsidRPr="00CA7200">
        <w:rPr>
          <w:rFonts w:asciiTheme="majorBidi" w:hAnsiTheme="majorBidi" w:cstheme="majorBidi"/>
          <w:sz w:val="28"/>
          <w:szCs w:val="28"/>
        </w:rPr>
        <w:t>withdrawing</w:t>
      </w:r>
      <w:r w:rsidR="00327F5E" w:rsidRPr="00CA7200">
        <w:rPr>
          <w:rFonts w:asciiTheme="majorBidi" w:hAnsiTheme="majorBidi" w:cstheme="majorBidi"/>
          <w:sz w:val="28"/>
          <w:szCs w:val="28"/>
        </w:rPr>
        <w:t xml:space="preserve"> t</w:t>
      </w:r>
      <w:r w:rsidR="009D500B" w:rsidRPr="00CA7200">
        <w:rPr>
          <w:rFonts w:asciiTheme="majorBidi" w:hAnsiTheme="majorBidi" w:cstheme="majorBidi"/>
          <w:sz w:val="28"/>
          <w:szCs w:val="28"/>
        </w:rPr>
        <w:t>he reservation on this article,</w:t>
      </w:r>
      <w:r w:rsidR="00327F5E" w:rsidRPr="00CA7200">
        <w:rPr>
          <w:rFonts w:asciiTheme="majorBidi" w:hAnsiTheme="majorBidi" w:cstheme="majorBidi"/>
          <w:sz w:val="28"/>
          <w:szCs w:val="28"/>
        </w:rPr>
        <w:t xml:space="preserve"> </w:t>
      </w:r>
      <w:r w:rsidR="009D500B" w:rsidRPr="00CA7200">
        <w:rPr>
          <w:rFonts w:asciiTheme="majorBidi" w:hAnsiTheme="majorBidi" w:cstheme="majorBidi"/>
          <w:sz w:val="28"/>
          <w:szCs w:val="28"/>
        </w:rPr>
        <w:t>claiming that the application of</w:t>
      </w:r>
      <w:r w:rsidR="00327F5E" w:rsidRPr="00CA7200">
        <w:rPr>
          <w:rFonts w:asciiTheme="majorBidi" w:hAnsiTheme="majorBidi" w:cstheme="majorBidi"/>
          <w:sz w:val="28"/>
          <w:szCs w:val="28"/>
        </w:rPr>
        <w:t xml:space="preserve"> the provisions of this article</w:t>
      </w:r>
      <w:r w:rsidR="009D500B" w:rsidRPr="00CA7200">
        <w:rPr>
          <w:rFonts w:asciiTheme="majorBidi" w:hAnsiTheme="majorBidi" w:cstheme="majorBidi"/>
          <w:sz w:val="28"/>
          <w:szCs w:val="28"/>
        </w:rPr>
        <w:t xml:space="preserve"> deprives women from the rights granted to them by   </w:t>
      </w:r>
      <w:r w:rsidR="00327F5E" w:rsidRPr="00CA7200">
        <w:rPr>
          <w:rFonts w:asciiTheme="majorBidi" w:hAnsiTheme="majorBidi" w:cstheme="majorBidi"/>
          <w:sz w:val="28"/>
          <w:szCs w:val="28"/>
        </w:rPr>
        <w:t xml:space="preserve"> </w:t>
      </w:r>
      <w:r w:rsidR="009D500B" w:rsidRPr="00CA7200">
        <w:rPr>
          <w:rFonts w:asciiTheme="majorBidi" w:hAnsiTheme="majorBidi" w:cstheme="majorBidi"/>
          <w:sz w:val="28"/>
          <w:szCs w:val="28"/>
        </w:rPr>
        <w:t xml:space="preserve">the </w:t>
      </w:r>
      <w:r w:rsidR="00327F5E" w:rsidRPr="00CA7200">
        <w:rPr>
          <w:rFonts w:asciiTheme="majorBidi" w:hAnsiTheme="majorBidi" w:cstheme="majorBidi"/>
          <w:sz w:val="28"/>
          <w:szCs w:val="28"/>
        </w:rPr>
        <w:t>Egyptian law, customs and traditions, and Islamic law.</w:t>
      </w:r>
    </w:p>
    <w:p w14:paraId="02485969" w14:textId="77777777" w:rsidR="00327F5E" w:rsidRPr="00CA7200" w:rsidRDefault="00327F5E" w:rsidP="00CA7200">
      <w:pPr>
        <w:jc w:val="both"/>
        <w:rPr>
          <w:rFonts w:asciiTheme="majorBidi" w:hAnsiTheme="majorBidi" w:cstheme="majorBidi"/>
          <w:b/>
          <w:bCs/>
          <w:sz w:val="28"/>
          <w:szCs w:val="28"/>
        </w:rPr>
      </w:pPr>
      <w:r w:rsidRPr="00CA7200">
        <w:rPr>
          <w:rFonts w:asciiTheme="majorBidi" w:hAnsiTheme="majorBidi" w:cstheme="majorBidi"/>
          <w:b/>
          <w:bCs/>
          <w:sz w:val="28"/>
          <w:szCs w:val="28"/>
        </w:rPr>
        <w:t>2. Participation in political life</w:t>
      </w:r>
    </w:p>
    <w:p w14:paraId="2C9AB197" w14:textId="77777777" w:rsidR="007C50D4"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lastRenderedPageBreak/>
        <w:t xml:space="preserve">The recent constitutional amendments on April 20, 2019 granted women in the first paragraph of Article 102 </w:t>
      </w:r>
      <w:r w:rsidRPr="00CA7200">
        <w:rPr>
          <w:rFonts w:asciiTheme="majorBidi" w:hAnsiTheme="majorBidi" w:cstheme="majorBidi"/>
          <w:b/>
          <w:bCs/>
          <w:sz w:val="28"/>
          <w:szCs w:val="28"/>
        </w:rPr>
        <w:t>no less than 25% of the total seats in the Egyptian Parliament</w:t>
      </w:r>
      <w:r w:rsidR="00ED58E5" w:rsidRPr="00CA7200">
        <w:rPr>
          <w:rFonts w:asciiTheme="majorBidi" w:hAnsiTheme="majorBidi" w:cstheme="majorBidi"/>
          <w:sz w:val="28"/>
          <w:szCs w:val="28"/>
        </w:rPr>
        <w:t>. T</w:t>
      </w:r>
      <w:r w:rsidRPr="00CA7200">
        <w:rPr>
          <w:rFonts w:asciiTheme="majorBidi" w:hAnsiTheme="majorBidi" w:cstheme="majorBidi"/>
          <w:sz w:val="28"/>
          <w:szCs w:val="28"/>
        </w:rPr>
        <w:t xml:space="preserve">his percentage is the result of the </w:t>
      </w:r>
      <w:r w:rsidR="00ED58E5" w:rsidRPr="00CA7200">
        <w:rPr>
          <w:rFonts w:asciiTheme="majorBidi" w:hAnsiTheme="majorBidi" w:cstheme="majorBidi"/>
          <w:sz w:val="28"/>
          <w:szCs w:val="28"/>
        </w:rPr>
        <w:t xml:space="preserve">total </w:t>
      </w:r>
      <w:r w:rsidRPr="00CA7200">
        <w:rPr>
          <w:rFonts w:asciiTheme="majorBidi" w:hAnsiTheme="majorBidi" w:cstheme="majorBidi"/>
          <w:sz w:val="28"/>
          <w:szCs w:val="28"/>
        </w:rPr>
        <w:t xml:space="preserve">efforts </w:t>
      </w:r>
      <w:r w:rsidR="00ED58E5" w:rsidRPr="00CA7200">
        <w:rPr>
          <w:rFonts w:asciiTheme="majorBidi" w:hAnsiTheme="majorBidi" w:cstheme="majorBidi"/>
          <w:sz w:val="28"/>
          <w:szCs w:val="28"/>
        </w:rPr>
        <w:t>made by</w:t>
      </w:r>
      <w:r w:rsidRPr="00CA7200">
        <w:rPr>
          <w:rFonts w:asciiTheme="majorBidi" w:hAnsiTheme="majorBidi" w:cstheme="majorBidi"/>
          <w:sz w:val="28"/>
          <w:szCs w:val="28"/>
        </w:rPr>
        <w:t xml:space="preserve"> the Supreme Committee</w:t>
      </w:r>
      <w:r w:rsidR="00ED58E5" w:rsidRPr="00CA7200">
        <w:rPr>
          <w:rFonts w:asciiTheme="majorBidi" w:hAnsiTheme="majorBidi" w:cstheme="majorBidi"/>
          <w:sz w:val="28"/>
          <w:szCs w:val="28"/>
        </w:rPr>
        <w:t xml:space="preserve"> for legislative reforms </w:t>
      </w:r>
      <w:r w:rsidRPr="00CA7200">
        <w:rPr>
          <w:rFonts w:asciiTheme="majorBidi" w:hAnsiTheme="majorBidi" w:cstheme="majorBidi"/>
          <w:sz w:val="28"/>
          <w:szCs w:val="28"/>
        </w:rPr>
        <w:t xml:space="preserve">that was formed </w:t>
      </w:r>
      <w:r w:rsidR="00ED58E5" w:rsidRPr="00CA7200">
        <w:rPr>
          <w:rFonts w:asciiTheme="majorBidi" w:hAnsiTheme="majorBidi" w:cstheme="majorBidi"/>
          <w:sz w:val="28"/>
          <w:szCs w:val="28"/>
        </w:rPr>
        <w:t>pursuant to</w:t>
      </w:r>
      <w:r w:rsidRPr="00CA7200">
        <w:rPr>
          <w:rFonts w:asciiTheme="majorBidi" w:hAnsiTheme="majorBidi" w:cstheme="majorBidi"/>
          <w:sz w:val="28"/>
          <w:szCs w:val="28"/>
        </w:rPr>
        <w:t xml:space="preserve"> Presidential Decree No. 187 of 2014</w:t>
      </w:r>
      <w:r w:rsidR="00C45B11" w:rsidRPr="00CA7200">
        <w:rPr>
          <w:rStyle w:val="FootnoteReference"/>
          <w:rFonts w:asciiTheme="majorBidi" w:hAnsiTheme="majorBidi" w:cstheme="majorBidi"/>
          <w:sz w:val="28"/>
          <w:szCs w:val="28"/>
        </w:rPr>
        <w:footnoteReference w:id="5"/>
      </w:r>
      <w:r w:rsidR="00C45B11" w:rsidRPr="00CA7200">
        <w:rPr>
          <w:rFonts w:asciiTheme="majorBidi" w:hAnsiTheme="majorBidi" w:cstheme="majorBidi"/>
          <w:sz w:val="28"/>
          <w:szCs w:val="28"/>
        </w:rPr>
        <w:t xml:space="preserve">. </w:t>
      </w:r>
      <w:bookmarkStart w:id="2" w:name="OLE_LINK13"/>
      <w:bookmarkStart w:id="3" w:name="OLE_LINK14"/>
    </w:p>
    <w:bookmarkEnd w:id="2"/>
    <w:bookmarkEnd w:id="3"/>
    <w:p w14:paraId="459BBA49" w14:textId="77777777" w:rsidR="00327F5E" w:rsidRPr="00CA7200" w:rsidRDefault="007C50D4"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Women’s</w:t>
      </w:r>
      <w:r w:rsidR="00482C59" w:rsidRPr="00CA7200">
        <w:rPr>
          <w:rFonts w:asciiTheme="majorBidi" w:hAnsiTheme="majorBidi" w:cstheme="majorBidi"/>
          <w:sz w:val="28"/>
          <w:szCs w:val="28"/>
        </w:rPr>
        <w:t xml:space="preserve"> </w:t>
      </w:r>
      <w:r w:rsidRPr="00CA7200">
        <w:rPr>
          <w:rFonts w:asciiTheme="majorBidi" w:hAnsiTheme="majorBidi" w:cstheme="majorBidi"/>
          <w:sz w:val="28"/>
          <w:szCs w:val="28"/>
        </w:rPr>
        <w:t xml:space="preserve">parliamentary representation and political power remarkably increased between 2015 and 2020 by 15%, (90 MPs) compared to 1.8% in the 2005 and 2010 elections. </w:t>
      </w:r>
      <w:r w:rsidR="00327F5E" w:rsidRPr="00CA7200">
        <w:rPr>
          <w:rFonts w:asciiTheme="majorBidi" w:hAnsiTheme="majorBidi" w:cstheme="majorBidi"/>
          <w:sz w:val="28"/>
          <w:szCs w:val="28"/>
        </w:rPr>
        <w:t xml:space="preserve">Article 180 of the Egyptian constitution also </w:t>
      </w:r>
      <w:r w:rsidRPr="00CA7200">
        <w:rPr>
          <w:rFonts w:asciiTheme="majorBidi" w:hAnsiTheme="majorBidi" w:cstheme="majorBidi"/>
          <w:sz w:val="28"/>
          <w:szCs w:val="28"/>
        </w:rPr>
        <w:t>allocated</w:t>
      </w:r>
      <w:r w:rsidR="00327F5E" w:rsidRPr="00CA7200">
        <w:rPr>
          <w:rFonts w:asciiTheme="majorBidi" w:hAnsiTheme="majorBidi" w:cstheme="majorBidi"/>
          <w:sz w:val="28"/>
          <w:szCs w:val="28"/>
        </w:rPr>
        <w:t xml:space="preserve"> </w:t>
      </w:r>
      <w:r w:rsidRPr="00CA7200">
        <w:rPr>
          <w:rFonts w:asciiTheme="majorBidi" w:hAnsiTheme="majorBidi" w:cstheme="majorBidi"/>
          <w:sz w:val="28"/>
          <w:szCs w:val="28"/>
        </w:rPr>
        <w:t>one</w:t>
      </w:r>
      <w:r w:rsidR="00327F5E" w:rsidRPr="00CA7200">
        <w:rPr>
          <w:rFonts w:asciiTheme="majorBidi" w:hAnsiTheme="majorBidi" w:cstheme="majorBidi"/>
          <w:sz w:val="28"/>
          <w:szCs w:val="28"/>
        </w:rPr>
        <w:t xml:space="preserve"> quarter of the seats for women in the various councils in local government, </w:t>
      </w:r>
      <w:r w:rsidR="00141A5B" w:rsidRPr="00CA7200">
        <w:rPr>
          <w:rFonts w:asciiTheme="majorBidi" w:hAnsiTheme="majorBidi" w:cstheme="majorBidi"/>
          <w:sz w:val="28"/>
          <w:szCs w:val="28"/>
        </w:rPr>
        <w:t>increasing</w:t>
      </w:r>
      <w:r w:rsidR="00327F5E" w:rsidRPr="00CA7200">
        <w:rPr>
          <w:rFonts w:asciiTheme="majorBidi" w:hAnsiTheme="majorBidi" w:cstheme="majorBidi"/>
          <w:sz w:val="28"/>
          <w:szCs w:val="28"/>
        </w:rPr>
        <w:t xml:space="preserve"> the number of seats </w:t>
      </w:r>
      <w:r w:rsidR="00141A5B" w:rsidRPr="00CA7200">
        <w:rPr>
          <w:rFonts w:asciiTheme="majorBidi" w:hAnsiTheme="majorBidi" w:cstheme="majorBidi"/>
          <w:sz w:val="28"/>
          <w:szCs w:val="28"/>
        </w:rPr>
        <w:t>to be held by</w:t>
      </w:r>
      <w:r w:rsidR="00327F5E" w:rsidRPr="00CA7200">
        <w:rPr>
          <w:rFonts w:asciiTheme="majorBidi" w:hAnsiTheme="majorBidi" w:cstheme="majorBidi"/>
          <w:sz w:val="28"/>
          <w:szCs w:val="28"/>
        </w:rPr>
        <w:t xml:space="preserve"> </w:t>
      </w:r>
      <w:r w:rsidR="00141A5B" w:rsidRPr="00CA7200">
        <w:rPr>
          <w:rFonts w:asciiTheme="majorBidi" w:hAnsiTheme="majorBidi" w:cstheme="majorBidi"/>
          <w:sz w:val="28"/>
          <w:szCs w:val="28"/>
        </w:rPr>
        <w:t>women</w:t>
      </w:r>
      <w:r w:rsidR="00327F5E" w:rsidRPr="00CA7200">
        <w:rPr>
          <w:rFonts w:asciiTheme="majorBidi" w:hAnsiTheme="majorBidi" w:cstheme="majorBidi"/>
          <w:sz w:val="28"/>
          <w:szCs w:val="28"/>
        </w:rPr>
        <w:t xml:space="preserve"> in the first upcoming local elections to 13,500 seats.</w:t>
      </w:r>
      <w:r w:rsidR="00141A5B" w:rsidRPr="00CA7200">
        <w:rPr>
          <w:rStyle w:val="FootnoteReference"/>
          <w:rFonts w:asciiTheme="majorBidi" w:hAnsiTheme="majorBidi" w:cstheme="majorBidi"/>
          <w:sz w:val="28"/>
          <w:szCs w:val="28"/>
        </w:rPr>
        <w:footnoteReference w:id="6"/>
      </w:r>
      <w:r w:rsidR="00327F5E" w:rsidRPr="00CA7200">
        <w:rPr>
          <w:rFonts w:asciiTheme="majorBidi" w:hAnsiTheme="majorBidi" w:cstheme="majorBidi"/>
          <w:sz w:val="28"/>
          <w:szCs w:val="28"/>
        </w:rPr>
        <w:t xml:space="preserve"> </w:t>
      </w:r>
      <w:r w:rsidR="00141A5B" w:rsidRPr="00CA7200">
        <w:rPr>
          <w:rFonts w:asciiTheme="majorBidi" w:hAnsiTheme="majorBidi" w:cstheme="majorBidi"/>
          <w:sz w:val="28"/>
          <w:szCs w:val="28"/>
        </w:rPr>
        <w:t>However, the</w:t>
      </w:r>
      <w:r w:rsidR="00327F5E" w:rsidRPr="00CA7200">
        <w:rPr>
          <w:rFonts w:asciiTheme="majorBidi" w:hAnsiTheme="majorBidi" w:cstheme="majorBidi"/>
          <w:sz w:val="28"/>
          <w:szCs w:val="28"/>
        </w:rPr>
        <w:t xml:space="preserve"> elections have not </w:t>
      </w:r>
      <w:r w:rsidR="00141A5B" w:rsidRPr="00CA7200">
        <w:rPr>
          <w:rFonts w:asciiTheme="majorBidi" w:hAnsiTheme="majorBidi" w:cstheme="majorBidi"/>
          <w:sz w:val="28"/>
          <w:szCs w:val="28"/>
        </w:rPr>
        <w:t xml:space="preserve">yet </w:t>
      </w:r>
      <w:r w:rsidR="00327F5E" w:rsidRPr="00CA7200">
        <w:rPr>
          <w:rFonts w:asciiTheme="majorBidi" w:hAnsiTheme="majorBidi" w:cstheme="majorBidi"/>
          <w:sz w:val="28"/>
          <w:szCs w:val="28"/>
        </w:rPr>
        <w:t>taken place.</w:t>
      </w:r>
    </w:p>
    <w:p w14:paraId="0246577E" w14:textId="77777777" w:rsidR="00327F5E" w:rsidRPr="00CA7200" w:rsidRDefault="00141A5B"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Additionally</w:t>
      </w:r>
      <w:r w:rsidR="00327F5E" w:rsidRPr="00CA7200">
        <w:rPr>
          <w:rFonts w:asciiTheme="majorBidi" w:hAnsiTheme="majorBidi" w:cstheme="majorBidi"/>
          <w:sz w:val="28"/>
          <w:szCs w:val="28"/>
        </w:rPr>
        <w:t xml:space="preserve">, the rates of female representation in the last government formation of the Egyptian Cabinet that took place on December 22, 2019, </w:t>
      </w:r>
      <w:r w:rsidRPr="00CA7200">
        <w:rPr>
          <w:rFonts w:asciiTheme="majorBidi" w:hAnsiTheme="majorBidi" w:cstheme="majorBidi"/>
          <w:sz w:val="28"/>
          <w:szCs w:val="28"/>
        </w:rPr>
        <w:t>has grown to include</w:t>
      </w:r>
      <w:r w:rsidR="00327F5E" w:rsidRPr="00CA7200">
        <w:rPr>
          <w:rFonts w:asciiTheme="majorBidi" w:hAnsiTheme="majorBidi" w:cstheme="majorBidi"/>
          <w:sz w:val="28"/>
          <w:szCs w:val="28"/>
        </w:rPr>
        <w:t xml:space="preserve"> 8 women </w:t>
      </w:r>
      <w:r w:rsidRPr="00CA7200">
        <w:rPr>
          <w:rFonts w:asciiTheme="majorBidi" w:hAnsiTheme="majorBidi" w:cstheme="majorBidi"/>
          <w:sz w:val="28"/>
          <w:szCs w:val="28"/>
        </w:rPr>
        <w:t>ministers and two women deputies;</w:t>
      </w:r>
      <w:r w:rsidR="00327F5E" w:rsidRPr="00CA7200">
        <w:rPr>
          <w:rFonts w:asciiTheme="majorBidi" w:hAnsiTheme="majorBidi" w:cstheme="majorBidi"/>
          <w:sz w:val="28"/>
          <w:szCs w:val="28"/>
        </w:rPr>
        <w:t xml:space="preserve"> deputy to the Minister of Communications and Information Technology and deputy to the Minister of Tourism and Antiquities</w:t>
      </w:r>
      <w:r w:rsidRPr="00CA7200">
        <w:rPr>
          <w:rStyle w:val="FootnoteReference"/>
          <w:rFonts w:asciiTheme="majorBidi" w:hAnsiTheme="majorBidi" w:cstheme="majorBidi"/>
          <w:sz w:val="28"/>
          <w:szCs w:val="28"/>
        </w:rPr>
        <w:footnoteReference w:id="7"/>
      </w:r>
      <w:r w:rsidR="00327F5E" w:rsidRPr="00CA7200">
        <w:rPr>
          <w:rFonts w:asciiTheme="majorBidi" w:hAnsiTheme="majorBidi" w:cstheme="majorBidi"/>
          <w:sz w:val="28"/>
          <w:szCs w:val="28"/>
        </w:rPr>
        <w:t>.</w:t>
      </w:r>
      <w:r w:rsidRPr="00CA7200">
        <w:rPr>
          <w:rFonts w:asciiTheme="majorBidi" w:hAnsiTheme="majorBidi" w:cstheme="majorBidi"/>
          <w:sz w:val="28"/>
          <w:szCs w:val="28"/>
        </w:rPr>
        <w:t xml:space="preserve"> Also,</w:t>
      </w:r>
      <w:r w:rsidR="00327F5E" w:rsidRPr="00CA7200">
        <w:rPr>
          <w:rFonts w:asciiTheme="majorBidi" w:hAnsiTheme="majorBidi" w:cstheme="majorBidi"/>
          <w:sz w:val="28"/>
          <w:szCs w:val="28"/>
        </w:rPr>
        <w:t xml:space="preserve"> </w:t>
      </w:r>
      <w:r w:rsidR="004E1018" w:rsidRPr="00CA7200">
        <w:rPr>
          <w:rFonts w:asciiTheme="majorBidi" w:hAnsiTheme="majorBidi" w:cstheme="majorBidi"/>
          <w:sz w:val="28"/>
          <w:szCs w:val="28"/>
        </w:rPr>
        <w:t xml:space="preserve">Egypt appointed its first-ever female governor and deputy governor, its first female national security adviser to the President, Mrs. Faiza Abul-Naga, its first female Deputy Governor of the Central Bank, </w:t>
      </w:r>
      <w:r w:rsidR="00EB2872" w:rsidRPr="00CA7200">
        <w:rPr>
          <w:rFonts w:asciiTheme="majorBidi" w:hAnsiTheme="majorBidi" w:cstheme="majorBidi"/>
          <w:sz w:val="28"/>
          <w:szCs w:val="28"/>
        </w:rPr>
        <w:t>its first female assistant to the minister of justice on women and child affairs</w:t>
      </w:r>
      <w:bookmarkStart w:id="4" w:name="OLE_LINK24"/>
      <w:bookmarkStart w:id="5" w:name="OLE_LINK25"/>
      <w:r w:rsidR="00EB2872" w:rsidRPr="00CA7200">
        <w:rPr>
          <w:rFonts w:asciiTheme="majorBidi" w:hAnsiTheme="majorBidi" w:cstheme="majorBidi"/>
          <w:sz w:val="28"/>
          <w:szCs w:val="28"/>
        </w:rPr>
        <w:t xml:space="preserve">, and its first mayor, along with </w:t>
      </w:r>
      <w:bookmarkEnd w:id="4"/>
      <w:bookmarkEnd w:id="5"/>
      <w:r w:rsidR="00EB2872" w:rsidRPr="00CA7200">
        <w:rPr>
          <w:rFonts w:asciiTheme="majorBidi" w:hAnsiTheme="majorBidi" w:cstheme="majorBidi"/>
          <w:sz w:val="28"/>
          <w:szCs w:val="28"/>
        </w:rPr>
        <w:t>other leadership positions in the relevant st</w:t>
      </w:r>
      <w:r w:rsidR="00C347F6" w:rsidRPr="00CA7200">
        <w:rPr>
          <w:rFonts w:asciiTheme="majorBidi" w:hAnsiTheme="majorBidi" w:cstheme="majorBidi"/>
          <w:sz w:val="28"/>
          <w:szCs w:val="28"/>
        </w:rPr>
        <w:t xml:space="preserve">ate’s administrative apparatus, throughout the whole country in </w:t>
      </w:r>
      <w:r w:rsidR="00327F5E" w:rsidRPr="00CA7200">
        <w:rPr>
          <w:rFonts w:asciiTheme="majorBidi" w:hAnsiTheme="majorBidi" w:cstheme="majorBidi"/>
          <w:sz w:val="28"/>
          <w:szCs w:val="28"/>
        </w:rPr>
        <w:t xml:space="preserve">Cairo, Alexandria, Qena, Assiut, Port Said, </w:t>
      </w:r>
      <w:proofErr w:type="spellStart"/>
      <w:r w:rsidR="00327F5E" w:rsidRPr="00CA7200">
        <w:rPr>
          <w:rFonts w:asciiTheme="majorBidi" w:hAnsiTheme="majorBidi" w:cstheme="majorBidi"/>
          <w:sz w:val="28"/>
          <w:szCs w:val="28"/>
        </w:rPr>
        <w:t>Kafr</w:t>
      </w:r>
      <w:proofErr w:type="spellEnd"/>
      <w:r w:rsidR="00327F5E" w:rsidRPr="00CA7200">
        <w:rPr>
          <w:rFonts w:asciiTheme="majorBidi" w:hAnsiTheme="majorBidi" w:cstheme="majorBidi"/>
          <w:sz w:val="28"/>
          <w:szCs w:val="28"/>
        </w:rPr>
        <w:t xml:space="preserve"> El Sheikh and Menoufia.</w:t>
      </w:r>
      <w:r w:rsidR="00C347F6" w:rsidRPr="00CA7200">
        <w:rPr>
          <w:rStyle w:val="FootnoteReference"/>
          <w:rFonts w:asciiTheme="majorBidi" w:hAnsiTheme="majorBidi" w:cstheme="majorBidi"/>
          <w:sz w:val="28"/>
          <w:szCs w:val="28"/>
        </w:rPr>
        <w:footnoteReference w:id="8"/>
      </w:r>
    </w:p>
    <w:p w14:paraId="5F972F80" w14:textId="77777777"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As for the state’s administrative structure, the percentage of women’s representation has reached 45%, and the percentage of women’s representation in bank boards has reached about 12% in 2019,</w:t>
      </w:r>
      <w:r w:rsidR="00C347F6" w:rsidRPr="00CA7200">
        <w:rPr>
          <w:rFonts w:asciiTheme="majorBidi" w:hAnsiTheme="majorBidi" w:cstheme="majorBidi"/>
          <w:sz w:val="28"/>
          <w:szCs w:val="28"/>
        </w:rPr>
        <w:t xml:space="preserve"> compared to about 10% in 2018, an increase of 5% in one year.</w:t>
      </w:r>
      <w:r w:rsidRPr="00CA7200">
        <w:rPr>
          <w:rFonts w:asciiTheme="majorBidi" w:hAnsiTheme="majorBidi" w:cstheme="majorBidi"/>
          <w:sz w:val="28"/>
          <w:szCs w:val="28"/>
        </w:rPr>
        <w:t xml:space="preserve"> </w:t>
      </w:r>
      <w:r w:rsidR="00C347F6" w:rsidRPr="00CA7200">
        <w:rPr>
          <w:rFonts w:asciiTheme="majorBidi" w:hAnsiTheme="majorBidi" w:cstheme="majorBidi"/>
          <w:sz w:val="28"/>
          <w:szCs w:val="28"/>
        </w:rPr>
        <w:t>A</w:t>
      </w:r>
      <w:r w:rsidRPr="00CA7200">
        <w:rPr>
          <w:rFonts w:asciiTheme="majorBidi" w:hAnsiTheme="majorBidi" w:cstheme="majorBidi"/>
          <w:sz w:val="28"/>
          <w:szCs w:val="28"/>
        </w:rPr>
        <w:t>ccord</w:t>
      </w:r>
      <w:r w:rsidR="00C347F6" w:rsidRPr="00CA7200">
        <w:rPr>
          <w:rFonts w:asciiTheme="majorBidi" w:hAnsiTheme="majorBidi" w:cstheme="majorBidi"/>
          <w:sz w:val="28"/>
          <w:szCs w:val="28"/>
        </w:rPr>
        <w:t>ing to the Ministry of Planning and Economic Development</w:t>
      </w:r>
      <w:r w:rsidRPr="00CA7200">
        <w:rPr>
          <w:rFonts w:asciiTheme="majorBidi" w:hAnsiTheme="majorBidi" w:cstheme="majorBidi"/>
          <w:sz w:val="28"/>
          <w:szCs w:val="28"/>
        </w:rPr>
        <w:t xml:space="preserve">, the percentage of women’s leaders in executive positions reached about 7.1%, higher than the average in the Middle East and North </w:t>
      </w:r>
      <w:bookmarkStart w:id="6" w:name="OLE_LINK31"/>
      <w:bookmarkStart w:id="7" w:name="OLE_LINK32"/>
      <w:r w:rsidR="00A86A6D" w:rsidRPr="00CA7200">
        <w:rPr>
          <w:rFonts w:asciiTheme="majorBidi" w:hAnsiTheme="majorBidi" w:cstheme="majorBidi"/>
          <w:sz w:val="28"/>
          <w:szCs w:val="28"/>
        </w:rPr>
        <w:t>Africa region estimated at 5.4%. The rate of women employment</w:t>
      </w:r>
      <w:r w:rsidRPr="00CA7200">
        <w:rPr>
          <w:rFonts w:asciiTheme="majorBidi" w:hAnsiTheme="majorBidi" w:cstheme="majorBidi"/>
          <w:sz w:val="28"/>
          <w:szCs w:val="28"/>
        </w:rPr>
        <w:t xml:space="preserve"> increased to 23.8% in 2017 compared to 22 % </w:t>
      </w:r>
      <w:r w:rsidR="00A86A6D" w:rsidRPr="00CA7200">
        <w:rPr>
          <w:rFonts w:asciiTheme="majorBidi" w:hAnsiTheme="majorBidi" w:cstheme="majorBidi"/>
          <w:sz w:val="28"/>
          <w:szCs w:val="28"/>
        </w:rPr>
        <w:t>in</w:t>
      </w:r>
      <w:r w:rsidRPr="00CA7200">
        <w:rPr>
          <w:rFonts w:asciiTheme="majorBidi" w:hAnsiTheme="majorBidi" w:cstheme="majorBidi"/>
          <w:sz w:val="28"/>
          <w:szCs w:val="28"/>
        </w:rPr>
        <w:t xml:space="preserve"> 2000</w:t>
      </w:r>
      <w:bookmarkEnd w:id="6"/>
      <w:bookmarkEnd w:id="7"/>
      <w:r w:rsidRPr="00CA7200">
        <w:rPr>
          <w:rFonts w:asciiTheme="majorBidi" w:hAnsiTheme="majorBidi" w:cstheme="majorBidi"/>
          <w:sz w:val="28"/>
          <w:szCs w:val="28"/>
        </w:rPr>
        <w:t xml:space="preserve">, and the unemployment rate </w:t>
      </w:r>
      <w:r w:rsidR="00A86A6D" w:rsidRPr="00CA7200">
        <w:rPr>
          <w:rFonts w:asciiTheme="majorBidi" w:hAnsiTheme="majorBidi" w:cstheme="majorBidi"/>
          <w:sz w:val="28"/>
          <w:szCs w:val="28"/>
        </w:rPr>
        <w:t xml:space="preserve">of women </w:t>
      </w:r>
      <w:r w:rsidRPr="00CA7200">
        <w:rPr>
          <w:rFonts w:asciiTheme="majorBidi" w:hAnsiTheme="majorBidi" w:cstheme="majorBidi"/>
          <w:sz w:val="28"/>
          <w:szCs w:val="28"/>
        </w:rPr>
        <w:t>decreased from 24% in 2014 to 21.4% in 2018.</w:t>
      </w:r>
      <w:r w:rsidR="00A86A6D" w:rsidRPr="00CA7200">
        <w:rPr>
          <w:rStyle w:val="FootnoteReference"/>
          <w:rFonts w:asciiTheme="majorBidi" w:hAnsiTheme="majorBidi" w:cstheme="majorBidi"/>
          <w:sz w:val="28"/>
          <w:szCs w:val="28"/>
        </w:rPr>
        <w:footnoteReference w:id="9"/>
      </w:r>
    </w:p>
    <w:p w14:paraId="23BF1922" w14:textId="38F2E6F1" w:rsidR="00CA7200" w:rsidRPr="00CA7200" w:rsidRDefault="00A86A6D" w:rsidP="00F303C3">
      <w:pPr>
        <w:ind w:firstLine="720"/>
        <w:jc w:val="both"/>
        <w:rPr>
          <w:rFonts w:asciiTheme="majorBidi" w:hAnsiTheme="majorBidi" w:cstheme="majorBidi"/>
          <w:sz w:val="28"/>
          <w:szCs w:val="28"/>
        </w:rPr>
      </w:pPr>
      <w:r w:rsidRPr="00CA7200">
        <w:rPr>
          <w:rFonts w:asciiTheme="majorBidi" w:hAnsiTheme="majorBidi" w:cstheme="majorBidi"/>
          <w:sz w:val="28"/>
          <w:szCs w:val="28"/>
        </w:rPr>
        <w:t>In 2017, t</w:t>
      </w:r>
      <w:r w:rsidR="00327F5E" w:rsidRPr="00CA7200">
        <w:rPr>
          <w:rFonts w:asciiTheme="majorBidi" w:hAnsiTheme="majorBidi" w:cstheme="majorBidi"/>
          <w:sz w:val="28"/>
          <w:szCs w:val="28"/>
        </w:rPr>
        <w:t xml:space="preserve">he Egyptian government </w:t>
      </w:r>
      <w:r w:rsidR="007B4B8A" w:rsidRPr="00CA7200">
        <w:rPr>
          <w:rFonts w:asciiTheme="majorBidi" w:hAnsiTheme="majorBidi" w:cstheme="majorBidi"/>
          <w:sz w:val="28"/>
          <w:szCs w:val="28"/>
        </w:rPr>
        <w:t>adopted</w:t>
      </w:r>
      <w:r w:rsidR="00327F5E" w:rsidRPr="00CA7200">
        <w:rPr>
          <w:rFonts w:asciiTheme="majorBidi" w:hAnsiTheme="majorBidi" w:cstheme="majorBidi"/>
          <w:sz w:val="28"/>
          <w:szCs w:val="28"/>
        </w:rPr>
        <w:t xml:space="preserve"> </w:t>
      </w:r>
      <w:bookmarkStart w:id="8" w:name="OLE_LINK36"/>
      <w:r w:rsidR="007B4B8A" w:rsidRPr="00CA7200">
        <w:rPr>
          <w:rFonts w:asciiTheme="majorBidi" w:hAnsiTheme="majorBidi" w:cstheme="majorBidi"/>
          <w:sz w:val="28"/>
          <w:szCs w:val="28"/>
        </w:rPr>
        <w:t>the 2016-2030 Women Empowerment Strategy</w:t>
      </w:r>
      <w:bookmarkEnd w:id="8"/>
      <w:r w:rsidR="007B4B8A" w:rsidRPr="00CA7200">
        <w:rPr>
          <w:rFonts w:asciiTheme="majorBidi" w:hAnsiTheme="majorBidi" w:cstheme="majorBidi"/>
          <w:sz w:val="28"/>
          <w:szCs w:val="28"/>
        </w:rPr>
        <w:t>, and</w:t>
      </w:r>
      <w:r w:rsidR="00327F5E" w:rsidRPr="00CA7200">
        <w:rPr>
          <w:rFonts w:asciiTheme="majorBidi" w:hAnsiTheme="majorBidi" w:cstheme="majorBidi"/>
          <w:sz w:val="28"/>
          <w:szCs w:val="28"/>
        </w:rPr>
        <w:t xml:space="preserve"> declared </w:t>
      </w:r>
      <w:r w:rsidR="007B4B8A" w:rsidRPr="00CA7200">
        <w:rPr>
          <w:rFonts w:asciiTheme="majorBidi" w:hAnsiTheme="majorBidi" w:cstheme="majorBidi"/>
          <w:sz w:val="28"/>
          <w:szCs w:val="28"/>
        </w:rPr>
        <w:t>it</w:t>
      </w:r>
      <w:r w:rsidR="00327F5E" w:rsidRPr="00CA7200">
        <w:rPr>
          <w:rFonts w:asciiTheme="majorBidi" w:hAnsiTheme="majorBidi" w:cstheme="majorBidi"/>
          <w:sz w:val="28"/>
          <w:szCs w:val="28"/>
        </w:rPr>
        <w:t xml:space="preserve"> a year for Egyptian women. Egypt considered the strategy as a reference and a document for empowering women. The strategy includes 34 indicators of the sustainable development goa</w:t>
      </w:r>
      <w:r w:rsidR="007B4B8A" w:rsidRPr="00CA7200">
        <w:rPr>
          <w:rFonts w:asciiTheme="majorBidi" w:hAnsiTheme="majorBidi" w:cstheme="majorBidi"/>
          <w:sz w:val="28"/>
          <w:szCs w:val="28"/>
        </w:rPr>
        <w:t>ls, and is based on four axes:</w:t>
      </w:r>
      <w:r w:rsidR="00327F5E" w:rsidRPr="00CA7200">
        <w:rPr>
          <w:rFonts w:asciiTheme="majorBidi" w:hAnsiTheme="majorBidi" w:cstheme="majorBidi"/>
          <w:sz w:val="28"/>
          <w:szCs w:val="28"/>
        </w:rPr>
        <w:t xml:space="preserve"> Political empowerment and </w:t>
      </w:r>
      <w:r w:rsidR="00327F5E" w:rsidRPr="00CA7200">
        <w:rPr>
          <w:rFonts w:asciiTheme="majorBidi" w:hAnsiTheme="majorBidi" w:cstheme="majorBidi"/>
          <w:sz w:val="28"/>
          <w:szCs w:val="28"/>
        </w:rPr>
        <w:lastRenderedPageBreak/>
        <w:t xml:space="preserve">leadership, economic empowerment, social empowerment, and protection, with legislation and culture as pillars intersecting with those four axes. This strategy stems from the Egyptian constitution </w:t>
      </w:r>
      <w:r w:rsidR="007B4B8A" w:rsidRPr="00CA7200">
        <w:rPr>
          <w:rFonts w:asciiTheme="majorBidi" w:hAnsiTheme="majorBidi" w:cstheme="majorBidi"/>
          <w:sz w:val="28"/>
          <w:szCs w:val="28"/>
        </w:rPr>
        <w:t>recognition</w:t>
      </w:r>
      <w:r w:rsidR="00327F5E" w:rsidRPr="00CA7200">
        <w:rPr>
          <w:rFonts w:asciiTheme="majorBidi" w:hAnsiTheme="majorBidi" w:cstheme="majorBidi"/>
          <w:sz w:val="28"/>
          <w:szCs w:val="28"/>
        </w:rPr>
        <w:t xml:space="preserve"> to end all forms of gender discrimination at all political, economic and social levels, and the strategy is also in line with Egypt's vision 2030, which is based on building a just society</w:t>
      </w:r>
      <w:r w:rsidR="009B55F1" w:rsidRPr="00CA7200">
        <w:rPr>
          <w:rFonts w:asciiTheme="majorBidi" w:hAnsiTheme="majorBidi" w:cstheme="majorBidi"/>
          <w:sz w:val="28"/>
          <w:szCs w:val="28"/>
        </w:rPr>
        <w:t>,</w:t>
      </w:r>
      <w:r w:rsidR="00327F5E" w:rsidRPr="00CA7200">
        <w:rPr>
          <w:rFonts w:asciiTheme="majorBidi" w:hAnsiTheme="majorBidi" w:cstheme="majorBidi"/>
          <w:sz w:val="28"/>
          <w:szCs w:val="28"/>
        </w:rPr>
        <w:t xml:space="preserve"> free of gender differences and tries to achieve equal oppor</w:t>
      </w:r>
      <w:r w:rsidR="009B55F1" w:rsidRPr="00CA7200">
        <w:rPr>
          <w:rFonts w:asciiTheme="majorBidi" w:hAnsiTheme="majorBidi" w:cstheme="majorBidi"/>
          <w:sz w:val="28"/>
          <w:szCs w:val="28"/>
        </w:rPr>
        <w:t xml:space="preserve">tunities between men and women. </w:t>
      </w:r>
      <w:r w:rsidR="00327F5E" w:rsidRPr="00CA7200">
        <w:rPr>
          <w:rFonts w:asciiTheme="majorBidi" w:hAnsiTheme="majorBidi" w:cstheme="majorBidi"/>
          <w:sz w:val="28"/>
          <w:szCs w:val="28"/>
        </w:rPr>
        <w:t xml:space="preserve">This strategy is in line with the fifth goal of the sustainable development goals approved by Egypt, which focuses on achieving gender equality, empowering women and girls, and </w:t>
      </w:r>
      <w:r w:rsidR="00EF1C24" w:rsidRPr="00CA7200">
        <w:rPr>
          <w:rFonts w:asciiTheme="majorBidi" w:hAnsiTheme="majorBidi" w:cstheme="majorBidi"/>
          <w:sz w:val="28"/>
          <w:szCs w:val="28"/>
        </w:rPr>
        <w:t>realizing</w:t>
      </w:r>
      <w:r w:rsidR="00327F5E" w:rsidRPr="00CA7200">
        <w:rPr>
          <w:rFonts w:asciiTheme="majorBidi" w:hAnsiTheme="majorBidi" w:cstheme="majorBidi"/>
          <w:sz w:val="28"/>
          <w:szCs w:val="28"/>
        </w:rPr>
        <w:t xml:space="preserve"> the principle of equal opportunities between men and women without discrimination.</w:t>
      </w:r>
      <w:r w:rsidR="00EF1C24" w:rsidRPr="00CA7200">
        <w:rPr>
          <w:rStyle w:val="FootnoteReference"/>
          <w:rFonts w:asciiTheme="majorBidi" w:hAnsiTheme="majorBidi" w:cstheme="majorBidi"/>
          <w:sz w:val="28"/>
          <w:szCs w:val="28"/>
        </w:rPr>
        <w:footnoteReference w:id="10"/>
      </w:r>
    </w:p>
    <w:p w14:paraId="790A831E" w14:textId="77777777" w:rsidR="00327F5E" w:rsidRPr="00CA7200" w:rsidRDefault="00327F5E" w:rsidP="00CA7200">
      <w:pPr>
        <w:jc w:val="both"/>
        <w:rPr>
          <w:rFonts w:asciiTheme="majorBidi" w:hAnsiTheme="majorBidi" w:cstheme="majorBidi"/>
          <w:b/>
          <w:bCs/>
          <w:sz w:val="28"/>
          <w:szCs w:val="28"/>
        </w:rPr>
      </w:pPr>
      <w:r w:rsidRPr="00CA7200">
        <w:rPr>
          <w:rFonts w:asciiTheme="majorBidi" w:hAnsiTheme="majorBidi" w:cstheme="majorBidi"/>
          <w:b/>
          <w:bCs/>
          <w:sz w:val="28"/>
          <w:szCs w:val="28"/>
        </w:rPr>
        <w:t>3. Economic protection of women</w:t>
      </w:r>
    </w:p>
    <w:p w14:paraId="235505C5" w14:textId="77777777" w:rsidR="00327F5E" w:rsidRPr="00CA7200" w:rsidRDefault="00327F5E" w:rsidP="00CA7200">
      <w:pPr>
        <w:jc w:val="both"/>
        <w:rPr>
          <w:rFonts w:asciiTheme="majorBidi" w:hAnsiTheme="majorBidi" w:cstheme="majorBidi"/>
          <w:sz w:val="28"/>
          <w:szCs w:val="28"/>
        </w:rPr>
      </w:pPr>
      <w:r w:rsidRPr="00CA7200">
        <w:rPr>
          <w:rFonts w:asciiTheme="majorBidi" w:hAnsiTheme="majorBidi" w:cstheme="majorBidi"/>
          <w:sz w:val="28"/>
          <w:szCs w:val="28"/>
        </w:rPr>
        <w:t xml:space="preserve"> </w:t>
      </w:r>
      <w:r w:rsidR="00A42618" w:rsidRPr="00CA7200">
        <w:rPr>
          <w:rFonts w:asciiTheme="majorBidi" w:hAnsiTheme="majorBidi" w:cstheme="majorBidi"/>
          <w:sz w:val="28"/>
          <w:szCs w:val="28"/>
          <w:rtl/>
        </w:rPr>
        <w:tab/>
      </w:r>
      <w:r w:rsidRPr="00CA7200">
        <w:rPr>
          <w:rFonts w:asciiTheme="majorBidi" w:hAnsiTheme="majorBidi" w:cstheme="majorBidi"/>
          <w:sz w:val="28"/>
          <w:szCs w:val="28"/>
        </w:rPr>
        <w:t xml:space="preserve">This was </w:t>
      </w:r>
      <w:r w:rsidR="00AA4F5B" w:rsidRPr="00CA7200">
        <w:rPr>
          <w:rFonts w:asciiTheme="majorBidi" w:hAnsiTheme="majorBidi" w:cstheme="majorBidi"/>
          <w:sz w:val="28"/>
          <w:szCs w:val="28"/>
        </w:rPr>
        <w:t>represented</w:t>
      </w:r>
      <w:r w:rsidRPr="00CA7200">
        <w:rPr>
          <w:rFonts w:asciiTheme="majorBidi" w:hAnsiTheme="majorBidi" w:cstheme="majorBidi"/>
          <w:sz w:val="28"/>
          <w:szCs w:val="28"/>
        </w:rPr>
        <w:t xml:space="preserve"> by the </w:t>
      </w:r>
      <w:r w:rsidR="00AA4F5B" w:rsidRPr="00CA7200">
        <w:rPr>
          <w:rFonts w:asciiTheme="majorBidi" w:hAnsiTheme="majorBidi" w:cstheme="majorBidi"/>
          <w:sz w:val="28"/>
          <w:szCs w:val="28"/>
        </w:rPr>
        <w:t>Takaful and Karama cash transfer program</w:t>
      </w:r>
      <w:r w:rsidRPr="00CA7200">
        <w:rPr>
          <w:rFonts w:asciiTheme="majorBidi" w:hAnsiTheme="majorBidi" w:cstheme="majorBidi"/>
          <w:sz w:val="28"/>
          <w:szCs w:val="28"/>
        </w:rPr>
        <w:t xml:space="preserve">, launched by the Ministry of Social Solidarity, in 2015, under the umbrella of </w:t>
      </w:r>
      <w:bookmarkStart w:id="9" w:name="OLE_LINK99"/>
      <w:bookmarkStart w:id="10" w:name="OLE_LINK100"/>
      <w:r w:rsidRPr="00CA7200">
        <w:rPr>
          <w:rFonts w:asciiTheme="majorBidi" w:hAnsiTheme="majorBidi" w:cstheme="majorBidi"/>
          <w:sz w:val="28"/>
          <w:szCs w:val="28"/>
        </w:rPr>
        <w:t>developing social safety nets</w:t>
      </w:r>
      <w:bookmarkEnd w:id="9"/>
      <w:bookmarkEnd w:id="10"/>
      <w:r w:rsidRPr="00CA7200">
        <w:rPr>
          <w:rFonts w:asciiTheme="majorBidi" w:hAnsiTheme="majorBidi" w:cstheme="majorBidi"/>
          <w:sz w:val="28"/>
          <w:szCs w:val="28"/>
        </w:rPr>
        <w:t xml:space="preserve">, </w:t>
      </w:r>
      <w:r w:rsidR="00F23354" w:rsidRPr="00CA7200">
        <w:rPr>
          <w:rFonts w:asciiTheme="majorBidi" w:hAnsiTheme="majorBidi" w:cstheme="majorBidi"/>
          <w:sz w:val="28"/>
          <w:szCs w:val="28"/>
        </w:rPr>
        <w:t>and targets</w:t>
      </w:r>
      <w:r w:rsidRPr="00CA7200">
        <w:rPr>
          <w:rFonts w:asciiTheme="majorBidi" w:hAnsiTheme="majorBidi" w:cstheme="majorBidi"/>
          <w:sz w:val="28"/>
          <w:szCs w:val="28"/>
        </w:rPr>
        <w:t xml:space="preserve"> groups, the most important of which are women. During the last four months of 2020, the total number of beneficiary families reached </w:t>
      </w:r>
      <w:r w:rsidR="00F23354" w:rsidRPr="00CA7200">
        <w:rPr>
          <w:rFonts w:asciiTheme="majorBidi" w:hAnsiTheme="majorBidi" w:cstheme="majorBidi"/>
          <w:sz w:val="28"/>
          <w:szCs w:val="28"/>
        </w:rPr>
        <w:t>3.6 million families, with about 15 million individuals.</w:t>
      </w:r>
      <w:r w:rsidR="008C6E39" w:rsidRPr="00CA7200">
        <w:rPr>
          <w:rStyle w:val="FootnoteReference"/>
          <w:rFonts w:asciiTheme="majorBidi" w:hAnsiTheme="majorBidi" w:cstheme="majorBidi"/>
          <w:sz w:val="28"/>
          <w:szCs w:val="28"/>
        </w:rPr>
        <w:footnoteReference w:id="11"/>
      </w:r>
      <w:r w:rsidR="00F23354" w:rsidRPr="00CA7200">
        <w:rPr>
          <w:rFonts w:asciiTheme="majorBidi" w:hAnsiTheme="majorBidi" w:cstheme="majorBidi"/>
          <w:sz w:val="28"/>
          <w:szCs w:val="28"/>
        </w:rPr>
        <w:t xml:space="preserve"> A</w:t>
      </w:r>
      <w:r w:rsidRPr="00CA7200">
        <w:rPr>
          <w:rFonts w:asciiTheme="majorBidi" w:hAnsiTheme="majorBidi" w:cstheme="majorBidi"/>
          <w:sz w:val="28"/>
          <w:szCs w:val="28"/>
        </w:rPr>
        <w:t xml:space="preserve">nd according to the World Bank, the number of women benefiting from this program reached nearly 2 million women and girls by </w:t>
      </w:r>
      <w:r w:rsidR="00F23354" w:rsidRPr="00CA7200">
        <w:rPr>
          <w:rFonts w:asciiTheme="majorBidi" w:hAnsiTheme="majorBidi" w:cstheme="majorBidi"/>
          <w:sz w:val="28"/>
          <w:szCs w:val="28"/>
        </w:rPr>
        <w:t>2019. T</w:t>
      </w:r>
      <w:r w:rsidRPr="00CA7200">
        <w:rPr>
          <w:rFonts w:asciiTheme="majorBidi" w:hAnsiTheme="majorBidi" w:cstheme="majorBidi"/>
          <w:sz w:val="28"/>
          <w:szCs w:val="28"/>
        </w:rPr>
        <w:t xml:space="preserve">his program helped many </w:t>
      </w:r>
      <w:bookmarkStart w:id="11" w:name="OLE_LINK101"/>
      <w:bookmarkStart w:id="12" w:name="OLE_LINK102"/>
      <w:r w:rsidRPr="00CA7200">
        <w:rPr>
          <w:rFonts w:asciiTheme="majorBidi" w:hAnsiTheme="majorBidi" w:cstheme="majorBidi"/>
          <w:sz w:val="28"/>
          <w:szCs w:val="28"/>
        </w:rPr>
        <w:t xml:space="preserve">female-headed </w:t>
      </w:r>
      <w:bookmarkEnd w:id="11"/>
      <w:bookmarkEnd w:id="12"/>
      <w:r w:rsidR="00F23354" w:rsidRPr="00CA7200">
        <w:rPr>
          <w:rFonts w:asciiTheme="majorBidi" w:hAnsiTheme="majorBidi" w:cstheme="majorBidi"/>
          <w:sz w:val="28"/>
          <w:szCs w:val="28"/>
        </w:rPr>
        <w:t>households</w:t>
      </w:r>
      <w:r w:rsidRPr="00CA7200">
        <w:rPr>
          <w:rFonts w:asciiTheme="majorBidi" w:hAnsiTheme="majorBidi" w:cstheme="majorBidi"/>
          <w:sz w:val="28"/>
          <w:szCs w:val="28"/>
        </w:rPr>
        <w:t xml:space="preserve"> </w:t>
      </w:r>
      <w:r w:rsidR="00F23354" w:rsidRPr="00CA7200">
        <w:rPr>
          <w:rFonts w:asciiTheme="majorBidi" w:hAnsiTheme="majorBidi" w:cstheme="majorBidi"/>
          <w:sz w:val="28"/>
          <w:szCs w:val="28"/>
        </w:rPr>
        <w:t xml:space="preserve">to </w:t>
      </w:r>
      <w:r w:rsidRPr="00CA7200">
        <w:rPr>
          <w:rFonts w:asciiTheme="majorBidi" w:hAnsiTheme="majorBidi" w:cstheme="majorBidi"/>
          <w:sz w:val="28"/>
          <w:szCs w:val="28"/>
        </w:rPr>
        <w:t>meet the needs of their children</w:t>
      </w:r>
      <w:r w:rsidR="00603615" w:rsidRPr="00CA7200">
        <w:rPr>
          <w:rFonts w:asciiTheme="majorBidi" w:hAnsiTheme="majorBidi" w:cstheme="majorBidi"/>
          <w:sz w:val="28"/>
          <w:szCs w:val="28"/>
        </w:rPr>
        <w:t xml:space="preserve">, including </w:t>
      </w:r>
      <w:r w:rsidRPr="00CA7200">
        <w:rPr>
          <w:rFonts w:asciiTheme="majorBidi" w:hAnsiTheme="majorBidi" w:cstheme="majorBidi"/>
          <w:sz w:val="28"/>
          <w:szCs w:val="28"/>
        </w:rPr>
        <w:t xml:space="preserve">their education in public schools, or even </w:t>
      </w:r>
      <w:r w:rsidR="00603615" w:rsidRPr="00CA7200">
        <w:rPr>
          <w:rFonts w:asciiTheme="majorBidi" w:hAnsiTheme="majorBidi" w:cstheme="majorBidi"/>
          <w:sz w:val="28"/>
          <w:szCs w:val="28"/>
        </w:rPr>
        <w:t>making</w:t>
      </w:r>
      <w:r w:rsidRPr="00CA7200">
        <w:rPr>
          <w:rFonts w:asciiTheme="majorBidi" w:hAnsiTheme="majorBidi" w:cstheme="majorBidi"/>
          <w:sz w:val="28"/>
          <w:szCs w:val="28"/>
        </w:rPr>
        <w:t xml:space="preserve"> small projects to earn a living</w:t>
      </w:r>
      <w:r w:rsidR="00603615" w:rsidRPr="00CA7200">
        <w:rPr>
          <w:rStyle w:val="FootnoteReference"/>
          <w:rFonts w:asciiTheme="majorBidi" w:hAnsiTheme="majorBidi" w:cstheme="majorBidi"/>
          <w:sz w:val="28"/>
          <w:szCs w:val="28"/>
        </w:rPr>
        <w:footnoteReference w:id="12"/>
      </w:r>
      <w:r w:rsidRPr="00CA7200">
        <w:rPr>
          <w:rFonts w:asciiTheme="majorBidi" w:hAnsiTheme="majorBidi" w:cstheme="majorBidi"/>
          <w:sz w:val="28"/>
          <w:szCs w:val="28"/>
        </w:rPr>
        <w:t>. In addition, the Egyptian Labor Law of 2003 prohibits, in Articles 35 and 88, any discrimination in wages on the basis of gender, and it has approved a criminal penalty for the employer who commits this kind of discrimination.</w:t>
      </w:r>
      <w:r w:rsidR="008C6E39" w:rsidRPr="00CA7200">
        <w:rPr>
          <w:rStyle w:val="FootnoteReference"/>
          <w:rFonts w:asciiTheme="majorBidi" w:hAnsiTheme="majorBidi" w:cstheme="majorBidi"/>
          <w:sz w:val="28"/>
          <w:szCs w:val="28"/>
        </w:rPr>
        <w:footnoteReference w:id="13"/>
      </w:r>
    </w:p>
    <w:p w14:paraId="0FCB1163" w14:textId="77777777" w:rsidR="00327F5E" w:rsidRPr="00CA7200" w:rsidRDefault="00327F5E" w:rsidP="00CA7200">
      <w:pPr>
        <w:jc w:val="both"/>
        <w:rPr>
          <w:rFonts w:asciiTheme="majorBidi" w:hAnsiTheme="majorBidi" w:cstheme="majorBidi"/>
          <w:b/>
          <w:bCs/>
          <w:sz w:val="28"/>
          <w:szCs w:val="28"/>
        </w:rPr>
      </w:pPr>
      <w:r w:rsidRPr="00CA7200">
        <w:rPr>
          <w:rFonts w:asciiTheme="majorBidi" w:hAnsiTheme="majorBidi" w:cstheme="majorBidi"/>
          <w:b/>
          <w:bCs/>
          <w:sz w:val="28"/>
          <w:szCs w:val="28"/>
        </w:rPr>
        <w:t>4. Combating violence against women</w:t>
      </w:r>
      <w:r w:rsidR="008C6E39" w:rsidRPr="00CA7200">
        <w:rPr>
          <w:rFonts w:asciiTheme="majorBidi" w:hAnsiTheme="majorBidi" w:cstheme="majorBidi"/>
          <w:b/>
          <w:bCs/>
          <w:sz w:val="28"/>
          <w:szCs w:val="28"/>
        </w:rPr>
        <w:t xml:space="preserve"> </w:t>
      </w:r>
    </w:p>
    <w:p w14:paraId="7C66CCFE" w14:textId="77777777"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 xml:space="preserve">In an attempt to address the phenomenon of violence against women, the National Council for Women, in May 2018, adopted the "Safe City for Women" project launched by the United Nations, which aims to create a climate free from violence against women and sexual harassment, and to empower women in society economically, culturally, politically </w:t>
      </w:r>
      <w:r w:rsidR="008C6E39" w:rsidRPr="00CA7200">
        <w:rPr>
          <w:rFonts w:asciiTheme="majorBidi" w:hAnsiTheme="majorBidi" w:cstheme="majorBidi"/>
          <w:sz w:val="28"/>
          <w:szCs w:val="28"/>
        </w:rPr>
        <w:t>and socially in public places, a</w:t>
      </w:r>
      <w:r w:rsidRPr="00CA7200">
        <w:rPr>
          <w:rFonts w:asciiTheme="majorBidi" w:hAnsiTheme="majorBidi" w:cstheme="majorBidi"/>
          <w:sz w:val="28"/>
          <w:szCs w:val="28"/>
        </w:rPr>
        <w:t xml:space="preserve">nd protecting </w:t>
      </w:r>
      <w:r w:rsidR="008C6E39" w:rsidRPr="00CA7200">
        <w:rPr>
          <w:rFonts w:asciiTheme="majorBidi" w:hAnsiTheme="majorBidi" w:cstheme="majorBidi"/>
          <w:sz w:val="28"/>
          <w:szCs w:val="28"/>
        </w:rPr>
        <w:t>her</w:t>
      </w:r>
      <w:r w:rsidRPr="00CA7200">
        <w:rPr>
          <w:rFonts w:asciiTheme="majorBidi" w:hAnsiTheme="majorBidi" w:cstheme="majorBidi"/>
          <w:sz w:val="28"/>
          <w:szCs w:val="28"/>
        </w:rPr>
        <w:t xml:space="preserve"> from all forms of violence practiced against it in all its material and moral forms by creating a safe environment for </w:t>
      </w:r>
      <w:r w:rsidR="008C6E39" w:rsidRPr="00CA7200">
        <w:rPr>
          <w:rFonts w:asciiTheme="majorBidi" w:hAnsiTheme="majorBidi" w:cstheme="majorBidi"/>
          <w:sz w:val="28"/>
          <w:szCs w:val="28"/>
        </w:rPr>
        <w:t>her.</w:t>
      </w:r>
      <w:r w:rsidRPr="00CA7200">
        <w:rPr>
          <w:rFonts w:asciiTheme="majorBidi" w:hAnsiTheme="majorBidi" w:cstheme="majorBidi"/>
          <w:sz w:val="28"/>
          <w:szCs w:val="28"/>
        </w:rPr>
        <w:t xml:space="preserve"> </w:t>
      </w:r>
      <w:r w:rsidR="008C6E39" w:rsidRPr="00CA7200">
        <w:rPr>
          <w:rFonts w:asciiTheme="majorBidi" w:hAnsiTheme="majorBidi" w:cstheme="majorBidi"/>
          <w:sz w:val="28"/>
          <w:szCs w:val="28"/>
        </w:rPr>
        <w:t>T</w:t>
      </w:r>
      <w:r w:rsidRPr="00CA7200">
        <w:rPr>
          <w:rFonts w:asciiTheme="majorBidi" w:hAnsiTheme="majorBidi" w:cstheme="majorBidi"/>
          <w:sz w:val="28"/>
          <w:szCs w:val="28"/>
        </w:rPr>
        <w:t xml:space="preserve">his program is implemented in more than 20 countries around the world, and the new experiment was applied for the first time in the </w:t>
      </w:r>
      <w:proofErr w:type="spellStart"/>
      <w:r w:rsidRPr="00CA7200">
        <w:rPr>
          <w:rFonts w:asciiTheme="majorBidi" w:hAnsiTheme="majorBidi" w:cstheme="majorBidi"/>
          <w:sz w:val="28"/>
          <w:szCs w:val="28"/>
        </w:rPr>
        <w:t>Imbaba</w:t>
      </w:r>
      <w:proofErr w:type="spellEnd"/>
      <w:r w:rsidRPr="00CA7200">
        <w:rPr>
          <w:rFonts w:asciiTheme="majorBidi" w:hAnsiTheme="majorBidi" w:cstheme="majorBidi"/>
          <w:sz w:val="28"/>
          <w:szCs w:val="28"/>
        </w:rPr>
        <w:t xml:space="preserve"> area of ​​Giza Governorate, in preparation for its generalization in all governorates.</w:t>
      </w:r>
      <w:r w:rsidR="008C6E39" w:rsidRPr="00CA7200">
        <w:rPr>
          <w:rStyle w:val="FootnoteReference"/>
          <w:rFonts w:asciiTheme="majorBidi" w:hAnsiTheme="majorBidi" w:cstheme="majorBidi"/>
          <w:sz w:val="28"/>
          <w:szCs w:val="28"/>
        </w:rPr>
        <w:footnoteReference w:id="14"/>
      </w:r>
    </w:p>
    <w:p w14:paraId="0ED317CD" w14:textId="77777777"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 xml:space="preserve">As the phenomenon of violence against women continues to spread, a domestic worker threw herself from the fourth floor in Heliopolis in August 2018, after a housewife tortured </w:t>
      </w:r>
      <w:r w:rsidRPr="00CA7200">
        <w:rPr>
          <w:rFonts w:asciiTheme="majorBidi" w:hAnsiTheme="majorBidi" w:cstheme="majorBidi"/>
          <w:sz w:val="28"/>
          <w:szCs w:val="28"/>
        </w:rPr>
        <w:lastRenderedPageBreak/>
        <w:t>her by pulling her nails and cutting her hair, beating her, and detaining her inside the apartment, and despite the housewife's admission that the maid h</w:t>
      </w:r>
      <w:r w:rsidR="00B56EA2" w:rsidRPr="00CA7200">
        <w:rPr>
          <w:rFonts w:asciiTheme="majorBidi" w:hAnsiTheme="majorBidi" w:cstheme="majorBidi"/>
          <w:sz w:val="28"/>
          <w:szCs w:val="28"/>
        </w:rPr>
        <w:t>ad been tortured and assaulted, t</w:t>
      </w:r>
      <w:r w:rsidRPr="00CA7200">
        <w:rPr>
          <w:rFonts w:asciiTheme="majorBidi" w:hAnsiTheme="majorBidi" w:cstheme="majorBidi"/>
          <w:sz w:val="28"/>
          <w:szCs w:val="28"/>
        </w:rPr>
        <w:t>he Heliopolis Prosecution office ordered her release, after the victim gave up and reconciled with the accused.</w:t>
      </w:r>
      <w:r w:rsidR="00B56EA2" w:rsidRPr="00CA7200">
        <w:rPr>
          <w:rStyle w:val="FootnoteReference"/>
          <w:rFonts w:asciiTheme="majorBidi" w:hAnsiTheme="majorBidi" w:cstheme="majorBidi"/>
          <w:sz w:val="28"/>
          <w:szCs w:val="28"/>
        </w:rPr>
        <w:footnoteReference w:id="15"/>
      </w:r>
    </w:p>
    <w:p w14:paraId="5344B9C3" w14:textId="77777777"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The percentage of previously married women who were subjected to physical or sexual violence from their husbands was 34.1%. The percentage of women who were subjected to any form of harassment in public transportation was about 6.6%, and the percentage of women who were exposed to any form of harassment in the street reached 9.6%, according to the Central Agency for Mobilization and Statistics. Therefore, the Egyptian government has given special importanc</w:t>
      </w:r>
      <w:r w:rsidR="00095423" w:rsidRPr="00CA7200">
        <w:rPr>
          <w:rFonts w:asciiTheme="majorBidi" w:hAnsiTheme="majorBidi" w:cstheme="majorBidi"/>
          <w:sz w:val="28"/>
          <w:szCs w:val="28"/>
        </w:rPr>
        <w:t>e to fighting this phenomenon. Among the s</w:t>
      </w:r>
      <w:r w:rsidRPr="00CA7200">
        <w:rPr>
          <w:rFonts w:asciiTheme="majorBidi" w:hAnsiTheme="majorBidi" w:cstheme="majorBidi"/>
          <w:sz w:val="28"/>
          <w:szCs w:val="28"/>
        </w:rPr>
        <w:t>teps t</w:t>
      </w:r>
      <w:r w:rsidR="00095423" w:rsidRPr="00CA7200">
        <w:rPr>
          <w:rFonts w:asciiTheme="majorBidi" w:hAnsiTheme="majorBidi" w:cstheme="majorBidi"/>
          <w:sz w:val="28"/>
          <w:szCs w:val="28"/>
        </w:rPr>
        <w:t>aken by the Egyptian government are the following:</w:t>
      </w:r>
    </w:p>
    <w:p w14:paraId="0E9740B7" w14:textId="77777777" w:rsidR="00327F5E" w:rsidRPr="00CA7200" w:rsidRDefault="00327F5E" w:rsidP="00CA7200">
      <w:pPr>
        <w:pStyle w:val="ListParagraph"/>
        <w:numPr>
          <w:ilvl w:val="0"/>
          <w:numId w:val="2"/>
        </w:numPr>
        <w:jc w:val="both"/>
        <w:rPr>
          <w:rFonts w:asciiTheme="majorBidi" w:hAnsiTheme="majorBidi" w:cstheme="majorBidi"/>
          <w:sz w:val="28"/>
          <w:szCs w:val="28"/>
        </w:rPr>
      </w:pPr>
      <w:r w:rsidRPr="00CA7200">
        <w:rPr>
          <w:rFonts w:asciiTheme="majorBidi" w:hAnsiTheme="majorBidi" w:cstheme="majorBidi"/>
          <w:sz w:val="28"/>
          <w:szCs w:val="28"/>
        </w:rPr>
        <w:t xml:space="preserve">Establishing </w:t>
      </w:r>
      <w:bookmarkStart w:id="13" w:name="OLE_LINK104"/>
      <w:r w:rsidRPr="00CA7200">
        <w:rPr>
          <w:rFonts w:asciiTheme="majorBidi" w:hAnsiTheme="majorBidi" w:cstheme="majorBidi"/>
          <w:sz w:val="28"/>
          <w:szCs w:val="28"/>
        </w:rPr>
        <w:t xml:space="preserve">a special department to combat violence against women in the Ministry of Interior </w:t>
      </w:r>
      <w:r w:rsidR="00095423" w:rsidRPr="00CA7200">
        <w:rPr>
          <w:rFonts w:asciiTheme="majorBidi" w:hAnsiTheme="majorBidi" w:cstheme="majorBidi"/>
          <w:sz w:val="28"/>
          <w:szCs w:val="28"/>
        </w:rPr>
        <w:t>pursuant</w:t>
      </w:r>
      <w:r w:rsidRPr="00CA7200">
        <w:rPr>
          <w:rFonts w:asciiTheme="majorBidi" w:hAnsiTheme="majorBidi" w:cstheme="majorBidi"/>
          <w:sz w:val="28"/>
          <w:szCs w:val="28"/>
        </w:rPr>
        <w:t xml:space="preserve"> to Resolution No. 2285 of 2013</w:t>
      </w:r>
      <w:bookmarkEnd w:id="13"/>
      <w:r w:rsidRPr="00CA7200">
        <w:rPr>
          <w:rFonts w:asciiTheme="majorBidi" w:hAnsiTheme="majorBidi" w:cstheme="majorBidi"/>
          <w:sz w:val="28"/>
          <w:szCs w:val="28"/>
        </w:rPr>
        <w:t xml:space="preserve">, as well as </w:t>
      </w:r>
      <w:bookmarkStart w:id="14" w:name="OLE_LINK105"/>
      <w:bookmarkStart w:id="15" w:name="OLE_LINK106"/>
      <w:r w:rsidRPr="00CA7200">
        <w:rPr>
          <w:rFonts w:asciiTheme="majorBidi" w:hAnsiTheme="majorBidi" w:cstheme="majorBidi"/>
          <w:sz w:val="28"/>
          <w:szCs w:val="28"/>
        </w:rPr>
        <w:t>establishing sub-special departments in the security directorates at the level of the governorates of the Republic</w:t>
      </w:r>
      <w:bookmarkEnd w:id="14"/>
      <w:bookmarkEnd w:id="15"/>
      <w:r w:rsidRPr="00CA7200">
        <w:rPr>
          <w:rFonts w:asciiTheme="majorBidi" w:hAnsiTheme="majorBidi" w:cstheme="majorBidi"/>
          <w:sz w:val="28"/>
          <w:szCs w:val="28"/>
        </w:rPr>
        <w:t xml:space="preserve">, and this department is headed by a </w:t>
      </w:r>
      <w:r w:rsidR="00D80A31" w:rsidRPr="00CA7200">
        <w:rPr>
          <w:rFonts w:asciiTheme="majorBidi" w:hAnsiTheme="majorBidi" w:cstheme="majorBidi"/>
          <w:sz w:val="28"/>
          <w:szCs w:val="28"/>
        </w:rPr>
        <w:t>female</w:t>
      </w:r>
      <w:r w:rsidRPr="00CA7200">
        <w:rPr>
          <w:rFonts w:asciiTheme="majorBidi" w:hAnsiTheme="majorBidi" w:cstheme="majorBidi"/>
          <w:sz w:val="28"/>
          <w:szCs w:val="28"/>
        </w:rPr>
        <w:t xml:space="preserve"> Police Brigadier, in addition to </w:t>
      </w:r>
      <w:r w:rsidR="00D80A31" w:rsidRPr="00CA7200">
        <w:rPr>
          <w:rFonts w:asciiTheme="majorBidi" w:hAnsiTheme="majorBidi" w:cstheme="majorBidi"/>
          <w:sz w:val="28"/>
          <w:szCs w:val="28"/>
        </w:rPr>
        <w:t>establishing</w:t>
      </w:r>
      <w:r w:rsidRPr="00CA7200">
        <w:rPr>
          <w:rFonts w:asciiTheme="majorBidi" w:hAnsiTheme="majorBidi" w:cstheme="majorBidi"/>
          <w:sz w:val="28"/>
          <w:szCs w:val="28"/>
        </w:rPr>
        <w:t xml:space="preserve"> a number for </w:t>
      </w:r>
      <w:r w:rsidR="00D80A31" w:rsidRPr="00CA7200">
        <w:rPr>
          <w:rFonts w:asciiTheme="majorBidi" w:hAnsiTheme="majorBidi" w:cstheme="majorBidi"/>
          <w:sz w:val="28"/>
          <w:szCs w:val="28"/>
        </w:rPr>
        <w:t xml:space="preserve">receiving </w:t>
      </w:r>
      <w:r w:rsidRPr="00CA7200">
        <w:rPr>
          <w:rFonts w:asciiTheme="majorBidi" w:hAnsiTheme="majorBidi" w:cstheme="majorBidi"/>
          <w:sz w:val="28"/>
          <w:szCs w:val="28"/>
        </w:rPr>
        <w:t>complaints of the Ministry Interior to receive communications related to violence against women</w:t>
      </w:r>
      <w:r w:rsidR="00D80A31" w:rsidRPr="00CA7200">
        <w:rPr>
          <w:rStyle w:val="FootnoteReference"/>
          <w:rFonts w:asciiTheme="majorBidi" w:hAnsiTheme="majorBidi" w:cstheme="majorBidi"/>
          <w:sz w:val="28"/>
          <w:szCs w:val="28"/>
        </w:rPr>
        <w:footnoteReference w:id="16"/>
      </w:r>
      <w:r w:rsidRPr="00CA7200">
        <w:rPr>
          <w:rFonts w:asciiTheme="majorBidi" w:hAnsiTheme="majorBidi" w:cstheme="majorBidi"/>
          <w:sz w:val="28"/>
          <w:szCs w:val="28"/>
        </w:rPr>
        <w:t xml:space="preserve">. In addition, 14 units were established to combat violence and harassment against women in private and government universities to ensure the protection of girls </w:t>
      </w:r>
      <w:r w:rsidR="00D80A31" w:rsidRPr="00CA7200">
        <w:rPr>
          <w:rFonts w:asciiTheme="majorBidi" w:hAnsiTheme="majorBidi" w:cstheme="majorBidi"/>
          <w:sz w:val="28"/>
          <w:szCs w:val="28"/>
        </w:rPr>
        <w:t>in</w:t>
      </w:r>
      <w:r w:rsidRPr="00CA7200">
        <w:rPr>
          <w:rFonts w:asciiTheme="majorBidi" w:hAnsiTheme="majorBidi" w:cstheme="majorBidi"/>
          <w:sz w:val="28"/>
          <w:szCs w:val="28"/>
        </w:rPr>
        <w:t xml:space="preserve"> campus. </w:t>
      </w:r>
      <w:r w:rsidR="00D80A31" w:rsidRPr="00CA7200">
        <w:rPr>
          <w:rFonts w:asciiTheme="majorBidi" w:hAnsiTheme="majorBidi" w:cstheme="majorBidi"/>
          <w:sz w:val="28"/>
          <w:szCs w:val="28"/>
        </w:rPr>
        <w:t>Moreover</w:t>
      </w:r>
      <w:r w:rsidRPr="00CA7200">
        <w:rPr>
          <w:rFonts w:asciiTheme="majorBidi" w:hAnsiTheme="majorBidi" w:cstheme="majorBidi"/>
          <w:sz w:val="28"/>
          <w:szCs w:val="28"/>
        </w:rPr>
        <w:t xml:space="preserve">, workshops and awareness-raising meetings were organized to combat harassment for students, faculty members, and staff, and to spread </w:t>
      </w:r>
      <w:r w:rsidR="00D80A31" w:rsidRPr="00CA7200">
        <w:rPr>
          <w:rFonts w:asciiTheme="majorBidi" w:hAnsiTheme="majorBidi" w:cstheme="majorBidi"/>
          <w:sz w:val="28"/>
          <w:szCs w:val="28"/>
        </w:rPr>
        <w:t xml:space="preserve">the culture of respecting </w:t>
      </w:r>
      <w:r w:rsidRPr="00CA7200">
        <w:rPr>
          <w:rFonts w:asciiTheme="majorBidi" w:hAnsiTheme="majorBidi" w:cstheme="majorBidi"/>
          <w:sz w:val="28"/>
          <w:szCs w:val="28"/>
        </w:rPr>
        <w:t>women.</w:t>
      </w:r>
      <w:r w:rsidR="00D80A31" w:rsidRPr="00CA7200">
        <w:rPr>
          <w:rStyle w:val="FootnoteReference"/>
          <w:rFonts w:asciiTheme="majorBidi" w:hAnsiTheme="majorBidi" w:cstheme="majorBidi"/>
          <w:sz w:val="28"/>
          <w:szCs w:val="28"/>
        </w:rPr>
        <w:footnoteReference w:id="17"/>
      </w:r>
    </w:p>
    <w:p w14:paraId="5B9A5BE9" w14:textId="77777777" w:rsidR="00327F5E" w:rsidRPr="00CA7200" w:rsidRDefault="00327F5E" w:rsidP="00CA7200">
      <w:pPr>
        <w:pStyle w:val="ListParagraph"/>
        <w:numPr>
          <w:ilvl w:val="0"/>
          <w:numId w:val="2"/>
        </w:numPr>
        <w:jc w:val="both"/>
        <w:rPr>
          <w:rFonts w:asciiTheme="majorBidi" w:hAnsiTheme="majorBidi" w:cstheme="majorBidi"/>
          <w:sz w:val="28"/>
          <w:szCs w:val="28"/>
        </w:rPr>
      </w:pPr>
      <w:r w:rsidRPr="00CA7200">
        <w:rPr>
          <w:rFonts w:asciiTheme="majorBidi" w:hAnsiTheme="majorBidi" w:cstheme="majorBidi"/>
          <w:sz w:val="28"/>
          <w:szCs w:val="28"/>
        </w:rPr>
        <w:t xml:space="preserve">The National Council for Women and the Ministry of Social Solidarity launched a number of initiatives aimed at combating violence against women, such as establishing a “Women's Complaints Office”. The </w:t>
      </w:r>
      <w:r w:rsidR="00D80A31" w:rsidRPr="00CA7200">
        <w:rPr>
          <w:rFonts w:asciiTheme="majorBidi" w:hAnsiTheme="majorBidi" w:cstheme="majorBidi"/>
          <w:sz w:val="28"/>
          <w:szCs w:val="28"/>
        </w:rPr>
        <w:t xml:space="preserve">total </w:t>
      </w:r>
      <w:r w:rsidRPr="00CA7200">
        <w:rPr>
          <w:rFonts w:asciiTheme="majorBidi" w:hAnsiTheme="majorBidi" w:cstheme="majorBidi"/>
          <w:sz w:val="28"/>
          <w:szCs w:val="28"/>
        </w:rPr>
        <w:t>number of complaints received by the office from 2008 to 2019 reached 50,841 complaints, which varied between personal statuses, exposure to violence, and need</w:t>
      </w:r>
      <w:r w:rsidR="00D80A31" w:rsidRPr="00CA7200">
        <w:rPr>
          <w:rFonts w:asciiTheme="majorBidi" w:hAnsiTheme="majorBidi" w:cstheme="majorBidi"/>
          <w:sz w:val="28"/>
          <w:szCs w:val="28"/>
        </w:rPr>
        <w:t xml:space="preserve"> for social, economic, and judicial assistance</w:t>
      </w:r>
      <w:r w:rsidRPr="00CA7200">
        <w:rPr>
          <w:rFonts w:asciiTheme="majorBidi" w:hAnsiTheme="majorBidi" w:cstheme="majorBidi"/>
          <w:sz w:val="28"/>
          <w:szCs w:val="28"/>
        </w:rPr>
        <w:t>. In addition to that, the National Council for Women has carried out some other campaigns, including the "Not Before 18" campaign, which combats underage marriage, and the campaign to eliminate female circumcision by 2030. The Ministry of Social Solidarity has</w:t>
      </w:r>
      <w:r w:rsidR="002231A7" w:rsidRPr="00CA7200">
        <w:rPr>
          <w:rFonts w:asciiTheme="majorBidi" w:hAnsiTheme="majorBidi" w:cstheme="majorBidi"/>
          <w:sz w:val="28"/>
          <w:szCs w:val="28"/>
        </w:rPr>
        <w:t xml:space="preserve"> also allocated 9 centers, spread across the country, for homeless women who fell victims to violence, so that they could receive advice and assistance to </w:t>
      </w:r>
      <w:r w:rsidRPr="00CA7200">
        <w:rPr>
          <w:rFonts w:asciiTheme="majorBidi" w:hAnsiTheme="majorBidi" w:cstheme="majorBidi"/>
          <w:sz w:val="28"/>
          <w:szCs w:val="28"/>
        </w:rPr>
        <w:t>o</w:t>
      </w:r>
      <w:r w:rsidR="002231A7" w:rsidRPr="00CA7200">
        <w:rPr>
          <w:rFonts w:asciiTheme="majorBidi" w:hAnsiTheme="majorBidi" w:cstheme="majorBidi"/>
          <w:sz w:val="28"/>
          <w:szCs w:val="28"/>
        </w:rPr>
        <w:t>vercome the obstacles they face</w:t>
      </w:r>
      <w:r w:rsidRPr="00CA7200">
        <w:rPr>
          <w:rFonts w:asciiTheme="majorBidi" w:hAnsiTheme="majorBidi" w:cstheme="majorBidi"/>
          <w:sz w:val="28"/>
          <w:szCs w:val="28"/>
        </w:rPr>
        <w:t>.</w:t>
      </w:r>
      <w:r w:rsidR="002231A7" w:rsidRPr="00CA7200">
        <w:rPr>
          <w:rStyle w:val="FootnoteReference"/>
          <w:rFonts w:asciiTheme="majorBidi" w:hAnsiTheme="majorBidi" w:cstheme="majorBidi"/>
          <w:sz w:val="28"/>
          <w:szCs w:val="28"/>
        </w:rPr>
        <w:footnoteReference w:id="18"/>
      </w:r>
    </w:p>
    <w:p w14:paraId="4BC4D2A9" w14:textId="77777777" w:rsidR="008921BC" w:rsidRPr="00CA7200" w:rsidRDefault="008921BC" w:rsidP="00CA7200">
      <w:pPr>
        <w:pStyle w:val="ListParagraph"/>
        <w:numPr>
          <w:ilvl w:val="0"/>
          <w:numId w:val="5"/>
        </w:numPr>
        <w:jc w:val="both"/>
        <w:rPr>
          <w:rFonts w:asciiTheme="majorBidi" w:hAnsiTheme="majorBidi" w:cstheme="majorBidi"/>
          <w:b/>
          <w:bCs/>
          <w:sz w:val="28"/>
          <w:szCs w:val="28"/>
        </w:rPr>
      </w:pPr>
      <w:r w:rsidRPr="00CA7200">
        <w:rPr>
          <w:rFonts w:asciiTheme="majorBidi" w:hAnsiTheme="majorBidi" w:cstheme="majorBidi"/>
          <w:b/>
          <w:bCs/>
          <w:sz w:val="28"/>
          <w:szCs w:val="28"/>
        </w:rPr>
        <w:t>Female Genital Mutilation (FGM)</w:t>
      </w:r>
    </w:p>
    <w:p w14:paraId="58D26F24" w14:textId="77777777" w:rsidR="00327F5E" w:rsidRPr="00CA7200" w:rsidRDefault="00327F5E" w:rsidP="00CA7200">
      <w:pPr>
        <w:ind w:firstLine="360"/>
        <w:jc w:val="both"/>
        <w:rPr>
          <w:rFonts w:asciiTheme="majorBidi" w:hAnsiTheme="majorBidi" w:cstheme="majorBidi"/>
          <w:sz w:val="28"/>
          <w:szCs w:val="28"/>
        </w:rPr>
      </w:pPr>
      <w:r w:rsidRPr="00CA7200">
        <w:rPr>
          <w:rFonts w:asciiTheme="majorBidi" w:hAnsiTheme="majorBidi" w:cstheme="majorBidi"/>
          <w:sz w:val="28"/>
          <w:szCs w:val="28"/>
        </w:rPr>
        <w:lastRenderedPageBreak/>
        <w:t>Egypt has made intensive efforts to combat the phenomenon of female circumcision, which has intensified over the past tw</w:t>
      </w:r>
      <w:r w:rsidR="00482C59" w:rsidRPr="00CA7200">
        <w:rPr>
          <w:rFonts w:asciiTheme="majorBidi" w:hAnsiTheme="majorBidi" w:cstheme="majorBidi"/>
          <w:sz w:val="28"/>
          <w:szCs w:val="28"/>
        </w:rPr>
        <w:t xml:space="preserve">o decades. It is one of the practices that violates </w:t>
      </w:r>
      <w:r w:rsidRPr="00CA7200">
        <w:rPr>
          <w:rFonts w:asciiTheme="majorBidi" w:hAnsiTheme="majorBidi" w:cstheme="majorBidi"/>
          <w:sz w:val="28"/>
          <w:szCs w:val="28"/>
        </w:rPr>
        <w:t xml:space="preserve">women </w:t>
      </w:r>
      <w:r w:rsidR="00482C59" w:rsidRPr="00CA7200">
        <w:rPr>
          <w:rFonts w:asciiTheme="majorBidi" w:hAnsiTheme="majorBidi" w:cstheme="majorBidi"/>
          <w:sz w:val="28"/>
          <w:szCs w:val="28"/>
        </w:rPr>
        <w:t xml:space="preserve">rights </w:t>
      </w:r>
      <w:r w:rsidRPr="00CA7200">
        <w:rPr>
          <w:rFonts w:asciiTheme="majorBidi" w:hAnsiTheme="majorBidi" w:cstheme="majorBidi"/>
          <w:sz w:val="28"/>
          <w:szCs w:val="28"/>
        </w:rPr>
        <w:t>according to international instruments and texts, starting from the Universal Declarat</w:t>
      </w:r>
      <w:r w:rsidR="00AF152B" w:rsidRPr="00CA7200">
        <w:rPr>
          <w:rFonts w:asciiTheme="majorBidi" w:hAnsiTheme="majorBidi" w:cstheme="majorBidi"/>
          <w:sz w:val="28"/>
          <w:szCs w:val="28"/>
        </w:rPr>
        <w:t xml:space="preserve">ion of Human Rights to the 1993 </w:t>
      </w:r>
      <w:r w:rsidRPr="00CA7200">
        <w:rPr>
          <w:rFonts w:asciiTheme="majorBidi" w:hAnsiTheme="majorBidi" w:cstheme="majorBidi"/>
          <w:sz w:val="28"/>
          <w:szCs w:val="28"/>
        </w:rPr>
        <w:t xml:space="preserve">Declaration on the Elimination of Violence against Women, which defined female circumcision as a form of Violence that occurs within the family. Article 4 of the declaration obliges states to prohibit and criminalize this act, and calls on states not to adhere to any custom, tradition or religious considerations to evade their obligations to eliminate it. </w:t>
      </w:r>
      <w:r w:rsidR="006021BD" w:rsidRPr="00CA7200">
        <w:rPr>
          <w:rStyle w:val="FootnoteReference"/>
          <w:rFonts w:asciiTheme="majorBidi" w:hAnsiTheme="majorBidi" w:cstheme="majorBidi"/>
          <w:sz w:val="28"/>
          <w:szCs w:val="28"/>
        </w:rPr>
        <w:footnoteReference w:id="19"/>
      </w:r>
      <w:r w:rsidRPr="00CA7200">
        <w:rPr>
          <w:rFonts w:asciiTheme="majorBidi" w:hAnsiTheme="majorBidi" w:cstheme="majorBidi"/>
          <w:sz w:val="28"/>
          <w:szCs w:val="28"/>
        </w:rPr>
        <w:t>The phenomenon of female circumcision in Egypt has witnessed a slight decline in recent years, and according to the health survey conducted by the National Population Council in Egypt, the prevalence of female circumcision among the new generations decreased from 74% to 61% in the age group from 15 to 17 in the period from 2008 to 2014, however, a study issued by the United Nations Children's Fund "UNICEF" confirmed that 92% of Egyptian women who were previously married between the ages of 14 and 42 had undergone circumcision.</w:t>
      </w:r>
    </w:p>
    <w:p w14:paraId="1BFE9870" w14:textId="77777777" w:rsidR="00327F5E" w:rsidRPr="00CA7200" w:rsidRDefault="006021BD" w:rsidP="00CA7200">
      <w:pPr>
        <w:ind w:firstLine="360"/>
        <w:jc w:val="both"/>
        <w:rPr>
          <w:rFonts w:asciiTheme="majorBidi" w:hAnsiTheme="majorBidi" w:cstheme="majorBidi"/>
          <w:sz w:val="28"/>
          <w:szCs w:val="28"/>
        </w:rPr>
      </w:pPr>
      <w:r w:rsidRPr="00CA7200">
        <w:rPr>
          <w:rFonts w:asciiTheme="majorBidi" w:hAnsiTheme="majorBidi" w:cstheme="majorBidi"/>
          <w:sz w:val="28"/>
          <w:szCs w:val="28"/>
        </w:rPr>
        <w:t>A new legislative reality was motivated by</w:t>
      </w:r>
      <w:r w:rsidR="00327F5E" w:rsidRPr="00CA7200">
        <w:rPr>
          <w:rFonts w:asciiTheme="majorBidi" w:hAnsiTheme="majorBidi" w:cstheme="majorBidi"/>
          <w:sz w:val="28"/>
          <w:szCs w:val="28"/>
        </w:rPr>
        <w:t xml:space="preserve"> the death of </w:t>
      </w:r>
      <w:r w:rsidRPr="00CA7200">
        <w:rPr>
          <w:rFonts w:asciiTheme="majorBidi" w:hAnsiTheme="majorBidi" w:cstheme="majorBidi"/>
          <w:sz w:val="28"/>
          <w:szCs w:val="28"/>
        </w:rPr>
        <w:t xml:space="preserve">child </w:t>
      </w:r>
      <w:proofErr w:type="spellStart"/>
      <w:r w:rsidRPr="00CA7200">
        <w:rPr>
          <w:rFonts w:asciiTheme="majorBidi" w:hAnsiTheme="majorBidi" w:cstheme="majorBidi"/>
          <w:sz w:val="28"/>
          <w:szCs w:val="28"/>
        </w:rPr>
        <w:t>Bodor</w:t>
      </w:r>
      <w:proofErr w:type="spellEnd"/>
      <w:r w:rsidRPr="00CA7200">
        <w:rPr>
          <w:rFonts w:asciiTheme="majorBidi" w:hAnsiTheme="majorBidi" w:cstheme="majorBidi"/>
          <w:sz w:val="28"/>
          <w:szCs w:val="28"/>
        </w:rPr>
        <w:t xml:space="preserve"> Shakir in June 2007</w:t>
      </w:r>
      <w:r w:rsidR="00327F5E" w:rsidRPr="00CA7200">
        <w:rPr>
          <w:rFonts w:asciiTheme="majorBidi" w:hAnsiTheme="majorBidi" w:cstheme="majorBidi"/>
          <w:sz w:val="28"/>
          <w:szCs w:val="28"/>
        </w:rPr>
        <w:t xml:space="preserve">, as </w:t>
      </w:r>
      <w:r w:rsidRPr="00CA7200">
        <w:rPr>
          <w:rFonts w:asciiTheme="majorBidi" w:hAnsiTheme="majorBidi" w:cstheme="majorBidi"/>
          <w:sz w:val="28"/>
          <w:szCs w:val="28"/>
        </w:rPr>
        <w:t>the</w:t>
      </w:r>
      <w:r w:rsidR="00327F5E" w:rsidRPr="00CA7200">
        <w:rPr>
          <w:rFonts w:asciiTheme="majorBidi" w:hAnsiTheme="majorBidi" w:cstheme="majorBidi"/>
          <w:sz w:val="28"/>
          <w:szCs w:val="28"/>
        </w:rPr>
        <w:t xml:space="preserve"> Minister of Health</w:t>
      </w:r>
      <w:r w:rsidRPr="00CA7200">
        <w:rPr>
          <w:rFonts w:asciiTheme="majorBidi" w:hAnsiTheme="majorBidi" w:cstheme="majorBidi"/>
          <w:sz w:val="28"/>
          <w:szCs w:val="28"/>
        </w:rPr>
        <w:t>, then,</w:t>
      </w:r>
      <w:r w:rsidR="00327F5E" w:rsidRPr="00CA7200">
        <w:rPr>
          <w:rFonts w:asciiTheme="majorBidi" w:hAnsiTheme="majorBidi" w:cstheme="majorBidi"/>
          <w:sz w:val="28"/>
          <w:szCs w:val="28"/>
        </w:rPr>
        <w:t xml:space="preserve"> Hatem El-</w:t>
      </w:r>
      <w:proofErr w:type="spellStart"/>
      <w:r w:rsidR="00327F5E" w:rsidRPr="00CA7200">
        <w:rPr>
          <w:rFonts w:asciiTheme="majorBidi" w:hAnsiTheme="majorBidi" w:cstheme="majorBidi"/>
          <w:sz w:val="28"/>
          <w:szCs w:val="28"/>
        </w:rPr>
        <w:t>Gabali</w:t>
      </w:r>
      <w:proofErr w:type="spellEnd"/>
      <w:r w:rsidR="00327F5E" w:rsidRPr="00CA7200">
        <w:rPr>
          <w:rFonts w:asciiTheme="majorBidi" w:hAnsiTheme="majorBidi" w:cstheme="majorBidi"/>
          <w:sz w:val="28"/>
          <w:szCs w:val="28"/>
        </w:rPr>
        <w:t xml:space="preserve"> issued Ministerial Decree No. 271 of 2007 prohibiting doctors, members of the nursing staff or others from conducting circumcision operations inside </w:t>
      </w:r>
      <w:r w:rsidRPr="00CA7200">
        <w:rPr>
          <w:rFonts w:asciiTheme="majorBidi" w:hAnsiTheme="majorBidi" w:cstheme="majorBidi"/>
          <w:sz w:val="28"/>
          <w:szCs w:val="28"/>
        </w:rPr>
        <w:t xml:space="preserve">governmental and </w:t>
      </w:r>
      <w:r w:rsidR="00327F5E" w:rsidRPr="00CA7200">
        <w:rPr>
          <w:rFonts w:asciiTheme="majorBidi" w:hAnsiTheme="majorBidi" w:cstheme="majorBidi"/>
          <w:sz w:val="28"/>
          <w:szCs w:val="28"/>
        </w:rPr>
        <w:t>non-governmental</w:t>
      </w:r>
      <w:r w:rsidRPr="00CA7200">
        <w:rPr>
          <w:rFonts w:asciiTheme="majorBidi" w:hAnsiTheme="majorBidi" w:cstheme="majorBidi"/>
          <w:sz w:val="28"/>
          <w:szCs w:val="28"/>
        </w:rPr>
        <w:t xml:space="preserve"> hospitals</w:t>
      </w:r>
      <w:r w:rsidR="00327F5E" w:rsidRPr="00CA7200">
        <w:rPr>
          <w:rFonts w:asciiTheme="majorBidi" w:hAnsiTheme="majorBidi" w:cstheme="majorBidi"/>
          <w:sz w:val="28"/>
          <w:szCs w:val="28"/>
        </w:rPr>
        <w:t>, or medical clinics, and those who carry out such operations are considered to be in violation of the laws and regulations governing the practice of the medical profession.</w:t>
      </w:r>
      <w:r w:rsidRPr="00CA7200">
        <w:rPr>
          <w:rStyle w:val="FootnoteReference"/>
          <w:rFonts w:asciiTheme="majorBidi" w:hAnsiTheme="majorBidi" w:cstheme="majorBidi"/>
          <w:sz w:val="28"/>
          <w:szCs w:val="28"/>
        </w:rPr>
        <w:footnoteReference w:id="20"/>
      </w:r>
      <w:r w:rsidR="00327F5E" w:rsidRPr="00CA7200">
        <w:rPr>
          <w:rFonts w:asciiTheme="majorBidi" w:hAnsiTheme="majorBidi" w:cstheme="majorBidi"/>
          <w:sz w:val="28"/>
          <w:szCs w:val="28"/>
        </w:rPr>
        <w:t xml:space="preserve"> </w:t>
      </w:r>
      <w:r w:rsidR="00870D5C" w:rsidRPr="00CA7200">
        <w:rPr>
          <w:rFonts w:asciiTheme="majorBidi" w:hAnsiTheme="majorBidi" w:cstheme="majorBidi"/>
          <w:sz w:val="28"/>
          <w:szCs w:val="28"/>
        </w:rPr>
        <w:t xml:space="preserve">A term of imprisonment of no less than one year and no more than three years shall be levied against anyone who seeks the circumcision of a female and a circumcision is performed pursuant to his request as set forth in Article 242(bis) of this law. </w:t>
      </w:r>
      <w:r w:rsidR="00327F5E" w:rsidRPr="00CA7200">
        <w:rPr>
          <w:rFonts w:asciiTheme="majorBidi" w:hAnsiTheme="majorBidi" w:cstheme="majorBidi"/>
          <w:sz w:val="28"/>
          <w:szCs w:val="28"/>
        </w:rPr>
        <w:t>In 2016, the previous article was updated according to Law No. 78 of 2016, published on 26 Septemb</w:t>
      </w:r>
      <w:bookmarkStart w:id="16" w:name="OLE_LINK111"/>
      <w:bookmarkStart w:id="17" w:name="OLE_LINK112"/>
      <w:bookmarkStart w:id="18" w:name="OLE_LINK113"/>
      <w:r w:rsidR="00CB513E" w:rsidRPr="00CA7200">
        <w:rPr>
          <w:rFonts w:asciiTheme="majorBidi" w:hAnsiTheme="majorBidi" w:cstheme="majorBidi"/>
          <w:sz w:val="28"/>
          <w:szCs w:val="28"/>
        </w:rPr>
        <w:t>er 2016 in the Official Gazette, which punishes with five to seven years imprisonment whoever engages in female genital mutilation.</w:t>
      </w:r>
      <w:r w:rsidR="00327F5E" w:rsidRPr="00CA7200">
        <w:rPr>
          <w:rFonts w:asciiTheme="majorBidi" w:hAnsiTheme="majorBidi" w:cstheme="majorBidi"/>
          <w:sz w:val="28"/>
          <w:szCs w:val="28"/>
        </w:rPr>
        <w:t xml:space="preserve"> </w:t>
      </w:r>
      <w:r w:rsidR="00CB513E" w:rsidRPr="00CA7200">
        <w:rPr>
          <w:rFonts w:asciiTheme="majorBidi" w:hAnsiTheme="majorBidi" w:cstheme="majorBidi"/>
          <w:sz w:val="28"/>
          <w:szCs w:val="28"/>
        </w:rPr>
        <w:t>Furthermore, in Articles 241 and 242 of the Penal Code, the law punishes the crime with up to 15 years’ imprisonment if the act of FGM leads to the death of the victim or a permanent deformity</w:t>
      </w:r>
      <w:bookmarkEnd w:id="16"/>
      <w:bookmarkEnd w:id="17"/>
      <w:bookmarkEnd w:id="18"/>
      <w:r w:rsidR="00327F5E" w:rsidRPr="00CA7200">
        <w:rPr>
          <w:rFonts w:asciiTheme="majorBidi" w:hAnsiTheme="majorBidi" w:cstheme="majorBidi"/>
          <w:sz w:val="28"/>
          <w:szCs w:val="28"/>
        </w:rPr>
        <w:t>.</w:t>
      </w:r>
      <w:r w:rsidR="00CB513E" w:rsidRPr="00CA7200">
        <w:rPr>
          <w:rStyle w:val="FootnoteReference"/>
          <w:rFonts w:asciiTheme="majorBidi" w:hAnsiTheme="majorBidi" w:cstheme="majorBidi"/>
          <w:sz w:val="28"/>
          <w:szCs w:val="28"/>
        </w:rPr>
        <w:footnoteReference w:id="21"/>
      </w:r>
    </w:p>
    <w:p w14:paraId="112ACACB" w14:textId="65F9BDCA" w:rsidR="00327F5E" w:rsidRPr="00CA7200" w:rsidRDefault="00327F5E" w:rsidP="00CA7200">
      <w:pPr>
        <w:ind w:firstLine="360"/>
        <w:jc w:val="both"/>
        <w:rPr>
          <w:rFonts w:asciiTheme="majorBidi" w:hAnsiTheme="majorBidi" w:cstheme="majorBidi"/>
          <w:sz w:val="28"/>
          <w:szCs w:val="28"/>
        </w:rPr>
      </w:pPr>
      <w:r w:rsidRPr="00CA7200">
        <w:rPr>
          <w:rFonts w:asciiTheme="majorBidi" w:hAnsiTheme="majorBidi" w:cstheme="majorBidi"/>
          <w:sz w:val="28"/>
          <w:szCs w:val="28"/>
        </w:rPr>
        <w:t xml:space="preserve">Nevertheless, </w:t>
      </w:r>
      <w:r w:rsidR="000C66AA" w:rsidRPr="00CA7200">
        <w:rPr>
          <w:rFonts w:asciiTheme="majorBidi" w:hAnsiTheme="majorBidi" w:cstheme="majorBidi"/>
          <w:sz w:val="28"/>
          <w:szCs w:val="28"/>
        </w:rPr>
        <w:t xml:space="preserve">enforcement mechanisms remain lacking and that the amended provisions still </w:t>
      </w:r>
      <w:r w:rsidR="00F303C3" w:rsidRPr="00CA7200">
        <w:rPr>
          <w:rFonts w:asciiTheme="majorBidi" w:hAnsiTheme="majorBidi" w:cstheme="majorBidi"/>
          <w:sz w:val="28"/>
          <w:szCs w:val="28"/>
        </w:rPr>
        <w:t>allow</w:t>
      </w:r>
      <w:r w:rsidR="000C66AA" w:rsidRPr="00CA7200">
        <w:rPr>
          <w:rFonts w:asciiTheme="majorBidi" w:hAnsiTheme="majorBidi" w:cstheme="majorBidi"/>
          <w:sz w:val="28"/>
          <w:szCs w:val="28"/>
        </w:rPr>
        <w:t xml:space="preserve"> doctors and medical i</w:t>
      </w:r>
      <w:r w:rsidR="00870D5C" w:rsidRPr="00CA7200">
        <w:rPr>
          <w:rFonts w:asciiTheme="majorBidi" w:hAnsiTheme="majorBidi" w:cstheme="majorBidi"/>
          <w:sz w:val="28"/>
          <w:szCs w:val="28"/>
        </w:rPr>
        <w:t>nstitutions to evade punishment, such as in cases of being motivated by the family to carry out the operation</w:t>
      </w:r>
      <w:r w:rsidR="000C66AA" w:rsidRPr="00CA7200">
        <w:rPr>
          <w:rFonts w:asciiTheme="majorBidi" w:hAnsiTheme="majorBidi" w:cstheme="majorBidi"/>
          <w:sz w:val="28"/>
          <w:szCs w:val="28"/>
        </w:rPr>
        <w:t>.</w:t>
      </w:r>
      <w:r w:rsidRPr="00CA7200">
        <w:rPr>
          <w:rFonts w:asciiTheme="majorBidi" w:hAnsiTheme="majorBidi" w:cstheme="majorBidi"/>
          <w:sz w:val="28"/>
          <w:szCs w:val="28"/>
        </w:rPr>
        <w:t xml:space="preserve"> </w:t>
      </w:r>
      <w:r w:rsidR="000C66AA" w:rsidRPr="00CA7200">
        <w:rPr>
          <w:rFonts w:asciiTheme="majorBidi" w:hAnsiTheme="majorBidi" w:cstheme="majorBidi"/>
          <w:sz w:val="28"/>
          <w:szCs w:val="28"/>
        </w:rPr>
        <w:t>Also,</w:t>
      </w:r>
      <w:r w:rsidRPr="00CA7200">
        <w:rPr>
          <w:rFonts w:asciiTheme="majorBidi" w:hAnsiTheme="majorBidi" w:cstheme="majorBidi"/>
          <w:sz w:val="28"/>
          <w:szCs w:val="28"/>
        </w:rPr>
        <w:t xml:space="preserve"> </w:t>
      </w:r>
      <w:bookmarkStart w:id="19" w:name="OLE_LINK117"/>
      <w:bookmarkStart w:id="20" w:name="OLE_LINK118"/>
      <w:bookmarkStart w:id="21" w:name="OLE_LINK119"/>
      <w:bookmarkStart w:id="22" w:name="OLE_LINK120"/>
      <w:r w:rsidRPr="00CA7200">
        <w:rPr>
          <w:rFonts w:asciiTheme="majorBidi" w:hAnsiTheme="majorBidi" w:cstheme="majorBidi"/>
          <w:sz w:val="28"/>
          <w:szCs w:val="28"/>
        </w:rPr>
        <w:t xml:space="preserve">Article 61 of the Penal Code states that </w:t>
      </w:r>
      <w:bookmarkEnd w:id="19"/>
      <w:bookmarkEnd w:id="20"/>
      <w:bookmarkEnd w:id="21"/>
      <w:bookmarkEnd w:id="22"/>
      <w:r w:rsidR="00631861" w:rsidRPr="00CA7200">
        <w:rPr>
          <w:rFonts w:asciiTheme="majorBidi" w:hAnsiTheme="majorBidi" w:cstheme="majorBidi"/>
          <w:sz w:val="28"/>
          <w:szCs w:val="28"/>
        </w:rPr>
        <w:t xml:space="preserve">No penalty shall be imposed on a perpetrator of a crime he had to commit by the necessity of protecting himself a third party from a grievous danger to one's person, which was impending and about to occur to himself or to a third party, and in which his will had nothing </w:t>
      </w:r>
      <w:r w:rsidR="00631861" w:rsidRPr="00CA7200">
        <w:rPr>
          <w:rFonts w:asciiTheme="majorBidi" w:hAnsiTheme="majorBidi" w:cstheme="majorBidi"/>
          <w:sz w:val="28"/>
          <w:szCs w:val="28"/>
        </w:rPr>
        <w:lastRenderedPageBreak/>
        <w:t>to do with its occurrence and it was beyond his power to prevent its occurrence by another way</w:t>
      </w:r>
      <w:r w:rsidRPr="00CA7200">
        <w:rPr>
          <w:rFonts w:asciiTheme="majorBidi" w:hAnsiTheme="majorBidi" w:cstheme="majorBidi"/>
          <w:sz w:val="28"/>
          <w:szCs w:val="28"/>
        </w:rPr>
        <w:t>.</w:t>
      </w:r>
      <w:r w:rsidR="00631861" w:rsidRPr="00CA7200">
        <w:rPr>
          <w:rStyle w:val="FootnoteReference"/>
          <w:rFonts w:asciiTheme="majorBidi" w:hAnsiTheme="majorBidi" w:cstheme="majorBidi"/>
          <w:sz w:val="28"/>
          <w:szCs w:val="28"/>
        </w:rPr>
        <w:footnoteReference w:id="22"/>
      </w:r>
    </w:p>
    <w:p w14:paraId="31B299E0" w14:textId="77777777" w:rsidR="00327F5E" w:rsidRPr="00CA7200" w:rsidRDefault="00631861" w:rsidP="00CA7200">
      <w:pPr>
        <w:ind w:firstLine="360"/>
        <w:jc w:val="both"/>
        <w:rPr>
          <w:rFonts w:asciiTheme="majorBidi" w:hAnsiTheme="majorBidi" w:cstheme="majorBidi"/>
          <w:sz w:val="28"/>
          <w:szCs w:val="28"/>
        </w:rPr>
      </w:pPr>
      <w:r w:rsidRPr="00CA7200">
        <w:rPr>
          <w:rFonts w:asciiTheme="majorBidi" w:hAnsiTheme="majorBidi" w:cstheme="majorBidi"/>
          <w:sz w:val="28"/>
          <w:szCs w:val="28"/>
        </w:rPr>
        <w:t>The organization believes that</w:t>
      </w:r>
      <w:r w:rsidR="00327F5E" w:rsidRPr="00CA7200">
        <w:rPr>
          <w:rFonts w:asciiTheme="majorBidi" w:hAnsiTheme="majorBidi" w:cstheme="majorBidi"/>
          <w:sz w:val="28"/>
          <w:szCs w:val="28"/>
        </w:rPr>
        <w:t xml:space="preserve"> </w:t>
      </w:r>
      <w:r w:rsidRPr="00CA7200">
        <w:rPr>
          <w:rFonts w:asciiTheme="majorBidi" w:hAnsiTheme="majorBidi" w:cstheme="majorBidi"/>
          <w:sz w:val="28"/>
          <w:szCs w:val="28"/>
        </w:rPr>
        <w:t xml:space="preserve">the </w:t>
      </w:r>
      <w:r w:rsidR="00327F5E" w:rsidRPr="00CA7200">
        <w:rPr>
          <w:rFonts w:asciiTheme="majorBidi" w:hAnsiTheme="majorBidi" w:cstheme="majorBidi"/>
          <w:sz w:val="28"/>
          <w:szCs w:val="28"/>
        </w:rPr>
        <w:t>text of Article 61 of the Penal Code at the beginning</w:t>
      </w:r>
      <w:r w:rsidRPr="00CA7200">
        <w:rPr>
          <w:rFonts w:asciiTheme="majorBidi" w:hAnsiTheme="majorBidi" w:cstheme="majorBidi"/>
          <w:sz w:val="28"/>
          <w:szCs w:val="28"/>
        </w:rPr>
        <w:t xml:space="preserve"> of the article on circumcision is not justified,</w:t>
      </w:r>
      <w:r w:rsidR="00327F5E" w:rsidRPr="00CA7200">
        <w:rPr>
          <w:rFonts w:asciiTheme="majorBidi" w:hAnsiTheme="majorBidi" w:cstheme="majorBidi"/>
          <w:sz w:val="28"/>
          <w:szCs w:val="28"/>
        </w:rPr>
        <w:t xml:space="preserve"> because that would give the doctor a justification for performing these operations, which the United Nations Population Fund and the World Health Organization confirmed that there is no medical justification under any circumstance or r</w:t>
      </w:r>
      <w:r w:rsidRPr="00CA7200">
        <w:rPr>
          <w:rFonts w:asciiTheme="majorBidi" w:hAnsiTheme="majorBidi" w:cstheme="majorBidi"/>
          <w:sz w:val="28"/>
          <w:szCs w:val="28"/>
        </w:rPr>
        <w:t>eason for female circumcision.</w:t>
      </w:r>
      <w:r w:rsidRPr="00CA7200">
        <w:rPr>
          <w:rStyle w:val="FootnoteReference"/>
          <w:rFonts w:asciiTheme="majorBidi" w:hAnsiTheme="majorBidi" w:cstheme="majorBidi"/>
          <w:sz w:val="28"/>
          <w:szCs w:val="28"/>
        </w:rPr>
        <w:footnoteReference w:id="23"/>
      </w:r>
      <w:r w:rsidR="00327F5E" w:rsidRPr="00CA7200">
        <w:rPr>
          <w:rFonts w:asciiTheme="majorBidi" w:hAnsiTheme="majorBidi" w:cstheme="majorBidi"/>
          <w:sz w:val="28"/>
          <w:szCs w:val="28"/>
        </w:rPr>
        <w:t xml:space="preserve"> It contradicts the issue of eliminating female circumcision as one of the objectives of the Protection Ax for Women in the National Strategy for the Empowerment of Egyptian Women 2016-2030.</w:t>
      </w:r>
      <w:r w:rsidRPr="00CA7200">
        <w:rPr>
          <w:rStyle w:val="FootnoteReference"/>
          <w:rFonts w:asciiTheme="majorBidi" w:hAnsiTheme="majorBidi" w:cstheme="majorBidi"/>
          <w:sz w:val="28"/>
          <w:szCs w:val="28"/>
        </w:rPr>
        <w:footnoteReference w:id="24"/>
      </w:r>
    </w:p>
    <w:p w14:paraId="2BC5EED5" w14:textId="77777777" w:rsidR="00327F5E" w:rsidRPr="00CA7200" w:rsidRDefault="00327F5E" w:rsidP="00CA7200">
      <w:pPr>
        <w:jc w:val="both"/>
        <w:rPr>
          <w:rFonts w:asciiTheme="majorBidi" w:hAnsiTheme="majorBidi" w:cstheme="majorBidi"/>
          <w:b/>
          <w:bCs/>
          <w:sz w:val="28"/>
          <w:szCs w:val="28"/>
        </w:rPr>
      </w:pPr>
      <w:r w:rsidRPr="00CA7200">
        <w:rPr>
          <w:rFonts w:asciiTheme="majorBidi" w:hAnsiTheme="majorBidi" w:cstheme="majorBidi"/>
          <w:sz w:val="28"/>
          <w:szCs w:val="28"/>
        </w:rPr>
        <w:t xml:space="preserve">5. </w:t>
      </w:r>
      <w:r w:rsidRPr="00CA7200">
        <w:rPr>
          <w:rFonts w:asciiTheme="majorBidi" w:hAnsiTheme="majorBidi" w:cstheme="majorBidi"/>
          <w:b/>
          <w:bCs/>
          <w:sz w:val="28"/>
          <w:szCs w:val="28"/>
        </w:rPr>
        <w:t>Discrimination in the penal code</w:t>
      </w:r>
    </w:p>
    <w:p w14:paraId="63682DA7" w14:textId="77777777"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On December 12, 2019, the President of the Republic announced on the sidelines of the second day of the Aswan Forum for Peace and Development that the Personal Status Law raises concerns among women, saying, “I will not sign a law that will not do justice to you.</w:t>
      </w:r>
      <w:r w:rsidR="008B1814" w:rsidRPr="00CA7200">
        <w:rPr>
          <w:rStyle w:val="FootnoteReference"/>
          <w:rFonts w:asciiTheme="majorBidi" w:hAnsiTheme="majorBidi" w:cstheme="majorBidi"/>
          <w:sz w:val="28"/>
          <w:szCs w:val="28"/>
        </w:rPr>
        <w:footnoteReference w:id="25"/>
      </w:r>
      <w:r w:rsidRPr="00CA7200">
        <w:rPr>
          <w:rFonts w:asciiTheme="majorBidi" w:hAnsiTheme="majorBidi" w:cstheme="majorBidi"/>
          <w:sz w:val="28"/>
          <w:szCs w:val="28"/>
        </w:rPr>
        <w:t xml:space="preserve">” On February 3, 2020, the President ratified Law No. 6 of 2020, </w:t>
      </w:r>
      <w:r w:rsidR="00515203" w:rsidRPr="00CA7200">
        <w:rPr>
          <w:rFonts w:asciiTheme="majorBidi" w:hAnsiTheme="majorBidi" w:cstheme="majorBidi"/>
          <w:sz w:val="28"/>
          <w:szCs w:val="28"/>
        </w:rPr>
        <w:t>for amending</w:t>
      </w:r>
      <w:r w:rsidRPr="00CA7200">
        <w:rPr>
          <w:rFonts w:asciiTheme="majorBidi" w:hAnsiTheme="majorBidi" w:cstheme="majorBidi"/>
          <w:sz w:val="28"/>
          <w:szCs w:val="28"/>
        </w:rPr>
        <w:t xml:space="preserve"> some provisions of the penal code, and the first article of the law obliges everyone against whom a court ruling to pay </w:t>
      </w:r>
      <w:r w:rsidR="00515203" w:rsidRPr="00CA7200">
        <w:rPr>
          <w:rFonts w:asciiTheme="majorBidi" w:hAnsiTheme="majorBidi" w:cstheme="majorBidi"/>
          <w:sz w:val="28"/>
          <w:szCs w:val="28"/>
        </w:rPr>
        <w:t>maintenance for his wife</w:t>
      </w:r>
      <w:r w:rsidRPr="00CA7200">
        <w:rPr>
          <w:rFonts w:asciiTheme="majorBidi" w:hAnsiTheme="majorBidi" w:cstheme="majorBidi"/>
          <w:sz w:val="28"/>
          <w:szCs w:val="28"/>
        </w:rPr>
        <w:t xml:space="preserve">. </w:t>
      </w:r>
      <w:r w:rsidR="00515203" w:rsidRPr="00CA7200">
        <w:rPr>
          <w:rFonts w:asciiTheme="majorBidi" w:hAnsiTheme="majorBidi" w:cstheme="majorBidi"/>
          <w:sz w:val="28"/>
          <w:szCs w:val="28"/>
        </w:rPr>
        <w:t>W</w:t>
      </w:r>
      <w:r w:rsidRPr="00CA7200">
        <w:rPr>
          <w:rFonts w:asciiTheme="majorBidi" w:hAnsiTheme="majorBidi" w:cstheme="majorBidi"/>
          <w:sz w:val="28"/>
          <w:szCs w:val="28"/>
        </w:rPr>
        <w:t xml:space="preserve">hoever refuses to pay for a period of 3 months, </w:t>
      </w:r>
      <w:r w:rsidR="00515203" w:rsidRPr="00CA7200">
        <w:rPr>
          <w:rFonts w:asciiTheme="majorBidi" w:hAnsiTheme="majorBidi" w:cstheme="majorBidi"/>
          <w:sz w:val="28"/>
          <w:szCs w:val="28"/>
        </w:rPr>
        <w:t>shall be</w:t>
      </w:r>
      <w:r w:rsidRPr="00CA7200">
        <w:rPr>
          <w:rFonts w:asciiTheme="majorBidi" w:hAnsiTheme="majorBidi" w:cstheme="majorBidi"/>
          <w:sz w:val="28"/>
          <w:szCs w:val="28"/>
        </w:rPr>
        <w:t xml:space="preserve"> punished with imprisonment for a period not exceeding one year and a fine not exceeding 5 thousand pounds, or one of the two penalties.</w:t>
      </w:r>
      <w:r w:rsidR="00515203" w:rsidRPr="00CA7200">
        <w:rPr>
          <w:rStyle w:val="FootnoteReference"/>
          <w:rFonts w:asciiTheme="majorBidi" w:hAnsiTheme="majorBidi" w:cstheme="majorBidi"/>
          <w:sz w:val="28"/>
          <w:szCs w:val="28"/>
        </w:rPr>
        <w:footnoteReference w:id="26"/>
      </w:r>
    </w:p>
    <w:p w14:paraId="2EAC5C6D" w14:textId="77777777" w:rsidR="00327F5E" w:rsidRPr="00CA7200" w:rsidRDefault="00327F5E" w:rsidP="00CA7200">
      <w:pPr>
        <w:jc w:val="both"/>
        <w:rPr>
          <w:rFonts w:asciiTheme="majorBidi" w:hAnsiTheme="majorBidi" w:cstheme="majorBidi"/>
          <w:sz w:val="28"/>
          <w:szCs w:val="28"/>
        </w:rPr>
      </w:pPr>
      <w:r w:rsidRPr="00CA7200">
        <w:rPr>
          <w:rFonts w:asciiTheme="majorBidi" w:hAnsiTheme="majorBidi" w:cstheme="majorBidi"/>
          <w:sz w:val="28"/>
          <w:szCs w:val="28"/>
        </w:rPr>
        <w:t xml:space="preserve"> </w:t>
      </w:r>
      <w:r w:rsidR="00515203" w:rsidRPr="00CA7200">
        <w:rPr>
          <w:rFonts w:asciiTheme="majorBidi" w:hAnsiTheme="majorBidi" w:cstheme="majorBidi"/>
          <w:sz w:val="28"/>
          <w:szCs w:val="28"/>
        </w:rPr>
        <w:tab/>
      </w:r>
      <w:r w:rsidRPr="00CA7200">
        <w:rPr>
          <w:rFonts w:asciiTheme="majorBidi" w:hAnsiTheme="majorBidi" w:cstheme="majorBidi"/>
          <w:sz w:val="28"/>
          <w:szCs w:val="28"/>
        </w:rPr>
        <w:t>On the other hand, the Egyptian Penal Code stipulates some articles th</w:t>
      </w:r>
      <w:r w:rsidR="00515203" w:rsidRPr="00CA7200">
        <w:rPr>
          <w:rFonts w:asciiTheme="majorBidi" w:hAnsiTheme="majorBidi" w:cstheme="majorBidi"/>
          <w:sz w:val="28"/>
          <w:szCs w:val="28"/>
        </w:rPr>
        <w:t xml:space="preserve">at include clear discrimination against women, such as </w:t>
      </w:r>
      <w:bookmarkStart w:id="23" w:name="OLE_LINK125"/>
      <w:r w:rsidRPr="00CA7200">
        <w:rPr>
          <w:rFonts w:asciiTheme="majorBidi" w:hAnsiTheme="majorBidi" w:cstheme="majorBidi"/>
          <w:sz w:val="28"/>
          <w:szCs w:val="28"/>
        </w:rPr>
        <w:t xml:space="preserve">Article (237), which </w:t>
      </w:r>
      <w:bookmarkEnd w:id="23"/>
      <w:r w:rsidRPr="00CA7200">
        <w:rPr>
          <w:rFonts w:asciiTheme="majorBidi" w:hAnsiTheme="majorBidi" w:cstheme="majorBidi"/>
          <w:sz w:val="28"/>
          <w:szCs w:val="28"/>
        </w:rPr>
        <w:t xml:space="preserve">indicates that </w:t>
      </w:r>
      <w:r w:rsidR="00B54E5C" w:rsidRPr="00CA7200">
        <w:rPr>
          <w:rFonts w:asciiTheme="majorBidi" w:hAnsiTheme="majorBidi" w:cstheme="majorBidi"/>
          <w:sz w:val="28"/>
          <w:szCs w:val="28"/>
        </w:rPr>
        <w:t xml:space="preserve">whoever surprises his wife in the act of adultery and kills her on the spot together with her </w:t>
      </w:r>
      <w:bookmarkStart w:id="24" w:name="OLE_LINK126"/>
      <w:r w:rsidR="00B54E5C" w:rsidRPr="00CA7200">
        <w:rPr>
          <w:rFonts w:asciiTheme="majorBidi" w:hAnsiTheme="majorBidi" w:cstheme="majorBidi"/>
          <w:sz w:val="28"/>
          <w:szCs w:val="28"/>
        </w:rPr>
        <w:t xml:space="preserve">adulterer-partner </w:t>
      </w:r>
      <w:bookmarkEnd w:id="24"/>
      <w:r w:rsidR="00B54E5C" w:rsidRPr="00CA7200">
        <w:rPr>
          <w:rFonts w:asciiTheme="majorBidi" w:hAnsiTheme="majorBidi" w:cstheme="majorBidi"/>
          <w:sz w:val="28"/>
          <w:szCs w:val="28"/>
        </w:rPr>
        <w:t>shall be punished with detention instead of the penalties prescribed in articles 234 and 236</w:t>
      </w:r>
      <w:r w:rsidRPr="00CA7200">
        <w:rPr>
          <w:rFonts w:asciiTheme="majorBidi" w:hAnsiTheme="majorBidi" w:cstheme="majorBidi"/>
          <w:sz w:val="28"/>
          <w:szCs w:val="28"/>
        </w:rPr>
        <w:t>.</w:t>
      </w:r>
      <w:r w:rsidR="008B1814" w:rsidRPr="00CA7200">
        <w:rPr>
          <w:rStyle w:val="FootnoteReference"/>
          <w:rFonts w:asciiTheme="majorBidi" w:hAnsiTheme="majorBidi" w:cstheme="majorBidi"/>
          <w:sz w:val="28"/>
          <w:szCs w:val="28"/>
        </w:rPr>
        <w:footnoteReference w:id="27"/>
      </w:r>
    </w:p>
    <w:p w14:paraId="256285A2" w14:textId="24DE8ECA" w:rsidR="00327F5E" w:rsidRPr="00CA7200" w:rsidRDefault="00327F5E" w:rsidP="00CA7200">
      <w:pPr>
        <w:ind w:firstLine="720"/>
        <w:jc w:val="both"/>
        <w:rPr>
          <w:rFonts w:asciiTheme="majorBidi" w:hAnsiTheme="majorBidi" w:cstheme="majorBidi"/>
          <w:sz w:val="28"/>
          <w:szCs w:val="28"/>
        </w:rPr>
      </w:pPr>
      <w:r w:rsidRPr="00CA7200">
        <w:rPr>
          <w:rFonts w:asciiTheme="majorBidi" w:hAnsiTheme="majorBidi" w:cstheme="majorBidi"/>
          <w:sz w:val="28"/>
          <w:szCs w:val="28"/>
        </w:rPr>
        <w:t xml:space="preserve">Partners </w:t>
      </w:r>
      <w:r w:rsidR="008B1814" w:rsidRPr="00CA7200">
        <w:rPr>
          <w:rFonts w:asciiTheme="majorBidi" w:hAnsiTheme="majorBidi" w:cstheme="majorBidi"/>
          <w:sz w:val="28"/>
          <w:szCs w:val="28"/>
        </w:rPr>
        <w:t>doe Transparency</w:t>
      </w:r>
      <w:r w:rsidRPr="00CA7200">
        <w:rPr>
          <w:rFonts w:asciiTheme="majorBidi" w:hAnsiTheme="majorBidi" w:cstheme="majorBidi"/>
          <w:sz w:val="28"/>
          <w:szCs w:val="28"/>
        </w:rPr>
        <w:t xml:space="preserve"> notes the need to implement the principle of equality in criminalization and punishment between a man and a woman for the same act, as </w:t>
      </w:r>
      <w:bookmarkStart w:id="25" w:name="OLE_LINK123"/>
      <w:bookmarkStart w:id="26" w:name="OLE_LINK124"/>
      <w:r w:rsidRPr="00CA7200">
        <w:rPr>
          <w:rFonts w:asciiTheme="majorBidi" w:hAnsiTheme="majorBidi" w:cstheme="majorBidi"/>
          <w:sz w:val="28"/>
          <w:szCs w:val="28"/>
        </w:rPr>
        <w:t xml:space="preserve">the wife who </w:t>
      </w:r>
      <w:r w:rsidR="00B54E5C" w:rsidRPr="00CA7200">
        <w:rPr>
          <w:rFonts w:asciiTheme="majorBidi" w:hAnsiTheme="majorBidi" w:cstheme="majorBidi"/>
          <w:sz w:val="28"/>
          <w:szCs w:val="28"/>
        </w:rPr>
        <w:t xml:space="preserve">surprises her husband in the </w:t>
      </w:r>
      <w:r w:rsidRPr="00CA7200">
        <w:rPr>
          <w:rFonts w:asciiTheme="majorBidi" w:hAnsiTheme="majorBidi" w:cstheme="majorBidi"/>
          <w:sz w:val="28"/>
          <w:szCs w:val="28"/>
        </w:rPr>
        <w:t xml:space="preserve">act of </w:t>
      </w:r>
      <w:r w:rsidR="00B54E5C" w:rsidRPr="00CA7200">
        <w:rPr>
          <w:rFonts w:asciiTheme="majorBidi" w:hAnsiTheme="majorBidi" w:cstheme="majorBidi"/>
          <w:sz w:val="28"/>
          <w:szCs w:val="28"/>
        </w:rPr>
        <w:t>adultery</w:t>
      </w:r>
      <w:r w:rsidR="00270198" w:rsidRPr="00CA7200">
        <w:rPr>
          <w:rFonts w:asciiTheme="majorBidi" w:hAnsiTheme="majorBidi" w:cstheme="majorBidi"/>
          <w:sz w:val="28"/>
          <w:szCs w:val="28"/>
        </w:rPr>
        <w:t xml:space="preserve"> and killed him</w:t>
      </w:r>
      <w:r w:rsidRPr="00CA7200">
        <w:rPr>
          <w:rFonts w:asciiTheme="majorBidi" w:hAnsiTheme="majorBidi" w:cstheme="majorBidi"/>
          <w:sz w:val="28"/>
          <w:szCs w:val="28"/>
        </w:rPr>
        <w:t xml:space="preserve"> does not benefit from the reduction </w:t>
      </w:r>
      <w:r w:rsidR="00B54E5C" w:rsidRPr="00CA7200">
        <w:rPr>
          <w:rFonts w:asciiTheme="majorBidi" w:hAnsiTheme="majorBidi" w:cstheme="majorBidi"/>
          <w:sz w:val="28"/>
          <w:szCs w:val="28"/>
        </w:rPr>
        <w:t>of</w:t>
      </w:r>
      <w:r w:rsidRPr="00CA7200">
        <w:rPr>
          <w:rFonts w:asciiTheme="majorBidi" w:hAnsiTheme="majorBidi" w:cstheme="majorBidi"/>
          <w:sz w:val="28"/>
          <w:szCs w:val="28"/>
        </w:rPr>
        <w:t xml:space="preserve"> punishment </w:t>
      </w:r>
      <w:r w:rsidR="00B54E5C" w:rsidRPr="00CA7200">
        <w:rPr>
          <w:rFonts w:asciiTheme="majorBidi" w:hAnsiTheme="majorBidi" w:cstheme="majorBidi"/>
          <w:sz w:val="28"/>
          <w:szCs w:val="28"/>
        </w:rPr>
        <w:t>he enjoy</w:t>
      </w:r>
      <w:r w:rsidR="00506360">
        <w:rPr>
          <w:rFonts w:asciiTheme="majorBidi" w:hAnsiTheme="majorBidi" w:cstheme="majorBidi"/>
          <w:sz w:val="28"/>
          <w:szCs w:val="28"/>
        </w:rPr>
        <w:t>s</w:t>
      </w:r>
      <w:r w:rsidR="00B54E5C" w:rsidRPr="00CA7200">
        <w:rPr>
          <w:rFonts w:asciiTheme="majorBidi" w:hAnsiTheme="majorBidi" w:cstheme="majorBidi"/>
          <w:sz w:val="28"/>
          <w:szCs w:val="28"/>
        </w:rPr>
        <w:t xml:space="preserve">. </w:t>
      </w:r>
      <w:bookmarkEnd w:id="25"/>
      <w:bookmarkEnd w:id="26"/>
      <w:r w:rsidR="00B54E5C" w:rsidRPr="00CA7200">
        <w:rPr>
          <w:rFonts w:asciiTheme="majorBidi" w:hAnsiTheme="majorBidi" w:cstheme="majorBidi"/>
          <w:sz w:val="28"/>
          <w:szCs w:val="28"/>
        </w:rPr>
        <w:t>This is because women are supposed to be more reasonable than men and control their anger and do no harm to the husband and t</w:t>
      </w:r>
      <w:r w:rsidR="00270198" w:rsidRPr="00CA7200">
        <w:rPr>
          <w:rFonts w:asciiTheme="majorBidi" w:hAnsiTheme="majorBidi" w:cstheme="majorBidi"/>
          <w:sz w:val="28"/>
          <w:szCs w:val="28"/>
        </w:rPr>
        <w:t>he adulterer-partner.</w:t>
      </w:r>
      <w:r w:rsidRPr="00CA7200">
        <w:rPr>
          <w:rFonts w:asciiTheme="majorBidi" w:hAnsiTheme="majorBidi" w:cstheme="majorBidi"/>
          <w:sz w:val="28"/>
          <w:szCs w:val="28"/>
        </w:rPr>
        <w:t xml:space="preserve"> This article contradicts the second paragraph of the Convention on the Elimination of Forms of Discrimination against Women, </w:t>
      </w:r>
      <w:r w:rsidR="00270198" w:rsidRPr="00CA7200">
        <w:rPr>
          <w:rFonts w:asciiTheme="majorBidi" w:hAnsiTheme="majorBidi" w:cstheme="majorBidi"/>
          <w:sz w:val="28"/>
          <w:szCs w:val="28"/>
        </w:rPr>
        <w:t>and the</w:t>
      </w:r>
      <w:r w:rsidRPr="00CA7200">
        <w:rPr>
          <w:rFonts w:asciiTheme="majorBidi" w:hAnsiTheme="majorBidi" w:cstheme="majorBidi"/>
          <w:sz w:val="28"/>
          <w:szCs w:val="28"/>
        </w:rPr>
        <w:t xml:space="preserve"> provisions of Islamic law, especially the "principle of equality in criminalization and punishment.</w:t>
      </w:r>
      <w:r w:rsidR="00270198" w:rsidRPr="00CA7200">
        <w:rPr>
          <w:rStyle w:val="FootnoteReference"/>
          <w:rFonts w:asciiTheme="majorBidi" w:hAnsiTheme="majorBidi" w:cstheme="majorBidi"/>
          <w:sz w:val="28"/>
          <w:szCs w:val="28"/>
        </w:rPr>
        <w:footnoteReference w:id="28"/>
      </w:r>
      <w:r w:rsidRPr="00CA7200">
        <w:rPr>
          <w:rFonts w:asciiTheme="majorBidi" w:hAnsiTheme="majorBidi" w:cstheme="majorBidi"/>
          <w:sz w:val="28"/>
          <w:szCs w:val="28"/>
        </w:rPr>
        <w:t xml:space="preserve">" In addition, Article 60 of the Penal Code is used </w:t>
      </w:r>
      <w:r w:rsidRPr="00CA7200">
        <w:rPr>
          <w:rFonts w:asciiTheme="majorBidi" w:hAnsiTheme="majorBidi" w:cstheme="majorBidi"/>
          <w:sz w:val="28"/>
          <w:szCs w:val="28"/>
        </w:rPr>
        <w:lastRenderedPageBreak/>
        <w:t xml:space="preserve">to allow a man who beats his wife for the purpose of discipline to escape punishment. </w:t>
      </w:r>
      <w:r w:rsidR="00270198" w:rsidRPr="00CA7200">
        <w:rPr>
          <w:rFonts w:asciiTheme="majorBidi" w:hAnsiTheme="majorBidi" w:cstheme="majorBidi"/>
          <w:sz w:val="28"/>
          <w:szCs w:val="28"/>
        </w:rPr>
        <w:t xml:space="preserve">It states that the provisions of the Penal Code shall not apply to any deed committed in good faith, pursuant to a right determined by virtue of the </w:t>
      </w:r>
      <w:proofErr w:type="spellStart"/>
      <w:r w:rsidR="00270198" w:rsidRPr="00CA7200">
        <w:rPr>
          <w:rFonts w:asciiTheme="majorBidi" w:hAnsiTheme="majorBidi" w:cstheme="majorBidi"/>
          <w:sz w:val="28"/>
          <w:szCs w:val="28"/>
        </w:rPr>
        <w:t>Shari'a</w:t>
      </w:r>
      <w:proofErr w:type="spellEnd"/>
      <w:r w:rsidRPr="00CA7200">
        <w:rPr>
          <w:rFonts w:asciiTheme="majorBidi" w:hAnsiTheme="majorBidi" w:cstheme="majorBidi"/>
          <w:sz w:val="28"/>
          <w:szCs w:val="28"/>
        </w:rPr>
        <w:t xml:space="preserve">. This article permits the husband to </w:t>
      </w:r>
      <w:r w:rsidR="00270198" w:rsidRPr="00CA7200">
        <w:rPr>
          <w:rFonts w:asciiTheme="majorBidi" w:hAnsiTheme="majorBidi" w:cstheme="majorBidi"/>
          <w:sz w:val="28"/>
          <w:szCs w:val="28"/>
        </w:rPr>
        <w:t>assault his wife, a</w:t>
      </w:r>
      <w:r w:rsidRPr="00CA7200">
        <w:rPr>
          <w:rFonts w:asciiTheme="majorBidi" w:hAnsiTheme="majorBidi" w:cstheme="majorBidi"/>
          <w:sz w:val="28"/>
          <w:szCs w:val="28"/>
        </w:rPr>
        <w:t>s long as there is a necessity that prompted him to do so, on c</w:t>
      </w:r>
      <w:r w:rsidR="003F4D81" w:rsidRPr="00CA7200">
        <w:rPr>
          <w:rFonts w:asciiTheme="majorBidi" w:hAnsiTheme="majorBidi" w:cstheme="majorBidi"/>
          <w:sz w:val="28"/>
          <w:szCs w:val="28"/>
        </w:rPr>
        <w:t xml:space="preserve">ondition that this assault doesn’t cause </w:t>
      </w:r>
      <w:r w:rsidRPr="00CA7200">
        <w:rPr>
          <w:rFonts w:asciiTheme="majorBidi" w:hAnsiTheme="majorBidi" w:cstheme="majorBidi"/>
          <w:sz w:val="28"/>
          <w:szCs w:val="28"/>
        </w:rPr>
        <w:t xml:space="preserve">a permanent disability or </w:t>
      </w:r>
      <w:r w:rsidR="003F4D81" w:rsidRPr="00CA7200">
        <w:rPr>
          <w:rFonts w:asciiTheme="majorBidi" w:hAnsiTheme="majorBidi" w:cstheme="majorBidi"/>
          <w:sz w:val="28"/>
          <w:szCs w:val="28"/>
        </w:rPr>
        <w:t>lead to death.</w:t>
      </w:r>
      <w:r w:rsidR="003F4D81" w:rsidRPr="00CA7200">
        <w:rPr>
          <w:rStyle w:val="FootnoteReference"/>
          <w:rFonts w:asciiTheme="majorBidi" w:hAnsiTheme="majorBidi" w:cstheme="majorBidi"/>
          <w:sz w:val="28"/>
          <w:szCs w:val="28"/>
        </w:rPr>
        <w:footnoteReference w:id="29"/>
      </w:r>
    </w:p>
    <w:p w14:paraId="4FAD6EFE" w14:textId="77777777" w:rsidR="00327F5E" w:rsidRPr="00CA7200" w:rsidRDefault="00327F5E" w:rsidP="00CA7200">
      <w:pPr>
        <w:jc w:val="both"/>
        <w:rPr>
          <w:rFonts w:asciiTheme="majorBidi" w:hAnsiTheme="majorBidi" w:cstheme="majorBidi"/>
          <w:b/>
          <w:bCs/>
          <w:sz w:val="28"/>
          <w:szCs w:val="28"/>
        </w:rPr>
      </w:pPr>
      <w:r w:rsidRPr="00CA7200">
        <w:rPr>
          <w:rFonts w:asciiTheme="majorBidi" w:hAnsiTheme="majorBidi" w:cstheme="majorBidi"/>
          <w:b/>
          <w:bCs/>
          <w:sz w:val="28"/>
          <w:szCs w:val="28"/>
        </w:rPr>
        <w:t>Recommendations</w:t>
      </w:r>
    </w:p>
    <w:p w14:paraId="4B87E9A1" w14:textId="77777777" w:rsidR="00327F5E" w:rsidRPr="00CA7200" w:rsidRDefault="00327F5E" w:rsidP="00CA7200">
      <w:pPr>
        <w:jc w:val="both"/>
        <w:rPr>
          <w:rFonts w:asciiTheme="majorBidi" w:hAnsiTheme="majorBidi" w:cstheme="majorBidi"/>
          <w:sz w:val="28"/>
          <w:szCs w:val="28"/>
        </w:rPr>
      </w:pPr>
      <w:r w:rsidRPr="00CA7200">
        <w:rPr>
          <w:rFonts w:asciiTheme="majorBidi" w:hAnsiTheme="majorBidi" w:cstheme="majorBidi"/>
          <w:sz w:val="28"/>
          <w:szCs w:val="28"/>
        </w:rPr>
        <w:t>Partners for Transparency recommends the following:</w:t>
      </w:r>
    </w:p>
    <w:p w14:paraId="381A99C9" w14:textId="77777777" w:rsidR="00327F5E" w:rsidRPr="00CA7200" w:rsidRDefault="00327F5E" w:rsidP="00CA7200">
      <w:pPr>
        <w:pStyle w:val="ListParagraph"/>
        <w:numPr>
          <w:ilvl w:val="0"/>
          <w:numId w:val="5"/>
        </w:numPr>
        <w:jc w:val="both"/>
        <w:rPr>
          <w:rFonts w:asciiTheme="majorBidi" w:hAnsiTheme="majorBidi" w:cstheme="majorBidi"/>
          <w:sz w:val="28"/>
          <w:szCs w:val="28"/>
        </w:rPr>
      </w:pPr>
      <w:r w:rsidRPr="00CA7200">
        <w:rPr>
          <w:rFonts w:asciiTheme="majorBidi" w:hAnsiTheme="majorBidi" w:cstheme="majorBidi"/>
          <w:sz w:val="28"/>
          <w:szCs w:val="28"/>
        </w:rPr>
        <w:t xml:space="preserve">Egypt </w:t>
      </w:r>
      <w:r w:rsidR="003F4D81" w:rsidRPr="00CA7200">
        <w:rPr>
          <w:rFonts w:asciiTheme="majorBidi" w:hAnsiTheme="majorBidi" w:cstheme="majorBidi"/>
          <w:sz w:val="28"/>
          <w:szCs w:val="28"/>
        </w:rPr>
        <w:t xml:space="preserve">needs to consider </w:t>
      </w:r>
      <w:r w:rsidRPr="00CA7200">
        <w:rPr>
          <w:rFonts w:asciiTheme="majorBidi" w:hAnsiTheme="majorBidi" w:cstheme="majorBidi"/>
          <w:sz w:val="28"/>
          <w:szCs w:val="28"/>
        </w:rPr>
        <w:t>withdrawing its reservation on Article No. (2) and Article No. (16) of the Convention on the Elimination of All Forms of Discrimination Against Women, as the two articles contradict the spirit of the Convention, which recognizes the need to prevent any discrimination between men and women.</w:t>
      </w:r>
    </w:p>
    <w:p w14:paraId="6F8A74C1" w14:textId="77777777" w:rsidR="00327F5E" w:rsidRPr="00CA7200" w:rsidRDefault="00327F5E" w:rsidP="00CA7200">
      <w:pPr>
        <w:pStyle w:val="ListParagraph"/>
        <w:numPr>
          <w:ilvl w:val="0"/>
          <w:numId w:val="5"/>
        </w:numPr>
        <w:jc w:val="both"/>
        <w:rPr>
          <w:rFonts w:asciiTheme="majorBidi" w:hAnsiTheme="majorBidi" w:cstheme="majorBidi"/>
          <w:sz w:val="28"/>
          <w:szCs w:val="28"/>
        </w:rPr>
      </w:pPr>
      <w:r w:rsidRPr="00CA7200">
        <w:rPr>
          <w:rFonts w:asciiTheme="majorBidi" w:hAnsiTheme="majorBidi" w:cstheme="majorBidi"/>
          <w:sz w:val="28"/>
          <w:szCs w:val="28"/>
        </w:rPr>
        <w:t xml:space="preserve">The reference to Article 61 should be deleted in the amendment to Article 242 bis in the Penal Code criminalizing female circumcision, because this article </w:t>
      </w:r>
      <w:r w:rsidR="003F4D81" w:rsidRPr="00CA7200">
        <w:rPr>
          <w:rFonts w:asciiTheme="majorBidi" w:hAnsiTheme="majorBidi" w:cstheme="majorBidi"/>
          <w:sz w:val="28"/>
          <w:szCs w:val="28"/>
        </w:rPr>
        <w:t>constitutes a loophole</w:t>
      </w:r>
      <w:r w:rsidRPr="00CA7200">
        <w:rPr>
          <w:rFonts w:asciiTheme="majorBidi" w:hAnsiTheme="majorBidi" w:cstheme="majorBidi"/>
          <w:sz w:val="28"/>
          <w:szCs w:val="28"/>
        </w:rPr>
        <w:t xml:space="preserve"> </w:t>
      </w:r>
      <w:r w:rsidR="003F4D81" w:rsidRPr="00CA7200">
        <w:rPr>
          <w:rFonts w:asciiTheme="majorBidi" w:hAnsiTheme="majorBidi" w:cstheme="majorBidi"/>
          <w:sz w:val="28"/>
          <w:szCs w:val="28"/>
        </w:rPr>
        <w:t>for doctors to evade</w:t>
      </w:r>
      <w:r w:rsidRPr="00CA7200">
        <w:rPr>
          <w:rFonts w:asciiTheme="majorBidi" w:hAnsiTheme="majorBidi" w:cstheme="majorBidi"/>
          <w:sz w:val="28"/>
          <w:szCs w:val="28"/>
        </w:rPr>
        <w:t xml:space="preserve"> punishment.</w:t>
      </w:r>
    </w:p>
    <w:p w14:paraId="2DAE0DEB" w14:textId="77777777" w:rsidR="00327F5E" w:rsidRPr="00CA7200" w:rsidRDefault="00327F5E" w:rsidP="00CA7200">
      <w:pPr>
        <w:pStyle w:val="ListParagraph"/>
        <w:numPr>
          <w:ilvl w:val="0"/>
          <w:numId w:val="5"/>
        </w:numPr>
        <w:jc w:val="both"/>
        <w:rPr>
          <w:rFonts w:asciiTheme="majorBidi" w:hAnsiTheme="majorBidi" w:cstheme="majorBidi"/>
          <w:sz w:val="28"/>
          <w:szCs w:val="28"/>
        </w:rPr>
      </w:pPr>
      <w:r w:rsidRPr="00CA7200">
        <w:rPr>
          <w:rFonts w:asciiTheme="majorBidi" w:hAnsiTheme="majorBidi" w:cstheme="majorBidi"/>
          <w:sz w:val="28"/>
          <w:szCs w:val="28"/>
        </w:rPr>
        <w:t>The necessity of equality between men and women in benefiting from reduced punishment in accordance with Article 237 of the Penal Code, in accordance with the principle of equality in criminalization and punishment.</w:t>
      </w:r>
    </w:p>
    <w:p w14:paraId="0958C951" w14:textId="77777777" w:rsidR="00327F5E" w:rsidRPr="00CA7200" w:rsidRDefault="00327F5E" w:rsidP="00CA7200">
      <w:pPr>
        <w:pStyle w:val="ListParagraph"/>
        <w:numPr>
          <w:ilvl w:val="0"/>
          <w:numId w:val="5"/>
        </w:numPr>
        <w:jc w:val="both"/>
        <w:rPr>
          <w:rFonts w:asciiTheme="majorBidi" w:hAnsiTheme="majorBidi" w:cstheme="majorBidi"/>
          <w:sz w:val="28"/>
          <w:szCs w:val="28"/>
        </w:rPr>
      </w:pPr>
      <w:r w:rsidRPr="00CA7200">
        <w:rPr>
          <w:rFonts w:asciiTheme="majorBidi" w:hAnsiTheme="majorBidi" w:cstheme="majorBidi"/>
          <w:sz w:val="28"/>
          <w:szCs w:val="28"/>
        </w:rPr>
        <w:t xml:space="preserve">Article 60 of the Penal Code </w:t>
      </w:r>
      <w:r w:rsidR="003F4D81" w:rsidRPr="00CA7200">
        <w:rPr>
          <w:rFonts w:asciiTheme="majorBidi" w:hAnsiTheme="majorBidi" w:cstheme="majorBidi"/>
          <w:sz w:val="28"/>
          <w:szCs w:val="28"/>
        </w:rPr>
        <w:t>must be</w:t>
      </w:r>
      <w:r w:rsidRPr="00CA7200">
        <w:rPr>
          <w:rFonts w:asciiTheme="majorBidi" w:hAnsiTheme="majorBidi" w:cstheme="majorBidi"/>
          <w:sz w:val="28"/>
          <w:szCs w:val="28"/>
        </w:rPr>
        <w:t xml:space="preserve"> abolished due to its use by many men with impunity after beating or assaulting their husbands.</w:t>
      </w:r>
    </w:p>
    <w:p w14:paraId="2E2FCCD8" w14:textId="77777777" w:rsidR="00327F5E" w:rsidRPr="00CA7200" w:rsidRDefault="00327F5E" w:rsidP="00CA7200">
      <w:pPr>
        <w:pStyle w:val="ListParagraph"/>
        <w:numPr>
          <w:ilvl w:val="0"/>
          <w:numId w:val="5"/>
        </w:numPr>
        <w:jc w:val="both"/>
        <w:rPr>
          <w:rFonts w:asciiTheme="majorBidi" w:hAnsiTheme="majorBidi" w:cstheme="majorBidi"/>
          <w:sz w:val="28"/>
          <w:szCs w:val="28"/>
        </w:rPr>
      </w:pPr>
      <w:r w:rsidRPr="00CA7200">
        <w:rPr>
          <w:rFonts w:asciiTheme="majorBidi" w:hAnsiTheme="majorBidi" w:cstheme="majorBidi"/>
          <w:sz w:val="28"/>
          <w:szCs w:val="28"/>
        </w:rPr>
        <w:t xml:space="preserve">The necessity to establish units for the economic protection of women affiliated with the Ministry of Social Solidarity in poor villages, neighborhoods and regions, to </w:t>
      </w:r>
      <w:r w:rsidR="003F4D81" w:rsidRPr="00CA7200">
        <w:rPr>
          <w:rFonts w:asciiTheme="majorBidi" w:hAnsiTheme="majorBidi" w:cstheme="majorBidi"/>
          <w:sz w:val="28"/>
          <w:szCs w:val="28"/>
        </w:rPr>
        <w:t>help</w:t>
      </w:r>
      <w:r w:rsidRPr="00CA7200">
        <w:rPr>
          <w:rFonts w:asciiTheme="majorBidi" w:hAnsiTheme="majorBidi" w:cstheme="majorBidi"/>
          <w:sz w:val="28"/>
          <w:szCs w:val="28"/>
        </w:rPr>
        <w:t xml:space="preserve"> </w:t>
      </w:r>
      <w:r w:rsidR="003F4D81" w:rsidRPr="00CA7200">
        <w:rPr>
          <w:rFonts w:asciiTheme="majorBidi" w:hAnsiTheme="majorBidi" w:cstheme="majorBidi"/>
          <w:sz w:val="28"/>
          <w:szCs w:val="28"/>
        </w:rPr>
        <w:t xml:space="preserve">needy women, or </w:t>
      </w:r>
      <w:r w:rsidRPr="00CA7200">
        <w:rPr>
          <w:rFonts w:asciiTheme="majorBidi" w:hAnsiTheme="majorBidi" w:cstheme="majorBidi"/>
          <w:sz w:val="28"/>
          <w:szCs w:val="28"/>
        </w:rPr>
        <w:t>to conduct a survey of families who do not receive a pension from the Takaful and Dignity program and to include them among the deserving families in the cash support program.</w:t>
      </w:r>
    </w:p>
    <w:sectPr w:rsidR="00327F5E" w:rsidRPr="00CA7200" w:rsidSect="00CA7200">
      <w:headerReference w:type="default" r:id="rId8"/>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D38954" w14:textId="77777777" w:rsidR="00311228" w:rsidRDefault="00311228" w:rsidP="008B6138">
      <w:pPr>
        <w:spacing w:after="0" w:line="240" w:lineRule="auto"/>
      </w:pPr>
      <w:r>
        <w:separator/>
      </w:r>
    </w:p>
  </w:endnote>
  <w:endnote w:type="continuationSeparator" w:id="0">
    <w:p w14:paraId="39BACFA7" w14:textId="77777777" w:rsidR="00311228" w:rsidRDefault="00311228" w:rsidP="008B6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FAA9B" w14:textId="77777777" w:rsidR="00311228" w:rsidRDefault="00311228" w:rsidP="008B6138">
      <w:pPr>
        <w:spacing w:after="0" w:line="240" w:lineRule="auto"/>
      </w:pPr>
      <w:r>
        <w:separator/>
      </w:r>
    </w:p>
  </w:footnote>
  <w:footnote w:type="continuationSeparator" w:id="0">
    <w:p w14:paraId="0795E220" w14:textId="77777777" w:rsidR="00311228" w:rsidRDefault="00311228" w:rsidP="008B6138">
      <w:pPr>
        <w:spacing w:after="0" w:line="240" w:lineRule="auto"/>
      </w:pPr>
      <w:r>
        <w:continuationSeparator/>
      </w:r>
    </w:p>
  </w:footnote>
  <w:footnote w:id="1">
    <w:p w14:paraId="2F312E1D" w14:textId="77777777" w:rsidR="008B6138" w:rsidRDefault="008B6138" w:rsidP="008D5A7E">
      <w:pPr>
        <w:pStyle w:val="FootnoteText"/>
        <w:bidi/>
      </w:pPr>
      <w:r>
        <w:rPr>
          <w:rStyle w:val="FootnoteReference"/>
        </w:rPr>
        <w:footnoteRef/>
      </w:r>
      <w:r>
        <w:t xml:space="preserve"> </w:t>
      </w:r>
      <w:r w:rsidR="008D5A7E" w:rsidRPr="008B6FF8">
        <w:rPr>
          <w:rFonts w:ascii="Traditional Arabic" w:hAnsi="Traditional Arabic" w:cs="Traditional Arabic" w:hint="cs"/>
          <w:rtl/>
          <w:lang w:bidi="ar-EG"/>
        </w:rPr>
        <w:t>أنظر: الملاحظات الختامية للجنة المعنية بالقضاء على جميع أشكال التمييز العنصري، 5 فبراير 2010 على الرابط التالي:</w:t>
      </w:r>
      <w:r w:rsidR="008D5A7E" w:rsidRPr="008B6FF8">
        <w:rPr>
          <w:rFonts w:ascii="Traditional Arabic" w:hAnsi="Traditional Arabic" w:cs="Traditional Arabic" w:hint="cs"/>
        </w:rPr>
        <w:t xml:space="preserve"> </w:t>
      </w:r>
      <w:hyperlink r:id="rId1" w:history="1">
        <w:r w:rsidR="008D5A7E" w:rsidRPr="008B6FF8">
          <w:rPr>
            <w:rStyle w:val="Hyperlink"/>
            <w:rFonts w:ascii="Traditional Arabic" w:hAnsi="Traditional Arabic" w:cs="Traditional Arabic" w:hint="cs"/>
            <w:lang w:bidi="ar-EG"/>
          </w:rPr>
          <w:t>https://tinyurl.com/y2l5x4zu</w:t>
        </w:r>
      </w:hyperlink>
    </w:p>
  </w:footnote>
  <w:footnote w:id="2">
    <w:p w14:paraId="29629EB1" w14:textId="77777777" w:rsidR="008D5A7E" w:rsidRDefault="008D5A7E" w:rsidP="008D5A7E">
      <w:pPr>
        <w:pStyle w:val="FootnoteText"/>
        <w:bidi/>
      </w:pPr>
      <w:r>
        <w:rPr>
          <w:rStyle w:val="FootnoteReference"/>
        </w:rPr>
        <w:footnoteRef/>
      </w:r>
      <w:r>
        <w:t xml:space="preserve"> </w:t>
      </w:r>
      <w:r w:rsidRPr="008B6FF8">
        <w:rPr>
          <w:rFonts w:ascii="Traditional Arabic" w:hAnsi="Traditional Arabic" w:cs="Traditional Arabic" w:hint="cs"/>
          <w:rtl/>
          <w:lang w:bidi="ar-EG"/>
        </w:rPr>
        <w:t>أنظر الدستور المصري لعام 2014، ص 5، على الرابط التالي:</w:t>
      </w:r>
      <w:r w:rsidRPr="008B6FF8">
        <w:rPr>
          <w:rFonts w:ascii="Traditional Arabic" w:hAnsi="Traditional Arabic" w:cs="Traditional Arabic" w:hint="cs"/>
        </w:rPr>
        <w:t xml:space="preserve"> </w:t>
      </w:r>
      <w:hyperlink r:id="rId2" w:history="1">
        <w:r w:rsidRPr="008B6FF8">
          <w:rPr>
            <w:rStyle w:val="Hyperlink"/>
            <w:rFonts w:ascii="Traditional Arabic" w:hAnsi="Traditional Arabic" w:cs="Traditional Arabic" w:hint="cs"/>
            <w:lang w:bidi="ar-EG"/>
          </w:rPr>
          <w:t>https://tinyurl.com/y9p9ctrh</w:t>
        </w:r>
      </w:hyperlink>
    </w:p>
  </w:footnote>
  <w:footnote w:id="3">
    <w:p w14:paraId="476EAD1D" w14:textId="77777777" w:rsidR="00B578F1" w:rsidRDefault="00B578F1" w:rsidP="00EF1C24">
      <w:pPr>
        <w:pStyle w:val="FootnoteText"/>
        <w:bidi/>
      </w:pPr>
      <w:r>
        <w:rPr>
          <w:rStyle w:val="FootnoteReference"/>
        </w:rPr>
        <w:footnoteRef/>
      </w:r>
      <w:r>
        <w:t xml:space="preserve"> </w:t>
      </w:r>
      <w:r w:rsidR="00EF1C24" w:rsidRPr="008B6FF8">
        <w:rPr>
          <w:rFonts w:ascii="Traditional Arabic" w:hAnsi="Traditional Arabic" w:cs="Traditional Arabic" w:hint="cs"/>
          <w:rtl/>
          <w:lang w:bidi="ar-EG"/>
        </w:rPr>
        <w:t>أنظر: اتفاقية القضاء على جميع أشكال التمييز ضد المرأة، المادة 29، على الرابط التالي:</w:t>
      </w:r>
      <w:r w:rsidR="00EF1C24" w:rsidRPr="008B6FF8">
        <w:rPr>
          <w:rFonts w:ascii="Traditional Arabic" w:hAnsi="Traditional Arabic" w:cs="Traditional Arabic" w:hint="cs"/>
        </w:rPr>
        <w:t xml:space="preserve"> </w:t>
      </w:r>
      <w:hyperlink r:id="rId3" w:history="1">
        <w:r w:rsidR="00EF1C24" w:rsidRPr="008B6FF8">
          <w:rPr>
            <w:rStyle w:val="Hyperlink"/>
            <w:rFonts w:ascii="Traditional Arabic" w:hAnsi="Traditional Arabic" w:cs="Traditional Arabic" w:hint="cs"/>
            <w:lang w:bidi="ar-EG"/>
          </w:rPr>
          <w:t>https://tinyurl.com/y6cffqdp</w:t>
        </w:r>
      </w:hyperlink>
    </w:p>
  </w:footnote>
  <w:footnote w:id="4">
    <w:p w14:paraId="7BF40FF1" w14:textId="77777777" w:rsidR="00384ED3" w:rsidRDefault="00384ED3" w:rsidP="00EF1C24">
      <w:pPr>
        <w:pStyle w:val="FootnoteText"/>
        <w:bidi/>
      </w:pPr>
      <w:r>
        <w:rPr>
          <w:rStyle w:val="FootnoteReference"/>
        </w:rPr>
        <w:footnoteRef/>
      </w:r>
      <w:r>
        <w:t xml:space="preserve"> </w:t>
      </w:r>
      <w:r w:rsidR="00EF1C24" w:rsidRPr="008B6FF8">
        <w:rPr>
          <w:rFonts w:ascii="Traditional Arabic" w:hAnsi="Traditional Arabic" w:cs="Traditional Arabic" w:hint="cs"/>
          <w:rtl/>
          <w:lang w:bidi="ar-EG"/>
        </w:rPr>
        <w:t>أنظر: ردود مصر على قائمة القضايا والأسئلة المطروحة فيما يتعلق بالنظر في التقرير الجامع للتقريرين الدوريين السادس والسابع، ص 3، على الرابط التالي:</w:t>
      </w:r>
      <w:r w:rsidR="00EF1C24" w:rsidRPr="008B6FF8">
        <w:rPr>
          <w:rFonts w:ascii="Traditional Arabic" w:hAnsi="Traditional Arabic" w:cs="Traditional Arabic" w:hint="cs"/>
        </w:rPr>
        <w:t xml:space="preserve"> </w:t>
      </w:r>
      <w:hyperlink r:id="rId4" w:history="1">
        <w:r w:rsidR="00EF1C24" w:rsidRPr="008B6FF8">
          <w:rPr>
            <w:rStyle w:val="Hyperlink"/>
            <w:rFonts w:ascii="Traditional Arabic" w:hAnsi="Traditional Arabic" w:cs="Traditional Arabic" w:hint="cs"/>
            <w:lang w:bidi="ar-EG"/>
          </w:rPr>
          <w:t>https://tinyurl.com/y6egqgao</w:t>
        </w:r>
      </w:hyperlink>
    </w:p>
  </w:footnote>
  <w:footnote w:id="5">
    <w:p w14:paraId="5D148BA8" w14:textId="77777777" w:rsidR="00C45B11" w:rsidRDefault="00C45B11" w:rsidP="00EF1C24">
      <w:pPr>
        <w:pStyle w:val="FootnoteText"/>
        <w:bidi/>
      </w:pPr>
      <w:r>
        <w:rPr>
          <w:rStyle w:val="FootnoteReference"/>
        </w:rPr>
        <w:footnoteRef/>
      </w:r>
      <w:r>
        <w:t xml:space="preserve"> </w:t>
      </w:r>
      <w:r w:rsidR="00EF1C24" w:rsidRPr="008B6FF8">
        <w:rPr>
          <w:rFonts w:ascii="Traditional Arabic" w:hAnsi="Traditional Arabic" w:cs="Traditional Arabic" w:hint="cs"/>
          <w:rtl/>
          <w:lang w:bidi="ar-EG"/>
        </w:rPr>
        <w:t>قرار رئيس الجمهورية رقم 187 لسنة 2014 بتشكيل اللجنة العليا للإصلاح التشريعي، الجريدة الرسمة - العدد (24) مكرر في 15 يونية 2014، للمزيد على الرابط التالي:</w:t>
      </w:r>
      <w:r w:rsidR="00EF1C24" w:rsidRPr="008B6FF8">
        <w:rPr>
          <w:rFonts w:ascii="Traditional Arabic" w:hAnsi="Traditional Arabic" w:cs="Traditional Arabic" w:hint="cs"/>
        </w:rPr>
        <w:t xml:space="preserve"> </w:t>
      </w:r>
      <w:hyperlink r:id="rId5" w:history="1">
        <w:r w:rsidR="00EF1C24" w:rsidRPr="008B6FF8">
          <w:rPr>
            <w:rStyle w:val="Hyperlink"/>
            <w:rFonts w:ascii="Traditional Arabic" w:hAnsi="Traditional Arabic" w:cs="Traditional Arabic" w:hint="cs"/>
            <w:lang w:bidi="ar-EG"/>
          </w:rPr>
          <w:t>https://tinyurl.com/y6mqhdry</w:t>
        </w:r>
      </w:hyperlink>
    </w:p>
  </w:footnote>
  <w:footnote w:id="6">
    <w:p w14:paraId="783E96A7" w14:textId="77777777" w:rsidR="00141A5B" w:rsidRDefault="00141A5B" w:rsidP="00EF1C24">
      <w:pPr>
        <w:pStyle w:val="FootnoteText"/>
        <w:bidi/>
      </w:pPr>
      <w:r>
        <w:rPr>
          <w:rStyle w:val="FootnoteReference"/>
        </w:rPr>
        <w:footnoteRef/>
      </w:r>
      <w:r>
        <w:t xml:space="preserve"> </w:t>
      </w:r>
      <w:r w:rsidR="00EF1C24" w:rsidRPr="008B6FF8">
        <w:rPr>
          <w:rFonts w:ascii="Traditional Arabic" w:hAnsi="Traditional Arabic" w:cs="Traditional Arabic" w:hint="cs"/>
          <w:rtl/>
          <w:lang w:bidi="ar-EG"/>
        </w:rPr>
        <w:t>التعديلات الدستورية 2019، الهيئة العامة للاستعلامات، 15 أبريل 2019، للمزيد على الرابط التالي:</w:t>
      </w:r>
      <w:r w:rsidR="00EF1C24" w:rsidRPr="008B6FF8">
        <w:rPr>
          <w:rFonts w:ascii="Traditional Arabic" w:hAnsi="Traditional Arabic" w:cs="Traditional Arabic" w:hint="cs"/>
        </w:rPr>
        <w:t xml:space="preserve"> </w:t>
      </w:r>
      <w:hyperlink r:id="rId6" w:history="1">
        <w:r w:rsidR="00EF1C24" w:rsidRPr="008B6FF8">
          <w:rPr>
            <w:rStyle w:val="Hyperlink"/>
            <w:rFonts w:ascii="Traditional Arabic" w:hAnsi="Traditional Arabic" w:cs="Traditional Arabic" w:hint="cs"/>
            <w:lang w:bidi="ar-EG"/>
          </w:rPr>
          <w:t>https://tinyurl.com/y3l9woj4</w:t>
        </w:r>
      </w:hyperlink>
    </w:p>
  </w:footnote>
  <w:footnote w:id="7">
    <w:p w14:paraId="142670B8" w14:textId="77777777" w:rsidR="00141A5B" w:rsidRDefault="00141A5B" w:rsidP="00EF1C24">
      <w:pPr>
        <w:pStyle w:val="FootnoteText"/>
        <w:bidi/>
      </w:pPr>
      <w:r>
        <w:rPr>
          <w:rStyle w:val="FootnoteReference"/>
        </w:rPr>
        <w:footnoteRef/>
      </w:r>
      <w:r>
        <w:t xml:space="preserve"> </w:t>
      </w:r>
      <w:r w:rsidR="00EF1C24" w:rsidRPr="008B6FF8">
        <w:rPr>
          <w:rFonts w:ascii="Traditional Arabic" w:hAnsi="Traditional Arabic" w:cs="Traditional Arabic" w:hint="cs"/>
          <w:rtl/>
          <w:lang w:bidi="ar-EG"/>
        </w:rPr>
        <w:t>8 وزيرات ونائبتان.. 10 عناصر نسائية في حكومة مصطفى مدبولي، أخبار اليوم، 22 ديسمبر 2019، للمزيد على الرابط التالي:</w:t>
      </w:r>
      <w:r w:rsidR="00EF1C24" w:rsidRPr="008B6FF8">
        <w:rPr>
          <w:rFonts w:ascii="Traditional Arabic" w:hAnsi="Traditional Arabic" w:cs="Traditional Arabic" w:hint="cs"/>
        </w:rPr>
        <w:t xml:space="preserve"> </w:t>
      </w:r>
      <w:hyperlink r:id="rId7" w:history="1">
        <w:r w:rsidR="00EF1C24" w:rsidRPr="008B6FF8">
          <w:rPr>
            <w:rStyle w:val="Hyperlink"/>
            <w:rFonts w:ascii="Traditional Arabic" w:hAnsi="Traditional Arabic" w:cs="Traditional Arabic" w:hint="cs"/>
            <w:lang w:bidi="ar-EG"/>
          </w:rPr>
          <w:t>https://tinyurl.com/yygcz3wu</w:t>
        </w:r>
      </w:hyperlink>
    </w:p>
  </w:footnote>
  <w:footnote w:id="8">
    <w:p w14:paraId="21BEF3A0" w14:textId="77777777" w:rsidR="00C347F6" w:rsidRPr="00EF1C24" w:rsidRDefault="00C347F6" w:rsidP="00EF1C24">
      <w:pPr>
        <w:pStyle w:val="FootnoteText"/>
        <w:bidi/>
        <w:rPr>
          <w:rFonts w:ascii="Traditional Arabic" w:hAnsi="Traditional Arabic" w:cs="Traditional Arabic"/>
          <w:lang w:bidi="ar-EG"/>
        </w:rPr>
      </w:pPr>
      <w:r>
        <w:rPr>
          <w:rStyle w:val="FootnoteReference"/>
        </w:rPr>
        <w:footnoteRef/>
      </w:r>
      <w:r>
        <w:t xml:space="preserve"> </w:t>
      </w:r>
      <w:r w:rsidR="00EF1C24" w:rsidRPr="008B6FF8">
        <w:rPr>
          <w:rFonts w:ascii="Traditional Arabic" w:hAnsi="Traditional Arabic" w:cs="Traditional Arabic" w:hint="cs"/>
          <w:rtl/>
          <w:lang w:bidi="ar-EG"/>
        </w:rPr>
        <w:t xml:space="preserve">عام المرأة لم ينتهي بعد: تقرير سنوي يصدر عن المركز المصري لحقوق المرأة عن حالة المرأة المصرية، 2017، ص 10، للمزيد على الرابط التالي: </w:t>
      </w:r>
      <w:hyperlink r:id="rId8" w:history="1">
        <w:r w:rsidR="00EF1C24" w:rsidRPr="008B6FF8">
          <w:rPr>
            <w:rStyle w:val="Hyperlink"/>
            <w:rFonts w:ascii="Traditional Arabic" w:hAnsi="Traditional Arabic" w:cs="Traditional Arabic" w:hint="cs"/>
            <w:lang w:bidi="ar-EG"/>
          </w:rPr>
          <w:t>https://tinyurl.com/y2w8vwof</w:t>
        </w:r>
      </w:hyperlink>
      <w:r w:rsidR="00EF1C24" w:rsidRPr="008B6FF8">
        <w:rPr>
          <w:rFonts w:ascii="Traditional Arabic" w:hAnsi="Traditional Arabic" w:cs="Traditional Arabic" w:hint="cs"/>
          <w:rtl/>
          <w:lang w:bidi="ar-EG"/>
        </w:rPr>
        <w:t xml:space="preserve"> </w:t>
      </w:r>
    </w:p>
  </w:footnote>
  <w:footnote w:id="9">
    <w:p w14:paraId="3594FE1E" w14:textId="77777777" w:rsidR="00A86A6D" w:rsidRDefault="00A86A6D" w:rsidP="00EF1C24">
      <w:pPr>
        <w:pStyle w:val="FootnoteText"/>
        <w:bidi/>
      </w:pPr>
      <w:r>
        <w:rPr>
          <w:rStyle w:val="FootnoteReference"/>
        </w:rPr>
        <w:footnoteRef/>
      </w:r>
      <w:r>
        <w:t xml:space="preserve"> </w:t>
      </w:r>
      <w:r w:rsidR="00EF1C24" w:rsidRPr="008B6FF8">
        <w:rPr>
          <w:rFonts w:ascii="Traditional Arabic" w:hAnsi="Traditional Arabic" w:cs="Traditional Arabic" w:hint="cs"/>
          <w:rtl/>
          <w:lang w:bidi="ar-EG"/>
        </w:rPr>
        <w:t xml:space="preserve">وزيرة التخطيط: المرأة تشغل 45% من إجمالي الوظائف الحكومية مقارنةً بالمتوسط العالمي 32%، المال، 7 مارس 2020، للمزيد على الرابط التالي: </w:t>
      </w:r>
      <w:hyperlink r:id="rId9" w:history="1">
        <w:r w:rsidR="00EF1C24" w:rsidRPr="008B6FF8">
          <w:rPr>
            <w:rStyle w:val="Hyperlink"/>
            <w:rFonts w:ascii="Traditional Arabic" w:hAnsi="Traditional Arabic" w:cs="Traditional Arabic" w:hint="cs"/>
            <w:lang w:bidi="ar-EG"/>
          </w:rPr>
          <w:t>https://tinyurl.com/y5zr4k33</w:t>
        </w:r>
      </w:hyperlink>
    </w:p>
  </w:footnote>
  <w:footnote w:id="10">
    <w:p w14:paraId="2FE59932" w14:textId="77777777" w:rsidR="00EF1C24" w:rsidRDefault="00EF1C24" w:rsidP="008C6E39">
      <w:pPr>
        <w:pStyle w:val="FootnoteText"/>
        <w:bidi/>
      </w:pPr>
      <w:r>
        <w:rPr>
          <w:rStyle w:val="FootnoteReference"/>
        </w:rPr>
        <w:footnoteRef/>
      </w:r>
      <w:r>
        <w:t xml:space="preserve"> </w:t>
      </w:r>
      <w:r w:rsidRPr="008B6FF8">
        <w:rPr>
          <w:rFonts w:ascii="Traditional Arabic" w:hAnsi="Traditional Arabic" w:cs="Traditional Arabic" w:hint="cs"/>
          <w:rtl/>
          <w:lang w:bidi="ar-EG"/>
        </w:rPr>
        <w:t>الإستراتيجية الوطنية لتمكين المرأة المصرية 2030، المجلس القومي للمرأة، 2017، ص 8، للمزيد على الرابط التالي:</w:t>
      </w:r>
      <w:r w:rsidRPr="008B6FF8">
        <w:rPr>
          <w:rFonts w:ascii="Traditional Arabic" w:hAnsi="Traditional Arabic" w:cs="Traditional Arabic" w:hint="cs"/>
        </w:rPr>
        <w:t xml:space="preserve"> </w:t>
      </w:r>
      <w:hyperlink r:id="rId10" w:history="1">
        <w:r w:rsidRPr="008B6FF8">
          <w:rPr>
            <w:rStyle w:val="Hyperlink"/>
            <w:rFonts w:ascii="Traditional Arabic" w:hAnsi="Traditional Arabic" w:cs="Traditional Arabic" w:hint="cs"/>
            <w:lang w:bidi="ar-EG"/>
          </w:rPr>
          <w:t>https://tinyurl.com/yxlda5m9</w:t>
        </w:r>
      </w:hyperlink>
    </w:p>
  </w:footnote>
  <w:footnote w:id="11">
    <w:p w14:paraId="1632D3E8" w14:textId="77777777" w:rsidR="008C6E39" w:rsidRDefault="008C6E39" w:rsidP="008C6E39">
      <w:pPr>
        <w:pStyle w:val="FootnoteText"/>
        <w:bidi/>
      </w:pPr>
      <w:r>
        <w:rPr>
          <w:rStyle w:val="FootnoteReference"/>
        </w:rPr>
        <w:footnoteRef/>
      </w:r>
      <w:r>
        <w:t xml:space="preserve"> </w:t>
      </w:r>
      <w:r w:rsidRPr="008B6FF8">
        <w:rPr>
          <w:rFonts w:ascii="Traditional Arabic" w:hAnsi="Traditional Arabic" w:cs="Traditional Arabic" w:hint="cs"/>
          <w:rtl/>
        </w:rPr>
        <w:t>وزارة التضامن: بدء صرف معاشات «تكافل وكرامة» غدًا، المصري اليوم، 14 يونيو 2020، للمزيد على الرابط التالي:</w:t>
      </w:r>
      <w:r w:rsidRPr="008B6FF8">
        <w:rPr>
          <w:rFonts w:ascii="Traditional Arabic" w:hAnsi="Traditional Arabic" w:cs="Traditional Arabic" w:hint="cs"/>
        </w:rPr>
        <w:t xml:space="preserve"> </w:t>
      </w:r>
      <w:hyperlink r:id="rId11" w:history="1">
        <w:r w:rsidRPr="008B6FF8">
          <w:rPr>
            <w:rStyle w:val="Hyperlink"/>
            <w:rFonts w:ascii="Traditional Arabic" w:hAnsi="Traditional Arabic" w:cs="Traditional Arabic" w:hint="cs"/>
          </w:rPr>
          <w:t>https://tinyurl.com/y6u65amh</w:t>
        </w:r>
      </w:hyperlink>
    </w:p>
  </w:footnote>
  <w:footnote w:id="12">
    <w:p w14:paraId="36F81C5C" w14:textId="77777777" w:rsidR="00603615" w:rsidRDefault="00603615" w:rsidP="008C6E39">
      <w:pPr>
        <w:pStyle w:val="FootnoteText"/>
        <w:bidi/>
      </w:pPr>
      <w:r>
        <w:rPr>
          <w:rStyle w:val="FootnoteReference"/>
        </w:rPr>
        <w:footnoteRef/>
      </w:r>
      <w:r>
        <w:t xml:space="preserve"> </w:t>
      </w:r>
      <w:r w:rsidR="008C6E39" w:rsidRPr="008B6FF8">
        <w:rPr>
          <w:rFonts w:ascii="Traditional Arabic" w:hAnsi="Traditional Arabic" w:cs="Traditional Arabic" w:hint="cs"/>
          <w:rtl/>
          <w:lang w:bidi="ar-EG"/>
        </w:rPr>
        <w:t>مصر: تمكين المرأة من خلال التحويلات النقدية، البنك الدولي، 14 مارس 2020، للمزيد على الرابط التالي:</w:t>
      </w:r>
      <w:r w:rsidR="008C6E39" w:rsidRPr="008B6FF8">
        <w:rPr>
          <w:rFonts w:ascii="Traditional Arabic" w:hAnsi="Traditional Arabic" w:cs="Traditional Arabic" w:hint="cs"/>
        </w:rPr>
        <w:t xml:space="preserve"> </w:t>
      </w:r>
      <w:hyperlink r:id="rId12" w:history="1">
        <w:r w:rsidR="008C6E39" w:rsidRPr="008B6FF8">
          <w:rPr>
            <w:rStyle w:val="Hyperlink"/>
            <w:rFonts w:ascii="Traditional Arabic" w:hAnsi="Traditional Arabic" w:cs="Traditional Arabic" w:hint="cs"/>
            <w:lang w:bidi="ar-EG"/>
          </w:rPr>
          <w:t>https://tinyurl.com/y45wja55</w:t>
        </w:r>
      </w:hyperlink>
    </w:p>
  </w:footnote>
  <w:footnote w:id="13">
    <w:p w14:paraId="6764CE49" w14:textId="77777777" w:rsidR="008C6E39" w:rsidRDefault="008C6E39" w:rsidP="008C6E39">
      <w:pPr>
        <w:pStyle w:val="FootnoteText"/>
        <w:bidi/>
      </w:pPr>
      <w:r>
        <w:rPr>
          <w:rStyle w:val="FootnoteReference"/>
        </w:rPr>
        <w:footnoteRef/>
      </w:r>
      <w:r>
        <w:t xml:space="preserve"> </w:t>
      </w:r>
      <w:r w:rsidRPr="008B6FF8">
        <w:rPr>
          <w:rFonts w:ascii="Traditional Arabic" w:hAnsi="Traditional Arabic" w:cs="Traditional Arabic" w:hint="cs"/>
          <w:rtl/>
        </w:rPr>
        <w:t>قانون العمل المصري رقم 12 لعام 2003، ص 9، ص 21، للمزيد على الرابط التالي:</w:t>
      </w:r>
      <w:r w:rsidRPr="008B6FF8">
        <w:rPr>
          <w:rFonts w:ascii="Traditional Arabic" w:hAnsi="Traditional Arabic" w:cs="Traditional Arabic" w:hint="cs"/>
        </w:rPr>
        <w:t xml:space="preserve"> </w:t>
      </w:r>
      <w:hyperlink r:id="rId13" w:history="1">
        <w:r w:rsidRPr="008B6FF8">
          <w:rPr>
            <w:rStyle w:val="Hyperlink"/>
            <w:rFonts w:ascii="Traditional Arabic" w:hAnsi="Traditional Arabic" w:cs="Traditional Arabic" w:hint="cs"/>
          </w:rPr>
          <w:t>https://tinyurl.com/yafokp7r</w:t>
        </w:r>
      </w:hyperlink>
    </w:p>
  </w:footnote>
  <w:footnote w:id="14">
    <w:p w14:paraId="214AB0B2" w14:textId="77777777" w:rsidR="008C6E39" w:rsidRDefault="008C6E39" w:rsidP="003F4D81">
      <w:pPr>
        <w:pStyle w:val="FootnoteText"/>
        <w:bidi/>
      </w:pPr>
      <w:r>
        <w:rPr>
          <w:rStyle w:val="FootnoteReference"/>
        </w:rPr>
        <w:footnoteRef/>
      </w:r>
      <w:r>
        <w:t xml:space="preserve"> </w:t>
      </w:r>
      <w:r w:rsidR="003F4D81" w:rsidRPr="008B6FF8">
        <w:rPr>
          <w:rFonts w:ascii="Traditional Arabic" w:hAnsi="Traditional Arabic" w:cs="Traditional Arabic" w:hint="cs"/>
          <w:rtl/>
        </w:rPr>
        <w:t>مدن آمنة للفتيات.. هل تنجح في وقف العنف ضد المرأة؟، بوابة الاهرام، 22مايو 2018</w:t>
      </w:r>
    </w:p>
  </w:footnote>
  <w:footnote w:id="15">
    <w:p w14:paraId="49695EE7" w14:textId="77777777" w:rsidR="00B56EA2" w:rsidRDefault="00B56EA2" w:rsidP="003F4D81">
      <w:pPr>
        <w:pStyle w:val="FootnoteText"/>
        <w:bidi/>
      </w:pPr>
      <w:r>
        <w:rPr>
          <w:rStyle w:val="FootnoteReference"/>
        </w:rPr>
        <w:footnoteRef/>
      </w:r>
      <w:r>
        <w:t xml:space="preserve"> </w:t>
      </w:r>
      <w:r w:rsidR="003F4D81" w:rsidRPr="008B6FF8">
        <w:rPr>
          <w:rFonts w:ascii="Traditional Arabic" w:hAnsi="Traditional Arabic" w:cs="Traditional Arabic" w:hint="cs"/>
          <w:rtl/>
          <w:lang w:bidi="ar-EG"/>
        </w:rPr>
        <w:t>خلاء سبيل المتهمة بتعذيب خادمتها بسبب سوء نظافتها بعد تصالحهما، اليوم السابع، 15 أغسطس</w:t>
      </w:r>
    </w:p>
  </w:footnote>
  <w:footnote w:id="16">
    <w:p w14:paraId="6A6A8D45" w14:textId="77777777" w:rsidR="00D80A31" w:rsidRDefault="00D80A31" w:rsidP="003F4D81">
      <w:pPr>
        <w:pStyle w:val="FootnoteText"/>
        <w:bidi/>
      </w:pPr>
      <w:r>
        <w:rPr>
          <w:rStyle w:val="FootnoteReference"/>
        </w:rPr>
        <w:footnoteRef/>
      </w:r>
      <w:r>
        <w:t xml:space="preserve"> </w:t>
      </w:r>
      <w:r w:rsidRPr="008B6FF8">
        <w:rPr>
          <w:rFonts w:ascii="Traditional Arabic" w:hAnsi="Traditional Arabic" w:cs="Traditional Arabic" w:hint="cs"/>
          <w:rtl/>
          <w:lang w:bidi="ar-EG"/>
        </w:rPr>
        <w:t>الداخلية» تطلق دليل الاستجابة لجرائم العنف ضد السيدات، أخبار اليوم، 8 مارس 2020، للمزيد على الرابط التالي:</w:t>
      </w:r>
      <w:r w:rsidRPr="008B6FF8">
        <w:rPr>
          <w:rFonts w:ascii="Traditional Arabic" w:hAnsi="Traditional Arabic" w:cs="Traditional Arabic" w:hint="cs"/>
        </w:rPr>
        <w:t xml:space="preserve"> </w:t>
      </w:r>
      <w:hyperlink r:id="rId14" w:history="1">
        <w:r w:rsidRPr="008B6FF8">
          <w:rPr>
            <w:rStyle w:val="Hyperlink"/>
            <w:rFonts w:ascii="Traditional Arabic" w:hAnsi="Traditional Arabic" w:cs="Traditional Arabic" w:hint="cs"/>
            <w:lang w:bidi="ar-EG"/>
          </w:rPr>
          <w:t>https://tinyurl.com/yy2xvzza</w:t>
        </w:r>
      </w:hyperlink>
    </w:p>
  </w:footnote>
  <w:footnote w:id="17">
    <w:p w14:paraId="14BA899A" w14:textId="77777777" w:rsidR="00D80A31" w:rsidRDefault="00D80A31" w:rsidP="00D80A31">
      <w:pPr>
        <w:pStyle w:val="FootnoteText"/>
        <w:bidi/>
      </w:pPr>
      <w:r>
        <w:rPr>
          <w:rStyle w:val="FootnoteReference"/>
        </w:rPr>
        <w:footnoteRef/>
      </w:r>
      <w:r>
        <w:t xml:space="preserve"> </w:t>
      </w:r>
      <w:r w:rsidRPr="008B6FF8">
        <w:rPr>
          <w:rFonts w:ascii="Traditional Arabic" w:hAnsi="Traditional Arabic" w:cs="Traditional Arabic" w:hint="cs"/>
          <w:rtl/>
          <w:lang w:bidi="ar-EG"/>
        </w:rPr>
        <w:t>دور الجامعات في مناهضة العنف ضد المرأة، المجلس القومي للمرأة، 27 نوفمبر 2017، للمزيد على الرابط التالي:</w:t>
      </w:r>
      <w:r w:rsidRPr="008B6FF8">
        <w:rPr>
          <w:rFonts w:ascii="Traditional Arabic" w:hAnsi="Traditional Arabic" w:cs="Traditional Arabic" w:hint="cs"/>
        </w:rPr>
        <w:t xml:space="preserve"> </w:t>
      </w:r>
      <w:hyperlink r:id="rId15" w:history="1">
        <w:r w:rsidRPr="008B6FF8">
          <w:rPr>
            <w:rStyle w:val="Hyperlink"/>
            <w:rFonts w:ascii="Traditional Arabic" w:hAnsi="Traditional Arabic" w:cs="Traditional Arabic" w:hint="cs"/>
            <w:lang w:bidi="ar-EG"/>
          </w:rPr>
          <w:t>https://tinyurl.com/yy4calhf</w:t>
        </w:r>
      </w:hyperlink>
    </w:p>
  </w:footnote>
  <w:footnote w:id="18">
    <w:p w14:paraId="533DA43F" w14:textId="77777777" w:rsidR="002231A7" w:rsidRDefault="002231A7" w:rsidP="003F4D81">
      <w:pPr>
        <w:pStyle w:val="FootnoteText"/>
        <w:bidi/>
      </w:pPr>
      <w:r>
        <w:rPr>
          <w:rStyle w:val="FootnoteReference"/>
        </w:rPr>
        <w:footnoteRef/>
      </w:r>
      <w:r>
        <w:t xml:space="preserve"> </w:t>
      </w:r>
      <w:r w:rsidR="003F4D81" w:rsidRPr="008B6FF8">
        <w:rPr>
          <w:rFonts w:ascii="Traditional Arabic" w:hAnsi="Traditional Arabic" w:cs="Traditional Arabic" w:hint="cs"/>
          <w:rtl/>
          <w:lang w:bidi="ar-EG"/>
        </w:rPr>
        <w:t xml:space="preserve">أرقام رسمية صادمة عن العنف ضد المرأة في مصر «الإحصاء»: أكثر من ربع النساء تزوجن قبل بلوغهن 18 سنة، الشرق الأوسط، 26 نوفمبر 2019، للمزيد على الرابط التالي: </w:t>
      </w:r>
      <w:hyperlink r:id="rId16" w:history="1">
        <w:r w:rsidR="003F4D81" w:rsidRPr="008B6FF8">
          <w:rPr>
            <w:rStyle w:val="Hyperlink"/>
            <w:rFonts w:ascii="Traditional Arabic" w:hAnsi="Traditional Arabic" w:cs="Traditional Arabic" w:hint="cs"/>
            <w:lang w:bidi="ar-EG"/>
          </w:rPr>
          <w:t>https://tinyurl.com/yxdru4rb</w:t>
        </w:r>
      </w:hyperlink>
    </w:p>
  </w:footnote>
  <w:footnote w:id="19">
    <w:p w14:paraId="7ED2F3C7" w14:textId="77777777" w:rsidR="006021BD" w:rsidRDefault="006021BD" w:rsidP="003F4D81">
      <w:pPr>
        <w:pStyle w:val="FootnoteText"/>
        <w:bidi/>
      </w:pPr>
      <w:r>
        <w:rPr>
          <w:rStyle w:val="FootnoteReference"/>
        </w:rPr>
        <w:footnoteRef/>
      </w:r>
      <w:r>
        <w:t xml:space="preserve"> </w:t>
      </w:r>
      <w:r w:rsidR="003F4D81" w:rsidRPr="008B6FF8">
        <w:rPr>
          <w:rFonts w:ascii="Traditional Arabic" w:hAnsi="Traditional Arabic" w:cs="Traditional Arabic" w:hint="cs"/>
          <w:rtl/>
        </w:rPr>
        <w:t>إعلان بشأن القضاء على العنف ضد المرأة</w:t>
      </w:r>
      <w:r w:rsidR="003F4D81" w:rsidRPr="008B6FF8">
        <w:rPr>
          <w:rFonts w:ascii="Traditional Arabic" w:hAnsi="Traditional Arabic" w:cs="Traditional Arabic" w:hint="cs"/>
          <w:rtl/>
          <w:lang w:bidi="ar-EG"/>
        </w:rPr>
        <w:t>، الأمم المتحدة، مكتب المفوض السامي، للمزيد على الرابط التالي:</w:t>
      </w:r>
      <w:r w:rsidR="003F4D81" w:rsidRPr="008B6FF8">
        <w:rPr>
          <w:rFonts w:ascii="Traditional Arabic" w:hAnsi="Traditional Arabic" w:cs="Traditional Arabic" w:hint="cs"/>
        </w:rPr>
        <w:t xml:space="preserve"> </w:t>
      </w:r>
      <w:hyperlink r:id="rId17" w:history="1">
        <w:r w:rsidR="003F4D81" w:rsidRPr="008B6FF8">
          <w:rPr>
            <w:rStyle w:val="Hyperlink"/>
            <w:rFonts w:ascii="Traditional Arabic" w:hAnsi="Traditional Arabic" w:cs="Traditional Arabic" w:hint="cs"/>
            <w:lang w:bidi="ar-EG"/>
          </w:rPr>
          <w:t>https://tinyurl.com/y23zqato</w:t>
        </w:r>
      </w:hyperlink>
    </w:p>
  </w:footnote>
  <w:footnote w:id="20">
    <w:p w14:paraId="7DDF12E6" w14:textId="77777777" w:rsidR="006021BD" w:rsidRDefault="006021BD" w:rsidP="003F4D81">
      <w:pPr>
        <w:pStyle w:val="FootnoteText"/>
        <w:bidi/>
      </w:pPr>
      <w:r>
        <w:rPr>
          <w:rStyle w:val="FootnoteReference"/>
        </w:rPr>
        <w:footnoteRef/>
      </w:r>
      <w:r>
        <w:t xml:space="preserve"> </w:t>
      </w:r>
      <w:r w:rsidR="003F4D81" w:rsidRPr="008B6FF8">
        <w:rPr>
          <w:rFonts w:ascii="Traditional Arabic" w:hAnsi="Traditional Arabic" w:cs="Traditional Arabic" w:hint="cs"/>
          <w:rtl/>
          <w:lang w:bidi="ar-EG"/>
        </w:rPr>
        <w:t>مصر تحظر الختان بعد مقتل طفلة، البيان، 29 يونيو 2020، للمزيد على الرابط التالي:</w:t>
      </w:r>
      <w:r w:rsidR="003F4D81" w:rsidRPr="008B6FF8">
        <w:rPr>
          <w:rFonts w:ascii="Traditional Arabic" w:hAnsi="Traditional Arabic" w:cs="Traditional Arabic" w:hint="cs"/>
        </w:rPr>
        <w:t xml:space="preserve"> </w:t>
      </w:r>
      <w:hyperlink r:id="rId18" w:history="1">
        <w:r w:rsidR="003F4D81" w:rsidRPr="008B6FF8">
          <w:rPr>
            <w:rStyle w:val="Hyperlink"/>
            <w:rFonts w:ascii="Traditional Arabic" w:hAnsi="Traditional Arabic" w:cs="Traditional Arabic" w:hint="cs"/>
            <w:lang w:bidi="ar-EG"/>
          </w:rPr>
          <w:t>https://tinyurl.com/y3xkerwg</w:t>
        </w:r>
      </w:hyperlink>
    </w:p>
  </w:footnote>
  <w:footnote w:id="21">
    <w:p w14:paraId="71E4FA43" w14:textId="77777777" w:rsidR="00CB513E" w:rsidRDefault="00CB513E" w:rsidP="00515203">
      <w:pPr>
        <w:pStyle w:val="FootnoteText"/>
        <w:bidi/>
      </w:pPr>
      <w:r>
        <w:rPr>
          <w:rStyle w:val="FootnoteReference"/>
        </w:rPr>
        <w:footnoteRef/>
      </w:r>
      <w:r>
        <w:t xml:space="preserve"> </w:t>
      </w:r>
      <w:r w:rsidR="00631861" w:rsidRPr="008B6FF8">
        <w:rPr>
          <w:rFonts w:ascii="Traditional Arabic" w:hAnsi="Traditional Arabic" w:cs="Traditional Arabic" w:hint="cs"/>
          <w:rtl/>
        </w:rPr>
        <w:t>قانون 78 لسنة 2016 بشأن تعديل قانون العقوبات (ختان الاناث)، الجريدة الرسمية العدد 38مكرر (ج) بتاريخ 26 سبتمبر 2016، للمزيد على الرابط التالي:</w:t>
      </w:r>
      <w:r w:rsidR="00631861" w:rsidRPr="008B6FF8">
        <w:rPr>
          <w:rFonts w:ascii="Traditional Arabic" w:hAnsi="Traditional Arabic" w:cs="Traditional Arabic" w:hint="cs"/>
        </w:rPr>
        <w:t xml:space="preserve"> </w:t>
      </w:r>
      <w:hyperlink r:id="rId19" w:history="1">
        <w:r w:rsidR="00631861" w:rsidRPr="008B6FF8">
          <w:rPr>
            <w:rStyle w:val="Hyperlink"/>
            <w:rFonts w:ascii="Traditional Arabic" w:hAnsi="Traditional Arabic" w:cs="Traditional Arabic" w:hint="cs"/>
          </w:rPr>
          <w:t>https://bit.ly/32UNwBN</w:t>
        </w:r>
      </w:hyperlink>
    </w:p>
  </w:footnote>
  <w:footnote w:id="22">
    <w:p w14:paraId="7861CE27" w14:textId="77777777" w:rsidR="00631861" w:rsidRPr="00631861" w:rsidRDefault="00631861" w:rsidP="00515203">
      <w:pPr>
        <w:pStyle w:val="FootnoteText"/>
        <w:bidi/>
        <w:rPr>
          <w:rFonts w:ascii="Traditional Arabic" w:hAnsi="Traditional Arabic" w:cs="Traditional Arabic"/>
          <w:lang w:bidi="ar-EG"/>
        </w:rPr>
      </w:pPr>
      <w:r>
        <w:rPr>
          <w:rStyle w:val="FootnoteReference"/>
        </w:rPr>
        <w:footnoteRef/>
      </w:r>
      <w:r>
        <w:t xml:space="preserve"> </w:t>
      </w:r>
      <w:r w:rsidRPr="008B6FF8">
        <w:rPr>
          <w:rFonts w:ascii="Traditional Arabic" w:hAnsi="Traditional Arabic" w:cs="Traditional Arabic" w:hint="cs"/>
          <w:rtl/>
          <w:lang w:bidi="ar-EG"/>
        </w:rPr>
        <w:t xml:space="preserve">المادة 61 عقوبات: باب خلفي للهروب من عقوبة الختان.. ومختصون: التوعية هي الحل - (تقرير)، مصراوي، 16 أكتوبر 2016، للمزيد على الرابط التالي: </w:t>
      </w:r>
      <w:hyperlink r:id="rId20" w:history="1">
        <w:r w:rsidRPr="008B6FF8">
          <w:rPr>
            <w:rStyle w:val="Hyperlink"/>
            <w:rFonts w:ascii="Traditional Arabic" w:hAnsi="Traditional Arabic" w:cs="Traditional Arabic" w:hint="cs"/>
            <w:lang w:bidi="ar-EG"/>
          </w:rPr>
          <w:t>https://tinyurl.com/yyxwncxc</w:t>
        </w:r>
      </w:hyperlink>
      <w:r w:rsidRPr="008B6FF8">
        <w:rPr>
          <w:rFonts w:ascii="Traditional Arabic" w:hAnsi="Traditional Arabic" w:cs="Traditional Arabic" w:hint="cs"/>
          <w:rtl/>
          <w:lang w:bidi="ar-EG"/>
        </w:rPr>
        <w:t xml:space="preserve"> </w:t>
      </w:r>
    </w:p>
  </w:footnote>
  <w:footnote w:id="23">
    <w:p w14:paraId="5B2EAB12" w14:textId="77777777" w:rsidR="00631861" w:rsidRDefault="00631861" w:rsidP="00515203">
      <w:pPr>
        <w:pStyle w:val="FootnoteText"/>
        <w:bidi/>
      </w:pPr>
      <w:r>
        <w:rPr>
          <w:rStyle w:val="FootnoteReference"/>
        </w:rPr>
        <w:footnoteRef/>
      </w:r>
      <w:r>
        <w:t xml:space="preserve"> </w:t>
      </w:r>
      <w:r w:rsidRPr="008B6FF8">
        <w:rPr>
          <w:rFonts w:ascii="Traditional Arabic" w:hAnsi="Traditional Arabic" w:cs="Traditional Arabic" w:hint="cs"/>
          <w:rtl/>
          <w:lang w:bidi="ar-EG"/>
        </w:rPr>
        <w:t>الأمم المتحدة تؤكد الحاجة لإجراء عادل سريع لإنهاء الختان، اليوم السابع، 30 يونيو 2020، للمزيد على الرابط التالي:</w:t>
      </w:r>
      <w:r w:rsidRPr="008B6FF8">
        <w:rPr>
          <w:rFonts w:ascii="Traditional Arabic" w:hAnsi="Traditional Arabic" w:cs="Traditional Arabic" w:hint="cs"/>
        </w:rPr>
        <w:t xml:space="preserve"> </w:t>
      </w:r>
      <w:hyperlink r:id="rId21" w:history="1">
        <w:r w:rsidRPr="008B6FF8">
          <w:rPr>
            <w:rStyle w:val="Hyperlink"/>
            <w:rFonts w:ascii="Traditional Arabic" w:hAnsi="Traditional Arabic" w:cs="Traditional Arabic" w:hint="cs"/>
            <w:lang w:bidi="ar-EG"/>
          </w:rPr>
          <w:t>https://tinyurl.com/y2f2etxz</w:t>
        </w:r>
      </w:hyperlink>
    </w:p>
  </w:footnote>
  <w:footnote w:id="24">
    <w:p w14:paraId="2865C9F3" w14:textId="77777777" w:rsidR="00631861" w:rsidRDefault="00631861" w:rsidP="00515203">
      <w:pPr>
        <w:pStyle w:val="FootnoteText"/>
        <w:bidi/>
      </w:pPr>
      <w:r>
        <w:rPr>
          <w:rStyle w:val="FootnoteReference"/>
        </w:rPr>
        <w:footnoteRef/>
      </w:r>
      <w:r>
        <w:t xml:space="preserve"> </w:t>
      </w:r>
      <w:r w:rsidRPr="008B6FF8">
        <w:rPr>
          <w:rStyle w:val="FootnoteReference"/>
          <w:rFonts w:ascii="Traditional Arabic" w:hAnsi="Traditional Arabic" w:cs="Traditional Arabic" w:hint="cs"/>
        </w:rPr>
        <w:footnoteRef/>
      </w:r>
      <w:r w:rsidRPr="008B6FF8">
        <w:rPr>
          <w:rFonts w:ascii="Traditional Arabic" w:hAnsi="Traditional Arabic" w:cs="Traditional Arabic" w:hint="cs"/>
        </w:rPr>
        <w:t xml:space="preserve"> </w:t>
      </w:r>
      <w:r w:rsidRPr="008B6FF8">
        <w:rPr>
          <w:rFonts w:ascii="Traditional Arabic" w:hAnsi="Traditional Arabic" w:cs="Traditional Arabic" w:hint="cs"/>
          <w:rtl/>
        </w:rPr>
        <w:t>مصر تناهض ختان الإناث بالقوانين الصارمة والمبادرات التوعوية، العين الإخبارية، 6 فبراير 2020، للمزيد علي الرابط التالي:</w:t>
      </w:r>
      <w:r w:rsidRPr="008B6FF8">
        <w:rPr>
          <w:rFonts w:ascii="Traditional Arabic" w:hAnsi="Traditional Arabic" w:cs="Traditional Arabic" w:hint="cs"/>
        </w:rPr>
        <w:t xml:space="preserve"> </w:t>
      </w:r>
      <w:hyperlink r:id="rId22" w:history="1">
        <w:r w:rsidRPr="008B6FF8">
          <w:rPr>
            <w:rStyle w:val="Hyperlink"/>
            <w:rFonts w:ascii="Traditional Arabic" w:hAnsi="Traditional Arabic" w:cs="Traditional Arabic" w:hint="cs"/>
          </w:rPr>
          <w:t>https://tinyurl.com/y3mauog7</w:t>
        </w:r>
      </w:hyperlink>
    </w:p>
  </w:footnote>
  <w:footnote w:id="25">
    <w:p w14:paraId="64014525" w14:textId="77777777" w:rsidR="008B1814" w:rsidRDefault="008B1814" w:rsidP="003F4D81">
      <w:pPr>
        <w:pStyle w:val="FootnoteText"/>
        <w:bidi/>
      </w:pPr>
      <w:r>
        <w:rPr>
          <w:rStyle w:val="FootnoteReference"/>
        </w:rPr>
        <w:footnoteRef/>
      </w:r>
      <w:r>
        <w:t xml:space="preserve"> </w:t>
      </w:r>
      <w:r w:rsidR="003F4D81" w:rsidRPr="008B6FF8">
        <w:rPr>
          <w:rFonts w:ascii="Traditional Arabic" w:hAnsi="Traditional Arabic" w:cs="Traditional Arabic" w:hint="cs"/>
          <w:rtl/>
          <w:lang w:bidi="ar-EG"/>
        </w:rPr>
        <w:t>السيسي: لن أوقع على قانون أحوال شخصية لا ينصف المرأة، الشروق، 12 ديسمبر 2019، للمزيد على الرابط التالي:</w:t>
      </w:r>
      <w:r w:rsidR="003F4D81" w:rsidRPr="008B6FF8">
        <w:rPr>
          <w:rFonts w:ascii="Traditional Arabic" w:hAnsi="Traditional Arabic" w:cs="Traditional Arabic" w:hint="cs"/>
        </w:rPr>
        <w:t xml:space="preserve"> </w:t>
      </w:r>
      <w:hyperlink r:id="rId23" w:history="1">
        <w:r w:rsidR="003F4D81" w:rsidRPr="008B6FF8">
          <w:rPr>
            <w:rStyle w:val="Hyperlink"/>
            <w:rFonts w:ascii="Traditional Arabic" w:hAnsi="Traditional Arabic" w:cs="Traditional Arabic" w:hint="cs"/>
            <w:lang w:bidi="ar-EG"/>
          </w:rPr>
          <w:t>https://tinyurl.com/y2ms2yh8</w:t>
        </w:r>
      </w:hyperlink>
    </w:p>
  </w:footnote>
  <w:footnote w:id="26">
    <w:p w14:paraId="1FC67C6D" w14:textId="77777777" w:rsidR="00515203" w:rsidRDefault="00515203" w:rsidP="003F4D81">
      <w:pPr>
        <w:pStyle w:val="FootnoteText"/>
        <w:bidi/>
      </w:pPr>
      <w:r>
        <w:rPr>
          <w:rStyle w:val="FootnoteReference"/>
        </w:rPr>
        <w:footnoteRef/>
      </w:r>
      <w:r>
        <w:t xml:space="preserve"> </w:t>
      </w:r>
      <w:r w:rsidR="003F4D81" w:rsidRPr="008B6FF8">
        <w:rPr>
          <w:rFonts w:ascii="Traditional Arabic" w:hAnsi="Traditional Arabic" w:cs="Traditional Arabic" w:hint="cs"/>
          <w:rtl/>
          <w:lang w:bidi="ar-EG"/>
        </w:rPr>
        <w:t>حبس الممتنعين عن دفع النفقة.. السيسي يصدق على تعديل أحكام قانون العقوبات، مصراوي، 3 فبراير 2020، للمزيد على الرابط التالي:</w:t>
      </w:r>
      <w:r w:rsidR="003F4D81" w:rsidRPr="008B6FF8">
        <w:rPr>
          <w:rFonts w:ascii="Traditional Arabic" w:hAnsi="Traditional Arabic" w:cs="Traditional Arabic" w:hint="cs"/>
        </w:rPr>
        <w:t xml:space="preserve"> </w:t>
      </w:r>
      <w:hyperlink r:id="rId24" w:history="1">
        <w:r w:rsidR="003F4D81" w:rsidRPr="008B6FF8">
          <w:rPr>
            <w:rStyle w:val="Hyperlink"/>
            <w:rFonts w:ascii="Traditional Arabic" w:hAnsi="Traditional Arabic" w:cs="Traditional Arabic" w:hint="cs"/>
            <w:lang w:bidi="ar-EG"/>
          </w:rPr>
          <w:t>https://tinyurl.com/y2amses8</w:t>
        </w:r>
      </w:hyperlink>
    </w:p>
  </w:footnote>
  <w:footnote w:id="27">
    <w:p w14:paraId="1CA02F3A" w14:textId="77777777" w:rsidR="008B1814" w:rsidRDefault="008B1814" w:rsidP="003F4D81">
      <w:pPr>
        <w:pStyle w:val="FootnoteText"/>
        <w:bidi/>
      </w:pPr>
      <w:r>
        <w:rPr>
          <w:rStyle w:val="FootnoteReference"/>
        </w:rPr>
        <w:footnoteRef/>
      </w:r>
      <w:r>
        <w:t xml:space="preserve"> </w:t>
      </w:r>
      <w:r w:rsidR="003F4D81" w:rsidRPr="008B6FF8">
        <w:rPr>
          <w:rFonts w:ascii="Traditional Arabic" w:hAnsi="Traditional Arabic" w:cs="Traditional Arabic" w:hint="cs"/>
          <w:rtl/>
          <w:lang w:bidi="ar-EG"/>
        </w:rPr>
        <w:t>هل الرجل هو القانون، المصري اليوم، 20 سبتمبر 2019، للمزيد على الرابط التالي:</w:t>
      </w:r>
      <w:r w:rsidR="003F4D81" w:rsidRPr="008B6FF8">
        <w:rPr>
          <w:rFonts w:ascii="Traditional Arabic" w:hAnsi="Traditional Arabic" w:cs="Traditional Arabic" w:hint="cs"/>
        </w:rPr>
        <w:t xml:space="preserve"> </w:t>
      </w:r>
      <w:hyperlink r:id="rId25" w:history="1">
        <w:r w:rsidR="003F4D81" w:rsidRPr="008B6FF8">
          <w:rPr>
            <w:rStyle w:val="Hyperlink"/>
            <w:rFonts w:ascii="Traditional Arabic" w:hAnsi="Traditional Arabic" w:cs="Traditional Arabic" w:hint="cs"/>
            <w:lang w:bidi="ar-EG"/>
          </w:rPr>
          <w:t>https://tinyurl.com/yxteo66y</w:t>
        </w:r>
      </w:hyperlink>
    </w:p>
  </w:footnote>
  <w:footnote w:id="28">
    <w:p w14:paraId="48407E70" w14:textId="77777777" w:rsidR="00270198" w:rsidRDefault="00270198" w:rsidP="003F4D81">
      <w:pPr>
        <w:pStyle w:val="FootnoteText"/>
        <w:bidi/>
      </w:pPr>
      <w:r>
        <w:rPr>
          <w:rStyle w:val="FootnoteReference"/>
        </w:rPr>
        <w:footnoteRef/>
      </w:r>
      <w:r>
        <w:t xml:space="preserve"> </w:t>
      </w:r>
      <w:r w:rsidR="003F4D81" w:rsidRPr="008B6FF8">
        <w:rPr>
          <w:rFonts w:ascii="Traditional Arabic" w:hAnsi="Traditional Arabic" w:cs="Traditional Arabic" w:hint="cs"/>
          <w:rtl/>
        </w:rPr>
        <w:t>مكافحة القانون المصري للعنف والتمييز ضد المرأة (المأمول)، المجلس القومي للمرأة، د.ت، للمزيد على الرابط التالي:</w:t>
      </w:r>
      <w:r w:rsidR="003F4D81" w:rsidRPr="008B6FF8">
        <w:rPr>
          <w:rFonts w:ascii="Traditional Arabic" w:hAnsi="Traditional Arabic" w:cs="Traditional Arabic" w:hint="cs"/>
        </w:rPr>
        <w:t xml:space="preserve"> </w:t>
      </w:r>
      <w:hyperlink r:id="rId26" w:history="1">
        <w:r w:rsidR="003F4D81" w:rsidRPr="008B6FF8">
          <w:rPr>
            <w:rStyle w:val="Hyperlink"/>
            <w:rFonts w:ascii="Traditional Arabic" w:hAnsi="Traditional Arabic" w:cs="Traditional Arabic" w:hint="cs"/>
          </w:rPr>
          <w:t>https://tinyurl.com/y5rd9vo3</w:t>
        </w:r>
      </w:hyperlink>
    </w:p>
  </w:footnote>
  <w:footnote w:id="29">
    <w:p w14:paraId="6D3F7BA1" w14:textId="77777777" w:rsidR="003F4D81" w:rsidRDefault="003F4D81" w:rsidP="003F4D81">
      <w:pPr>
        <w:pStyle w:val="FootnoteText"/>
        <w:bidi/>
      </w:pPr>
      <w:r>
        <w:rPr>
          <w:rStyle w:val="FootnoteReference"/>
        </w:rPr>
        <w:footnoteRef/>
      </w:r>
      <w:r>
        <w:t xml:space="preserve"> </w:t>
      </w:r>
      <w:r w:rsidRPr="008B6FF8">
        <w:rPr>
          <w:rFonts w:ascii="Traditional Arabic" w:hAnsi="Traditional Arabic" w:cs="Traditional Arabic" w:hint="cs"/>
          <w:rtl/>
          <w:lang w:bidi="ar-EG"/>
        </w:rPr>
        <w:t>أستاذ قانون: المادة «60» تبيح تأديب الآباء لأولادهم.. لكن بضوابط.. وحقوقيات: قدمنا مشروعاً موحداً لمكافحة العنف، هُن، 24 فبراير 2018، للمزيد على الرابط التالي:</w:t>
      </w:r>
      <w:r w:rsidRPr="008B6FF8">
        <w:rPr>
          <w:rFonts w:ascii="Traditional Arabic" w:hAnsi="Traditional Arabic" w:cs="Traditional Arabic" w:hint="cs"/>
        </w:rPr>
        <w:t xml:space="preserve"> </w:t>
      </w:r>
      <w:hyperlink r:id="rId27" w:history="1">
        <w:r w:rsidRPr="008B6FF8">
          <w:rPr>
            <w:rStyle w:val="Hyperlink"/>
            <w:rFonts w:ascii="Traditional Arabic" w:hAnsi="Traditional Arabic" w:cs="Traditional Arabic" w:hint="cs"/>
            <w:lang w:bidi="ar-EG"/>
          </w:rPr>
          <w:t>https://tinyurl.com/y5vv5c6m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AC17D" w14:textId="61B13B20" w:rsidR="00E61D65" w:rsidRDefault="00E61D65">
    <w:pPr>
      <w:pStyle w:val="Header"/>
    </w:pPr>
    <w:r w:rsidRPr="004C074D">
      <w:rPr>
        <w:noProof/>
      </w:rPr>
      <w:drawing>
        <wp:inline distT="0" distB="0" distL="0" distR="0" wp14:anchorId="6736356E" wp14:editId="07E40347">
          <wp:extent cx="829310" cy="861413"/>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35695" cy="8680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3C90"/>
      </v:shape>
    </w:pict>
  </w:numPicBullet>
  <w:abstractNum w:abstractNumId="0" w15:restartNumberingAfterBreak="0">
    <w:nsid w:val="028547BC"/>
    <w:multiLevelType w:val="hybridMultilevel"/>
    <w:tmpl w:val="8B20C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2E7CEF"/>
    <w:multiLevelType w:val="hybridMultilevel"/>
    <w:tmpl w:val="0F9EA3F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67834"/>
    <w:multiLevelType w:val="hybridMultilevel"/>
    <w:tmpl w:val="F01CFDBE"/>
    <w:lvl w:ilvl="0" w:tplc="D3D8AFF4">
      <w:numFmt w:val="bullet"/>
      <w:lvlText w:val="-"/>
      <w:lvlJc w:val="left"/>
      <w:pPr>
        <w:ind w:left="720" w:hanging="360"/>
      </w:pPr>
      <w:rPr>
        <w:rFonts w:ascii="Times New Roman" w:eastAsia="Times New Roman" w:hAnsi="Times New Roman" w:cs="Times New Roman"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C95067"/>
    <w:multiLevelType w:val="hybridMultilevel"/>
    <w:tmpl w:val="9AC28C58"/>
    <w:lvl w:ilvl="0" w:tplc="04090007">
      <w:start w:val="1"/>
      <w:numFmt w:val="bullet"/>
      <w:lvlText w:val=""/>
      <w:lvlPicBulletId w:val="0"/>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553B7E72"/>
    <w:multiLevelType w:val="hybridMultilevel"/>
    <w:tmpl w:val="7D245A4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F5E"/>
    <w:rsid w:val="00095423"/>
    <w:rsid w:val="000A0058"/>
    <w:rsid w:val="000C66AA"/>
    <w:rsid w:val="000E6381"/>
    <w:rsid w:val="00141A5B"/>
    <w:rsid w:val="001764B6"/>
    <w:rsid w:val="002231A7"/>
    <w:rsid w:val="00250FEA"/>
    <w:rsid w:val="00270198"/>
    <w:rsid w:val="002D115B"/>
    <w:rsid w:val="002F3DB1"/>
    <w:rsid w:val="00311228"/>
    <w:rsid w:val="00327F5E"/>
    <w:rsid w:val="00384ED3"/>
    <w:rsid w:val="00387E6D"/>
    <w:rsid w:val="003E1ADB"/>
    <w:rsid w:val="003E1F43"/>
    <w:rsid w:val="003F41BC"/>
    <w:rsid w:val="003F4D81"/>
    <w:rsid w:val="00412326"/>
    <w:rsid w:val="00432E2C"/>
    <w:rsid w:val="00482C59"/>
    <w:rsid w:val="004E1018"/>
    <w:rsid w:val="00506360"/>
    <w:rsid w:val="00506499"/>
    <w:rsid w:val="00507814"/>
    <w:rsid w:val="00515203"/>
    <w:rsid w:val="005326C1"/>
    <w:rsid w:val="005A17FE"/>
    <w:rsid w:val="005B25BF"/>
    <w:rsid w:val="006021BD"/>
    <w:rsid w:val="00603615"/>
    <w:rsid w:val="00631861"/>
    <w:rsid w:val="00651CC0"/>
    <w:rsid w:val="00655487"/>
    <w:rsid w:val="00676D62"/>
    <w:rsid w:val="00755F3A"/>
    <w:rsid w:val="007B4B8A"/>
    <w:rsid w:val="007C50D4"/>
    <w:rsid w:val="0086407D"/>
    <w:rsid w:val="00870D5C"/>
    <w:rsid w:val="008921BC"/>
    <w:rsid w:val="008B1814"/>
    <w:rsid w:val="008B6138"/>
    <w:rsid w:val="008C6E39"/>
    <w:rsid w:val="008D5A7E"/>
    <w:rsid w:val="009B55F1"/>
    <w:rsid w:val="009D500B"/>
    <w:rsid w:val="00A42618"/>
    <w:rsid w:val="00A86A6D"/>
    <w:rsid w:val="00AA4F5B"/>
    <w:rsid w:val="00AF152B"/>
    <w:rsid w:val="00B54E5C"/>
    <w:rsid w:val="00B56EA2"/>
    <w:rsid w:val="00B578F1"/>
    <w:rsid w:val="00BF34D3"/>
    <w:rsid w:val="00C347F6"/>
    <w:rsid w:val="00C45B11"/>
    <w:rsid w:val="00C621CF"/>
    <w:rsid w:val="00CA7200"/>
    <w:rsid w:val="00CB513E"/>
    <w:rsid w:val="00D07F10"/>
    <w:rsid w:val="00D701D2"/>
    <w:rsid w:val="00D80A31"/>
    <w:rsid w:val="00E61D65"/>
    <w:rsid w:val="00EB2872"/>
    <w:rsid w:val="00ED58E5"/>
    <w:rsid w:val="00EF1C24"/>
    <w:rsid w:val="00F23354"/>
    <w:rsid w:val="00F303C3"/>
    <w:rsid w:val="00F630AB"/>
    <w:rsid w:val="00FF5A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F81D0"/>
  <w15:chartTrackingRefBased/>
  <w15:docId w15:val="{CC2C0E5E-5742-4DE3-A58A-E3F75EB8E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B6138"/>
    <w:pPr>
      <w:spacing w:after="0" w:line="240" w:lineRule="auto"/>
    </w:pPr>
    <w:rPr>
      <w:sz w:val="20"/>
      <w:szCs w:val="20"/>
    </w:rPr>
  </w:style>
  <w:style w:type="character" w:customStyle="1" w:styleId="FootnoteTextChar">
    <w:name w:val="Footnote Text Char"/>
    <w:basedOn w:val="DefaultParagraphFont"/>
    <w:link w:val="FootnoteText"/>
    <w:uiPriority w:val="99"/>
    <w:rsid w:val="008B6138"/>
    <w:rPr>
      <w:sz w:val="20"/>
      <w:szCs w:val="20"/>
    </w:rPr>
  </w:style>
  <w:style w:type="character" w:styleId="FootnoteReference">
    <w:name w:val="footnote reference"/>
    <w:basedOn w:val="DefaultParagraphFont"/>
    <w:uiPriority w:val="99"/>
    <w:semiHidden/>
    <w:unhideWhenUsed/>
    <w:rsid w:val="008B6138"/>
    <w:rPr>
      <w:vertAlign w:val="superscript"/>
    </w:rPr>
  </w:style>
  <w:style w:type="character" w:styleId="Hyperlink">
    <w:name w:val="Hyperlink"/>
    <w:basedOn w:val="DefaultParagraphFont"/>
    <w:uiPriority w:val="99"/>
    <w:unhideWhenUsed/>
    <w:rsid w:val="008D5A7E"/>
    <w:rPr>
      <w:color w:val="0563C1" w:themeColor="hyperlink"/>
      <w:u w:val="single"/>
    </w:rPr>
  </w:style>
  <w:style w:type="paragraph" w:styleId="ListParagraph">
    <w:name w:val="List Paragraph"/>
    <w:basedOn w:val="Normal"/>
    <w:uiPriority w:val="34"/>
    <w:qFormat/>
    <w:rsid w:val="00095423"/>
    <w:pPr>
      <w:ind w:left="720"/>
      <w:contextualSpacing/>
    </w:pPr>
  </w:style>
  <w:style w:type="paragraph" w:styleId="Header">
    <w:name w:val="header"/>
    <w:basedOn w:val="Normal"/>
    <w:link w:val="HeaderChar"/>
    <w:uiPriority w:val="99"/>
    <w:unhideWhenUsed/>
    <w:rsid w:val="00E61D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D65"/>
  </w:style>
  <w:style w:type="paragraph" w:styleId="Footer">
    <w:name w:val="footer"/>
    <w:basedOn w:val="Normal"/>
    <w:link w:val="FooterChar"/>
    <w:uiPriority w:val="99"/>
    <w:unhideWhenUsed/>
    <w:rsid w:val="00E61D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y2w8vwof" TargetMode="External"/><Relationship Id="rId13" Type="http://schemas.openxmlformats.org/officeDocument/2006/relationships/hyperlink" Target="https://tinyurl.com/yafokp7r" TargetMode="External"/><Relationship Id="rId18" Type="http://schemas.openxmlformats.org/officeDocument/2006/relationships/hyperlink" Target="https://tinyurl.com/y3xkerwg" TargetMode="External"/><Relationship Id="rId26" Type="http://schemas.openxmlformats.org/officeDocument/2006/relationships/hyperlink" Target="https://tinyurl.com/y5rd9vo3" TargetMode="External"/><Relationship Id="rId3" Type="http://schemas.openxmlformats.org/officeDocument/2006/relationships/hyperlink" Target="https://tinyurl.com/y6cffqdp" TargetMode="External"/><Relationship Id="rId21" Type="http://schemas.openxmlformats.org/officeDocument/2006/relationships/hyperlink" Target="https://tinyurl.com/y2f2etxz" TargetMode="External"/><Relationship Id="rId7" Type="http://schemas.openxmlformats.org/officeDocument/2006/relationships/hyperlink" Target="https://tinyurl.com/yygcz3wu" TargetMode="External"/><Relationship Id="rId12" Type="http://schemas.openxmlformats.org/officeDocument/2006/relationships/hyperlink" Target="https://tinyurl.com/y45wja55" TargetMode="External"/><Relationship Id="rId17" Type="http://schemas.openxmlformats.org/officeDocument/2006/relationships/hyperlink" Target="https://tinyurl.com/y23zqato" TargetMode="External"/><Relationship Id="rId25" Type="http://schemas.openxmlformats.org/officeDocument/2006/relationships/hyperlink" Target="https://tinyurl.com/yxteo66y" TargetMode="External"/><Relationship Id="rId2" Type="http://schemas.openxmlformats.org/officeDocument/2006/relationships/hyperlink" Target="https://tinyurl.com/y9p9ctrh" TargetMode="External"/><Relationship Id="rId16" Type="http://schemas.openxmlformats.org/officeDocument/2006/relationships/hyperlink" Target="https://tinyurl.com/yxdru4rb" TargetMode="External"/><Relationship Id="rId20" Type="http://schemas.openxmlformats.org/officeDocument/2006/relationships/hyperlink" Target="https://tinyurl.com/yyxwncxc" TargetMode="External"/><Relationship Id="rId1" Type="http://schemas.openxmlformats.org/officeDocument/2006/relationships/hyperlink" Target="https://tinyurl.com/y2l5x4zu" TargetMode="External"/><Relationship Id="rId6" Type="http://schemas.openxmlformats.org/officeDocument/2006/relationships/hyperlink" Target="https://tinyurl.com/y3l9woj4" TargetMode="External"/><Relationship Id="rId11" Type="http://schemas.openxmlformats.org/officeDocument/2006/relationships/hyperlink" Target="https://tinyurl.com/y6u65amh" TargetMode="External"/><Relationship Id="rId24" Type="http://schemas.openxmlformats.org/officeDocument/2006/relationships/hyperlink" Target="https://tinyurl.com/y2amses8" TargetMode="External"/><Relationship Id="rId5" Type="http://schemas.openxmlformats.org/officeDocument/2006/relationships/hyperlink" Target="https://tinyurl.com/y6mqhdry" TargetMode="External"/><Relationship Id="rId15" Type="http://schemas.openxmlformats.org/officeDocument/2006/relationships/hyperlink" Target="https://tinyurl.com/yy4calhf" TargetMode="External"/><Relationship Id="rId23" Type="http://schemas.openxmlformats.org/officeDocument/2006/relationships/hyperlink" Target="https://tinyurl.com/y2ms2yh8" TargetMode="External"/><Relationship Id="rId10" Type="http://schemas.openxmlformats.org/officeDocument/2006/relationships/hyperlink" Target="https://tinyurl.com/yxlda5m9" TargetMode="External"/><Relationship Id="rId19" Type="http://schemas.openxmlformats.org/officeDocument/2006/relationships/hyperlink" Target="https://bit.ly/32UNwBN" TargetMode="External"/><Relationship Id="rId4" Type="http://schemas.openxmlformats.org/officeDocument/2006/relationships/hyperlink" Target="https://tinyurl.com/y6egqgao" TargetMode="External"/><Relationship Id="rId9" Type="http://schemas.openxmlformats.org/officeDocument/2006/relationships/hyperlink" Target="https://tinyurl.com/y5zr4k33" TargetMode="External"/><Relationship Id="rId14" Type="http://schemas.openxmlformats.org/officeDocument/2006/relationships/hyperlink" Target="https://tinyurl.com/yy2xvzza" TargetMode="External"/><Relationship Id="rId22" Type="http://schemas.openxmlformats.org/officeDocument/2006/relationships/hyperlink" Target="https://tinyurl.com/y3mauog7" TargetMode="External"/><Relationship Id="rId27" Type="http://schemas.openxmlformats.org/officeDocument/2006/relationships/hyperlink" Target="https://tinyurl.com/y5vv5c6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DE3C0C-F0CF-47F2-89E5-A2A255A2AFE1}">
  <ds:schemaRefs>
    <ds:schemaRef ds:uri="http://schemas.openxmlformats.org/officeDocument/2006/bibliography"/>
  </ds:schemaRefs>
</ds:datastoreItem>
</file>

<file path=customXml/itemProps2.xml><?xml version="1.0" encoding="utf-8"?>
<ds:datastoreItem xmlns:ds="http://schemas.openxmlformats.org/officeDocument/2006/customXml" ds:itemID="{314093BD-35BA-4FAE-AC51-3FEC3009741A}"/>
</file>

<file path=customXml/itemProps3.xml><?xml version="1.0" encoding="utf-8"?>
<ds:datastoreItem xmlns:ds="http://schemas.openxmlformats.org/officeDocument/2006/customXml" ds:itemID="{398D713C-7B83-40D3-A299-E12F291F980C}"/>
</file>

<file path=customXml/itemProps4.xml><?xml version="1.0" encoding="utf-8"?>
<ds:datastoreItem xmlns:ds="http://schemas.openxmlformats.org/officeDocument/2006/customXml" ds:itemID="{F067F1EB-E314-4721-91DD-6D83B18D4C77}"/>
</file>

<file path=docProps/app.xml><?xml version="1.0" encoding="utf-8"?>
<Properties xmlns="http://schemas.openxmlformats.org/officeDocument/2006/extended-properties" xmlns:vt="http://schemas.openxmlformats.org/officeDocument/2006/docPropsVTypes">
  <Template>Normal</Template>
  <TotalTime>585</TotalTime>
  <Pages>7</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cp:lastModifiedBy>
  <cp:revision>10</cp:revision>
  <dcterms:created xsi:type="dcterms:W3CDTF">2020-10-11T14:17:00Z</dcterms:created>
  <dcterms:modified xsi:type="dcterms:W3CDTF">2020-10-13T15:29:00Z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