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80" w:before="80" w:lineRule="auto"/>
        <w:ind w:left="0" w:firstLine="0"/>
        <w:jc w:val="left"/>
        <w:rPr>
          <w:b w:val="1"/>
          <w:bCs w:val="1"/>
          <w:color w:val="980000"/>
        </w:rPr>
      </w:pPr>
      <w:r w:rsidDel="00000000" w:rsidR="00000000" w:rsidRPr="00000000">
        <w:rPr>
          <w:rtl w:val="0"/>
        </w:rPr>
      </w:r>
    </w:p>
    <w:p w:rsidR="00000000" w:rsidDel="00000000" w:rsidP="00000000" w:rsidRDefault="00000000" w:rsidRPr="00000000" w14:paraId="00000002">
      <w:pPr>
        <w:spacing w:after="80" w:before="80" w:lineRule="auto"/>
        <w:ind w:left="0" w:firstLine="0"/>
        <w:jc w:val="center"/>
        <w:rPr>
          <w:b w:val="1"/>
          <w:bCs w:val="1"/>
          <w:color w:val="980000"/>
        </w:rPr>
      </w:pPr>
      <w:r w:rsidDel="00000000" w:rsidR="00000000" w:rsidRPr="00000000">
        <w:rPr>
          <w:b w:val="1"/>
          <w:bCs w:val="1"/>
          <w:color w:val="980000"/>
          <w:rtl w:val="0"/>
        </w:rPr>
        <w:t xml:space="preserve">INFORME ALTERNATIVO DE LA SOCIEDAD CIVIL PARA EL COMITÉ PARA LA ELIMINACIÓN DE LA DISCRIMINACIÓN RACIAL</w:t>
      </w:r>
    </w:p>
    <w:p w:rsidR="00000000" w:rsidDel="00000000" w:rsidP="00000000" w:rsidRDefault="00000000" w:rsidRPr="00000000" w14:paraId="00000003">
      <w:pPr>
        <w:pStyle w:val="Title"/>
        <w:keepNext w:val="1"/>
        <w:keepLines w:val="1"/>
        <w:spacing w:after="60" w:line="276" w:lineRule="auto"/>
        <w:jc w:val="center"/>
        <w:rPr>
          <w:b w:val="1"/>
          <w:bCs w:val="1"/>
          <w:color w:val="980000"/>
          <w:sz w:val="24"/>
          <w:szCs w:val="24"/>
        </w:rPr>
      </w:pPr>
      <w:bookmarkStart w:colFirst="0" w:colLast="0" w:name="_heading=h.tltr8rqjxxfa" w:id="0"/>
      <w:bookmarkEnd w:id="0"/>
      <w:r w:rsidDel="00000000" w:rsidR="00000000" w:rsidRPr="00000000">
        <w:rPr>
          <w:b w:val="1"/>
          <w:bCs w:val="1"/>
          <w:color w:val="980000"/>
          <w:sz w:val="24"/>
          <w:szCs w:val="24"/>
          <w:rtl w:val="0"/>
        </w:rPr>
        <w:t xml:space="preserve">Revisión de la República de Cuba</w:t>
        <w:br w:type="textWrapping"/>
        <w:t xml:space="preserve">117º período de sesiones</w:t>
      </w:r>
    </w:p>
    <w:p w:rsidR="00000000" w:rsidDel="00000000" w:rsidP="00000000" w:rsidRDefault="00000000" w:rsidRPr="00000000" w14:paraId="00000004">
      <w:pPr>
        <w:spacing w:after="0" w:before="80" w:lineRule="auto"/>
        <w:ind w:left="0" w:firstLine="0"/>
        <w:rPr/>
      </w:pPr>
      <w:r w:rsidDel="00000000" w:rsidR="00000000" w:rsidRPr="00000000">
        <w:rPr>
          <w:rtl w:val="0"/>
        </w:rPr>
      </w:r>
    </w:p>
    <w:p w:rsidR="00000000" w:rsidDel="00000000" w:rsidP="00000000" w:rsidRDefault="00000000" w:rsidRPr="00000000" w14:paraId="00000005">
      <w:pPr>
        <w:spacing w:after="80" w:before="80" w:lineRule="auto"/>
        <w:ind w:left="0" w:firstLine="0"/>
        <w:jc w:val="center"/>
        <w:rPr>
          <w:i w:val="1"/>
          <w:iCs w:val="1"/>
        </w:rPr>
      </w:pPr>
      <w:r w:rsidDel="00000000" w:rsidR="00000000" w:rsidRPr="00000000">
        <w:rPr>
          <w:i w:val="1"/>
          <w:iCs w:val="1"/>
          <w:rtl w:val="0"/>
        </w:rPr>
        <w:t xml:space="preserve">Situación de las personas afrodescendientes privadas de libertad en Cuba: discriminación racial estructural, interseccionalidad y ausencia de protección diferenciada</w:t>
      </w:r>
    </w:p>
    <w:p w:rsidR="00000000" w:rsidDel="00000000" w:rsidP="00000000" w:rsidRDefault="00000000" w:rsidRPr="00000000" w14:paraId="00000006">
      <w:pPr>
        <w:spacing w:after="0" w:before="240" w:lineRule="auto"/>
        <w:ind w:left="0" w:firstLine="0"/>
        <w:rPr/>
      </w:pPr>
      <w:r w:rsidDel="00000000" w:rsidR="00000000" w:rsidRPr="00000000">
        <w:rPr>
          <w:rtl w:val="0"/>
        </w:rPr>
      </w:r>
    </w:p>
    <w:p w:rsidR="00000000" w:rsidDel="00000000" w:rsidP="00000000" w:rsidRDefault="00000000" w:rsidRPr="00000000" w14:paraId="00000007">
      <w:pPr>
        <w:spacing w:after="80" w:before="80" w:lineRule="auto"/>
        <w:ind w:left="0" w:firstLine="0"/>
        <w:jc w:val="center"/>
        <w:rPr>
          <w:highlight w:val="yellow"/>
        </w:rPr>
      </w:pPr>
      <w:r w:rsidDel="00000000" w:rsidR="00000000" w:rsidRPr="00000000">
        <w:rPr>
          <w:rtl w:val="0"/>
        </w:rPr>
        <w:t xml:space="preserve">Presentado por:</w:t>
      </w:r>
      <w:r w:rsidDel="00000000" w:rsidR="00000000" w:rsidRPr="00000000">
        <w:rPr>
          <w:rtl w:val="0"/>
        </w:rPr>
      </w:r>
    </w:p>
    <w:p w:rsidR="00000000" w:rsidDel="00000000" w:rsidP="00000000" w:rsidRDefault="00000000" w:rsidRPr="00000000" w14:paraId="00000008">
      <w:pPr>
        <w:spacing w:after="80" w:before="80" w:lineRule="auto"/>
        <w:ind w:left="0" w:firstLine="0"/>
        <w:jc w:val="center"/>
        <w:rPr/>
      </w:pPr>
      <w:r w:rsidDel="00000000" w:rsidR="00000000" w:rsidRPr="00000000">
        <w:rPr>
          <w:rtl w:val="0"/>
        </w:rPr>
        <w:t xml:space="preserve">Iniciativa para la Investigación y la Incidencia</w:t>
      </w:r>
    </w:p>
    <w:p w:rsidR="00000000" w:rsidDel="00000000" w:rsidP="00000000" w:rsidRDefault="00000000" w:rsidRPr="00000000" w14:paraId="00000009">
      <w:pPr>
        <w:spacing w:after="80" w:before="80" w:lineRule="auto"/>
        <w:ind w:left="0" w:firstLine="0"/>
        <w:jc w:val="center"/>
        <w:rPr/>
      </w:pPr>
      <w:r w:rsidDel="00000000" w:rsidR="00000000" w:rsidRPr="00000000">
        <w:rPr>
          <w:rtl w:val="0"/>
        </w:rPr>
        <w:t xml:space="preserve">en colaboración con: </w:t>
        <w:br w:type="textWrapping"/>
        <w:t xml:space="preserve">Civil Rights Defenders</w:t>
        <w:br w:type="textWrapping"/>
        <w:t xml:space="preserve">4Métrica</w:t>
        <w:br w:type="textWrapping"/>
        <w:t xml:space="preserve">Ciudadanía y Libertad</w:t>
        <w:br w:type="textWrapping"/>
        <w:t xml:space="preserve">Cuido 60</w:t>
      </w:r>
    </w:p>
    <w:p w:rsidR="00000000" w:rsidDel="00000000" w:rsidP="00000000" w:rsidRDefault="00000000" w:rsidRPr="00000000" w14:paraId="0000000A">
      <w:pPr>
        <w:pStyle w:val="Heading2"/>
        <w:keepNext w:val="1"/>
        <w:keepLines w:val="1"/>
        <w:spacing w:after="120" w:before="360" w:line="276" w:lineRule="auto"/>
        <w:jc w:val="center"/>
        <w:rPr>
          <w:sz w:val="24"/>
          <w:szCs w:val="24"/>
        </w:rPr>
      </w:pPr>
      <w:bookmarkStart w:colFirst="0" w:colLast="0" w:name="_heading=h.ggh6p06avd8o" w:id="1"/>
      <w:bookmarkEnd w:id="1"/>
      <w:r w:rsidDel="00000000" w:rsidR="00000000" w:rsidRPr="00000000">
        <w:rPr>
          <w:color w:val="000000"/>
          <w:sz w:val="24"/>
          <w:szCs w:val="24"/>
        </w:rPr>
        <w:drawing>
          <wp:inline distB="114300" distT="114300" distL="114300" distR="114300">
            <wp:extent cx="1352550" cy="605743"/>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352550" cy="605743"/>
                    </a:xfrm>
                    <a:prstGeom prst="rect"/>
                    <a:ln/>
                  </pic:spPr>
                </pic:pic>
              </a:graphicData>
            </a:graphic>
          </wp:inline>
        </w:drawing>
      </w:r>
      <w:r w:rsidDel="00000000" w:rsidR="00000000" w:rsidRPr="00000000">
        <w:rPr>
          <w:color w:val="000000"/>
          <w:sz w:val="24"/>
          <w:szCs w:val="24"/>
          <w:rtl w:val="0"/>
        </w:rPr>
        <w:t xml:space="preserve"> </w:t>
      </w:r>
      <w:r w:rsidDel="00000000" w:rsidR="00000000" w:rsidRPr="00000000">
        <w:rPr>
          <w:color w:val="000000"/>
          <w:sz w:val="24"/>
          <w:szCs w:val="24"/>
        </w:rPr>
        <w:drawing>
          <wp:inline distB="114300" distT="114300" distL="114300" distR="114300">
            <wp:extent cx="1120687" cy="461963"/>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120687" cy="461963"/>
                    </a:xfrm>
                    <a:prstGeom prst="rect"/>
                    <a:ln/>
                  </pic:spPr>
                </pic:pic>
              </a:graphicData>
            </a:graphic>
          </wp:inline>
        </w:drawing>
      </w:r>
      <w:r w:rsidDel="00000000" w:rsidR="00000000" w:rsidRPr="00000000">
        <w:rPr>
          <w:color w:val="000000"/>
          <w:sz w:val="32"/>
          <w:szCs w:val="32"/>
        </w:rPr>
        <w:drawing>
          <wp:inline distB="114300" distT="114300" distL="114300" distR="114300">
            <wp:extent cx="796045" cy="633413"/>
            <wp:effectExtent b="0" l="0" r="0" t="0"/>
            <wp:docPr id="2" name="image4.png"/>
            <a:graphic>
              <a:graphicData uri="http://schemas.openxmlformats.org/drawingml/2006/picture">
                <pic:pic>
                  <pic:nvPicPr>
                    <pic:cNvPr id="0" name="image4.png"/>
                    <pic:cNvPicPr preferRelativeResize="0"/>
                  </pic:nvPicPr>
                  <pic:blipFill>
                    <a:blip r:embed="rId10"/>
                    <a:srcRect b="29968" l="21831" r="21831" t="26454"/>
                    <a:stretch>
                      <a:fillRect/>
                    </a:stretch>
                  </pic:blipFill>
                  <pic:spPr>
                    <a:xfrm>
                      <a:off x="0" y="0"/>
                      <a:ext cx="796045" cy="633413"/>
                    </a:xfrm>
                    <a:prstGeom prst="rect"/>
                    <a:ln/>
                  </pic:spPr>
                </pic:pic>
              </a:graphicData>
            </a:graphic>
          </wp:inline>
        </w:drawing>
      </w:r>
      <w:r w:rsidDel="00000000" w:rsidR="00000000" w:rsidRPr="00000000">
        <w:rPr>
          <w:color w:val="000000"/>
          <w:sz w:val="32"/>
          <w:szCs w:val="32"/>
        </w:rPr>
        <w:drawing>
          <wp:inline distB="114300" distT="114300" distL="114300" distR="114300">
            <wp:extent cx="835979" cy="628067"/>
            <wp:effectExtent b="0" l="0" r="0" t="0"/>
            <wp:docPr id="5"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835979" cy="628067"/>
                    </a:xfrm>
                    <a:prstGeom prst="rect"/>
                    <a:ln/>
                  </pic:spPr>
                </pic:pic>
              </a:graphicData>
            </a:graphic>
          </wp:inline>
        </w:drawing>
      </w:r>
      <w:r w:rsidDel="00000000" w:rsidR="00000000" w:rsidRPr="00000000">
        <w:rPr>
          <w:color w:val="000000"/>
          <w:sz w:val="32"/>
          <w:szCs w:val="32"/>
        </w:rPr>
        <w:drawing>
          <wp:inline distB="114300" distT="114300" distL="114300" distR="114300">
            <wp:extent cx="760639" cy="614363"/>
            <wp:effectExtent b="0" l="0" r="0" t="0"/>
            <wp:docPr id="4" name="image3.png"/>
            <a:graphic>
              <a:graphicData uri="http://schemas.openxmlformats.org/drawingml/2006/picture">
                <pic:pic>
                  <pic:nvPicPr>
                    <pic:cNvPr id="0" name="image3.png"/>
                    <pic:cNvPicPr preferRelativeResize="0"/>
                  </pic:nvPicPr>
                  <pic:blipFill>
                    <a:blip r:embed="rId12"/>
                    <a:srcRect b="19912" l="12981" r="12340" t="20160"/>
                    <a:stretch>
                      <a:fillRect/>
                    </a:stretch>
                  </pic:blipFill>
                  <pic:spPr>
                    <a:xfrm>
                      <a:off x="0" y="0"/>
                      <a:ext cx="760639" cy="614363"/>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80" w:before="80" w:lineRule="auto"/>
        <w:ind w:left="0" w:firstLine="0"/>
        <w:jc w:val="left"/>
        <w:rPr/>
      </w:pPr>
      <w:r w:rsidDel="00000000" w:rsidR="00000000" w:rsidRPr="00000000">
        <w:rPr>
          <w:rtl w:val="0"/>
        </w:rPr>
      </w:r>
    </w:p>
    <w:p w:rsidR="00000000" w:rsidDel="00000000" w:rsidP="00000000" w:rsidRDefault="00000000" w:rsidRPr="00000000" w14:paraId="0000000C">
      <w:pPr>
        <w:spacing w:after="0" w:before="400" w:lineRule="auto"/>
        <w:ind w:left="0" w:firstLine="0"/>
        <w:rPr/>
      </w:pPr>
      <w:r w:rsidDel="00000000" w:rsidR="00000000" w:rsidRPr="00000000">
        <w:rPr>
          <w:rtl w:val="0"/>
        </w:rPr>
      </w:r>
    </w:p>
    <w:p w:rsidR="00000000" w:rsidDel="00000000" w:rsidP="00000000" w:rsidRDefault="00000000" w:rsidRPr="00000000" w14:paraId="0000000D">
      <w:pPr>
        <w:spacing w:after="200" w:line="276" w:lineRule="auto"/>
        <w:jc w:val="both"/>
        <w:rPr/>
      </w:pPr>
      <w:r w:rsidDel="00000000" w:rsidR="00000000" w:rsidRPr="00000000">
        <w:rPr>
          <w:rtl w:val="0"/>
        </w:rPr>
      </w:r>
    </w:p>
    <w:p w:rsidR="00000000" w:rsidDel="00000000" w:rsidP="00000000" w:rsidRDefault="00000000" w:rsidRPr="00000000" w14:paraId="0000000E">
      <w:pPr>
        <w:spacing w:after="200" w:line="276" w:lineRule="auto"/>
        <w:jc w:val="both"/>
        <w:rPr/>
      </w:pPr>
      <w:r w:rsidDel="00000000" w:rsidR="00000000" w:rsidRPr="00000000">
        <w:rPr>
          <w:rtl w:val="0"/>
        </w:rPr>
      </w:r>
    </w:p>
    <w:p w:rsidR="00000000" w:rsidDel="00000000" w:rsidP="00000000" w:rsidRDefault="00000000" w:rsidRPr="00000000" w14:paraId="0000000F">
      <w:pPr>
        <w:spacing w:after="200" w:line="276" w:lineRule="auto"/>
        <w:jc w:val="both"/>
        <w:rPr/>
      </w:pPr>
      <w:r w:rsidDel="00000000" w:rsidR="00000000" w:rsidRPr="00000000">
        <w:rPr>
          <w:rtl w:val="0"/>
        </w:rPr>
      </w:r>
    </w:p>
    <w:p w:rsidR="00000000" w:rsidDel="00000000" w:rsidP="00000000" w:rsidRDefault="00000000" w:rsidRPr="00000000" w14:paraId="00000010">
      <w:pPr>
        <w:spacing w:after="200" w:line="276" w:lineRule="auto"/>
        <w:jc w:val="both"/>
        <w:rPr/>
      </w:pPr>
      <w:r w:rsidDel="00000000" w:rsidR="00000000" w:rsidRPr="00000000">
        <w:rPr>
          <w:rtl w:val="0"/>
        </w:rPr>
      </w:r>
    </w:p>
    <w:p w:rsidR="00000000" w:rsidDel="00000000" w:rsidP="00000000" w:rsidRDefault="00000000" w:rsidRPr="00000000" w14:paraId="00000011">
      <w:pPr>
        <w:spacing w:after="200" w:line="276" w:lineRule="auto"/>
        <w:jc w:val="both"/>
        <w:rPr/>
      </w:pPr>
      <w:r w:rsidDel="00000000" w:rsidR="00000000" w:rsidRPr="00000000">
        <w:rPr>
          <w:rtl w:val="0"/>
        </w:rPr>
      </w:r>
    </w:p>
    <w:p w:rsidR="00000000" w:rsidDel="00000000" w:rsidP="00000000" w:rsidRDefault="00000000" w:rsidRPr="00000000" w14:paraId="00000012">
      <w:pPr>
        <w:spacing w:after="200" w:line="276" w:lineRule="auto"/>
        <w:jc w:val="both"/>
        <w:rPr>
          <w:b w:val="1"/>
          <w:bCs w:val="1"/>
          <w:color w:val="980000"/>
        </w:rPr>
      </w:pPr>
      <w:r w:rsidDel="00000000" w:rsidR="00000000" w:rsidRPr="00000000">
        <w:rPr>
          <w:rtl w:val="0"/>
        </w:rPr>
      </w:r>
    </w:p>
    <w:p w:rsidR="00000000" w:rsidDel="00000000" w:rsidP="00000000" w:rsidRDefault="00000000" w:rsidRPr="00000000" w14:paraId="00000013">
      <w:pPr>
        <w:spacing w:after="200" w:line="276" w:lineRule="auto"/>
        <w:jc w:val="both"/>
        <w:rPr>
          <w:b w:val="1"/>
          <w:bCs w:val="1"/>
          <w:color w:val="980000"/>
        </w:rPr>
      </w:pPr>
      <w:r w:rsidDel="00000000" w:rsidR="00000000" w:rsidRPr="00000000">
        <w:rPr>
          <w:rtl w:val="0"/>
        </w:rPr>
      </w:r>
    </w:p>
    <w:p w:rsidR="00000000" w:rsidDel="00000000" w:rsidP="00000000" w:rsidRDefault="00000000" w:rsidRPr="00000000" w14:paraId="00000014">
      <w:pPr>
        <w:spacing w:after="200" w:line="276" w:lineRule="auto"/>
        <w:jc w:val="both"/>
        <w:rPr>
          <w:b w:val="1"/>
          <w:bCs w:val="1"/>
          <w:color w:val="980000"/>
        </w:rPr>
      </w:pPr>
      <w:r w:rsidDel="00000000" w:rsidR="00000000" w:rsidRPr="00000000">
        <w:rPr>
          <w:rtl w:val="0"/>
        </w:rPr>
      </w:r>
    </w:p>
    <w:p w:rsidR="00000000" w:rsidDel="00000000" w:rsidP="00000000" w:rsidRDefault="00000000" w:rsidRPr="00000000" w14:paraId="00000015">
      <w:pPr>
        <w:spacing w:after="200" w:line="276" w:lineRule="auto"/>
        <w:jc w:val="both"/>
        <w:rPr>
          <w:b w:val="1"/>
          <w:bCs w:val="1"/>
          <w:color w:val="980000"/>
        </w:rPr>
      </w:pPr>
      <w:r w:rsidDel="00000000" w:rsidR="00000000" w:rsidRPr="00000000">
        <w:rPr>
          <w:rtl w:val="0"/>
        </w:rPr>
      </w:r>
    </w:p>
    <w:p w:rsidR="00000000" w:rsidDel="00000000" w:rsidP="00000000" w:rsidRDefault="00000000" w:rsidRPr="00000000" w14:paraId="00000016">
      <w:pPr>
        <w:spacing w:after="200" w:line="276" w:lineRule="auto"/>
        <w:jc w:val="both"/>
        <w:rPr>
          <w:b w:val="1"/>
          <w:bCs w:val="1"/>
          <w:color w:val="980000"/>
        </w:rPr>
      </w:pPr>
      <w:r w:rsidDel="00000000" w:rsidR="00000000" w:rsidRPr="00000000">
        <w:rPr>
          <w:rtl w:val="0"/>
        </w:rPr>
      </w:r>
    </w:p>
    <w:p w:rsidR="00000000" w:rsidDel="00000000" w:rsidP="00000000" w:rsidRDefault="00000000" w:rsidRPr="00000000" w14:paraId="00000017">
      <w:pPr>
        <w:spacing w:after="120" w:before="120" w:lineRule="auto"/>
        <w:jc w:val="right"/>
        <w:rPr>
          <w:color w:val="980000"/>
        </w:rPr>
      </w:pPr>
      <w:r w:rsidDel="00000000" w:rsidR="00000000" w:rsidRPr="00000000">
        <w:rPr>
          <w:rtl w:val="0"/>
        </w:rPr>
      </w:r>
    </w:p>
    <w:p w:rsidR="00000000" w:rsidDel="00000000" w:rsidP="00000000" w:rsidRDefault="00000000" w:rsidRPr="00000000" w14:paraId="00000018">
      <w:pPr>
        <w:spacing w:after="200" w:line="276" w:lineRule="auto"/>
        <w:jc w:val="both"/>
        <w:rPr>
          <w:b w:val="1"/>
          <w:bCs w:val="1"/>
          <w:color w:val="980000"/>
        </w:rPr>
      </w:pPr>
      <w:r w:rsidDel="00000000" w:rsidR="00000000" w:rsidRPr="00000000">
        <w:rPr>
          <w:rtl w:val="0"/>
        </w:rPr>
      </w:r>
    </w:p>
    <w:p w:rsidR="00000000" w:rsidDel="00000000" w:rsidP="00000000" w:rsidRDefault="00000000" w:rsidRPr="00000000" w14:paraId="00000019">
      <w:pPr>
        <w:spacing w:after="120" w:before="360" w:lineRule="auto"/>
        <w:jc w:val="both"/>
        <w:rPr/>
      </w:pPr>
      <w:r w:rsidDel="00000000" w:rsidR="00000000" w:rsidRPr="00000000">
        <w:rPr>
          <w:b w:val="1"/>
          <w:bCs w:val="1"/>
          <w:color w:val="980000"/>
          <w:rtl w:val="0"/>
        </w:rPr>
        <w:t xml:space="preserve">Sobre las organizaciones participantes</w:t>
      </w:r>
      <w:r w:rsidDel="00000000" w:rsidR="00000000" w:rsidRPr="00000000">
        <w:rPr>
          <w:rtl w:val="0"/>
        </w:rPr>
        <w:t xml:space="preserve"> </w:t>
      </w:r>
    </w:p>
    <w:p w:rsidR="00000000" w:rsidDel="00000000" w:rsidP="00000000" w:rsidRDefault="00000000" w:rsidRPr="00000000" w14:paraId="0000001A">
      <w:pPr>
        <w:spacing w:after="120" w:before="360" w:lineRule="auto"/>
        <w:jc w:val="both"/>
        <w:rPr/>
      </w:pPr>
      <w:r w:rsidDel="00000000" w:rsidR="00000000" w:rsidRPr="00000000">
        <w:rPr>
          <w:rtl w:val="0"/>
        </w:rPr>
        <w:t xml:space="preserve">Iniciativa para la Investigación y la Incidencia es una asociación civil mexicana que documenta, verifica y divulga información sobre personas privadas de libertad y personas reprimidas por el ejercicio de sus derechos en Cuba, a través de sus programas Justicia 11J y el Centro de Documentación de Prisiones Cubanas.</w:t>
      </w:r>
    </w:p>
    <w:p w:rsidR="00000000" w:rsidDel="00000000" w:rsidP="00000000" w:rsidRDefault="00000000" w:rsidRPr="00000000" w14:paraId="0000001B">
      <w:pPr>
        <w:spacing w:after="120" w:before="360" w:lineRule="auto"/>
        <w:jc w:val="both"/>
        <w:rPr/>
      </w:pPr>
      <w:r w:rsidDel="00000000" w:rsidR="00000000" w:rsidRPr="00000000">
        <w:rPr>
          <w:rtl w:val="0"/>
        </w:rPr>
        <w:t xml:space="preserve">Civil Rights Defenders es una organización de derechos humanos independiente, tanto política como religiosamente. Apoya a personas defensoras de derechos humanos que trabajan en algunas de las regiones más represivas del mundo.</w:t>
      </w:r>
    </w:p>
    <w:p w:rsidR="00000000" w:rsidDel="00000000" w:rsidP="00000000" w:rsidRDefault="00000000" w:rsidRPr="00000000" w14:paraId="0000001C">
      <w:pPr>
        <w:spacing w:after="120" w:before="360" w:lineRule="auto"/>
        <w:jc w:val="both"/>
        <w:rPr/>
      </w:pPr>
      <w:r w:rsidDel="00000000" w:rsidR="00000000" w:rsidRPr="00000000">
        <w:rPr>
          <w:rtl w:val="0"/>
        </w:rPr>
        <w:t xml:space="preserve">4Métrica es una organización dedicada a la construcción de democracia y a la defensa de los derechos humanos en América Latina y El Caribe. Mediante el desarrollo de herramientas tecnológicas, busca abordar problemáticas sociales, documenta y denuncia violaciones de derechos humanos ante organismos internacionales, y monitorea de forma independiente la garantía de derechos económicos, sociales, culturales y políticos, con especial atención a poblaciones en condición de vulnerabilidad.</w:t>
      </w:r>
    </w:p>
    <w:p w:rsidR="00000000" w:rsidDel="00000000" w:rsidP="00000000" w:rsidRDefault="00000000" w:rsidRPr="00000000" w14:paraId="0000001D">
      <w:pPr>
        <w:spacing w:after="120" w:before="360" w:lineRule="auto"/>
        <w:jc w:val="both"/>
        <w:rPr/>
      </w:pPr>
      <w:r w:rsidDel="00000000" w:rsidR="00000000" w:rsidRPr="00000000">
        <w:rPr>
          <w:rtl w:val="0"/>
        </w:rPr>
        <w:t xml:space="preserve">Ciudadanía y Libertad es una organización independiente comprometida con la defensa de los derechos de asociación, reunión pacífica y participación política. Su trabajo se centra en la formación, la investigación y la incidencia para fortalecer organizaciones cívicas y políticas. Asimismo, promueve la cultura democrática y ofrece asistencia humanitaria a comunidades vulnerables, fomentando el empoderamiento ciudadano y la construcción de una sociedad más participativa e inclusiva.</w:t>
        <w:br w:type="textWrapping"/>
        <w:br w:type="textWrapping"/>
        <w:t xml:space="preserve">Cuido60 es una organización enfocada en el análisis del envejecimiento, los cuidados y los derechos en Cuba, que monitorea procesos y fortalece capacidades de organizaciones de la sociedad civil. Su trabajo promueve la visibilización de problemáticas estructurales desde un enfoque de género y derechos humanos.</w:t>
      </w:r>
    </w:p>
    <w:p w:rsidR="00000000" w:rsidDel="00000000" w:rsidP="00000000" w:rsidRDefault="00000000" w:rsidRPr="00000000" w14:paraId="0000001E">
      <w:pPr>
        <w:spacing w:after="120" w:before="360" w:lineRule="auto"/>
        <w:jc w:val="both"/>
        <w:rPr/>
      </w:pPr>
      <w:r w:rsidDel="00000000" w:rsidR="00000000" w:rsidRPr="00000000">
        <w:rPr>
          <w:rtl w:val="0"/>
        </w:rPr>
      </w:r>
    </w:p>
    <w:p w:rsidR="00000000" w:rsidDel="00000000" w:rsidP="00000000" w:rsidRDefault="00000000" w:rsidRPr="00000000" w14:paraId="0000001F">
      <w:pPr>
        <w:spacing w:after="120" w:before="360" w:lineRule="auto"/>
        <w:ind w:left="0" w:firstLine="0"/>
        <w:rPr>
          <w:b w:val="1"/>
          <w:bCs w:val="1"/>
          <w:color w:val="980000"/>
        </w:rPr>
      </w:pPr>
      <w:r w:rsidDel="00000000" w:rsidR="00000000" w:rsidRPr="00000000">
        <w:br w:type="page"/>
      </w:r>
      <w:r w:rsidDel="00000000" w:rsidR="00000000" w:rsidRPr="00000000">
        <w:rPr>
          <w:rtl w:val="0"/>
        </w:rPr>
      </w:r>
    </w:p>
    <w:p w:rsidR="00000000" w:rsidDel="00000000" w:rsidP="00000000" w:rsidRDefault="00000000" w:rsidRPr="00000000" w14:paraId="00000020">
      <w:pPr>
        <w:spacing w:after="120" w:before="360" w:lineRule="auto"/>
        <w:ind w:left="0" w:firstLine="0"/>
        <w:rPr>
          <w:color w:val="980000"/>
        </w:rPr>
      </w:pPr>
      <w:r w:rsidDel="00000000" w:rsidR="00000000" w:rsidRPr="00000000">
        <w:rPr>
          <w:b w:val="1"/>
          <w:bCs w:val="1"/>
          <w:color w:val="980000"/>
          <w:rtl w:val="0"/>
        </w:rPr>
        <w:t xml:space="preserve">A.  Presentación y metodología</w:t>
      </w:r>
      <w:r w:rsidDel="00000000" w:rsidR="00000000" w:rsidRPr="00000000">
        <w:rPr>
          <w:rtl w:val="0"/>
        </w:rPr>
      </w:r>
    </w:p>
    <w:p w:rsidR="00000000" w:rsidDel="00000000" w:rsidP="00000000" w:rsidRDefault="00000000" w:rsidRPr="00000000" w14:paraId="00000021">
      <w:pPr>
        <w:spacing w:after="120" w:before="120" w:lineRule="auto"/>
        <w:ind w:left="0" w:firstLine="0"/>
        <w:jc w:val="both"/>
        <w:rPr/>
      </w:pPr>
      <w:r w:rsidDel="00000000" w:rsidR="00000000" w:rsidRPr="00000000">
        <w:rPr>
          <w:rtl w:val="0"/>
        </w:rPr>
        <w:t xml:space="preserve">1.  El presente informe es presentado por la asociación civil mexicana Iniciativa para la Investigación y la Incidencia —con información de sus programas Centro de Documentación de Prisiones Cubanas (CDPC)</w:t>
      </w:r>
      <w:r w:rsidDel="00000000" w:rsidR="00000000" w:rsidRPr="00000000">
        <w:rPr>
          <w:vertAlign w:val="superscript"/>
        </w:rPr>
        <w:footnoteReference w:customMarkFollows="0" w:id="0"/>
      </w:r>
      <w:r w:rsidDel="00000000" w:rsidR="00000000" w:rsidRPr="00000000">
        <w:rPr>
          <w:rtl w:val="0"/>
        </w:rPr>
        <w:t xml:space="preserve"> y Justicia 11J</w:t>
      </w:r>
      <w:r w:rsidDel="00000000" w:rsidR="00000000" w:rsidRPr="00000000">
        <w:rPr>
          <w:vertAlign w:val="superscript"/>
        </w:rPr>
        <w:footnoteReference w:customMarkFollows="0" w:id="1"/>
      </w:r>
      <w:r w:rsidDel="00000000" w:rsidR="00000000" w:rsidRPr="00000000">
        <w:rPr>
          <w:rtl w:val="0"/>
        </w:rPr>
        <w:t xml:space="preserve">— en colaboración con las organizaciones Civil Rights Defenders, Civil Rights Defenders, 4Métrica, Ciudadanía y Libertad y Cuido 60, con el propósito de aportar elementos adicionales para el examen del cumplimiento por parte del Estado cubano de sus obligaciones en virtud de la Convención Internacional sobre la Eliminación de Todas las Formas de Discriminación Racial (la Convención, en lo adelante). Su objeto es complementar y contrastar la información presentada por el Estado parte, con énfasis en la situación de las personas afrodescendientes privadas de libertad y en los riesgos de discriminación estructural, indirecta e interseccional en el sistema penitenciario. La base documental son 4.626 eventos registrados por el CDPC entre enero de 2023 y marzo de 2026. La información proviene de denuncias recibidas directamente por la organización, así como de denuncias vistas en redes sociales y medios de prensa independientes. Las organizaciones firmantes autorizan al Comité a publicar el presente informe en su página web y a utilizarlo como insumo en el marco del examen del Estado parte.</w:t>
      </w:r>
    </w:p>
    <w:p w:rsidR="00000000" w:rsidDel="00000000" w:rsidP="00000000" w:rsidRDefault="00000000" w:rsidRPr="00000000" w14:paraId="00000022">
      <w:pPr>
        <w:spacing w:after="120" w:before="120" w:lineRule="auto"/>
        <w:ind w:left="0" w:firstLine="0"/>
        <w:jc w:val="both"/>
        <w:rPr/>
      </w:pPr>
      <w:r w:rsidDel="00000000" w:rsidR="00000000" w:rsidRPr="00000000">
        <w:rPr>
          <w:rtl w:val="0"/>
        </w:rPr>
        <w:t xml:space="preserve">2. Las cifras presentadas constituyen un subregistro. La vigilancia estatal, el temor a represalias, las limitaciones de conectividad en la isla y la imposibilidad de acceso independiente a los centros penitenciarios hacen probable que la magnitud real de las violaciones sea superior a la documentada. A su vez, la base documental presenta una limitación metodológica adicional que conviene reconocer explícitamente: los canales a través de los cuales llegan las denuncias al CDPC no son racialmente neutros. El acceso a esos canales está condicionado por factores como la conectividad y la capacidad de los entornos familiares para sostener una denuncia en el tiempo. Dado que la exclusión socioeconómica estructural afecta de manera desproporcionada a la población afrodescendiente, es plausible que esas mismas condiciones reduzcan su acceso relativo a los mecanismos de denuncia disponibles. En consecuencia, las violaciones que afectan a personas afrodescendientes podrían estar subrepresentadas en la base documental en una proporción mayor que las que afectan a otros grupos. Esta limitación no invalida el análisis: refuerza, en todo caso, la hipótesis de que la magnitud real de la discriminación racial en el sistema penitenciario es superior a la documentada.</w:t>
      </w:r>
    </w:p>
    <w:p w:rsidR="00000000" w:rsidDel="00000000" w:rsidP="00000000" w:rsidRDefault="00000000" w:rsidRPr="00000000" w14:paraId="00000023">
      <w:pPr>
        <w:spacing w:after="120" w:before="120" w:lineRule="auto"/>
        <w:ind w:left="0" w:firstLine="0"/>
        <w:jc w:val="both"/>
        <w:rPr/>
      </w:pPr>
      <w:r w:rsidDel="00000000" w:rsidR="00000000" w:rsidRPr="00000000">
        <w:rPr>
          <w:rtl w:val="0"/>
        </w:rPr>
        <w:t xml:space="preserve">3. A lo largo del texto, cuando se reproducen datos del Estado parte, se utilizan las categorías que ese mismo Estado emplea en su informe al Comité —“blanco”, “negro” y “mulato”— exclusivamente para permitir la comparación y evidenciar contradicciones internas en la posición estatal. Las organizaciones firmantes utilizan la categoría “afrodescendiente” como denominación respetuosa y alineada con los estándares internacionales de derechos humanos. El término “mulato” es rechazado por estas organizaciones debido a su carga histórica colonial; su reproducción puntual al citar fuentes estatales no implica </w:t>
      </w:r>
      <w:r w:rsidDel="00000000" w:rsidR="00000000" w:rsidRPr="00000000">
        <w:rPr>
          <w:i w:val="1"/>
          <w:iCs w:val="1"/>
          <w:rtl w:val="0"/>
        </w:rPr>
        <w:t xml:space="preserve">endorsement</w:t>
      </w:r>
      <w:r w:rsidDel="00000000" w:rsidR="00000000" w:rsidRPr="00000000">
        <w:rPr>
          <w:rtl w:val="0"/>
        </w:rPr>
        <w:t xml:space="preserve"> sino cotejo crítico.</w:t>
      </w:r>
    </w:p>
    <w:p w:rsidR="00000000" w:rsidDel="00000000" w:rsidP="00000000" w:rsidRDefault="00000000" w:rsidRPr="00000000" w14:paraId="00000024">
      <w:pPr>
        <w:spacing w:after="120" w:before="360" w:lineRule="auto"/>
        <w:ind w:left="0" w:firstLine="0"/>
        <w:rPr>
          <w:b w:val="1"/>
          <w:bCs w:val="1"/>
          <w:color w:val="980000"/>
        </w:rPr>
      </w:pPr>
      <w:r w:rsidDel="00000000" w:rsidR="00000000" w:rsidRPr="00000000">
        <w:rPr>
          <w:b w:val="1"/>
          <w:bCs w:val="1"/>
          <w:color w:val="980000"/>
          <w:rtl w:val="0"/>
        </w:rPr>
        <w:t xml:space="preserve">B.  Opacidad estadística e impunidad</w:t>
      </w:r>
    </w:p>
    <w:p w:rsidR="00000000" w:rsidDel="00000000" w:rsidP="00000000" w:rsidRDefault="00000000" w:rsidRPr="00000000" w14:paraId="00000025">
      <w:pPr>
        <w:spacing w:after="120" w:before="120" w:lineRule="auto"/>
        <w:ind w:left="0" w:firstLine="0"/>
        <w:jc w:val="both"/>
        <w:rPr/>
      </w:pPr>
      <w:r w:rsidDel="00000000" w:rsidR="00000000" w:rsidRPr="00000000">
        <w:rPr>
          <w:rtl w:val="0"/>
        </w:rPr>
        <w:t xml:space="preserve">4. La lista de temas del Comité solicita al Estado información específica sobre el uso de variables étnico-raciales en los registros de detención, medidas contra el uso excesivo de la fuerza, prevención del perfilamiento racial y protección de personas afrodescendientes frente a la criminalización. Estas cuestiones retoman y amplían las recomendaciones que el Comité formuló en sus observaciones finales de 2018, en particular la recomendación de revisar la metodología de recopilación de datos sobre la composición étnica de la población, de asegurar el uso de la variable étnico-racial en los registros de detención y de adoptar medidas efectivas para prevenir el uso excesivo de la fuerza contra personas afrodescendientes.</w:t>
      </w:r>
    </w:p>
    <w:p w:rsidR="00000000" w:rsidDel="00000000" w:rsidP="00000000" w:rsidRDefault="00000000" w:rsidRPr="00000000" w14:paraId="00000026">
      <w:pPr>
        <w:spacing w:after="120" w:before="120" w:lineRule="auto"/>
        <w:ind w:left="0" w:firstLine="0"/>
        <w:jc w:val="both"/>
        <w:rPr>
          <w:highlight w:val="yellow"/>
        </w:rPr>
      </w:pPr>
      <w:r w:rsidDel="00000000" w:rsidR="00000000" w:rsidRPr="00000000">
        <w:rPr>
          <w:rtl w:val="0"/>
        </w:rPr>
        <w:t xml:space="preserve">5. El informe más reciente del Estado responde principalmente mediante referencias normativas generales y descripciones institucionales. Si bien presenta datos agregados sobre la composición racial de la población penitenciaria, no demuestra que la variable “color de la piel” sea utilizada de manera sistemática en los registros que determinan las condiciones reales de la privación de libertad: el ingreso al sistema, la clasificación penitenciaria, las sanciones disciplinarias, el acceso a servicios de salud, los traslados, la concesión de beneficios o la tramitación de quejas. Esta ausencia no es un detalle técnico: sin trazabilidad racial en esos registros, es materialmente imposible detectar si las decisiones cotidianas de los funcionarios penitenciarios tienen un impacto diferenciado sobre personas afrodescendientes, y el propio Estado parece carecer de herramientas para saberlo. </w:t>
      </w:r>
      <w:r w:rsidDel="00000000" w:rsidR="00000000" w:rsidRPr="00000000">
        <w:rPr>
          <w:rtl w:val="0"/>
        </w:rPr>
      </w:r>
    </w:p>
    <w:p w:rsidR="00000000" w:rsidDel="00000000" w:rsidP="00000000" w:rsidRDefault="00000000" w:rsidRPr="00000000" w14:paraId="00000027">
      <w:pPr>
        <w:spacing w:after="120" w:before="120" w:lineRule="auto"/>
        <w:ind w:left="0" w:firstLine="0"/>
        <w:jc w:val="both"/>
        <w:rPr/>
      </w:pPr>
      <w:r w:rsidDel="00000000" w:rsidR="00000000" w:rsidRPr="00000000">
        <w:rPr>
          <w:rtl w:val="0"/>
        </w:rPr>
        <w:t xml:space="preserve">6. Esta opacidad estadística opera en dos direcciones simultáneas que se refuerzan mutuamente. Hacia arriba, el Estado no detecta si sus propias decisiones tienen impacto racial diferenciado: sin registros desagregados por color de piel en las sanciones disciplinarias, los traslados o la denegación de beneficios, la discriminación puede ocurrir de forma sistemática y ser invisible para la propia institución que la ejerce. Hacia abajo, las personas privadas de libertad no pueden señalar esa discriminación: no tienen acceso a abogados independientes, quienes denuncian son objeto de represalias —el CDPC documentó 16 eventos de represalia por denuncia solo en lo que va de 2026—, y las quejas deben formularse ante las mismas instituciones que cometen las violaciones. El dato que el propio Estado reporta al Comité ilustra el resultado de esta doble opacidad: entre 2018 y 2023, la Fiscalía tramitó seis quejas por discriminación racial en el sistema penitenciario, todas concluidas sin razón. Esa cifra no acredita igualdad de trato: acredita que el sistema está construido de manera que la discriminación no pueda ni ser vista ni ser denunciada.</w:t>
      </w:r>
    </w:p>
    <w:p w:rsidR="00000000" w:rsidDel="00000000" w:rsidP="00000000" w:rsidRDefault="00000000" w:rsidRPr="00000000" w14:paraId="00000028">
      <w:pPr>
        <w:spacing w:after="120" w:before="360" w:lineRule="auto"/>
        <w:ind w:left="0" w:firstLine="0"/>
        <w:rPr>
          <w:color w:val="980000"/>
        </w:rPr>
      </w:pPr>
      <w:r w:rsidDel="00000000" w:rsidR="00000000" w:rsidRPr="00000000">
        <w:rPr>
          <w:b w:val="1"/>
          <w:bCs w:val="1"/>
          <w:color w:val="980000"/>
          <w:rtl w:val="0"/>
        </w:rPr>
        <w:t xml:space="preserve">C. Sobrerrepresentación</w:t>
      </w:r>
      <w:r w:rsidDel="00000000" w:rsidR="00000000" w:rsidRPr="00000000">
        <w:rPr>
          <w:rtl w:val="0"/>
        </w:rPr>
      </w:r>
    </w:p>
    <w:p w:rsidR="00000000" w:rsidDel="00000000" w:rsidP="00000000" w:rsidRDefault="00000000" w:rsidRPr="00000000" w14:paraId="00000029">
      <w:pPr>
        <w:spacing w:after="120" w:before="120" w:lineRule="auto"/>
        <w:ind w:left="0" w:firstLine="0"/>
        <w:jc w:val="both"/>
        <w:rPr/>
      </w:pPr>
      <w:r w:rsidDel="00000000" w:rsidR="00000000" w:rsidRPr="00000000">
        <w:rPr>
          <w:rtl w:val="0"/>
        </w:rPr>
        <w:t xml:space="preserve">7. Ante la fata de información ampliada, el punto de partida más sólido para el análisis de discriminación racial en el sistema penitenciario cubano no son los datos de la sociedad civil, sino los que el propio Estado proporcionó al Comité. El informe estatal indica que Cuba tiene una población de 9.354.454 personas, de las cuales el 66,3 % son blancas, el 9,5 % negras y el 24,2 % “mulatas”, lo que significa que la población afrodescendiente representa el 33,7 % del total (párr.16). Ese mismo informe indica que el 42 % de la población penal son blancos, el 24,7 % son negros y el 33,3 % son “mulatos”, lo que significa que la población afrodescendiente representa el 58 % del total de las personas reclusas (párr. 277).</w:t>
      </w:r>
    </w:p>
    <w:p w:rsidR="00000000" w:rsidDel="00000000" w:rsidP="00000000" w:rsidRDefault="00000000" w:rsidRPr="00000000" w14:paraId="0000002A">
      <w:pPr>
        <w:spacing w:after="120" w:before="120" w:lineRule="auto"/>
        <w:ind w:left="0" w:firstLine="0"/>
        <w:jc w:val="both"/>
        <w:rPr/>
      </w:pPr>
      <w:r w:rsidDel="00000000" w:rsidR="00000000" w:rsidRPr="00000000">
        <w:rPr>
          <w:rtl w:val="0"/>
        </w:rPr>
        <w:t xml:space="preserve">8. Estos cálculos muestran que las personas negras están representadas en la población penal 2,6 veces más de lo que su peso demográfico indicaría en ausencia de racismo estructural, y la población afrodescendiente en sentido amplio, 1,7 veces más. El propio Comité reconoció en 2018 que la población afrodescendiente en Cuba “continúa siendo víctima de racismo y discriminación estructural”, manifestada precisamente en brechas de desigualdad de este tipo. Sin embargo, el informe estatal no solo no ofrece ninguna explicación de esa desproporción ni la acompaña de medida correctiva alguna, sino que sostiene que en Cuba no existe discriminación racial —contradiciendo así tanto la evidencia que el propio Estado presentó como las conclusiones de este Comité.</w:t>
      </w:r>
    </w:p>
    <w:p w:rsidR="00000000" w:rsidDel="00000000" w:rsidP="00000000" w:rsidRDefault="00000000" w:rsidRPr="00000000" w14:paraId="0000002B">
      <w:pPr>
        <w:spacing w:after="120" w:before="120" w:lineRule="auto"/>
        <w:ind w:left="0" w:firstLine="0"/>
        <w:jc w:val="both"/>
        <w:rPr>
          <w:color w:val="ff0000"/>
          <w:shd w:fill="ff9900" w:val="clear"/>
        </w:rPr>
      </w:pPr>
      <w:r w:rsidDel="00000000" w:rsidR="00000000" w:rsidRPr="00000000">
        <w:rPr>
          <w:rtl w:val="0"/>
        </w:rPr>
        <w:t xml:space="preserve">9. Esta acumulación no es azarosa, sino que permite inferir una lógica estructural de exclusión que opera en dos momentos sucesivos. En un primer momento, la exclusión socioeconómica concentra a la población afrodescendiente en los barrios con mayor exposición a la crisis y, por tanto, en los espacios donde se han originado muchas de las protestas más significativas de los últimos años.</w:t>
      </w:r>
      <w:r w:rsidDel="00000000" w:rsidR="00000000" w:rsidRPr="00000000">
        <w:rPr>
          <w:vertAlign w:val="superscript"/>
        </w:rPr>
        <w:footnoteReference w:customMarkFollows="0" w:id="2"/>
      </w:r>
      <w:r w:rsidDel="00000000" w:rsidR="00000000" w:rsidRPr="00000000">
        <w:rPr>
          <w:rtl w:val="0"/>
        </w:rPr>
        <w:t xml:space="preserve"> En el segundo momento, el perfilamiento racial durante las operaciones de detención convierte el ser afrodescendiente en un factor de entrada preferente al sistema penitenciario.</w:t>
      </w:r>
      <w:r w:rsidDel="00000000" w:rsidR="00000000" w:rsidRPr="00000000">
        <w:rPr>
          <w:rtl w:val="0"/>
        </w:rPr>
      </w:r>
    </w:p>
    <w:p w:rsidR="00000000" w:rsidDel="00000000" w:rsidP="00000000" w:rsidRDefault="00000000" w:rsidRPr="00000000" w14:paraId="0000002C">
      <w:pPr>
        <w:spacing w:after="120" w:before="360" w:lineRule="auto"/>
        <w:ind w:left="0" w:firstLine="0"/>
        <w:rPr>
          <w:color w:val="980000"/>
        </w:rPr>
      </w:pPr>
      <w:r w:rsidDel="00000000" w:rsidR="00000000" w:rsidRPr="00000000">
        <w:rPr>
          <w:b w:val="1"/>
          <w:bCs w:val="1"/>
          <w:color w:val="980000"/>
          <w:rtl w:val="0"/>
        </w:rPr>
        <w:t xml:space="preserve">D.  El entorno penitenciario: patrones estructurales</w:t>
      </w:r>
      <w:r w:rsidDel="00000000" w:rsidR="00000000" w:rsidRPr="00000000">
        <w:rPr>
          <w:rtl w:val="0"/>
        </w:rPr>
      </w:r>
    </w:p>
    <w:p w:rsidR="00000000" w:rsidDel="00000000" w:rsidP="00000000" w:rsidRDefault="00000000" w:rsidRPr="00000000" w14:paraId="0000002D">
      <w:pPr>
        <w:spacing w:after="120" w:before="120" w:lineRule="auto"/>
        <w:ind w:left="0" w:firstLine="0"/>
        <w:jc w:val="both"/>
        <w:rPr/>
      </w:pPr>
      <w:r w:rsidDel="00000000" w:rsidR="00000000" w:rsidRPr="00000000">
        <w:rPr>
          <w:rtl w:val="0"/>
        </w:rPr>
        <w:t xml:space="preserve">10. El análisis de la base de datos del CDPC evidencia un entorno penitenciario caracterizado por la recurrencia de prácticas coercitivas, deterioro físico y ausencia de mecanismos efectivos de protección. De los 4.626 eventos documentados entre enero de 2023 y marzo de 2026, 3.018 (65,2 %) incluyen hostigamiento o represión; 1.357 (29,3 %) incluyen denuncias sobre el estado de salud; 665 incluyen negación de atención médica; 497 incluyen huelgas de hambre o sed como forma de protesta o último recurso; y 123 corresponden a muertes de personas privadas de libertad. Estos datos no reflejan hechos aislados: son dinámicas persistentes que atraviesan múltiples centros penitenciarios y se mantienen a lo largo de todo el período analizado.</w:t>
      </w:r>
    </w:p>
    <w:p w:rsidR="00000000" w:rsidDel="00000000" w:rsidP="00000000" w:rsidRDefault="00000000" w:rsidRPr="00000000" w14:paraId="0000002E">
      <w:pPr>
        <w:spacing w:after="120" w:before="120" w:lineRule="auto"/>
        <w:ind w:left="0" w:firstLine="0"/>
        <w:jc w:val="both"/>
        <w:rPr/>
      </w:pPr>
      <w:r w:rsidDel="00000000" w:rsidR="00000000" w:rsidRPr="00000000">
        <w:rPr>
          <w:rtl w:val="0"/>
        </w:rPr>
        <w:t xml:space="preserve">11. Algo que hace especialmente significativas estas cifras es la superposición sistemática.</w:t>
      </w:r>
      <w:r w:rsidDel="00000000" w:rsidR="00000000" w:rsidRPr="00000000">
        <w:rPr>
          <w:highlight w:val="yellow"/>
          <w:rtl w:val="0"/>
        </w:rPr>
        <w:t xml:space="preserve"> </w:t>
      </w:r>
      <w:r w:rsidDel="00000000" w:rsidR="00000000" w:rsidRPr="00000000">
        <w:rPr>
          <w:rtl w:val="0"/>
        </w:rPr>
        <w:t xml:space="preserve">1.029 eventos combinan represión y deterioro de salud; 611 combinan represión y negación de atención médica; 527 combinan denuncia de salud y negación de atención; y 266 combinan huelga de hambre con represión. Esta superposición describe un patrón en el que la persona privada de libertad que exige atención médica es hostigada, y quien protesta mediante huelga de hambre recibe represión adicional. La violación de un derecho no se produce de forma aislada, sino como parte de una cadena que se refuerza a sí misma.</w:t>
      </w:r>
    </w:p>
    <w:p w:rsidR="00000000" w:rsidDel="00000000" w:rsidP="00000000" w:rsidRDefault="00000000" w:rsidRPr="00000000" w14:paraId="0000002F">
      <w:pPr>
        <w:spacing w:after="120" w:before="120" w:lineRule="auto"/>
        <w:ind w:left="0" w:firstLine="0"/>
        <w:jc w:val="both"/>
        <w:rPr/>
      </w:pPr>
      <w:r w:rsidDel="00000000" w:rsidR="00000000" w:rsidRPr="00000000">
        <w:rPr>
          <w:rtl w:val="0"/>
        </w:rPr>
        <w:t xml:space="preserve">12. La dispersión geográfica e institucional de las violaciones evidencia que no se trata de excepciones locales, sino de un sistema que opera de manera consistente en todo el territorio. Los establecimientos con mayor volumen de eventos documentados son el Combinado del Este, en La Habana, con 534 eventos; la Prisión de Quivicán, con 227; Kilo 8 de Camagüey, con 175; Boniato, en Santiago de Cuba, con 148; Guamajal, en Villa Clara, con 140; y Agüica, en Matanzas, con 127.</w:t>
      </w:r>
    </w:p>
    <w:p w:rsidR="00000000" w:rsidDel="00000000" w:rsidP="00000000" w:rsidRDefault="00000000" w:rsidRPr="00000000" w14:paraId="00000030">
      <w:pPr>
        <w:spacing w:after="120" w:before="120" w:lineRule="auto"/>
        <w:ind w:left="0" w:firstLine="0"/>
        <w:jc w:val="both"/>
        <w:rPr/>
      </w:pPr>
      <w:r w:rsidDel="00000000" w:rsidR="00000000" w:rsidRPr="00000000">
        <w:rPr>
          <w:rtl w:val="0"/>
        </w:rPr>
        <w:t xml:space="preserve">13. El Estado afirma en su informe que “en los centros penitenciarios cubanos no se practica discriminación alguna” y que se cumplen las Reglas mínimas de la ONU para el tratamiento de los reclusos. Las secciones siguientes permiten contrastar esta afirmación con la evidencia disponible, examinando en primer lugar la situación específica de la población afrodescendiente y, a continuación, las intersecciones con varias condiciones de vulnerabilidad.</w:t>
      </w:r>
    </w:p>
    <w:p w:rsidR="00000000" w:rsidDel="00000000" w:rsidP="00000000" w:rsidRDefault="00000000" w:rsidRPr="00000000" w14:paraId="00000031">
      <w:pPr>
        <w:spacing w:after="120" w:before="360" w:lineRule="auto"/>
        <w:ind w:left="0" w:firstLine="0"/>
        <w:rPr>
          <w:color w:val="980000"/>
        </w:rPr>
      </w:pPr>
      <w:r w:rsidDel="00000000" w:rsidR="00000000" w:rsidRPr="00000000">
        <w:rPr>
          <w:b w:val="1"/>
          <w:bCs w:val="1"/>
          <w:color w:val="980000"/>
          <w:rtl w:val="0"/>
        </w:rPr>
        <w:t xml:space="preserve">E.  La población afrodescendiente: el grupo más expuesto</w:t>
      </w:r>
      <w:r w:rsidDel="00000000" w:rsidR="00000000" w:rsidRPr="00000000">
        <w:rPr>
          <w:rtl w:val="0"/>
        </w:rPr>
      </w:r>
    </w:p>
    <w:p w:rsidR="00000000" w:rsidDel="00000000" w:rsidP="00000000" w:rsidRDefault="00000000" w:rsidRPr="00000000" w14:paraId="00000032">
      <w:pPr>
        <w:spacing w:after="120" w:before="120" w:lineRule="auto"/>
        <w:ind w:left="0" w:firstLine="0"/>
        <w:jc w:val="both"/>
        <w:rPr/>
      </w:pPr>
      <w:r w:rsidDel="00000000" w:rsidR="00000000" w:rsidRPr="00000000">
        <w:rPr>
          <w:rtl w:val="0"/>
        </w:rPr>
        <w:t xml:space="preserve">14. Dadas las dificultades estructurales que enfrenta la documentación independiente en Cuba, no es posible conocer el color de piel de la totalidad de las personas sobre las que se documentaron violaciones. Sin embargo, sí se pudo conocer que de los 4.626 eventos registrados, las personas afrodescendientes estuvieron presentes en el 36,6 % de ellos (1.693, de los cuales 243 involucran a mujeres).</w:t>
      </w:r>
    </w:p>
    <w:p w:rsidR="00000000" w:rsidDel="00000000" w:rsidP="00000000" w:rsidRDefault="00000000" w:rsidRPr="00000000" w14:paraId="00000033">
      <w:pPr>
        <w:spacing w:after="120" w:before="120" w:lineRule="auto"/>
        <w:ind w:left="0" w:firstLine="0"/>
        <w:jc w:val="both"/>
        <w:rPr/>
      </w:pPr>
      <w:r w:rsidDel="00000000" w:rsidR="00000000" w:rsidRPr="00000000">
        <w:rPr>
          <w:rtl w:val="0"/>
        </w:rPr>
        <w:t xml:space="preserve">15. Aun con datos incompletos, el análisis tipo por tipo de violación revela un patrón preopcupante. Los afrodescendientes representan el 60,7 % de las víctimas en los eventos de desaparición forzada, el 50,8 % de las de hostigamiento mediante reclusos comunes y están presentes en 111 de los 276 eventos de castigos mediante celdas de aislamiento. El conjunto de estos datos es consistente con la hipótesis de que el color de piel opera como factor agravante en el ejercicio de la discrecionalidad de los funcionarios. </w:t>
      </w:r>
    </w:p>
    <w:p w:rsidR="00000000" w:rsidDel="00000000" w:rsidP="00000000" w:rsidRDefault="00000000" w:rsidRPr="00000000" w14:paraId="00000034">
      <w:pPr>
        <w:spacing w:after="80" w:before="200" w:lineRule="auto"/>
        <w:ind w:left="0" w:firstLine="0"/>
        <w:rPr>
          <w:b w:val="1"/>
          <w:bCs w:val="1"/>
          <w:color w:val="980000"/>
        </w:rPr>
      </w:pPr>
      <w:r w:rsidDel="00000000" w:rsidR="00000000" w:rsidRPr="00000000">
        <w:rPr>
          <w:b w:val="1"/>
          <w:bCs w:val="1"/>
          <w:color w:val="980000"/>
          <w:rtl w:val="0"/>
        </w:rPr>
        <w:t xml:space="preserve">Racismo explícito documentado</w:t>
      </w:r>
    </w:p>
    <w:p w:rsidR="00000000" w:rsidDel="00000000" w:rsidP="00000000" w:rsidRDefault="00000000" w:rsidRPr="00000000" w14:paraId="00000035">
      <w:pPr>
        <w:spacing w:after="120" w:before="120" w:lineRule="auto"/>
        <w:ind w:left="0" w:firstLine="0"/>
        <w:jc w:val="both"/>
        <w:rPr/>
      </w:pPr>
      <w:r w:rsidDel="00000000" w:rsidR="00000000" w:rsidRPr="00000000">
        <w:rPr>
          <w:rtl w:val="0"/>
        </w:rPr>
        <w:t xml:space="preserve">16. A los datos cuantitativos anteriores se añade un nivel de evidencia cualitativamente distinto: casos en los que la racialización aparece de manera explícita en el lenguaje de amenaza o humillación de funcionarios del Estado en ejercicio de sus cargos. Aunque estos son numéricamente limitados respecto al total, tienen un peso jurídico específico: configuran actos de discriminación racial directa cometidos por agentes estatales, en los términos del artículo 2(1)(a) de la Convención, y comprometen la responsabilidad directa del Estado sin necesidad de inferencia estadística.</w:t>
      </w:r>
    </w:p>
    <w:p w:rsidR="00000000" w:rsidDel="00000000" w:rsidP="00000000" w:rsidRDefault="00000000" w:rsidRPr="00000000" w14:paraId="00000036">
      <w:pPr>
        <w:spacing w:after="240" w:before="240" w:line="240" w:lineRule="auto"/>
        <w:jc w:val="both"/>
        <w:rPr/>
      </w:pPr>
      <w:r w:rsidDel="00000000" w:rsidR="00000000" w:rsidRPr="00000000">
        <w:rPr>
          <w:rtl w:val="0"/>
        </w:rPr>
        <w:t xml:space="preserve">17. La evidencia cualitativa disponible muestra que estos actos no se producen de manera aislada, sino en contextos en los que confluyen múltiples factores de visibilidad percibidos como amenaza por las autoridades. Entre ellos destacan la afrodescendencia, el liderazgo religioso —en particular en tradiciones como la fe yoruba— y el activismo político o comunitario.</w:t>
      </w:r>
    </w:p>
    <w:p w:rsidR="00000000" w:rsidDel="00000000" w:rsidP="00000000" w:rsidRDefault="00000000" w:rsidRPr="00000000" w14:paraId="00000037">
      <w:pPr>
        <w:spacing w:after="240" w:before="240" w:line="240" w:lineRule="auto"/>
        <w:jc w:val="both"/>
        <w:rPr/>
      </w:pPr>
      <w:r w:rsidDel="00000000" w:rsidR="00000000" w:rsidRPr="00000000">
        <w:rPr>
          <w:rtl w:val="0"/>
        </w:rPr>
        <w:t xml:space="preserve">18. Asimismo, se documenta el uso reiterado de lenguaje abiertamente racializado por parte de funcionarios penitenciarios en distintos establecimientos y momentos del período analizado. La recurrencia de expresiones que combinan descalificación política con insultos raciales —en algunos casos acompañadas de amenazas de muerte—, pronunciadas por diferentes agentes y en contextos distintos, permite identificar un patrón institucional más que incidentes individuales. Este tipo de conductas se produce, además, en escenarios donde las personas afectadas se encuentran en situación de especial vulnerabilidad, incluyendo condiciones de salud incompatibles con el régimen penitenciario.</w:t>
      </w:r>
    </w:p>
    <w:p w:rsidR="00000000" w:rsidDel="00000000" w:rsidP="00000000" w:rsidRDefault="00000000" w:rsidRPr="00000000" w14:paraId="00000038">
      <w:pPr>
        <w:spacing w:after="240" w:before="240" w:line="240" w:lineRule="auto"/>
        <w:jc w:val="both"/>
        <w:rPr/>
      </w:pPr>
      <w:r w:rsidDel="00000000" w:rsidR="00000000" w:rsidRPr="00000000">
        <w:rPr>
          <w:rtl w:val="0"/>
        </w:rPr>
        <w:t xml:space="preserve">19. En determinados casos, la violencia verbal documentada incorpora además elementos de discriminación múltiple, al combinar referencias raciales con insultos basados en orientación sexual u otras condiciones personales. Estas expresiones no solo tienen un efecto degradante inmediato, sino que se insertan en dinámicas más amplias de hostigamiento, que incluyen la restricción de contacto familiar, la denegación de atención médica o el retorno a condiciones de reclusión pese a estados de salud críticos. La concurrencia de estas prácticas refuerza la conclusión de que el color de la piel opera como un factor agravante en el ejercicio de la discrecionalidad estatal dentro del sistema penitenciario.</w:t>
      </w:r>
      <w:r w:rsidDel="00000000" w:rsidR="00000000" w:rsidRPr="00000000">
        <w:rPr>
          <w:rtl w:val="0"/>
        </w:rPr>
      </w:r>
    </w:p>
    <w:p w:rsidR="00000000" w:rsidDel="00000000" w:rsidP="00000000" w:rsidRDefault="00000000" w:rsidRPr="00000000" w14:paraId="00000039">
      <w:pPr>
        <w:spacing w:after="120" w:before="360" w:lineRule="auto"/>
        <w:ind w:left="0" w:firstLine="0"/>
        <w:rPr>
          <w:b w:val="1"/>
          <w:bCs w:val="1"/>
          <w:color w:val="980000"/>
        </w:rPr>
      </w:pPr>
      <w:r w:rsidDel="00000000" w:rsidR="00000000" w:rsidRPr="00000000">
        <w:rPr>
          <w:b w:val="1"/>
          <w:bCs w:val="1"/>
          <w:color w:val="980000"/>
          <w:rtl w:val="0"/>
        </w:rPr>
        <w:t xml:space="preserve">F.  Discriminación interseccional: afrodescendencia en combinación con vulnerabilidades</w:t>
      </w:r>
    </w:p>
    <w:p w:rsidR="00000000" w:rsidDel="00000000" w:rsidP="00000000" w:rsidRDefault="00000000" w:rsidRPr="00000000" w14:paraId="0000003A">
      <w:pPr>
        <w:spacing w:after="120" w:before="120" w:lineRule="auto"/>
        <w:ind w:left="0" w:firstLine="0"/>
        <w:jc w:val="both"/>
        <w:rPr/>
      </w:pPr>
      <w:r w:rsidDel="00000000" w:rsidR="00000000" w:rsidRPr="00000000">
        <w:rPr>
          <w:rtl w:val="0"/>
        </w:rPr>
        <w:t xml:space="preserve">20. El 70,3 % de los eventos con víctimas afrodescendientes registran además al menos una condición de vulnerabilidad: enfermedades crónicas, discapacidades, maternidad o edad avanzada, entre otras. Esta acumulación es consistente con la hipótesis estructural descrita en la sección C: las mismas condiciones de exclusión que concentran a la población afrodescendiente en el sistema penitenciario son las que determinan qué otras vulnerabilidades traen consigo al entrar. El informe estatal no aborda esta dimensión interseccional en ningún apartado dedicado al sistema penitenciario —ni como descripción de la realidad ni como objeto de política pública—, pese a que el Comité recomendó en 2018 adoptar medidas especiales para combatir la discriminación estructural que afecta a la población afrodescendiente y garantizar su protección frente a organismos estatales y funcionarios públicos.</w:t>
      </w:r>
    </w:p>
    <w:p w:rsidR="00000000" w:rsidDel="00000000" w:rsidP="00000000" w:rsidRDefault="00000000" w:rsidRPr="00000000" w14:paraId="0000003B">
      <w:pPr>
        <w:spacing w:after="120" w:before="120" w:lineRule="auto"/>
        <w:ind w:left="0" w:firstLine="0"/>
        <w:jc w:val="both"/>
        <w:rPr/>
      </w:pPr>
      <w:r w:rsidDel="00000000" w:rsidR="00000000" w:rsidRPr="00000000">
        <w:rPr>
          <w:rtl w:val="0"/>
        </w:rPr>
        <w:t xml:space="preserve">21. Las intersecciones con mayor peso documental se desarrollan a continuación. En todos los casos, la combinación del ser afrodescendiente con vulnerabilidades específicas no produce simplemente una suma de riesgos potenciales, sino un riesgo cualitativamente mayor, caracterizado por la invisibilidad institucional y la impunidad estructural.</w:t>
      </w:r>
    </w:p>
    <w:p w:rsidR="00000000" w:rsidDel="00000000" w:rsidP="00000000" w:rsidRDefault="00000000" w:rsidRPr="00000000" w14:paraId="0000003C">
      <w:pPr>
        <w:spacing w:after="80" w:before="200" w:lineRule="auto"/>
        <w:ind w:left="0" w:firstLine="0"/>
        <w:rPr>
          <w:b w:val="1"/>
          <w:bCs w:val="1"/>
          <w:color w:val="980000"/>
        </w:rPr>
      </w:pPr>
      <w:r w:rsidDel="00000000" w:rsidR="00000000" w:rsidRPr="00000000">
        <w:rPr>
          <w:b w:val="1"/>
          <w:bCs w:val="1"/>
          <w:color w:val="980000"/>
          <w:rtl w:val="0"/>
        </w:rPr>
        <w:t xml:space="preserve">Ser afrodescendiente y persona privada de libertad por razones políticas</w:t>
      </w:r>
    </w:p>
    <w:p w:rsidR="00000000" w:rsidDel="00000000" w:rsidP="00000000" w:rsidRDefault="00000000" w:rsidRPr="00000000" w14:paraId="0000003D">
      <w:pPr>
        <w:spacing w:after="120" w:before="120" w:lineRule="auto"/>
        <w:ind w:left="0" w:firstLine="0"/>
        <w:jc w:val="both"/>
        <w:rPr/>
      </w:pPr>
      <w:r w:rsidDel="00000000" w:rsidR="00000000" w:rsidRPr="00000000">
        <w:rPr>
          <w:rtl w:val="0"/>
        </w:rPr>
        <w:t xml:space="preserve">22. La combinación de ser afrodescendiente y ser preso o presa política es la más frecuente de la base de datos del CDPC. Su peso —1.291 eventos, el 76,3 % del total de eventos con víctimas afrodescendientes— refleja el momento de entrada al sistema descrito en la sección C: el perfilamiento racial durante los operativos de detención, particularmente en contextos de protestas desde julio de 2021. Dentro de este universo, las personas afrodescendientes privadas de libertad por razones políticas  no conforman un grupo homogéneo: entre ellas se encuentran opositores, activistas, defensores de derechos humanos y periodistas independientes. Esta diversidad es relevante porque el Comité recomendó en 2018 la adopción de medidas específicas para prevenir el hostigamiento, la criminalización y la detención arbitraria de quienes defienden derechos humanos —recomendación que el Estado no ha implementado y que los datos de esta base confirman como plenamente vigente. </w:t>
      </w:r>
    </w:p>
    <w:p w:rsidR="00000000" w:rsidDel="00000000" w:rsidP="00000000" w:rsidRDefault="00000000" w:rsidRPr="00000000" w14:paraId="0000003E">
      <w:pPr>
        <w:spacing w:after="120" w:before="120" w:lineRule="auto"/>
        <w:ind w:left="0" w:firstLine="0"/>
        <w:jc w:val="both"/>
        <w:rPr/>
      </w:pPr>
      <w:r w:rsidDel="00000000" w:rsidR="00000000" w:rsidRPr="00000000">
        <w:rPr>
          <w:rtl w:val="0"/>
        </w:rPr>
        <w:t xml:space="preserve">23. La base de datos del CDPC registra cuatro muertes bajo custodia de personas afrodescendientes privadas de libertad por razones políticas en el período analizado, ocurridas entre finales de 2024 y principios de 2026. Si bien se trata de un número reducido de casos, su análisis cualitativo permite identificar tipologías de ocurrencia que resultan consistentes entre sí y con otros hallazgos de la base de datos. En primer lugar, se registran muertes precedidas por episodios de violencia física, incluyendo golpizas, confinamiento en celdas de castigo y condiciones de reclusión agravadas, seguidas de versiones oficiales que atribuyen los hechos a causas no verificables —como el suicidio—, que son cuestionadas por familiares al observar signos evidentes de maltrato en los cuerpos. En segundo lugar, se documentan fallecimientos asociados a la negación o retraso de atención médica, incluso en contextos de deterioro progresivo de la salud. En estos casos, se observa además un control activo de la información por parte de las autoridades tras la muerte, incluyendo restricciones en espacios funerarios o limitaciones a la circulación de información. En tercer lugar, se identifican muertes ocurridas tras huelgas de hambre prolongadas iniciadas como mecanismo de protesta frente a la ausencia de vías efectivas de recurso. Estos casos evidencian el agotamiento de los mecanismos internos de protección, en los que la protesta corporal se convierte en el único medio disponible, sin que el Estado adopte medidas suficientes para preservar la vida. Por último, se documentan fallecimientos precedidos por deterioros severos de salud ocurridos dentro del sistema penitenciario, en los que la concesión de beneficios como la licencia extrapenal se produce únicamente en etapas críticas, trasladando formalmente la muerte fuera del perímetro carcelario sin que ello implique una desvinculación de la responsabilidad estatal. En estos casos, se observan además deficiencias en la continuidad de la atención médica tras la excarcelación. En conjunto, estos elementos sugieren que, aun a partir de un número limitado de casos, las muertes bajo custodia no responden únicamente a hechos aislados, sino que se inscriben en dinámicas que comprometen la responsabilidad del Estado en la garantía del derecho a la vida y a la integridad personal de las personas privadas de libertad.</w:t>
      </w:r>
    </w:p>
    <w:p w:rsidR="00000000" w:rsidDel="00000000" w:rsidP="00000000" w:rsidRDefault="00000000" w:rsidRPr="00000000" w14:paraId="0000003F">
      <w:pPr>
        <w:spacing w:after="80" w:before="200" w:lineRule="auto"/>
        <w:ind w:left="0" w:firstLine="0"/>
        <w:rPr>
          <w:color w:val="980000"/>
        </w:rPr>
      </w:pPr>
      <w:r w:rsidDel="00000000" w:rsidR="00000000" w:rsidRPr="00000000">
        <w:rPr>
          <w:b w:val="1"/>
          <w:bCs w:val="1"/>
          <w:color w:val="980000"/>
          <w:rtl w:val="0"/>
        </w:rPr>
        <w:t xml:space="preserve">Ser afrodescendiente y vivir con enfermedad crónica</w:t>
      </w:r>
      <w:r w:rsidDel="00000000" w:rsidR="00000000" w:rsidRPr="00000000">
        <w:rPr>
          <w:rtl w:val="0"/>
        </w:rPr>
      </w:r>
    </w:p>
    <w:p w:rsidR="00000000" w:rsidDel="00000000" w:rsidP="00000000" w:rsidRDefault="00000000" w:rsidRPr="00000000" w14:paraId="00000040">
      <w:pPr>
        <w:spacing w:after="120" w:before="120" w:lineRule="auto"/>
        <w:ind w:left="0" w:firstLine="0"/>
        <w:jc w:val="both"/>
        <w:rPr/>
      </w:pPr>
      <w:r w:rsidDel="00000000" w:rsidR="00000000" w:rsidRPr="00000000">
        <w:rPr>
          <w:rtl w:val="0"/>
        </w:rPr>
        <w:t xml:space="preserve">24. Del total de los eventos sobre personas afrodescendientes, 447 involucran a personas con enfermedades crónicas, de los cuales 81 incluyen negación de atención médica. Esto significa que uno de cada tres casos de negación de atención sanitaria a enfermos crónicos documentados en la base de datos involucra a una persona afrodescendiente. Entre esos eventos se documentan también huelgas de hambre iniciadas ante la falta de atención médica, así como confinamientos en celda de castigo, lo que indica que en múltiples casos la negación de atención es apenas el inicio de una cadena de hostigamiento en la que el propio sistema penitenciario responde con mayor desprotección.</w:t>
      </w:r>
    </w:p>
    <w:p w:rsidR="00000000" w:rsidDel="00000000" w:rsidP="00000000" w:rsidRDefault="00000000" w:rsidRPr="00000000" w14:paraId="00000041">
      <w:pPr>
        <w:spacing w:after="80" w:before="200" w:lineRule="auto"/>
        <w:ind w:left="0" w:firstLine="0"/>
        <w:rPr>
          <w:color w:val="980000"/>
        </w:rPr>
      </w:pPr>
      <w:r w:rsidDel="00000000" w:rsidR="00000000" w:rsidRPr="00000000">
        <w:rPr>
          <w:b w:val="1"/>
          <w:bCs w:val="1"/>
          <w:color w:val="980000"/>
          <w:rtl w:val="0"/>
        </w:rPr>
        <w:t xml:space="preserve">Ser afrodescendiente y vivir con discapacidad psicosocial</w:t>
      </w:r>
      <w:r w:rsidDel="00000000" w:rsidR="00000000" w:rsidRPr="00000000">
        <w:rPr>
          <w:rtl w:val="0"/>
        </w:rPr>
      </w:r>
    </w:p>
    <w:p w:rsidR="00000000" w:rsidDel="00000000" w:rsidP="00000000" w:rsidRDefault="00000000" w:rsidRPr="00000000" w14:paraId="00000042">
      <w:pPr>
        <w:spacing w:after="120" w:before="120" w:lineRule="auto"/>
        <w:ind w:left="0" w:firstLine="0"/>
        <w:jc w:val="both"/>
        <w:rPr/>
      </w:pPr>
      <w:r w:rsidDel="00000000" w:rsidR="00000000" w:rsidRPr="00000000">
        <w:rPr>
          <w:rtl w:val="0"/>
        </w:rPr>
        <w:t xml:space="preserve">25. 193 eventos documentados involucran a personas afrodescendientes con discapacidad psicosocial. De estos, 134 incluyen hostigamiento y represión, 26 refieren negación de atención médica especializada y 16 registran confinamiento en celdas de castigo. La intersección entre raza y discapacidad psicosocial produce una forma de invisibilidad agravada: ni la dimensión racial ni la condición de salud mental son reconocidas como factores que requieran protección diferenciada, lo que deja a estas personas expuestas a la violencia institucional sin mecanismos efectivos de salvaguarda. La evidencia documentada muestra que esta doble invisibilidad no es abstracta, sino que tiene consecuencias materiales extremas. En al menos un caso registrado durante el período analizado, una persona afrodescendiente con discapacidad psicosocial, de aproximadamente 50 años, falleció en condiciones de abandono, tras presentar un cuadro de desnutrición severa sin recibir atención médica oportuna. Tras su muerte, las autoridades restringieron temporalmente las comunicaciones, limitando la circulación de información sobre lo ocurrido.</w:t>
      </w:r>
    </w:p>
    <w:p w:rsidR="00000000" w:rsidDel="00000000" w:rsidP="00000000" w:rsidRDefault="00000000" w:rsidRPr="00000000" w14:paraId="00000043">
      <w:pPr>
        <w:spacing w:after="120" w:before="120" w:lineRule="auto"/>
        <w:ind w:left="0" w:firstLine="0"/>
        <w:jc w:val="both"/>
        <w:rPr>
          <w:color w:val="980000"/>
        </w:rPr>
      </w:pPr>
      <w:r w:rsidDel="00000000" w:rsidR="00000000" w:rsidRPr="00000000">
        <w:rPr>
          <w:b w:val="1"/>
          <w:bCs w:val="1"/>
          <w:color w:val="980000"/>
          <w:rtl w:val="0"/>
        </w:rPr>
        <w:t xml:space="preserve">Ser Afrodescendiente y madre</w:t>
      </w:r>
      <w:r w:rsidDel="00000000" w:rsidR="00000000" w:rsidRPr="00000000">
        <w:rPr>
          <w:rtl w:val="0"/>
        </w:rPr>
      </w:r>
    </w:p>
    <w:p w:rsidR="00000000" w:rsidDel="00000000" w:rsidP="00000000" w:rsidRDefault="00000000" w:rsidRPr="00000000" w14:paraId="00000044">
      <w:pPr>
        <w:spacing w:after="120" w:before="120" w:lineRule="auto"/>
        <w:ind w:left="0" w:firstLine="0"/>
        <w:jc w:val="both"/>
        <w:rPr/>
      </w:pPr>
      <w:r w:rsidDel="00000000" w:rsidR="00000000" w:rsidRPr="00000000">
        <w:rPr>
          <w:rtl w:val="0"/>
        </w:rPr>
        <w:t xml:space="preserve">26. 168 eventos involucran a madres afrodescendientes privadas de libertad, de los cuales 18 incluyen negación de atención médica y cuatro confinamiento en celda de castigo durante el embarazo. La Regla 22 de las Reglas de Bangkok prohíbe expresamente las medidas disciplinarias que puedan ser perjudiciales para la salud de reclusas embarazadas. Ninguno de los casos documentados de embarazadas en celda de castigo ha dado lugar a investigación conocida. La documentación incluye además el caso de una presa política quien denunció haber sido violada mientras se encontraba detenida y embarazada en la unidad de detención 100 y Aldabó, en La Habana, sufriendo un aborto como consecuencia. Este caso, que configuraría tortura en los términos del derecho internacional, no ha sido objeto de ninguna investigación conocida. La intersección entre raza, género y maternidad alcanza su expresión más extrema en la muerte bajo custodia; se documentó una vez en el periodo el fallecimiento bajo custodia de una presa política afrodescendiente y madre.</w:t>
      </w:r>
    </w:p>
    <w:p w:rsidR="00000000" w:rsidDel="00000000" w:rsidP="00000000" w:rsidRDefault="00000000" w:rsidRPr="00000000" w14:paraId="00000045">
      <w:pPr>
        <w:spacing w:after="80" w:before="200" w:lineRule="auto"/>
        <w:ind w:left="0" w:firstLine="0"/>
        <w:rPr>
          <w:color w:val="980000"/>
        </w:rPr>
      </w:pPr>
      <w:r w:rsidDel="00000000" w:rsidR="00000000" w:rsidRPr="00000000">
        <w:rPr>
          <w:b w:val="1"/>
          <w:bCs w:val="1"/>
          <w:color w:val="980000"/>
          <w:rtl w:val="0"/>
        </w:rPr>
        <w:t xml:space="preserve">Ser afrodescendiente y persona de edad avanzada</w:t>
      </w:r>
      <w:r w:rsidDel="00000000" w:rsidR="00000000" w:rsidRPr="00000000">
        <w:rPr>
          <w:rtl w:val="0"/>
        </w:rPr>
      </w:r>
    </w:p>
    <w:p w:rsidR="00000000" w:rsidDel="00000000" w:rsidP="00000000" w:rsidRDefault="00000000" w:rsidRPr="00000000" w14:paraId="00000046">
      <w:pPr>
        <w:spacing w:after="120" w:before="120" w:lineRule="auto"/>
        <w:ind w:left="0" w:firstLine="0"/>
        <w:jc w:val="both"/>
        <w:rPr/>
      </w:pPr>
      <w:r w:rsidDel="00000000" w:rsidR="00000000" w:rsidRPr="00000000">
        <w:rPr>
          <w:rtl w:val="0"/>
        </w:rPr>
        <w:t xml:space="preserve">27. 92 eventos involucran a personas afrodescendientes mayores, de los cuales 24 incluyen negación de atención médica y seis torturas físicas. Se documentó el caso de una persona privada de libertad que falleció en un hospital en el 2026, que ilustra el patrón de abandono institucional que culmina en muerte bajo custodia. Según el testimonio de un familiar, los oficiales de la prisión donde se encontraba recluido lo dejaron solo en el pasillo del hospital, sin custodia, sin informar a la familia y sin garantizar atención médica. Cuando sus familiares lo encontraron, presentaba desnutrición severa, prominencia ósea, moretones en las rodillas, un traumatismo de gravedad en la parte posterior de la cabeza y puntos de sutura sobre el ojo izquierdo, sin que las autoridades ofrecieran explicación sobre el origen de esas lesiones. Una médica indicó que padecía un sangramiento fatal en toda la cabeza; el certificado de defunción consignó como causa de muerte una enfermedad cerebrovascular. La divergencia entre el cuadro clínico documentado y la causa oficial de muerte, sumada a la ausencia de notificación oportuna a la familia, configura un patrón de ocultamiento que impide determinar si la muerte fue resultado de negligencia, violencia o ambas.</w:t>
      </w:r>
    </w:p>
    <w:p w:rsidR="00000000" w:rsidDel="00000000" w:rsidP="00000000" w:rsidRDefault="00000000" w:rsidRPr="00000000" w14:paraId="00000047">
      <w:pPr>
        <w:spacing w:after="120" w:before="360" w:lineRule="auto"/>
        <w:ind w:left="0" w:firstLine="0"/>
        <w:rPr>
          <w:color w:val="980000"/>
        </w:rPr>
      </w:pPr>
      <w:r w:rsidDel="00000000" w:rsidR="00000000" w:rsidRPr="00000000">
        <w:rPr>
          <w:b w:val="1"/>
          <w:bCs w:val="1"/>
          <w:color w:val="980000"/>
          <w:rtl w:val="0"/>
        </w:rPr>
        <w:t xml:space="preserve">G.  Respuesta al informe estatal</w:t>
      </w:r>
      <w:r w:rsidDel="00000000" w:rsidR="00000000" w:rsidRPr="00000000">
        <w:rPr>
          <w:rtl w:val="0"/>
        </w:rPr>
      </w:r>
    </w:p>
    <w:p w:rsidR="00000000" w:rsidDel="00000000" w:rsidP="00000000" w:rsidRDefault="00000000" w:rsidRPr="00000000" w14:paraId="00000048">
      <w:pPr>
        <w:spacing w:after="120" w:before="120" w:lineRule="auto"/>
        <w:ind w:left="0" w:firstLine="0"/>
        <w:jc w:val="both"/>
        <w:rPr/>
      </w:pPr>
      <w:r w:rsidDel="00000000" w:rsidR="00000000" w:rsidRPr="00000000">
        <w:rPr>
          <w:rtl w:val="0"/>
        </w:rPr>
        <w:t xml:space="preserve">28. El Estado sostiene que “no se practica discriminación alguna” en sus centros penitenciarios y que las quejas por esta razón “no quedaron demostradas”. La evidencia presentada en las secciones anteriores permite identificar tres capas distintas de refutación. La primera es la sobrerrepresentación de la población afrodescendiente en la población penal, dato que proviene del propio informe estatal y que constituye evidencia </w:t>
      </w:r>
      <w:r w:rsidDel="00000000" w:rsidR="00000000" w:rsidRPr="00000000">
        <w:rPr>
          <w:i w:val="1"/>
          <w:iCs w:val="1"/>
          <w:rtl w:val="0"/>
        </w:rPr>
        <w:t xml:space="preserve">prima facie</w:t>
      </w:r>
      <w:r w:rsidDel="00000000" w:rsidR="00000000" w:rsidRPr="00000000">
        <w:rPr>
          <w:rtl w:val="0"/>
        </w:rPr>
        <w:t xml:space="preserve"> de discriminación estructural conforme al artículo 1 de la Convención. La segunda es la concentración desproporcionada de estas personas como víctimas de las formas de represión más graves y discrecionales, dato que proviene de la base del CDPC e indica un impacto diferencial cuantitativamente verificable. La tercera son los casos de insulto racial directo pronunciado por funcionarios en ejercicio de sus cargos, con nombre identificado y cita textual documentada, que configuran discriminación directa en los términos del artículo 2(1)(a) de la Convención sin necesidad de inferencia estadística.</w:t>
      </w:r>
    </w:p>
    <w:p w:rsidR="00000000" w:rsidDel="00000000" w:rsidP="00000000" w:rsidRDefault="00000000" w:rsidRPr="00000000" w14:paraId="00000049">
      <w:pPr>
        <w:spacing w:after="120" w:before="120" w:lineRule="auto"/>
        <w:ind w:left="0" w:firstLine="0"/>
        <w:jc w:val="both"/>
        <w:rPr/>
      </w:pPr>
      <w:r w:rsidDel="00000000" w:rsidR="00000000" w:rsidRPr="00000000">
        <w:rPr>
          <w:rtl w:val="0"/>
        </w:rPr>
        <w:t xml:space="preserve">29. Conviene señalar finalmente que el Comité formuló en 2018 recomendaciones específicas sobre los temas que este informe documenta: uso de la variable étnico-racial en los registros de detención, investigación del uso excesivo de la fuerza contra afrodescendientes, acceso a la justicia para víctimas de discriminación racial, protección de defensores de derechos humanos afrodescendientes y medidas especiales para combatir la discriminación estructural. Ninguna de esas recomendaciones ha sido implementada en lo que respecta al sistema penitenciario. La información presentada en este informe refleja no solo la situación actual, sino el incumplimiento acumulado de compromisos que Cuba contrajo hace ocho años ante este mismo órgano.</w:t>
      </w:r>
    </w:p>
    <w:p w:rsidR="00000000" w:rsidDel="00000000" w:rsidP="00000000" w:rsidRDefault="00000000" w:rsidRPr="00000000" w14:paraId="0000004A">
      <w:pPr>
        <w:spacing w:after="120" w:before="360" w:lineRule="auto"/>
        <w:ind w:left="0" w:firstLine="0"/>
        <w:rPr>
          <w:color w:val="980000"/>
        </w:rPr>
      </w:pPr>
      <w:r w:rsidDel="00000000" w:rsidR="00000000" w:rsidRPr="00000000">
        <w:rPr>
          <w:b w:val="1"/>
          <w:bCs w:val="1"/>
          <w:color w:val="980000"/>
          <w:rtl w:val="0"/>
        </w:rPr>
        <w:t xml:space="preserve">H.  Recomendaciones al Comité</w:t>
      </w:r>
      <w:r w:rsidDel="00000000" w:rsidR="00000000" w:rsidRPr="00000000">
        <w:rPr>
          <w:rtl w:val="0"/>
        </w:rPr>
      </w:r>
    </w:p>
    <w:p w:rsidR="00000000" w:rsidDel="00000000" w:rsidP="00000000" w:rsidRDefault="00000000" w:rsidRPr="00000000" w14:paraId="0000004B">
      <w:pPr>
        <w:spacing w:after="100" w:before="100" w:lineRule="auto"/>
        <w:ind w:left="0" w:firstLine="0"/>
        <w:jc w:val="both"/>
        <w:rPr/>
      </w:pPr>
      <w:r w:rsidDel="00000000" w:rsidR="00000000" w:rsidRPr="00000000">
        <w:rPr>
          <w:rtl w:val="0"/>
        </w:rPr>
        <w:t xml:space="preserve">30. Las organizaciones firmantes solicitan al Comité que, en el marco del diálogo con la delegación cubana y en sus observaciones finales, adopte las siguientes posiciones:</w:t>
      </w:r>
    </w:p>
    <w:p w:rsidR="00000000" w:rsidDel="00000000" w:rsidP="00000000" w:rsidRDefault="00000000" w:rsidRPr="00000000" w14:paraId="0000004C">
      <w:pPr>
        <w:spacing w:after="120" w:before="120" w:lineRule="auto"/>
        <w:ind w:left="0" w:firstLine="0"/>
        <w:jc w:val="both"/>
        <w:rPr>
          <w:color w:val="980000"/>
        </w:rPr>
      </w:pPr>
      <w:r w:rsidDel="00000000" w:rsidR="00000000" w:rsidRPr="00000000">
        <w:rPr>
          <w:rtl w:val="0"/>
        </w:rPr>
        <w:t xml:space="preserve">31. Solicitar al Estado que publique datos anuales desagregados por color de piel, género y edad sobre la población privada de libertad, incluyendo información sobre muertes bajo custodia y sobre la aplicación de sanciones disciplinarias, y que dicha información sea verificable por mecanismos independientes.</w:t>
      </w:r>
      <w:r w:rsidDel="00000000" w:rsidR="00000000" w:rsidRPr="00000000">
        <w:rPr>
          <w:rtl w:val="0"/>
        </w:rPr>
      </w:r>
    </w:p>
    <w:p w:rsidR="00000000" w:rsidDel="00000000" w:rsidP="00000000" w:rsidRDefault="00000000" w:rsidRPr="00000000" w14:paraId="0000004D">
      <w:pPr>
        <w:spacing w:after="120" w:before="120" w:lineRule="auto"/>
        <w:ind w:left="0" w:firstLine="0"/>
        <w:jc w:val="both"/>
        <w:rPr/>
      </w:pPr>
      <w:r w:rsidDel="00000000" w:rsidR="00000000" w:rsidRPr="00000000">
        <w:rPr>
          <w:rtl w:val="0"/>
        </w:rPr>
        <w:t xml:space="preserve">32. Recomendar al Estado que adopte protocolos específicos de protección para las personas afrodescendientes privadas de libertad, así como para personas que viven con enfermedades crónicas, discapacidades psicosociales, son mujeres embarazadas, adultas mayores y personas LGBTIQA+.</w:t>
      </w:r>
    </w:p>
    <w:p w:rsidR="00000000" w:rsidDel="00000000" w:rsidP="00000000" w:rsidRDefault="00000000" w:rsidRPr="00000000" w14:paraId="0000004E">
      <w:pPr>
        <w:spacing w:after="120" w:before="120" w:lineRule="auto"/>
        <w:ind w:left="0" w:firstLine="0"/>
        <w:jc w:val="both"/>
        <w:rPr>
          <w:color w:val="980000"/>
        </w:rPr>
      </w:pPr>
      <w:r w:rsidDel="00000000" w:rsidR="00000000" w:rsidRPr="00000000">
        <w:rPr>
          <w:rtl w:val="0"/>
        </w:rPr>
        <w:t xml:space="preserve">33. Instar al Estado a prohibir el confinamiento en celda de castigo de personas embarazadas y de personas con discapacidades psicosociales, e investigar de forma independiente las 123 muertes bajo custodia documentadas en el período 2023–2026, publicando los resultados con desagregación racial y poniendo esa información a disposición del Comité.</w:t>
      </w:r>
      <w:r w:rsidDel="00000000" w:rsidR="00000000" w:rsidRPr="00000000">
        <w:rPr>
          <w:rtl w:val="0"/>
        </w:rPr>
      </w:r>
    </w:p>
    <w:p w:rsidR="00000000" w:rsidDel="00000000" w:rsidP="00000000" w:rsidRDefault="00000000" w:rsidRPr="00000000" w14:paraId="0000004F">
      <w:pPr>
        <w:spacing w:after="120" w:before="120" w:lineRule="auto"/>
        <w:ind w:left="0" w:firstLine="0"/>
        <w:jc w:val="both"/>
        <w:rPr/>
      </w:pPr>
      <w:r w:rsidDel="00000000" w:rsidR="00000000" w:rsidRPr="00000000">
        <w:rPr>
          <w:rtl w:val="0"/>
        </w:rPr>
        <w:t xml:space="preserve">34. Recomendar al Estado que establezca un mecanismo independiente para registrar e investigar denuncias de discriminación racial en el sistema penitenciario, con garantías de confidencialidad y protección frente a represalias, e informar al Comité sobre su funcionamiento en el próximo ciclo de examen, en cumplimiento de las recomendaciones de 2018 que permanecen sin implementar.</w:t>
      </w:r>
    </w:p>
    <w:p w:rsidR="00000000" w:rsidDel="00000000" w:rsidP="00000000" w:rsidRDefault="00000000" w:rsidRPr="00000000" w14:paraId="00000050">
      <w:pPr>
        <w:spacing w:after="120" w:before="120" w:lineRule="auto"/>
        <w:ind w:left="0" w:firstLine="0"/>
        <w:jc w:val="both"/>
        <w:rPr>
          <w:color w:val="980000"/>
        </w:rPr>
      </w:pPr>
      <w:r w:rsidDel="00000000" w:rsidR="00000000" w:rsidRPr="00000000">
        <w:rPr>
          <w:rtl w:val="0"/>
        </w:rPr>
        <w:t xml:space="preserve">35. Solicitar al Estado información específica sobre los patrones de perfilamiento racial en los operativos de detención en el contexto de las protestas ocurridas en Cuba desde el 2021, e instar a que las personas privadas de libertad por el ejercicio de derechos civiles y políticos sean liberadas, en particular aquellas respecto de las cuales el Grupo de Trabajo sobre Detención Arbitraria de Naciones Unidas ha emitido opiniones.</w:t>
      </w:r>
      <w:r w:rsidDel="00000000" w:rsidR="00000000" w:rsidRPr="00000000">
        <w:rPr>
          <w:rtl w:val="0"/>
        </w:rPr>
      </w:r>
    </w:p>
    <w:p w:rsidR="00000000" w:rsidDel="00000000" w:rsidP="00000000" w:rsidRDefault="00000000" w:rsidRPr="00000000" w14:paraId="00000051">
      <w:pPr>
        <w:spacing w:after="120" w:before="120" w:lineRule="auto"/>
        <w:ind w:left="0" w:firstLine="0"/>
        <w:jc w:val="both"/>
        <w:rPr/>
      </w:pPr>
      <w:r w:rsidDel="00000000" w:rsidR="00000000" w:rsidRPr="00000000">
        <w:rPr>
          <w:rtl w:val="0"/>
        </w:rPr>
        <w:t xml:space="preserve">36. Instar al Estado a ratificar el Protocolo Facultativo de la Convención contra la Tortura (OPCAT), condición necesaria para que el Subcomité para la Prevención de la Tortura pueda acceder físicamente al sistema penitenciario cubano y verificar las condiciones de detención de manera independiente.</w:t>
      </w:r>
    </w:p>
    <w:p w:rsidR="00000000" w:rsidDel="00000000" w:rsidP="00000000" w:rsidRDefault="00000000" w:rsidRPr="00000000" w14:paraId="00000052">
      <w:pPr>
        <w:spacing w:after="120" w:before="120" w:lineRule="auto"/>
        <w:ind w:left="0" w:firstLine="0"/>
        <w:jc w:val="both"/>
        <w:rPr/>
      </w:pPr>
      <w:r w:rsidDel="00000000" w:rsidR="00000000" w:rsidRPr="00000000">
        <w:rPr>
          <w:rtl w:val="0"/>
        </w:rPr>
        <w:t xml:space="preserve">37. Solicitar nuevamente al Estado que formule la declaración prevista en el artículo 14 de la presente Convención, por la cual reconocería la competencia del Comité para recibir y examinar comunicaciones individuales de personas que aleguen ser víctimas de discriminación racial bajo su jurisdicción.</w:t>
      </w:r>
    </w:p>
    <w:p w:rsidR="00000000" w:rsidDel="00000000" w:rsidP="00000000" w:rsidRDefault="00000000" w:rsidRPr="00000000" w14:paraId="00000053">
      <w:pPr>
        <w:spacing w:after="120" w:before="120" w:lineRule="auto"/>
        <w:ind w:left="0" w:firstLine="0"/>
        <w:jc w:val="both"/>
        <w:rPr/>
      </w:pPr>
      <w:r w:rsidDel="00000000" w:rsidR="00000000" w:rsidRPr="00000000">
        <w:rPr>
          <w:rtl w:val="0"/>
        </w:rPr>
        <w:t xml:space="preserve">38. Solicitar al Estado que permita el registro y operación de organizaciones independientes de derechos humanos dentro de Cuba con acceso efectivo a los centros de detención, y que en el próximo ciclo de examen informe al Comité sobre las medidas adoptadas para garantizar ese acceso. </w:t>
      </w:r>
    </w:p>
    <w:p w:rsidR="00000000" w:rsidDel="00000000" w:rsidP="00000000" w:rsidRDefault="00000000" w:rsidRPr="00000000" w14:paraId="00000054">
      <w:pPr>
        <w:spacing w:after="120" w:before="120" w:lineRule="auto"/>
        <w:ind w:left="0" w:firstLine="0"/>
        <w:jc w:val="both"/>
        <w:rPr/>
      </w:pPr>
      <w:r w:rsidDel="00000000" w:rsidR="00000000" w:rsidRPr="00000000">
        <w:rPr>
          <w:rtl w:val="0"/>
        </w:rPr>
      </w:r>
    </w:p>
    <w:p w:rsidR="00000000" w:rsidDel="00000000" w:rsidP="00000000" w:rsidRDefault="00000000" w:rsidRPr="00000000" w14:paraId="00000055">
      <w:pPr>
        <w:spacing w:after="120" w:before="120" w:lineRule="auto"/>
        <w:jc w:val="right"/>
        <w:rPr/>
      </w:pPr>
      <w:r w:rsidDel="00000000" w:rsidR="00000000" w:rsidRPr="00000000">
        <w:rPr>
          <w:rtl w:val="0"/>
        </w:rPr>
        <w:t xml:space="preserve">Ciudad de México, 23 de marzo de 2026</w:t>
      </w:r>
      <w:r w:rsidDel="00000000" w:rsidR="00000000" w:rsidRPr="00000000">
        <w:rPr>
          <w:rtl w:val="0"/>
        </w:rPr>
      </w:r>
    </w:p>
    <w:sectPr>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jc w:val="center"/>
      <w:rPr>
        <w:color w:val="980000"/>
      </w:rPr>
    </w:pPr>
    <w:r w:rsidDel="00000000" w:rsidR="00000000" w:rsidRPr="00000000">
      <w:rPr>
        <w:rFonts w:ascii="Times New Roman" w:cs="Times New Roman" w:eastAsia="Times New Roman" w:hAnsi="Times New Roman"/>
        <w:color w:val="980000"/>
        <w:sz w:val="18"/>
        <w:szCs w:val="18"/>
        <w:rtl w:val="0"/>
      </w:rPr>
      <w:t xml:space="preserve">Pág. </w:t>
    </w:r>
    <w:r w:rsidDel="00000000" w:rsidR="00000000" w:rsidRPr="00000000">
      <w:rPr>
        <w:rFonts w:ascii="Times New Roman" w:cs="Times New Roman" w:eastAsia="Times New Roman" w:hAnsi="Times New Roman"/>
        <w:color w:val="980000"/>
        <w:sz w:val="18"/>
        <w:szCs w:val="18"/>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6">
      <w:pPr>
        <w:rPr>
          <w:color w:val="980000"/>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Centro de Documentación de Prisiones Cubanas: </w:t>
      </w:r>
      <w:hyperlink r:id="rId1">
        <w:r w:rsidDel="00000000" w:rsidR="00000000" w:rsidRPr="00000000">
          <w:rPr>
            <w:color w:val="980000"/>
            <w:sz w:val="20"/>
            <w:szCs w:val="20"/>
            <w:u w:val="single"/>
            <w:rtl w:val="0"/>
          </w:rPr>
          <w:t xml:space="preserve">https://docubprisiones.org/</w:t>
        </w:r>
      </w:hyperlink>
      <w:r w:rsidDel="00000000" w:rsidR="00000000" w:rsidRPr="00000000">
        <w:rPr>
          <w:color w:val="980000"/>
          <w:sz w:val="20"/>
          <w:szCs w:val="20"/>
          <w:rtl w:val="0"/>
        </w:rPr>
        <w:t xml:space="preserve">  </w:t>
      </w:r>
    </w:p>
  </w:footnote>
  <w:footnote w:id="1">
    <w:p w:rsidR="00000000" w:rsidDel="00000000" w:rsidP="00000000" w:rsidRDefault="00000000" w:rsidRPr="00000000" w14:paraId="00000057">
      <w:pPr>
        <w:rPr>
          <w:color w:val="980000"/>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Justicia 11J:  </w:t>
      </w:r>
      <w:hyperlink r:id="rId2">
        <w:r w:rsidDel="00000000" w:rsidR="00000000" w:rsidRPr="00000000">
          <w:rPr>
            <w:color w:val="980000"/>
            <w:sz w:val="20"/>
            <w:szCs w:val="20"/>
            <w:u w:val="single"/>
            <w:rtl w:val="0"/>
          </w:rPr>
          <w:t xml:space="preserve">https://justicia11j.org/</w:t>
        </w:r>
      </w:hyperlink>
      <w:r w:rsidDel="00000000" w:rsidR="00000000" w:rsidRPr="00000000">
        <w:rPr>
          <w:color w:val="980000"/>
          <w:sz w:val="20"/>
          <w:szCs w:val="20"/>
          <w:rtl w:val="0"/>
        </w:rPr>
        <w:t xml:space="preserve"> </w:t>
      </w:r>
    </w:p>
  </w:footnote>
  <w:footnote w:id="2">
    <w:p w:rsidR="00000000" w:rsidDel="00000000" w:rsidP="00000000" w:rsidRDefault="00000000" w:rsidRPr="00000000" w14:paraId="00000058">
      <w:pPr>
        <w:rPr>
          <w:color w:val="980000"/>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Justicia 11J, Cronología de protestas, en </w:t>
      </w:r>
      <w:hyperlink r:id="rId3">
        <w:r w:rsidDel="00000000" w:rsidR="00000000" w:rsidRPr="00000000">
          <w:rPr>
            <w:color w:val="980000"/>
            <w:sz w:val="20"/>
            <w:szCs w:val="20"/>
            <w:u w:val="single"/>
            <w:rtl w:val="0"/>
          </w:rPr>
          <w:t xml:space="preserve">https://justicia11j.org/cronologia-de-protestas/</w:t>
        </w:r>
      </w:hyperlink>
      <w:r w:rsidDel="00000000" w:rsidR="00000000" w:rsidRPr="00000000">
        <w:rPr>
          <w:color w:val="980000"/>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footer" Target="foot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docubprisiones.org/" TargetMode="External"/><Relationship Id="rId2" Type="http://schemas.openxmlformats.org/officeDocument/2006/relationships/hyperlink" Target="https://justicia11j.org/" TargetMode="External"/><Relationship Id="rId3" Type="http://schemas.openxmlformats.org/officeDocument/2006/relationships/hyperlink" Target="https://justicia11j.org/cronologia-de-protest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ZKMu4G43n39yh8kwoBLooC1jw==">CgMxLjAyDmgudGx0cjhycWp4eGZhMg5oLmdnaDZwMDZhdmQ4bzgAciExbWlwRUs2cEt4NmtjaFJsaVhocHR3aFNDX3F1b3c0Vks=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