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2F7A1" w14:textId="733EBBFA" w:rsidR="00CD4AFE" w:rsidRPr="00CD4AFE" w:rsidRDefault="00CD4AFE" w:rsidP="00CD4AFE">
      <w:pPr>
        <w:bidi/>
        <w:jc w:val="center"/>
        <w:rPr>
          <w:rFonts w:asciiTheme="majorBidi" w:eastAsia="Dubai" w:hAnsiTheme="majorBidi" w:cstheme="majorBidi"/>
          <w:b/>
          <w:bCs/>
          <w:color w:val="FF0000"/>
          <w:sz w:val="28"/>
          <w:szCs w:val="28"/>
        </w:rPr>
      </w:pPr>
      <w:r w:rsidRPr="007D6D2B">
        <w:rPr>
          <w:rFonts w:asciiTheme="majorBidi" w:eastAsia="Dubai" w:hAnsiTheme="majorBidi" w:cstheme="majorBidi"/>
          <w:b/>
          <w:bCs/>
          <w:color w:val="004E9A"/>
          <w:sz w:val="28"/>
          <w:szCs w:val="28"/>
          <w:rtl/>
        </w:rPr>
        <w:t xml:space="preserve">تقرير مؤسسة ماعت إلى اللجنة المعنية بحالات الاختفاء القسري بخصوص </w:t>
      </w:r>
      <w:r w:rsidRPr="00CD4AFE">
        <w:rPr>
          <w:rFonts w:asciiTheme="majorBidi" w:eastAsia="Dubai" w:hAnsiTheme="majorBidi" w:cstheme="majorBidi"/>
          <w:b/>
          <w:bCs/>
          <w:color w:val="FF0000"/>
          <w:sz w:val="28"/>
          <w:szCs w:val="28"/>
          <w:rtl/>
        </w:rPr>
        <w:t>المملكة المغربية</w:t>
      </w:r>
    </w:p>
    <w:p w14:paraId="47FAA345" w14:textId="75566B46" w:rsidR="00CD4AFE" w:rsidRPr="00CB5F53" w:rsidRDefault="00CD4AFE" w:rsidP="00CD4AFE">
      <w:pPr>
        <w:pBdr>
          <w:bottom w:val="single" w:sz="4" w:space="1" w:color="auto"/>
        </w:pBdr>
        <w:bidi/>
        <w:jc w:val="center"/>
        <w:rPr>
          <w:rFonts w:asciiTheme="majorBidi" w:eastAsia="Dubai" w:hAnsiTheme="majorBidi" w:cstheme="majorBidi"/>
          <w:b/>
          <w:bCs/>
          <w:color w:val="ED0000"/>
          <w:sz w:val="24"/>
          <w:szCs w:val="24"/>
          <w:lang w:bidi="ar-EG"/>
        </w:rPr>
      </w:pPr>
      <w:r w:rsidRPr="00CB5F53">
        <w:rPr>
          <w:rFonts w:asciiTheme="majorBidi" w:eastAsia="Dubai" w:hAnsiTheme="majorBidi" w:cstheme="majorBidi" w:hint="cs"/>
          <w:b/>
          <w:bCs/>
          <w:color w:val="ED0000"/>
          <w:sz w:val="24"/>
          <w:szCs w:val="24"/>
          <w:rtl/>
          <w:lang w:bidi="ar-EG"/>
        </w:rPr>
        <w:t>أغسطس 2024</w:t>
      </w:r>
    </w:p>
    <w:p w14:paraId="1A82A6CB" w14:textId="77777777" w:rsidR="00CD4AFE" w:rsidRPr="00CD4AFE" w:rsidRDefault="00CD4AFE" w:rsidP="00CD4AFE">
      <w:pPr>
        <w:bidi/>
        <w:jc w:val="both"/>
        <w:rPr>
          <w:rFonts w:asciiTheme="majorBidi" w:eastAsia="Dubai" w:hAnsiTheme="majorBidi" w:cstheme="majorBidi"/>
          <w:sz w:val="24"/>
          <w:szCs w:val="24"/>
        </w:rPr>
      </w:pPr>
      <w:bookmarkStart w:id="0" w:name="_gjdgxs" w:colFirst="0" w:colLast="0"/>
      <w:bookmarkEnd w:id="0"/>
      <w:r w:rsidRPr="00CD4AFE">
        <w:rPr>
          <w:rFonts w:asciiTheme="majorBidi" w:eastAsia="Dubai" w:hAnsiTheme="majorBidi" w:cstheme="majorBidi"/>
          <w:sz w:val="24"/>
          <w:szCs w:val="24"/>
          <w:rtl/>
        </w:rPr>
        <w:t>وقعت المملكة المغربية على الاتفاقية الدولية لحماية جميع الأشخاص من الاختفاء القسري (يشار إليها خلال التقرير بالاتفاقية) في فبراير 2007 وصادقت عليها في مايو 2013. ومنذ ذلك الحين باتت ملزمة بالوفاء بالأحكام الواردة بالاتفاقية وموائمة سياساتها وقوانينها الداخلية لها. كما تقدمت المغرب بتقريرها الوطني الأوّلي بشأن تنفيذ الاتفاقية في سبتمبر 2021 إلى اللجنة المعنية بحالات الاختفاء القسري التابعة للأمم المتحدة (اللجنة)، والذي كان من المفترض تقديمه في يونيو 2015 بعد تأخر واضح وغير مبرر من جانب الحكومة المغربية في هذا الشأن.</w:t>
      </w:r>
    </w:p>
    <w:p w14:paraId="21458247" w14:textId="77777777" w:rsidR="00CD4AFE" w:rsidRPr="00CD4AFE" w:rsidRDefault="00CD4AFE" w:rsidP="00CD4AFE">
      <w:pPr>
        <w:bidi/>
        <w:jc w:val="both"/>
        <w:rPr>
          <w:rFonts w:asciiTheme="majorBidi" w:eastAsia="Dubai" w:hAnsiTheme="majorBidi" w:cstheme="majorBidi"/>
          <w:sz w:val="24"/>
          <w:szCs w:val="24"/>
        </w:rPr>
      </w:pPr>
      <w:bookmarkStart w:id="1" w:name="_30j0zll" w:colFirst="0" w:colLast="0"/>
      <w:bookmarkEnd w:id="1"/>
      <w:r w:rsidRPr="00CD4AFE">
        <w:rPr>
          <w:rFonts w:asciiTheme="majorBidi" w:eastAsia="Dubai" w:hAnsiTheme="majorBidi" w:cstheme="majorBidi"/>
          <w:sz w:val="24"/>
          <w:szCs w:val="24"/>
          <w:rtl/>
        </w:rPr>
        <w:t xml:space="preserve">وفي إطار تفاعلها مع اللجنة، تقدم مؤسسة </w:t>
      </w:r>
      <w:r w:rsidRPr="00CD4AFE">
        <w:rPr>
          <w:rFonts w:asciiTheme="majorBidi" w:eastAsia="Dubai" w:hAnsiTheme="majorBidi" w:cstheme="majorBidi"/>
          <w:b/>
          <w:sz w:val="24"/>
          <w:szCs w:val="24"/>
          <w:rtl/>
        </w:rPr>
        <w:t>ماعت للسلام والتنمية وحقوق الإنسان</w:t>
      </w:r>
      <w:r w:rsidRPr="00CD4AFE">
        <w:rPr>
          <w:rFonts w:asciiTheme="majorBidi" w:eastAsia="Dubai" w:hAnsiTheme="majorBidi" w:cstheme="majorBidi"/>
          <w:sz w:val="24"/>
          <w:szCs w:val="24"/>
          <w:rtl/>
        </w:rPr>
        <w:t xml:space="preserve"> التقرير التالي لتقييم مدى وفاء المملكة المغربية بالتزاماتها المنصوص عليها بالاتفاقية بصورة موضوعية، وكذلك لبيان أوجه القصور وتقديم التوصيات اللازمة للسلطات المغربية، وذلك بمناسبة انعقاد الدورة السابعة والعشرين للجنة في الفترة من 23 سبتمبر حتى 4 أكتوبر 2024.</w:t>
      </w:r>
    </w:p>
    <w:p w14:paraId="02A3B10B" w14:textId="0F5E5B23" w:rsidR="00CD4AFE" w:rsidRPr="00CD4AFE" w:rsidRDefault="00CD4AFE" w:rsidP="00CD4AFE">
      <w:pPr>
        <w:bidi/>
        <w:jc w:val="both"/>
        <w:rPr>
          <w:rFonts w:asciiTheme="majorBidi" w:eastAsia="Dubai" w:hAnsiTheme="majorBidi" w:cstheme="majorBidi"/>
          <w:b/>
          <w:bCs/>
          <w:color w:val="ED0000"/>
          <w:sz w:val="28"/>
          <w:szCs w:val="28"/>
        </w:rPr>
      </w:pPr>
      <w:r w:rsidRPr="00CD4AFE">
        <w:rPr>
          <w:rFonts w:asciiTheme="majorBidi" w:eastAsia="Dubai" w:hAnsiTheme="majorBidi" w:cstheme="majorBidi"/>
          <w:b/>
          <w:bCs/>
          <w:color w:val="ED0000"/>
          <w:sz w:val="28"/>
          <w:szCs w:val="28"/>
          <w:rtl/>
        </w:rPr>
        <w:t>تعريف الاختفاء القسري (المادة الثانية)</w:t>
      </w:r>
    </w:p>
    <w:p w14:paraId="5CCB9EE7" w14:textId="77777777"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اطلعت مؤسسة ماعت بتدقيق وتمعن على القوانين المغربية ذات الصلة بالاختفاء القسري، وتبين لنا أن القانون الجنائي المغربي لم يقم بإدراج الاختفاء القسري كجريمة مستقلة بذاتها بما يتوافق مع التعريف الوارد بالمادة الثانية من الاتفاقية حتى الآن بل تتم الإشارة إليه في سياقات مشابهة كالاختطاف والاعتقال التعسفي، إلا إن الفصل 23 من الدستور المغربي لعام 2011 ينص على أن "الاعتقال التعسفي أو السري والاختفاء القسري من أخطر الجرائم وتعرض مقترفيها لأقسى العقوبات".</w:t>
      </w:r>
      <w:r w:rsidRPr="00CD4AFE">
        <w:rPr>
          <w:rFonts w:asciiTheme="majorBidi" w:eastAsia="Dubai" w:hAnsiTheme="majorBidi" w:cstheme="majorBidi"/>
          <w:sz w:val="24"/>
          <w:szCs w:val="24"/>
          <w:vertAlign w:val="superscript"/>
        </w:rPr>
        <w:footnoteReference w:id="1"/>
      </w:r>
    </w:p>
    <w:p w14:paraId="0A9BEEB2" w14:textId="5D5E0537"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 xml:space="preserve">وتكتفي المملكة المغربية بالرد على عدم تناول قوانينها لجريمة الاختفاء القسري بشكل صريح بأنه وفقاً للدستور فإن الاتفاقيات الدولية التي صادقت عليها المغرب وقامت بنشرها، تسمو على كافة القوانين الوطنية ويتم ترجيح كفتها حين التعارض مع قانون مغربي، ما دام ذلك في إطار الدستور وبما لا يتعارض مع الهوية المغربية </w:t>
      </w:r>
      <w:proofErr w:type="spellStart"/>
      <w:r w:rsidRPr="00CD4AFE">
        <w:rPr>
          <w:rFonts w:asciiTheme="majorBidi" w:eastAsia="Dubai" w:hAnsiTheme="majorBidi" w:cstheme="majorBidi"/>
          <w:sz w:val="24"/>
          <w:szCs w:val="24"/>
          <w:rtl/>
        </w:rPr>
        <w:t>وثوابتها</w:t>
      </w:r>
      <w:proofErr w:type="spellEnd"/>
      <w:r w:rsidRPr="00CD4AFE">
        <w:rPr>
          <w:rFonts w:asciiTheme="majorBidi" w:eastAsia="Dubai" w:hAnsiTheme="majorBidi" w:cstheme="majorBidi"/>
          <w:sz w:val="24"/>
          <w:szCs w:val="24"/>
          <w:rtl/>
        </w:rPr>
        <w:t xml:space="preserve"> الوطنية والدينية، وبالتالي فهي تتبنى التعريف الوارد بالاتفاقية للاختفاء القسري بشكل ضمني وغير مباشر حتى لو لم تنص عليه صراحة في قانونها الجنائي.</w:t>
      </w:r>
      <w:r w:rsidRPr="00CD4AFE">
        <w:rPr>
          <w:rFonts w:asciiTheme="majorBidi" w:eastAsia="Dubai" w:hAnsiTheme="majorBidi" w:cstheme="majorBidi"/>
          <w:sz w:val="24"/>
          <w:szCs w:val="24"/>
          <w:vertAlign w:val="superscript"/>
        </w:rPr>
        <w:footnoteReference w:id="2"/>
      </w:r>
    </w:p>
    <w:p w14:paraId="1B20E6ED" w14:textId="7AFAE598"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وترى مؤسسة ماعت أن الاشتراطات الفضفاضة لتطبيق أحكام الاتفاقية داخل المغرب مثل ضرورة التوافق مع الهوية المغربية والثوابت الوطنية والدينية، تعمل على تفريغ اعتراف الدستور بالاتفاقيات الدولية من مضمونه وتحد من نطاق هذا الاعتراف بشكل كبير؛ بفتحها الباب أمام التأويلات التي قد تصدر عن السلطات الرسمية في الدولة للتنصل من التزاماتها بذريعة الحفاظ على قيم معينة. على الجانب الآخر، تلاحظ مؤسسة ماعت أن كل التعريفات التي تم اقتراحها أو مناقشتها للاختفاء القسري خلال السنوات الأخيرة لا تزال مجرد مشروعات قوانين ولم يتم التوافق على معظمها أو اعتمادها بشكل نهائي. تلك التحديات تعيق تنفيذ المادة الثانية من الاتفاقية على وجهها الصحيح، وتعكس تراخي غير مبرر من السلطات المغربية في الوفاء بها.</w:t>
      </w:r>
    </w:p>
    <w:p w14:paraId="5847D7C8" w14:textId="38A66B05" w:rsidR="00CD4AFE" w:rsidRPr="00CD4AFE" w:rsidRDefault="00CD4AFE" w:rsidP="00CD4AFE">
      <w:pPr>
        <w:bidi/>
        <w:jc w:val="both"/>
        <w:rPr>
          <w:rFonts w:asciiTheme="majorBidi" w:eastAsia="Dubai" w:hAnsiTheme="majorBidi" w:cstheme="majorBidi"/>
          <w:b/>
          <w:bCs/>
          <w:color w:val="ED0000"/>
          <w:sz w:val="28"/>
          <w:szCs w:val="28"/>
        </w:rPr>
      </w:pPr>
      <w:r w:rsidRPr="00CD4AFE">
        <w:rPr>
          <w:rFonts w:asciiTheme="majorBidi" w:eastAsia="Dubai" w:hAnsiTheme="majorBidi" w:cstheme="majorBidi"/>
          <w:b/>
          <w:bCs/>
          <w:color w:val="ED0000"/>
          <w:sz w:val="28"/>
          <w:szCs w:val="28"/>
          <w:rtl/>
        </w:rPr>
        <w:t>التحقيق في ادعاءات الاختفاء القسري (المادة الثالثة)</w:t>
      </w:r>
    </w:p>
    <w:p w14:paraId="178FB7BA" w14:textId="32DDDBE1" w:rsidR="00CD4AFE" w:rsidRPr="00CD4AFE" w:rsidRDefault="00CD4AFE" w:rsidP="007D6D2B">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lastRenderedPageBreak/>
        <w:t>تلتزم المغرب وفقاً للمادة الثالثة من الاتفاقية باتخاذ التدابير اللازمة من حيث التحقيق مع المتورطين بجرائم الاختفاء القسري وتقديمهم إلى المحاكمة. ويوفر قانون الإجراءات الجنائية المغربي في مادته (82-5) الحماية القانونية لضحايا هذا النوع من الجرائم، ويسمح لهم بتقديم شكاواهم إلى النيابة العامة أو قاضي التحقيق أو أمام المحكمة، كما يلزم القانون السلطات القضائية بفتح تحقيقات بشأن تلك الشكاوى، واتخاذ التدابير اللازمة لحماية الشاكين وممثليهم والشهود وغيرهم من الأشخاص المشاركين في المراحل المختلفة لعملية التحقيق أو المحاكمة.</w:t>
      </w:r>
      <w:r w:rsidRPr="00CD4AFE">
        <w:rPr>
          <w:rFonts w:asciiTheme="majorBidi" w:eastAsia="Dubai" w:hAnsiTheme="majorBidi" w:cstheme="majorBidi"/>
          <w:sz w:val="24"/>
          <w:szCs w:val="24"/>
          <w:vertAlign w:val="superscript"/>
        </w:rPr>
        <w:footnoteReference w:id="3"/>
      </w:r>
      <w:r w:rsidR="007D6D2B">
        <w:rPr>
          <w:rFonts w:asciiTheme="majorBidi" w:eastAsia="Dubai" w:hAnsiTheme="majorBidi" w:cstheme="majorBidi" w:hint="cs"/>
          <w:sz w:val="24"/>
          <w:szCs w:val="24"/>
          <w:rtl/>
        </w:rPr>
        <w:t xml:space="preserve"> </w:t>
      </w:r>
      <w:r w:rsidRPr="00CD4AFE">
        <w:rPr>
          <w:rFonts w:asciiTheme="majorBidi" w:eastAsia="Dubai" w:hAnsiTheme="majorBidi" w:cstheme="majorBidi"/>
          <w:sz w:val="24"/>
          <w:szCs w:val="24"/>
          <w:rtl/>
        </w:rPr>
        <w:t>وفي هذا الصدد، أشارت تقارير اطلعت عليها مؤسسة ماعت إلى قيام السلطات المغربية بفتح تحقيقات في حالات الاختفاء القسري.</w:t>
      </w:r>
    </w:p>
    <w:p w14:paraId="7F8810BD" w14:textId="54149F9D"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وفي السياق ذاته، لا يزال مصير الناشط السياسي المغربي المعارض المهدي بن بركه مجهولاً حتى ال</w:t>
      </w:r>
      <w:r w:rsidR="007D6D2B">
        <w:rPr>
          <w:rFonts w:asciiTheme="majorBidi" w:eastAsia="Dubai" w:hAnsiTheme="majorBidi" w:cstheme="majorBidi" w:hint="cs"/>
          <w:sz w:val="24"/>
          <w:szCs w:val="24"/>
          <w:rtl/>
        </w:rPr>
        <w:t>آ</w:t>
      </w:r>
      <w:r w:rsidRPr="00CD4AFE">
        <w:rPr>
          <w:rFonts w:asciiTheme="majorBidi" w:eastAsia="Dubai" w:hAnsiTheme="majorBidi" w:cstheme="majorBidi"/>
          <w:sz w:val="24"/>
          <w:szCs w:val="24"/>
          <w:rtl/>
        </w:rPr>
        <w:t>ن، وذلك منذ تعرضه للاختفاء القسري عام 1965، حيث تم اختطافه في باريس بفرنسا، كما اطلعت مؤسسة ماعت على وثائق – تسجيلات – مدعمة بأسماء الضحايا تؤكد تعرض 85 مواطنا صحراويا للاختفاء القسري على يد جبهة البوليساريو منذ عام 1988، ولا تتوافر أي معلومات عنهم حتى ال</w:t>
      </w:r>
      <w:r w:rsidR="007D6D2B">
        <w:rPr>
          <w:rFonts w:asciiTheme="majorBidi" w:eastAsia="Dubai" w:hAnsiTheme="majorBidi" w:cstheme="majorBidi" w:hint="cs"/>
          <w:sz w:val="24"/>
          <w:szCs w:val="24"/>
          <w:rtl/>
        </w:rPr>
        <w:t>آ</w:t>
      </w:r>
      <w:r w:rsidRPr="00CD4AFE">
        <w:rPr>
          <w:rFonts w:asciiTheme="majorBidi" w:eastAsia="Dubai" w:hAnsiTheme="majorBidi" w:cstheme="majorBidi"/>
          <w:sz w:val="24"/>
          <w:szCs w:val="24"/>
          <w:rtl/>
        </w:rPr>
        <w:t>ن.</w:t>
      </w:r>
    </w:p>
    <w:p w14:paraId="21F72F61" w14:textId="77777777"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 xml:space="preserve">وبرغم إنشاء السلطات المغربية هيئة الإنصاف والمصالحة عام 2004 لتولي التحقيق في انتهاكات حقوق الإنسان ومن بينها الاختفاء القسري التي وقعت في الفترة بين 1956 و1999 والمعروفة باسم </w:t>
      </w:r>
      <w:r w:rsidRPr="00CD4AFE">
        <w:rPr>
          <w:rFonts w:asciiTheme="majorBidi" w:eastAsia="Dubai" w:hAnsiTheme="majorBidi" w:cstheme="majorBidi"/>
          <w:b/>
          <w:sz w:val="24"/>
          <w:szCs w:val="24"/>
          <w:rtl/>
        </w:rPr>
        <w:t>سنوات الرصاص</w:t>
      </w:r>
      <w:r w:rsidRPr="00CD4AFE">
        <w:rPr>
          <w:rFonts w:asciiTheme="majorBidi" w:eastAsia="Dubai" w:hAnsiTheme="majorBidi" w:cstheme="majorBidi"/>
          <w:sz w:val="24"/>
          <w:szCs w:val="24"/>
          <w:rtl/>
        </w:rPr>
        <w:t xml:space="preserve">، وبالفعل أظهرت التحقيقات عدد من مواقع الدفن السرية وحددت هوية بعض المختفين كما قدمت تعويضات لعائلات عدد من الضحايا، وخلال فترة عملها، استقبلت الهيئة ما يزيد عن 22,000 شكوى من الضحايا، وتمكنت من التحقيق في حوالي 16,000 حالة وتقديم توصيات بشأنها. كما قدمت الهيئة تعويضات مالية بلغت ما يقارب 85 مليون دولار أمريكي للضحايا وعائلاتهم، وهو ما ساعد في إعادة بناء الثقة بين المواطنين والدولة، وبالرغم من ذلك فإن تقارير حديثة تشير إلى أن التحقيقات توقفت قبل أن تشمل كافة حالات الاختفاء، علاوة على ذلك، أفادت شهادات عائلات بعض المختفين في فترة سنوات الرصاص مثل عائلات عبد اللطيف زروال، أمين التهاني، الحسين </w:t>
      </w:r>
      <w:proofErr w:type="spellStart"/>
      <w:r w:rsidRPr="00CD4AFE">
        <w:rPr>
          <w:rFonts w:asciiTheme="majorBidi" w:eastAsia="Dubai" w:hAnsiTheme="majorBidi" w:cstheme="majorBidi"/>
          <w:sz w:val="24"/>
          <w:szCs w:val="24"/>
          <w:rtl/>
        </w:rPr>
        <w:t>المانوزي</w:t>
      </w:r>
      <w:proofErr w:type="spellEnd"/>
      <w:r w:rsidRPr="00CD4AFE">
        <w:rPr>
          <w:rFonts w:asciiTheme="majorBidi" w:eastAsia="Dubai" w:hAnsiTheme="majorBidi" w:cstheme="majorBidi"/>
          <w:sz w:val="24"/>
          <w:szCs w:val="24"/>
          <w:rtl/>
        </w:rPr>
        <w:t xml:space="preserve">، عبد الحق </w:t>
      </w:r>
      <w:proofErr w:type="spellStart"/>
      <w:r w:rsidRPr="00CD4AFE">
        <w:rPr>
          <w:rFonts w:asciiTheme="majorBidi" w:eastAsia="Dubai" w:hAnsiTheme="majorBidi" w:cstheme="majorBidi"/>
          <w:sz w:val="24"/>
          <w:szCs w:val="24"/>
          <w:rtl/>
        </w:rPr>
        <w:t>الرويسي</w:t>
      </w:r>
      <w:proofErr w:type="spellEnd"/>
      <w:r w:rsidRPr="00CD4AFE">
        <w:rPr>
          <w:rFonts w:asciiTheme="majorBidi" w:eastAsia="Dubai" w:hAnsiTheme="majorBidi" w:cstheme="majorBidi"/>
          <w:sz w:val="24"/>
          <w:szCs w:val="24"/>
          <w:rtl/>
        </w:rPr>
        <w:t xml:space="preserve"> ووزان بلقاسم برفض القضاء المغربي فتح تحقيقات جادة بخصوص الشكاوى التي تقدموا بها للوقوف على مصير أبنائهم المختفين أو الوصول لأماكن دفنهم أو رفاتهم، وتقديم المتورطين بتلك الجرائم للعدالة.</w:t>
      </w:r>
      <w:r w:rsidRPr="00CD4AFE">
        <w:rPr>
          <w:rFonts w:asciiTheme="majorBidi" w:eastAsia="Dubai" w:hAnsiTheme="majorBidi" w:cstheme="majorBidi"/>
          <w:sz w:val="24"/>
          <w:szCs w:val="24"/>
          <w:vertAlign w:val="superscript"/>
        </w:rPr>
        <w:footnoteReference w:id="4"/>
      </w:r>
      <w:r w:rsidRPr="00CD4AFE">
        <w:rPr>
          <w:rFonts w:asciiTheme="majorBidi" w:eastAsia="Dubai" w:hAnsiTheme="majorBidi" w:cstheme="majorBidi"/>
          <w:sz w:val="24"/>
          <w:szCs w:val="24"/>
          <w:rtl/>
        </w:rPr>
        <w:t xml:space="preserve"> كما لا تزال هناك تحديات وقضايا عالقة عدة أمام الهيئة الوطنية للإنصاف والمصالحة تتطلب المزيد من الجهود والمتابعة، فعلى سبيل المثال، لا تزال هناك صعوبات في الحصول على المعلومات الكاملة حول بعض حالات الانتهاكات، خاصة تلك المتعلقة بالاختفاء القسري، كما أن تنفيذ توصيات الهيئة من قبل الحكومة ما زال يواجه بعض التأخير والعقبات، إلى جانب ذلك، هناك حاجة مستمرة لتعزيز برامج المصالحة والتكفل بالضحايا وضمان إدماجهم اجتماعيًا واقتصاديًا، كما أن هناك حاجة لمزيد من الجهود التوعوية والتثقيفية للمجتمع حول أهمية العدالة الانتقالية وضمان عدم تكرار الانتهاكات في المستقبل.</w:t>
      </w:r>
    </w:p>
    <w:p w14:paraId="22E15483" w14:textId="363C3EA0" w:rsidR="00CD4AFE" w:rsidRPr="007D6D2B" w:rsidRDefault="00CD4AFE" w:rsidP="00CD4AFE">
      <w:pPr>
        <w:bidi/>
        <w:jc w:val="both"/>
        <w:rPr>
          <w:rFonts w:asciiTheme="majorBidi" w:eastAsia="Dubai" w:hAnsiTheme="majorBidi" w:cstheme="majorBidi"/>
          <w:b/>
          <w:bCs/>
          <w:color w:val="ED0000"/>
          <w:sz w:val="28"/>
          <w:szCs w:val="28"/>
        </w:rPr>
      </w:pPr>
      <w:r w:rsidRPr="007D6D2B">
        <w:rPr>
          <w:rFonts w:asciiTheme="majorBidi" w:eastAsia="Dubai" w:hAnsiTheme="majorBidi" w:cstheme="majorBidi"/>
          <w:b/>
          <w:bCs/>
          <w:color w:val="ED0000"/>
          <w:sz w:val="28"/>
          <w:szCs w:val="28"/>
          <w:rtl/>
        </w:rPr>
        <w:t>العقوبات على جريمة الاختفاء القسري (المادة السابعة)</w:t>
      </w:r>
    </w:p>
    <w:p w14:paraId="3973E8E0" w14:textId="77777777"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تشترط المادة السابعة من الاتفاقية على الدول الأطراف فرض عقوبات على جريمة الاختفاء القسري تتناسب مع جسامة الفعل المجرم مع أمكانية تشديد العقوبة أو تخفيفها بحسب الأحوال. ونظراً لعدم احتواء القانون الجنائي المغربي على أحكام أو عقوبات خاصة بجريمة الاختفاء القسري من الأساس، فالعقوبات المفروضة لجرائم مشابهة مثل السجن الغير قانوني والاختطاف والاحتجاز التعسفي وذلك تعويضاً للفراغ التشريعي الموجود في هذا الجانب.</w:t>
      </w:r>
    </w:p>
    <w:p w14:paraId="2EB9B790" w14:textId="723F3EDA"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lastRenderedPageBreak/>
        <w:t>وفي هذا السياق، ينص القانون الجنائي المغربي في فصله الرابع من المادة 436 إلى 441، على عدد من الأحكام القانونية التي تستهدف حماية الأشخاص من جرائم الاختطاف أو الاحتجاز التعسفي أو السجن دون إذن برلماني أو حكم قضائي، مع تشديد العقوبات على الجناة في بعض الحالات؛ حيث نصت المادة (436) على أنه "يعاقب بالسجن لمدة تتراوح بين خمس وعشر سنوات كل من يخطف شخصا أو يعتقله أو يسجنه أو يحتجزه دون أمر من السلطات المختصة وفي غير الحالات التي يسمح بها القانون أو يشترط فيها القبض على أشخاص. وإذا استمر الاحتجاز أكثر من 30 يوماً كانت العقوبة السجن من 10 سنوات إلى 20 سنة وفقاً للمادة 437. كما شددت المادة 438 على أنه إذا ارتكب الاعتقال أو الاختطاف إما بارتداء زي أو بحمل شارة نظامية حقيقية أو مشابهة لها، أو على غرار ما هو منصوص عليه في الفصل 384، أو بحمل اسم مزيف أو تقديم مذكرة مزورة عن السلطات الحكومية، كذلك استخدام وسيلة نقل آلية أو التهديد بارتكاب جريمة ضد أشخاص أو ممتلكات، فتكون العقوبة السجن من 20 إلى 30 سنة.</w:t>
      </w:r>
      <w:r w:rsidRPr="00CD4AFE">
        <w:rPr>
          <w:rFonts w:asciiTheme="majorBidi" w:eastAsia="Dubai" w:hAnsiTheme="majorBidi" w:cstheme="majorBidi"/>
          <w:sz w:val="24"/>
          <w:szCs w:val="24"/>
          <w:vertAlign w:val="superscript"/>
        </w:rPr>
        <w:footnoteReference w:id="5"/>
      </w:r>
    </w:p>
    <w:p w14:paraId="63EEDBB7" w14:textId="403B4BE1" w:rsidR="00CD4AFE" w:rsidRPr="007D6D2B" w:rsidRDefault="00CD4AFE" w:rsidP="00CD4AFE">
      <w:pPr>
        <w:bidi/>
        <w:jc w:val="both"/>
        <w:rPr>
          <w:rFonts w:asciiTheme="majorBidi" w:eastAsia="Dubai" w:hAnsiTheme="majorBidi" w:cstheme="majorBidi"/>
          <w:b/>
          <w:bCs/>
          <w:color w:val="ED0000"/>
          <w:sz w:val="28"/>
          <w:szCs w:val="28"/>
        </w:rPr>
      </w:pPr>
      <w:r w:rsidRPr="007D6D2B">
        <w:rPr>
          <w:rFonts w:asciiTheme="majorBidi" w:eastAsia="Dubai" w:hAnsiTheme="majorBidi" w:cstheme="majorBidi"/>
          <w:b/>
          <w:bCs/>
          <w:color w:val="ED0000"/>
          <w:sz w:val="28"/>
          <w:szCs w:val="28"/>
          <w:rtl/>
        </w:rPr>
        <w:t>الولاية القضائية في جريمة الاختفاء القسري (المادة التاسعة)</w:t>
      </w:r>
    </w:p>
    <w:p w14:paraId="5D6FDF6F" w14:textId="44290F4E" w:rsidR="00CD4AFE" w:rsidRPr="00CD4AFE" w:rsidRDefault="00CD4AFE" w:rsidP="00CD4AFE">
      <w:pPr>
        <w:bidi/>
        <w:jc w:val="both"/>
        <w:rPr>
          <w:rFonts w:asciiTheme="majorBidi" w:eastAsia="Dubai" w:hAnsiTheme="majorBidi" w:cstheme="majorBidi"/>
          <w:sz w:val="24"/>
          <w:szCs w:val="24"/>
        </w:rPr>
      </w:pPr>
      <w:r w:rsidRPr="00CD4AFE">
        <w:rPr>
          <w:rFonts w:asciiTheme="majorBidi" w:eastAsia="Dubai" w:hAnsiTheme="majorBidi" w:cstheme="majorBidi"/>
          <w:sz w:val="24"/>
          <w:szCs w:val="24"/>
          <w:rtl/>
        </w:rPr>
        <w:t>تلتزم المغرب وفقاً للمادة التاسعة من الاتفاقية بالبت في جرائم الاختفاء القسري الواقعة داخل حدودها أو أي إقليم خاضع لولايتها وكذلك عندما يكون الجاني أو الضحية من رعاياها. ولاحظت مؤسسة ماعت أن السلطات المغربية خالفت هذا الالتزام في ممارساتها العملية حيث لا يزال بعض رعايا المغرب يتعرضون للاختفاء القسري دون أي تدخل من السلطات المغربية، وهو ما يخالف التزامها بموجب المادة التاسعة فيما يتعلق بالبت في جرائم الاختفاء القسري عندما يكون الجاني أو الضحية من رعاياها، ومن أبرز الأمثلة على ذلك تعرض الناشط الصحراوي البارز الخليل إبراهيم أحمد للاختفاء القسري من مخيمات تندوف للاجئين في جنوب غرب الجزائر منذ عام 2009، ولا يزال مصيره ومكان وجوده مجهولاً منذ ذلك الحين، وتؤكد منظمات حقوقية ونشطاء صحراويين أن الخليل احمد قد اختفي قسرياً علي يد قوات الأمن التابعة لجبهة البوليساريو بعد انتقاداته الصريحة لحكم جبهة البوليساريو، وذلك بتسهيلات من أجهزة الأمن الجزائرية التي تقع مخيمات تندوف علي أراضيها، ورغم كون الخليل احمد مواطناً مغربياً لم تول الجزائر أي اهتمام بالقضية حتي ال</w:t>
      </w:r>
      <w:r w:rsidR="007D6D2B">
        <w:rPr>
          <w:rFonts w:asciiTheme="majorBidi" w:eastAsia="Dubai" w:hAnsiTheme="majorBidi" w:cstheme="majorBidi" w:hint="cs"/>
          <w:sz w:val="24"/>
          <w:szCs w:val="24"/>
          <w:rtl/>
        </w:rPr>
        <w:t>آ</w:t>
      </w:r>
      <w:r w:rsidRPr="00CD4AFE">
        <w:rPr>
          <w:rFonts w:asciiTheme="majorBidi" w:eastAsia="Dubai" w:hAnsiTheme="majorBidi" w:cstheme="majorBidi"/>
          <w:sz w:val="24"/>
          <w:szCs w:val="24"/>
          <w:rtl/>
        </w:rPr>
        <w:t xml:space="preserve">ن، وعلى مدى أكثر من 14 عامًا، فشلت السلطات الجزائرية في تقديم أي معلومات حول مصير ه أو مكان وجوده، كما أنها لم تتخذ أي خطوات لضمان حماية حقوقه الإنسانية الأساسية. </w:t>
      </w:r>
      <w:r w:rsidRPr="00CD4AFE">
        <w:rPr>
          <w:rFonts w:asciiTheme="majorBidi" w:eastAsia="Dubai" w:hAnsiTheme="majorBidi" w:cstheme="majorBidi"/>
          <w:sz w:val="24"/>
          <w:szCs w:val="24"/>
          <w:vertAlign w:val="superscript"/>
        </w:rPr>
        <w:footnoteReference w:id="6"/>
      </w:r>
    </w:p>
    <w:p w14:paraId="27DB8B01" w14:textId="3DDAC2B7" w:rsidR="00CD4AFE" w:rsidRPr="007D6D2B" w:rsidRDefault="00CD4AFE" w:rsidP="00CD4AFE">
      <w:pPr>
        <w:bidi/>
        <w:jc w:val="both"/>
        <w:rPr>
          <w:rFonts w:asciiTheme="majorBidi" w:eastAsia="Dubai" w:hAnsiTheme="majorBidi" w:cstheme="majorBidi"/>
          <w:b/>
          <w:bCs/>
          <w:color w:val="ED0000"/>
          <w:sz w:val="28"/>
          <w:szCs w:val="28"/>
        </w:rPr>
      </w:pPr>
      <w:r w:rsidRPr="007D6D2B">
        <w:rPr>
          <w:rFonts w:asciiTheme="majorBidi" w:eastAsia="Dubai" w:hAnsiTheme="majorBidi" w:cstheme="majorBidi"/>
          <w:b/>
          <w:bCs/>
          <w:color w:val="ED0000"/>
          <w:sz w:val="28"/>
          <w:szCs w:val="28"/>
          <w:rtl/>
        </w:rPr>
        <w:t>توصيات</w:t>
      </w:r>
    </w:p>
    <w:p w14:paraId="2C706B7F" w14:textId="0FB2557E" w:rsidR="00CD4AFE" w:rsidRPr="007D6D2B" w:rsidRDefault="00CD4AFE" w:rsidP="00CD4AFE">
      <w:pPr>
        <w:bidi/>
        <w:jc w:val="both"/>
        <w:rPr>
          <w:rFonts w:asciiTheme="majorBidi" w:eastAsia="Dubai" w:hAnsiTheme="majorBidi" w:cstheme="majorBidi"/>
          <w:bCs/>
          <w:sz w:val="24"/>
          <w:szCs w:val="24"/>
        </w:rPr>
      </w:pPr>
      <w:r w:rsidRPr="007D6D2B">
        <w:rPr>
          <w:rFonts w:asciiTheme="majorBidi" w:eastAsia="Dubai" w:hAnsiTheme="majorBidi" w:cstheme="majorBidi"/>
          <w:bCs/>
          <w:sz w:val="24"/>
          <w:szCs w:val="24"/>
          <w:rtl/>
        </w:rPr>
        <w:t>تتقدم مؤسسة ماعت للسلام والتنمية وحقوق الإنسان بالتوصيات الآتية</w:t>
      </w:r>
    </w:p>
    <w:p w14:paraId="6FD8C193" w14:textId="77777777"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ضرورة المصادقة على نظام روما الأساسي الذي يعتبر الاختفاء القسري جريمة ضد الانسانية عندما يرتكب كجزء من هجوم واسع النطاق أو منهجي ضد أي مجموعة من السكان المدنيين.</w:t>
      </w:r>
    </w:p>
    <w:p w14:paraId="7C35F26F" w14:textId="5980315B" w:rsidR="00CD4AFE" w:rsidRPr="007D6D2B" w:rsidRDefault="00CD4AFE" w:rsidP="007D6D2B">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الحرص على تقديم التقارير الوطنية الدورية إلى هيئات المعاهدات في موعدها المحدد دون تأخير، واحترام الآجال التعاقدية لتقديم التقارير الحكومية بشكل عام.</w:t>
      </w:r>
    </w:p>
    <w:p w14:paraId="3CA291D9" w14:textId="0F4CA936"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 xml:space="preserve">فتح تحقيقات جادة وعاجلة في الشكاوى المقدمة أمام المحاكم المغربية من طرف بعض عائلات ضحايا الاختفاء القسري في مواجهة </w:t>
      </w:r>
      <w:r w:rsidRPr="00CD4AFE">
        <w:rPr>
          <w:rFonts w:asciiTheme="majorBidi" w:eastAsia="Dubai" w:hAnsiTheme="majorBidi" w:cstheme="majorBidi"/>
          <w:sz w:val="24"/>
          <w:szCs w:val="24"/>
          <w:rtl/>
        </w:rPr>
        <w:t xml:space="preserve">اعضاء من جبهة البوليساريو </w:t>
      </w:r>
      <w:r w:rsidRPr="00CD4AFE">
        <w:rPr>
          <w:rFonts w:asciiTheme="majorBidi" w:eastAsia="Dubai" w:hAnsiTheme="majorBidi" w:cstheme="majorBidi"/>
          <w:color w:val="000000"/>
          <w:sz w:val="24"/>
          <w:szCs w:val="24"/>
          <w:rtl/>
        </w:rPr>
        <w:t>وإعلان نتائج التحقيقات للرأي العام المغربي والعالمي.</w:t>
      </w:r>
    </w:p>
    <w:p w14:paraId="43C1FFAF" w14:textId="5B2F2C8B"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كشف مصير الناشط السياسي المغربي المعارض المهدي بن بركه والذي لا يزال مجهولاً حتى ال</w:t>
      </w:r>
      <w:r w:rsidR="007D6D2B">
        <w:rPr>
          <w:rFonts w:asciiTheme="majorBidi" w:eastAsia="Dubai" w:hAnsiTheme="majorBidi" w:cstheme="majorBidi" w:hint="cs"/>
          <w:color w:val="000000"/>
          <w:sz w:val="24"/>
          <w:szCs w:val="24"/>
          <w:rtl/>
        </w:rPr>
        <w:t>آ</w:t>
      </w:r>
      <w:r w:rsidRPr="00CD4AFE">
        <w:rPr>
          <w:rFonts w:asciiTheme="majorBidi" w:eastAsia="Dubai" w:hAnsiTheme="majorBidi" w:cstheme="majorBidi"/>
          <w:color w:val="000000"/>
          <w:sz w:val="24"/>
          <w:szCs w:val="24"/>
          <w:rtl/>
        </w:rPr>
        <w:t>ن، على الرغم من اختفائه منذ عام 1965.</w:t>
      </w:r>
    </w:p>
    <w:p w14:paraId="047AABDA" w14:textId="3A74ACB8"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lastRenderedPageBreak/>
        <w:t>دعوة السلطات ال</w:t>
      </w:r>
      <w:r w:rsidRPr="00CD4AFE">
        <w:rPr>
          <w:rFonts w:asciiTheme="majorBidi" w:eastAsia="Dubai" w:hAnsiTheme="majorBidi" w:cstheme="majorBidi"/>
          <w:sz w:val="24"/>
          <w:szCs w:val="24"/>
          <w:rtl/>
        </w:rPr>
        <w:t xml:space="preserve">جزائرية </w:t>
      </w:r>
      <w:r w:rsidRPr="00CD4AFE">
        <w:rPr>
          <w:rFonts w:asciiTheme="majorBidi" w:eastAsia="Dubai" w:hAnsiTheme="majorBidi" w:cstheme="majorBidi"/>
          <w:color w:val="000000"/>
          <w:sz w:val="24"/>
          <w:szCs w:val="24"/>
          <w:rtl/>
        </w:rPr>
        <w:t>وجبهة البوليساريو إلى الكشف عن مصير 85 مواطنا صحراويا تعرضوا للاختفاء القسري</w:t>
      </w:r>
      <w:r w:rsidRPr="00CD4AFE">
        <w:rPr>
          <w:rFonts w:asciiTheme="majorBidi" w:eastAsia="Dubai" w:hAnsiTheme="majorBidi" w:cstheme="majorBidi"/>
          <w:sz w:val="24"/>
          <w:szCs w:val="24"/>
          <w:rtl/>
        </w:rPr>
        <w:t xml:space="preserve"> </w:t>
      </w:r>
      <w:r w:rsidR="007D6D2B" w:rsidRPr="00CD4AFE">
        <w:rPr>
          <w:rFonts w:asciiTheme="majorBidi" w:eastAsia="Dubai" w:hAnsiTheme="majorBidi" w:cstheme="majorBidi" w:hint="cs"/>
          <w:sz w:val="24"/>
          <w:szCs w:val="24"/>
          <w:rtl/>
        </w:rPr>
        <w:t>في</w:t>
      </w:r>
      <w:r w:rsidRPr="00CD4AFE">
        <w:rPr>
          <w:rFonts w:asciiTheme="majorBidi" w:eastAsia="Dubai" w:hAnsiTheme="majorBidi" w:cstheme="majorBidi"/>
          <w:sz w:val="24"/>
          <w:szCs w:val="24"/>
          <w:rtl/>
        </w:rPr>
        <w:t xml:space="preserve"> مخيمات تندوف منذ سنة 1988</w:t>
      </w:r>
      <w:r w:rsidRPr="00CD4AFE">
        <w:rPr>
          <w:rFonts w:asciiTheme="majorBidi" w:eastAsia="Dubai" w:hAnsiTheme="majorBidi" w:cstheme="majorBidi"/>
          <w:color w:val="000000"/>
          <w:sz w:val="24"/>
          <w:szCs w:val="24"/>
          <w:rtl/>
        </w:rPr>
        <w:t>ولا تتوافر أي معلومات عنهم حتى ال</w:t>
      </w:r>
      <w:r w:rsidR="007D6D2B">
        <w:rPr>
          <w:rFonts w:asciiTheme="majorBidi" w:eastAsia="Dubai" w:hAnsiTheme="majorBidi" w:cstheme="majorBidi" w:hint="cs"/>
          <w:color w:val="000000"/>
          <w:sz w:val="24"/>
          <w:szCs w:val="24"/>
          <w:rtl/>
        </w:rPr>
        <w:t>آ</w:t>
      </w:r>
      <w:r w:rsidRPr="00CD4AFE">
        <w:rPr>
          <w:rFonts w:asciiTheme="majorBidi" w:eastAsia="Dubai" w:hAnsiTheme="majorBidi" w:cstheme="majorBidi"/>
          <w:color w:val="000000"/>
          <w:sz w:val="24"/>
          <w:szCs w:val="24"/>
          <w:rtl/>
        </w:rPr>
        <w:t>ن.</w:t>
      </w:r>
    </w:p>
    <w:p w14:paraId="711F8469" w14:textId="77777777"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دعوة السلطات المغربية المختصة إلى تذليل العقبات للتغلب على التحديات والقضايا العالقة أمام الهيئة الوطنية للإنصاف والمصالحة والتي تتطلب المزيد من الجهود والمتابعة، خاصة صعوبات الحصول على المعلومات الكاملة حول بعض حالات الانتهاكات، خاصة تلك المتعلقة بالاختفاء القسري</w:t>
      </w:r>
    </w:p>
    <w:p w14:paraId="6127B584" w14:textId="77777777"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التعاون مع لجان المعاهدات والإجراءات الخاصة، بما في ذلك الفريق العامل المعني بحالات الاختفاء القسري أو غير الطوعي، وتنفيذ التوصيات الصادرة عنها وتوجيه دعوات دائمة للإجراءات الخاصة لمراقبة الأوضاع داخل المملكة المغربية عن قرب.</w:t>
      </w:r>
    </w:p>
    <w:p w14:paraId="4B6B6F14" w14:textId="77777777"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المراجعة الشاملة للقانون الجنائي المغربي المعمول به حالياً، لملائمته مع مقتضيات الاتفاقية الدولية لحماية جميع الأشخاص من الاختفاء القسري، من حيث الحظر المطلق للاختفاء القسري، وتعريف الاختفاء القسري باعتباره جريمة مستقلة وفرض العقوبات على مرتكبيه بما يتناسب مع خطورة الجريمة.</w:t>
      </w:r>
    </w:p>
    <w:p w14:paraId="73914235" w14:textId="77777777" w:rsidR="00CD4AFE" w:rsidRPr="00CD4AFE" w:rsidRDefault="00CD4AFE" w:rsidP="00CD4AFE">
      <w:pPr>
        <w:numPr>
          <w:ilvl w:val="0"/>
          <w:numId w:val="38"/>
        </w:numPr>
        <w:pBdr>
          <w:top w:val="nil"/>
          <w:left w:val="nil"/>
          <w:bottom w:val="nil"/>
          <w:right w:val="nil"/>
          <w:between w:val="nil"/>
        </w:pBdr>
        <w:bidi/>
        <w:spacing w:after="0"/>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توعية وتدريب الموظفين المكلفين بإنفاذ القانون في المغرب حول ظاهرة الاختفاء القسري، وما يمكن أن يترتب عليها من عقوبات جسيمة، مما يعمل على انحسار تلك الظاهرة.</w:t>
      </w:r>
    </w:p>
    <w:p w14:paraId="26A5D355" w14:textId="5469FF46" w:rsidR="00CD4AFE" w:rsidRPr="00CD4AFE" w:rsidRDefault="00CD4AFE" w:rsidP="00CD4AFE">
      <w:pPr>
        <w:numPr>
          <w:ilvl w:val="0"/>
          <w:numId w:val="38"/>
        </w:numPr>
        <w:pBdr>
          <w:top w:val="nil"/>
          <w:left w:val="nil"/>
          <w:bottom w:val="nil"/>
          <w:right w:val="nil"/>
          <w:between w:val="nil"/>
        </w:pBdr>
        <w:bidi/>
        <w:jc w:val="both"/>
        <w:rPr>
          <w:rFonts w:asciiTheme="majorBidi" w:hAnsiTheme="majorBidi" w:cstheme="majorBidi"/>
          <w:color w:val="000000"/>
          <w:sz w:val="24"/>
          <w:szCs w:val="24"/>
        </w:rPr>
      </w:pPr>
      <w:r w:rsidRPr="00CD4AFE">
        <w:rPr>
          <w:rFonts w:asciiTheme="majorBidi" w:eastAsia="Dubai" w:hAnsiTheme="majorBidi" w:cstheme="majorBidi"/>
          <w:color w:val="000000"/>
          <w:sz w:val="24"/>
          <w:szCs w:val="24"/>
          <w:rtl/>
        </w:rPr>
        <w:t>دعوة السلطات ال</w:t>
      </w:r>
      <w:r w:rsidRPr="00CD4AFE">
        <w:rPr>
          <w:rFonts w:asciiTheme="majorBidi" w:eastAsia="Dubai" w:hAnsiTheme="majorBidi" w:cstheme="majorBidi"/>
          <w:sz w:val="24"/>
          <w:szCs w:val="24"/>
          <w:rtl/>
        </w:rPr>
        <w:t xml:space="preserve">جزائرية والجماعة المسلحة جبهة البوليساريو </w:t>
      </w:r>
      <w:r w:rsidRPr="00CD4AFE">
        <w:rPr>
          <w:rFonts w:asciiTheme="majorBidi" w:eastAsia="Dubai" w:hAnsiTheme="majorBidi" w:cstheme="majorBidi"/>
          <w:color w:val="000000"/>
          <w:sz w:val="24"/>
          <w:szCs w:val="24"/>
          <w:rtl/>
        </w:rPr>
        <w:t>الي الالتزام بما تنص عليه المادة 9 من الاتفاقية الدولية لحماية جميع الأشخاص من الاختفاء القسري، خاصة ما يتعلق بالبت في جرائم الاختفاء</w:t>
      </w:r>
      <w:r w:rsidRPr="00CD4AFE">
        <w:rPr>
          <w:rFonts w:asciiTheme="majorBidi" w:eastAsia="Dubai" w:hAnsiTheme="majorBidi" w:cstheme="majorBidi"/>
          <w:sz w:val="24"/>
          <w:szCs w:val="24"/>
          <w:rtl/>
        </w:rPr>
        <w:t xml:space="preserve"> القسري </w:t>
      </w:r>
      <w:r w:rsidRPr="00CD4AFE">
        <w:rPr>
          <w:rFonts w:asciiTheme="majorBidi" w:eastAsia="Dubai" w:hAnsiTheme="majorBidi" w:cstheme="majorBidi"/>
          <w:color w:val="000000"/>
          <w:sz w:val="24"/>
          <w:szCs w:val="24"/>
          <w:rtl/>
        </w:rPr>
        <w:t>وتطبيق ذلك على حالة الناشط الصحراوي البارز الخليل إبراهيم أحمد.</w:t>
      </w:r>
    </w:p>
    <w:p w14:paraId="42A922E5" w14:textId="6BBEBF00" w:rsidR="00CD4AFE" w:rsidRPr="00CD4AFE" w:rsidRDefault="00CD4AFE" w:rsidP="00CD4AFE">
      <w:pPr>
        <w:numPr>
          <w:ilvl w:val="0"/>
          <w:numId w:val="38"/>
        </w:numPr>
        <w:pBdr>
          <w:top w:val="nil"/>
          <w:left w:val="nil"/>
          <w:bottom w:val="nil"/>
          <w:right w:val="nil"/>
          <w:between w:val="nil"/>
        </w:pBdr>
        <w:bidi/>
        <w:jc w:val="both"/>
        <w:rPr>
          <w:rFonts w:asciiTheme="majorBidi" w:hAnsiTheme="majorBidi" w:cstheme="majorBidi"/>
          <w:sz w:val="24"/>
          <w:szCs w:val="24"/>
        </w:rPr>
      </w:pPr>
      <w:r w:rsidRPr="00CD4AFE">
        <w:rPr>
          <w:rFonts w:asciiTheme="majorBidi" w:eastAsia="Dubai" w:hAnsiTheme="majorBidi" w:cstheme="majorBidi"/>
          <w:sz w:val="24"/>
          <w:szCs w:val="24"/>
          <w:rtl/>
        </w:rPr>
        <w:t xml:space="preserve">دعوة المنظمات الدولية إلى رفع دعاوى قضائية أمام المحاكم </w:t>
      </w:r>
      <w:r w:rsidR="007D6D2B" w:rsidRPr="00CD4AFE">
        <w:rPr>
          <w:rFonts w:asciiTheme="majorBidi" w:eastAsia="Dubai" w:hAnsiTheme="majorBidi" w:cstheme="majorBidi" w:hint="cs"/>
          <w:sz w:val="24"/>
          <w:szCs w:val="24"/>
          <w:rtl/>
        </w:rPr>
        <w:t>ال</w:t>
      </w:r>
      <w:r w:rsidR="007D6D2B">
        <w:rPr>
          <w:rFonts w:asciiTheme="majorBidi" w:eastAsia="Dubai" w:hAnsiTheme="majorBidi" w:cstheme="majorBidi" w:hint="cs"/>
          <w:sz w:val="24"/>
          <w:szCs w:val="24"/>
          <w:rtl/>
        </w:rPr>
        <w:t>إ</w:t>
      </w:r>
      <w:r w:rsidR="007D6D2B" w:rsidRPr="00CD4AFE">
        <w:rPr>
          <w:rFonts w:asciiTheme="majorBidi" w:eastAsia="Dubai" w:hAnsiTheme="majorBidi" w:cstheme="majorBidi" w:hint="cs"/>
          <w:sz w:val="24"/>
          <w:szCs w:val="24"/>
          <w:rtl/>
        </w:rPr>
        <w:t>قليمية</w:t>
      </w:r>
      <w:r w:rsidRPr="00CD4AFE">
        <w:rPr>
          <w:rFonts w:asciiTheme="majorBidi" w:eastAsia="Dubai" w:hAnsiTheme="majorBidi" w:cstheme="majorBidi"/>
          <w:sz w:val="24"/>
          <w:szCs w:val="24"/>
          <w:rtl/>
        </w:rPr>
        <w:t xml:space="preserve"> والدولية ضد أعضاء من جبهة البوليساريو ومسؤوليتهم عن الاختفاء القسري لأكثر من 85 مواطننا صحراوي </w:t>
      </w:r>
      <w:r w:rsidR="007D6D2B" w:rsidRPr="00CD4AFE">
        <w:rPr>
          <w:rFonts w:asciiTheme="majorBidi" w:eastAsia="Dubai" w:hAnsiTheme="majorBidi" w:cstheme="majorBidi" w:hint="cs"/>
          <w:sz w:val="24"/>
          <w:szCs w:val="24"/>
          <w:rtl/>
        </w:rPr>
        <w:t>في</w:t>
      </w:r>
      <w:r w:rsidRPr="00CD4AFE">
        <w:rPr>
          <w:rFonts w:asciiTheme="majorBidi" w:eastAsia="Dubai" w:hAnsiTheme="majorBidi" w:cstheme="majorBidi"/>
          <w:sz w:val="24"/>
          <w:szCs w:val="24"/>
          <w:rtl/>
        </w:rPr>
        <w:t xml:space="preserve"> مخيمات تندوف.</w:t>
      </w:r>
    </w:p>
    <w:p w14:paraId="0B2E4F0B" w14:textId="5F2C44B0" w:rsidR="00F871C7" w:rsidRPr="00CD4AFE" w:rsidRDefault="00F871C7" w:rsidP="00CD4AFE">
      <w:pPr>
        <w:bidi/>
        <w:jc w:val="both"/>
        <w:rPr>
          <w:rFonts w:asciiTheme="majorBidi" w:hAnsiTheme="majorBidi" w:cstheme="majorBidi"/>
          <w:sz w:val="24"/>
          <w:szCs w:val="24"/>
          <w:rtl/>
        </w:rPr>
      </w:pPr>
    </w:p>
    <w:sectPr w:rsidR="00F871C7" w:rsidRPr="00CD4AFE"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FF937" w14:textId="77777777" w:rsidR="00D22766" w:rsidRDefault="00D22766" w:rsidP="004F6D5A">
      <w:pPr>
        <w:spacing w:after="0" w:line="240" w:lineRule="auto"/>
      </w:pPr>
      <w:r>
        <w:separator/>
      </w:r>
    </w:p>
  </w:endnote>
  <w:endnote w:type="continuationSeparator" w:id="0">
    <w:p w14:paraId="631AEBE8" w14:textId="77777777" w:rsidR="00D22766" w:rsidRDefault="00D2276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Noto Sans Symbols">
    <w:charset w:val="00"/>
    <w:family w:val="auto"/>
    <w:pitch w:val="default"/>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1CDCF" w14:textId="77777777" w:rsidR="00D22766" w:rsidRDefault="00D22766" w:rsidP="004F6D5A">
      <w:pPr>
        <w:spacing w:after="0" w:line="240" w:lineRule="auto"/>
      </w:pPr>
      <w:r>
        <w:separator/>
      </w:r>
    </w:p>
  </w:footnote>
  <w:footnote w:type="continuationSeparator" w:id="0">
    <w:p w14:paraId="542FA476" w14:textId="77777777" w:rsidR="00D22766" w:rsidRDefault="00D22766" w:rsidP="004F6D5A">
      <w:pPr>
        <w:spacing w:after="0" w:line="240" w:lineRule="auto"/>
      </w:pPr>
      <w:r>
        <w:continuationSeparator/>
      </w:r>
    </w:p>
  </w:footnote>
  <w:footnote w:id="1">
    <w:p w14:paraId="6DAC7BD0" w14:textId="77777777" w:rsidR="00CD4AFE" w:rsidRPr="00CD4AFE" w:rsidRDefault="00CD4AFE" w:rsidP="00CD4AFE">
      <w:pPr>
        <w:bidi/>
        <w:spacing w:after="0" w:line="240" w:lineRule="auto"/>
        <w:rPr>
          <w:rFonts w:asciiTheme="majorBidi" w:hAnsiTheme="majorBidi" w:cstheme="majorBidi"/>
          <w:sz w:val="20"/>
          <w:szCs w:val="20"/>
        </w:rPr>
      </w:pPr>
      <w:r w:rsidRPr="00CD4AFE">
        <w:rPr>
          <w:rFonts w:asciiTheme="majorBidi" w:hAnsiTheme="majorBidi" w:cstheme="majorBidi"/>
          <w:sz w:val="20"/>
          <w:szCs w:val="20"/>
          <w:vertAlign w:val="superscript"/>
        </w:rPr>
        <w:footnoteRef/>
      </w:r>
      <w:r w:rsidRPr="00CD4AFE">
        <w:rPr>
          <w:rFonts w:asciiTheme="majorBidi" w:hAnsiTheme="majorBidi" w:cstheme="majorBidi"/>
          <w:sz w:val="20"/>
          <w:szCs w:val="20"/>
          <w:rtl/>
        </w:rPr>
        <w:t xml:space="preserve"> بيان الجمعية المغربية لحقوق الانسان بمناسبة اليوم الدولي لضحايا الاختفاء القسري 30 غشت، الجمعية المغربية لحقوق الإنسان، </w:t>
      </w:r>
      <w:hyperlink r:id="rId1">
        <w:r w:rsidRPr="00CD4AFE">
          <w:rPr>
            <w:rFonts w:asciiTheme="majorBidi" w:hAnsiTheme="majorBidi" w:cstheme="majorBidi"/>
            <w:color w:val="1155CC"/>
            <w:sz w:val="20"/>
            <w:szCs w:val="20"/>
            <w:u w:val="single"/>
          </w:rPr>
          <w:t>https://2h.ae/xdRq</w:t>
        </w:r>
      </w:hyperlink>
      <w:r w:rsidRPr="00CD4AFE">
        <w:rPr>
          <w:rFonts w:asciiTheme="majorBidi" w:hAnsiTheme="majorBidi" w:cstheme="majorBidi"/>
          <w:sz w:val="20"/>
          <w:szCs w:val="20"/>
        </w:rPr>
        <w:t xml:space="preserve"> </w:t>
      </w:r>
    </w:p>
  </w:footnote>
  <w:footnote w:id="2">
    <w:p w14:paraId="0D16C57D" w14:textId="77777777" w:rsidR="00CD4AFE" w:rsidRPr="00CD4AFE" w:rsidRDefault="00CD4AFE" w:rsidP="00CD4AFE">
      <w:pPr>
        <w:bidi/>
        <w:spacing w:after="0" w:line="240" w:lineRule="auto"/>
        <w:rPr>
          <w:rFonts w:asciiTheme="majorBidi" w:hAnsiTheme="majorBidi" w:cstheme="majorBidi"/>
          <w:sz w:val="20"/>
          <w:szCs w:val="20"/>
        </w:rPr>
      </w:pPr>
      <w:r w:rsidRPr="00CD4AFE">
        <w:rPr>
          <w:rFonts w:asciiTheme="majorBidi" w:hAnsiTheme="majorBidi" w:cstheme="majorBidi"/>
          <w:sz w:val="20"/>
          <w:szCs w:val="20"/>
          <w:vertAlign w:val="superscript"/>
        </w:rPr>
        <w:footnoteRef/>
      </w:r>
      <w:r w:rsidRPr="00CD4AFE">
        <w:rPr>
          <w:rFonts w:asciiTheme="majorBidi" w:hAnsiTheme="majorBidi" w:cstheme="majorBidi"/>
          <w:sz w:val="20"/>
          <w:szCs w:val="20"/>
          <w:rtl/>
        </w:rPr>
        <w:t xml:space="preserve"> الرد على قائمة المسائل، المغرب - سبتمبر 2023، </w:t>
      </w:r>
      <w:hyperlink r:id="rId2">
        <w:r w:rsidRPr="00CD4AFE">
          <w:rPr>
            <w:rFonts w:asciiTheme="majorBidi" w:hAnsiTheme="majorBidi" w:cstheme="majorBidi"/>
            <w:color w:val="1155CC"/>
            <w:sz w:val="20"/>
            <w:szCs w:val="20"/>
            <w:u w:val="single"/>
          </w:rPr>
          <w:t>https://2h.ae/PPSg</w:t>
        </w:r>
      </w:hyperlink>
      <w:r w:rsidRPr="00CD4AFE">
        <w:rPr>
          <w:rFonts w:asciiTheme="majorBidi" w:hAnsiTheme="majorBidi" w:cstheme="majorBidi"/>
          <w:sz w:val="20"/>
          <w:szCs w:val="20"/>
        </w:rPr>
        <w:t xml:space="preserve"> </w:t>
      </w:r>
    </w:p>
  </w:footnote>
  <w:footnote w:id="3">
    <w:p w14:paraId="3DA307AE" w14:textId="77777777" w:rsidR="00CD4AFE" w:rsidRPr="00CD4AFE" w:rsidRDefault="00CD4AFE" w:rsidP="00CD4AFE">
      <w:pPr>
        <w:pBdr>
          <w:top w:val="nil"/>
          <w:left w:val="nil"/>
          <w:bottom w:val="nil"/>
          <w:right w:val="nil"/>
          <w:between w:val="nil"/>
        </w:pBdr>
        <w:bidi/>
        <w:spacing w:after="0" w:line="240" w:lineRule="auto"/>
        <w:rPr>
          <w:rFonts w:asciiTheme="majorBidi" w:hAnsiTheme="majorBidi" w:cstheme="majorBidi"/>
          <w:color w:val="000000"/>
          <w:sz w:val="20"/>
          <w:szCs w:val="20"/>
        </w:rPr>
      </w:pPr>
      <w:r w:rsidRPr="00CD4AFE">
        <w:rPr>
          <w:rFonts w:asciiTheme="majorBidi" w:hAnsiTheme="majorBidi" w:cstheme="majorBidi"/>
          <w:sz w:val="20"/>
          <w:szCs w:val="20"/>
          <w:vertAlign w:val="superscript"/>
        </w:rPr>
        <w:footnoteRef/>
      </w:r>
      <w:r w:rsidRPr="00CD4AFE">
        <w:rPr>
          <w:rFonts w:asciiTheme="majorBidi" w:eastAsia="Sakkal Majalla" w:hAnsiTheme="majorBidi" w:cstheme="majorBidi"/>
          <w:color w:val="000000"/>
          <w:sz w:val="20"/>
          <w:szCs w:val="20"/>
          <w:rtl/>
        </w:rPr>
        <w:t xml:space="preserve"> قانون المسطرة الجنائية، المملكة المغربية – وزارة العدل، </w:t>
      </w:r>
      <w:hyperlink r:id="rId3">
        <w:r w:rsidRPr="00CD4AFE">
          <w:rPr>
            <w:rFonts w:asciiTheme="majorBidi" w:eastAsia="Sakkal Majalla" w:hAnsiTheme="majorBidi" w:cstheme="majorBidi"/>
            <w:color w:val="0563C1"/>
            <w:sz w:val="20"/>
            <w:szCs w:val="20"/>
            <w:u w:val="single"/>
          </w:rPr>
          <w:t>https://2h.ae/DShJ</w:t>
        </w:r>
      </w:hyperlink>
      <w:r w:rsidRPr="00CD4AFE">
        <w:rPr>
          <w:rFonts w:asciiTheme="majorBidi" w:eastAsia="Sakkal Majalla" w:hAnsiTheme="majorBidi" w:cstheme="majorBidi"/>
          <w:color w:val="000000"/>
          <w:sz w:val="20"/>
          <w:szCs w:val="20"/>
        </w:rPr>
        <w:t xml:space="preserve"> </w:t>
      </w:r>
    </w:p>
  </w:footnote>
  <w:footnote w:id="4">
    <w:p w14:paraId="326A6BB0" w14:textId="77777777" w:rsidR="00CD4AFE" w:rsidRPr="00CD4AFE" w:rsidRDefault="00CD4AFE" w:rsidP="00CD4AFE">
      <w:pPr>
        <w:pBdr>
          <w:top w:val="nil"/>
          <w:left w:val="nil"/>
          <w:bottom w:val="nil"/>
          <w:right w:val="nil"/>
          <w:between w:val="nil"/>
        </w:pBdr>
        <w:bidi/>
        <w:spacing w:after="0" w:line="240" w:lineRule="auto"/>
        <w:rPr>
          <w:rFonts w:asciiTheme="majorBidi" w:hAnsiTheme="majorBidi" w:cstheme="majorBidi"/>
          <w:color w:val="000000"/>
          <w:sz w:val="20"/>
          <w:szCs w:val="20"/>
        </w:rPr>
      </w:pPr>
      <w:r w:rsidRPr="00CD4AFE">
        <w:rPr>
          <w:rFonts w:asciiTheme="majorBidi" w:hAnsiTheme="majorBidi" w:cstheme="majorBidi"/>
          <w:sz w:val="20"/>
          <w:szCs w:val="20"/>
          <w:vertAlign w:val="superscript"/>
        </w:rPr>
        <w:footnoteRef/>
      </w:r>
      <w:r w:rsidRPr="00CD4AFE">
        <w:rPr>
          <w:rFonts w:asciiTheme="majorBidi" w:eastAsia="Sakkal Majalla" w:hAnsiTheme="majorBidi" w:cstheme="majorBidi"/>
          <w:color w:val="000000"/>
          <w:sz w:val="20"/>
          <w:szCs w:val="20"/>
          <w:rtl/>
        </w:rPr>
        <w:t xml:space="preserve"> منذ "سنوات الرصاص".. عائلات الضحايا تطالب المغرب بالكشف عن "الحقيقة"، الحرة، </w:t>
      </w:r>
      <w:hyperlink r:id="rId4">
        <w:r w:rsidRPr="00CD4AFE">
          <w:rPr>
            <w:rFonts w:asciiTheme="majorBidi" w:eastAsia="Sakkal Majalla" w:hAnsiTheme="majorBidi" w:cstheme="majorBidi"/>
            <w:color w:val="0563C1"/>
            <w:sz w:val="20"/>
            <w:szCs w:val="20"/>
            <w:u w:val="single"/>
          </w:rPr>
          <w:t>https://2h.ae/kSDo</w:t>
        </w:r>
      </w:hyperlink>
      <w:r w:rsidRPr="00CD4AFE">
        <w:rPr>
          <w:rFonts w:asciiTheme="majorBidi" w:eastAsia="Sakkal Majalla" w:hAnsiTheme="majorBidi" w:cstheme="majorBidi"/>
          <w:color w:val="000000"/>
          <w:sz w:val="20"/>
          <w:szCs w:val="20"/>
        </w:rPr>
        <w:t xml:space="preserve"> </w:t>
      </w:r>
    </w:p>
  </w:footnote>
  <w:footnote w:id="5">
    <w:p w14:paraId="37B211BC" w14:textId="77777777" w:rsidR="00CD4AFE" w:rsidRPr="00CD4AFE" w:rsidRDefault="00CD4AFE" w:rsidP="00CD4AFE">
      <w:pPr>
        <w:pBdr>
          <w:top w:val="nil"/>
          <w:left w:val="nil"/>
          <w:bottom w:val="nil"/>
          <w:right w:val="nil"/>
          <w:between w:val="nil"/>
        </w:pBdr>
        <w:bidi/>
        <w:spacing w:after="0" w:line="240" w:lineRule="auto"/>
        <w:rPr>
          <w:rFonts w:asciiTheme="majorBidi" w:hAnsiTheme="majorBidi" w:cstheme="majorBidi"/>
          <w:color w:val="000000"/>
          <w:sz w:val="20"/>
          <w:szCs w:val="20"/>
        </w:rPr>
      </w:pPr>
      <w:r w:rsidRPr="00CD4AFE">
        <w:rPr>
          <w:rFonts w:asciiTheme="majorBidi" w:hAnsiTheme="majorBidi" w:cstheme="majorBidi"/>
          <w:sz w:val="20"/>
          <w:szCs w:val="20"/>
          <w:vertAlign w:val="superscript"/>
        </w:rPr>
        <w:footnoteRef/>
      </w:r>
      <w:r w:rsidRPr="00CD4AFE">
        <w:rPr>
          <w:rFonts w:asciiTheme="majorBidi" w:eastAsia="Sakkal Majalla" w:hAnsiTheme="majorBidi" w:cstheme="majorBidi"/>
          <w:color w:val="000000"/>
          <w:sz w:val="20"/>
          <w:szCs w:val="20"/>
          <w:rtl/>
        </w:rPr>
        <w:t xml:space="preserve"> مجموعة القانون الجنائي المغربي، </w:t>
      </w:r>
      <w:hyperlink r:id="rId5">
        <w:r w:rsidRPr="00CD4AFE">
          <w:rPr>
            <w:rFonts w:asciiTheme="majorBidi" w:eastAsia="Sakkal Majalla" w:hAnsiTheme="majorBidi" w:cstheme="majorBidi"/>
            <w:color w:val="1155CC"/>
            <w:sz w:val="20"/>
            <w:szCs w:val="20"/>
            <w:u w:val="single"/>
          </w:rPr>
          <w:t>https://adala.justice.gov.ma/reference/html/Ar/77323.htm</w:t>
        </w:r>
      </w:hyperlink>
    </w:p>
  </w:footnote>
  <w:footnote w:id="6">
    <w:p w14:paraId="455F281F" w14:textId="77777777" w:rsidR="00CD4AFE" w:rsidRPr="00CD4AFE" w:rsidRDefault="00CD4AFE" w:rsidP="00CD4AFE">
      <w:pPr>
        <w:pBdr>
          <w:top w:val="nil"/>
          <w:left w:val="nil"/>
          <w:bottom w:val="nil"/>
          <w:right w:val="nil"/>
          <w:between w:val="nil"/>
        </w:pBdr>
        <w:bidi/>
        <w:spacing w:after="0" w:line="240" w:lineRule="auto"/>
        <w:rPr>
          <w:rFonts w:asciiTheme="majorBidi" w:hAnsiTheme="majorBidi" w:cstheme="majorBidi"/>
          <w:color w:val="000000"/>
          <w:sz w:val="20"/>
          <w:szCs w:val="20"/>
        </w:rPr>
      </w:pPr>
      <w:r w:rsidRPr="00CD4AFE">
        <w:rPr>
          <w:rFonts w:asciiTheme="majorBidi" w:hAnsiTheme="majorBidi" w:cstheme="majorBidi"/>
          <w:sz w:val="20"/>
          <w:szCs w:val="20"/>
          <w:vertAlign w:val="superscript"/>
        </w:rPr>
        <w:footnoteRef/>
      </w:r>
      <w:r w:rsidRPr="00CD4AFE">
        <w:rPr>
          <w:rFonts w:asciiTheme="majorBidi" w:eastAsia="Sakkal Majalla" w:hAnsiTheme="majorBidi" w:cstheme="majorBidi"/>
          <w:color w:val="000000"/>
          <w:sz w:val="20"/>
          <w:szCs w:val="20"/>
        </w:rPr>
        <w:t xml:space="preserve">  Written statement* submitted by Réseau </w:t>
      </w:r>
      <w:proofErr w:type="spellStart"/>
      <w:r w:rsidRPr="00CD4AFE">
        <w:rPr>
          <w:rFonts w:asciiTheme="majorBidi" w:eastAsia="Sakkal Majalla" w:hAnsiTheme="majorBidi" w:cstheme="majorBidi"/>
          <w:color w:val="000000"/>
          <w:sz w:val="20"/>
          <w:szCs w:val="20"/>
        </w:rPr>
        <w:t>Unité</w:t>
      </w:r>
      <w:proofErr w:type="spellEnd"/>
      <w:r w:rsidRPr="00CD4AFE">
        <w:rPr>
          <w:rFonts w:asciiTheme="majorBidi" w:eastAsia="Sakkal Majalla" w:hAnsiTheme="majorBidi" w:cstheme="majorBidi"/>
          <w:color w:val="000000"/>
          <w:sz w:val="20"/>
          <w:szCs w:val="20"/>
        </w:rPr>
        <w:t xml:space="preserve"> pour le </w:t>
      </w:r>
      <w:proofErr w:type="spellStart"/>
      <w:r w:rsidRPr="00CD4AFE">
        <w:rPr>
          <w:rFonts w:asciiTheme="majorBidi" w:eastAsia="Sakkal Majalla" w:hAnsiTheme="majorBidi" w:cstheme="majorBidi"/>
          <w:color w:val="000000"/>
          <w:sz w:val="20"/>
          <w:szCs w:val="20"/>
        </w:rPr>
        <w:t>Développement</w:t>
      </w:r>
      <w:proofErr w:type="spellEnd"/>
      <w:r w:rsidRPr="00CD4AFE">
        <w:rPr>
          <w:rFonts w:asciiTheme="majorBidi" w:eastAsia="Sakkal Majalla" w:hAnsiTheme="majorBidi" w:cstheme="majorBidi"/>
          <w:color w:val="000000"/>
          <w:sz w:val="20"/>
          <w:szCs w:val="20"/>
        </w:rPr>
        <w:t xml:space="preserve"> de </w:t>
      </w:r>
      <w:proofErr w:type="spellStart"/>
      <w:r w:rsidRPr="00CD4AFE">
        <w:rPr>
          <w:rFonts w:asciiTheme="majorBidi" w:eastAsia="Sakkal Majalla" w:hAnsiTheme="majorBidi" w:cstheme="majorBidi"/>
          <w:color w:val="000000"/>
          <w:sz w:val="20"/>
          <w:szCs w:val="20"/>
        </w:rPr>
        <w:t>Mauritanie</w:t>
      </w:r>
      <w:proofErr w:type="spellEnd"/>
      <w:r w:rsidRPr="00CD4AFE">
        <w:rPr>
          <w:rFonts w:asciiTheme="majorBidi" w:eastAsia="Sakkal Majalla" w:hAnsiTheme="majorBidi" w:cstheme="majorBidi"/>
          <w:color w:val="000000"/>
          <w:sz w:val="20"/>
          <w:szCs w:val="20"/>
        </w:rPr>
        <w:t>, a non-governmental organization in special consultative status, A/HRC/57/NGO/177, 14 August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39A3A78"/>
    <w:multiLevelType w:val="multilevel"/>
    <w:tmpl w:val="AC76AEF8"/>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8"/>
  </w:num>
  <w:num w:numId="7" w16cid:durableId="1975796718">
    <w:abstractNumId w:val="33"/>
  </w:num>
  <w:num w:numId="8" w16cid:durableId="168910388">
    <w:abstractNumId w:val="36"/>
  </w:num>
  <w:num w:numId="9" w16cid:durableId="864364265">
    <w:abstractNumId w:val="26"/>
  </w:num>
  <w:num w:numId="10" w16cid:durableId="1110662610">
    <w:abstractNumId w:val="29"/>
  </w:num>
  <w:num w:numId="11" w16cid:durableId="48504678">
    <w:abstractNumId w:val="21"/>
  </w:num>
  <w:num w:numId="12" w16cid:durableId="1057243330">
    <w:abstractNumId w:val="35"/>
  </w:num>
  <w:num w:numId="13" w16cid:durableId="113838224">
    <w:abstractNumId w:val="19"/>
  </w:num>
  <w:num w:numId="14" w16cid:durableId="1819300015">
    <w:abstractNumId w:val="7"/>
  </w:num>
  <w:num w:numId="15" w16cid:durableId="1354769003">
    <w:abstractNumId w:val="25"/>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7"/>
  </w:num>
  <w:num w:numId="22" w16cid:durableId="1106846340">
    <w:abstractNumId w:val="11"/>
  </w:num>
  <w:num w:numId="23" w16cid:durableId="1120413215">
    <w:abstractNumId w:val="15"/>
  </w:num>
  <w:num w:numId="24" w16cid:durableId="884490536">
    <w:abstractNumId w:val="27"/>
  </w:num>
  <w:num w:numId="25" w16cid:durableId="1098991049">
    <w:abstractNumId w:val="31"/>
  </w:num>
  <w:num w:numId="26" w16cid:durableId="631596808">
    <w:abstractNumId w:val="8"/>
  </w:num>
  <w:num w:numId="27" w16cid:durableId="1306087360">
    <w:abstractNumId w:val="6"/>
  </w:num>
  <w:num w:numId="28" w16cid:durableId="909191109">
    <w:abstractNumId w:val="22"/>
  </w:num>
  <w:num w:numId="29" w16cid:durableId="556204899">
    <w:abstractNumId w:val="23"/>
  </w:num>
  <w:num w:numId="30" w16cid:durableId="1668284805">
    <w:abstractNumId w:val="14"/>
  </w:num>
  <w:num w:numId="31" w16cid:durableId="1777868951">
    <w:abstractNumId w:val="20"/>
  </w:num>
  <w:num w:numId="32" w16cid:durableId="1614898655">
    <w:abstractNumId w:val="5"/>
  </w:num>
  <w:num w:numId="33" w16cid:durableId="364449577">
    <w:abstractNumId w:val="10"/>
  </w:num>
  <w:num w:numId="34" w16cid:durableId="248081818">
    <w:abstractNumId w:val="34"/>
  </w:num>
  <w:num w:numId="35" w16cid:durableId="1742749116">
    <w:abstractNumId w:val="32"/>
  </w:num>
  <w:num w:numId="36" w16cid:durableId="1632056943">
    <w:abstractNumId w:val="24"/>
  </w:num>
  <w:num w:numId="37" w16cid:durableId="16198188">
    <w:abstractNumId w:val="30"/>
  </w:num>
  <w:num w:numId="38" w16cid:durableId="2584935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A6E66"/>
    <w:rsid w:val="001D0FC4"/>
    <w:rsid w:val="001D532C"/>
    <w:rsid w:val="001D6213"/>
    <w:rsid w:val="002257CD"/>
    <w:rsid w:val="002305C5"/>
    <w:rsid w:val="00284AAE"/>
    <w:rsid w:val="002876FE"/>
    <w:rsid w:val="002D0B34"/>
    <w:rsid w:val="002D5B01"/>
    <w:rsid w:val="003319F3"/>
    <w:rsid w:val="003439F7"/>
    <w:rsid w:val="00360DAB"/>
    <w:rsid w:val="00372B51"/>
    <w:rsid w:val="0038184B"/>
    <w:rsid w:val="003A1F96"/>
    <w:rsid w:val="003A745E"/>
    <w:rsid w:val="003B7C83"/>
    <w:rsid w:val="003C74A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807A3"/>
    <w:rsid w:val="00693967"/>
    <w:rsid w:val="00713444"/>
    <w:rsid w:val="0075015E"/>
    <w:rsid w:val="00755B2C"/>
    <w:rsid w:val="00786D2C"/>
    <w:rsid w:val="007A3C77"/>
    <w:rsid w:val="007B5697"/>
    <w:rsid w:val="007C2144"/>
    <w:rsid w:val="007C3E73"/>
    <w:rsid w:val="007D6D2B"/>
    <w:rsid w:val="007E56C8"/>
    <w:rsid w:val="007F62CB"/>
    <w:rsid w:val="00823531"/>
    <w:rsid w:val="00823F46"/>
    <w:rsid w:val="00826C6D"/>
    <w:rsid w:val="00860C1C"/>
    <w:rsid w:val="00871BB0"/>
    <w:rsid w:val="00875304"/>
    <w:rsid w:val="008823E1"/>
    <w:rsid w:val="00884133"/>
    <w:rsid w:val="008A0867"/>
    <w:rsid w:val="008F2641"/>
    <w:rsid w:val="008F57CC"/>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B5F53"/>
    <w:rsid w:val="00CC2F15"/>
    <w:rsid w:val="00CC606D"/>
    <w:rsid w:val="00CD3720"/>
    <w:rsid w:val="00CD4AFE"/>
    <w:rsid w:val="00CD5381"/>
    <w:rsid w:val="00D01C6A"/>
    <w:rsid w:val="00D11899"/>
    <w:rsid w:val="00D22766"/>
    <w:rsid w:val="00D500E7"/>
    <w:rsid w:val="00D674C8"/>
    <w:rsid w:val="00DB04A9"/>
    <w:rsid w:val="00DB5AB9"/>
    <w:rsid w:val="00DC35AC"/>
    <w:rsid w:val="00DE35AB"/>
    <w:rsid w:val="00DF3596"/>
    <w:rsid w:val="00E3117B"/>
    <w:rsid w:val="00E4520A"/>
    <w:rsid w:val="00E45A93"/>
    <w:rsid w:val="00E55456"/>
    <w:rsid w:val="00E94DD0"/>
    <w:rsid w:val="00E9641B"/>
    <w:rsid w:val="00EA2C34"/>
    <w:rsid w:val="00EA4670"/>
    <w:rsid w:val="00EB7424"/>
    <w:rsid w:val="00ED3ED2"/>
    <w:rsid w:val="00ED7702"/>
    <w:rsid w:val="00EF597D"/>
    <w:rsid w:val="00F533B4"/>
    <w:rsid w:val="00F56B3D"/>
    <w:rsid w:val="00F72F2C"/>
    <w:rsid w:val="00F8429A"/>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2h.ae/DShJ" TargetMode="External"/><Relationship Id="rId2" Type="http://schemas.openxmlformats.org/officeDocument/2006/relationships/hyperlink" Target="https://2h.ae/PPSg" TargetMode="External"/><Relationship Id="rId1" Type="http://schemas.openxmlformats.org/officeDocument/2006/relationships/hyperlink" Target="https://2h.ae/xdRq" TargetMode="External"/><Relationship Id="rId5" Type="http://schemas.openxmlformats.org/officeDocument/2006/relationships/hyperlink" Target="https://adala.justice.gov.ma/reference/html/Ar/77323.htm" TargetMode="External"/><Relationship Id="rId4" Type="http://schemas.openxmlformats.org/officeDocument/2006/relationships/hyperlink" Target="https://2h.ae/kS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64651BEC-8C17-445D-B323-DC581CF4BD9B}"/>
</file>

<file path=customXml/itemProps3.xml><?xml version="1.0" encoding="utf-8"?>
<ds:datastoreItem xmlns:ds="http://schemas.openxmlformats.org/officeDocument/2006/customXml" ds:itemID="{D8BBE974-D948-427D-AEBF-556D0A4379E3}"/>
</file>

<file path=docProps/app.xml><?xml version="1.0" encoding="utf-8"?>
<Properties xmlns="http://schemas.openxmlformats.org/officeDocument/2006/extended-properties" xmlns:vt="http://schemas.openxmlformats.org/officeDocument/2006/docPropsVTypes">
  <Template>Normal</Template>
  <TotalTime>10</TotalTime>
  <Pages>4</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2024-08-21T08:39:00Z</dcterms:created>
  <dcterms:modified xsi:type="dcterms:W3CDTF">2024-08-21T08:41:00Z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