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theme/theme1.xml" ContentType="application/vnd.openxmlformats-officedocument.theme+xml"/>
  <Override PartName="/word/styles.xml" ContentType="application/vnd.openxmlformats-officedocument.wordprocessingml.styles+xml"/>
  <Override PartName="/word/footer1.xml" ContentType="application/vnd.openxmlformats-officedocument.wordprocessingml.footer+xml"/>
  <Override PartName="/word/_rels/document.xml.rels" ContentType="application/vnd.openxmlformats-package.relationships+xml"/>
  <Override PartName="/word/media/image1.png" ContentType="image/png"/>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numbering.xml" ContentType="application/vnd.openxmlformats-officedocument.wordprocessingml.numbering+xml"/>
  <Override PartName="/word/footer3.xml" ContentType="application/vnd.openxmlformats-officedocument.wordprocessingml.footer+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2"/>
        <w:spacing w:before="360" w:after="80"/>
        <w:ind w:hanging="0" w:left="0" w:right="0"/>
        <w:jc w:val="center"/>
        <w:rPr>
          <w:sz w:val="26"/>
          <w:szCs w:val="26"/>
        </w:rPr>
      </w:pPr>
      <w:r>
        <w:drawing>
          <wp:anchor behindDoc="0" distT="0" distB="0" distL="0" distR="0" simplePos="0" locked="0" layoutInCell="0" allowOverlap="1" relativeHeight="2">
            <wp:simplePos x="0" y="0"/>
            <wp:positionH relativeFrom="column">
              <wp:posOffset>0</wp:posOffset>
            </wp:positionH>
            <wp:positionV relativeFrom="paragraph">
              <wp:posOffset>62865</wp:posOffset>
            </wp:positionV>
            <wp:extent cx="5943600" cy="1276985"/>
            <wp:effectExtent l="0" t="0" r="0" b="0"/>
            <wp:wrapSquare wrapText="largest"/>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1276985"/>
                    </a:xfrm>
                    <a:prstGeom prst="rect">
                      <a:avLst/>
                    </a:prstGeom>
                  </pic:spPr>
                </pic:pic>
              </a:graphicData>
            </a:graphic>
          </wp:anchor>
        </w:drawing>
      </w:r>
      <w:r>
        <w:rPr>
          <w:sz w:val="26"/>
          <w:szCs w:val="26"/>
        </w:rPr>
        <w:t>Expanded Follow-Up Report in Response to the State Party’s Replies to the List of Issues (CEDAW/C/VNM/RQ/9)</w:t>
      </w:r>
    </w:p>
    <w:p>
      <w:pPr>
        <w:pStyle w:val="Heading3"/>
        <w:ind w:hanging="0" w:left="0" w:right="0"/>
        <w:jc w:val="center"/>
        <w:rPr>
          <w:sz w:val="26"/>
          <w:szCs w:val="26"/>
        </w:rPr>
      </w:pPr>
      <w:r>
        <w:rPr>
          <w:sz w:val="26"/>
          <w:szCs w:val="26"/>
        </w:rPr>
        <w:t>Viet Nam – Ninth Periodic Review under CEDAW</w:t>
      </w:r>
    </w:p>
    <w:p>
      <w:pPr>
        <w:pStyle w:val="BodyText"/>
        <w:ind w:hanging="0" w:left="0" w:right="0"/>
        <w:jc w:val="center"/>
        <w:rPr>
          <w:sz w:val="22"/>
          <w:szCs w:val="22"/>
        </w:rPr>
      </w:pPr>
      <w:r>
        <w:rPr>
          <w:sz w:val="22"/>
          <w:szCs w:val="22"/>
        </w:rPr>
        <w:t>Submitted for consideration by the Committee on the Elimination of Discrimination against Women</w:t>
      </w:r>
    </w:p>
    <w:p>
      <w:pPr>
        <w:pStyle w:val="Heading3"/>
        <w:ind w:hanging="0" w:left="0" w:right="0"/>
        <w:jc w:val="left"/>
        <w:rPr/>
      </w:pPr>
      <w:r>
        <w:rPr/>
        <w:t>I. Purpose and Context of This Follow-Up Submission</w:t>
      </w:r>
    </w:p>
    <w:p>
      <w:pPr>
        <w:pStyle w:val="BodyText"/>
        <w:spacing w:before="0" w:after="0"/>
        <w:ind w:hanging="0" w:left="0" w:right="0"/>
        <w:jc w:val="left"/>
        <w:rPr/>
      </w:pPr>
      <w:r>
        <w:rPr/>
        <w:t>This follow-up submission responds directly to the State party’s Replies to the List of Issues (CEDAW/C/VNM/RQ/9), which largely consist of categorical denials of concerns raised by the Committee.</w:t>
      </w:r>
    </w:p>
    <w:p>
      <w:pPr>
        <w:pStyle w:val="BodyText"/>
        <w:ind w:hanging="0" w:left="0" w:right="0"/>
        <w:jc w:val="left"/>
        <w:rPr/>
      </w:pPr>
      <w:r>
        <w:rPr/>
        <w:t>KKF submits this expanded report to demonstrate that the State party’s responses:</w:t>
      </w:r>
    </w:p>
    <w:p>
      <w:pPr>
        <w:pStyle w:val="BodyText"/>
        <w:numPr>
          <w:ilvl w:val="0"/>
          <w:numId w:val="1"/>
        </w:numPr>
        <w:tabs>
          <w:tab w:val="clear" w:pos="720"/>
          <w:tab w:val="left" w:pos="0" w:leader="none"/>
        </w:tabs>
        <w:spacing w:before="0" w:after="0"/>
        <w:ind w:hanging="283" w:left="709" w:right="0"/>
        <w:jc w:val="left"/>
        <w:rPr/>
      </w:pPr>
      <w:r>
        <w:rPr/>
        <w:t>do not engage substantively with the Committee’s concerns;</w:t>
      </w:r>
    </w:p>
    <w:p>
      <w:pPr>
        <w:pStyle w:val="BodyText"/>
        <w:numPr>
          <w:ilvl w:val="0"/>
          <w:numId w:val="1"/>
        </w:numPr>
        <w:tabs>
          <w:tab w:val="clear" w:pos="720"/>
          <w:tab w:val="left" w:pos="0" w:leader="none"/>
        </w:tabs>
        <w:spacing w:before="0" w:after="0"/>
        <w:ind w:hanging="283" w:left="709" w:right="0"/>
        <w:jc w:val="left"/>
        <w:rPr/>
      </w:pPr>
      <w:r>
        <w:rPr/>
        <w:t>rely on the absence of officially recorded complaints while disregarding systemic barriers to reporting; and</w:t>
      </w:r>
    </w:p>
    <w:p>
      <w:pPr>
        <w:pStyle w:val="BodyText"/>
        <w:numPr>
          <w:ilvl w:val="0"/>
          <w:numId w:val="1"/>
        </w:numPr>
        <w:tabs>
          <w:tab w:val="clear" w:pos="720"/>
          <w:tab w:val="left" w:pos="0" w:leader="none"/>
        </w:tabs>
        <w:ind w:hanging="283" w:left="709" w:right="0"/>
        <w:jc w:val="left"/>
        <w:rPr/>
      </w:pPr>
      <w:r>
        <w:rPr/>
        <w:t>are contradicted by subsequent events, including the November 2025 arrest of a Khmer-Krom woman human rights defender, which occurred after the State party’s replies were submitted.</w:t>
      </w:r>
    </w:p>
    <w:p>
      <w:pPr>
        <w:pStyle w:val="BodyText"/>
        <w:ind w:hanging="0" w:left="0" w:right="0"/>
        <w:jc w:val="left"/>
        <w:rPr/>
      </w:pPr>
      <w:r>
        <w:rPr/>
        <w:t>Accordingly, this submission serves both as a rebuttal and an update, assisting the Committee in assessing the credibility and completeness of the State party’s claims.</w:t>
      </w:r>
    </w:p>
    <w:p>
      <w:pPr>
        <w:pStyle w:val="Heading3"/>
        <w:ind w:hanging="0" w:left="0" w:right="0"/>
        <w:jc w:val="left"/>
        <w:rPr/>
      </w:pPr>
      <w:r>
        <w:rPr/>
        <w:t>II. Systemic Nature of the State Party’s Denials</w:t>
      </w:r>
    </w:p>
    <w:p>
      <w:pPr>
        <w:pStyle w:val="BodyText"/>
        <w:ind w:hanging="0" w:left="0" w:right="0"/>
        <w:jc w:val="left"/>
        <w:rPr/>
      </w:pPr>
      <w:r>
        <w:rPr/>
        <w:t>Throughout its replies to the List of Issues, the State party repeatedly asserts that:</w:t>
      </w:r>
    </w:p>
    <w:p>
      <w:pPr>
        <w:pStyle w:val="BodyText"/>
        <w:numPr>
          <w:ilvl w:val="0"/>
          <w:numId w:val="2"/>
        </w:numPr>
        <w:tabs>
          <w:tab w:val="clear" w:pos="720"/>
          <w:tab w:val="left" w:pos="0" w:leader="none"/>
        </w:tabs>
        <w:spacing w:before="0" w:after="0"/>
        <w:ind w:hanging="283" w:left="709" w:right="0"/>
        <w:jc w:val="left"/>
        <w:rPr/>
      </w:pPr>
      <w:r>
        <w:rPr/>
        <w:t>No women human rights defenders have been harassed, intimidated, arbitrarily arrested, or detained;</w:t>
      </w:r>
    </w:p>
    <w:p>
      <w:pPr>
        <w:pStyle w:val="BodyText"/>
        <w:numPr>
          <w:ilvl w:val="0"/>
          <w:numId w:val="2"/>
        </w:numPr>
        <w:tabs>
          <w:tab w:val="clear" w:pos="720"/>
          <w:tab w:val="left" w:pos="0" w:leader="none"/>
        </w:tabs>
        <w:spacing w:before="0" w:after="0"/>
        <w:ind w:hanging="283" w:left="709" w:right="0"/>
        <w:jc w:val="left"/>
        <w:rPr/>
      </w:pPr>
      <w:r>
        <w:rPr/>
        <w:t>No ethnic minority or Buddhist Khmer-Krom women have been subjected to reprisals; and</w:t>
      </w:r>
    </w:p>
    <w:p>
      <w:pPr>
        <w:pStyle w:val="BodyText"/>
        <w:numPr>
          <w:ilvl w:val="0"/>
          <w:numId w:val="2"/>
        </w:numPr>
        <w:tabs>
          <w:tab w:val="clear" w:pos="720"/>
          <w:tab w:val="left" w:pos="0" w:leader="none"/>
        </w:tabs>
        <w:ind w:hanging="283" w:left="709" w:right="0"/>
        <w:jc w:val="left"/>
        <w:rPr/>
      </w:pPr>
      <w:r>
        <w:rPr/>
        <w:t>No complaints have been received by the authorities concerning such alleged violations.</w:t>
      </w:r>
    </w:p>
    <w:p>
      <w:pPr>
        <w:pStyle w:val="BodyText"/>
        <w:spacing w:before="0" w:after="0"/>
        <w:ind w:hanging="0" w:left="0" w:right="0"/>
        <w:jc w:val="left"/>
        <w:rPr/>
      </w:pPr>
      <w:r>
        <w:rPr/>
        <w:t>KKF respectfully submits that these assertions do not reflect the lived realities of Khmer-Krom women and fail to take into account the structural conditions under which violations occur. In particular, they overlook the pervasive climate of fear and retaliation faced by women human rights defenders, which significantly restricts their ability to report abuses or seek remedies.</w:t>
      </w:r>
    </w:p>
    <w:p>
      <w:pPr>
        <w:pStyle w:val="BodyText"/>
        <w:spacing w:before="0" w:after="0"/>
        <w:ind w:hanging="0" w:left="0" w:right="0"/>
        <w:jc w:val="left"/>
        <w:rPr/>
      </w:pPr>
      <w:r>
        <w:rPr/>
      </w:r>
    </w:p>
    <w:p>
      <w:pPr>
        <w:pStyle w:val="BodyText"/>
        <w:spacing w:before="0" w:after="0"/>
        <w:ind w:hanging="0" w:left="0" w:right="0"/>
        <w:jc w:val="left"/>
        <w:rPr/>
      </w:pPr>
      <w:r>
        <w:rPr/>
        <w:t>The State party’s claims further disregard serious procedural barriers, including the lack of access to independent legal counsel, the frequent use of closed or non-transparent proceedings, and the prolonged use of pre-trial detention, reportedly accompanied by coercive interrogation practices. These conditions undermine due process and deter victims from filing complaints or cooperating with oversight mechanisms.</w:t>
      </w:r>
    </w:p>
    <w:p>
      <w:pPr>
        <w:pStyle w:val="BodyText"/>
        <w:spacing w:before="0" w:after="0"/>
        <w:ind w:hanging="0" w:left="0" w:right="0"/>
        <w:jc w:val="left"/>
        <w:rPr/>
      </w:pPr>
      <w:r>
        <w:rPr/>
      </w:r>
    </w:p>
    <w:p>
      <w:pPr>
        <w:pStyle w:val="BodyText"/>
        <w:ind w:hanging="0" w:left="0" w:right="0"/>
        <w:jc w:val="left"/>
        <w:rPr/>
      </w:pPr>
      <w:r>
        <w:rPr/>
        <w:t>Accordingly, the absence of official complaints cannot be interpreted as evidence of compliance with the Convention. Rather, it reflects structural obstacles and risks faced by women who attempt to report violations. In this context, denial of abuses forms part of a broader pattern that enables impunity and perpetuates discrimination against Khmer-Krom women human rights defenders.</w:t>
      </w:r>
    </w:p>
    <w:p>
      <w:pPr>
        <w:pStyle w:val="Heading3"/>
        <w:ind w:hanging="0" w:left="0" w:right="0"/>
        <w:jc w:val="left"/>
        <w:rPr/>
      </w:pPr>
      <w:r>
        <w:rPr/>
        <w:t>III. Women Human Rights Defenders and Reprisals Related to International Women’s Day</w:t>
      </w:r>
    </w:p>
    <w:p>
      <w:pPr>
        <w:pStyle w:val="LO-normal"/>
        <w:ind w:hanging="0" w:left="0" w:right="0"/>
        <w:jc w:val="left"/>
        <w:rPr/>
      </w:pPr>
      <w:r>
        <w:rPr/>
      </w:r>
    </w:p>
    <w:p>
      <w:pPr>
        <w:pStyle w:val="BodyText"/>
        <w:spacing w:before="0" w:after="0"/>
        <w:ind w:hanging="0" w:left="0" w:right="0"/>
        <w:jc w:val="left"/>
        <w:rPr>
          <w:b/>
          <w:bCs/>
        </w:rPr>
      </w:pPr>
      <w:r>
        <w:rPr>
          <w:b/>
          <w:bCs/>
        </w:rPr>
        <w:t>A. Rejection of the State Party’s Denial</w:t>
      </w:r>
    </w:p>
    <w:p>
      <w:pPr>
        <w:pStyle w:val="BodyText"/>
        <w:spacing w:before="0" w:after="0"/>
        <w:ind w:hanging="0" w:left="0" w:right="0"/>
        <w:jc w:val="left"/>
        <w:rPr/>
      </w:pPr>
      <w:r>
        <w:rPr/>
        <w:t>In response to List of Issues question 6, the State party categorically denies that women human rights defenders have been harassed, intimidated, arrested, or detained, and dismisses civil society reporting related to International Women’s Day activities as “not factually accurate.”</w:t>
      </w:r>
    </w:p>
    <w:p>
      <w:pPr>
        <w:pStyle w:val="BodyText"/>
        <w:spacing w:before="0" w:after="0"/>
        <w:ind w:hanging="0" w:left="0" w:right="0"/>
        <w:jc w:val="left"/>
        <w:rPr/>
      </w:pPr>
      <w:r>
        <w:rPr/>
        <w:t>KKF emphasizes that such denials are contradicted by subsequent events, demonstrating that reprisals continue and, in some cases, occur months after peaceful activities rather than immediately.</w:t>
      </w:r>
    </w:p>
    <w:p>
      <w:pPr>
        <w:pStyle w:val="BodyText"/>
        <w:spacing w:before="0" w:after="0"/>
        <w:ind w:hanging="0" w:left="0" w:right="0"/>
        <w:jc w:val="left"/>
        <w:rPr/>
      </w:pPr>
      <w:r>
        <w:rPr/>
      </w:r>
    </w:p>
    <w:p>
      <w:pPr>
        <w:pStyle w:val="BodyText"/>
        <w:spacing w:before="0" w:after="0"/>
        <w:ind w:hanging="0" w:left="0" w:right="0"/>
        <w:jc w:val="left"/>
        <w:rPr>
          <w:b/>
          <w:bCs/>
        </w:rPr>
      </w:pPr>
      <w:r>
        <w:rPr>
          <w:b/>
          <w:bCs/>
        </w:rPr>
        <w:t>B. Updated Case: Arrest of an International Women’s Day Organizer (November 2025)</w:t>
      </w:r>
    </w:p>
    <w:p>
      <w:pPr>
        <w:pStyle w:val="BodyText"/>
        <w:spacing w:before="0" w:after="0"/>
        <w:ind w:hanging="0" w:left="0" w:right="0"/>
        <w:jc w:val="left"/>
        <w:rPr/>
      </w:pPr>
      <w:r>
        <w:rPr/>
        <w:t>On 18 November 2025, a Khmer-Krom woman human rights defender, Ms T.T.H.R. (initials used in accordance with UN anonymization requirements), was arbitrarily arrested by Vietnamese authorities under Article 331 of the Vietnamese Criminal Code.</w:t>
      </w:r>
    </w:p>
    <w:p>
      <w:pPr>
        <w:pStyle w:val="BodyText"/>
        <w:spacing w:before="0" w:after="0"/>
        <w:ind w:hanging="0" w:left="0" w:right="0"/>
        <w:jc w:val="left"/>
        <w:rPr/>
      </w:pPr>
      <w:r>
        <w:rPr/>
      </w:r>
    </w:p>
    <w:p>
      <w:pPr>
        <w:pStyle w:val="BodyText"/>
        <w:spacing w:before="0" w:after="0"/>
        <w:ind w:hanging="0" w:left="0" w:right="0"/>
        <w:jc w:val="left"/>
        <w:rPr/>
      </w:pPr>
      <w:r>
        <w:rPr/>
        <w:t>Ms T.T.H.R. was one of the community organizers involved in International Women’s Day 2025 activities, which focused on women’s dignity, equality, and cultural identity. Her arrest occurred months after these peaceful activities, indicating a pattern of retaliatory enforcement rather than legitimate law enforcement.</w:t>
      </w:r>
    </w:p>
    <w:p>
      <w:pPr>
        <w:pStyle w:val="BodyText"/>
        <w:spacing w:before="0" w:after="0"/>
        <w:ind w:hanging="0" w:left="0" w:right="0"/>
        <w:jc w:val="left"/>
        <w:rPr/>
      </w:pPr>
      <w:r>
        <w:rPr/>
        <w:t>This case directly contradicts the State party’s assertion that no reprisals occur against women organizers or participants in International Women’s Day events.</w:t>
      </w:r>
    </w:p>
    <w:p>
      <w:pPr>
        <w:pStyle w:val="BodyText"/>
        <w:spacing w:before="0" w:after="0"/>
        <w:ind w:hanging="0" w:left="0" w:right="0"/>
        <w:jc w:val="left"/>
        <w:rPr/>
      </w:pPr>
      <w:r>
        <w:rPr/>
      </w:r>
    </w:p>
    <w:p>
      <w:pPr>
        <w:pStyle w:val="BodyText"/>
        <w:spacing w:before="0" w:after="0"/>
        <w:ind w:hanging="0" w:left="0" w:right="0"/>
        <w:jc w:val="left"/>
        <w:rPr>
          <w:b/>
          <w:bCs/>
        </w:rPr>
      </w:pPr>
      <w:r>
        <w:rPr>
          <w:b/>
          <w:bCs/>
        </w:rPr>
        <w:t>C. Denial of Family Contact and Legal Representation</w:t>
      </w:r>
    </w:p>
    <w:p>
      <w:pPr>
        <w:pStyle w:val="BodyText"/>
        <w:ind w:hanging="0" w:left="0" w:right="0"/>
        <w:jc w:val="left"/>
        <w:rPr/>
      </w:pPr>
      <w:r>
        <w:rPr/>
        <w:t>Following her arrest, Ms T.T.H.R. was denied fundamental procedural safeguards, including:</w:t>
      </w:r>
    </w:p>
    <w:p>
      <w:pPr>
        <w:pStyle w:val="BodyText"/>
        <w:numPr>
          <w:ilvl w:val="0"/>
          <w:numId w:val="3"/>
        </w:numPr>
        <w:tabs>
          <w:tab w:val="clear" w:pos="720"/>
          <w:tab w:val="left" w:pos="0" w:leader="none"/>
        </w:tabs>
        <w:spacing w:before="0" w:after="0"/>
        <w:ind w:hanging="283" w:left="709" w:right="0"/>
        <w:jc w:val="left"/>
        <w:rPr/>
      </w:pPr>
      <w:r>
        <w:rPr/>
        <w:t>No access to legal counsel from the moment of detention;</w:t>
      </w:r>
    </w:p>
    <w:p>
      <w:pPr>
        <w:pStyle w:val="BodyText"/>
        <w:numPr>
          <w:ilvl w:val="0"/>
          <w:numId w:val="3"/>
        </w:numPr>
        <w:tabs>
          <w:tab w:val="clear" w:pos="720"/>
          <w:tab w:val="left" w:pos="0" w:leader="none"/>
        </w:tabs>
        <w:spacing w:before="0" w:after="0"/>
        <w:ind w:hanging="283" w:left="709" w:right="0"/>
        <w:jc w:val="left"/>
        <w:rPr/>
      </w:pPr>
      <w:r>
        <w:rPr/>
        <w:t>No independent lawyer permitted to represent her during interrogation or pre-trial detention; and</w:t>
      </w:r>
    </w:p>
    <w:p>
      <w:pPr>
        <w:pStyle w:val="BodyText"/>
        <w:numPr>
          <w:ilvl w:val="0"/>
          <w:numId w:val="3"/>
        </w:numPr>
        <w:tabs>
          <w:tab w:val="clear" w:pos="720"/>
          <w:tab w:val="left" w:pos="0" w:leader="none"/>
        </w:tabs>
        <w:ind w:hanging="283" w:left="709" w:right="0"/>
        <w:jc w:val="left"/>
        <w:rPr/>
      </w:pPr>
      <w:r>
        <w:rPr/>
        <w:t>No family visits allowed during detention, effectively isolating her from outside contact.</w:t>
      </w:r>
    </w:p>
    <w:p>
      <w:pPr>
        <w:pStyle w:val="BodyText"/>
        <w:spacing w:before="0" w:after="0"/>
        <w:ind w:hanging="0" w:left="0" w:right="0"/>
        <w:jc w:val="left"/>
        <w:rPr/>
      </w:pPr>
      <w:r>
        <w:rPr/>
        <w:t>KKF notes that this pattern is not exceptional, but consistent with the treatment of Khmer-Krom human rights defenders, particularly women, who are reportedly held incommunicado during the investigative phase.</w:t>
      </w:r>
    </w:p>
    <w:p>
      <w:pPr>
        <w:pStyle w:val="BodyText"/>
        <w:spacing w:before="0" w:after="0"/>
        <w:ind w:hanging="0" w:left="0" w:right="0"/>
        <w:jc w:val="left"/>
        <w:rPr/>
      </w:pPr>
      <w:r>
        <w:rPr/>
      </w:r>
    </w:p>
    <w:p>
      <w:pPr>
        <w:pStyle w:val="BodyText"/>
        <w:spacing w:before="0" w:after="0"/>
        <w:ind w:hanging="0" w:left="0" w:right="0"/>
        <w:jc w:val="left"/>
        <w:rPr/>
      </w:pPr>
      <w:r>
        <w:rPr/>
        <w:t>Such practices violate basic guarantees of due process and disproportionately impact women human rights defenders, who are more vulnerable to coercion in detention.</w:t>
      </w:r>
    </w:p>
    <w:p>
      <w:pPr>
        <w:pStyle w:val="BodyText"/>
        <w:spacing w:before="0" w:after="0"/>
        <w:ind w:hanging="0" w:left="0" w:right="0"/>
        <w:jc w:val="left"/>
        <w:rPr/>
      </w:pPr>
      <w:r>
        <w:rPr/>
      </w:r>
    </w:p>
    <w:p>
      <w:pPr>
        <w:pStyle w:val="BodyText"/>
        <w:spacing w:before="0" w:after="0"/>
        <w:ind w:hanging="0" w:left="0" w:right="0"/>
        <w:jc w:val="left"/>
        <w:rPr>
          <w:b/>
          <w:bCs/>
        </w:rPr>
      </w:pPr>
      <w:r>
        <w:rPr>
          <w:b/>
          <w:bCs/>
        </w:rPr>
        <w:t>D. Prolonged Pre-Trial Detention and Coerced Confessions</w:t>
      </w:r>
    </w:p>
    <w:p>
      <w:pPr>
        <w:pStyle w:val="BodyText"/>
        <w:ind w:hanging="0" w:left="0" w:right="0"/>
        <w:jc w:val="left"/>
        <w:rPr/>
      </w:pPr>
      <w:r>
        <w:rPr/>
        <w:t>KKF further reports that Khmer-Krom human rights defenders are commonly:</w:t>
      </w:r>
    </w:p>
    <w:p>
      <w:pPr>
        <w:pStyle w:val="BodyText"/>
        <w:numPr>
          <w:ilvl w:val="0"/>
          <w:numId w:val="4"/>
        </w:numPr>
        <w:tabs>
          <w:tab w:val="clear" w:pos="720"/>
          <w:tab w:val="left" w:pos="0" w:leader="none"/>
        </w:tabs>
        <w:spacing w:before="0" w:after="0"/>
        <w:ind w:hanging="283" w:left="709" w:right="0"/>
        <w:jc w:val="left"/>
        <w:rPr/>
      </w:pPr>
      <w:r>
        <w:rPr/>
        <w:t>detained for extended periods, often up to eight months, before being brought to trial;</w:t>
      </w:r>
    </w:p>
    <w:p>
      <w:pPr>
        <w:pStyle w:val="BodyText"/>
        <w:numPr>
          <w:ilvl w:val="0"/>
          <w:numId w:val="4"/>
        </w:numPr>
        <w:tabs>
          <w:tab w:val="clear" w:pos="720"/>
          <w:tab w:val="left" w:pos="0" w:leader="none"/>
        </w:tabs>
        <w:spacing w:before="0" w:after="0"/>
        <w:ind w:hanging="283" w:left="709" w:right="0"/>
        <w:jc w:val="left"/>
        <w:rPr/>
      </w:pPr>
      <w:r>
        <w:rPr/>
        <w:t>subjected to intense interrogation and pressure to confess during this prolonged detention; and</w:t>
      </w:r>
    </w:p>
    <w:p>
      <w:pPr>
        <w:pStyle w:val="BodyText"/>
        <w:numPr>
          <w:ilvl w:val="0"/>
          <w:numId w:val="4"/>
        </w:numPr>
        <w:tabs>
          <w:tab w:val="clear" w:pos="720"/>
          <w:tab w:val="left" w:pos="0" w:leader="none"/>
        </w:tabs>
        <w:ind w:hanging="283" w:left="709" w:right="0"/>
        <w:jc w:val="left"/>
        <w:rPr/>
      </w:pPr>
      <w:r>
        <w:rPr/>
        <w:t>denied effective mechanisms to challenge the legality of their detention.</w:t>
      </w:r>
    </w:p>
    <w:p>
      <w:pPr>
        <w:pStyle w:val="BodyText"/>
        <w:spacing w:before="0" w:after="0"/>
        <w:ind w:hanging="0" w:left="0" w:right="0"/>
        <w:jc w:val="left"/>
        <w:rPr/>
      </w:pPr>
      <w:r>
        <w:rPr/>
        <w:t>This prolonged pre-trial detention serves not only as a punitive measure but also as a means of psychological pressure, particularly against women detainees.</w:t>
      </w:r>
    </w:p>
    <w:p>
      <w:pPr>
        <w:pStyle w:val="BodyText"/>
        <w:spacing w:before="0" w:after="0"/>
        <w:ind w:hanging="0" w:left="0" w:right="0"/>
        <w:jc w:val="left"/>
        <w:rPr/>
      </w:pPr>
      <w:r>
        <w:rPr/>
      </w:r>
    </w:p>
    <w:p>
      <w:pPr>
        <w:pStyle w:val="BodyText"/>
        <w:spacing w:before="0" w:after="0"/>
        <w:ind w:hanging="0" w:left="0" w:right="0"/>
        <w:jc w:val="left"/>
        <w:rPr>
          <w:b/>
          <w:bCs/>
        </w:rPr>
      </w:pPr>
      <w:r>
        <w:rPr>
          <w:b/>
          <w:bCs/>
        </w:rPr>
        <w:t>E. Closed-Door Trials and Absence of Defense Counsel</w:t>
      </w:r>
    </w:p>
    <w:p>
      <w:pPr>
        <w:pStyle w:val="BodyText"/>
        <w:ind w:hanging="0" w:left="0" w:right="0"/>
        <w:jc w:val="left"/>
        <w:rPr/>
      </w:pPr>
      <w:r>
        <w:rPr/>
        <w:t>When trials eventually take place, they are frequently characterized by:</w:t>
      </w:r>
    </w:p>
    <w:p>
      <w:pPr>
        <w:pStyle w:val="BodyText"/>
        <w:numPr>
          <w:ilvl w:val="0"/>
          <w:numId w:val="5"/>
        </w:numPr>
        <w:tabs>
          <w:tab w:val="clear" w:pos="720"/>
          <w:tab w:val="left" w:pos="0" w:leader="none"/>
        </w:tabs>
        <w:spacing w:before="0" w:after="0"/>
        <w:ind w:hanging="283" w:left="709" w:right="0"/>
        <w:jc w:val="left"/>
        <w:rPr/>
      </w:pPr>
      <w:r>
        <w:rPr/>
        <w:t>closed-door proceedings, excluding family members, observers, and the public;</w:t>
      </w:r>
    </w:p>
    <w:p>
      <w:pPr>
        <w:pStyle w:val="BodyText"/>
        <w:numPr>
          <w:ilvl w:val="0"/>
          <w:numId w:val="5"/>
        </w:numPr>
        <w:tabs>
          <w:tab w:val="clear" w:pos="720"/>
          <w:tab w:val="left" w:pos="0" w:leader="none"/>
        </w:tabs>
        <w:spacing w:before="0" w:after="0"/>
        <w:ind w:hanging="283" w:left="709" w:right="0"/>
        <w:jc w:val="left"/>
        <w:rPr/>
      </w:pPr>
      <w:r>
        <w:rPr/>
        <w:t>lack of independent legal representation, with defendants effectively forced to face trial without a lawyer of their choosing; and</w:t>
      </w:r>
    </w:p>
    <w:p>
      <w:pPr>
        <w:pStyle w:val="BodyText"/>
        <w:numPr>
          <w:ilvl w:val="0"/>
          <w:numId w:val="5"/>
        </w:numPr>
        <w:tabs>
          <w:tab w:val="clear" w:pos="720"/>
          <w:tab w:val="left" w:pos="0" w:leader="none"/>
        </w:tabs>
        <w:ind w:hanging="283" w:left="709" w:right="0"/>
        <w:jc w:val="left"/>
        <w:rPr/>
      </w:pPr>
      <w:r>
        <w:rPr/>
        <w:t>outcomes that appear predetermined, raising serious concerns about judicial independence.</w:t>
      </w:r>
    </w:p>
    <w:p>
      <w:pPr>
        <w:pStyle w:val="BodyText"/>
        <w:spacing w:before="0" w:after="0"/>
        <w:ind w:hanging="0" w:left="0" w:right="0"/>
        <w:jc w:val="left"/>
        <w:rPr/>
      </w:pPr>
      <w:r>
        <w:rPr/>
        <w:t>KKF stresses that such practices undermine women’s right to a fair trial and equality before the law, contrary to articles 2, 7, and 15 of the Convention.</w:t>
      </w:r>
    </w:p>
    <w:p>
      <w:pPr>
        <w:pStyle w:val="BodyText"/>
        <w:spacing w:before="0" w:after="0"/>
        <w:ind w:hanging="0" w:left="0" w:right="0"/>
        <w:jc w:val="left"/>
        <w:rPr/>
      </w:pPr>
      <w:r>
        <w:rPr/>
      </w:r>
    </w:p>
    <w:p>
      <w:pPr>
        <w:pStyle w:val="BodyText"/>
        <w:spacing w:before="0" w:after="0"/>
        <w:ind w:hanging="0" w:left="0" w:right="0"/>
        <w:jc w:val="left"/>
        <w:rPr/>
      </w:pPr>
      <w:r>
        <w:rPr>
          <w:b/>
          <w:bCs/>
        </w:rPr>
        <w:t>F. Unresolved Reprisals, Stigmatization, and Ongoing Discrimination against Released Women Human Rights Defenders</w:t>
      </w:r>
    </w:p>
    <w:p>
      <w:pPr>
        <w:pStyle w:val="BodyText"/>
        <w:spacing w:before="0" w:after="0"/>
        <w:ind w:hanging="0" w:left="0" w:right="0"/>
        <w:jc w:val="left"/>
        <w:rPr/>
      </w:pPr>
      <w:r>
        <w:rPr/>
        <w:t>Despite the State party’s denial of reprisals, Khmer-Krom women human rights defenders continue to face serious consequences after their release from detention. Women arrested in connection with peaceful advocacy, including activities related to International Women’s Day, remain under informal surveillance and are repeatedly summoned for “working sessions,” warned against further participation in public or community activities, and subjected to intimidation. These practices create a climate of fear and self-censorship that restricts women’s freedom of expression, association, and participation in public life.</w:t>
      </w:r>
    </w:p>
    <w:p>
      <w:pPr>
        <w:pStyle w:val="BodyText"/>
        <w:spacing w:before="0" w:after="0"/>
        <w:ind w:hanging="0" w:left="0" w:right="0"/>
        <w:jc w:val="left"/>
        <w:rPr/>
      </w:pPr>
      <w:r>
        <w:rPr/>
      </w:r>
    </w:p>
    <w:p>
      <w:pPr>
        <w:pStyle w:val="BodyText"/>
        <w:spacing w:before="0" w:after="0"/>
        <w:ind w:hanging="0" w:left="0" w:right="0"/>
        <w:jc w:val="left"/>
        <w:rPr/>
      </w:pPr>
      <w:r>
        <w:rPr/>
        <w:t>Released women defenders also face persistent stigma and discrimination within their communities. They are often labelled as “law violators,” which damages their social standing and exposes them to isolation and reputational harm. Economic discrimination frequently follows, as police monitoring and informal pressure on employers or local authorities limit their ability to obtain or maintain employment or livelihoods. Family members are likewise affected through intimidation and warnings not to communicate with civil society or international mechanisms, reinforcing a broader chilling effect on Khmer-Krom women’s civic engagement.</w:t>
      </w:r>
    </w:p>
    <w:p>
      <w:pPr>
        <w:pStyle w:val="BodyText"/>
        <w:spacing w:before="0" w:after="0"/>
        <w:ind w:hanging="0" w:left="0" w:right="0"/>
        <w:jc w:val="left"/>
        <w:rPr/>
      </w:pPr>
      <w:r>
        <w:rPr/>
      </w:r>
    </w:p>
    <w:p>
      <w:pPr>
        <w:pStyle w:val="BodyText"/>
        <w:ind w:hanging="0" w:left="0" w:right="0"/>
        <w:jc w:val="left"/>
        <w:rPr/>
      </w:pPr>
      <w:r>
        <w:rPr/>
        <w:t>Moreover, no effective remedies or support mechanisms are available to women human rights defenders after release. Complaints procedures are inaccessible or unsafe, and there is no access to rehabilitation, compensation, or guarantees of non-repetition. In many cases, legal uncertainty persists through continued monitoring or unresolved charges, leaving women in prolonged insecurity. These ongoing consequences demonstrate that reprisals do not end with detention and constitute continuing discrimination against Khmer-Krom women, contrary to articles 2, 7, 13, and 15 of the Convention.</w:t>
      </w:r>
    </w:p>
    <w:p>
      <w:pPr>
        <w:pStyle w:val="Heading3"/>
        <w:ind w:hanging="0" w:left="0" w:right="0"/>
        <w:jc w:val="left"/>
        <w:rPr/>
      </w:pPr>
      <w:r>
        <w:rPr/>
        <w:t>IV. Chilling Effect on Khmer-Krom Women’s Participation</w:t>
      </w:r>
    </w:p>
    <w:p>
      <w:pPr>
        <w:pStyle w:val="BodyText"/>
        <w:ind w:hanging="0" w:left="0" w:right="0"/>
        <w:jc w:val="left"/>
        <w:rPr/>
      </w:pPr>
      <w:r>
        <w:rPr/>
        <w:t>The arrest and treatment of Ms T.T.H.R. have had a profound chilling effect on Khmer-Krom women, discouraging them from:</w:t>
      </w:r>
    </w:p>
    <w:p>
      <w:pPr>
        <w:pStyle w:val="BodyText"/>
        <w:numPr>
          <w:ilvl w:val="0"/>
          <w:numId w:val="6"/>
        </w:numPr>
        <w:tabs>
          <w:tab w:val="clear" w:pos="720"/>
          <w:tab w:val="left" w:pos="0" w:leader="none"/>
        </w:tabs>
        <w:spacing w:before="0" w:after="0"/>
        <w:ind w:hanging="283" w:left="709" w:right="0"/>
        <w:jc w:val="left"/>
        <w:rPr/>
      </w:pPr>
      <w:r>
        <w:rPr/>
        <w:t>organizing or participating in women’s rights activities;</w:t>
      </w:r>
    </w:p>
    <w:p>
      <w:pPr>
        <w:pStyle w:val="BodyText"/>
        <w:numPr>
          <w:ilvl w:val="0"/>
          <w:numId w:val="6"/>
        </w:numPr>
        <w:tabs>
          <w:tab w:val="clear" w:pos="720"/>
          <w:tab w:val="left" w:pos="0" w:leader="none"/>
        </w:tabs>
        <w:spacing w:before="0" w:after="0"/>
        <w:ind w:hanging="283" w:left="709" w:right="0"/>
        <w:jc w:val="left"/>
        <w:rPr/>
      </w:pPr>
      <w:r>
        <w:rPr/>
        <w:t>engaging in cultural or religious gatherings; and</w:t>
      </w:r>
    </w:p>
    <w:p>
      <w:pPr>
        <w:pStyle w:val="BodyText"/>
        <w:numPr>
          <w:ilvl w:val="0"/>
          <w:numId w:val="6"/>
        </w:numPr>
        <w:tabs>
          <w:tab w:val="clear" w:pos="720"/>
          <w:tab w:val="left" w:pos="0" w:leader="none"/>
        </w:tabs>
        <w:ind w:hanging="283" w:left="709" w:right="0"/>
        <w:jc w:val="left"/>
        <w:rPr/>
      </w:pPr>
      <w:r>
        <w:rPr/>
        <w:t>cooperating with international human rights mechanisms.</w:t>
      </w:r>
    </w:p>
    <w:p>
      <w:pPr>
        <w:pStyle w:val="BodyText"/>
        <w:ind w:hanging="0" w:left="0" w:right="0"/>
        <w:jc w:val="left"/>
        <w:rPr/>
      </w:pPr>
      <w:r>
        <w:rPr/>
        <w:t>This climate of fear directly contradicts the State party’s claims that women enjoy full freedom of participation and access to justice.</w:t>
      </w:r>
    </w:p>
    <w:p>
      <w:pPr>
        <w:pStyle w:val="Heading3"/>
        <w:ind w:hanging="0" w:left="0" w:right="0"/>
        <w:jc w:val="left"/>
        <w:rPr/>
      </w:pPr>
      <w:r>
        <w:rPr/>
        <w:t>V. Reprisals, Fear of Reporting, and the Illusion of “No Complaints”</w:t>
      </w:r>
    </w:p>
    <w:p>
      <w:pPr>
        <w:pStyle w:val="BodyText"/>
        <w:ind w:hanging="0" w:left="0" w:right="0"/>
        <w:jc w:val="left"/>
        <w:rPr/>
      </w:pPr>
      <w:r>
        <w:rPr/>
        <w:t>The State party’s repeated assertion that it has received no complaints must be assessed in light of:</w:t>
      </w:r>
    </w:p>
    <w:p>
      <w:pPr>
        <w:pStyle w:val="BodyText"/>
        <w:numPr>
          <w:ilvl w:val="0"/>
          <w:numId w:val="7"/>
        </w:numPr>
        <w:tabs>
          <w:tab w:val="clear" w:pos="720"/>
          <w:tab w:val="left" w:pos="0" w:leader="none"/>
        </w:tabs>
        <w:spacing w:before="0" w:after="0"/>
        <w:ind w:hanging="283" w:left="709" w:right="0"/>
        <w:jc w:val="left"/>
        <w:rPr/>
      </w:pPr>
      <w:r>
        <w:rPr/>
        <w:t>the risk of retaliation faced by complainants;</w:t>
      </w:r>
    </w:p>
    <w:p>
      <w:pPr>
        <w:pStyle w:val="BodyText"/>
        <w:numPr>
          <w:ilvl w:val="0"/>
          <w:numId w:val="7"/>
        </w:numPr>
        <w:tabs>
          <w:tab w:val="clear" w:pos="720"/>
          <w:tab w:val="left" w:pos="0" w:leader="none"/>
        </w:tabs>
        <w:spacing w:before="0" w:after="0"/>
        <w:ind w:hanging="283" w:left="709" w:right="0"/>
        <w:jc w:val="left"/>
        <w:rPr/>
      </w:pPr>
      <w:r>
        <w:rPr/>
        <w:t>the absence of legal safeguards for women human rights defenders; and</w:t>
      </w:r>
    </w:p>
    <w:p>
      <w:pPr>
        <w:pStyle w:val="BodyText"/>
        <w:numPr>
          <w:ilvl w:val="0"/>
          <w:numId w:val="7"/>
        </w:numPr>
        <w:tabs>
          <w:tab w:val="clear" w:pos="720"/>
          <w:tab w:val="left" w:pos="0" w:leader="none"/>
        </w:tabs>
        <w:ind w:hanging="283" w:left="709" w:right="0"/>
        <w:jc w:val="left"/>
        <w:rPr/>
      </w:pPr>
      <w:r>
        <w:rPr/>
        <w:t>the documented practice of arresting organizers rather than addressing grievances.</w:t>
      </w:r>
    </w:p>
    <w:p>
      <w:pPr>
        <w:pStyle w:val="BodyText"/>
        <w:ind w:hanging="0" w:left="0" w:right="0"/>
        <w:jc w:val="left"/>
        <w:rPr/>
      </w:pPr>
      <w:r>
        <w:rPr/>
        <w:t>The case of Ms T.T.H.R. illustrates why Khmer-Krom women are reluctant to lodge formal complaints: doing so may expose them and their families to further persecution.</w:t>
      </w:r>
    </w:p>
    <w:p>
      <w:pPr>
        <w:pStyle w:val="Heading3"/>
        <w:ind w:hanging="0" w:left="0" w:right="0"/>
        <w:jc w:val="left"/>
        <w:rPr/>
      </w:pPr>
      <w:r>
        <w:rPr/>
        <w:t>VI. Issues for the Committee’s Focus During the Constructive Dialogue</w:t>
      </w:r>
    </w:p>
    <w:p>
      <w:pPr>
        <w:pStyle w:val="BodyText"/>
        <w:ind w:hanging="0" w:left="0" w:right="0"/>
        <w:jc w:val="left"/>
        <w:rPr/>
      </w:pPr>
      <w:r>
        <w:rPr/>
        <w:t>In light of the above, KKF respectfully invites the Committee to seek clarification from the State party on the following issues:</w:t>
      </w:r>
    </w:p>
    <w:p>
      <w:pPr>
        <w:pStyle w:val="BodyText"/>
        <w:ind w:hanging="0" w:left="0" w:right="0"/>
        <w:jc w:val="left"/>
        <w:rPr>
          <w:sz w:val="12"/>
          <w:szCs w:val="12"/>
        </w:rPr>
      </w:pPr>
      <w:r>
        <w:rPr>
          <w:sz w:val="12"/>
          <w:szCs w:val="12"/>
        </w:rPr>
      </w:r>
    </w:p>
    <w:p>
      <w:pPr>
        <w:pStyle w:val="BodyText"/>
        <w:numPr>
          <w:ilvl w:val="0"/>
          <w:numId w:val="8"/>
        </w:numPr>
        <w:tabs>
          <w:tab w:val="clear" w:pos="720"/>
          <w:tab w:val="left" w:pos="0" w:leader="none"/>
        </w:tabs>
        <w:spacing w:before="0" w:after="0"/>
        <w:ind w:hanging="283" w:left="709" w:right="0"/>
        <w:jc w:val="left"/>
        <w:rPr/>
      </w:pPr>
      <w:r>
        <w:rPr/>
        <w:t>How does the State party reconcile its assertion that no women human rights defenders are subjected to harassment or reprisals with the arrest, incommunicado detention, and denial of legal representation of Ms T.T.H.R. in November 2025?</w:t>
      </w:r>
    </w:p>
    <w:p>
      <w:pPr>
        <w:pStyle w:val="BodyText"/>
        <w:numPr>
          <w:ilvl w:val="0"/>
          <w:numId w:val="8"/>
        </w:numPr>
        <w:tabs>
          <w:tab w:val="clear" w:pos="720"/>
          <w:tab w:val="left" w:pos="0" w:leader="none"/>
        </w:tabs>
        <w:spacing w:before="0" w:after="0"/>
        <w:ind w:hanging="283" w:left="709" w:right="0"/>
        <w:jc w:val="left"/>
        <w:rPr/>
      </w:pPr>
      <w:r>
        <w:rPr/>
        <w:t>Why are women human rights defenders, particularly Khmer-Krom women, routinely denied access to legal counsel and family visits during detention, and what safeguards exist to ensure respect for due process and fundamental procedural guarantees?</w:t>
      </w:r>
    </w:p>
    <w:p>
      <w:pPr>
        <w:pStyle w:val="BodyText"/>
        <w:numPr>
          <w:ilvl w:val="0"/>
          <w:numId w:val="8"/>
        </w:numPr>
        <w:tabs>
          <w:tab w:val="clear" w:pos="720"/>
          <w:tab w:val="left" w:pos="0" w:leader="none"/>
        </w:tabs>
        <w:spacing w:before="0" w:after="0"/>
        <w:ind w:hanging="283" w:left="709" w:right="0"/>
        <w:jc w:val="left"/>
        <w:rPr/>
      </w:pPr>
      <w:r>
        <w:rPr/>
        <w:t>How does the State party justify the use of prolonged pre-trial detention, in some cases lasting up to eight months, and address allegations of coercive interrogation or forced confessions during this period?</w:t>
      </w:r>
    </w:p>
    <w:p>
      <w:pPr>
        <w:pStyle w:val="BodyText"/>
        <w:numPr>
          <w:ilvl w:val="0"/>
          <w:numId w:val="8"/>
        </w:numPr>
        <w:tabs>
          <w:tab w:val="clear" w:pos="720"/>
          <w:tab w:val="left" w:pos="0" w:leader="none"/>
        </w:tabs>
        <w:spacing w:before="0" w:after="0"/>
        <w:ind w:hanging="283" w:left="709" w:right="0"/>
        <w:jc w:val="left"/>
        <w:rPr/>
      </w:pPr>
      <w:r>
        <w:rPr/>
        <w:t>Why are trials involving Khmer-Krom women human rights defenders frequently conducted behind closed doors and without effective legal representation, and what measures are in place to ensure transparency, fair trial guarantees, and judicial independence?</w:t>
      </w:r>
    </w:p>
    <w:p>
      <w:pPr>
        <w:pStyle w:val="BodyText"/>
        <w:numPr>
          <w:ilvl w:val="0"/>
          <w:numId w:val="8"/>
        </w:numPr>
        <w:tabs>
          <w:tab w:val="clear" w:pos="720"/>
          <w:tab w:val="left" w:pos="0" w:leader="none"/>
        </w:tabs>
        <w:spacing w:before="0" w:after="0"/>
        <w:ind w:hanging="283" w:left="709" w:right="0"/>
        <w:jc w:val="left"/>
        <w:rPr/>
      </w:pPr>
      <w:r>
        <w:rPr/>
        <w:t>What concrete measures has the State party adopted to prevent reprisals against women who organize or participate in International Women’s Day and other peaceful gender-equality activities, including protection from surveillance, intimidation, or retaliation?</w:t>
      </w:r>
    </w:p>
    <w:p>
      <w:pPr>
        <w:pStyle w:val="BodyText"/>
        <w:numPr>
          <w:ilvl w:val="0"/>
          <w:numId w:val="8"/>
        </w:numPr>
        <w:tabs>
          <w:tab w:val="clear" w:pos="720"/>
          <w:tab w:val="left" w:pos="0" w:leader="none"/>
        </w:tabs>
        <w:spacing w:before="0" w:after="0"/>
        <w:ind w:hanging="283" w:left="709" w:right="0"/>
        <w:jc w:val="left"/>
        <w:rPr/>
      </w:pPr>
      <w:r>
        <w:rPr/>
        <w:t>How does the State party ensure that women human rights defenders, including Khmer-Krom women, are able to exercise their rights to freedom of expression, association, and participation in public life without fear, and what measures exist to prevent and remedy post-release stigmatization, social exclusion, reputational harm, and employment-related discrimination resulting from informal monitoring or pressure by local authorities?</w:t>
      </w:r>
    </w:p>
    <w:p>
      <w:pPr>
        <w:pStyle w:val="BodyText"/>
        <w:numPr>
          <w:ilvl w:val="0"/>
          <w:numId w:val="8"/>
        </w:numPr>
        <w:tabs>
          <w:tab w:val="clear" w:pos="720"/>
          <w:tab w:val="left" w:pos="0" w:leader="none"/>
        </w:tabs>
        <w:ind w:hanging="283" w:left="709" w:right="0"/>
        <w:jc w:val="left"/>
        <w:rPr/>
      </w:pPr>
      <w:r>
        <w:rPr/>
        <w:t>How does the State party justify its continued denial of the right of Khmer-Krom people to self-identify as Indigenous, and how does this denial affect the protection of Khmer-Krom women’s rights under the Convention, including their access to justice, participation in public life, and protection from discrimination?</w:t>
      </w:r>
    </w:p>
    <w:p>
      <w:pPr>
        <w:pStyle w:val="BodyText"/>
        <w:numPr>
          <w:ilvl w:val="0"/>
          <w:numId w:val="0"/>
        </w:numPr>
        <w:ind w:hanging="0" w:left="0" w:right="0"/>
        <w:jc w:val="left"/>
        <w:rPr/>
      </w:pPr>
      <w:r>
        <w:rPr/>
      </w:r>
    </w:p>
    <w:p>
      <w:pPr>
        <w:pStyle w:val="Heading3"/>
        <w:ind w:hanging="0" w:left="0" w:right="0"/>
        <w:jc w:val="left"/>
        <w:rPr/>
      </w:pPr>
      <w:r>
        <w:rPr/>
        <w:t>VII. Key Issues Requiring the Committee’s Attention</w:t>
      </w:r>
    </w:p>
    <w:p>
      <w:pPr>
        <w:pStyle w:val="BodyText"/>
        <w:spacing w:before="0" w:after="0"/>
        <w:ind w:hanging="0" w:left="0" w:right="0"/>
        <w:jc w:val="left"/>
        <w:rPr/>
      </w:pPr>
      <w:r>
        <w:rPr/>
        <w:t>The continued arrest, incommunicado detention, and prosecution of Khmer-Krom women human rights defenders demonstrate that the concerns reflected in the Committee’s List of Issues remain valid and unresolved.</w:t>
      </w:r>
    </w:p>
    <w:p>
      <w:pPr>
        <w:pStyle w:val="BodyText"/>
        <w:spacing w:before="0" w:after="0"/>
        <w:ind w:hanging="0" w:left="0" w:right="0"/>
        <w:jc w:val="left"/>
        <w:rPr/>
      </w:pPr>
      <w:r>
        <w:rPr/>
        <w:t>The November 2025 arrest of Ms T.T.H.R., combined with the systemic denial of legal representation, family contact, and fair trial guarantees, directly undermines the credibility of the State party’s replies.</w:t>
      </w:r>
    </w:p>
    <w:p>
      <w:pPr>
        <w:pStyle w:val="BodyText"/>
        <w:spacing w:before="0" w:after="0"/>
        <w:ind w:hanging="0" w:left="0" w:right="0"/>
        <w:jc w:val="left"/>
        <w:rPr/>
      </w:pPr>
      <w:r>
        <w:rPr/>
        <w:t>KKF respectfully urges the Committee to address these issues explicitly during the constructive dialogue and to reaffirm that women’s peaceful advocacy and participation in International Women’s Day activities are protected under the Convention.</w:t>
      </w:r>
    </w:p>
    <w:p>
      <w:pPr>
        <w:pStyle w:val="BodyText"/>
        <w:spacing w:before="0" w:after="0"/>
        <w:ind w:hanging="0" w:left="0" w:right="0"/>
        <w:jc w:val="left"/>
        <w:rPr/>
      </w:pPr>
      <w:r>
        <w:rPr/>
      </w:r>
    </w:p>
    <w:p>
      <w:pPr>
        <w:pStyle w:val="BodyText"/>
        <w:spacing w:before="0" w:after="0"/>
        <w:ind w:hanging="0" w:left="0" w:right="0"/>
        <w:jc w:val="left"/>
        <w:rPr/>
      </w:pPr>
      <w:r>
        <w:rPr/>
      </w:r>
    </w:p>
    <w:p>
      <w:pPr>
        <w:pStyle w:val="Normal"/>
        <w:ind w:hanging="0" w:left="0" w:right="115"/>
        <w:jc w:val="center"/>
        <w:rPr>
          <w:rStyle w:val="StrongEmphasis"/>
          <w:b/>
          <w:bCs/>
          <w:i w:val="false"/>
          <w:i w:val="false"/>
          <w:iCs w:val="false"/>
          <w:color w:val="0E101A"/>
          <w:sz w:val="28"/>
          <w:szCs w:val="28"/>
          <w:shd w:fill="auto" w:val="clear"/>
        </w:rPr>
      </w:pPr>
      <w:r>
        <w:rPr>
          <w:b w:val="false"/>
          <w:bCs w:val="false"/>
          <w:color w:val="0E101A"/>
          <w:sz w:val="22"/>
          <w:szCs w:val="22"/>
          <w:shd w:fill="auto" w:val="clear"/>
        </w:rPr>
      </w:r>
    </w:p>
    <w:sectPr>
      <w:footerReference w:type="even" r:id="rId3"/>
      <w:footerReference w:type="default" r:id="rId4"/>
      <w:footerReference w:type="first" r:id="rId5"/>
      <w:type w:val="nextPage"/>
      <w:pgSz w:w="12240" w:h="15840"/>
      <w:pgMar w:left="1440" w:right="1440" w:gutter="0" w:header="0" w:top="1440" w:footer="1440" w:bottom="209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OpenSymbol">
    <w:altName w:val="Arial Unicode MS"/>
    <w:charset w:val="01"/>
    <w:family w:val="roman"/>
    <w:pitch w:val="variable"/>
  </w:font>
  <w:font w:name="Liberation Sans">
    <w:altName w:val="Arial"/>
    <w:charset w:val="01"/>
    <w:family w:val="roman"/>
    <w:pitch w:val="variable"/>
  </w:font>
  <w:font w:name="Georgia">
    <w:charset w:val="01"/>
    <w:family w:val="roman"/>
    <w:pitch w:val="variable"/>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7">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8">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90"/>
  <w:defaultTabStop w:val="720"/>
  <w:autoHyphenation w:val="true"/>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sz w:val="24"/>
        <w:szCs w:val="24"/>
        <w:lang w:val="en-US"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Songti SC" w:cs="Arial Unicode MS"/>
      <w:color w:val="auto"/>
      <w:kern w:val="0"/>
      <w:sz w:val="24"/>
      <w:szCs w:val="24"/>
      <w:lang w:val="en-US" w:eastAsia="zh-CN" w:bidi="hi-IN"/>
    </w:rPr>
  </w:style>
  <w:style w:type="paragraph" w:styleId="Heading1">
    <w:name w:val="Heading 1"/>
    <w:basedOn w:val="LO-normal"/>
    <w:next w:val="LO-normal"/>
    <w:qFormat/>
    <w:pPr/>
    <w:rPr>
      <w:b/>
      <w:sz w:val="48"/>
      <w:szCs w:val="48"/>
    </w:rPr>
  </w:style>
  <w:style w:type="paragraph" w:styleId="Heading2">
    <w:name w:val="Heading 2"/>
    <w:basedOn w:val="LO-normal"/>
    <w:next w:val="LO-normal"/>
    <w:qFormat/>
    <w:pPr>
      <w:keepNext w:val="true"/>
      <w:keepLines/>
      <w:spacing w:lineRule="auto" w:line="240" w:before="360" w:after="80"/>
    </w:pPr>
    <w:rPr>
      <w:b/>
      <w:sz w:val="36"/>
      <w:szCs w:val="36"/>
    </w:rPr>
  </w:style>
  <w:style w:type="paragraph" w:styleId="Heading3">
    <w:name w:val="Heading 3"/>
    <w:basedOn w:val="LO-normal"/>
    <w:next w:val="LO-normal"/>
    <w:qFormat/>
    <w:pPr>
      <w:keepNext w:val="true"/>
      <w:keepLines/>
      <w:spacing w:lineRule="auto" w:line="240" w:before="280" w:after="80"/>
    </w:pPr>
    <w:rPr>
      <w:b/>
      <w:sz w:val="28"/>
      <w:szCs w:val="28"/>
    </w:rPr>
  </w:style>
  <w:style w:type="paragraph" w:styleId="Heading4">
    <w:name w:val="Heading 4"/>
    <w:basedOn w:val="LO-normal"/>
    <w:next w:val="LO-normal"/>
    <w:qFormat/>
    <w:pPr>
      <w:keepNext w:val="true"/>
      <w:keepLines/>
      <w:spacing w:lineRule="auto" w:line="240" w:before="240" w:after="40"/>
    </w:pPr>
    <w:rPr>
      <w:b/>
      <w:sz w:val="24"/>
      <w:szCs w:val="24"/>
    </w:rPr>
  </w:style>
  <w:style w:type="paragraph" w:styleId="Heading5">
    <w:name w:val="Heading 5"/>
    <w:basedOn w:val="LO-normal"/>
    <w:next w:val="LO-normal"/>
    <w:qFormat/>
    <w:pPr>
      <w:keepNext w:val="true"/>
      <w:keepLines/>
      <w:spacing w:lineRule="auto" w:line="240" w:before="220" w:after="40"/>
    </w:pPr>
    <w:rPr>
      <w:b/>
      <w:sz w:val="22"/>
      <w:szCs w:val="22"/>
    </w:rPr>
  </w:style>
  <w:style w:type="paragraph" w:styleId="Heading6">
    <w:name w:val="Heading 6"/>
    <w:basedOn w:val="LO-normal"/>
    <w:next w:val="LO-normal"/>
    <w:qFormat/>
    <w:pPr>
      <w:keepNext w:val="true"/>
      <w:keepLines/>
      <w:spacing w:lineRule="auto" w:line="240" w:before="200" w:after="40"/>
    </w:pPr>
    <w:rPr>
      <w:b/>
      <w:sz w:val="20"/>
      <w:szCs w:val="20"/>
    </w:rPr>
  </w:style>
  <w:style w:type="character" w:styleId="Hyperlink">
    <w:name w:val="Hyperlink"/>
    <w:rPr>
      <w:color w:val="000080"/>
      <w:u w:val="single"/>
      <w:lang w:val="zxx" w:eastAsia="zxx" w:bidi="zxx"/>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character" w:styleId="Emphasis">
    <w:name w:val="Emphasis"/>
    <w:qFormat/>
    <w:rPr>
      <w:i/>
      <w:iCs/>
    </w:rPr>
  </w:style>
  <w:style w:type="character" w:styleId="Strong">
    <w:name w:val="Strong"/>
    <w:qFormat/>
    <w:rPr>
      <w:b/>
      <w:bCs/>
    </w:rPr>
  </w:style>
  <w:style w:type="character" w:styleId="NumberingSymbols">
    <w:name w:val="Numbering Symbols"/>
    <w:qFormat/>
    <w:rPr/>
  </w:style>
  <w:style w:type="paragraph" w:styleId="Heading">
    <w:name w:val="Heading"/>
    <w:basedOn w:val="Normal"/>
    <w:next w:val="BodyText"/>
    <w:qFormat/>
    <w:pPr>
      <w:keepNext w:val="true"/>
      <w:spacing w:before="240" w:after="120"/>
    </w:pPr>
    <w:rPr>
      <w:rFonts w:ascii="Liberation Sans" w:hAnsi="Liberation Sans" w:eastAsia="PingFang SC" w:cs="Arial Unicode M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LO-normal">
    <w:name w:val="LO-normal"/>
    <w:qFormat/>
    <w:pPr>
      <w:widowControl/>
      <w:suppressAutoHyphens w:val="true"/>
      <w:overflowPunct w:val="true"/>
      <w:bidi w:val="0"/>
      <w:spacing w:before="0" w:after="0"/>
      <w:jc w:val="left"/>
    </w:pPr>
    <w:rPr>
      <w:rFonts w:ascii="Times New Roman" w:hAnsi="Times New Roman" w:eastAsia="Songti SC" w:cs="Arial Unicode MS"/>
      <w:color w:val="auto"/>
      <w:kern w:val="0"/>
      <w:sz w:val="24"/>
      <w:szCs w:val="24"/>
      <w:lang w:val="en-US" w:eastAsia="zh-CN" w:bidi="hi-IN"/>
    </w:rPr>
  </w:style>
  <w:style w:type="paragraph" w:styleId="Title">
    <w:name w:val="Title"/>
    <w:basedOn w:val="LO-normal"/>
    <w:next w:val="LO-normal"/>
    <w:qFormat/>
    <w:pPr>
      <w:keepNext w:val="true"/>
      <w:keepLines/>
      <w:spacing w:lineRule="auto" w:line="240" w:before="480" w:after="120"/>
    </w:pPr>
    <w:rPr>
      <w:b/>
      <w:sz w:val="72"/>
      <w:szCs w:val="72"/>
    </w:rPr>
  </w:style>
  <w:style w:type="paragraph" w:styleId="Subtitle">
    <w:name w:val="Subtitle"/>
    <w:basedOn w:val="LO-normal"/>
    <w:next w:val="LO-normal"/>
    <w:qFormat/>
    <w:pPr>
      <w:keepNext w:val="true"/>
      <w:keepLines/>
      <w:spacing w:lineRule="auto" w:line="240" w:before="360" w:after="80"/>
    </w:pPr>
    <w:rPr>
      <w:rFonts w:ascii="Georgia" w:hAnsi="Georgia" w:eastAsia="Georgia" w:cs="Georgia"/>
      <w:i/>
      <w:color w:val="666666"/>
      <w:sz w:val="48"/>
      <w:szCs w:val="48"/>
    </w:rPr>
  </w:style>
  <w:style w:type="paragraph" w:styleId="NormalWeb">
    <w:name w:val="Normal (Web)"/>
    <w:basedOn w:val="Normal"/>
    <w:qFormat/>
    <w:pPr>
      <w:spacing w:before="280" w:after="280"/>
    </w:pPr>
    <w:rPr/>
  </w:style>
  <w:style w:type="paragraph" w:styleId="HeaderandFooter">
    <w:name w:val="Header and Footer"/>
    <w:basedOn w:val="Normal"/>
    <w:qFormat/>
    <w:pPr>
      <w:suppressLineNumbers/>
      <w:tabs>
        <w:tab w:val="clear" w:pos="720"/>
        <w:tab w:val="center" w:pos="4680" w:leader="none"/>
        <w:tab w:val="right" w:pos="9360" w:leader="none"/>
      </w:tabs>
    </w:pPr>
    <w:rPr/>
  </w:style>
  <w:style w:type="paragraph" w:styleId="Footer">
    <w:name w:val="Footer"/>
    <w:basedOn w:val="HeaderandFooter"/>
    <w:pPr>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oter" Target="footer1.xml"/><Relationship Id="rId4" Type="http://schemas.openxmlformats.org/officeDocument/2006/relationships/footer" Target="footer2.xml"/><Relationship Id="rId5" Type="http://schemas.openxmlformats.org/officeDocument/2006/relationships/footer" Target="footer3.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2143</TotalTime>
  <Application>LibreOffice/24.2.2.2$MacOSX_AARCH64 LibreOffice_project/d56cc158d8a96260b836f100ef4b4ef25d6f1a01</Application>
  <AppVersion>15.0000</AppVersion>
  <Pages>6</Pages>
  <Words>1685</Words>
  <Characters>10219</Characters>
  <CharactersWithSpaces>11803</CharactersWithSpaces>
  <Paragraphs>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lastPrinted>2025-07-26T15:22:42Z</cp:lastPrinted>
  <dcterms:modified xsi:type="dcterms:W3CDTF">2025-12-28T11:10:45Z</dcterms:modified>
  <cp:revision>100</cp:revision>
  <dc:subject/>
  <dc:title/>
</cp:coreProperties>
</file>

<file path=docProps/custom.xml><?xml version="1.0" encoding="utf-8"?>
<Properties xmlns="http://schemas.openxmlformats.org/officeDocument/2006/custom-properties" xmlns:vt="http://schemas.openxmlformats.org/officeDocument/2006/docPropsVTypes"/>
</file>