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A4F" w:rsidRPr="007E7826" w:rsidRDefault="005F0A4F" w:rsidP="001A38E0">
      <w:pPr>
        <w:spacing w:before="120"/>
        <w:jc w:val="both"/>
        <w:rPr>
          <w:b/>
          <w:bCs/>
          <w:sz w:val="24"/>
          <w:szCs w:val="24"/>
          <w:lang w:val="es-VE"/>
        </w:rPr>
      </w:pPr>
      <w:bookmarkStart w:id="0" w:name="_GoBack"/>
      <w:bookmarkEnd w:id="0"/>
    </w:p>
    <w:p w:rsidR="005F0A4F" w:rsidRPr="007E7826" w:rsidRDefault="00E449DA" w:rsidP="001A38E0">
      <w:pPr>
        <w:tabs>
          <w:tab w:val="left" w:pos="3514"/>
        </w:tabs>
        <w:spacing w:before="120"/>
        <w:jc w:val="both"/>
        <w:rPr>
          <w:b/>
          <w:bCs/>
          <w:sz w:val="24"/>
          <w:szCs w:val="24"/>
          <w:lang w:val="es-VE"/>
        </w:rPr>
      </w:pPr>
      <w:r w:rsidRPr="007E7826">
        <w:rPr>
          <w:b/>
          <w:bCs/>
          <w:sz w:val="24"/>
          <w:szCs w:val="24"/>
        </w:rPr>
        <w:tab/>
      </w:r>
    </w:p>
    <w:p w:rsidR="005F0A4F" w:rsidRPr="007E7826" w:rsidRDefault="005F0A4F" w:rsidP="001A38E0">
      <w:pPr>
        <w:spacing w:before="120"/>
        <w:jc w:val="both"/>
        <w:rPr>
          <w:b/>
          <w:bCs/>
          <w:sz w:val="24"/>
          <w:szCs w:val="24"/>
        </w:rPr>
      </w:pPr>
    </w:p>
    <w:p w:rsidR="00921131" w:rsidRDefault="005F0A4F" w:rsidP="002E1DA1">
      <w:pPr>
        <w:spacing w:before="120"/>
        <w:jc w:val="center"/>
        <w:rPr>
          <w:b/>
          <w:bCs/>
          <w:sz w:val="36"/>
          <w:szCs w:val="36"/>
        </w:rPr>
      </w:pPr>
      <w:r w:rsidRPr="002E1DA1">
        <w:rPr>
          <w:b/>
          <w:bCs/>
          <w:sz w:val="36"/>
          <w:szCs w:val="36"/>
        </w:rPr>
        <w:t xml:space="preserve">INFORME </w:t>
      </w:r>
      <w:r w:rsidR="00921131" w:rsidRPr="002E1DA1">
        <w:rPr>
          <w:b/>
          <w:bCs/>
          <w:sz w:val="36"/>
          <w:szCs w:val="36"/>
        </w:rPr>
        <w:t>ALTERNATIVO</w:t>
      </w:r>
      <w:r w:rsidR="00E449DA" w:rsidRPr="002E1DA1">
        <w:rPr>
          <w:b/>
          <w:bCs/>
          <w:sz w:val="36"/>
          <w:szCs w:val="36"/>
        </w:rPr>
        <w:t xml:space="preserve"> DE AEQUITAS</w:t>
      </w:r>
      <w:r w:rsidR="00E449DA" w:rsidRPr="002E1DA1">
        <w:rPr>
          <w:rStyle w:val="Refdenotaalpie"/>
          <w:b/>
          <w:bCs/>
          <w:sz w:val="36"/>
          <w:szCs w:val="36"/>
        </w:rPr>
        <w:footnoteReference w:id="1"/>
      </w:r>
      <w:r w:rsidR="00E449DA" w:rsidRPr="002E1DA1">
        <w:rPr>
          <w:b/>
          <w:bCs/>
          <w:sz w:val="36"/>
          <w:szCs w:val="36"/>
        </w:rPr>
        <w:t xml:space="preserve"> AL RESPECTO DE </w:t>
      </w:r>
      <w:r w:rsidR="00921131" w:rsidRPr="002E1DA1">
        <w:rPr>
          <w:b/>
          <w:bCs/>
          <w:sz w:val="36"/>
          <w:szCs w:val="36"/>
        </w:rPr>
        <w:t>VENEZUELA</w:t>
      </w:r>
    </w:p>
    <w:p w:rsidR="002E1DA1" w:rsidRPr="002E1DA1" w:rsidRDefault="002E1DA1" w:rsidP="002E1DA1">
      <w:pPr>
        <w:spacing w:before="120"/>
        <w:jc w:val="center"/>
        <w:rPr>
          <w:b/>
          <w:bCs/>
          <w:sz w:val="36"/>
          <w:szCs w:val="36"/>
        </w:rPr>
      </w:pPr>
    </w:p>
    <w:p w:rsidR="005F0A4F" w:rsidRPr="007E7826" w:rsidRDefault="002E1DA1" w:rsidP="001A38E0">
      <w:pPr>
        <w:spacing w:before="120"/>
        <w:jc w:val="center"/>
        <w:rPr>
          <w:b/>
          <w:bCs/>
          <w:sz w:val="24"/>
          <w:szCs w:val="24"/>
        </w:rPr>
      </w:pPr>
      <w:r>
        <w:rPr>
          <w:b/>
          <w:bCs/>
          <w:sz w:val="24"/>
          <w:szCs w:val="24"/>
        </w:rPr>
        <w:t>Delitos y penas creados a través de decretos-leyes por el Presidente de la República Bolivariana de Venezuela</w:t>
      </w:r>
    </w:p>
    <w:p w:rsidR="00EE2F78" w:rsidRPr="007E7826" w:rsidRDefault="00EE2F78" w:rsidP="001A38E0">
      <w:pPr>
        <w:spacing w:before="120"/>
        <w:jc w:val="both"/>
        <w:rPr>
          <w:b/>
          <w:bCs/>
          <w:sz w:val="24"/>
          <w:szCs w:val="24"/>
        </w:rPr>
      </w:pPr>
    </w:p>
    <w:p w:rsidR="00AF008D" w:rsidRPr="00362055" w:rsidRDefault="00AF008D" w:rsidP="001A38E0">
      <w:pPr>
        <w:spacing w:before="120"/>
        <w:jc w:val="both"/>
        <w:rPr>
          <w:b/>
          <w:bCs/>
          <w:sz w:val="24"/>
          <w:szCs w:val="24"/>
        </w:rPr>
      </w:pPr>
    </w:p>
    <w:p w:rsidR="00AF008D" w:rsidRPr="00362055" w:rsidRDefault="00AF008D" w:rsidP="001A38E0">
      <w:pPr>
        <w:spacing w:before="120"/>
        <w:jc w:val="both"/>
        <w:rPr>
          <w:b/>
          <w:bCs/>
          <w:sz w:val="24"/>
          <w:szCs w:val="24"/>
        </w:rPr>
      </w:pPr>
    </w:p>
    <w:p w:rsidR="00AF008D" w:rsidRPr="00362055" w:rsidRDefault="00AF008D" w:rsidP="001A38E0">
      <w:pPr>
        <w:spacing w:before="120"/>
        <w:jc w:val="both"/>
        <w:rPr>
          <w:b/>
          <w:bCs/>
          <w:sz w:val="24"/>
          <w:szCs w:val="24"/>
        </w:rPr>
      </w:pPr>
    </w:p>
    <w:p w:rsidR="00AF008D" w:rsidRPr="00A15523" w:rsidRDefault="00AF008D" w:rsidP="001A38E0">
      <w:pPr>
        <w:spacing w:before="120"/>
        <w:jc w:val="both"/>
        <w:rPr>
          <w:b/>
          <w:bCs/>
          <w:sz w:val="24"/>
          <w:szCs w:val="24"/>
        </w:rPr>
      </w:pPr>
    </w:p>
    <w:p w:rsidR="00AF008D" w:rsidRPr="002E1DA1" w:rsidRDefault="00AF008D" w:rsidP="001A38E0">
      <w:pPr>
        <w:spacing w:before="120"/>
        <w:jc w:val="both"/>
        <w:rPr>
          <w:b/>
          <w:bCs/>
          <w:sz w:val="24"/>
          <w:szCs w:val="24"/>
        </w:rPr>
      </w:pPr>
    </w:p>
    <w:p w:rsidR="00DE4A7A" w:rsidRPr="007E7826" w:rsidRDefault="00DE4A7A" w:rsidP="001A38E0">
      <w:pPr>
        <w:spacing w:before="120"/>
        <w:jc w:val="both"/>
        <w:rPr>
          <w:b/>
          <w:bCs/>
          <w:sz w:val="24"/>
          <w:szCs w:val="24"/>
        </w:rPr>
      </w:pPr>
      <w:r w:rsidRPr="007E7826">
        <w:rPr>
          <w:b/>
          <w:bCs/>
          <w:sz w:val="24"/>
          <w:szCs w:val="24"/>
        </w:rPr>
        <w:t>Comité de Derechos Humanos</w:t>
      </w:r>
    </w:p>
    <w:p w:rsidR="00DE4A7A" w:rsidRPr="007E7826" w:rsidRDefault="00DE4A7A" w:rsidP="001A38E0">
      <w:pPr>
        <w:jc w:val="both"/>
        <w:rPr>
          <w:b/>
          <w:bCs/>
          <w:sz w:val="24"/>
          <w:szCs w:val="24"/>
        </w:rPr>
      </w:pPr>
      <w:r w:rsidRPr="007E7826">
        <w:rPr>
          <w:b/>
          <w:bCs/>
          <w:sz w:val="24"/>
          <w:szCs w:val="24"/>
        </w:rPr>
        <w:t xml:space="preserve">114º período de sesiones </w:t>
      </w:r>
    </w:p>
    <w:p w:rsidR="00DE4A7A" w:rsidRPr="007E7826" w:rsidRDefault="00DE4A7A" w:rsidP="001A38E0">
      <w:pPr>
        <w:jc w:val="both"/>
        <w:rPr>
          <w:sz w:val="24"/>
          <w:szCs w:val="24"/>
        </w:rPr>
      </w:pPr>
      <w:r w:rsidRPr="007E7826">
        <w:rPr>
          <w:sz w:val="24"/>
          <w:szCs w:val="24"/>
        </w:rPr>
        <w:t>29 de junio a</w:t>
      </w:r>
      <w:r w:rsidR="005F0A4F" w:rsidRPr="007E7826">
        <w:rPr>
          <w:sz w:val="24"/>
          <w:szCs w:val="24"/>
        </w:rPr>
        <w:t>l</w:t>
      </w:r>
      <w:r w:rsidRPr="007E7826">
        <w:rPr>
          <w:sz w:val="24"/>
          <w:szCs w:val="24"/>
        </w:rPr>
        <w:t xml:space="preserve"> 24 julio de 2015</w:t>
      </w:r>
    </w:p>
    <w:p w:rsidR="004071E9" w:rsidRPr="007E7826" w:rsidRDefault="004071E9" w:rsidP="001A38E0">
      <w:pPr>
        <w:jc w:val="both"/>
        <w:rPr>
          <w:sz w:val="24"/>
          <w:szCs w:val="24"/>
        </w:rPr>
      </w:pPr>
    </w:p>
    <w:p w:rsidR="00DE4A7A" w:rsidRPr="007E7826" w:rsidRDefault="00DE4A7A" w:rsidP="001A38E0">
      <w:pPr>
        <w:jc w:val="both"/>
        <w:rPr>
          <w:sz w:val="24"/>
          <w:szCs w:val="24"/>
        </w:rPr>
      </w:pPr>
    </w:p>
    <w:p w:rsidR="00DE4A7A" w:rsidRPr="000B1B30" w:rsidRDefault="00DE4A7A" w:rsidP="001A38E0">
      <w:pPr>
        <w:jc w:val="both"/>
        <w:rPr>
          <w:sz w:val="24"/>
          <w:szCs w:val="24"/>
        </w:rPr>
      </w:pPr>
    </w:p>
    <w:p w:rsidR="00AA3A4F" w:rsidRPr="000B1B30" w:rsidRDefault="00AA3A4F" w:rsidP="001A38E0">
      <w:pPr>
        <w:jc w:val="both"/>
        <w:rPr>
          <w:sz w:val="24"/>
          <w:szCs w:val="24"/>
        </w:rPr>
      </w:pPr>
    </w:p>
    <w:p w:rsidR="00AA3A4F" w:rsidRPr="000B1B30" w:rsidRDefault="00AA3A4F" w:rsidP="001A38E0">
      <w:pPr>
        <w:jc w:val="both"/>
        <w:rPr>
          <w:sz w:val="24"/>
          <w:szCs w:val="24"/>
        </w:rPr>
      </w:pPr>
    </w:p>
    <w:p w:rsidR="00AA3A4F" w:rsidRPr="000B1B30" w:rsidRDefault="00AA3A4F" w:rsidP="001A38E0">
      <w:pPr>
        <w:jc w:val="both"/>
        <w:rPr>
          <w:sz w:val="24"/>
          <w:szCs w:val="24"/>
        </w:rPr>
      </w:pPr>
    </w:p>
    <w:p w:rsidR="00AA3A4F" w:rsidRPr="000B1B30" w:rsidRDefault="00AA3A4F" w:rsidP="001A38E0">
      <w:pPr>
        <w:jc w:val="both"/>
        <w:rPr>
          <w:sz w:val="24"/>
          <w:szCs w:val="24"/>
        </w:rPr>
      </w:pPr>
    </w:p>
    <w:p w:rsidR="00AA3A4F" w:rsidRPr="000B1B30" w:rsidRDefault="00AA3A4F" w:rsidP="001A38E0">
      <w:pPr>
        <w:jc w:val="both"/>
        <w:rPr>
          <w:sz w:val="24"/>
          <w:szCs w:val="24"/>
        </w:rPr>
      </w:pPr>
    </w:p>
    <w:p w:rsidR="00AA3A4F" w:rsidRPr="000B1B30" w:rsidRDefault="00AA3A4F" w:rsidP="001A38E0">
      <w:pPr>
        <w:jc w:val="both"/>
        <w:rPr>
          <w:sz w:val="24"/>
          <w:szCs w:val="24"/>
        </w:rPr>
      </w:pPr>
    </w:p>
    <w:p w:rsidR="00AA3A4F" w:rsidRPr="000B1B30" w:rsidRDefault="00AA3A4F" w:rsidP="001A38E0">
      <w:pPr>
        <w:jc w:val="both"/>
        <w:rPr>
          <w:sz w:val="24"/>
          <w:szCs w:val="24"/>
        </w:rPr>
      </w:pPr>
    </w:p>
    <w:p w:rsidR="00AA3A4F" w:rsidRPr="000B1B30" w:rsidRDefault="00AA3A4F" w:rsidP="001A38E0">
      <w:pPr>
        <w:jc w:val="both"/>
        <w:rPr>
          <w:sz w:val="24"/>
          <w:szCs w:val="24"/>
        </w:rPr>
      </w:pPr>
    </w:p>
    <w:p w:rsidR="00AA3A4F" w:rsidRPr="000B1B30" w:rsidRDefault="00AA3A4F" w:rsidP="001A38E0">
      <w:pPr>
        <w:jc w:val="both"/>
        <w:rPr>
          <w:sz w:val="24"/>
          <w:szCs w:val="24"/>
        </w:rPr>
      </w:pPr>
    </w:p>
    <w:p w:rsidR="00AA3A4F" w:rsidRPr="000B1B30" w:rsidRDefault="00AA3A4F" w:rsidP="001A38E0">
      <w:pPr>
        <w:jc w:val="both"/>
        <w:rPr>
          <w:sz w:val="24"/>
          <w:szCs w:val="24"/>
        </w:rPr>
      </w:pPr>
    </w:p>
    <w:p w:rsidR="00AA3A4F" w:rsidRPr="007E7826" w:rsidRDefault="00A7131A" w:rsidP="002E1DA1">
      <w:pPr>
        <w:jc w:val="right"/>
        <w:rPr>
          <w:sz w:val="24"/>
          <w:szCs w:val="24"/>
        </w:rPr>
      </w:pPr>
      <w:r>
        <w:rPr>
          <w:sz w:val="24"/>
          <w:szCs w:val="24"/>
        </w:rPr>
        <w:t>02 JUNIO</w:t>
      </w:r>
      <w:r w:rsidRPr="007E7826">
        <w:rPr>
          <w:sz w:val="24"/>
          <w:szCs w:val="24"/>
        </w:rPr>
        <w:t xml:space="preserve"> </w:t>
      </w:r>
      <w:r w:rsidR="00EE2F78" w:rsidRPr="007E7826">
        <w:rPr>
          <w:sz w:val="24"/>
          <w:szCs w:val="24"/>
        </w:rPr>
        <w:t>2015</w:t>
      </w:r>
    </w:p>
    <w:p w:rsidR="00AA3A4F" w:rsidRPr="000B1B30" w:rsidRDefault="00AA3A4F" w:rsidP="001A38E0">
      <w:pPr>
        <w:jc w:val="both"/>
        <w:rPr>
          <w:sz w:val="24"/>
          <w:szCs w:val="24"/>
        </w:rPr>
      </w:pPr>
    </w:p>
    <w:p w:rsidR="00AA3A4F" w:rsidRPr="000B1B30" w:rsidRDefault="00AA3A4F" w:rsidP="001A38E0">
      <w:pPr>
        <w:jc w:val="both"/>
        <w:rPr>
          <w:sz w:val="24"/>
          <w:szCs w:val="24"/>
        </w:rPr>
      </w:pPr>
    </w:p>
    <w:p w:rsidR="00D9592B" w:rsidRPr="007E7826" w:rsidRDefault="008D4CD1" w:rsidP="000B1B30">
      <w:pPr>
        <w:pStyle w:val="Prrafodelista"/>
        <w:ind w:left="0"/>
        <w:jc w:val="both"/>
        <w:rPr>
          <w:b/>
          <w:snapToGrid w:val="0"/>
          <w:color w:val="000000"/>
          <w:sz w:val="24"/>
          <w:szCs w:val="24"/>
        </w:rPr>
      </w:pPr>
      <w:r w:rsidRPr="007E7826">
        <w:rPr>
          <w:b/>
          <w:sz w:val="24"/>
          <w:szCs w:val="24"/>
        </w:rPr>
        <w:t>Violaciones a</w:t>
      </w:r>
      <w:r w:rsidR="000439AA" w:rsidRPr="007E7826">
        <w:rPr>
          <w:b/>
          <w:sz w:val="24"/>
          <w:szCs w:val="24"/>
        </w:rPr>
        <w:t xml:space="preserve">l </w:t>
      </w:r>
      <w:r w:rsidR="00A71931" w:rsidRPr="007E7826">
        <w:rPr>
          <w:b/>
          <w:sz w:val="24"/>
          <w:szCs w:val="24"/>
        </w:rPr>
        <w:t>p</w:t>
      </w:r>
      <w:r w:rsidR="002E1DA1">
        <w:rPr>
          <w:b/>
          <w:sz w:val="24"/>
          <w:szCs w:val="24"/>
        </w:rPr>
        <w:t>r</w:t>
      </w:r>
      <w:r w:rsidR="00A71931" w:rsidRPr="007E7826">
        <w:rPr>
          <w:b/>
          <w:sz w:val="24"/>
          <w:szCs w:val="24"/>
        </w:rPr>
        <w:t xml:space="preserve">incipio de legalidad penal: artículo 15 del </w:t>
      </w:r>
      <w:r w:rsidRPr="007E7826">
        <w:rPr>
          <w:b/>
          <w:sz w:val="24"/>
          <w:szCs w:val="24"/>
        </w:rPr>
        <w:t>Pacto</w:t>
      </w:r>
      <w:r w:rsidRPr="007E7826">
        <w:rPr>
          <w:b/>
          <w:snapToGrid w:val="0"/>
          <w:color w:val="000000"/>
          <w:sz w:val="24"/>
          <w:szCs w:val="24"/>
        </w:rPr>
        <w:t xml:space="preserve"> Internacional de Derechos Civiles y Políticos</w:t>
      </w:r>
    </w:p>
    <w:p w:rsidR="00A71931" w:rsidRPr="007E7826" w:rsidRDefault="00A71931" w:rsidP="000B1B30">
      <w:pPr>
        <w:pStyle w:val="Prrafodelista"/>
        <w:ind w:left="0"/>
        <w:jc w:val="both"/>
        <w:rPr>
          <w:b/>
          <w:sz w:val="24"/>
          <w:szCs w:val="24"/>
        </w:rPr>
      </w:pPr>
    </w:p>
    <w:p w:rsidR="00A71931" w:rsidRPr="000B1B30" w:rsidRDefault="00A71931" w:rsidP="00A7131A">
      <w:pPr>
        <w:pStyle w:val="Prrafodelista"/>
        <w:spacing w:line="276" w:lineRule="auto"/>
        <w:ind w:left="0"/>
        <w:jc w:val="both"/>
        <w:rPr>
          <w:sz w:val="24"/>
          <w:szCs w:val="24"/>
        </w:rPr>
      </w:pPr>
      <w:r w:rsidRPr="000B1B30">
        <w:rPr>
          <w:sz w:val="24"/>
          <w:szCs w:val="24"/>
        </w:rPr>
        <w:t>Mediante decretos dictados por el Presidente de la República se han creado una serie de delitos penales con sanciones privativas de la libertad, en abierta violación al principio de legalidad y reserva legal en materia penal, reconocidos en el artículo 15 del Pacto y en otros instrumentos internacionales. Para ello se ha utilizado la modalidad de decretos-leyes dictados por el Presidente con base en leyes habilitantes previstas en la Constitución</w:t>
      </w:r>
      <w:r w:rsidR="006246D0" w:rsidRPr="000B1B30">
        <w:rPr>
          <w:rStyle w:val="Refdenotaalpie"/>
          <w:sz w:val="24"/>
          <w:szCs w:val="24"/>
        </w:rPr>
        <w:footnoteReference w:id="2"/>
      </w:r>
      <w:r w:rsidRPr="000B1B30">
        <w:rPr>
          <w:sz w:val="24"/>
          <w:szCs w:val="24"/>
        </w:rPr>
        <w:t xml:space="preserve">, pero que en todo caso </w:t>
      </w:r>
      <w:r w:rsidR="00401883">
        <w:rPr>
          <w:sz w:val="24"/>
          <w:szCs w:val="24"/>
        </w:rPr>
        <w:t>todos los actos del Estado deben</w:t>
      </w:r>
      <w:r w:rsidRPr="000B1B30">
        <w:rPr>
          <w:sz w:val="24"/>
          <w:szCs w:val="24"/>
        </w:rPr>
        <w:t xml:space="preserve"> sujetarse a las obligaciones internacionales en materia de derechos humanos. </w:t>
      </w:r>
    </w:p>
    <w:p w:rsidR="00D9592B" w:rsidRPr="007E7826" w:rsidRDefault="00D9592B" w:rsidP="000B1B30">
      <w:pPr>
        <w:pStyle w:val="Prrafodelista"/>
        <w:ind w:left="1800"/>
        <w:jc w:val="both"/>
        <w:rPr>
          <w:b/>
          <w:sz w:val="24"/>
          <w:szCs w:val="24"/>
        </w:rPr>
      </w:pPr>
    </w:p>
    <w:p w:rsidR="00AA3A4F" w:rsidRPr="007E7826" w:rsidRDefault="000439AA" w:rsidP="000B1B30">
      <w:pPr>
        <w:ind w:firstLine="708"/>
        <w:jc w:val="both"/>
        <w:rPr>
          <w:b/>
          <w:sz w:val="24"/>
          <w:szCs w:val="24"/>
        </w:rPr>
      </w:pPr>
      <w:r w:rsidRPr="007E7826">
        <w:rPr>
          <w:b/>
          <w:sz w:val="24"/>
          <w:szCs w:val="24"/>
        </w:rPr>
        <w:t>1</w:t>
      </w:r>
      <w:r w:rsidR="00CA6C09" w:rsidRPr="007E7826">
        <w:rPr>
          <w:b/>
          <w:sz w:val="24"/>
          <w:szCs w:val="24"/>
        </w:rPr>
        <w:t>. L</w:t>
      </w:r>
      <w:r w:rsidR="00C10E28" w:rsidRPr="007E7826">
        <w:rPr>
          <w:b/>
          <w:sz w:val="24"/>
          <w:szCs w:val="24"/>
        </w:rPr>
        <w:t>os d</w:t>
      </w:r>
      <w:r w:rsidR="00AA3A4F" w:rsidRPr="007E7826">
        <w:rPr>
          <w:b/>
          <w:sz w:val="24"/>
          <w:szCs w:val="24"/>
        </w:rPr>
        <w:t xml:space="preserve">elitos </w:t>
      </w:r>
      <w:r w:rsidR="002362D8" w:rsidRPr="007E7826">
        <w:rPr>
          <w:b/>
          <w:sz w:val="24"/>
          <w:szCs w:val="24"/>
        </w:rPr>
        <w:t xml:space="preserve">y </w:t>
      </w:r>
      <w:r w:rsidR="00C10E28" w:rsidRPr="007E7826">
        <w:rPr>
          <w:b/>
          <w:sz w:val="24"/>
          <w:szCs w:val="24"/>
        </w:rPr>
        <w:t xml:space="preserve">las </w:t>
      </w:r>
      <w:r w:rsidR="002362D8" w:rsidRPr="007E7826">
        <w:rPr>
          <w:b/>
          <w:sz w:val="24"/>
          <w:szCs w:val="24"/>
        </w:rPr>
        <w:t xml:space="preserve">sanciones </w:t>
      </w:r>
      <w:r w:rsidR="00AA3A4F" w:rsidRPr="007E7826">
        <w:rPr>
          <w:b/>
          <w:sz w:val="24"/>
          <w:szCs w:val="24"/>
        </w:rPr>
        <w:t xml:space="preserve">penales creados a través de </w:t>
      </w:r>
      <w:r w:rsidR="00374A8D" w:rsidRPr="007E7826">
        <w:rPr>
          <w:b/>
          <w:sz w:val="24"/>
          <w:szCs w:val="24"/>
        </w:rPr>
        <w:t>decretos</w:t>
      </w:r>
      <w:r w:rsidR="002362D8" w:rsidRPr="007E7826">
        <w:rPr>
          <w:b/>
          <w:sz w:val="24"/>
          <w:szCs w:val="24"/>
        </w:rPr>
        <w:t>-</w:t>
      </w:r>
      <w:r w:rsidR="00374A8D" w:rsidRPr="007E7826">
        <w:rPr>
          <w:b/>
          <w:sz w:val="24"/>
          <w:szCs w:val="24"/>
        </w:rPr>
        <w:t>l</w:t>
      </w:r>
      <w:r w:rsidR="00AA3A4F" w:rsidRPr="007E7826">
        <w:rPr>
          <w:b/>
          <w:sz w:val="24"/>
          <w:szCs w:val="24"/>
        </w:rPr>
        <w:t>eyes</w:t>
      </w:r>
    </w:p>
    <w:p w:rsidR="00AA3A4F" w:rsidRPr="007E7826" w:rsidRDefault="00AA3A4F" w:rsidP="000B1B30">
      <w:pPr>
        <w:jc w:val="both"/>
        <w:rPr>
          <w:sz w:val="24"/>
          <w:szCs w:val="24"/>
        </w:rPr>
      </w:pPr>
    </w:p>
    <w:p w:rsidR="0085598D" w:rsidRPr="007E7826" w:rsidRDefault="00891098" w:rsidP="007E7826">
      <w:pPr>
        <w:spacing w:line="276" w:lineRule="auto"/>
        <w:jc w:val="both"/>
        <w:rPr>
          <w:sz w:val="24"/>
          <w:szCs w:val="24"/>
        </w:rPr>
      </w:pPr>
      <w:r w:rsidRPr="007E7826">
        <w:rPr>
          <w:sz w:val="24"/>
          <w:szCs w:val="24"/>
        </w:rPr>
        <w:t>La cuestión relativa a</w:t>
      </w:r>
      <w:r w:rsidR="0085598D" w:rsidRPr="007E7826">
        <w:rPr>
          <w:sz w:val="24"/>
          <w:szCs w:val="24"/>
        </w:rPr>
        <w:t xml:space="preserve"> </w:t>
      </w:r>
      <w:r w:rsidR="002362D8" w:rsidRPr="007E7826">
        <w:rPr>
          <w:sz w:val="24"/>
          <w:szCs w:val="24"/>
        </w:rPr>
        <w:t xml:space="preserve">la creación de delitos y sanciones penales </w:t>
      </w:r>
      <w:r w:rsidR="00A71931" w:rsidRPr="007E7826">
        <w:rPr>
          <w:sz w:val="24"/>
          <w:szCs w:val="24"/>
        </w:rPr>
        <w:t xml:space="preserve">privativas de libertad </w:t>
      </w:r>
      <w:r w:rsidR="00784BE1" w:rsidRPr="007E7826">
        <w:rPr>
          <w:sz w:val="24"/>
          <w:szCs w:val="24"/>
        </w:rPr>
        <w:t xml:space="preserve">mediante </w:t>
      </w:r>
      <w:r w:rsidR="00374A8D" w:rsidRPr="007E7826">
        <w:rPr>
          <w:sz w:val="24"/>
          <w:szCs w:val="24"/>
        </w:rPr>
        <w:t>decretos</w:t>
      </w:r>
      <w:r w:rsidR="00874A37" w:rsidRPr="007E7826">
        <w:rPr>
          <w:sz w:val="24"/>
          <w:szCs w:val="24"/>
        </w:rPr>
        <w:t xml:space="preserve"> </w:t>
      </w:r>
      <w:r w:rsidR="00374A8D" w:rsidRPr="007E7826">
        <w:rPr>
          <w:sz w:val="24"/>
          <w:szCs w:val="24"/>
        </w:rPr>
        <w:t>l</w:t>
      </w:r>
      <w:r w:rsidR="00784BE1" w:rsidRPr="007E7826">
        <w:rPr>
          <w:sz w:val="24"/>
          <w:szCs w:val="24"/>
        </w:rPr>
        <w:t xml:space="preserve">eyes dictados por el Presidente de la República (Ejecutivo Nacional) </w:t>
      </w:r>
      <w:r w:rsidR="002362D8" w:rsidRPr="007E7826">
        <w:rPr>
          <w:sz w:val="24"/>
          <w:szCs w:val="24"/>
        </w:rPr>
        <w:t xml:space="preserve">con base en la </w:t>
      </w:r>
      <w:r w:rsidR="0085598D" w:rsidRPr="007E7826">
        <w:rPr>
          <w:sz w:val="24"/>
          <w:szCs w:val="24"/>
        </w:rPr>
        <w:t>Ley H</w:t>
      </w:r>
      <w:r w:rsidRPr="007E7826">
        <w:rPr>
          <w:sz w:val="24"/>
          <w:szCs w:val="24"/>
        </w:rPr>
        <w:t>abilitante</w:t>
      </w:r>
      <w:r w:rsidR="00D9592B" w:rsidRPr="007E7826">
        <w:rPr>
          <w:sz w:val="24"/>
          <w:szCs w:val="24"/>
        </w:rPr>
        <w:t xml:space="preserve"> en Venezuela</w:t>
      </w:r>
      <w:r w:rsidRPr="007E7826">
        <w:rPr>
          <w:sz w:val="24"/>
          <w:szCs w:val="24"/>
        </w:rPr>
        <w:t xml:space="preserve"> fue considerado en la</w:t>
      </w:r>
      <w:r w:rsidR="0085598D" w:rsidRPr="007E7826">
        <w:rPr>
          <w:sz w:val="24"/>
          <w:szCs w:val="24"/>
        </w:rPr>
        <w:t xml:space="preserve"> </w:t>
      </w:r>
      <w:r w:rsidRPr="007E7826">
        <w:rPr>
          <w:snapToGrid w:val="0"/>
          <w:sz w:val="24"/>
          <w:szCs w:val="24"/>
        </w:rPr>
        <w:t xml:space="preserve">Lista de preguntas que se abordaron en el examen del </w:t>
      </w:r>
      <w:r w:rsidRPr="007E7826">
        <w:rPr>
          <w:sz w:val="24"/>
          <w:szCs w:val="24"/>
        </w:rPr>
        <w:t xml:space="preserve">tercer informe periódico de Venezuela </w:t>
      </w:r>
      <w:r w:rsidRPr="007E7826">
        <w:rPr>
          <w:snapToGrid w:val="0"/>
          <w:color w:val="000000"/>
          <w:sz w:val="24"/>
          <w:szCs w:val="24"/>
        </w:rPr>
        <w:t>(CCPR/C/VEN/98/3)</w:t>
      </w:r>
      <w:r w:rsidR="007A6D48" w:rsidRPr="007E7826">
        <w:rPr>
          <w:snapToGrid w:val="0"/>
          <w:color w:val="000000"/>
          <w:sz w:val="24"/>
          <w:szCs w:val="24"/>
        </w:rPr>
        <w:t xml:space="preserve"> en el año 2000</w:t>
      </w:r>
      <w:r w:rsidR="00367156" w:rsidRPr="007E7826">
        <w:rPr>
          <w:rStyle w:val="Refdenotaalpie"/>
          <w:snapToGrid w:val="0"/>
          <w:color w:val="000000"/>
          <w:sz w:val="24"/>
          <w:szCs w:val="24"/>
        </w:rPr>
        <w:footnoteReference w:id="3"/>
      </w:r>
      <w:r w:rsidR="00204428" w:rsidRPr="007E7826">
        <w:rPr>
          <w:snapToGrid w:val="0"/>
          <w:color w:val="000000"/>
          <w:sz w:val="24"/>
          <w:szCs w:val="24"/>
        </w:rPr>
        <w:t>. S</w:t>
      </w:r>
      <w:r w:rsidR="00DA5535" w:rsidRPr="007E7826">
        <w:rPr>
          <w:snapToGrid w:val="0"/>
          <w:color w:val="000000"/>
          <w:sz w:val="24"/>
          <w:szCs w:val="24"/>
        </w:rPr>
        <w:t>in embargo</w:t>
      </w:r>
      <w:r w:rsidR="00367156" w:rsidRPr="007E7826">
        <w:rPr>
          <w:snapToGrid w:val="0"/>
          <w:color w:val="000000"/>
          <w:sz w:val="24"/>
          <w:szCs w:val="24"/>
        </w:rPr>
        <w:t>,</w:t>
      </w:r>
      <w:r w:rsidR="00DA5535" w:rsidRPr="007E7826">
        <w:rPr>
          <w:snapToGrid w:val="0"/>
          <w:color w:val="000000"/>
          <w:sz w:val="24"/>
          <w:szCs w:val="24"/>
        </w:rPr>
        <w:t xml:space="preserve"> resulta relevante para este examen periódico tomar en consideración la situación al respecto de los </w:t>
      </w:r>
      <w:r w:rsidR="00DA5535" w:rsidRPr="007E7826">
        <w:rPr>
          <w:b/>
          <w:snapToGrid w:val="0"/>
          <w:color w:val="000000"/>
          <w:sz w:val="24"/>
          <w:szCs w:val="24"/>
        </w:rPr>
        <w:t>delitos penales</w:t>
      </w:r>
      <w:r w:rsidR="00DA5535" w:rsidRPr="007E7826">
        <w:rPr>
          <w:snapToGrid w:val="0"/>
          <w:color w:val="000000"/>
          <w:sz w:val="24"/>
          <w:szCs w:val="24"/>
        </w:rPr>
        <w:t xml:space="preserve"> creados</w:t>
      </w:r>
      <w:r w:rsidR="00784BE1" w:rsidRPr="007E7826">
        <w:rPr>
          <w:snapToGrid w:val="0"/>
          <w:color w:val="000000"/>
          <w:sz w:val="24"/>
          <w:szCs w:val="24"/>
        </w:rPr>
        <w:t xml:space="preserve"> en Venezuela mediante decretos presidenciales con base en</w:t>
      </w:r>
      <w:r w:rsidR="00874A37" w:rsidRPr="007E7826">
        <w:rPr>
          <w:snapToGrid w:val="0"/>
          <w:color w:val="000000"/>
          <w:sz w:val="24"/>
          <w:szCs w:val="24"/>
        </w:rPr>
        <w:t xml:space="preserve"> </w:t>
      </w:r>
      <w:r w:rsidR="00DA5535" w:rsidRPr="007E7826">
        <w:rPr>
          <w:snapToGrid w:val="0"/>
          <w:color w:val="000000"/>
          <w:sz w:val="24"/>
          <w:szCs w:val="24"/>
        </w:rPr>
        <w:t xml:space="preserve">las </w:t>
      </w:r>
      <w:r w:rsidR="00A71931" w:rsidRPr="007E7826">
        <w:rPr>
          <w:snapToGrid w:val="0"/>
          <w:color w:val="000000"/>
          <w:sz w:val="24"/>
          <w:szCs w:val="24"/>
        </w:rPr>
        <w:t>l</w:t>
      </w:r>
      <w:r w:rsidR="00DA5535" w:rsidRPr="007E7826">
        <w:rPr>
          <w:snapToGrid w:val="0"/>
          <w:color w:val="000000"/>
          <w:sz w:val="24"/>
          <w:szCs w:val="24"/>
        </w:rPr>
        <w:t xml:space="preserve">eyes </w:t>
      </w:r>
      <w:r w:rsidR="00A71931" w:rsidRPr="007E7826">
        <w:rPr>
          <w:snapToGrid w:val="0"/>
          <w:color w:val="000000"/>
          <w:sz w:val="24"/>
          <w:szCs w:val="24"/>
        </w:rPr>
        <w:t>h</w:t>
      </w:r>
      <w:r w:rsidR="00DA5535" w:rsidRPr="007E7826">
        <w:rPr>
          <w:snapToGrid w:val="0"/>
          <w:color w:val="000000"/>
          <w:sz w:val="24"/>
          <w:szCs w:val="24"/>
        </w:rPr>
        <w:t xml:space="preserve">abilitantes </w:t>
      </w:r>
      <w:r w:rsidR="00367156" w:rsidRPr="007E7826">
        <w:rPr>
          <w:snapToGrid w:val="0"/>
          <w:color w:val="000000"/>
          <w:sz w:val="24"/>
          <w:szCs w:val="24"/>
        </w:rPr>
        <w:t>posterior</w:t>
      </w:r>
      <w:r w:rsidR="00087A35" w:rsidRPr="007E7826">
        <w:rPr>
          <w:snapToGrid w:val="0"/>
          <w:color w:val="000000"/>
          <w:sz w:val="24"/>
          <w:szCs w:val="24"/>
        </w:rPr>
        <w:t>es</w:t>
      </w:r>
      <w:r w:rsidR="00367156" w:rsidRPr="007E7826">
        <w:rPr>
          <w:snapToGrid w:val="0"/>
          <w:color w:val="000000"/>
          <w:sz w:val="24"/>
          <w:szCs w:val="24"/>
        </w:rPr>
        <w:t xml:space="preserve"> al</w:t>
      </w:r>
      <w:r w:rsidR="00DA5535" w:rsidRPr="007E7826">
        <w:rPr>
          <w:snapToGrid w:val="0"/>
          <w:color w:val="000000"/>
          <w:sz w:val="24"/>
          <w:szCs w:val="24"/>
        </w:rPr>
        <w:t xml:space="preserve"> año 2000, los cuales</w:t>
      </w:r>
      <w:r w:rsidR="00BD4A55" w:rsidRPr="007E7826">
        <w:rPr>
          <w:snapToGrid w:val="0"/>
          <w:color w:val="000000"/>
          <w:sz w:val="24"/>
          <w:szCs w:val="24"/>
        </w:rPr>
        <w:t xml:space="preserve"> son incompatibles con el principio de legalidad consagrado en el Pacto</w:t>
      </w:r>
      <w:r w:rsidR="000149D6" w:rsidRPr="007E7826">
        <w:rPr>
          <w:snapToGrid w:val="0"/>
          <w:color w:val="000000"/>
          <w:sz w:val="24"/>
          <w:szCs w:val="24"/>
        </w:rPr>
        <w:t xml:space="preserve"> Internacional de Derechos Civiles y Políticos</w:t>
      </w:r>
      <w:r w:rsidR="00D454DD" w:rsidRPr="007E7826">
        <w:rPr>
          <w:snapToGrid w:val="0"/>
          <w:color w:val="000000"/>
          <w:sz w:val="24"/>
          <w:szCs w:val="24"/>
        </w:rPr>
        <w:t xml:space="preserve"> (en adelante </w:t>
      </w:r>
      <w:r w:rsidR="00874A37" w:rsidRPr="007E7826">
        <w:rPr>
          <w:snapToGrid w:val="0"/>
          <w:color w:val="000000"/>
          <w:sz w:val="24"/>
          <w:szCs w:val="24"/>
        </w:rPr>
        <w:t>“</w:t>
      </w:r>
      <w:r w:rsidR="00D454DD" w:rsidRPr="007E7826">
        <w:rPr>
          <w:snapToGrid w:val="0"/>
          <w:color w:val="000000"/>
          <w:sz w:val="24"/>
          <w:szCs w:val="24"/>
        </w:rPr>
        <w:t>Pacto</w:t>
      </w:r>
      <w:r w:rsidR="00874A37" w:rsidRPr="007E7826">
        <w:rPr>
          <w:snapToGrid w:val="0"/>
          <w:color w:val="000000"/>
          <w:sz w:val="24"/>
          <w:szCs w:val="24"/>
        </w:rPr>
        <w:t>”</w:t>
      </w:r>
      <w:r w:rsidR="00D454DD" w:rsidRPr="007E7826">
        <w:rPr>
          <w:snapToGrid w:val="0"/>
          <w:color w:val="000000"/>
          <w:sz w:val="24"/>
          <w:szCs w:val="24"/>
        </w:rPr>
        <w:t>)</w:t>
      </w:r>
      <w:r w:rsidR="00BD4A55" w:rsidRPr="007E7826">
        <w:rPr>
          <w:snapToGrid w:val="0"/>
          <w:color w:val="000000"/>
          <w:sz w:val="24"/>
          <w:szCs w:val="24"/>
        </w:rPr>
        <w:t xml:space="preserve">. </w:t>
      </w:r>
    </w:p>
    <w:p w:rsidR="00D454DD" w:rsidRPr="007E7826" w:rsidRDefault="00D454DD">
      <w:pPr>
        <w:spacing w:line="276" w:lineRule="auto"/>
        <w:jc w:val="both"/>
        <w:rPr>
          <w:sz w:val="24"/>
          <w:szCs w:val="24"/>
        </w:rPr>
      </w:pPr>
    </w:p>
    <w:p w:rsidR="00222CB6" w:rsidRPr="007E7826" w:rsidRDefault="003A02D9">
      <w:pPr>
        <w:pStyle w:val="Ttulo3"/>
        <w:shd w:val="clear" w:color="auto" w:fill="FFFFFF"/>
        <w:spacing w:before="0" w:beforeAutospacing="0" w:after="0" w:afterAutospacing="0" w:line="276" w:lineRule="auto"/>
        <w:jc w:val="both"/>
        <w:rPr>
          <w:sz w:val="24"/>
          <w:szCs w:val="24"/>
        </w:rPr>
      </w:pPr>
      <w:r w:rsidRPr="007E7826">
        <w:rPr>
          <w:b w:val="0"/>
          <w:sz w:val="24"/>
          <w:szCs w:val="24"/>
          <w:lang w:val="es-ES"/>
        </w:rPr>
        <w:t xml:space="preserve">El principio de legalidad sancionatorio está reconocido en </w:t>
      </w:r>
      <w:r w:rsidRPr="007E7826">
        <w:rPr>
          <w:b w:val="0"/>
          <w:sz w:val="24"/>
          <w:szCs w:val="24"/>
        </w:rPr>
        <w:t>e</w:t>
      </w:r>
      <w:r w:rsidR="00D454DD" w:rsidRPr="007E7826">
        <w:rPr>
          <w:b w:val="0"/>
          <w:sz w:val="24"/>
          <w:szCs w:val="24"/>
        </w:rPr>
        <w:t xml:space="preserve">l artículo </w:t>
      </w:r>
      <w:r w:rsidR="00A71931" w:rsidRPr="007E7826">
        <w:rPr>
          <w:b w:val="0"/>
          <w:sz w:val="24"/>
          <w:szCs w:val="24"/>
        </w:rPr>
        <w:t>15</w:t>
      </w:r>
      <w:r w:rsidR="00D454DD" w:rsidRPr="007E7826">
        <w:rPr>
          <w:b w:val="0"/>
          <w:sz w:val="24"/>
          <w:szCs w:val="24"/>
        </w:rPr>
        <w:t xml:space="preserve"> del Pacto </w:t>
      </w:r>
      <w:r w:rsidR="00B55542" w:rsidRPr="007E7826">
        <w:rPr>
          <w:b w:val="0"/>
          <w:sz w:val="24"/>
          <w:szCs w:val="24"/>
        </w:rPr>
        <w:t xml:space="preserve">establece que </w:t>
      </w:r>
      <w:r w:rsidR="00222CB6" w:rsidRPr="007E7826">
        <w:rPr>
          <w:b w:val="0"/>
          <w:sz w:val="24"/>
          <w:szCs w:val="24"/>
        </w:rPr>
        <w:t xml:space="preserve"> “</w:t>
      </w:r>
      <w:r w:rsidR="00222CB6" w:rsidRPr="007E7826">
        <w:rPr>
          <w:b w:val="0"/>
          <w:i/>
          <w:sz w:val="24"/>
          <w:szCs w:val="24"/>
        </w:rPr>
        <w:t xml:space="preserve">Nadie será condenado por actos u omisiones que en el momento de cometerse no fueran delictivos según el </w:t>
      </w:r>
      <w:r w:rsidR="00222CB6" w:rsidRPr="007E7826">
        <w:rPr>
          <w:i/>
          <w:sz w:val="24"/>
          <w:szCs w:val="24"/>
        </w:rPr>
        <w:t>derecho nacional o internacional</w:t>
      </w:r>
      <w:r w:rsidR="00222CB6" w:rsidRPr="007E7826">
        <w:rPr>
          <w:b w:val="0"/>
          <w:sz w:val="24"/>
          <w:szCs w:val="24"/>
        </w:rPr>
        <w:t>”</w:t>
      </w:r>
      <w:r w:rsidR="00A34E2E" w:rsidRPr="007E7826">
        <w:rPr>
          <w:b w:val="0"/>
          <w:sz w:val="24"/>
          <w:szCs w:val="24"/>
        </w:rPr>
        <w:t xml:space="preserve"> (resaltado añadido</w:t>
      </w:r>
      <w:r w:rsidR="00087A35" w:rsidRPr="007E7826">
        <w:rPr>
          <w:b w:val="0"/>
          <w:sz w:val="24"/>
          <w:szCs w:val="24"/>
        </w:rPr>
        <w:t>).</w:t>
      </w:r>
    </w:p>
    <w:p w:rsidR="009148BF" w:rsidRPr="007E7826" w:rsidRDefault="009148BF">
      <w:pPr>
        <w:pStyle w:val="Ttulo3"/>
        <w:shd w:val="clear" w:color="auto" w:fill="FFFFFF"/>
        <w:spacing w:before="0" w:beforeAutospacing="0" w:after="0" w:afterAutospacing="0" w:line="276" w:lineRule="auto"/>
        <w:jc w:val="both"/>
        <w:rPr>
          <w:b w:val="0"/>
          <w:sz w:val="24"/>
          <w:szCs w:val="24"/>
        </w:rPr>
      </w:pPr>
    </w:p>
    <w:p w:rsidR="00703AEA" w:rsidRPr="007E7826" w:rsidRDefault="009148BF">
      <w:pPr>
        <w:pStyle w:val="Ttulo3"/>
        <w:shd w:val="clear" w:color="auto" w:fill="FFFFFF"/>
        <w:spacing w:before="0" w:beforeAutospacing="0" w:after="0" w:afterAutospacing="0" w:line="276" w:lineRule="auto"/>
        <w:jc w:val="both"/>
        <w:rPr>
          <w:sz w:val="24"/>
          <w:szCs w:val="24"/>
        </w:rPr>
      </w:pPr>
      <w:r w:rsidRPr="00A7131A">
        <w:rPr>
          <w:b w:val="0"/>
          <w:bCs w:val="0"/>
          <w:color w:val="000000"/>
          <w:sz w:val="24"/>
          <w:szCs w:val="24"/>
          <w:shd w:val="clear" w:color="auto" w:fill="FFFFFF"/>
        </w:rPr>
        <w:t xml:space="preserve">Este Comité en su </w:t>
      </w:r>
      <w:r w:rsidR="00204937" w:rsidRPr="00A7131A">
        <w:rPr>
          <w:b w:val="0"/>
          <w:bCs w:val="0"/>
          <w:color w:val="000000"/>
          <w:sz w:val="24"/>
          <w:szCs w:val="24"/>
          <w:shd w:val="clear" w:color="auto" w:fill="FFFFFF"/>
        </w:rPr>
        <w:t>decisión</w:t>
      </w:r>
      <w:r w:rsidRPr="00A7131A">
        <w:rPr>
          <w:b w:val="0"/>
          <w:bCs w:val="0"/>
          <w:color w:val="000000"/>
          <w:sz w:val="24"/>
          <w:szCs w:val="24"/>
          <w:shd w:val="clear" w:color="auto" w:fill="FFFFFF"/>
        </w:rPr>
        <w:t xml:space="preserve"> de </w:t>
      </w:r>
      <w:r w:rsidR="00087A35" w:rsidRPr="00A7131A">
        <w:rPr>
          <w:b w:val="0"/>
          <w:bCs w:val="0"/>
          <w:color w:val="000000"/>
          <w:sz w:val="24"/>
          <w:szCs w:val="24"/>
          <w:shd w:val="clear" w:color="auto" w:fill="FFFFFF"/>
        </w:rPr>
        <w:t>“</w:t>
      </w:r>
      <w:r w:rsidRPr="00A7131A">
        <w:rPr>
          <w:b w:val="0"/>
          <w:bCs w:val="0"/>
          <w:color w:val="000000"/>
          <w:sz w:val="24"/>
          <w:szCs w:val="24"/>
          <w:shd w:val="clear" w:color="auto" w:fill="FFFFFF"/>
        </w:rPr>
        <w:t>Nicholas vs. Australia</w:t>
      </w:r>
      <w:r w:rsidR="00087A35" w:rsidRPr="00A7131A">
        <w:rPr>
          <w:b w:val="0"/>
          <w:bCs w:val="0"/>
          <w:color w:val="000000"/>
          <w:sz w:val="24"/>
          <w:szCs w:val="24"/>
          <w:shd w:val="clear" w:color="auto" w:fill="FFFFFF"/>
        </w:rPr>
        <w:t>”</w:t>
      </w:r>
      <w:r w:rsidRPr="00A7131A">
        <w:rPr>
          <w:b w:val="0"/>
          <w:bCs w:val="0"/>
          <w:color w:val="000000"/>
          <w:sz w:val="24"/>
          <w:szCs w:val="24"/>
          <w:shd w:val="clear" w:color="auto" w:fill="FFFFFF"/>
        </w:rPr>
        <w:t>, Caso Nro. 1080/2002</w:t>
      </w:r>
      <w:r w:rsidR="00FD77A2" w:rsidRPr="00A7131A">
        <w:rPr>
          <w:b w:val="0"/>
          <w:bCs w:val="0"/>
          <w:color w:val="000000"/>
          <w:sz w:val="24"/>
          <w:szCs w:val="24"/>
          <w:shd w:val="clear" w:color="auto" w:fill="FFFFFF"/>
        </w:rPr>
        <w:t>,</w:t>
      </w:r>
      <w:r w:rsidRPr="00A7131A">
        <w:rPr>
          <w:b w:val="0"/>
          <w:bCs w:val="0"/>
          <w:color w:val="000000"/>
          <w:sz w:val="24"/>
          <w:szCs w:val="24"/>
          <w:shd w:val="clear" w:color="auto" w:fill="FFFFFF"/>
        </w:rPr>
        <w:t xml:space="preserve"> </w:t>
      </w:r>
      <w:r w:rsidR="00703AEA" w:rsidRPr="00A7131A">
        <w:rPr>
          <w:b w:val="0"/>
          <w:bCs w:val="0"/>
          <w:color w:val="000000"/>
          <w:sz w:val="24"/>
          <w:szCs w:val="24"/>
          <w:shd w:val="clear" w:color="auto" w:fill="FFFFFF"/>
        </w:rPr>
        <w:t xml:space="preserve">se pronunció al respecto del artículo 15 señalando que </w:t>
      </w:r>
      <w:r w:rsidR="00087A35" w:rsidRPr="00A7131A">
        <w:rPr>
          <w:b w:val="0"/>
          <w:bCs w:val="0"/>
          <w:color w:val="000000"/>
          <w:sz w:val="24"/>
          <w:szCs w:val="24"/>
          <w:shd w:val="clear" w:color="auto" w:fill="FFFFFF"/>
        </w:rPr>
        <w:t>estas conductas delictivas</w:t>
      </w:r>
      <w:r w:rsidRPr="00A7131A">
        <w:rPr>
          <w:b w:val="0"/>
          <w:bCs w:val="0"/>
          <w:color w:val="000000"/>
          <w:sz w:val="24"/>
          <w:szCs w:val="24"/>
          <w:shd w:val="clear" w:color="auto" w:fill="FFFFFF"/>
        </w:rPr>
        <w:t>:</w:t>
      </w:r>
      <w:r w:rsidR="00671FC0" w:rsidRPr="007E7826">
        <w:rPr>
          <w:bCs w:val="0"/>
          <w:color w:val="000000"/>
          <w:sz w:val="24"/>
          <w:szCs w:val="24"/>
          <w:shd w:val="clear" w:color="auto" w:fill="FFFFFF"/>
        </w:rPr>
        <w:t xml:space="preserve"> </w:t>
      </w:r>
      <w:r w:rsidR="00B55542" w:rsidRPr="00A7131A">
        <w:rPr>
          <w:b w:val="0"/>
          <w:bCs w:val="0"/>
          <w:color w:val="000000"/>
          <w:sz w:val="24"/>
          <w:szCs w:val="24"/>
          <w:shd w:val="clear" w:color="auto" w:fill="FFFFFF"/>
        </w:rPr>
        <w:t>“</w:t>
      </w:r>
      <w:r w:rsidR="00C700C5" w:rsidRPr="00A7131A">
        <w:rPr>
          <w:b w:val="0"/>
          <w:bCs w:val="0"/>
          <w:i/>
          <w:color w:val="000000"/>
          <w:sz w:val="24"/>
          <w:szCs w:val="24"/>
          <w:shd w:val="clear" w:color="auto" w:fill="FFFFFF"/>
        </w:rPr>
        <w:t>constituyen</w:t>
      </w:r>
      <w:r w:rsidRPr="00A7131A">
        <w:rPr>
          <w:b w:val="0"/>
          <w:bCs w:val="0"/>
          <w:i/>
          <w:color w:val="000000"/>
          <w:sz w:val="24"/>
          <w:szCs w:val="24"/>
          <w:shd w:val="clear" w:color="auto" w:fill="FFFFFF"/>
        </w:rPr>
        <w:t xml:space="preserve"> “</w:t>
      </w:r>
      <w:r w:rsidR="00C700C5" w:rsidRPr="00A7131A">
        <w:rPr>
          <w:b w:val="0"/>
          <w:bCs w:val="0"/>
          <w:i/>
          <w:color w:val="000000"/>
          <w:sz w:val="24"/>
          <w:szCs w:val="24"/>
          <w:shd w:val="clear" w:color="auto" w:fill="FFFFFF"/>
        </w:rPr>
        <w:t>actos</w:t>
      </w:r>
      <w:r w:rsidR="00671FC0" w:rsidRPr="00A7131A">
        <w:rPr>
          <w:b w:val="0"/>
          <w:bCs w:val="0"/>
          <w:i/>
          <w:color w:val="000000"/>
          <w:sz w:val="24"/>
          <w:szCs w:val="24"/>
          <w:shd w:val="clear" w:color="auto" w:fill="FFFFFF"/>
        </w:rPr>
        <w:t xml:space="preserve"> u</w:t>
      </w:r>
      <w:r w:rsidRPr="00A7131A">
        <w:rPr>
          <w:b w:val="0"/>
          <w:bCs w:val="0"/>
          <w:i/>
          <w:color w:val="000000"/>
          <w:sz w:val="24"/>
          <w:szCs w:val="24"/>
          <w:shd w:val="clear" w:color="auto" w:fill="FFFFFF"/>
        </w:rPr>
        <w:t xml:space="preserve"> </w:t>
      </w:r>
      <w:r w:rsidR="00C700C5" w:rsidRPr="00A7131A">
        <w:rPr>
          <w:b w:val="0"/>
          <w:bCs w:val="0"/>
          <w:i/>
          <w:color w:val="000000"/>
          <w:sz w:val="24"/>
          <w:szCs w:val="24"/>
          <w:shd w:val="clear" w:color="auto" w:fill="FFFFFF"/>
        </w:rPr>
        <w:t>omisio</w:t>
      </w:r>
      <w:r w:rsidR="00671FC0" w:rsidRPr="00A7131A">
        <w:rPr>
          <w:b w:val="0"/>
          <w:bCs w:val="0"/>
          <w:i/>
          <w:color w:val="000000"/>
          <w:sz w:val="24"/>
          <w:szCs w:val="24"/>
          <w:shd w:val="clear" w:color="auto" w:fill="FFFFFF"/>
        </w:rPr>
        <w:t>n</w:t>
      </w:r>
      <w:r w:rsidR="00C700C5" w:rsidRPr="00A7131A">
        <w:rPr>
          <w:b w:val="0"/>
          <w:bCs w:val="0"/>
          <w:i/>
          <w:color w:val="000000"/>
          <w:sz w:val="24"/>
          <w:szCs w:val="24"/>
          <w:shd w:val="clear" w:color="auto" w:fill="FFFFFF"/>
        </w:rPr>
        <w:t>es</w:t>
      </w:r>
      <w:r w:rsidRPr="00A7131A">
        <w:rPr>
          <w:b w:val="0"/>
          <w:bCs w:val="0"/>
          <w:i/>
          <w:color w:val="000000"/>
          <w:sz w:val="24"/>
          <w:szCs w:val="24"/>
          <w:shd w:val="clear" w:color="auto" w:fill="FFFFFF"/>
        </w:rPr>
        <w:t xml:space="preserve">” </w:t>
      </w:r>
      <w:r w:rsidR="00204937" w:rsidRPr="00A7131A">
        <w:rPr>
          <w:b w:val="0"/>
          <w:bCs w:val="0"/>
          <w:i/>
          <w:color w:val="000000"/>
          <w:sz w:val="24"/>
          <w:szCs w:val="24"/>
          <w:shd w:val="clear" w:color="auto" w:fill="FFFFFF"/>
        </w:rPr>
        <w:t>por los cuales un individuo es condenado a cumplir con una pena de prisión</w:t>
      </w:r>
      <w:r w:rsidR="00874A37" w:rsidRPr="00A7131A">
        <w:rPr>
          <w:b w:val="0"/>
          <w:bCs w:val="0"/>
          <w:i/>
          <w:color w:val="000000"/>
          <w:sz w:val="24"/>
          <w:szCs w:val="24"/>
          <w:shd w:val="clear" w:color="auto" w:fill="FFFFFF"/>
        </w:rPr>
        <w:t xml:space="preserve"> </w:t>
      </w:r>
      <w:r w:rsidR="00874A37" w:rsidRPr="00A7131A">
        <w:rPr>
          <w:b w:val="0"/>
          <w:bCs w:val="0"/>
          <w:i/>
          <w:color w:val="000000"/>
          <w:sz w:val="24"/>
          <w:szCs w:val="24"/>
          <w:shd w:val="clear" w:color="auto" w:fill="FFFFFF"/>
        </w:rPr>
        <w:lastRenderedPageBreak/>
        <w:t>(…)</w:t>
      </w:r>
      <w:r w:rsidR="00B55542" w:rsidRPr="00A7131A">
        <w:rPr>
          <w:b w:val="0"/>
          <w:bCs w:val="0"/>
          <w:i/>
          <w:color w:val="000000"/>
          <w:sz w:val="24"/>
          <w:szCs w:val="24"/>
          <w:shd w:val="clear" w:color="auto" w:fill="FFFFFF"/>
        </w:rPr>
        <w:t>”</w:t>
      </w:r>
      <w:r w:rsidR="00671FC0" w:rsidRPr="007E7826">
        <w:rPr>
          <w:rStyle w:val="Refdenotaalpie"/>
          <w:b w:val="0"/>
          <w:color w:val="000000"/>
          <w:sz w:val="24"/>
          <w:szCs w:val="24"/>
          <w:shd w:val="clear" w:color="auto" w:fill="FFFFFF"/>
        </w:rPr>
        <w:footnoteReference w:id="4"/>
      </w:r>
      <w:r w:rsidR="00671FC0" w:rsidRPr="007E7826">
        <w:rPr>
          <w:b w:val="0"/>
          <w:color w:val="000000"/>
          <w:sz w:val="24"/>
          <w:szCs w:val="24"/>
          <w:shd w:val="clear" w:color="auto" w:fill="FFFFFF"/>
        </w:rPr>
        <w:t xml:space="preserve">. </w:t>
      </w:r>
      <w:r w:rsidR="00204937" w:rsidRPr="007E7826">
        <w:rPr>
          <w:b w:val="0"/>
          <w:sz w:val="24"/>
          <w:szCs w:val="24"/>
        </w:rPr>
        <w:t>Adicionalmente e</w:t>
      </w:r>
      <w:r w:rsidR="000436E3" w:rsidRPr="007E7826">
        <w:rPr>
          <w:b w:val="0"/>
          <w:sz w:val="24"/>
          <w:szCs w:val="24"/>
        </w:rPr>
        <w:t>n</w:t>
      </w:r>
      <w:r w:rsidR="00306384" w:rsidRPr="007E7826">
        <w:rPr>
          <w:b w:val="0"/>
          <w:sz w:val="24"/>
          <w:szCs w:val="24"/>
        </w:rPr>
        <w:t xml:space="preserve"> </w:t>
      </w:r>
      <w:r w:rsidR="00955BF3" w:rsidRPr="007E7826">
        <w:rPr>
          <w:b w:val="0"/>
          <w:sz w:val="24"/>
          <w:szCs w:val="24"/>
        </w:rPr>
        <w:t xml:space="preserve">la </w:t>
      </w:r>
      <w:r w:rsidR="00306384" w:rsidRPr="007E7826">
        <w:rPr>
          <w:b w:val="0"/>
          <w:sz w:val="24"/>
          <w:szCs w:val="24"/>
        </w:rPr>
        <w:t xml:space="preserve">Observación General </w:t>
      </w:r>
      <w:r w:rsidR="00306384" w:rsidRPr="007E7826">
        <w:rPr>
          <w:b w:val="0"/>
          <w:bCs w:val="0"/>
          <w:sz w:val="24"/>
          <w:szCs w:val="24"/>
        </w:rPr>
        <w:t xml:space="preserve">Nº 32 </w:t>
      </w:r>
      <w:r w:rsidR="000436E3" w:rsidRPr="007E7826">
        <w:rPr>
          <w:b w:val="0"/>
          <w:bCs w:val="0"/>
          <w:sz w:val="24"/>
          <w:szCs w:val="24"/>
        </w:rPr>
        <w:t xml:space="preserve">este </w:t>
      </w:r>
      <w:r w:rsidR="00306384" w:rsidRPr="007E7826">
        <w:rPr>
          <w:b w:val="0"/>
          <w:bCs w:val="0"/>
          <w:sz w:val="24"/>
          <w:szCs w:val="24"/>
        </w:rPr>
        <w:t xml:space="preserve">Comité </w:t>
      </w:r>
      <w:r w:rsidR="00464A8D" w:rsidRPr="007E7826">
        <w:rPr>
          <w:b w:val="0"/>
          <w:bCs w:val="0"/>
          <w:sz w:val="24"/>
          <w:szCs w:val="24"/>
        </w:rPr>
        <w:t>estableció</w:t>
      </w:r>
      <w:r w:rsidR="00306384" w:rsidRPr="007E7826">
        <w:rPr>
          <w:b w:val="0"/>
          <w:bCs w:val="0"/>
          <w:sz w:val="24"/>
          <w:szCs w:val="24"/>
        </w:rPr>
        <w:t xml:space="preserve"> que los Estados deben respetar las garantías contenidas </w:t>
      </w:r>
      <w:r w:rsidR="000436E3" w:rsidRPr="007E7826">
        <w:rPr>
          <w:b w:val="0"/>
          <w:bCs w:val="0"/>
          <w:sz w:val="24"/>
          <w:szCs w:val="24"/>
        </w:rPr>
        <w:t xml:space="preserve">en el </w:t>
      </w:r>
      <w:r w:rsidR="00A71931" w:rsidRPr="007E7826">
        <w:rPr>
          <w:b w:val="0"/>
          <w:bCs w:val="0"/>
          <w:sz w:val="24"/>
          <w:szCs w:val="24"/>
        </w:rPr>
        <w:t>Pacto</w:t>
      </w:r>
      <w:r w:rsidR="00306384" w:rsidRPr="007E7826">
        <w:rPr>
          <w:b w:val="0"/>
          <w:bCs w:val="0"/>
          <w:sz w:val="24"/>
          <w:szCs w:val="24"/>
        </w:rPr>
        <w:t xml:space="preserve">  y no pueden excusarse de la aplicaci</w:t>
      </w:r>
      <w:r w:rsidR="000436E3" w:rsidRPr="007E7826">
        <w:rPr>
          <w:b w:val="0"/>
          <w:bCs w:val="0"/>
          <w:sz w:val="24"/>
          <w:szCs w:val="24"/>
        </w:rPr>
        <w:t xml:space="preserve">ón </w:t>
      </w:r>
      <w:r w:rsidR="00087A35" w:rsidRPr="007E7826">
        <w:rPr>
          <w:b w:val="0"/>
          <w:bCs w:val="0"/>
          <w:sz w:val="24"/>
          <w:szCs w:val="24"/>
        </w:rPr>
        <w:t xml:space="preserve">de las obligaciones de derecho internacional </w:t>
      </w:r>
      <w:r w:rsidR="000F5739" w:rsidRPr="007E7826">
        <w:rPr>
          <w:b w:val="0"/>
          <w:bCs w:val="0"/>
          <w:sz w:val="24"/>
          <w:szCs w:val="24"/>
        </w:rPr>
        <w:t>alegando</w:t>
      </w:r>
      <w:r w:rsidR="00087A35" w:rsidRPr="007E7826">
        <w:rPr>
          <w:b w:val="0"/>
          <w:bCs w:val="0"/>
          <w:sz w:val="24"/>
          <w:szCs w:val="24"/>
        </w:rPr>
        <w:t xml:space="preserve"> </w:t>
      </w:r>
      <w:r w:rsidR="000436E3" w:rsidRPr="007E7826">
        <w:rPr>
          <w:b w:val="0"/>
          <w:bCs w:val="0"/>
          <w:sz w:val="24"/>
          <w:szCs w:val="24"/>
        </w:rPr>
        <w:t>el derecho interno</w:t>
      </w:r>
      <w:r w:rsidR="00087A35" w:rsidRPr="007E7826">
        <w:rPr>
          <w:b w:val="0"/>
          <w:bCs w:val="0"/>
          <w:sz w:val="24"/>
          <w:szCs w:val="24"/>
        </w:rPr>
        <w:t>.</w:t>
      </w:r>
    </w:p>
    <w:p w:rsidR="00703AEA" w:rsidRPr="007E7826" w:rsidRDefault="00703AEA">
      <w:pPr>
        <w:pStyle w:val="Ttulo3"/>
        <w:shd w:val="clear" w:color="auto" w:fill="FFFFFF"/>
        <w:spacing w:before="0" w:beforeAutospacing="0" w:after="0" w:afterAutospacing="0" w:line="276" w:lineRule="auto"/>
        <w:jc w:val="both"/>
        <w:rPr>
          <w:sz w:val="24"/>
          <w:szCs w:val="24"/>
        </w:rPr>
      </w:pPr>
    </w:p>
    <w:p w:rsidR="00306384" w:rsidRPr="007E7826" w:rsidRDefault="00EC70E9">
      <w:pPr>
        <w:pStyle w:val="Ttulo3"/>
        <w:shd w:val="clear" w:color="auto" w:fill="FFFFFF"/>
        <w:spacing w:before="0" w:beforeAutospacing="0" w:after="0" w:afterAutospacing="0" w:line="276" w:lineRule="auto"/>
        <w:jc w:val="both"/>
        <w:rPr>
          <w:b w:val="0"/>
          <w:bCs w:val="0"/>
          <w:sz w:val="24"/>
          <w:szCs w:val="24"/>
        </w:rPr>
      </w:pPr>
      <w:r w:rsidRPr="007E7826">
        <w:rPr>
          <w:b w:val="0"/>
          <w:bCs w:val="0"/>
          <w:sz w:val="24"/>
          <w:szCs w:val="24"/>
        </w:rPr>
        <w:t>E</w:t>
      </w:r>
      <w:r w:rsidR="00B55542" w:rsidRPr="007E7826">
        <w:rPr>
          <w:b w:val="0"/>
          <w:bCs w:val="0"/>
          <w:sz w:val="24"/>
          <w:szCs w:val="24"/>
        </w:rPr>
        <w:t>n el caso concreto el Estado Venezolano incumplió con las disposiciones del Pacto</w:t>
      </w:r>
      <w:r w:rsidR="00703AEA" w:rsidRPr="007E7826">
        <w:rPr>
          <w:b w:val="0"/>
          <w:bCs w:val="0"/>
          <w:sz w:val="24"/>
          <w:szCs w:val="24"/>
        </w:rPr>
        <w:t>, específicamente con el principio de legalidad penal,</w:t>
      </w:r>
      <w:r w:rsidR="00B55542" w:rsidRPr="007E7826">
        <w:rPr>
          <w:b w:val="0"/>
          <w:bCs w:val="0"/>
          <w:sz w:val="24"/>
          <w:szCs w:val="24"/>
        </w:rPr>
        <w:t xml:space="preserve"> al crear delitos y penas </w:t>
      </w:r>
      <w:r w:rsidRPr="007E7826">
        <w:rPr>
          <w:b w:val="0"/>
          <w:bCs w:val="0"/>
          <w:sz w:val="24"/>
          <w:szCs w:val="24"/>
        </w:rPr>
        <w:t xml:space="preserve">privativas de libertad </w:t>
      </w:r>
      <w:r w:rsidR="00B55542" w:rsidRPr="007E7826">
        <w:rPr>
          <w:b w:val="0"/>
          <w:bCs w:val="0"/>
          <w:sz w:val="24"/>
          <w:szCs w:val="24"/>
        </w:rPr>
        <w:t xml:space="preserve">mediante </w:t>
      </w:r>
      <w:r w:rsidR="00374A8D" w:rsidRPr="007E7826">
        <w:rPr>
          <w:b w:val="0"/>
          <w:bCs w:val="0"/>
          <w:sz w:val="24"/>
          <w:szCs w:val="24"/>
        </w:rPr>
        <w:t>d</w:t>
      </w:r>
      <w:r w:rsidR="00B55542" w:rsidRPr="007E7826">
        <w:rPr>
          <w:b w:val="0"/>
          <w:bCs w:val="0"/>
          <w:sz w:val="24"/>
          <w:szCs w:val="24"/>
        </w:rPr>
        <w:t xml:space="preserve">ecretos </w:t>
      </w:r>
      <w:r w:rsidR="00374A8D" w:rsidRPr="007E7826">
        <w:rPr>
          <w:b w:val="0"/>
          <w:bCs w:val="0"/>
          <w:sz w:val="24"/>
          <w:szCs w:val="24"/>
        </w:rPr>
        <w:t>l</w:t>
      </w:r>
      <w:r w:rsidR="00B55542" w:rsidRPr="007E7826">
        <w:rPr>
          <w:b w:val="0"/>
          <w:bCs w:val="0"/>
          <w:sz w:val="24"/>
          <w:szCs w:val="24"/>
        </w:rPr>
        <w:t xml:space="preserve">eyes y en consecuencia </w:t>
      </w:r>
      <w:r w:rsidRPr="007E7826">
        <w:rPr>
          <w:b w:val="0"/>
          <w:bCs w:val="0"/>
          <w:sz w:val="24"/>
          <w:szCs w:val="24"/>
        </w:rPr>
        <w:t xml:space="preserve">al </w:t>
      </w:r>
      <w:r w:rsidR="00B55542" w:rsidRPr="007E7826">
        <w:rPr>
          <w:b w:val="0"/>
          <w:bCs w:val="0"/>
          <w:sz w:val="24"/>
          <w:szCs w:val="24"/>
        </w:rPr>
        <w:t xml:space="preserve">someter a los individuos </w:t>
      </w:r>
      <w:r w:rsidRPr="007E7826">
        <w:rPr>
          <w:b w:val="0"/>
          <w:bCs w:val="0"/>
          <w:sz w:val="24"/>
          <w:szCs w:val="24"/>
        </w:rPr>
        <w:t>a</w:t>
      </w:r>
      <w:r w:rsidR="00B55542" w:rsidRPr="007E7826">
        <w:rPr>
          <w:b w:val="0"/>
          <w:bCs w:val="0"/>
          <w:sz w:val="24"/>
          <w:szCs w:val="24"/>
        </w:rPr>
        <w:t xml:space="preserve"> </w:t>
      </w:r>
      <w:r w:rsidR="000439AA" w:rsidRPr="007E7826">
        <w:rPr>
          <w:b w:val="0"/>
          <w:bCs w:val="0"/>
          <w:sz w:val="24"/>
          <w:szCs w:val="24"/>
        </w:rPr>
        <w:t xml:space="preserve">delitos y </w:t>
      </w:r>
      <w:r w:rsidR="00B55542" w:rsidRPr="007E7826">
        <w:rPr>
          <w:b w:val="0"/>
          <w:bCs w:val="0"/>
          <w:sz w:val="24"/>
          <w:szCs w:val="24"/>
        </w:rPr>
        <w:t xml:space="preserve">sanciones penales creadas por el </w:t>
      </w:r>
      <w:r w:rsidRPr="007E7826">
        <w:rPr>
          <w:b w:val="0"/>
          <w:bCs w:val="0"/>
          <w:sz w:val="24"/>
          <w:szCs w:val="24"/>
        </w:rPr>
        <w:t xml:space="preserve">Poder </w:t>
      </w:r>
      <w:r w:rsidR="00255991" w:rsidRPr="007E7826">
        <w:rPr>
          <w:b w:val="0"/>
          <w:bCs w:val="0"/>
          <w:sz w:val="24"/>
          <w:szCs w:val="24"/>
        </w:rPr>
        <w:t>E</w:t>
      </w:r>
      <w:r w:rsidR="00B55542" w:rsidRPr="007E7826">
        <w:rPr>
          <w:b w:val="0"/>
          <w:bCs w:val="0"/>
          <w:sz w:val="24"/>
          <w:szCs w:val="24"/>
        </w:rPr>
        <w:t>jecutivo y no</w:t>
      </w:r>
      <w:r w:rsidRPr="007E7826">
        <w:rPr>
          <w:b w:val="0"/>
          <w:bCs w:val="0"/>
          <w:sz w:val="24"/>
          <w:szCs w:val="24"/>
        </w:rPr>
        <w:t xml:space="preserve"> mediante leyes formales adoptadas</w:t>
      </w:r>
      <w:r w:rsidR="00B55542" w:rsidRPr="007E7826">
        <w:rPr>
          <w:b w:val="0"/>
          <w:bCs w:val="0"/>
          <w:sz w:val="24"/>
          <w:szCs w:val="24"/>
        </w:rPr>
        <w:t xml:space="preserve"> por el órgano legislativo del Estado. </w:t>
      </w:r>
    </w:p>
    <w:p w:rsidR="000149D6" w:rsidRPr="007E7826" w:rsidRDefault="000149D6">
      <w:pPr>
        <w:spacing w:line="276" w:lineRule="auto"/>
        <w:jc w:val="both"/>
        <w:rPr>
          <w:sz w:val="24"/>
          <w:szCs w:val="24"/>
          <w:lang w:val="es-VE"/>
        </w:rPr>
      </w:pPr>
    </w:p>
    <w:p w:rsidR="00702D37" w:rsidRDefault="00EC70E9">
      <w:pPr>
        <w:spacing w:line="276" w:lineRule="auto"/>
        <w:jc w:val="both"/>
        <w:rPr>
          <w:sz w:val="24"/>
          <w:szCs w:val="24"/>
        </w:rPr>
      </w:pPr>
      <w:r w:rsidRPr="007E7826">
        <w:rPr>
          <w:sz w:val="24"/>
          <w:szCs w:val="24"/>
        </w:rPr>
        <w:t>En este sentido, es relevante</w:t>
      </w:r>
      <w:r w:rsidR="00702D37" w:rsidRPr="007E7826">
        <w:rPr>
          <w:sz w:val="24"/>
          <w:szCs w:val="24"/>
        </w:rPr>
        <w:t xml:space="preserve"> destacar que la Corte Interamericana de Derechos Humanos en su Opinión Consultiva OC-6 se ha pronunciado al respecto del en</w:t>
      </w:r>
      <w:r w:rsidR="00703AEA" w:rsidRPr="007E7826">
        <w:rPr>
          <w:sz w:val="24"/>
          <w:szCs w:val="24"/>
        </w:rPr>
        <w:t>tendimiento de la palabra “ley”</w:t>
      </w:r>
      <w:r w:rsidR="00702D37" w:rsidRPr="007E7826">
        <w:rPr>
          <w:sz w:val="24"/>
          <w:szCs w:val="24"/>
        </w:rPr>
        <w:t xml:space="preserve"> para la restricción de los derechos al analizar la disposición del artículo 30 de la Convención Americana sobre Derechos Humanos. Este tribunal regional concluyo que “</w:t>
      </w:r>
      <w:r w:rsidR="00702D37" w:rsidRPr="007E7826">
        <w:rPr>
          <w:i/>
          <w:sz w:val="24"/>
          <w:szCs w:val="24"/>
        </w:rPr>
        <w:t>la expresión leyes, utilizada por el artículo 30, no puede tener otro sentido que el de ley formal, es decir, norma jurídica adoptada por el órgano legislativo y promulgada por el Poder Ejecutivo, según el procedimiento requerido por el derecho interno de cada Estado”</w:t>
      </w:r>
      <w:r w:rsidR="00702D37" w:rsidRPr="007E7826">
        <w:rPr>
          <w:rStyle w:val="Refdenotaalpie"/>
          <w:i/>
          <w:sz w:val="24"/>
          <w:szCs w:val="24"/>
        </w:rPr>
        <w:footnoteReference w:id="5"/>
      </w:r>
      <w:r w:rsidR="00702D37" w:rsidRPr="007E7826">
        <w:rPr>
          <w:sz w:val="24"/>
          <w:szCs w:val="24"/>
        </w:rPr>
        <w:t>.</w:t>
      </w:r>
    </w:p>
    <w:p w:rsidR="00FD3B12" w:rsidRDefault="00FD3B12">
      <w:pPr>
        <w:spacing w:line="276" w:lineRule="auto"/>
        <w:jc w:val="both"/>
        <w:rPr>
          <w:sz w:val="24"/>
          <w:szCs w:val="24"/>
        </w:rPr>
      </w:pPr>
    </w:p>
    <w:p w:rsidR="00FD3B12" w:rsidRPr="00A7131A" w:rsidRDefault="00FD3B12" w:rsidP="006F613E">
      <w:pPr>
        <w:spacing w:line="276" w:lineRule="auto"/>
        <w:jc w:val="both"/>
        <w:rPr>
          <w:sz w:val="24"/>
          <w:szCs w:val="24"/>
        </w:rPr>
      </w:pPr>
      <w:r w:rsidRPr="00A7131A">
        <w:rPr>
          <w:sz w:val="24"/>
          <w:szCs w:val="24"/>
        </w:rPr>
        <w:t xml:space="preserve">Con relación al principio de legalidad penal y la incompatibilidad de los actos del Estado de rango inferior que creen delitos y penas, la Corte Interamericana de Derechos Humanos ha expresado la importancia del principio de legalidad penal en una sociedad democrática: </w:t>
      </w:r>
    </w:p>
    <w:p w:rsidR="00FD3B12" w:rsidRPr="00A7131A" w:rsidRDefault="00FD3B12" w:rsidP="00BF5A7C">
      <w:pPr>
        <w:spacing w:line="276" w:lineRule="auto"/>
        <w:ind w:left="708" w:right="616"/>
        <w:jc w:val="both"/>
        <w:rPr>
          <w:sz w:val="24"/>
          <w:szCs w:val="24"/>
        </w:rPr>
      </w:pPr>
      <w:r w:rsidRPr="00A4242F">
        <w:rPr>
          <w:i/>
          <w:sz w:val="24"/>
          <w:szCs w:val="24"/>
        </w:rPr>
        <w:t>107. En suma, en un Estado de Derecho, los principios de legalidad e irretroactividad presiden la actuación de todos los órganos del Estado, en sus respectivas competencias, particularmente cuando viene al caso el ejercicio del poder punitivo en el que se manifiesta, con máxima fuerza, una de las más graves e intensas funciones del Estado frente a los seres humanos: la represión</w:t>
      </w:r>
      <w:r w:rsidRPr="00A7131A">
        <w:rPr>
          <w:sz w:val="24"/>
          <w:szCs w:val="24"/>
        </w:rPr>
        <w:t>.</w:t>
      </w:r>
      <w:r w:rsidRPr="00A7131A">
        <w:rPr>
          <w:rStyle w:val="Refdenotaalpie"/>
          <w:sz w:val="24"/>
          <w:szCs w:val="24"/>
        </w:rPr>
        <w:footnoteReference w:id="6"/>
      </w:r>
    </w:p>
    <w:p w:rsidR="002362D8" w:rsidRPr="007E7826" w:rsidRDefault="002362D8" w:rsidP="006F613E">
      <w:pPr>
        <w:spacing w:line="276" w:lineRule="auto"/>
        <w:jc w:val="both"/>
        <w:rPr>
          <w:sz w:val="24"/>
          <w:szCs w:val="24"/>
        </w:rPr>
      </w:pPr>
    </w:p>
    <w:p w:rsidR="00D454DD" w:rsidRPr="007E7826" w:rsidRDefault="00A15523">
      <w:pPr>
        <w:spacing w:line="276" w:lineRule="auto"/>
        <w:jc w:val="both"/>
        <w:rPr>
          <w:sz w:val="24"/>
          <w:szCs w:val="24"/>
        </w:rPr>
      </w:pPr>
      <w:r>
        <w:rPr>
          <w:sz w:val="24"/>
          <w:szCs w:val="24"/>
        </w:rPr>
        <w:t>L</w:t>
      </w:r>
      <w:r w:rsidR="00EC70E9" w:rsidRPr="007E7826">
        <w:rPr>
          <w:sz w:val="24"/>
          <w:szCs w:val="24"/>
        </w:rPr>
        <w:t>a</w:t>
      </w:r>
      <w:r w:rsidR="00D454DD" w:rsidRPr="007E7826">
        <w:rPr>
          <w:sz w:val="24"/>
          <w:szCs w:val="24"/>
        </w:rPr>
        <w:t xml:space="preserve"> Constitución de la República Bolivariana de Venezuela consagra la potestad que tiene el </w:t>
      </w:r>
      <w:r w:rsidR="00EC70E9" w:rsidRPr="007E7826">
        <w:rPr>
          <w:sz w:val="24"/>
          <w:szCs w:val="24"/>
        </w:rPr>
        <w:t>Presidente de la República en Consejo de Ministros</w:t>
      </w:r>
      <w:r w:rsidR="00D454DD" w:rsidRPr="007E7826">
        <w:rPr>
          <w:sz w:val="24"/>
          <w:szCs w:val="24"/>
        </w:rPr>
        <w:t xml:space="preserve"> </w:t>
      </w:r>
      <w:r w:rsidR="00255991" w:rsidRPr="007E7826">
        <w:rPr>
          <w:sz w:val="24"/>
          <w:szCs w:val="24"/>
        </w:rPr>
        <w:t>para</w:t>
      </w:r>
      <w:r w:rsidR="00D454DD" w:rsidRPr="007E7826">
        <w:rPr>
          <w:sz w:val="24"/>
          <w:szCs w:val="24"/>
        </w:rPr>
        <w:t xml:space="preserve"> dictar decretos leyes </w:t>
      </w:r>
      <w:r w:rsidR="00EC70E9" w:rsidRPr="007E7826">
        <w:rPr>
          <w:sz w:val="24"/>
          <w:szCs w:val="24"/>
        </w:rPr>
        <w:t>(</w:t>
      </w:r>
      <w:r w:rsidR="00D454DD" w:rsidRPr="007E7826">
        <w:rPr>
          <w:sz w:val="24"/>
          <w:szCs w:val="24"/>
        </w:rPr>
        <w:t xml:space="preserve">artículo 236 </w:t>
      </w:r>
      <w:r w:rsidR="00D454DD" w:rsidRPr="007E7826">
        <w:rPr>
          <w:sz w:val="24"/>
          <w:szCs w:val="24"/>
        </w:rPr>
        <w:lastRenderedPageBreak/>
        <w:t>numeral 8</w:t>
      </w:r>
      <w:r w:rsidR="00D454DD" w:rsidRPr="007E7826">
        <w:rPr>
          <w:rStyle w:val="Refdenotaalpie"/>
          <w:sz w:val="24"/>
          <w:szCs w:val="24"/>
        </w:rPr>
        <w:footnoteReference w:id="7"/>
      </w:r>
      <w:r w:rsidR="00EC70E9" w:rsidRPr="007E7826">
        <w:rPr>
          <w:sz w:val="24"/>
          <w:szCs w:val="24"/>
        </w:rPr>
        <w:t>) en las materias que haya sido autorizado para ello por Ley Habilitante. No obstante, si bien esta potestad legislativa no tiene limitaciones ni restricciones por la materia, la misma debe ser interpretada de conformidad con las disposiciones del Pacto</w:t>
      </w:r>
      <w:r w:rsidR="00A71931" w:rsidRPr="007E7826">
        <w:rPr>
          <w:sz w:val="24"/>
          <w:szCs w:val="24"/>
        </w:rPr>
        <w:t xml:space="preserve"> y demás instrumentos internacionales</w:t>
      </w:r>
      <w:r w:rsidR="00EC70E9" w:rsidRPr="007E7826">
        <w:rPr>
          <w:sz w:val="24"/>
          <w:szCs w:val="24"/>
        </w:rPr>
        <w:t xml:space="preserve">, ya que de lo contrario, </w:t>
      </w:r>
      <w:r w:rsidR="00703AEA" w:rsidRPr="007E7826">
        <w:rPr>
          <w:sz w:val="24"/>
          <w:szCs w:val="24"/>
        </w:rPr>
        <w:t>esta disposición constitucional</w:t>
      </w:r>
      <w:r w:rsidR="00F26A40" w:rsidRPr="007E7826">
        <w:rPr>
          <w:sz w:val="24"/>
          <w:szCs w:val="24"/>
        </w:rPr>
        <w:t xml:space="preserve"> tan amplia</w:t>
      </w:r>
      <w:r w:rsidR="00703AEA" w:rsidRPr="007E7826">
        <w:rPr>
          <w:sz w:val="24"/>
          <w:szCs w:val="24"/>
        </w:rPr>
        <w:t xml:space="preserve"> no se adapta a las obligaciones derivadas del Pacto y</w:t>
      </w:r>
      <w:r w:rsidR="00EC70E9" w:rsidRPr="007E7826">
        <w:rPr>
          <w:sz w:val="24"/>
          <w:szCs w:val="24"/>
        </w:rPr>
        <w:t>a que</w:t>
      </w:r>
      <w:r w:rsidR="00703AEA" w:rsidRPr="007E7826">
        <w:rPr>
          <w:sz w:val="24"/>
          <w:szCs w:val="24"/>
        </w:rPr>
        <w:t xml:space="preserve"> viola </w:t>
      </w:r>
      <w:r w:rsidR="00A71931" w:rsidRPr="007E7826">
        <w:rPr>
          <w:sz w:val="24"/>
          <w:szCs w:val="24"/>
        </w:rPr>
        <w:t>e</w:t>
      </w:r>
      <w:r w:rsidR="00EC70E9" w:rsidRPr="007E7826">
        <w:rPr>
          <w:sz w:val="24"/>
          <w:szCs w:val="24"/>
        </w:rPr>
        <w:t>l derecho humano al principio de legalidad sancionatorio.</w:t>
      </w:r>
      <w:r w:rsidR="00703AEA" w:rsidRPr="007E7826">
        <w:rPr>
          <w:sz w:val="24"/>
          <w:szCs w:val="24"/>
        </w:rPr>
        <w:t xml:space="preserve"> </w:t>
      </w:r>
    </w:p>
    <w:p w:rsidR="002362D8" w:rsidRPr="007E7826" w:rsidRDefault="002362D8">
      <w:pPr>
        <w:spacing w:line="276" w:lineRule="auto"/>
        <w:jc w:val="both"/>
        <w:rPr>
          <w:sz w:val="24"/>
          <w:szCs w:val="24"/>
        </w:rPr>
      </w:pPr>
    </w:p>
    <w:p w:rsidR="002362D8" w:rsidRPr="001A38E0" w:rsidRDefault="000439AA" w:rsidP="001A38E0">
      <w:pPr>
        <w:spacing w:line="276" w:lineRule="auto"/>
        <w:jc w:val="both"/>
        <w:rPr>
          <w:b/>
          <w:sz w:val="24"/>
          <w:szCs w:val="24"/>
        </w:rPr>
      </w:pPr>
      <w:r w:rsidRPr="007E7826">
        <w:rPr>
          <w:b/>
          <w:sz w:val="24"/>
          <w:szCs w:val="24"/>
        </w:rPr>
        <w:t xml:space="preserve">2. </w:t>
      </w:r>
      <w:r w:rsidR="002362D8" w:rsidRPr="001A38E0">
        <w:rPr>
          <w:b/>
          <w:sz w:val="24"/>
          <w:szCs w:val="24"/>
        </w:rPr>
        <w:t xml:space="preserve">Los delitos </w:t>
      </w:r>
      <w:r w:rsidR="00C10E28" w:rsidRPr="001A38E0">
        <w:rPr>
          <w:b/>
          <w:sz w:val="24"/>
          <w:szCs w:val="24"/>
        </w:rPr>
        <w:t xml:space="preserve">y las sanciones penales creadas por </w:t>
      </w:r>
      <w:r w:rsidR="00EC70E9" w:rsidRPr="001A38E0">
        <w:rPr>
          <w:b/>
          <w:sz w:val="24"/>
          <w:szCs w:val="24"/>
        </w:rPr>
        <w:t>d</w:t>
      </w:r>
      <w:r w:rsidR="00C10E28" w:rsidRPr="001A38E0">
        <w:rPr>
          <w:b/>
          <w:sz w:val="24"/>
          <w:szCs w:val="24"/>
        </w:rPr>
        <w:t>ecretos</w:t>
      </w:r>
      <w:r w:rsidR="00DA0B05" w:rsidRPr="001A38E0">
        <w:rPr>
          <w:b/>
          <w:sz w:val="24"/>
          <w:szCs w:val="24"/>
        </w:rPr>
        <w:t xml:space="preserve"> leyes</w:t>
      </w:r>
    </w:p>
    <w:p w:rsidR="00260268" w:rsidRPr="007E7826" w:rsidRDefault="00260268" w:rsidP="007E7826">
      <w:pPr>
        <w:spacing w:line="276" w:lineRule="auto"/>
        <w:jc w:val="both"/>
        <w:rPr>
          <w:sz w:val="24"/>
          <w:szCs w:val="24"/>
        </w:rPr>
      </w:pPr>
    </w:p>
    <w:p w:rsidR="00054CAF" w:rsidRPr="001A38E0" w:rsidRDefault="000439AA" w:rsidP="001A38E0">
      <w:pPr>
        <w:pStyle w:val="Prrafodelista"/>
        <w:numPr>
          <w:ilvl w:val="0"/>
          <w:numId w:val="9"/>
        </w:numPr>
        <w:spacing w:line="276" w:lineRule="auto"/>
        <w:jc w:val="both"/>
        <w:rPr>
          <w:sz w:val="24"/>
          <w:szCs w:val="24"/>
        </w:rPr>
      </w:pPr>
      <w:r w:rsidRPr="001A38E0">
        <w:rPr>
          <w:sz w:val="24"/>
          <w:szCs w:val="24"/>
        </w:rPr>
        <w:t>En noviembre del año 2000 la Asamblea Nacional dictó la Ley que autorizó al Presidente de la República para dictar Decretos con Fuerza de Ley en las Materias que se Delegan</w:t>
      </w:r>
      <w:r w:rsidRPr="001A38E0">
        <w:rPr>
          <w:rStyle w:val="Refdenotaalpie"/>
          <w:sz w:val="24"/>
          <w:szCs w:val="24"/>
        </w:rPr>
        <w:footnoteReference w:id="8"/>
      </w:r>
      <w:r w:rsidRPr="001A38E0">
        <w:rPr>
          <w:sz w:val="24"/>
          <w:szCs w:val="24"/>
        </w:rPr>
        <w:t xml:space="preserve">.  Bajo la mencionada Ley el Presidente de la República dictó el </w:t>
      </w:r>
      <w:r w:rsidRPr="001A38E0">
        <w:rPr>
          <w:b/>
          <w:i/>
          <w:sz w:val="24"/>
          <w:szCs w:val="24"/>
        </w:rPr>
        <w:t>Decreto-Ley</w:t>
      </w:r>
      <w:r w:rsidRPr="001A38E0">
        <w:rPr>
          <w:i/>
          <w:sz w:val="24"/>
          <w:szCs w:val="24"/>
        </w:rPr>
        <w:t xml:space="preserve"> de Reforma Parcial de la Ley General de Bancos y Otras Instituciones Financieras</w:t>
      </w:r>
      <w:r w:rsidRPr="001A38E0">
        <w:rPr>
          <w:rStyle w:val="Refdenotaalpie"/>
          <w:bCs/>
          <w:sz w:val="24"/>
          <w:szCs w:val="24"/>
        </w:rPr>
        <w:footnoteReference w:id="9"/>
      </w:r>
      <w:r w:rsidRPr="001A38E0">
        <w:rPr>
          <w:bCs/>
          <w:sz w:val="24"/>
          <w:szCs w:val="24"/>
        </w:rPr>
        <w:t xml:space="preserve">. En el mencionado decreto ley se incorporan </w:t>
      </w:r>
      <w:r w:rsidRPr="001A38E0">
        <w:rPr>
          <w:bCs/>
          <w:sz w:val="24"/>
          <w:szCs w:val="24"/>
          <w:u w:val="single"/>
        </w:rPr>
        <w:t>sanciones penales</w:t>
      </w:r>
      <w:r w:rsidRPr="001A38E0">
        <w:rPr>
          <w:bCs/>
          <w:sz w:val="24"/>
          <w:szCs w:val="24"/>
        </w:rPr>
        <w:t xml:space="preserve">, cuyas </w:t>
      </w:r>
      <w:r w:rsidRPr="001A38E0">
        <w:rPr>
          <w:bCs/>
          <w:sz w:val="24"/>
          <w:szCs w:val="24"/>
          <w:u w:val="single"/>
        </w:rPr>
        <w:t>penas de prisión</w:t>
      </w:r>
      <w:r w:rsidRPr="001A38E0">
        <w:rPr>
          <w:bCs/>
          <w:sz w:val="24"/>
          <w:szCs w:val="24"/>
        </w:rPr>
        <w:t xml:space="preserve"> oscilan entre los </w:t>
      </w:r>
      <w:r w:rsidRPr="001A38E0">
        <w:rPr>
          <w:bCs/>
          <w:sz w:val="24"/>
          <w:szCs w:val="24"/>
          <w:u w:val="single"/>
        </w:rPr>
        <w:t>tres a los once años</w:t>
      </w:r>
      <w:r w:rsidRPr="001A38E0">
        <w:rPr>
          <w:rStyle w:val="Refdenotaalpie"/>
          <w:bCs/>
          <w:sz w:val="24"/>
          <w:szCs w:val="24"/>
        </w:rPr>
        <w:footnoteReference w:id="10"/>
      </w:r>
      <w:r w:rsidRPr="001A38E0">
        <w:rPr>
          <w:bCs/>
          <w:sz w:val="24"/>
          <w:szCs w:val="24"/>
        </w:rPr>
        <w:t>:</w:t>
      </w:r>
      <w:r w:rsidR="0081578A" w:rsidRPr="001A38E0">
        <w:rPr>
          <w:bCs/>
          <w:sz w:val="24"/>
          <w:szCs w:val="24"/>
        </w:rPr>
        <w:t xml:space="preserve">: </w:t>
      </w:r>
      <w:r w:rsidR="002478E0" w:rsidRPr="001A38E0">
        <w:rPr>
          <w:bCs/>
          <w:sz w:val="24"/>
          <w:szCs w:val="24"/>
        </w:rPr>
        <w:t xml:space="preserve">artículo 430: </w:t>
      </w:r>
      <w:r w:rsidR="0081578A" w:rsidRPr="001A38E0">
        <w:rPr>
          <w:bCs/>
          <w:sz w:val="24"/>
          <w:szCs w:val="24"/>
        </w:rPr>
        <w:t>la captación indebida</w:t>
      </w:r>
      <w:r w:rsidR="00ED751D" w:rsidRPr="001A38E0">
        <w:rPr>
          <w:bCs/>
          <w:sz w:val="24"/>
          <w:szCs w:val="24"/>
        </w:rPr>
        <w:t xml:space="preserve"> (8</w:t>
      </w:r>
      <w:r w:rsidR="008B6870" w:rsidRPr="001A38E0">
        <w:rPr>
          <w:bCs/>
          <w:sz w:val="24"/>
          <w:szCs w:val="24"/>
        </w:rPr>
        <w:t xml:space="preserve"> a </w:t>
      </w:r>
      <w:r w:rsidR="00ED751D" w:rsidRPr="001A38E0">
        <w:rPr>
          <w:bCs/>
          <w:sz w:val="24"/>
          <w:szCs w:val="24"/>
        </w:rPr>
        <w:t>10</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r w:rsidR="002478E0" w:rsidRPr="001A38E0">
        <w:rPr>
          <w:bCs/>
          <w:sz w:val="24"/>
          <w:szCs w:val="24"/>
        </w:rPr>
        <w:t xml:space="preserve">artículo 431: </w:t>
      </w:r>
      <w:r w:rsidR="0081578A" w:rsidRPr="001A38E0">
        <w:rPr>
          <w:bCs/>
          <w:sz w:val="24"/>
          <w:szCs w:val="24"/>
        </w:rPr>
        <w:t>aprobación indebida de créditos</w:t>
      </w:r>
      <w:r w:rsidR="00ED751D" w:rsidRPr="001A38E0">
        <w:rPr>
          <w:bCs/>
          <w:sz w:val="24"/>
          <w:szCs w:val="24"/>
        </w:rPr>
        <w:t xml:space="preserve"> (8</w:t>
      </w:r>
      <w:r w:rsidR="008B6870" w:rsidRPr="001A38E0">
        <w:rPr>
          <w:bCs/>
          <w:sz w:val="24"/>
          <w:szCs w:val="24"/>
        </w:rPr>
        <w:t xml:space="preserve"> a </w:t>
      </w:r>
      <w:r w:rsidR="00ED751D" w:rsidRPr="001A38E0">
        <w:rPr>
          <w:bCs/>
          <w:sz w:val="24"/>
          <w:szCs w:val="24"/>
        </w:rPr>
        <w:t>10</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r w:rsidR="002478E0" w:rsidRPr="001A38E0">
        <w:rPr>
          <w:bCs/>
          <w:sz w:val="24"/>
          <w:szCs w:val="24"/>
        </w:rPr>
        <w:t xml:space="preserve">artículo 432: </w:t>
      </w:r>
      <w:r w:rsidR="0081578A" w:rsidRPr="001A38E0">
        <w:rPr>
          <w:bCs/>
          <w:sz w:val="24"/>
          <w:szCs w:val="24"/>
        </w:rPr>
        <w:t>apropiación o distracción de recursos</w:t>
      </w:r>
      <w:r w:rsidR="00ED751D" w:rsidRPr="001A38E0">
        <w:rPr>
          <w:bCs/>
          <w:sz w:val="24"/>
          <w:szCs w:val="24"/>
        </w:rPr>
        <w:t xml:space="preserve"> (8</w:t>
      </w:r>
      <w:r w:rsidR="008B6870" w:rsidRPr="001A38E0">
        <w:rPr>
          <w:bCs/>
          <w:sz w:val="24"/>
          <w:szCs w:val="24"/>
        </w:rPr>
        <w:t xml:space="preserve"> a </w:t>
      </w:r>
      <w:r w:rsidR="00ED751D" w:rsidRPr="001A38E0">
        <w:rPr>
          <w:bCs/>
          <w:sz w:val="24"/>
          <w:szCs w:val="24"/>
        </w:rPr>
        <w:t>10</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r w:rsidR="002478E0" w:rsidRPr="001A38E0">
        <w:rPr>
          <w:bCs/>
          <w:sz w:val="24"/>
          <w:szCs w:val="24"/>
        </w:rPr>
        <w:t>artículo 433:</w:t>
      </w:r>
      <w:r w:rsidR="0081578A" w:rsidRPr="001A38E0">
        <w:rPr>
          <w:bCs/>
          <w:sz w:val="24"/>
          <w:szCs w:val="24"/>
        </w:rPr>
        <w:t>fraudes documentales</w:t>
      </w:r>
      <w:r w:rsidR="002478E0" w:rsidRPr="001A38E0">
        <w:rPr>
          <w:bCs/>
          <w:sz w:val="24"/>
          <w:szCs w:val="24"/>
        </w:rPr>
        <w:t xml:space="preserve"> (9</w:t>
      </w:r>
      <w:r w:rsidR="008B6870" w:rsidRPr="001A38E0">
        <w:rPr>
          <w:bCs/>
          <w:sz w:val="24"/>
          <w:szCs w:val="24"/>
        </w:rPr>
        <w:t xml:space="preserve"> a </w:t>
      </w:r>
      <w:r w:rsidR="002478E0" w:rsidRPr="001A38E0">
        <w:rPr>
          <w:bCs/>
          <w:sz w:val="24"/>
          <w:szCs w:val="24"/>
        </w:rPr>
        <w:t>11</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r w:rsidR="002478E0" w:rsidRPr="001A38E0">
        <w:rPr>
          <w:bCs/>
          <w:sz w:val="24"/>
          <w:szCs w:val="24"/>
        </w:rPr>
        <w:t xml:space="preserve">artículo 434: </w:t>
      </w:r>
      <w:r w:rsidR="0081578A" w:rsidRPr="001A38E0">
        <w:rPr>
          <w:bCs/>
          <w:sz w:val="24"/>
          <w:szCs w:val="24"/>
        </w:rPr>
        <w:t>información falsa para realizar operaciones bancarias</w:t>
      </w:r>
      <w:r w:rsidR="00ED751D" w:rsidRPr="001A38E0">
        <w:rPr>
          <w:bCs/>
          <w:sz w:val="24"/>
          <w:szCs w:val="24"/>
        </w:rPr>
        <w:t xml:space="preserve"> (8</w:t>
      </w:r>
      <w:r w:rsidR="008B6870" w:rsidRPr="001A38E0">
        <w:rPr>
          <w:bCs/>
          <w:sz w:val="24"/>
          <w:szCs w:val="24"/>
        </w:rPr>
        <w:t xml:space="preserve"> a </w:t>
      </w:r>
      <w:r w:rsidR="00ED751D" w:rsidRPr="001A38E0">
        <w:rPr>
          <w:bCs/>
          <w:sz w:val="24"/>
          <w:szCs w:val="24"/>
        </w:rPr>
        <w:t>10</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r w:rsidR="002478E0" w:rsidRPr="001A38E0">
        <w:rPr>
          <w:bCs/>
          <w:sz w:val="24"/>
          <w:szCs w:val="24"/>
        </w:rPr>
        <w:t xml:space="preserve">artículo 435: </w:t>
      </w:r>
      <w:r w:rsidR="0081578A" w:rsidRPr="001A38E0">
        <w:rPr>
          <w:bCs/>
          <w:sz w:val="24"/>
          <w:szCs w:val="24"/>
        </w:rPr>
        <w:t>información financiera falsa</w:t>
      </w:r>
      <w:r w:rsidR="00ED751D" w:rsidRPr="001A38E0">
        <w:rPr>
          <w:bCs/>
          <w:sz w:val="24"/>
          <w:szCs w:val="24"/>
        </w:rPr>
        <w:t xml:space="preserve"> (8</w:t>
      </w:r>
      <w:r w:rsidR="008B6870" w:rsidRPr="001A38E0">
        <w:rPr>
          <w:bCs/>
          <w:sz w:val="24"/>
          <w:szCs w:val="24"/>
        </w:rPr>
        <w:t xml:space="preserve"> a </w:t>
      </w:r>
      <w:r w:rsidR="00ED751D" w:rsidRPr="001A38E0">
        <w:rPr>
          <w:bCs/>
          <w:sz w:val="24"/>
          <w:szCs w:val="24"/>
        </w:rPr>
        <w:t>10</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r w:rsidR="002478E0" w:rsidRPr="001A38E0">
        <w:rPr>
          <w:bCs/>
          <w:sz w:val="24"/>
          <w:szCs w:val="24"/>
        </w:rPr>
        <w:t xml:space="preserve">artículo 436: </w:t>
      </w:r>
      <w:r w:rsidR="0081578A" w:rsidRPr="001A38E0">
        <w:rPr>
          <w:bCs/>
          <w:sz w:val="24"/>
          <w:szCs w:val="24"/>
        </w:rPr>
        <w:t>simulación de reposición de capital</w:t>
      </w:r>
      <w:r w:rsidR="00ED751D" w:rsidRPr="001A38E0">
        <w:rPr>
          <w:bCs/>
          <w:sz w:val="24"/>
          <w:szCs w:val="24"/>
        </w:rPr>
        <w:t xml:space="preserve"> (9</w:t>
      </w:r>
      <w:r w:rsidR="008B6870" w:rsidRPr="001A38E0">
        <w:rPr>
          <w:bCs/>
          <w:sz w:val="24"/>
          <w:szCs w:val="24"/>
        </w:rPr>
        <w:t xml:space="preserve"> a </w:t>
      </w:r>
      <w:r w:rsidR="00ED751D" w:rsidRPr="001A38E0">
        <w:rPr>
          <w:bCs/>
          <w:sz w:val="24"/>
          <w:szCs w:val="24"/>
        </w:rPr>
        <w:t>11</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r w:rsidR="002478E0" w:rsidRPr="001A38E0">
        <w:rPr>
          <w:bCs/>
          <w:sz w:val="24"/>
          <w:szCs w:val="24"/>
        </w:rPr>
        <w:t xml:space="preserve">artículo 437: </w:t>
      </w:r>
      <w:r w:rsidR="0081578A" w:rsidRPr="001A38E0">
        <w:rPr>
          <w:bCs/>
          <w:sz w:val="24"/>
          <w:szCs w:val="24"/>
        </w:rPr>
        <w:t>incumplimiento de los auditores externos</w:t>
      </w:r>
      <w:r w:rsidR="00ED751D" w:rsidRPr="001A38E0">
        <w:rPr>
          <w:bCs/>
          <w:sz w:val="24"/>
          <w:szCs w:val="24"/>
        </w:rPr>
        <w:t xml:space="preserve"> (8</w:t>
      </w:r>
      <w:r w:rsidR="008B6870" w:rsidRPr="001A38E0">
        <w:rPr>
          <w:bCs/>
          <w:sz w:val="24"/>
          <w:szCs w:val="24"/>
        </w:rPr>
        <w:t xml:space="preserve"> a </w:t>
      </w:r>
      <w:r w:rsidR="00ED751D" w:rsidRPr="001A38E0">
        <w:rPr>
          <w:bCs/>
          <w:sz w:val="24"/>
          <w:szCs w:val="24"/>
        </w:rPr>
        <w:t>10</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r w:rsidR="002478E0" w:rsidRPr="001A38E0">
        <w:rPr>
          <w:bCs/>
          <w:sz w:val="24"/>
          <w:szCs w:val="24"/>
        </w:rPr>
        <w:t xml:space="preserve">artículo 438: </w:t>
      </w:r>
      <w:r w:rsidR="0081578A" w:rsidRPr="001A38E0">
        <w:rPr>
          <w:bCs/>
          <w:sz w:val="24"/>
          <w:szCs w:val="24"/>
        </w:rPr>
        <w:t xml:space="preserve">incumplimiento de los peritos </w:t>
      </w:r>
      <w:proofErr w:type="spellStart"/>
      <w:r w:rsidR="0081578A" w:rsidRPr="001A38E0">
        <w:rPr>
          <w:bCs/>
          <w:sz w:val="24"/>
          <w:szCs w:val="24"/>
        </w:rPr>
        <w:t>avaluadores</w:t>
      </w:r>
      <w:proofErr w:type="spellEnd"/>
      <w:r w:rsidR="00ED751D" w:rsidRPr="001A38E0">
        <w:rPr>
          <w:bCs/>
          <w:sz w:val="24"/>
          <w:szCs w:val="24"/>
        </w:rPr>
        <w:t xml:space="preserve"> (8</w:t>
      </w:r>
      <w:r w:rsidR="008B6870" w:rsidRPr="001A38E0">
        <w:rPr>
          <w:bCs/>
          <w:sz w:val="24"/>
          <w:szCs w:val="24"/>
        </w:rPr>
        <w:t xml:space="preserve"> a </w:t>
      </w:r>
      <w:r w:rsidR="00ED751D" w:rsidRPr="001A38E0">
        <w:rPr>
          <w:bCs/>
          <w:sz w:val="24"/>
          <w:szCs w:val="24"/>
        </w:rPr>
        <w:t>10</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r w:rsidR="002478E0" w:rsidRPr="001A38E0">
        <w:rPr>
          <w:bCs/>
          <w:sz w:val="24"/>
          <w:szCs w:val="24"/>
        </w:rPr>
        <w:t xml:space="preserve">artículo 439: </w:t>
      </w:r>
      <w:r w:rsidR="0081578A" w:rsidRPr="001A38E0">
        <w:rPr>
          <w:bCs/>
          <w:sz w:val="24"/>
          <w:szCs w:val="24"/>
        </w:rPr>
        <w:t>oferta engañosa</w:t>
      </w:r>
      <w:r w:rsidR="00ED751D" w:rsidRPr="001A38E0">
        <w:rPr>
          <w:bCs/>
          <w:sz w:val="24"/>
          <w:szCs w:val="24"/>
        </w:rPr>
        <w:t xml:space="preserve"> (8</w:t>
      </w:r>
      <w:r w:rsidR="008B6870" w:rsidRPr="001A38E0">
        <w:rPr>
          <w:bCs/>
          <w:sz w:val="24"/>
          <w:szCs w:val="24"/>
        </w:rPr>
        <w:t xml:space="preserve"> a </w:t>
      </w:r>
      <w:r w:rsidR="00ED751D" w:rsidRPr="001A38E0">
        <w:rPr>
          <w:bCs/>
          <w:sz w:val="24"/>
          <w:szCs w:val="24"/>
        </w:rPr>
        <w:t>10</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r w:rsidR="002478E0" w:rsidRPr="001A38E0">
        <w:rPr>
          <w:bCs/>
          <w:sz w:val="24"/>
          <w:szCs w:val="24"/>
        </w:rPr>
        <w:t xml:space="preserve">artículo 440: </w:t>
      </w:r>
      <w:r w:rsidR="0081578A" w:rsidRPr="001A38E0">
        <w:rPr>
          <w:bCs/>
          <w:sz w:val="24"/>
          <w:szCs w:val="24"/>
        </w:rPr>
        <w:t>responsabilidad en el fideicomiso</w:t>
      </w:r>
      <w:r w:rsidR="00ED751D" w:rsidRPr="001A38E0">
        <w:rPr>
          <w:bCs/>
          <w:sz w:val="24"/>
          <w:szCs w:val="24"/>
        </w:rPr>
        <w:t xml:space="preserve"> (8</w:t>
      </w:r>
      <w:r w:rsidR="008B6870" w:rsidRPr="001A38E0">
        <w:rPr>
          <w:bCs/>
          <w:sz w:val="24"/>
          <w:szCs w:val="24"/>
        </w:rPr>
        <w:t xml:space="preserve"> a </w:t>
      </w:r>
      <w:r w:rsidR="00ED751D" w:rsidRPr="001A38E0">
        <w:rPr>
          <w:bCs/>
          <w:sz w:val="24"/>
          <w:szCs w:val="24"/>
        </w:rPr>
        <w:t>10</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r w:rsidR="002478E0" w:rsidRPr="001A38E0">
        <w:rPr>
          <w:bCs/>
          <w:sz w:val="24"/>
          <w:szCs w:val="24"/>
        </w:rPr>
        <w:t xml:space="preserve">artículo 441: </w:t>
      </w:r>
      <w:r w:rsidR="0081578A" w:rsidRPr="001A38E0">
        <w:rPr>
          <w:bCs/>
          <w:sz w:val="24"/>
          <w:szCs w:val="24"/>
        </w:rPr>
        <w:t>contravenciones contractuales en el fideicomiso</w:t>
      </w:r>
      <w:r w:rsidR="00ED751D" w:rsidRPr="001A38E0">
        <w:rPr>
          <w:bCs/>
          <w:sz w:val="24"/>
          <w:szCs w:val="24"/>
        </w:rPr>
        <w:t xml:space="preserve"> (9</w:t>
      </w:r>
      <w:r w:rsidR="008B6870" w:rsidRPr="001A38E0">
        <w:rPr>
          <w:bCs/>
          <w:sz w:val="24"/>
          <w:szCs w:val="24"/>
        </w:rPr>
        <w:t xml:space="preserve"> a </w:t>
      </w:r>
      <w:r w:rsidR="00ED751D" w:rsidRPr="001A38E0">
        <w:rPr>
          <w:bCs/>
          <w:sz w:val="24"/>
          <w:szCs w:val="24"/>
        </w:rPr>
        <w:t>11</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r w:rsidR="002478E0" w:rsidRPr="001A38E0">
        <w:rPr>
          <w:bCs/>
          <w:sz w:val="24"/>
          <w:szCs w:val="24"/>
        </w:rPr>
        <w:t xml:space="preserve">artículo 442: </w:t>
      </w:r>
      <w:r w:rsidR="0081578A" w:rsidRPr="001A38E0">
        <w:rPr>
          <w:bCs/>
          <w:sz w:val="24"/>
          <w:szCs w:val="24"/>
        </w:rPr>
        <w:t>información falsa en el fideicomiso</w:t>
      </w:r>
      <w:r w:rsidR="00ED751D" w:rsidRPr="001A38E0">
        <w:rPr>
          <w:bCs/>
          <w:sz w:val="24"/>
          <w:szCs w:val="24"/>
        </w:rPr>
        <w:t xml:space="preserve"> (3</w:t>
      </w:r>
      <w:r w:rsidR="008B6870" w:rsidRPr="001A38E0">
        <w:rPr>
          <w:bCs/>
          <w:sz w:val="24"/>
          <w:szCs w:val="24"/>
        </w:rPr>
        <w:t xml:space="preserve"> a </w:t>
      </w:r>
      <w:r w:rsidR="00ED751D" w:rsidRPr="001A38E0">
        <w:rPr>
          <w:bCs/>
          <w:sz w:val="24"/>
          <w:szCs w:val="24"/>
        </w:rPr>
        <w:t>10</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r w:rsidR="002478E0" w:rsidRPr="001A38E0">
        <w:rPr>
          <w:bCs/>
          <w:sz w:val="24"/>
          <w:szCs w:val="24"/>
        </w:rPr>
        <w:t xml:space="preserve">artículo 443: </w:t>
      </w:r>
      <w:r w:rsidR="0081578A" w:rsidRPr="001A38E0">
        <w:rPr>
          <w:bCs/>
          <w:sz w:val="24"/>
          <w:szCs w:val="24"/>
        </w:rPr>
        <w:t>ocultamiento de información en la declaración institucional</w:t>
      </w:r>
      <w:r w:rsidR="00ED751D" w:rsidRPr="001A38E0">
        <w:rPr>
          <w:bCs/>
          <w:sz w:val="24"/>
          <w:szCs w:val="24"/>
        </w:rPr>
        <w:t xml:space="preserve"> (8</w:t>
      </w:r>
      <w:r w:rsidR="008B6870" w:rsidRPr="001A38E0">
        <w:rPr>
          <w:bCs/>
          <w:sz w:val="24"/>
          <w:szCs w:val="24"/>
        </w:rPr>
        <w:t xml:space="preserve"> a </w:t>
      </w:r>
      <w:r w:rsidR="00ED751D" w:rsidRPr="001A38E0">
        <w:rPr>
          <w:bCs/>
          <w:sz w:val="24"/>
          <w:szCs w:val="24"/>
        </w:rPr>
        <w:t>10</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r w:rsidR="002478E0" w:rsidRPr="001A38E0">
        <w:rPr>
          <w:bCs/>
          <w:sz w:val="24"/>
          <w:szCs w:val="24"/>
        </w:rPr>
        <w:t xml:space="preserve">artículo 444: </w:t>
      </w:r>
      <w:r w:rsidR="0081578A" w:rsidRPr="001A38E0">
        <w:rPr>
          <w:bCs/>
          <w:sz w:val="24"/>
          <w:szCs w:val="24"/>
        </w:rPr>
        <w:t>revelación de información</w:t>
      </w:r>
      <w:r w:rsidR="00ED751D" w:rsidRPr="001A38E0">
        <w:rPr>
          <w:bCs/>
          <w:sz w:val="24"/>
          <w:szCs w:val="24"/>
        </w:rPr>
        <w:t xml:space="preserve"> (8</w:t>
      </w:r>
      <w:r w:rsidR="008B6870" w:rsidRPr="001A38E0">
        <w:rPr>
          <w:bCs/>
          <w:sz w:val="24"/>
          <w:szCs w:val="24"/>
        </w:rPr>
        <w:t xml:space="preserve"> a </w:t>
      </w:r>
      <w:r w:rsidR="00ED751D" w:rsidRPr="001A38E0">
        <w:rPr>
          <w:bCs/>
          <w:sz w:val="24"/>
          <w:szCs w:val="24"/>
        </w:rPr>
        <w:t>10</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r w:rsidR="002478E0" w:rsidRPr="001A38E0">
        <w:rPr>
          <w:bCs/>
          <w:sz w:val="24"/>
          <w:szCs w:val="24"/>
        </w:rPr>
        <w:t xml:space="preserve">artículo 445: </w:t>
      </w:r>
      <w:r w:rsidR="0081578A" w:rsidRPr="001A38E0">
        <w:rPr>
          <w:bCs/>
          <w:sz w:val="24"/>
          <w:szCs w:val="24"/>
        </w:rPr>
        <w:t>fraude electrónico</w:t>
      </w:r>
      <w:r w:rsidR="00ED751D" w:rsidRPr="001A38E0">
        <w:rPr>
          <w:bCs/>
          <w:sz w:val="24"/>
          <w:szCs w:val="24"/>
        </w:rPr>
        <w:t xml:space="preserve"> (8</w:t>
      </w:r>
      <w:r w:rsidR="008B6870" w:rsidRPr="001A38E0">
        <w:rPr>
          <w:bCs/>
          <w:sz w:val="24"/>
          <w:szCs w:val="24"/>
        </w:rPr>
        <w:t xml:space="preserve"> a </w:t>
      </w:r>
      <w:r w:rsidR="00ED751D" w:rsidRPr="001A38E0">
        <w:rPr>
          <w:bCs/>
          <w:sz w:val="24"/>
          <w:szCs w:val="24"/>
        </w:rPr>
        <w:t>10</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r w:rsidR="002478E0" w:rsidRPr="001A38E0">
        <w:rPr>
          <w:bCs/>
          <w:sz w:val="24"/>
          <w:szCs w:val="24"/>
        </w:rPr>
        <w:t xml:space="preserve">artículo 446: </w:t>
      </w:r>
      <w:r w:rsidR="0081578A" w:rsidRPr="001A38E0">
        <w:rPr>
          <w:bCs/>
          <w:sz w:val="24"/>
          <w:szCs w:val="24"/>
        </w:rPr>
        <w:t>apropiación de información de los clientes</w:t>
      </w:r>
      <w:r w:rsidR="00ED751D" w:rsidRPr="001A38E0">
        <w:rPr>
          <w:bCs/>
          <w:sz w:val="24"/>
          <w:szCs w:val="24"/>
        </w:rPr>
        <w:t xml:space="preserve"> (8</w:t>
      </w:r>
      <w:r w:rsidR="008B6870" w:rsidRPr="001A38E0">
        <w:rPr>
          <w:bCs/>
          <w:sz w:val="24"/>
          <w:szCs w:val="24"/>
        </w:rPr>
        <w:t xml:space="preserve"> a </w:t>
      </w:r>
      <w:r w:rsidR="00ED751D" w:rsidRPr="001A38E0">
        <w:rPr>
          <w:bCs/>
          <w:sz w:val="24"/>
          <w:szCs w:val="24"/>
        </w:rPr>
        <w:t>10</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r w:rsidR="002478E0" w:rsidRPr="001A38E0">
        <w:rPr>
          <w:bCs/>
          <w:sz w:val="24"/>
          <w:szCs w:val="24"/>
        </w:rPr>
        <w:t xml:space="preserve">artículo 447: </w:t>
      </w:r>
      <w:r w:rsidR="0081578A" w:rsidRPr="001A38E0">
        <w:rPr>
          <w:bCs/>
          <w:sz w:val="24"/>
          <w:szCs w:val="24"/>
        </w:rPr>
        <w:t>apropiación de información por medios electrónicos</w:t>
      </w:r>
      <w:r w:rsidR="00ED751D" w:rsidRPr="001A38E0">
        <w:rPr>
          <w:bCs/>
          <w:sz w:val="24"/>
          <w:szCs w:val="24"/>
        </w:rPr>
        <w:t xml:space="preserve"> (8</w:t>
      </w:r>
      <w:r w:rsidR="008B6870" w:rsidRPr="001A38E0">
        <w:rPr>
          <w:bCs/>
          <w:sz w:val="24"/>
          <w:szCs w:val="24"/>
        </w:rPr>
        <w:t xml:space="preserve"> a </w:t>
      </w:r>
      <w:r w:rsidR="00ED751D" w:rsidRPr="001A38E0">
        <w:rPr>
          <w:bCs/>
          <w:sz w:val="24"/>
          <w:szCs w:val="24"/>
        </w:rPr>
        <w:t>10</w:t>
      </w:r>
      <w:r w:rsidR="008B6870" w:rsidRPr="001A38E0">
        <w:rPr>
          <w:bCs/>
          <w:sz w:val="24"/>
          <w:szCs w:val="24"/>
        </w:rPr>
        <w:t xml:space="preserve"> años</w:t>
      </w:r>
      <w:r w:rsidR="00ED751D" w:rsidRPr="001A38E0">
        <w:rPr>
          <w:bCs/>
          <w:sz w:val="24"/>
          <w:szCs w:val="24"/>
        </w:rPr>
        <w:t xml:space="preserve">) </w:t>
      </w:r>
      <w:r w:rsidR="002478E0" w:rsidRPr="001A38E0">
        <w:rPr>
          <w:bCs/>
          <w:sz w:val="24"/>
          <w:szCs w:val="24"/>
        </w:rPr>
        <w:t>y artículo 448</w:t>
      </w:r>
      <w:r w:rsidR="00C505AE" w:rsidRPr="001A38E0">
        <w:rPr>
          <w:bCs/>
          <w:sz w:val="24"/>
          <w:szCs w:val="24"/>
        </w:rPr>
        <w:t xml:space="preserve">: </w:t>
      </w:r>
      <w:r w:rsidR="0081578A" w:rsidRPr="001A38E0">
        <w:rPr>
          <w:bCs/>
          <w:sz w:val="24"/>
          <w:szCs w:val="24"/>
        </w:rPr>
        <w:t>difusión de información de falsa</w:t>
      </w:r>
      <w:r w:rsidR="00ED751D" w:rsidRPr="001A38E0">
        <w:rPr>
          <w:bCs/>
          <w:sz w:val="24"/>
          <w:szCs w:val="24"/>
        </w:rPr>
        <w:t xml:space="preserve"> (9</w:t>
      </w:r>
      <w:r w:rsidR="008B6870" w:rsidRPr="001A38E0">
        <w:rPr>
          <w:bCs/>
          <w:sz w:val="24"/>
          <w:szCs w:val="24"/>
        </w:rPr>
        <w:t xml:space="preserve"> a </w:t>
      </w:r>
      <w:r w:rsidR="00ED751D" w:rsidRPr="001A38E0">
        <w:rPr>
          <w:bCs/>
          <w:sz w:val="24"/>
          <w:szCs w:val="24"/>
        </w:rPr>
        <w:t>11</w:t>
      </w:r>
      <w:r w:rsidR="008B6870" w:rsidRPr="001A38E0">
        <w:rPr>
          <w:bCs/>
          <w:sz w:val="24"/>
          <w:szCs w:val="24"/>
        </w:rPr>
        <w:t xml:space="preserve"> años</w:t>
      </w:r>
      <w:r w:rsidR="00ED751D" w:rsidRPr="001A38E0">
        <w:rPr>
          <w:bCs/>
          <w:sz w:val="24"/>
          <w:szCs w:val="24"/>
        </w:rPr>
        <w:t>)</w:t>
      </w:r>
      <w:r w:rsidR="0081578A" w:rsidRPr="001A38E0">
        <w:rPr>
          <w:bCs/>
          <w:sz w:val="24"/>
          <w:szCs w:val="24"/>
        </w:rPr>
        <w:t xml:space="preserve">. </w:t>
      </w:r>
    </w:p>
    <w:p w:rsidR="005B21AC" w:rsidRPr="007E7826" w:rsidRDefault="005B21AC" w:rsidP="007E7826">
      <w:pPr>
        <w:spacing w:line="276" w:lineRule="auto"/>
        <w:jc w:val="both"/>
        <w:rPr>
          <w:sz w:val="24"/>
          <w:szCs w:val="24"/>
        </w:rPr>
      </w:pPr>
    </w:p>
    <w:p w:rsidR="000439AA" w:rsidRPr="001A38E0" w:rsidRDefault="000439AA" w:rsidP="001A38E0">
      <w:pPr>
        <w:pStyle w:val="Prrafodelista"/>
        <w:numPr>
          <w:ilvl w:val="0"/>
          <w:numId w:val="9"/>
        </w:numPr>
        <w:spacing w:line="240" w:lineRule="auto"/>
        <w:jc w:val="both"/>
        <w:rPr>
          <w:color w:val="262626"/>
          <w:sz w:val="24"/>
          <w:szCs w:val="24"/>
          <w:lang w:val="es-ES_tradnl"/>
        </w:rPr>
      </w:pPr>
      <w:r w:rsidRPr="001A38E0">
        <w:rPr>
          <w:sz w:val="24"/>
          <w:szCs w:val="24"/>
          <w:lang w:val="es-ES_tradnl"/>
        </w:rPr>
        <w:t>En el año 2010, días antes del término del período de la anterior Asamblea Nacional (2005-2010), aquélla dictó el 17 de diciembre de ese año una nueva ley habilitante: Ley que Autoriza al Presidente a dictar Decretos con Rango, Valor y Fuerza de Ley en las Materias que se le Delegan</w:t>
      </w:r>
      <w:r w:rsidRPr="001A38E0">
        <w:rPr>
          <w:rStyle w:val="Refdenotaalpie"/>
          <w:sz w:val="24"/>
          <w:szCs w:val="24"/>
          <w:lang w:val="es-ES_tradnl"/>
        </w:rPr>
        <w:footnoteReference w:id="11"/>
      </w:r>
      <w:r w:rsidRPr="001A38E0">
        <w:rPr>
          <w:sz w:val="24"/>
          <w:szCs w:val="24"/>
          <w:lang w:val="es-ES_tradnl"/>
        </w:rPr>
        <w:t xml:space="preserve">. Esta Ley le concedió al Presidente autorización para dictar por decreto las leyes por un lapso de 18 meses en materias de economía, vivienda y servicios públicos, </w:t>
      </w:r>
      <w:r w:rsidRPr="001A38E0">
        <w:rPr>
          <w:sz w:val="24"/>
          <w:szCs w:val="24"/>
          <w:u w:val="single"/>
          <w:lang w:val="es-ES_tradnl"/>
        </w:rPr>
        <w:t xml:space="preserve">incluyendo expresamente la autorización para “establecer normas que prevean las </w:t>
      </w:r>
      <w:r w:rsidRPr="001A38E0">
        <w:rPr>
          <w:b/>
          <w:sz w:val="24"/>
          <w:szCs w:val="24"/>
          <w:u w:val="single"/>
          <w:lang w:val="es-ES_tradnl"/>
        </w:rPr>
        <w:t>sanciones</w:t>
      </w:r>
      <w:r w:rsidRPr="001A38E0">
        <w:rPr>
          <w:sz w:val="24"/>
          <w:szCs w:val="24"/>
          <w:u w:val="single"/>
          <w:lang w:val="es-ES_tradnl"/>
        </w:rPr>
        <w:t xml:space="preserve"> que deban aplicarse en caso de comisión de </w:t>
      </w:r>
      <w:r w:rsidRPr="001A38E0">
        <w:rPr>
          <w:b/>
          <w:sz w:val="24"/>
          <w:szCs w:val="24"/>
          <w:u w:val="single"/>
          <w:lang w:val="es-ES_tradnl"/>
        </w:rPr>
        <w:t>hechos punibles</w:t>
      </w:r>
      <w:r w:rsidRPr="001A38E0">
        <w:rPr>
          <w:sz w:val="24"/>
          <w:szCs w:val="24"/>
          <w:u w:val="single"/>
          <w:lang w:val="es-ES_tradnl"/>
        </w:rPr>
        <w:t>”</w:t>
      </w:r>
      <w:r w:rsidRPr="001A38E0">
        <w:rPr>
          <w:sz w:val="24"/>
          <w:szCs w:val="24"/>
          <w:lang w:val="es-ES_tradnl"/>
        </w:rPr>
        <w:t xml:space="preserve"> (art. 1, numeral 6). Bajo esta Ley, en fecha 2 de marzo de 2011 el Presidente de la República dictó el </w:t>
      </w:r>
      <w:r w:rsidRPr="001A38E0">
        <w:rPr>
          <w:b/>
          <w:i/>
          <w:color w:val="262626"/>
          <w:sz w:val="24"/>
          <w:szCs w:val="24"/>
          <w:lang w:val="es-ES_tradnl"/>
        </w:rPr>
        <w:t>Decreto</w:t>
      </w:r>
      <w:r w:rsidRPr="001A38E0">
        <w:rPr>
          <w:i/>
          <w:color w:val="262626"/>
          <w:sz w:val="24"/>
          <w:szCs w:val="24"/>
          <w:lang w:val="es-ES_tradnl"/>
        </w:rPr>
        <w:t xml:space="preserve"> con Rango, Valor y Fuerza de Ley de </w:t>
      </w:r>
      <w:r w:rsidRPr="001A38E0">
        <w:rPr>
          <w:i/>
          <w:sz w:val="24"/>
          <w:szCs w:val="24"/>
          <w:lang w:val="es-ES_tradnl"/>
        </w:rPr>
        <w:t>Reforma Parcial de la Ley de Instituciones del Sector Bancario</w:t>
      </w:r>
      <w:r w:rsidRPr="001A38E0">
        <w:rPr>
          <w:rStyle w:val="Refdenotaalpie"/>
          <w:sz w:val="24"/>
          <w:szCs w:val="24"/>
          <w:lang w:val="es-ES_tradnl"/>
        </w:rPr>
        <w:footnoteReference w:id="12"/>
      </w:r>
      <w:r w:rsidRPr="001A38E0">
        <w:rPr>
          <w:color w:val="262626"/>
          <w:sz w:val="24"/>
          <w:szCs w:val="24"/>
          <w:lang w:val="es-ES_tradnl"/>
        </w:rPr>
        <w:t xml:space="preserve">, mediante el cual crearon </w:t>
      </w:r>
      <w:r w:rsidRPr="001A38E0">
        <w:rPr>
          <w:bCs/>
          <w:sz w:val="24"/>
          <w:szCs w:val="24"/>
          <w:lang w:val="es-ES_tradnl"/>
        </w:rPr>
        <w:t xml:space="preserve">nuevos delitos con </w:t>
      </w:r>
      <w:r w:rsidRPr="001A38E0">
        <w:rPr>
          <w:bCs/>
          <w:sz w:val="24"/>
          <w:szCs w:val="24"/>
          <w:u w:val="single"/>
          <w:lang w:val="es-ES_tradnl"/>
        </w:rPr>
        <w:t>sanciones penales</w:t>
      </w:r>
      <w:r w:rsidRPr="001A38E0">
        <w:rPr>
          <w:bCs/>
          <w:sz w:val="24"/>
          <w:szCs w:val="24"/>
          <w:lang w:val="es-ES_tradnl"/>
        </w:rPr>
        <w:t xml:space="preserve">, cuyas </w:t>
      </w:r>
      <w:r w:rsidRPr="001A38E0">
        <w:rPr>
          <w:bCs/>
          <w:sz w:val="24"/>
          <w:szCs w:val="24"/>
          <w:u w:val="single"/>
          <w:lang w:val="es-ES_tradnl"/>
        </w:rPr>
        <w:t>penas de prisión</w:t>
      </w:r>
      <w:r w:rsidRPr="001A38E0">
        <w:rPr>
          <w:bCs/>
          <w:sz w:val="24"/>
          <w:szCs w:val="24"/>
          <w:lang w:val="es-ES_tradnl"/>
        </w:rPr>
        <w:t xml:space="preserve"> oscilan entre los </w:t>
      </w:r>
      <w:r w:rsidRPr="001A38E0">
        <w:rPr>
          <w:bCs/>
          <w:sz w:val="24"/>
          <w:szCs w:val="24"/>
          <w:u w:val="single"/>
          <w:lang w:val="es-ES_tradnl"/>
        </w:rPr>
        <w:t xml:space="preserve">3 a los 15 años: </w:t>
      </w:r>
      <w:r w:rsidRPr="001A38E0">
        <w:rPr>
          <w:rFonts w:eastAsiaTheme="minorHAnsi"/>
          <w:bCs/>
          <w:sz w:val="24"/>
          <w:szCs w:val="24"/>
          <w:lang w:val="es-ES_tradnl" w:eastAsia="en-US"/>
        </w:rPr>
        <w:t>artículo 195: Fraudes documentales (9 a 11 años); artículo 196:  Responsabilidad en el fideicomiso (de 8 a 10 años); artículo 197: Apropiación de Información de los clientes (de 8 a 10 años); artículo 216: Apropiación o distracción de recursos/Información falsa para realizar operaciones bancarias (de 10 a 15 años); y artículo 228: Difusión de información falsa (de 9 a 11 años).</w:t>
      </w:r>
    </w:p>
    <w:p w:rsidR="00362055" w:rsidRPr="001A38E0" w:rsidRDefault="00362055" w:rsidP="001A38E0">
      <w:pPr>
        <w:pStyle w:val="Prrafodelista"/>
        <w:spacing w:line="240" w:lineRule="auto"/>
        <w:jc w:val="both"/>
        <w:rPr>
          <w:color w:val="262626"/>
          <w:sz w:val="24"/>
          <w:szCs w:val="24"/>
          <w:lang w:val="es-ES_tradnl"/>
        </w:rPr>
      </w:pPr>
    </w:p>
    <w:p w:rsidR="007E7826" w:rsidRPr="001A38E0" w:rsidRDefault="007E7826" w:rsidP="001A38E0">
      <w:pPr>
        <w:pStyle w:val="Prrafodelista"/>
        <w:numPr>
          <w:ilvl w:val="0"/>
          <w:numId w:val="9"/>
        </w:numPr>
        <w:spacing w:line="240" w:lineRule="auto"/>
        <w:jc w:val="both"/>
        <w:rPr>
          <w:color w:val="262626"/>
          <w:sz w:val="24"/>
          <w:szCs w:val="24"/>
          <w:lang w:val="es-ES_tradnl"/>
        </w:rPr>
      </w:pPr>
      <w:r w:rsidRPr="001A38E0">
        <w:rPr>
          <w:sz w:val="24"/>
          <w:szCs w:val="24"/>
        </w:rPr>
        <w:t>En el año 2013 se dictó otra Ley que autoriza al Presidente a dictar Decretos con Rango, Valor y Fuerza de Ley</w:t>
      </w:r>
      <w:r w:rsidRPr="001A38E0">
        <w:rPr>
          <w:rStyle w:val="Refdenotaalpie"/>
          <w:sz w:val="24"/>
          <w:szCs w:val="24"/>
        </w:rPr>
        <w:footnoteReference w:id="13"/>
      </w:r>
      <w:r w:rsidRPr="001A38E0">
        <w:rPr>
          <w:sz w:val="24"/>
          <w:szCs w:val="24"/>
        </w:rPr>
        <w:t>. Esta Ley autorizó al Presidente de la República a: “</w:t>
      </w:r>
      <w:r w:rsidRPr="001A38E0">
        <w:rPr>
          <w:i/>
          <w:sz w:val="24"/>
          <w:szCs w:val="24"/>
        </w:rPr>
        <w:t xml:space="preserve">b) Dictar y/o reformar normas destinadas a profundizar y fortalecer los mecanismos de </w:t>
      </w:r>
      <w:r w:rsidRPr="001A38E0">
        <w:rPr>
          <w:b/>
          <w:i/>
          <w:sz w:val="24"/>
          <w:szCs w:val="24"/>
        </w:rPr>
        <w:t>sanción penal</w:t>
      </w:r>
      <w:r w:rsidRPr="001A38E0">
        <w:rPr>
          <w:i/>
          <w:sz w:val="24"/>
          <w:szCs w:val="24"/>
        </w:rPr>
        <w:t>, administrativa, civil y disciplinaria para evitar lesiones o el manejo inadecuado del patrimonio público y prevenir hechos de corrupción</w:t>
      </w:r>
      <w:r w:rsidRPr="001A38E0">
        <w:rPr>
          <w:sz w:val="24"/>
          <w:szCs w:val="24"/>
        </w:rPr>
        <w:t xml:space="preserve">” (resaltado añadido). </w:t>
      </w:r>
    </w:p>
    <w:p w:rsidR="007E7826" w:rsidRPr="001A38E0" w:rsidRDefault="007E7826" w:rsidP="007E7826">
      <w:pPr>
        <w:pStyle w:val="Prrafodelista"/>
        <w:spacing w:line="240" w:lineRule="auto"/>
        <w:ind w:left="360"/>
        <w:jc w:val="both"/>
        <w:rPr>
          <w:sz w:val="24"/>
          <w:szCs w:val="24"/>
        </w:rPr>
      </w:pPr>
    </w:p>
    <w:p w:rsidR="00941734" w:rsidRDefault="007E7826">
      <w:pPr>
        <w:spacing w:line="276" w:lineRule="auto"/>
        <w:jc w:val="both"/>
        <w:rPr>
          <w:sz w:val="24"/>
          <w:szCs w:val="24"/>
        </w:rPr>
      </w:pPr>
      <w:r w:rsidRPr="001A38E0">
        <w:rPr>
          <w:sz w:val="24"/>
          <w:szCs w:val="24"/>
        </w:rPr>
        <w:t xml:space="preserve">Ahora bien, a partir de que fue dictada esta Ley Habilitante el Presidente emitió 57 decretos leyes, dentro de estos 45 decretos leyes fueron publicados en la Gaceta Oficial el 18 de noviembre de 2014, a un día del vencimiento de la Ley Habilitante, ya que la vigencia era de 12 meses. Cabe destacar que la publicación oficial de los mencionados decretos leyes comenzó a circular con posterioridad al vencimiento de la citada Ley Habilitante. Mediante los siguientes decretos leyes dictados por el Presidente de la República se crearon también delitos y penas privativas de libertad: </w:t>
      </w:r>
    </w:p>
    <w:p w:rsidR="004F36AA" w:rsidRPr="007E7826" w:rsidRDefault="004F36AA">
      <w:pPr>
        <w:spacing w:line="276" w:lineRule="auto"/>
        <w:jc w:val="both"/>
        <w:rPr>
          <w:b/>
          <w:sz w:val="24"/>
          <w:szCs w:val="24"/>
        </w:rPr>
      </w:pPr>
    </w:p>
    <w:p w:rsidR="00941734" w:rsidRPr="007E7826" w:rsidRDefault="007E7826">
      <w:pPr>
        <w:spacing w:line="276" w:lineRule="auto"/>
        <w:ind w:left="360"/>
        <w:jc w:val="both"/>
        <w:rPr>
          <w:b/>
          <w:sz w:val="24"/>
          <w:szCs w:val="24"/>
        </w:rPr>
      </w:pPr>
      <w:r w:rsidRPr="007E7826">
        <w:rPr>
          <w:b/>
          <w:sz w:val="24"/>
          <w:szCs w:val="24"/>
        </w:rPr>
        <w:lastRenderedPageBreak/>
        <w:t>a</w:t>
      </w:r>
      <w:r w:rsidR="00C10E28" w:rsidRPr="007E7826">
        <w:rPr>
          <w:b/>
          <w:sz w:val="24"/>
          <w:szCs w:val="24"/>
        </w:rPr>
        <w:t xml:space="preserve">. </w:t>
      </w:r>
      <w:r w:rsidRPr="007E7826">
        <w:rPr>
          <w:b/>
          <w:sz w:val="24"/>
          <w:szCs w:val="24"/>
        </w:rPr>
        <w:t xml:space="preserve">Decreto Ley sobre </w:t>
      </w:r>
      <w:r w:rsidR="00D9592B" w:rsidRPr="007E7826">
        <w:rPr>
          <w:b/>
          <w:sz w:val="24"/>
          <w:szCs w:val="24"/>
        </w:rPr>
        <w:t>Código</w:t>
      </w:r>
      <w:r w:rsidR="00BB3C1F" w:rsidRPr="007E7826">
        <w:rPr>
          <w:b/>
          <w:sz w:val="24"/>
          <w:szCs w:val="24"/>
        </w:rPr>
        <w:t xml:space="preserve"> </w:t>
      </w:r>
      <w:r w:rsidR="00D9592B" w:rsidRPr="007E7826">
        <w:rPr>
          <w:b/>
          <w:sz w:val="24"/>
          <w:szCs w:val="24"/>
        </w:rPr>
        <w:t>Orgánico</w:t>
      </w:r>
      <w:r w:rsidR="00BB3C1F" w:rsidRPr="007E7826">
        <w:rPr>
          <w:b/>
          <w:sz w:val="24"/>
          <w:szCs w:val="24"/>
        </w:rPr>
        <w:t xml:space="preserve"> Tributario</w:t>
      </w:r>
      <w:r w:rsidR="00F66869" w:rsidRPr="007E7826">
        <w:rPr>
          <w:rStyle w:val="Refdenotaalpie"/>
          <w:b/>
          <w:sz w:val="24"/>
          <w:szCs w:val="24"/>
        </w:rPr>
        <w:footnoteReference w:id="14"/>
      </w:r>
    </w:p>
    <w:p w:rsidR="00941734" w:rsidRPr="007E7826" w:rsidRDefault="00941734">
      <w:pPr>
        <w:spacing w:line="276" w:lineRule="auto"/>
        <w:jc w:val="both"/>
        <w:rPr>
          <w:sz w:val="24"/>
          <w:szCs w:val="24"/>
        </w:rPr>
      </w:pPr>
    </w:p>
    <w:p w:rsidR="00941734" w:rsidRPr="007E7826" w:rsidRDefault="00941734">
      <w:pPr>
        <w:pStyle w:val="Prrafodelista"/>
        <w:numPr>
          <w:ilvl w:val="0"/>
          <w:numId w:val="6"/>
        </w:numPr>
        <w:spacing w:line="276" w:lineRule="auto"/>
        <w:jc w:val="both"/>
        <w:rPr>
          <w:sz w:val="24"/>
          <w:szCs w:val="24"/>
        </w:rPr>
      </w:pPr>
      <w:r w:rsidRPr="007E7826">
        <w:rPr>
          <w:sz w:val="24"/>
          <w:szCs w:val="24"/>
        </w:rPr>
        <w:t>Artículo 122. Quien estando en conocimiento de la iniciación de un procedimiento tendente a la determinación o cobro de obligaciones tributarias o sanciones, provocare o agravare la insolvencia propia o ajena, frustrando en todo o en parte la satisfacción de tales prestaciones, será sancionado con prisión de uno (1) a cinco (5) años.</w:t>
      </w:r>
    </w:p>
    <w:p w:rsidR="00941734" w:rsidRPr="007E7826" w:rsidRDefault="00941734">
      <w:pPr>
        <w:spacing w:line="276" w:lineRule="auto"/>
        <w:jc w:val="both"/>
        <w:rPr>
          <w:sz w:val="24"/>
          <w:szCs w:val="24"/>
        </w:rPr>
      </w:pPr>
    </w:p>
    <w:p w:rsidR="00941734" w:rsidRPr="007E7826" w:rsidRDefault="00941734">
      <w:pPr>
        <w:pStyle w:val="Prrafodelista"/>
        <w:numPr>
          <w:ilvl w:val="0"/>
          <w:numId w:val="6"/>
        </w:numPr>
        <w:spacing w:line="276" w:lineRule="auto"/>
        <w:jc w:val="both"/>
        <w:rPr>
          <w:sz w:val="24"/>
          <w:szCs w:val="24"/>
        </w:rPr>
      </w:pPr>
      <w:r w:rsidRPr="007E7826">
        <w:rPr>
          <w:sz w:val="24"/>
          <w:szCs w:val="24"/>
        </w:rPr>
        <w:t xml:space="preserve"> Artículo 123. Quien incite públicamente o efectúe maniobras concertadas tendentes a organizar la negativa colectiva al cumplimiento de las obligaciones tributarias, será sancionado con prisión de un (1) año a cinco (5) años.</w:t>
      </w:r>
    </w:p>
    <w:p w:rsidR="00941734" w:rsidRPr="007E7826" w:rsidRDefault="00941734">
      <w:pPr>
        <w:spacing w:line="276" w:lineRule="auto"/>
        <w:jc w:val="both"/>
        <w:rPr>
          <w:sz w:val="24"/>
          <w:szCs w:val="24"/>
        </w:rPr>
      </w:pPr>
    </w:p>
    <w:p w:rsidR="00941734" w:rsidRPr="007E7826" w:rsidRDefault="007E7826">
      <w:pPr>
        <w:spacing w:line="276" w:lineRule="auto"/>
        <w:ind w:left="360"/>
        <w:jc w:val="both"/>
        <w:rPr>
          <w:b/>
          <w:sz w:val="24"/>
          <w:szCs w:val="24"/>
        </w:rPr>
      </w:pPr>
      <w:r w:rsidRPr="007E7826">
        <w:rPr>
          <w:b/>
          <w:sz w:val="24"/>
          <w:szCs w:val="24"/>
        </w:rPr>
        <w:t>b</w:t>
      </w:r>
      <w:r w:rsidR="00C10E28" w:rsidRPr="007E7826">
        <w:rPr>
          <w:b/>
          <w:sz w:val="24"/>
          <w:szCs w:val="24"/>
        </w:rPr>
        <w:t xml:space="preserve">. </w:t>
      </w:r>
      <w:r w:rsidRPr="007E7826">
        <w:rPr>
          <w:b/>
          <w:sz w:val="24"/>
          <w:szCs w:val="24"/>
        </w:rPr>
        <w:t xml:space="preserve">Decreto Ley sobre </w:t>
      </w:r>
      <w:r w:rsidR="00BB3C1F" w:rsidRPr="007E7826">
        <w:rPr>
          <w:b/>
          <w:sz w:val="24"/>
          <w:szCs w:val="24"/>
        </w:rPr>
        <w:t>Ley Del Régimen Cambiario y sus Ilícitos</w:t>
      </w:r>
      <w:r w:rsidR="00B0376A" w:rsidRPr="007E7826">
        <w:rPr>
          <w:rStyle w:val="Refdenotaalpie"/>
          <w:b/>
          <w:sz w:val="24"/>
          <w:szCs w:val="24"/>
        </w:rPr>
        <w:footnoteReference w:id="15"/>
      </w:r>
    </w:p>
    <w:p w:rsidR="00941734" w:rsidRPr="007E7826" w:rsidRDefault="00941734">
      <w:pPr>
        <w:pStyle w:val="Prrafodelista"/>
        <w:spacing w:line="276" w:lineRule="auto"/>
        <w:jc w:val="both"/>
        <w:rPr>
          <w:b/>
          <w:sz w:val="24"/>
          <w:szCs w:val="24"/>
        </w:rPr>
      </w:pPr>
    </w:p>
    <w:p w:rsidR="00941734" w:rsidRPr="007E7826" w:rsidRDefault="00941734">
      <w:pPr>
        <w:pStyle w:val="Prrafodelista"/>
        <w:numPr>
          <w:ilvl w:val="2"/>
          <w:numId w:val="4"/>
        </w:numPr>
        <w:spacing w:line="276" w:lineRule="auto"/>
        <w:ind w:left="1134" w:hanging="567"/>
        <w:jc w:val="both"/>
        <w:rPr>
          <w:sz w:val="24"/>
          <w:szCs w:val="24"/>
        </w:rPr>
      </w:pPr>
      <w:r w:rsidRPr="007E7826">
        <w:rPr>
          <w:sz w:val="24"/>
          <w:szCs w:val="24"/>
        </w:rPr>
        <w:t>Presentación de documentos o información falsa o forjada Artículo 16</w:t>
      </w:r>
    </w:p>
    <w:p w:rsidR="00941734" w:rsidRPr="007E7826" w:rsidRDefault="00941734">
      <w:pPr>
        <w:pStyle w:val="Prrafodelista"/>
        <w:spacing w:line="276" w:lineRule="auto"/>
        <w:ind w:left="1134"/>
        <w:jc w:val="both"/>
        <w:rPr>
          <w:sz w:val="24"/>
          <w:szCs w:val="24"/>
        </w:rPr>
      </w:pPr>
      <w:r w:rsidRPr="007E7826">
        <w:rPr>
          <w:sz w:val="24"/>
          <w:szCs w:val="24"/>
          <w:shd w:val="clear" w:color="auto" w:fill="FFFFFF"/>
        </w:rPr>
        <w:t>Quienes a los efectos de participar o realizar operaciones relacionadas con el régimen cambiario, presenten o suscriban balances, estados financieros y en general, documentos o recaudos de cualquier clase o tipo que resulten falsos o forjados, o presenten información o datos que no reflejen su verdadera situación financiera o comercial, serán sancionados con pena de prisión de uno a tres años y multa equivalente a cinco décimas de la Unidad Tributaria (0,5 U.T.) vigente para la fecha de su liquidación, por cada dólar de los Estados Unidos de América o su equivalente en otra divisa, del monto correspondiente a la respectiva operación involucrada.</w:t>
      </w:r>
    </w:p>
    <w:p w:rsidR="00941734" w:rsidRPr="007E7826" w:rsidRDefault="00941734">
      <w:pPr>
        <w:pStyle w:val="Prrafodelista"/>
        <w:spacing w:line="276" w:lineRule="auto"/>
        <w:ind w:left="1134"/>
        <w:jc w:val="both"/>
        <w:rPr>
          <w:sz w:val="24"/>
          <w:szCs w:val="24"/>
        </w:rPr>
      </w:pPr>
    </w:p>
    <w:p w:rsidR="00941734" w:rsidRPr="007E7826" w:rsidRDefault="00941734">
      <w:pPr>
        <w:pStyle w:val="Prrafodelista"/>
        <w:numPr>
          <w:ilvl w:val="2"/>
          <w:numId w:val="4"/>
        </w:numPr>
        <w:spacing w:line="276" w:lineRule="auto"/>
        <w:ind w:left="1134" w:hanging="567"/>
        <w:jc w:val="both"/>
        <w:rPr>
          <w:sz w:val="24"/>
          <w:szCs w:val="24"/>
        </w:rPr>
      </w:pPr>
      <w:r w:rsidRPr="007E7826">
        <w:rPr>
          <w:sz w:val="24"/>
          <w:szCs w:val="24"/>
          <w:lang w:val="es-ES_tradnl"/>
        </w:rPr>
        <w:t>Promoción de ilícitos cambiarios</w:t>
      </w:r>
    </w:p>
    <w:p w:rsidR="00941734" w:rsidRPr="007E7826" w:rsidRDefault="00941734">
      <w:pPr>
        <w:pStyle w:val="Prrafodelista"/>
        <w:spacing w:line="276" w:lineRule="auto"/>
        <w:ind w:left="1134"/>
        <w:jc w:val="both"/>
        <w:rPr>
          <w:sz w:val="24"/>
          <w:szCs w:val="24"/>
        </w:rPr>
      </w:pPr>
      <w:r w:rsidRPr="007E7826">
        <w:rPr>
          <w:sz w:val="24"/>
          <w:szCs w:val="24"/>
          <w:lang w:val="es-ES_tradnl"/>
        </w:rPr>
        <w:t xml:space="preserve">Artículo 19 </w:t>
      </w:r>
    </w:p>
    <w:p w:rsidR="00941734" w:rsidRPr="007E7826" w:rsidRDefault="00941734">
      <w:pPr>
        <w:pStyle w:val="Prrafodelista"/>
        <w:spacing w:line="276" w:lineRule="auto"/>
        <w:ind w:left="1134"/>
        <w:jc w:val="both"/>
        <w:rPr>
          <w:sz w:val="24"/>
          <w:szCs w:val="24"/>
        </w:rPr>
      </w:pPr>
      <w:r w:rsidRPr="007E7826">
        <w:rPr>
          <w:sz w:val="24"/>
          <w:szCs w:val="24"/>
          <w:shd w:val="clear" w:color="auto" w:fill="FFFFFF"/>
        </w:rPr>
        <w:t xml:space="preserve">Quienes de manera directa o indirecta promuevan o estimulen la comisión de alguno de los ilícitos previstos en el presente Decreto con Rango, Valor y Fuerza ley, serán sancionados con pena de prisión de dos a seis años y multa equivalente a cinco décimas de la Unidad Tributaria (0,5 U.T.) vigente para la fecha de su liquidación, por cada dólar los Estados Unidos de América o su </w:t>
      </w:r>
      <w:r w:rsidRPr="007E7826">
        <w:rPr>
          <w:sz w:val="24"/>
          <w:szCs w:val="24"/>
          <w:shd w:val="clear" w:color="auto" w:fill="FFFFFF"/>
        </w:rPr>
        <w:lastRenderedPageBreak/>
        <w:t>equivalente en otra divisa, del monto correspondiente de la respectiva operación involucrada.</w:t>
      </w:r>
    </w:p>
    <w:p w:rsidR="005A0BE1" w:rsidRPr="007E7826" w:rsidRDefault="005A0BE1">
      <w:pPr>
        <w:spacing w:line="276" w:lineRule="auto"/>
        <w:jc w:val="both"/>
        <w:rPr>
          <w:sz w:val="24"/>
          <w:szCs w:val="24"/>
        </w:rPr>
      </w:pPr>
    </w:p>
    <w:p w:rsidR="00941734" w:rsidRPr="007E7826" w:rsidRDefault="007E7826">
      <w:pPr>
        <w:spacing w:line="276" w:lineRule="auto"/>
        <w:ind w:left="360"/>
        <w:jc w:val="both"/>
        <w:rPr>
          <w:b/>
          <w:sz w:val="24"/>
          <w:szCs w:val="24"/>
        </w:rPr>
      </w:pPr>
      <w:r w:rsidRPr="007E7826">
        <w:rPr>
          <w:b/>
          <w:sz w:val="24"/>
          <w:szCs w:val="24"/>
        </w:rPr>
        <w:t>c</w:t>
      </w:r>
      <w:r w:rsidR="00C10E28" w:rsidRPr="007E7826">
        <w:rPr>
          <w:b/>
          <w:sz w:val="24"/>
          <w:szCs w:val="24"/>
        </w:rPr>
        <w:t xml:space="preserve">. </w:t>
      </w:r>
      <w:r w:rsidRPr="007E7826">
        <w:rPr>
          <w:b/>
          <w:sz w:val="24"/>
          <w:szCs w:val="24"/>
        </w:rPr>
        <w:t xml:space="preserve">Decreto Ley sobre </w:t>
      </w:r>
      <w:r w:rsidR="00BB3C1F" w:rsidRPr="007E7826">
        <w:rPr>
          <w:b/>
          <w:sz w:val="24"/>
          <w:szCs w:val="24"/>
        </w:rPr>
        <w:t>Ley de Precios Justos</w:t>
      </w:r>
      <w:r w:rsidR="00B0376A" w:rsidRPr="007E7826">
        <w:rPr>
          <w:rStyle w:val="Refdenotaalpie"/>
          <w:b/>
          <w:sz w:val="24"/>
          <w:szCs w:val="24"/>
        </w:rPr>
        <w:footnoteReference w:id="16"/>
      </w:r>
    </w:p>
    <w:p w:rsidR="00941734" w:rsidRPr="007E7826" w:rsidRDefault="00941734">
      <w:pPr>
        <w:pStyle w:val="Prrafodelista"/>
        <w:spacing w:line="276" w:lineRule="auto"/>
        <w:jc w:val="both"/>
        <w:rPr>
          <w:b/>
          <w:sz w:val="24"/>
          <w:szCs w:val="24"/>
        </w:rPr>
      </w:pPr>
    </w:p>
    <w:p w:rsidR="00941734" w:rsidRPr="007E7826" w:rsidRDefault="00941734">
      <w:pPr>
        <w:pStyle w:val="Prrafodelista"/>
        <w:numPr>
          <w:ilvl w:val="2"/>
          <w:numId w:val="5"/>
        </w:numPr>
        <w:spacing w:line="276" w:lineRule="auto"/>
        <w:ind w:left="1134" w:hanging="850"/>
        <w:jc w:val="both"/>
        <w:rPr>
          <w:sz w:val="24"/>
          <w:szCs w:val="24"/>
        </w:rPr>
      </w:pPr>
      <w:r w:rsidRPr="007E7826">
        <w:rPr>
          <w:sz w:val="24"/>
          <w:szCs w:val="24"/>
        </w:rPr>
        <w:t>Reventa Productos de Primera Necesidad</w:t>
      </w:r>
      <w:r w:rsidRPr="007E7826">
        <w:rPr>
          <w:rStyle w:val="Refdenotaalpie"/>
          <w:sz w:val="24"/>
          <w:szCs w:val="24"/>
        </w:rPr>
        <w:footnoteReference w:id="17"/>
      </w:r>
      <w:r w:rsidRPr="007E7826">
        <w:rPr>
          <w:sz w:val="24"/>
          <w:szCs w:val="24"/>
        </w:rPr>
        <w:t xml:space="preserve">.  </w:t>
      </w:r>
    </w:p>
    <w:p w:rsidR="00941734" w:rsidRPr="007E7826" w:rsidRDefault="00941734">
      <w:pPr>
        <w:spacing w:line="276" w:lineRule="auto"/>
        <w:ind w:left="1134"/>
        <w:jc w:val="both"/>
        <w:rPr>
          <w:sz w:val="24"/>
          <w:szCs w:val="24"/>
        </w:rPr>
      </w:pPr>
      <w:r w:rsidRPr="007E7826">
        <w:rPr>
          <w:sz w:val="24"/>
          <w:szCs w:val="24"/>
        </w:rPr>
        <w:t>Artículo 62. Quien compre productos declarados de primera necesidad, con fines de lucro, para revenderlos por precios superiores a los establecidos por el Estado, por regulación directa o por lineamientos para establecimiento de precios justos, será sancionado con prisión de uno (01) a tres (03) años, multa de doscientas (200) a diez mil (10.000) Unidades Tributarias y comiso de las mercancías. Quien reincida en la ocurrencia de dicho delito, la pena le será aplicada al máximo y la multa aumentada al doble de su límite máximo.</w:t>
      </w:r>
    </w:p>
    <w:p w:rsidR="00941734" w:rsidRPr="007E7826" w:rsidRDefault="00941734">
      <w:pPr>
        <w:spacing w:line="276" w:lineRule="auto"/>
        <w:jc w:val="both"/>
        <w:rPr>
          <w:sz w:val="24"/>
          <w:szCs w:val="24"/>
        </w:rPr>
      </w:pPr>
    </w:p>
    <w:p w:rsidR="00941734" w:rsidRPr="007E7826" w:rsidRDefault="007E7826">
      <w:pPr>
        <w:spacing w:line="276" w:lineRule="auto"/>
        <w:ind w:left="360"/>
        <w:jc w:val="both"/>
        <w:rPr>
          <w:b/>
          <w:sz w:val="24"/>
          <w:szCs w:val="24"/>
        </w:rPr>
      </w:pPr>
      <w:r w:rsidRPr="007E7826">
        <w:rPr>
          <w:b/>
          <w:sz w:val="24"/>
          <w:szCs w:val="24"/>
        </w:rPr>
        <w:t>d</w:t>
      </w:r>
      <w:r w:rsidR="00C10E28" w:rsidRPr="007E7826">
        <w:rPr>
          <w:b/>
          <w:sz w:val="24"/>
          <w:szCs w:val="24"/>
        </w:rPr>
        <w:t xml:space="preserve">. </w:t>
      </w:r>
      <w:r w:rsidR="00BB3C1F" w:rsidRPr="007E7826">
        <w:rPr>
          <w:b/>
          <w:sz w:val="24"/>
          <w:szCs w:val="24"/>
        </w:rPr>
        <w:t xml:space="preserve"> </w:t>
      </w:r>
      <w:r w:rsidRPr="007E7826">
        <w:rPr>
          <w:b/>
          <w:sz w:val="24"/>
          <w:szCs w:val="24"/>
        </w:rPr>
        <w:t xml:space="preserve">Decreto Ley sobre </w:t>
      </w:r>
      <w:r w:rsidR="00BB3C1F" w:rsidRPr="007E7826">
        <w:rPr>
          <w:b/>
          <w:sz w:val="24"/>
          <w:szCs w:val="24"/>
        </w:rPr>
        <w:t>Ley Contra la Corrupción</w:t>
      </w:r>
      <w:r w:rsidR="00B0376A" w:rsidRPr="007E7826">
        <w:rPr>
          <w:rStyle w:val="Refdenotaalpie"/>
          <w:b/>
          <w:sz w:val="24"/>
          <w:szCs w:val="24"/>
        </w:rPr>
        <w:footnoteReference w:id="18"/>
      </w:r>
    </w:p>
    <w:p w:rsidR="00941734" w:rsidRPr="007E7826" w:rsidRDefault="00941734">
      <w:pPr>
        <w:pStyle w:val="Prrafodelista"/>
        <w:spacing w:line="276" w:lineRule="auto"/>
        <w:jc w:val="both"/>
        <w:rPr>
          <w:sz w:val="24"/>
          <w:szCs w:val="24"/>
        </w:rPr>
      </w:pPr>
    </w:p>
    <w:p w:rsidR="00941734" w:rsidRPr="007E7826" w:rsidRDefault="00941734">
      <w:pPr>
        <w:pStyle w:val="Prrafodelista"/>
        <w:numPr>
          <w:ilvl w:val="2"/>
          <w:numId w:val="5"/>
        </w:numPr>
        <w:spacing w:line="276" w:lineRule="auto"/>
        <w:ind w:left="1134" w:hanging="850"/>
        <w:jc w:val="both"/>
        <w:rPr>
          <w:sz w:val="24"/>
          <w:szCs w:val="24"/>
        </w:rPr>
      </w:pPr>
      <w:r w:rsidRPr="007E7826">
        <w:rPr>
          <w:sz w:val="24"/>
          <w:szCs w:val="24"/>
        </w:rPr>
        <w:t>Artículo 47. Quien por sí o por persona interpuesta prometa, ofrezca o conceda a directivos, administradores, empleados o colaboradores de empresas, sociedades, asociaciones, fundaciones u organizaciones un beneficio o ventaja de cualquier naturaleza, para que le favorezca a él o a un tercero frente a otros, incumpliendo sus obligaciones en la adquisición o venta de mercancías o en la prestación de servicios, será sancionado con pena de prisión de dos (2) a seis (6) años.</w:t>
      </w:r>
    </w:p>
    <w:p w:rsidR="00941734" w:rsidRPr="007E7826" w:rsidRDefault="00941734">
      <w:pPr>
        <w:pStyle w:val="Prrafodelista"/>
        <w:spacing w:line="276" w:lineRule="auto"/>
        <w:ind w:left="1134"/>
        <w:jc w:val="both"/>
        <w:rPr>
          <w:sz w:val="24"/>
          <w:szCs w:val="24"/>
        </w:rPr>
      </w:pPr>
      <w:r w:rsidRPr="007E7826">
        <w:rPr>
          <w:sz w:val="24"/>
          <w:szCs w:val="24"/>
        </w:rPr>
        <w:t>Con la misma pena será castigado el directivo, administrador, empleado o colaborador, que por sí o por persona interpuesta, reciba, solicite o acepte dicho beneficio o ventaja.</w:t>
      </w:r>
    </w:p>
    <w:p w:rsidR="00941734" w:rsidRPr="007E7826" w:rsidRDefault="00941734">
      <w:pPr>
        <w:pStyle w:val="Prrafodelista"/>
        <w:spacing w:line="276" w:lineRule="auto"/>
        <w:ind w:left="1134"/>
        <w:jc w:val="both"/>
        <w:rPr>
          <w:sz w:val="24"/>
          <w:szCs w:val="24"/>
        </w:rPr>
      </w:pPr>
      <w:r w:rsidRPr="007E7826">
        <w:rPr>
          <w:sz w:val="24"/>
          <w:szCs w:val="24"/>
        </w:rPr>
        <w:t>Adicionalmente el órgano desconcentrado con competencia para la defensa de los derechos socioeconómicos, podrá imponer la sanción de suspensión del Registro Único, en los términos previstos en la Ley que regula la materia de precios justos de bienes y servicios.</w:t>
      </w:r>
    </w:p>
    <w:p w:rsidR="00941734" w:rsidRPr="007E7826" w:rsidRDefault="00941734">
      <w:pPr>
        <w:spacing w:line="276" w:lineRule="auto"/>
        <w:ind w:left="1134"/>
        <w:jc w:val="both"/>
        <w:rPr>
          <w:sz w:val="24"/>
          <w:szCs w:val="24"/>
        </w:rPr>
      </w:pPr>
    </w:p>
    <w:p w:rsidR="00941734" w:rsidRPr="005A0BE1" w:rsidRDefault="00941734" w:rsidP="005A0BE1">
      <w:pPr>
        <w:pStyle w:val="Prrafodelista"/>
        <w:numPr>
          <w:ilvl w:val="2"/>
          <w:numId w:val="5"/>
        </w:numPr>
        <w:spacing w:line="276" w:lineRule="auto"/>
        <w:ind w:left="1134" w:hanging="850"/>
        <w:jc w:val="both"/>
        <w:rPr>
          <w:sz w:val="24"/>
          <w:szCs w:val="24"/>
        </w:rPr>
      </w:pPr>
      <w:r w:rsidRPr="007E7826">
        <w:rPr>
          <w:sz w:val="24"/>
          <w:szCs w:val="24"/>
        </w:rPr>
        <w:t xml:space="preserve">Artículo 85. Quien por sí o por persona interpuesta prometa, ofrezca u otorgue a un funcionario público de otro Estado, directa o indirectamente, por parte de </w:t>
      </w:r>
      <w:r w:rsidRPr="007E7826">
        <w:rPr>
          <w:sz w:val="24"/>
          <w:szCs w:val="24"/>
        </w:rPr>
        <w:lastRenderedPageBreak/>
        <w:t>sus nacionales, personas que tengan residencia habitual en su territorio y empresas domiciliadas en él, cualquier objeto de valor pecuniario u otros beneficios, como dádivas, favores, promesas, ventajas a cambio de que dicho funcionario realice u omita cualquier acto, en el ejercicio de sus funciones públicas, relacionado con una transacción de naturaleza económica, comercial o de cualquier otra índole, será penado con prisión de seis (6) a doce (12) años.</w:t>
      </w:r>
    </w:p>
    <w:p w:rsidR="00AA3A4F" w:rsidRPr="007E7826" w:rsidRDefault="00AA3A4F" w:rsidP="005A0BE1">
      <w:pPr>
        <w:spacing w:line="276" w:lineRule="auto"/>
        <w:jc w:val="both"/>
        <w:rPr>
          <w:sz w:val="24"/>
          <w:szCs w:val="24"/>
        </w:rPr>
      </w:pPr>
    </w:p>
    <w:p w:rsidR="007E7826" w:rsidRPr="001A38E0" w:rsidRDefault="004F36AA" w:rsidP="005A0BE1">
      <w:pPr>
        <w:pStyle w:val="Prrafodelista"/>
        <w:numPr>
          <w:ilvl w:val="0"/>
          <w:numId w:val="9"/>
        </w:numPr>
        <w:spacing w:line="276" w:lineRule="auto"/>
        <w:jc w:val="both"/>
        <w:rPr>
          <w:sz w:val="24"/>
          <w:szCs w:val="24"/>
        </w:rPr>
      </w:pPr>
      <w:r>
        <w:rPr>
          <w:sz w:val="24"/>
          <w:szCs w:val="24"/>
        </w:rPr>
        <w:t>Recientemente, e</w:t>
      </w:r>
      <w:r w:rsidR="007E7826" w:rsidRPr="001A38E0">
        <w:rPr>
          <w:sz w:val="24"/>
          <w:szCs w:val="24"/>
        </w:rPr>
        <w:t>l 15 de marzo del presente año 2015 nuevamente se dictó una Ley Habilitante denominada “</w:t>
      </w:r>
      <w:r w:rsidR="007E7826" w:rsidRPr="001A38E0">
        <w:rPr>
          <w:color w:val="000000"/>
          <w:sz w:val="24"/>
          <w:szCs w:val="24"/>
          <w:shd w:val="clear" w:color="auto" w:fill="FFFFFF"/>
        </w:rPr>
        <w:t>Ley que autoriza al Presidente de la República para dictar Decretos con Rango, Valor y Fuerza de Ley en las materias que se delegan para la Garantía Reforzada de los Derechos de Soberanía y Protección del Pueblo Venezolano y el Orden Constitucional de la República</w:t>
      </w:r>
      <w:r w:rsidR="007E7826" w:rsidRPr="001A38E0">
        <w:rPr>
          <w:rStyle w:val="apple-converted-space"/>
          <w:color w:val="000000"/>
          <w:sz w:val="24"/>
          <w:szCs w:val="24"/>
          <w:shd w:val="clear" w:color="auto" w:fill="FFFFFF"/>
        </w:rPr>
        <w:t>”</w:t>
      </w:r>
      <w:r w:rsidR="007E7826" w:rsidRPr="001A38E0">
        <w:rPr>
          <w:rStyle w:val="Refdenotaalpie"/>
          <w:color w:val="000000"/>
          <w:sz w:val="24"/>
          <w:szCs w:val="24"/>
          <w:shd w:val="clear" w:color="auto" w:fill="FFFFFF"/>
        </w:rPr>
        <w:footnoteReference w:id="19"/>
      </w:r>
      <w:r w:rsidR="007E7826" w:rsidRPr="001A38E0">
        <w:rPr>
          <w:rStyle w:val="apple-converted-space"/>
          <w:color w:val="000000"/>
          <w:sz w:val="24"/>
          <w:szCs w:val="24"/>
          <w:shd w:val="clear" w:color="auto" w:fill="FFFFFF"/>
        </w:rPr>
        <w:t>. En esta Ley se  autoriza nuevamente al Presidente. “</w:t>
      </w:r>
      <w:r w:rsidR="007E7826" w:rsidRPr="001A38E0">
        <w:rPr>
          <w:i/>
          <w:sz w:val="24"/>
          <w:szCs w:val="24"/>
        </w:rPr>
        <w:t xml:space="preserve">5. Normar las directrices dirigidas al fortalecimiento del sistema de </w:t>
      </w:r>
      <w:r w:rsidR="007E7826" w:rsidRPr="001A38E0">
        <w:rPr>
          <w:b/>
          <w:i/>
          <w:sz w:val="24"/>
          <w:szCs w:val="24"/>
        </w:rPr>
        <w:t>responsabilidades</w:t>
      </w:r>
      <w:r w:rsidR="007E7826" w:rsidRPr="001A38E0">
        <w:rPr>
          <w:i/>
          <w:sz w:val="24"/>
          <w:szCs w:val="24"/>
        </w:rPr>
        <w:t xml:space="preserve"> civiles, administrativas y </w:t>
      </w:r>
      <w:r w:rsidR="007E7826" w:rsidRPr="001A38E0">
        <w:rPr>
          <w:b/>
          <w:i/>
          <w:sz w:val="24"/>
          <w:szCs w:val="24"/>
        </w:rPr>
        <w:t>penales</w:t>
      </w:r>
      <w:r w:rsidR="007E7826" w:rsidRPr="001A38E0">
        <w:rPr>
          <w:i/>
          <w:sz w:val="24"/>
          <w:szCs w:val="24"/>
        </w:rPr>
        <w:t xml:space="preserve"> a que hubiere lugar en resguardo de los principios, valores y reglas constitucionales enunciados en esta Ley</w:t>
      </w:r>
      <w:r w:rsidR="007E7826" w:rsidRPr="001A38E0">
        <w:rPr>
          <w:sz w:val="24"/>
          <w:szCs w:val="24"/>
        </w:rPr>
        <w:t>.” (Resaltados añadidos).</w:t>
      </w:r>
    </w:p>
    <w:p w:rsidR="00BB3C1F" w:rsidRPr="001A38E0" w:rsidRDefault="00F66869" w:rsidP="005A0BE1">
      <w:pPr>
        <w:spacing w:line="276" w:lineRule="auto"/>
        <w:jc w:val="both"/>
        <w:rPr>
          <w:b/>
          <w:sz w:val="24"/>
          <w:szCs w:val="24"/>
        </w:rPr>
      </w:pPr>
      <w:r w:rsidRPr="007E7826">
        <w:rPr>
          <w:sz w:val="24"/>
          <w:szCs w:val="24"/>
        </w:rPr>
        <w:t xml:space="preserve"> </w:t>
      </w:r>
    </w:p>
    <w:p w:rsidR="007E7826" w:rsidRPr="007E7826" w:rsidRDefault="007E7826">
      <w:pPr>
        <w:spacing w:line="276" w:lineRule="auto"/>
        <w:jc w:val="both"/>
        <w:rPr>
          <w:b/>
          <w:sz w:val="24"/>
          <w:szCs w:val="24"/>
        </w:rPr>
      </w:pPr>
      <w:r w:rsidRPr="001A38E0">
        <w:rPr>
          <w:b/>
          <w:sz w:val="24"/>
          <w:szCs w:val="24"/>
        </w:rPr>
        <w:t>3. Conclusión</w:t>
      </w:r>
    </w:p>
    <w:p w:rsidR="00FD3B12" w:rsidRDefault="00FD3B12" w:rsidP="00A7131A">
      <w:pPr>
        <w:pStyle w:val="Prrafodelista"/>
        <w:shd w:val="clear" w:color="auto" w:fill="FFFFFF" w:themeFill="background1"/>
        <w:spacing w:line="276" w:lineRule="auto"/>
        <w:ind w:left="0" w:right="49"/>
        <w:contextualSpacing w:val="0"/>
        <w:jc w:val="both"/>
        <w:rPr>
          <w:sz w:val="24"/>
          <w:szCs w:val="24"/>
          <w:lang w:val="es-ES_tradnl"/>
        </w:rPr>
      </w:pPr>
    </w:p>
    <w:p w:rsidR="007E7826" w:rsidRDefault="007E7826" w:rsidP="00A7131A">
      <w:pPr>
        <w:pStyle w:val="Prrafodelista"/>
        <w:shd w:val="clear" w:color="auto" w:fill="FFFFFF" w:themeFill="background1"/>
        <w:spacing w:line="276" w:lineRule="auto"/>
        <w:ind w:left="0" w:right="49"/>
        <w:contextualSpacing w:val="0"/>
        <w:jc w:val="both"/>
        <w:rPr>
          <w:sz w:val="24"/>
          <w:szCs w:val="24"/>
          <w:lang w:val="es-ES_tradnl"/>
        </w:rPr>
      </w:pPr>
      <w:r w:rsidRPr="001A38E0">
        <w:rPr>
          <w:sz w:val="24"/>
          <w:szCs w:val="24"/>
          <w:lang w:val="es-ES_tradnl"/>
        </w:rPr>
        <w:t>Con relación a la violación del derecho y principio a la legalidad y reserva legal en materia penal por los actos del Estado que creen delitos y penas privativas de la libertad mediante otros actos distintos a la ley formal y material, el año 2013 y nuevamente en el año 2014, la CIDH ha manifestado su preocupación en torno a la aprobación de la Ley Habilitante, en particular, porque otorgaba “facultades al Presidente para legislar en materia de sanciones y delitos que son de exclusiva reserva legal parlamentaria”</w:t>
      </w:r>
      <w:r w:rsidRPr="001A38E0">
        <w:rPr>
          <w:rStyle w:val="Refdenotaalpie"/>
          <w:sz w:val="24"/>
          <w:szCs w:val="24"/>
        </w:rPr>
        <w:footnoteReference w:id="20"/>
      </w:r>
      <w:r w:rsidRPr="001A38E0">
        <w:rPr>
          <w:sz w:val="24"/>
          <w:szCs w:val="24"/>
          <w:lang w:val="es-ES_tradnl"/>
        </w:rPr>
        <w:t>.</w:t>
      </w:r>
    </w:p>
    <w:p w:rsidR="00FD3B12" w:rsidRPr="001A38E0" w:rsidRDefault="00FD3B12" w:rsidP="00A7131A">
      <w:pPr>
        <w:pStyle w:val="Prrafodelista"/>
        <w:shd w:val="clear" w:color="auto" w:fill="FFFFFF" w:themeFill="background1"/>
        <w:spacing w:line="276" w:lineRule="auto"/>
        <w:ind w:left="0" w:right="49"/>
        <w:contextualSpacing w:val="0"/>
        <w:jc w:val="both"/>
        <w:rPr>
          <w:b/>
          <w:bCs/>
          <w:color w:val="000000"/>
          <w:sz w:val="24"/>
          <w:szCs w:val="24"/>
          <w:lang w:val="es-VE"/>
        </w:rPr>
      </w:pPr>
    </w:p>
    <w:p w:rsidR="00FD3B12" w:rsidRDefault="007E7826" w:rsidP="00A7131A">
      <w:pPr>
        <w:spacing w:line="276" w:lineRule="auto"/>
        <w:jc w:val="both"/>
        <w:rPr>
          <w:noProof/>
          <w:snapToGrid w:val="0"/>
          <w:sz w:val="24"/>
          <w:szCs w:val="24"/>
          <w:lang w:val="es-ES_tradnl"/>
        </w:rPr>
      </w:pPr>
      <w:r w:rsidRPr="001A38E0">
        <w:rPr>
          <w:rStyle w:val="A8"/>
          <w:b w:val="0"/>
          <w:sz w:val="24"/>
          <w:szCs w:val="24"/>
        </w:rPr>
        <w:t>Cabe destacar que los delitos establecidos mediante est</w:t>
      </w:r>
      <w:r w:rsidR="000F237C">
        <w:rPr>
          <w:rStyle w:val="A8"/>
          <w:b w:val="0"/>
          <w:sz w:val="24"/>
          <w:szCs w:val="24"/>
        </w:rPr>
        <w:t>os decretos del Poder Ejecutivo</w:t>
      </w:r>
      <w:r w:rsidRPr="001A38E0">
        <w:rPr>
          <w:rStyle w:val="A8"/>
          <w:b w:val="0"/>
          <w:sz w:val="24"/>
          <w:szCs w:val="24"/>
        </w:rPr>
        <w:t xml:space="preserve"> son incompatibles con e</w:t>
      </w:r>
      <w:r w:rsidRPr="001A38E0">
        <w:rPr>
          <w:sz w:val="24"/>
          <w:szCs w:val="24"/>
          <w:lang w:val="es-ES_tradnl"/>
        </w:rPr>
        <w:t xml:space="preserve">l principio de legalidad. Este principio constituye un </w:t>
      </w:r>
      <w:r w:rsidRPr="001A38E0">
        <w:rPr>
          <w:noProof/>
          <w:snapToGrid w:val="0"/>
          <w:sz w:val="24"/>
          <w:szCs w:val="24"/>
          <w:lang w:val="es-ES_tradnl"/>
        </w:rPr>
        <w:t>pilar del derecho penal contemporáneo</w:t>
      </w:r>
      <w:r w:rsidRPr="001A38E0">
        <w:rPr>
          <w:rStyle w:val="Refdenotaalpie"/>
          <w:noProof/>
          <w:snapToGrid w:val="0"/>
          <w:sz w:val="24"/>
          <w:szCs w:val="24"/>
          <w:lang w:val="es-ES_tradnl"/>
        </w:rPr>
        <w:footnoteReference w:id="21"/>
      </w:r>
      <w:r w:rsidRPr="001A38E0">
        <w:rPr>
          <w:noProof/>
          <w:snapToGrid w:val="0"/>
          <w:sz w:val="24"/>
          <w:szCs w:val="24"/>
          <w:lang w:val="es-ES_tradnl"/>
        </w:rPr>
        <w:t xml:space="preserve">, y su naturaleza inderogable está consagrada explícitamente en el </w:t>
      </w:r>
      <w:r w:rsidRPr="001A38E0">
        <w:rPr>
          <w:noProof/>
          <w:snapToGrid w:val="0"/>
          <w:sz w:val="24"/>
          <w:szCs w:val="24"/>
          <w:lang w:val="es-ES_tradnl"/>
        </w:rPr>
        <w:lastRenderedPageBreak/>
        <w:t>Pacto y otros tratados de derechos humanos</w:t>
      </w:r>
      <w:r w:rsidRPr="001A38E0">
        <w:rPr>
          <w:rStyle w:val="Refdenotaalpie"/>
          <w:noProof/>
          <w:snapToGrid w:val="0"/>
          <w:sz w:val="24"/>
          <w:szCs w:val="24"/>
          <w:lang w:val="es-ES_tradnl"/>
        </w:rPr>
        <w:footnoteReference w:id="22"/>
      </w:r>
      <w:r w:rsidRPr="001A38E0">
        <w:rPr>
          <w:noProof/>
          <w:snapToGrid w:val="0"/>
          <w:sz w:val="24"/>
          <w:szCs w:val="24"/>
          <w:lang w:val="es-ES_tradnl"/>
        </w:rPr>
        <w:t xml:space="preserve"> y reafirmada por órganos internacionales de derechos humanos</w:t>
      </w:r>
      <w:r w:rsidRPr="001A38E0">
        <w:rPr>
          <w:rStyle w:val="Refdenotaalpie"/>
          <w:noProof/>
          <w:snapToGrid w:val="0"/>
          <w:sz w:val="24"/>
          <w:szCs w:val="24"/>
          <w:lang w:val="es-ES_tradnl"/>
        </w:rPr>
        <w:footnoteReference w:id="23"/>
      </w:r>
      <w:r w:rsidRPr="001A38E0">
        <w:rPr>
          <w:noProof/>
          <w:snapToGrid w:val="0"/>
          <w:sz w:val="24"/>
          <w:szCs w:val="24"/>
          <w:lang w:val="es-ES_tradnl"/>
        </w:rPr>
        <w:t xml:space="preserve">. </w:t>
      </w:r>
    </w:p>
    <w:p w:rsidR="005A0BE1" w:rsidRDefault="005A0BE1" w:rsidP="00A7131A">
      <w:pPr>
        <w:spacing w:line="276" w:lineRule="auto"/>
        <w:jc w:val="both"/>
        <w:rPr>
          <w:noProof/>
          <w:snapToGrid w:val="0"/>
          <w:sz w:val="24"/>
          <w:szCs w:val="24"/>
          <w:lang w:val="es-ES_tradnl"/>
        </w:rPr>
      </w:pPr>
    </w:p>
    <w:p w:rsidR="00FD3B12" w:rsidRDefault="007E7826" w:rsidP="00A7131A">
      <w:pPr>
        <w:spacing w:line="276" w:lineRule="auto"/>
        <w:jc w:val="both"/>
        <w:rPr>
          <w:sz w:val="24"/>
          <w:szCs w:val="24"/>
          <w:lang w:val="es-ES_tradnl"/>
        </w:rPr>
      </w:pPr>
      <w:r w:rsidRPr="001A38E0">
        <w:rPr>
          <w:noProof/>
          <w:snapToGrid w:val="0"/>
          <w:sz w:val="24"/>
          <w:szCs w:val="24"/>
          <w:lang w:val="es-ES_tradnl"/>
        </w:rPr>
        <w:t>Este principio</w:t>
      </w:r>
      <w:r w:rsidRPr="001A38E0">
        <w:rPr>
          <w:sz w:val="24"/>
          <w:szCs w:val="24"/>
          <w:lang w:val="es-ES_tradnl"/>
        </w:rPr>
        <w:t xml:space="preserve"> significa que las definiciones de infracciones penales deben ser precisas y desprovistas de todo equívoco y ambigüedad</w:t>
      </w:r>
      <w:r w:rsidRPr="001A38E0">
        <w:rPr>
          <w:rStyle w:val="Refdenotaalpie"/>
          <w:sz w:val="24"/>
          <w:szCs w:val="24"/>
          <w:lang w:val="es-ES_tradnl"/>
        </w:rPr>
        <w:footnoteReference w:id="24"/>
      </w:r>
      <w:r w:rsidRPr="001A38E0">
        <w:rPr>
          <w:sz w:val="24"/>
          <w:szCs w:val="24"/>
          <w:lang w:val="es-ES_tradnl"/>
        </w:rPr>
        <w:t>. Como lo señaló el Relator Especial sobre la Independencia de Jueces y Abogados, las definiciones legales vagas, nebulosas o imprecisas son contrarias al Derecho internacional de los Derechos Humanos y a las "condiciones generales prescritas por el Derecho Internacional"</w:t>
      </w:r>
      <w:r w:rsidRPr="001A38E0">
        <w:rPr>
          <w:rStyle w:val="Refdenotaalpie"/>
          <w:sz w:val="24"/>
          <w:szCs w:val="24"/>
          <w:lang w:val="es-ES_tradnl"/>
        </w:rPr>
        <w:footnoteReference w:id="25"/>
      </w:r>
      <w:r w:rsidRPr="001A38E0">
        <w:rPr>
          <w:sz w:val="24"/>
          <w:szCs w:val="24"/>
          <w:lang w:val="es-ES_tradnl"/>
        </w:rPr>
        <w:t xml:space="preserve">. Cuando estas definiciones permiten la criminalización de comportamientos legítimos bajo el Derecho Internacional de los Derechos Humanos, éstas transgreden el principio de legalidad. </w:t>
      </w:r>
    </w:p>
    <w:p w:rsidR="00FD3B12" w:rsidRDefault="00FD3B12" w:rsidP="00A7131A">
      <w:pPr>
        <w:spacing w:line="276" w:lineRule="auto"/>
        <w:jc w:val="both"/>
        <w:rPr>
          <w:sz w:val="24"/>
          <w:szCs w:val="24"/>
          <w:lang w:val="es-ES_tradnl"/>
        </w:rPr>
      </w:pPr>
    </w:p>
    <w:p w:rsidR="007E7826" w:rsidRPr="001A38E0" w:rsidRDefault="007E7826" w:rsidP="00A7131A">
      <w:pPr>
        <w:spacing w:line="276" w:lineRule="auto"/>
        <w:jc w:val="both"/>
        <w:rPr>
          <w:sz w:val="24"/>
          <w:szCs w:val="24"/>
        </w:rPr>
      </w:pPr>
      <w:r w:rsidRPr="001A38E0">
        <w:rPr>
          <w:sz w:val="24"/>
          <w:szCs w:val="24"/>
          <w:lang w:val="es-ES_tradnl"/>
        </w:rPr>
        <w:t xml:space="preserve">El Comité de Derechos Humanos ha recordado que </w:t>
      </w:r>
      <w:r w:rsidRPr="001A38E0">
        <w:rPr>
          <w:noProof/>
          <w:snapToGrid w:val="0"/>
          <w:color w:val="000000"/>
          <w:sz w:val="24"/>
          <w:szCs w:val="24"/>
          <w:lang w:val="es-ES_tradnl"/>
        </w:rPr>
        <w:t>considera que toda privación de libertad que intente castigar el ejercicio legítimo de un derecho o de una libertad fundamental es incompatible con el Pacto.</w:t>
      </w:r>
      <w:r w:rsidRPr="001A38E0">
        <w:rPr>
          <w:snapToGrid w:val="0"/>
          <w:color w:val="000000"/>
          <w:sz w:val="24"/>
          <w:szCs w:val="24"/>
        </w:rPr>
        <w:t xml:space="preserve"> </w:t>
      </w:r>
      <w:r w:rsidRPr="001A38E0">
        <w:rPr>
          <w:noProof/>
          <w:snapToGrid w:val="0"/>
          <w:color w:val="000000"/>
          <w:sz w:val="24"/>
          <w:szCs w:val="24"/>
          <w:lang w:val="es-ES_tradnl"/>
        </w:rPr>
        <w:t>En aquellos países donde determinadas formas de expresión o de oposición a la política del gobierno fueron tipificadas como delitos en el derecho penal, el Comité ha recomendado que dicha legislación penal sea revisada</w:t>
      </w:r>
      <w:r w:rsidRPr="001A38E0">
        <w:rPr>
          <w:rStyle w:val="Refdenotaalpie"/>
          <w:noProof/>
          <w:snapToGrid w:val="0"/>
          <w:color w:val="000000"/>
          <w:sz w:val="24"/>
          <w:szCs w:val="24"/>
          <w:lang w:val="es-ES_tradnl"/>
        </w:rPr>
        <w:footnoteReference w:id="26"/>
      </w:r>
      <w:r w:rsidRPr="001A38E0">
        <w:rPr>
          <w:noProof/>
          <w:snapToGrid w:val="0"/>
          <w:color w:val="000000"/>
          <w:sz w:val="24"/>
          <w:szCs w:val="24"/>
          <w:lang w:val="es-ES_tradnl"/>
        </w:rPr>
        <w:t>.</w:t>
      </w:r>
    </w:p>
    <w:p w:rsidR="007E7826" w:rsidRPr="001A38E0" w:rsidRDefault="007E7826" w:rsidP="00FD3B12">
      <w:pPr>
        <w:spacing w:line="276" w:lineRule="auto"/>
        <w:jc w:val="both"/>
        <w:rPr>
          <w:b/>
          <w:sz w:val="24"/>
          <w:szCs w:val="24"/>
        </w:rPr>
      </w:pPr>
    </w:p>
    <w:p w:rsidR="00BB3C1F" w:rsidRPr="007E7826" w:rsidRDefault="00BB3C1F">
      <w:pPr>
        <w:spacing w:line="276" w:lineRule="auto"/>
        <w:jc w:val="both"/>
        <w:rPr>
          <w:sz w:val="24"/>
          <w:szCs w:val="24"/>
        </w:rPr>
      </w:pPr>
    </w:p>
    <w:sectPr w:rsidR="00BB3C1F" w:rsidRPr="007E7826">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7CF" w:rsidRDefault="002417CF" w:rsidP="00682B02">
      <w:pPr>
        <w:spacing w:line="240" w:lineRule="auto"/>
      </w:pPr>
      <w:r>
        <w:separator/>
      </w:r>
    </w:p>
  </w:endnote>
  <w:endnote w:type="continuationSeparator" w:id="0">
    <w:p w:rsidR="002417CF" w:rsidRDefault="002417CF" w:rsidP="00682B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7CF" w:rsidRDefault="002417CF" w:rsidP="00682B02">
      <w:pPr>
        <w:spacing w:line="240" w:lineRule="auto"/>
      </w:pPr>
      <w:r>
        <w:separator/>
      </w:r>
    </w:p>
  </w:footnote>
  <w:footnote w:type="continuationSeparator" w:id="0">
    <w:p w:rsidR="002417CF" w:rsidRDefault="002417CF" w:rsidP="00682B02">
      <w:pPr>
        <w:spacing w:line="240" w:lineRule="auto"/>
      </w:pPr>
      <w:r>
        <w:continuationSeparator/>
      </w:r>
    </w:p>
  </w:footnote>
  <w:footnote w:id="1">
    <w:p w:rsidR="00E449DA" w:rsidRPr="007E7826" w:rsidRDefault="00E449DA" w:rsidP="000439AA">
      <w:pPr>
        <w:tabs>
          <w:tab w:val="left" w:pos="426"/>
        </w:tabs>
        <w:spacing w:line="240" w:lineRule="auto"/>
        <w:jc w:val="both"/>
      </w:pPr>
      <w:r w:rsidRPr="007E7826">
        <w:rPr>
          <w:rStyle w:val="Refdenotaalpie"/>
        </w:rPr>
        <w:footnoteRef/>
      </w:r>
      <w:proofErr w:type="spellStart"/>
      <w:r w:rsidRPr="007E7826">
        <w:rPr>
          <w:b/>
          <w:i/>
          <w:smallCaps/>
        </w:rPr>
        <w:t>Aequitas</w:t>
      </w:r>
      <w:proofErr w:type="spellEnd"/>
      <w:r w:rsidRPr="007E7826">
        <w:rPr>
          <w:b/>
          <w:smallCaps/>
        </w:rPr>
        <w:t xml:space="preserve"> </w:t>
      </w:r>
      <w:r w:rsidRPr="007E7826">
        <w:t xml:space="preserve">es una ONG creada con el objeto de promover los estudios y publicaciones jurídicas de temas relaciones con derechos humanos, estado de derecho y democracia. Constituida en Venezuela en el año 2003, debidamente inscrita en el Registro Público. Entre las actividades principales se encuentra la realización de seminarios y la publicación de libros relacionados con derechos humanos, tales como la libertad de expresión, la participación ciudadana y la independencia judicial. </w:t>
      </w:r>
    </w:p>
    <w:p w:rsidR="00E449DA" w:rsidRPr="007E7826" w:rsidRDefault="00E449DA" w:rsidP="001A38E0">
      <w:pPr>
        <w:pStyle w:val="Textonotapie"/>
        <w:jc w:val="both"/>
      </w:pPr>
    </w:p>
  </w:footnote>
  <w:footnote w:id="2">
    <w:p w:rsidR="006246D0" w:rsidRPr="001A38E0" w:rsidRDefault="006246D0" w:rsidP="006246D0">
      <w:pPr>
        <w:spacing w:line="240" w:lineRule="auto"/>
        <w:jc w:val="both"/>
      </w:pPr>
      <w:r w:rsidRPr="001A38E0">
        <w:rPr>
          <w:rStyle w:val="Refdenotaalpie"/>
        </w:rPr>
        <w:footnoteRef/>
      </w:r>
      <w:r w:rsidRPr="001A38E0">
        <w:t xml:space="preserve"> Constitución de la República Bolivariana de Venezuela: “Artículo 203. Son leyes habilitantes las sancionadas por la Asamblea Nacional por las tres quintas partes de sus integrantes, a fin de establecer las directrices, propósitos y marco de las materias que se delegan al Presidente o Presidenta de la República, con rango y valor de ley. Las leyes habilitantes deben fijar el plazo de su ejercicio.”</w:t>
      </w:r>
    </w:p>
  </w:footnote>
  <w:footnote w:id="3">
    <w:p w:rsidR="00367156" w:rsidRPr="007E7826" w:rsidRDefault="00E449DA" w:rsidP="000439AA">
      <w:pPr>
        <w:pStyle w:val="Textonotapie"/>
        <w:jc w:val="both"/>
      </w:pPr>
      <w:r w:rsidRPr="007E7826">
        <w:rPr>
          <w:rStyle w:val="Refdenotaalpie"/>
        </w:rPr>
        <w:footnoteRef/>
      </w:r>
      <w:r w:rsidR="00367156" w:rsidRPr="007E7826">
        <w:rPr>
          <w:rStyle w:val="Refdenotaalpie"/>
        </w:rPr>
        <w:footnoteRef/>
      </w:r>
      <w:r w:rsidR="00367156" w:rsidRPr="007E7826">
        <w:t xml:space="preserve"> El párrafo 3 señalaba: “</w:t>
      </w:r>
      <w:r w:rsidR="00367156" w:rsidRPr="007E7826">
        <w:rPr>
          <w:i/>
        </w:rPr>
        <w:t>Sírvanse explicar si existen límites constitucionales y legales para la dictación de estas leyes habilitantes; cuál es la forma de control del ejercicio de esta función; si esta disposición ya se ha empleado; y, en caso afirmativo, si la ley habilitante permite la dictación de decretos en materias que afecten a los derechos humanos</w:t>
      </w:r>
      <w:r w:rsidR="00367156" w:rsidRPr="007E7826">
        <w:t>.”</w:t>
      </w:r>
    </w:p>
  </w:footnote>
  <w:footnote w:id="4">
    <w:p w:rsidR="00671FC0" w:rsidRPr="001A38E0" w:rsidRDefault="00671FC0" w:rsidP="000439AA">
      <w:pPr>
        <w:pStyle w:val="Ttulo3"/>
        <w:shd w:val="clear" w:color="auto" w:fill="FFFFFF"/>
        <w:spacing w:before="0" w:beforeAutospacing="0" w:after="0" w:afterAutospacing="0" w:line="276" w:lineRule="auto"/>
        <w:jc w:val="both"/>
        <w:rPr>
          <w:sz w:val="20"/>
          <w:szCs w:val="20"/>
          <w:lang w:val="en-US"/>
        </w:rPr>
      </w:pPr>
      <w:r w:rsidRPr="001A38E0">
        <w:rPr>
          <w:rStyle w:val="Refdenotaalpie"/>
          <w:sz w:val="20"/>
          <w:szCs w:val="20"/>
        </w:rPr>
        <w:footnoteRef/>
      </w:r>
      <w:r w:rsidRPr="001A38E0">
        <w:rPr>
          <w:sz w:val="20"/>
          <w:szCs w:val="20"/>
        </w:rPr>
        <w:t xml:space="preserve"> </w:t>
      </w:r>
      <w:r w:rsidR="005A0BE1" w:rsidRPr="007E7826">
        <w:rPr>
          <w:b w:val="0"/>
          <w:sz w:val="20"/>
          <w:szCs w:val="20"/>
        </w:rPr>
        <w:t>Comité</w:t>
      </w:r>
      <w:r w:rsidRPr="007E7826">
        <w:rPr>
          <w:b w:val="0"/>
          <w:sz w:val="20"/>
          <w:szCs w:val="20"/>
        </w:rPr>
        <w:t xml:space="preserve"> de Derechos Humanos, </w:t>
      </w:r>
      <w:r w:rsidRPr="007E7826">
        <w:rPr>
          <w:b w:val="0"/>
          <w:i/>
          <w:sz w:val="20"/>
          <w:szCs w:val="20"/>
        </w:rPr>
        <w:t>Caso Nicholas vs. Australia</w:t>
      </w:r>
      <w:r w:rsidRPr="007E7826">
        <w:rPr>
          <w:b w:val="0"/>
          <w:sz w:val="20"/>
          <w:szCs w:val="20"/>
        </w:rPr>
        <w:t xml:space="preserve">, </w:t>
      </w:r>
      <w:r w:rsidR="00FD3B12" w:rsidRPr="007E7826">
        <w:rPr>
          <w:rStyle w:val="Textoennegrita"/>
          <w:color w:val="000000"/>
          <w:sz w:val="20"/>
          <w:szCs w:val="20"/>
          <w:shd w:val="clear" w:color="auto" w:fill="FFFFFF"/>
        </w:rPr>
        <w:t>Comunicación</w:t>
      </w:r>
      <w:r w:rsidRPr="007E7826">
        <w:rPr>
          <w:rStyle w:val="Textoennegrita"/>
          <w:color w:val="000000"/>
          <w:sz w:val="20"/>
          <w:szCs w:val="20"/>
          <w:shd w:val="clear" w:color="auto" w:fill="FFFFFF"/>
        </w:rPr>
        <w:t xml:space="preserve"> No. 1080/2002, </w:t>
      </w:r>
      <w:proofErr w:type="spellStart"/>
      <w:r w:rsidRPr="007E7826">
        <w:rPr>
          <w:rStyle w:val="Textoennegrita"/>
          <w:color w:val="000000"/>
          <w:sz w:val="20"/>
          <w:szCs w:val="20"/>
          <w:shd w:val="clear" w:color="auto" w:fill="FFFFFF"/>
        </w:rPr>
        <w:t>parraf</w:t>
      </w:r>
      <w:proofErr w:type="spellEnd"/>
      <w:r w:rsidRPr="007E7826">
        <w:rPr>
          <w:rStyle w:val="Textoennegrita"/>
          <w:color w:val="000000"/>
          <w:sz w:val="20"/>
          <w:szCs w:val="20"/>
          <w:shd w:val="clear" w:color="auto" w:fill="FFFFFF"/>
        </w:rPr>
        <w:t xml:space="preserve">. </w:t>
      </w:r>
      <w:r w:rsidRPr="007E7826">
        <w:rPr>
          <w:rStyle w:val="Textoennegrita"/>
          <w:color w:val="000000"/>
          <w:sz w:val="20"/>
          <w:szCs w:val="20"/>
          <w:shd w:val="clear" w:color="auto" w:fill="FFFFFF"/>
          <w:lang w:val="en-US"/>
        </w:rPr>
        <w:t xml:space="preserve">7.5 </w:t>
      </w:r>
      <w:proofErr w:type="spellStart"/>
      <w:r w:rsidRPr="007E7826">
        <w:rPr>
          <w:rStyle w:val="Textoennegrita"/>
          <w:color w:val="000000"/>
          <w:sz w:val="20"/>
          <w:szCs w:val="20"/>
          <w:shd w:val="clear" w:color="auto" w:fill="FFFFFF"/>
          <w:lang w:val="en-US"/>
        </w:rPr>
        <w:t>T</w:t>
      </w:r>
      <w:r w:rsidRPr="007E7826">
        <w:rPr>
          <w:b w:val="0"/>
          <w:sz w:val="20"/>
          <w:szCs w:val="20"/>
          <w:lang w:val="en-US"/>
        </w:rPr>
        <w:t>raducción</w:t>
      </w:r>
      <w:proofErr w:type="spellEnd"/>
      <w:r w:rsidRPr="007E7826">
        <w:rPr>
          <w:b w:val="0"/>
          <w:sz w:val="20"/>
          <w:szCs w:val="20"/>
          <w:lang w:val="en-US"/>
        </w:rPr>
        <w:t xml:space="preserve"> </w:t>
      </w:r>
      <w:proofErr w:type="spellStart"/>
      <w:r w:rsidRPr="007E7826">
        <w:rPr>
          <w:b w:val="0"/>
          <w:sz w:val="20"/>
          <w:szCs w:val="20"/>
          <w:lang w:val="en-US"/>
        </w:rPr>
        <w:t>libre</w:t>
      </w:r>
      <w:proofErr w:type="spellEnd"/>
      <w:r w:rsidRPr="007E7826">
        <w:rPr>
          <w:b w:val="0"/>
          <w:sz w:val="20"/>
          <w:szCs w:val="20"/>
          <w:lang w:val="en-US"/>
        </w:rPr>
        <w:t xml:space="preserve">: </w:t>
      </w:r>
      <w:r w:rsidRPr="007E7826">
        <w:rPr>
          <w:b w:val="0"/>
          <w:color w:val="000000"/>
          <w:sz w:val="20"/>
          <w:szCs w:val="20"/>
          <w:shd w:val="clear" w:color="auto" w:fill="FFFFFF"/>
          <w:lang w:val="en-US"/>
        </w:rPr>
        <w:t xml:space="preserve">the Committee observes that article 15, paragraph 1, </w:t>
      </w:r>
      <w:proofErr w:type="gramStart"/>
      <w:r w:rsidRPr="007E7826">
        <w:rPr>
          <w:b w:val="0"/>
          <w:color w:val="000000"/>
          <w:sz w:val="20"/>
          <w:szCs w:val="20"/>
          <w:shd w:val="clear" w:color="auto" w:fill="FFFFFF"/>
          <w:lang w:val="en-US"/>
        </w:rPr>
        <w:t>requires</w:t>
      </w:r>
      <w:proofErr w:type="gramEnd"/>
      <w:r w:rsidRPr="007E7826">
        <w:rPr>
          <w:b w:val="0"/>
          <w:color w:val="000000"/>
          <w:sz w:val="20"/>
          <w:szCs w:val="20"/>
          <w:shd w:val="clear" w:color="auto" w:fill="FFFFFF"/>
          <w:lang w:val="en-US"/>
        </w:rPr>
        <w:t xml:space="preserve"> any "act or omission" for which an individual is convicted to constitute a "criminal offence".</w:t>
      </w:r>
    </w:p>
  </w:footnote>
  <w:footnote w:id="5">
    <w:p w:rsidR="00702D37" w:rsidRPr="007E7826" w:rsidRDefault="00702D37" w:rsidP="007E7826">
      <w:pPr>
        <w:pStyle w:val="Textonotapie"/>
        <w:jc w:val="both"/>
        <w:rPr>
          <w:lang w:val="es-VE"/>
        </w:rPr>
      </w:pPr>
      <w:r w:rsidRPr="007E7826">
        <w:rPr>
          <w:rStyle w:val="Refdenotaalpie"/>
        </w:rPr>
        <w:footnoteRef/>
      </w:r>
      <w:r w:rsidRPr="007E7826">
        <w:t xml:space="preserve"> Corte Interamericana De Derechos Humanos</w:t>
      </w:r>
      <w:r w:rsidR="00FD3B12">
        <w:t>,</w:t>
      </w:r>
      <w:r w:rsidRPr="007E7826">
        <w:t xml:space="preserve"> Opinión Consultiva </w:t>
      </w:r>
      <w:r w:rsidR="00FD3B12" w:rsidRPr="007E7826">
        <w:t>O</w:t>
      </w:r>
      <w:r w:rsidR="00FD3B12">
        <w:t>C</w:t>
      </w:r>
      <w:r w:rsidRPr="007E7826">
        <w:t xml:space="preserve">-6/86 del 9 de Mayo de 1986, La Expresión "Leyes" en el Artículo 30 de la Convención Americana sobre Derechos Humanos disponible en: </w:t>
      </w:r>
      <w:hyperlink r:id="rId1" w:history="1">
        <w:r w:rsidRPr="007E7826">
          <w:rPr>
            <w:rStyle w:val="Hipervnculo"/>
          </w:rPr>
          <w:t>http://www.corteidh.or.cr/docs/opiniones/seriea_06_esp.pdf</w:t>
        </w:r>
      </w:hyperlink>
      <w:r w:rsidRPr="007E7826">
        <w:t xml:space="preserve"> </w:t>
      </w:r>
    </w:p>
  </w:footnote>
  <w:footnote w:id="6">
    <w:p w:rsidR="00FD3B12" w:rsidRPr="00A7131A" w:rsidRDefault="00FD3B12" w:rsidP="00FD3B12">
      <w:pPr>
        <w:spacing w:line="240" w:lineRule="auto"/>
        <w:jc w:val="both"/>
      </w:pPr>
      <w:r w:rsidRPr="00FD3B12">
        <w:rPr>
          <w:rStyle w:val="Refdenotaalpie"/>
        </w:rPr>
        <w:footnoteRef/>
      </w:r>
      <w:r w:rsidRPr="00FD3B12">
        <w:t xml:space="preserve"> </w:t>
      </w:r>
      <w:proofErr w:type="spellStart"/>
      <w:r w:rsidRPr="00A7131A">
        <w:t>CorteIDH</w:t>
      </w:r>
      <w:proofErr w:type="spellEnd"/>
      <w:r w:rsidRPr="00A7131A">
        <w:t xml:space="preserve">, Caso </w:t>
      </w:r>
      <w:r w:rsidRPr="00A7131A">
        <w:rPr>
          <w:i/>
        </w:rPr>
        <w:t>Baena Ricardo y otros vs. Panamá</w:t>
      </w:r>
      <w:r w:rsidRPr="00A7131A">
        <w:t>; sentencia de</w:t>
      </w:r>
      <w:r>
        <w:t>l</w:t>
      </w:r>
      <w:r w:rsidRPr="00A7131A">
        <w:t xml:space="preserve"> 2 de febrero de 2001; Fondo, Reparaciones y Costas</w:t>
      </w:r>
      <w:r>
        <w:t>, párrafo</w:t>
      </w:r>
      <w:r w:rsidRPr="00A7131A">
        <w:t xml:space="preserve"> </w:t>
      </w:r>
      <w:r>
        <w:t xml:space="preserve">107. </w:t>
      </w:r>
    </w:p>
    <w:p w:rsidR="00FD3B12" w:rsidRDefault="00FD3B12" w:rsidP="00FD3B12">
      <w:pPr>
        <w:pStyle w:val="Textonotapie"/>
      </w:pPr>
    </w:p>
  </w:footnote>
  <w:footnote w:id="7">
    <w:p w:rsidR="00D454DD" w:rsidRPr="007E7826" w:rsidRDefault="00D454DD" w:rsidP="007E7826">
      <w:pPr>
        <w:pStyle w:val="Textonotapie"/>
        <w:jc w:val="both"/>
      </w:pPr>
      <w:r w:rsidRPr="007E7826">
        <w:rPr>
          <w:rStyle w:val="Refdenotaalpie"/>
        </w:rPr>
        <w:footnoteRef/>
      </w:r>
      <w:r w:rsidRPr="007E7826">
        <w:t xml:space="preserve"> Artículo 236 numeral 8 de la Constitución de la </w:t>
      </w:r>
      <w:r w:rsidR="00E765B1" w:rsidRPr="007E7826">
        <w:t>República</w:t>
      </w:r>
      <w:r w:rsidRPr="007E7826">
        <w:t xml:space="preserve"> Bolivariana de Venezuela: “ </w:t>
      </w:r>
      <w:r w:rsidRPr="007E7826">
        <w:rPr>
          <w:i/>
        </w:rPr>
        <w:t>son atribuciones y obligaciones del Presidente o Presidenta de la República: 8. Dictar previa autorización por una ley habilitante, decretos con fuerza de ley</w:t>
      </w:r>
      <w:r w:rsidRPr="007E7826">
        <w:t xml:space="preserve">” disponible en: </w:t>
      </w:r>
      <w:hyperlink r:id="rId2" w:anchor="cap2" w:history="1">
        <w:r w:rsidRPr="007E7826">
          <w:rPr>
            <w:rStyle w:val="Hipervnculo"/>
          </w:rPr>
          <w:t>http://www.cne.gob.ve/web/normativa_electoral/constitucion/titulo5.php#cap2</w:t>
        </w:r>
      </w:hyperlink>
      <w:r w:rsidRPr="007E7826">
        <w:t xml:space="preserve"> </w:t>
      </w:r>
    </w:p>
  </w:footnote>
  <w:footnote w:id="8">
    <w:p w:rsidR="000439AA" w:rsidRPr="001A38E0" w:rsidRDefault="000439AA" w:rsidP="007E7826">
      <w:pPr>
        <w:pStyle w:val="Textonotapie"/>
        <w:jc w:val="both"/>
      </w:pPr>
      <w:r w:rsidRPr="001A38E0">
        <w:rPr>
          <w:rStyle w:val="Refdenotaalpie"/>
        </w:rPr>
        <w:footnoteRef/>
      </w:r>
      <w:r w:rsidRPr="001A38E0">
        <w:t xml:space="preserve"> Ley que autoriza al Presidente de la República para dictar Decretos con Fuerza de Ley en las Materias que se Delegan, </w:t>
      </w:r>
      <w:r w:rsidR="00CD016D" w:rsidRPr="001A38E0">
        <w:t>Gaceta Oficial de la República Bolivariana de Venezuela N° 37.076</w:t>
      </w:r>
      <w:r w:rsidR="00CD016D">
        <w:t xml:space="preserve">, 13 de noviembre 2000, </w:t>
      </w:r>
      <w:r w:rsidR="00CD016D" w:rsidRPr="001A38E0">
        <w:t xml:space="preserve"> </w:t>
      </w:r>
      <w:r w:rsidRPr="001A38E0">
        <w:t xml:space="preserve">disponible en: </w:t>
      </w:r>
      <w:hyperlink r:id="rId3" w:history="1">
        <w:r w:rsidRPr="001A38E0">
          <w:t>http://historico.tsj.gob.ve/gaceta/noviembre/131100/131100-37076-01.html</w:t>
        </w:r>
      </w:hyperlink>
      <w:r w:rsidR="00CD016D">
        <w:t xml:space="preserve"> </w:t>
      </w:r>
      <w:r w:rsidRPr="001A38E0">
        <w:t xml:space="preserve"> </w:t>
      </w:r>
      <w:r w:rsidR="00CD016D">
        <w:t xml:space="preserve"> </w:t>
      </w:r>
    </w:p>
  </w:footnote>
  <w:footnote w:id="9">
    <w:p w:rsidR="000439AA" w:rsidRPr="001A38E0" w:rsidRDefault="000439AA" w:rsidP="007E7826">
      <w:pPr>
        <w:pStyle w:val="Textonotapie"/>
        <w:jc w:val="both"/>
      </w:pPr>
      <w:r w:rsidRPr="001A38E0">
        <w:rPr>
          <w:rStyle w:val="Refdenotaalpie"/>
        </w:rPr>
        <w:footnoteRef/>
      </w:r>
      <w:r w:rsidR="008B54EA">
        <w:t xml:space="preserve"> </w:t>
      </w:r>
      <w:r w:rsidR="008B54EA" w:rsidRPr="001A38E0">
        <w:t>Decreto Nro. 1526</w:t>
      </w:r>
      <w:r w:rsidRPr="001A38E0">
        <w:t xml:space="preserve"> </w:t>
      </w:r>
      <w:r w:rsidR="008B54EA">
        <w:t xml:space="preserve">mediante la cual se dicta la </w:t>
      </w:r>
      <w:r w:rsidRPr="001A38E0">
        <w:t>Ley General De Bancos Y O</w:t>
      </w:r>
      <w:r w:rsidR="00767D00">
        <w:t>tras Instituciones Financieras</w:t>
      </w:r>
      <w:r w:rsidRPr="001A38E0">
        <w:t>, 3 de noviembre de 2001, disponible en: http://www.bcv.org.ve/c3/leybancos.pdf</w:t>
      </w:r>
    </w:p>
  </w:footnote>
  <w:footnote w:id="10">
    <w:p w:rsidR="000439AA" w:rsidRPr="001A38E0" w:rsidRDefault="000439AA" w:rsidP="007E7826">
      <w:pPr>
        <w:pStyle w:val="Textonotapie"/>
        <w:jc w:val="both"/>
      </w:pPr>
      <w:r w:rsidRPr="001A38E0">
        <w:rPr>
          <w:rStyle w:val="Refdenotaalpie"/>
        </w:rPr>
        <w:footnoteRef/>
      </w:r>
      <w:r w:rsidRPr="001A38E0">
        <w:t xml:space="preserve"> Las penas se encontrarán en paréntesis de la mención de cada delito. </w:t>
      </w:r>
    </w:p>
  </w:footnote>
  <w:footnote w:id="11">
    <w:p w:rsidR="000439AA" w:rsidRPr="001A38E0" w:rsidRDefault="000439AA" w:rsidP="000439AA">
      <w:pPr>
        <w:pStyle w:val="Textonotapie"/>
        <w:jc w:val="both"/>
        <w:rPr>
          <w:lang w:val="es-ES_tradnl"/>
        </w:rPr>
      </w:pPr>
      <w:r w:rsidRPr="001A38E0">
        <w:rPr>
          <w:rStyle w:val="Refdenotaalpie"/>
        </w:rPr>
        <w:footnoteRef/>
      </w:r>
      <w:r w:rsidRPr="001A38E0">
        <w:t xml:space="preserve"> </w:t>
      </w:r>
      <w:r w:rsidR="00CD016D" w:rsidRPr="00CD016D">
        <w:rPr>
          <w:lang w:val="es-ES_tradnl"/>
        </w:rPr>
        <w:t xml:space="preserve">Ley que Autoriza al Presidente a dictar Decretos con Rango, Valor y Fuerza de Ley en las Materias que se le Delegan, </w:t>
      </w:r>
      <w:r w:rsidRPr="00CD016D">
        <w:rPr>
          <w:lang w:val="es-ES_tradnl"/>
        </w:rPr>
        <w:t xml:space="preserve">Gaceta Oficial No. 6.009 Extraordinario de 17 de diciembre de 2010, </w:t>
      </w:r>
      <w:r w:rsidR="00362055" w:rsidRPr="00CD016D">
        <w:rPr>
          <w:lang w:val="es-ES_tradnl"/>
        </w:rPr>
        <w:t>disponible e</w:t>
      </w:r>
      <w:r w:rsidR="00362055">
        <w:rPr>
          <w:lang w:val="es-ES_tradnl"/>
        </w:rPr>
        <w:t xml:space="preserve">n: </w:t>
      </w:r>
      <w:hyperlink r:id="rId4" w:anchor="page=1" w:history="1">
        <w:r w:rsidR="00362055" w:rsidRPr="00AF1858">
          <w:rPr>
            <w:rStyle w:val="Hipervnculo"/>
            <w:lang w:val="es-ES_tradnl"/>
          </w:rPr>
          <w:t>http://historico.tsj.gov.ve/gaceta/diciembre/17122010/17122010-3028.pdf#page=1</w:t>
        </w:r>
      </w:hyperlink>
      <w:r w:rsidR="00362055">
        <w:rPr>
          <w:lang w:val="es-ES_tradnl"/>
        </w:rPr>
        <w:t xml:space="preserve"> </w:t>
      </w:r>
    </w:p>
  </w:footnote>
  <w:footnote w:id="12">
    <w:p w:rsidR="000439AA" w:rsidRPr="00BD141E" w:rsidRDefault="000439AA" w:rsidP="000439AA">
      <w:pPr>
        <w:pStyle w:val="Textonotapie"/>
        <w:jc w:val="both"/>
        <w:rPr>
          <w:lang w:val="es-ES_tradnl"/>
        </w:rPr>
      </w:pPr>
      <w:r w:rsidRPr="00BD141E">
        <w:rPr>
          <w:rStyle w:val="Refdenotaalpie"/>
        </w:rPr>
        <w:footnoteRef/>
      </w:r>
      <w:r w:rsidRPr="00BD141E">
        <w:t xml:space="preserve"> </w:t>
      </w:r>
      <w:r w:rsidR="00BD141E" w:rsidRPr="00BD141E">
        <w:rPr>
          <w:color w:val="262626"/>
          <w:lang w:val="es-ES_tradnl"/>
        </w:rPr>
        <w:t xml:space="preserve">Decreto </w:t>
      </w:r>
      <w:r w:rsidR="00BD141E" w:rsidRPr="00BD141E">
        <w:rPr>
          <w:color w:val="262626"/>
        </w:rPr>
        <w:t xml:space="preserve">N° 8.079 </w:t>
      </w:r>
      <w:r w:rsidR="00BD141E" w:rsidRPr="00BD141E">
        <w:rPr>
          <w:color w:val="262626"/>
          <w:lang w:val="es-ES_tradnl"/>
        </w:rPr>
        <w:t xml:space="preserve">con Rango, Valor y Fuerza de Ley de </w:t>
      </w:r>
      <w:r w:rsidR="00BD141E" w:rsidRPr="00BD141E">
        <w:rPr>
          <w:lang w:val="es-ES_tradnl"/>
        </w:rPr>
        <w:t>Reforma Parcial de la Ley de Instituciones del Sector Bancario</w:t>
      </w:r>
      <w:r w:rsidR="00BD141E" w:rsidRPr="00BD141E">
        <w:rPr>
          <w:color w:val="262626"/>
        </w:rPr>
        <w:t xml:space="preserve">, </w:t>
      </w:r>
      <w:r w:rsidRPr="00BD141E">
        <w:rPr>
          <w:color w:val="262626"/>
        </w:rPr>
        <w:t xml:space="preserve">Gaceta Oficial No. 39.527 de 2 de marzo de 2011, </w:t>
      </w:r>
      <w:r w:rsidR="00362055" w:rsidRPr="00BD141E">
        <w:rPr>
          <w:color w:val="262626"/>
        </w:rPr>
        <w:t xml:space="preserve">disponible </w:t>
      </w:r>
      <w:r w:rsidRPr="00BD141E">
        <w:rPr>
          <w:color w:val="262626"/>
        </w:rPr>
        <w:t xml:space="preserve">en </w:t>
      </w:r>
      <w:hyperlink r:id="rId5" w:anchor="page=2" w:history="1">
        <w:r w:rsidR="00362055" w:rsidRPr="00BD141E">
          <w:rPr>
            <w:rStyle w:val="Hipervnculo"/>
          </w:rPr>
          <w:t>http://historico.tsj.gov.ve/gaceta/marzo/232011/232011-3087.pdf#page=2</w:t>
        </w:r>
      </w:hyperlink>
      <w:r w:rsidR="00362055" w:rsidRPr="00BD141E">
        <w:rPr>
          <w:color w:val="262626"/>
        </w:rPr>
        <w:t xml:space="preserve"> </w:t>
      </w:r>
      <w:r w:rsidRPr="00BD141E">
        <w:rPr>
          <w:color w:val="262626"/>
        </w:rPr>
        <w:t xml:space="preserve"> </w:t>
      </w:r>
    </w:p>
  </w:footnote>
  <w:footnote w:id="13">
    <w:p w:rsidR="007E7826" w:rsidRPr="001A38E0" w:rsidRDefault="007E7826" w:rsidP="007E7826">
      <w:pPr>
        <w:pStyle w:val="Textonotapie"/>
        <w:jc w:val="both"/>
      </w:pPr>
      <w:r w:rsidRPr="00BD141E">
        <w:rPr>
          <w:rStyle w:val="Refdenotaalpie"/>
        </w:rPr>
        <w:footnoteRef/>
      </w:r>
      <w:r w:rsidRPr="00BD141E">
        <w:t xml:space="preserve">  </w:t>
      </w:r>
      <w:r w:rsidR="00BD141E" w:rsidRPr="00BD141E">
        <w:t>Ley que autoriza al presidente a</w:t>
      </w:r>
      <w:r w:rsidR="00BD141E" w:rsidRPr="001A38E0">
        <w:t xml:space="preserve"> dictar Decretos con Rango, Valor y Fuerza de Ley</w:t>
      </w:r>
      <w:r w:rsidR="00BD141E">
        <w:t xml:space="preserve">, </w:t>
      </w:r>
      <w:r w:rsidRPr="00BD141E">
        <w:t>Gaceta Oficial Nro. 6112 Extraordinario de</w:t>
      </w:r>
      <w:r w:rsidR="00BD141E">
        <w:t>l 19 de noviembre de 2013</w:t>
      </w:r>
      <w:r w:rsidRPr="001A38E0">
        <w:t xml:space="preserve">, disponible en: </w:t>
      </w:r>
      <w:hyperlink r:id="rId6" w:anchor="page=1" w:history="1">
        <w:r w:rsidRPr="001A38E0">
          <w:rPr>
            <w:rStyle w:val="Hipervnculo"/>
            <w:bCs/>
            <w:shd w:val="clear" w:color="auto" w:fill="FFFFFF"/>
          </w:rPr>
          <w:t>http://historico.tsj.gob.ve/gaceta_ext/noviembre/19112013/E-19112013-3843.pdf#page=1</w:t>
        </w:r>
      </w:hyperlink>
      <w:r w:rsidRPr="001A38E0">
        <w:rPr>
          <w:bCs/>
          <w:shd w:val="clear" w:color="auto" w:fill="FFFFFF"/>
        </w:rPr>
        <w:t xml:space="preserve"> </w:t>
      </w:r>
    </w:p>
  </w:footnote>
  <w:footnote w:id="14">
    <w:p w:rsidR="00F66869" w:rsidRPr="000F237C" w:rsidRDefault="00F66869" w:rsidP="000439AA">
      <w:pPr>
        <w:pStyle w:val="Textonotapie"/>
        <w:jc w:val="both"/>
      </w:pPr>
      <w:r w:rsidRPr="007E7826">
        <w:rPr>
          <w:rStyle w:val="Refdenotaalpie"/>
        </w:rPr>
        <w:footnoteRef/>
      </w:r>
      <w:r w:rsidRPr="007E7826">
        <w:t xml:space="preserve"> Decreto Nro. 1.434 mediante el cual se dicta el Decreto con Rang</w:t>
      </w:r>
      <w:r w:rsidRPr="000F237C">
        <w:t>o Valor y Fuerza de Ley del Código</w:t>
      </w:r>
      <w:r w:rsidRPr="007E7826">
        <w:t xml:space="preserve"> Orgánico Tributario,</w:t>
      </w:r>
      <w:r w:rsidR="00E82CE0">
        <w:t xml:space="preserve"> </w:t>
      </w:r>
      <w:r w:rsidR="00E82CE0" w:rsidRPr="001A38E0">
        <w:rPr>
          <w:color w:val="262626"/>
        </w:rPr>
        <w:t xml:space="preserve">Gaceta Oficial </w:t>
      </w:r>
      <w:r w:rsidR="00E82CE0">
        <w:rPr>
          <w:color w:val="262626"/>
        </w:rPr>
        <w:t xml:space="preserve">Extraordinaria </w:t>
      </w:r>
      <w:r w:rsidR="00E82CE0" w:rsidRPr="001A38E0">
        <w:rPr>
          <w:color w:val="262626"/>
        </w:rPr>
        <w:t xml:space="preserve">No. </w:t>
      </w:r>
      <w:r w:rsidR="00E82CE0">
        <w:rPr>
          <w:color w:val="262626"/>
        </w:rPr>
        <w:t>6152,</w:t>
      </w:r>
      <w:r w:rsidR="00E82CE0" w:rsidRPr="001A38E0">
        <w:rPr>
          <w:color w:val="262626"/>
        </w:rPr>
        <w:t xml:space="preserve"> de </w:t>
      </w:r>
      <w:r w:rsidR="00E82CE0">
        <w:rPr>
          <w:color w:val="262626"/>
        </w:rPr>
        <w:t>18</w:t>
      </w:r>
      <w:r w:rsidR="00E82CE0" w:rsidRPr="001A38E0">
        <w:rPr>
          <w:color w:val="262626"/>
        </w:rPr>
        <w:t xml:space="preserve"> de </w:t>
      </w:r>
      <w:r w:rsidR="00E82CE0">
        <w:rPr>
          <w:color w:val="262626"/>
        </w:rPr>
        <w:t>noviembre de 2014</w:t>
      </w:r>
      <w:r w:rsidR="00E82CE0">
        <w:t xml:space="preserve">, </w:t>
      </w:r>
      <w:r w:rsidRPr="007E7826">
        <w:t xml:space="preserve">disponible en: </w:t>
      </w:r>
      <w:hyperlink r:id="rId7" w:anchor="page=1" w:history="1">
        <w:r w:rsidRPr="000F237C">
          <w:rPr>
            <w:rStyle w:val="Hipervnculo"/>
            <w:bCs/>
            <w:shd w:val="clear" w:color="auto" w:fill="FFFFFF"/>
          </w:rPr>
          <w:t>http://historico.tsj.gob.ve/gaceta_ext/noviembre/18112014/E-18112014-4142.pdf#p</w:t>
        </w:r>
        <w:r w:rsidRPr="007E7826">
          <w:rPr>
            <w:rStyle w:val="Hipervnculo"/>
            <w:bCs/>
            <w:shd w:val="clear" w:color="auto" w:fill="FFFFFF"/>
          </w:rPr>
          <w:t>age=1</w:t>
        </w:r>
      </w:hyperlink>
      <w:r w:rsidRPr="007E7826">
        <w:rPr>
          <w:bCs/>
          <w:shd w:val="clear" w:color="auto" w:fill="FFFFFF"/>
        </w:rPr>
        <w:t xml:space="preserve"> </w:t>
      </w:r>
    </w:p>
  </w:footnote>
  <w:footnote w:id="15">
    <w:p w:rsidR="00B0376A" w:rsidRPr="000F237C" w:rsidRDefault="00B0376A" w:rsidP="000439AA">
      <w:pPr>
        <w:pStyle w:val="Textonotapie"/>
        <w:jc w:val="both"/>
      </w:pPr>
      <w:r w:rsidRPr="007E7826">
        <w:rPr>
          <w:rStyle w:val="Refdenotaalpie"/>
        </w:rPr>
        <w:footnoteRef/>
      </w:r>
      <w:r w:rsidRPr="007E7826">
        <w:t xml:space="preserve"> </w:t>
      </w:r>
      <w:r w:rsidRPr="000F237C">
        <w:t>Decreto Nro. 1.4</w:t>
      </w:r>
      <w:r w:rsidRPr="007E7826">
        <w:t xml:space="preserve">03 mediante el cual se dicta el Decreto con Rango Valor y Fuerza de Ley de Régimen Cambiario, </w:t>
      </w:r>
      <w:r w:rsidR="00E82CE0" w:rsidRPr="001A38E0">
        <w:rPr>
          <w:color w:val="262626"/>
        </w:rPr>
        <w:t xml:space="preserve">Gaceta Oficial </w:t>
      </w:r>
      <w:r w:rsidR="00E82CE0">
        <w:rPr>
          <w:color w:val="262626"/>
        </w:rPr>
        <w:t xml:space="preserve">Extraordinaria </w:t>
      </w:r>
      <w:r w:rsidR="00E82CE0" w:rsidRPr="001A38E0">
        <w:rPr>
          <w:color w:val="262626"/>
        </w:rPr>
        <w:t xml:space="preserve">No. </w:t>
      </w:r>
      <w:r w:rsidR="00E82CE0">
        <w:rPr>
          <w:color w:val="262626"/>
        </w:rPr>
        <w:t>6150,</w:t>
      </w:r>
      <w:r w:rsidR="00E82CE0" w:rsidRPr="001A38E0">
        <w:rPr>
          <w:color w:val="262626"/>
        </w:rPr>
        <w:t xml:space="preserve"> de </w:t>
      </w:r>
      <w:r w:rsidR="00E82CE0">
        <w:rPr>
          <w:color w:val="262626"/>
        </w:rPr>
        <w:t>18</w:t>
      </w:r>
      <w:r w:rsidR="00E82CE0" w:rsidRPr="001A38E0">
        <w:rPr>
          <w:color w:val="262626"/>
        </w:rPr>
        <w:t xml:space="preserve"> de </w:t>
      </w:r>
      <w:r w:rsidR="00E82CE0">
        <w:rPr>
          <w:color w:val="262626"/>
        </w:rPr>
        <w:t>noviembre de 2014</w:t>
      </w:r>
      <w:r w:rsidR="00E82CE0">
        <w:t xml:space="preserve">, </w:t>
      </w:r>
      <w:r w:rsidRPr="007E7826">
        <w:t xml:space="preserve">disponible en: </w:t>
      </w:r>
      <w:hyperlink r:id="rId8" w:anchor="page=1" w:history="1">
        <w:r w:rsidR="00E94E2D" w:rsidRPr="000F237C">
          <w:rPr>
            <w:rStyle w:val="Hipervnculo"/>
            <w:bCs/>
            <w:shd w:val="clear" w:color="auto" w:fill="FFFFFF"/>
          </w:rPr>
          <w:t>http://historico</w:t>
        </w:r>
        <w:r w:rsidR="00E94E2D" w:rsidRPr="007E7826">
          <w:rPr>
            <w:rStyle w:val="Hipervnculo"/>
            <w:bCs/>
            <w:shd w:val="clear" w:color="auto" w:fill="FFFFFF"/>
          </w:rPr>
          <w:t>.tsj.gob.ve/gaceta_ext/noviembre/18112014/E-18112014-4141.pdf#page=1</w:t>
        </w:r>
      </w:hyperlink>
      <w:r w:rsidR="00E94E2D" w:rsidRPr="007E7826">
        <w:rPr>
          <w:bCs/>
          <w:color w:val="555555"/>
          <w:shd w:val="clear" w:color="auto" w:fill="FFFFFF"/>
        </w:rPr>
        <w:t xml:space="preserve"> </w:t>
      </w:r>
    </w:p>
  </w:footnote>
  <w:footnote w:id="16">
    <w:p w:rsidR="00B0376A" w:rsidRPr="000F237C" w:rsidRDefault="00B0376A" w:rsidP="000439AA">
      <w:pPr>
        <w:pStyle w:val="Textonotapie"/>
        <w:jc w:val="both"/>
      </w:pPr>
      <w:r w:rsidRPr="007E7826">
        <w:rPr>
          <w:rStyle w:val="Refdenotaalpie"/>
        </w:rPr>
        <w:footnoteRef/>
      </w:r>
      <w:r w:rsidRPr="007E7826">
        <w:t xml:space="preserve"> Decreto Nro. 1.467  mediante el cual se dicta el Decreto con Rango Valor y Fuerza de Ley de Precios Justos, </w:t>
      </w:r>
      <w:r w:rsidR="00E82CE0" w:rsidRPr="001A38E0">
        <w:rPr>
          <w:color w:val="262626"/>
        </w:rPr>
        <w:t xml:space="preserve">Gaceta Oficial </w:t>
      </w:r>
      <w:r w:rsidR="00E82CE0">
        <w:rPr>
          <w:color w:val="262626"/>
        </w:rPr>
        <w:t xml:space="preserve">Extraordinaria </w:t>
      </w:r>
      <w:r w:rsidR="00E82CE0" w:rsidRPr="001A38E0">
        <w:rPr>
          <w:color w:val="262626"/>
        </w:rPr>
        <w:t xml:space="preserve">No. </w:t>
      </w:r>
      <w:r w:rsidR="00E82CE0">
        <w:rPr>
          <w:color w:val="262626"/>
        </w:rPr>
        <w:t>6156,</w:t>
      </w:r>
      <w:r w:rsidR="00E82CE0" w:rsidRPr="001A38E0">
        <w:rPr>
          <w:color w:val="262626"/>
        </w:rPr>
        <w:t xml:space="preserve"> de </w:t>
      </w:r>
      <w:r w:rsidR="00E82CE0">
        <w:rPr>
          <w:color w:val="262626"/>
        </w:rPr>
        <w:t>19</w:t>
      </w:r>
      <w:r w:rsidR="00E82CE0" w:rsidRPr="001A38E0">
        <w:rPr>
          <w:color w:val="262626"/>
        </w:rPr>
        <w:t xml:space="preserve"> de </w:t>
      </w:r>
      <w:r w:rsidR="00E82CE0">
        <w:rPr>
          <w:color w:val="262626"/>
        </w:rPr>
        <w:t xml:space="preserve">noviembre de 2014, </w:t>
      </w:r>
      <w:r w:rsidRPr="007E7826">
        <w:t xml:space="preserve">disponible en: </w:t>
      </w:r>
      <w:hyperlink r:id="rId9" w:anchor="page=1" w:history="1">
        <w:r w:rsidRPr="000F237C">
          <w:rPr>
            <w:rStyle w:val="Hipervnculo"/>
          </w:rPr>
          <w:t>http://historico.tsj.gob.ve/gaceta_ext/noviembre/19112014/E-19112014-4232.pdf#page=1</w:t>
        </w:r>
      </w:hyperlink>
      <w:r w:rsidRPr="007E7826">
        <w:rPr>
          <w:bCs/>
          <w:color w:val="555555"/>
          <w:shd w:val="clear" w:color="auto" w:fill="FFFFFF"/>
        </w:rPr>
        <w:t xml:space="preserve"> </w:t>
      </w:r>
    </w:p>
  </w:footnote>
  <w:footnote w:id="17">
    <w:p w:rsidR="00941734" w:rsidRPr="000F237C" w:rsidRDefault="00941734" w:rsidP="007E7826">
      <w:pPr>
        <w:jc w:val="both"/>
      </w:pPr>
      <w:r w:rsidRPr="007E7826">
        <w:rPr>
          <w:rStyle w:val="Refdenotaalpie"/>
        </w:rPr>
        <w:footnoteRef/>
      </w:r>
      <w:r w:rsidRPr="007E7826">
        <w:t xml:space="preserve"> Anteriormente estaba previsto con una sanción administrativa ahora se incorpora con sanción penal. </w:t>
      </w:r>
    </w:p>
  </w:footnote>
  <w:footnote w:id="18">
    <w:p w:rsidR="00B0376A" w:rsidRPr="000F237C" w:rsidRDefault="00B0376A" w:rsidP="007E7826">
      <w:pPr>
        <w:pStyle w:val="Textonotapie"/>
        <w:jc w:val="both"/>
      </w:pPr>
      <w:r w:rsidRPr="007E7826">
        <w:rPr>
          <w:rStyle w:val="Refdenotaalpie"/>
        </w:rPr>
        <w:footnoteRef/>
      </w:r>
      <w:r w:rsidRPr="007E7826">
        <w:t xml:space="preserve"> Decreto Nro. 1.410  mediante el cual se dicta el Decreto con Rango Valor y Fuerza de Ley </w:t>
      </w:r>
      <w:r w:rsidR="00E94E2D" w:rsidRPr="000F237C">
        <w:t>Contra la Corrupción</w:t>
      </w:r>
      <w:r w:rsidRPr="000F237C">
        <w:t xml:space="preserve">, </w:t>
      </w:r>
      <w:r w:rsidR="00E82CE0" w:rsidRPr="001A38E0">
        <w:rPr>
          <w:color w:val="262626"/>
        </w:rPr>
        <w:t xml:space="preserve">Gaceta Oficial </w:t>
      </w:r>
      <w:r w:rsidR="00E82CE0">
        <w:rPr>
          <w:color w:val="262626"/>
        </w:rPr>
        <w:t xml:space="preserve">Extraordinaria </w:t>
      </w:r>
      <w:r w:rsidR="00E82CE0" w:rsidRPr="001A38E0">
        <w:rPr>
          <w:color w:val="262626"/>
        </w:rPr>
        <w:t xml:space="preserve">No. </w:t>
      </w:r>
      <w:r w:rsidR="00E82CE0">
        <w:rPr>
          <w:color w:val="262626"/>
        </w:rPr>
        <w:t>6155,</w:t>
      </w:r>
      <w:r w:rsidR="00E82CE0" w:rsidRPr="001A38E0">
        <w:rPr>
          <w:color w:val="262626"/>
        </w:rPr>
        <w:t xml:space="preserve"> de </w:t>
      </w:r>
      <w:r w:rsidR="00E82CE0">
        <w:rPr>
          <w:color w:val="262626"/>
        </w:rPr>
        <w:t>19</w:t>
      </w:r>
      <w:r w:rsidR="00E82CE0" w:rsidRPr="001A38E0">
        <w:rPr>
          <w:color w:val="262626"/>
        </w:rPr>
        <w:t xml:space="preserve"> de </w:t>
      </w:r>
      <w:r w:rsidR="00E82CE0">
        <w:rPr>
          <w:color w:val="262626"/>
        </w:rPr>
        <w:t xml:space="preserve">noviembre de 2014, </w:t>
      </w:r>
      <w:r w:rsidRPr="000F237C">
        <w:t xml:space="preserve">disponible en: </w:t>
      </w:r>
      <w:hyperlink r:id="rId10" w:anchor="page=1" w:history="1">
        <w:r w:rsidRPr="000F237C">
          <w:rPr>
            <w:rStyle w:val="Hipervnculo"/>
          </w:rPr>
          <w:t>http://historico.tsj.gob.ve/gaceta_ext/noviembre/19112014/E-19112014-4233.pdf#page=1</w:t>
        </w:r>
      </w:hyperlink>
      <w:r w:rsidRPr="007E7826">
        <w:rPr>
          <w:bCs/>
          <w:color w:val="555555"/>
          <w:shd w:val="clear" w:color="auto" w:fill="FFFFFF"/>
        </w:rPr>
        <w:t xml:space="preserve"> </w:t>
      </w:r>
    </w:p>
  </w:footnote>
  <w:footnote w:id="19">
    <w:p w:rsidR="007E7826" w:rsidRPr="001A38E0" w:rsidRDefault="007E7826" w:rsidP="005A0BE1">
      <w:pPr>
        <w:pStyle w:val="Textonotapie"/>
        <w:jc w:val="both"/>
      </w:pPr>
      <w:r w:rsidRPr="001A38E0">
        <w:rPr>
          <w:rStyle w:val="Refdenotaalpie"/>
        </w:rPr>
        <w:footnoteRef/>
      </w:r>
      <w:r w:rsidRPr="001A38E0">
        <w:t xml:space="preserve"> </w:t>
      </w:r>
      <w:r w:rsidRPr="001A38E0">
        <w:rPr>
          <w:color w:val="000000"/>
          <w:shd w:val="clear" w:color="auto" w:fill="FFFFFF"/>
        </w:rPr>
        <w:t>Ley que autoriza al Presidente de la República para dictar Decretos con Rango, Valor y Fuerza de Ley en las materias que se delegan para la Garantía Reforzada de los Derechos de Soberanía y Protección del Pueblo Venezolano y el Orden Constitucional de la República</w:t>
      </w:r>
      <w:r w:rsidR="00AF50CC">
        <w:rPr>
          <w:rStyle w:val="apple-converted-space"/>
          <w:color w:val="000000"/>
          <w:shd w:val="clear" w:color="auto" w:fill="FFFFFF"/>
        </w:rPr>
        <w:t xml:space="preserve">, </w:t>
      </w:r>
      <w:r w:rsidR="00AF50CC" w:rsidRPr="001A38E0">
        <w:rPr>
          <w:color w:val="262626"/>
        </w:rPr>
        <w:t xml:space="preserve">Gaceta Oficial </w:t>
      </w:r>
      <w:r w:rsidR="00AF50CC">
        <w:rPr>
          <w:color w:val="262626"/>
        </w:rPr>
        <w:t xml:space="preserve">Extraordinaria </w:t>
      </w:r>
      <w:r w:rsidR="00AF50CC" w:rsidRPr="001A38E0">
        <w:rPr>
          <w:color w:val="262626"/>
        </w:rPr>
        <w:t xml:space="preserve">No. </w:t>
      </w:r>
      <w:r w:rsidR="00AF50CC">
        <w:rPr>
          <w:color w:val="262626"/>
        </w:rPr>
        <w:t>6178,</w:t>
      </w:r>
      <w:r w:rsidR="00AF50CC" w:rsidRPr="001A38E0">
        <w:rPr>
          <w:color w:val="262626"/>
        </w:rPr>
        <w:t xml:space="preserve"> de </w:t>
      </w:r>
      <w:r w:rsidR="00AF50CC">
        <w:rPr>
          <w:color w:val="262626"/>
        </w:rPr>
        <w:t>15</w:t>
      </w:r>
      <w:r w:rsidR="00AF50CC" w:rsidRPr="001A38E0">
        <w:rPr>
          <w:color w:val="262626"/>
        </w:rPr>
        <w:t xml:space="preserve"> de </w:t>
      </w:r>
      <w:r w:rsidR="00AF50CC">
        <w:rPr>
          <w:color w:val="262626"/>
        </w:rPr>
        <w:t xml:space="preserve">marzo de 2015, </w:t>
      </w:r>
      <w:r w:rsidRPr="001A38E0">
        <w:rPr>
          <w:rStyle w:val="apple-converted-space"/>
          <w:color w:val="000000"/>
          <w:shd w:val="clear" w:color="auto" w:fill="FFFFFF"/>
        </w:rPr>
        <w:t xml:space="preserve">disponible en: </w:t>
      </w:r>
      <w:hyperlink r:id="rId11" w:anchor="page=1" w:history="1">
        <w:r w:rsidRPr="001A38E0">
          <w:rPr>
            <w:rStyle w:val="Hipervnculo"/>
            <w:bCs/>
            <w:shd w:val="clear" w:color="auto" w:fill="FFFFFF"/>
          </w:rPr>
          <w:t>http://historico.tsj.gob.ve/gaceta_ext/marzo/1532015/E-1532015-4236.pdf#page=1</w:t>
        </w:r>
      </w:hyperlink>
      <w:r w:rsidRPr="001A38E0">
        <w:rPr>
          <w:bCs/>
          <w:color w:val="555555"/>
          <w:shd w:val="clear" w:color="auto" w:fill="FFFFFF"/>
        </w:rPr>
        <w:t xml:space="preserve"> </w:t>
      </w:r>
    </w:p>
  </w:footnote>
  <w:footnote w:id="20">
    <w:p w:rsidR="007E7826" w:rsidRPr="001A38E0" w:rsidRDefault="007E7826" w:rsidP="005A0BE1">
      <w:pPr>
        <w:pStyle w:val="Textonotapie"/>
        <w:jc w:val="both"/>
        <w:rPr>
          <w:lang w:val="es-US"/>
        </w:rPr>
      </w:pPr>
      <w:r w:rsidRPr="001A38E0">
        <w:rPr>
          <w:rStyle w:val="Refdenotaalpie"/>
        </w:rPr>
        <w:footnoteRef/>
      </w:r>
      <w:r w:rsidRPr="001A38E0">
        <w:rPr>
          <w:lang w:val="pt-BR"/>
        </w:rPr>
        <w:t xml:space="preserve"> Ver: CIDH, Informe Anual de 2013. </w:t>
      </w:r>
      <w:r w:rsidRPr="001A38E0">
        <w:rPr>
          <w:lang w:val="es-US"/>
        </w:rPr>
        <w:t>Capítulo IV sobre Venezuela, párr. 518 e Informe Anua</w:t>
      </w:r>
      <w:r w:rsidR="00E16E64">
        <w:rPr>
          <w:lang w:val="es-US"/>
        </w:rPr>
        <w:t xml:space="preserve">l. Capítulo IV sobre Venezuela </w:t>
      </w:r>
      <w:r w:rsidR="00DC4C9E">
        <w:rPr>
          <w:lang w:val="es-US"/>
        </w:rPr>
        <w:t xml:space="preserve">de 2014, párr. 572, disponible en: </w:t>
      </w:r>
      <w:hyperlink r:id="rId12" w:history="1">
        <w:r w:rsidR="00DC4C9E" w:rsidRPr="00CB1EFA">
          <w:rPr>
            <w:rStyle w:val="Hipervnculo"/>
            <w:lang w:val="es-US"/>
          </w:rPr>
          <w:t>http://www.oas.org/es/cidh/docs/anual/2013/docs-es/InformeAnual-Cap4-Venezuela.pdf</w:t>
        </w:r>
      </w:hyperlink>
      <w:r w:rsidR="00DC4C9E">
        <w:rPr>
          <w:lang w:val="es-US"/>
        </w:rPr>
        <w:t xml:space="preserve"> </w:t>
      </w:r>
    </w:p>
  </w:footnote>
  <w:footnote w:id="21">
    <w:p w:rsidR="007E7826" w:rsidRPr="001A38E0" w:rsidRDefault="007E7826" w:rsidP="005A0BE1">
      <w:pPr>
        <w:pStyle w:val="Textonotapie"/>
        <w:jc w:val="both"/>
        <w:rPr>
          <w:color w:val="000000"/>
        </w:rPr>
      </w:pPr>
      <w:r w:rsidRPr="001A38E0">
        <w:rPr>
          <w:rStyle w:val="Refdenotaalpie"/>
          <w:color w:val="000000"/>
          <w:lang w:val="en-GB"/>
        </w:rPr>
        <w:footnoteRef/>
      </w:r>
      <w:r w:rsidRPr="001A38E0">
        <w:rPr>
          <w:color w:val="000000"/>
        </w:rPr>
        <w:t xml:space="preserve"> </w:t>
      </w:r>
      <w:r w:rsidRPr="001A38E0">
        <w:rPr>
          <w:noProof/>
          <w:color w:val="000000"/>
        </w:rPr>
        <w:t xml:space="preserve">Véase, por ejemplo, el </w:t>
      </w:r>
      <w:r w:rsidRPr="001A38E0">
        <w:rPr>
          <w:i/>
          <w:iCs/>
          <w:noProof/>
          <w:color w:val="000000"/>
        </w:rPr>
        <w:t>Estatuto de Roma de la Corte Penal Internacional</w:t>
      </w:r>
      <w:r w:rsidRPr="001A38E0">
        <w:rPr>
          <w:noProof/>
          <w:color w:val="000000"/>
        </w:rPr>
        <w:t xml:space="preserve"> (art. 22) y los informes de la Comisión de Derecho Internacional a la Asamblea General de las Naciones Unidas, 1993 (Suplemento No. 10 (A/48/10), p.81) y 1994 (Suplemento No. 10 (A/49/10), p.321).</w:t>
      </w:r>
    </w:p>
  </w:footnote>
  <w:footnote w:id="22">
    <w:p w:rsidR="007E7826" w:rsidRPr="001A38E0" w:rsidRDefault="007E7826" w:rsidP="007E7826">
      <w:pPr>
        <w:pStyle w:val="Textonotapie"/>
        <w:jc w:val="both"/>
        <w:rPr>
          <w:color w:val="000000"/>
        </w:rPr>
      </w:pPr>
      <w:r w:rsidRPr="001A38E0">
        <w:rPr>
          <w:rStyle w:val="Refdenotaalpie"/>
          <w:color w:val="000000"/>
          <w:lang w:val="en-GB"/>
        </w:rPr>
        <w:footnoteRef/>
      </w:r>
      <w:r w:rsidRPr="001A38E0">
        <w:rPr>
          <w:color w:val="000000"/>
        </w:rPr>
        <w:t xml:space="preserve"> </w:t>
      </w:r>
      <w:r w:rsidRPr="001A38E0">
        <w:rPr>
          <w:noProof/>
          <w:color w:val="000000"/>
        </w:rPr>
        <w:t xml:space="preserve">El Pacto Internacional de derechos Civiles y Polítocos (art. 4.2), la </w:t>
      </w:r>
      <w:r w:rsidRPr="001A38E0">
        <w:rPr>
          <w:i/>
          <w:noProof/>
          <w:color w:val="000000"/>
        </w:rPr>
        <w:t>Convención Europea de Derechos Humanos</w:t>
      </w:r>
      <w:r w:rsidRPr="001A38E0">
        <w:rPr>
          <w:noProof/>
          <w:color w:val="000000"/>
        </w:rPr>
        <w:t xml:space="preserve"> (art. 15), </w:t>
      </w:r>
      <w:r w:rsidRPr="001A38E0">
        <w:rPr>
          <w:i/>
          <w:noProof/>
          <w:color w:val="000000"/>
        </w:rPr>
        <w:t>la Carta Árabe de Derechos Humanos</w:t>
      </w:r>
      <w:r w:rsidRPr="001A38E0">
        <w:rPr>
          <w:noProof/>
          <w:color w:val="000000"/>
        </w:rPr>
        <w:t xml:space="preserve"> (art. 4(b)) y la </w:t>
      </w:r>
      <w:r w:rsidRPr="001A38E0">
        <w:rPr>
          <w:i/>
          <w:noProof/>
          <w:color w:val="000000"/>
        </w:rPr>
        <w:t>Convención Americana sobre Derechos Humanos</w:t>
      </w:r>
      <w:r w:rsidRPr="001A38E0">
        <w:rPr>
          <w:noProof/>
          <w:color w:val="000000"/>
        </w:rPr>
        <w:t xml:space="preserve"> (art. 27).</w:t>
      </w:r>
    </w:p>
  </w:footnote>
  <w:footnote w:id="23">
    <w:p w:rsidR="007E7826" w:rsidRPr="001A38E0" w:rsidRDefault="007E7826" w:rsidP="007E7826">
      <w:pPr>
        <w:spacing w:line="240" w:lineRule="auto"/>
        <w:jc w:val="both"/>
        <w:rPr>
          <w:noProof/>
          <w:snapToGrid w:val="0"/>
          <w:lang w:val="es-ES_tradnl"/>
        </w:rPr>
      </w:pPr>
      <w:r w:rsidRPr="001A38E0">
        <w:rPr>
          <w:snapToGrid w:val="0"/>
          <w:vertAlign w:val="superscript"/>
          <w:lang w:val="en-GB"/>
        </w:rPr>
        <w:footnoteRef/>
      </w:r>
      <w:r w:rsidRPr="001A38E0">
        <w:rPr>
          <w:snapToGrid w:val="0"/>
          <w:color w:val="0000FF"/>
          <w:vertAlign w:val="superscript"/>
        </w:rPr>
        <w:t xml:space="preserve"> </w:t>
      </w:r>
      <w:r w:rsidRPr="001A38E0">
        <w:rPr>
          <w:snapToGrid w:val="0"/>
          <w:color w:val="000000"/>
          <w:lang w:val="es-ES_tradnl"/>
        </w:rPr>
        <w:t xml:space="preserve">Comité de Derechos Humanos, </w:t>
      </w:r>
      <w:r w:rsidRPr="001A38E0">
        <w:rPr>
          <w:i/>
          <w:snapToGrid w:val="0"/>
          <w:color w:val="000000"/>
          <w:lang w:val="es-ES_tradnl"/>
        </w:rPr>
        <w:t xml:space="preserve">Observación general No. 29, </w:t>
      </w:r>
      <w:r w:rsidRPr="001A38E0">
        <w:rPr>
          <w:i/>
          <w:lang w:val="es-ES_tradnl"/>
        </w:rPr>
        <w:t xml:space="preserve">Suspensión de obligaciones </w:t>
      </w:r>
      <w:r w:rsidRPr="001A38E0">
        <w:rPr>
          <w:bCs/>
          <w:i/>
          <w:lang w:val="es-ES_tradnl"/>
        </w:rPr>
        <w:t>durante</w:t>
      </w:r>
      <w:r w:rsidRPr="001A38E0">
        <w:rPr>
          <w:i/>
          <w:lang w:val="es-ES_tradnl"/>
        </w:rPr>
        <w:t xml:space="preserve"> un estado de excepción</w:t>
      </w:r>
      <w:r w:rsidRPr="001A38E0" w:rsidDel="00171081">
        <w:rPr>
          <w:i/>
          <w:iCs/>
          <w:snapToGrid w:val="0"/>
          <w:color w:val="000000"/>
          <w:lang w:val="es-ES_tradnl"/>
        </w:rPr>
        <w:t xml:space="preserve"> </w:t>
      </w:r>
      <w:r w:rsidRPr="001A38E0">
        <w:rPr>
          <w:i/>
          <w:iCs/>
          <w:snapToGrid w:val="0"/>
          <w:color w:val="000000"/>
          <w:lang w:val="es-ES_tradnl"/>
        </w:rPr>
        <w:t>(art. 4),</w:t>
      </w:r>
      <w:r w:rsidRPr="001A38E0">
        <w:rPr>
          <w:snapToGrid w:val="0"/>
          <w:color w:val="000000"/>
          <w:lang w:val="es-ES_tradnl"/>
        </w:rPr>
        <w:t xml:space="preserve"> párr.</w:t>
      </w:r>
      <w:r w:rsidRPr="001A38E0">
        <w:rPr>
          <w:snapToGrid w:val="0"/>
          <w:color w:val="000000"/>
        </w:rPr>
        <w:t xml:space="preserve"> </w:t>
      </w:r>
      <w:r w:rsidRPr="001A38E0">
        <w:rPr>
          <w:snapToGrid w:val="0"/>
          <w:color w:val="000000"/>
          <w:lang w:val="es-ES_tradnl"/>
        </w:rPr>
        <w:t xml:space="preserve">7; </w:t>
      </w:r>
      <w:r w:rsidRPr="001A38E0">
        <w:rPr>
          <w:i/>
          <w:iCs/>
          <w:snapToGrid w:val="0"/>
          <w:lang w:val="es-ES_tradnl"/>
        </w:rPr>
        <w:t>Observaciones finales del Comité de Derechos Humanos:</w:t>
      </w:r>
      <w:r w:rsidRPr="001A38E0">
        <w:rPr>
          <w:i/>
          <w:iCs/>
          <w:snapToGrid w:val="0"/>
        </w:rPr>
        <w:t xml:space="preserve"> </w:t>
      </w:r>
      <w:r w:rsidRPr="001A38E0">
        <w:rPr>
          <w:i/>
          <w:iCs/>
          <w:snapToGrid w:val="0"/>
          <w:lang w:val="es-ES_tradnl"/>
        </w:rPr>
        <w:t>Estonia</w:t>
      </w:r>
      <w:r w:rsidRPr="001A38E0">
        <w:rPr>
          <w:snapToGrid w:val="0"/>
          <w:lang w:val="es-ES_tradnl"/>
        </w:rPr>
        <w:t xml:space="preserve">, CCPR/CO/77/EST, de 15 de abril de 2003, párr. 8; Corte Interamericana de Derechos Humanos, Sentencia de 30 de mayo de 1999, </w:t>
      </w:r>
      <w:r w:rsidRPr="001A38E0">
        <w:rPr>
          <w:i/>
          <w:snapToGrid w:val="0"/>
          <w:lang w:val="es-ES_tradnl"/>
        </w:rPr>
        <w:t xml:space="preserve">Caso de </w:t>
      </w:r>
      <w:r w:rsidRPr="001A38E0">
        <w:rPr>
          <w:i/>
          <w:iCs/>
          <w:snapToGrid w:val="0"/>
          <w:lang w:val="es-ES_tradnl"/>
        </w:rPr>
        <w:t xml:space="preserve">Castillo </w:t>
      </w:r>
      <w:proofErr w:type="spellStart"/>
      <w:r w:rsidRPr="001A38E0">
        <w:rPr>
          <w:i/>
          <w:iCs/>
          <w:snapToGrid w:val="0"/>
          <w:lang w:val="es-ES_tradnl"/>
        </w:rPr>
        <w:t>Petruzzi</w:t>
      </w:r>
      <w:proofErr w:type="spellEnd"/>
      <w:r w:rsidRPr="001A38E0">
        <w:rPr>
          <w:i/>
          <w:iCs/>
          <w:snapToGrid w:val="0"/>
          <w:lang w:val="es-ES_tradnl"/>
        </w:rPr>
        <w:t xml:space="preserve"> et al. c. Perú</w:t>
      </w:r>
      <w:r w:rsidRPr="001A38E0">
        <w:rPr>
          <w:snapToGrid w:val="0"/>
          <w:lang w:val="es-ES_tradnl"/>
        </w:rPr>
        <w:t>, párr.</w:t>
      </w:r>
      <w:r w:rsidRPr="001A38E0">
        <w:rPr>
          <w:snapToGrid w:val="0"/>
        </w:rPr>
        <w:t xml:space="preserve"> </w:t>
      </w:r>
      <w:r w:rsidRPr="001A38E0">
        <w:rPr>
          <w:snapToGrid w:val="0"/>
          <w:lang w:val="es-ES_tradnl"/>
        </w:rPr>
        <w:t xml:space="preserve">119 </w:t>
      </w:r>
      <w:r w:rsidRPr="001A38E0">
        <w:rPr>
          <w:i/>
          <w:iCs/>
          <w:snapToGrid w:val="0"/>
          <w:lang w:val="es-ES_tradnl"/>
        </w:rPr>
        <w:t>y ss.</w:t>
      </w:r>
      <w:r w:rsidRPr="001A38E0">
        <w:rPr>
          <w:snapToGrid w:val="0"/>
          <w:lang w:val="es-ES_tradnl"/>
        </w:rPr>
        <w:t>;</w:t>
      </w:r>
      <w:r w:rsidRPr="001A38E0">
        <w:rPr>
          <w:i/>
          <w:iCs/>
          <w:snapToGrid w:val="0"/>
          <w:lang w:val="es-ES_tradnl"/>
        </w:rPr>
        <w:t xml:space="preserve"> </w:t>
      </w:r>
      <w:r w:rsidRPr="001A38E0">
        <w:rPr>
          <w:snapToGrid w:val="0"/>
          <w:lang w:val="es-ES_tradnl"/>
        </w:rPr>
        <w:t>y Comisión Interamericana de Derechos Humanos</w:t>
      </w:r>
      <w:r w:rsidRPr="001A38E0">
        <w:rPr>
          <w:snapToGrid w:val="0"/>
          <w:color w:val="000000"/>
          <w:lang w:val="es-ES_tradnl"/>
        </w:rPr>
        <w:t xml:space="preserve">, </w:t>
      </w:r>
      <w:r w:rsidRPr="001A38E0">
        <w:rPr>
          <w:i/>
          <w:iCs/>
          <w:snapToGrid w:val="0"/>
          <w:color w:val="000000"/>
          <w:lang w:val="es-ES_tradnl"/>
        </w:rPr>
        <w:t>Informe sobre Terrorismo y Derechos Humanos</w:t>
      </w:r>
      <w:r w:rsidRPr="001A38E0">
        <w:rPr>
          <w:snapToGrid w:val="0"/>
          <w:color w:val="000000"/>
          <w:lang w:val="es-ES_tradnl"/>
        </w:rPr>
        <w:t>, OEA/</w:t>
      </w:r>
      <w:proofErr w:type="spellStart"/>
      <w:r w:rsidRPr="001A38E0">
        <w:rPr>
          <w:snapToGrid w:val="0"/>
          <w:color w:val="000000"/>
          <w:lang w:val="es-ES_tradnl"/>
        </w:rPr>
        <w:t>Ser.L</w:t>
      </w:r>
      <w:proofErr w:type="spellEnd"/>
      <w:r w:rsidRPr="001A38E0">
        <w:rPr>
          <w:snapToGrid w:val="0"/>
          <w:color w:val="000000"/>
          <w:lang w:val="es-ES_tradnl"/>
        </w:rPr>
        <w:t xml:space="preserve">/V/ll.116, Doc. 5 </w:t>
      </w:r>
      <w:proofErr w:type="spellStart"/>
      <w:r w:rsidRPr="001A38E0">
        <w:rPr>
          <w:snapToGrid w:val="0"/>
          <w:color w:val="000000"/>
          <w:lang w:val="es-ES_tradnl"/>
        </w:rPr>
        <w:t>rev.</w:t>
      </w:r>
      <w:proofErr w:type="spellEnd"/>
      <w:r w:rsidRPr="001A38E0">
        <w:rPr>
          <w:snapToGrid w:val="0"/>
          <w:color w:val="000000"/>
          <w:lang w:val="es-ES_tradnl"/>
        </w:rPr>
        <w:t xml:space="preserve"> 1 </w:t>
      </w:r>
      <w:proofErr w:type="spellStart"/>
      <w:r w:rsidRPr="001A38E0">
        <w:rPr>
          <w:snapToGrid w:val="0"/>
          <w:color w:val="000000"/>
          <w:lang w:val="es-ES_tradnl"/>
        </w:rPr>
        <w:t>corr</w:t>
      </w:r>
      <w:proofErr w:type="spellEnd"/>
      <w:r w:rsidRPr="001A38E0">
        <w:rPr>
          <w:snapToGrid w:val="0"/>
          <w:color w:val="000000"/>
          <w:lang w:val="es-ES_tradnl"/>
        </w:rPr>
        <w:t>., de 22 de octubre de 2002, párrafo</w:t>
      </w:r>
      <w:r w:rsidRPr="001A38E0">
        <w:rPr>
          <w:snapToGrid w:val="0"/>
          <w:color w:val="000000"/>
        </w:rPr>
        <w:t xml:space="preserve"> 218. </w:t>
      </w:r>
    </w:p>
  </w:footnote>
  <w:footnote w:id="24">
    <w:p w:rsidR="007E7826" w:rsidRPr="001A38E0" w:rsidRDefault="007E7826" w:rsidP="007E7826">
      <w:pPr>
        <w:pStyle w:val="Textonotapie"/>
        <w:jc w:val="both"/>
      </w:pPr>
      <w:r w:rsidRPr="001A38E0">
        <w:rPr>
          <w:rStyle w:val="Refdenotaalpie"/>
        </w:rPr>
        <w:footnoteRef/>
      </w:r>
      <w:r w:rsidRPr="001A38E0">
        <w:t xml:space="preserve"> </w:t>
      </w:r>
      <w:r w:rsidRPr="001A38E0">
        <w:rPr>
          <w:noProof/>
          <w:color w:val="000000"/>
        </w:rPr>
        <w:t>Véanse, entre otros, del Comité de Derechos Humanos</w:t>
      </w:r>
      <w:r w:rsidRPr="001A38E0">
        <w:rPr>
          <w:i/>
          <w:noProof/>
          <w:color w:val="000000"/>
        </w:rPr>
        <w:t>:</w:t>
      </w:r>
      <w:r w:rsidRPr="001A38E0">
        <w:rPr>
          <w:i/>
        </w:rPr>
        <w:t xml:space="preserve"> </w:t>
      </w:r>
      <w:r w:rsidRPr="001A38E0">
        <w:rPr>
          <w:i/>
          <w:color w:val="000000"/>
          <w:lang w:val="es-ES_tradnl"/>
        </w:rPr>
        <w:t>Observación general No. 29,</w:t>
      </w:r>
      <w:r w:rsidRPr="001A38E0">
        <w:rPr>
          <w:i/>
          <w:iCs/>
          <w:color w:val="000000"/>
          <w:lang w:val="es-ES_tradnl"/>
        </w:rPr>
        <w:t xml:space="preserve"> </w:t>
      </w:r>
      <w:r w:rsidRPr="001A38E0">
        <w:rPr>
          <w:i/>
          <w:lang w:val="es-ES_tradnl"/>
        </w:rPr>
        <w:t xml:space="preserve">Suspensión de obligaciones </w:t>
      </w:r>
      <w:r w:rsidRPr="001A38E0">
        <w:rPr>
          <w:bCs/>
          <w:i/>
          <w:lang w:val="es-ES_tradnl"/>
        </w:rPr>
        <w:t>durante</w:t>
      </w:r>
      <w:r w:rsidRPr="001A38E0">
        <w:rPr>
          <w:i/>
          <w:lang w:val="es-ES_tradnl"/>
        </w:rPr>
        <w:t xml:space="preserve"> un estado de excepción</w:t>
      </w:r>
      <w:r w:rsidRPr="001A38E0" w:rsidDel="00171081">
        <w:rPr>
          <w:i/>
          <w:iCs/>
          <w:color w:val="000000"/>
          <w:lang w:val="es-ES_tradnl"/>
        </w:rPr>
        <w:t xml:space="preserve"> </w:t>
      </w:r>
      <w:r w:rsidRPr="001A38E0">
        <w:rPr>
          <w:i/>
          <w:iCs/>
          <w:color w:val="000000"/>
          <w:lang w:val="es-ES_tradnl"/>
        </w:rPr>
        <w:t>(art. 4),</w:t>
      </w:r>
      <w:r w:rsidRPr="001A38E0">
        <w:rPr>
          <w:color w:val="000000"/>
          <w:lang w:val="es-ES_tradnl"/>
        </w:rPr>
        <w:t xml:space="preserve"> párr.</w:t>
      </w:r>
      <w:r w:rsidRPr="001A38E0">
        <w:t xml:space="preserve"> </w:t>
      </w:r>
      <w:r w:rsidRPr="001A38E0">
        <w:rPr>
          <w:lang w:val="es-ES_tradnl"/>
        </w:rPr>
        <w:t>7</w:t>
      </w:r>
      <w:r w:rsidRPr="001A38E0">
        <w:rPr>
          <w:color w:val="000000"/>
          <w:lang w:val="es-ES_tradnl"/>
        </w:rPr>
        <w:t xml:space="preserve">; las </w:t>
      </w:r>
      <w:r w:rsidRPr="001A38E0">
        <w:rPr>
          <w:i/>
          <w:iCs/>
          <w:lang w:val="es-ES_tradnl"/>
        </w:rPr>
        <w:t xml:space="preserve">Observaciones finales del Comité de Derechos Humanos </w:t>
      </w:r>
      <w:r w:rsidRPr="001A38E0">
        <w:rPr>
          <w:lang w:val="es-ES_tradnl"/>
        </w:rPr>
        <w:t>a:</w:t>
      </w:r>
      <w:r w:rsidRPr="001A38E0">
        <w:rPr>
          <w:i/>
          <w:iCs/>
        </w:rPr>
        <w:t xml:space="preserve"> </w:t>
      </w:r>
      <w:r w:rsidRPr="001A38E0">
        <w:rPr>
          <w:i/>
          <w:iCs/>
          <w:lang w:val="es-ES_tradnl"/>
        </w:rPr>
        <w:t>República Democrática Popular de Corea</w:t>
      </w:r>
      <w:r w:rsidRPr="001A38E0">
        <w:rPr>
          <w:lang w:val="es-ES_tradnl"/>
        </w:rPr>
        <w:t>, CCPR/CO/72/PRK de 27 de agosto de 2001, párr.</w:t>
      </w:r>
      <w:r w:rsidRPr="001A38E0">
        <w:t xml:space="preserve"> </w:t>
      </w:r>
      <w:r w:rsidRPr="001A38E0">
        <w:rPr>
          <w:lang w:val="es-ES_tradnl"/>
        </w:rPr>
        <w:t xml:space="preserve">14; </w:t>
      </w:r>
      <w:r w:rsidRPr="001A38E0">
        <w:rPr>
          <w:i/>
          <w:iCs/>
          <w:lang w:val="es-ES_tradnl"/>
        </w:rPr>
        <w:t>Bélgica</w:t>
      </w:r>
      <w:r w:rsidRPr="001A38E0">
        <w:rPr>
          <w:lang w:val="es-ES_tradnl"/>
        </w:rPr>
        <w:t>, CCPR/CO/81/BEL de 12 de agosto de 2004, párr.</w:t>
      </w:r>
      <w:r w:rsidRPr="001A38E0">
        <w:t xml:space="preserve"> </w:t>
      </w:r>
      <w:r w:rsidRPr="001A38E0">
        <w:rPr>
          <w:lang w:val="es-ES_tradnl"/>
        </w:rPr>
        <w:t xml:space="preserve">24; </w:t>
      </w:r>
      <w:r w:rsidRPr="001A38E0">
        <w:rPr>
          <w:i/>
          <w:iCs/>
          <w:lang w:val="es-ES_tradnl"/>
        </w:rPr>
        <w:t>Islandia</w:t>
      </w:r>
      <w:r w:rsidRPr="001A38E0">
        <w:rPr>
          <w:lang w:val="es-ES_tradnl"/>
        </w:rPr>
        <w:t>, CCPR/CO/83/ISL de 25 de abril de 2005, párr.</w:t>
      </w:r>
      <w:r w:rsidRPr="001A38E0">
        <w:t xml:space="preserve"> </w:t>
      </w:r>
      <w:r w:rsidRPr="001A38E0">
        <w:rPr>
          <w:lang w:val="es-ES_tradnl"/>
        </w:rPr>
        <w:t xml:space="preserve">10; </w:t>
      </w:r>
      <w:r w:rsidRPr="001A38E0">
        <w:rPr>
          <w:i/>
          <w:iCs/>
          <w:lang w:val="es-ES_tradnl"/>
        </w:rPr>
        <w:t>Estonia</w:t>
      </w:r>
      <w:r w:rsidRPr="001A38E0">
        <w:rPr>
          <w:lang w:val="es-ES_tradnl"/>
        </w:rPr>
        <w:t>, CCPR/CO/77/EST de 15 de abril de 2003, párr.</w:t>
      </w:r>
      <w:r w:rsidRPr="001A38E0">
        <w:t xml:space="preserve"> </w:t>
      </w:r>
      <w:r w:rsidRPr="001A38E0">
        <w:rPr>
          <w:lang w:val="es-ES_tradnl"/>
        </w:rPr>
        <w:t>8;</w:t>
      </w:r>
      <w:r w:rsidRPr="001A38E0">
        <w:rPr>
          <w:i/>
          <w:iCs/>
          <w:lang w:val="es-ES_tradnl"/>
        </w:rPr>
        <w:t xml:space="preserve"> Canadá</w:t>
      </w:r>
      <w:r w:rsidRPr="001A38E0">
        <w:rPr>
          <w:lang w:val="es-ES_tradnl"/>
        </w:rPr>
        <w:t>, CCPR/C/CAN/CO/5 de 20 de abril de 2006, párr.12; y M</w:t>
      </w:r>
      <w:r w:rsidRPr="001A38E0">
        <w:rPr>
          <w:i/>
          <w:iCs/>
          <w:lang w:val="es-ES_tradnl"/>
        </w:rPr>
        <w:t>arruecos</w:t>
      </w:r>
      <w:r w:rsidRPr="001A38E0">
        <w:rPr>
          <w:lang w:val="es-ES_tradnl"/>
        </w:rPr>
        <w:t>, CCPR/CO/82/MAR de 1 de diciembre de 2004, párr.</w:t>
      </w:r>
      <w:r w:rsidRPr="001A38E0">
        <w:t xml:space="preserve"> </w:t>
      </w:r>
      <w:r w:rsidRPr="001A38E0">
        <w:rPr>
          <w:lang w:val="es-ES_tradnl"/>
        </w:rPr>
        <w:t>20.</w:t>
      </w:r>
    </w:p>
  </w:footnote>
  <w:footnote w:id="25">
    <w:p w:rsidR="007E7826" w:rsidRPr="001A38E0" w:rsidRDefault="007E7826" w:rsidP="007E7826">
      <w:pPr>
        <w:pStyle w:val="Textonotapie"/>
        <w:jc w:val="both"/>
      </w:pPr>
      <w:r w:rsidRPr="001A38E0">
        <w:rPr>
          <w:rStyle w:val="Refdenotaalpie"/>
        </w:rPr>
        <w:footnoteRef/>
      </w:r>
      <w:r w:rsidRPr="001A38E0">
        <w:t xml:space="preserve"> </w:t>
      </w:r>
      <w:r w:rsidRPr="001A38E0">
        <w:rPr>
          <w:lang w:val="es-ES_tradnl"/>
        </w:rPr>
        <w:t xml:space="preserve">Documento de las Naciones Unidas E/CN.4/1998/39/Add.1, párrafo 129. Ver, también, </w:t>
      </w:r>
      <w:r w:rsidRPr="001A38E0">
        <w:rPr>
          <w:i/>
          <w:iCs/>
          <w:snapToGrid w:val="0"/>
          <w:lang w:val="es-ES_tradnl"/>
        </w:rPr>
        <w:t xml:space="preserve">Observaciones finales del Comité de Derechos Humanos </w:t>
      </w:r>
      <w:r w:rsidRPr="001A38E0">
        <w:rPr>
          <w:iCs/>
          <w:snapToGrid w:val="0"/>
          <w:lang w:val="es-ES_tradnl"/>
        </w:rPr>
        <w:t>a:</w:t>
      </w:r>
      <w:r w:rsidRPr="001A38E0">
        <w:rPr>
          <w:i/>
          <w:iCs/>
          <w:snapToGrid w:val="0"/>
          <w:lang w:val="es-ES_tradnl"/>
        </w:rPr>
        <w:t xml:space="preserve"> Portugal (</w:t>
      </w:r>
      <w:proofErr w:type="spellStart"/>
      <w:r w:rsidRPr="001A38E0">
        <w:rPr>
          <w:i/>
          <w:iCs/>
          <w:snapToGrid w:val="0"/>
          <w:lang w:val="es-ES_tradnl"/>
        </w:rPr>
        <w:t>Macau</w:t>
      </w:r>
      <w:proofErr w:type="spellEnd"/>
      <w:r w:rsidRPr="001A38E0">
        <w:rPr>
          <w:i/>
          <w:iCs/>
          <w:snapToGrid w:val="0"/>
          <w:lang w:val="es-ES_tradnl"/>
        </w:rPr>
        <w:t>)</w:t>
      </w:r>
      <w:r w:rsidRPr="001A38E0">
        <w:rPr>
          <w:snapToGrid w:val="0"/>
          <w:lang w:val="es-ES_tradnl"/>
        </w:rPr>
        <w:t>, CCPR/C/79/Add.115 de 4 de noviembre de 1999, párr.</w:t>
      </w:r>
      <w:r w:rsidRPr="001A38E0">
        <w:rPr>
          <w:snapToGrid w:val="0"/>
        </w:rPr>
        <w:t xml:space="preserve"> </w:t>
      </w:r>
      <w:r w:rsidRPr="001A38E0">
        <w:rPr>
          <w:snapToGrid w:val="0"/>
          <w:lang w:val="pt-BR"/>
        </w:rPr>
        <w:t xml:space="preserve">12; </w:t>
      </w:r>
      <w:r w:rsidRPr="001A38E0">
        <w:rPr>
          <w:i/>
          <w:iCs/>
          <w:snapToGrid w:val="0"/>
          <w:lang w:val="pt-BR"/>
        </w:rPr>
        <w:t>Argélia</w:t>
      </w:r>
      <w:r w:rsidRPr="001A38E0">
        <w:rPr>
          <w:snapToGrid w:val="0"/>
          <w:lang w:val="pt-BR"/>
        </w:rPr>
        <w:t>, CCPR/C/79/</w:t>
      </w:r>
      <w:proofErr w:type="spellStart"/>
      <w:r w:rsidRPr="001A38E0">
        <w:rPr>
          <w:snapToGrid w:val="0"/>
          <w:lang w:val="pt-BR"/>
        </w:rPr>
        <w:t>Add</w:t>
      </w:r>
      <w:proofErr w:type="spellEnd"/>
      <w:r w:rsidRPr="001A38E0">
        <w:rPr>
          <w:snapToGrid w:val="0"/>
          <w:lang w:val="pt-BR"/>
        </w:rPr>
        <w:t>.</w:t>
      </w:r>
      <w:r w:rsidR="00E16E64">
        <w:rPr>
          <w:snapToGrid w:val="0"/>
          <w:lang w:val="pt-BR"/>
        </w:rPr>
        <w:t xml:space="preserve"> </w:t>
      </w:r>
      <w:r w:rsidRPr="001A38E0">
        <w:rPr>
          <w:snapToGrid w:val="0"/>
          <w:lang w:val="pt-BR"/>
        </w:rPr>
        <w:t xml:space="preserve">95 de 18 de agosto de 1998, </w:t>
      </w:r>
      <w:proofErr w:type="spellStart"/>
      <w:r w:rsidRPr="001A38E0">
        <w:rPr>
          <w:snapToGrid w:val="0"/>
          <w:lang w:val="pt-BR"/>
        </w:rPr>
        <w:t>párr</w:t>
      </w:r>
      <w:proofErr w:type="spellEnd"/>
      <w:r w:rsidRPr="001A38E0">
        <w:rPr>
          <w:snapToGrid w:val="0"/>
          <w:lang w:val="pt-BR"/>
        </w:rPr>
        <w:t xml:space="preserve">. 11; </w:t>
      </w:r>
      <w:proofErr w:type="spellStart"/>
      <w:r w:rsidRPr="001A38E0">
        <w:rPr>
          <w:i/>
          <w:iCs/>
          <w:snapToGrid w:val="0"/>
          <w:lang w:val="pt-BR"/>
        </w:rPr>
        <w:t>Egipto</w:t>
      </w:r>
      <w:proofErr w:type="spellEnd"/>
      <w:r w:rsidRPr="001A38E0">
        <w:rPr>
          <w:snapToGrid w:val="0"/>
          <w:lang w:val="pt-BR"/>
        </w:rPr>
        <w:t>, CCPR/C/79/</w:t>
      </w:r>
      <w:proofErr w:type="gramStart"/>
      <w:r w:rsidRPr="001A38E0">
        <w:rPr>
          <w:snapToGrid w:val="0"/>
          <w:lang w:val="pt-BR"/>
        </w:rPr>
        <w:t>Add.</w:t>
      </w:r>
      <w:proofErr w:type="gramEnd"/>
      <w:r w:rsidRPr="001A38E0">
        <w:rPr>
          <w:snapToGrid w:val="0"/>
          <w:lang w:val="pt-BR"/>
        </w:rPr>
        <w:t xml:space="preserve">23 de 9 de agosto de 1993, </w:t>
      </w:r>
      <w:proofErr w:type="spellStart"/>
      <w:r w:rsidRPr="001A38E0">
        <w:rPr>
          <w:snapToGrid w:val="0"/>
          <w:lang w:val="pt-BR"/>
        </w:rPr>
        <w:t>párr</w:t>
      </w:r>
      <w:proofErr w:type="spellEnd"/>
      <w:r w:rsidRPr="001A38E0">
        <w:rPr>
          <w:snapToGrid w:val="0"/>
          <w:lang w:val="pt-BR"/>
        </w:rPr>
        <w:t xml:space="preserve">. </w:t>
      </w:r>
      <w:proofErr w:type="gramStart"/>
      <w:r w:rsidRPr="001A38E0">
        <w:rPr>
          <w:snapToGrid w:val="0"/>
          <w:lang w:val="pt-BR"/>
        </w:rPr>
        <w:t>8</w:t>
      </w:r>
      <w:proofErr w:type="gramEnd"/>
      <w:r w:rsidRPr="001A38E0">
        <w:rPr>
          <w:snapToGrid w:val="0"/>
          <w:lang w:val="pt-BR"/>
        </w:rPr>
        <w:t xml:space="preserve">; </w:t>
      </w:r>
      <w:proofErr w:type="spellStart"/>
      <w:r w:rsidRPr="001A38E0">
        <w:rPr>
          <w:i/>
          <w:iCs/>
          <w:snapToGrid w:val="0"/>
          <w:lang w:val="pt-BR"/>
        </w:rPr>
        <w:t>Perú</w:t>
      </w:r>
      <w:proofErr w:type="spellEnd"/>
      <w:r w:rsidRPr="001A38E0">
        <w:rPr>
          <w:snapToGrid w:val="0"/>
          <w:lang w:val="pt-BR"/>
        </w:rPr>
        <w:t xml:space="preserve">, CCPR/C/79/Add.67, de 25 de </w:t>
      </w:r>
      <w:proofErr w:type="spellStart"/>
      <w:r w:rsidRPr="001A38E0">
        <w:rPr>
          <w:snapToGrid w:val="0"/>
          <w:lang w:val="pt-BR"/>
        </w:rPr>
        <w:t>julio</w:t>
      </w:r>
      <w:proofErr w:type="spellEnd"/>
      <w:r w:rsidRPr="001A38E0">
        <w:rPr>
          <w:snapToGrid w:val="0"/>
          <w:lang w:val="pt-BR"/>
        </w:rPr>
        <w:t xml:space="preserve"> de 1996, </w:t>
      </w:r>
      <w:proofErr w:type="spellStart"/>
      <w:r w:rsidRPr="001A38E0">
        <w:rPr>
          <w:snapToGrid w:val="0"/>
          <w:lang w:val="pt-BR"/>
        </w:rPr>
        <w:t>párr</w:t>
      </w:r>
      <w:proofErr w:type="spellEnd"/>
      <w:r w:rsidRPr="001A38E0">
        <w:rPr>
          <w:snapToGrid w:val="0"/>
          <w:lang w:val="pt-BR"/>
        </w:rPr>
        <w:t xml:space="preserve">. 12; </w:t>
      </w:r>
      <w:r w:rsidRPr="001A38E0">
        <w:rPr>
          <w:i/>
          <w:iCs/>
          <w:snapToGrid w:val="0"/>
          <w:lang w:val="pt-BR"/>
        </w:rPr>
        <w:t xml:space="preserve">República Democrática Popular de </w:t>
      </w:r>
      <w:proofErr w:type="spellStart"/>
      <w:r w:rsidRPr="001A38E0">
        <w:rPr>
          <w:i/>
          <w:iCs/>
          <w:snapToGrid w:val="0"/>
          <w:lang w:val="pt-BR"/>
        </w:rPr>
        <w:t>Corea</w:t>
      </w:r>
      <w:proofErr w:type="spellEnd"/>
      <w:r w:rsidRPr="001A38E0">
        <w:rPr>
          <w:snapToGrid w:val="0"/>
          <w:lang w:val="pt-BR"/>
        </w:rPr>
        <w:t xml:space="preserve">, CCPR/CO/72/PRK de 27 de agosto de 2001, </w:t>
      </w:r>
      <w:proofErr w:type="spellStart"/>
      <w:r w:rsidRPr="001A38E0">
        <w:rPr>
          <w:snapToGrid w:val="0"/>
          <w:lang w:val="pt-BR"/>
        </w:rPr>
        <w:t>párr</w:t>
      </w:r>
      <w:proofErr w:type="spellEnd"/>
      <w:r w:rsidRPr="001A38E0">
        <w:rPr>
          <w:snapToGrid w:val="0"/>
          <w:lang w:val="pt-BR"/>
        </w:rPr>
        <w:t xml:space="preserve">. 14; </w:t>
      </w:r>
      <w:r w:rsidRPr="001A38E0">
        <w:rPr>
          <w:i/>
          <w:iCs/>
          <w:snapToGrid w:val="0"/>
          <w:lang w:val="pt-BR"/>
        </w:rPr>
        <w:t>Bélgica</w:t>
      </w:r>
      <w:r w:rsidRPr="001A38E0">
        <w:rPr>
          <w:snapToGrid w:val="0"/>
          <w:lang w:val="pt-BR"/>
        </w:rPr>
        <w:t xml:space="preserve">, CCPR/CO/81/BEL de 12 de agosto de 2004, </w:t>
      </w:r>
      <w:proofErr w:type="spellStart"/>
      <w:r w:rsidRPr="001A38E0">
        <w:rPr>
          <w:snapToGrid w:val="0"/>
          <w:lang w:val="pt-BR"/>
        </w:rPr>
        <w:t>párr</w:t>
      </w:r>
      <w:proofErr w:type="spellEnd"/>
      <w:r w:rsidRPr="001A38E0">
        <w:rPr>
          <w:snapToGrid w:val="0"/>
          <w:lang w:val="pt-BR"/>
        </w:rPr>
        <w:t xml:space="preserve">. 24; </w:t>
      </w:r>
      <w:proofErr w:type="spellStart"/>
      <w:r w:rsidRPr="001A38E0">
        <w:rPr>
          <w:i/>
          <w:iCs/>
          <w:snapToGrid w:val="0"/>
          <w:lang w:val="pt-BR"/>
        </w:rPr>
        <w:t>Islandia</w:t>
      </w:r>
      <w:proofErr w:type="spellEnd"/>
      <w:r w:rsidRPr="001A38E0">
        <w:rPr>
          <w:snapToGrid w:val="0"/>
          <w:lang w:val="pt-BR"/>
        </w:rPr>
        <w:t xml:space="preserve">, CCPR/CO/83/ISL de 25 de abril de 2005, </w:t>
      </w:r>
      <w:proofErr w:type="spellStart"/>
      <w:r w:rsidRPr="001A38E0">
        <w:rPr>
          <w:snapToGrid w:val="0"/>
          <w:lang w:val="pt-BR"/>
        </w:rPr>
        <w:t>párr</w:t>
      </w:r>
      <w:proofErr w:type="spellEnd"/>
      <w:r w:rsidRPr="001A38E0">
        <w:rPr>
          <w:snapToGrid w:val="0"/>
          <w:lang w:val="pt-BR"/>
        </w:rPr>
        <w:t xml:space="preserve">. 10; </w:t>
      </w:r>
      <w:proofErr w:type="spellStart"/>
      <w:r w:rsidRPr="001A38E0">
        <w:rPr>
          <w:i/>
          <w:iCs/>
          <w:snapToGrid w:val="0"/>
          <w:lang w:val="pt-BR"/>
        </w:rPr>
        <w:t>Estonia</w:t>
      </w:r>
      <w:proofErr w:type="spellEnd"/>
      <w:r w:rsidRPr="001A38E0">
        <w:rPr>
          <w:snapToGrid w:val="0"/>
          <w:lang w:val="pt-BR"/>
        </w:rPr>
        <w:t xml:space="preserve">, CCPR/CO/77/EST de 15 de abril de 2003, </w:t>
      </w:r>
      <w:proofErr w:type="spellStart"/>
      <w:r w:rsidRPr="001A38E0">
        <w:rPr>
          <w:snapToGrid w:val="0"/>
          <w:lang w:val="pt-BR"/>
        </w:rPr>
        <w:t>párr</w:t>
      </w:r>
      <w:proofErr w:type="spellEnd"/>
      <w:r w:rsidRPr="001A38E0">
        <w:rPr>
          <w:snapToGrid w:val="0"/>
          <w:lang w:val="pt-BR"/>
        </w:rPr>
        <w:t xml:space="preserve">. </w:t>
      </w:r>
      <w:proofErr w:type="gramStart"/>
      <w:r w:rsidRPr="001A38E0">
        <w:rPr>
          <w:snapToGrid w:val="0"/>
          <w:lang w:val="pt-BR"/>
        </w:rPr>
        <w:t>8</w:t>
      </w:r>
      <w:proofErr w:type="gramEnd"/>
      <w:r w:rsidRPr="001A38E0">
        <w:rPr>
          <w:snapToGrid w:val="0"/>
          <w:lang w:val="pt-BR"/>
        </w:rPr>
        <w:t>;</w:t>
      </w:r>
      <w:r w:rsidRPr="001A38E0">
        <w:rPr>
          <w:i/>
          <w:iCs/>
          <w:snapToGrid w:val="0"/>
          <w:lang w:val="pt-BR"/>
        </w:rPr>
        <w:t xml:space="preserve"> Canadá</w:t>
      </w:r>
      <w:r w:rsidRPr="001A38E0">
        <w:rPr>
          <w:snapToGrid w:val="0"/>
          <w:lang w:val="pt-BR"/>
        </w:rPr>
        <w:t xml:space="preserve">, CCPR/C/CAN/CO/5 de 20 de abril de 2006, </w:t>
      </w:r>
      <w:proofErr w:type="spellStart"/>
      <w:r w:rsidRPr="001A38E0">
        <w:rPr>
          <w:snapToGrid w:val="0"/>
          <w:lang w:val="pt-BR"/>
        </w:rPr>
        <w:t>párr</w:t>
      </w:r>
      <w:proofErr w:type="spellEnd"/>
      <w:r w:rsidRPr="001A38E0">
        <w:rPr>
          <w:snapToGrid w:val="0"/>
          <w:lang w:val="pt-BR"/>
        </w:rPr>
        <w:t xml:space="preserve">. </w:t>
      </w:r>
      <w:r w:rsidRPr="001A38E0">
        <w:rPr>
          <w:snapToGrid w:val="0"/>
        </w:rPr>
        <w:t>12;</w:t>
      </w:r>
      <w:r w:rsidRPr="001A38E0">
        <w:rPr>
          <w:i/>
          <w:iCs/>
          <w:snapToGrid w:val="0"/>
        </w:rPr>
        <w:t xml:space="preserve"> Estados Unidos de América</w:t>
      </w:r>
      <w:r w:rsidRPr="001A38E0">
        <w:rPr>
          <w:snapToGrid w:val="0"/>
        </w:rPr>
        <w:t xml:space="preserve">, CCPR/C/USA/CO/3/Rev.1 de 18 de diciembre de 2006, párr.11. </w:t>
      </w:r>
    </w:p>
  </w:footnote>
  <w:footnote w:id="26">
    <w:p w:rsidR="007E7826" w:rsidRPr="001A38E0" w:rsidRDefault="007E7826" w:rsidP="007E7826">
      <w:pPr>
        <w:spacing w:line="240" w:lineRule="auto"/>
        <w:ind w:right="-28"/>
        <w:jc w:val="both"/>
        <w:rPr>
          <w:noProof/>
          <w:snapToGrid w:val="0"/>
          <w:lang w:val="es-ES_tradnl"/>
        </w:rPr>
      </w:pPr>
      <w:r w:rsidRPr="001A38E0">
        <w:rPr>
          <w:rStyle w:val="Refdenotaalpie"/>
          <w:snapToGrid w:val="0"/>
          <w:color w:val="000000"/>
          <w:lang w:val="en-GB"/>
        </w:rPr>
        <w:footnoteRef/>
      </w:r>
      <w:r w:rsidRPr="001A38E0">
        <w:rPr>
          <w:snapToGrid w:val="0"/>
          <w:color w:val="000000"/>
        </w:rPr>
        <w:t xml:space="preserve"> </w:t>
      </w:r>
      <w:r w:rsidRPr="001A38E0">
        <w:rPr>
          <w:noProof/>
          <w:snapToGrid w:val="0"/>
          <w:color w:val="000000"/>
          <w:lang w:val="es-ES_tradnl"/>
        </w:rPr>
        <w:t>Ver, por ejemplo, </w:t>
      </w:r>
      <w:r w:rsidRPr="001A38E0">
        <w:rPr>
          <w:i/>
          <w:iCs/>
          <w:noProof/>
          <w:snapToGrid w:val="0"/>
          <w:color w:val="000000"/>
          <w:lang w:val="es-ES_tradnl"/>
        </w:rPr>
        <w:t xml:space="preserve">Observaciones finales </w:t>
      </w:r>
      <w:r w:rsidRPr="001A38E0">
        <w:rPr>
          <w:noProof/>
          <w:snapToGrid w:val="0"/>
          <w:color w:val="000000"/>
          <w:lang w:val="es-ES_tradnl"/>
        </w:rPr>
        <w:t>sobre:</w:t>
      </w:r>
      <w:r w:rsidRPr="001A38E0">
        <w:rPr>
          <w:i/>
          <w:iCs/>
          <w:snapToGrid w:val="0"/>
          <w:color w:val="000000"/>
        </w:rPr>
        <w:t xml:space="preserve"> </w:t>
      </w:r>
      <w:r w:rsidRPr="001A38E0">
        <w:rPr>
          <w:i/>
          <w:iCs/>
          <w:snapToGrid w:val="0"/>
          <w:color w:val="000000"/>
          <w:lang w:val="es-ES_tradnl"/>
        </w:rPr>
        <w:t>República Árabe Siria</w:t>
      </w:r>
      <w:r w:rsidRPr="001A38E0">
        <w:rPr>
          <w:snapToGrid w:val="0"/>
          <w:color w:val="000000"/>
          <w:lang w:val="es-ES_tradnl"/>
        </w:rPr>
        <w:t>, CCPR/CO/71/SYR  de 24 de abril de 2001, párr.</w:t>
      </w:r>
      <w:r w:rsidRPr="001A38E0">
        <w:rPr>
          <w:snapToGrid w:val="0"/>
          <w:color w:val="000000"/>
        </w:rPr>
        <w:t xml:space="preserve"> </w:t>
      </w:r>
      <w:r w:rsidRPr="001A38E0">
        <w:rPr>
          <w:snapToGrid w:val="0"/>
          <w:color w:val="000000"/>
          <w:lang w:val="es-ES_tradnl"/>
        </w:rPr>
        <w:t xml:space="preserve">24, e </w:t>
      </w:r>
      <w:r w:rsidRPr="001A38E0">
        <w:rPr>
          <w:i/>
          <w:iCs/>
          <w:snapToGrid w:val="0"/>
          <w:lang w:val="es-ES_tradnl"/>
        </w:rPr>
        <w:t>Islandia</w:t>
      </w:r>
      <w:r w:rsidRPr="001A38E0">
        <w:rPr>
          <w:snapToGrid w:val="0"/>
          <w:lang w:val="es-ES_tradnl"/>
        </w:rPr>
        <w:t>, CCPR/CO/83/ISL de 25 de abril de 2005, párr.</w:t>
      </w:r>
      <w:r w:rsidRPr="001A38E0">
        <w:rPr>
          <w:snapToGrid w:val="0"/>
        </w:rPr>
        <w:t xml:space="preserve"> 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9DA" w:rsidRDefault="00E449DA" w:rsidP="00E449DA">
    <w:pPr>
      <w:pStyle w:val="Encabezado"/>
      <w:ind w:right="-94"/>
      <w:jc w:val="center"/>
      <w:rPr>
        <w:i/>
        <w:lang w:val="es-VE"/>
      </w:rPr>
    </w:pPr>
    <w:r>
      <w:rPr>
        <w:b/>
        <w:i/>
        <w:noProof/>
        <w:lang w:val="es-VE" w:eastAsia="es-VE"/>
      </w:rPr>
      <w:drawing>
        <wp:inline distT="0" distB="0" distL="0" distR="0" wp14:anchorId="2B23C004" wp14:editId="158A22D0">
          <wp:extent cx="696568" cy="596348"/>
          <wp:effectExtent l="19050" t="0" r="8282"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97373" cy="597037"/>
                  </a:xfrm>
                  <a:prstGeom prst="rect">
                    <a:avLst/>
                  </a:prstGeom>
                  <a:noFill/>
                  <a:ln w="9525">
                    <a:noFill/>
                    <a:miter lim="800000"/>
                    <a:headEnd/>
                    <a:tailEnd/>
                  </a:ln>
                </pic:spPr>
              </pic:pic>
            </a:graphicData>
          </a:graphic>
        </wp:inline>
      </w:drawing>
    </w:r>
  </w:p>
  <w:p w:rsidR="00E449DA" w:rsidRPr="00FF4B31" w:rsidRDefault="00E449DA" w:rsidP="00E449DA">
    <w:pPr>
      <w:pStyle w:val="Encabezado"/>
      <w:ind w:right="-94"/>
      <w:jc w:val="center"/>
      <w:rPr>
        <w:i/>
        <w:lang w:val="es-VE"/>
      </w:rPr>
    </w:pPr>
    <w:r w:rsidRPr="00D14963">
      <w:rPr>
        <w:b/>
        <w:i/>
      </w:rPr>
      <w:t>AEQUITAS - VENEZUELA</w:t>
    </w:r>
  </w:p>
  <w:p w:rsidR="00E449DA" w:rsidRPr="00E449DA" w:rsidRDefault="00E449DA">
    <w:pPr>
      <w:pStyle w:val="Encabezado"/>
      <w:rPr>
        <w:lang w:val="es-V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8A6"/>
    <w:multiLevelType w:val="hybridMultilevel"/>
    <w:tmpl w:val="053E99DC"/>
    <w:lvl w:ilvl="0" w:tplc="924291F6">
      <w:start w:val="1"/>
      <w:numFmt w:val="upperRoman"/>
      <w:lvlText w:val="%1."/>
      <w:lvlJc w:val="left"/>
      <w:pPr>
        <w:ind w:left="1800" w:hanging="720"/>
      </w:pPr>
      <w:rPr>
        <w:rFonts w:hint="default"/>
      </w:rPr>
    </w:lvl>
    <w:lvl w:ilvl="1" w:tplc="200A0019">
      <w:start w:val="1"/>
      <w:numFmt w:val="lowerLetter"/>
      <w:lvlText w:val="%2."/>
      <w:lvlJc w:val="left"/>
      <w:pPr>
        <w:ind w:left="2160" w:hanging="360"/>
      </w:pPr>
    </w:lvl>
    <w:lvl w:ilvl="2" w:tplc="200A001B" w:tentative="1">
      <w:start w:val="1"/>
      <w:numFmt w:val="lowerRoman"/>
      <w:lvlText w:val="%3."/>
      <w:lvlJc w:val="right"/>
      <w:pPr>
        <w:ind w:left="2880" w:hanging="180"/>
      </w:pPr>
    </w:lvl>
    <w:lvl w:ilvl="3" w:tplc="200A000F" w:tentative="1">
      <w:start w:val="1"/>
      <w:numFmt w:val="decimal"/>
      <w:lvlText w:val="%4."/>
      <w:lvlJc w:val="left"/>
      <w:pPr>
        <w:ind w:left="3600" w:hanging="360"/>
      </w:pPr>
    </w:lvl>
    <w:lvl w:ilvl="4" w:tplc="200A0019" w:tentative="1">
      <w:start w:val="1"/>
      <w:numFmt w:val="lowerLetter"/>
      <w:lvlText w:val="%5."/>
      <w:lvlJc w:val="left"/>
      <w:pPr>
        <w:ind w:left="4320" w:hanging="360"/>
      </w:pPr>
    </w:lvl>
    <w:lvl w:ilvl="5" w:tplc="200A001B" w:tentative="1">
      <w:start w:val="1"/>
      <w:numFmt w:val="lowerRoman"/>
      <w:lvlText w:val="%6."/>
      <w:lvlJc w:val="right"/>
      <w:pPr>
        <w:ind w:left="5040" w:hanging="180"/>
      </w:pPr>
    </w:lvl>
    <w:lvl w:ilvl="6" w:tplc="200A000F" w:tentative="1">
      <w:start w:val="1"/>
      <w:numFmt w:val="decimal"/>
      <w:lvlText w:val="%7."/>
      <w:lvlJc w:val="left"/>
      <w:pPr>
        <w:ind w:left="5760" w:hanging="360"/>
      </w:pPr>
    </w:lvl>
    <w:lvl w:ilvl="7" w:tplc="200A0019" w:tentative="1">
      <w:start w:val="1"/>
      <w:numFmt w:val="lowerLetter"/>
      <w:lvlText w:val="%8."/>
      <w:lvlJc w:val="left"/>
      <w:pPr>
        <w:ind w:left="6480" w:hanging="360"/>
      </w:pPr>
    </w:lvl>
    <w:lvl w:ilvl="8" w:tplc="200A001B" w:tentative="1">
      <w:start w:val="1"/>
      <w:numFmt w:val="lowerRoman"/>
      <w:lvlText w:val="%9."/>
      <w:lvlJc w:val="right"/>
      <w:pPr>
        <w:ind w:left="7200" w:hanging="180"/>
      </w:pPr>
    </w:lvl>
  </w:abstractNum>
  <w:abstractNum w:abstractNumId="1">
    <w:nsid w:val="24F2004C"/>
    <w:multiLevelType w:val="hybridMultilevel"/>
    <w:tmpl w:val="4D16A104"/>
    <w:lvl w:ilvl="0" w:tplc="C178AEB4">
      <w:start w:val="1"/>
      <w:numFmt w:val="decimal"/>
      <w:lvlText w:val="%1."/>
      <w:lvlJc w:val="left"/>
      <w:pPr>
        <w:ind w:left="360" w:hanging="360"/>
      </w:pPr>
      <w:rPr>
        <w:color w:val="auto"/>
        <w:sz w:val="22"/>
        <w:szCs w:val="22"/>
      </w:rPr>
    </w:lvl>
    <w:lvl w:ilvl="1" w:tplc="200A0019">
      <w:start w:val="1"/>
      <w:numFmt w:val="lowerLetter"/>
      <w:lvlText w:val="%2."/>
      <w:lvlJc w:val="left"/>
      <w:pPr>
        <w:ind w:left="1440" w:hanging="360"/>
      </w:pPr>
    </w:lvl>
    <w:lvl w:ilvl="2" w:tplc="200A001B">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
    <w:nsid w:val="2D3327A4"/>
    <w:multiLevelType w:val="hybridMultilevel"/>
    <w:tmpl w:val="9F6C9914"/>
    <w:lvl w:ilvl="0" w:tplc="B2FE45E4">
      <w:start w:val="2"/>
      <w:numFmt w:val="upperLetter"/>
      <w:lvlText w:val="%1."/>
      <w:lvlJc w:val="left"/>
      <w:pPr>
        <w:ind w:left="2160" w:hanging="360"/>
      </w:pPr>
      <w:rPr>
        <w:rFonts w:hint="default"/>
      </w:rPr>
    </w:lvl>
    <w:lvl w:ilvl="1" w:tplc="200A0019" w:tentative="1">
      <w:start w:val="1"/>
      <w:numFmt w:val="lowerLetter"/>
      <w:lvlText w:val="%2."/>
      <w:lvlJc w:val="left"/>
      <w:pPr>
        <w:ind w:left="2880" w:hanging="360"/>
      </w:pPr>
    </w:lvl>
    <w:lvl w:ilvl="2" w:tplc="200A001B" w:tentative="1">
      <w:start w:val="1"/>
      <w:numFmt w:val="lowerRoman"/>
      <w:lvlText w:val="%3."/>
      <w:lvlJc w:val="right"/>
      <w:pPr>
        <w:ind w:left="3600" w:hanging="180"/>
      </w:pPr>
    </w:lvl>
    <w:lvl w:ilvl="3" w:tplc="200A000F" w:tentative="1">
      <w:start w:val="1"/>
      <w:numFmt w:val="decimal"/>
      <w:lvlText w:val="%4."/>
      <w:lvlJc w:val="left"/>
      <w:pPr>
        <w:ind w:left="4320" w:hanging="360"/>
      </w:pPr>
    </w:lvl>
    <w:lvl w:ilvl="4" w:tplc="200A0019" w:tentative="1">
      <w:start w:val="1"/>
      <w:numFmt w:val="lowerLetter"/>
      <w:lvlText w:val="%5."/>
      <w:lvlJc w:val="left"/>
      <w:pPr>
        <w:ind w:left="5040" w:hanging="360"/>
      </w:pPr>
    </w:lvl>
    <w:lvl w:ilvl="5" w:tplc="200A001B" w:tentative="1">
      <w:start w:val="1"/>
      <w:numFmt w:val="lowerRoman"/>
      <w:lvlText w:val="%6."/>
      <w:lvlJc w:val="right"/>
      <w:pPr>
        <w:ind w:left="5760" w:hanging="180"/>
      </w:pPr>
    </w:lvl>
    <w:lvl w:ilvl="6" w:tplc="200A000F" w:tentative="1">
      <w:start w:val="1"/>
      <w:numFmt w:val="decimal"/>
      <w:lvlText w:val="%7."/>
      <w:lvlJc w:val="left"/>
      <w:pPr>
        <w:ind w:left="6480" w:hanging="360"/>
      </w:pPr>
    </w:lvl>
    <w:lvl w:ilvl="7" w:tplc="200A0019" w:tentative="1">
      <w:start w:val="1"/>
      <w:numFmt w:val="lowerLetter"/>
      <w:lvlText w:val="%8."/>
      <w:lvlJc w:val="left"/>
      <w:pPr>
        <w:ind w:left="7200" w:hanging="360"/>
      </w:pPr>
    </w:lvl>
    <w:lvl w:ilvl="8" w:tplc="200A001B" w:tentative="1">
      <w:start w:val="1"/>
      <w:numFmt w:val="lowerRoman"/>
      <w:lvlText w:val="%9."/>
      <w:lvlJc w:val="right"/>
      <w:pPr>
        <w:ind w:left="7920" w:hanging="180"/>
      </w:pPr>
    </w:lvl>
  </w:abstractNum>
  <w:abstractNum w:abstractNumId="3">
    <w:nsid w:val="2EBD575A"/>
    <w:multiLevelType w:val="hybridMultilevel"/>
    <w:tmpl w:val="A31CE94A"/>
    <w:lvl w:ilvl="0" w:tplc="56B26ED4">
      <w:start w:val="1"/>
      <w:numFmt w:val="upperLetter"/>
      <w:lvlText w:val="%1."/>
      <w:lvlJc w:val="left"/>
      <w:pPr>
        <w:ind w:left="720" w:hanging="360"/>
      </w:pPr>
      <w:rPr>
        <w:rFonts w:hint="default"/>
        <w:b/>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
    <w:nsid w:val="3A436BBE"/>
    <w:multiLevelType w:val="hybridMultilevel"/>
    <w:tmpl w:val="1FD8017E"/>
    <w:lvl w:ilvl="0" w:tplc="DD28CCB0">
      <w:start w:val="1"/>
      <w:numFmt w:val="upperRoman"/>
      <w:lvlText w:val="%1."/>
      <w:lvlJc w:val="left"/>
      <w:pPr>
        <w:ind w:left="1080" w:hanging="720"/>
      </w:pPr>
      <w:rPr>
        <w:rFonts w:hint="default"/>
      </w:rPr>
    </w:lvl>
    <w:lvl w:ilvl="1" w:tplc="200A0019">
      <w:start w:val="1"/>
      <w:numFmt w:val="lowerLetter"/>
      <w:lvlText w:val="%2."/>
      <w:lvlJc w:val="left"/>
      <w:pPr>
        <w:ind w:left="1440" w:hanging="360"/>
      </w:pPr>
    </w:lvl>
    <w:lvl w:ilvl="2" w:tplc="200A001B">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
    <w:nsid w:val="4FBE04FB"/>
    <w:multiLevelType w:val="hybridMultilevel"/>
    <w:tmpl w:val="055008AA"/>
    <w:lvl w:ilvl="0" w:tplc="24901670">
      <w:start w:val="1"/>
      <w:numFmt w:val="upperRoman"/>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6">
    <w:nsid w:val="5B8712C2"/>
    <w:multiLevelType w:val="hybridMultilevel"/>
    <w:tmpl w:val="71F2A93E"/>
    <w:lvl w:ilvl="0" w:tplc="661832B4">
      <w:start w:val="1"/>
      <w:numFmt w:val="lowerRoman"/>
      <w:lvlText w:val="%1."/>
      <w:lvlJc w:val="left"/>
      <w:pPr>
        <w:ind w:left="1080" w:hanging="720"/>
      </w:pPr>
      <w:rPr>
        <w:rFonts w:cs="Arial"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7">
    <w:nsid w:val="5D9A3543"/>
    <w:multiLevelType w:val="hybridMultilevel"/>
    <w:tmpl w:val="311EC30E"/>
    <w:lvl w:ilvl="0" w:tplc="200A0015">
      <w:start w:val="1"/>
      <w:numFmt w:val="upperLetter"/>
      <w:lvlText w:val="%1."/>
      <w:lvlJc w:val="left"/>
      <w:pPr>
        <w:ind w:left="720" w:hanging="360"/>
      </w:pPr>
      <w:rPr>
        <w:rFonts w:hint="default"/>
      </w:rPr>
    </w:lvl>
    <w:lvl w:ilvl="1" w:tplc="200A0019">
      <w:start w:val="1"/>
      <w:numFmt w:val="lowerLetter"/>
      <w:lvlText w:val="%2."/>
      <w:lvlJc w:val="left"/>
      <w:pPr>
        <w:ind w:left="1440" w:hanging="360"/>
      </w:pPr>
    </w:lvl>
    <w:lvl w:ilvl="2" w:tplc="200A001B">
      <w:start w:val="1"/>
      <w:numFmt w:val="lowerRoman"/>
      <w:lvlText w:val="%3."/>
      <w:lvlJc w:val="right"/>
      <w:pPr>
        <w:ind w:left="464" w:hanging="180"/>
      </w:pPr>
    </w:lvl>
    <w:lvl w:ilvl="3" w:tplc="200A000F">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8">
    <w:nsid w:val="76EE6C66"/>
    <w:multiLevelType w:val="hybridMultilevel"/>
    <w:tmpl w:val="91C4B886"/>
    <w:lvl w:ilvl="0" w:tplc="6FD6DE3E">
      <w:start w:val="1"/>
      <w:numFmt w:val="lowerRoman"/>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num w:numId="1">
    <w:abstractNumId w:val="8"/>
  </w:num>
  <w:num w:numId="2">
    <w:abstractNumId w:val="5"/>
  </w:num>
  <w:num w:numId="3">
    <w:abstractNumId w:val="0"/>
  </w:num>
  <w:num w:numId="4">
    <w:abstractNumId w:val="4"/>
  </w:num>
  <w:num w:numId="5">
    <w:abstractNumId w:val="7"/>
  </w:num>
  <w:num w:numId="6">
    <w:abstractNumId w:val="6"/>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A7A"/>
    <w:rsid w:val="000149D6"/>
    <w:rsid w:val="000436E3"/>
    <w:rsid w:val="000439AA"/>
    <w:rsid w:val="00054CAF"/>
    <w:rsid w:val="00087A35"/>
    <w:rsid w:val="00091958"/>
    <w:rsid w:val="00095DA5"/>
    <w:rsid w:val="000A1B76"/>
    <w:rsid w:val="000B1B30"/>
    <w:rsid w:val="000F237C"/>
    <w:rsid w:val="000F5739"/>
    <w:rsid w:val="001013E5"/>
    <w:rsid w:val="00143EDF"/>
    <w:rsid w:val="001A38E0"/>
    <w:rsid w:val="00203874"/>
    <w:rsid w:val="00204428"/>
    <w:rsid w:val="00204937"/>
    <w:rsid w:val="00222CB6"/>
    <w:rsid w:val="002362D8"/>
    <w:rsid w:val="002417CF"/>
    <w:rsid w:val="002478E0"/>
    <w:rsid w:val="00255991"/>
    <w:rsid w:val="00260268"/>
    <w:rsid w:val="002701A1"/>
    <w:rsid w:val="002713FE"/>
    <w:rsid w:val="002E1DA1"/>
    <w:rsid w:val="00306384"/>
    <w:rsid w:val="00362055"/>
    <w:rsid w:val="00367156"/>
    <w:rsid w:val="00374A8D"/>
    <w:rsid w:val="003A02D9"/>
    <w:rsid w:val="00401883"/>
    <w:rsid w:val="004071E9"/>
    <w:rsid w:val="00464A8D"/>
    <w:rsid w:val="004B3B87"/>
    <w:rsid w:val="004F36AA"/>
    <w:rsid w:val="005A0BE1"/>
    <w:rsid w:val="005B21AC"/>
    <w:rsid w:val="005F0A4F"/>
    <w:rsid w:val="006246D0"/>
    <w:rsid w:val="00671FC0"/>
    <w:rsid w:val="0067792B"/>
    <w:rsid w:val="00682B02"/>
    <w:rsid w:val="006A7C1B"/>
    <w:rsid w:val="006F613E"/>
    <w:rsid w:val="00702D37"/>
    <w:rsid w:val="00703AEA"/>
    <w:rsid w:val="00767D00"/>
    <w:rsid w:val="00784BE1"/>
    <w:rsid w:val="007A6D48"/>
    <w:rsid w:val="007E7826"/>
    <w:rsid w:val="0081578A"/>
    <w:rsid w:val="008367F0"/>
    <w:rsid w:val="0085598D"/>
    <w:rsid w:val="00874A37"/>
    <w:rsid w:val="00891098"/>
    <w:rsid w:val="008B54EA"/>
    <w:rsid w:val="008B6870"/>
    <w:rsid w:val="008D4CD1"/>
    <w:rsid w:val="009148BF"/>
    <w:rsid w:val="00921131"/>
    <w:rsid w:val="00941734"/>
    <w:rsid w:val="00955BF3"/>
    <w:rsid w:val="00A15523"/>
    <w:rsid w:val="00A34E2E"/>
    <w:rsid w:val="00A4242F"/>
    <w:rsid w:val="00A7131A"/>
    <w:rsid w:val="00A71931"/>
    <w:rsid w:val="00AA3A4F"/>
    <w:rsid w:val="00AD25CA"/>
    <w:rsid w:val="00AF008D"/>
    <w:rsid w:val="00AF50CC"/>
    <w:rsid w:val="00B0376A"/>
    <w:rsid w:val="00B3508D"/>
    <w:rsid w:val="00B55542"/>
    <w:rsid w:val="00BB3C1F"/>
    <w:rsid w:val="00BD141E"/>
    <w:rsid w:val="00BD4A55"/>
    <w:rsid w:val="00BF5A7C"/>
    <w:rsid w:val="00C10E28"/>
    <w:rsid w:val="00C2511D"/>
    <w:rsid w:val="00C505AE"/>
    <w:rsid w:val="00C700C5"/>
    <w:rsid w:val="00C77E88"/>
    <w:rsid w:val="00C844E4"/>
    <w:rsid w:val="00CA5926"/>
    <w:rsid w:val="00CA6C09"/>
    <w:rsid w:val="00CD016D"/>
    <w:rsid w:val="00D454DD"/>
    <w:rsid w:val="00D9592B"/>
    <w:rsid w:val="00DA0B05"/>
    <w:rsid w:val="00DA5535"/>
    <w:rsid w:val="00DC4C9E"/>
    <w:rsid w:val="00DD2E41"/>
    <w:rsid w:val="00DE26BC"/>
    <w:rsid w:val="00DE4A7A"/>
    <w:rsid w:val="00E120A0"/>
    <w:rsid w:val="00E16E64"/>
    <w:rsid w:val="00E3571F"/>
    <w:rsid w:val="00E41579"/>
    <w:rsid w:val="00E449DA"/>
    <w:rsid w:val="00E63994"/>
    <w:rsid w:val="00E731F7"/>
    <w:rsid w:val="00E765B1"/>
    <w:rsid w:val="00E82CE0"/>
    <w:rsid w:val="00E94E2D"/>
    <w:rsid w:val="00EC70E9"/>
    <w:rsid w:val="00ED751D"/>
    <w:rsid w:val="00EE16FF"/>
    <w:rsid w:val="00EE2F78"/>
    <w:rsid w:val="00F26A40"/>
    <w:rsid w:val="00F54B08"/>
    <w:rsid w:val="00F66869"/>
    <w:rsid w:val="00FD3B12"/>
    <w:rsid w:val="00FD77A2"/>
    <w:rsid w:val="00FE65EE"/>
    <w:rsid w:val="00FF4887"/>
    <w:rsid w:val="00FF4B66"/>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A7A"/>
    <w:pPr>
      <w:spacing w:after="0" w:line="240" w:lineRule="atLeast"/>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0436E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link w:val="Ttulo3Car"/>
    <w:uiPriority w:val="9"/>
    <w:qFormat/>
    <w:rsid w:val="008D4CD1"/>
    <w:pPr>
      <w:spacing w:before="100" w:beforeAutospacing="1" w:after="100" w:afterAutospacing="1" w:line="240" w:lineRule="auto"/>
      <w:outlineLvl w:val="2"/>
    </w:pPr>
    <w:rPr>
      <w:b/>
      <w:bCs/>
      <w:sz w:val="27"/>
      <w:szCs w:val="27"/>
      <w:lang w:val="es-VE" w:eastAsia="es-V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A3A4F"/>
    <w:pPr>
      <w:ind w:left="720"/>
      <w:contextualSpacing/>
    </w:p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Ca,ﬂnotentext,FA,Car,ft"/>
    <w:basedOn w:val="Normal"/>
    <w:link w:val="TextonotapieCar"/>
    <w:uiPriority w:val="99"/>
    <w:unhideWhenUsed/>
    <w:qFormat/>
    <w:rsid w:val="00682B02"/>
    <w:pPr>
      <w:spacing w:line="240" w:lineRule="auto"/>
    </w:p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 Car,Ca Car"/>
    <w:basedOn w:val="Fuentedeprrafopredeter"/>
    <w:link w:val="Textonotapie"/>
    <w:uiPriority w:val="99"/>
    <w:rsid w:val="00682B02"/>
    <w:rPr>
      <w:rFonts w:ascii="Times New Roman" w:eastAsia="Times New Roman" w:hAnsi="Times New Roman" w:cs="Times New Roman"/>
      <w:sz w:val="20"/>
      <w:szCs w:val="20"/>
      <w:lang w:val="es-ES" w:eastAsia="es-ES"/>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Nota a pie,FC"/>
    <w:basedOn w:val="Fuentedeprrafopredeter"/>
    <w:uiPriority w:val="99"/>
    <w:unhideWhenUsed/>
    <w:qFormat/>
    <w:rsid w:val="00682B02"/>
    <w:rPr>
      <w:vertAlign w:val="superscript"/>
    </w:rPr>
  </w:style>
  <w:style w:type="character" w:styleId="Hipervnculo">
    <w:name w:val="Hyperlink"/>
    <w:basedOn w:val="Fuentedeprrafopredeter"/>
    <w:uiPriority w:val="99"/>
    <w:unhideWhenUsed/>
    <w:rsid w:val="00F66869"/>
    <w:rPr>
      <w:color w:val="0000FF" w:themeColor="hyperlink"/>
      <w:u w:val="single"/>
    </w:rPr>
  </w:style>
  <w:style w:type="character" w:customStyle="1" w:styleId="apple-converted-space">
    <w:name w:val="apple-converted-space"/>
    <w:basedOn w:val="Fuentedeprrafopredeter"/>
    <w:rsid w:val="00F66869"/>
  </w:style>
  <w:style w:type="paragraph" w:customStyle="1" w:styleId="Documento">
    <w:name w:val="Documento"/>
    <w:rsid w:val="00C2511D"/>
    <w:pPr>
      <w:widowControl w:val="0"/>
      <w:autoSpaceDE w:val="0"/>
      <w:autoSpaceDN w:val="0"/>
      <w:adjustRightInd w:val="0"/>
      <w:spacing w:after="0" w:line="240" w:lineRule="auto"/>
      <w:jc w:val="center"/>
    </w:pPr>
    <w:rPr>
      <w:rFonts w:ascii="Arial" w:eastAsia="Times New Roman" w:hAnsi="Arial" w:cs="Arial"/>
      <w:b/>
      <w:bCs/>
      <w:i/>
      <w:iCs/>
      <w:color w:val="0000FF"/>
      <w:sz w:val="24"/>
      <w:szCs w:val="24"/>
      <w:lang w:val="es-ES" w:eastAsia="es-ES"/>
    </w:rPr>
  </w:style>
  <w:style w:type="paragraph" w:customStyle="1" w:styleId="Articulo">
    <w:name w:val="Articulo"/>
    <w:rsid w:val="0081578A"/>
    <w:pPr>
      <w:widowControl w:val="0"/>
      <w:autoSpaceDE w:val="0"/>
      <w:autoSpaceDN w:val="0"/>
      <w:adjustRightInd w:val="0"/>
      <w:spacing w:after="0" w:line="240" w:lineRule="auto"/>
    </w:pPr>
    <w:rPr>
      <w:rFonts w:ascii="Arial" w:eastAsia="Times New Roman" w:hAnsi="Arial" w:cs="Arial"/>
      <w:b/>
      <w:bCs/>
      <w:color w:val="0000FF"/>
      <w:sz w:val="20"/>
      <w:szCs w:val="20"/>
      <w:lang w:val="es-ES" w:eastAsia="es-ES"/>
    </w:rPr>
  </w:style>
  <w:style w:type="character" w:styleId="Refdecomentario">
    <w:name w:val="annotation reference"/>
    <w:basedOn w:val="Fuentedeprrafopredeter"/>
    <w:uiPriority w:val="99"/>
    <w:semiHidden/>
    <w:unhideWhenUsed/>
    <w:rsid w:val="0067792B"/>
    <w:rPr>
      <w:sz w:val="16"/>
      <w:szCs w:val="16"/>
    </w:rPr>
  </w:style>
  <w:style w:type="paragraph" w:styleId="Textocomentario">
    <w:name w:val="annotation text"/>
    <w:basedOn w:val="Normal"/>
    <w:link w:val="TextocomentarioCar"/>
    <w:uiPriority w:val="99"/>
    <w:semiHidden/>
    <w:unhideWhenUsed/>
    <w:rsid w:val="0067792B"/>
    <w:pPr>
      <w:spacing w:line="240" w:lineRule="auto"/>
    </w:pPr>
  </w:style>
  <w:style w:type="character" w:customStyle="1" w:styleId="TextocomentarioCar">
    <w:name w:val="Texto comentario Car"/>
    <w:basedOn w:val="Fuentedeprrafopredeter"/>
    <w:link w:val="Textocomentario"/>
    <w:uiPriority w:val="99"/>
    <w:semiHidden/>
    <w:rsid w:val="0067792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7792B"/>
    <w:rPr>
      <w:b/>
      <w:bCs/>
    </w:rPr>
  </w:style>
  <w:style w:type="character" w:customStyle="1" w:styleId="AsuntodelcomentarioCar">
    <w:name w:val="Asunto del comentario Car"/>
    <w:basedOn w:val="TextocomentarioCar"/>
    <w:link w:val="Asuntodelcomentario"/>
    <w:uiPriority w:val="99"/>
    <w:semiHidden/>
    <w:rsid w:val="0067792B"/>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67792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7792B"/>
    <w:rPr>
      <w:rFonts w:ascii="Tahoma" w:eastAsia="Times New Roman" w:hAnsi="Tahoma" w:cs="Tahoma"/>
      <w:sz w:val="16"/>
      <w:szCs w:val="16"/>
      <w:lang w:val="es-ES" w:eastAsia="es-ES"/>
    </w:rPr>
  </w:style>
  <w:style w:type="character" w:customStyle="1" w:styleId="Ttulo3Car">
    <w:name w:val="Título 3 Car"/>
    <w:basedOn w:val="Fuentedeprrafopredeter"/>
    <w:link w:val="Ttulo3"/>
    <w:uiPriority w:val="9"/>
    <w:rsid w:val="008D4CD1"/>
    <w:rPr>
      <w:rFonts w:ascii="Times New Roman" w:eastAsia="Times New Roman" w:hAnsi="Times New Roman" w:cs="Times New Roman"/>
      <w:b/>
      <w:bCs/>
      <w:sz w:val="27"/>
      <w:szCs w:val="27"/>
      <w:lang w:eastAsia="es-VE"/>
    </w:rPr>
  </w:style>
  <w:style w:type="paragraph" w:styleId="NormalWeb">
    <w:name w:val="Normal (Web)"/>
    <w:basedOn w:val="Normal"/>
    <w:uiPriority w:val="99"/>
    <w:semiHidden/>
    <w:unhideWhenUsed/>
    <w:rsid w:val="008D4CD1"/>
    <w:pPr>
      <w:spacing w:before="100" w:beforeAutospacing="1" w:after="100" w:afterAutospacing="1" w:line="240" w:lineRule="auto"/>
    </w:pPr>
    <w:rPr>
      <w:sz w:val="24"/>
      <w:szCs w:val="24"/>
      <w:lang w:val="es-VE" w:eastAsia="es-VE"/>
    </w:rPr>
  </w:style>
  <w:style w:type="character" w:customStyle="1" w:styleId="Ttulo1Car">
    <w:name w:val="Título 1 Car"/>
    <w:basedOn w:val="Fuentedeprrafopredeter"/>
    <w:link w:val="Ttulo1"/>
    <w:uiPriority w:val="9"/>
    <w:rsid w:val="000436E3"/>
    <w:rPr>
      <w:rFonts w:asciiTheme="majorHAnsi" w:eastAsiaTheme="majorEastAsia" w:hAnsiTheme="majorHAnsi" w:cstheme="majorBidi"/>
      <w:b/>
      <w:bCs/>
      <w:color w:val="365F91" w:themeColor="accent1" w:themeShade="BF"/>
      <w:sz w:val="28"/>
      <w:szCs w:val="28"/>
      <w:lang w:val="es-ES" w:eastAsia="es-ES"/>
    </w:rPr>
  </w:style>
  <w:style w:type="paragraph" w:styleId="Textoindependiente">
    <w:name w:val="Body Text"/>
    <w:basedOn w:val="Normal"/>
    <w:link w:val="TextoindependienteCar"/>
    <w:rsid w:val="000436E3"/>
    <w:pPr>
      <w:spacing w:line="720" w:lineRule="auto"/>
      <w:jc w:val="center"/>
    </w:pPr>
    <w:rPr>
      <w:sz w:val="24"/>
      <w:szCs w:val="24"/>
    </w:rPr>
  </w:style>
  <w:style w:type="character" w:customStyle="1" w:styleId="TextoindependienteCar">
    <w:name w:val="Texto independiente Car"/>
    <w:basedOn w:val="Fuentedeprrafopredeter"/>
    <w:link w:val="Textoindependiente"/>
    <w:rsid w:val="000436E3"/>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671FC0"/>
    <w:rPr>
      <w:b/>
      <w:bCs/>
    </w:rPr>
  </w:style>
  <w:style w:type="paragraph" w:styleId="Encabezado">
    <w:name w:val="header"/>
    <w:basedOn w:val="Normal"/>
    <w:link w:val="EncabezadoCar"/>
    <w:uiPriority w:val="99"/>
    <w:unhideWhenUsed/>
    <w:rsid w:val="00E449DA"/>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E449DA"/>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E449DA"/>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E449DA"/>
    <w:rPr>
      <w:rFonts w:ascii="Times New Roman" w:eastAsia="Times New Roman" w:hAnsi="Times New Roman" w:cs="Times New Roman"/>
      <w:sz w:val="20"/>
      <w:szCs w:val="20"/>
      <w:lang w:val="es-ES" w:eastAsia="es-ES"/>
    </w:rPr>
  </w:style>
  <w:style w:type="character" w:customStyle="1" w:styleId="A8">
    <w:name w:val="A8"/>
    <w:uiPriority w:val="99"/>
    <w:rsid w:val="007E7826"/>
    <w:rPr>
      <w:b/>
      <w:bCs/>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V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A7A"/>
    <w:pPr>
      <w:spacing w:after="0" w:line="240" w:lineRule="atLeast"/>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0436E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link w:val="Ttulo3Car"/>
    <w:uiPriority w:val="9"/>
    <w:qFormat/>
    <w:rsid w:val="008D4CD1"/>
    <w:pPr>
      <w:spacing w:before="100" w:beforeAutospacing="1" w:after="100" w:afterAutospacing="1" w:line="240" w:lineRule="auto"/>
      <w:outlineLvl w:val="2"/>
    </w:pPr>
    <w:rPr>
      <w:b/>
      <w:bCs/>
      <w:sz w:val="27"/>
      <w:szCs w:val="27"/>
      <w:lang w:val="es-VE" w:eastAsia="es-V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A3A4F"/>
    <w:pPr>
      <w:ind w:left="720"/>
      <w:contextualSpacing/>
    </w:p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Ca,ﬂnotentext,FA,Car,ft"/>
    <w:basedOn w:val="Normal"/>
    <w:link w:val="TextonotapieCar"/>
    <w:uiPriority w:val="99"/>
    <w:unhideWhenUsed/>
    <w:qFormat/>
    <w:rsid w:val="00682B02"/>
    <w:pPr>
      <w:spacing w:line="240" w:lineRule="auto"/>
    </w:p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 Car,Ca Car"/>
    <w:basedOn w:val="Fuentedeprrafopredeter"/>
    <w:link w:val="Textonotapie"/>
    <w:uiPriority w:val="99"/>
    <w:rsid w:val="00682B02"/>
    <w:rPr>
      <w:rFonts w:ascii="Times New Roman" w:eastAsia="Times New Roman" w:hAnsi="Times New Roman" w:cs="Times New Roman"/>
      <w:sz w:val="20"/>
      <w:szCs w:val="20"/>
      <w:lang w:val="es-ES" w:eastAsia="es-ES"/>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Nota a pie,FC"/>
    <w:basedOn w:val="Fuentedeprrafopredeter"/>
    <w:uiPriority w:val="99"/>
    <w:unhideWhenUsed/>
    <w:qFormat/>
    <w:rsid w:val="00682B02"/>
    <w:rPr>
      <w:vertAlign w:val="superscript"/>
    </w:rPr>
  </w:style>
  <w:style w:type="character" w:styleId="Hipervnculo">
    <w:name w:val="Hyperlink"/>
    <w:basedOn w:val="Fuentedeprrafopredeter"/>
    <w:uiPriority w:val="99"/>
    <w:unhideWhenUsed/>
    <w:rsid w:val="00F66869"/>
    <w:rPr>
      <w:color w:val="0000FF" w:themeColor="hyperlink"/>
      <w:u w:val="single"/>
    </w:rPr>
  </w:style>
  <w:style w:type="character" w:customStyle="1" w:styleId="apple-converted-space">
    <w:name w:val="apple-converted-space"/>
    <w:basedOn w:val="Fuentedeprrafopredeter"/>
    <w:rsid w:val="00F66869"/>
  </w:style>
  <w:style w:type="paragraph" w:customStyle="1" w:styleId="Documento">
    <w:name w:val="Documento"/>
    <w:rsid w:val="00C2511D"/>
    <w:pPr>
      <w:widowControl w:val="0"/>
      <w:autoSpaceDE w:val="0"/>
      <w:autoSpaceDN w:val="0"/>
      <w:adjustRightInd w:val="0"/>
      <w:spacing w:after="0" w:line="240" w:lineRule="auto"/>
      <w:jc w:val="center"/>
    </w:pPr>
    <w:rPr>
      <w:rFonts w:ascii="Arial" w:eastAsia="Times New Roman" w:hAnsi="Arial" w:cs="Arial"/>
      <w:b/>
      <w:bCs/>
      <w:i/>
      <w:iCs/>
      <w:color w:val="0000FF"/>
      <w:sz w:val="24"/>
      <w:szCs w:val="24"/>
      <w:lang w:val="es-ES" w:eastAsia="es-ES"/>
    </w:rPr>
  </w:style>
  <w:style w:type="paragraph" w:customStyle="1" w:styleId="Articulo">
    <w:name w:val="Articulo"/>
    <w:rsid w:val="0081578A"/>
    <w:pPr>
      <w:widowControl w:val="0"/>
      <w:autoSpaceDE w:val="0"/>
      <w:autoSpaceDN w:val="0"/>
      <w:adjustRightInd w:val="0"/>
      <w:spacing w:after="0" w:line="240" w:lineRule="auto"/>
    </w:pPr>
    <w:rPr>
      <w:rFonts w:ascii="Arial" w:eastAsia="Times New Roman" w:hAnsi="Arial" w:cs="Arial"/>
      <w:b/>
      <w:bCs/>
      <w:color w:val="0000FF"/>
      <w:sz w:val="20"/>
      <w:szCs w:val="20"/>
      <w:lang w:val="es-ES" w:eastAsia="es-ES"/>
    </w:rPr>
  </w:style>
  <w:style w:type="character" w:styleId="Refdecomentario">
    <w:name w:val="annotation reference"/>
    <w:basedOn w:val="Fuentedeprrafopredeter"/>
    <w:uiPriority w:val="99"/>
    <w:semiHidden/>
    <w:unhideWhenUsed/>
    <w:rsid w:val="0067792B"/>
    <w:rPr>
      <w:sz w:val="16"/>
      <w:szCs w:val="16"/>
    </w:rPr>
  </w:style>
  <w:style w:type="paragraph" w:styleId="Textocomentario">
    <w:name w:val="annotation text"/>
    <w:basedOn w:val="Normal"/>
    <w:link w:val="TextocomentarioCar"/>
    <w:uiPriority w:val="99"/>
    <w:semiHidden/>
    <w:unhideWhenUsed/>
    <w:rsid w:val="0067792B"/>
    <w:pPr>
      <w:spacing w:line="240" w:lineRule="auto"/>
    </w:pPr>
  </w:style>
  <w:style w:type="character" w:customStyle="1" w:styleId="TextocomentarioCar">
    <w:name w:val="Texto comentario Car"/>
    <w:basedOn w:val="Fuentedeprrafopredeter"/>
    <w:link w:val="Textocomentario"/>
    <w:uiPriority w:val="99"/>
    <w:semiHidden/>
    <w:rsid w:val="0067792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7792B"/>
    <w:rPr>
      <w:b/>
      <w:bCs/>
    </w:rPr>
  </w:style>
  <w:style w:type="character" w:customStyle="1" w:styleId="AsuntodelcomentarioCar">
    <w:name w:val="Asunto del comentario Car"/>
    <w:basedOn w:val="TextocomentarioCar"/>
    <w:link w:val="Asuntodelcomentario"/>
    <w:uiPriority w:val="99"/>
    <w:semiHidden/>
    <w:rsid w:val="0067792B"/>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67792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7792B"/>
    <w:rPr>
      <w:rFonts w:ascii="Tahoma" w:eastAsia="Times New Roman" w:hAnsi="Tahoma" w:cs="Tahoma"/>
      <w:sz w:val="16"/>
      <w:szCs w:val="16"/>
      <w:lang w:val="es-ES" w:eastAsia="es-ES"/>
    </w:rPr>
  </w:style>
  <w:style w:type="character" w:customStyle="1" w:styleId="Ttulo3Car">
    <w:name w:val="Título 3 Car"/>
    <w:basedOn w:val="Fuentedeprrafopredeter"/>
    <w:link w:val="Ttulo3"/>
    <w:uiPriority w:val="9"/>
    <w:rsid w:val="008D4CD1"/>
    <w:rPr>
      <w:rFonts w:ascii="Times New Roman" w:eastAsia="Times New Roman" w:hAnsi="Times New Roman" w:cs="Times New Roman"/>
      <w:b/>
      <w:bCs/>
      <w:sz w:val="27"/>
      <w:szCs w:val="27"/>
      <w:lang w:eastAsia="es-VE"/>
    </w:rPr>
  </w:style>
  <w:style w:type="paragraph" w:styleId="NormalWeb">
    <w:name w:val="Normal (Web)"/>
    <w:basedOn w:val="Normal"/>
    <w:uiPriority w:val="99"/>
    <w:semiHidden/>
    <w:unhideWhenUsed/>
    <w:rsid w:val="008D4CD1"/>
    <w:pPr>
      <w:spacing w:before="100" w:beforeAutospacing="1" w:after="100" w:afterAutospacing="1" w:line="240" w:lineRule="auto"/>
    </w:pPr>
    <w:rPr>
      <w:sz w:val="24"/>
      <w:szCs w:val="24"/>
      <w:lang w:val="es-VE" w:eastAsia="es-VE"/>
    </w:rPr>
  </w:style>
  <w:style w:type="character" w:customStyle="1" w:styleId="Ttulo1Car">
    <w:name w:val="Título 1 Car"/>
    <w:basedOn w:val="Fuentedeprrafopredeter"/>
    <w:link w:val="Ttulo1"/>
    <w:uiPriority w:val="9"/>
    <w:rsid w:val="000436E3"/>
    <w:rPr>
      <w:rFonts w:asciiTheme="majorHAnsi" w:eastAsiaTheme="majorEastAsia" w:hAnsiTheme="majorHAnsi" w:cstheme="majorBidi"/>
      <w:b/>
      <w:bCs/>
      <w:color w:val="365F91" w:themeColor="accent1" w:themeShade="BF"/>
      <w:sz w:val="28"/>
      <w:szCs w:val="28"/>
      <w:lang w:val="es-ES" w:eastAsia="es-ES"/>
    </w:rPr>
  </w:style>
  <w:style w:type="paragraph" w:styleId="Textoindependiente">
    <w:name w:val="Body Text"/>
    <w:basedOn w:val="Normal"/>
    <w:link w:val="TextoindependienteCar"/>
    <w:rsid w:val="000436E3"/>
    <w:pPr>
      <w:spacing w:line="720" w:lineRule="auto"/>
      <w:jc w:val="center"/>
    </w:pPr>
    <w:rPr>
      <w:sz w:val="24"/>
      <w:szCs w:val="24"/>
    </w:rPr>
  </w:style>
  <w:style w:type="character" w:customStyle="1" w:styleId="TextoindependienteCar">
    <w:name w:val="Texto independiente Car"/>
    <w:basedOn w:val="Fuentedeprrafopredeter"/>
    <w:link w:val="Textoindependiente"/>
    <w:rsid w:val="000436E3"/>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671FC0"/>
    <w:rPr>
      <w:b/>
      <w:bCs/>
    </w:rPr>
  </w:style>
  <w:style w:type="paragraph" w:styleId="Encabezado">
    <w:name w:val="header"/>
    <w:basedOn w:val="Normal"/>
    <w:link w:val="EncabezadoCar"/>
    <w:uiPriority w:val="99"/>
    <w:unhideWhenUsed/>
    <w:rsid w:val="00E449DA"/>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E449DA"/>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E449DA"/>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E449DA"/>
    <w:rPr>
      <w:rFonts w:ascii="Times New Roman" w:eastAsia="Times New Roman" w:hAnsi="Times New Roman" w:cs="Times New Roman"/>
      <w:sz w:val="20"/>
      <w:szCs w:val="20"/>
      <w:lang w:val="es-ES" w:eastAsia="es-ES"/>
    </w:rPr>
  </w:style>
  <w:style w:type="character" w:customStyle="1" w:styleId="A8">
    <w:name w:val="A8"/>
    <w:uiPriority w:val="99"/>
    <w:rsid w:val="007E7826"/>
    <w:rPr>
      <w:b/>
      <w:bCs/>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905774">
      <w:bodyDiv w:val="1"/>
      <w:marLeft w:val="0"/>
      <w:marRight w:val="0"/>
      <w:marTop w:val="0"/>
      <w:marBottom w:val="0"/>
      <w:divBdr>
        <w:top w:val="none" w:sz="0" w:space="0" w:color="auto"/>
        <w:left w:val="none" w:sz="0" w:space="0" w:color="auto"/>
        <w:bottom w:val="none" w:sz="0" w:space="0" w:color="auto"/>
        <w:right w:val="none" w:sz="0" w:space="0" w:color="auto"/>
      </w:divBdr>
    </w:div>
    <w:div w:id="774059253">
      <w:bodyDiv w:val="1"/>
      <w:marLeft w:val="0"/>
      <w:marRight w:val="0"/>
      <w:marTop w:val="0"/>
      <w:marBottom w:val="0"/>
      <w:divBdr>
        <w:top w:val="none" w:sz="0" w:space="0" w:color="auto"/>
        <w:left w:val="none" w:sz="0" w:space="0" w:color="auto"/>
        <w:bottom w:val="none" w:sz="0" w:space="0" w:color="auto"/>
        <w:right w:val="none" w:sz="0" w:space="0" w:color="auto"/>
      </w:divBdr>
    </w:div>
    <w:div w:id="201440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historico.tsj.gob.ve/gaceta_ext/noviembre/18112014/E-18112014-4141.pdf" TargetMode="External"/><Relationship Id="rId3" Type="http://schemas.openxmlformats.org/officeDocument/2006/relationships/hyperlink" Target="http://historico.tsj.gob.ve/gaceta/noviembre/131100/131100-37076-01.html" TargetMode="External"/><Relationship Id="rId7" Type="http://schemas.openxmlformats.org/officeDocument/2006/relationships/hyperlink" Target="http://historico.tsj.gob.ve/gaceta_ext/noviembre/18112014/E-18112014-4142.pdf" TargetMode="External"/><Relationship Id="rId12" Type="http://schemas.openxmlformats.org/officeDocument/2006/relationships/hyperlink" Target="http://www.oas.org/es/cidh/docs/anual/2013/docs-es/InformeAnual-Cap4-Venezuela.pdf" TargetMode="External"/><Relationship Id="rId2" Type="http://schemas.openxmlformats.org/officeDocument/2006/relationships/hyperlink" Target="http://www.cne.gob.ve/web/normativa_electoral/constitucion/titulo5.php" TargetMode="External"/><Relationship Id="rId1" Type="http://schemas.openxmlformats.org/officeDocument/2006/relationships/hyperlink" Target="http://www.corteidh.or.cr/docs/opiniones/seriea_06_esp.pdf" TargetMode="External"/><Relationship Id="rId6" Type="http://schemas.openxmlformats.org/officeDocument/2006/relationships/hyperlink" Target="http://historico.tsj.gob.ve/gaceta_ext/noviembre/19112013/E-19112013-3843.pdf" TargetMode="External"/><Relationship Id="rId11" Type="http://schemas.openxmlformats.org/officeDocument/2006/relationships/hyperlink" Target="http://historico.tsj.gob.ve/gaceta_ext/marzo/1532015/E-1532015-4236.pdf" TargetMode="External"/><Relationship Id="rId5" Type="http://schemas.openxmlformats.org/officeDocument/2006/relationships/hyperlink" Target="http://historico.tsj.gov.ve/gaceta/marzo/232011/232011-3087.pdf" TargetMode="External"/><Relationship Id="rId10" Type="http://schemas.openxmlformats.org/officeDocument/2006/relationships/hyperlink" Target="http://historico.tsj.gob.ve/gaceta_ext/noviembre/19112014/E-19112014-4233.pdf" TargetMode="External"/><Relationship Id="rId4" Type="http://schemas.openxmlformats.org/officeDocument/2006/relationships/hyperlink" Target="http://historico.tsj.gov.ve/gaceta/diciembre/17122010/17122010-3028.pdf" TargetMode="External"/><Relationship Id="rId9" Type="http://schemas.openxmlformats.org/officeDocument/2006/relationships/hyperlink" Target="http://historico.tsj.gob.ve/gaceta_ext/noviembre/19112014/E-19112014-423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B09883-4439-4033-9F0B-E277CFCA1A44}"/>
</file>

<file path=customXml/itemProps2.xml><?xml version="1.0" encoding="utf-8"?>
<ds:datastoreItem xmlns:ds="http://schemas.openxmlformats.org/officeDocument/2006/customXml" ds:itemID="{F0FE21F3-04E6-44AB-9283-D3AB1BD223AC}"/>
</file>

<file path=customXml/itemProps3.xml><?xml version="1.0" encoding="utf-8"?>
<ds:datastoreItem xmlns:ds="http://schemas.openxmlformats.org/officeDocument/2006/customXml" ds:itemID="{9480F857-7FAF-4F93-89A0-3C0EE907FE4B}"/>
</file>

<file path=customXml/itemProps4.xml><?xml version="1.0" encoding="utf-8"?>
<ds:datastoreItem xmlns:ds="http://schemas.openxmlformats.org/officeDocument/2006/customXml" ds:itemID="{B9DA70B9-1D72-4B9D-A798-E83F3A06C431}"/>
</file>

<file path=docProps/app.xml><?xml version="1.0" encoding="utf-8"?>
<Properties xmlns="http://schemas.openxmlformats.org/officeDocument/2006/extended-properties" xmlns:vt="http://schemas.openxmlformats.org/officeDocument/2006/docPropsVTypes">
  <Template>Normal</Template>
  <TotalTime>189</TotalTime>
  <Pages>9</Pages>
  <Words>2433</Words>
  <Characters>13385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MCMuskus</dc:creator>
  <cp:lastModifiedBy>MCMuskus</cp:lastModifiedBy>
  <cp:revision>27</cp:revision>
  <cp:lastPrinted>2015-06-02T20:30:00Z</cp:lastPrinted>
  <dcterms:created xsi:type="dcterms:W3CDTF">2015-05-25T17:06:00Z</dcterms:created>
  <dcterms:modified xsi:type="dcterms:W3CDTF">2015-06-02T20:30:00Z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