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6F" w:rsidRDefault="00DE0A6F" w:rsidP="00304595">
      <w:pPr>
        <w:autoSpaceDE w:val="0"/>
        <w:autoSpaceDN w:val="0"/>
        <w:adjustRightInd w:val="0"/>
        <w:jc w:val="center"/>
        <w:rPr>
          <w:b/>
          <w:color w:val="000000"/>
          <w:lang w:val="es-AR" w:eastAsia="en-US"/>
        </w:rPr>
      </w:pPr>
      <w:bookmarkStart w:id="0" w:name="_GoBack"/>
      <w:bookmarkEnd w:id="0"/>
      <w:r w:rsidRPr="00DE0A6F">
        <w:rPr>
          <w:b/>
          <w:color w:val="000000"/>
          <w:lang w:val="es-AR" w:eastAsia="en-US"/>
        </w:rPr>
        <w:t>ANEXO</w:t>
      </w:r>
      <w:r w:rsidR="00F50600">
        <w:rPr>
          <w:b/>
          <w:color w:val="000000"/>
          <w:lang w:val="es-AR" w:eastAsia="en-US"/>
        </w:rPr>
        <w:t xml:space="preserve"> A LA CUESTION 21</w:t>
      </w:r>
    </w:p>
    <w:p w:rsidR="00DE0A6F" w:rsidRPr="00DE0A6F" w:rsidRDefault="00DE0A6F" w:rsidP="00304595">
      <w:pPr>
        <w:autoSpaceDE w:val="0"/>
        <w:autoSpaceDN w:val="0"/>
        <w:adjustRightInd w:val="0"/>
        <w:jc w:val="center"/>
        <w:rPr>
          <w:b/>
          <w:color w:val="000000"/>
          <w:lang w:val="es-AR" w:eastAsia="en-US"/>
        </w:rPr>
      </w:pPr>
    </w:p>
    <w:p w:rsidR="00FD3F1D" w:rsidRDefault="007C2073" w:rsidP="00304595">
      <w:pPr>
        <w:autoSpaceDE w:val="0"/>
        <w:autoSpaceDN w:val="0"/>
        <w:adjustRightInd w:val="0"/>
        <w:jc w:val="center"/>
        <w:rPr>
          <w:color w:val="000000"/>
          <w:lang w:val="es-AR" w:eastAsia="en-US"/>
        </w:rPr>
      </w:pPr>
      <w:r>
        <w:rPr>
          <w:b/>
          <w:color w:val="000000"/>
          <w:u w:val="single"/>
          <w:lang w:val="es-AR" w:eastAsia="en-US"/>
        </w:rPr>
        <w:t xml:space="preserve">INFORME 106 DE LA </w:t>
      </w:r>
      <w:r w:rsidR="00304595">
        <w:rPr>
          <w:b/>
          <w:color w:val="000000"/>
          <w:u w:val="single"/>
          <w:lang w:val="es-AR" w:eastAsia="en-US"/>
        </w:rPr>
        <w:t>JEFATURA DEL GABINETE DE MINISTROS</w:t>
      </w:r>
    </w:p>
    <w:p w:rsidR="007C2073" w:rsidRDefault="007C2073" w:rsidP="00304595">
      <w:pPr>
        <w:autoSpaceDE w:val="0"/>
        <w:autoSpaceDN w:val="0"/>
        <w:adjustRightInd w:val="0"/>
        <w:jc w:val="center"/>
        <w:rPr>
          <w:color w:val="000000"/>
          <w:lang w:val="es-AR" w:eastAsia="en-US"/>
        </w:rPr>
      </w:pPr>
    </w:p>
    <w:p w:rsidR="00FD3F1D" w:rsidRPr="00FD3F1D" w:rsidRDefault="00FD3F1D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 w:rsidRPr="00FD3F1D">
        <w:rPr>
          <w:color w:val="000000"/>
          <w:lang w:val="es-AR" w:eastAsia="en-US"/>
        </w:rPr>
        <w:t>El impacto de los agroquímicos en la salud ha sido y es objeto de numerosos estudios</w:t>
      </w:r>
      <w:r w:rsidR="007C2073">
        <w:rPr>
          <w:color w:val="000000"/>
          <w:lang w:val="es-AR" w:eastAsia="en-US"/>
        </w:rPr>
        <w:t xml:space="preserve"> </w:t>
      </w:r>
      <w:r w:rsidRPr="00FD3F1D">
        <w:rPr>
          <w:color w:val="000000"/>
          <w:lang w:val="es-AR" w:eastAsia="en-US"/>
        </w:rPr>
        <w:t>realizados en el país, en su gran mayoría con financiación estatal. Para facilitar el acceso a los mismos nos permitimos anexar una serie de trabajos recopilados recientemente por el Ministerio de Ciencia, Tecnología e Innovación Productiva y los estudios realizados por iniciativa y/o con participación del Ministerio de Salud de la Nación.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1E0C45" w:rsidRPr="00FD3F1D">
        <w:rPr>
          <w:color w:val="000000"/>
          <w:lang w:val="es-AR" w:eastAsia="en-US"/>
        </w:rPr>
        <w:t xml:space="preserve">Estudio </w:t>
      </w:r>
      <w:r w:rsidR="001E0C45">
        <w:rPr>
          <w:color w:val="000000"/>
          <w:lang w:val="es-AR" w:eastAsia="en-US"/>
        </w:rPr>
        <w:t>d</w:t>
      </w:r>
      <w:r w:rsidR="001E0C45" w:rsidRPr="00FD3F1D">
        <w:rPr>
          <w:color w:val="000000"/>
          <w:lang w:val="es-AR" w:eastAsia="en-US"/>
        </w:rPr>
        <w:t xml:space="preserve">e Mortalidad </w:t>
      </w:r>
      <w:r w:rsidR="001E0C45">
        <w:rPr>
          <w:color w:val="000000"/>
          <w:lang w:val="es-AR" w:eastAsia="en-US"/>
        </w:rPr>
        <w:t>p</w:t>
      </w:r>
      <w:r w:rsidR="001E0C45" w:rsidRPr="00FD3F1D">
        <w:rPr>
          <w:color w:val="000000"/>
          <w:lang w:val="es-AR" w:eastAsia="en-US"/>
        </w:rPr>
        <w:t xml:space="preserve">or Malformaciones Congénitas </w:t>
      </w:r>
      <w:r w:rsidR="001E0C45">
        <w:rPr>
          <w:color w:val="000000"/>
          <w:lang w:val="es-AR" w:eastAsia="en-US"/>
        </w:rPr>
        <w:t>y</w:t>
      </w:r>
      <w:r w:rsidR="001E0C45" w:rsidRPr="00FD3F1D">
        <w:rPr>
          <w:color w:val="000000"/>
          <w:lang w:val="es-AR" w:eastAsia="en-US"/>
        </w:rPr>
        <w:t xml:space="preserve"> Cáncer</w:t>
      </w:r>
      <w:r w:rsidR="00FD3F1D" w:rsidRPr="00FD3F1D">
        <w:rPr>
          <w:color w:val="000000"/>
          <w:lang w:val="es-AR" w:eastAsia="en-US"/>
        </w:rPr>
        <w:t xml:space="preserve">: Informe preliminar del Estudio sobre “Magnitud, Distribución y Tendencia de la Mortalidad por Malformaciones Congénitas y Tumores en la República Argentina, 1980- 2010. Grupo de Epidemiología de Primavera 2012. Epidemiología y Salud Pública de la Facultad de Bioquímica y Ciencias Biológicas de la Universidad Nacional del Litoral y el Registro Nacional de Anomalías Congénitas (RENAC) del Programa Nacional de Genética y la implementación de registros provinciales de malformaciones.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Exposición a agroquímicos y malformaciones congénitas: estudio ecológico basado en información del registro nacional de anomalías congénitas (RENAC).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Proyectos de investigación sobre el impacto de los plaguicidas en la salud humana y en el ambiente ejecutados por unidades académicas universitarias con fondos de la UBA y del ex -</w:t>
      </w:r>
      <w:proofErr w:type="spellStart"/>
      <w:r w:rsidR="00FD3F1D" w:rsidRPr="00FD3F1D">
        <w:rPr>
          <w:color w:val="000000"/>
          <w:lang w:val="es-AR" w:eastAsia="en-US"/>
        </w:rPr>
        <w:t>MAGyP</w:t>
      </w:r>
      <w:proofErr w:type="spellEnd"/>
      <w:r w:rsidR="00FD3F1D" w:rsidRPr="00FD3F1D">
        <w:rPr>
          <w:color w:val="000000"/>
          <w:lang w:val="es-AR" w:eastAsia="en-US"/>
        </w:rPr>
        <w:t>. Unidades Ejecutoras: Universidad de Agronomía-UBA y Centro</w:t>
      </w:r>
    </w:p>
    <w:p w:rsidR="00FD3F1D" w:rsidRPr="00FD3F1D" w:rsidRDefault="00FD3F1D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 w:rsidRPr="00FD3F1D">
        <w:rPr>
          <w:color w:val="000000"/>
          <w:lang w:val="es-AR" w:eastAsia="en-US"/>
        </w:rPr>
        <w:t xml:space="preserve">Nacional de Toxicología Analítica – Cátedra de Toxicología y Química Legal – Facultad de Farmacia y Bioquímica – UBA, Responsable: Prof. Dra. </w:t>
      </w:r>
      <w:proofErr w:type="spellStart"/>
      <w:r w:rsidRPr="00FD3F1D">
        <w:rPr>
          <w:color w:val="000000"/>
          <w:lang w:val="es-AR" w:eastAsia="en-US"/>
        </w:rPr>
        <w:t>Edda</w:t>
      </w:r>
      <w:proofErr w:type="spellEnd"/>
      <w:r w:rsidRPr="00FD3F1D">
        <w:rPr>
          <w:color w:val="000000"/>
          <w:lang w:val="es-AR" w:eastAsia="en-US"/>
        </w:rPr>
        <w:t xml:space="preserve"> </w:t>
      </w:r>
      <w:proofErr w:type="spellStart"/>
      <w:r w:rsidRPr="00FD3F1D">
        <w:rPr>
          <w:color w:val="000000"/>
          <w:lang w:val="es-AR" w:eastAsia="en-US"/>
        </w:rPr>
        <w:t>Villaamil</w:t>
      </w:r>
      <w:proofErr w:type="spellEnd"/>
      <w:r w:rsidRPr="00FD3F1D">
        <w:rPr>
          <w:color w:val="000000"/>
          <w:lang w:val="es-AR" w:eastAsia="en-US"/>
        </w:rPr>
        <w:t xml:space="preserve"> </w:t>
      </w:r>
      <w:proofErr w:type="spellStart"/>
      <w:r w:rsidRPr="00FD3F1D">
        <w:rPr>
          <w:color w:val="000000"/>
          <w:lang w:val="es-AR" w:eastAsia="en-US"/>
        </w:rPr>
        <w:t>Lepori</w:t>
      </w:r>
      <w:proofErr w:type="spellEnd"/>
      <w:r w:rsidRPr="00FD3F1D">
        <w:rPr>
          <w:color w:val="000000"/>
          <w:lang w:val="es-AR" w:eastAsia="en-US"/>
        </w:rPr>
        <w:t xml:space="preserve">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Utilización de plaguicidas en las prácticas agrícolas periurbanas: exposición dérmica potencial de floricultores e impacto sobre el suelo de los horticultores. Universidad Nacional de General Sarmiento. G Querejeta et al.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Valoración de la exposición a plaguicidas en cultivos extensivos de la argentina y su potencial impacto sobre la salud –Ministerio de Salud a través de SALUD INVESTIGA.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Número de casos de tumores registrados por el </w:t>
      </w:r>
      <w:proofErr w:type="spellStart"/>
      <w:r w:rsidR="00FD3F1D" w:rsidRPr="00FD3F1D">
        <w:rPr>
          <w:color w:val="000000"/>
          <w:lang w:val="es-AR" w:eastAsia="en-US"/>
        </w:rPr>
        <w:t>roha</w:t>
      </w:r>
      <w:proofErr w:type="spellEnd"/>
      <w:r w:rsidR="00FD3F1D" w:rsidRPr="00FD3F1D">
        <w:rPr>
          <w:color w:val="000000"/>
          <w:lang w:val="es-AR" w:eastAsia="en-US"/>
        </w:rPr>
        <w:t xml:space="preserve"> y superficie implantada para regiones de Argentina del PRECOTOX, presentado en el Congreso Argentino de Toxicología de la Asociación Toxicológica Argentina. Tandil 2011.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Resultados preliminares del Estudio “Mortalidad por cáncer en Córdoba y superficie sembrada” del PRECOTOX, presentado en el Congreso Iberoamericano de Toxicología, III Congreso Iberoamericano de Salud Ambiental y Desarrollo Sustentable. Comodoro Rivadavia 2014.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Estudios de incidencia de cáncer en Ledesma (Jujuy) en colaboración con el Programa de Residencia en Epidemiología del Ministerio de Salud de la Nación.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Elaboración de una metodología de evaluación de percepción de riesgos para la salud asociados al uso y exposición a Plaguicidas. Implementada en la evaluación de población horticultora del Valle Inferior del Río Chubut y de </w:t>
      </w:r>
      <w:proofErr w:type="spellStart"/>
      <w:r w:rsidR="00FD3F1D" w:rsidRPr="00FD3F1D">
        <w:rPr>
          <w:color w:val="000000"/>
          <w:lang w:val="es-AR" w:eastAsia="en-US"/>
        </w:rPr>
        <w:t>Maimará</w:t>
      </w:r>
      <w:proofErr w:type="spellEnd"/>
      <w:r w:rsidR="00FD3F1D" w:rsidRPr="00FD3F1D">
        <w:rPr>
          <w:color w:val="000000"/>
          <w:lang w:val="es-AR" w:eastAsia="en-US"/>
        </w:rPr>
        <w:t xml:space="preserve"> (Jujuy). </w:t>
      </w:r>
    </w:p>
    <w:p w:rsidR="00FD3F1D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Evaluación de la exposición a plaguicidas en población humana en Argentina; Unidad Ejecutora: Centro Nacional de Toxicología Analítica – Cátedra de Toxicología y Química Legal – Facultad de Farmacia y Bioquímica – UBA, Responsable: Prof. Dra. </w:t>
      </w:r>
      <w:proofErr w:type="spellStart"/>
      <w:r w:rsidR="00FD3F1D" w:rsidRPr="00FD3F1D">
        <w:rPr>
          <w:color w:val="000000"/>
          <w:lang w:val="es-AR" w:eastAsia="en-US"/>
        </w:rPr>
        <w:t>Edda</w:t>
      </w:r>
      <w:proofErr w:type="spellEnd"/>
      <w:r w:rsidR="00FD3F1D" w:rsidRPr="00FD3F1D">
        <w:rPr>
          <w:color w:val="000000"/>
          <w:lang w:val="es-AR" w:eastAsia="en-US"/>
        </w:rPr>
        <w:t xml:space="preserve"> </w:t>
      </w:r>
      <w:proofErr w:type="spellStart"/>
      <w:r w:rsidR="00FD3F1D" w:rsidRPr="00FD3F1D">
        <w:rPr>
          <w:color w:val="000000"/>
          <w:lang w:val="es-AR" w:eastAsia="en-US"/>
        </w:rPr>
        <w:t>Villaamil</w:t>
      </w:r>
      <w:proofErr w:type="spellEnd"/>
      <w:r w:rsidR="00FD3F1D" w:rsidRPr="00FD3F1D">
        <w:rPr>
          <w:color w:val="000000"/>
          <w:lang w:val="es-AR" w:eastAsia="en-US"/>
        </w:rPr>
        <w:t xml:space="preserve"> </w:t>
      </w:r>
      <w:proofErr w:type="spellStart"/>
      <w:r w:rsidR="00FD3F1D" w:rsidRPr="00FD3F1D">
        <w:rPr>
          <w:color w:val="000000"/>
          <w:lang w:val="es-AR" w:eastAsia="en-US"/>
        </w:rPr>
        <w:t>Lepori</w:t>
      </w:r>
      <w:proofErr w:type="spellEnd"/>
      <w:r w:rsidR="00FD3F1D" w:rsidRPr="00FD3F1D">
        <w:rPr>
          <w:color w:val="000000"/>
          <w:lang w:val="es-AR" w:eastAsia="en-US"/>
        </w:rPr>
        <w:t xml:space="preserve">. </w:t>
      </w:r>
    </w:p>
    <w:p w:rsidR="00113F6E" w:rsidRPr="00FD3F1D" w:rsidRDefault="007C2073" w:rsidP="00FD3F1D">
      <w:pPr>
        <w:autoSpaceDE w:val="0"/>
        <w:autoSpaceDN w:val="0"/>
        <w:adjustRightInd w:val="0"/>
        <w:jc w:val="both"/>
        <w:rPr>
          <w:color w:val="000000"/>
          <w:lang w:val="es-AR" w:eastAsia="en-US"/>
        </w:rPr>
      </w:pPr>
      <w:r>
        <w:rPr>
          <w:color w:val="000000"/>
          <w:lang w:val="es-AR" w:eastAsia="en-US"/>
        </w:rPr>
        <w:t>-</w:t>
      </w:r>
      <w:r w:rsidR="00FD3F1D" w:rsidRPr="00FD3F1D">
        <w:rPr>
          <w:color w:val="000000"/>
          <w:lang w:val="es-AR" w:eastAsia="en-US"/>
        </w:rPr>
        <w:t xml:space="preserve"> Agroquímicos como fuente de contaminación difusa en </w:t>
      </w:r>
      <w:proofErr w:type="spellStart"/>
      <w:r w:rsidR="00FD3F1D" w:rsidRPr="00FD3F1D">
        <w:rPr>
          <w:color w:val="000000"/>
          <w:lang w:val="es-AR" w:eastAsia="en-US"/>
        </w:rPr>
        <w:t>Agroecosistemas</w:t>
      </w:r>
      <w:proofErr w:type="spellEnd"/>
      <w:r w:rsidR="00FD3F1D" w:rsidRPr="00FD3F1D">
        <w:rPr>
          <w:color w:val="000000"/>
          <w:lang w:val="es-AR" w:eastAsia="en-US"/>
        </w:rPr>
        <w:t xml:space="preserve">, en colaboración con el Programa Nacional RECURSOS NATURALES, GESTIÓNAMBIENTAL Y ECORREGIONES de INTA. (Ver </w:t>
      </w:r>
      <w:hyperlink r:id="rId5" w:history="1">
        <w:r w:rsidR="00FD3F1D" w:rsidRPr="00FD3F1D">
          <w:rPr>
            <w:color w:val="000000"/>
            <w:lang w:val="es-AR" w:eastAsia="en-US"/>
          </w:rPr>
          <w:t>https://inta.gob.ar/proyectos/PNNAT- 1128043</w:t>
        </w:r>
      </w:hyperlink>
      <w:r w:rsidR="00FD3F1D" w:rsidRPr="00FD3F1D">
        <w:rPr>
          <w:color w:val="000000"/>
          <w:lang w:val="es-AR" w:eastAsia="en-US"/>
        </w:rPr>
        <w:t>).</w:t>
      </w:r>
    </w:p>
    <w:sectPr w:rsidR="00113F6E" w:rsidRPr="00FD3F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1D"/>
    <w:rsid w:val="00113F6E"/>
    <w:rsid w:val="001C2256"/>
    <w:rsid w:val="001E0C45"/>
    <w:rsid w:val="00304595"/>
    <w:rsid w:val="007C2073"/>
    <w:rsid w:val="008D36FA"/>
    <w:rsid w:val="00C83062"/>
    <w:rsid w:val="00DA1EE0"/>
    <w:rsid w:val="00DC05E2"/>
    <w:rsid w:val="00DE0A6F"/>
    <w:rsid w:val="00F50600"/>
    <w:rsid w:val="00FD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F1D"/>
    <w:rPr>
      <w:rFonts w:ascii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1C2256"/>
    <w:rPr>
      <w:b/>
      <w:bCs/>
    </w:rPr>
  </w:style>
  <w:style w:type="paragraph" w:styleId="Sinespaciado">
    <w:name w:val="No Spacing"/>
    <w:uiPriority w:val="1"/>
    <w:qFormat/>
    <w:rsid w:val="001C2256"/>
    <w:rPr>
      <w:sz w:val="22"/>
      <w:szCs w:val="22"/>
      <w:lang w:val="es-ES"/>
    </w:rPr>
  </w:style>
  <w:style w:type="character" w:styleId="Hipervnculo">
    <w:name w:val="Hyperlink"/>
    <w:uiPriority w:val="99"/>
    <w:unhideWhenUsed/>
    <w:rsid w:val="00FD3F1D"/>
    <w:rPr>
      <w:color w:val="0000FF"/>
      <w:u w:val="single"/>
    </w:rPr>
  </w:style>
  <w:style w:type="paragraph" w:customStyle="1" w:styleId="Default">
    <w:name w:val="Default"/>
    <w:rsid w:val="00FD3F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F1D"/>
    <w:rPr>
      <w:rFonts w:ascii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uiPriority w:val="22"/>
    <w:qFormat/>
    <w:rsid w:val="001C2256"/>
    <w:rPr>
      <w:b/>
      <w:bCs/>
    </w:rPr>
  </w:style>
  <w:style w:type="paragraph" w:styleId="Sinespaciado">
    <w:name w:val="No Spacing"/>
    <w:uiPriority w:val="1"/>
    <w:qFormat/>
    <w:rsid w:val="001C2256"/>
    <w:rPr>
      <w:sz w:val="22"/>
      <w:szCs w:val="22"/>
      <w:lang w:val="es-ES"/>
    </w:rPr>
  </w:style>
  <w:style w:type="character" w:styleId="Hipervnculo">
    <w:name w:val="Hyperlink"/>
    <w:uiPriority w:val="99"/>
    <w:unhideWhenUsed/>
    <w:rsid w:val="00FD3F1D"/>
    <w:rPr>
      <w:color w:val="0000FF"/>
      <w:u w:val="single"/>
    </w:rPr>
  </w:style>
  <w:style w:type="paragraph" w:customStyle="1" w:styleId="Default">
    <w:name w:val="Default"/>
    <w:rsid w:val="00FD3F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a.gob.ar/proyectos/PNNAT-%201128043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76CF95-BAFC-4AC6-9F95-6E7B677D1658}"/>
</file>

<file path=customXml/itemProps2.xml><?xml version="1.0" encoding="utf-8"?>
<ds:datastoreItem xmlns:ds="http://schemas.openxmlformats.org/officeDocument/2006/customXml" ds:itemID="{0CE38C9D-C736-42A9-AFBC-DDF1A008B35D}"/>
</file>

<file path=customXml/itemProps3.xml><?xml version="1.0" encoding="utf-8"?>
<ds:datastoreItem xmlns:ds="http://schemas.openxmlformats.org/officeDocument/2006/customXml" ds:itemID="{84AB3524-8C06-4CEA-9886-4DFDB45343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2931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Perel</dc:creator>
  <cp:lastModifiedBy>Albertelli, María S. (DIGHU)</cp:lastModifiedBy>
  <cp:revision>2</cp:revision>
  <dcterms:created xsi:type="dcterms:W3CDTF">2018-06-13T19:25:00Z</dcterms:created>
  <dcterms:modified xsi:type="dcterms:W3CDTF">2018-06-13T19:25:00Z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