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inline distT="0" distB="0" distL="0" distR="0" wp14:anchorId="40AAB933" wp14:editId="517A5C31">
            <wp:extent cx="2083736" cy="19380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83736" cy="1938020"/>
                    </a:xfrm>
                    <a:prstGeom prst="rect">
                      <a:avLst/>
                    </a:prstGeom>
                    <a:noFill/>
                    <a:ln>
                      <a:noFill/>
                    </a:ln>
                  </pic:spPr>
                </pic:pic>
              </a:graphicData>
            </a:graphic>
          </wp:inline>
        </w:drawing>
      </w:r>
    </w:p>
    <w:p w14:paraId="22500A49" w14:textId="7F571B42" w:rsidR="00767639" w:rsidRDefault="00E24EB5" w:rsidP="00F8718A">
      <w:pPr>
        <w:jc w:val="center"/>
      </w:pPr>
      <w:r w:rsidRPr="00FE1332">
        <w:rPr>
          <w:b/>
          <w:sz w:val="28"/>
          <w:szCs w:val="28"/>
        </w:rPr>
        <w:t>BRIEFING ON</w:t>
      </w:r>
      <w:r w:rsidR="00B36535">
        <w:rPr>
          <w:b/>
          <w:sz w:val="28"/>
          <w:szCs w:val="28"/>
        </w:rPr>
        <w:t xml:space="preserve"> </w:t>
      </w:r>
      <w:r w:rsidR="00E67865">
        <w:rPr>
          <w:b/>
          <w:sz w:val="28"/>
          <w:szCs w:val="28"/>
          <w:u w:val="single"/>
        </w:rPr>
        <w:t>AUSTRALIA</w:t>
      </w:r>
      <w:r w:rsidRPr="00FE1332">
        <w:rPr>
          <w:b/>
          <w:sz w:val="28"/>
          <w:szCs w:val="28"/>
        </w:rPr>
        <w:t xml:space="preserve"> FOR THE </w:t>
      </w:r>
      <w:r w:rsidR="003803FE">
        <w:rPr>
          <w:b/>
          <w:sz w:val="28"/>
          <w:szCs w:val="28"/>
        </w:rPr>
        <w:br/>
      </w:r>
      <w:r w:rsidRPr="00FE1332">
        <w:rPr>
          <w:b/>
          <w:sz w:val="28"/>
          <w:szCs w:val="28"/>
        </w:rPr>
        <w:t xml:space="preserve">COMMITTEE </w:t>
      </w:r>
      <w:r w:rsidR="00E67865">
        <w:rPr>
          <w:b/>
          <w:sz w:val="28"/>
          <w:szCs w:val="28"/>
        </w:rPr>
        <w:t>AGAINST TORTURE</w:t>
      </w:r>
      <w:r w:rsidRPr="00FE1332">
        <w:rPr>
          <w:b/>
          <w:sz w:val="28"/>
          <w:szCs w:val="28"/>
        </w:rPr>
        <w:t xml:space="preserve"> –</w:t>
      </w:r>
      <w:r w:rsidR="003803FE">
        <w:rPr>
          <w:b/>
          <w:sz w:val="28"/>
          <w:szCs w:val="28"/>
        </w:rPr>
        <w:t xml:space="preserve"> </w:t>
      </w:r>
      <w:r w:rsidR="00E67865" w:rsidRPr="00E67865">
        <w:rPr>
          <w:b/>
          <w:sz w:val="28"/>
          <w:szCs w:val="28"/>
          <w:u w:val="single"/>
        </w:rPr>
        <w:t>53</w:t>
      </w:r>
      <w:r w:rsidR="00E67865" w:rsidRPr="00E67865">
        <w:rPr>
          <w:b/>
          <w:sz w:val="28"/>
          <w:szCs w:val="28"/>
          <w:u w:val="single"/>
          <w:vertAlign w:val="superscript"/>
        </w:rPr>
        <w:t>rd</w:t>
      </w:r>
      <w:r w:rsidR="00E67865" w:rsidRPr="00E67865">
        <w:rPr>
          <w:b/>
          <w:sz w:val="28"/>
          <w:szCs w:val="28"/>
          <w:u w:val="single"/>
        </w:rPr>
        <w:t xml:space="preserve"> session </w:t>
      </w:r>
      <w:r w:rsidR="00E67865">
        <w:rPr>
          <w:b/>
          <w:sz w:val="28"/>
          <w:szCs w:val="28"/>
          <w:u w:val="single"/>
        </w:rPr>
        <w:t>November 2014</w:t>
      </w:r>
    </w:p>
    <w:p w14:paraId="73A76949" w14:textId="77777777" w:rsidR="00767639" w:rsidRDefault="00767639">
      <w:pPr>
        <w:jc w:val="center"/>
        <w:rPr>
          <w:i/>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p>
    <w:p w14:paraId="787EFC65" w14:textId="77777777" w:rsidR="00065B23" w:rsidRDefault="00F8718A" w:rsidP="00E24EB5">
      <w:pPr>
        <w:jc w:val="center"/>
        <w:rPr>
          <w:rStyle w:val="Hyperlink"/>
          <w:i/>
        </w:rPr>
      </w:pPr>
      <w:hyperlink r:id="rId13" w:history="1">
        <w:r w:rsidR="00767639">
          <w:rPr>
            <w:rStyle w:val="Hyperlink"/>
            <w:i/>
          </w:rPr>
          <w:t>info@endcorporalpunishment.org</w:t>
        </w:r>
      </w:hyperlink>
      <w:bookmarkStart w:id="0" w:name="_GoBack"/>
      <w:bookmarkEnd w:id="0"/>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3100705"/>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100705"/>
                        </a:xfrm>
                        <a:prstGeom prst="rect">
                          <a:avLst/>
                        </a:prstGeom>
                        <a:solidFill>
                          <a:srgbClr val="FFFFFF"/>
                        </a:solidFill>
                        <a:ln w="9525">
                          <a:solidFill>
                            <a:srgbClr val="000000"/>
                          </a:solidFill>
                          <a:miter lim="800000"/>
                          <a:headEnd/>
                          <a:tailEnd/>
                        </a:ln>
                      </wps:spPr>
                      <wps:txbx>
                        <w:txbxContent>
                          <w:p w14:paraId="6ADDFEC0" w14:textId="3FB9D809" w:rsidR="000168D6" w:rsidRPr="009D77EF" w:rsidRDefault="000168D6" w:rsidP="00E67865">
                            <w:pPr>
                              <w:spacing w:after="120"/>
                              <w:rPr>
                                <w:b/>
                                <w:sz w:val="28"/>
                                <w:szCs w:val="28"/>
                              </w:rPr>
                            </w:pPr>
                            <w:r w:rsidRPr="00BD0C3F">
                              <w:rPr>
                                <w:b/>
                                <w:sz w:val="26"/>
                                <w:szCs w:val="26"/>
                              </w:rPr>
                              <w:t xml:space="preserve">This briefing describes the legality of corporal punishment of children in </w:t>
                            </w:r>
                            <w:r>
                              <w:rPr>
                                <w:b/>
                                <w:sz w:val="26"/>
                                <w:szCs w:val="26"/>
                              </w:rPr>
                              <w:t>Australia</w:t>
                            </w:r>
                            <w:r w:rsidRPr="00BD0C3F">
                              <w:rPr>
                                <w:b/>
                                <w:sz w:val="26"/>
                                <w:szCs w:val="26"/>
                              </w:rPr>
                              <w:t xml:space="preserve">. </w:t>
                            </w:r>
                            <w:r w:rsidRPr="009D77EF">
                              <w:rPr>
                                <w:b/>
                                <w:sz w:val="28"/>
                                <w:szCs w:val="28"/>
                              </w:rPr>
                              <w:t>In light of the obligation under international human rights law to prohibit all corporal punishment of children, the recommendations of the UN Secretary-General’s Study on Violence against Children</w:t>
                            </w:r>
                            <w:r>
                              <w:rPr>
                                <w:b/>
                                <w:sz w:val="28"/>
                                <w:szCs w:val="28"/>
                              </w:rPr>
                              <w:t xml:space="preserve"> and</w:t>
                            </w:r>
                            <w:r w:rsidRPr="009D77EF">
                              <w:rPr>
                                <w:b/>
                                <w:sz w:val="28"/>
                                <w:szCs w:val="28"/>
                              </w:rPr>
                              <w:t xml:space="preserve"> the recommendations </w:t>
                            </w:r>
                            <w:r>
                              <w:rPr>
                                <w:b/>
                                <w:sz w:val="28"/>
                                <w:szCs w:val="28"/>
                              </w:rPr>
                              <w:t>to Australia by the Committee Against Torture in 2008 as well as those by the Committee on the Rights of the Child and during the UPR in 2011 (rejected by the Government),</w:t>
                            </w:r>
                            <w:r w:rsidRPr="009D77EF">
                              <w:rPr>
                                <w:b/>
                                <w:sz w:val="28"/>
                                <w:szCs w:val="28"/>
                              </w:rPr>
                              <w:t xml:space="preserve"> we hope the Committee Against Torture</w:t>
                            </w:r>
                            <w:r>
                              <w:rPr>
                                <w:b/>
                                <w:sz w:val="28"/>
                                <w:szCs w:val="28"/>
                              </w:rPr>
                              <w:t>, in its concluding observations on Australia’s fourth/fifth report</w:t>
                            </w:r>
                            <w:r w:rsidRPr="009D77EF">
                              <w:rPr>
                                <w:b/>
                                <w:sz w:val="28"/>
                                <w:szCs w:val="28"/>
                              </w:rPr>
                              <w:t>,</w:t>
                            </w:r>
                            <w:r>
                              <w:rPr>
                                <w:b/>
                                <w:sz w:val="28"/>
                                <w:szCs w:val="28"/>
                              </w:rPr>
                              <w:t xml:space="preserve"> will</w:t>
                            </w:r>
                            <w:r w:rsidRPr="009D77EF">
                              <w:rPr>
                                <w:b/>
                                <w:sz w:val="28"/>
                                <w:szCs w:val="28"/>
                              </w:rPr>
                              <w:t>:</w:t>
                            </w:r>
                          </w:p>
                          <w:p w14:paraId="07E8AD91" w14:textId="528C2F88" w:rsidR="000168D6" w:rsidRPr="004817BA" w:rsidRDefault="000168D6" w:rsidP="004817BA">
                            <w:pPr>
                              <w:pStyle w:val="ListParagraph"/>
                              <w:numPr>
                                <w:ilvl w:val="0"/>
                                <w:numId w:val="13"/>
                              </w:numPr>
                              <w:spacing w:after="120"/>
                              <w:rPr>
                                <w:sz w:val="26"/>
                                <w:szCs w:val="26"/>
                              </w:rPr>
                            </w:pPr>
                            <w:r w:rsidRPr="004817BA">
                              <w:rPr>
                                <w:b/>
                                <w:sz w:val="28"/>
                                <w:szCs w:val="28"/>
                              </w:rPr>
                              <w:t xml:space="preserve">express concern at the failure to implement the Committee’s previous recommendation on corporal punishment (CAT/C/AUS/CO/1, para. 31) and reiterate its recommendation that legislation banning corporal punishment at home and in public and private schools, detention centres, and all alternative care settings be </w:t>
                            </w:r>
                            <w:r>
                              <w:rPr>
                                <w:b/>
                                <w:sz w:val="28"/>
                                <w:szCs w:val="28"/>
                              </w:rPr>
                              <w:t>adopted and implemented in all states and t</w:t>
                            </w:r>
                            <w:r w:rsidRPr="004817BA">
                              <w:rPr>
                                <w:b/>
                                <w:sz w:val="28"/>
                                <w:szCs w:val="28"/>
                              </w:rPr>
                              <w:t>erritories.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244.1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">
                <v:textbox style="mso-fit-shape-to-text:t">
                  <w:txbxContent>
                    <w:p w14:paraId="6ADDFEC0" w14:textId="3FB9D809" w:rsidR="000168D6" w:rsidRPr="009D77EF" w:rsidRDefault="000168D6" w:rsidP="00E67865">
                      <w:pPr>
                        <w:spacing w:after="120"/>
                        <w:rPr>
                          <w:b/>
                          <w:sz w:val="28"/>
                          <w:szCs w:val="28"/>
                        </w:rPr>
                      </w:pPr>
                      <w:r w:rsidRPr="00BD0C3F">
                        <w:rPr>
                          <w:b/>
                          <w:sz w:val="26"/>
                          <w:szCs w:val="26"/>
                        </w:rPr>
                        <w:t xml:space="preserve">This briefing describes the legality of corporal punishment of children in </w:t>
                      </w:r>
                      <w:r>
                        <w:rPr>
                          <w:b/>
                          <w:sz w:val="26"/>
                          <w:szCs w:val="26"/>
                        </w:rPr>
                        <w:t>Australia</w:t>
                      </w:r>
                      <w:r w:rsidRPr="00BD0C3F">
                        <w:rPr>
                          <w:b/>
                          <w:sz w:val="26"/>
                          <w:szCs w:val="26"/>
                        </w:rPr>
                        <w:t xml:space="preserve">. </w:t>
                      </w:r>
                      <w:r w:rsidRPr="009D77EF">
                        <w:rPr>
                          <w:b/>
                          <w:sz w:val="28"/>
                          <w:szCs w:val="28"/>
                        </w:rPr>
                        <w:t>In light of the obligation under international human rights law to prohibit all corporal punishment of children, the recommendations of the UN Secretary-General’s Study on Violence against Children</w:t>
                      </w:r>
                      <w:r>
                        <w:rPr>
                          <w:b/>
                          <w:sz w:val="28"/>
                          <w:szCs w:val="28"/>
                        </w:rPr>
                        <w:t xml:space="preserve"> and</w:t>
                      </w:r>
                      <w:r w:rsidRPr="009D77EF">
                        <w:rPr>
                          <w:b/>
                          <w:sz w:val="28"/>
                          <w:szCs w:val="28"/>
                        </w:rPr>
                        <w:t xml:space="preserve"> the recommendations </w:t>
                      </w:r>
                      <w:r>
                        <w:rPr>
                          <w:b/>
                          <w:sz w:val="28"/>
                          <w:szCs w:val="28"/>
                        </w:rPr>
                        <w:t>to Australia by the Committee Against Torture in 2008 as well as those by the Committee on the Rights of the Child and during the UPR in 2011 (rejected by the Government),</w:t>
                      </w:r>
                      <w:r w:rsidRPr="009D77EF">
                        <w:rPr>
                          <w:b/>
                          <w:sz w:val="28"/>
                          <w:szCs w:val="28"/>
                        </w:rPr>
                        <w:t xml:space="preserve"> we hope the Committee Against Torture</w:t>
                      </w:r>
                      <w:r>
                        <w:rPr>
                          <w:b/>
                          <w:sz w:val="28"/>
                          <w:szCs w:val="28"/>
                        </w:rPr>
                        <w:t>, in its concluding observations on Australia’s fourth/fifth report</w:t>
                      </w:r>
                      <w:r w:rsidRPr="009D77EF">
                        <w:rPr>
                          <w:b/>
                          <w:sz w:val="28"/>
                          <w:szCs w:val="28"/>
                        </w:rPr>
                        <w:t>,</w:t>
                      </w:r>
                      <w:r>
                        <w:rPr>
                          <w:b/>
                          <w:sz w:val="28"/>
                          <w:szCs w:val="28"/>
                        </w:rPr>
                        <w:t xml:space="preserve"> will</w:t>
                      </w:r>
                      <w:r w:rsidRPr="009D77EF">
                        <w:rPr>
                          <w:b/>
                          <w:sz w:val="28"/>
                          <w:szCs w:val="28"/>
                        </w:rPr>
                        <w:t>:</w:t>
                      </w:r>
                    </w:p>
                    <w:p w14:paraId="07E8AD91" w14:textId="528C2F88" w:rsidR="000168D6" w:rsidRPr="004817BA" w:rsidRDefault="000168D6" w:rsidP="004817BA">
                      <w:pPr>
                        <w:pStyle w:val="ListParagraph"/>
                        <w:numPr>
                          <w:ilvl w:val="0"/>
                          <w:numId w:val="13"/>
                        </w:numPr>
                        <w:spacing w:after="120"/>
                        <w:rPr>
                          <w:sz w:val="26"/>
                          <w:szCs w:val="26"/>
                        </w:rPr>
                      </w:pPr>
                      <w:proofErr w:type="gramStart"/>
                      <w:r w:rsidRPr="004817BA">
                        <w:rPr>
                          <w:b/>
                          <w:sz w:val="28"/>
                          <w:szCs w:val="28"/>
                        </w:rPr>
                        <w:t>express</w:t>
                      </w:r>
                      <w:proofErr w:type="gramEnd"/>
                      <w:r w:rsidRPr="004817BA">
                        <w:rPr>
                          <w:b/>
                          <w:sz w:val="28"/>
                          <w:szCs w:val="28"/>
                        </w:rPr>
                        <w:t xml:space="preserve"> concern at the failure to implement the Committee’s previous recommendation on corporal punishment (CAT/C/AUS/CO/1, </w:t>
                      </w:r>
                      <w:proofErr w:type="spellStart"/>
                      <w:r w:rsidRPr="004817BA">
                        <w:rPr>
                          <w:b/>
                          <w:sz w:val="28"/>
                          <w:szCs w:val="28"/>
                        </w:rPr>
                        <w:t>para</w:t>
                      </w:r>
                      <w:proofErr w:type="spellEnd"/>
                      <w:r w:rsidRPr="004817BA">
                        <w:rPr>
                          <w:b/>
                          <w:sz w:val="28"/>
                          <w:szCs w:val="28"/>
                        </w:rPr>
                        <w:t xml:space="preserve">. 31) and reiterate its recommendation that legislation banning corporal punishment at home and in public and private schools, detention centres, and all alternative care settings be </w:t>
                      </w:r>
                      <w:r>
                        <w:rPr>
                          <w:b/>
                          <w:sz w:val="28"/>
                          <w:szCs w:val="28"/>
                        </w:rPr>
                        <w:t>adopted and implemented in all states and t</w:t>
                      </w:r>
                      <w:r w:rsidRPr="004817BA">
                        <w:rPr>
                          <w:b/>
                          <w:sz w:val="28"/>
                          <w:szCs w:val="28"/>
                        </w:rPr>
                        <w:t>erritories.</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EA8D91B" w14:textId="532E8FFD" w:rsidR="008B273F" w:rsidRPr="00F01BFF" w:rsidRDefault="00B9701A" w:rsidP="00B9701A">
      <w:pPr>
        <w:spacing w:after="120"/>
        <w:rPr>
          <w:b/>
          <w:sz w:val="28"/>
          <w:szCs w:val="28"/>
        </w:rPr>
      </w:pPr>
      <w:r>
        <w:rPr>
          <w:b/>
          <w:sz w:val="28"/>
          <w:szCs w:val="28"/>
        </w:rPr>
        <w:t xml:space="preserve">1 </w:t>
      </w:r>
      <w:r w:rsidR="00E67865">
        <w:rPr>
          <w:b/>
          <w:sz w:val="28"/>
          <w:szCs w:val="28"/>
        </w:rPr>
        <w:t>Australia’s report to the Committee</w:t>
      </w:r>
    </w:p>
    <w:p w14:paraId="6E9DBE77" w14:textId="708B797C" w:rsidR="0031275B" w:rsidRPr="00BE170C" w:rsidRDefault="00BE170C" w:rsidP="00BE170C">
      <w:pPr>
        <w:widowControl w:val="0"/>
        <w:autoSpaceDE w:val="0"/>
        <w:autoSpaceDN w:val="0"/>
        <w:adjustRightInd w:val="0"/>
        <w:spacing w:after="120"/>
        <w:ind w:left="482" w:hanging="482"/>
        <w:rPr>
          <w:lang w:val="en-US"/>
        </w:rPr>
      </w:pPr>
      <w:r>
        <w:t xml:space="preserve">1.1 </w:t>
      </w:r>
      <w:r w:rsidR="00E67865" w:rsidRPr="00BE170C">
        <w:t>Australia’s fourth/fifth report to the Committee Against Torture is written in response to the List of Issues Prior to Reporting adopted by the Committee.</w:t>
      </w:r>
      <w:r w:rsidR="00E67865" w:rsidRPr="00BE170C">
        <w:rPr>
          <w:rStyle w:val="FootnoteReference"/>
        </w:rPr>
        <w:footnoteReference w:id="1"/>
      </w:r>
      <w:r w:rsidR="00E67865" w:rsidRPr="00BE170C">
        <w:t xml:space="preserve"> While the LOIPR does not specifically refer to corporal punishment, it does ask for information on “how the State party intends to further enhance the prevention of torture and other forms of cruel, inhuman and degrading treatment or punishment, in line with the obligation of the State party under articles 2 and 16 of the Convention, in the context of the Human Rights Framework launched in 2010 in response to the National Human Rights Consultation”.</w:t>
      </w:r>
      <w:r w:rsidR="00E67865" w:rsidRPr="00BE170C">
        <w:rPr>
          <w:rStyle w:val="FootnoteReference"/>
        </w:rPr>
        <w:footnoteReference w:id="2"/>
      </w:r>
      <w:r w:rsidR="00E67865" w:rsidRPr="00BE170C">
        <w:t xml:space="preserve"> We note that the Committee’s previous concluding observations in relation to article 16 included the following:</w:t>
      </w:r>
      <w:r w:rsidRPr="00BE170C">
        <w:rPr>
          <w:rStyle w:val="FootnoteReference"/>
          <w:lang w:val="en-US"/>
        </w:rPr>
        <w:footnoteReference w:id="3"/>
      </w:r>
      <w:r>
        <w:br/>
      </w:r>
      <w:r w:rsidR="00E67865" w:rsidRPr="00BE170C">
        <w:br/>
      </w:r>
      <w:r w:rsidR="00E67865" w:rsidRPr="00F8718A">
        <w:rPr>
          <w:i/>
          <w:lang w:val="en-US"/>
        </w:rPr>
        <w:t xml:space="preserve">“The Committee notes that corporal punishment of children is not explicitly prohibited in all </w:t>
      </w:r>
      <w:r w:rsidR="00E67865" w:rsidRPr="00F8718A">
        <w:rPr>
          <w:i/>
          <w:lang w:val="en-US"/>
        </w:rPr>
        <w:lastRenderedPageBreak/>
        <w:t>States and Territori</w:t>
      </w:r>
      <w:r w:rsidRPr="00F8718A">
        <w:rPr>
          <w:i/>
          <w:lang w:val="en-US"/>
        </w:rPr>
        <w:t>es and may still be applied as ‘reasonable chastisement’</w:t>
      </w:r>
      <w:r w:rsidR="00E67865" w:rsidRPr="00F8718A">
        <w:rPr>
          <w:i/>
          <w:lang w:val="en-US"/>
        </w:rPr>
        <w:t>.</w:t>
      </w:r>
      <w:r w:rsidRPr="00F8718A">
        <w:rPr>
          <w:i/>
          <w:lang w:val="en-US"/>
        </w:rPr>
        <w:br/>
      </w:r>
      <w:r w:rsidRPr="00F8718A">
        <w:rPr>
          <w:i/>
          <w:lang w:val="en-US"/>
        </w:rPr>
        <w:br/>
      </w:r>
      <w:r w:rsidR="00E67865" w:rsidRPr="00F8718A">
        <w:rPr>
          <w:i/>
          <w:lang w:val="en-US"/>
        </w:rPr>
        <w:t>The State party should adopt and implement legislation banning corporal punishment at home and in public and private schools, detention centres, and all alternative care settings in all States and Territories.”</w:t>
      </w:r>
    </w:p>
    <w:p w14:paraId="07E8296C" w14:textId="3F0C5309" w:rsidR="00E67865" w:rsidRPr="00BE170C" w:rsidRDefault="00E67865" w:rsidP="00BE170C">
      <w:pPr>
        <w:widowControl w:val="0"/>
        <w:autoSpaceDE w:val="0"/>
        <w:autoSpaceDN w:val="0"/>
        <w:adjustRightInd w:val="0"/>
        <w:spacing w:after="120"/>
        <w:ind w:left="482" w:hanging="482"/>
        <w:rPr>
          <w:lang w:val="en-US"/>
        </w:rPr>
      </w:pPr>
      <w:r w:rsidRPr="00BE170C">
        <w:rPr>
          <w:lang w:val="en-US"/>
        </w:rPr>
        <w:t>1.2 In its response to the question in paragraph 4 of the LOIPR, th</w:t>
      </w:r>
      <w:r w:rsidR="00BE170C">
        <w:rPr>
          <w:lang w:val="en-US"/>
        </w:rPr>
        <w:t>e Government of Australia</w:t>
      </w:r>
      <w:r w:rsidRPr="00BE170C">
        <w:rPr>
          <w:lang w:val="en-US"/>
        </w:rPr>
        <w:t xml:space="preserve"> asserts that it has “taken measures under Australia’s Human Rights Framework to further enhance the prevention of torture and other cruel, inhuman or degrading treatment or punishment” and that it “expects public sector officials to act consistently with international treaties to which Australia is a party”.</w:t>
      </w:r>
      <w:r w:rsidRPr="00BE170C">
        <w:rPr>
          <w:rStyle w:val="FootnoteReference"/>
          <w:lang w:val="en-US"/>
        </w:rPr>
        <w:footnoteReference w:id="4"/>
      </w:r>
      <w:r w:rsidR="004817BA" w:rsidRPr="00BE170C">
        <w:rPr>
          <w:lang w:val="en-US"/>
        </w:rPr>
        <w:t xml:space="preserve"> No mention is made of corporal punishment of children, which – as at the time of the Committee’s previous examination of Australia – may lawfully be inflicted on children in the home, alternative care settings, day care, schools and penal institutions.</w:t>
      </w:r>
    </w:p>
    <w:p w14:paraId="71C4F705" w14:textId="54842D4B" w:rsidR="00E67865" w:rsidRPr="00BE170C" w:rsidRDefault="004817BA" w:rsidP="00BE170C">
      <w:pPr>
        <w:widowControl w:val="0"/>
        <w:autoSpaceDE w:val="0"/>
        <w:autoSpaceDN w:val="0"/>
        <w:adjustRightInd w:val="0"/>
        <w:spacing w:after="120"/>
        <w:ind w:left="482" w:hanging="482"/>
        <w:rPr>
          <w:lang w:val="en-US"/>
        </w:rPr>
      </w:pPr>
      <w:r w:rsidRPr="00BE170C">
        <w:rPr>
          <w:b/>
          <w:lang w:val="en-US"/>
        </w:rPr>
        <w:t xml:space="preserve">1.3 We hope the Committee will </w:t>
      </w:r>
      <w:r w:rsidR="00BE170C" w:rsidRPr="00BE170C">
        <w:rPr>
          <w:b/>
        </w:rPr>
        <w:t>express</w:t>
      </w:r>
      <w:r w:rsidRPr="00BE170C">
        <w:rPr>
          <w:b/>
        </w:rPr>
        <w:t xml:space="preserve"> concern at the </w:t>
      </w:r>
      <w:r w:rsidR="00BE170C">
        <w:rPr>
          <w:b/>
        </w:rPr>
        <w:t xml:space="preserve">State party’s </w:t>
      </w:r>
      <w:r w:rsidRPr="00BE170C">
        <w:rPr>
          <w:b/>
        </w:rPr>
        <w:t>failure to implement the Committee’s previous recommendation on corporal punishment (CAT/C/AUS/CO/1, para. 31) and reiterate its recommendation that legislation banning corporal punishment at home and in public and private schools, detention centres, and all alternative care settings be adopted and</w:t>
      </w:r>
      <w:r w:rsidR="00BE170C">
        <w:rPr>
          <w:b/>
        </w:rPr>
        <w:t xml:space="preserve"> implemented in all states and t</w:t>
      </w:r>
      <w:r w:rsidRPr="00BE170C">
        <w:rPr>
          <w:b/>
        </w:rPr>
        <w:t>erritories.</w:t>
      </w:r>
    </w:p>
    <w:p w14:paraId="1A59BFB6" w14:textId="77777777" w:rsidR="00664DF4" w:rsidRPr="00BE170C" w:rsidRDefault="00664DF4" w:rsidP="00BE170C">
      <w:pPr>
        <w:spacing w:after="120"/>
        <w:ind w:left="482" w:hanging="482"/>
      </w:pPr>
    </w:p>
    <w:p w14:paraId="001C6B0F" w14:textId="5562DFDB" w:rsidR="008B273F" w:rsidRPr="00F01BFF" w:rsidRDefault="008B273F" w:rsidP="005E7FE5">
      <w:pPr>
        <w:spacing w:after="120"/>
        <w:ind w:left="482" w:hanging="482"/>
        <w:rPr>
          <w:sz w:val="28"/>
          <w:szCs w:val="28"/>
        </w:rPr>
      </w:pPr>
      <w:r>
        <w:rPr>
          <w:b/>
          <w:sz w:val="28"/>
          <w:szCs w:val="28"/>
        </w:rPr>
        <w:t>2 The legality of c</w:t>
      </w:r>
      <w:r w:rsidRPr="00F01BFF">
        <w:rPr>
          <w:b/>
          <w:sz w:val="28"/>
          <w:szCs w:val="28"/>
        </w:rPr>
        <w:t xml:space="preserve">orporal punishment of children in </w:t>
      </w:r>
      <w:r w:rsidR="004817BA">
        <w:rPr>
          <w:b/>
          <w:sz w:val="28"/>
          <w:szCs w:val="28"/>
        </w:rPr>
        <w:t>Australia</w:t>
      </w:r>
    </w:p>
    <w:p w14:paraId="5D43CBEE" w14:textId="1057079F" w:rsidR="00C05A6B" w:rsidRPr="00BE170C" w:rsidRDefault="005E7FE5" w:rsidP="00BE170C">
      <w:pPr>
        <w:spacing w:after="120"/>
        <w:ind w:left="482" w:hanging="482"/>
      </w:pPr>
      <w:r w:rsidRPr="00BE170C">
        <w:t>2</w:t>
      </w:r>
      <w:r w:rsidR="00E105D0" w:rsidRPr="00BE170C">
        <w:t xml:space="preserve">.1 </w:t>
      </w:r>
      <w:r w:rsidR="00E105D0" w:rsidRPr="00F8718A">
        <w:rPr>
          <w:b/>
          <w:i/>
        </w:rPr>
        <w:t>Summary:</w:t>
      </w:r>
      <w:r w:rsidR="002E70F4" w:rsidRPr="00BE170C">
        <w:t xml:space="preserve"> </w:t>
      </w:r>
      <w:r w:rsidR="004817BA" w:rsidRPr="00BE170C">
        <w:t>Corporal punishment of children in Australia is unlawful as a sentence for crime but it is</w:t>
      </w:r>
      <w:r w:rsidR="00F8718A">
        <w:t xml:space="preserve"> not prohibited throughout the s</w:t>
      </w:r>
      <w:r w:rsidR="004817BA" w:rsidRPr="00BE170C">
        <w:t>tate</w:t>
      </w:r>
      <w:r w:rsidR="00BE170C">
        <w:t xml:space="preserve"> party</w:t>
      </w:r>
      <w:r w:rsidR="004817BA" w:rsidRPr="00BE170C">
        <w:t xml:space="preserve"> in </w:t>
      </w:r>
      <w:r w:rsidR="00BE170C">
        <w:t>all alternative care settings, day care, schools and</w:t>
      </w:r>
      <w:r w:rsidR="004817BA" w:rsidRPr="00BE170C">
        <w:t xml:space="preserve"> penal institutions. It is lawful in the home in all states and territories.</w:t>
      </w:r>
    </w:p>
    <w:p w14:paraId="4173C42F" w14:textId="75CC23D8" w:rsidR="004817BA" w:rsidRPr="00BE170C" w:rsidRDefault="002E70F4" w:rsidP="00BE170C">
      <w:pPr>
        <w:spacing w:after="120"/>
        <w:ind w:left="482" w:hanging="482"/>
      </w:pPr>
      <w:r w:rsidRPr="00BE170C">
        <w:t xml:space="preserve">2.2 </w:t>
      </w:r>
      <w:r w:rsidRPr="00F8718A">
        <w:rPr>
          <w:b/>
          <w:i/>
        </w:rPr>
        <w:t>Home (</w:t>
      </w:r>
      <w:r w:rsidRPr="00F8718A">
        <w:rPr>
          <w:b/>
          <w:i/>
          <w:u w:val="single"/>
        </w:rPr>
        <w:t>lawful</w:t>
      </w:r>
      <w:r w:rsidRPr="00F8718A">
        <w:rPr>
          <w:b/>
          <w:i/>
        </w:rPr>
        <w:t>):</w:t>
      </w:r>
      <w:r w:rsidRPr="00BE170C">
        <w:t xml:space="preserve"> </w:t>
      </w:r>
      <w:r w:rsidR="004817BA" w:rsidRPr="00BE170C">
        <w:t>Corporal punishment in the home is regulated at state level, and is lawful throughout Australia under the right of “reasonable chastisement” and similar provisions.</w:t>
      </w:r>
      <w:r w:rsidR="004817BA" w:rsidRPr="00BE170C">
        <w:rPr>
          <w:rStyle w:val="FootnoteReference"/>
        </w:rPr>
        <w:footnoteReference w:id="5"/>
      </w:r>
      <w:r w:rsidR="004817BA" w:rsidRPr="00BE170C">
        <w:t xml:space="preserve"> Under s</w:t>
      </w:r>
      <w:r w:rsidR="00F8718A">
        <w:t xml:space="preserve">ection </w:t>
      </w:r>
      <w:r w:rsidR="004817BA" w:rsidRPr="00BE170C">
        <w:t>61AA of the New South Wales Crimes Act, as amended in 2001, physical punishment by a parent or caregiver is considered unreasonable if the force is applied to a child’s head or neck, or the force is applied to any part of the body in such a way as to cause, or threaten to cause, harm to the child which lasts more than a short period; in such cases the defence of “lawful correction” does not apply. In Tasmania in 2003, the Law Reform Institute recommended the abolition of the defence of “reasonable correction” from criminal and civil law, but no changes in the law have been made.</w:t>
      </w:r>
    </w:p>
    <w:p w14:paraId="0303F8F3" w14:textId="03AC1C27" w:rsidR="00F90DC3" w:rsidRPr="00BE170C" w:rsidRDefault="00DA50D4" w:rsidP="00BE170C">
      <w:pPr>
        <w:autoSpaceDE w:val="0"/>
        <w:autoSpaceDN w:val="0"/>
        <w:adjustRightInd w:val="0"/>
        <w:spacing w:after="120"/>
        <w:ind w:left="482" w:hanging="482"/>
      </w:pPr>
      <w:r w:rsidRPr="00BE170C">
        <w:t>2.</w:t>
      </w:r>
      <w:r w:rsidR="000168D6">
        <w:t>3</w:t>
      </w:r>
      <w:r w:rsidRPr="00BE170C">
        <w:t xml:space="preserve"> </w:t>
      </w:r>
      <w:r w:rsidRPr="00F8718A">
        <w:rPr>
          <w:b/>
          <w:i/>
        </w:rPr>
        <w:t>Alternative care settings (</w:t>
      </w:r>
      <w:r w:rsidR="00F90DC3" w:rsidRPr="00F8718A">
        <w:rPr>
          <w:b/>
          <w:i/>
          <w:u w:val="single"/>
        </w:rPr>
        <w:t>partially prohibited</w:t>
      </w:r>
      <w:r w:rsidRPr="00F8718A">
        <w:rPr>
          <w:b/>
          <w:i/>
        </w:rPr>
        <w:t>):</w:t>
      </w:r>
      <w:r w:rsidRPr="00BE170C">
        <w:rPr>
          <w:i/>
        </w:rPr>
        <w:t xml:space="preserve"> </w:t>
      </w:r>
      <w:r w:rsidR="00F90DC3" w:rsidRPr="00BE170C">
        <w:t>Corporal punishment is prohibited in residential centres in New South Wales,</w:t>
      </w:r>
      <w:r w:rsidR="00F90DC3" w:rsidRPr="00BE170C">
        <w:rPr>
          <w:rStyle w:val="FootnoteReference"/>
        </w:rPr>
        <w:footnoteReference w:id="6"/>
      </w:r>
      <w:r w:rsidR="00F90DC3" w:rsidRPr="00BE170C">
        <w:t xml:space="preserve"> Queensland,</w:t>
      </w:r>
      <w:r w:rsidR="00F90DC3" w:rsidRPr="00BE170C">
        <w:rPr>
          <w:rStyle w:val="FootnoteReference"/>
        </w:rPr>
        <w:footnoteReference w:id="7"/>
      </w:r>
      <w:r w:rsidR="00F90DC3" w:rsidRPr="00BE170C">
        <w:t xml:space="preserve"> South Australia</w:t>
      </w:r>
      <w:r w:rsidR="00F90DC3" w:rsidRPr="00BE170C">
        <w:rPr>
          <w:rStyle w:val="FootnoteReference"/>
        </w:rPr>
        <w:footnoteReference w:id="8"/>
      </w:r>
      <w:r w:rsidR="00F90DC3" w:rsidRPr="00BE170C">
        <w:t xml:space="preserve"> and Australian Capital Territory.</w:t>
      </w:r>
      <w:r w:rsidR="00F90DC3" w:rsidRPr="00BE170C">
        <w:rPr>
          <w:rStyle w:val="FootnoteReference"/>
        </w:rPr>
        <w:footnoteReference w:id="9"/>
      </w:r>
      <w:r w:rsidR="00F90DC3" w:rsidRPr="00BE170C">
        <w:t xml:space="preserve"> But in residential centres in the Northern Territory corporal punishment is lawful under provisions </w:t>
      </w:r>
      <w:r w:rsidR="00F8718A">
        <w:t xml:space="preserve">in the Criminal Code Act (s27) </w:t>
      </w:r>
      <w:r w:rsidR="00F90DC3" w:rsidRPr="00BE170C">
        <w:t>for the use of force “to discipline, manage or control” a child; it is lawful in Tasmania under the authority to use force “by way of correction” in the Criminal Code Act (s50), in Victoria under common law and in Western Australia under the authority to use force “by way of correction” in the Criminal Code Act (s257).</w:t>
      </w:r>
    </w:p>
    <w:p w14:paraId="1CD529AD" w14:textId="35D7B677" w:rsidR="00D3304F" w:rsidRPr="00BE170C" w:rsidRDefault="000168D6" w:rsidP="000168D6">
      <w:pPr>
        <w:spacing w:after="120"/>
        <w:ind w:left="482" w:hanging="482"/>
      </w:pPr>
      <w:r>
        <w:t xml:space="preserve">2.4 </w:t>
      </w:r>
      <w:r w:rsidR="00F90DC3" w:rsidRPr="00BE170C">
        <w:t>In foster care, corporal punishment is prohibited in New South Wales,</w:t>
      </w:r>
      <w:r w:rsidR="00F90DC3" w:rsidRPr="00BE170C">
        <w:rPr>
          <w:rStyle w:val="FootnoteReference"/>
        </w:rPr>
        <w:footnoteReference w:id="10"/>
      </w:r>
      <w:r w:rsidR="00F90DC3" w:rsidRPr="00BE170C">
        <w:t xml:space="preserve"> Queensland,</w:t>
      </w:r>
      <w:r w:rsidR="00F90DC3" w:rsidRPr="00BE170C">
        <w:rPr>
          <w:rStyle w:val="FootnoteReference"/>
        </w:rPr>
        <w:footnoteReference w:id="11"/>
      </w:r>
      <w:r w:rsidR="00F90DC3" w:rsidRPr="00BE170C">
        <w:t xml:space="preserve"> South Australia</w:t>
      </w:r>
      <w:r w:rsidR="00F90DC3" w:rsidRPr="00BE170C">
        <w:rPr>
          <w:rStyle w:val="FootnoteReference"/>
        </w:rPr>
        <w:footnoteReference w:id="12"/>
      </w:r>
      <w:r w:rsidR="00F90DC3" w:rsidRPr="00BE170C">
        <w:t xml:space="preserve"> and Australian Capital Territory.</w:t>
      </w:r>
      <w:r w:rsidR="00F90DC3" w:rsidRPr="00BE170C">
        <w:rPr>
          <w:rStyle w:val="FootnoteReference"/>
        </w:rPr>
        <w:footnoteReference w:id="13"/>
      </w:r>
      <w:r w:rsidR="00F90DC3" w:rsidRPr="00BE170C">
        <w:t xml:space="preserve"> But children in foster care in the Northern Territory </w:t>
      </w:r>
      <w:r w:rsidR="00F90DC3" w:rsidRPr="00BE170C">
        <w:lastRenderedPageBreak/>
        <w:t xml:space="preserve">may lawfully be subjected to corporal punishment under provisions </w:t>
      </w:r>
      <w:r w:rsidR="00F8718A">
        <w:t xml:space="preserve">in the Criminal Code Act (s27) </w:t>
      </w:r>
      <w:r w:rsidR="00F90DC3" w:rsidRPr="00BE170C">
        <w:t>for the use of force “to discipline, manage or control” a child</w:t>
      </w:r>
      <w:r w:rsidR="00F8718A">
        <w:t>,</w:t>
      </w:r>
      <w:r w:rsidR="00F90DC3" w:rsidRPr="00BE170C">
        <w:t xml:space="preserve"> in Tasmania and Western Australia under the authority to use force “by way of correction” in the respective Criminal Code Acts (s50 and s257)</w:t>
      </w:r>
      <w:r w:rsidR="00F8718A">
        <w:t>,</w:t>
      </w:r>
      <w:r w:rsidR="00F90DC3" w:rsidRPr="00BE170C">
        <w:t xml:space="preserve"> and in Victoria under common law.</w:t>
      </w:r>
    </w:p>
    <w:p w14:paraId="5F9A3632" w14:textId="52F6D3B6" w:rsidR="00F90DC3" w:rsidRPr="00BE170C" w:rsidRDefault="00DA50D4" w:rsidP="00BE170C">
      <w:pPr>
        <w:autoSpaceDE w:val="0"/>
        <w:autoSpaceDN w:val="0"/>
        <w:adjustRightInd w:val="0"/>
        <w:spacing w:after="120"/>
        <w:ind w:left="482" w:hanging="482"/>
      </w:pPr>
      <w:r w:rsidRPr="00BE170C">
        <w:t>2.</w:t>
      </w:r>
      <w:r w:rsidR="00F318C2" w:rsidRPr="00BE170C">
        <w:t>5</w:t>
      </w:r>
      <w:r w:rsidRPr="00BE170C">
        <w:t xml:space="preserve"> </w:t>
      </w:r>
      <w:r w:rsidRPr="00F8718A">
        <w:rPr>
          <w:b/>
          <w:i/>
        </w:rPr>
        <w:t>Day care (</w:t>
      </w:r>
      <w:r w:rsidR="00BE170C" w:rsidRPr="00F8718A">
        <w:rPr>
          <w:b/>
          <w:i/>
          <w:u w:val="single"/>
        </w:rPr>
        <w:t>partially prohibited</w:t>
      </w:r>
      <w:r w:rsidRPr="00F8718A">
        <w:rPr>
          <w:b/>
          <w:i/>
        </w:rPr>
        <w:t>):</w:t>
      </w:r>
      <w:r w:rsidRPr="00BE170C">
        <w:rPr>
          <w:i/>
        </w:rPr>
        <w:t xml:space="preserve"> </w:t>
      </w:r>
      <w:r w:rsidR="00F90DC3" w:rsidRPr="00BE170C">
        <w:t>Corporal punishment is prohibited in child care centres in Australian Capital Territory,</w:t>
      </w:r>
      <w:r w:rsidR="00F90DC3" w:rsidRPr="00BE170C">
        <w:rPr>
          <w:rStyle w:val="FootnoteReference"/>
        </w:rPr>
        <w:footnoteReference w:id="14"/>
      </w:r>
      <w:r w:rsidR="00F90DC3" w:rsidRPr="00BE170C">
        <w:t xml:space="preserve"> New South Wales</w:t>
      </w:r>
      <w:r w:rsidR="000168D6">
        <w:t>,</w:t>
      </w:r>
      <w:r w:rsidR="00F90DC3" w:rsidRPr="00BE170C">
        <w:rPr>
          <w:rStyle w:val="FootnoteReference"/>
        </w:rPr>
        <w:footnoteReference w:id="15"/>
      </w:r>
      <w:r w:rsidR="00F90DC3" w:rsidRPr="00BE170C">
        <w:t xml:space="preserve"> Queensland</w:t>
      </w:r>
      <w:r w:rsidR="000168D6">
        <w:t>,</w:t>
      </w:r>
      <w:r w:rsidR="00F90DC3" w:rsidRPr="00BE170C">
        <w:rPr>
          <w:rStyle w:val="FootnoteReference"/>
        </w:rPr>
        <w:footnoteReference w:id="16"/>
      </w:r>
      <w:r w:rsidR="00F90DC3" w:rsidRPr="00BE170C">
        <w:t xml:space="preserve"> South Australia</w:t>
      </w:r>
      <w:r w:rsidR="000168D6">
        <w:t>,</w:t>
      </w:r>
      <w:r w:rsidR="00F90DC3" w:rsidRPr="00BE170C">
        <w:rPr>
          <w:rStyle w:val="FootnoteReference"/>
        </w:rPr>
        <w:footnoteReference w:id="17"/>
      </w:r>
      <w:r w:rsidR="00F90DC3" w:rsidRPr="00BE170C">
        <w:t xml:space="preserve"> Victoria</w:t>
      </w:r>
      <w:r w:rsidR="00F90DC3" w:rsidRPr="00BE170C">
        <w:rPr>
          <w:rStyle w:val="FootnoteReference"/>
        </w:rPr>
        <w:footnoteReference w:id="18"/>
      </w:r>
      <w:r w:rsidR="000168D6">
        <w:t xml:space="preserve"> and </w:t>
      </w:r>
      <w:r w:rsidR="00F90DC3" w:rsidRPr="00BE170C">
        <w:t>Western Australia</w:t>
      </w:r>
      <w:r w:rsidR="000168D6">
        <w:t>.</w:t>
      </w:r>
      <w:r w:rsidR="00F90DC3" w:rsidRPr="00BE170C">
        <w:rPr>
          <w:rStyle w:val="FootnoteReference"/>
        </w:rPr>
        <w:footnoteReference w:id="19"/>
      </w:r>
      <w:r w:rsidR="00F90DC3" w:rsidRPr="00BE170C">
        <w:t xml:space="preserve"> </w:t>
      </w:r>
      <w:r w:rsidR="000168D6">
        <w:t>It</w:t>
      </w:r>
      <w:r w:rsidR="00F90DC3" w:rsidRPr="00BE170C">
        <w:t xml:space="preserve"> is lawful in the Northern Territory under provisions for the use of force “to discipline, manage or control” a child the Criminal Code Act (s27) and in Tasmania under the authority to use force “by way of correction” in the Criminal Code Act (s50). </w:t>
      </w:r>
    </w:p>
    <w:p w14:paraId="38AC97D5" w14:textId="3BD9C9AC" w:rsidR="00D3304F" w:rsidRPr="00BE170C" w:rsidRDefault="000168D6" w:rsidP="00BE170C">
      <w:pPr>
        <w:spacing w:after="120"/>
        <w:ind w:left="482" w:hanging="482"/>
      </w:pPr>
      <w:r>
        <w:t xml:space="preserve">2.6 </w:t>
      </w:r>
      <w:r w:rsidR="00F90DC3" w:rsidRPr="00BE170C">
        <w:t xml:space="preserve">As a result of legal reform in 2011/2012, explicit prohibition is also to be found in article 166 of the </w:t>
      </w:r>
      <w:r w:rsidR="00F90DC3" w:rsidRPr="00BE170C">
        <w:rPr>
          <w:bCs/>
        </w:rPr>
        <w:t xml:space="preserve">Education and Early Childhood Services (Registration and Standards) Act 2011 in South Australia, the Education and Care Services (National Uniform Legislation) Act 2011 </w:t>
      </w:r>
      <w:r w:rsidR="00F90DC3" w:rsidRPr="00BE170C">
        <w:t xml:space="preserve">in Northern Territory, the Education and Care Services National Law (Application) Act 2011 in Tasmania, and the </w:t>
      </w:r>
      <w:r w:rsidR="00F90DC3" w:rsidRPr="00BE170C">
        <w:rPr>
          <w:bCs/>
        </w:rPr>
        <w:t xml:space="preserve">Education and Care Services National Law Act 2010 in Victoria and the Children (Education and Care Services) National Law (NSW) No 104a 2010 in New South Wales. In Western Australia it is prohibited in the Education and Care Services National Law (WA) Act 2012. </w:t>
      </w:r>
      <w:r w:rsidR="00F8718A">
        <w:rPr>
          <w:bCs/>
        </w:rPr>
        <w:t>All of t</w:t>
      </w:r>
      <w:r w:rsidR="00F90DC3" w:rsidRPr="00BE170C">
        <w:rPr>
          <w:bCs/>
        </w:rPr>
        <w:t>hese laws apply to some but not all education and care settings and for children under 13 only.</w:t>
      </w:r>
    </w:p>
    <w:p w14:paraId="1115019A" w14:textId="524B0DA1" w:rsidR="00BE170C" w:rsidRPr="00BE170C" w:rsidRDefault="002F0ECE" w:rsidP="00BE170C">
      <w:pPr>
        <w:spacing w:after="120"/>
        <w:ind w:left="482" w:hanging="482"/>
      </w:pPr>
      <w:r w:rsidRPr="00BE170C">
        <w:t>2.</w:t>
      </w:r>
      <w:r w:rsidR="000168D6">
        <w:t>7</w:t>
      </w:r>
      <w:r w:rsidRPr="00BE170C">
        <w:t xml:space="preserve"> </w:t>
      </w:r>
      <w:r w:rsidRPr="00F8718A">
        <w:rPr>
          <w:b/>
          <w:i/>
        </w:rPr>
        <w:t>Schools (</w:t>
      </w:r>
      <w:r w:rsidR="000168D6" w:rsidRPr="00F8718A">
        <w:rPr>
          <w:b/>
          <w:i/>
          <w:u w:val="single"/>
        </w:rPr>
        <w:t>partially prohibited</w:t>
      </w:r>
      <w:r w:rsidRPr="00F8718A">
        <w:rPr>
          <w:b/>
          <w:i/>
        </w:rPr>
        <w:t>):</w:t>
      </w:r>
      <w:r w:rsidRPr="00BE170C">
        <w:t xml:space="preserve"> </w:t>
      </w:r>
      <w:r w:rsidR="00BE170C" w:rsidRPr="00BE170C">
        <w:t>In 2012, the Australian Government stated that it “does not endorse” corporal punishment in schools and that in 2011 it had launched the National Safe Schools Framework which promotes children’s safety from violence in schools and is endorsed by all education ministers.</w:t>
      </w:r>
      <w:r w:rsidR="00BE170C" w:rsidRPr="00BE170C">
        <w:rPr>
          <w:rStyle w:val="FootnoteReference"/>
        </w:rPr>
        <w:footnoteReference w:id="20"/>
      </w:r>
      <w:r w:rsidR="00BE170C" w:rsidRPr="00BE170C">
        <w:t xml:space="preserve"> However, the Framework is silent on the issue of corporal punishment.</w:t>
      </w:r>
    </w:p>
    <w:p w14:paraId="504992E1" w14:textId="2D1A9630" w:rsidR="000B7AB8" w:rsidRPr="000168D6" w:rsidRDefault="000168D6" w:rsidP="000168D6">
      <w:pPr>
        <w:autoSpaceDE w:val="0"/>
        <w:autoSpaceDN w:val="0"/>
        <w:adjustRightInd w:val="0"/>
        <w:spacing w:after="120"/>
        <w:ind w:left="482" w:hanging="482"/>
        <w:rPr>
          <w:bCs/>
        </w:rPr>
      </w:pPr>
      <w:r>
        <w:t xml:space="preserve">2.8 </w:t>
      </w:r>
      <w:r w:rsidR="00BE170C" w:rsidRPr="00BE170C">
        <w:t>Legally, corporal punishment in schools is regulated at state level. It is prohibited in government and independent schools in Australian Capital Territory</w:t>
      </w:r>
      <w:r>
        <w:t>,</w:t>
      </w:r>
      <w:r w:rsidR="00BE170C" w:rsidRPr="00BE170C">
        <w:rPr>
          <w:rStyle w:val="FootnoteReference"/>
        </w:rPr>
        <w:footnoteReference w:id="21"/>
      </w:r>
      <w:r w:rsidR="00BE170C" w:rsidRPr="00BE170C">
        <w:t xml:space="preserve"> </w:t>
      </w:r>
      <w:r w:rsidR="00BE170C" w:rsidRPr="00BE170C">
        <w:rPr>
          <w:bCs/>
        </w:rPr>
        <w:t>New South Wales</w:t>
      </w:r>
      <w:r>
        <w:rPr>
          <w:bCs/>
        </w:rPr>
        <w:t>,</w:t>
      </w:r>
      <w:r w:rsidR="00BE170C" w:rsidRPr="00BE170C">
        <w:rPr>
          <w:rStyle w:val="FootnoteReference"/>
          <w:bCs/>
        </w:rPr>
        <w:footnoteReference w:id="22"/>
      </w:r>
      <w:r w:rsidR="00BE170C" w:rsidRPr="00BE170C">
        <w:rPr>
          <w:bCs/>
        </w:rPr>
        <w:t xml:space="preserve"> South Australia</w:t>
      </w:r>
      <w:r>
        <w:rPr>
          <w:bCs/>
        </w:rPr>
        <w:t>,</w:t>
      </w:r>
      <w:r w:rsidR="00BE170C" w:rsidRPr="00BE170C">
        <w:rPr>
          <w:rStyle w:val="FootnoteReference"/>
          <w:bCs/>
        </w:rPr>
        <w:footnoteReference w:id="23"/>
      </w:r>
      <w:r>
        <w:rPr>
          <w:bCs/>
        </w:rPr>
        <w:t xml:space="preserve"> </w:t>
      </w:r>
      <w:r w:rsidR="00BE170C" w:rsidRPr="00BE170C">
        <w:t>Tasmania</w:t>
      </w:r>
      <w:r w:rsidR="00BE170C" w:rsidRPr="00BE170C">
        <w:rPr>
          <w:rStyle w:val="FootnoteReference"/>
        </w:rPr>
        <w:footnoteReference w:id="24"/>
      </w:r>
      <w:r w:rsidR="00BE170C" w:rsidRPr="00BE170C">
        <w:t xml:space="preserve"> </w:t>
      </w:r>
      <w:r>
        <w:t>and</w:t>
      </w:r>
      <w:r w:rsidR="00BE170C" w:rsidRPr="00BE170C">
        <w:t xml:space="preserve"> Victoria</w:t>
      </w:r>
      <w:r>
        <w:t>.</w:t>
      </w:r>
      <w:r w:rsidR="00BE170C" w:rsidRPr="00BE170C">
        <w:rPr>
          <w:rStyle w:val="FootnoteReference"/>
        </w:rPr>
        <w:footnoteReference w:id="25"/>
      </w:r>
      <w:r w:rsidR="00BE170C" w:rsidRPr="00BE170C">
        <w:t xml:space="preserve"> </w:t>
      </w:r>
      <w:r w:rsidR="00BE170C" w:rsidRPr="00BE170C">
        <w:rPr>
          <w:bCs/>
        </w:rPr>
        <w:t>It is prohibited in government schools in Western Australia</w:t>
      </w:r>
      <w:r w:rsidR="00BE170C" w:rsidRPr="00BE170C">
        <w:rPr>
          <w:rStyle w:val="FootnoteReference"/>
          <w:bCs/>
        </w:rPr>
        <w:footnoteReference w:id="26"/>
      </w:r>
      <w:r>
        <w:rPr>
          <w:bCs/>
        </w:rPr>
        <w:t xml:space="preserve"> </w:t>
      </w:r>
      <w:r w:rsidR="00BE170C" w:rsidRPr="00BE170C">
        <w:rPr>
          <w:bCs/>
        </w:rPr>
        <w:t>but the use of force “by way of correction” is lawful for schoolteachers under section 257 of the Criminal Code Act</w:t>
      </w:r>
      <w:r w:rsidR="00F8718A">
        <w:rPr>
          <w:bCs/>
        </w:rPr>
        <w:t>,</w:t>
      </w:r>
      <w:r w:rsidR="00BE170C" w:rsidRPr="00BE170C">
        <w:rPr>
          <w:bCs/>
        </w:rPr>
        <w:t xml:space="preserve"> and provisions for caning of boys in the Country High School Hostels Authority Act Regulations 1962 have yet to be repealed.</w:t>
      </w:r>
      <w:r>
        <w:rPr>
          <w:bCs/>
        </w:rPr>
        <w:t xml:space="preserve"> </w:t>
      </w:r>
      <w:r w:rsidR="00BE170C" w:rsidRPr="00BE170C">
        <w:t xml:space="preserve">In Queensland, corporal punishment is lawful in schools under the provisions for reasonable force “by way of correction, discipline, management or control” in section 280 of the Criminal Code Act. In </w:t>
      </w:r>
      <w:r>
        <w:t xml:space="preserve">the </w:t>
      </w:r>
      <w:r w:rsidR="00BE170C" w:rsidRPr="00BE170C">
        <w:t>Northern Territory corporal punishment is prohibited in some but not all education settings in the Education and Care Services (National</w:t>
      </w:r>
      <w:r>
        <w:t xml:space="preserve"> Uniform Legislation) Act 2011.</w:t>
      </w:r>
    </w:p>
    <w:p w14:paraId="3194AD09" w14:textId="00677ABB" w:rsidR="00D3304F" w:rsidRPr="000168D6" w:rsidRDefault="00DA50D4" w:rsidP="000168D6">
      <w:pPr>
        <w:spacing w:after="120"/>
        <w:ind w:left="482" w:hanging="482"/>
      </w:pPr>
      <w:r w:rsidRPr="00BE170C">
        <w:lastRenderedPageBreak/>
        <w:t>2.</w:t>
      </w:r>
      <w:r w:rsidR="000168D6">
        <w:t>9</w:t>
      </w:r>
      <w:r w:rsidRPr="00BE170C">
        <w:t xml:space="preserve"> </w:t>
      </w:r>
      <w:r w:rsidRPr="00F8718A">
        <w:rPr>
          <w:b/>
          <w:i/>
        </w:rPr>
        <w:t>Penal institutions (</w:t>
      </w:r>
      <w:r w:rsidR="00BE170C" w:rsidRPr="00F8718A">
        <w:rPr>
          <w:b/>
          <w:i/>
          <w:u w:val="single"/>
        </w:rPr>
        <w:t>partially prohibited</w:t>
      </w:r>
      <w:r w:rsidRPr="00F8718A">
        <w:rPr>
          <w:b/>
          <w:i/>
        </w:rPr>
        <w:t>):</w:t>
      </w:r>
      <w:r w:rsidRPr="00BE170C">
        <w:rPr>
          <w:i/>
        </w:rPr>
        <w:t xml:space="preserve"> </w:t>
      </w:r>
      <w:r w:rsidR="00BE170C" w:rsidRPr="00BE170C">
        <w:t>Corporal punishment is unlawful as a disciplinary measure in penal institutions in New South Wales</w:t>
      </w:r>
      <w:r w:rsidR="000168D6">
        <w:t>,</w:t>
      </w:r>
      <w:r w:rsidR="000168D6">
        <w:rPr>
          <w:rStyle w:val="FootnoteReference"/>
        </w:rPr>
        <w:footnoteReference w:id="27"/>
      </w:r>
      <w:r w:rsidR="00BE170C" w:rsidRPr="00BE170C">
        <w:t xml:space="preserve"> Northern Territory</w:t>
      </w:r>
      <w:r w:rsidR="000168D6">
        <w:t>,</w:t>
      </w:r>
      <w:r w:rsidR="000168D6">
        <w:rPr>
          <w:rStyle w:val="FootnoteReference"/>
        </w:rPr>
        <w:footnoteReference w:id="28"/>
      </w:r>
      <w:r w:rsidR="00BE170C" w:rsidRPr="00BE170C">
        <w:t xml:space="preserve"> Queensland</w:t>
      </w:r>
      <w:r w:rsidR="000168D6">
        <w:t>,</w:t>
      </w:r>
      <w:r w:rsidR="000168D6">
        <w:rPr>
          <w:rStyle w:val="FootnoteReference"/>
        </w:rPr>
        <w:footnoteReference w:id="29"/>
      </w:r>
      <w:r w:rsidR="00BE170C" w:rsidRPr="00BE170C">
        <w:t xml:space="preserve"> South Australia</w:t>
      </w:r>
      <w:r w:rsidR="000168D6">
        <w:t>,</w:t>
      </w:r>
      <w:r w:rsidR="000168D6">
        <w:rPr>
          <w:rStyle w:val="FootnoteReference"/>
        </w:rPr>
        <w:footnoteReference w:id="30"/>
      </w:r>
      <w:r w:rsidR="00BE170C" w:rsidRPr="00BE170C">
        <w:t xml:space="preserve"> Tasmania</w:t>
      </w:r>
      <w:r w:rsidR="000168D6">
        <w:rPr>
          <w:rStyle w:val="FootnoteReference"/>
        </w:rPr>
        <w:footnoteReference w:id="31"/>
      </w:r>
      <w:r w:rsidR="00BE170C" w:rsidRPr="00BE170C">
        <w:t xml:space="preserve"> </w:t>
      </w:r>
      <w:r w:rsidR="000168D6">
        <w:t>and Victoria</w:t>
      </w:r>
      <w:r w:rsidR="00BE170C" w:rsidRPr="00BE170C">
        <w:t>.</w:t>
      </w:r>
      <w:r w:rsidR="000168D6">
        <w:rPr>
          <w:rStyle w:val="FootnoteReference"/>
        </w:rPr>
        <w:footnoteReference w:id="32"/>
      </w:r>
      <w:r w:rsidR="00BE170C" w:rsidRPr="00BE170C">
        <w:t xml:space="preserve"> In Australian Capital Territory, corporal punishment is not among permitted disciplinary measures in the Children and Young People Act 2008 but </w:t>
      </w:r>
      <w:r w:rsidR="000168D6">
        <w:t xml:space="preserve">it </w:t>
      </w:r>
      <w:r w:rsidR="00BE170C" w:rsidRPr="00BE170C">
        <w:t>is not explicitly prohibited. It is not prohibited in Western Australia.</w:t>
      </w:r>
    </w:p>
    <w:p w14:paraId="2C8752BE" w14:textId="0C929BCC" w:rsidR="00BE170C" w:rsidRPr="00BE170C" w:rsidRDefault="00DA50D4" w:rsidP="00BE170C">
      <w:pPr>
        <w:spacing w:after="120"/>
        <w:ind w:left="482" w:hanging="482"/>
      </w:pPr>
      <w:r w:rsidRPr="00BE170C">
        <w:t>2.</w:t>
      </w:r>
      <w:r w:rsidR="000168D6">
        <w:t>10</w:t>
      </w:r>
      <w:r w:rsidRPr="00BE170C">
        <w:t xml:space="preserve"> </w:t>
      </w:r>
      <w:r w:rsidRPr="00F8718A">
        <w:rPr>
          <w:b/>
          <w:i/>
        </w:rPr>
        <w:t>Sentence for crime (</w:t>
      </w:r>
      <w:r w:rsidR="00BE170C" w:rsidRPr="00F8718A">
        <w:rPr>
          <w:b/>
          <w:i/>
          <w:u w:val="single"/>
        </w:rPr>
        <w:t>unl</w:t>
      </w:r>
      <w:r w:rsidRPr="00F8718A">
        <w:rPr>
          <w:b/>
          <w:i/>
          <w:u w:val="single"/>
        </w:rPr>
        <w:t>awful</w:t>
      </w:r>
      <w:r w:rsidRPr="00F8718A">
        <w:rPr>
          <w:b/>
          <w:i/>
        </w:rPr>
        <w:t>):</w:t>
      </w:r>
      <w:r w:rsidRPr="00BE170C">
        <w:rPr>
          <w:i/>
        </w:rPr>
        <w:t xml:space="preserve"> </w:t>
      </w:r>
      <w:r w:rsidR="00BE170C" w:rsidRPr="00BE170C">
        <w:t xml:space="preserve">Corporal punishment is </w:t>
      </w:r>
      <w:r w:rsidR="00F8718A">
        <w:t>unlawful</w:t>
      </w:r>
      <w:r w:rsidR="00BE170C" w:rsidRPr="00BE170C">
        <w:t xml:space="preserve"> as a sentence for crime in all states and territories.</w:t>
      </w:r>
    </w:p>
    <w:p w14:paraId="1DDB9239" w14:textId="77777777" w:rsidR="00C05A6B" w:rsidRPr="00BE170C" w:rsidRDefault="00C05A6B" w:rsidP="000168D6">
      <w:pPr>
        <w:spacing w:after="120"/>
      </w:pPr>
    </w:p>
    <w:p w14:paraId="0B855DB1" w14:textId="7EB649C7" w:rsidR="007B3608" w:rsidRPr="00F01BFF" w:rsidRDefault="007B3608" w:rsidP="007B3608">
      <w:pPr>
        <w:spacing w:after="120"/>
        <w:ind w:left="482" w:hanging="482"/>
        <w:rPr>
          <w:sz w:val="28"/>
          <w:szCs w:val="28"/>
        </w:rPr>
      </w:pPr>
      <w:r>
        <w:rPr>
          <w:b/>
          <w:sz w:val="28"/>
          <w:szCs w:val="28"/>
        </w:rPr>
        <w:t>3 The practice of</w:t>
      </w:r>
      <w:r w:rsidR="004817BA">
        <w:rPr>
          <w:b/>
          <w:sz w:val="28"/>
          <w:szCs w:val="28"/>
        </w:rPr>
        <w:t xml:space="preserve"> and attitudes towards</w:t>
      </w:r>
      <w:r>
        <w:rPr>
          <w:b/>
          <w:sz w:val="28"/>
          <w:szCs w:val="28"/>
        </w:rPr>
        <w:t xml:space="preserve"> c</w:t>
      </w:r>
      <w:r w:rsidRPr="00F01BFF">
        <w:rPr>
          <w:b/>
          <w:sz w:val="28"/>
          <w:szCs w:val="28"/>
        </w:rPr>
        <w:t xml:space="preserve">orporal punishment in </w:t>
      </w:r>
      <w:r w:rsidR="004817BA">
        <w:rPr>
          <w:b/>
          <w:sz w:val="28"/>
          <w:szCs w:val="28"/>
        </w:rPr>
        <w:t>Australia</w:t>
      </w:r>
    </w:p>
    <w:p w14:paraId="3239552C" w14:textId="4FD06EEF" w:rsidR="004817BA" w:rsidRPr="000168D6" w:rsidRDefault="004817BA" w:rsidP="000168D6">
      <w:pPr>
        <w:spacing w:after="120"/>
        <w:ind w:left="482" w:hanging="482"/>
        <w:rPr>
          <w:rFonts w:eastAsia="Calibri"/>
        </w:rPr>
      </w:pPr>
      <w:r w:rsidRPr="000168D6">
        <w:t>3.1 Numerous res</w:t>
      </w:r>
      <w:r w:rsidR="00F8718A">
        <w:t xml:space="preserve">earch studies, reports and </w:t>
      </w:r>
      <w:r w:rsidRPr="000168D6">
        <w:t>polls attest to the nature, prevalence, social acceptance and consequences of corporal punishment of children in Australia. For example,</w:t>
      </w:r>
      <w:r w:rsidRPr="000168D6">
        <w:rPr>
          <w:rFonts w:eastAsia="Calibri"/>
        </w:rPr>
        <w:t xml:space="preserve"> a 2009 study looked at all identified child homicides in New South Wales from 1991 to 2005 (165 homicides by 157 offenders). It found that the most common cause of death was physical punishment, which accounted for 36% (59 deaths) over the </w:t>
      </w:r>
      <w:r w:rsidR="00F8718A" w:rsidRPr="000168D6">
        <w:rPr>
          <w:rFonts w:eastAsia="Calibri"/>
        </w:rPr>
        <w:t>14-year</w:t>
      </w:r>
      <w:r w:rsidRPr="000168D6">
        <w:rPr>
          <w:rFonts w:eastAsia="Calibri"/>
        </w:rPr>
        <w:t xml:space="preserve"> period. In almost three in four cases, children had been beaten, thrown or shaken to death by their parents/carers. Children be</w:t>
      </w:r>
      <w:r w:rsidR="00F8718A">
        <w:rPr>
          <w:rFonts w:eastAsia="Calibri"/>
        </w:rPr>
        <w:t>low the age of one were</w:t>
      </w:r>
      <w:r w:rsidRPr="000168D6">
        <w:rPr>
          <w:rFonts w:eastAsia="Calibri"/>
        </w:rPr>
        <w:t xml:space="preserve"> more likely to be killed than older children. The average age of the 59 children killed through physical punishment was 1.5 years.</w:t>
      </w:r>
      <w:r w:rsidRPr="000168D6">
        <w:rPr>
          <w:rStyle w:val="FootnoteReference"/>
          <w:rFonts w:eastAsia="Calibri"/>
        </w:rPr>
        <w:footnoteReference w:id="33"/>
      </w:r>
      <w:r w:rsidRPr="000168D6">
        <w:rPr>
          <w:rFonts w:eastAsia="Calibri"/>
        </w:rPr>
        <w:t xml:space="preserve"> A Government review of “domestic discipline” cases under section 280 of the Criminal Code – which allows parents to use “reasonable force” on their children – found that of the 134 cases of “excessive discipline” in 2006-7, more than half (80) involved the use of implements, including cattle prods. In 85 cases children were hit on the head, in 36 cases they were punched, in 13 kicked.</w:t>
      </w:r>
      <w:r w:rsidRPr="000168D6">
        <w:rPr>
          <w:rStyle w:val="FootnoteReference"/>
          <w:rFonts w:eastAsia="Calibri"/>
        </w:rPr>
        <w:footnoteReference w:id="34"/>
      </w:r>
      <w:r w:rsidRPr="000168D6">
        <w:rPr>
          <w:rFonts w:eastAsia="Calibri"/>
        </w:rPr>
        <w:t xml:space="preserve"> </w:t>
      </w:r>
    </w:p>
    <w:p w14:paraId="5C8558D1" w14:textId="77777777" w:rsidR="004817BA" w:rsidRPr="000168D6" w:rsidRDefault="004817BA" w:rsidP="000168D6">
      <w:pPr>
        <w:spacing w:after="120"/>
        <w:ind w:left="482" w:hanging="482"/>
      </w:pPr>
      <w:r w:rsidRPr="000168D6">
        <w:t>3.2 In telephone interviews with a representative sample of 720 adults in 2006, 45% believed it was reasonable to leave a mark on a child as a result of physical punishment; one in 10 believed it was appropriate to use implements such as canes, sticks, belts, or slippers to punish a child; 14% supported the use of a wooden spoon. Two out of five (41%) believed that smacking a child is effective in shaping his or her behaviour, while one in ten believed that smacking a teenager is an effective way of discipline.</w:t>
      </w:r>
      <w:r w:rsidRPr="000168D6">
        <w:rPr>
          <w:rStyle w:val="FootnoteReference"/>
        </w:rPr>
        <w:footnoteReference w:id="35"/>
      </w:r>
    </w:p>
    <w:p w14:paraId="02AD2FFB" w14:textId="77777777" w:rsidR="004817BA" w:rsidRPr="000168D6" w:rsidRDefault="004817BA" w:rsidP="000168D6">
      <w:pPr>
        <w:spacing w:after="120"/>
        <w:ind w:left="482" w:hanging="482"/>
      </w:pPr>
      <w:r w:rsidRPr="000168D6">
        <w:t>3.3 A survey of parents in Queensland, conducted by the Parenting and Family Support Centre, University of Queensland, found that 71% smacked their children occasionally.</w:t>
      </w:r>
      <w:r w:rsidRPr="000168D6">
        <w:rPr>
          <w:rStyle w:val="FootnoteReference"/>
        </w:rPr>
        <w:footnoteReference w:id="36"/>
      </w:r>
      <w:r w:rsidRPr="000168D6">
        <w:t xml:space="preserve"> In a 2011</w:t>
      </w:r>
      <w:r w:rsidRPr="000168D6">
        <w:rPr>
          <w:rFonts w:eastAsia="Calibri"/>
        </w:rPr>
        <w:t> online</w:t>
      </w:r>
      <w:r w:rsidRPr="000168D6">
        <w:t xml:space="preserve"> poll of more than 4,000 people, 85% of parents admitted smacking their children.</w:t>
      </w:r>
      <w:r w:rsidRPr="000168D6">
        <w:rPr>
          <w:rStyle w:val="FootnoteReference"/>
        </w:rPr>
        <w:footnoteReference w:id="37"/>
      </w:r>
      <w:r w:rsidRPr="000168D6">
        <w:t xml:space="preserve"> In a 2012 online poll of more than 12,000 people, 92.47% replied “no” to the question “should smacking a child be a criminal offence?”</w:t>
      </w:r>
      <w:r w:rsidRPr="000168D6">
        <w:rPr>
          <w:rStyle w:val="FootnoteReference"/>
        </w:rPr>
        <w:footnoteReference w:id="38"/>
      </w:r>
    </w:p>
    <w:p w14:paraId="2EC6A366" w14:textId="77777777" w:rsidR="00F318C2" w:rsidRPr="000168D6" w:rsidRDefault="00F318C2" w:rsidP="000168D6">
      <w:pPr>
        <w:spacing w:after="120"/>
        <w:ind w:left="482" w:hanging="482"/>
        <w:rPr>
          <w:b/>
        </w:rPr>
      </w:pPr>
    </w:p>
    <w:p w14:paraId="0A3C98E0" w14:textId="77777777" w:rsidR="00F8718A" w:rsidRDefault="00F8718A" w:rsidP="005E7FE5">
      <w:pPr>
        <w:spacing w:after="120"/>
        <w:ind w:left="482" w:hanging="482"/>
        <w:rPr>
          <w:b/>
          <w:sz w:val="28"/>
          <w:szCs w:val="28"/>
        </w:rPr>
      </w:pPr>
    </w:p>
    <w:p w14:paraId="51C178E1" w14:textId="77777777" w:rsidR="00F8718A" w:rsidRDefault="00F8718A" w:rsidP="005E7FE5">
      <w:pPr>
        <w:spacing w:after="120"/>
        <w:ind w:left="482" w:hanging="482"/>
        <w:rPr>
          <w:b/>
          <w:sz w:val="28"/>
          <w:szCs w:val="28"/>
        </w:rPr>
      </w:pPr>
    </w:p>
    <w:p w14:paraId="157746B7" w14:textId="77777777" w:rsidR="008B273F" w:rsidRPr="00B902F0" w:rsidRDefault="000457B2" w:rsidP="005E7FE5">
      <w:pPr>
        <w:spacing w:after="120"/>
        <w:ind w:left="482" w:hanging="482"/>
        <w:rPr>
          <w:b/>
          <w:sz w:val="28"/>
          <w:szCs w:val="28"/>
        </w:rPr>
      </w:pPr>
      <w:r>
        <w:rPr>
          <w:b/>
          <w:sz w:val="28"/>
          <w:szCs w:val="28"/>
        </w:rPr>
        <w:lastRenderedPageBreak/>
        <w:t>4</w:t>
      </w:r>
      <w:r w:rsidR="008B273F">
        <w:rPr>
          <w:b/>
          <w:sz w:val="28"/>
          <w:szCs w:val="28"/>
        </w:rPr>
        <w:t xml:space="preserve"> </w:t>
      </w:r>
      <w:r w:rsidR="008B273F" w:rsidRPr="00B902F0">
        <w:rPr>
          <w:b/>
          <w:sz w:val="28"/>
          <w:szCs w:val="28"/>
        </w:rPr>
        <w:t>Recommendations by human rights treaty bodies</w:t>
      </w:r>
      <w:r w:rsidR="002F0ECE">
        <w:rPr>
          <w:b/>
          <w:sz w:val="28"/>
          <w:szCs w:val="28"/>
        </w:rPr>
        <w:t xml:space="preserve"> and during the UPR</w:t>
      </w:r>
    </w:p>
    <w:p w14:paraId="6E5CA375" w14:textId="3A5BEB72" w:rsidR="00F90DC3" w:rsidRPr="000168D6" w:rsidRDefault="000168D6" w:rsidP="000168D6">
      <w:pPr>
        <w:spacing w:after="120"/>
        <w:ind w:left="482" w:hanging="482"/>
      </w:pPr>
      <w:r>
        <w:t>4.1</w:t>
      </w:r>
      <w:r w:rsidR="00F90DC3" w:rsidRPr="000168D6">
        <w:t xml:space="preserve"> </w:t>
      </w:r>
      <w:r w:rsidRPr="00F8718A">
        <w:rPr>
          <w:b/>
          <w:i/>
        </w:rPr>
        <w:t>CAT:</w:t>
      </w:r>
      <w:r>
        <w:rPr>
          <w:i/>
        </w:rPr>
        <w:t xml:space="preserve"> </w:t>
      </w:r>
      <w:r w:rsidR="00F90DC3" w:rsidRPr="000168D6">
        <w:t>In 2008, the Committee Against Torture recommended the adoption of legislation prohibiting corporal punishment at home and in all other settings</w:t>
      </w:r>
      <w:r>
        <w:t xml:space="preserve"> (see above, para. 1.1)</w:t>
      </w:r>
      <w:r w:rsidR="00F90DC3" w:rsidRPr="000168D6">
        <w:t>.</w:t>
      </w:r>
      <w:r w:rsidR="00F90DC3" w:rsidRPr="000168D6">
        <w:rPr>
          <w:rStyle w:val="FootnoteReference"/>
        </w:rPr>
        <w:footnoteReference w:id="39"/>
      </w:r>
    </w:p>
    <w:p w14:paraId="7EC1DCE7" w14:textId="629A3E75" w:rsidR="004817BA" w:rsidRPr="000168D6" w:rsidRDefault="000168D6" w:rsidP="000168D6">
      <w:pPr>
        <w:spacing w:after="120"/>
        <w:ind w:left="482" w:hanging="482"/>
      </w:pPr>
      <w:r>
        <w:t>4.2</w:t>
      </w:r>
      <w:r w:rsidR="00065B23" w:rsidRPr="000168D6">
        <w:t xml:space="preserve"> </w:t>
      </w:r>
      <w:r w:rsidR="00065B23" w:rsidRPr="00F8718A">
        <w:rPr>
          <w:b/>
          <w:i/>
        </w:rPr>
        <w:t>CRC:</w:t>
      </w:r>
      <w:r w:rsidR="00065B23" w:rsidRPr="000168D6">
        <w:t xml:space="preserve"> </w:t>
      </w:r>
      <w:r w:rsidR="004817BA" w:rsidRPr="000168D6">
        <w:t xml:space="preserve">The Committee on the Rights of the Child has three times recommended that corporal punishment of children be prohibited by law in homes and schools throughout Australia – in 1997 in </w:t>
      </w:r>
      <w:r>
        <w:t xml:space="preserve">its </w:t>
      </w:r>
      <w:r w:rsidR="004817BA" w:rsidRPr="000168D6">
        <w:t>concluding observations on the state party’s initial report, in 2005 on the second/third report, and in 2012 on the fourth report.</w:t>
      </w:r>
      <w:r w:rsidR="004817BA" w:rsidRPr="000168D6">
        <w:rPr>
          <w:rStyle w:val="FootnoteReference"/>
        </w:rPr>
        <w:footnoteReference w:id="40"/>
      </w:r>
    </w:p>
    <w:p w14:paraId="57D2493B" w14:textId="06472FBA" w:rsidR="004817BA" w:rsidRPr="000168D6" w:rsidRDefault="004817BA" w:rsidP="000168D6">
      <w:pPr>
        <w:autoSpaceDE w:val="0"/>
        <w:autoSpaceDN w:val="0"/>
        <w:adjustRightInd w:val="0"/>
        <w:spacing w:after="120"/>
        <w:ind w:left="482" w:hanging="482"/>
        <w:rPr>
          <w:bCs/>
        </w:rPr>
      </w:pPr>
      <w:r w:rsidRPr="000168D6">
        <w:rPr>
          <w:bCs/>
        </w:rPr>
        <w:t xml:space="preserve">4.3 </w:t>
      </w:r>
      <w:r w:rsidR="00F8718A" w:rsidRPr="00F8718A">
        <w:rPr>
          <w:b/>
          <w:bCs/>
          <w:i/>
        </w:rPr>
        <w:t xml:space="preserve">UPR: </w:t>
      </w:r>
      <w:r w:rsidRPr="000168D6">
        <w:rPr>
          <w:bCs/>
        </w:rPr>
        <w:t>Australia was examined in the first cycle of the Universal Periodic Review in 2011. The Government rejected the recommendation to “introduce a full prohibition of corporal punishment within the family in all states and territories”.</w:t>
      </w:r>
      <w:r w:rsidRPr="000168D6">
        <w:rPr>
          <w:rStyle w:val="FootnoteReference"/>
          <w:bCs/>
        </w:rPr>
        <w:footnoteReference w:id="41"/>
      </w:r>
    </w:p>
    <w:p w14:paraId="072BB12B" w14:textId="77777777" w:rsidR="00721E73" w:rsidRPr="000168D6" w:rsidRDefault="00721E73" w:rsidP="000168D6">
      <w:pPr>
        <w:spacing w:after="120"/>
      </w:pPr>
    </w:p>
    <w:p w14:paraId="32387731" w14:textId="69C136D0" w:rsidR="00C901EC" w:rsidRDefault="00F8718A"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F8718A"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7B74CC0F" w:rsidR="00C901EC" w:rsidRPr="001C0859" w:rsidRDefault="00F8718A" w:rsidP="001C0859">
      <w:pPr>
        <w:tabs>
          <w:tab w:val="left" w:pos="8244"/>
          <w:tab w:val="left" w:pos="9160"/>
          <w:tab w:val="left" w:pos="10076"/>
          <w:tab w:val="left" w:pos="10992"/>
          <w:tab w:val="left" w:pos="11908"/>
          <w:tab w:val="left" w:pos="12824"/>
          <w:tab w:val="left" w:pos="13740"/>
          <w:tab w:val="left" w:pos="14656"/>
        </w:tabs>
        <w:rPr>
          <w:i/>
        </w:rPr>
      </w:pPr>
      <w:r>
        <w:rPr>
          <w:i/>
        </w:rPr>
        <w:t>October</w:t>
      </w:r>
      <w:r w:rsidR="00BD0C3F">
        <w:rPr>
          <w:i/>
        </w:rPr>
        <w:t xml:space="preserve"> 2014</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0168D6" w:rsidRDefault="000168D6">
      <w:r>
        <w:separator/>
      </w:r>
    </w:p>
  </w:endnote>
  <w:endnote w:type="continuationSeparator" w:id="0">
    <w:p w14:paraId="099F8A8B" w14:textId="77777777" w:rsidR="000168D6" w:rsidRDefault="0001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0168D6" w:rsidRDefault="000168D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0168D6" w:rsidRDefault="000168D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0168D6" w:rsidRDefault="000168D6">
    <w:pPr>
      <w:pStyle w:val="Footer"/>
      <w:jc w:val="center"/>
    </w:pPr>
    <w:r>
      <w:fldChar w:fldCharType="begin"/>
    </w:r>
    <w:r>
      <w:instrText xml:space="preserve"> PAGE   \* MERGEFORMAT </w:instrText>
    </w:r>
    <w:r>
      <w:fldChar w:fldCharType="separate"/>
    </w:r>
    <w:r w:rsidR="00F8718A">
      <w:rPr>
        <w:noProof/>
      </w:rPr>
      <w:t>2</w:t>
    </w:r>
    <w:r>
      <w:rPr>
        <w:noProof/>
      </w:rPr>
      <w:fldChar w:fldCharType="end"/>
    </w:r>
  </w:p>
  <w:p w14:paraId="44F681E0" w14:textId="77777777" w:rsidR="000168D6" w:rsidRDefault="000168D6">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569CFB" w14:textId="77777777" w:rsidR="00F8718A" w:rsidRDefault="00F8718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0168D6" w:rsidRDefault="000168D6">
      <w:r>
        <w:separator/>
      </w:r>
    </w:p>
  </w:footnote>
  <w:footnote w:type="continuationSeparator" w:id="0">
    <w:p w14:paraId="0E4CCE60" w14:textId="77777777" w:rsidR="000168D6" w:rsidRDefault="000168D6">
      <w:r>
        <w:continuationSeparator/>
      </w:r>
    </w:p>
  </w:footnote>
  <w:footnote w:id="1">
    <w:p w14:paraId="726F4292" w14:textId="0FEB0BEE" w:rsidR="000168D6" w:rsidRPr="00BE170C" w:rsidRDefault="000168D6" w:rsidP="00BE170C">
      <w:pPr>
        <w:pStyle w:val="FootnoteText"/>
        <w:rPr>
          <w:lang w:val="en-US"/>
        </w:rPr>
      </w:pPr>
      <w:r w:rsidRPr="00BE170C">
        <w:rPr>
          <w:rStyle w:val="FootnoteReference"/>
        </w:rPr>
        <w:footnoteRef/>
      </w:r>
      <w:r w:rsidRPr="00BE170C">
        <w:t xml:space="preserve"> </w:t>
      </w:r>
      <w:r w:rsidRPr="00BE170C">
        <w:rPr>
          <w:color w:val="000000"/>
          <w:lang w:val="en-US"/>
        </w:rPr>
        <w:t>15 February 2011, CAT/C/AUS/Q/5, List of issues prior to reporting</w:t>
      </w:r>
    </w:p>
  </w:footnote>
  <w:footnote w:id="2">
    <w:p w14:paraId="48DBE972" w14:textId="18D55060" w:rsidR="000168D6" w:rsidRPr="00BE170C" w:rsidRDefault="000168D6" w:rsidP="00BE170C">
      <w:pPr>
        <w:pStyle w:val="FootnoteText"/>
        <w:rPr>
          <w:lang w:val="en-US"/>
        </w:rPr>
      </w:pPr>
      <w:r w:rsidRPr="00BE170C">
        <w:rPr>
          <w:rStyle w:val="FootnoteReference"/>
        </w:rPr>
        <w:footnoteRef/>
      </w:r>
      <w:r w:rsidRPr="00BE170C">
        <w:t xml:space="preserve"> </w:t>
      </w:r>
      <w:r w:rsidRPr="00BE170C">
        <w:rPr>
          <w:lang w:val="en-US"/>
        </w:rPr>
        <w:t>ibid., para. 4</w:t>
      </w:r>
    </w:p>
  </w:footnote>
  <w:footnote w:id="3">
    <w:p w14:paraId="29A57915" w14:textId="77777777" w:rsidR="000168D6" w:rsidRPr="00BE170C" w:rsidRDefault="000168D6" w:rsidP="00BE170C">
      <w:pPr>
        <w:pStyle w:val="FootnoteText"/>
        <w:rPr>
          <w:lang w:val="en-US"/>
        </w:rPr>
      </w:pPr>
      <w:r w:rsidRPr="00BE170C">
        <w:rPr>
          <w:rStyle w:val="FootnoteReference"/>
        </w:rPr>
        <w:footnoteRef/>
      </w:r>
      <w:r w:rsidRPr="00BE170C">
        <w:t xml:space="preserve"> 22 May 2008, CAT/C/AUS/CO/1, Concluding observations on third report, para. 31</w:t>
      </w:r>
    </w:p>
  </w:footnote>
  <w:footnote w:id="4">
    <w:p w14:paraId="3D6F6C7D" w14:textId="1F07B6D6" w:rsidR="000168D6" w:rsidRPr="00BE170C" w:rsidRDefault="000168D6" w:rsidP="00BE170C">
      <w:pPr>
        <w:pStyle w:val="FootnoteText"/>
        <w:rPr>
          <w:lang w:val="en-US"/>
        </w:rPr>
      </w:pPr>
      <w:r w:rsidRPr="00BE170C">
        <w:rPr>
          <w:rStyle w:val="FootnoteReference"/>
        </w:rPr>
        <w:footnoteRef/>
      </w:r>
      <w:r w:rsidRPr="00BE170C">
        <w:t xml:space="preserve"> 9 January 2014, CAT/C/AUS/4-5, Fourth/fifth state party report, </w:t>
      </w:r>
      <w:r w:rsidRPr="00BE170C">
        <w:rPr>
          <w:lang w:val="en-US"/>
        </w:rPr>
        <w:t>para. 27</w:t>
      </w:r>
    </w:p>
  </w:footnote>
  <w:footnote w:id="5">
    <w:p w14:paraId="113A20DC" w14:textId="77777777" w:rsidR="000168D6" w:rsidRPr="00BE170C" w:rsidRDefault="000168D6" w:rsidP="00BE170C">
      <w:pPr>
        <w:pStyle w:val="FootnoteText"/>
      </w:pPr>
      <w:r w:rsidRPr="00BE170C">
        <w:rPr>
          <w:rStyle w:val="FootnoteReference"/>
        </w:rPr>
        <w:footnoteRef/>
      </w:r>
      <w:r w:rsidRPr="00BE170C">
        <w:t xml:space="preserve"> Australian Capital Territory under common law; Northern Territory Criminal Code Act s27; Queensland Criminal Code Act 1899, s280; South Australia Criminal Law Consolidation Act 1935, s20; Tasmania Criminal Code Act 1924, s50; Western Australia Criminal Code 1913, s257; Victoria under common law rule</w:t>
      </w:r>
    </w:p>
  </w:footnote>
  <w:footnote w:id="6">
    <w:p w14:paraId="37847614" w14:textId="3664F6E1" w:rsidR="000168D6" w:rsidRPr="00BE170C" w:rsidRDefault="000168D6" w:rsidP="00BE170C">
      <w:pPr>
        <w:pStyle w:val="FootnoteText"/>
        <w:rPr>
          <w:lang w:val="en-US"/>
        </w:rPr>
      </w:pPr>
      <w:r w:rsidRPr="00BE170C">
        <w:rPr>
          <w:rStyle w:val="FootnoteReference"/>
        </w:rPr>
        <w:footnoteRef/>
      </w:r>
      <w:r w:rsidRPr="00BE170C">
        <w:t xml:space="preserve"> Children and Young Persons (Care and Protection) Regulation 2000 (s35)</w:t>
      </w:r>
    </w:p>
  </w:footnote>
  <w:footnote w:id="7">
    <w:p w14:paraId="67353D1E" w14:textId="1769E665" w:rsidR="000168D6" w:rsidRPr="00BE170C" w:rsidRDefault="000168D6" w:rsidP="00BE170C">
      <w:pPr>
        <w:pStyle w:val="FootnoteText"/>
        <w:rPr>
          <w:lang w:val="en-US"/>
        </w:rPr>
      </w:pPr>
      <w:r w:rsidRPr="00BE170C">
        <w:rPr>
          <w:rStyle w:val="FootnoteReference"/>
        </w:rPr>
        <w:footnoteRef/>
      </w:r>
      <w:r w:rsidRPr="00BE170C">
        <w:t xml:space="preserve"> Child Protection Act 1999 (s122)</w:t>
      </w:r>
    </w:p>
  </w:footnote>
  <w:footnote w:id="8">
    <w:p w14:paraId="792D893F" w14:textId="04AD2CA5" w:rsidR="000168D6" w:rsidRPr="00BE170C" w:rsidRDefault="000168D6" w:rsidP="00BE170C">
      <w:pPr>
        <w:pStyle w:val="FootnoteText"/>
        <w:rPr>
          <w:lang w:val="en-US"/>
        </w:rPr>
      </w:pPr>
      <w:r w:rsidRPr="00BE170C">
        <w:rPr>
          <w:rStyle w:val="FootnoteReference"/>
        </w:rPr>
        <w:footnoteRef/>
      </w:r>
      <w:r w:rsidRPr="00BE170C">
        <w:t xml:space="preserve"> Family and Community Services Regulations 1996 (s13)</w:t>
      </w:r>
    </w:p>
  </w:footnote>
  <w:footnote w:id="9">
    <w:p w14:paraId="46D678BD" w14:textId="6EA9EA41" w:rsidR="000168D6" w:rsidRPr="00BE170C" w:rsidRDefault="000168D6" w:rsidP="00BE170C">
      <w:pPr>
        <w:pStyle w:val="FootnoteText"/>
        <w:rPr>
          <w:lang w:val="en-US"/>
        </w:rPr>
      </w:pPr>
      <w:r w:rsidRPr="00BE170C">
        <w:rPr>
          <w:rStyle w:val="FootnoteReference"/>
        </w:rPr>
        <w:footnoteRef/>
      </w:r>
      <w:r w:rsidRPr="00BE170C">
        <w:t xml:space="preserve"> Children and Young People Act 2008 (s741)</w:t>
      </w:r>
    </w:p>
  </w:footnote>
  <w:footnote w:id="10">
    <w:p w14:paraId="55192628" w14:textId="58EBF365" w:rsidR="000168D6" w:rsidRPr="00BE170C" w:rsidRDefault="000168D6" w:rsidP="00BE170C">
      <w:pPr>
        <w:pStyle w:val="FootnoteText"/>
        <w:rPr>
          <w:lang w:val="en-US"/>
        </w:rPr>
      </w:pPr>
      <w:r w:rsidRPr="00BE170C">
        <w:rPr>
          <w:rStyle w:val="FootnoteReference"/>
        </w:rPr>
        <w:footnoteRef/>
      </w:r>
      <w:r w:rsidRPr="00BE170C">
        <w:t xml:space="preserve"> Children and Young Persons (Care and Protection) Regulation 2000 (s35)</w:t>
      </w:r>
    </w:p>
  </w:footnote>
  <w:footnote w:id="11">
    <w:p w14:paraId="240CE9B2" w14:textId="28515515" w:rsidR="000168D6" w:rsidRPr="00BE170C" w:rsidRDefault="000168D6" w:rsidP="00BE170C">
      <w:pPr>
        <w:pStyle w:val="FootnoteText"/>
        <w:rPr>
          <w:lang w:val="en-US"/>
        </w:rPr>
      </w:pPr>
      <w:r w:rsidRPr="00BE170C">
        <w:rPr>
          <w:rStyle w:val="FootnoteReference"/>
        </w:rPr>
        <w:footnoteRef/>
      </w:r>
      <w:r w:rsidRPr="00BE170C">
        <w:t xml:space="preserve"> Child Protection Act 1999 (s122)</w:t>
      </w:r>
    </w:p>
  </w:footnote>
  <w:footnote w:id="12">
    <w:p w14:paraId="65CD825E" w14:textId="533C4775" w:rsidR="000168D6" w:rsidRPr="00BE170C" w:rsidRDefault="000168D6" w:rsidP="00BE170C">
      <w:pPr>
        <w:pStyle w:val="FootnoteText"/>
        <w:rPr>
          <w:lang w:val="en-US"/>
        </w:rPr>
      </w:pPr>
      <w:r w:rsidRPr="00BE170C">
        <w:rPr>
          <w:rStyle w:val="FootnoteReference"/>
        </w:rPr>
        <w:footnoteRef/>
      </w:r>
      <w:r w:rsidRPr="00BE170C">
        <w:t xml:space="preserve"> Prohibited by licensing requirements</w:t>
      </w:r>
    </w:p>
  </w:footnote>
  <w:footnote w:id="13">
    <w:p w14:paraId="3108758D" w14:textId="62F43E8C" w:rsidR="000168D6" w:rsidRPr="00BE170C" w:rsidRDefault="000168D6" w:rsidP="00BE170C">
      <w:pPr>
        <w:pStyle w:val="FootnoteText"/>
        <w:rPr>
          <w:lang w:val="en-US"/>
        </w:rPr>
      </w:pPr>
      <w:r w:rsidRPr="00BE170C">
        <w:rPr>
          <w:rStyle w:val="FootnoteReference"/>
        </w:rPr>
        <w:footnoteRef/>
      </w:r>
      <w:r w:rsidRPr="00BE170C">
        <w:t xml:space="preserve"> Children and Young People Act 2008 (s741)</w:t>
      </w:r>
    </w:p>
  </w:footnote>
  <w:footnote w:id="14">
    <w:p w14:paraId="7CDAD7F2" w14:textId="223CF240" w:rsidR="000168D6" w:rsidRPr="00BE170C" w:rsidRDefault="000168D6" w:rsidP="00BE170C">
      <w:pPr>
        <w:pStyle w:val="FootnoteText"/>
        <w:rPr>
          <w:lang w:val="en-US"/>
        </w:rPr>
      </w:pPr>
      <w:r w:rsidRPr="00BE170C">
        <w:rPr>
          <w:rStyle w:val="FootnoteReference"/>
        </w:rPr>
        <w:footnoteRef/>
      </w:r>
      <w:r w:rsidRPr="00BE170C">
        <w:t xml:space="preserve"> Children and Young People Act 2008 (s741)</w:t>
      </w:r>
    </w:p>
  </w:footnote>
  <w:footnote w:id="15">
    <w:p w14:paraId="4B51F185" w14:textId="1F9966C6" w:rsidR="000168D6" w:rsidRPr="00BE170C" w:rsidRDefault="000168D6" w:rsidP="00BE170C">
      <w:pPr>
        <w:pStyle w:val="FootnoteText"/>
        <w:rPr>
          <w:lang w:val="en-US"/>
        </w:rPr>
      </w:pPr>
      <w:r w:rsidRPr="00BE170C">
        <w:rPr>
          <w:rStyle w:val="FootnoteReference"/>
        </w:rPr>
        <w:footnoteRef/>
      </w:r>
      <w:r w:rsidRPr="00BE170C">
        <w:t xml:space="preserve"> Children’s Services Regulation 2004 (s65)</w:t>
      </w:r>
    </w:p>
  </w:footnote>
  <w:footnote w:id="16">
    <w:p w14:paraId="72009532" w14:textId="5A4F6A51" w:rsidR="000168D6" w:rsidRPr="00BE170C" w:rsidRDefault="000168D6" w:rsidP="00BE170C">
      <w:pPr>
        <w:pStyle w:val="FootnoteText"/>
        <w:rPr>
          <w:lang w:val="en-US"/>
        </w:rPr>
      </w:pPr>
      <w:r w:rsidRPr="00BE170C">
        <w:rPr>
          <w:rStyle w:val="FootnoteReference"/>
        </w:rPr>
        <w:footnoteRef/>
      </w:r>
      <w:r w:rsidRPr="00BE170C">
        <w:t xml:space="preserve"> Child Protection Act 1999 (s122)</w:t>
      </w:r>
    </w:p>
  </w:footnote>
  <w:footnote w:id="17">
    <w:p w14:paraId="09B5BC11" w14:textId="585DC626" w:rsidR="000168D6" w:rsidRPr="00BE170C" w:rsidRDefault="000168D6" w:rsidP="00BE170C">
      <w:pPr>
        <w:pStyle w:val="FootnoteText"/>
        <w:rPr>
          <w:lang w:val="en-US"/>
        </w:rPr>
      </w:pPr>
      <w:r w:rsidRPr="00BE170C">
        <w:rPr>
          <w:rStyle w:val="FootnoteReference"/>
        </w:rPr>
        <w:footnoteRef/>
      </w:r>
      <w:r w:rsidRPr="00BE170C">
        <w:t xml:space="preserve"> Children’s Services (Child Care Centres) Regulations 1998 (s39)</w:t>
      </w:r>
    </w:p>
  </w:footnote>
  <w:footnote w:id="18">
    <w:p w14:paraId="652C12E5" w14:textId="636AC0CE" w:rsidR="000168D6" w:rsidRPr="00BE170C" w:rsidRDefault="000168D6" w:rsidP="00BE170C">
      <w:pPr>
        <w:pStyle w:val="FootnoteText"/>
        <w:rPr>
          <w:lang w:val="en-US"/>
        </w:rPr>
      </w:pPr>
      <w:r w:rsidRPr="00BE170C">
        <w:rPr>
          <w:rStyle w:val="FootnoteReference"/>
        </w:rPr>
        <w:footnoteRef/>
      </w:r>
      <w:r w:rsidRPr="00BE170C">
        <w:t xml:space="preserve"> Children’s Services Act 1996 (s28)</w:t>
      </w:r>
    </w:p>
  </w:footnote>
  <w:footnote w:id="19">
    <w:p w14:paraId="1A15F688" w14:textId="2DED4A72" w:rsidR="000168D6" w:rsidRPr="00BE170C" w:rsidRDefault="000168D6" w:rsidP="00BE170C">
      <w:pPr>
        <w:pStyle w:val="FootnoteText"/>
        <w:rPr>
          <w:lang w:val="en-US"/>
        </w:rPr>
      </w:pPr>
      <w:r w:rsidRPr="00BE170C">
        <w:rPr>
          <w:rStyle w:val="FootnoteReference"/>
        </w:rPr>
        <w:footnoteRef/>
      </w:r>
      <w:r w:rsidRPr="00BE170C">
        <w:t xml:space="preserve"> Child Care Services (Child Care) Regulations 2006 (s85); </w:t>
      </w:r>
      <w:r w:rsidRPr="00BE170C">
        <w:rPr>
          <w:bCs/>
        </w:rPr>
        <w:t>Child Care Services (Family Day Care) Regulations 2006 (s69); Child Care Services (Outside School Hours Care) Regulations 2006 (s66); Child Care Services (Outside School Hours Family Day Care) Regulations 2006 (s52</w:t>
      </w:r>
      <w:r w:rsidRPr="00BE170C">
        <w:t>)</w:t>
      </w:r>
    </w:p>
  </w:footnote>
  <w:footnote w:id="20">
    <w:p w14:paraId="7F9BA404" w14:textId="77777777" w:rsidR="000168D6" w:rsidRPr="00BE170C" w:rsidRDefault="000168D6" w:rsidP="00BE170C">
      <w:pPr>
        <w:pStyle w:val="FootnoteText"/>
      </w:pPr>
      <w:r w:rsidRPr="00BE170C">
        <w:rPr>
          <w:rStyle w:val="FootnoteReference"/>
        </w:rPr>
        <w:footnoteRef/>
      </w:r>
      <w:r w:rsidRPr="00BE170C">
        <w:t xml:space="preserve"> 9 May 2012, CRC/C/AUS/Q/4/Add.1, Reply to list of issues, para. 66</w:t>
      </w:r>
    </w:p>
  </w:footnote>
  <w:footnote w:id="21">
    <w:p w14:paraId="590E408F" w14:textId="43154581" w:rsidR="000168D6" w:rsidRPr="00BE170C" w:rsidRDefault="000168D6" w:rsidP="00BE170C">
      <w:pPr>
        <w:pStyle w:val="FootnoteText"/>
        <w:rPr>
          <w:lang w:val="en-US"/>
        </w:rPr>
      </w:pPr>
      <w:r w:rsidRPr="00BE170C">
        <w:rPr>
          <w:rStyle w:val="FootnoteReference"/>
        </w:rPr>
        <w:footnoteRef/>
      </w:r>
      <w:r w:rsidRPr="00BE170C">
        <w:t xml:space="preserve"> Education Act 2004 (s7)</w:t>
      </w:r>
    </w:p>
  </w:footnote>
  <w:footnote w:id="22">
    <w:p w14:paraId="4BC2D470" w14:textId="1B8EBFF2" w:rsidR="000168D6" w:rsidRPr="00BE170C" w:rsidRDefault="000168D6" w:rsidP="00BE170C">
      <w:pPr>
        <w:pStyle w:val="FootnoteText"/>
        <w:rPr>
          <w:lang w:val="en-US"/>
        </w:rPr>
      </w:pPr>
      <w:r w:rsidRPr="00BE170C">
        <w:rPr>
          <w:rStyle w:val="FootnoteReference"/>
        </w:rPr>
        <w:footnoteRef/>
      </w:r>
      <w:r w:rsidRPr="00BE170C">
        <w:t xml:space="preserve"> </w:t>
      </w:r>
      <w:r w:rsidRPr="00BE170C">
        <w:rPr>
          <w:bCs/>
        </w:rPr>
        <w:t>Education Act 1990 (s3 and s47) and the Children (Education and Care Services) National Law (NSW) No 104a 2010</w:t>
      </w:r>
    </w:p>
  </w:footnote>
  <w:footnote w:id="23">
    <w:p w14:paraId="598C3478" w14:textId="77777777" w:rsidR="000168D6" w:rsidRPr="00BE170C" w:rsidRDefault="000168D6" w:rsidP="00BE170C">
      <w:pPr>
        <w:pStyle w:val="FootnoteText"/>
        <w:rPr>
          <w:lang w:val="en-US"/>
        </w:rPr>
      </w:pPr>
      <w:r w:rsidRPr="00BE170C">
        <w:rPr>
          <w:rStyle w:val="FootnoteReference"/>
        </w:rPr>
        <w:footnoteRef/>
      </w:r>
      <w:r w:rsidRPr="00BE170C">
        <w:t xml:space="preserve"> </w:t>
      </w:r>
      <w:r w:rsidRPr="00BE170C">
        <w:rPr>
          <w:bCs/>
        </w:rPr>
        <w:t>Education and Early Childhood Services (Registration and Standards) Act 2011</w:t>
      </w:r>
    </w:p>
  </w:footnote>
  <w:footnote w:id="24">
    <w:p w14:paraId="3CFE077D" w14:textId="5ECB79DF" w:rsidR="000168D6" w:rsidRPr="00BE170C" w:rsidRDefault="000168D6" w:rsidP="00BE170C">
      <w:pPr>
        <w:pStyle w:val="FootnoteText"/>
        <w:rPr>
          <w:lang w:val="en-US"/>
        </w:rPr>
      </w:pPr>
      <w:r w:rsidRPr="00BE170C">
        <w:rPr>
          <w:rStyle w:val="FootnoteReference"/>
        </w:rPr>
        <w:footnoteRef/>
      </w:r>
      <w:r w:rsidRPr="00BE170C">
        <w:t xml:space="preserve"> Education Act 1994 (s82A); Education and Care Services National Law (Application) Act 2011</w:t>
      </w:r>
    </w:p>
  </w:footnote>
  <w:footnote w:id="25">
    <w:p w14:paraId="0966F6EF" w14:textId="4AAF92AA" w:rsidR="000168D6" w:rsidRPr="00BE170C" w:rsidRDefault="000168D6" w:rsidP="00BE170C">
      <w:pPr>
        <w:pStyle w:val="FootnoteText"/>
        <w:rPr>
          <w:lang w:val="en-US"/>
        </w:rPr>
      </w:pPr>
      <w:r w:rsidRPr="00BE170C">
        <w:rPr>
          <w:rStyle w:val="FootnoteReference"/>
        </w:rPr>
        <w:footnoteRef/>
      </w:r>
      <w:r w:rsidRPr="00BE170C">
        <w:t xml:space="preserve"> </w:t>
      </w:r>
      <w:r w:rsidRPr="00BE170C">
        <w:rPr>
          <w:bCs/>
        </w:rPr>
        <w:t>Education and Training Reform Act 2006 (s4.3); Education and Training Reform Regulations 2007 (reg14); Education and Care Services National Law Act 2010</w:t>
      </w:r>
    </w:p>
  </w:footnote>
  <w:footnote w:id="26">
    <w:p w14:paraId="297D03E9" w14:textId="0E8B8755" w:rsidR="000168D6" w:rsidRPr="00BE170C" w:rsidRDefault="000168D6" w:rsidP="00BE170C">
      <w:pPr>
        <w:pStyle w:val="FootnoteText"/>
        <w:rPr>
          <w:lang w:val="en-US"/>
        </w:rPr>
      </w:pPr>
      <w:r w:rsidRPr="00BE170C">
        <w:rPr>
          <w:rStyle w:val="FootnoteReference"/>
        </w:rPr>
        <w:footnoteRef/>
      </w:r>
      <w:r w:rsidRPr="00BE170C">
        <w:t xml:space="preserve"> </w:t>
      </w:r>
      <w:r w:rsidRPr="00BE170C">
        <w:rPr>
          <w:bCs/>
        </w:rPr>
        <w:t>School Education Regulations (s40); Education and Care Services National Law (WA) Act 2012</w:t>
      </w:r>
    </w:p>
  </w:footnote>
  <w:footnote w:id="27">
    <w:p w14:paraId="319588B8" w14:textId="4D7AD24C" w:rsidR="000168D6" w:rsidRPr="000168D6" w:rsidRDefault="000168D6">
      <w:pPr>
        <w:pStyle w:val="FootnoteText"/>
        <w:rPr>
          <w:lang w:val="en-US"/>
        </w:rPr>
      </w:pPr>
      <w:r>
        <w:rPr>
          <w:rStyle w:val="FootnoteReference"/>
        </w:rPr>
        <w:footnoteRef/>
      </w:r>
      <w:r>
        <w:t xml:space="preserve"> </w:t>
      </w:r>
      <w:r w:rsidRPr="00BE170C">
        <w:t>Children (Detention Centres) Regulations 2005 (s50)</w:t>
      </w:r>
    </w:p>
  </w:footnote>
  <w:footnote w:id="28">
    <w:p w14:paraId="6F3E03D4" w14:textId="2268F2A3" w:rsidR="000168D6" w:rsidRPr="000168D6" w:rsidRDefault="000168D6">
      <w:pPr>
        <w:pStyle w:val="FootnoteText"/>
        <w:rPr>
          <w:lang w:val="en-US"/>
        </w:rPr>
      </w:pPr>
      <w:r>
        <w:rPr>
          <w:rStyle w:val="FootnoteReference"/>
        </w:rPr>
        <w:footnoteRef/>
      </w:r>
      <w:r>
        <w:t xml:space="preserve"> </w:t>
      </w:r>
      <w:r w:rsidRPr="00BE170C">
        <w:t>Youth Justice Act (s153)</w:t>
      </w:r>
    </w:p>
  </w:footnote>
  <w:footnote w:id="29">
    <w:p w14:paraId="222F5B00" w14:textId="3EF33E0A" w:rsidR="000168D6" w:rsidRPr="000168D6" w:rsidRDefault="000168D6">
      <w:pPr>
        <w:pStyle w:val="FootnoteText"/>
        <w:rPr>
          <w:lang w:val="en-US"/>
        </w:rPr>
      </w:pPr>
      <w:r>
        <w:rPr>
          <w:rStyle w:val="FootnoteReference"/>
        </w:rPr>
        <w:footnoteRef/>
      </w:r>
      <w:r>
        <w:t xml:space="preserve"> </w:t>
      </w:r>
      <w:r w:rsidRPr="00BE170C">
        <w:t>Juvenile Justice Regulations 2003 (s17)</w:t>
      </w:r>
    </w:p>
  </w:footnote>
  <w:footnote w:id="30">
    <w:p w14:paraId="3B5F3506" w14:textId="6628A340" w:rsidR="000168D6" w:rsidRPr="000168D6" w:rsidRDefault="000168D6">
      <w:pPr>
        <w:pStyle w:val="FootnoteText"/>
        <w:rPr>
          <w:lang w:val="en-US"/>
        </w:rPr>
      </w:pPr>
      <w:r>
        <w:rPr>
          <w:rStyle w:val="FootnoteReference"/>
        </w:rPr>
        <w:footnoteRef/>
      </w:r>
      <w:r>
        <w:t xml:space="preserve"> </w:t>
      </w:r>
      <w:r w:rsidRPr="00BE170C">
        <w:t>Family and Community Services Regulations 1996 (s7)</w:t>
      </w:r>
    </w:p>
  </w:footnote>
  <w:footnote w:id="31">
    <w:p w14:paraId="37F829BB" w14:textId="36513DCB" w:rsidR="000168D6" w:rsidRPr="000168D6" w:rsidRDefault="000168D6">
      <w:pPr>
        <w:pStyle w:val="FootnoteText"/>
        <w:rPr>
          <w:lang w:val="en-US"/>
        </w:rPr>
      </w:pPr>
      <w:r>
        <w:rPr>
          <w:rStyle w:val="FootnoteReference"/>
        </w:rPr>
        <w:footnoteRef/>
      </w:r>
      <w:r>
        <w:t xml:space="preserve"> </w:t>
      </w:r>
      <w:r w:rsidRPr="00BE170C">
        <w:t>Youth Justice Act 1997 (s132)</w:t>
      </w:r>
    </w:p>
  </w:footnote>
  <w:footnote w:id="32">
    <w:p w14:paraId="088E565A" w14:textId="4A93C718" w:rsidR="000168D6" w:rsidRPr="000168D6" w:rsidRDefault="000168D6">
      <w:pPr>
        <w:pStyle w:val="FootnoteText"/>
        <w:rPr>
          <w:lang w:val="en-US"/>
        </w:rPr>
      </w:pPr>
      <w:r>
        <w:rPr>
          <w:rStyle w:val="FootnoteReference"/>
        </w:rPr>
        <w:footnoteRef/>
      </w:r>
      <w:r>
        <w:t xml:space="preserve"> </w:t>
      </w:r>
      <w:r w:rsidRPr="00BE170C">
        <w:t>Children, Youth and Families Act 2005 (s487)</w:t>
      </w:r>
    </w:p>
  </w:footnote>
  <w:footnote w:id="33">
    <w:p w14:paraId="491672CB" w14:textId="77777777" w:rsidR="000168D6" w:rsidRPr="00BE170C" w:rsidRDefault="000168D6" w:rsidP="00BE170C">
      <w:pPr>
        <w:pStyle w:val="FootnoteText"/>
      </w:pPr>
      <w:r w:rsidRPr="00BE170C">
        <w:rPr>
          <w:rStyle w:val="FootnoteReference"/>
        </w:rPr>
        <w:footnoteRef/>
      </w:r>
      <w:r w:rsidRPr="00BE170C">
        <w:t xml:space="preserve"> </w:t>
      </w:r>
      <w:r w:rsidRPr="00BE170C">
        <w:rPr>
          <w:rFonts w:eastAsia="Calibri"/>
        </w:rPr>
        <w:t xml:space="preserve">Nielssen, O. et al. (2009), “Child homicide in New South Wales from 1991 to 2005”, </w:t>
      </w:r>
      <w:r w:rsidRPr="00BE170C">
        <w:rPr>
          <w:rFonts w:eastAsia="Calibri"/>
          <w:i/>
        </w:rPr>
        <w:t xml:space="preserve"> Medical Journal of Australia</w:t>
      </w:r>
      <w:r w:rsidRPr="00BE170C">
        <w:rPr>
          <w:rFonts w:eastAsia="Calibri"/>
        </w:rPr>
        <w:t>, 190 (1), 7-11</w:t>
      </w:r>
    </w:p>
  </w:footnote>
  <w:footnote w:id="34">
    <w:p w14:paraId="7D3EC1F1" w14:textId="77777777" w:rsidR="000168D6" w:rsidRPr="00BE170C" w:rsidRDefault="000168D6" w:rsidP="00BE170C">
      <w:pPr>
        <w:pStyle w:val="FootnoteText"/>
      </w:pPr>
      <w:r w:rsidRPr="00BE170C">
        <w:rPr>
          <w:rStyle w:val="FootnoteReference"/>
        </w:rPr>
        <w:footnoteRef/>
      </w:r>
      <w:r w:rsidRPr="00BE170C">
        <w:t xml:space="preserve"> </w:t>
      </w:r>
      <w:r w:rsidRPr="00BE170C">
        <w:rPr>
          <w:rFonts w:eastAsia="Calibri"/>
        </w:rPr>
        <w:t xml:space="preserve">Department of Justice and Attorney General (2008), </w:t>
      </w:r>
      <w:r w:rsidRPr="00BE170C">
        <w:rPr>
          <w:rFonts w:eastAsia="Calibri"/>
          <w:i/>
        </w:rPr>
        <w:t>Review of Section 280 of the Criminal Code</w:t>
      </w:r>
    </w:p>
  </w:footnote>
  <w:footnote w:id="35">
    <w:p w14:paraId="6BA3367B" w14:textId="77777777" w:rsidR="000168D6" w:rsidRPr="00BE170C" w:rsidRDefault="000168D6" w:rsidP="00BE170C">
      <w:pPr>
        <w:pStyle w:val="FootnoteText"/>
      </w:pPr>
      <w:r w:rsidRPr="00BE170C">
        <w:rPr>
          <w:rStyle w:val="FootnoteReference"/>
        </w:rPr>
        <w:footnoteRef/>
      </w:r>
      <w:r w:rsidRPr="00BE170C">
        <w:t xml:space="preserve"> Tucci, J., Mitchell, J. &amp; Goddard, C. (2006), </w:t>
      </w:r>
      <w:r w:rsidRPr="00BE170C">
        <w:rPr>
          <w:i/>
        </w:rPr>
        <w:t>Crossing the Line: Making the case for changing Australian laws about the physical punishment of children</w:t>
      </w:r>
      <w:r w:rsidRPr="00BE170C">
        <w:t>, Ringwood, Victoria, Australia: Australian Childhood Foundation</w:t>
      </w:r>
    </w:p>
  </w:footnote>
  <w:footnote w:id="36">
    <w:p w14:paraId="6F6DF74E" w14:textId="77777777" w:rsidR="000168D6" w:rsidRPr="00BE170C" w:rsidRDefault="000168D6" w:rsidP="00BE170C">
      <w:pPr>
        <w:pStyle w:val="FootnoteText"/>
      </w:pPr>
      <w:r w:rsidRPr="00BE170C">
        <w:rPr>
          <w:rStyle w:val="FootnoteReference"/>
        </w:rPr>
        <w:footnoteRef/>
      </w:r>
      <w:r w:rsidRPr="00BE170C">
        <w:t xml:space="preserve"> Reported in </w:t>
      </w:r>
      <w:r w:rsidRPr="00BE170C">
        <w:rPr>
          <w:i/>
        </w:rPr>
        <w:t>Herald Sun</w:t>
      </w:r>
      <w:r w:rsidRPr="00BE170C">
        <w:t>, 19 May 2007</w:t>
      </w:r>
    </w:p>
  </w:footnote>
  <w:footnote w:id="37">
    <w:p w14:paraId="68B55775" w14:textId="77777777" w:rsidR="000168D6" w:rsidRPr="00BE170C" w:rsidRDefault="000168D6" w:rsidP="00BE170C">
      <w:pPr>
        <w:pStyle w:val="FootnoteText"/>
      </w:pPr>
      <w:r w:rsidRPr="00BE170C">
        <w:rPr>
          <w:rStyle w:val="FootnoteReference"/>
        </w:rPr>
        <w:footnoteRef/>
      </w:r>
      <w:r w:rsidRPr="00BE170C">
        <w:t xml:space="preserve"> Reported in </w:t>
      </w:r>
      <w:r w:rsidRPr="00BE170C">
        <w:rPr>
          <w:i/>
        </w:rPr>
        <w:t>news.com.au</w:t>
      </w:r>
      <w:r w:rsidRPr="00BE170C">
        <w:t>, 12 September 2011</w:t>
      </w:r>
    </w:p>
  </w:footnote>
  <w:footnote w:id="38">
    <w:p w14:paraId="0FE9018B" w14:textId="77777777" w:rsidR="000168D6" w:rsidRPr="00BE170C" w:rsidRDefault="000168D6" w:rsidP="00BE170C">
      <w:pPr>
        <w:pStyle w:val="FootnoteText"/>
      </w:pPr>
      <w:r w:rsidRPr="00BE170C">
        <w:rPr>
          <w:rStyle w:val="FootnoteReference"/>
        </w:rPr>
        <w:footnoteRef/>
      </w:r>
      <w:r w:rsidRPr="00BE170C">
        <w:t xml:space="preserve"> Reported in </w:t>
      </w:r>
      <w:r w:rsidRPr="00BE170C">
        <w:rPr>
          <w:i/>
          <w:iCs/>
        </w:rPr>
        <w:t xml:space="preserve">The Daily Telegraph, </w:t>
      </w:r>
      <w:r w:rsidRPr="00BE170C">
        <w:t>4 February 2012</w:t>
      </w:r>
    </w:p>
  </w:footnote>
  <w:footnote w:id="39">
    <w:p w14:paraId="72F7BE6E" w14:textId="77777777" w:rsidR="000168D6" w:rsidRPr="00BE170C" w:rsidRDefault="000168D6" w:rsidP="00BE170C">
      <w:pPr>
        <w:pStyle w:val="FootnoteText"/>
      </w:pPr>
      <w:r w:rsidRPr="00BE170C">
        <w:rPr>
          <w:rStyle w:val="FootnoteReference"/>
        </w:rPr>
        <w:footnoteRef/>
      </w:r>
      <w:r w:rsidRPr="00BE170C">
        <w:t xml:space="preserve"> 22 May 2008, CAT/C/AUS/CO/1, Concluding observations on third report, para. 31</w:t>
      </w:r>
    </w:p>
  </w:footnote>
  <w:footnote w:id="40">
    <w:p w14:paraId="395038D2" w14:textId="77777777" w:rsidR="000168D6" w:rsidRPr="00BE170C" w:rsidRDefault="000168D6" w:rsidP="00BE170C">
      <w:pPr>
        <w:pStyle w:val="FootnoteText"/>
      </w:pPr>
      <w:r w:rsidRPr="00BE170C">
        <w:rPr>
          <w:rStyle w:val="FootnoteReference"/>
        </w:rPr>
        <w:footnoteRef/>
      </w:r>
      <w:r w:rsidRPr="00BE170C">
        <w:t xml:space="preserve"> 10 October 1997, CRC/C/15/Add.79, Concluding observations on initial report, paras. 15 and 26; 20 October 2005, Concluding observations on second and third report, CRC/C/15/Add.268, paras. 5, 35 and 36; </w:t>
      </w:r>
      <w:r w:rsidRPr="00BE170C">
        <w:rPr>
          <w:bCs/>
        </w:rPr>
        <w:t>19 June 2012, CRC/C/AUS/CO/4 Advance Unedited Version, Concluding observations on fourth report, paras. 7, 8, 43, 44, 45 and 46</w:t>
      </w:r>
    </w:p>
  </w:footnote>
  <w:footnote w:id="41">
    <w:p w14:paraId="0F74E81F" w14:textId="77777777" w:rsidR="000168D6" w:rsidRPr="00BE170C" w:rsidRDefault="000168D6" w:rsidP="00BE170C">
      <w:pPr>
        <w:pStyle w:val="FootnoteText"/>
      </w:pPr>
      <w:r w:rsidRPr="00BE170C">
        <w:rPr>
          <w:rStyle w:val="FootnoteReference"/>
        </w:rPr>
        <w:footnoteRef/>
      </w:r>
      <w:r w:rsidRPr="00BE170C">
        <w:t xml:space="preserve"> 24 March 2011, A/HRC/17/10, Report of the Working Group, para. 86(75); 31 May 2011, A/HRC/17/10/Add.1, Report of the Working Group: Addendum</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CEF61E" w14:textId="77777777" w:rsidR="00F8718A" w:rsidRDefault="00F8718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4901E4F5" w:rsidR="000168D6" w:rsidRDefault="000168D6">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2D67A3" w14:textId="77777777" w:rsidR="00F8718A" w:rsidRDefault="00F8718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2052"/>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68D6"/>
    <w:rsid w:val="000176F0"/>
    <w:rsid w:val="000217BF"/>
    <w:rsid w:val="000457B2"/>
    <w:rsid w:val="000622FD"/>
    <w:rsid w:val="00065B23"/>
    <w:rsid w:val="00066822"/>
    <w:rsid w:val="00095574"/>
    <w:rsid w:val="000A2278"/>
    <w:rsid w:val="000B7AB8"/>
    <w:rsid w:val="000C258F"/>
    <w:rsid w:val="000C2E75"/>
    <w:rsid w:val="000C4E7B"/>
    <w:rsid w:val="000D2264"/>
    <w:rsid w:val="000D3716"/>
    <w:rsid w:val="001174EC"/>
    <w:rsid w:val="00131A88"/>
    <w:rsid w:val="001356A2"/>
    <w:rsid w:val="0014488F"/>
    <w:rsid w:val="00147F85"/>
    <w:rsid w:val="00150855"/>
    <w:rsid w:val="00162F5A"/>
    <w:rsid w:val="00170DED"/>
    <w:rsid w:val="00186346"/>
    <w:rsid w:val="00187E2A"/>
    <w:rsid w:val="001C0859"/>
    <w:rsid w:val="001D53F4"/>
    <w:rsid w:val="001D56D4"/>
    <w:rsid w:val="001E140B"/>
    <w:rsid w:val="001F68F0"/>
    <w:rsid w:val="00204B6C"/>
    <w:rsid w:val="00205A1A"/>
    <w:rsid w:val="00215035"/>
    <w:rsid w:val="00220BD0"/>
    <w:rsid w:val="002230EE"/>
    <w:rsid w:val="00232740"/>
    <w:rsid w:val="00237875"/>
    <w:rsid w:val="00242520"/>
    <w:rsid w:val="002638C7"/>
    <w:rsid w:val="00264AF9"/>
    <w:rsid w:val="00272F68"/>
    <w:rsid w:val="002A01E3"/>
    <w:rsid w:val="002A06FC"/>
    <w:rsid w:val="002A7206"/>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414428"/>
    <w:rsid w:val="00425F3B"/>
    <w:rsid w:val="00437B2C"/>
    <w:rsid w:val="00441CD3"/>
    <w:rsid w:val="00443601"/>
    <w:rsid w:val="0044549C"/>
    <w:rsid w:val="00452298"/>
    <w:rsid w:val="00463C10"/>
    <w:rsid w:val="004720C4"/>
    <w:rsid w:val="004737EE"/>
    <w:rsid w:val="004817BA"/>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4FE3"/>
    <w:rsid w:val="00581B3E"/>
    <w:rsid w:val="00581D48"/>
    <w:rsid w:val="00597780"/>
    <w:rsid w:val="00597BD9"/>
    <w:rsid w:val="005A094D"/>
    <w:rsid w:val="005A66D2"/>
    <w:rsid w:val="005B26CA"/>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A2DC8"/>
    <w:rsid w:val="006B237E"/>
    <w:rsid w:val="006B76CE"/>
    <w:rsid w:val="006C25C8"/>
    <w:rsid w:val="006C6EBB"/>
    <w:rsid w:val="006D40C4"/>
    <w:rsid w:val="006E3A2C"/>
    <w:rsid w:val="006E6660"/>
    <w:rsid w:val="00714F5D"/>
    <w:rsid w:val="00716CCE"/>
    <w:rsid w:val="00721E73"/>
    <w:rsid w:val="00723CE2"/>
    <w:rsid w:val="0072545C"/>
    <w:rsid w:val="00737E41"/>
    <w:rsid w:val="00745D1B"/>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E2F21"/>
    <w:rsid w:val="008E4894"/>
    <w:rsid w:val="00902C77"/>
    <w:rsid w:val="00916713"/>
    <w:rsid w:val="00921E92"/>
    <w:rsid w:val="00923377"/>
    <w:rsid w:val="00924C1F"/>
    <w:rsid w:val="00963DD6"/>
    <w:rsid w:val="0098296F"/>
    <w:rsid w:val="00982E63"/>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A2A9B"/>
    <w:rsid w:val="00AB131E"/>
    <w:rsid w:val="00AB1753"/>
    <w:rsid w:val="00AD5E1A"/>
    <w:rsid w:val="00AE43FB"/>
    <w:rsid w:val="00AF1CFF"/>
    <w:rsid w:val="00AF4016"/>
    <w:rsid w:val="00B076C1"/>
    <w:rsid w:val="00B1020E"/>
    <w:rsid w:val="00B14123"/>
    <w:rsid w:val="00B2447D"/>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5973"/>
    <w:rsid w:val="00C97C42"/>
    <w:rsid w:val="00CC27CD"/>
    <w:rsid w:val="00CF3C9D"/>
    <w:rsid w:val="00CF6F86"/>
    <w:rsid w:val="00D04D81"/>
    <w:rsid w:val="00D146FD"/>
    <w:rsid w:val="00D14AE4"/>
    <w:rsid w:val="00D3304F"/>
    <w:rsid w:val="00D35287"/>
    <w:rsid w:val="00D46AF1"/>
    <w:rsid w:val="00D47ABA"/>
    <w:rsid w:val="00D5594E"/>
    <w:rsid w:val="00D64999"/>
    <w:rsid w:val="00D67B66"/>
    <w:rsid w:val="00D90209"/>
    <w:rsid w:val="00DA50D4"/>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8718A"/>
    <w:rsid w:val="00F90DC3"/>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info@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E47385-F0A5-D248-927A-F4AF30AF0B72}"/>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29B7F921-F823-4C43-9FD3-BDC436B04B3D}"/>
</file>

<file path=docProps/app.xml><?xml version="1.0" encoding="utf-8"?>
<Properties xmlns="http://schemas.openxmlformats.org/officeDocument/2006/extended-properties" xmlns:vt="http://schemas.openxmlformats.org/officeDocument/2006/docPropsVTypes">
  <Template>Normal.dotm</Template>
  <TotalTime>12</TotalTime>
  <Pages>5</Pages>
  <Words>1646</Words>
  <Characters>9388</Characters>
  <Application>Microsoft Macintosh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11012</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3</cp:revision>
  <cp:lastPrinted>2005-01-04T09:45:00Z</cp:lastPrinted>
  <dcterms:created xsi:type="dcterms:W3CDTF">2014-10-11T20:29:00Z</dcterms:created>
  <dcterms:modified xsi:type="dcterms:W3CDTF">2014-10-11T20:40:00Z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