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21F" w:rsidRDefault="00F1121F" w:rsidP="00D4379C">
      <w:pPr>
        <w:pStyle w:val="Heading1"/>
        <w:spacing w:before="0" w:after="0"/>
        <w:rPr>
          <w:rFonts w:ascii="Georgia" w:hAnsi="Georgia"/>
          <w:b w:val="0"/>
          <w:sz w:val="72"/>
          <w:szCs w:val="72"/>
        </w:rPr>
      </w:pPr>
      <w:bookmarkStart w:id="0" w:name="_Toc420603169"/>
      <w:bookmarkStart w:id="1" w:name="_Toc420603259"/>
      <w:r>
        <w:rPr>
          <w:rFonts w:ascii="Georgia" w:hAnsi="Georgia"/>
          <w:b w:val="0"/>
          <w:sz w:val="72"/>
          <w:szCs w:val="72"/>
        </w:rPr>
        <w:t>Civil and Political Rights in the UK:</w:t>
      </w:r>
      <w:bookmarkEnd w:id="0"/>
      <w:bookmarkEnd w:id="1"/>
    </w:p>
    <w:p w:rsidR="00F1121F" w:rsidRDefault="00F1121F" w:rsidP="00D4379C">
      <w:pPr>
        <w:pStyle w:val="Heading1"/>
        <w:spacing w:before="0" w:after="0"/>
        <w:rPr>
          <w:rFonts w:ascii="Georgia" w:hAnsi="Georgia"/>
          <w:b w:val="0"/>
          <w:sz w:val="72"/>
          <w:szCs w:val="72"/>
        </w:rPr>
      </w:pPr>
    </w:p>
    <w:p w:rsidR="009D0BA5" w:rsidRPr="00F1121F" w:rsidRDefault="00D4379C" w:rsidP="00D4379C">
      <w:pPr>
        <w:pStyle w:val="Heading1"/>
        <w:spacing w:before="0" w:after="0"/>
        <w:rPr>
          <w:rFonts w:ascii="Georgia" w:hAnsi="Georgia"/>
          <w:b w:val="0"/>
          <w:sz w:val="48"/>
          <w:szCs w:val="48"/>
        </w:rPr>
      </w:pPr>
      <w:bookmarkStart w:id="2" w:name="_Toc420603170"/>
      <w:bookmarkStart w:id="3" w:name="_Toc420603260"/>
      <w:r w:rsidRPr="00F1121F">
        <w:rPr>
          <w:rFonts w:ascii="Georgia" w:hAnsi="Georgia"/>
          <w:b w:val="0"/>
          <w:sz w:val="48"/>
          <w:szCs w:val="48"/>
        </w:rPr>
        <w:t>Equality and Human Rights Commission Submission to the United Nations Human Rights Committee on the United Kingdom’s Implementation of the International Covenant on Civil and Political Rights</w:t>
      </w:r>
      <w:bookmarkEnd w:id="2"/>
      <w:bookmarkEnd w:id="3"/>
    </w:p>
    <w:p w:rsidR="009D0BA5" w:rsidRDefault="009D0BA5" w:rsidP="009D0BA5">
      <w:pPr>
        <w:rPr>
          <w:rFonts w:eastAsia="Times New Roman"/>
          <w:szCs w:val="28"/>
        </w:rPr>
      </w:pPr>
      <w:r>
        <w:br w:type="page"/>
      </w:r>
    </w:p>
    <w:p w:rsidR="00367FB5" w:rsidRDefault="00367FB5" w:rsidP="00367FB5">
      <w:pPr>
        <w:pStyle w:val="Heading-chapter"/>
      </w:pPr>
      <w:bookmarkStart w:id="4" w:name="_Toc420603171"/>
      <w:bookmarkStart w:id="5" w:name="_Toc420603261"/>
      <w:r>
        <w:lastRenderedPageBreak/>
        <w:t>Contents</w:t>
      </w:r>
      <w:bookmarkEnd w:id="4"/>
      <w:bookmarkEnd w:id="5"/>
    </w:p>
    <w:p w:rsidR="00367FB5" w:rsidRDefault="00367FB5">
      <w:pPr>
        <w:pStyle w:val="TOC1"/>
        <w:tabs>
          <w:tab w:val="right" w:leader="dot" w:pos="9016"/>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420603262" w:history="1">
        <w:r w:rsidRPr="00CA0627">
          <w:rPr>
            <w:rStyle w:val="Hyperlink"/>
            <w:noProof/>
          </w:rPr>
          <w:t>A. Scope of the Report</w:t>
        </w:r>
        <w:r>
          <w:rPr>
            <w:noProof/>
            <w:webHidden/>
          </w:rPr>
          <w:tab/>
        </w:r>
        <w:r>
          <w:rPr>
            <w:noProof/>
            <w:webHidden/>
          </w:rPr>
          <w:fldChar w:fldCharType="begin"/>
        </w:r>
        <w:r>
          <w:rPr>
            <w:noProof/>
            <w:webHidden/>
          </w:rPr>
          <w:instrText xml:space="preserve"> PAGEREF _Toc420603262 \h </w:instrText>
        </w:r>
        <w:r>
          <w:rPr>
            <w:noProof/>
            <w:webHidden/>
          </w:rPr>
        </w:r>
        <w:r>
          <w:rPr>
            <w:noProof/>
            <w:webHidden/>
          </w:rPr>
          <w:fldChar w:fldCharType="separate"/>
        </w:r>
        <w:r w:rsidR="0079457E">
          <w:rPr>
            <w:noProof/>
            <w:webHidden/>
          </w:rPr>
          <w:t>4</w:t>
        </w:r>
        <w:r>
          <w:rPr>
            <w:noProof/>
            <w:webHidden/>
          </w:rPr>
          <w:fldChar w:fldCharType="end"/>
        </w:r>
      </w:hyperlink>
    </w:p>
    <w:p w:rsidR="00367FB5" w:rsidRDefault="007F5A79">
      <w:pPr>
        <w:pStyle w:val="TOC1"/>
        <w:tabs>
          <w:tab w:val="right" w:leader="dot" w:pos="9016"/>
        </w:tabs>
        <w:rPr>
          <w:rFonts w:asciiTheme="minorHAnsi" w:eastAsiaTheme="minorEastAsia" w:hAnsiTheme="minorHAnsi" w:cstheme="minorBidi"/>
          <w:noProof/>
          <w:sz w:val="22"/>
          <w:lang w:eastAsia="en-GB"/>
        </w:rPr>
      </w:pPr>
      <w:hyperlink w:anchor="_Toc420603263" w:history="1">
        <w:r w:rsidR="00367FB5" w:rsidRPr="00CA0627">
          <w:rPr>
            <w:rStyle w:val="Hyperlink"/>
            <w:noProof/>
          </w:rPr>
          <w:t>B. Introduction</w:t>
        </w:r>
        <w:r w:rsidR="00367FB5">
          <w:rPr>
            <w:noProof/>
            <w:webHidden/>
          </w:rPr>
          <w:tab/>
        </w:r>
        <w:r w:rsidR="00367FB5">
          <w:rPr>
            <w:noProof/>
            <w:webHidden/>
          </w:rPr>
          <w:fldChar w:fldCharType="begin"/>
        </w:r>
        <w:r w:rsidR="00367FB5">
          <w:rPr>
            <w:noProof/>
            <w:webHidden/>
          </w:rPr>
          <w:instrText xml:space="preserve"> PAGEREF _Toc420603263 \h </w:instrText>
        </w:r>
        <w:r w:rsidR="00367FB5">
          <w:rPr>
            <w:noProof/>
            <w:webHidden/>
          </w:rPr>
        </w:r>
        <w:r w:rsidR="00367FB5">
          <w:rPr>
            <w:noProof/>
            <w:webHidden/>
          </w:rPr>
          <w:fldChar w:fldCharType="separate"/>
        </w:r>
        <w:r w:rsidR="0079457E">
          <w:rPr>
            <w:noProof/>
            <w:webHidden/>
          </w:rPr>
          <w:t>7</w:t>
        </w:r>
        <w:r w:rsidR="00367FB5">
          <w:rPr>
            <w:noProof/>
            <w:webHidden/>
          </w:rPr>
          <w:fldChar w:fldCharType="end"/>
        </w:r>
      </w:hyperlink>
    </w:p>
    <w:p w:rsidR="00367FB5" w:rsidRDefault="007F5A79">
      <w:pPr>
        <w:pStyle w:val="TOC1"/>
        <w:tabs>
          <w:tab w:val="right" w:leader="dot" w:pos="9016"/>
        </w:tabs>
        <w:rPr>
          <w:rFonts w:asciiTheme="minorHAnsi" w:eastAsiaTheme="minorEastAsia" w:hAnsiTheme="minorHAnsi" w:cstheme="minorBidi"/>
          <w:noProof/>
          <w:sz w:val="22"/>
          <w:lang w:eastAsia="en-GB"/>
        </w:rPr>
      </w:pPr>
      <w:hyperlink w:anchor="_Toc420603264" w:history="1">
        <w:r w:rsidR="00367FB5" w:rsidRPr="00CA0627">
          <w:rPr>
            <w:rStyle w:val="Hyperlink"/>
            <w:noProof/>
          </w:rPr>
          <w:t>C. Legal Security</w:t>
        </w:r>
        <w:r w:rsidR="00367FB5">
          <w:rPr>
            <w:noProof/>
            <w:webHidden/>
          </w:rPr>
          <w:tab/>
        </w:r>
        <w:r w:rsidR="00367FB5">
          <w:rPr>
            <w:noProof/>
            <w:webHidden/>
          </w:rPr>
          <w:fldChar w:fldCharType="begin"/>
        </w:r>
        <w:r w:rsidR="00367FB5">
          <w:rPr>
            <w:noProof/>
            <w:webHidden/>
          </w:rPr>
          <w:instrText xml:space="preserve"> PAGEREF _Toc420603264 \h </w:instrText>
        </w:r>
        <w:r w:rsidR="00367FB5">
          <w:rPr>
            <w:noProof/>
            <w:webHidden/>
          </w:rPr>
        </w:r>
        <w:r w:rsidR="00367FB5">
          <w:rPr>
            <w:noProof/>
            <w:webHidden/>
          </w:rPr>
          <w:fldChar w:fldCharType="separate"/>
        </w:r>
        <w:r w:rsidR="0079457E">
          <w:rPr>
            <w:noProof/>
            <w:webHidden/>
          </w:rPr>
          <w:t>8</w:t>
        </w:r>
        <w:r w:rsidR="00367FB5">
          <w:rPr>
            <w:noProof/>
            <w:webHidden/>
          </w:rPr>
          <w:fldChar w:fldCharType="end"/>
        </w:r>
      </w:hyperlink>
    </w:p>
    <w:p w:rsidR="00367FB5" w:rsidRDefault="007F5A79">
      <w:pPr>
        <w:pStyle w:val="TOC2"/>
        <w:tabs>
          <w:tab w:val="left" w:pos="880"/>
          <w:tab w:val="right" w:leader="dot" w:pos="9016"/>
        </w:tabs>
        <w:rPr>
          <w:rFonts w:asciiTheme="minorHAnsi" w:eastAsiaTheme="minorEastAsia" w:hAnsiTheme="minorHAnsi" w:cstheme="minorBidi"/>
          <w:noProof/>
          <w:sz w:val="22"/>
          <w:lang w:eastAsia="en-GB"/>
        </w:rPr>
      </w:pPr>
      <w:hyperlink w:anchor="_Toc420603265" w:history="1">
        <w:r w:rsidR="00367FB5" w:rsidRPr="00CA0627">
          <w:rPr>
            <w:rStyle w:val="Hyperlink"/>
            <w:noProof/>
            <w:lang w:eastAsia="en-GB"/>
          </w:rPr>
          <w:t>1.</w:t>
        </w:r>
        <w:r w:rsidR="00367FB5">
          <w:rPr>
            <w:rFonts w:asciiTheme="minorHAnsi" w:eastAsiaTheme="minorEastAsia" w:hAnsiTheme="minorHAnsi" w:cstheme="minorBidi"/>
            <w:noProof/>
            <w:sz w:val="22"/>
            <w:lang w:eastAsia="en-GB"/>
          </w:rPr>
          <w:tab/>
        </w:r>
        <w:r w:rsidR="00367FB5" w:rsidRPr="00CA0627">
          <w:rPr>
            <w:rStyle w:val="Hyperlink"/>
            <w:noProof/>
          </w:rPr>
          <w:t>Judicial diversity (Articles 2, 3, 25 and 26), List of Issues paragraphs 6 and 9</w:t>
        </w:r>
        <w:r w:rsidR="00367FB5">
          <w:rPr>
            <w:noProof/>
            <w:webHidden/>
          </w:rPr>
          <w:tab/>
        </w:r>
        <w:r w:rsidR="00367FB5">
          <w:rPr>
            <w:noProof/>
            <w:webHidden/>
          </w:rPr>
          <w:fldChar w:fldCharType="begin"/>
        </w:r>
        <w:r w:rsidR="00367FB5">
          <w:rPr>
            <w:noProof/>
            <w:webHidden/>
          </w:rPr>
          <w:instrText xml:space="preserve"> PAGEREF _Toc420603265 \h </w:instrText>
        </w:r>
        <w:r w:rsidR="00367FB5">
          <w:rPr>
            <w:noProof/>
            <w:webHidden/>
          </w:rPr>
        </w:r>
        <w:r w:rsidR="00367FB5">
          <w:rPr>
            <w:noProof/>
            <w:webHidden/>
          </w:rPr>
          <w:fldChar w:fldCharType="separate"/>
        </w:r>
        <w:r w:rsidR="0079457E">
          <w:rPr>
            <w:noProof/>
            <w:webHidden/>
          </w:rPr>
          <w:t>8</w:t>
        </w:r>
        <w:r w:rsidR="00367FB5">
          <w:rPr>
            <w:noProof/>
            <w:webHidden/>
          </w:rPr>
          <w:fldChar w:fldCharType="end"/>
        </w:r>
      </w:hyperlink>
    </w:p>
    <w:p w:rsidR="00367FB5" w:rsidRDefault="007F5A79">
      <w:pPr>
        <w:pStyle w:val="TOC2"/>
        <w:tabs>
          <w:tab w:val="left" w:pos="880"/>
          <w:tab w:val="right" w:leader="dot" w:pos="9016"/>
        </w:tabs>
        <w:rPr>
          <w:rFonts w:asciiTheme="minorHAnsi" w:eastAsiaTheme="minorEastAsia" w:hAnsiTheme="minorHAnsi" w:cstheme="minorBidi"/>
          <w:noProof/>
          <w:sz w:val="22"/>
          <w:lang w:eastAsia="en-GB"/>
        </w:rPr>
      </w:pPr>
      <w:hyperlink w:anchor="_Toc420603266" w:history="1">
        <w:r w:rsidR="00367FB5" w:rsidRPr="00CA0627">
          <w:rPr>
            <w:rStyle w:val="Hyperlink"/>
            <w:noProof/>
          </w:rPr>
          <w:t>2.</w:t>
        </w:r>
        <w:r w:rsidR="00367FB5">
          <w:rPr>
            <w:rFonts w:asciiTheme="minorHAnsi" w:eastAsiaTheme="minorEastAsia" w:hAnsiTheme="minorHAnsi" w:cstheme="minorBidi"/>
            <w:noProof/>
            <w:sz w:val="22"/>
            <w:lang w:eastAsia="en-GB"/>
          </w:rPr>
          <w:tab/>
        </w:r>
        <w:r w:rsidR="00367FB5" w:rsidRPr="00CA0627">
          <w:rPr>
            <w:rStyle w:val="Hyperlink"/>
            <w:noProof/>
          </w:rPr>
          <w:t>Access to civil justice (Article 14), List of Issues paragraph 24</w:t>
        </w:r>
        <w:r w:rsidR="00367FB5">
          <w:rPr>
            <w:noProof/>
            <w:webHidden/>
          </w:rPr>
          <w:tab/>
        </w:r>
        <w:r w:rsidR="00367FB5">
          <w:rPr>
            <w:noProof/>
            <w:webHidden/>
          </w:rPr>
          <w:fldChar w:fldCharType="begin"/>
        </w:r>
        <w:r w:rsidR="00367FB5">
          <w:rPr>
            <w:noProof/>
            <w:webHidden/>
          </w:rPr>
          <w:instrText xml:space="preserve"> PAGEREF _Toc420603266 \h </w:instrText>
        </w:r>
        <w:r w:rsidR="00367FB5">
          <w:rPr>
            <w:noProof/>
            <w:webHidden/>
          </w:rPr>
        </w:r>
        <w:r w:rsidR="00367FB5">
          <w:rPr>
            <w:noProof/>
            <w:webHidden/>
          </w:rPr>
          <w:fldChar w:fldCharType="separate"/>
        </w:r>
        <w:r w:rsidR="0079457E">
          <w:rPr>
            <w:noProof/>
            <w:webHidden/>
          </w:rPr>
          <w:t>12</w:t>
        </w:r>
        <w:r w:rsidR="00367FB5">
          <w:rPr>
            <w:noProof/>
            <w:webHidden/>
          </w:rPr>
          <w:fldChar w:fldCharType="end"/>
        </w:r>
      </w:hyperlink>
    </w:p>
    <w:p w:rsidR="00367FB5" w:rsidRDefault="007F5A79">
      <w:pPr>
        <w:pStyle w:val="TOC2"/>
        <w:tabs>
          <w:tab w:val="left" w:pos="880"/>
          <w:tab w:val="right" w:leader="dot" w:pos="9016"/>
        </w:tabs>
        <w:rPr>
          <w:rFonts w:asciiTheme="minorHAnsi" w:eastAsiaTheme="minorEastAsia" w:hAnsiTheme="minorHAnsi" w:cstheme="minorBidi"/>
          <w:noProof/>
          <w:sz w:val="22"/>
          <w:lang w:eastAsia="en-GB"/>
        </w:rPr>
      </w:pPr>
      <w:hyperlink w:anchor="_Toc420603267" w:history="1">
        <w:r w:rsidR="00367FB5" w:rsidRPr="00CA0627">
          <w:rPr>
            <w:rStyle w:val="Hyperlink"/>
            <w:noProof/>
          </w:rPr>
          <w:t>3.</w:t>
        </w:r>
        <w:r w:rsidR="00367FB5">
          <w:rPr>
            <w:rFonts w:asciiTheme="minorHAnsi" w:eastAsiaTheme="minorEastAsia" w:hAnsiTheme="minorHAnsi" w:cstheme="minorBidi"/>
            <w:noProof/>
            <w:sz w:val="22"/>
            <w:lang w:eastAsia="en-GB"/>
          </w:rPr>
          <w:tab/>
        </w:r>
        <w:r w:rsidR="00367FB5" w:rsidRPr="00CA0627">
          <w:rPr>
            <w:rStyle w:val="Hyperlink"/>
            <w:noProof/>
          </w:rPr>
          <w:t>Counter-terrorism provisions (Articles 9 and 14), List of Issues paragraphs 11, 20, 23</w:t>
        </w:r>
        <w:r w:rsidR="00367FB5">
          <w:rPr>
            <w:noProof/>
            <w:webHidden/>
          </w:rPr>
          <w:tab/>
        </w:r>
        <w:r w:rsidR="00367FB5">
          <w:rPr>
            <w:noProof/>
            <w:webHidden/>
          </w:rPr>
          <w:fldChar w:fldCharType="begin"/>
        </w:r>
        <w:r w:rsidR="00367FB5">
          <w:rPr>
            <w:noProof/>
            <w:webHidden/>
          </w:rPr>
          <w:instrText xml:space="preserve"> PAGEREF _Toc420603267 \h </w:instrText>
        </w:r>
        <w:r w:rsidR="00367FB5">
          <w:rPr>
            <w:noProof/>
            <w:webHidden/>
          </w:rPr>
        </w:r>
        <w:r w:rsidR="00367FB5">
          <w:rPr>
            <w:noProof/>
            <w:webHidden/>
          </w:rPr>
          <w:fldChar w:fldCharType="separate"/>
        </w:r>
        <w:r w:rsidR="0079457E">
          <w:rPr>
            <w:noProof/>
            <w:webHidden/>
          </w:rPr>
          <w:t>17</w:t>
        </w:r>
        <w:r w:rsidR="00367FB5">
          <w:rPr>
            <w:noProof/>
            <w:webHidden/>
          </w:rPr>
          <w:fldChar w:fldCharType="end"/>
        </w:r>
      </w:hyperlink>
    </w:p>
    <w:p w:rsidR="00367FB5" w:rsidRDefault="007F5A79">
      <w:pPr>
        <w:pStyle w:val="TOC2"/>
        <w:tabs>
          <w:tab w:val="left" w:pos="880"/>
          <w:tab w:val="right" w:leader="dot" w:pos="9016"/>
        </w:tabs>
        <w:rPr>
          <w:rFonts w:asciiTheme="minorHAnsi" w:eastAsiaTheme="minorEastAsia" w:hAnsiTheme="minorHAnsi" w:cstheme="minorBidi"/>
          <w:noProof/>
          <w:sz w:val="22"/>
          <w:lang w:eastAsia="en-GB"/>
        </w:rPr>
      </w:pPr>
      <w:hyperlink w:anchor="_Toc420603268" w:history="1">
        <w:r w:rsidR="00367FB5" w:rsidRPr="00CA0627">
          <w:rPr>
            <w:rStyle w:val="Hyperlink"/>
            <w:noProof/>
          </w:rPr>
          <w:t>4.</w:t>
        </w:r>
        <w:r w:rsidR="00367FB5">
          <w:rPr>
            <w:rFonts w:asciiTheme="minorHAnsi" w:eastAsiaTheme="minorEastAsia" w:hAnsiTheme="minorHAnsi" w:cstheme="minorBidi"/>
            <w:noProof/>
            <w:sz w:val="22"/>
            <w:lang w:eastAsia="en-GB"/>
          </w:rPr>
          <w:tab/>
        </w:r>
        <w:r w:rsidR="00367FB5" w:rsidRPr="00CA0627">
          <w:rPr>
            <w:rStyle w:val="Hyperlink"/>
            <w:noProof/>
          </w:rPr>
          <w:t>Stop and search (Articles 9, 17 and 26), List of Issues paragraphs 8, 11 and 23</w:t>
        </w:r>
        <w:r w:rsidR="00367FB5">
          <w:rPr>
            <w:noProof/>
            <w:webHidden/>
          </w:rPr>
          <w:tab/>
        </w:r>
        <w:r w:rsidR="00367FB5">
          <w:rPr>
            <w:noProof/>
            <w:webHidden/>
          </w:rPr>
          <w:fldChar w:fldCharType="begin"/>
        </w:r>
        <w:r w:rsidR="00367FB5">
          <w:rPr>
            <w:noProof/>
            <w:webHidden/>
          </w:rPr>
          <w:instrText xml:space="preserve"> PAGEREF _Toc420603268 \h </w:instrText>
        </w:r>
        <w:r w:rsidR="00367FB5">
          <w:rPr>
            <w:noProof/>
            <w:webHidden/>
          </w:rPr>
        </w:r>
        <w:r w:rsidR="00367FB5">
          <w:rPr>
            <w:noProof/>
            <w:webHidden/>
          </w:rPr>
          <w:fldChar w:fldCharType="separate"/>
        </w:r>
        <w:r w:rsidR="0079457E">
          <w:rPr>
            <w:noProof/>
            <w:webHidden/>
          </w:rPr>
          <w:t>20</w:t>
        </w:r>
        <w:r w:rsidR="00367FB5">
          <w:rPr>
            <w:noProof/>
            <w:webHidden/>
          </w:rPr>
          <w:fldChar w:fldCharType="end"/>
        </w:r>
      </w:hyperlink>
    </w:p>
    <w:p w:rsidR="00367FB5" w:rsidRDefault="007F5A79">
      <w:pPr>
        <w:pStyle w:val="TOC2"/>
        <w:tabs>
          <w:tab w:val="left" w:pos="880"/>
          <w:tab w:val="right" w:leader="dot" w:pos="9016"/>
        </w:tabs>
        <w:rPr>
          <w:rFonts w:asciiTheme="minorHAnsi" w:eastAsiaTheme="minorEastAsia" w:hAnsiTheme="minorHAnsi" w:cstheme="minorBidi"/>
          <w:noProof/>
          <w:sz w:val="22"/>
          <w:lang w:eastAsia="en-GB"/>
        </w:rPr>
      </w:pPr>
      <w:hyperlink w:anchor="_Toc420603269" w:history="1">
        <w:r w:rsidR="00367FB5" w:rsidRPr="00CA0627">
          <w:rPr>
            <w:rStyle w:val="Hyperlink"/>
            <w:noProof/>
          </w:rPr>
          <w:t>5.</w:t>
        </w:r>
        <w:r w:rsidR="00367FB5">
          <w:rPr>
            <w:rFonts w:asciiTheme="minorHAnsi" w:eastAsiaTheme="minorEastAsia" w:hAnsiTheme="minorHAnsi" w:cstheme="minorBidi"/>
            <w:noProof/>
            <w:sz w:val="22"/>
            <w:lang w:eastAsia="en-GB"/>
          </w:rPr>
          <w:tab/>
        </w:r>
        <w:r w:rsidR="00367FB5" w:rsidRPr="00CA0627">
          <w:rPr>
            <w:rStyle w:val="Hyperlink"/>
            <w:noProof/>
          </w:rPr>
          <w:t>Trafficking and forced labour (Articles 2, 8, 9, 14, 24 and 26), List of Issues paragraph 26</w:t>
        </w:r>
        <w:r w:rsidR="00367FB5">
          <w:rPr>
            <w:noProof/>
            <w:webHidden/>
          </w:rPr>
          <w:tab/>
        </w:r>
        <w:r w:rsidR="00367FB5">
          <w:rPr>
            <w:noProof/>
            <w:webHidden/>
          </w:rPr>
          <w:fldChar w:fldCharType="begin"/>
        </w:r>
        <w:r w:rsidR="00367FB5">
          <w:rPr>
            <w:noProof/>
            <w:webHidden/>
          </w:rPr>
          <w:instrText xml:space="preserve"> PAGEREF _Toc420603269 \h </w:instrText>
        </w:r>
        <w:r w:rsidR="00367FB5">
          <w:rPr>
            <w:noProof/>
            <w:webHidden/>
          </w:rPr>
        </w:r>
        <w:r w:rsidR="00367FB5">
          <w:rPr>
            <w:noProof/>
            <w:webHidden/>
          </w:rPr>
          <w:fldChar w:fldCharType="separate"/>
        </w:r>
        <w:r w:rsidR="0079457E">
          <w:rPr>
            <w:noProof/>
            <w:webHidden/>
          </w:rPr>
          <w:t>25</w:t>
        </w:r>
        <w:r w:rsidR="00367FB5">
          <w:rPr>
            <w:noProof/>
            <w:webHidden/>
          </w:rPr>
          <w:fldChar w:fldCharType="end"/>
        </w:r>
      </w:hyperlink>
    </w:p>
    <w:p w:rsidR="00367FB5" w:rsidRDefault="007F5A79">
      <w:pPr>
        <w:pStyle w:val="TOC2"/>
        <w:tabs>
          <w:tab w:val="left" w:pos="880"/>
          <w:tab w:val="right" w:leader="dot" w:pos="9016"/>
        </w:tabs>
        <w:rPr>
          <w:rFonts w:asciiTheme="minorHAnsi" w:eastAsiaTheme="minorEastAsia" w:hAnsiTheme="minorHAnsi" w:cstheme="minorBidi"/>
          <w:noProof/>
          <w:sz w:val="22"/>
          <w:lang w:eastAsia="en-GB"/>
        </w:rPr>
      </w:pPr>
      <w:hyperlink w:anchor="_Toc420603270" w:history="1">
        <w:r w:rsidR="00367FB5" w:rsidRPr="00CA0627">
          <w:rPr>
            <w:rStyle w:val="Hyperlink"/>
            <w:noProof/>
          </w:rPr>
          <w:t>6.</w:t>
        </w:r>
        <w:r w:rsidR="00367FB5">
          <w:rPr>
            <w:rFonts w:asciiTheme="minorHAnsi" w:eastAsiaTheme="minorEastAsia" w:hAnsiTheme="minorHAnsi" w:cstheme="minorBidi"/>
            <w:noProof/>
            <w:sz w:val="22"/>
            <w:lang w:eastAsia="en-GB"/>
          </w:rPr>
          <w:tab/>
        </w:r>
        <w:r w:rsidR="00367FB5" w:rsidRPr="00CA0627">
          <w:rPr>
            <w:rStyle w:val="Hyperlink"/>
            <w:noProof/>
          </w:rPr>
          <w:t>Privacy and security (Articles 2, 5 (1) and 17), List of Issues paragraph 28</w:t>
        </w:r>
        <w:r w:rsidR="00367FB5">
          <w:rPr>
            <w:noProof/>
            <w:webHidden/>
          </w:rPr>
          <w:tab/>
        </w:r>
        <w:r w:rsidR="00367FB5">
          <w:rPr>
            <w:noProof/>
            <w:webHidden/>
          </w:rPr>
          <w:fldChar w:fldCharType="begin"/>
        </w:r>
        <w:r w:rsidR="00367FB5">
          <w:rPr>
            <w:noProof/>
            <w:webHidden/>
          </w:rPr>
          <w:instrText xml:space="preserve"> PAGEREF _Toc420603270 \h </w:instrText>
        </w:r>
        <w:r w:rsidR="00367FB5">
          <w:rPr>
            <w:noProof/>
            <w:webHidden/>
          </w:rPr>
        </w:r>
        <w:r w:rsidR="00367FB5">
          <w:rPr>
            <w:noProof/>
            <w:webHidden/>
          </w:rPr>
          <w:fldChar w:fldCharType="separate"/>
        </w:r>
        <w:r w:rsidR="0079457E">
          <w:rPr>
            <w:noProof/>
            <w:webHidden/>
          </w:rPr>
          <w:t>31</w:t>
        </w:r>
        <w:r w:rsidR="00367FB5">
          <w:rPr>
            <w:noProof/>
            <w:webHidden/>
          </w:rPr>
          <w:fldChar w:fldCharType="end"/>
        </w:r>
      </w:hyperlink>
    </w:p>
    <w:p w:rsidR="00367FB5" w:rsidRDefault="007F5A79">
      <w:pPr>
        <w:pStyle w:val="TOC2"/>
        <w:tabs>
          <w:tab w:val="left" w:pos="880"/>
          <w:tab w:val="right" w:leader="dot" w:pos="9016"/>
        </w:tabs>
        <w:rPr>
          <w:rFonts w:asciiTheme="minorHAnsi" w:eastAsiaTheme="minorEastAsia" w:hAnsiTheme="minorHAnsi" w:cstheme="minorBidi"/>
          <w:noProof/>
          <w:sz w:val="22"/>
          <w:lang w:eastAsia="en-GB"/>
        </w:rPr>
      </w:pPr>
      <w:hyperlink w:anchor="_Toc420603271" w:history="1">
        <w:r w:rsidR="00367FB5" w:rsidRPr="00CA0627">
          <w:rPr>
            <w:rStyle w:val="Hyperlink"/>
            <w:noProof/>
          </w:rPr>
          <w:t>7.</w:t>
        </w:r>
        <w:r w:rsidR="00367FB5">
          <w:rPr>
            <w:rFonts w:asciiTheme="minorHAnsi" w:eastAsiaTheme="minorEastAsia" w:hAnsiTheme="minorHAnsi" w:cstheme="minorBidi"/>
            <w:noProof/>
            <w:sz w:val="22"/>
            <w:lang w:eastAsia="en-GB"/>
          </w:rPr>
          <w:tab/>
        </w:r>
        <w:r w:rsidR="00367FB5" w:rsidRPr="00CA0627">
          <w:rPr>
            <w:rStyle w:val="Hyperlink"/>
            <w:noProof/>
          </w:rPr>
          <w:t>Voting rights (Article 25), List of Issues paragraph 30</w:t>
        </w:r>
        <w:r w:rsidR="00367FB5">
          <w:rPr>
            <w:noProof/>
            <w:webHidden/>
          </w:rPr>
          <w:tab/>
        </w:r>
        <w:r w:rsidR="00367FB5">
          <w:rPr>
            <w:noProof/>
            <w:webHidden/>
          </w:rPr>
          <w:fldChar w:fldCharType="begin"/>
        </w:r>
        <w:r w:rsidR="00367FB5">
          <w:rPr>
            <w:noProof/>
            <w:webHidden/>
          </w:rPr>
          <w:instrText xml:space="preserve"> PAGEREF _Toc420603271 \h </w:instrText>
        </w:r>
        <w:r w:rsidR="00367FB5">
          <w:rPr>
            <w:noProof/>
            <w:webHidden/>
          </w:rPr>
        </w:r>
        <w:r w:rsidR="00367FB5">
          <w:rPr>
            <w:noProof/>
            <w:webHidden/>
          </w:rPr>
          <w:fldChar w:fldCharType="separate"/>
        </w:r>
        <w:r w:rsidR="0079457E">
          <w:rPr>
            <w:noProof/>
            <w:webHidden/>
          </w:rPr>
          <w:t>34</w:t>
        </w:r>
        <w:r w:rsidR="00367FB5">
          <w:rPr>
            <w:noProof/>
            <w:webHidden/>
          </w:rPr>
          <w:fldChar w:fldCharType="end"/>
        </w:r>
      </w:hyperlink>
    </w:p>
    <w:p w:rsidR="00367FB5" w:rsidRDefault="007F5A79">
      <w:pPr>
        <w:pStyle w:val="TOC2"/>
        <w:tabs>
          <w:tab w:val="left" w:pos="880"/>
          <w:tab w:val="right" w:leader="dot" w:pos="9016"/>
        </w:tabs>
        <w:rPr>
          <w:rFonts w:asciiTheme="minorHAnsi" w:eastAsiaTheme="minorEastAsia" w:hAnsiTheme="minorHAnsi" w:cstheme="minorBidi"/>
          <w:noProof/>
          <w:sz w:val="22"/>
          <w:lang w:eastAsia="en-GB"/>
        </w:rPr>
      </w:pPr>
      <w:hyperlink w:anchor="_Toc420603272" w:history="1">
        <w:r w:rsidR="00367FB5" w:rsidRPr="00CA0627">
          <w:rPr>
            <w:rStyle w:val="Hyperlink"/>
            <w:noProof/>
          </w:rPr>
          <w:t>8.</w:t>
        </w:r>
        <w:r w:rsidR="00367FB5">
          <w:rPr>
            <w:rFonts w:asciiTheme="minorHAnsi" w:eastAsiaTheme="minorEastAsia" w:hAnsiTheme="minorHAnsi" w:cstheme="minorBidi"/>
            <w:noProof/>
            <w:sz w:val="22"/>
            <w:lang w:eastAsia="en-GB"/>
          </w:rPr>
          <w:tab/>
        </w:r>
        <w:r w:rsidR="00367FB5" w:rsidRPr="00CA0627">
          <w:rPr>
            <w:rStyle w:val="Hyperlink"/>
            <w:noProof/>
          </w:rPr>
          <w:t>Caste discrimination (Articles 2, 20, 26 and 27), List of Issues paragraph 6</w:t>
        </w:r>
        <w:r w:rsidR="00367FB5">
          <w:rPr>
            <w:noProof/>
            <w:webHidden/>
          </w:rPr>
          <w:tab/>
        </w:r>
        <w:r w:rsidR="00367FB5">
          <w:rPr>
            <w:noProof/>
            <w:webHidden/>
          </w:rPr>
          <w:fldChar w:fldCharType="begin"/>
        </w:r>
        <w:r w:rsidR="00367FB5">
          <w:rPr>
            <w:noProof/>
            <w:webHidden/>
          </w:rPr>
          <w:instrText xml:space="preserve"> PAGEREF _Toc420603272 \h </w:instrText>
        </w:r>
        <w:r w:rsidR="00367FB5">
          <w:rPr>
            <w:noProof/>
            <w:webHidden/>
          </w:rPr>
        </w:r>
        <w:r w:rsidR="00367FB5">
          <w:rPr>
            <w:noProof/>
            <w:webHidden/>
          </w:rPr>
          <w:fldChar w:fldCharType="separate"/>
        </w:r>
        <w:r w:rsidR="0079457E">
          <w:rPr>
            <w:noProof/>
            <w:webHidden/>
          </w:rPr>
          <w:t>35</w:t>
        </w:r>
        <w:r w:rsidR="00367FB5">
          <w:rPr>
            <w:noProof/>
            <w:webHidden/>
          </w:rPr>
          <w:fldChar w:fldCharType="end"/>
        </w:r>
      </w:hyperlink>
    </w:p>
    <w:p w:rsidR="00367FB5" w:rsidRDefault="007F5A79">
      <w:pPr>
        <w:pStyle w:val="TOC1"/>
        <w:tabs>
          <w:tab w:val="right" w:leader="dot" w:pos="9016"/>
        </w:tabs>
        <w:rPr>
          <w:rFonts w:asciiTheme="minorHAnsi" w:eastAsiaTheme="minorEastAsia" w:hAnsiTheme="minorHAnsi" w:cstheme="minorBidi"/>
          <w:noProof/>
          <w:sz w:val="22"/>
          <w:lang w:eastAsia="en-GB"/>
        </w:rPr>
      </w:pPr>
      <w:hyperlink w:anchor="_Toc420603273" w:history="1">
        <w:r w:rsidR="00367FB5" w:rsidRPr="00CA0627">
          <w:rPr>
            <w:rStyle w:val="Hyperlink"/>
            <w:noProof/>
          </w:rPr>
          <w:t>D. Physical Security</w:t>
        </w:r>
        <w:r w:rsidR="00367FB5">
          <w:rPr>
            <w:noProof/>
            <w:webHidden/>
          </w:rPr>
          <w:tab/>
        </w:r>
        <w:r w:rsidR="00367FB5">
          <w:rPr>
            <w:noProof/>
            <w:webHidden/>
          </w:rPr>
          <w:fldChar w:fldCharType="begin"/>
        </w:r>
        <w:r w:rsidR="00367FB5">
          <w:rPr>
            <w:noProof/>
            <w:webHidden/>
          </w:rPr>
          <w:instrText xml:space="preserve"> PAGEREF _Toc420603273 \h </w:instrText>
        </w:r>
        <w:r w:rsidR="00367FB5">
          <w:rPr>
            <w:noProof/>
            <w:webHidden/>
          </w:rPr>
        </w:r>
        <w:r w:rsidR="00367FB5">
          <w:rPr>
            <w:noProof/>
            <w:webHidden/>
          </w:rPr>
          <w:fldChar w:fldCharType="separate"/>
        </w:r>
        <w:r w:rsidR="0079457E">
          <w:rPr>
            <w:noProof/>
            <w:webHidden/>
          </w:rPr>
          <w:t>38</w:t>
        </w:r>
        <w:r w:rsidR="00367FB5">
          <w:rPr>
            <w:noProof/>
            <w:webHidden/>
          </w:rPr>
          <w:fldChar w:fldCharType="end"/>
        </w:r>
      </w:hyperlink>
    </w:p>
    <w:p w:rsidR="00367FB5" w:rsidRDefault="007F5A79">
      <w:pPr>
        <w:pStyle w:val="TOC2"/>
        <w:tabs>
          <w:tab w:val="left" w:pos="880"/>
          <w:tab w:val="right" w:leader="dot" w:pos="9016"/>
        </w:tabs>
        <w:rPr>
          <w:rFonts w:asciiTheme="minorHAnsi" w:eastAsiaTheme="minorEastAsia" w:hAnsiTheme="minorHAnsi" w:cstheme="minorBidi"/>
          <w:noProof/>
          <w:sz w:val="22"/>
          <w:lang w:eastAsia="en-GB"/>
        </w:rPr>
      </w:pPr>
      <w:hyperlink w:anchor="_Toc420603274" w:history="1">
        <w:r w:rsidR="00367FB5" w:rsidRPr="00CA0627">
          <w:rPr>
            <w:rStyle w:val="Hyperlink"/>
            <w:noProof/>
          </w:rPr>
          <w:t>9.</w:t>
        </w:r>
        <w:r w:rsidR="00367FB5">
          <w:rPr>
            <w:rFonts w:asciiTheme="minorHAnsi" w:eastAsiaTheme="minorEastAsia" w:hAnsiTheme="minorHAnsi" w:cstheme="minorBidi"/>
            <w:noProof/>
            <w:sz w:val="22"/>
            <w:lang w:eastAsia="en-GB"/>
          </w:rPr>
          <w:tab/>
        </w:r>
        <w:r w:rsidR="00367FB5" w:rsidRPr="00CA0627">
          <w:rPr>
            <w:rStyle w:val="Hyperlink"/>
            <w:noProof/>
          </w:rPr>
          <w:t>Prohibition of torture and cruel, inhuman or degrading treatment (Articles 6 and 7), List of Issues paragraphs 16 and 27</w:t>
        </w:r>
        <w:r w:rsidR="00367FB5">
          <w:rPr>
            <w:noProof/>
            <w:webHidden/>
          </w:rPr>
          <w:tab/>
        </w:r>
        <w:r w:rsidR="00367FB5">
          <w:rPr>
            <w:noProof/>
            <w:webHidden/>
          </w:rPr>
          <w:fldChar w:fldCharType="begin"/>
        </w:r>
        <w:r w:rsidR="00367FB5">
          <w:rPr>
            <w:noProof/>
            <w:webHidden/>
          </w:rPr>
          <w:instrText xml:space="preserve"> PAGEREF _Toc420603274 \h </w:instrText>
        </w:r>
        <w:r w:rsidR="00367FB5">
          <w:rPr>
            <w:noProof/>
            <w:webHidden/>
          </w:rPr>
        </w:r>
        <w:r w:rsidR="00367FB5">
          <w:rPr>
            <w:noProof/>
            <w:webHidden/>
          </w:rPr>
          <w:fldChar w:fldCharType="separate"/>
        </w:r>
        <w:r w:rsidR="0079457E">
          <w:rPr>
            <w:noProof/>
            <w:webHidden/>
          </w:rPr>
          <w:t>38</w:t>
        </w:r>
        <w:r w:rsidR="00367FB5">
          <w:rPr>
            <w:noProof/>
            <w:webHidden/>
          </w:rPr>
          <w:fldChar w:fldCharType="end"/>
        </w:r>
      </w:hyperlink>
    </w:p>
    <w:p w:rsidR="00367FB5" w:rsidRDefault="007F5A79">
      <w:pPr>
        <w:pStyle w:val="TOC2"/>
        <w:tabs>
          <w:tab w:val="left" w:pos="1100"/>
          <w:tab w:val="right" w:leader="dot" w:pos="9016"/>
        </w:tabs>
        <w:rPr>
          <w:rFonts w:asciiTheme="minorHAnsi" w:eastAsiaTheme="minorEastAsia" w:hAnsiTheme="minorHAnsi" w:cstheme="minorBidi"/>
          <w:noProof/>
          <w:sz w:val="22"/>
          <w:lang w:eastAsia="en-GB"/>
        </w:rPr>
      </w:pPr>
      <w:hyperlink w:anchor="_Toc420603275" w:history="1">
        <w:r w:rsidR="00367FB5" w:rsidRPr="00CA0627">
          <w:rPr>
            <w:rStyle w:val="Hyperlink"/>
            <w:noProof/>
          </w:rPr>
          <w:t>10.</w:t>
        </w:r>
        <w:r w:rsidR="00367FB5">
          <w:rPr>
            <w:rFonts w:asciiTheme="minorHAnsi" w:eastAsiaTheme="minorEastAsia" w:hAnsiTheme="minorHAnsi" w:cstheme="minorBidi"/>
            <w:noProof/>
            <w:sz w:val="22"/>
            <w:lang w:eastAsia="en-GB"/>
          </w:rPr>
          <w:tab/>
        </w:r>
        <w:r w:rsidR="00367FB5" w:rsidRPr="00CA0627">
          <w:rPr>
            <w:rStyle w:val="Hyperlink"/>
            <w:noProof/>
          </w:rPr>
          <w:t>Treatment of detainees (Articles 9, 10, 12 and 24), List of Issues paragraphs 22 and 27</w:t>
        </w:r>
        <w:r w:rsidR="00367FB5">
          <w:rPr>
            <w:noProof/>
            <w:webHidden/>
          </w:rPr>
          <w:tab/>
        </w:r>
        <w:r w:rsidR="00367FB5">
          <w:rPr>
            <w:noProof/>
            <w:webHidden/>
          </w:rPr>
          <w:fldChar w:fldCharType="begin"/>
        </w:r>
        <w:r w:rsidR="00367FB5">
          <w:rPr>
            <w:noProof/>
            <w:webHidden/>
          </w:rPr>
          <w:instrText xml:space="preserve"> PAGEREF _Toc420603275 \h </w:instrText>
        </w:r>
        <w:r w:rsidR="00367FB5">
          <w:rPr>
            <w:noProof/>
            <w:webHidden/>
          </w:rPr>
        </w:r>
        <w:r w:rsidR="00367FB5">
          <w:rPr>
            <w:noProof/>
            <w:webHidden/>
          </w:rPr>
          <w:fldChar w:fldCharType="separate"/>
        </w:r>
        <w:r w:rsidR="0079457E">
          <w:rPr>
            <w:noProof/>
            <w:webHidden/>
          </w:rPr>
          <w:t>42</w:t>
        </w:r>
        <w:r w:rsidR="00367FB5">
          <w:rPr>
            <w:noProof/>
            <w:webHidden/>
          </w:rPr>
          <w:fldChar w:fldCharType="end"/>
        </w:r>
      </w:hyperlink>
    </w:p>
    <w:p w:rsidR="00367FB5" w:rsidRDefault="007F5A79">
      <w:pPr>
        <w:pStyle w:val="TOC2"/>
        <w:tabs>
          <w:tab w:val="left" w:pos="660"/>
          <w:tab w:val="right" w:leader="dot" w:pos="9016"/>
        </w:tabs>
        <w:rPr>
          <w:rFonts w:asciiTheme="minorHAnsi" w:eastAsiaTheme="minorEastAsia" w:hAnsiTheme="minorHAnsi" w:cstheme="minorBidi"/>
          <w:noProof/>
          <w:sz w:val="22"/>
          <w:lang w:eastAsia="en-GB"/>
        </w:rPr>
      </w:pPr>
      <w:hyperlink w:anchor="_Toc420603276" w:history="1">
        <w:r w:rsidR="00367FB5" w:rsidRPr="00CA0627">
          <w:rPr>
            <w:rStyle w:val="Hyperlink"/>
            <w:rFonts w:cs="Arial"/>
            <w:i/>
            <w:noProof/>
          </w:rPr>
          <w:t>i.</w:t>
        </w:r>
        <w:r w:rsidR="00367FB5">
          <w:rPr>
            <w:rFonts w:asciiTheme="minorHAnsi" w:eastAsiaTheme="minorEastAsia" w:hAnsiTheme="minorHAnsi" w:cstheme="minorBidi"/>
            <w:noProof/>
            <w:sz w:val="22"/>
            <w:lang w:eastAsia="en-GB"/>
          </w:rPr>
          <w:tab/>
        </w:r>
        <w:r w:rsidR="00367FB5" w:rsidRPr="00CA0627">
          <w:rPr>
            <w:rStyle w:val="Hyperlink"/>
            <w:rFonts w:cs="Arial"/>
            <w:i/>
            <w:noProof/>
          </w:rPr>
          <w:t>The Detained Fast Track system</w:t>
        </w:r>
        <w:r w:rsidR="00367FB5">
          <w:rPr>
            <w:noProof/>
            <w:webHidden/>
          </w:rPr>
          <w:tab/>
        </w:r>
        <w:r w:rsidR="00367FB5">
          <w:rPr>
            <w:noProof/>
            <w:webHidden/>
          </w:rPr>
          <w:fldChar w:fldCharType="begin"/>
        </w:r>
        <w:r w:rsidR="00367FB5">
          <w:rPr>
            <w:noProof/>
            <w:webHidden/>
          </w:rPr>
          <w:instrText xml:space="preserve"> PAGEREF _Toc420603276 \h </w:instrText>
        </w:r>
        <w:r w:rsidR="00367FB5">
          <w:rPr>
            <w:noProof/>
            <w:webHidden/>
          </w:rPr>
        </w:r>
        <w:r w:rsidR="00367FB5">
          <w:rPr>
            <w:noProof/>
            <w:webHidden/>
          </w:rPr>
          <w:fldChar w:fldCharType="separate"/>
        </w:r>
        <w:r w:rsidR="0079457E">
          <w:rPr>
            <w:noProof/>
            <w:webHidden/>
          </w:rPr>
          <w:t>42</w:t>
        </w:r>
        <w:r w:rsidR="00367FB5">
          <w:rPr>
            <w:noProof/>
            <w:webHidden/>
          </w:rPr>
          <w:fldChar w:fldCharType="end"/>
        </w:r>
      </w:hyperlink>
    </w:p>
    <w:p w:rsidR="00367FB5" w:rsidRDefault="007F5A79">
      <w:pPr>
        <w:pStyle w:val="TOC2"/>
        <w:tabs>
          <w:tab w:val="left" w:pos="1100"/>
          <w:tab w:val="right" w:leader="dot" w:pos="9016"/>
        </w:tabs>
        <w:rPr>
          <w:rFonts w:asciiTheme="minorHAnsi" w:eastAsiaTheme="minorEastAsia" w:hAnsiTheme="minorHAnsi" w:cstheme="minorBidi"/>
          <w:noProof/>
          <w:sz w:val="22"/>
          <w:lang w:eastAsia="en-GB"/>
        </w:rPr>
      </w:pPr>
      <w:hyperlink w:anchor="_Toc420603277" w:history="1">
        <w:r w:rsidR="00367FB5" w:rsidRPr="00CA0627">
          <w:rPr>
            <w:rStyle w:val="Hyperlink"/>
            <w:noProof/>
          </w:rPr>
          <w:t>11.</w:t>
        </w:r>
        <w:r w:rsidR="00367FB5">
          <w:rPr>
            <w:rFonts w:asciiTheme="minorHAnsi" w:eastAsiaTheme="minorEastAsia" w:hAnsiTheme="minorHAnsi" w:cstheme="minorBidi"/>
            <w:noProof/>
            <w:sz w:val="22"/>
            <w:lang w:eastAsia="en-GB"/>
          </w:rPr>
          <w:tab/>
        </w:r>
        <w:r w:rsidR="00367FB5" w:rsidRPr="00CA0627">
          <w:rPr>
            <w:rStyle w:val="Hyperlink"/>
            <w:noProof/>
          </w:rPr>
          <w:t>Prisons, List of Issues paragraph 22</w:t>
        </w:r>
        <w:r w:rsidR="00367FB5">
          <w:rPr>
            <w:noProof/>
            <w:webHidden/>
          </w:rPr>
          <w:tab/>
        </w:r>
        <w:r w:rsidR="00367FB5">
          <w:rPr>
            <w:noProof/>
            <w:webHidden/>
          </w:rPr>
          <w:fldChar w:fldCharType="begin"/>
        </w:r>
        <w:r w:rsidR="00367FB5">
          <w:rPr>
            <w:noProof/>
            <w:webHidden/>
          </w:rPr>
          <w:instrText xml:space="preserve"> PAGEREF _Toc420603277 \h </w:instrText>
        </w:r>
        <w:r w:rsidR="00367FB5">
          <w:rPr>
            <w:noProof/>
            <w:webHidden/>
          </w:rPr>
        </w:r>
        <w:r w:rsidR="00367FB5">
          <w:rPr>
            <w:noProof/>
            <w:webHidden/>
          </w:rPr>
          <w:fldChar w:fldCharType="separate"/>
        </w:r>
        <w:r w:rsidR="0079457E">
          <w:rPr>
            <w:noProof/>
            <w:webHidden/>
          </w:rPr>
          <w:t>51</w:t>
        </w:r>
        <w:r w:rsidR="00367FB5">
          <w:rPr>
            <w:noProof/>
            <w:webHidden/>
          </w:rPr>
          <w:fldChar w:fldCharType="end"/>
        </w:r>
      </w:hyperlink>
    </w:p>
    <w:p w:rsidR="00367FB5" w:rsidRDefault="007F5A79">
      <w:pPr>
        <w:pStyle w:val="TOC2"/>
        <w:tabs>
          <w:tab w:val="right" w:leader="dot" w:pos="9016"/>
        </w:tabs>
        <w:rPr>
          <w:rFonts w:asciiTheme="minorHAnsi" w:eastAsiaTheme="minorEastAsia" w:hAnsiTheme="minorHAnsi" w:cstheme="minorBidi"/>
          <w:noProof/>
          <w:sz w:val="22"/>
          <w:lang w:eastAsia="en-GB"/>
        </w:rPr>
      </w:pPr>
      <w:hyperlink w:anchor="_Toc420603278" w:history="1">
        <w:r w:rsidR="00367FB5" w:rsidRPr="00CA0627">
          <w:rPr>
            <w:rStyle w:val="Hyperlink"/>
            <w:noProof/>
          </w:rPr>
          <w:t>12. Youth justice, List of issues paragraph 25</w:t>
        </w:r>
        <w:r w:rsidR="00367FB5">
          <w:rPr>
            <w:noProof/>
            <w:webHidden/>
          </w:rPr>
          <w:tab/>
        </w:r>
        <w:r w:rsidR="00367FB5">
          <w:rPr>
            <w:noProof/>
            <w:webHidden/>
          </w:rPr>
          <w:fldChar w:fldCharType="begin"/>
        </w:r>
        <w:r w:rsidR="00367FB5">
          <w:rPr>
            <w:noProof/>
            <w:webHidden/>
          </w:rPr>
          <w:instrText xml:space="preserve"> PAGEREF _Toc420603278 \h </w:instrText>
        </w:r>
        <w:r w:rsidR="00367FB5">
          <w:rPr>
            <w:noProof/>
            <w:webHidden/>
          </w:rPr>
        </w:r>
        <w:r w:rsidR="00367FB5">
          <w:rPr>
            <w:noProof/>
            <w:webHidden/>
          </w:rPr>
          <w:fldChar w:fldCharType="separate"/>
        </w:r>
        <w:r w:rsidR="0079457E">
          <w:rPr>
            <w:noProof/>
            <w:webHidden/>
          </w:rPr>
          <w:t>57</w:t>
        </w:r>
        <w:r w:rsidR="00367FB5">
          <w:rPr>
            <w:noProof/>
            <w:webHidden/>
          </w:rPr>
          <w:fldChar w:fldCharType="end"/>
        </w:r>
      </w:hyperlink>
    </w:p>
    <w:p w:rsidR="00367FB5" w:rsidRDefault="007F5A79">
      <w:pPr>
        <w:pStyle w:val="TOC2"/>
        <w:tabs>
          <w:tab w:val="right" w:leader="dot" w:pos="9016"/>
        </w:tabs>
        <w:rPr>
          <w:rFonts w:asciiTheme="minorHAnsi" w:eastAsiaTheme="minorEastAsia" w:hAnsiTheme="minorHAnsi" w:cstheme="minorBidi"/>
          <w:noProof/>
          <w:sz w:val="22"/>
          <w:lang w:eastAsia="en-GB"/>
        </w:rPr>
      </w:pPr>
      <w:hyperlink w:anchor="_Toc420603279" w:history="1">
        <w:r w:rsidR="00367FB5" w:rsidRPr="00CA0627">
          <w:rPr>
            <w:rStyle w:val="Hyperlink"/>
            <w:noProof/>
          </w:rPr>
          <w:t>13. Hate crime (Articles 2, 3, 20 26 and 27), List of Issues paragraph 5</w:t>
        </w:r>
        <w:r w:rsidR="00367FB5">
          <w:rPr>
            <w:noProof/>
            <w:webHidden/>
          </w:rPr>
          <w:tab/>
        </w:r>
        <w:r w:rsidR="00367FB5">
          <w:rPr>
            <w:noProof/>
            <w:webHidden/>
          </w:rPr>
          <w:fldChar w:fldCharType="begin"/>
        </w:r>
        <w:r w:rsidR="00367FB5">
          <w:rPr>
            <w:noProof/>
            <w:webHidden/>
          </w:rPr>
          <w:instrText xml:space="preserve"> PAGEREF _Toc420603279 \h </w:instrText>
        </w:r>
        <w:r w:rsidR="00367FB5">
          <w:rPr>
            <w:noProof/>
            <w:webHidden/>
          </w:rPr>
        </w:r>
        <w:r w:rsidR="00367FB5">
          <w:rPr>
            <w:noProof/>
            <w:webHidden/>
          </w:rPr>
          <w:fldChar w:fldCharType="separate"/>
        </w:r>
        <w:r w:rsidR="0079457E">
          <w:rPr>
            <w:noProof/>
            <w:webHidden/>
          </w:rPr>
          <w:t>61</w:t>
        </w:r>
        <w:r w:rsidR="00367FB5">
          <w:rPr>
            <w:noProof/>
            <w:webHidden/>
          </w:rPr>
          <w:fldChar w:fldCharType="end"/>
        </w:r>
      </w:hyperlink>
    </w:p>
    <w:p w:rsidR="00367FB5" w:rsidRDefault="007F5A79">
      <w:pPr>
        <w:pStyle w:val="TOC2"/>
        <w:tabs>
          <w:tab w:val="right" w:leader="dot" w:pos="9016"/>
        </w:tabs>
        <w:rPr>
          <w:rFonts w:asciiTheme="minorHAnsi" w:eastAsiaTheme="minorEastAsia" w:hAnsiTheme="minorHAnsi" w:cstheme="minorBidi"/>
          <w:noProof/>
          <w:sz w:val="22"/>
          <w:lang w:eastAsia="en-GB"/>
        </w:rPr>
      </w:pPr>
      <w:hyperlink w:anchor="_Toc420603280" w:history="1">
        <w:r w:rsidR="00367FB5" w:rsidRPr="00CA0627">
          <w:rPr>
            <w:rStyle w:val="Hyperlink"/>
            <w:noProof/>
          </w:rPr>
          <w:t>14. Violence against women and girls (VAWG) (Articles 2, 3, 7, and 26), List of Issues paragraph 10</w:t>
        </w:r>
        <w:r w:rsidR="00367FB5">
          <w:rPr>
            <w:noProof/>
            <w:webHidden/>
          </w:rPr>
          <w:tab/>
        </w:r>
        <w:r w:rsidR="00367FB5">
          <w:rPr>
            <w:noProof/>
            <w:webHidden/>
          </w:rPr>
          <w:fldChar w:fldCharType="begin"/>
        </w:r>
        <w:r w:rsidR="00367FB5">
          <w:rPr>
            <w:noProof/>
            <w:webHidden/>
          </w:rPr>
          <w:instrText xml:space="preserve"> PAGEREF _Toc420603280 \h </w:instrText>
        </w:r>
        <w:r w:rsidR="00367FB5">
          <w:rPr>
            <w:noProof/>
            <w:webHidden/>
          </w:rPr>
        </w:r>
        <w:r w:rsidR="00367FB5">
          <w:rPr>
            <w:noProof/>
            <w:webHidden/>
          </w:rPr>
          <w:fldChar w:fldCharType="separate"/>
        </w:r>
        <w:r w:rsidR="0079457E">
          <w:rPr>
            <w:noProof/>
            <w:webHidden/>
          </w:rPr>
          <w:t>65</w:t>
        </w:r>
        <w:r w:rsidR="00367FB5">
          <w:rPr>
            <w:noProof/>
            <w:webHidden/>
          </w:rPr>
          <w:fldChar w:fldCharType="end"/>
        </w:r>
      </w:hyperlink>
    </w:p>
    <w:p w:rsidR="00367FB5" w:rsidRDefault="007F5A79">
      <w:pPr>
        <w:pStyle w:val="TOC1"/>
        <w:tabs>
          <w:tab w:val="left" w:pos="660"/>
          <w:tab w:val="right" w:leader="dot" w:pos="9016"/>
        </w:tabs>
        <w:rPr>
          <w:rFonts w:asciiTheme="minorHAnsi" w:eastAsiaTheme="minorEastAsia" w:hAnsiTheme="minorHAnsi" w:cstheme="minorBidi"/>
          <w:noProof/>
          <w:sz w:val="22"/>
          <w:lang w:eastAsia="en-GB"/>
        </w:rPr>
      </w:pPr>
      <w:hyperlink w:anchor="_Toc420603281" w:history="1">
        <w:r w:rsidR="00367FB5" w:rsidRPr="00CA0627">
          <w:rPr>
            <w:rStyle w:val="Hyperlink"/>
            <w:noProof/>
          </w:rPr>
          <w:t>E.</w:t>
        </w:r>
        <w:r w:rsidR="00367FB5">
          <w:rPr>
            <w:rFonts w:asciiTheme="minorHAnsi" w:eastAsiaTheme="minorEastAsia" w:hAnsiTheme="minorHAnsi" w:cstheme="minorBidi"/>
            <w:noProof/>
            <w:sz w:val="22"/>
            <w:lang w:eastAsia="en-GB"/>
          </w:rPr>
          <w:tab/>
        </w:r>
        <w:r w:rsidR="00367FB5" w:rsidRPr="00CA0627">
          <w:rPr>
            <w:rStyle w:val="Hyperlink"/>
            <w:noProof/>
          </w:rPr>
          <w:t>Productive and Valued Activities</w:t>
        </w:r>
        <w:r w:rsidR="00367FB5">
          <w:rPr>
            <w:noProof/>
            <w:webHidden/>
          </w:rPr>
          <w:tab/>
        </w:r>
        <w:r w:rsidR="00367FB5">
          <w:rPr>
            <w:noProof/>
            <w:webHidden/>
          </w:rPr>
          <w:fldChar w:fldCharType="begin"/>
        </w:r>
        <w:r w:rsidR="00367FB5">
          <w:rPr>
            <w:noProof/>
            <w:webHidden/>
          </w:rPr>
          <w:instrText xml:space="preserve"> PAGEREF _Toc420603281 \h </w:instrText>
        </w:r>
        <w:r w:rsidR="00367FB5">
          <w:rPr>
            <w:noProof/>
            <w:webHidden/>
          </w:rPr>
        </w:r>
        <w:r w:rsidR="00367FB5">
          <w:rPr>
            <w:noProof/>
            <w:webHidden/>
          </w:rPr>
          <w:fldChar w:fldCharType="separate"/>
        </w:r>
        <w:r w:rsidR="0079457E">
          <w:rPr>
            <w:noProof/>
            <w:webHidden/>
          </w:rPr>
          <w:t>70</w:t>
        </w:r>
        <w:r w:rsidR="00367FB5">
          <w:rPr>
            <w:noProof/>
            <w:webHidden/>
          </w:rPr>
          <w:fldChar w:fldCharType="end"/>
        </w:r>
      </w:hyperlink>
    </w:p>
    <w:p w:rsidR="00367FB5" w:rsidRDefault="007F5A79">
      <w:pPr>
        <w:pStyle w:val="TOC2"/>
        <w:tabs>
          <w:tab w:val="right" w:leader="dot" w:pos="9016"/>
        </w:tabs>
        <w:rPr>
          <w:rFonts w:asciiTheme="minorHAnsi" w:eastAsiaTheme="minorEastAsia" w:hAnsiTheme="minorHAnsi" w:cstheme="minorBidi"/>
          <w:noProof/>
          <w:sz w:val="22"/>
          <w:lang w:eastAsia="en-GB"/>
        </w:rPr>
      </w:pPr>
      <w:hyperlink w:anchor="_Toc420603282" w:history="1">
        <w:r w:rsidR="00367FB5" w:rsidRPr="00CA0627">
          <w:rPr>
            <w:rStyle w:val="Hyperlink"/>
            <w:noProof/>
          </w:rPr>
          <w:t>15. The pay gap (Articles 2, 3 and 26), List of Issues paragraph 9</w:t>
        </w:r>
        <w:r w:rsidR="00367FB5">
          <w:rPr>
            <w:noProof/>
            <w:webHidden/>
          </w:rPr>
          <w:tab/>
        </w:r>
        <w:r w:rsidR="00367FB5">
          <w:rPr>
            <w:noProof/>
            <w:webHidden/>
          </w:rPr>
          <w:fldChar w:fldCharType="begin"/>
        </w:r>
        <w:r w:rsidR="00367FB5">
          <w:rPr>
            <w:noProof/>
            <w:webHidden/>
          </w:rPr>
          <w:instrText xml:space="preserve"> PAGEREF _Toc420603282 \h </w:instrText>
        </w:r>
        <w:r w:rsidR="00367FB5">
          <w:rPr>
            <w:noProof/>
            <w:webHidden/>
          </w:rPr>
        </w:r>
        <w:r w:rsidR="00367FB5">
          <w:rPr>
            <w:noProof/>
            <w:webHidden/>
          </w:rPr>
          <w:fldChar w:fldCharType="separate"/>
        </w:r>
        <w:r w:rsidR="0079457E">
          <w:rPr>
            <w:noProof/>
            <w:webHidden/>
          </w:rPr>
          <w:t>70</w:t>
        </w:r>
        <w:r w:rsidR="00367FB5">
          <w:rPr>
            <w:noProof/>
            <w:webHidden/>
          </w:rPr>
          <w:fldChar w:fldCharType="end"/>
        </w:r>
      </w:hyperlink>
    </w:p>
    <w:p w:rsidR="00367FB5" w:rsidRDefault="007F5A79">
      <w:pPr>
        <w:pStyle w:val="TOC1"/>
        <w:tabs>
          <w:tab w:val="right" w:leader="dot" w:pos="9016"/>
        </w:tabs>
        <w:rPr>
          <w:rFonts w:asciiTheme="minorHAnsi" w:eastAsiaTheme="minorEastAsia" w:hAnsiTheme="minorHAnsi" w:cstheme="minorBidi"/>
          <w:noProof/>
          <w:sz w:val="22"/>
          <w:lang w:eastAsia="en-GB"/>
        </w:rPr>
      </w:pPr>
      <w:hyperlink w:anchor="_Toc420603283" w:history="1">
        <w:r w:rsidR="00367FB5" w:rsidRPr="00CA0627">
          <w:rPr>
            <w:rStyle w:val="Hyperlink"/>
            <w:noProof/>
          </w:rPr>
          <w:t>Appendix A: Summary of Recommendations and Questions</w:t>
        </w:r>
        <w:r w:rsidR="00367FB5">
          <w:rPr>
            <w:noProof/>
            <w:webHidden/>
          </w:rPr>
          <w:tab/>
        </w:r>
        <w:r w:rsidR="00367FB5">
          <w:rPr>
            <w:noProof/>
            <w:webHidden/>
          </w:rPr>
          <w:fldChar w:fldCharType="begin"/>
        </w:r>
        <w:r w:rsidR="00367FB5">
          <w:rPr>
            <w:noProof/>
            <w:webHidden/>
          </w:rPr>
          <w:instrText xml:space="preserve"> PAGEREF _Toc420603283 \h </w:instrText>
        </w:r>
        <w:r w:rsidR="00367FB5">
          <w:rPr>
            <w:noProof/>
            <w:webHidden/>
          </w:rPr>
        </w:r>
        <w:r w:rsidR="00367FB5">
          <w:rPr>
            <w:noProof/>
            <w:webHidden/>
          </w:rPr>
          <w:fldChar w:fldCharType="separate"/>
        </w:r>
        <w:r w:rsidR="0079457E">
          <w:rPr>
            <w:noProof/>
            <w:webHidden/>
          </w:rPr>
          <w:t>74</w:t>
        </w:r>
        <w:r w:rsidR="00367FB5">
          <w:rPr>
            <w:noProof/>
            <w:webHidden/>
          </w:rPr>
          <w:fldChar w:fldCharType="end"/>
        </w:r>
      </w:hyperlink>
    </w:p>
    <w:p w:rsidR="00367FB5" w:rsidRDefault="007F5A79">
      <w:pPr>
        <w:pStyle w:val="TOC1"/>
        <w:tabs>
          <w:tab w:val="right" w:leader="dot" w:pos="9016"/>
        </w:tabs>
        <w:rPr>
          <w:rFonts w:asciiTheme="minorHAnsi" w:eastAsiaTheme="minorEastAsia" w:hAnsiTheme="minorHAnsi" w:cstheme="minorBidi"/>
          <w:noProof/>
          <w:sz w:val="22"/>
          <w:lang w:eastAsia="en-GB"/>
        </w:rPr>
      </w:pPr>
      <w:hyperlink w:anchor="_Toc420603287" w:history="1">
        <w:r w:rsidR="00367FB5" w:rsidRPr="00CA0627">
          <w:rPr>
            <w:rStyle w:val="Hyperlink"/>
            <w:noProof/>
          </w:rPr>
          <w:t>Appendix B: Equality and Human Rights Commission Submission to the United Nations Human Rights Committee Pre-Sessional Working Group on the United Kingdom’s Implementation of the International Covenant on Civil and Political Rights.</w:t>
        </w:r>
        <w:r w:rsidR="00367FB5">
          <w:rPr>
            <w:noProof/>
            <w:webHidden/>
          </w:rPr>
          <w:tab/>
        </w:r>
        <w:r w:rsidR="00367FB5">
          <w:rPr>
            <w:noProof/>
            <w:webHidden/>
          </w:rPr>
          <w:fldChar w:fldCharType="begin"/>
        </w:r>
        <w:r w:rsidR="00367FB5">
          <w:rPr>
            <w:noProof/>
            <w:webHidden/>
          </w:rPr>
          <w:instrText xml:space="preserve"> PAGEREF _Toc420603287 \h </w:instrText>
        </w:r>
        <w:r w:rsidR="00367FB5">
          <w:rPr>
            <w:noProof/>
            <w:webHidden/>
          </w:rPr>
        </w:r>
        <w:r w:rsidR="00367FB5">
          <w:rPr>
            <w:noProof/>
            <w:webHidden/>
          </w:rPr>
          <w:fldChar w:fldCharType="separate"/>
        </w:r>
        <w:r w:rsidR="0079457E">
          <w:rPr>
            <w:noProof/>
            <w:webHidden/>
          </w:rPr>
          <w:t>86</w:t>
        </w:r>
        <w:r w:rsidR="00367FB5">
          <w:rPr>
            <w:noProof/>
            <w:webHidden/>
          </w:rPr>
          <w:fldChar w:fldCharType="end"/>
        </w:r>
      </w:hyperlink>
    </w:p>
    <w:p w:rsidR="00367FB5" w:rsidRDefault="007F5A79">
      <w:pPr>
        <w:pStyle w:val="TOC1"/>
        <w:tabs>
          <w:tab w:val="right" w:leader="dot" w:pos="9016"/>
        </w:tabs>
        <w:rPr>
          <w:rFonts w:asciiTheme="minorHAnsi" w:eastAsiaTheme="minorEastAsia" w:hAnsiTheme="minorHAnsi" w:cstheme="minorBidi"/>
          <w:noProof/>
          <w:sz w:val="22"/>
          <w:lang w:eastAsia="en-GB"/>
        </w:rPr>
      </w:pPr>
      <w:hyperlink w:anchor="_Toc420603349" w:history="1">
        <w:r w:rsidR="00367FB5" w:rsidRPr="00CA0627">
          <w:rPr>
            <w:rStyle w:val="Hyperlink"/>
            <w:noProof/>
          </w:rPr>
          <w:t>Contacts</w:t>
        </w:r>
        <w:r w:rsidR="00367FB5">
          <w:rPr>
            <w:noProof/>
            <w:webHidden/>
          </w:rPr>
          <w:tab/>
        </w:r>
        <w:r w:rsidR="00367FB5">
          <w:rPr>
            <w:noProof/>
            <w:webHidden/>
          </w:rPr>
          <w:fldChar w:fldCharType="begin"/>
        </w:r>
        <w:r w:rsidR="00367FB5">
          <w:rPr>
            <w:noProof/>
            <w:webHidden/>
          </w:rPr>
          <w:instrText xml:space="preserve"> PAGEREF _Toc420603349 \h </w:instrText>
        </w:r>
        <w:r w:rsidR="00367FB5">
          <w:rPr>
            <w:noProof/>
            <w:webHidden/>
          </w:rPr>
        </w:r>
        <w:r w:rsidR="00367FB5">
          <w:rPr>
            <w:noProof/>
            <w:webHidden/>
          </w:rPr>
          <w:fldChar w:fldCharType="separate"/>
        </w:r>
        <w:r w:rsidR="0079457E">
          <w:rPr>
            <w:noProof/>
            <w:webHidden/>
          </w:rPr>
          <w:t>145</w:t>
        </w:r>
        <w:r w:rsidR="00367FB5">
          <w:rPr>
            <w:noProof/>
            <w:webHidden/>
          </w:rPr>
          <w:fldChar w:fldCharType="end"/>
        </w:r>
      </w:hyperlink>
    </w:p>
    <w:p w:rsidR="00367FB5" w:rsidRDefault="00367FB5" w:rsidP="00367FB5">
      <w:r>
        <w:rPr>
          <w:b/>
          <w:bCs/>
          <w:noProof/>
        </w:rPr>
        <w:fldChar w:fldCharType="end"/>
      </w:r>
    </w:p>
    <w:p w:rsidR="00367FB5" w:rsidRDefault="00367FB5" w:rsidP="00367FB5">
      <w:pPr>
        <w:spacing w:after="0"/>
        <w:rPr>
          <w:rFonts w:ascii="Georgia" w:eastAsia="Times New Roman" w:hAnsi="Georgia"/>
          <w:bCs/>
          <w:sz w:val="48"/>
          <w:szCs w:val="48"/>
        </w:rPr>
      </w:pPr>
      <w:r>
        <w:br w:type="page"/>
      </w:r>
    </w:p>
    <w:p w:rsidR="00D4379C" w:rsidRDefault="00035238" w:rsidP="00A0401B">
      <w:pPr>
        <w:pStyle w:val="Heading-chapter"/>
      </w:pPr>
      <w:bookmarkStart w:id="6" w:name="_Toc420603262"/>
      <w:r>
        <w:lastRenderedPageBreak/>
        <w:t xml:space="preserve">A. </w:t>
      </w:r>
      <w:r w:rsidR="00D4379C" w:rsidRPr="005E7E37">
        <w:t>Scope of the Report</w:t>
      </w:r>
      <w:bookmarkEnd w:id="6"/>
    </w:p>
    <w:p w:rsidR="00A0401B" w:rsidRDefault="00A0401B" w:rsidP="00A0401B">
      <w:pPr>
        <w:pStyle w:val="Parabeforeanother"/>
        <w:rPr>
          <w:b/>
        </w:rPr>
      </w:pPr>
      <w:r w:rsidRPr="00A0401B">
        <w:rPr>
          <w:b/>
        </w:rPr>
        <w:t xml:space="preserve">A.1 </w:t>
      </w:r>
      <w:r w:rsidR="00D4379C" w:rsidRPr="002C2771">
        <w:t xml:space="preserve">The Equality and Human Rights Commission </w:t>
      </w:r>
      <w:r>
        <w:t xml:space="preserve">(EHRC) is one of the </w:t>
      </w:r>
      <w:r w:rsidR="00D4379C" w:rsidRPr="002C2771">
        <w:t>United Kingdom’s (UK</w:t>
      </w:r>
      <w:r w:rsidR="00D4379C">
        <w:t>’s</w:t>
      </w:r>
      <w:r w:rsidR="00D4379C" w:rsidRPr="002C2771">
        <w:t>) three ‘A status’ accredited National Human Rights Institutions (NHRI</w:t>
      </w:r>
      <w:r w:rsidR="00D4379C">
        <w:t>s</w:t>
      </w:r>
      <w:r w:rsidR="00D4379C" w:rsidRPr="002C2771">
        <w:t>). The EHRC’s jurisdiction covers England and Wales and Scottish matters that are reserved to the UK Parliament. The Scottish Human Rights Commission (SHRC) has jurisdiction with respect to matters that are devolved to the Scottish Parliament, and will cover those matters in a separate submission. The EHRC's remit also does not extend to Northern Ireland, which is therefore outside the scope of this report. The Northern Ireland Human Rights Commission (NIHRC) has made a separate submission.</w:t>
      </w:r>
    </w:p>
    <w:p w:rsidR="00A0401B" w:rsidRDefault="00A0401B" w:rsidP="00A0401B">
      <w:pPr>
        <w:pStyle w:val="Parabeforeanother"/>
        <w:rPr>
          <w:b/>
        </w:rPr>
      </w:pPr>
      <w:r w:rsidRPr="00A0401B">
        <w:rPr>
          <w:b/>
        </w:rPr>
        <w:t xml:space="preserve">A.2 </w:t>
      </w:r>
      <w:r w:rsidR="00D4379C" w:rsidRPr="003030DF">
        <w:t xml:space="preserve">The UK was one of the world’s first countries to ratify the International Covenant on Civil and Political Rights in 1976 and it has an even longer history of seeking to uphold people’s civil and political rights. However, the UK Government has not ratified the Optional Protocol on ICCPR and remains to be convinced of </w:t>
      </w:r>
      <w:r w:rsidR="00D4379C">
        <w:t>‘</w:t>
      </w:r>
      <w:r w:rsidR="00D4379C" w:rsidRPr="003030DF">
        <w:t>the added practical value to people in the United Kingdom of rights of individual petition to the United Nations</w:t>
      </w:r>
      <w:r w:rsidR="00D4379C">
        <w:t>’</w:t>
      </w:r>
      <w:r w:rsidR="00D4379C" w:rsidRPr="003030DF">
        <w:t>.</w:t>
      </w:r>
      <w:r w:rsidR="00D4379C" w:rsidRPr="003030DF">
        <w:rPr>
          <w:rStyle w:val="FootnoteReference"/>
        </w:rPr>
        <w:footnoteReference w:id="1"/>
      </w:r>
      <w:r w:rsidR="008C67B4">
        <w:t xml:space="preserve"> </w:t>
      </w:r>
      <w:r w:rsidR="00D4379C" w:rsidRPr="003030DF">
        <w:t>It also maintains a number of reservations and derogations from the terms of the ICCPR.</w:t>
      </w:r>
      <w:r w:rsidR="00D4379C" w:rsidRPr="003030DF">
        <w:rPr>
          <w:rStyle w:val="FootnoteReference"/>
        </w:rPr>
        <w:footnoteReference w:id="2"/>
      </w:r>
    </w:p>
    <w:p w:rsidR="00A0401B" w:rsidRDefault="00A0401B" w:rsidP="00A0401B">
      <w:pPr>
        <w:pStyle w:val="Parabeforeanother"/>
        <w:rPr>
          <w:b/>
        </w:rPr>
      </w:pPr>
      <w:r>
        <w:rPr>
          <w:b/>
        </w:rPr>
        <w:t xml:space="preserve">A.3 </w:t>
      </w:r>
      <w:r w:rsidR="00D4379C" w:rsidRPr="00A0401B">
        <w:rPr>
          <w:rFonts w:eastAsia="Times New Roman"/>
          <w:lang w:eastAsia="en-GB"/>
        </w:rPr>
        <w:t>In July 2014, the EHRC submitted its shadow report to the</w:t>
      </w:r>
      <w:r w:rsidR="00D4379C" w:rsidRPr="00D13BE9">
        <w:rPr>
          <w:lang w:eastAsia="en-GB"/>
        </w:rPr>
        <w:t xml:space="preserve"> United Nations Human Rights Committee </w:t>
      </w:r>
      <w:r w:rsidR="00D4379C">
        <w:rPr>
          <w:lang w:eastAsia="en-GB"/>
        </w:rPr>
        <w:t xml:space="preserve">(HRC) </w:t>
      </w:r>
      <w:r w:rsidR="00D4379C" w:rsidRPr="00D13BE9">
        <w:rPr>
          <w:lang w:eastAsia="en-GB"/>
        </w:rPr>
        <w:t xml:space="preserve">Pre-Sessional Working Group on the </w:t>
      </w:r>
      <w:r w:rsidR="00D4379C">
        <w:rPr>
          <w:lang w:eastAsia="en-GB"/>
        </w:rPr>
        <w:t xml:space="preserve">UK’s </w:t>
      </w:r>
      <w:r w:rsidR="00D4379C" w:rsidRPr="00D13BE9">
        <w:rPr>
          <w:lang w:eastAsia="en-GB"/>
        </w:rPr>
        <w:t>Implementation of the International Covenan</w:t>
      </w:r>
      <w:r w:rsidR="00D4379C">
        <w:rPr>
          <w:lang w:eastAsia="en-GB"/>
        </w:rPr>
        <w:t>t on Civil and Political Rights (ICCPR).</w:t>
      </w:r>
      <w:r w:rsidR="00D4379C">
        <w:rPr>
          <w:rStyle w:val="FootnoteReference"/>
          <w:lang w:eastAsia="en-GB"/>
        </w:rPr>
        <w:footnoteReference w:id="3"/>
      </w:r>
      <w:r w:rsidR="008C67B4">
        <w:rPr>
          <w:rFonts w:eastAsia="Times New Roman"/>
          <w:lang w:eastAsia="en-GB"/>
        </w:rPr>
        <w:t xml:space="preserve"> </w:t>
      </w:r>
      <w:r w:rsidR="00D4379C" w:rsidRPr="00A0401B">
        <w:rPr>
          <w:rFonts w:eastAsia="Times New Roman"/>
          <w:lang w:eastAsia="en-GB"/>
        </w:rPr>
        <w:t xml:space="preserve">We considered we could most usefully contribute to the HRC’s pre-sessional working </w:t>
      </w:r>
      <w:r w:rsidR="00D4379C" w:rsidRPr="00A0401B">
        <w:rPr>
          <w:rFonts w:eastAsia="Times New Roman"/>
          <w:lang w:eastAsia="en-GB"/>
        </w:rPr>
        <w:lastRenderedPageBreak/>
        <w:t>group by using our shadow report to focus on two of the domains within our measurement framework:</w:t>
      </w:r>
      <w:r w:rsidR="00D4379C" w:rsidRPr="002C2771">
        <w:rPr>
          <w:rStyle w:val="FootnoteReference"/>
          <w:rFonts w:eastAsia="Times New Roman"/>
          <w:lang w:eastAsia="en-GB"/>
        </w:rPr>
        <w:footnoteReference w:id="4"/>
      </w:r>
      <w:r w:rsidR="00D4379C" w:rsidRPr="00A0401B">
        <w:rPr>
          <w:rFonts w:eastAsia="Times New Roman"/>
          <w:lang w:eastAsia="en-GB"/>
        </w:rPr>
        <w:t xml:space="preserve"> Legal Security and Physical Security. </w:t>
      </w:r>
      <w:r w:rsidR="00D4379C" w:rsidRPr="00EF0534">
        <w:t>In November 2014, th</w:t>
      </w:r>
      <w:r w:rsidR="00D4379C">
        <w:t>e HRC</w:t>
      </w:r>
      <w:r w:rsidR="00D4379C" w:rsidRPr="00EF0534">
        <w:t xml:space="preserve"> published its list of issues for the UK examination</w:t>
      </w:r>
      <w:r w:rsidR="00D4379C" w:rsidRPr="00A0401B">
        <w:rPr>
          <w:rFonts w:eastAsia="Times New Roman"/>
          <w:lang w:eastAsia="en-GB"/>
        </w:rPr>
        <w:t>.</w:t>
      </w:r>
      <w:r w:rsidR="00D4379C">
        <w:rPr>
          <w:rStyle w:val="FootnoteReference"/>
          <w:rFonts w:eastAsia="Times New Roman"/>
          <w:lang w:eastAsia="en-GB"/>
        </w:rPr>
        <w:footnoteReference w:id="5"/>
      </w:r>
    </w:p>
    <w:p w:rsidR="00D4379C" w:rsidRPr="00A0401B" w:rsidRDefault="00A0401B" w:rsidP="00A0401B">
      <w:pPr>
        <w:pStyle w:val="Parabeforeanother"/>
        <w:rPr>
          <w:b/>
        </w:rPr>
      </w:pPr>
      <w:r>
        <w:rPr>
          <w:b/>
        </w:rPr>
        <w:t xml:space="preserve">A.4 </w:t>
      </w:r>
      <w:r w:rsidR="00D4379C">
        <w:rPr>
          <w:lang w:eastAsia="en-GB"/>
        </w:rPr>
        <w:t>We note that the majority of the priorities in the EHRC’s submission were identified by the HRC in its list of issues to the State. For this reason, we have retained</w:t>
      </w:r>
      <w:r w:rsidR="00D4379C">
        <w:t xml:space="preserve"> the focus of our 2014 submission, and provided information on developments which have occurred since July 2014.</w:t>
      </w:r>
      <w:r w:rsidR="00D4379C" w:rsidRPr="00D03BB9">
        <w:t xml:space="preserve"> </w:t>
      </w:r>
      <w:r w:rsidR="00D4379C">
        <w:t>In addition, we have incorporated two new topics the HRC included in its list of issues to the State:</w:t>
      </w:r>
    </w:p>
    <w:p w:rsidR="00D4379C" w:rsidRDefault="00D4379C" w:rsidP="00AB40BC">
      <w:pPr>
        <w:pStyle w:val="Bullet-followedbyothers"/>
      </w:pPr>
      <w:r>
        <w:t xml:space="preserve">caste discrimination: we provide an update on caste discrimination legislation and recent case law, and </w:t>
      </w:r>
    </w:p>
    <w:p w:rsidR="00D4379C" w:rsidRDefault="00D4379C" w:rsidP="00AB40BC">
      <w:pPr>
        <w:pStyle w:val="Bullet-lastingroup"/>
      </w:pPr>
      <w:proofErr w:type="gramStart"/>
      <w:r>
        <w:t>g</w:t>
      </w:r>
      <w:r w:rsidRPr="004F6858">
        <w:t>ender</w:t>
      </w:r>
      <w:proofErr w:type="gramEnd"/>
      <w:r w:rsidRPr="004F6858">
        <w:t xml:space="preserve"> pay gap: we provide analysis on the UK’s progress in tackling this issue under the measurement framework domain of Productive and Valued Activities.</w:t>
      </w:r>
    </w:p>
    <w:p w:rsidR="00D4379C" w:rsidRDefault="00A0401B" w:rsidP="00AB40BC">
      <w:pPr>
        <w:pStyle w:val="Parabeforebulletss"/>
      </w:pPr>
      <w:r w:rsidRPr="00A0401B">
        <w:rPr>
          <w:b/>
        </w:rPr>
        <w:t xml:space="preserve">A.5 </w:t>
      </w:r>
      <w:r w:rsidR="00D4379C">
        <w:t xml:space="preserve">There have been a number of significant developments in the UK since our previous submission, not least a General Election that saw a new government elected into office. </w:t>
      </w:r>
      <w:r w:rsidR="00D4379C" w:rsidRPr="00DF1E31">
        <w:t>The new government has set out its intention to implement its manifesto in full.</w:t>
      </w:r>
      <w:r w:rsidR="00D4379C" w:rsidRPr="00DF1E31">
        <w:rPr>
          <w:rStyle w:val="FootnoteReference"/>
        </w:rPr>
        <w:footnoteReference w:id="6"/>
      </w:r>
      <w:r w:rsidR="008C67B4">
        <w:t xml:space="preserve"> </w:t>
      </w:r>
      <w:r w:rsidR="00D4379C" w:rsidRPr="00DF1E31">
        <w:t xml:space="preserve">There are a number of proposals that </w:t>
      </w:r>
      <w:r w:rsidR="00D4379C">
        <w:t>build on the progress we have identified to date, including:</w:t>
      </w:r>
    </w:p>
    <w:p w:rsidR="00D4379C" w:rsidRPr="00C75B98" w:rsidRDefault="005C5A35" w:rsidP="00AB40BC">
      <w:pPr>
        <w:pStyle w:val="Bullet-followedbyothers"/>
      </w:pPr>
      <w:r>
        <w:t>t</w:t>
      </w:r>
      <w:r w:rsidR="00D4379C" w:rsidRPr="00C75B98">
        <w:t>he enactment of the Modern Slavery Act 2015 (MSA) and the introduction of the Human Trafficking and Exploitation (Scotland) Bill in December 2014</w:t>
      </w:r>
      <w:r w:rsidR="00D4379C" w:rsidRPr="00DF1E31">
        <w:rPr>
          <w:rStyle w:val="FootnoteReference"/>
        </w:rPr>
        <w:footnoteReference w:id="7"/>
      </w:r>
    </w:p>
    <w:p w:rsidR="00D4379C" w:rsidRDefault="005C5A35" w:rsidP="00AB40BC">
      <w:pPr>
        <w:pStyle w:val="Bullet-followedbyothers"/>
      </w:pPr>
      <w:r>
        <w:t>t</w:t>
      </w:r>
      <w:r w:rsidR="00D4379C">
        <w:t>he agreement of all 43 police forces to sign up to the voluntary 'Best use of Stop and Search Scheme'</w:t>
      </w:r>
    </w:p>
    <w:p w:rsidR="00406FED" w:rsidRPr="004E720F" w:rsidRDefault="005C5A35" w:rsidP="00AB40BC">
      <w:pPr>
        <w:pStyle w:val="Bullet-followedbyothers"/>
      </w:pPr>
      <w:r>
        <w:t>t</w:t>
      </w:r>
      <w:r w:rsidR="00D4379C" w:rsidRPr="006E3A94">
        <w:t>he continued decrease in the number of women, children and young people in criminal and youth justice settings in England and Wales</w:t>
      </w:r>
      <w:r>
        <w:t>,</w:t>
      </w:r>
      <w:r w:rsidR="00D4379C">
        <w:t xml:space="preserve"> and</w:t>
      </w:r>
      <w:r w:rsidR="007F5A79">
        <w:t xml:space="preserve"> </w:t>
      </w:r>
      <w:r>
        <w:t>p</w:t>
      </w:r>
      <w:r w:rsidR="001C26F9" w:rsidRPr="004E720F">
        <w:t xml:space="preserve">rioritising the protection and support of women and girls from violence such as by working with local authorities, the National Health Service and Police and Crime </w:t>
      </w:r>
      <w:r w:rsidR="001C26F9" w:rsidRPr="004E720F">
        <w:lastRenderedPageBreak/>
        <w:t>Commissioners to ensure a secure future for specialist FGM and forced marriage units, refuges and rape crisis centres.</w:t>
      </w:r>
      <w:r w:rsidR="00D4379C" w:rsidRPr="00DF1E31">
        <w:rPr>
          <w:rStyle w:val="FootnoteReference"/>
        </w:rPr>
        <w:footnoteReference w:id="8"/>
      </w:r>
    </w:p>
    <w:p w:rsidR="00D4379C" w:rsidRPr="00DF1E31" w:rsidRDefault="00A0401B" w:rsidP="00CB5F09">
      <w:pPr>
        <w:pStyle w:val="Parabeforeanother"/>
      </w:pPr>
      <w:r w:rsidRPr="00A0401B">
        <w:rPr>
          <w:b/>
        </w:rPr>
        <w:t xml:space="preserve">A.6 </w:t>
      </w:r>
      <w:r w:rsidR="00D4379C">
        <w:t xml:space="preserve">There are other commitments that have the potential to prompt regression in areas where the </w:t>
      </w:r>
      <w:r w:rsidR="0017664E">
        <w:t xml:space="preserve">EHRC </w:t>
      </w:r>
      <w:r w:rsidR="00D4379C">
        <w:t xml:space="preserve">considers the UK’s compliance with its international obligations needs to be improved, </w:t>
      </w:r>
      <w:r w:rsidR="00D4379C" w:rsidRPr="00DF1E31">
        <w:t>such as:</w:t>
      </w:r>
    </w:p>
    <w:p w:rsidR="00D4379C" w:rsidRDefault="005C5A35" w:rsidP="00AB40BC">
      <w:pPr>
        <w:pStyle w:val="Bullet-followedbyothers"/>
      </w:pPr>
      <w:r>
        <w:t>p</w:t>
      </w:r>
      <w:r w:rsidR="00D4379C" w:rsidRPr="00A20980">
        <w:t>roposals to build more prison places, rather than investing resources in reducing the size of the prison population, as it has done in relation to offenders who are women and young people</w:t>
      </w:r>
    </w:p>
    <w:p w:rsidR="009D0BA5" w:rsidRDefault="005C5A35" w:rsidP="00AB40BC">
      <w:pPr>
        <w:pStyle w:val="Bulletsgroupend"/>
      </w:pPr>
      <w:proofErr w:type="gramStart"/>
      <w:r>
        <w:t>p</w:t>
      </w:r>
      <w:r w:rsidR="00D4379C" w:rsidRPr="00A20980">
        <w:t>roposals</w:t>
      </w:r>
      <w:proofErr w:type="gramEnd"/>
      <w:r w:rsidR="00D4379C" w:rsidRPr="00A20980">
        <w:t xml:space="preserve"> to increase the surveillance powers of police and security services.</w:t>
      </w:r>
      <w:r w:rsidR="00D4379C">
        <w:rPr>
          <w:rStyle w:val="FootnoteReference"/>
        </w:rPr>
        <w:footnoteReference w:id="9"/>
      </w:r>
    </w:p>
    <w:p w:rsidR="009D0BA5" w:rsidRDefault="009D0BA5" w:rsidP="009D0BA5">
      <w:pPr>
        <w:rPr>
          <w:rFonts w:cs="Arial"/>
          <w:color w:val="000000"/>
          <w:sz w:val="24"/>
          <w:szCs w:val="24"/>
          <w:lang w:eastAsia="en-GB"/>
        </w:rPr>
      </w:pPr>
      <w:r>
        <w:br w:type="page"/>
      </w:r>
    </w:p>
    <w:p w:rsidR="00D4379C" w:rsidRDefault="00035238" w:rsidP="00190569">
      <w:pPr>
        <w:pStyle w:val="Heading-chapter"/>
      </w:pPr>
      <w:bookmarkStart w:id="7" w:name="_Toc420603263"/>
      <w:r>
        <w:lastRenderedPageBreak/>
        <w:t xml:space="preserve">B. </w:t>
      </w:r>
      <w:r w:rsidR="00D4379C">
        <w:t>Introduction</w:t>
      </w:r>
      <w:bookmarkEnd w:id="7"/>
    </w:p>
    <w:p w:rsidR="00D4379C" w:rsidRDefault="00A0401B" w:rsidP="00EE77CC">
      <w:pPr>
        <w:pStyle w:val="Parabeforeanother"/>
        <w:rPr>
          <w:lang w:eastAsia="en-GB"/>
        </w:rPr>
      </w:pPr>
      <w:r w:rsidRPr="00A0401B">
        <w:rPr>
          <w:b/>
          <w:lang w:eastAsia="en-GB"/>
        </w:rPr>
        <w:t xml:space="preserve">B.1 </w:t>
      </w:r>
      <w:r w:rsidR="00D4379C">
        <w:rPr>
          <w:lang w:eastAsia="en-GB"/>
        </w:rPr>
        <w:t>The Human Rights Act 1998 (HRA) gives effect to the majority of rights enshrined in the European Convention on Human Rights (ECHR) in UK domestic law. The scope of the ICCPR is similar to that of the ECHR in many respects. The HRC has therefore previously acknowledged that claims in relation to ICCPR rights that are covered by the ECHR, and that arose after the HRA came into force in October 2000, are enforceable in UK Courts.</w:t>
      </w:r>
      <w:r w:rsidR="00D4379C">
        <w:rPr>
          <w:rStyle w:val="FootnoteReference"/>
          <w:lang w:eastAsia="en-GB"/>
        </w:rPr>
        <w:footnoteReference w:id="10"/>
      </w:r>
      <w:r w:rsidR="00D4379C">
        <w:rPr>
          <w:lang w:eastAsia="en-GB"/>
        </w:rPr>
        <w:t xml:space="preserve"> The UK Government has not yet ratified the Option</w:t>
      </w:r>
      <w:r w:rsidR="005C5A35">
        <w:rPr>
          <w:lang w:eastAsia="en-GB"/>
        </w:rPr>
        <w:t>al</w:t>
      </w:r>
      <w:r w:rsidR="00D4379C">
        <w:rPr>
          <w:lang w:eastAsia="en-GB"/>
        </w:rPr>
        <w:t xml:space="preserve"> Protocol on ICCPR, so that people in Britain do not have a right to bring complaints before the HRC. The analysis in our submission therefore focuses on the UK’s compliance with the ECHR and other instruments enforceable in domestic courts; and highlights in our conclusions where potential non-compliance also relates to the UK’s obligations under ICCPR and other relevant UN treaties. </w:t>
      </w:r>
    </w:p>
    <w:p w:rsidR="009D0BA5" w:rsidRDefault="00A0401B" w:rsidP="00AB40BC">
      <w:pPr>
        <w:pStyle w:val="Parabeforenewsection"/>
      </w:pPr>
      <w:r w:rsidRPr="00A0401B">
        <w:rPr>
          <w:b/>
        </w:rPr>
        <w:t xml:space="preserve">B.2 </w:t>
      </w:r>
      <w:r w:rsidR="00D4379C">
        <w:t>The new government's intention to replace the Human Right</w:t>
      </w:r>
      <w:r w:rsidR="005C5A35">
        <w:t>s</w:t>
      </w:r>
      <w:r w:rsidR="00D4379C">
        <w:t xml:space="preserve"> Act with a British Bill of Rights is likely to present a number of challenges.</w:t>
      </w:r>
      <w:r w:rsidR="00D4379C">
        <w:rPr>
          <w:rStyle w:val="FootnoteReference"/>
        </w:rPr>
        <w:footnoteReference w:id="11"/>
      </w:r>
      <w:r w:rsidR="00D4379C">
        <w:t xml:space="preserve"> </w:t>
      </w:r>
      <w:r w:rsidR="00D4379C">
        <w:rPr>
          <w:rFonts w:cs="Arial"/>
          <w:lang w:eastAsia="en-GB"/>
        </w:rPr>
        <w:t xml:space="preserve">The EHRC’s clear position is that the Human Rights Act has provided essential protection to everyone in Britain, enabling fundamental rights to be enforced in our domestic courts. We recognise that there is debate and a level of public concern about the interpretation of human rights law. </w:t>
      </w:r>
      <w:r w:rsidR="00D4379C">
        <w:t xml:space="preserve">This emerges with particular force around issues such as the role of Article 8 of the ECHR (the right to respect for private and family life) in the deportation of foreign citizens convicted of crimes in this country. </w:t>
      </w:r>
      <w:r w:rsidR="00D4379C">
        <w:rPr>
          <w:rFonts w:cs="Arial"/>
          <w:lang w:eastAsia="en-GB"/>
        </w:rPr>
        <w:t xml:space="preserve">The EHRC’s position, set out in a letter to the UK Parliament’s Joint Committee on Human Rights, is that </w:t>
      </w:r>
      <w:r w:rsidR="005C5A35">
        <w:rPr>
          <w:rFonts w:cs="Arial"/>
          <w:lang w:eastAsia="en-GB"/>
        </w:rPr>
        <w:t>‘</w:t>
      </w:r>
      <w:r w:rsidR="00D4379C">
        <w:rPr>
          <w:rFonts w:cs="Arial"/>
          <w:lang w:eastAsia="en-GB"/>
        </w:rPr>
        <w:t>any changes to our current human rights framework must not reduce the protections contained in the Human Rights Act, nor weaken the mechanisms for securing redress for breaches of human rights</w:t>
      </w:r>
      <w:r w:rsidR="005C5A35">
        <w:rPr>
          <w:rFonts w:cs="Arial"/>
          <w:lang w:eastAsia="en-GB"/>
        </w:rPr>
        <w:t>’</w:t>
      </w:r>
      <w:r w:rsidR="00D4379C">
        <w:rPr>
          <w:rFonts w:cs="Arial"/>
          <w:lang w:eastAsia="en-GB"/>
        </w:rPr>
        <w:t xml:space="preserve">. </w:t>
      </w:r>
    </w:p>
    <w:p w:rsidR="009D0BA5" w:rsidRDefault="009D0BA5" w:rsidP="009D0BA5">
      <w:pPr>
        <w:rPr>
          <w:sz w:val="24"/>
          <w:szCs w:val="24"/>
        </w:rPr>
      </w:pPr>
      <w:r>
        <w:br w:type="page"/>
      </w:r>
    </w:p>
    <w:p w:rsidR="002D01E1" w:rsidRPr="005E7E37" w:rsidRDefault="00035238" w:rsidP="00190569">
      <w:pPr>
        <w:pStyle w:val="Heading-chapter"/>
      </w:pPr>
      <w:bookmarkStart w:id="8" w:name="_Toc420603264"/>
      <w:r>
        <w:lastRenderedPageBreak/>
        <w:t xml:space="preserve">C. </w:t>
      </w:r>
      <w:r w:rsidR="002C2771" w:rsidRPr="005E7E37">
        <w:t>Legal Security</w:t>
      </w:r>
      <w:bookmarkEnd w:id="8"/>
    </w:p>
    <w:p w:rsidR="00F849EC" w:rsidRPr="00A37C9A" w:rsidRDefault="00F849EC" w:rsidP="002B6091">
      <w:pPr>
        <w:pStyle w:val="Heading-sections"/>
        <w:numPr>
          <w:ilvl w:val="0"/>
          <w:numId w:val="7"/>
        </w:numPr>
        <w:rPr>
          <w:rFonts w:cs="Arial"/>
          <w:lang w:eastAsia="en-GB"/>
        </w:rPr>
      </w:pPr>
      <w:bookmarkStart w:id="9" w:name="_Toc420603265"/>
      <w:r w:rsidRPr="008B2CB8">
        <w:t xml:space="preserve">Judicial </w:t>
      </w:r>
      <w:r w:rsidR="005C5A35">
        <w:t>d</w:t>
      </w:r>
      <w:r w:rsidRPr="008B2CB8">
        <w:t xml:space="preserve">iversity (Articles </w:t>
      </w:r>
      <w:r>
        <w:t xml:space="preserve">2, </w:t>
      </w:r>
      <w:r w:rsidRPr="008B2CB8">
        <w:t>3</w:t>
      </w:r>
      <w:r>
        <w:t>, 25</w:t>
      </w:r>
      <w:r w:rsidRPr="008B2CB8">
        <w:t xml:space="preserve"> and 26)</w:t>
      </w:r>
      <w:r>
        <w:t>, List of Issues paragraph</w:t>
      </w:r>
      <w:r w:rsidR="005C5A35">
        <w:t>s</w:t>
      </w:r>
      <w:r>
        <w:t xml:space="preserve"> 6 and 9</w:t>
      </w:r>
      <w:bookmarkEnd w:id="9"/>
    </w:p>
    <w:p w:rsidR="00E15DF2" w:rsidRDefault="00190569" w:rsidP="00AB40BC">
      <w:pPr>
        <w:pStyle w:val="Parabeforeanother"/>
      </w:pPr>
      <w:r>
        <w:rPr>
          <w:b/>
          <w:lang w:eastAsia="en-GB"/>
        </w:rPr>
        <w:t xml:space="preserve">C.1.1 </w:t>
      </w:r>
      <w:r w:rsidR="00F849EC" w:rsidRPr="008B2CB8">
        <w:rPr>
          <w:lang w:eastAsia="en-GB"/>
        </w:rPr>
        <w:t>The EHRC believes there is a strong case for judicial diversity, based on equality of opportunity and the need for the judiciary to reflect the public it serves.</w:t>
      </w:r>
      <w:r w:rsidR="00F849EC">
        <w:rPr>
          <w:lang w:eastAsia="en-GB"/>
        </w:rPr>
        <w:t xml:space="preserve"> </w:t>
      </w:r>
      <w:r w:rsidR="00E15DF2">
        <w:t>Our</w:t>
      </w:r>
      <w:r w:rsidR="00F849EC">
        <w:t xml:space="preserve"> 2014 submission to the HRC, </w:t>
      </w:r>
      <w:r w:rsidR="00E15DF2">
        <w:t xml:space="preserve">noted that </w:t>
      </w:r>
      <w:r w:rsidR="00F849EC">
        <w:t>the UK rates very poorly on judicial diversity when compared with the rest of the world.</w:t>
      </w:r>
      <w:r w:rsidR="00F849EC">
        <w:rPr>
          <w:rStyle w:val="FootnoteReference"/>
        </w:rPr>
        <w:footnoteReference w:id="12"/>
      </w:r>
      <w:r w:rsidR="00F849EC">
        <w:t xml:space="preserve"> </w:t>
      </w:r>
      <w:r w:rsidR="00E15DF2">
        <w:t xml:space="preserve">We recommended the more rapid implementation of the recommendations of the </w:t>
      </w:r>
      <w:r w:rsidR="00E15DF2" w:rsidRPr="00E15DF2">
        <w:t>Advisory Panel on Judicial Diversity</w:t>
      </w:r>
      <w:r w:rsidR="001A39A4">
        <w:t>.</w:t>
      </w:r>
      <w:r w:rsidR="00E15DF2">
        <w:rPr>
          <w:rStyle w:val="FootnoteReference"/>
        </w:rPr>
        <w:footnoteReference w:id="13"/>
      </w:r>
      <w:r w:rsidR="00E15DF2" w:rsidRPr="00E15DF2">
        <w:t xml:space="preserve"> </w:t>
      </w:r>
      <w:r w:rsidR="001A39A4">
        <w:t xml:space="preserve">The Judicial Diversity Taskforce was established to implement these recommendations and produce annual progress reports. The </w:t>
      </w:r>
      <w:r w:rsidR="004618DD">
        <w:t>Taskforce’s</w:t>
      </w:r>
      <w:r w:rsidR="001A39A4">
        <w:t xml:space="preserve"> 2013 report noted that that only 18 of the Panel’s 53 recommendations had been fully implemented.</w:t>
      </w:r>
      <w:r w:rsidR="001A39A4">
        <w:rPr>
          <w:rStyle w:val="FootnoteReference"/>
        </w:rPr>
        <w:footnoteReference w:id="14"/>
      </w:r>
      <w:r w:rsidR="001A39A4">
        <w:t xml:space="preserve"> The </w:t>
      </w:r>
      <w:r w:rsidR="004618DD">
        <w:t>Taskforce</w:t>
      </w:r>
      <w:r w:rsidR="001A39A4">
        <w:t xml:space="preserve"> has not yet published its progress reports for 2014 or 2015, so evidence of further progress is not readily available. </w:t>
      </w:r>
    </w:p>
    <w:p w:rsidR="00F849EC" w:rsidRDefault="00A0401B" w:rsidP="00AB40BC">
      <w:pPr>
        <w:pStyle w:val="Parabeforebulletss"/>
      </w:pPr>
      <w:r w:rsidRPr="00A0401B">
        <w:rPr>
          <w:b/>
        </w:rPr>
        <w:t>C.</w:t>
      </w:r>
      <w:r w:rsidR="00190569">
        <w:rPr>
          <w:b/>
        </w:rPr>
        <w:t>1.</w:t>
      </w:r>
      <w:r w:rsidRPr="00A0401B">
        <w:rPr>
          <w:b/>
        </w:rPr>
        <w:t xml:space="preserve">2 </w:t>
      </w:r>
      <w:r w:rsidR="00F849EC">
        <w:t xml:space="preserve">The latest </w:t>
      </w:r>
      <w:r w:rsidR="00E860BC">
        <w:t xml:space="preserve">data for </w:t>
      </w:r>
      <w:r w:rsidR="00B83CD8">
        <w:t xml:space="preserve">2014 </w:t>
      </w:r>
      <w:r w:rsidR="00F849EC">
        <w:t>show:</w:t>
      </w:r>
    </w:p>
    <w:p w:rsidR="00F849EC" w:rsidRDefault="00F849EC" w:rsidP="00AB40BC">
      <w:pPr>
        <w:pStyle w:val="Bulletsbase"/>
      </w:pPr>
      <w:r w:rsidRPr="00864BA9">
        <w:t>Women hold 2</w:t>
      </w:r>
      <w:r w:rsidR="00B83CD8">
        <w:t>4.5</w:t>
      </w:r>
      <w:r w:rsidRPr="00864BA9">
        <w:t xml:space="preserve"> per cent of </w:t>
      </w:r>
      <w:r>
        <w:t xml:space="preserve">all </w:t>
      </w:r>
      <w:r w:rsidRPr="00864BA9">
        <w:t xml:space="preserve">judicial posts </w:t>
      </w:r>
      <w:r>
        <w:t xml:space="preserve">in England and Wales </w:t>
      </w:r>
      <w:r w:rsidRPr="00864BA9">
        <w:t>and they are better represented at the lower echelons of the judiciary.</w:t>
      </w:r>
      <w:r w:rsidR="00E860BC">
        <w:rPr>
          <w:rStyle w:val="FootnoteReference"/>
        </w:rPr>
        <w:footnoteReference w:id="15"/>
      </w:r>
      <w:r w:rsidRPr="00864BA9">
        <w:t xml:space="preserve"> In July 2014, just 28 women were represented amongst the 161 posts in the senior judiciary (Supreme Court, Court of Appeal and the High Court)</w:t>
      </w:r>
      <w:r w:rsidR="00E860BC">
        <w:t>.</w:t>
      </w:r>
      <w:r w:rsidR="00A421D9">
        <w:rPr>
          <w:rStyle w:val="FootnoteReference"/>
        </w:rPr>
        <w:footnoteReference w:id="16"/>
      </w:r>
      <w:r w:rsidRPr="00864BA9">
        <w:t xml:space="preserve"> </w:t>
      </w:r>
    </w:p>
    <w:p w:rsidR="00F849EC" w:rsidRDefault="00F849EC" w:rsidP="00AB40BC">
      <w:pPr>
        <w:pStyle w:val="Bulletsbase"/>
      </w:pPr>
      <w:r>
        <w:lastRenderedPageBreak/>
        <w:t>Just 5.8 per cent of the English and Welsh j</w:t>
      </w:r>
      <w:r w:rsidRPr="00864BA9">
        <w:t>udiciary is from an ethnic minority background.</w:t>
      </w:r>
      <w:r w:rsidR="00E860BC">
        <w:rPr>
          <w:rStyle w:val="FootnoteReference"/>
        </w:rPr>
        <w:footnoteReference w:id="17"/>
      </w:r>
      <w:r w:rsidRPr="00864BA9">
        <w:t xml:space="preserve"> </w:t>
      </w:r>
      <w:r w:rsidR="00E860BC">
        <w:t>T</w:t>
      </w:r>
      <w:r w:rsidR="00A421D9">
        <w:t>his is a 1 per cent increase on the previous year.</w:t>
      </w:r>
      <w:r w:rsidR="00A421D9">
        <w:rPr>
          <w:rStyle w:val="FootnoteReference"/>
        </w:rPr>
        <w:footnoteReference w:id="18"/>
      </w:r>
      <w:r w:rsidR="00A421D9">
        <w:t xml:space="preserve"> </w:t>
      </w:r>
      <w:r w:rsidR="00F666D3" w:rsidRPr="00864BA9">
        <w:t xml:space="preserve">No </w:t>
      </w:r>
      <w:r w:rsidR="00F666D3">
        <w:t xml:space="preserve">ethnic minorities have ever been identified as a </w:t>
      </w:r>
      <w:r w:rsidR="00F666D3" w:rsidRPr="00864BA9">
        <w:t xml:space="preserve">member of the Supreme Court, Court of Appeal, or Head of </w:t>
      </w:r>
      <w:r w:rsidR="00F666D3">
        <w:t xml:space="preserve">any </w:t>
      </w:r>
      <w:r w:rsidR="00F666D3" w:rsidRPr="00864BA9">
        <w:t>Division</w:t>
      </w:r>
      <w:r w:rsidR="00F666D3">
        <w:t>.</w:t>
      </w:r>
    </w:p>
    <w:p w:rsidR="00F849EC" w:rsidRPr="00864BA9" w:rsidRDefault="00F849EC" w:rsidP="00AB40BC">
      <w:pPr>
        <w:pStyle w:val="Bullet-lastingroup"/>
      </w:pPr>
      <w:r>
        <w:t>42.3 per cent of the courts-</w:t>
      </w:r>
      <w:r w:rsidRPr="00864BA9">
        <w:t>based judiciary are older than 60.</w:t>
      </w:r>
      <w:r w:rsidR="00E860BC">
        <w:rPr>
          <w:rStyle w:val="FootnoteReference"/>
        </w:rPr>
        <w:footnoteReference w:id="19"/>
      </w:r>
      <w:r w:rsidR="008C67B4">
        <w:t xml:space="preserve"> </w:t>
      </w:r>
      <w:r w:rsidRPr="00864BA9">
        <w:t>Data are not collected on disability, sexual orientation</w:t>
      </w:r>
      <w:r w:rsidR="00A01AC4">
        <w:t>,</w:t>
      </w:r>
      <w:r w:rsidRPr="00864BA9">
        <w:t xml:space="preserve"> religion or belief</w:t>
      </w:r>
      <w:r w:rsidR="00A01AC4">
        <w:t xml:space="preserve"> or socio-economic background</w:t>
      </w:r>
      <w:r w:rsidRPr="00864BA9">
        <w:t>.</w:t>
      </w:r>
      <w:r w:rsidR="005E3514" w:rsidRPr="005E3514">
        <w:rPr>
          <w:rStyle w:val="FootnoteReference"/>
        </w:rPr>
        <w:t xml:space="preserve"> </w:t>
      </w:r>
    </w:p>
    <w:p w:rsidR="00F849EC" w:rsidRPr="005B0317" w:rsidRDefault="00A0401B" w:rsidP="00AB40BC">
      <w:pPr>
        <w:pStyle w:val="Parabeforeanother"/>
      </w:pPr>
      <w:r w:rsidRPr="00190569">
        <w:rPr>
          <w:b/>
        </w:rPr>
        <w:t>C.</w:t>
      </w:r>
      <w:r w:rsidR="00190569">
        <w:rPr>
          <w:b/>
        </w:rPr>
        <w:t>1.</w:t>
      </w:r>
      <w:r w:rsidRPr="00190569">
        <w:rPr>
          <w:b/>
        </w:rPr>
        <w:t xml:space="preserve">3 </w:t>
      </w:r>
      <w:r w:rsidR="00F849EC" w:rsidRPr="00C13BF3">
        <w:t>The</w:t>
      </w:r>
      <w:r w:rsidR="00F849EC">
        <w:t xml:space="preserve"> Judicial Appointment</w:t>
      </w:r>
      <w:r w:rsidR="00A100BE">
        <w:t>s</w:t>
      </w:r>
      <w:r w:rsidR="00F849EC">
        <w:t xml:space="preserve"> Commission</w:t>
      </w:r>
      <w:r w:rsidR="005E3514">
        <w:t xml:space="preserve"> (JAC)</w:t>
      </w:r>
      <w:r w:rsidR="00F849EC" w:rsidRPr="00C13BF3">
        <w:t xml:space="preserve"> </w:t>
      </w:r>
      <w:r w:rsidR="00F849EC">
        <w:t>was set up</w:t>
      </w:r>
      <w:r w:rsidR="00A100BE">
        <w:t xml:space="preserve"> in 2006</w:t>
      </w:r>
      <w:r w:rsidR="00F849EC">
        <w:t xml:space="preserve"> </w:t>
      </w:r>
      <w:r w:rsidR="00F849EC" w:rsidRPr="00C13BF3">
        <w:t xml:space="preserve">to recommend candidates for judicial appointments independently of the executive. </w:t>
      </w:r>
      <w:r w:rsidR="00F849EC">
        <w:t xml:space="preserve">It has statutory </w:t>
      </w:r>
      <w:r w:rsidR="00F849EC" w:rsidRPr="00C13BF3">
        <w:t>responsibil</w:t>
      </w:r>
      <w:r w:rsidR="00F849EC">
        <w:t xml:space="preserve">ities to select candidates on merit and encourage diversity </w:t>
      </w:r>
      <w:r w:rsidR="00F849EC" w:rsidRPr="00C13BF3">
        <w:t xml:space="preserve">in the range of </w:t>
      </w:r>
      <w:r w:rsidR="00F666D3">
        <w:t>candidates</w:t>
      </w:r>
      <w:r w:rsidR="00F849EC" w:rsidRPr="00C13BF3">
        <w:t xml:space="preserve"> available for judicial selection.</w:t>
      </w:r>
      <w:r w:rsidR="00F849EC" w:rsidRPr="00672C82">
        <w:t xml:space="preserve"> </w:t>
      </w:r>
      <w:r w:rsidR="00F849EC">
        <w:t xml:space="preserve">From July 2014, </w:t>
      </w:r>
      <w:r w:rsidR="005E3514">
        <w:t xml:space="preserve">the JAC has </w:t>
      </w:r>
      <w:r w:rsidR="00F849EC">
        <w:t xml:space="preserve">implemented </w:t>
      </w:r>
      <w:r w:rsidR="00A100BE">
        <w:t xml:space="preserve">an </w:t>
      </w:r>
      <w:r w:rsidR="00F849EC" w:rsidRPr="00C13BF3">
        <w:t>equal merit provision policy</w:t>
      </w:r>
      <w:r w:rsidR="005E3514">
        <w:t>,</w:t>
      </w:r>
      <w:r w:rsidR="00F849EC" w:rsidRPr="00C13BF3">
        <w:t xml:space="preserve"> </w:t>
      </w:r>
      <w:r w:rsidR="00F849EC">
        <w:t>which allows the selection</w:t>
      </w:r>
      <w:r w:rsidR="00A46AB4">
        <w:t xml:space="preserve"> of a candidate from</w:t>
      </w:r>
      <w:r w:rsidR="00F849EC">
        <w:t xml:space="preserve"> under-represented group</w:t>
      </w:r>
      <w:r w:rsidR="00F666D3">
        <w:t>s</w:t>
      </w:r>
      <w:r w:rsidR="00F849EC">
        <w:t xml:space="preserve"> in a tie-break situation.</w:t>
      </w:r>
      <w:r w:rsidR="00A100BE">
        <w:rPr>
          <w:rStyle w:val="FootnoteReference"/>
        </w:rPr>
        <w:footnoteReference w:id="20"/>
      </w:r>
      <w:r w:rsidR="00F849EC">
        <w:t xml:space="preserve"> </w:t>
      </w:r>
      <w:r w:rsidR="00F849EC" w:rsidRPr="00C13BF3">
        <w:t>No appointments round has since been completed so the JAC has yet to evaluate the</w:t>
      </w:r>
      <w:r w:rsidR="00A100BE">
        <w:t xml:space="preserve"> policy’s</w:t>
      </w:r>
      <w:r w:rsidR="00F849EC" w:rsidRPr="00C13BF3">
        <w:t xml:space="preserve"> impact.</w:t>
      </w:r>
      <w:r w:rsidR="00F849EC">
        <w:rPr>
          <w:rStyle w:val="FootnoteReference"/>
        </w:rPr>
        <w:footnoteReference w:id="21"/>
      </w:r>
    </w:p>
    <w:p w:rsidR="00F849EC" w:rsidRDefault="00A0401B" w:rsidP="00AB40BC">
      <w:pPr>
        <w:pStyle w:val="Parabeforeanother"/>
      </w:pPr>
      <w:r w:rsidRPr="00190569">
        <w:rPr>
          <w:b/>
        </w:rPr>
        <w:t>C.</w:t>
      </w:r>
      <w:r w:rsidR="00190569">
        <w:rPr>
          <w:b/>
        </w:rPr>
        <w:t>1.</w:t>
      </w:r>
      <w:r w:rsidRPr="00190569">
        <w:rPr>
          <w:b/>
        </w:rPr>
        <w:t xml:space="preserve">4 </w:t>
      </w:r>
      <w:r w:rsidR="00F849EC">
        <w:t xml:space="preserve">In November 2014, Sir Geoffrey </w:t>
      </w:r>
      <w:proofErr w:type="spellStart"/>
      <w:r w:rsidR="00F849EC">
        <w:t>Bindman</w:t>
      </w:r>
      <w:proofErr w:type="spellEnd"/>
      <w:r w:rsidR="00F849EC">
        <w:t xml:space="preserve"> QC and </w:t>
      </w:r>
      <w:proofErr w:type="spellStart"/>
      <w:r w:rsidR="00F849EC">
        <w:t>Karon</w:t>
      </w:r>
      <w:proofErr w:type="spellEnd"/>
      <w:r w:rsidR="00F849EC">
        <w:t xml:space="preserve"> Monaghan QC published </w:t>
      </w:r>
      <w:r w:rsidR="00A100BE">
        <w:t>evidence that challenged the assumption that a more diverse, younger generation of lawyers in England and Wales would give rise to a more diverse judiciary</w:t>
      </w:r>
      <w:r w:rsidR="00F849EC">
        <w:t>.</w:t>
      </w:r>
      <w:r w:rsidR="00F849EC">
        <w:rPr>
          <w:rStyle w:val="FootnoteReference"/>
        </w:rPr>
        <w:footnoteReference w:id="22"/>
      </w:r>
      <w:r w:rsidR="00495703">
        <w:t xml:space="preserve"> </w:t>
      </w:r>
    </w:p>
    <w:p w:rsidR="00F849EC" w:rsidRDefault="00A0401B" w:rsidP="00AB40BC">
      <w:pPr>
        <w:pStyle w:val="Parabeforebulletss"/>
      </w:pPr>
      <w:r w:rsidRPr="00190569">
        <w:rPr>
          <w:b/>
        </w:rPr>
        <w:t>C.</w:t>
      </w:r>
      <w:r w:rsidR="00190569">
        <w:rPr>
          <w:b/>
        </w:rPr>
        <w:t>1.</w:t>
      </w:r>
      <w:r w:rsidRPr="00190569">
        <w:rPr>
          <w:b/>
        </w:rPr>
        <w:t xml:space="preserve">5 </w:t>
      </w:r>
      <w:r w:rsidR="00495703">
        <w:t>The</w:t>
      </w:r>
      <w:r w:rsidR="00F849EC">
        <w:t xml:space="preserve"> </w:t>
      </w:r>
      <w:r w:rsidR="00495703">
        <w:t>report identifies</w:t>
      </w:r>
      <w:r w:rsidR="00F849EC">
        <w:t xml:space="preserve"> some key barriers to </w:t>
      </w:r>
      <w:r w:rsidR="00A100BE">
        <w:t xml:space="preserve">ensuring judges better reflect the diversity of our society, </w:t>
      </w:r>
      <w:r w:rsidR="00F849EC">
        <w:t>including:</w:t>
      </w:r>
    </w:p>
    <w:p w:rsidR="00F849EC" w:rsidRDefault="00F849EC" w:rsidP="00AB40BC">
      <w:pPr>
        <w:pStyle w:val="Bullet-followedbyothers"/>
      </w:pPr>
      <w:r>
        <w:t>the lack of flexibility in relation to part-time appointments</w:t>
      </w:r>
    </w:p>
    <w:p w:rsidR="00F849EC" w:rsidRDefault="00F849EC" w:rsidP="00AB40BC">
      <w:pPr>
        <w:pStyle w:val="Bullet-followedbyothers"/>
      </w:pPr>
      <w:r>
        <w:t>the obligation to go on circuit</w:t>
      </w:r>
      <w:r w:rsidR="002C15F1">
        <w:t>, requiring</w:t>
      </w:r>
      <w:r w:rsidR="002C15F1" w:rsidRPr="002C15F1">
        <w:t xml:space="preserve"> High Court judges who are generally based in London</w:t>
      </w:r>
      <w:r w:rsidR="002C15F1">
        <w:t>,</w:t>
      </w:r>
      <w:r w:rsidR="002C15F1" w:rsidRPr="002C15F1">
        <w:t xml:space="preserve"> to sit in regional courts outside of London, u</w:t>
      </w:r>
      <w:r w:rsidR="002C15F1">
        <w:t>sually for many weeks at a time</w:t>
      </w:r>
    </w:p>
    <w:p w:rsidR="00F849EC" w:rsidRDefault="00F849EC" w:rsidP="00AB40BC">
      <w:pPr>
        <w:pStyle w:val="Bullet-followedbyothers"/>
      </w:pPr>
      <w:r>
        <w:t>the obstacles to returning to practice for those who leave the judiciary</w:t>
      </w:r>
      <w:r w:rsidR="005C5A35">
        <w:t>,</w:t>
      </w:r>
      <w:r w:rsidR="002C15F1">
        <w:t xml:space="preserve"> and</w:t>
      </w:r>
    </w:p>
    <w:p w:rsidR="00F849EC" w:rsidRDefault="00F849EC" w:rsidP="00AB40BC">
      <w:pPr>
        <w:pStyle w:val="Bullet-lastingroup"/>
      </w:pPr>
      <w:proofErr w:type="gramStart"/>
      <w:r>
        <w:lastRenderedPageBreak/>
        <w:t>stereotypes</w:t>
      </w:r>
      <w:proofErr w:type="gramEnd"/>
      <w:r>
        <w:t xml:space="preserve"> that judges are older, white, Oxbridge </w:t>
      </w:r>
      <w:r w:rsidR="002C15F1">
        <w:t xml:space="preserve">and privately </w:t>
      </w:r>
      <w:r>
        <w:t>educated men</w:t>
      </w:r>
      <w:r w:rsidR="002C15F1">
        <w:t xml:space="preserve"> which discourage candidates from considering </w:t>
      </w:r>
      <w:r w:rsidR="004A145F">
        <w:t>applying</w:t>
      </w:r>
      <w:r>
        <w:t>.</w:t>
      </w:r>
      <w:r>
        <w:rPr>
          <w:rStyle w:val="FootnoteReference"/>
        </w:rPr>
        <w:footnoteReference w:id="23"/>
      </w:r>
    </w:p>
    <w:p w:rsidR="0065074F" w:rsidRPr="00E860BC" w:rsidRDefault="00A0401B" w:rsidP="00AB40BC">
      <w:pPr>
        <w:pStyle w:val="Parabeforeanother"/>
      </w:pPr>
      <w:r w:rsidRPr="00190569">
        <w:rPr>
          <w:b/>
        </w:rPr>
        <w:t>C.</w:t>
      </w:r>
      <w:r w:rsidR="00190569">
        <w:rPr>
          <w:b/>
        </w:rPr>
        <w:t>1.</w:t>
      </w:r>
      <w:r w:rsidRPr="00190569">
        <w:rPr>
          <w:b/>
        </w:rPr>
        <w:t xml:space="preserve">6 </w:t>
      </w:r>
      <w:r w:rsidR="00A01AC4">
        <w:t>The report</w:t>
      </w:r>
      <w:r w:rsidR="0065074F">
        <w:t xml:space="preserve"> makes a number of recommendations</w:t>
      </w:r>
      <w:r w:rsidR="00AC05D8">
        <w:t xml:space="preserve"> to widen the selection and eligibility pool for judicial appointments and to improve data collection</w:t>
      </w:r>
      <w:r w:rsidR="0065074F">
        <w:t>, many of which the JAC supported in its formal response</w:t>
      </w:r>
      <w:r w:rsidR="004A145F">
        <w:t>,</w:t>
      </w:r>
      <w:r w:rsidR="0065074F">
        <w:rPr>
          <w:rStyle w:val="FootnoteReference"/>
        </w:rPr>
        <w:footnoteReference w:id="24"/>
      </w:r>
      <w:r w:rsidR="0065074F">
        <w:t xml:space="preserve"> and are consistent with the EHRC’s analysis, for example</w:t>
      </w:r>
      <w:r w:rsidR="00A01AC4">
        <w:t>,</w:t>
      </w:r>
      <w:r w:rsidR="0065074F">
        <w:t xml:space="preserve"> that all </w:t>
      </w:r>
      <w:r w:rsidR="0065074F" w:rsidRPr="00A968BA">
        <w:t>posts</w:t>
      </w:r>
      <w:r w:rsidR="00AC05D8">
        <w:t xml:space="preserve"> (not just those for the High Court and above)</w:t>
      </w:r>
      <w:r w:rsidR="0065074F" w:rsidRPr="00A968BA">
        <w:t xml:space="preserve"> should be available for part-time work and</w:t>
      </w:r>
      <w:r w:rsidR="0065074F">
        <w:t>/</w:t>
      </w:r>
      <w:r w:rsidR="0065074F" w:rsidRPr="00A968BA">
        <w:t>or job share unless the Lord Chancellor can justify the need for a full</w:t>
      </w:r>
      <w:r w:rsidR="004A145F">
        <w:t>-</w:t>
      </w:r>
      <w:r w:rsidR="0065074F" w:rsidRPr="00A968BA">
        <w:t>time appointment.</w:t>
      </w:r>
      <w:r w:rsidR="0065074F">
        <w:t xml:space="preserve"> However, neither the JAC nor the EHRC support a recommendation to introduce quotas. The JAC noted that this proposal would require a change to the statutory duty to select solely on merit</w:t>
      </w:r>
      <w:r w:rsidR="004618DD">
        <w:t>.</w:t>
      </w:r>
      <w:r w:rsidR="0065074F">
        <w:rPr>
          <w:rStyle w:val="FootnoteReference"/>
        </w:rPr>
        <w:footnoteReference w:id="25"/>
      </w:r>
      <w:r w:rsidR="008C67B4">
        <w:t xml:space="preserve"> </w:t>
      </w:r>
      <w:r w:rsidR="004618DD">
        <w:t>T</w:t>
      </w:r>
      <w:r w:rsidR="0065074F">
        <w:t>he EHRC considers that quotas could be a breach of equality legislation on the objective appointment of candidates</w:t>
      </w:r>
      <w:r w:rsidR="004618DD">
        <w:t xml:space="preserve">; we continue to support the House of Lords Select </w:t>
      </w:r>
      <w:r w:rsidR="004618DD" w:rsidRPr="00E860BC">
        <w:t>Committee on the Constitution’s recommendation that non-mandatory targets should be considered if there is no significant increase in the numbers of women and ethnic minorities in judicial appointments by 2017</w:t>
      </w:r>
      <w:r w:rsidR="0065074F" w:rsidRPr="00E860BC">
        <w:t>.</w:t>
      </w:r>
      <w:r w:rsidR="004618DD" w:rsidRPr="00E860BC">
        <w:rPr>
          <w:rStyle w:val="FootnoteReference"/>
        </w:rPr>
        <w:footnoteReference w:id="26"/>
      </w:r>
      <w:r w:rsidR="008C67B4">
        <w:t xml:space="preserve">  </w:t>
      </w:r>
    </w:p>
    <w:p w:rsidR="00040EB4" w:rsidRPr="00E860BC" w:rsidRDefault="00A0401B" w:rsidP="00AB40BC">
      <w:pPr>
        <w:pStyle w:val="Parabeforeanother"/>
        <w:rPr>
          <w:lang w:val="en-US" w:eastAsia="en-GB"/>
        </w:rPr>
      </w:pPr>
      <w:r w:rsidRPr="00190569">
        <w:rPr>
          <w:b/>
          <w:lang w:val="en-US" w:eastAsia="en-GB"/>
        </w:rPr>
        <w:t>C.</w:t>
      </w:r>
      <w:r w:rsidR="00190569">
        <w:rPr>
          <w:b/>
          <w:lang w:val="en-US" w:eastAsia="en-GB"/>
        </w:rPr>
        <w:t>1.</w:t>
      </w:r>
      <w:r w:rsidRPr="00190569">
        <w:rPr>
          <w:b/>
          <w:lang w:val="en-US" w:eastAsia="en-GB"/>
        </w:rPr>
        <w:t xml:space="preserve">7 </w:t>
      </w:r>
      <w:r w:rsidR="00040EB4" w:rsidRPr="00E860BC">
        <w:rPr>
          <w:lang w:val="en-US" w:eastAsia="en-GB"/>
        </w:rPr>
        <w:t>In July 2015, the JAC will run its first selection exercise to appoint up to 14 people as Deputy High Court Judges using provisions of section 9(4) of the Senior Courts Act 1981.</w:t>
      </w:r>
      <w:r w:rsidR="00040EB4" w:rsidRPr="00E860BC">
        <w:rPr>
          <w:rStyle w:val="FootnoteReference"/>
          <w:rFonts w:eastAsia="Times New Roman"/>
          <w:lang w:val="en-US" w:eastAsia="en-GB"/>
        </w:rPr>
        <w:footnoteReference w:id="27"/>
      </w:r>
      <w:r w:rsidR="00040EB4" w:rsidRPr="00E860BC">
        <w:rPr>
          <w:lang w:val="en-US" w:eastAsia="en-GB"/>
        </w:rPr>
        <w:t xml:space="preserve"> As the statutory provisions require no previous judicial experience, the JAC selection exercise will provide a route to the High Court for those for whom the traditional route has been a disincentive. Deputy High Court Judges have the same responsibilities as high court judges but are paid fees rather than salaries. They would be expected to apply subsequently to become full-time High Court Judges.</w:t>
      </w:r>
      <w:r w:rsidR="008C67B4">
        <w:rPr>
          <w:lang w:val="en-US" w:eastAsia="en-GB"/>
        </w:rPr>
        <w:t xml:space="preserve"> </w:t>
      </w:r>
    </w:p>
    <w:p w:rsidR="00F849EC" w:rsidRPr="00E860BC" w:rsidRDefault="00A0401B" w:rsidP="003F1F9D">
      <w:pPr>
        <w:pStyle w:val="Parabeforenewsubsection"/>
        <w:rPr>
          <w:b/>
        </w:rPr>
      </w:pPr>
      <w:r w:rsidRPr="00190569">
        <w:rPr>
          <w:b/>
          <w:lang w:val="en-US" w:eastAsia="en-GB"/>
        </w:rPr>
        <w:t>C.</w:t>
      </w:r>
      <w:r w:rsidR="00190569">
        <w:rPr>
          <w:b/>
          <w:lang w:val="en-US" w:eastAsia="en-GB"/>
        </w:rPr>
        <w:t>1.</w:t>
      </w:r>
      <w:r w:rsidRPr="00190569">
        <w:rPr>
          <w:b/>
          <w:lang w:val="en-US" w:eastAsia="en-GB"/>
        </w:rPr>
        <w:t xml:space="preserve">8 </w:t>
      </w:r>
      <w:r w:rsidR="00040EB4" w:rsidRPr="00E860BC">
        <w:rPr>
          <w:lang w:val="en-US" w:eastAsia="en-GB"/>
        </w:rPr>
        <w:t>To prepare candidates to apply for this selection exercise, in April 2015, the JAC launched its first affirmative action drive to offer support and mentoring for those from ‘non-traditional’ backgrounds, including women, ethnic minority backgrounds and state educated candidates.</w:t>
      </w:r>
      <w:r w:rsidR="00B92A19" w:rsidRPr="00E860BC">
        <w:rPr>
          <w:rStyle w:val="FootnoteReference"/>
          <w:rFonts w:eastAsia="Times New Roman"/>
          <w:iCs/>
          <w:lang w:val="en-US" w:eastAsia="en-GB"/>
        </w:rPr>
        <w:footnoteReference w:id="28"/>
      </w:r>
      <w:r w:rsidR="00040EB4" w:rsidRPr="00E860BC">
        <w:rPr>
          <w:lang w:val="en-US" w:eastAsia="en-GB"/>
        </w:rPr>
        <w:t xml:space="preserve"> The EHRC welcomes both these initiatives and is interested in </w:t>
      </w:r>
      <w:r w:rsidR="00B92A19" w:rsidRPr="00E860BC">
        <w:rPr>
          <w:lang w:val="en-US" w:eastAsia="en-GB"/>
        </w:rPr>
        <w:t>the extent to which these schemes will lead to a more representative judiciary.</w:t>
      </w:r>
    </w:p>
    <w:p w:rsidR="00E6373A" w:rsidRDefault="00E6373A" w:rsidP="00E6373A">
      <w:pPr>
        <w:pStyle w:val="Heading-subsections"/>
      </w:pPr>
      <w:r>
        <w:lastRenderedPageBreak/>
        <w:t>Conclusion:</w:t>
      </w:r>
    </w:p>
    <w:p w:rsidR="00F849EC" w:rsidRPr="00F3637D" w:rsidRDefault="00A0401B" w:rsidP="00C72A0F">
      <w:pPr>
        <w:pStyle w:val="Parabold"/>
      </w:pPr>
      <w:r>
        <w:t>C.</w:t>
      </w:r>
      <w:r w:rsidR="00190569">
        <w:t>1.</w:t>
      </w:r>
      <w:r>
        <w:t xml:space="preserve">9 </w:t>
      </w:r>
      <w:r w:rsidR="00B06917">
        <w:t xml:space="preserve">The UK Government has taken a number of positive steps in relation to improving the diversity of the judiciary in England and Wales, such as establishing a Judicial Diversity Taskforce. However, progress in increasing </w:t>
      </w:r>
      <w:r w:rsidR="008B0A14">
        <w:t xml:space="preserve">the representation of </w:t>
      </w:r>
      <w:r w:rsidR="00B06917">
        <w:t xml:space="preserve">women, </w:t>
      </w:r>
      <w:r w:rsidR="008B0A14">
        <w:t>ethnic minorities</w:t>
      </w:r>
      <w:r w:rsidR="00B06917">
        <w:t xml:space="preserve"> and people from poor socio-economic backgrounds remains slow and is out of step with progress across the globe.</w:t>
      </w:r>
      <w:r w:rsidR="008B0A14">
        <w:t xml:space="preserve"> For progress to accelerate</w:t>
      </w:r>
      <w:r w:rsidR="00B06917">
        <w:t xml:space="preserve"> and </w:t>
      </w:r>
      <w:r w:rsidR="008B0A14">
        <w:t xml:space="preserve">the UK Government </w:t>
      </w:r>
      <w:r w:rsidR="00B06917">
        <w:t xml:space="preserve">to improve compliance with Article 2 of ICCPR in relation to the judiciary, it </w:t>
      </w:r>
      <w:r w:rsidR="008B0A14">
        <w:t xml:space="preserve">must rapidly implement </w:t>
      </w:r>
      <w:r w:rsidR="008B0A14" w:rsidRPr="008B0A14">
        <w:t xml:space="preserve">the </w:t>
      </w:r>
      <w:r w:rsidR="00B06917">
        <w:t xml:space="preserve">recommendations of </w:t>
      </w:r>
      <w:r w:rsidR="008B0A14" w:rsidRPr="008B0A14">
        <w:t>Advisory Panel on Judicial Diversity and the House of Lords Committee on the Constitution</w:t>
      </w:r>
      <w:r w:rsidR="008B0A14">
        <w:t>. I</w:t>
      </w:r>
      <w:r w:rsidR="008B0A14" w:rsidRPr="008B0A14">
        <w:t>f there is no significant increase in the numbers of women and ethnic minorities in judicial appointments by 2017</w:t>
      </w:r>
      <w:r w:rsidR="008B0A14">
        <w:t xml:space="preserve">, the UK Government should consider the introduction of non-mandatory targets. </w:t>
      </w:r>
    </w:p>
    <w:p w:rsidR="00F849EC" w:rsidRDefault="00F849EC" w:rsidP="00C72A0F">
      <w:pPr>
        <w:pStyle w:val="Parabold"/>
      </w:pPr>
      <w:r w:rsidRPr="008B2CB8">
        <w:t xml:space="preserve">Question A: Could the UK Government </w:t>
      </w:r>
      <w:r w:rsidR="004618DD">
        <w:t xml:space="preserve">confirm when the </w:t>
      </w:r>
      <w:r w:rsidR="004618DD" w:rsidRPr="00AD626F">
        <w:t>Judicial Diversity Taskforce</w:t>
      </w:r>
      <w:r w:rsidR="008B0A14" w:rsidRPr="00AD626F">
        <w:t>’s 2014 Annual Report will be published and, in lieu of publication,</w:t>
      </w:r>
      <w:r w:rsidR="004618DD">
        <w:t xml:space="preserve"> </w:t>
      </w:r>
      <w:r w:rsidRPr="008B2CB8">
        <w:t xml:space="preserve">outline the steps </w:t>
      </w:r>
      <w:r w:rsidR="008B0A14">
        <w:t>the UK Government</w:t>
      </w:r>
      <w:r w:rsidR="008B0A14" w:rsidRPr="008B2CB8">
        <w:t xml:space="preserve"> </w:t>
      </w:r>
      <w:r w:rsidRPr="008B2CB8">
        <w:t>has taken</w:t>
      </w:r>
      <w:r w:rsidR="008B0A14">
        <w:t>,</w:t>
      </w:r>
      <w:r w:rsidRPr="008B2CB8">
        <w:t xml:space="preserve"> and human and financial resources it has committed to </w:t>
      </w:r>
      <w:r w:rsidR="008B0A14">
        <w:t xml:space="preserve">considering and implementing </w:t>
      </w:r>
      <w:r w:rsidRPr="008B2CB8">
        <w:t xml:space="preserve">the </w:t>
      </w:r>
      <w:r>
        <w:t xml:space="preserve">latest </w:t>
      </w:r>
      <w:r w:rsidR="00EE77CC">
        <w:t>r</w:t>
      </w:r>
      <w:r w:rsidRPr="008B2CB8">
        <w:t xml:space="preserve">ecommendations </w:t>
      </w:r>
      <w:r>
        <w:t xml:space="preserve">on improving judicial diversity </w:t>
      </w:r>
      <w:r w:rsidRPr="008B2CB8">
        <w:t>in England and Wales?</w:t>
      </w:r>
      <w:r>
        <w:rPr>
          <w:rStyle w:val="FootnoteReference"/>
          <w:b w:val="0"/>
        </w:rPr>
        <w:footnoteReference w:id="29"/>
      </w:r>
      <w:r w:rsidRPr="008B2CB8">
        <w:t xml:space="preserve"> </w:t>
      </w:r>
    </w:p>
    <w:p w:rsidR="00F849EC" w:rsidRPr="00080A70" w:rsidRDefault="00F849EC" w:rsidP="00080A70">
      <w:pPr>
        <w:pStyle w:val="Parabeforenewsection"/>
        <w:rPr>
          <w:b/>
        </w:rPr>
      </w:pPr>
      <w:r w:rsidRPr="00080A70">
        <w:rPr>
          <w:b/>
        </w:rPr>
        <w:t>Question B: Could the UK Government provide an update on steps it has taken to implement the recommendations of the CEDAW and CERD Committees to introduce targeted measures to increase representation of women and ethnic minorities in the judiciary in England and Wales; and could the UK Government provide an analysis of the implications of setting non-mandatory targets if significantly improved outcomes are not achieved by 2017?</w:t>
      </w:r>
      <w:r w:rsidRPr="00080A70">
        <w:rPr>
          <w:rStyle w:val="FootnoteReference"/>
          <w:b/>
        </w:rPr>
        <w:footnoteReference w:id="30"/>
      </w:r>
      <w:r w:rsidR="008C67B4">
        <w:rPr>
          <w:b/>
        </w:rPr>
        <w:t xml:space="preserve"> </w:t>
      </w:r>
      <w:r w:rsidRPr="00080A70">
        <w:rPr>
          <w:b/>
        </w:rPr>
        <w:t xml:space="preserve"> </w:t>
      </w:r>
    </w:p>
    <w:p w:rsidR="002D01E1" w:rsidRPr="00F849EC" w:rsidRDefault="002D01E1" w:rsidP="002B6091">
      <w:pPr>
        <w:pStyle w:val="Heading-sections"/>
        <w:numPr>
          <w:ilvl w:val="0"/>
          <w:numId w:val="7"/>
        </w:numPr>
      </w:pPr>
      <w:bookmarkStart w:id="10" w:name="_Toc420603266"/>
      <w:r w:rsidRPr="00F849EC">
        <w:lastRenderedPageBreak/>
        <w:t xml:space="preserve">Access to </w:t>
      </w:r>
      <w:r w:rsidR="005C5A35">
        <w:t>c</w:t>
      </w:r>
      <w:r w:rsidRPr="00F849EC">
        <w:t xml:space="preserve">ivil </w:t>
      </w:r>
      <w:r w:rsidR="005C5A35">
        <w:t>j</w:t>
      </w:r>
      <w:r w:rsidRPr="00F849EC">
        <w:t>ustice (Article 14)</w:t>
      </w:r>
      <w:r w:rsidR="003F09D9" w:rsidRPr="00F849EC">
        <w:t>, List of I</w:t>
      </w:r>
      <w:r w:rsidRPr="00F849EC">
        <w:t>ssues paragraph 24</w:t>
      </w:r>
      <w:r w:rsidR="003F09D9">
        <w:rPr>
          <w:rStyle w:val="FootnoteReference"/>
          <w:b w:val="0"/>
          <w:sz w:val="24"/>
          <w:szCs w:val="24"/>
        </w:rPr>
        <w:footnoteReference w:id="31"/>
      </w:r>
      <w:bookmarkEnd w:id="10"/>
    </w:p>
    <w:p w:rsidR="00ED04CF" w:rsidRDefault="00ED04CF" w:rsidP="002B6091">
      <w:pPr>
        <w:pStyle w:val="Heading-subsections"/>
        <w:numPr>
          <w:ilvl w:val="0"/>
          <w:numId w:val="8"/>
        </w:numPr>
      </w:pPr>
      <w:r w:rsidRPr="009C218A">
        <w:t xml:space="preserve">The impact of reforms introduced by the Legal Aid, Sentencing and Punishment of Offenders (LASPO) Act 2012 </w:t>
      </w:r>
    </w:p>
    <w:p w:rsidR="00CC52B3" w:rsidRDefault="00190569" w:rsidP="00C72A0F">
      <w:pPr>
        <w:pStyle w:val="Parabeforeanother"/>
      </w:pPr>
      <w:r w:rsidRPr="00190569">
        <w:rPr>
          <w:b/>
        </w:rPr>
        <w:t xml:space="preserve">C.2.1 </w:t>
      </w:r>
      <w:r w:rsidR="00ED04CF" w:rsidRPr="00ED04CF">
        <w:t xml:space="preserve">In our 2014 submission to the </w:t>
      </w:r>
      <w:r w:rsidR="00E00B7A">
        <w:t>HRC</w:t>
      </w:r>
      <w:r w:rsidR="00ED04CF" w:rsidRPr="00ED04CF">
        <w:t>,</w:t>
      </w:r>
      <w:r w:rsidR="005452B1">
        <w:rPr>
          <w:rStyle w:val="FootnoteReference"/>
        </w:rPr>
        <w:footnoteReference w:id="32"/>
      </w:r>
      <w:r w:rsidR="00ED04CF" w:rsidRPr="00ED04CF">
        <w:t xml:space="preserve"> the EHRC highlighted the </w:t>
      </w:r>
      <w:r w:rsidR="00883EB3">
        <w:t xml:space="preserve">human rights implications of the </w:t>
      </w:r>
      <w:r w:rsidR="00ED04CF" w:rsidRPr="00ED04CF">
        <w:t>exceptional funding scheme, introduced by the Legal Aid, Sentencing and Punishment of Offenders (LASPO) Act 2012</w:t>
      </w:r>
      <w:r w:rsidR="001819E2">
        <w:t>, applicable to England and Wales</w:t>
      </w:r>
      <w:r w:rsidR="00ED04CF" w:rsidRPr="00ED04CF">
        <w:t>.</w:t>
      </w:r>
      <w:r w:rsidR="00ED04CF" w:rsidRPr="00ED04CF">
        <w:rPr>
          <w:rStyle w:val="FootnoteReference"/>
        </w:rPr>
        <w:t xml:space="preserve"> </w:t>
      </w:r>
      <w:r w:rsidR="00ED04CF" w:rsidRPr="00ED04CF">
        <w:t>The scheme was designed to allow funding where a failure to provide legal aid would be, or would result in, a breach of the individual’s human rights under the European Convention on Human Rights (ECHR) or rights under European Union law. However, the EHRC</w:t>
      </w:r>
      <w:r w:rsidR="008B0A14">
        <w:t>’s analysis</w:t>
      </w:r>
      <w:r w:rsidR="00ED04CF" w:rsidRPr="00ED04CF">
        <w:t xml:space="preserve"> </w:t>
      </w:r>
      <w:r w:rsidR="008B0A14">
        <w:t>suggests</w:t>
      </w:r>
      <w:r w:rsidR="00ED04CF" w:rsidRPr="00ED04CF">
        <w:t xml:space="preserve"> the scheme is </w:t>
      </w:r>
      <w:r w:rsidR="00E00B7A">
        <w:t xml:space="preserve">still </w:t>
      </w:r>
      <w:r w:rsidR="00ED04CF" w:rsidRPr="00ED04CF">
        <w:t xml:space="preserve">not functioning as intended, both because of its demanding application process and the strict interpretation of its eligibility criteria. </w:t>
      </w:r>
    </w:p>
    <w:p w:rsidR="00CC52B3" w:rsidRDefault="0016168E" w:rsidP="00C72A0F">
      <w:pPr>
        <w:pStyle w:val="Parapre-bullets"/>
      </w:pPr>
      <w:r w:rsidRPr="00764A9C">
        <w:rPr>
          <w:b/>
        </w:rPr>
        <w:t>C.2.2</w:t>
      </w:r>
      <w:r>
        <w:t xml:space="preserve"> </w:t>
      </w:r>
      <w:r w:rsidR="00ED04CF" w:rsidRPr="00ED04CF">
        <w:t>There have been several recent developments, including:</w:t>
      </w:r>
    </w:p>
    <w:p w:rsidR="00ED04CF" w:rsidRPr="00CC52B3" w:rsidRDefault="00ED04CF" w:rsidP="00C72A0F">
      <w:pPr>
        <w:pStyle w:val="Bullet-followedbyothers"/>
        <w:rPr>
          <w:b/>
        </w:rPr>
      </w:pPr>
      <w:r w:rsidRPr="00CC52B3">
        <w:rPr>
          <w:rFonts w:eastAsia="Times New Roman"/>
          <w:lang w:eastAsia="en-GB"/>
        </w:rPr>
        <w:t>In six linked judicial review claims, the Court of Appeal</w:t>
      </w:r>
      <w:r w:rsidR="001819E2">
        <w:rPr>
          <w:rFonts w:eastAsia="Times New Roman"/>
          <w:lang w:eastAsia="en-GB"/>
        </w:rPr>
        <w:t xml:space="preserve"> of England and Wales</w:t>
      </w:r>
      <w:r w:rsidRPr="00CC52B3">
        <w:rPr>
          <w:rFonts w:eastAsia="Times New Roman"/>
          <w:lang w:eastAsia="en-GB"/>
        </w:rPr>
        <w:t xml:space="preserve"> upheld the High Court’s decision that </w:t>
      </w:r>
      <w:r w:rsidRPr="00CC52B3">
        <w:t xml:space="preserve">the Lord Chancellor’s </w:t>
      </w:r>
      <w:r w:rsidR="00CA0DC5">
        <w:t>G</w:t>
      </w:r>
      <w:r w:rsidRPr="00CC52B3">
        <w:t>uidance on exceptional funding for immigration cases is unlawful.</w:t>
      </w:r>
      <w:r w:rsidR="008C67B4">
        <w:t xml:space="preserve"> </w:t>
      </w:r>
      <w:r w:rsidR="00A01AC4">
        <w:t>T</w:t>
      </w:r>
      <w:r w:rsidRPr="00CC52B3">
        <w:t xml:space="preserve">he </w:t>
      </w:r>
      <w:r w:rsidR="00CA0DC5">
        <w:t>G</w:t>
      </w:r>
      <w:r w:rsidRPr="00CC52B3">
        <w:t xml:space="preserve">uidance was wrong to suggest that Article 8 ECHR (the right to respect for private and family life) could never lead to a requirement to grant legal aid for immigration cases. Although these cases are excluded from the scope of Article 6 ECHR (the right to a fair trial), </w:t>
      </w:r>
      <w:r w:rsidRPr="00CC52B3">
        <w:rPr>
          <w:rFonts w:eastAsia="Times New Roman"/>
          <w:lang w:eastAsia="en-GB"/>
        </w:rPr>
        <w:t>it is difficult to see how Article 8 would offer less protection in practice.</w:t>
      </w:r>
      <w:r w:rsidR="008C67B4">
        <w:rPr>
          <w:rFonts w:eastAsia="Times New Roman"/>
          <w:lang w:eastAsia="en-GB"/>
        </w:rPr>
        <w:t xml:space="preserve"> </w:t>
      </w:r>
      <w:r w:rsidRPr="00CC52B3">
        <w:t>Whether legal aid is required will depend on the particular facts and circumstances of each case.</w:t>
      </w:r>
      <w:r w:rsidRPr="00CC52B3">
        <w:rPr>
          <w:rStyle w:val="FootnoteReference"/>
          <w:rFonts w:cs="Arial"/>
        </w:rPr>
        <w:footnoteReference w:id="33"/>
      </w:r>
    </w:p>
    <w:p w:rsidR="00ED04CF" w:rsidRDefault="00ED04CF" w:rsidP="00C72A0F">
      <w:pPr>
        <w:pStyle w:val="Bulletsgroupend"/>
        <w:rPr>
          <w:b/>
        </w:rPr>
      </w:pPr>
      <w:r w:rsidRPr="009C218A">
        <w:t>In another judicial review, the High Court</w:t>
      </w:r>
      <w:r w:rsidR="001819E2">
        <w:t xml:space="preserve"> in England and Wales</w:t>
      </w:r>
      <w:r w:rsidRPr="009C218A">
        <w:t xml:space="preserve"> held that the Lord Chancellor’s Guidance on exceptional funding for inquests permitted unlawful decision-making by the Legal Aid Agency.</w:t>
      </w:r>
      <w:r w:rsidR="00C4490E">
        <w:rPr>
          <w:rStyle w:val="FootnoteReference"/>
        </w:rPr>
        <w:footnoteReference w:id="34"/>
      </w:r>
      <w:r w:rsidRPr="009C218A">
        <w:t xml:space="preserve"> The Guidance wrongly stated that an </w:t>
      </w:r>
      <w:r w:rsidRPr="009C218A">
        <w:lastRenderedPageBreak/>
        <w:t xml:space="preserve">investigation to comply with the investigative duty under Article 2 ECHR (the right to life) is only required where there is evidence to suggest that the </w:t>
      </w:r>
      <w:r w:rsidR="00CA0DC5">
        <w:t>S</w:t>
      </w:r>
      <w:r w:rsidRPr="009C218A">
        <w:t xml:space="preserve">tate </w:t>
      </w:r>
      <w:r>
        <w:t>arguably</w:t>
      </w:r>
      <w:r w:rsidRPr="009C218A">
        <w:t xml:space="preserve"> breached one of its substantive duties under Article 2.</w:t>
      </w:r>
      <w:r w:rsidR="008C67B4">
        <w:t xml:space="preserve"> </w:t>
      </w:r>
      <w:r w:rsidRPr="009C218A">
        <w:t>The Guidance</w:t>
      </w:r>
      <w:r w:rsidR="001819E2">
        <w:t xml:space="preserve"> also</w:t>
      </w:r>
      <w:r w:rsidRPr="009C218A">
        <w:t xml:space="preserve"> failed to recognise that there were categories of case</w:t>
      </w:r>
      <w:r w:rsidR="00CA0DC5">
        <w:t>s</w:t>
      </w:r>
      <w:r w:rsidRPr="009C218A">
        <w:t xml:space="preserve"> in which an ‘Article 2’ investigation was automatically required, irrespective of whether there is evidence of an arguable breach.</w:t>
      </w:r>
      <w:r w:rsidRPr="009C218A">
        <w:rPr>
          <w:rStyle w:val="FootnoteReference"/>
        </w:rPr>
        <w:footnoteReference w:id="35"/>
      </w:r>
    </w:p>
    <w:p w:rsidR="00ED04CF" w:rsidRPr="00ED04CF" w:rsidRDefault="0016168E" w:rsidP="00C72A0F">
      <w:pPr>
        <w:pStyle w:val="Parabeforeanother"/>
        <w:rPr>
          <w:b/>
        </w:rPr>
      </w:pPr>
      <w:r w:rsidRPr="00764A9C">
        <w:rPr>
          <w:b/>
        </w:rPr>
        <w:t>C.2.3</w:t>
      </w:r>
      <w:r>
        <w:t xml:space="preserve"> </w:t>
      </w:r>
      <w:r w:rsidR="00BF618A">
        <w:t>Evidence suggests that b</w:t>
      </w:r>
      <w:r w:rsidR="00ED04CF">
        <w:t>udget reductions</w:t>
      </w:r>
      <w:r w:rsidR="00ED04CF" w:rsidRPr="00D51B29">
        <w:t xml:space="preserve"> continue to have an impact on the provision of legal advice by </w:t>
      </w:r>
      <w:r w:rsidR="001819E2">
        <w:t>non-governmental organisations</w:t>
      </w:r>
      <w:r w:rsidR="00ED04CF" w:rsidRPr="00D51B29">
        <w:t>.</w:t>
      </w:r>
      <w:r w:rsidR="00ED04CF">
        <w:t xml:space="preserve"> Nine law centres have closed since the implementation of the LASPO Act in April 2013</w:t>
      </w:r>
      <w:r w:rsidR="001819E2">
        <w:t>.</w:t>
      </w:r>
      <w:r w:rsidR="00ED04CF">
        <w:t xml:space="preserve"> </w:t>
      </w:r>
      <w:r w:rsidR="001819E2">
        <w:t>T</w:t>
      </w:r>
      <w:r w:rsidR="00ED04CF" w:rsidRPr="00D51B29">
        <w:t xml:space="preserve">he closure of South Manchester Law Centre in September 2014 means </w:t>
      </w:r>
      <w:r w:rsidR="00ED04CF" w:rsidRPr="009C218A">
        <w:t>the city of Manchester</w:t>
      </w:r>
      <w:r w:rsidR="00A01AC4">
        <w:t xml:space="preserve"> (with a population of half a million people)</w:t>
      </w:r>
      <w:r w:rsidR="00ED04CF" w:rsidRPr="009C218A">
        <w:t xml:space="preserve"> has no Law Centres, compared with four years ago when there were three Law Centres in the city.</w:t>
      </w:r>
      <w:r w:rsidR="00ED04CF">
        <w:rPr>
          <w:rStyle w:val="FootnoteReference"/>
        </w:rPr>
        <w:footnoteReference w:id="36"/>
      </w:r>
      <w:r w:rsidR="00C4490E">
        <w:t xml:space="preserve"> </w:t>
      </w:r>
      <w:r w:rsidR="00ED04CF" w:rsidRPr="0099201A">
        <w:t>Of 338 Citizens Advice Bureaux, only 21 now offer specialist civil legal aid advice, compared to 200 five years ago.</w:t>
      </w:r>
      <w:r w:rsidR="00CC52B3">
        <w:rPr>
          <w:rStyle w:val="FootnoteReference"/>
        </w:rPr>
        <w:footnoteReference w:id="37"/>
      </w:r>
    </w:p>
    <w:p w:rsidR="00ED04CF" w:rsidRPr="009C218A" w:rsidRDefault="0016168E" w:rsidP="00C72A0F">
      <w:pPr>
        <w:pStyle w:val="Parapre-bullets"/>
        <w:rPr>
          <w:b/>
        </w:rPr>
      </w:pPr>
      <w:r w:rsidRPr="00764A9C">
        <w:rPr>
          <w:b/>
        </w:rPr>
        <w:t xml:space="preserve">C.2.4 </w:t>
      </w:r>
      <w:proofErr w:type="gramStart"/>
      <w:r w:rsidR="00BF618A">
        <w:t>A</w:t>
      </w:r>
      <w:proofErr w:type="gramEnd"/>
      <w:r w:rsidR="00BF618A">
        <w:t xml:space="preserve"> </w:t>
      </w:r>
      <w:r w:rsidR="00ED04CF" w:rsidRPr="009C218A">
        <w:t>Ministry of Justice (</w:t>
      </w:r>
      <w:proofErr w:type="spellStart"/>
      <w:r w:rsidR="00ED04CF" w:rsidRPr="009C218A">
        <w:t>MoJ</w:t>
      </w:r>
      <w:proofErr w:type="spellEnd"/>
      <w:r w:rsidR="00ED04CF" w:rsidRPr="009C218A">
        <w:t>) evaluat</w:t>
      </w:r>
      <w:r w:rsidR="00BF618A">
        <w:t>ion of</w:t>
      </w:r>
      <w:r w:rsidR="00ED04CF" w:rsidRPr="009C218A">
        <w:t xml:space="preserve"> the accessibility and effectiveness of the mandatory telephone advice gateway during its first year of operation was published in December 2014.</w:t>
      </w:r>
      <w:r w:rsidR="00ED04CF" w:rsidRPr="009C218A">
        <w:rPr>
          <w:rStyle w:val="FootnoteReference"/>
        </w:rPr>
        <w:footnoteReference w:id="38"/>
      </w:r>
      <w:r w:rsidR="00C4490E">
        <w:t xml:space="preserve"> </w:t>
      </w:r>
      <w:r w:rsidR="00ED04CF" w:rsidRPr="009C218A">
        <w:t>The research identified:</w:t>
      </w:r>
    </w:p>
    <w:p w:rsidR="00ED04CF" w:rsidRPr="009C218A" w:rsidRDefault="00ED04CF" w:rsidP="00C72A0F">
      <w:pPr>
        <w:pStyle w:val="Bullet-followedbyothers"/>
      </w:pPr>
      <w:r w:rsidRPr="009C218A">
        <w:t>significantly lower usage of the gateway service than anticipated, including for advice on discrimination matters</w:t>
      </w:r>
      <w:r w:rsidRPr="009C218A">
        <w:rPr>
          <w:rStyle w:val="FootnoteReference"/>
          <w:rFonts w:cs="Arial"/>
        </w:rPr>
        <w:footnoteReference w:id="39"/>
      </w:r>
      <w:r w:rsidRPr="009C218A">
        <w:t xml:space="preserve"> </w:t>
      </w:r>
    </w:p>
    <w:p w:rsidR="00ED04CF" w:rsidRPr="009C218A" w:rsidRDefault="00ED04CF" w:rsidP="00C72A0F">
      <w:pPr>
        <w:pStyle w:val="Bullet-followedbyothers"/>
      </w:pPr>
      <w:r w:rsidRPr="009C218A">
        <w:t>a perception that the service was not well publicised</w:t>
      </w:r>
    </w:p>
    <w:p w:rsidR="00ED04CF" w:rsidRPr="009C218A" w:rsidRDefault="00ED04CF" w:rsidP="00C72A0F">
      <w:pPr>
        <w:pStyle w:val="Bullet-followedbyothers"/>
      </w:pPr>
      <w:r w:rsidRPr="009C218A">
        <w:t>evidence of the service not accurately identifying people who should be diverted to face to face advice because of communication difficulties, mental health or mental capacity issues, or the complexity of their case</w:t>
      </w:r>
      <w:r w:rsidR="005C5A35">
        <w:t>,</w:t>
      </w:r>
      <w:r>
        <w:t xml:space="preserve"> and</w:t>
      </w:r>
      <w:r w:rsidRPr="009C218A">
        <w:t xml:space="preserve"> </w:t>
      </w:r>
    </w:p>
    <w:p w:rsidR="00ED04CF" w:rsidRDefault="00ED04CF" w:rsidP="00C72A0F">
      <w:pPr>
        <w:pStyle w:val="Bulletsgroupend"/>
      </w:pPr>
      <w:proofErr w:type="gramStart"/>
      <w:r w:rsidRPr="009C218A">
        <w:t>some</w:t>
      </w:r>
      <w:proofErr w:type="gramEnd"/>
      <w:r w:rsidRPr="009C218A">
        <w:t xml:space="preserve"> evidence of the service refusing requests for adjustments to facilitate contact (such as support for hearing impairments).</w:t>
      </w:r>
      <w:r w:rsidR="008C67B4">
        <w:t xml:space="preserve"> </w:t>
      </w:r>
    </w:p>
    <w:p w:rsidR="00ED04CF" w:rsidRDefault="0016168E" w:rsidP="00C72A0F">
      <w:pPr>
        <w:pStyle w:val="Parapre-bullets"/>
      </w:pPr>
      <w:r w:rsidRPr="00764A9C">
        <w:rPr>
          <w:b/>
        </w:rPr>
        <w:t xml:space="preserve">C.2.5 </w:t>
      </w:r>
      <w:r w:rsidR="00ED04CF" w:rsidRPr="00D51B29">
        <w:t>Overall, these findings suggest an adverse impact on disabled people and on those with limited English language skills.</w:t>
      </w:r>
      <w:r w:rsidR="00AD626F">
        <w:t xml:space="preserve"> </w:t>
      </w:r>
      <w:r w:rsidR="00ED04CF">
        <w:t xml:space="preserve">An independent review of the telephone </w:t>
      </w:r>
      <w:r w:rsidR="00ED04CF">
        <w:lastRenderedPageBreak/>
        <w:t xml:space="preserve">advice gateway </w:t>
      </w:r>
      <w:r w:rsidR="00BF618A">
        <w:t xml:space="preserve">also </w:t>
      </w:r>
      <w:r w:rsidR="00ED04CF">
        <w:t>found that the users found the service confusing and bureaucratic.</w:t>
      </w:r>
      <w:r w:rsidR="00BF618A">
        <w:rPr>
          <w:rStyle w:val="FootnoteReference"/>
        </w:rPr>
        <w:footnoteReference w:id="40"/>
      </w:r>
      <w:r w:rsidR="008C67B4">
        <w:t xml:space="preserve"> </w:t>
      </w:r>
    </w:p>
    <w:p w:rsidR="00ED04CF" w:rsidRPr="00D51B29" w:rsidRDefault="0016168E" w:rsidP="00C72A0F">
      <w:pPr>
        <w:pStyle w:val="Parapre-bullets"/>
      </w:pPr>
      <w:r w:rsidRPr="00764A9C">
        <w:rPr>
          <w:b/>
        </w:rPr>
        <w:t>C.2.6</w:t>
      </w:r>
      <w:r>
        <w:t xml:space="preserve"> </w:t>
      </w:r>
      <w:r w:rsidR="00ED04CF">
        <w:t xml:space="preserve">In November 2014, the </w:t>
      </w:r>
      <w:r w:rsidR="00ED04CF" w:rsidRPr="009C218A">
        <w:t>National Audit Office (NAO) report on implementing reforms to civil legal aid concluded that the reforms</w:t>
      </w:r>
      <w:r w:rsidR="00ED04CF">
        <w:t xml:space="preserve"> may</w:t>
      </w:r>
      <w:r w:rsidR="00ED04CF" w:rsidRPr="009C218A">
        <w:t xml:space="preserve"> create additional costs, for the </w:t>
      </w:r>
      <w:proofErr w:type="spellStart"/>
      <w:r w:rsidR="00ED04CF" w:rsidRPr="009C218A">
        <w:t>MoJ</w:t>
      </w:r>
      <w:proofErr w:type="spellEnd"/>
      <w:r w:rsidR="00ED04CF" w:rsidRPr="009C218A">
        <w:t xml:space="preserve"> and wider government, but these costs were not considered in advance of implementation</w:t>
      </w:r>
      <w:r w:rsidR="00ED04CF">
        <w:t>.</w:t>
      </w:r>
      <w:r w:rsidR="00ED04CF" w:rsidRPr="009C218A">
        <w:rPr>
          <w:rStyle w:val="FootnoteReference"/>
        </w:rPr>
        <w:footnoteReference w:id="41"/>
      </w:r>
      <w:r w:rsidR="008C67B4">
        <w:t xml:space="preserve"> </w:t>
      </w:r>
      <w:r w:rsidR="00ED04CF">
        <w:t>The NAO</w:t>
      </w:r>
      <w:r w:rsidR="00ED04CF" w:rsidRPr="009C218A">
        <w:t xml:space="preserve"> notes the </w:t>
      </w:r>
      <w:proofErr w:type="spellStart"/>
      <w:r w:rsidR="00ED04CF" w:rsidRPr="009C218A">
        <w:t>MoJ</w:t>
      </w:r>
      <w:proofErr w:type="spellEnd"/>
      <w:r w:rsidR="00ED04CF" w:rsidRPr="009C218A">
        <w:t xml:space="preserve"> did not </w:t>
      </w:r>
      <w:r w:rsidR="00ED04CF">
        <w:t xml:space="preserve">fully </w:t>
      </w:r>
      <w:r w:rsidR="00ED04CF" w:rsidRPr="009C218A">
        <w:t>understand why people go to court to resolve their disputes</w:t>
      </w:r>
      <w:r w:rsidR="00A01AC4">
        <w:t>,</w:t>
      </w:r>
      <w:r w:rsidR="00ED04CF" w:rsidRPr="009C218A">
        <w:t xml:space="preserve"> </w:t>
      </w:r>
      <w:r w:rsidR="00A01AC4">
        <w:t>or</w:t>
      </w:r>
      <w:r w:rsidR="00ED04CF" w:rsidRPr="009C218A">
        <w:t xml:space="preserve"> whether all those eligible for legal aid are now able to access it. The NAO also concludes:</w:t>
      </w:r>
    </w:p>
    <w:p w:rsidR="00ED04CF" w:rsidRPr="009C218A" w:rsidRDefault="00ED04CF" w:rsidP="00C72A0F">
      <w:pPr>
        <w:pStyle w:val="Bullet-followedbyothers"/>
        <w:rPr>
          <w:b/>
        </w:rPr>
      </w:pPr>
      <w:r w:rsidRPr="009C218A">
        <w:t>Compared to estimates, there were 17 per cent fewer civil legal aid cases (i</w:t>
      </w:r>
      <w:r>
        <w:t>.</w:t>
      </w:r>
      <w:r w:rsidRPr="009C218A">
        <w:t>e</w:t>
      </w:r>
      <w:r>
        <w:t>.</w:t>
      </w:r>
      <w:r w:rsidRPr="009C218A">
        <w:t xml:space="preserve"> legal help and civil representation) started in 2013-14. </w:t>
      </w:r>
    </w:p>
    <w:p w:rsidR="00ED04CF" w:rsidRPr="009C218A" w:rsidRDefault="00ED04CF" w:rsidP="00C72A0F">
      <w:pPr>
        <w:pStyle w:val="Bullet-followedbyothers"/>
        <w:rPr>
          <w:b/>
        </w:rPr>
      </w:pPr>
      <w:r w:rsidRPr="009C218A">
        <w:t>Fewer people are using mediation for family law proceedings as an alternative to the courts</w:t>
      </w:r>
      <w:r>
        <w:t xml:space="preserve">, because of </w:t>
      </w:r>
      <w:r w:rsidRPr="009C218A">
        <w:t>the reduction in mediation referrals by solicitors, following the removal of legal a</w:t>
      </w:r>
      <w:r>
        <w:t>id for private law family cases</w:t>
      </w:r>
      <w:r w:rsidRPr="009C218A">
        <w:t>.</w:t>
      </w:r>
      <w:r w:rsidRPr="009C218A">
        <w:rPr>
          <w:rStyle w:val="FootnoteReference"/>
          <w:rFonts w:cs="Arial"/>
        </w:rPr>
        <w:footnoteReference w:id="42"/>
      </w:r>
      <w:r w:rsidRPr="009C218A">
        <w:t xml:space="preserve"> </w:t>
      </w:r>
    </w:p>
    <w:p w:rsidR="00ED04CF" w:rsidRPr="0099201A" w:rsidRDefault="00ED04CF" w:rsidP="00C72A0F">
      <w:pPr>
        <w:pStyle w:val="Bullet-lastingroup"/>
        <w:rPr>
          <w:b/>
        </w:rPr>
      </w:pPr>
      <w:r w:rsidRPr="009C218A">
        <w:t>The reforms have led to an increase in the number of litigants in person in the family law courts,</w:t>
      </w:r>
      <w:r w:rsidRPr="009C218A">
        <w:rPr>
          <w:rStyle w:val="FootnoteReference"/>
          <w:rFonts w:cs="Arial"/>
        </w:rPr>
        <w:footnoteReference w:id="43"/>
      </w:r>
      <w:r w:rsidRPr="009C218A">
        <w:t xml:space="preserve"> and probably in the civil law courts as well.</w:t>
      </w:r>
    </w:p>
    <w:p w:rsidR="00ED04CF" w:rsidRPr="0099201A" w:rsidRDefault="0016168E" w:rsidP="00C72A0F">
      <w:pPr>
        <w:pStyle w:val="Parabeforenewsubsection"/>
      </w:pPr>
      <w:r w:rsidRPr="00764A9C">
        <w:rPr>
          <w:b/>
        </w:rPr>
        <w:t>C.2.7</w:t>
      </w:r>
      <w:r>
        <w:t xml:space="preserve"> </w:t>
      </w:r>
      <w:r w:rsidR="00ED04CF" w:rsidRPr="00024528">
        <w:t xml:space="preserve">The NAO report was followed by </w:t>
      </w:r>
      <w:r w:rsidR="00BF618A">
        <w:t>a</w:t>
      </w:r>
      <w:r w:rsidR="00ED04CF" w:rsidRPr="00024528">
        <w:t xml:space="preserve"> House of Commons</w:t>
      </w:r>
      <w:r w:rsidR="00ED04CF">
        <w:t xml:space="preserve"> Select Committee on </w:t>
      </w:r>
      <w:r w:rsidR="00ED04CF" w:rsidRPr="00024528">
        <w:t>Public Accounts</w:t>
      </w:r>
      <w:r w:rsidR="00A01AC4">
        <w:t xml:space="preserve"> (PAC)</w:t>
      </w:r>
      <w:r w:rsidR="00ED04CF" w:rsidRPr="00024528">
        <w:t xml:space="preserve"> </w:t>
      </w:r>
      <w:r w:rsidR="00BF618A">
        <w:t xml:space="preserve">report </w:t>
      </w:r>
      <w:r w:rsidR="00ED04CF" w:rsidRPr="00024528">
        <w:t>on the implementation of the legal aid reforms.</w:t>
      </w:r>
      <w:r w:rsidR="001819E2" w:rsidRPr="001819E2">
        <w:rPr>
          <w:rStyle w:val="FootnoteReference"/>
          <w:bCs/>
        </w:rPr>
        <w:t xml:space="preserve"> </w:t>
      </w:r>
      <w:r w:rsidR="001819E2">
        <w:rPr>
          <w:rStyle w:val="FootnoteReference"/>
          <w:bCs/>
        </w:rPr>
        <w:footnoteReference w:id="44"/>
      </w:r>
      <w:r w:rsidR="00ED04CF" w:rsidRPr="00024528">
        <w:t xml:space="preserve"> The </w:t>
      </w:r>
      <w:r w:rsidR="00A01AC4">
        <w:t>PAC</w:t>
      </w:r>
      <w:r w:rsidR="00A01AC4" w:rsidRPr="00024528">
        <w:t xml:space="preserve"> </w:t>
      </w:r>
      <w:r w:rsidR="00ED04CF" w:rsidRPr="00024528">
        <w:t xml:space="preserve">made similar findings to those of the </w:t>
      </w:r>
      <w:r w:rsidR="00A01AC4" w:rsidRPr="00024528">
        <w:t>NA</w:t>
      </w:r>
      <w:r w:rsidR="00A01AC4">
        <w:t>O</w:t>
      </w:r>
      <w:r w:rsidR="00ED04CF" w:rsidRPr="00024528">
        <w:t xml:space="preserve">, concluding that the </w:t>
      </w:r>
      <w:proofErr w:type="spellStart"/>
      <w:r w:rsidR="00ED04CF" w:rsidRPr="00024528">
        <w:t>MoJ</w:t>
      </w:r>
      <w:proofErr w:type="spellEnd"/>
      <w:r w:rsidR="00ED04CF" w:rsidRPr="00024528">
        <w:t xml:space="preserve"> </w:t>
      </w:r>
      <w:r w:rsidR="00ED04CF" w:rsidRPr="0099201A">
        <w:rPr>
          <w:bCs/>
        </w:rPr>
        <w:t>would have been better able to deliver its policy objectives had it developed a robust evidence base.</w:t>
      </w:r>
      <w:r w:rsidR="008C67B4">
        <w:rPr>
          <w:bCs/>
        </w:rPr>
        <w:t xml:space="preserve"> </w:t>
      </w:r>
      <w:r w:rsidR="00ED04CF" w:rsidRPr="0099201A">
        <w:rPr>
          <w:bCs/>
        </w:rPr>
        <w:t xml:space="preserve">The </w:t>
      </w:r>
      <w:r w:rsidR="00A01AC4">
        <w:rPr>
          <w:bCs/>
        </w:rPr>
        <w:t>PAC</w:t>
      </w:r>
      <w:r w:rsidR="00A01AC4" w:rsidRPr="0099201A">
        <w:rPr>
          <w:bCs/>
        </w:rPr>
        <w:t xml:space="preserve"> </w:t>
      </w:r>
      <w:r w:rsidR="00ED04CF" w:rsidRPr="0099201A">
        <w:rPr>
          <w:bCs/>
        </w:rPr>
        <w:t xml:space="preserve">also </w:t>
      </w:r>
      <w:r w:rsidR="00ED04CF">
        <w:rPr>
          <w:bCs/>
        </w:rPr>
        <w:t xml:space="preserve">found </w:t>
      </w:r>
      <w:r w:rsidR="00ED04CF" w:rsidRPr="0099201A">
        <w:rPr>
          <w:bCs/>
        </w:rPr>
        <w:t>that the qual</w:t>
      </w:r>
      <w:r w:rsidR="00ED04CF" w:rsidRPr="00024528">
        <w:rPr>
          <w:bCs/>
        </w:rPr>
        <w:t xml:space="preserve">ity of face-to-face legal aid </w:t>
      </w:r>
      <w:r w:rsidR="00ED04CF">
        <w:rPr>
          <w:bCs/>
        </w:rPr>
        <w:t>was</w:t>
      </w:r>
      <w:r w:rsidR="00ED04CF" w:rsidRPr="0099201A">
        <w:rPr>
          <w:bCs/>
        </w:rPr>
        <w:t xml:space="preserve"> unacceptably low</w:t>
      </w:r>
      <w:r w:rsidR="001819E2">
        <w:rPr>
          <w:bCs/>
        </w:rPr>
        <w:t>.</w:t>
      </w:r>
    </w:p>
    <w:p w:rsidR="00ED04CF" w:rsidRDefault="00ED04CF" w:rsidP="002B6091">
      <w:pPr>
        <w:pStyle w:val="Heading-subsections"/>
        <w:numPr>
          <w:ilvl w:val="0"/>
          <w:numId w:val="8"/>
        </w:numPr>
      </w:pPr>
      <w:r w:rsidRPr="009C218A">
        <w:t>Residence test for civil legal aid</w:t>
      </w:r>
    </w:p>
    <w:p w:rsidR="00F849EC" w:rsidRDefault="0016168E" w:rsidP="00C72A0F">
      <w:pPr>
        <w:pStyle w:val="Parabeforenewsubsection"/>
      </w:pPr>
      <w:r w:rsidRPr="00764A9C">
        <w:rPr>
          <w:b/>
        </w:rPr>
        <w:t>C.2.8</w:t>
      </w:r>
      <w:r>
        <w:t xml:space="preserve"> </w:t>
      </w:r>
      <w:r w:rsidR="00ED04CF" w:rsidRPr="009C218A">
        <w:t>Th</w:t>
      </w:r>
      <w:r w:rsidR="00ED04CF">
        <w:t>e UK G</w:t>
      </w:r>
      <w:r w:rsidR="00ED04CF" w:rsidRPr="009C218A">
        <w:t xml:space="preserve">overnment has appealed against the High Court ruling (in a judicial review brought by </w:t>
      </w:r>
      <w:r w:rsidR="007A459A">
        <w:t>a non-governmental organisation</w:t>
      </w:r>
      <w:r w:rsidR="007A459A" w:rsidRPr="009C218A" w:rsidDel="007A459A">
        <w:t xml:space="preserve"> </w:t>
      </w:r>
      <w:r w:rsidR="007A459A">
        <w:t>(</w:t>
      </w:r>
      <w:r w:rsidR="00ED04CF" w:rsidRPr="009C218A">
        <w:t>NGO</w:t>
      </w:r>
      <w:r w:rsidR="007A459A">
        <w:t>)</w:t>
      </w:r>
      <w:r w:rsidR="00ED04CF" w:rsidRPr="009C218A">
        <w:t>) that the residence test for civil legal aid is ‘ultra vires’ the LASPO Act, and is discriminatory.</w:t>
      </w:r>
      <w:r w:rsidR="008C67B4">
        <w:t xml:space="preserve"> </w:t>
      </w:r>
      <w:r w:rsidR="00ED04CF" w:rsidRPr="009C218A">
        <w:t>The case is listed for hearing in the Court of Appeal in June 2015. Meanwhile, implementation of the residence test has been delayed.</w:t>
      </w:r>
    </w:p>
    <w:p w:rsidR="000B3BEF" w:rsidRPr="002378C6" w:rsidRDefault="000B3BEF" w:rsidP="00C72A0F">
      <w:pPr>
        <w:pStyle w:val="Parabeforenewsubsection"/>
        <w:rPr>
          <w:b/>
        </w:rPr>
      </w:pPr>
    </w:p>
    <w:p w:rsidR="00ED04CF" w:rsidRDefault="00ED04CF" w:rsidP="002B6091">
      <w:pPr>
        <w:pStyle w:val="Heading-subsections"/>
        <w:numPr>
          <w:ilvl w:val="0"/>
          <w:numId w:val="8"/>
        </w:numPr>
      </w:pPr>
      <w:r w:rsidRPr="009C218A">
        <w:lastRenderedPageBreak/>
        <w:t>Judicial review reforms</w:t>
      </w:r>
    </w:p>
    <w:p w:rsidR="00ED04CF" w:rsidRDefault="0016168E" w:rsidP="00C72A0F">
      <w:pPr>
        <w:pStyle w:val="Parapre-bullets"/>
        <w:rPr>
          <w:b/>
        </w:rPr>
      </w:pPr>
      <w:r w:rsidRPr="00764A9C">
        <w:rPr>
          <w:b/>
        </w:rPr>
        <w:t>C.2.9</w:t>
      </w:r>
      <w:r>
        <w:t xml:space="preserve"> </w:t>
      </w:r>
      <w:r w:rsidR="00ED04CF" w:rsidRPr="00D51B29">
        <w:t>The Criminal Justice and Courts Act</w:t>
      </w:r>
      <w:r w:rsidR="00ED04CF">
        <w:rPr>
          <w:rStyle w:val="FootnoteReference"/>
        </w:rPr>
        <w:footnoteReference w:id="45"/>
      </w:r>
      <w:r w:rsidR="00ED04CF" w:rsidRPr="00D51B29">
        <w:t xml:space="preserve"> was given Royal Assent in February 2015</w:t>
      </w:r>
      <w:r w:rsidR="001819E2">
        <w:t xml:space="preserve"> and is applicable in England and Wales</w:t>
      </w:r>
      <w:r w:rsidR="00ED04CF" w:rsidRPr="00D51B29">
        <w:t>. Part 4 of the Act introduces significant reforms to judicial review, including:</w:t>
      </w:r>
    </w:p>
    <w:p w:rsidR="00ED04CF" w:rsidRDefault="00ED04CF" w:rsidP="00C72A0F">
      <w:pPr>
        <w:pStyle w:val="Bullet-followedbyothers"/>
        <w:rPr>
          <w:b/>
        </w:rPr>
      </w:pPr>
      <w:r w:rsidRPr="009C218A">
        <w:t>On request by the defendant, the High Court must consider whether the outcome of a judicial review would not have been substantially different had the decision been taken lawfully and, if</w:t>
      </w:r>
      <w:r>
        <w:t xml:space="preserve"> this is the case</w:t>
      </w:r>
      <w:r w:rsidRPr="009C218A">
        <w:t>, the court must refuse permission to bring the claim.</w:t>
      </w:r>
      <w:r w:rsidRPr="009C218A">
        <w:rPr>
          <w:rStyle w:val="FootnoteReference"/>
          <w:rFonts w:cs="Arial"/>
        </w:rPr>
        <w:footnoteReference w:id="46"/>
      </w:r>
      <w:r w:rsidRPr="009C218A">
        <w:t xml:space="preserve"> However, the court retains discretion to hear the claim for reasons of ‘exceptional public interest’.</w:t>
      </w:r>
    </w:p>
    <w:p w:rsidR="00ED04CF" w:rsidRDefault="00ED04CF" w:rsidP="00C72A0F">
      <w:pPr>
        <w:pStyle w:val="Bullet-followedbyothers"/>
        <w:rPr>
          <w:b/>
        </w:rPr>
      </w:pPr>
      <w:r w:rsidRPr="00FA6C87">
        <w:t xml:space="preserve">Similarly, the High Court must refuse to grant the applicant a remedy if it appears highly likely that the outcome would not have been substantially different had the decision been taken lawfully – subject </w:t>
      </w:r>
      <w:proofErr w:type="gramStart"/>
      <w:r w:rsidRPr="00FA6C87">
        <w:t>to an ‘exceptional</w:t>
      </w:r>
      <w:proofErr w:type="gramEnd"/>
      <w:r w:rsidRPr="00FA6C87">
        <w:t xml:space="preserve"> public interest’ discretion.</w:t>
      </w:r>
      <w:r w:rsidR="008C67B4">
        <w:t xml:space="preserve"> </w:t>
      </w:r>
      <w:r w:rsidRPr="00FA6C87">
        <w:t>The Act therefore creates a risk of unlawful administrative action being unchallenged or leaving the applicant without a remedy.</w:t>
      </w:r>
    </w:p>
    <w:p w:rsidR="00ED04CF" w:rsidRDefault="00ED04CF" w:rsidP="00C72A0F">
      <w:pPr>
        <w:pStyle w:val="Bullet-followedbyothers"/>
        <w:rPr>
          <w:b/>
        </w:rPr>
      </w:pPr>
      <w:r w:rsidRPr="00FA6C87">
        <w:t>Unless there are exceptional circumstances, the court must order an intervener in judicial review to pay a party’s costs that were incurred as a result of the intervener’s involvement if, for example, the intervention has not been of significant assistance to the court or has been largely irrelevant to the key issues, or if the intervener has behaved unreasonably.</w:t>
      </w:r>
      <w:r>
        <w:t xml:space="preserve"> </w:t>
      </w:r>
      <w:r w:rsidRPr="00FA6C87">
        <w:t>As a consequence, interveners</w:t>
      </w:r>
      <w:r w:rsidR="00BF618A">
        <w:t>,</w:t>
      </w:r>
      <w:r w:rsidRPr="00FA6C87">
        <w:t xml:space="preserve"> such as NGOs</w:t>
      </w:r>
      <w:r w:rsidR="00BF618A">
        <w:t>,</w:t>
      </w:r>
      <w:r w:rsidRPr="00FA6C87">
        <w:t xml:space="preserve"> may be deterred from applying to intervene in a case because of the risk of having a costs order made against them.</w:t>
      </w:r>
      <w:r>
        <w:rPr>
          <w:rStyle w:val="FootnoteReference"/>
          <w:rFonts w:cs="Arial"/>
        </w:rPr>
        <w:footnoteReference w:id="47"/>
      </w:r>
      <w:r w:rsidRPr="00FA6C87">
        <w:t xml:space="preserve"> </w:t>
      </w:r>
    </w:p>
    <w:p w:rsidR="00ED04CF" w:rsidRPr="00FA6C87" w:rsidRDefault="00ED04CF" w:rsidP="00C72A0F">
      <w:pPr>
        <w:pStyle w:val="Bullet-lastingroup"/>
        <w:rPr>
          <w:b/>
        </w:rPr>
      </w:pPr>
      <w:r w:rsidRPr="00FA6C87">
        <w:t xml:space="preserve">The court may only make a costs capping order for public interest proceedings once leave to apply for judicial review has been granted; </w:t>
      </w:r>
      <w:r w:rsidR="007A459A">
        <w:t xml:space="preserve">and, </w:t>
      </w:r>
      <w:r w:rsidRPr="00FA6C87">
        <w:t>in considering an application, the court must take into account factors listed in the Act.</w:t>
      </w:r>
      <w:r w:rsidR="008C67B4">
        <w:t xml:space="preserve"> </w:t>
      </w:r>
      <w:r w:rsidRPr="00FA6C87">
        <w:t>This provision is likely to deter applications for judicial review made in the public interest, as the applicant faces the risk of paying the defendant’s costs if permission is refused. As noted in our previous submission,</w:t>
      </w:r>
      <w:r w:rsidR="005452B1">
        <w:rPr>
          <w:rStyle w:val="FootnoteReference"/>
          <w:rFonts w:cs="Arial"/>
        </w:rPr>
        <w:footnoteReference w:id="48"/>
      </w:r>
      <w:r w:rsidRPr="00FA6C87">
        <w:t xml:space="preserve"> the UK </w:t>
      </w:r>
      <w:r w:rsidR="007A459A">
        <w:t>G</w:t>
      </w:r>
      <w:r w:rsidR="007A459A" w:rsidRPr="00FA6C87">
        <w:t xml:space="preserve">overnment </w:t>
      </w:r>
      <w:r w:rsidRPr="00FA6C87">
        <w:t>has already removed legal aid for judicial review applications, unless the court grants permission for the case to proceed.</w:t>
      </w:r>
    </w:p>
    <w:p w:rsidR="00ED04CF" w:rsidRDefault="0016168E" w:rsidP="003F1F9D">
      <w:pPr>
        <w:pStyle w:val="Parabeforenewsubsection"/>
      </w:pPr>
      <w:r w:rsidRPr="00764A9C">
        <w:rPr>
          <w:b/>
        </w:rPr>
        <w:lastRenderedPageBreak/>
        <w:t xml:space="preserve">C.2.10 </w:t>
      </w:r>
      <w:r w:rsidR="00ED04CF">
        <w:t>Since 2014, legal aid has only been available for</w:t>
      </w:r>
      <w:r w:rsidR="00ED04CF" w:rsidRPr="0099201A">
        <w:t xml:space="preserve"> judicial review applications</w:t>
      </w:r>
      <w:r w:rsidR="00ED04CF">
        <w:t xml:space="preserve"> if</w:t>
      </w:r>
      <w:r w:rsidR="00ED04CF" w:rsidRPr="0099201A">
        <w:t xml:space="preserve"> the court grants permission for the application to go ahead (</w:t>
      </w:r>
      <w:r w:rsidR="00ED04CF">
        <w:t xml:space="preserve">subject to </w:t>
      </w:r>
      <w:proofErr w:type="gramStart"/>
      <w:r w:rsidR="00ED04CF">
        <w:t xml:space="preserve">a </w:t>
      </w:r>
      <w:r w:rsidR="00ED04CF" w:rsidRPr="0099201A">
        <w:t>discretion</w:t>
      </w:r>
      <w:proofErr w:type="gramEnd"/>
      <w:r w:rsidR="00ED04CF" w:rsidRPr="0099201A">
        <w:t xml:space="preserve"> </w:t>
      </w:r>
      <w:r w:rsidR="00ED04CF">
        <w:t xml:space="preserve">to grant funding </w:t>
      </w:r>
      <w:r w:rsidR="00ED04CF" w:rsidRPr="0099201A">
        <w:t>where the case settles before reaching the permission stage</w:t>
      </w:r>
      <w:r w:rsidR="00ED04CF">
        <w:t>). The regulations</w:t>
      </w:r>
      <w:r w:rsidR="00ED04CF">
        <w:rPr>
          <w:rStyle w:val="FootnoteReference"/>
        </w:rPr>
        <w:footnoteReference w:id="49"/>
      </w:r>
      <w:r w:rsidR="00ED04CF">
        <w:t xml:space="preserve"> introducing this change have been the subject of a successful judicial review challenge, in which the court held that the Lord Chancellor did not have the power to introduce such restrictions.</w:t>
      </w:r>
      <w:r w:rsidR="00ED04CF">
        <w:rPr>
          <w:rStyle w:val="FootnoteReference"/>
        </w:rPr>
        <w:footnoteReference w:id="50"/>
      </w:r>
    </w:p>
    <w:p w:rsidR="00E6373A" w:rsidRDefault="00E6373A" w:rsidP="00E6373A">
      <w:pPr>
        <w:pStyle w:val="Heading-subsections"/>
      </w:pPr>
      <w:r>
        <w:t>Conclusion:</w:t>
      </w:r>
    </w:p>
    <w:p w:rsidR="00BF618A" w:rsidRPr="00C72A0F" w:rsidRDefault="0016168E" w:rsidP="00C72A0F">
      <w:pPr>
        <w:pStyle w:val="Parabeforebulletss"/>
        <w:rPr>
          <w:b/>
        </w:rPr>
      </w:pPr>
      <w:r>
        <w:rPr>
          <w:b/>
        </w:rPr>
        <w:t xml:space="preserve">C.2.11 </w:t>
      </w:r>
      <w:r w:rsidR="00525311" w:rsidRPr="00C72A0F">
        <w:rPr>
          <w:b/>
        </w:rPr>
        <w:t xml:space="preserve">Changes introduced to civil legal aid by the LASPO Act 2012 and reforms to Judicial Review introduced by the Criminal Justice and Courts Act 2015 have significantly weakened the </w:t>
      </w:r>
      <w:r w:rsidR="00BF618A" w:rsidRPr="00C72A0F">
        <w:rPr>
          <w:b/>
        </w:rPr>
        <w:t>protect</w:t>
      </w:r>
      <w:r w:rsidR="00525311" w:rsidRPr="00C72A0F">
        <w:rPr>
          <w:b/>
        </w:rPr>
        <w:t>ions for</w:t>
      </w:r>
      <w:r w:rsidR="00BF618A" w:rsidRPr="00C72A0F">
        <w:rPr>
          <w:b/>
        </w:rPr>
        <w:t xml:space="preserve"> the right to equality before courts and tribunals for all </w:t>
      </w:r>
      <w:r w:rsidR="00525311" w:rsidRPr="00C72A0F">
        <w:rPr>
          <w:b/>
        </w:rPr>
        <w:t>persons in England and Wales. The UK Government needs to take a number of steps to improve compliance with Article 14 of ICCPR, including:</w:t>
      </w:r>
    </w:p>
    <w:p w:rsidR="00525311" w:rsidRPr="003F1F9D" w:rsidRDefault="00E9398B" w:rsidP="003F1F9D">
      <w:pPr>
        <w:pStyle w:val="Bullet-followedbyothers"/>
        <w:rPr>
          <w:b/>
        </w:rPr>
      </w:pPr>
      <w:r w:rsidRPr="003F1F9D">
        <w:rPr>
          <w:b/>
        </w:rPr>
        <w:t>u</w:t>
      </w:r>
      <w:r w:rsidR="00525311" w:rsidRPr="003F1F9D">
        <w:rPr>
          <w:b/>
        </w:rPr>
        <w:t>rgently acting on the evidence of weaknesses in the exceptional funding scheme for legal aid and the telephone advice gateway</w:t>
      </w:r>
    </w:p>
    <w:p w:rsidR="00525311" w:rsidRPr="003F1F9D" w:rsidRDefault="00E9398B" w:rsidP="003F1F9D">
      <w:pPr>
        <w:pStyle w:val="Bullet-followedbyothers"/>
        <w:rPr>
          <w:b/>
        </w:rPr>
      </w:pPr>
      <w:r w:rsidRPr="003F1F9D">
        <w:rPr>
          <w:b/>
        </w:rPr>
        <w:t>r</w:t>
      </w:r>
      <w:r w:rsidR="00525311" w:rsidRPr="003F1F9D">
        <w:rPr>
          <w:b/>
        </w:rPr>
        <w:t>esponding to the recommendations of the Low Commission on the future of advice and legal support for social welfare in England and Wales; and</w:t>
      </w:r>
    </w:p>
    <w:p w:rsidR="00525311" w:rsidRPr="003F1F9D" w:rsidRDefault="00E9398B" w:rsidP="003F1F9D">
      <w:pPr>
        <w:pStyle w:val="Bullet-lastingroup"/>
        <w:rPr>
          <w:b/>
        </w:rPr>
      </w:pPr>
      <w:proofErr w:type="gramStart"/>
      <w:r w:rsidRPr="003F1F9D">
        <w:rPr>
          <w:b/>
        </w:rPr>
        <w:t>w</w:t>
      </w:r>
      <w:r w:rsidR="00525311" w:rsidRPr="003F1F9D">
        <w:rPr>
          <w:b/>
        </w:rPr>
        <w:t>ithdrawing</w:t>
      </w:r>
      <w:proofErr w:type="gramEnd"/>
      <w:r w:rsidR="00525311" w:rsidRPr="003F1F9D">
        <w:rPr>
          <w:b/>
        </w:rPr>
        <w:t xml:space="preserve"> the residence test, the restrictions for legal aid for judicial review, and the proposals to limit the court’s discretion in these cases.</w:t>
      </w:r>
    </w:p>
    <w:p w:rsidR="00ED04CF" w:rsidRPr="003F1F9D" w:rsidRDefault="00ED04CF" w:rsidP="003F1F9D">
      <w:pPr>
        <w:pStyle w:val="Parabeforebulletss"/>
        <w:rPr>
          <w:b/>
        </w:rPr>
      </w:pPr>
      <w:r w:rsidRPr="003F1F9D">
        <w:rPr>
          <w:b/>
        </w:rPr>
        <w:t>Question A: Could the UK Government provide data about the impact (including cumulative impacts) of the LASPO Act and associated reforms, including on:</w:t>
      </w:r>
    </w:p>
    <w:p w:rsidR="00ED04CF" w:rsidRPr="003F1F9D" w:rsidRDefault="00ED04CF" w:rsidP="003F1F9D">
      <w:pPr>
        <w:pStyle w:val="Bullet-followedbyothers"/>
        <w:rPr>
          <w:b/>
        </w:rPr>
      </w:pPr>
      <w:r w:rsidRPr="003F1F9D">
        <w:rPr>
          <w:b/>
        </w:rPr>
        <w:t>The impact on access to justice for people with particular impairments arising from the introduction of a man</w:t>
      </w:r>
      <w:r w:rsidR="003F09D9" w:rsidRPr="003F1F9D">
        <w:rPr>
          <w:b/>
        </w:rPr>
        <w:t>datory telephone advice gateway?</w:t>
      </w:r>
    </w:p>
    <w:p w:rsidR="00ED04CF" w:rsidRPr="003F1F9D" w:rsidRDefault="00ED04CF" w:rsidP="003F1F9D">
      <w:pPr>
        <w:pStyle w:val="Bullet-followedbyothers"/>
        <w:rPr>
          <w:b/>
        </w:rPr>
      </w:pPr>
      <w:r w:rsidRPr="003F1F9D">
        <w:rPr>
          <w:b/>
        </w:rPr>
        <w:t>The combined impact of the mandatory telephone advice gateway and the introduction of fees for the Employment Tribunal on access to justice for victims of workplace discrimination?</w:t>
      </w:r>
    </w:p>
    <w:p w:rsidR="00ED04CF" w:rsidRPr="003F1F9D" w:rsidRDefault="00ED04CF" w:rsidP="003F1F9D">
      <w:pPr>
        <w:pStyle w:val="Bullet-followedbyothers"/>
        <w:rPr>
          <w:b/>
        </w:rPr>
      </w:pPr>
      <w:r w:rsidRPr="003F1F9D">
        <w:rPr>
          <w:b/>
        </w:rPr>
        <w:t xml:space="preserve">The increase in litigants in person in the civil and family courts and the consequences for access to justice arising from this? </w:t>
      </w:r>
    </w:p>
    <w:p w:rsidR="00ED04CF" w:rsidRPr="003F1F9D" w:rsidRDefault="00ED04CF" w:rsidP="003F1F9D">
      <w:pPr>
        <w:pStyle w:val="Bullet-lastingroup"/>
        <w:rPr>
          <w:b/>
        </w:rPr>
      </w:pPr>
      <w:r w:rsidRPr="003F1F9D">
        <w:rPr>
          <w:b/>
        </w:rPr>
        <w:t>The impact on the legal and advice sector of the reforms, also taking into account the effect of local and national austerity measures on funding for this sector?</w:t>
      </w:r>
    </w:p>
    <w:p w:rsidR="00ED04CF" w:rsidRPr="003F1F9D" w:rsidRDefault="00ED04CF" w:rsidP="003F1F9D">
      <w:pPr>
        <w:pStyle w:val="Parabold"/>
      </w:pPr>
      <w:r w:rsidRPr="003F1F9D">
        <w:lastRenderedPageBreak/>
        <w:t>Could the UK Government also provide information about the steps it has taken to mitigate these impacts?</w:t>
      </w:r>
    </w:p>
    <w:p w:rsidR="00ED04CF" w:rsidRPr="003F1F9D" w:rsidRDefault="003F09D9" w:rsidP="003F1F9D">
      <w:pPr>
        <w:pStyle w:val="Parabold"/>
      </w:pPr>
      <w:r w:rsidRPr="003F1F9D">
        <w:t>Question B: W</w:t>
      </w:r>
      <w:r w:rsidR="00ED04CF" w:rsidRPr="003F1F9D">
        <w:t>hat steps is the UK Government taking to modify the exceptional funding scheme in the light of its low uptake, the low success rates of applications and recent successful court challenges to guidance on the scheme?</w:t>
      </w:r>
    </w:p>
    <w:p w:rsidR="00ED04CF" w:rsidRPr="003F1F9D" w:rsidRDefault="00ED04CF" w:rsidP="003F1F9D">
      <w:pPr>
        <w:pStyle w:val="Parabold"/>
      </w:pPr>
      <w:r w:rsidRPr="003F1F9D">
        <w:t>Question C: Can the UK Government describe how it will ensure the residence test for civil legal aid, if introduced, will not lead to individuals being denied access to justice for a case relating to rights that are reflected in the ICCPR?</w:t>
      </w:r>
    </w:p>
    <w:p w:rsidR="00381B15" w:rsidRPr="00080A70" w:rsidRDefault="00ED04CF" w:rsidP="00080A70">
      <w:pPr>
        <w:pStyle w:val="Parabeforenewsection"/>
        <w:rPr>
          <w:b/>
        </w:rPr>
      </w:pPr>
      <w:r w:rsidRPr="00080A70">
        <w:rPr>
          <w:b/>
        </w:rPr>
        <w:t>Question D: What steps is the UK government taking to monitor the impact of recent and forthcoming reforms to judicial review on individuals’ and organisations’ ability to hold the UK to account for breaches of rights reflected in the ICCPR?</w:t>
      </w:r>
    </w:p>
    <w:p w:rsidR="009D502D" w:rsidRPr="00B3024E" w:rsidRDefault="002D01E1" w:rsidP="002B6091">
      <w:pPr>
        <w:pStyle w:val="Heading-sections"/>
        <w:numPr>
          <w:ilvl w:val="0"/>
          <w:numId w:val="7"/>
        </w:numPr>
      </w:pPr>
      <w:bookmarkStart w:id="11" w:name="_Toc420603267"/>
      <w:r w:rsidRPr="00B3024E">
        <w:t>Counter</w:t>
      </w:r>
      <w:r w:rsidR="00E31A2F">
        <w:t>-</w:t>
      </w:r>
      <w:r w:rsidR="00690805">
        <w:t>t</w:t>
      </w:r>
      <w:r w:rsidRPr="00B3024E">
        <w:t xml:space="preserve">errorism </w:t>
      </w:r>
      <w:r w:rsidR="00690805">
        <w:t>p</w:t>
      </w:r>
      <w:r w:rsidRPr="00B3024E">
        <w:t>rovisions (Articles 9</w:t>
      </w:r>
      <w:r w:rsidR="005C5A35">
        <w:t xml:space="preserve"> and</w:t>
      </w:r>
      <w:r w:rsidRPr="00B3024E">
        <w:t xml:space="preserve"> 14)</w:t>
      </w:r>
      <w:r w:rsidR="00CB7AA2" w:rsidRPr="00B3024E">
        <w:t>, List of I</w:t>
      </w:r>
      <w:r w:rsidRPr="00B3024E">
        <w:t>ssues paragraph</w:t>
      </w:r>
      <w:r w:rsidR="005C5A35">
        <w:t>s</w:t>
      </w:r>
      <w:r w:rsidRPr="00B3024E">
        <w:t xml:space="preserve"> 11</w:t>
      </w:r>
      <w:r w:rsidR="00CB7AA2" w:rsidRPr="00B3024E">
        <w:t>, 20, 23</w:t>
      </w:r>
      <w:r w:rsidR="003F09D9">
        <w:rPr>
          <w:rStyle w:val="FootnoteReference"/>
          <w:b w:val="0"/>
          <w:sz w:val="24"/>
          <w:szCs w:val="24"/>
        </w:rPr>
        <w:footnoteReference w:id="51"/>
      </w:r>
      <w:bookmarkEnd w:id="11"/>
    </w:p>
    <w:p w:rsidR="003F1473" w:rsidRPr="00D03A84" w:rsidRDefault="003F1473" w:rsidP="002B6091">
      <w:pPr>
        <w:pStyle w:val="Heading-subsections"/>
        <w:numPr>
          <w:ilvl w:val="0"/>
          <w:numId w:val="9"/>
        </w:numPr>
      </w:pPr>
      <w:r>
        <w:t xml:space="preserve">The </w:t>
      </w:r>
      <w:r w:rsidR="003A207C">
        <w:t>n</w:t>
      </w:r>
      <w:r w:rsidRPr="00D03A84">
        <w:t>eed to revi</w:t>
      </w:r>
      <w:r w:rsidR="00CB7AA2">
        <w:t xml:space="preserve">ew anti-terrorism legislation (List of Issues paragraph </w:t>
      </w:r>
      <w:r w:rsidRPr="00D03A84">
        <w:t>11)</w:t>
      </w:r>
    </w:p>
    <w:p w:rsidR="00B06917" w:rsidRDefault="0016168E" w:rsidP="003F1F9D">
      <w:pPr>
        <w:pStyle w:val="Parabeforebulletss"/>
      </w:pPr>
      <w:r w:rsidRPr="003F78A7">
        <w:rPr>
          <w:b/>
        </w:rPr>
        <w:t xml:space="preserve">C.3.1 </w:t>
      </w:r>
      <w:r w:rsidR="003F1473" w:rsidRPr="00D03A84">
        <w:t>On 12 February 2015, the UK Government introduced further counter-terrorism legislation: the Counter-Terrorism and Security Act 2015</w:t>
      </w:r>
      <w:r w:rsidR="006337BD">
        <w:t>, applicable to the UK</w:t>
      </w:r>
      <w:r w:rsidR="003F1473" w:rsidRPr="00D03A84">
        <w:t>. The Act</w:t>
      </w:r>
      <w:r w:rsidR="00B06917">
        <w:t>:</w:t>
      </w:r>
      <w:r w:rsidR="003F1473" w:rsidRPr="00D03A84">
        <w:t xml:space="preserve"> </w:t>
      </w:r>
    </w:p>
    <w:p w:rsidR="00B06917" w:rsidRDefault="003F1473" w:rsidP="003F1F9D">
      <w:pPr>
        <w:pStyle w:val="Bullet-followedbyothers"/>
      </w:pPr>
      <w:r w:rsidRPr="00F560D2">
        <w:t>extends the circumstances in which passports can be seized</w:t>
      </w:r>
    </w:p>
    <w:p w:rsidR="00B06917" w:rsidRDefault="003F1473" w:rsidP="003F1F9D">
      <w:pPr>
        <w:pStyle w:val="Bullet-followedbyothers"/>
      </w:pPr>
      <w:r w:rsidRPr="00F560D2">
        <w:t>introduces temporary exclusion orders preventing British citizens returning to the UK</w:t>
      </w:r>
    </w:p>
    <w:p w:rsidR="00B06917" w:rsidRDefault="003F1473" w:rsidP="003F1F9D">
      <w:pPr>
        <w:pStyle w:val="Bullet-followedbyothers"/>
      </w:pPr>
      <w:r w:rsidRPr="00F560D2">
        <w:t>extends the actions that can be taken under a Terrorism Prevention and Investigation Measure (TPIM)</w:t>
      </w:r>
      <w:r w:rsidR="005C5A35">
        <w:t>,</w:t>
      </w:r>
      <w:r w:rsidRPr="00F560D2">
        <w:t xml:space="preserve"> and </w:t>
      </w:r>
    </w:p>
    <w:p w:rsidR="00B06917" w:rsidRDefault="003F1473" w:rsidP="003F1F9D">
      <w:pPr>
        <w:pStyle w:val="Bullet-lastingroup"/>
      </w:pPr>
      <w:proofErr w:type="gramStart"/>
      <w:r w:rsidRPr="00F560D2">
        <w:t>creates</w:t>
      </w:r>
      <w:proofErr w:type="gramEnd"/>
      <w:r w:rsidRPr="00F560D2">
        <w:t xml:space="preserve"> a duty on certain bodies to have due regard to the need to prevent peo</w:t>
      </w:r>
      <w:r w:rsidR="00ED04CF" w:rsidRPr="00F560D2">
        <w:t xml:space="preserve">ple being drawn into terrorism. </w:t>
      </w:r>
    </w:p>
    <w:p w:rsidR="003F1473" w:rsidRPr="00F560D2" w:rsidRDefault="0016168E" w:rsidP="003F1F9D">
      <w:pPr>
        <w:pStyle w:val="Parabeforeanother"/>
      </w:pPr>
      <w:r w:rsidRPr="003F78A7">
        <w:rPr>
          <w:b/>
        </w:rPr>
        <w:t>C.3.2</w:t>
      </w:r>
      <w:r>
        <w:t xml:space="preserve"> </w:t>
      </w:r>
      <w:r w:rsidR="002378C6" w:rsidRPr="00F560D2">
        <w:t>The EHRC set out our</w:t>
      </w:r>
      <w:r w:rsidR="003F1473" w:rsidRPr="00F560D2">
        <w:t xml:space="preserve"> </w:t>
      </w:r>
      <w:r w:rsidR="008B0A14" w:rsidRPr="00F560D2">
        <w:t>analysis of the human rights implications</w:t>
      </w:r>
      <w:r w:rsidR="00DB5F37" w:rsidRPr="00F560D2">
        <w:t xml:space="preserve"> of these provisions</w:t>
      </w:r>
      <w:r w:rsidR="003F1473" w:rsidRPr="00F560D2">
        <w:t xml:space="preserve"> during the passage of the Bill through </w:t>
      </w:r>
      <w:r w:rsidR="00B06917">
        <w:t xml:space="preserve">the UK </w:t>
      </w:r>
      <w:r w:rsidR="003F1473" w:rsidRPr="00F560D2">
        <w:t>Parliament.</w:t>
      </w:r>
      <w:r w:rsidR="003F1473" w:rsidRPr="00D03A84">
        <w:rPr>
          <w:rStyle w:val="FootnoteReference"/>
        </w:rPr>
        <w:footnoteReference w:id="52"/>
      </w:r>
      <w:r w:rsidR="003F1473" w:rsidRPr="00F560D2">
        <w:t xml:space="preserve"> </w:t>
      </w:r>
    </w:p>
    <w:p w:rsidR="003F1473" w:rsidRPr="00D03A84" w:rsidRDefault="0016168E" w:rsidP="003F1F9D">
      <w:pPr>
        <w:pStyle w:val="Parapre-bullets"/>
      </w:pPr>
      <w:r w:rsidRPr="003F78A7">
        <w:rPr>
          <w:b/>
        </w:rPr>
        <w:lastRenderedPageBreak/>
        <w:t>C.3.3</w:t>
      </w:r>
      <w:r>
        <w:t xml:space="preserve"> </w:t>
      </w:r>
      <w:r w:rsidR="003F1473" w:rsidRPr="00D03A84">
        <w:t>In relation to temporary exclusion orders, the EHRC considers that:</w:t>
      </w:r>
    </w:p>
    <w:p w:rsidR="009D2C18" w:rsidRDefault="003F1473" w:rsidP="003F1F9D">
      <w:pPr>
        <w:pStyle w:val="Bullet-followedbyothers"/>
      </w:pPr>
      <w:r w:rsidRPr="009D2C18">
        <w:t xml:space="preserve">requiring individuals subject to temporary exclusion orders to attend an interview with a police officer in circumstances where legal representation is unlikely to be available is likely to breach the privilege against self-incrimination under Article 6 </w:t>
      </w:r>
      <w:r w:rsidR="002378C6">
        <w:t xml:space="preserve">(right to a fair trial) </w:t>
      </w:r>
      <w:r w:rsidRPr="009D2C18">
        <w:t>of the ECHR</w:t>
      </w:r>
      <w:r w:rsidR="005C5A35">
        <w:t>,</w:t>
      </w:r>
      <w:r w:rsidRPr="009D2C18">
        <w:t xml:space="preserve"> and that</w:t>
      </w:r>
    </w:p>
    <w:p w:rsidR="003F1473" w:rsidRPr="009D2C18" w:rsidRDefault="003F1473" w:rsidP="003F1F9D">
      <w:pPr>
        <w:pStyle w:val="Bullet-lastingroup"/>
      </w:pPr>
      <w:proofErr w:type="gramStart"/>
      <w:r w:rsidRPr="009D2C18">
        <w:t>the</w:t>
      </w:r>
      <w:proofErr w:type="gramEnd"/>
      <w:r w:rsidRPr="009D2C18">
        <w:t xml:space="preserve"> proposed exclusion orders are incompatible with Article 12(4) ICCPR</w:t>
      </w:r>
      <w:r w:rsidR="00722676">
        <w:t xml:space="preserve"> (n</w:t>
      </w:r>
      <w:r w:rsidR="00722676" w:rsidRPr="00722676">
        <w:t>o one shall be arbitrarily deprived of the right to enter his own country</w:t>
      </w:r>
      <w:r w:rsidR="00722676">
        <w:t>)</w:t>
      </w:r>
      <w:r w:rsidRPr="009D2C18">
        <w:t>.</w:t>
      </w:r>
      <w:r w:rsidR="002378C6">
        <w:rPr>
          <w:rStyle w:val="FootnoteReference"/>
          <w:rFonts w:cs="Arial"/>
        </w:rPr>
        <w:footnoteReference w:id="53"/>
      </w:r>
    </w:p>
    <w:p w:rsidR="003F1473" w:rsidRPr="00D03A84" w:rsidRDefault="0016168E" w:rsidP="003F1F9D">
      <w:pPr>
        <w:pStyle w:val="Parabeforenewsubsection"/>
      </w:pPr>
      <w:r w:rsidRPr="003F78A7">
        <w:rPr>
          <w:b/>
        </w:rPr>
        <w:t>C.3.4</w:t>
      </w:r>
      <w:r>
        <w:t xml:space="preserve"> </w:t>
      </w:r>
      <w:r w:rsidR="003F1473" w:rsidRPr="00D03A84">
        <w:t xml:space="preserve">We also consider there is insufficient provision for independent oversight or scrutiny of the exercise of several of the powers, even though the powers appear, potentially, to interfere with fundamental rights. Appropriate oversight mechanisms should be introduced to ensure the use of these powers is proportionate and necessary. This applies in relation to passport seizure, temporary exclusion orders, </w:t>
      </w:r>
      <w:proofErr w:type="gramStart"/>
      <w:r w:rsidR="003F1473" w:rsidRPr="00D03A84">
        <w:t>the</w:t>
      </w:r>
      <w:proofErr w:type="gramEnd"/>
      <w:r w:rsidR="003F1473" w:rsidRPr="00D03A84">
        <w:t xml:space="preserve"> additional data retention measures (section 21) and the measures regarding the duty on public authorities to have due regard to the need to prevent people being drawn into terrorism (sections 26-35).</w:t>
      </w:r>
    </w:p>
    <w:p w:rsidR="003F1473" w:rsidRPr="00D03A84" w:rsidRDefault="003F1473" w:rsidP="002B6091">
      <w:pPr>
        <w:pStyle w:val="Heading-subsections"/>
        <w:numPr>
          <w:ilvl w:val="0"/>
          <w:numId w:val="9"/>
        </w:numPr>
      </w:pPr>
      <w:r w:rsidRPr="00D03A84">
        <w:t>Pre-ch</w:t>
      </w:r>
      <w:r w:rsidR="002378C6">
        <w:t>arge detention (List of Issues paragraph</w:t>
      </w:r>
      <w:r w:rsidRPr="00D03A84">
        <w:t xml:space="preserve"> 20)</w:t>
      </w:r>
    </w:p>
    <w:p w:rsidR="003F1473" w:rsidRPr="00D03A84" w:rsidRDefault="0016168E" w:rsidP="003F1F9D">
      <w:pPr>
        <w:pStyle w:val="Parabeforenewsubsection"/>
      </w:pPr>
      <w:r w:rsidRPr="003F78A7">
        <w:rPr>
          <w:b/>
        </w:rPr>
        <w:t>C.3.5</w:t>
      </w:r>
      <w:r>
        <w:t xml:space="preserve"> </w:t>
      </w:r>
      <w:r w:rsidR="003F1473" w:rsidRPr="00D03A84">
        <w:t>As the EHRC outlined in our 2014 submission to the HRC,</w:t>
      </w:r>
      <w:r w:rsidR="003F1473" w:rsidRPr="00D03A84">
        <w:rPr>
          <w:rStyle w:val="FootnoteReference"/>
        </w:rPr>
        <w:footnoteReference w:id="54"/>
      </w:r>
      <w:r w:rsidR="003F1473" w:rsidRPr="00D03A84">
        <w:t xml:space="preserve"> the Protection of Freedoms Act 2012</w:t>
      </w:r>
      <w:r w:rsidR="006337BD">
        <w:t>, applicable in England and Wales,</w:t>
      </w:r>
      <w:r w:rsidR="003F1473" w:rsidRPr="00D03A84">
        <w:t xml:space="preserve"> retains the 14-day limit for terrorism suspects to be detained before being charged, with judicial authorisation.</w:t>
      </w:r>
      <w:r w:rsidR="003F1473" w:rsidRPr="00D03A84">
        <w:rPr>
          <w:rStyle w:val="FootnoteReference"/>
        </w:rPr>
        <w:footnoteReference w:id="55"/>
      </w:r>
      <w:r w:rsidR="008C67B4">
        <w:t xml:space="preserve"> </w:t>
      </w:r>
      <w:r w:rsidR="003F1473" w:rsidRPr="00D03A84">
        <w:t xml:space="preserve">The EHRC shares the HRC’s </w:t>
      </w:r>
      <w:r w:rsidR="002F4172">
        <w:t>views</w:t>
      </w:r>
      <w:r w:rsidR="002F4172" w:rsidRPr="00D03A84">
        <w:t xml:space="preserve"> </w:t>
      </w:r>
      <w:r w:rsidR="003F1473" w:rsidRPr="00D03A84">
        <w:t>about pre-charge detention in terrorism cases,</w:t>
      </w:r>
      <w:r w:rsidR="003F1473" w:rsidRPr="00D03A84">
        <w:rPr>
          <w:rStyle w:val="FootnoteReference"/>
        </w:rPr>
        <w:footnoteReference w:id="56"/>
      </w:r>
      <w:r w:rsidR="003F1473" w:rsidRPr="00D03A84">
        <w:t xml:space="preserve"> and considers the maximum should be four days, consistent with the criminal law in England and Wales. </w:t>
      </w:r>
    </w:p>
    <w:p w:rsidR="003F1473" w:rsidRPr="00D03A84" w:rsidRDefault="003F1473" w:rsidP="002B6091">
      <w:pPr>
        <w:pStyle w:val="Heading-subsections"/>
        <w:numPr>
          <w:ilvl w:val="0"/>
          <w:numId w:val="9"/>
        </w:numPr>
      </w:pPr>
      <w:r w:rsidRPr="00D03A84">
        <w:lastRenderedPageBreak/>
        <w:t>Closed material pr</w:t>
      </w:r>
      <w:r w:rsidR="002378C6">
        <w:t xml:space="preserve">oceedings and secret evidence (List of Issues paragraph </w:t>
      </w:r>
      <w:r w:rsidRPr="00D03A84">
        <w:t>23)</w:t>
      </w:r>
    </w:p>
    <w:p w:rsidR="003F1473" w:rsidRDefault="0016168E" w:rsidP="003F78A7">
      <w:pPr>
        <w:pStyle w:val="Parabeforeanother"/>
      </w:pPr>
      <w:r w:rsidRPr="003F78A7">
        <w:rPr>
          <w:b/>
        </w:rPr>
        <w:t>C.3.6</w:t>
      </w:r>
      <w:r>
        <w:t xml:space="preserve"> </w:t>
      </w:r>
      <w:r w:rsidR="003F1473" w:rsidRPr="00D03A84">
        <w:t xml:space="preserve">The EHRC continues to </w:t>
      </w:r>
      <w:r w:rsidR="002F4172">
        <w:t xml:space="preserve">think there are human rights problems with </w:t>
      </w:r>
      <w:r w:rsidR="003F1473" w:rsidRPr="00D03A84">
        <w:t xml:space="preserve">the use of closed material proceedings (CMPs) </w:t>
      </w:r>
      <w:r w:rsidR="006337BD">
        <w:t xml:space="preserve">in the UK, </w:t>
      </w:r>
      <w:r w:rsidR="003F1473" w:rsidRPr="00D03A84">
        <w:t>which mean that one party, for example</w:t>
      </w:r>
      <w:r w:rsidR="00ED04CF">
        <w:t>,</w:t>
      </w:r>
      <w:r w:rsidR="003F1473" w:rsidRPr="00D03A84">
        <w:t xml:space="preserve"> an individual bringing a claim against a government agency, is not permitted to take part in all, or part of, the proceedings. There is a range of different contexts where CMPs, via the Special Advocates System, have been legislated for in the UK, including terrorist asset freezing proceedings, employment tribunals and planning inquiries.</w:t>
      </w:r>
      <w:r w:rsidR="003F1473" w:rsidRPr="00D03A84">
        <w:rPr>
          <w:rStyle w:val="FootnoteReference"/>
        </w:rPr>
        <w:footnoteReference w:id="57"/>
      </w:r>
      <w:r w:rsidR="003F1473" w:rsidRPr="00D03A84">
        <w:t xml:space="preserve"> There are also a number of situations where special advocates have been appointed on a non-statutory basis, for example the Security Vetting Appeals Panel.</w:t>
      </w:r>
    </w:p>
    <w:p w:rsidR="003F1473" w:rsidRDefault="0016168E" w:rsidP="003F1F9D">
      <w:pPr>
        <w:pStyle w:val="Parabeforenewsubsection"/>
      </w:pPr>
      <w:r w:rsidRPr="003F78A7">
        <w:rPr>
          <w:b/>
        </w:rPr>
        <w:t>C.3.7</w:t>
      </w:r>
      <w:r>
        <w:t xml:space="preserve"> </w:t>
      </w:r>
      <w:r w:rsidR="003F1473" w:rsidRPr="00D03A84">
        <w:t>The Justice and Security Act 2013 extends the use of closed proceedings to any civil case in which the Justice Secretary certifies that it involves sensitive material that it would not be in the public interest to disclose because of national security.</w:t>
      </w:r>
      <w:r w:rsidR="003F1473" w:rsidRPr="00D03A84">
        <w:rPr>
          <w:rStyle w:val="FootnoteReference"/>
        </w:rPr>
        <w:footnoteReference w:id="58"/>
      </w:r>
      <w:r w:rsidR="003F1473" w:rsidRPr="00D03A84">
        <w:t xml:space="preserve"> </w:t>
      </w:r>
    </w:p>
    <w:p w:rsidR="00E6373A" w:rsidRDefault="00E6373A" w:rsidP="00E6373A">
      <w:pPr>
        <w:pStyle w:val="Heading-subsections"/>
      </w:pPr>
      <w:r>
        <w:t>Conclusion:</w:t>
      </w:r>
    </w:p>
    <w:p w:rsidR="002F7580" w:rsidRPr="00080A70" w:rsidRDefault="0016168E" w:rsidP="00080A70">
      <w:pPr>
        <w:pStyle w:val="Parabeforebulletss"/>
        <w:rPr>
          <w:b/>
        </w:rPr>
      </w:pPr>
      <w:r>
        <w:rPr>
          <w:b/>
        </w:rPr>
        <w:t xml:space="preserve">C.3.8 </w:t>
      </w:r>
      <w:r w:rsidR="00722676" w:rsidRPr="00080A70">
        <w:rPr>
          <w:b/>
        </w:rPr>
        <w:t>The UK Government has introduced a package of anti-terrorism legislation, which create</w:t>
      </w:r>
      <w:r w:rsidR="00F560D2" w:rsidRPr="00080A70">
        <w:rPr>
          <w:b/>
        </w:rPr>
        <w:t>s</w:t>
      </w:r>
      <w:r w:rsidR="00722676" w:rsidRPr="00080A70">
        <w:rPr>
          <w:b/>
        </w:rPr>
        <w:t xml:space="preserve"> very wide-reaching powers that may be incompatible with its obligations to protect the rights to liberty and equality before the courts while protecting national security. The UK Government needs to conduct a broad review of its anti-terrorism legislation to ensure that all these powers are necessary and do not unduly interfere with its obligations under Articles 9 and 14 of ICCPR</w:t>
      </w:r>
      <w:r w:rsidR="002F7580" w:rsidRPr="00080A70">
        <w:rPr>
          <w:b/>
        </w:rPr>
        <w:t>, including consideration of:</w:t>
      </w:r>
    </w:p>
    <w:p w:rsidR="002F7580" w:rsidRPr="00080A70" w:rsidRDefault="002F7580" w:rsidP="00080A70">
      <w:pPr>
        <w:pStyle w:val="Bullet-followedbyothers"/>
        <w:rPr>
          <w:b/>
        </w:rPr>
      </w:pPr>
      <w:r w:rsidRPr="00080A70">
        <w:rPr>
          <w:b/>
        </w:rPr>
        <w:t>amending Schedule 8 to the Terrorism Act 2000 so that terrorism suspects have the same right to access legal advice as those arrested for non-terrorism related cases</w:t>
      </w:r>
    </w:p>
    <w:p w:rsidR="002F7580" w:rsidRPr="00080A70" w:rsidRDefault="002F7580" w:rsidP="00080A70">
      <w:pPr>
        <w:pStyle w:val="Bullet-followedbyothers"/>
        <w:rPr>
          <w:b/>
        </w:rPr>
      </w:pPr>
      <w:r w:rsidRPr="00080A70">
        <w:rPr>
          <w:b/>
        </w:rPr>
        <w:t>reducing the limit on pre-charge detention for terrorist suspects to four days, in line with the criminal law in England and Wales</w:t>
      </w:r>
    </w:p>
    <w:p w:rsidR="002F7580" w:rsidRPr="00080A70" w:rsidRDefault="002F7580" w:rsidP="00080A70">
      <w:pPr>
        <w:pStyle w:val="Bullet-followedbyothers"/>
        <w:rPr>
          <w:b/>
        </w:rPr>
      </w:pPr>
      <w:r w:rsidRPr="00080A70">
        <w:rPr>
          <w:b/>
        </w:rPr>
        <w:t>considering the continued necessity of TPIMs</w:t>
      </w:r>
      <w:r w:rsidR="005C5A35" w:rsidRPr="00080A70">
        <w:rPr>
          <w:b/>
        </w:rPr>
        <w:t>,</w:t>
      </w:r>
      <w:r w:rsidRPr="00080A70">
        <w:rPr>
          <w:b/>
        </w:rPr>
        <w:t xml:space="preserve"> and</w:t>
      </w:r>
    </w:p>
    <w:p w:rsidR="002F7580" w:rsidRPr="00080A70" w:rsidRDefault="002F7580" w:rsidP="00080A70">
      <w:pPr>
        <w:pStyle w:val="Bullet-followedbyothers"/>
        <w:rPr>
          <w:b/>
        </w:rPr>
      </w:pPr>
      <w:r w:rsidRPr="00080A70">
        <w:rPr>
          <w:b/>
        </w:rPr>
        <w:lastRenderedPageBreak/>
        <w:t>restricting the use of closed material proceedings to the smallest possible number of courts and tribunals, as a last resort where there is no alternative means of achieving justice</w:t>
      </w:r>
    </w:p>
    <w:p w:rsidR="00F560D2" w:rsidRPr="00080A70" w:rsidRDefault="002F7580" w:rsidP="00080A70">
      <w:pPr>
        <w:pStyle w:val="Bullet-followedbyothers"/>
        <w:rPr>
          <w:b/>
        </w:rPr>
      </w:pPr>
      <w:r w:rsidRPr="00080A70">
        <w:rPr>
          <w:b/>
        </w:rPr>
        <w:t>repealing the provisions in the Justice and Security Act to extend the use of closed material proceedings into civil litigation</w:t>
      </w:r>
      <w:r w:rsidR="005C5A35" w:rsidRPr="00080A70">
        <w:rPr>
          <w:b/>
        </w:rPr>
        <w:t>,</w:t>
      </w:r>
      <w:r w:rsidRPr="00080A70">
        <w:rPr>
          <w:b/>
        </w:rPr>
        <w:t xml:space="preserve"> and</w:t>
      </w:r>
    </w:p>
    <w:p w:rsidR="00722676" w:rsidRPr="00080A70" w:rsidRDefault="002F7580" w:rsidP="00080A70">
      <w:pPr>
        <w:pStyle w:val="Bullet-lastingroup"/>
        <w:rPr>
          <w:b/>
        </w:rPr>
      </w:pPr>
      <w:proofErr w:type="gramStart"/>
      <w:r w:rsidRPr="00080A70">
        <w:rPr>
          <w:b/>
        </w:rPr>
        <w:t>where</w:t>
      </w:r>
      <w:proofErr w:type="gramEnd"/>
      <w:r w:rsidRPr="00080A70">
        <w:rPr>
          <w:b/>
        </w:rPr>
        <w:t xml:space="preserve"> material is to remain closed, ensuring the excluded party is given sufficient information to enable them to give effective instructions to their Special Advocate. </w:t>
      </w:r>
    </w:p>
    <w:p w:rsidR="003F1473" w:rsidRPr="00080A70" w:rsidRDefault="003F1473" w:rsidP="00080A70">
      <w:pPr>
        <w:pStyle w:val="Parabeforenewsection"/>
        <w:rPr>
          <w:b/>
        </w:rPr>
      </w:pPr>
      <w:r w:rsidRPr="00080A70">
        <w:rPr>
          <w:b/>
        </w:rPr>
        <w:t xml:space="preserve">Question A: </w:t>
      </w:r>
      <w:r w:rsidR="002F7580" w:rsidRPr="00080A70">
        <w:rPr>
          <w:b/>
        </w:rPr>
        <w:t xml:space="preserve">When will </w:t>
      </w:r>
      <w:r w:rsidRPr="00080A70">
        <w:rPr>
          <w:b/>
        </w:rPr>
        <w:t>the UK Government conduct a review of its terrorism powers to ensure it complies with its international obligations to protect a range of human rights, while protecting national security</w:t>
      </w:r>
      <w:r w:rsidR="002F7580" w:rsidRPr="00080A70">
        <w:rPr>
          <w:b/>
        </w:rPr>
        <w:t>?</w:t>
      </w:r>
    </w:p>
    <w:p w:rsidR="00AE7455" w:rsidRPr="00B3024E" w:rsidRDefault="00AE7455" w:rsidP="002B6091">
      <w:pPr>
        <w:pStyle w:val="Heading-sections"/>
        <w:numPr>
          <w:ilvl w:val="0"/>
          <w:numId w:val="7"/>
        </w:numPr>
      </w:pPr>
      <w:bookmarkStart w:id="12" w:name="_Toc420603268"/>
      <w:r w:rsidRPr="00B3024E">
        <w:t xml:space="preserve">Stop and </w:t>
      </w:r>
      <w:r w:rsidR="00690805">
        <w:t>s</w:t>
      </w:r>
      <w:r>
        <w:t>earch (Articles 9, 17 and 26), List of I</w:t>
      </w:r>
      <w:r w:rsidRPr="00B3024E">
        <w:t>ssues</w:t>
      </w:r>
      <w:r w:rsidR="005C5A35">
        <w:t xml:space="preserve"> </w:t>
      </w:r>
      <w:r w:rsidRPr="00B3024E">
        <w:t>paragraph</w:t>
      </w:r>
      <w:r>
        <w:t>s</w:t>
      </w:r>
      <w:r w:rsidRPr="00B3024E">
        <w:t xml:space="preserve"> 8</w:t>
      </w:r>
      <w:r>
        <w:t>, 11 and 23</w:t>
      </w:r>
      <w:bookmarkEnd w:id="12"/>
    </w:p>
    <w:p w:rsidR="0079007E" w:rsidRPr="00B1436B" w:rsidRDefault="0079007E" w:rsidP="002B6091">
      <w:pPr>
        <w:pStyle w:val="Heading-subsections"/>
        <w:numPr>
          <w:ilvl w:val="0"/>
          <w:numId w:val="10"/>
        </w:numPr>
      </w:pPr>
      <w:r w:rsidRPr="00B1436B">
        <w:t xml:space="preserve">Schedule 7 of the Terrorism Act 2000 </w:t>
      </w:r>
    </w:p>
    <w:p w:rsidR="0079007E" w:rsidRPr="00B1436B" w:rsidRDefault="0016168E" w:rsidP="00DA73EA">
      <w:pPr>
        <w:pStyle w:val="Parabeforeanother"/>
      </w:pPr>
      <w:r w:rsidRPr="003F78A7">
        <w:rPr>
          <w:b/>
        </w:rPr>
        <w:t>C.4.1</w:t>
      </w:r>
      <w:r>
        <w:t xml:space="preserve"> </w:t>
      </w:r>
      <w:r w:rsidR="0079007E" w:rsidRPr="00B1436B">
        <w:t>In our 2014 submission to the HRC, we noted that while use of Schedule 7 of the Terrorism Act 2000</w:t>
      </w:r>
      <w:r w:rsidR="0079007E" w:rsidRPr="00B1436B">
        <w:rPr>
          <w:rStyle w:val="FootnoteReference"/>
        </w:rPr>
        <w:footnoteReference w:id="59"/>
      </w:r>
      <w:r w:rsidR="0079007E" w:rsidRPr="00B1436B">
        <w:t xml:space="preserve"> power has continued its decline in recent years, a large number of individuals are subject to it each year,</w:t>
      </w:r>
      <w:r w:rsidR="0079007E" w:rsidRPr="00B1436B">
        <w:rPr>
          <w:rStyle w:val="FootnoteReference"/>
        </w:rPr>
        <w:footnoteReference w:id="60"/>
      </w:r>
      <w:r w:rsidR="0079007E" w:rsidRPr="00B1436B">
        <w:t xml:space="preserve"> and that a disproportionate number are from particular ethnic minorities</w:t>
      </w:r>
      <w:r w:rsidR="0079007E" w:rsidRPr="00B1436B">
        <w:rPr>
          <w:rStyle w:val="FootnoteReference"/>
        </w:rPr>
        <w:footnoteReference w:id="61"/>
      </w:r>
      <w:r w:rsidR="0079007E" w:rsidRPr="00B1436B">
        <w:t xml:space="preserve"> despite the Code of Practice</w:t>
      </w:r>
      <w:r w:rsidR="0079007E" w:rsidRPr="00B1436B">
        <w:rPr>
          <w:rStyle w:val="FootnoteReference"/>
        </w:rPr>
        <w:footnoteReference w:id="62"/>
      </w:r>
      <w:r w:rsidR="0079007E" w:rsidRPr="00B1436B">
        <w:t xml:space="preserve"> on the use of Schedule 7 explicitly ruling out a reliance on ethnicity as the sole means to determine who to stop under this power. While we acknowledge the differing views as to whether this disproportionality demonstrates unlawful discrimination,</w:t>
      </w:r>
      <w:r w:rsidR="0079007E" w:rsidRPr="00B1436B">
        <w:rPr>
          <w:rStyle w:val="FootnoteReference"/>
        </w:rPr>
        <w:footnoteReference w:id="63"/>
      </w:r>
      <w:r w:rsidR="0079007E" w:rsidRPr="00B1436B">
        <w:t xml:space="preserve"> we believe the HRC’s 2008 concerns remain valid.</w:t>
      </w:r>
      <w:r w:rsidR="0079007E" w:rsidRPr="00B1436B">
        <w:rPr>
          <w:rStyle w:val="FootnoteReference"/>
        </w:rPr>
        <w:footnoteReference w:id="64"/>
      </w:r>
      <w:r w:rsidR="0079007E" w:rsidRPr="00B1436B">
        <w:t xml:space="preserve"> </w:t>
      </w:r>
    </w:p>
    <w:p w:rsidR="0079007E" w:rsidRPr="00B1436B" w:rsidRDefault="0016168E" w:rsidP="00DA73EA">
      <w:pPr>
        <w:pStyle w:val="Parabeforenewsubsection"/>
      </w:pPr>
      <w:r w:rsidRPr="003F78A7">
        <w:rPr>
          <w:b/>
        </w:rPr>
        <w:lastRenderedPageBreak/>
        <w:t>C.4.2</w:t>
      </w:r>
      <w:r>
        <w:t xml:space="preserve"> </w:t>
      </w:r>
      <w:r w:rsidR="0079007E" w:rsidRPr="00B1436B">
        <w:t>We continue to maintain that there is a need to include a statutory requirement to centrally record and monitor data about the race and nationality characteristics of those who are stopped under Schedule 7. We believe such a duty would help ensure the power is not used in a discriminatory or disproportionate way</w:t>
      </w:r>
      <w:r w:rsidR="0079007E" w:rsidRPr="00B1436B">
        <w:rPr>
          <w:rStyle w:val="FootnoteReference"/>
        </w:rPr>
        <w:footnoteReference w:id="65"/>
      </w:r>
      <w:r w:rsidR="0079007E" w:rsidRPr="00B1436B">
        <w:t xml:space="preserve"> and would address the perception of prejudice, which the Independent Review of Terrorism Legislation notes </w:t>
      </w:r>
      <w:r w:rsidR="008006FE">
        <w:t>‘</w:t>
      </w:r>
      <w:r w:rsidR="0079007E" w:rsidRPr="00B1436B">
        <w:t>can be quite as damaging to community relations as the reality</w:t>
      </w:r>
      <w:r w:rsidR="008006FE">
        <w:t>’</w:t>
      </w:r>
      <w:r w:rsidR="0079007E" w:rsidRPr="00B1436B">
        <w:t>.</w:t>
      </w:r>
      <w:r w:rsidR="0079007E" w:rsidRPr="00B1436B">
        <w:rPr>
          <w:rStyle w:val="FootnoteReference"/>
        </w:rPr>
        <w:footnoteReference w:id="66"/>
      </w:r>
      <w:r w:rsidR="0079007E" w:rsidRPr="00B1436B">
        <w:t xml:space="preserve"> We maintain that these powers continue to lack fundamental procedural protections, such as the requirement of </w:t>
      </w:r>
      <w:r w:rsidR="008006FE">
        <w:t>‘</w:t>
      </w:r>
      <w:r w:rsidR="0079007E" w:rsidRPr="00B1436B">
        <w:t>reasonable suspicion</w:t>
      </w:r>
      <w:r w:rsidR="008006FE">
        <w:t>’</w:t>
      </w:r>
      <w:r w:rsidR="0079007E" w:rsidRPr="00B1436B">
        <w:t xml:space="preserve">, which would be consistent with the rights to privacy, and liberty and security under the ECHR. </w:t>
      </w:r>
    </w:p>
    <w:p w:rsidR="0079007E" w:rsidRPr="00B1436B" w:rsidRDefault="0079007E" w:rsidP="002B6091">
      <w:pPr>
        <w:pStyle w:val="Heading-subsections"/>
        <w:numPr>
          <w:ilvl w:val="0"/>
          <w:numId w:val="10"/>
        </w:numPr>
      </w:pPr>
      <w:r w:rsidRPr="00B1436B">
        <w:t>Fair and effective use of stop and search</w:t>
      </w:r>
    </w:p>
    <w:p w:rsidR="0079007E" w:rsidRPr="00B1436B" w:rsidRDefault="0016168E" w:rsidP="00DA73EA">
      <w:pPr>
        <w:pStyle w:val="Parabeforeanother"/>
      </w:pPr>
      <w:r w:rsidRPr="003F78A7">
        <w:rPr>
          <w:b/>
        </w:rPr>
        <w:t xml:space="preserve">C.4.3 </w:t>
      </w:r>
      <w:r>
        <w:t>i</w:t>
      </w:r>
      <w:r w:rsidR="0079007E" w:rsidRPr="00B1436B">
        <w:t>n the EHRC’s July 2014 submission to the HRC, we highlighted a number of issues relating to how stop and search powers are used under schedule 1 of the Police and Criminal Evidence Act (PACE) and section 60 of the Criminal Justice and Public Order Act (CJPOA), their impact on ethnic minority communities and their effectiveness at detecting and tackling crime.</w:t>
      </w:r>
      <w:r w:rsidR="0079007E" w:rsidRPr="00B1436B">
        <w:rPr>
          <w:rStyle w:val="FootnoteReference"/>
        </w:rPr>
        <w:footnoteReference w:id="67"/>
      </w:r>
      <w:r w:rsidR="0079007E" w:rsidRPr="00B1436B">
        <w:t xml:space="preserve"> We believe these powers are an important means of tackling crime, but only if they are used legitimately and proportionately. If they are not, there is a risk they may contribute to tensions between communities and the police.</w:t>
      </w:r>
      <w:r w:rsidR="0079007E" w:rsidRPr="00B1436B">
        <w:rPr>
          <w:rStyle w:val="FootnoteReference"/>
        </w:rPr>
        <w:footnoteReference w:id="68"/>
      </w:r>
    </w:p>
    <w:p w:rsidR="0079007E" w:rsidRPr="00B1436B" w:rsidRDefault="0016168E" w:rsidP="00DA73EA">
      <w:pPr>
        <w:pStyle w:val="Parabeforeanother"/>
      </w:pPr>
      <w:r w:rsidRPr="003F78A7">
        <w:rPr>
          <w:b/>
        </w:rPr>
        <w:lastRenderedPageBreak/>
        <w:t xml:space="preserve">C.4.4 </w:t>
      </w:r>
      <w:r w:rsidR="0079007E" w:rsidRPr="00B1436B">
        <w:t xml:space="preserve">The UK Government has recently published </w:t>
      </w:r>
      <w:proofErr w:type="gramStart"/>
      <w:r w:rsidR="0079007E" w:rsidRPr="00B1436B">
        <w:t>stop</w:t>
      </w:r>
      <w:proofErr w:type="gramEnd"/>
      <w:r w:rsidR="0079007E" w:rsidRPr="00B1436B">
        <w:t xml:space="preserve"> and search data for 2013-14.</w:t>
      </w:r>
      <w:r w:rsidR="0079007E" w:rsidRPr="00B1436B">
        <w:rPr>
          <w:rStyle w:val="FootnoteReference"/>
        </w:rPr>
        <w:footnoteReference w:id="69"/>
      </w:r>
      <w:r w:rsidR="0079007E" w:rsidRPr="00B1436B">
        <w:t xml:space="preserve"> While there has been a welcome noticeable reduction in the overall use of stop and search powers, the EHRC continues to be concerned about their disproportionate use in relation to ethnic minorities. </w:t>
      </w:r>
    </w:p>
    <w:p w:rsidR="0079007E" w:rsidRPr="00B1436B" w:rsidRDefault="0016168E" w:rsidP="00DA73EA">
      <w:pPr>
        <w:pStyle w:val="Parabeforeanother"/>
      </w:pPr>
      <w:r w:rsidRPr="003F78A7">
        <w:rPr>
          <w:b/>
          <w:lang w:val="en-US"/>
        </w:rPr>
        <w:t>C.4.5</w:t>
      </w:r>
      <w:r>
        <w:rPr>
          <w:lang w:val="en-US"/>
        </w:rPr>
        <w:t xml:space="preserve"> </w:t>
      </w:r>
      <w:r w:rsidR="0079007E" w:rsidRPr="00B1436B">
        <w:rPr>
          <w:lang w:val="en-US"/>
        </w:rPr>
        <w:t xml:space="preserve">In addition to powers under PACE and CJPOA, police have powers to stop a motor vehicle </w:t>
      </w:r>
      <w:r w:rsidR="0079007E" w:rsidRPr="00B1436B">
        <w:t>under the Road Traffic Act.</w:t>
      </w:r>
      <w:r w:rsidR="0079007E" w:rsidRPr="00B1436B">
        <w:rPr>
          <w:rStyle w:val="FootnoteReference"/>
        </w:rPr>
        <w:footnoteReference w:id="70"/>
      </w:r>
      <w:r w:rsidR="0079007E" w:rsidRPr="00B1436B">
        <w:t xml:space="preserve"> A</w:t>
      </w:r>
      <w:proofErr w:type="spellStart"/>
      <w:r w:rsidR="0079007E" w:rsidRPr="00B1436B">
        <w:rPr>
          <w:lang w:val="en-US"/>
        </w:rPr>
        <w:t>t</w:t>
      </w:r>
      <w:proofErr w:type="spellEnd"/>
      <w:r w:rsidR="0079007E" w:rsidRPr="00B1436B">
        <w:rPr>
          <w:lang w:val="en-US"/>
        </w:rPr>
        <w:t xml:space="preserve"> the request of the Home Secretary, HMIC looked at how these powers were used for the first time.</w:t>
      </w:r>
      <w:r w:rsidR="0079007E" w:rsidRPr="00B1436B">
        <w:rPr>
          <w:rStyle w:val="FootnoteReference"/>
          <w:lang w:val="en-US"/>
        </w:rPr>
        <w:footnoteReference w:id="71"/>
      </w:r>
      <w:r w:rsidR="0079007E" w:rsidRPr="00B1436B">
        <w:rPr>
          <w:lang w:val="en-US"/>
        </w:rPr>
        <w:t xml:space="preserve"> In the absence of police forces data on whether this power was used fairly and effectively, HMIC conducted a quantitative survey and found </w:t>
      </w:r>
      <w:r w:rsidR="0079007E" w:rsidRPr="00B1436B">
        <w:t xml:space="preserve">that while ethnic minority drivers were far more likely to be stopped and searched than white drivers, white drivers were disproportionately more likely to be arrested, given a fixed penalty notice, issued with a summons or be informed of an intended prosecution. This suggests ethnic minority drivers are more likely than white drivers to be stopped in situations where the stop does not result in any prosecution which </w:t>
      </w:r>
      <w:r w:rsidR="00E60A36">
        <w:t>raises the question what were the grounds for stopping these drivers</w:t>
      </w:r>
      <w:r w:rsidR="008006FE">
        <w:t>.</w:t>
      </w:r>
      <w:r w:rsidR="0079007E" w:rsidRPr="00B1436B">
        <w:rPr>
          <w:rStyle w:val="FootnoteReference"/>
        </w:rPr>
        <w:footnoteReference w:id="72"/>
      </w:r>
    </w:p>
    <w:p w:rsidR="0079007E" w:rsidRPr="00B1436B" w:rsidRDefault="0016168E" w:rsidP="00DA73EA">
      <w:pPr>
        <w:pStyle w:val="Parabeforebulletss"/>
        <w:rPr>
          <w:lang w:val="en-US"/>
        </w:rPr>
      </w:pPr>
      <w:r w:rsidRPr="003F78A7">
        <w:rPr>
          <w:b/>
          <w:lang w:val="en-US"/>
        </w:rPr>
        <w:t>C.4.6</w:t>
      </w:r>
      <w:r>
        <w:rPr>
          <w:lang w:val="en-US"/>
        </w:rPr>
        <w:t xml:space="preserve"> </w:t>
      </w:r>
      <w:r w:rsidR="0079007E" w:rsidRPr="00B1436B">
        <w:rPr>
          <w:lang w:val="en-US"/>
        </w:rPr>
        <w:t xml:space="preserve">In 2013, HMIC made </w:t>
      </w:r>
      <w:r w:rsidR="008006FE">
        <w:rPr>
          <w:lang w:val="en-US"/>
        </w:rPr>
        <w:t>10</w:t>
      </w:r>
      <w:r w:rsidR="0079007E" w:rsidRPr="00B1436B">
        <w:rPr>
          <w:lang w:val="en-US"/>
        </w:rPr>
        <w:t xml:space="preserve"> recommendations to police forces in England and Wales to help them improve their use of stop and search powers.</w:t>
      </w:r>
      <w:r w:rsidR="0079007E" w:rsidRPr="00B1436B">
        <w:rPr>
          <w:rStyle w:val="FootnoteReference"/>
          <w:rFonts w:cs="Arial"/>
          <w:lang w:val="en-US"/>
        </w:rPr>
        <w:footnoteReference w:id="73"/>
      </w:r>
      <w:r w:rsidR="008006FE">
        <w:rPr>
          <w:lang w:val="en-US"/>
        </w:rPr>
        <w:t xml:space="preserve"> </w:t>
      </w:r>
      <w:r w:rsidR="0079007E" w:rsidRPr="00B1436B">
        <w:rPr>
          <w:lang w:val="en-US"/>
        </w:rPr>
        <w:t xml:space="preserve">18 months later, HMIC assessed that there had been insufficient progress on nine of the </w:t>
      </w:r>
      <w:r w:rsidR="008006FE">
        <w:rPr>
          <w:lang w:val="en-US"/>
        </w:rPr>
        <w:t>10</w:t>
      </w:r>
      <w:r w:rsidR="002B6D2E">
        <w:rPr>
          <w:lang w:val="en-US"/>
        </w:rPr>
        <w:t xml:space="preserve"> </w:t>
      </w:r>
      <w:r w:rsidR="0079007E" w:rsidRPr="00B1436B">
        <w:rPr>
          <w:lang w:val="en-US"/>
        </w:rPr>
        <w:t>recommendations.</w:t>
      </w:r>
      <w:r w:rsidR="0079007E" w:rsidRPr="00B1436B">
        <w:rPr>
          <w:rStyle w:val="FootnoteReference"/>
          <w:rFonts w:cs="Arial"/>
          <w:lang w:val="en-US"/>
        </w:rPr>
        <w:footnoteReference w:id="74"/>
      </w:r>
      <w:r w:rsidR="0079007E" w:rsidRPr="00B1436B">
        <w:rPr>
          <w:lang w:val="en-US"/>
        </w:rPr>
        <w:t xml:space="preserve"> This included recommendations on:</w:t>
      </w:r>
    </w:p>
    <w:p w:rsidR="0079007E" w:rsidRPr="00B1436B" w:rsidRDefault="008006FE" w:rsidP="00DA73EA">
      <w:pPr>
        <w:pStyle w:val="Bullet-followedbyothers"/>
      </w:pPr>
      <w:r>
        <w:t>e</w:t>
      </w:r>
      <w:r w:rsidR="0079007E" w:rsidRPr="00B1436B">
        <w:t xml:space="preserve">stablishing a clear specification of what constitutes effective and fair exercise of stop and search powers </w:t>
      </w:r>
    </w:p>
    <w:p w:rsidR="0079007E" w:rsidRPr="00B1436B" w:rsidRDefault="008006FE" w:rsidP="00DA73EA">
      <w:pPr>
        <w:pStyle w:val="Bullet-followedbyothers"/>
      </w:pPr>
      <w:r>
        <w:t>i</w:t>
      </w:r>
      <w:r w:rsidR="0079007E" w:rsidRPr="00B1436B">
        <w:t xml:space="preserve">mproving officers' understanding of the impact that stop and search encounters can have on community confidence and trust in the police </w:t>
      </w:r>
    </w:p>
    <w:p w:rsidR="0079007E" w:rsidRPr="00B1436B" w:rsidRDefault="008006FE" w:rsidP="00DA73EA">
      <w:pPr>
        <w:pStyle w:val="Bullet-followedbyothers"/>
      </w:pPr>
      <w:r>
        <w:t>i</w:t>
      </w:r>
      <w:r w:rsidR="0079007E" w:rsidRPr="00B1436B">
        <w:t>ntroducing a nationally agreed form for the consistent recording of stop and search encounters</w:t>
      </w:r>
    </w:p>
    <w:p w:rsidR="0079007E" w:rsidRPr="00B1436B" w:rsidRDefault="008006FE" w:rsidP="00DA73EA">
      <w:pPr>
        <w:pStyle w:val="Bullet-followedbyothers"/>
        <w:rPr>
          <w:rFonts w:ascii="Symbol" w:hAnsi="Symbol" w:cs="Symbol"/>
          <w:lang w:eastAsia="en-GB"/>
        </w:rPr>
      </w:pPr>
      <w:r>
        <w:rPr>
          <w:lang w:eastAsia="en-GB"/>
        </w:rPr>
        <w:t>p</w:t>
      </w:r>
      <w:r w:rsidR="0079007E" w:rsidRPr="00B1436B">
        <w:rPr>
          <w:lang w:eastAsia="en-GB"/>
        </w:rPr>
        <w:t xml:space="preserve">roviding a route for people who are dissatisfied with the way they are treated during stop and search encounters to report this to the force and make a formal complaint quickly and easily </w:t>
      </w:r>
    </w:p>
    <w:p w:rsidR="0079007E" w:rsidRPr="00B1436B" w:rsidRDefault="008006FE" w:rsidP="00DA73EA">
      <w:pPr>
        <w:pStyle w:val="Bullet-lastingroup"/>
        <w:rPr>
          <w:lang w:eastAsia="en-GB"/>
        </w:rPr>
      </w:pPr>
      <w:proofErr w:type="gramStart"/>
      <w:r>
        <w:rPr>
          <w:lang w:eastAsia="en-GB"/>
        </w:rPr>
        <w:lastRenderedPageBreak/>
        <w:t>m</w:t>
      </w:r>
      <w:r w:rsidR="0079007E" w:rsidRPr="00B1436B">
        <w:rPr>
          <w:lang w:eastAsia="en-GB"/>
        </w:rPr>
        <w:t>onitoring</w:t>
      </w:r>
      <w:proofErr w:type="gramEnd"/>
      <w:r w:rsidR="0079007E" w:rsidRPr="00B1436B">
        <w:rPr>
          <w:lang w:eastAsia="en-GB"/>
        </w:rPr>
        <w:t xml:space="preserve"> the way officers stop and search people so supervisors can be satisfied their officers are acting in accordance with the law.</w:t>
      </w:r>
    </w:p>
    <w:p w:rsidR="0079007E" w:rsidRPr="006C23F2" w:rsidRDefault="0016168E" w:rsidP="00DA73EA">
      <w:pPr>
        <w:pStyle w:val="Parabeforeanother"/>
      </w:pPr>
      <w:r w:rsidRPr="003F78A7">
        <w:rPr>
          <w:b/>
        </w:rPr>
        <w:t>C.4.7</w:t>
      </w:r>
      <w:r>
        <w:t xml:space="preserve"> </w:t>
      </w:r>
      <w:r w:rsidR="0079007E" w:rsidRPr="006C23F2">
        <w:t xml:space="preserve">HMIC also reported that </w:t>
      </w:r>
      <w:r w:rsidR="00812593" w:rsidRPr="006C23F2">
        <w:t xml:space="preserve">they were </w:t>
      </w:r>
      <w:r w:rsidR="008006FE">
        <w:t>‘</w:t>
      </w:r>
      <w:r w:rsidR="00812593" w:rsidRPr="006C23F2">
        <w:t>surprised to find that less than half of forces complied with requirements under the code of practice to make arrangements for stop and search records to be scrutinised by the public</w:t>
      </w:r>
      <w:r w:rsidR="008006FE">
        <w:t>’</w:t>
      </w:r>
      <w:r w:rsidR="00812593" w:rsidRPr="006C23F2">
        <w:t xml:space="preserve"> and that </w:t>
      </w:r>
      <w:r w:rsidR="008006FE">
        <w:t>‘</w:t>
      </w:r>
      <w:r w:rsidR="00812593" w:rsidRPr="006C23F2">
        <w:t>When considered alongside the high proportion of stop and search records without sufficient grounds recorded to show they were lawful searches (27%), the absence of public scrutiny becomes even more of a serious threat to the fragile construct of police legitimacy</w:t>
      </w:r>
      <w:r w:rsidR="008006FE">
        <w:t>’</w:t>
      </w:r>
      <w:r w:rsidR="00812593" w:rsidRPr="006C23F2">
        <w:t xml:space="preserve"> </w:t>
      </w:r>
      <w:r w:rsidR="0079007E" w:rsidRPr="006C23F2">
        <w:t>there was an absence of official record keeping on the use of strip searching, meaning that it was not in a position to say that the police were using these powers in a lawful, necessary and appropriate manner.</w:t>
      </w:r>
      <w:r w:rsidR="0079007E" w:rsidRPr="006C23F2">
        <w:rPr>
          <w:rStyle w:val="FootnoteReference"/>
        </w:rPr>
        <w:footnoteReference w:id="75"/>
      </w:r>
      <w:r w:rsidR="0079007E" w:rsidRPr="006C23F2">
        <w:t xml:space="preserve"> The EHRC considers the data should </w:t>
      </w:r>
      <w:r w:rsidR="0079007E" w:rsidRPr="006C23F2">
        <w:rPr>
          <w:iCs/>
        </w:rPr>
        <w:t>include the age of people who are subjected to a strip search and the percentage of these strip searches where the power is used in the presence of an appropriate adult.</w:t>
      </w:r>
      <w:r w:rsidR="0079007E" w:rsidRPr="006C23F2">
        <w:rPr>
          <w:rStyle w:val="FootnoteReference"/>
          <w:iCs/>
        </w:rPr>
        <w:footnoteReference w:id="76"/>
      </w:r>
      <w:r w:rsidR="0079007E" w:rsidRPr="006C23F2">
        <w:t xml:space="preserve"> </w:t>
      </w:r>
    </w:p>
    <w:p w:rsidR="0079007E" w:rsidRPr="00B1436B" w:rsidRDefault="0016168E" w:rsidP="00DA73EA">
      <w:pPr>
        <w:pStyle w:val="Parabeforebulletss"/>
        <w:rPr>
          <w:lang w:eastAsia="en-GB"/>
        </w:rPr>
      </w:pPr>
      <w:r w:rsidRPr="003F78A7">
        <w:rPr>
          <w:b/>
          <w:lang w:eastAsia="en-GB"/>
        </w:rPr>
        <w:t>C.4.8</w:t>
      </w:r>
      <w:r>
        <w:rPr>
          <w:lang w:eastAsia="en-GB"/>
        </w:rPr>
        <w:t xml:space="preserve"> </w:t>
      </w:r>
      <w:r w:rsidR="0079007E" w:rsidRPr="00B1436B">
        <w:rPr>
          <w:lang w:eastAsia="en-GB"/>
        </w:rPr>
        <w:t xml:space="preserve">HMIC's report made </w:t>
      </w:r>
      <w:r w:rsidR="008006FE">
        <w:rPr>
          <w:lang w:eastAsia="en-GB"/>
        </w:rPr>
        <w:t>11</w:t>
      </w:r>
      <w:r w:rsidR="0079007E" w:rsidRPr="00B1436B">
        <w:rPr>
          <w:lang w:eastAsia="en-GB"/>
        </w:rPr>
        <w:t xml:space="preserve"> recommendations, including that:</w:t>
      </w:r>
    </w:p>
    <w:p w:rsidR="0079007E" w:rsidRPr="00B1436B" w:rsidRDefault="0079007E" w:rsidP="00DA73EA">
      <w:pPr>
        <w:pStyle w:val="Bullet-followedbyothers"/>
        <w:rPr>
          <w:lang w:eastAsia="en-GB"/>
        </w:rPr>
      </w:pPr>
      <w:r w:rsidRPr="00B1436B">
        <w:rPr>
          <w:lang w:eastAsia="en-GB"/>
        </w:rPr>
        <w:t>the College of Policing should publish a working definition of what constitutes an effective and fair stop and search encounter</w:t>
      </w:r>
    </w:p>
    <w:p w:rsidR="0079007E" w:rsidRPr="00B1436B" w:rsidRDefault="0079007E" w:rsidP="00DA73EA">
      <w:pPr>
        <w:pStyle w:val="Bullet-followedbyothers"/>
        <w:rPr>
          <w:lang w:eastAsia="en-GB"/>
        </w:rPr>
      </w:pPr>
      <w:r w:rsidRPr="00B1436B">
        <w:rPr>
          <w:lang w:eastAsia="en-GB"/>
        </w:rPr>
        <w:t>each police force should publish plans on how it will progress the recommendations in HMIC's 2013 report</w:t>
      </w:r>
    </w:p>
    <w:p w:rsidR="0079007E" w:rsidRPr="00B1436B" w:rsidRDefault="0079007E" w:rsidP="00DA73EA">
      <w:pPr>
        <w:pStyle w:val="Bullet-followedbyothers"/>
        <w:rPr>
          <w:lang w:eastAsia="en-GB"/>
        </w:rPr>
      </w:pPr>
      <w:r w:rsidRPr="00B1436B">
        <w:rPr>
          <w:lang w:eastAsia="en-GB"/>
        </w:rPr>
        <w:t>there must be an agreed set of minimum recording standards for the police use of the Road Traffic Act 1988 power to stop motor vehicles and these should be implemented</w:t>
      </w:r>
    </w:p>
    <w:p w:rsidR="0079007E" w:rsidRPr="00B1436B" w:rsidRDefault="0079007E" w:rsidP="00DA73EA">
      <w:pPr>
        <w:pStyle w:val="Bulletsgroupend"/>
      </w:pPr>
      <w:proofErr w:type="gramStart"/>
      <w:r w:rsidRPr="00B1436B">
        <w:t>officers</w:t>
      </w:r>
      <w:proofErr w:type="gramEnd"/>
      <w:r w:rsidRPr="00B1436B">
        <w:t xml:space="preserve"> must record all searches which involve the removal of more than an outer coat, jacket or gloves. This record must specify: the clothing that was removed; the age of the person searched; whether the removal of clothing revealed intimate parts of the person’s body; the location of the search including whether or not it was conducted in public view; and the sex of the officers present. </w:t>
      </w:r>
    </w:p>
    <w:p w:rsidR="0079007E" w:rsidRPr="00B1436B" w:rsidRDefault="0016168E" w:rsidP="00DA73EA">
      <w:pPr>
        <w:pStyle w:val="Parabeforeanother"/>
      </w:pPr>
      <w:r w:rsidRPr="003F78A7">
        <w:rPr>
          <w:b/>
        </w:rPr>
        <w:t xml:space="preserve">C.4.9 </w:t>
      </w:r>
      <w:r w:rsidR="0079007E" w:rsidRPr="00B1436B">
        <w:t xml:space="preserve">In our 2014 submission to the HRC, we welcomed a range of initiatives from the Home Office to increase the transparency of the use of stop and search powers, through a </w:t>
      </w:r>
      <w:r w:rsidR="008006FE">
        <w:t>‘</w:t>
      </w:r>
      <w:r w:rsidR="0079007E" w:rsidRPr="00B1436B">
        <w:t>Best Use of Stop and Search</w:t>
      </w:r>
      <w:r w:rsidR="008006FE">
        <w:t>’</w:t>
      </w:r>
      <w:r w:rsidR="0079007E" w:rsidRPr="00B1436B">
        <w:t xml:space="preserve"> scheme.</w:t>
      </w:r>
      <w:r w:rsidR="008C67B4">
        <w:t xml:space="preserve"> </w:t>
      </w:r>
      <w:r w:rsidR="0079007E" w:rsidRPr="00B1436B">
        <w:t>We are pleased that all police forces have signed up to this voluntary scheme. The EHRC considers that the “Best Use of Stop and Search</w:t>
      </w:r>
      <w:r w:rsidR="008006FE">
        <w:t>’</w:t>
      </w:r>
      <w:r w:rsidR="0079007E" w:rsidRPr="00B1436B">
        <w:t xml:space="preserve"> Scheme should be evaluated in 2016 and, if the new voluntary measures are shown to work, they should be enshrined in law.</w:t>
      </w:r>
    </w:p>
    <w:p w:rsidR="0079007E" w:rsidRPr="00B1436B" w:rsidRDefault="0016168E" w:rsidP="00DA73EA">
      <w:pPr>
        <w:pStyle w:val="Parabeforenewsubsection"/>
      </w:pPr>
      <w:r w:rsidRPr="003F78A7">
        <w:rPr>
          <w:b/>
        </w:rPr>
        <w:lastRenderedPageBreak/>
        <w:t>C.4.10</w:t>
      </w:r>
      <w:r>
        <w:t xml:space="preserve"> </w:t>
      </w:r>
      <w:r w:rsidR="0079007E" w:rsidRPr="00B1436B">
        <w:t>The Home Secretary has made clear that the UK Government expects police forces to use the powers fairly and in accordance with the provisions of the Equality Act.</w:t>
      </w:r>
      <w:r w:rsidR="0079007E" w:rsidRPr="00B1436B">
        <w:rPr>
          <w:rStyle w:val="FootnoteReference"/>
        </w:rPr>
        <w:footnoteReference w:id="77"/>
      </w:r>
      <w:r w:rsidR="0079007E" w:rsidRPr="00B1436B">
        <w:t xml:space="preserve"> The UK Government has provided additional funding to the EHRC to enable it to work with the newly created national college of policing to produce new guidance for police forces on the proper use of stop and search powers.</w:t>
      </w:r>
      <w:r w:rsidR="008006FE">
        <w:t xml:space="preserve"> </w:t>
      </w:r>
      <w:r w:rsidR="0079007E" w:rsidRPr="00B1436B">
        <w:t>This guidance will link to national standards of authorised professional (police) practice. Providing this training is shown to work, it will be critical that all forces use it to train all their frontline staff and their supervisors.</w:t>
      </w:r>
      <w:r w:rsidR="0079007E" w:rsidRPr="00B1436B">
        <w:rPr>
          <w:rStyle w:val="FootnoteReference"/>
        </w:rPr>
        <w:footnoteReference w:id="78"/>
      </w:r>
    </w:p>
    <w:p w:rsidR="00E6373A" w:rsidRDefault="00E6373A" w:rsidP="00E6373A">
      <w:pPr>
        <w:pStyle w:val="Heading-subsections"/>
      </w:pPr>
      <w:r>
        <w:t>Conclusion:</w:t>
      </w:r>
    </w:p>
    <w:p w:rsidR="0079007E" w:rsidRPr="00B1436B" w:rsidRDefault="0016168E" w:rsidP="00DA73EA">
      <w:pPr>
        <w:pStyle w:val="Parabold"/>
        <w:rPr>
          <w:bCs/>
        </w:rPr>
      </w:pPr>
      <w:r>
        <w:t xml:space="preserve">C.4.11 </w:t>
      </w:r>
      <w:r w:rsidR="0079007E" w:rsidRPr="00B1436B">
        <w:t>Evidence suggests that stop and search powers may not be being exercised fairly and in a non-discriminatory manner in England and Wales. If that’s the case, then the UK Government may not be fulfilling its obligations in relation to the rights to privacy, liberty and security, the prohibition on discrimination under Articles 9, 17 and 26 of ICCPR.</w:t>
      </w:r>
      <w:r w:rsidR="0079007E" w:rsidRPr="00B1436B">
        <w:rPr>
          <w:bCs/>
        </w:rPr>
        <w:t xml:space="preserve"> </w:t>
      </w:r>
    </w:p>
    <w:p w:rsidR="0079007E" w:rsidRPr="00B1436B" w:rsidDel="0023029F" w:rsidRDefault="0079007E" w:rsidP="00DA73EA">
      <w:pPr>
        <w:pStyle w:val="Parabold"/>
      </w:pPr>
      <w:r w:rsidRPr="00B1436B" w:rsidDel="0023029F">
        <w:t xml:space="preserve">Question A: How will the UK Government collect, analyse and publish data on the use of Schedule 7 to reassure themselves and the public that they are meeting the Equality Act 2010 requirements, as set out in the code of practice on the Terrorism Act 2000? </w:t>
      </w:r>
    </w:p>
    <w:p w:rsidR="0079007E" w:rsidRPr="00B1436B" w:rsidRDefault="0079007E" w:rsidP="00DA73EA">
      <w:pPr>
        <w:pStyle w:val="Parabold"/>
      </w:pPr>
      <w:r>
        <w:t>Question B</w:t>
      </w:r>
      <w:r w:rsidRPr="00B1436B">
        <w:t>: What steps, including legislative amendments, will the UK Government take to safeguard against future potential abuse of the Section 60 power to stop and search by individual forces?</w:t>
      </w:r>
    </w:p>
    <w:p w:rsidR="0079007E" w:rsidRPr="00B1436B" w:rsidRDefault="0079007E" w:rsidP="00DA73EA">
      <w:pPr>
        <w:pStyle w:val="Parabold"/>
      </w:pPr>
      <w:r w:rsidRPr="00B1436B">
        <w:t>Ques</w:t>
      </w:r>
      <w:r>
        <w:t>tion C</w:t>
      </w:r>
      <w:r w:rsidRPr="00B1436B">
        <w:t xml:space="preserve">: What steps is the UK Government taking to ensure that HMIC's recommendations from its HMIC 2013 and 2015 stop and search reports are followed up? </w:t>
      </w:r>
    </w:p>
    <w:p w:rsidR="0079007E" w:rsidRPr="00B1436B" w:rsidRDefault="0079007E" w:rsidP="00DA73EA">
      <w:pPr>
        <w:pStyle w:val="Parabold"/>
      </w:pPr>
      <w:r>
        <w:t>Question D</w:t>
      </w:r>
      <w:r w:rsidRPr="00B1436B">
        <w:t>: The EHRC and the College of Policing are working to produce a new programme of police training for stop and search. Providing the pilots prove to be successful, what steps will the UK Government take to ensure that this training (or training of an equivalent standard) is used by each force, and what if any measures might be employed to ascertain how many officers have received the training?</w:t>
      </w:r>
    </w:p>
    <w:p w:rsidR="0079007E" w:rsidRPr="00DA73EA" w:rsidRDefault="0079007E" w:rsidP="00DA73EA">
      <w:pPr>
        <w:pStyle w:val="Parabeforebulletss"/>
        <w:rPr>
          <w:b/>
        </w:rPr>
      </w:pPr>
      <w:r w:rsidRPr="00DA73EA">
        <w:rPr>
          <w:b/>
        </w:rPr>
        <w:t>Question E: Could the UK Government please clarify:</w:t>
      </w:r>
    </w:p>
    <w:p w:rsidR="0079007E" w:rsidRPr="00DA73EA" w:rsidRDefault="0079007E" w:rsidP="00DA73EA">
      <w:pPr>
        <w:pStyle w:val="Bullet-followedbyothers"/>
        <w:rPr>
          <w:b/>
        </w:rPr>
      </w:pPr>
      <w:r w:rsidRPr="00DA73EA">
        <w:rPr>
          <w:b/>
        </w:rPr>
        <w:lastRenderedPageBreak/>
        <w:t>How will individual officers be scrutinised on their ability to use their stop and search powers effectively, legally and fairly?</w:t>
      </w:r>
      <w:r w:rsidR="008C67B4">
        <w:rPr>
          <w:b/>
        </w:rPr>
        <w:t xml:space="preserve"> </w:t>
      </w:r>
    </w:p>
    <w:p w:rsidR="00DA73EA" w:rsidRPr="00DA73EA" w:rsidRDefault="0079007E" w:rsidP="00DA73EA">
      <w:pPr>
        <w:pStyle w:val="Bullet-followedbyothers"/>
        <w:rPr>
          <w:b/>
        </w:rPr>
      </w:pPr>
      <w:r w:rsidRPr="00DA73EA">
        <w:rPr>
          <w:b/>
        </w:rPr>
        <w:t>What is the role of police and crime commissioners (PCCs) in scrutinising how their forces are using stop and search, and what steps can be taken in the event that a PCC is not engaging with the issue or equality and human rights more generally?</w:t>
      </w:r>
    </w:p>
    <w:p w:rsidR="0079007E" w:rsidRPr="00DA73EA" w:rsidRDefault="0079007E" w:rsidP="00DA73EA">
      <w:pPr>
        <w:pStyle w:val="Bullet-lastingroup"/>
        <w:rPr>
          <w:b/>
        </w:rPr>
      </w:pPr>
      <w:r w:rsidRPr="00DA73EA">
        <w:rPr>
          <w:b/>
        </w:rPr>
        <w:t>If stop and search is to feature as one of a range of measures used annually to assess how each force is performing (part of the PEEL Assessment),</w:t>
      </w:r>
      <w:r w:rsidRPr="00DA73EA">
        <w:rPr>
          <w:rStyle w:val="FootnoteReference"/>
          <w:b/>
        </w:rPr>
        <w:footnoteReference w:id="79"/>
      </w:r>
      <w:r w:rsidRPr="00DA73EA">
        <w:rPr>
          <w:b/>
        </w:rPr>
        <w:t xml:space="preserve"> how will this work in practice?</w:t>
      </w:r>
    </w:p>
    <w:p w:rsidR="009D502D" w:rsidRPr="00B3024E" w:rsidRDefault="002D01E1" w:rsidP="002B6091">
      <w:pPr>
        <w:pStyle w:val="Heading-sections"/>
        <w:numPr>
          <w:ilvl w:val="0"/>
          <w:numId w:val="7"/>
        </w:numPr>
      </w:pPr>
      <w:bookmarkStart w:id="13" w:name="_Toc420603269"/>
      <w:r w:rsidRPr="00B3024E">
        <w:t xml:space="preserve">Trafficking and forced labour (Articles 2, 8, 9, 14, 24 and 26), </w:t>
      </w:r>
      <w:r w:rsidR="00B3024E">
        <w:t xml:space="preserve">List of Issues </w:t>
      </w:r>
      <w:r w:rsidRPr="00B3024E">
        <w:t>paragraph 26</w:t>
      </w:r>
      <w:bookmarkEnd w:id="13"/>
    </w:p>
    <w:p w:rsidR="00B0674B" w:rsidRDefault="00756D9A" w:rsidP="00DA73EA">
      <w:pPr>
        <w:pStyle w:val="Parabeforenewsubsection"/>
      </w:pPr>
      <w:r w:rsidRPr="003F78A7">
        <w:rPr>
          <w:b/>
        </w:rPr>
        <w:t>C.5.1</w:t>
      </w:r>
      <w:r>
        <w:t xml:space="preserve"> </w:t>
      </w:r>
      <w:r w:rsidR="00B0674B">
        <w:t>The EHRC welcomes steps to tackle trafficking and slavery in the UK through the enactment of the Modern Slavery Act</w:t>
      </w:r>
      <w:r w:rsidR="007720F2">
        <w:t xml:space="preserve"> 2015 (MSA)</w:t>
      </w:r>
      <w:r w:rsidR="00B0674B">
        <w:t xml:space="preserve"> and </w:t>
      </w:r>
      <w:r w:rsidR="00B0674B" w:rsidRPr="00284C13">
        <w:t>the introduction of the Human Trafficking and Exploitation (Scotland) Bill in December 2014.</w:t>
      </w:r>
    </w:p>
    <w:p w:rsidR="008F272C" w:rsidRPr="00B3024E" w:rsidRDefault="00DB7424" w:rsidP="002B6091">
      <w:pPr>
        <w:pStyle w:val="Heading-subsections"/>
        <w:numPr>
          <w:ilvl w:val="0"/>
          <w:numId w:val="11"/>
        </w:numPr>
        <w:rPr>
          <w:u w:val="single"/>
        </w:rPr>
      </w:pPr>
      <w:r w:rsidRPr="00B3024E">
        <w:t xml:space="preserve">The </w:t>
      </w:r>
      <w:r w:rsidR="008F272C" w:rsidRPr="00B3024E">
        <w:t>National Referral Mechanism</w:t>
      </w:r>
    </w:p>
    <w:p w:rsidR="008F272C" w:rsidRPr="003955FA" w:rsidRDefault="00756D9A" w:rsidP="00DA73EA">
      <w:pPr>
        <w:pStyle w:val="Parabeforeanother"/>
      </w:pPr>
      <w:r w:rsidRPr="003F78A7">
        <w:rPr>
          <w:b/>
        </w:rPr>
        <w:t>C.5.2</w:t>
      </w:r>
      <w:r>
        <w:t xml:space="preserve"> </w:t>
      </w:r>
      <w:r w:rsidR="008F272C" w:rsidRPr="003955FA">
        <w:t xml:space="preserve">The EHRC raised a number of </w:t>
      </w:r>
      <w:r w:rsidR="001C14DF">
        <w:t>issues</w:t>
      </w:r>
      <w:r w:rsidR="001C14DF" w:rsidRPr="003955FA">
        <w:t xml:space="preserve"> </w:t>
      </w:r>
      <w:r w:rsidR="008F272C" w:rsidRPr="003955FA">
        <w:t xml:space="preserve">about the operation of the National Referral Mechanism (NRM) in our July 2014 submission to the </w:t>
      </w:r>
      <w:r w:rsidR="00922939">
        <w:t>HRC</w:t>
      </w:r>
      <w:r w:rsidR="008F272C" w:rsidRPr="003955FA">
        <w:t>.</w:t>
      </w:r>
      <w:r w:rsidR="008F272C" w:rsidRPr="003955FA">
        <w:rPr>
          <w:rStyle w:val="FootnoteReference"/>
        </w:rPr>
        <w:footnoteReference w:id="80"/>
      </w:r>
      <w:r w:rsidR="008F272C" w:rsidRPr="003955FA">
        <w:t xml:space="preserve"> </w:t>
      </w:r>
      <w:r w:rsidR="0023029F">
        <w:t>T</w:t>
      </w:r>
      <w:r w:rsidR="008F272C" w:rsidRPr="003955FA">
        <w:t>he UK Government published its review of the NRM in November 2014</w:t>
      </w:r>
      <w:r w:rsidR="003B228A">
        <w:t>.</w:t>
      </w:r>
      <w:r w:rsidR="008F272C" w:rsidRPr="003955FA">
        <w:rPr>
          <w:rStyle w:val="FootnoteReference"/>
        </w:rPr>
        <w:footnoteReference w:id="81"/>
      </w:r>
      <w:r w:rsidR="008F272C" w:rsidRPr="003955FA">
        <w:t xml:space="preserve"> The review’s recommendations largely reflect the issues raised by the EHRC</w:t>
      </w:r>
      <w:r w:rsidR="00ED04CF">
        <w:t>.</w:t>
      </w:r>
      <w:r w:rsidR="008F272C" w:rsidRPr="003955FA">
        <w:t xml:space="preserve"> </w:t>
      </w:r>
      <w:r w:rsidR="00ED04CF">
        <w:t xml:space="preserve">The </w:t>
      </w:r>
      <w:r w:rsidR="008F272C" w:rsidRPr="003955FA">
        <w:t>UK Government has, in</w:t>
      </w:r>
      <w:r w:rsidR="00ED04CF">
        <w:t xml:space="preserve"> principle, accepted all of the </w:t>
      </w:r>
      <w:r w:rsidR="00922939">
        <w:t xml:space="preserve">review’s </w:t>
      </w:r>
      <w:r w:rsidR="00ED04CF">
        <w:t>recommendations</w:t>
      </w:r>
      <w:r w:rsidR="008F272C" w:rsidRPr="003955FA">
        <w:t xml:space="preserve">, though it intends to initiate pilot schemes to test whether they are robust in practice. </w:t>
      </w:r>
    </w:p>
    <w:p w:rsidR="008F272C" w:rsidRDefault="00756D9A" w:rsidP="00DA73EA">
      <w:pPr>
        <w:pStyle w:val="Parapre-bullets"/>
      </w:pPr>
      <w:r w:rsidRPr="003F78A7">
        <w:rPr>
          <w:b/>
        </w:rPr>
        <w:t>C.5.3</w:t>
      </w:r>
      <w:r>
        <w:t xml:space="preserve"> </w:t>
      </w:r>
      <w:r w:rsidR="008F272C" w:rsidRPr="003955FA">
        <w:t xml:space="preserve">The </w:t>
      </w:r>
      <w:r w:rsidR="007720F2">
        <w:t>MSA</w:t>
      </w:r>
      <w:r w:rsidR="008F272C" w:rsidRPr="003955FA">
        <w:t xml:space="preserve"> makes provision for regulations to address the identification and support of victims of slavery or trafficking. The </w:t>
      </w:r>
      <w:r w:rsidR="00C06AC8">
        <w:t xml:space="preserve">regulations will set out which organisations will identify victims and the </w:t>
      </w:r>
      <w:r w:rsidR="008F272C" w:rsidRPr="003955FA">
        <w:t xml:space="preserve">criteria and procedure </w:t>
      </w:r>
      <w:r w:rsidR="00C06AC8">
        <w:t>they will use</w:t>
      </w:r>
      <w:r w:rsidR="008F272C" w:rsidRPr="003955FA">
        <w:t xml:space="preserve">. However, the detail of the regulations will likely be determined by the pilot schemes </w:t>
      </w:r>
      <w:r w:rsidR="008F272C" w:rsidRPr="003955FA">
        <w:lastRenderedPageBreak/>
        <w:t xml:space="preserve">mentioned above. The EHRC maintains that the regulations should give effect to the </w:t>
      </w:r>
      <w:r w:rsidR="00C84A62">
        <w:t xml:space="preserve">recommendations of the </w:t>
      </w:r>
      <w:r w:rsidR="008F272C" w:rsidRPr="003955FA">
        <w:t xml:space="preserve">NRM </w:t>
      </w:r>
      <w:r w:rsidR="00C84A62">
        <w:t>review</w:t>
      </w:r>
      <w:r w:rsidR="008F272C" w:rsidRPr="003955FA">
        <w:t>, in particular:</w:t>
      </w:r>
    </w:p>
    <w:p w:rsidR="008F272C" w:rsidRPr="00C06AC8" w:rsidRDefault="008F272C" w:rsidP="00DA73EA">
      <w:pPr>
        <w:pStyle w:val="Bullet-followedbyothers"/>
      </w:pPr>
      <w:r w:rsidRPr="003955FA">
        <w:t>to implement a comprehensive awaren</w:t>
      </w:r>
      <w:r w:rsidRPr="00C06AC8">
        <w:t>ess strategy to increase the identification of victims with a clear checklist of trafficking indicators</w:t>
      </w:r>
    </w:p>
    <w:p w:rsidR="008F272C" w:rsidRPr="003955FA" w:rsidRDefault="008F272C" w:rsidP="00DA73EA">
      <w:pPr>
        <w:pStyle w:val="Bullet-followedbyothers"/>
      </w:pPr>
      <w:r w:rsidRPr="003955FA">
        <w:t xml:space="preserve">to overhaul the NRM referral process so that referrals are made on a </w:t>
      </w:r>
      <w:r w:rsidR="00DC01F5">
        <w:t>‘</w:t>
      </w:r>
      <w:r w:rsidRPr="003955FA">
        <w:t>credible suspicion</w:t>
      </w:r>
      <w:r w:rsidR="00DC01F5">
        <w:t>’</w:t>
      </w:r>
      <w:r w:rsidRPr="003955FA">
        <w:t xml:space="preserve">, phasing out the </w:t>
      </w:r>
      <w:r w:rsidR="00DC01F5">
        <w:t>‘</w:t>
      </w:r>
      <w:r w:rsidRPr="003955FA">
        <w:t>reasonable grounds</w:t>
      </w:r>
      <w:r w:rsidR="00DC01F5">
        <w:t>’</w:t>
      </w:r>
      <w:r w:rsidRPr="003955FA">
        <w:t xml:space="preserve"> decision and introducing key accredited specialist roles. These specialists should hold the in-depth knowledge on identification, decision-making, data capture and interaction with potential victims required to make referrals</w:t>
      </w:r>
    </w:p>
    <w:p w:rsidR="008F272C" w:rsidRPr="003955FA" w:rsidRDefault="008F272C" w:rsidP="00DA73EA">
      <w:pPr>
        <w:pStyle w:val="Bullet-followedbyothers"/>
        <w:rPr>
          <w:bCs/>
        </w:rPr>
      </w:pPr>
      <w:proofErr w:type="gramStart"/>
      <w:r w:rsidRPr="003955FA">
        <w:t>to</w:t>
      </w:r>
      <w:proofErr w:type="gramEnd"/>
      <w:r w:rsidRPr="003955FA">
        <w:t xml:space="preserve"> ensure that support to victims is based on an assessment of individual needs</w:t>
      </w:r>
      <w:r w:rsidR="00C06AC8">
        <w:t>. This should also take</w:t>
      </w:r>
      <w:r w:rsidRPr="003955FA">
        <w:t xml:space="preserve"> account of support needed after the 45 days period of rest and recovery to assist the victim </w:t>
      </w:r>
      <w:r w:rsidR="00C06AC8">
        <w:t>to reintegrate</w:t>
      </w:r>
      <w:r w:rsidRPr="003955FA">
        <w:t xml:space="preserve"> or </w:t>
      </w:r>
      <w:r w:rsidR="00C06AC8">
        <w:t xml:space="preserve">to return </w:t>
      </w:r>
      <w:r w:rsidRPr="003955FA">
        <w:t>if they are non</w:t>
      </w:r>
      <w:r w:rsidR="00DC01F5">
        <w:t>-</w:t>
      </w:r>
      <w:r w:rsidRPr="003955FA">
        <w:t>EEA nationals</w:t>
      </w:r>
    </w:p>
    <w:p w:rsidR="008F272C" w:rsidRPr="003955FA" w:rsidRDefault="008F272C" w:rsidP="00DA73EA">
      <w:pPr>
        <w:pStyle w:val="Bullet-followedbyothers"/>
      </w:pPr>
      <w:r w:rsidRPr="003955FA">
        <w:t>to trial giving regional multi-disciplinary panels sole responsibility for deciding whether someone is a victim of trafficking</w:t>
      </w:r>
    </w:p>
    <w:p w:rsidR="008F272C" w:rsidRPr="003955FA" w:rsidRDefault="008F272C" w:rsidP="00DA73EA">
      <w:pPr>
        <w:pStyle w:val="Bullet-followedbyothers"/>
        <w:rPr>
          <w:rFonts w:cs="Arial"/>
          <w:bCs/>
        </w:rPr>
      </w:pPr>
      <w:proofErr w:type="gramStart"/>
      <w:r w:rsidRPr="003955FA">
        <w:t>to</w:t>
      </w:r>
      <w:proofErr w:type="gramEnd"/>
      <w:r w:rsidRPr="003955FA">
        <w:t xml:space="preserve"> introduce a trafficking care standard and an end-to-end service for trafficking victims. This should include arrangements for systematically tracking the progress and outcomes for each victim</w:t>
      </w:r>
    </w:p>
    <w:p w:rsidR="008F272C" w:rsidRPr="003955FA" w:rsidRDefault="008F272C" w:rsidP="00DA73EA">
      <w:pPr>
        <w:pStyle w:val="Bullet-followedbyothers"/>
      </w:pPr>
      <w:r w:rsidRPr="003955FA">
        <w:t>to provide legal advice from the point at which it is established that trafficking or slavery indicators are met</w:t>
      </w:r>
    </w:p>
    <w:p w:rsidR="008F272C" w:rsidRPr="003955FA" w:rsidRDefault="008F272C" w:rsidP="00DA73EA">
      <w:pPr>
        <w:pStyle w:val="Bullet-followedbyothers"/>
      </w:pPr>
      <w:r w:rsidRPr="003955FA">
        <w:t>to introduce a single management process for trafficking cases, with the Home Office taking</w:t>
      </w:r>
      <w:r w:rsidR="00C06AC8">
        <w:t xml:space="preserve"> accountability for this system</w:t>
      </w:r>
    </w:p>
    <w:p w:rsidR="008F272C" w:rsidRPr="003955FA" w:rsidRDefault="008F272C" w:rsidP="00DA73EA">
      <w:pPr>
        <w:pStyle w:val="Bullet-lastingroup"/>
      </w:pPr>
      <w:proofErr w:type="gramStart"/>
      <w:r w:rsidRPr="003955FA">
        <w:t>to</w:t>
      </w:r>
      <w:proofErr w:type="gramEnd"/>
      <w:r w:rsidRPr="003955FA">
        <w:t xml:space="preserve"> develop an effective case management system to collect and share int</w:t>
      </w:r>
      <w:r w:rsidR="00C06AC8">
        <w:t>elligence to combat trafficking.</w:t>
      </w:r>
    </w:p>
    <w:p w:rsidR="008F272C" w:rsidRPr="003955FA" w:rsidRDefault="00756D9A" w:rsidP="00DA73EA">
      <w:pPr>
        <w:pStyle w:val="Parabeforebulletss"/>
      </w:pPr>
      <w:r w:rsidRPr="003F78A7">
        <w:rPr>
          <w:b/>
        </w:rPr>
        <w:t>C.5.4</w:t>
      </w:r>
      <w:r>
        <w:t xml:space="preserve"> </w:t>
      </w:r>
      <w:r w:rsidR="008F272C" w:rsidRPr="003955FA">
        <w:t>In addition</w:t>
      </w:r>
      <w:r w:rsidR="00CA0AF0">
        <w:t>,</w:t>
      </w:r>
      <w:r w:rsidR="008F272C" w:rsidRPr="003955FA">
        <w:t xml:space="preserve"> </w:t>
      </w:r>
      <w:r w:rsidR="00C84A62">
        <w:t>the NRM review made recommendations specifically</w:t>
      </w:r>
      <w:r w:rsidR="008F272C" w:rsidRPr="003955FA">
        <w:t xml:space="preserve"> in respect of children</w:t>
      </w:r>
      <w:r w:rsidR="0023029F">
        <w:t>, which</w:t>
      </w:r>
      <w:r w:rsidR="00C84A62">
        <w:t xml:space="preserve"> the EHRC considers the regulations should address, namely</w:t>
      </w:r>
      <w:r w:rsidR="008F272C" w:rsidRPr="003955FA">
        <w:t>:</w:t>
      </w:r>
    </w:p>
    <w:p w:rsidR="008F272C" w:rsidRPr="003955FA" w:rsidRDefault="008F272C" w:rsidP="00DA73EA">
      <w:pPr>
        <w:pStyle w:val="Bullet-followedbyothers"/>
        <w:rPr>
          <w:bCs/>
        </w:rPr>
      </w:pPr>
      <w:r w:rsidRPr="003955FA">
        <w:t>work should be done with Local Safeguarding Children Boards Chairs and local authorities to build their awareness of the importance of the identification and support of child victims, including the role of clear indicators</w:t>
      </w:r>
    </w:p>
    <w:p w:rsidR="008F272C" w:rsidRPr="003955FA" w:rsidRDefault="008F272C" w:rsidP="00DA73EA">
      <w:pPr>
        <w:pStyle w:val="Bullet-lastingroup"/>
        <w:rPr>
          <w:bCs/>
        </w:rPr>
      </w:pPr>
      <w:proofErr w:type="gramStart"/>
      <w:r w:rsidRPr="003955FA">
        <w:t>social</w:t>
      </w:r>
      <w:proofErr w:type="gramEnd"/>
      <w:r w:rsidRPr="003955FA">
        <w:t xml:space="preserve"> workers and children's legal representatives should carefully consider the appropriateness of applying for permanent immigration status as opposed to returning children to family members or state authorities in their home country.</w:t>
      </w:r>
      <w:r w:rsidRPr="003955FA" w:rsidDel="00BA4981">
        <w:t xml:space="preserve"> </w:t>
      </w:r>
    </w:p>
    <w:p w:rsidR="00C84A62" w:rsidRDefault="00756D9A" w:rsidP="00DA73EA">
      <w:pPr>
        <w:pStyle w:val="Parabeforebulletss"/>
      </w:pPr>
      <w:r w:rsidRPr="003F78A7">
        <w:rPr>
          <w:b/>
        </w:rPr>
        <w:t>C.5.5</w:t>
      </w:r>
      <w:r>
        <w:t xml:space="preserve"> </w:t>
      </w:r>
      <w:r w:rsidR="00C84A62">
        <w:t>The EHRC considers there are a number of issues not included in the</w:t>
      </w:r>
      <w:r w:rsidR="00DC7DC1">
        <w:t xml:space="preserve"> </w:t>
      </w:r>
      <w:r w:rsidR="007720F2">
        <w:t xml:space="preserve">MSA </w:t>
      </w:r>
      <w:r w:rsidR="00DC7DC1">
        <w:t>or sufficiently addressed in the</w:t>
      </w:r>
      <w:r w:rsidR="003B228A">
        <w:t xml:space="preserve"> review of the NRM, including:</w:t>
      </w:r>
    </w:p>
    <w:p w:rsidR="00C84A62" w:rsidRPr="00F849EC" w:rsidRDefault="00C84A62" w:rsidP="00DA73EA">
      <w:pPr>
        <w:pStyle w:val="Bullet-followedbyothers"/>
      </w:pPr>
      <w:r w:rsidRPr="00F849EC">
        <w:lastRenderedPageBreak/>
        <w:t>the provision of a formal appeals process, in line with the view of the Council of Europe Convention on Action against Trafficking in Human Beings (GRETA)</w:t>
      </w:r>
      <w:r w:rsidRPr="003955FA">
        <w:rPr>
          <w:rStyle w:val="FootnoteReference"/>
          <w:rFonts w:cs="Arial"/>
          <w:bCs/>
          <w:iCs/>
        </w:rPr>
        <w:footnoteReference w:id="82"/>
      </w:r>
    </w:p>
    <w:p w:rsidR="00C84A62" w:rsidRDefault="00DC7DC1" w:rsidP="00DA73EA">
      <w:pPr>
        <w:pStyle w:val="Bullet-followedbyothers"/>
      </w:pPr>
      <w:r w:rsidRPr="003955FA">
        <w:t>a clear statutory duty to record and report trafficked children who go missing from care</w:t>
      </w:r>
    </w:p>
    <w:p w:rsidR="00DC7DC1" w:rsidRPr="00DC7DC1" w:rsidRDefault="003B228A" w:rsidP="00DA73EA">
      <w:pPr>
        <w:pStyle w:val="Bullet-followedbyothers"/>
        <w:rPr>
          <w:bCs/>
        </w:rPr>
      </w:pPr>
      <w:r>
        <w:rPr>
          <w:bCs/>
        </w:rPr>
        <w:t>e</w:t>
      </w:r>
      <w:r w:rsidR="00DC7DC1">
        <w:rPr>
          <w:bCs/>
        </w:rPr>
        <w:t xml:space="preserve">xplicit citation in the regulations of </w:t>
      </w:r>
      <w:r w:rsidR="00DC7DC1" w:rsidRPr="003955FA">
        <w:rPr>
          <w:bCs/>
        </w:rPr>
        <w:t xml:space="preserve">all relevant authorities </w:t>
      </w:r>
      <w:r w:rsidR="00DC7DC1" w:rsidRPr="003955FA">
        <w:t>that are likely to come into contact with potential victims of trafficking</w:t>
      </w:r>
      <w:r w:rsidR="00DC7DC1" w:rsidRPr="003955FA">
        <w:rPr>
          <w:bCs/>
        </w:rPr>
        <w:t xml:space="preserve"> and slavery</w:t>
      </w:r>
      <w:r>
        <w:rPr>
          <w:bCs/>
        </w:rPr>
        <w:t>,</w:t>
      </w:r>
      <w:r w:rsidR="00DC7DC1" w:rsidRPr="003955FA">
        <w:rPr>
          <w:bCs/>
        </w:rPr>
        <w:t xml:space="preserve"> including: </w:t>
      </w:r>
      <w:r w:rsidR="00DC7DC1" w:rsidRPr="003955FA">
        <w:t xml:space="preserve">health authorities, schools, prisons, probation services and competent authorities </w:t>
      </w:r>
      <w:r w:rsidR="00DC7DC1">
        <w:t xml:space="preserve">as well as </w:t>
      </w:r>
      <w:r w:rsidR="00DC7DC1" w:rsidRPr="003955FA">
        <w:t>to voluntary organisations performing a public f</w:t>
      </w:r>
      <w:r w:rsidR="00DC7DC1">
        <w:t>unction</w:t>
      </w:r>
    </w:p>
    <w:p w:rsidR="00DC7DC1" w:rsidRPr="00F849EC" w:rsidRDefault="003B228A" w:rsidP="00DA73EA">
      <w:pPr>
        <w:pStyle w:val="Bullet-lastingroup"/>
        <w:rPr>
          <w:bCs/>
        </w:rPr>
      </w:pPr>
      <w:proofErr w:type="gramStart"/>
      <w:r>
        <w:rPr>
          <w:bCs/>
        </w:rPr>
        <w:t>c</w:t>
      </w:r>
      <w:r w:rsidR="00DC7DC1">
        <w:rPr>
          <w:bCs/>
        </w:rPr>
        <w:t>larification</w:t>
      </w:r>
      <w:proofErr w:type="gramEnd"/>
      <w:r w:rsidR="00DC7DC1">
        <w:rPr>
          <w:bCs/>
        </w:rPr>
        <w:t xml:space="preserve"> in the regulations that </w:t>
      </w:r>
      <w:r w:rsidR="00DC7DC1" w:rsidRPr="003955FA">
        <w:t>only a credible suspicion is required to trig</w:t>
      </w:r>
      <w:r w:rsidR="00DC7DC1">
        <w:t>ger this duty, as noted in the r</w:t>
      </w:r>
      <w:r w:rsidR="00DC7DC1" w:rsidRPr="003955FA">
        <w:t>eview, and is consistent with the State’s positive obligations to investigate under Article 4 of the E</w:t>
      </w:r>
      <w:r w:rsidR="00DC7DC1">
        <w:t>CHR</w:t>
      </w:r>
      <w:r w:rsidR="00DC7DC1" w:rsidRPr="003955FA">
        <w:t>.</w:t>
      </w:r>
      <w:r w:rsidR="00DC7DC1" w:rsidRPr="003955FA">
        <w:rPr>
          <w:rStyle w:val="FootnoteReference"/>
          <w:rFonts w:cs="Arial"/>
        </w:rPr>
        <w:footnoteReference w:id="83"/>
      </w:r>
    </w:p>
    <w:p w:rsidR="008F272C" w:rsidRPr="00B3024E" w:rsidRDefault="008F272C" w:rsidP="002B6091">
      <w:pPr>
        <w:pStyle w:val="Heading-subsections"/>
        <w:numPr>
          <w:ilvl w:val="0"/>
          <w:numId w:val="11"/>
        </w:numPr>
      </w:pPr>
      <w:r w:rsidRPr="00B3024E">
        <w:t>Criminal offences</w:t>
      </w:r>
    </w:p>
    <w:p w:rsidR="00DC7DC1" w:rsidRDefault="00756D9A" w:rsidP="00C46B5C">
      <w:pPr>
        <w:pStyle w:val="Parabeforeanother"/>
      </w:pPr>
      <w:r w:rsidRPr="003F78A7">
        <w:rPr>
          <w:b/>
        </w:rPr>
        <w:t>C.5.6</w:t>
      </w:r>
      <w:r>
        <w:t xml:space="preserve"> </w:t>
      </w:r>
      <w:r w:rsidR="008F272C" w:rsidRPr="003955FA">
        <w:t>The EHRC</w:t>
      </w:r>
      <w:r w:rsidR="00594C7A">
        <w:t>’s analysis suggests</w:t>
      </w:r>
      <w:r w:rsidR="008F272C" w:rsidRPr="003955FA">
        <w:t xml:space="preserve"> the </w:t>
      </w:r>
      <w:r w:rsidR="007720F2">
        <w:t>MSA</w:t>
      </w:r>
      <w:r w:rsidR="007720F2" w:rsidRPr="003955FA">
        <w:t xml:space="preserve"> </w:t>
      </w:r>
      <w:r w:rsidR="008F272C" w:rsidRPr="003955FA">
        <w:t>may have missed opportunities to prosecute all those involved in human trafficking.</w:t>
      </w:r>
      <w:r w:rsidR="008F272C" w:rsidRPr="003955FA">
        <w:rPr>
          <w:rStyle w:val="FootnoteReference"/>
        </w:rPr>
        <w:footnoteReference w:id="84"/>
      </w:r>
      <w:r w:rsidR="00C06AC8">
        <w:t xml:space="preserve"> </w:t>
      </w:r>
      <w:r w:rsidR="008F272C" w:rsidRPr="003955FA">
        <w:t xml:space="preserve">The </w:t>
      </w:r>
      <w:r w:rsidR="007720F2">
        <w:t>MSA</w:t>
      </w:r>
      <w:r w:rsidR="007720F2" w:rsidRPr="003955FA">
        <w:t xml:space="preserve"> </w:t>
      </w:r>
      <w:r w:rsidR="008F272C" w:rsidRPr="003955FA">
        <w:t>provides that the consent of victims</w:t>
      </w:r>
      <w:r w:rsidR="007720F2">
        <w:t xml:space="preserve"> (adult or child)</w:t>
      </w:r>
      <w:r w:rsidR="008F272C" w:rsidRPr="003955FA">
        <w:t xml:space="preserve"> will not preclude a finding that they have been held in slavery or servitude or required to perform forced or compulsory labour. It also makes it explicit that the consent of victim</w:t>
      </w:r>
      <w:r w:rsidR="007720F2">
        <w:t>s</w:t>
      </w:r>
      <w:r w:rsidR="008F272C" w:rsidRPr="003955FA">
        <w:t xml:space="preserve"> to their movement </w:t>
      </w:r>
      <w:r w:rsidR="007720F2">
        <w:t>(</w:t>
      </w:r>
      <w:r w:rsidR="008F272C" w:rsidRPr="003955FA">
        <w:t>out, in or within any country</w:t>
      </w:r>
      <w:r w:rsidR="007720F2">
        <w:t>)</w:t>
      </w:r>
      <w:r w:rsidR="008F272C" w:rsidRPr="003955FA">
        <w:t xml:space="preserve"> is irrelevant. However it does not make it explicit, in accordance with Article</w:t>
      </w:r>
      <w:r w:rsidR="00DC7DC1">
        <w:t>s</w:t>
      </w:r>
      <w:r w:rsidR="008F272C" w:rsidRPr="003955FA">
        <w:t xml:space="preserve"> 2(4)</w:t>
      </w:r>
      <w:r w:rsidR="00DC7DC1">
        <w:t xml:space="preserve"> and 2(5)</w:t>
      </w:r>
      <w:r w:rsidR="008F272C" w:rsidRPr="003955FA">
        <w:t xml:space="preserve"> of the </w:t>
      </w:r>
      <w:r w:rsidR="00DC7DC1">
        <w:t xml:space="preserve">EU </w:t>
      </w:r>
      <w:r w:rsidR="008F272C" w:rsidRPr="003955FA">
        <w:t>Directive</w:t>
      </w:r>
      <w:r w:rsidR="00DC7DC1">
        <w:t xml:space="preserve"> </w:t>
      </w:r>
      <w:r w:rsidR="00DC7DC1" w:rsidRPr="00DC7DC1">
        <w:t>on preventing and combating trafficking in human beings and protecting its victims</w:t>
      </w:r>
      <w:r w:rsidR="003B228A">
        <w:t>,</w:t>
      </w:r>
      <w:r w:rsidR="00DC7DC1">
        <w:rPr>
          <w:rStyle w:val="FootnoteReference"/>
        </w:rPr>
        <w:footnoteReference w:id="85"/>
      </w:r>
      <w:r w:rsidR="008F272C" w:rsidRPr="003955FA">
        <w:t xml:space="preserve"> that the consent of an adult to their exploitation is irrelevant where coercive means have been used</w:t>
      </w:r>
      <w:r w:rsidR="00DC7DC1">
        <w:t>.</w:t>
      </w:r>
    </w:p>
    <w:p w:rsidR="00B0674B" w:rsidRDefault="00756D9A" w:rsidP="00C46B5C">
      <w:pPr>
        <w:pStyle w:val="Parabeforeanother"/>
      </w:pPr>
      <w:r w:rsidRPr="003F78A7">
        <w:rPr>
          <w:b/>
        </w:rPr>
        <w:t>C.5.7</w:t>
      </w:r>
      <w:r>
        <w:t xml:space="preserve"> </w:t>
      </w:r>
      <w:r w:rsidR="00B0674B">
        <w:t xml:space="preserve">The </w:t>
      </w:r>
      <w:r w:rsidR="007720F2">
        <w:t xml:space="preserve">MSA </w:t>
      </w:r>
      <w:r w:rsidR="00B0674B">
        <w:t>provides that those who exploit others in securing services from them by way of slavery, servitude, forced or compulsory labour are committing an offence</w:t>
      </w:r>
      <w:r w:rsidR="007720F2">
        <w:t>,</w:t>
      </w:r>
      <w:r w:rsidR="00B0674B">
        <w:t xml:space="preserve"> irrespective of whether they </w:t>
      </w:r>
      <w:proofErr w:type="gramStart"/>
      <w:r w:rsidR="00B0674B">
        <w:t>trafficked</w:t>
      </w:r>
      <w:proofErr w:type="gramEnd"/>
      <w:r w:rsidR="00B0674B">
        <w:t xml:space="preserve"> them. However trafficking offences remain linked to </w:t>
      </w:r>
      <w:r w:rsidR="007720F2">
        <w:t xml:space="preserve">the </w:t>
      </w:r>
      <w:r w:rsidR="00B0674B">
        <w:t>movement</w:t>
      </w:r>
      <w:r w:rsidR="007720F2">
        <w:t xml:space="preserve"> of victims,</w:t>
      </w:r>
      <w:r w:rsidR="00B0674B">
        <w:t xml:space="preserve"> and changes have not been made to capture those who may facilitate or arrange exploitation where there is no movement of the victim.</w:t>
      </w:r>
    </w:p>
    <w:p w:rsidR="008F272C" w:rsidRPr="003955FA" w:rsidRDefault="00756D9A" w:rsidP="00C46B5C">
      <w:pPr>
        <w:pStyle w:val="Parabeforeanother"/>
      </w:pPr>
      <w:r w:rsidRPr="003F78A7">
        <w:rPr>
          <w:b/>
        </w:rPr>
        <w:t>C.5.8</w:t>
      </w:r>
      <w:r>
        <w:t xml:space="preserve"> </w:t>
      </w:r>
      <w:r w:rsidR="00DC7DC1">
        <w:t xml:space="preserve">The </w:t>
      </w:r>
      <w:r w:rsidR="007720F2">
        <w:t xml:space="preserve">MSA </w:t>
      </w:r>
      <w:r w:rsidR="005539A4" w:rsidRPr="005539A4">
        <w:t>also does not make it clear that a trafficker's exploitation of a child is a crime</w:t>
      </w:r>
      <w:r w:rsidR="00DC7DC1">
        <w:t>,</w:t>
      </w:r>
      <w:r w:rsidR="005539A4" w:rsidRPr="005539A4">
        <w:t xml:space="preserve"> reg</w:t>
      </w:r>
      <w:r w:rsidR="005539A4">
        <w:t>ardless of whether the child</w:t>
      </w:r>
      <w:r w:rsidR="005539A4" w:rsidRPr="005539A4">
        <w:t xml:space="preserve"> objected or not</w:t>
      </w:r>
      <w:r w:rsidR="005539A4">
        <w:t>,</w:t>
      </w:r>
      <w:r w:rsidR="005539A4" w:rsidRPr="005539A4">
        <w:t xml:space="preserve"> or whether force, coercion </w:t>
      </w:r>
      <w:r w:rsidR="005539A4" w:rsidRPr="005539A4">
        <w:lastRenderedPageBreak/>
        <w:t>etc. was used.</w:t>
      </w:r>
      <w:r w:rsidR="005539A4">
        <w:t xml:space="preserve"> </w:t>
      </w:r>
      <w:r w:rsidR="008F272C" w:rsidRPr="003955FA">
        <w:rPr>
          <w:bCs/>
          <w:color w:val="000000"/>
        </w:rPr>
        <w:t>The determining question for children is whether or not they were exploited</w:t>
      </w:r>
      <w:r w:rsidR="00DC7DC1">
        <w:rPr>
          <w:bCs/>
          <w:color w:val="000000"/>
        </w:rPr>
        <w:t>,</w:t>
      </w:r>
      <w:r w:rsidR="008F272C" w:rsidRPr="003955FA">
        <w:rPr>
          <w:bCs/>
          <w:color w:val="000000"/>
        </w:rPr>
        <w:t xml:space="preserve"> and not whether there was any means of compulsion involved. </w:t>
      </w:r>
    </w:p>
    <w:p w:rsidR="008F272C" w:rsidRPr="003955FA" w:rsidRDefault="00756D9A" w:rsidP="00C46B5C">
      <w:pPr>
        <w:pStyle w:val="Parabeforenewsubsection"/>
      </w:pPr>
      <w:r w:rsidRPr="003F78A7">
        <w:rPr>
          <w:b/>
        </w:rPr>
        <w:t xml:space="preserve">C.5.9 </w:t>
      </w:r>
      <w:r w:rsidR="00DC7DC1">
        <w:t xml:space="preserve">The EHRC is </w:t>
      </w:r>
      <w:r w:rsidR="008F272C" w:rsidRPr="003955FA">
        <w:t xml:space="preserve">also </w:t>
      </w:r>
      <w:r w:rsidR="00594C7A">
        <w:t>disappointed</w:t>
      </w:r>
      <w:r w:rsidR="00594C7A" w:rsidRPr="003955FA">
        <w:t xml:space="preserve"> </w:t>
      </w:r>
      <w:r w:rsidR="008F272C" w:rsidRPr="003955FA">
        <w:t>that</w:t>
      </w:r>
      <w:r w:rsidR="00DC7DC1">
        <w:t xml:space="preserve"> the </w:t>
      </w:r>
      <w:r w:rsidR="007720F2">
        <w:t xml:space="preserve">MSA </w:t>
      </w:r>
      <w:r w:rsidR="00DC7DC1">
        <w:t>does</w:t>
      </w:r>
      <w:r w:rsidR="008F272C" w:rsidRPr="003955FA">
        <w:t xml:space="preserve"> not </w:t>
      </w:r>
      <w:r w:rsidR="00DC7DC1">
        <w:t xml:space="preserve">make it </w:t>
      </w:r>
      <w:r w:rsidR="008F272C" w:rsidRPr="003955FA">
        <w:t xml:space="preserve">an offence to use coercion, fraud, abuse of power or vulnerability or payment to secure the compliance of a victim. </w:t>
      </w:r>
      <w:r w:rsidR="00DC7DC1">
        <w:t>T</w:t>
      </w:r>
      <w:r w:rsidR="005539A4">
        <w:t xml:space="preserve">his </w:t>
      </w:r>
      <w:r w:rsidR="00DC7DC1">
        <w:t xml:space="preserve">includes </w:t>
      </w:r>
      <w:r w:rsidR="008F272C" w:rsidRPr="003955FA">
        <w:t>using debt bondage</w:t>
      </w:r>
      <w:r w:rsidR="005539A4">
        <w:t>,</w:t>
      </w:r>
      <w:r w:rsidR="008F272C" w:rsidRPr="003955FA">
        <w:t xml:space="preserve"> a com</w:t>
      </w:r>
      <w:r w:rsidR="005539A4">
        <w:t>mon means to exploit a victim, w</w:t>
      </w:r>
      <w:r w:rsidR="008F272C" w:rsidRPr="003955FA">
        <w:t xml:space="preserve">ould not be </w:t>
      </w:r>
      <w:r w:rsidR="005539A4">
        <w:t>a trafficking offence.</w:t>
      </w:r>
    </w:p>
    <w:p w:rsidR="008F272C" w:rsidRPr="00B3024E" w:rsidRDefault="00B3024E" w:rsidP="002B6091">
      <w:pPr>
        <w:pStyle w:val="Heading-subsections"/>
        <w:numPr>
          <w:ilvl w:val="0"/>
          <w:numId w:val="11"/>
        </w:numPr>
      </w:pPr>
      <w:r w:rsidRPr="00B3024E">
        <w:t>F</w:t>
      </w:r>
      <w:r w:rsidR="008F272C" w:rsidRPr="00B3024E">
        <w:t>orced labour and abuse of migrant workers</w:t>
      </w:r>
    </w:p>
    <w:p w:rsidR="008F272C" w:rsidRPr="003955FA" w:rsidRDefault="00756D9A" w:rsidP="00C46B5C">
      <w:pPr>
        <w:pStyle w:val="Parapre-bullets"/>
      </w:pPr>
      <w:r w:rsidRPr="003F78A7">
        <w:rPr>
          <w:b/>
        </w:rPr>
        <w:t xml:space="preserve">C.5.10 </w:t>
      </w:r>
      <w:r w:rsidR="008F272C" w:rsidRPr="003955FA">
        <w:t xml:space="preserve">The EHRC has assisted appellate cases related to forced labour and the abuse of migrant workers: </w:t>
      </w:r>
    </w:p>
    <w:p w:rsidR="008F272C" w:rsidRPr="003955FA" w:rsidRDefault="001C26F9" w:rsidP="00C46B5C">
      <w:pPr>
        <w:pStyle w:val="Bullet-followedbyothers"/>
      </w:pPr>
      <w:proofErr w:type="spellStart"/>
      <w:r w:rsidRPr="004E720F">
        <w:rPr>
          <w:i/>
        </w:rPr>
        <w:t>Hounga</w:t>
      </w:r>
      <w:proofErr w:type="spellEnd"/>
      <w:r w:rsidRPr="004E720F">
        <w:rPr>
          <w:i/>
        </w:rPr>
        <w:t xml:space="preserve"> v Allen</w:t>
      </w:r>
      <w:r w:rsidR="008F272C" w:rsidRPr="003955FA">
        <w:rPr>
          <w:rStyle w:val="FootnoteReference"/>
          <w:rFonts w:cs="Arial"/>
        </w:rPr>
        <w:footnoteReference w:id="86"/>
      </w:r>
      <w:r w:rsidR="008F272C" w:rsidRPr="003955FA">
        <w:t xml:space="preserve"> which established that a migrant domestic worker was protected from discrimination under the Equality Act 2010 despite her own illegal status, the illegality was not</w:t>
      </w:r>
      <w:r w:rsidR="008C67B4">
        <w:t xml:space="preserve"> </w:t>
      </w:r>
      <w:r w:rsidR="008F272C" w:rsidRPr="003955FA">
        <w:t>inextricably linked so as to preclude protection from discrimination</w:t>
      </w:r>
      <w:r w:rsidR="00DC01F5">
        <w:t>,</w:t>
      </w:r>
      <w:r w:rsidR="008F272C" w:rsidRPr="003955FA">
        <w:t xml:space="preserve"> and </w:t>
      </w:r>
    </w:p>
    <w:p w:rsidR="008F272C" w:rsidRDefault="001C26F9" w:rsidP="00C46B5C">
      <w:pPr>
        <w:pStyle w:val="Bullet-lastingroup"/>
      </w:pPr>
      <w:r w:rsidRPr="004E720F">
        <w:rPr>
          <w:i/>
        </w:rPr>
        <w:t xml:space="preserve">Taiwo v </w:t>
      </w:r>
      <w:proofErr w:type="spellStart"/>
      <w:r w:rsidRPr="004E720F">
        <w:rPr>
          <w:i/>
        </w:rPr>
        <w:t>Olaigbe</w:t>
      </w:r>
      <w:proofErr w:type="spellEnd"/>
      <w:r w:rsidR="008F272C" w:rsidRPr="003955FA">
        <w:t xml:space="preserve"> (yet to be heard) addressing whether immigration status is </w:t>
      </w:r>
      <w:proofErr w:type="spellStart"/>
      <w:r w:rsidR="008F272C" w:rsidRPr="003955FA">
        <w:t>indissociably</w:t>
      </w:r>
      <w:proofErr w:type="spellEnd"/>
      <w:r w:rsidR="008F272C" w:rsidRPr="003955FA">
        <w:t xml:space="preserve"> linked to nationality so as to afford exploited migrant workers protection from discrimination. </w:t>
      </w:r>
    </w:p>
    <w:p w:rsidR="00C93288" w:rsidRDefault="00756D9A" w:rsidP="00C46B5C">
      <w:pPr>
        <w:pStyle w:val="Parabeforeanother"/>
        <w:rPr>
          <w:bCs/>
        </w:rPr>
      </w:pPr>
      <w:r w:rsidRPr="003F78A7">
        <w:rPr>
          <w:b/>
        </w:rPr>
        <w:t>C.5.11</w:t>
      </w:r>
      <w:r>
        <w:t xml:space="preserve"> </w:t>
      </w:r>
      <w:r w:rsidR="00C93288">
        <w:t>In our previous submission to the HRC in 2014, we noted the UK Government's changes to the overseas domestic workers' (ODW) visa had significantly increased the potential for ODWs to be exploited as it tied them to a single employer;</w:t>
      </w:r>
      <w:r w:rsidR="00C93288" w:rsidRPr="003955FA">
        <w:rPr>
          <w:rStyle w:val="FootnoteReference"/>
        </w:rPr>
        <w:footnoteReference w:id="87"/>
      </w:r>
      <w:r w:rsidR="00C93288" w:rsidRPr="003955FA">
        <w:t xml:space="preserve"> </w:t>
      </w:r>
      <w:r w:rsidR="00C93288">
        <w:t xml:space="preserve">a potential </w:t>
      </w:r>
      <w:r w:rsidR="00C93288" w:rsidRPr="003955FA">
        <w:t xml:space="preserve">breach of Article 4 of the </w:t>
      </w:r>
      <w:r w:rsidR="007720F2">
        <w:t>ECHR (prohibition on slavery and forced labour)</w:t>
      </w:r>
      <w:r w:rsidR="00C93288" w:rsidRPr="003955FA">
        <w:t xml:space="preserve"> and the positive duty to take steps to prevent trafficking</w:t>
      </w:r>
      <w:r w:rsidR="00C93288">
        <w:t>.</w:t>
      </w:r>
    </w:p>
    <w:p w:rsidR="00C93288" w:rsidRPr="00C93288" w:rsidRDefault="00756D9A" w:rsidP="00C46B5C">
      <w:pPr>
        <w:pStyle w:val="Parabeforeanother"/>
        <w:rPr>
          <w:rFonts w:ascii="Times New Roman" w:hAnsi="Times New Roman"/>
        </w:rPr>
      </w:pPr>
      <w:r w:rsidRPr="003F78A7">
        <w:rPr>
          <w:b/>
        </w:rPr>
        <w:t>C.5.12</w:t>
      </w:r>
      <w:r>
        <w:t xml:space="preserve"> </w:t>
      </w:r>
      <w:r w:rsidR="00C93288">
        <w:t xml:space="preserve">Since then, the </w:t>
      </w:r>
      <w:r w:rsidR="00D82EB3">
        <w:t xml:space="preserve">MSA </w:t>
      </w:r>
      <w:r w:rsidR="00C93288">
        <w:t xml:space="preserve">has introduced provisions allowing for an extension of an overseas domestic worker’s visa for a minimum of 6 months where there is a conclusive decision by the UK's NRM that they are a victim of trafficking. These provisions also now extend to workers who the NRM concludes have been enslaved and exploited. In such cases, the worker will be able to change employer for that 6-month period and will not be subject to immigration enforcement action. </w:t>
      </w:r>
    </w:p>
    <w:p w:rsidR="00C93288" w:rsidRPr="00505610" w:rsidRDefault="00756D9A" w:rsidP="00C46B5C">
      <w:pPr>
        <w:pStyle w:val="Parabeforeanother"/>
      </w:pPr>
      <w:r w:rsidRPr="003F78A7">
        <w:rPr>
          <w:b/>
        </w:rPr>
        <w:t>C.5.13</w:t>
      </w:r>
      <w:r>
        <w:t xml:space="preserve"> </w:t>
      </w:r>
      <w:r w:rsidR="00C93288" w:rsidRPr="00A96757">
        <w:t xml:space="preserve">The </w:t>
      </w:r>
      <w:r w:rsidR="00C93288">
        <w:t>EHRC</w:t>
      </w:r>
      <w:r w:rsidR="00C93288" w:rsidRPr="00A96757">
        <w:t xml:space="preserve"> welcomes these provisions. However</w:t>
      </w:r>
      <w:r w:rsidR="00C93288">
        <w:t>,</w:t>
      </w:r>
      <w:r w:rsidR="00C93288" w:rsidRPr="00A96757">
        <w:t xml:space="preserve"> </w:t>
      </w:r>
      <w:r w:rsidR="00C93288">
        <w:t>we await</w:t>
      </w:r>
      <w:r w:rsidR="00C93288" w:rsidRPr="00A96757">
        <w:t xml:space="preserve"> the outcome of </w:t>
      </w:r>
      <w:r w:rsidR="00594C7A">
        <w:t>the UK G</w:t>
      </w:r>
      <w:r w:rsidR="00C93288" w:rsidRPr="00A96757">
        <w:t>overnment review</w:t>
      </w:r>
      <w:r w:rsidR="00C93288">
        <w:rPr>
          <w:rStyle w:val="FootnoteReference"/>
        </w:rPr>
        <w:footnoteReference w:id="88"/>
      </w:r>
      <w:r w:rsidR="00C93288" w:rsidRPr="00A96757">
        <w:t xml:space="preserve"> of the impact of the changes to the ODW visas to assess what additional measures may be required. Instilling confidence in exploited overseas domestic workers to come forward is key to ensur</w:t>
      </w:r>
      <w:r w:rsidR="00C93288">
        <w:t xml:space="preserve">ing these new provisions </w:t>
      </w:r>
      <w:r w:rsidR="00C93288" w:rsidRPr="00A96757">
        <w:lastRenderedPageBreak/>
        <w:t xml:space="preserve">work effectively, therefore the </w:t>
      </w:r>
      <w:r w:rsidR="00C93288">
        <w:t>EHRC</w:t>
      </w:r>
      <w:r w:rsidR="00C93288" w:rsidRPr="00A96757">
        <w:t xml:space="preserve"> considers that it is fundamental that the </w:t>
      </w:r>
      <w:r w:rsidR="00C93288" w:rsidRPr="007E3685">
        <w:t xml:space="preserve">recommendations of the </w:t>
      </w:r>
      <w:r w:rsidR="00C93288" w:rsidRPr="00A96757">
        <w:t>NRM review</w:t>
      </w:r>
      <w:r w:rsidR="00522870">
        <w:t xml:space="preserve"> are implemented</w:t>
      </w:r>
      <w:r w:rsidR="00C93288" w:rsidRPr="00A96757">
        <w:t xml:space="preserve"> and steps are taken to provide legal aid to potential victims</w:t>
      </w:r>
      <w:r w:rsidR="00522870">
        <w:t xml:space="preserve"> at the point of identification.</w:t>
      </w:r>
    </w:p>
    <w:p w:rsidR="00C93288" w:rsidRPr="00505610" w:rsidRDefault="00756D9A" w:rsidP="00C46B5C">
      <w:pPr>
        <w:pStyle w:val="Parabeforenewsubsection"/>
      </w:pPr>
      <w:r w:rsidRPr="003F78A7">
        <w:rPr>
          <w:b/>
        </w:rPr>
        <w:t>C.5.14</w:t>
      </w:r>
      <w:r>
        <w:t xml:space="preserve"> </w:t>
      </w:r>
      <w:r w:rsidR="00C93288" w:rsidRPr="00A96757">
        <w:t xml:space="preserve">The </w:t>
      </w:r>
      <w:r w:rsidR="00C93288">
        <w:t>EHRC</w:t>
      </w:r>
      <w:r w:rsidR="00C93288" w:rsidRPr="00A96757">
        <w:t xml:space="preserve"> notes that the leave to remain in the UK which may be granted under </w:t>
      </w:r>
      <w:r w:rsidR="00522870">
        <w:t>the OSW visa</w:t>
      </w:r>
      <w:r w:rsidR="00522870" w:rsidRPr="00A96757">
        <w:t xml:space="preserve"> </w:t>
      </w:r>
      <w:r w:rsidR="00C93288" w:rsidRPr="00A96757">
        <w:t xml:space="preserve">provisions is not limited to 6 months. </w:t>
      </w:r>
      <w:r w:rsidR="00522870">
        <w:t>W</w:t>
      </w:r>
      <w:r w:rsidR="00C93288" w:rsidRPr="00A96757">
        <w:t>hen determining how long leave to remain is granted for</w:t>
      </w:r>
      <w:r w:rsidR="00C93288">
        <w:t>,</w:t>
      </w:r>
      <w:r w:rsidR="00C93288" w:rsidRPr="00A96757">
        <w:t xml:space="preserve"> </w:t>
      </w:r>
      <w:r w:rsidR="00522870">
        <w:t xml:space="preserve">the EHRC recommends </w:t>
      </w:r>
      <w:r w:rsidR="00C93288" w:rsidRPr="00A96757">
        <w:t>consideration be given to the ability of victims to pursue compensation.</w:t>
      </w:r>
      <w:r w:rsidR="008C67B4">
        <w:t xml:space="preserve"> </w:t>
      </w:r>
      <w:r w:rsidR="00C93288" w:rsidRPr="00A96757">
        <w:t xml:space="preserve">Evidence to </w:t>
      </w:r>
      <w:r w:rsidR="00C93288">
        <w:t>GRETA</w:t>
      </w:r>
      <w:r w:rsidR="00C93288" w:rsidRPr="00A96757">
        <w:t xml:space="preserve"> indicated that victims of trafficking </w:t>
      </w:r>
      <w:r w:rsidR="00C93288">
        <w:t xml:space="preserve">rarely pursue compensation and </w:t>
      </w:r>
      <w:r w:rsidR="00C93288" w:rsidRPr="00A96757">
        <w:t xml:space="preserve">recognised that </w:t>
      </w:r>
      <w:proofErr w:type="gramStart"/>
      <w:r w:rsidR="00C93288" w:rsidRPr="00A96757">
        <w:t>victims leaving the UK was</w:t>
      </w:r>
      <w:proofErr w:type="gramEnd"/>
      <w:r w:rsidR="00C93288" w:rsidRPr="00A96757">
        <w:t xml:space="preserve"> one of the contributory factors to this.</w:t>
      </w:r>
      <w:r w:rsidR="00C93288">
        <w:rPr>
          <w:rStyle w:val="FootnoteReference"/>
        </w:rPr>
        <w:footnoteReference w:id="89"/>
      </w:r>
    </w:p>
    <w:p w:rsidR="00C93288" w:rsidRPr="00B3024E" w:rsidRDefault="00C93288" w:rsidP="002B6091">
      <w:pPr>
        <w:pStyle w:val="Heading-subsections"/>
        <w:numPr>
          <w:ilvl w:val="0"/>
          <w:numId w:val="11"/>
        </w:numPr>
      </w:pPr>
      <w:r w:rsidRPr="00B3024E">
        <w:t>Anti-slavery Commissioner</w:t>
      </w:r>
    </w:p>
    <w:p w:rsidR="00C93288" w:rsidRPr="003955FA" w:rsidRDefault="00756D9A" w:rsidP="00C46B5C">
      <w:pPr>
        <w:pStyle w:val="Parabeforebulletss"/>
      </w:pPr>
      <w:r w:rsidRPr="003F78A7">
        <w:rPr>
          <w:b/>
        </w:rPr>
        <w:t>C.5.15</w:t>
      </w:r>
      <w:r>
        <w:t xml:space="preserve"> </w:t>
      </w:r>
      <w:r w:rsidR="00C93288" w:rsidRPr="003955FA">
        <w:t xml:space="preserve">The EHRC notes that there have been changes in the </w:t>
      </w:r>
      <w:r w:rsidR="00D82EB3">
        <w:t>MSA</w:t>
      </w:r>
      <w:r w:rsidR="00D82EB3" w:rsidRPr="003955FA">
        <w:t xml:space="preserve"> </w:t>
      </w:r>
      <w:r w:rsidR="00C93288" w:rsidRPr="003955FA">
        <w:t>to:</w:t>
      </w:r>
    </w:p>
    <w:p w:rsidR="00C93288" w:rsidRPr="003955FA" w:rsidRDefault="00C93288" w:rsidP="00C46B5C">
      <w:pPr>
        <w:pStyle w:val="Bullet-followedbyothers"/>
      </w:pPr>
      <w:r w:rsidRPr="003955FA">
        <w:t>increase the independence of the Anti-Slavery Commissioner</w:t>
      </w:r>
    </w:p>
    <w:p w:rsidR="00C93288" w:rsidRPr="003955FA" w:rsidRDefault="00C93288" w:rsidP="00C46B5C">
      <w:pPr>
        <w:pStyle w:val="Bullet-followedbyothers"/>
      </w:pPr>
      <w:r w:rsidRPr="003955FA">
        <w:t>specify which bodies are under a duty to cooperate with the Anti-Slavery Commissioner</w:t>
      </w:r>
      <w:r w:rsidR="00DC01F5">
        <w:t>,</w:t>
      </w:r>
      <w:r w:rsidRPr="003955FA">
        <w:t xml:space="preserve"> and</w:t>
      </w:r>
    </w:p>
    <w:p w:rsidR="00C93288" w:rsidRPr="003955FA" w:rsidRDefault="00C93288" w:rsidP="00C46B5C">
      <w:pPr>
        <w:pStyle w:val="Bullet-lastingroup"/>
      </w:pPr>
      <w:proofErr w:type="gramStart"/>
      <w:r w:rsidRPr="003955FA">
        <w:t>include</w:t>
      </w:r>
      <w:proofErr w:type="gramEnd"/>
      <w:r w:rsidRPr="003955FA">
        <w:t xml:space="preserve"> the provision of assistance and support to victims to the range of matters to the Anti-Slavery Commissioner's remit. </w:t>
      </w:r>
    </w:p>
    <w:p w:rsidR="00C93288" w:rsidRPr="003955FA" w:rsidRDefault="00756D9A" w:rsidP="00C46B5C">
      <w:pPr>
        <w:pStyle w:val="Parabeforenewsubsection"/>
      </w:pPr>
      <w:r w:rsidRPr="003F78A7">
        <w:rPr>
          <w:b/>
        </w:rPr>
        <w:t xml:space="preserve">C.5.16 </w:t>
      </w:r>
      <w:r w:rsidR="00C93288" w:rsidRPr="003955FA">
        <w:t>These changes strengthen public accountability and transparency of the Anti-Slavery Commissioner's role and the provision of assistance and support to victims of slavery</w:t>
      </w:r>
      <w:r w:rsidR="00522870">
        <w:t xml:space="preserve">, but the EHRC’s recommendations </w:t>
      </w:r>
      <w:r w:rsidR="00C93288" w:rsidRPr="003955FA">
        <w:t xml:space="preserve">to strengthen </w:t>
      </w:r>
      <w:r w:rsidR="00C93288">
        <w:t xml:space="preserve">the </w:t>
      </w:r>
      <w:r w:rsidR="00C93288" w:rsidRPr="003955FA">
        <w:t>powers and resources</w:t>
      </w:r>
      <w:r w:rsidR="00C93288">
        <w:t xml:space="preserve"> available to the Anti-Slavery Commissioner</w:t>
      </w:r>
      <w:r w:rsidR="00522870">
        <w:t xml:space="preserve"> were not implemented</w:t>
      </w:r>
      <w:r w:rsidR="00C93288" w:rsidRPr="003955FA">
        <w:t>.</w:t>
      </w:r>
      <w:r w:rsidR="00C93288" w:rsidRPr="003955FA">
        <w:rPr>
          <w:rStyle w:val="FootnoteReference"/>
        </w:rPr>
        <w:footnoteReference w:id="90"/>
      </w:r>
      <w:r w:rsidR="008C67B4">
        <w:t xml:space="preserve"> </w:t>
      </w:r>
      <w:r w:rsidR="00C93288" w:rsidRPr="003955FA">
        <w:t>In addition the EHRC considers the range of public authorities under a duty to co-operate with the Anti-Slavery Commissioner should be extended to include</w:t>
      </w:r>
      <w:r w:rsidR="00C93288">
        <w:t>:</w:t>
      </w:r>
      <w:r w:rsidR="00C93288" w:rsidRPr="003955FA">
        <w:t xml:space="preserve"> schools, prisons, probation services and competent authorities, all of which are likely to come into contact with potential victims of trafficking or slavery, along with voluntary organisations performing a public function.</w:t>
      </w:r>
    </w:p>
    <w:p w:rsidR="000B3BEF" w:rsidRDefault="000B3BEF" w:rsidP="00E6373A">
      <w:pPr>
        <w:pStyle w:val="Heading-subsections"/>
      </w:pPr>
    </w:p>
    <w:p w:rsidR="00E6373A" w:rsidRDefault="00C93288" w:rsidP="00E6373A">
      <w:pPr>
        <w:pStyle w:val="Heading-subsections"/>
      </w:pPr>
      <w:r>
        <w:lastRenderedPageBreak/>
        <w:t>Conclusion:</w:t>
      </w:r>
    </w:p>
    <w:p w:rsidR="00D82EB3" w:rsidRDefault="00756D9A" w:rsidP="00C46B5C">
      <w:pPr>
        <w:pStyle w:val="Parabold"/>
      </w:pPr>
      <w:r>
        <w:t xml:space="preserve">C.5.17 </w:t>
      </w:r>
      <w:r w:rsidR="00C93288" w:rsidRPr="003955FA">
        <w:t xml:space="preserve">The </w:t>
      </w:r>
      <w:r w:rsidR="00C93288">
        <w:t>Modern Slavery Act</w:t>
      </w:r>
      <w:r w:rsidR="00D82EB3">
        <w:t xml:space="preserve"> 2015 is a timely and necessary legislative measure to enforce the prohibition on trafficking and slavery in England and Wales.</w:t>
      </w:r>
      <w:r w:rsidR="00C93288">
        <w:t xml:space="preserve"> However, gaps </w:t>
      </w:r>
      <w:r w:rsidR="00D82EB3">
        <w:t xml:space="preserve">in legislation and implementation remain, in relation </w:t>
      </w:r>
      <w:r w:rsidR="00C93288">
        <w:t>to the protection of children and adults who have been victims of trafficking and exploitation</w:t>
      </w:r>
      <w:r w:rsidR="00D82EB3">
        <w:t xml:space="preserve">, for example as evidenced in the UK Government’s review of the </w:t>
      </w:r>
      <w:r w:rsidR="0017664E">
        <w:t>NRM</w:t>
      </w:r>
      <w:r w:rsidR="00C93288">
        <w:t>.</w:t>
      </w:r>
      <w:r w:rsidR="008C67B4">
        <w:t xml:space="preserve"> </w:t>
      </w:r>
      <w:r w:rsidR="00D82EB3">
        <w:t>In order to improve compliance with Articles 2, 8, 9, 14, 24 and 26 of ICCPR,</w:t>
      </w:r>
      <w:r w:rsidR="00177849">
        <w:t xml:space="preserve"> </w:t>
      </w:r>
      <w:r w:rsidR="00177849" w:rsidRPr="003955FA">
        <w:t xml:space="preserve">the UK Government </w:t>
      </w:r>
      <w:r w:rsidR="00D82EB3">
        <w:t xml:space="preserve">should </w:t>
      </w:r>
      <w:r w:rsidR="00177849" w:rsidRPr="003955FA">
        <w:t>commit to</w:t>
      </w:r>
      <w:r w:rsidR="00D82EB3">
        <w:t>:</w:t>
      </w:r>
      <w:r w:rsidR="00177849" w:rsidRPr="003955FA">
        <w:t xml:space="preserve"> </w:t>
      </w:r>
    </w:p>
    <w:p w:rsidR="00D82EB3" w:rsidRPr="00C46B5C" w:rsidRDefault="00177849" w:rsidP="00C46B5C">
      <w:pPr>
        <w:pStyle w:val="Bullet-followedbyothers"/>
        <w:rPr>
          <w:b/>
        </w:rPr>
      </w:pPr>
      <w:r w:rsidRPr="00C46B5C">
        <w:rPr>
          <w:b/>
        </w:rPr>
        <w:t xml:space="preserve">reviewing the </w:t>
      </w:r>
      <w:r w:rsidR="00D82EB3" w:rsidRPr="00C46B5C">
        <w:rPr>
          <w:b/>
        </w:rPr>
        <w:t>Modern Slavery Act</w:t>
      </w:r>
      <w:r w:rsidRPr="00C46B5C">
        <w:rPr>
          <w:b/>
        </w:rPr>
        <w:t xml:space="preserve"> within this Parliament to see whether it is functioning as intended and</w:t>
      </w:r>
      <w:r w:rsidR="00D82EB3" w:rsidRPr="00C46B5C">
        <w:rPr>
          <w:b/>
        </w:rPr>
        <w:t>,</w:t>
      </w:r>
      <w:r w:rsidRPr="00C46B5C">
        <w:rPr>
          <w:b/>
        </w:rPr>
        <w:t xml:space="preserve"> if evidence suggests these remaining gaps</w:t>
      </w:r>
      <w:r w:rsidR="00D82EB3" w:rsidRPr="00C46B5C">
        <w:rPr>
          <w:b/>
        </w:rPr>
        <w:t xml:space="preserve"> impact on compliance with international human rights obligations, bringing forward </w:t>
      </w:r>
      <w:r w:rsidRPr="00C46B5C">
        <w:rPr>
          <w:b/>
        </w:rPr>
        <w:t>amendment</w:t>
      </w:r>
      <w:r w:rsidR="00D82EB3" w:rsidRPr="00C46B5C">
        <w:rPr>
          <w:b/>
        </w:rPr>
        <w:t>s to the legislation</w:t>
      </w:r>
    </w:p>
    <w:p w:rsidR="00DE7E13" w:rsidRPr="00C46B5C" w:rsidRDefault="00D82EB3" w:rsidP="00C46B5C">
      <w:pPr>
        <w:pStyle w:val="Bullet-followedbyothers"/>
        <w:rPr>
          <w:b/>
        </w:rPr>
      </w:pPr>
      <w:r w:rsidRPr="00C46B5C">
        <w:rPr>
          <w:b/>
        </w:rPr>
        <w:t>expediting implementation of the pilot schemes</w:t>
      </w:r>
      <w:r w:rsidR="00D26F2E" w:rsidRPr="00C46B5C">
        <w:rPr>
          <w:b/>
        </w:rPr>
        <w:t xml:space="preserve"> to address the recommendations of the review of the </w:t>
      </w:r>
      <w:r w:rsidR="00243F41" w:rsidRPr="00C46B5C">
        <w:rPr>
          <w:b/>
        </w:rPr>
        <w:t>NRM</w:t>
      </w:r>
      <w:r w:rsidR="00D26F2E" w:rsidRPr="00C46B5C">
        <w:rPr>
          <w:b/>
        </w:rPr>
        <w:t>, including the provision of legal advice from the point at which potential victims of trafficking are identified</w:t>
      </w:r>
    </w:p>
    <w:p w:rsidR="00C93288" w:rsidRPr="00C46B5C" w:rsidRDefault="00D26F2E" w:rsidP="00C46B5C">
      <w:pPr>
        <w:pStyle w:val="Bullet-followedbyothers"/>
        <w:rPr>
          <w:b/>
        </w:rPr>
      </w:pPr>
      <w:r w:rsidRPr="00C46B5C">
        <w:rPr>
          <w:b/>
        </w:rPr>
        <w:t>ensuring the Regulations detailing the provisions for the identification and support of victims of trafficking address the</w:t>
      </w:r>
      <w:r w:rsidR="008C67B4">
        <w:rPr>
          <w:b/>
        </w:rPr>
        <w:t xml:space="preserve"> </w:t>
      </w:r>
      <w:r w:rsidR="00B03E76" w:rsidRPr="00C46B5C">
        <w:rPr>
          <w:b/>
        </w:rPr>
        <w:t>need for the</w:t>
      </w:r>
      <w:r w:rsidR="00C93288" w:rsidRPr="00C46B5C">
        <w:rPr>
          <w:b/>
        </w:rPr>
        <w:t xml:space="preserve"> </w:t>
      </w:r>
      <w:r w:rsidR="00B03E76" w:rsidRPr="00C46B5C">
        <w:rPr>
          <w:b/>
        </w:rPr>
        <w:t>following</w:t>
      </w:r>
      <w:r w:rsidR="00C93288" w:rsidRPr="00C46B5C">
        <w:rPr>
          <w:b/>
        </w:rPr>
        <w:t>:</w:t>
      </w:r>
    </w:p>
    <w:p w:rsidR="00C93288" w:rsidRPr="00C46B5C" w:rsidRDefault="00C93288" w:rsidP="00C46B5C">
      <w:pPr>
        <w:pStyle w:val="Bullets-sub-bullets"/>
        <w:rPr>
          <w:b/>
        </w:rPr>
      </w:pPr>
      <w:r w:rsidRPr="00C46B5C">
        <w:rPr>
          <w:b/>
        </w:rPr>
        <w:t>a formal appeal process in the NRM</w:t>
      </w:r>
    </w:p>
    <w:p w:rsidR="00C93288" w:rsidRPr="00C46B5C" w:rsidRDefault="00B03E76" w:rsidP="00C46B5C">
      <w:pPr>
        <w:pStyle w:val="Bullets-sub-bullets"/>
        <w:rPr>
          <w:b/>
        </w:rPr>
      </w:pPr>
      <w:r w:rsidRPr="00C46B5C">
        <w:rPr>
          <w:b/>
          <w:bCs/>
        </w:rPr>
        <w:t>a</w:t>
      </w:r>
      <w:r w:rsidR="00177849" w:rsidRPr="00C46B5C">
        <w:rPr>
          <w:b/>
          <w:bCs/>
        </w:rPr>
        <w:t xml:space="preserve"> </w:t>
      </w:r>
      <w:r w:rsidR="00C93288" w:rsidRPr="00C46B5C">
        <w:rPr>
          <w:b/>
          <w:bCs/>
        </w:rPr>
        <w:t>clear statutory duty to record and report trafficked children who go missing from care</w:t>
      </w:r>
      <w:r w:rsidRPr="00C46B5C">
        <w:rPr>
          <w:b/>
          <w:bCs/>
        </w:rPr>
        <w:t xml:space="preserve"> applicable </w:t>
      </w:r>
      <w:r w:rsidR="00C93288" w:rsidRPr="00C46B5C">
        <w:rPr>
          <w:b/>
        </w:rPr>
        <w:t>to all relevant public authorities, including: health authorities, schools, prisons, probation services, competent authorities and voluntary organisations performing a public function</w:t>
      </w:r>
      <w:r w:rsidR="00243F41" w:rsidRPr="00C46B5C">
        <w:rPr>
          <w:b/>
        </w:rPr>
        <w:t>,</w:t>
      </w:r>
      <w:r w:rsidR="00C93288" w:rsidRPr="00C46B5C">
        <w:rPr>
          <w:b/>
        </w:rPr>
        <w:t xml:space="preserve"> </w:t>
      </w:r>
      <w:r w:rsidR="00D26F2E" w:rsidRPr="00C46B5C">
        <w:rPr>
          <w:b/>
        </w:rPr>
        <w:t>and</w:t>
      </w:r>
    </w:p>
    <w:p w:rsidR="00C93288" w:rsidRPr="00C46B5C" w:rsidRDefault="00B03E76" w:rsidP="00C46B5C">
      <w:pPr>
        <w:pStyle w:val="Bullets-sub-bullets"/>
        <w:rPr>
          <w:b/>
          <w:bCs/>
        </w:rPr>
      </w:pPr>
      <w:proofErr w:type="gramStart"/>
      <w:r w:rsidRPr="00C46B5C">
        <w:rPr>
          <w:b/>
        </w:rPr>
        <w:t>clarity</w:t>
      </w:r>
      <w:proofErr w:type="gramEnd"/>
      <w:r w:rsidRPr="00C46B5C">
        <w:rPr>
          <w:b/>
        </w:rPr>
        <w:t xml:space="preserve"> </w:t>
      </w:r>
      <w:r w:rsidR="00C93288" w:rsidRPr="00C46B5C">
        <w:rPr>
          <w:b/>
        </w:rPr>
        <w:t>that only a credible suspicion is required to trigger the provision of support and assistance and require public authorities to report suspected victims of trafficking or slavery</w:t>
      </w:r>
      <w:r w:rsidR="00D26F2E" w:rsidRPr="00C46B5C">
        <w:rPr>
          <w:b/>
        </w:rPr>
        <w:t>.</w:t>
      </w:r>
    </w:p>
    <w:p w:rsidR="00C93288" w:rsidRPr="003955FA" w:rsidRDefault="00C93288" w:rsidP="00C93288">
      <w:pPr>
        <w:spacing w:after="0"/>
        <w:rPr>
          <w:rFonts w:cs="Arial"/>
          <w:b/>
          <w:bCs/>
          <w:sz w:val="24"/>
          <w:szCs w:val="24"/>
        </w:rPr>
      </w:pPr>
    </w:p>
    <w:p w:rsidR="00D26F2E" w:rsidRDefault="00D26F2E" w:rsidP="00C46B5C">
      <w:pPr>
        <w:pStyle w:val="Parabold"/>
      </w:pPr>
      <w:r>
        <w:t>Question A: Would the UK Government outline the scope of Regulations detailing the provision for the identification and support of victims of trafficking in England and Wales?</w:t>
      </w:r>
    </w:p>
    <w:p w:rsidR="00C93288" w:rsidRDefault="00C93288" w:rsidP="00C46B5C">
      <w:pPr>
        <w:pStyle w:val="Parabold"/>
      </w:pPr>
      <w:r>
        <w:t xml:space="preserve">Question B: </w:t>
      </w:r>
      <w:r w:rsidR="00D26F2E">
        <w:t xml:space="preserve">Would the UK Government outline the scope and timetable for implementation of the </w:t>
      </w:r>
      <w:r w:rsidRPr="003955FA">
        <w:t>pilot</w:t>
      </w:r>
      <w:r w:rsidR="00D26F2E">
        <w:t xml:space="preserve"> </w:t>
      </w:r>
      <w:r w:rsidR="00177849">
        <w:t>schemes to test improvements</w:t>
      </w:r>
      <w:r w:rsidRPr="003955FA">
        <w:t xml:space="preserve"> </w:t>
      </w:r>
      <w:r w:rsidR="00177849">
        <w:t>to</w:t>
      </w:r>
      <w:r w:rsidR="00177849" w:rsidRPr="003955FA">
        <w:t xml:space="preserve"> </w:t>
      </w:r>
      <w:r w:rsidRPr="003955FA">
        <w:t xml:space="preserve">the </w:t>
      </w:r>
      <w:r w:rsidR="0017664E">
        <w:t>NRM</w:t>
      </w:r>
      <w:r w:rsidR="00D26F2E">
        <w:t>?</w:t>
      </w:r>
      <w:r w:rsidR="00D26F2E" w:rsidRPr="003955FA">
        <w:t xml:space="preserve"> </w:t>
      </w:r>
    </w:p>
    <w:p w:rsidR="00177849" w:rsidRDefault="00C93288" w:rsidP="00C46B5C">
      <w:pPr>
        <w:pStyle w:val="Parabold"/>
      </w:pPr>
      <w:r w:rsidRPr="003955FA">
        <w:t>Question C:</w:t>
      </w:r>
      <w:r>
        <w:t xml:space="preserve"> </w:t>
      </w:r>
      <w:r w:rsidRPr="003955FA">
        <w:t xml:space="preserve">Will the UK Government commit to reviewing the </w:t>
      </w:r>
      <w:r w:rsidR="00D26F2E">
        <w:t xml:space="preserve">Modern Slavery </w:t>
      </w:r>
      <w:r w:rsidRPr="003955FA">
        <w:t xml:space="preserve">Act </w:t>
      </w:r>
      <w:r w:rsidR="00177849">
        <w:t xml:space="preserve">within this Parliament </w:t>
      </w:r>
      <w:r w:rsidRPr="003955FA">
        <w:t>to see whether it is functioning as intended</w:t>
      </w:r>
      <w:r w:rsidR="00177849">
        <w:t>?</w:t>
      </w:r>
      <w:r>
        <w:t xml:space="preserve"> </w:t>
      </w:r>
    </w:p>
    <w:p w:rsidR="00C93288" w:rsidRPr="00C46B5C" w:rsidRDefault="00177849" w:rsidP="00C46B5C">
      <w:pPr>
        <w:pStyle w:val="Parabeforenewsection"/>
        <w:rPr>
          <w:b/>
        </w:rPr>
      </w:pPr>
      <w:r w:rsidRPr="00C46B5C">
        <w:rPr>
          <w:b/>
        </w:rPr>
        <w:lastRenderedPageBreak/>
        <w:t xml:space="preserve">Question D: Can the UK Government </w:t>
      </w:r>
      <w:r w:rsidR="00C93288" w:rsidRPr="00C46B5C">
        <w:rPr>
          <w:b/>
        </w:rPr>
        <w:t xml:space="preserve">reassure the Committee that it will act on the recommendations that ensure from the </w:t>
      </w:r>
      <w:r w:rsidR="00D26F2E" w:rsidRPr="00C46B5C">
        <w:rPr>
          <w:b/>
        </w:rPr>
        <w:t xml:space="preserve">Overseas Domestic Workers </w:t>
      </w:r>
      <w:r w:rsidR="00C93288" w:rsidRPr="00C46B5C">
        <w:rPr>
          <w:b/>
        </w:rPr>
        <w:t>review within a set timeframe?</w:t>
      </w:r>
    </w:p>
    <w:p w:rsidR="002D01E1" w:rsidRDefault="002D01E1" w:rsidP="002B6091">
      <w:pPr>
        <w:pStyle w:val="Heading-sections"/>
        <w:numPr>
          <w:ilvl w:val="0"/>
          <w:numId w:val="7"/>
        </w:numPr>
      </w:pPr>
      <w:bookmarkStart w:id="14" w:name="_Toc420603270"/>
      <w:r w:rsidRPr="00EF0534">
        <w:t xml:space="preserve">Privacy and </w:t>
      </w:r>
      <w:r w:rsidR="00690805">
        <w:t>s</w:t>
      </w:r>
      <w:r w:rsidRPr="00EF0534">
        <w:t>ecurity (Articles 2, 5 (1) and 17)</w:t>
      </w:r>
      <w:r w:rsidR="00C20930">
        <w:t>, List of I</w:t>
      </w:r>
      <w:r>
        <w:t>ssues paragraph 28</w:t>
      </w:r>
      <w:bookmarkEnd w:id="14"/>
    </w:p>
    <w:p w:rsidR="003A2FF0" w:rsidRPr="00EF0534" w:rsidRDefault="003A2FF0" w:rsidP="003A2FF0">
      <w:pPr>
        <w:pStyle w:val="ListParagraph"/>
        <w:spacing w:after="0"/>
        <w:rPr>
          <w:b/>
          <w:sz w:val="24"/>
          <w:szCs w:val="24"/>
        </w:rPr>
      </w:pPr>
    </w:p>
    <w:p w:rsidR="003A2FF0" w:rsidRPr="006D742F" w:rsidRDefault="003A2FF0" w:rsidP="002B6091">
      <w:pPr>
        <w:pStyle w:val="Heading-subsections"/>
        <w:numPr>
          <w:ilvl w:val="0"/>
          <w:numId w:val="12"/>
        </w:numPr>
      </w:pPr>
      <w:r>
        <w:t xml:space="preserve">UK </w:t>
      </w:r>
      <w:r w:rsidRPr="006D742F">
        <w:t>Government surveillance and access to private communications</w:t>
      </w:r>
    </w:p>
    <w:p w:rsidR="003A2FF0" w:rsidRPr="006D742F" w:rsidRDefault="00756D9A" w:rsidP="00C46B5C">
      <w:pPr>
        <w:pStyle w:val="Parabeforeanother"/>
        <w:rPr>
          <w:lang w:eastAsia="en-GB"/>
        </w:rPr>
      </w:pPr>
      <w:r w:rsidRPr="003F78A7">
        <w:rPr>
          <w:b/>
        </w:rPr>
        <w:t>C.6.1</w:t>
      </w:r>
      <w:r>
        <w:t xml:space="preserve"> </w:t>
      </w:r>
      <w:r w:rsidR="003A2FF0" w:rsidRPr="006D742F">
        <w:t xml:space="preserve">The EHRC outlined the legal framework for the right to privacy in the UK in our 2014 submission to the </w:t>
      </w:r>
      <w:r w:rsidR="003A2FF0">
        <w:t>HRC</w:t>
      </w:r>
      <w:r w:rsidR="003A2FF0" w:rsidRPr="006D742F">
        <w:t xml:space="preserve">, </w:t>
      </w:r>
      <w:r w:rsidR="003A2FF0">
        <w:t>and</w:t>
      </w:r>
      <w:r w:rsidR="003A2FF0" w:rsidRPr="006D742F">
        <w:t xml:space="preserve"> our </w:t>
      </w:r>
      <w:r w:rsidR="003A2FF0">
        <w:t>an</w:t>
      </w:r>
      <w:r w:rsidR="00243F41">
        <w:t>a</w:t>
      </w:r>
      <w:r w:rsidR="003A2FF0">
        <w:t>lysis</w:t>
      </w:r>
      <w:r w:rsidR="003A2FF0" w:rsidRPr="006D742F">
        <w:t xml:space="preserve"> that this framework </w:t>
      </w:r>
      <w:r w:rsidR="003A2FF0" w:rsidRPr="006D742F">
        <w:rPr>
          <w:lang w:eastAsia="en-GB"/>
        </w:rPr>
        <w:t xml:space="preserve">has struggled to keep pace with the demands of government and changes in the technology of information gathering and data sharing; and </w:t>
      </w:r>
      <w:r w:rsidR="003A2FF0">
        <w:rPr>
          <w:lang w:eastAsia="en-GB"/>
        </w:rPr>
        <w:t xml:space="preserve">has </w:t>
      </w:r>
      <w:r w:rsidR="003A2FF0" w:rsidRPr="006D742F">
        <w:rPr>
          <w:lang w:eastAsia="en-GB"/>
        </w:rPr>
        <w:t>become increasingly fragmented and incoherent.</w:t>
      </w:r>
      <w:r w:rsidR="003A2FF0" w:rsidRPr="006D742F">
        <w:rPr>
          <w:rStyle w:val="FootnoteReference"/>
        </w:rPr>
        <w:footnoteReference w:id="91"/>
      </w:r>
      <w:r w:rsidR="003A2FF0" w:rsidRPr="006D742F">
        <w:t xml:space="preserve"> </w:t>
      </w:r>
    </w:p>
    <w:p w:rsidR="003A2FF0" w:rsidRPr="006D742F" w:rsidRDefault="00756D9A" w:rsidP="00EB081A">
      <w:pPr>
        <w:pStyle w:val="Parabeforebulletss"/>
      </w:pPr>
      <w:r w:rsidRPr="003F78A7">
        <w:rPr>
          <w:b/>
        </w:rPr>
        <w:t xml:space="preserve">C.6.2 </w:t>
      </w:r>
      <w:r w:rsidR="003A2FF0" w:rsidRPr="006D742F">
        <w:t xml:space="preserve">In October 2014, the </w:t>
      </w:r>
      <w:r w:rsidR="003A2FF0" w:rsidRPr="006D742F">
        <w:rPr>
          <w:lang w:eastAsia="en-GB"/>
        </w:rPr>
        <w:t>EHRC</w:t>
      </w:r>
      <w:r w:rsidR="003A2FF0" w:rsidRPr="006D742F">
        <w:t xml:space="preserve"> made a submission to the Independent Reviewer of Terrorism Legislation's Investigatory Powers Review.</w:t>
      </w:r>
      <w:r w:rsidR="003A2FF0" w:rsidRPr="006D742F">
        <w:rPr>
          <w:rStyle w:val="FootnoteReference"/>
          <w:rFonts w:cs="Arial"/>
        </w:rPr>
        <w:footnoteReference w:id="92"/>
      </w:r>
      <w:r w:rsidR="003A2FF0" w:rsidRPr="006D742F">
        <w:t xml:space="preserve"> We </w:t>
      </w:r>
      <w:r w:rsidR="003A2FF0">
        <w:t>advised</w:t>
      </w:r>
      <w:r w:rsidR="003A2FF0" w:rsidRPr="006D742F">
        <w:t xml:space="preserve"> that the Regulation of Investigatory Powers Act 2000 (RIPA) need</w:t>
      </w:r>
      <w:r w:rsidR="003A2FF0">
        <w:t>ed</w:t>
      </w:r>
      <w:r w:rsidR="003A2FF0" w:rsidRPr="006D742F">
        <w:t xml:space="preserve"> significant reform for the following reasons:</w:t>
      </w:r>
    </w:p>
    <w:p w:rsidR="00C46B5C" w:rsidRDefault="003A2FF0" w:rsidP="00B715F1">
      <w:pPr>
        <w:pStyle w:val="Parabeforeanother"/>
        <w:numPr>
          <w:ilvl w:val="0"/>
          <w:numId w:val="2"/>
        </w:numPr>
      </w:pPr>
      <w:r w:rsidRPr="006D742F">
        <w:t xml:space="preserve">The structure of the protections in the </w:t>
      </w:r>
      <w:r>
        <w:t>RIPA</w:t>
      </w:r>
      <w:r w:rsidRPr="006D742F">
        <w:t xml:space="preserve"> is no longer fit for purpose: it establishes a series of tiers of protection based on distinctions between content data/communications data; and internal/external communications which no longer adequately reflect privacy concerns or the intrusiveness of the powers in question.</w:t>
      </w:r>
    </w:p>
    <w:p w:rsidR="00C46B5C" w:rsidRDefault="003A2FF0" w:rsidP="00B715F1">
      <w:pPr>
        <w:pStyle w:val="Parabeforeanother"/>
        <w:numPr>
          <w:ilvl w:val="0"/>
          <w:numId w:val="2"/>
        </w:numPr>
      </w:pPr>
      <w:r w:rsidRPr="006D742F">
        <w:t>In relation to targeted interception warrants, there are issues around the breadth of the definition of ‘national security’ and the role of the Investigatory Powers Tribunal</w:t>
      </w:r>
      <w:r>
        <w:t xml:space="preserve"> (IPT)</w:t>
      </w:r>
      <w:r w:rsidRPr="006D742F">
        <w:t xml:space="preserve"> in ensuring effective oversight.</w:t>
      </w:r>
    </w:p>
    <w:p w:rsidR="00C46B5C" w:rsidRDefault="003A2FF0" w:rsidP="00B715F1">
      <w:pPr>
        <w:pStyle w:val="Parabeforeanother"/>
        <w:numPr>
          <w:ilvl w:val="0"/>
          <w:numId w:val="2"/>
        </w:numPr>
      </w:pPr>
      <w:r w:rsidRPr="006D742F">
        <w:t xml:space="preserve">In respect of interception of external communications to and from the British </w:t>
      </w:r>
      <w:r>
        <w:t>I</w:t>
      </w:r>
      <w:r w:rsidRPr="006D742F">
        <w:t xml:space="preserve">sles, the section 8(4) interception regime is apparently capable of capturing a </w:t>
      </w:r>
      <w:r w:rsidRPr="006D742F">
        <w:lastRenderedPageBreak/>
        <w:t>vast amount of people’s everyday internet use, email and telephone activity. There are strong arguments that the regime fails to meet the minimum standards required for compliance with Article 8 of the ECHR</w:t>
      </w:r>
      <w:r>
        <w:t xml:space="preserve"> (right to respect for privacy)</w:t>
      </w:r>
      <w:r w:rsidRPr="006D742F">
        <w:t>.</w:t>
      </w:r>
    </w:p>
    <w:p w:rsidR="00C46B5C" w:rsidRDefault="003A2FF0" w:rsidP="00B715F1">
      <w:pPr>
        <w:pStyle w:val="Parabeforeanother"/>
        <w:numPr>
          <w:ilvl w:val="0"/>
          <w:numId w:val="2"/>
        </w:numPr>
      </w:pPr>
      <w:r w:rsidRPr="006D742F">
        <w:t>The regime for obtaining communications data under Chapter II of RIPA (Communications Data) contains fewer, probably insufficient, safeguards than Chapter I (Interception of Communication). This is despite the fact that communications data can be as revealing and intrusive into personal privacy as content data. Clear and precise rules need to be established in order to regulate the receipt and use of communications data held by private companies in order to comply with Articles 8 and 10</w:t>
      </w:r>
      <w:r>
        <w:t xml:space="preserve"> (freedom of expression)</w:t>
      </w:r>
      <w:r w:rsidR="00690805">
        <w:t>.</w:t>
      </w:r>
      <w:r>
        <w:rPr>
          <w:rStyle w:val="FootnoteReference"/>
        </w:rPr>
        <w:footnoteReference w:id="93"/>
      </w:r>
    </w:p>
    <w:p w:rsidR="003A2FF0" w:rsidRPr="006D742F" w:rsidRDefault="003A2FF0" w:rsidP="00B715F1">
      <w:pPr>
        <w:pStyle w:val="Parabeforeanother"/>
        <w:numPr>
          <w:ilvl w:val="0"/>
          <w:numId w:val="2"/>
        </w:numPr>
      </w:pPr>
      <w:r w:rsidRPr="006D742F">
        <w:t xml:space="preserve">The current oversight arrangements have not demonstrated that they are effective in achieving accountability in relation to interception of communications and the </w:t>
      </w:r>
      <w:r w:rsidR="00690805">
        <w:t>EHRC</w:t>
      </w:r>
      <w:r w:rsidR="00690805" w:rsidRPr="006D742F">
        <w:t xml:space="preserve"> </w:t>
      </w:r>
      <w:r w:rsidRPr="006D742F">
        <w:t>is of the view that a new regime of independent authorisation should be devised.</w:t>
      </w:r>
      <w:r w:rsidRPr="006D742F">
        <w:rPr>
          <w:rStyle w:val="FootnoteReference"/>
        </w:rPr>
        <w:footnoteReference w:id="94"/>
      </w:r>
    </w:p>
    <w:p w:rsidR="003A2FF0" w:rsidRDefault="00756D9A" w:rsidP="00C46B5C">
      <w:pPr>
        <w:pStyle w:val="Parapre-bullets"/>
      </w:pPr>
      <w:r w:rsidRPr="003F78A7">
        <w:rPr>
          <w:b/>
        </w:rPr>
        <w:t>C.6.3</w:t>
      </w:r>
      <w:r>
        <w:t xml:space="preserve"> </w:t>
      </w:r>
      <w:r w:rsidR="003A2FF0" w:rsidRPr="006D742F">
        <w:t>In 2014</w:t>
      </w:r>
      <w:r w:rsidR="003A2FF0">
        <w:t>,</w:t>
      </w:r>
      <w:r w:rsidR="003A2FF0" w:rsidRPr="006D742F">
        <w:t xml:space="preserve"> the </w:t>
      </w:r>
      <w:r w:rsidR="003A2FF0">
        <w:t>IPT</w:t>
      </w:r>
      <w:r w:rsidR="003A2FF0" w:rsidRPr="006D742F">
        <w:t xml:space="preserve"> considered complaints brought by Liberty and others against the intelligence and security services </w:t>
      </w:r>
      <w:r w:rsidR="0049677A">
        <w:t>regarding the lawfulness of</w:t>
      </w:r>
      <w:r w:rsidR="003A2FF0" w:rsidRPr="006D742F">
        <w:t xml:space="preserve"> the UK Government's Prism programme</w:t>
      </w:r>
      <w:r w:rsidR="003A2FF0">
        <w:t>.</w:t>
      </w:r>
      <w:r w:rsidR="003A2FF0">
        <w:rPr>
          <w:rStyle w:val="FootnoteReference"/>
        </w:rPr>
        <w:footnoteReference w:id="95"/>
      </w:r>
      <w:r w:rsidR="0049677A">
        <w:t xml:space="preserve"> </w:t>
      </w:r>
      <w:r w:rsidR="003A2FF0" w:rsidRPr="006D742F">
        <w:t>In December 2014 the IPT made:</w:t>
      </w:r>
      <w:r w:rsidR="008C67B4">
        <w:t xml:space="preserve"> </w:t>
      </w:r>
    </w:p>
    <w:p w:rsidR="003A2FF0" w:rsidRDefault="003A2FF0" w:rsidP="00C46B5C">
      <w:pPr>
        <w:pStyle w:val="Bullet-followedbyothers"/>
      </w:pPr>
      <w:r w:rsidRPr="00597120">
        <w:t>A declaration that the regime governing the soliciting, receiving, storing and transmitting by UK authorities of private communications of individuals located in the UK which have been obtained by US authorities pursuant to Prism and/or Upstream does not contravene Articles 8 or 10 ECHR.</w:t>
      </w:r>
    </w:p>
    <w:p w:rsidR="003A2FF0" w:rsidRPr="00597120" w:rsidRDefault="003A2FF0" w:rsidP="00C46B5C">
      <w:pPr>
        <w:pStyle w:val="Bullet-lastingroup"/>
      </w:pPr>
      <w:r w:rsidRPr="00597120">
        <w:t>A declaration that the regime in respect of interception under ss8(4), 15 and 16 of the Regulation of Investigatory Powers Act 2000 does not contravene Articles 8 or 10 ECHR and does not give rise to unlawful discrimination contrary to Article 14</w:t>
      </w:r>
      <w:r>
        <w:t xml:space="preserve"> (prohibition on discrimination)</w:t>
      </w:r>
      <w:r w:rsidRPr="00597120">
        <w:t>, read together with Articles 8 and/or 10 of the ECHR.</w:t>
      </w:r>
      <w:r>
        <w:rPr>
          <w:rStyle w:val="FootnoteReference"/>
          <w:rFonts w:cs="Arial"/>
        </w:rPr>
        <w:footnoteReference w:id="96"/>
      </w:r>
    </w:p>
    <w:p w:rsidR="003A2FF0" w:rsidRPr="006D742F" w:rsidRDefault="00756D9A" w:rsidP="00EE77CC">
      <w:pPr>
        <w:pStyle w:val="Parabeforeanother"/>
      </w:pPr>
      <w:r w:rsidRPr="003F78A7">
        <w:rPr>
          <w:b/>
        </w:rPr>
        <w:t>C.6.4</w:t>
      </w:r>
      <w:r>
        <w:t xml:space="preserve"> </w:t>
      </w:r>
      <w:r w:rsidR="00EE77CC">
        <w:t>H</w:t>
      </w:r>
      <w:r w:rsidR="003A2FF0" w:rsidRPr="006D742F">
        <w:t xml:space="preserve">owever, in February 2015, the IPT declared that prior to the disclosures made during the proceedings, the regime governing the soliciting, receiving, storing </w:t>
      </w:r>
      <w:r w:rsidR="003A2FF0" w:rsidRPr="006D742F">
        <w:lastRenderedPageBreak/>
        <w:t>and transmitting by UK authorities of private communications of individuals located in the UK, which have been obtained by US authorities pursuant to Prism and/or (on the Claimants’ case) Upstream, contravened Articles 8 or 10 ECHR, but that the regime was now compliant.</w:t>
      </w:r>
      <w:r w:rsidR="003A2FF0">
        <w:rPr>
          <w:rStyle w:val="FootnoteReference"/>
        </w:rPr>
        <w:footnoteReference w:id="97"/>
      </w:r>
      <w:r w:rsidR="003A2FF0" w:rsidRPr="006D742F">
        <w:t xml:space="preserve"> </w:t>
      </w:r>
    </w:p>
    <w:p w:rsidR="003A2FF0" w:rsidRPr="006D742F" w:rsidRDefault="00756D9A" w:rsidP="00C46B5C">
      <w:pPr>
        <w:pStyle w:val="Parabeforenewsubsection"/>
      </w:pPr>
      <w:r w:rsidRPr="003F78A7">
        <w:rPr>
          <w:b/>
        </w:rPr>
        <w:t xml:space="preserve">C.6.5 </w:t>
      </w:r>
      <w:r w:rsidR="003A2FF0" w:rsidRPr="006D742F">
        <w:t xml:space="preserve">Those cases, and others brought by other applicants, </w:t>
      </w:r>
      <w:r w:rsidR="003A2FF0">
        <w:t>will</w:t>
      </w:r>
      <w:r w:rsidR="003A2FF0" w:rsidRPr="006D742F">
        <w:t xml:space="preserve"> be considered by the European Court of Human Rights in due course.</w:t>
      </w:r>
    </w:p>
    <w:p w:rsidR="00F262B6" w:rsidRDefault="00F262B6" w:rsidP="00F262B6">
      <w:pPr>
        <w:pStyle w:val="Heading-subsections"/>
        <w:rPr>
          <w:lang w:eastAsia="en-GB"/>
        </w:rPr>
      </w:pPr>
      <w:r>
        <w:rPr>
          <w:lang w:eastAsia="en-GB"/>
        </w:rPr>
        <w:t>Conclusion:</w:t>
      </w:r>
    </w:p>
    <w:p w:rsidR="003A2FF0" w:rsidRPr="00C46B5C" w:rsidRDefault="00756D9A" w:rsidP="00C46B5C">
      <w:pPr>
        <w:pStyle w:val="Parabeforebulletss"/>
        <w:rPr>
          <w:b/>
          <w:lang w:eastAsia="en-GB"/>
        </w:rPr>
      </w:pPr>
      <w:r>
        <w:rPr>
          <w:b/>
          <w:lang w:eastAsia="en-GB"/>
        </w:rPr>
        <w:t xml:space="preserve">C.6.6 </w:t>
      </w:r>
      <w:r w:rsidR="003A2FF0" w:rsidRPr="00C46B5C">
        <w:rPr>
          <w:b/>
          <w:lang w:eastAsia="en-GB"/>
        </w:rPr>
        <w:t xml:space="preserve">The nature of the legal framework governing privacy and surveillance in the UK means the protections for the rights to privacy and freedom of expression are </w:t>
      </w:r>
      <w:r w:rsidR="004C4524" w:rsidRPr="00C46B5C">
        <w:rPr>
          <w:b/>
          <w:lang w:eastAsia="en-GB"/>
        </w:rPr>
        <w:t xml:space="preserve">fragmented </w:t>
      </w:r>
      <w:r w:rsidR="003A2FF0" w:rsidRPr="00C46B5C">
        <w:rPr>
          <w:b/>
          <w:lang w:eastAsia="en-GB"/>
        </w:rPr>
        <w:t xml:space="preserve">and may not be in pace with the demands of protecting national security and changes in the technology of gathering and sharing data. In order to demonstrate and ensure compliance with Articles 2, 5(1) and 17 of ICCPR, the UK Government needs to conduct a forward-looking </w:t>
      </w:r>
      <w:r w:rsidR="00690805" w:rsidRPr="00C46B5C">
        <w:rPr>
          <w:b/>
          <w:lang w:eastAsia="en-GB"/>
        </w:rPr>
        <w:t>‘</w:t>
      </w:r>
      <w:r w:rsidR="003A2FF0" w:rsidRPr="00C46B5C">
        <w:rPr>
          <w:b/>
          <w:lang w:eastAsia="en-GB"/>
        </w:rPr>
        <w:t>root and branch</w:t>
      </w:r>
      <w:r w:rsidR="00690805" w:rsidRPr="00C46B5C">
        <w:rPr>
          <w:b/>
          <w:lang w:eastAsia="en-GB"/>
        </w:rPr>
        <w:t>’</w:t>
      </w:r>
      <w:r w:rsidR="003A2FF0" w:rsidRPr="00C46B5C">
        <w:rPr>
          <w:b/>
          <w:lang w:eastAsia="en-GB"/>
        </w:rPr>
        <w:t xml:space="preserve"> review of the privacy and surveillance legal framework, and establish principles to govern authorisations, including necessity, proportionality, legitimacy and fairness. The review should specifically consider:</w:t>
      </w:r>
    </w:p>
    <w:p w:rsidR="003A2FF0" w:rsidRPr="00C46B5C" w:rsidRDefault="003A2FF0" w:rsidP="00C46B5C">
      <w:pPr>
        <w:pStyle w:val="Bullet-followedbyothers"/>
        <w:rPr>
          <w:b/>
          <w:lang w:eastAsia="en-GB"/>
        </w:rPr>
      </w:pPr>
      <w:r w:rsidRPr="00C46B5C">
        <w:rPr>
          <w:b/>
          <w:lang w:eastAsia="en-GB"/>
        </w:rPr>
        <w:t>the introduction of a requirement for judicial authorisation for interception warrants under Part 1 of RIPA to ensure effective, independent scrutiny</w:t>
      </w:r>
    </w:p>
    <w:p w:rsidR="003A2FF0" w:rsidRPr="00C46B5C" w:rsidRDefault="003A2FF0" w:rsidP="00C46B5C">
      <w:pPr>
        <w:pStyle w:val="Bullet-followedbyothers"/>
        <w:rPr>
          <w:b/>
          <w:lang w:eastAsia="en-GB"/>
        </w:rPr>
      </w:pPr>
      <w:r w:rsidRPr="00C46B5C">
        <w:rPr>
          <w:b/>
          <w:lang w:eastAsia="en-GB"/>
        </w:rPr>
        <w:t>whether requests to access traffic and service use data (but not subscriber data) under Part 2 of RIPA could meaningfully be subjected to judicial scrutiny</w:t>
      </w:r>
    </w:p>
    <w:p w:rsidR="003A2FF0" w:rsidRPr="00C46B5C" w:rsidRDefault="00C81308" w:rsidP="00C46B5C">
      <w:pPr>
        <w:pStyle w:val="Bullet-followedbyothers"/>
        <w:rPr>
          <w:b/>
          <w:lang w:eastAsia="en-GB"/>
        </w:rPr>
      </w:pPr>
      <w:r w:rsidRPr="00C46B5C">
        <w:rPr>
          <w:b/>
          <w:lang w:eastAsia="en-GB"/>
        </w:rPr>
        <w:t xml:space="preserve">introducing </w:t>
      </w:r>
      <w:r w:rsidR="003A2FF0" w:rsidRPr="00C46B5C">
        <w:rPr>
          <w:b/>
          <w:lang w:eastAsia="en-GB"/>
        </w:rPr>
        <w:t>a number of reforms to improve the cohesion, efficiency, transparency and accountability of the RIPA oversight system (including the Surveillance Commissioners, IPT and ISC) while preserving national security</w:t>
      </w:r>
      <w:r w:rsidR="00690805" w:rsidRPr="00C46B5C">
        <w:rPr>
          <w:b/>
          <w:lang w:eastAsia="en-GB"/>
        </w:rPr>
        <w:t>,</w:t>
      </w:r>
      <w:r w:rsidR="003A2FF0" w:rsidRPr="00C46B5C">
        <w:rPr>
          <w:b/>
          <w:lang w:eastAsia="en-GB"/>
        </w:rPr>
        <w:t xml:space="preserve"> and</w:t>
      </w:r>
    </w:p>
    <w:p w:rsidR="003A2FF0" w:rsidRPr="00C46B5C" w:rsidRDefault="003A2FF0" w:rsidP="00C46B5C">
      <w:pPr>
        <w:pStyle w:val="Bullet-lastingroup"/>
        <w:rPr>
          <w:b/>
          <w:lang w:eastAsia="en-GB"/>
        </w:rPr>
      </w:pPr>
      <w:proofErr w:type="gramStart"/>
      <w:r w:rsidRPr="00C46B5C">
        <w:rPr>
          <w:b/>
          <w:lang w:eastAsia="en-GB"/>
        </w:rPr>
        <w:t>the</w:t>
      </w:r>
      <w:proofErr w:type="gramEnd"/>
      <w:r w:rsidRPr="00C46B5C">
        <w:rPr>
          <w:b/>
          <w:lang w:eastAsia="en-GB"/>
        </w:rPr>
        <w:t xml:space="preserve"> need for the UK Parliament to clarify the definition of </w:t>
      </w:r>
      <w:r w:rsidR="00690805" w:rsidRPr="00C46B5C">
        <w:rPr>
          <w:b/>
          <w:lang w:eastAsia="en-GB"/>
        </w:rPr>
        <w:t>‘</w:t>
      </w:r>
      <w:r w:rsidRPr="00C46B5C">
        <w:rPr>
          <w:b/>
          <w:lang w:eastAsia="en-GB"/>
        </w:rPr>
        <w:t>communication</w:t>
      </w:r>
      <w:r w:rsidR="00690805" w:rsidRPr="00C46B5C">
        <w:rPr>
          <w:b/>
          <w:lang w:eastAsia="en-GB"/>
        </w:rPr>
        <w:t>’</w:t>
      </w:r>
      <w:r w:rsidRPr="00C46B5C">
        <w:rPr>
          <w:b/>
          <w:lang w:eastAsia="en-GB"/>
        </w:rPr>
        <w:t xml:space="preserve"> in Section 20 of RIPA as a matter of urgency and ensure the levels of authorisations required are proportionate to the protection needed.</w:t>
      </w:r>
    </w:p>
    <w:p w:rsidR="00EA26CB" w:rsidRPr="006D742F" w:rsidRDefault="00EA26CB" w:rsidP="00C46B5C">
      <w:pPr>
        <w:pStyle w:val="Parabold"/>
        <w:rPr>
          <w:lang w:eastAsia="en-GB"/>
        </w:rPr>
      </w:pPr>
      <w:r w:rsidRPr="006D742F">
        <w:rPr>
          <w:lang w:eastAsia="en-GB"/>
        </w:rPr>
        <w:t xml:space="preserve">Question A: Given the fragmented nature of the legal framework governing privacy and surveillance, will the UK Government consider undertaking a forward-looking </w:t>
      </w:r>
      <w:r w:rsidR="00690805">
        <w:rPr>
          <w:lang w:eastAsia="en-GB"/>
        </w:rPr>
        <w:t>‘</w:t>
      </w:r>
      <w:r w:rsidRPr="006D742F">
        <w:rPr>
          <w:lang w:eastAsia="en-GB"/>
        </w:rPr>
        <w:t>root and br</w:t>
      </w:r>
      <w:bookmarkStart w:id="15" w:name="_GoBack"/>
      <w:bookmarkEnd w:id="15"/>
      <w:r w:rsidRPr="006D742F">
        <w:rPr>
          <w:lang w:eastAsia="en-GB"/>
        </w:rPr>
        <w:t>anch</w:t>
      </w:r>
      <w:r w:rsidR="00690805">
        <w:rPr>
          <w:lang w:eastAsia="en-GB"/>
        </w:rPr>
        <w:t>’</w:t>
      </w:r>
      <w:r w:rsidRPr="006D742F">
        <w:rPr>
          <w:lang w:eastAsia="en-GB"/>
        </w:rPr>
        <w:t xml:space="preserve"> review?</w:t>
      </w:r>
    </w:p>
    <w:p w:rsidR="00EA26CB" w:rsidRPr="00C46B5C" w:rsidRDefault="00EA26CB" w:rsidP="00C46B5C">
      <w:pPr>
        <w:pStyle w:val="Parabeforeanother"/>
        <w:rPr>
          <w:b/>
          <w:lang w:eastAsia="en-GB"/>
        </w:rPr>
      </w:pPr>
      <w:r w:rsidRPr="00C46B5C">
        <w:rPr>
          <w:b/>
        </w:rPr>
        <w:lastRenderedPageBreak/>
        <w:t>Question B: How does the UK Government propose to address (and to what timetable), the following:</w:t>
      </w:r>
    </w:p>
    <w:p w:rsidR="00EA26CB" w:rsidRPr="00C46B5C" w:rsidRDefault="00EA26CB" w:rsidP="00C46B5C">
      <w:pPr>
        <w:pStyle w:val="Bullet-followedbyothers"/>
        <w:rPr>
          <w:b/>
        </w:rPr>
      </w:pPr>
      <w:r w:rsidRPr="00C46B5C">
        <w:rPr>
          <w:b/>
        </w:rPr>
        <w:t>loose definitions of ‘communication’ in Section 20 of RIPA</w:t>
      </w:r>
    </w:p>
    <w:p w:rsidR="00EA26CB" w:rsidRPr="00C46B5C" w:rsidRDefault="00EA26CB" w:rsidP="00C46B5C">
      <w:pPr>
        <w:pStyle w:val="Bullet-followedbyothers"/>
        <w:rPr>
          <w:b/>
        </w:rPr>
      </w:pPr>
      <w:r w:rsidRPr="00C46B5C">
        <w:rPr>
          <w:b/>
        </w:rPr>
        <w:t>the appropriate levels of authorisation to safeguard human rights in the use of RIPA surveillance powers</w:t>
      </w:r>
    </w:p>
    <w:p w:rsidR="00EA26CB" w:rsidRPr="00C46B5C" w:rsidRDefault="00EA26CB" w:rsidP="00C46B5C">
      <w:pPr>
        <w:pStyle w:val="Bullet-followedbyothers"/>
        <w:rPr>
          <w:b/>
        </w:rPr>
      </w:pPr>
      <w:r w:rsidRPr="00C46B5C">
        <w:rPr>
          <w:b/>
        </w:rPr>
        <w:t>the complexity of the oversight mechanisms</w:t>
      </w:r>
      <w:r w:rsidR="00690805" w:rsidRPr="00C46B5C">
        <w:rPr>
          <w:b/>
        </w:rPr>
        <w:t>,</w:t>
      </w:r>
      <w:r w:rsidRPr="00C46B5C">
        <w:rPr>
          <w:b/>
        </w:rPr>
        <w:t xml:space="preserve"> and</w:t>
      </w:r>
    </w:p>
    <w:p w:rsidR="00EA26CB" w:rsidRPr="00C46B5C" w:rsidRDefault="00EA26CB" w:rsidP="00C46B5C">
      <w:pPr>
        <w:pStyle w:val="Bulletsgroupend"/>
        <w:rPr>
          <w:b/>
        </w:rPr>
      </w:pPr>
      <w:proofErr w:type="gramStart"/>
      <w:r w:rsidRPr="00C46B5C">
        <w:rPr>
          <w:b/>
        </w:rPr>
        <w:t>the</w:t>
      </w:r>
      <w:proofErr w:type="gramEnd"/>
      <w:r w:rsidRPr="00C46B5C">
        <w:rPr>
          <w:b/>
        </w:rPr>
        <w:t xml:space="preserve"> need for greater judicial oversight.</w:t>
      </w:r>
    </w:p>
    <w:p w:rsidR="00EA26CB" w:rsidRPr="00C46B5C" w:rsidRDefault="00EA26CB" w:rsidP="00C46B5C">
      <w:pPr>
        <w:pStyle w:val="Parabeforenewsection"/>
        <w:rPr>
          <w:b/>
        </w:rPr>
      </w:pPr>
      <w:r w:rsidRPr="00C46B5C">
        <w:rPr>
          <w:b/>
        </w:rPr>
        <w:t>Question C: How can the UK Government reassure itself</w:t>
      </w:r>
      <w:r w:rsidR="006923B8" w:rsidRPr="00C46B5C">
        <w:rPr>
          <w:b/>
        </w:rPr>
        <w:t>,</w:t>
      </w:r>
      <w:r w:rsidRPr="00C46B5C">
        <w:rPr>
          <w:b/>
        </w:rPr>
        <w:t xml:space="preserve"> and the public</w:t>
      </w:r>
      <w:r w:rsidR="006923B8" w:rsidRPr="00C46B5C">
        <w:rPr>
          <w:b/>
        </w:rPr>
        <w:t>,</w:t>
      </w:r>
      <w:r w:rsidRPr="00C46B5C">
        <w:rPr>
          <w:b/>
        </w:rPr>
        <w:t xml:space="preserve"> that surveillance powers under RIPA are not being used in a discriminatory way?</w:t>
      </w:r>
    </w:p>
    <w:p w:rsidR="002D01E1" w:rsidRPr="00C20930" w:rsidRDefault="00597120" w:rsidP="002B6091">
      <w:pPr>
        <w:pStyle w:val="Heading-sections"/>
        <w:numPr>
          <w:ilvl w:val="0"/>
          <w:numId w:val="7"/>
        </w:numPr>
      </w:pPr>
      <w:bookmarkStart w:id="16" w:name="_Toc420603271"/>
      <w:r w:rsidRPr="00C20930">
        <w:t xml:space="preserve">Voting </w:t>
      </w:r>
      <w:r w:rsidR="00690805">
        <w:t>r</w:t>
      </w:r>
      <w:r w:rsidRPr="00C20930">
        <w:t>ights (Article 25), List of I</w:t>
      </w:r>
      <w:r w:rsidR="002D01E1" w:rsidRPr="00C20930">
        <w:t>ssues paragraph 30</w:t>
      </w:r>
      <w:bookmarkEnd w:id="16"/>
    </w:p>
    <w:p w:rsidR="00406FED" w:rsidRDefault="002D01E1" w:rsidP="002B6091">
      <w:pPr>
        <w:pStyle w:val="Heading-subsections"/>
        <w:numPr>
          <w:ilvl w:val="0"/>
          <w:numId w:val="13"/>
        </w:numPr>
      </w:pPr>
      <w:r w:rsidRPr="008B2CB8">
        <w:t xml:space="preserve">Prisoner </w:t>
      </w:r>
      <w:r w:rsidR="00690805">
        <w:t>v</w:t>
      </w:r>
      <w:r w:rsidRPr="008B2CB8">
        <w:t xml:space="preserve">oting </w:t>
      </w:r>
      <w:r w:rsidR="00690805">
        <w:t>r</w:t>
      </w:r>
      <w:r w:rsidRPr="008B2CB8">
        <w:t xml:space="preserve">ights </w:t>
      </w:r>
    </w:p>
    <w:p w:rsidR="002D01E1" w:rsidRPr="008B2CB8" w:rsidRDefault="00756D9A" w:rsidP="00C46B5C">
      <w:pPr>
        <w:pStyle w:val="Parabeforeanother"/>
      </w:pPr>
      <w:r w:rsidRPr="003F78A7">
        <w:rPr>
          <w:b/>
        </w:rPr>
        <w:t>C.7.1</w:t>
      </w:r>
      <w:r>
        <w:t xml:space="preserve"> </w:t>
      </w:r>
      <w:r w:rsidR="002D01E1">
        <w:t>P</w:t>
      </w:r>
      <w:r w:rsidR="002D01E1" w:rsidRPr="008B2CB8">
        <w:t>risoners serving a custodial sentence in the UK do not have the right to vote; while those who are on remand are able to vote according to the Representation of the People Act 2000.</w:t>
      </w:r>
      <w:r w:rsidR="002D01E1" w:rsidRPr="008B2CB8">
        <w:rPr>
          <w:rStyle w:val="FootnoteReference"/>
        </w:rPr>
        <w:footnoteReference w:id="98"/>
      </w:r>
    </w:p>
    <w:p w:rsidR="002D01E1" w:rsidRDefault="00756D9A" w:rsidP="00C46B5C">
      <w:pPr>
        <w:pStyle w:val="Parabeforeanother"/>
        <w:rPr>
          <w:color w:val="000000"/>
          <w:sz w:val="22"/>
          <w:lang w:eastAsia="en-GB"/>
        </w:rPr>
      </w:pPr>
      <w:r w:rsidRPr="003F78A7">
        <w:rPr>
          <w:b/>
        </w:rPr>
        <w:t>C.7.2</w:t>
      </w:r>
      <w:r>
        <w:t xml:space="preserve"> </w:t>
      </w:r>
      <w:r w:rsidR="002D01E1">
        <w:t>In our submission to the HRC in July 2014,</w:t>
      </w:r>
      <w:r w:rsidR="00F849EC">
        <w:rPr>
          <w:rStyle w:val="FootnoteReference"/>
        </w:rPr>
        <w:footnoteReference w:id="99"/>
      </w:r>
      <w:r w:rsidR="002D01E1">
        <w:t xml:space="preserve"> the EHRC noted that European Court of Human Rights (</w:t>
      </w:r>
      <w:proofErr w:type="spellStart"/>
      <w:r w:rsidR="002D01E1">
        <w:t>ECtHR</w:t>
      </w:r>
      <w:proofErr w:type="spellEnd"/>
      <w:r w:rsidR="002D01E1">
        <w:t>)</w:t>
      </w:r>
      <w:r w:rsidR="002D01E1" w:rsidRPr="008B2CB8">
        <w:t xml:space="preserve"> </w:t>
      </w:r>
      <w:r w:rsidR="002D01E1">
        <w:t xml:space="preserve">had confirmed that </w:t>
      </w:r>
      <w:r w:rsidR="002D01E1" w:rsidRPr="008B2CB8">
        <w:t>a general and automatic disenfranchisement of all serving prisoners was incompatible with Article</w:t>
      </w:r>
      <w:r w:rsidR="002D01E1">
        <w:t xml:space="preserve"> 3 of Protocol No 1 of the ECHR</w:t>
      </w:r>
      <w:r w:rsidR="006923B8">
        <w:t xml:space="preserve"> (right to free elections)</w:t>
      </w:r>
      <w:r w:rsidR="002D01E1">
        <w:t xml:space="preserve">. However, the </w:t>
      </w:r>
      <w:proofErr w:type="spellStart"/>
      <w:r w:rsidR="006923B8">
        <w:t>ECtHR</w:t>
      </w:r>
      <w:proofErr w:type="spellEnd"/>
      <w:r w:rsidR="006923B8">
        <w:t xml:space="preserve"> </w:t>
      </w:r>
      <w:r w:rsidR="002D01E1">
        <w:t>accepted</w:t>
      </w:r>
      <w:r w:rsidR="002D01E1" w:rsidRPr="008B2CB8">
        <w:t xml:space="preserve"> the UK Government’s argument that member states should have a wide discretion in how they regulate a ban on prisoners voting.</w:t>
      </w:r>
      <w:r w:rsidR="002D01E1" w:rsidRPr="008B2CB8">
        <w:rPr>
          <w:rStyle w:val="FootnoteReference"/>
        </w:rPr>
        <w:footnoteReference w:id="100"/>
      </w:r>
      <w:r w:rsidR="002D01E1" w:rsidRPr="008B2CB8">
        <w:t xml:space="preserve"> </w:t>
      </w:r>
      <w:r w:rsidR="002D01E1">
        <w:t>Since then</w:t>
      </w:r>
      <w:r w:rsidR="006923B8">
        <w:t>,</w:t>
      </w:r>
      <w:r w:rsidR="002D01E1">
        <w:t xml:space="preserve"> there have been two </w:t>
      </w:r>
      <w:proofErr w:type="spellStart"/>
      <w:r w:rsidR="002D01E1">
        <w:t>ECtHR's</w:t>
      </w:r>
      <w:proofErr w:type="spellEnd"/>
      <w:r w:rsidR="002D01E1">
        <w:t xml:space="preserve"> judgments relating to the large number of outstanding claims by prisoners on this issue.</w:t>
      </w:r>
      <w:r w:rsidR="002D01E1">
        <w:rPr>
          <w:rStyle w:val="FootnoteReference"/>
        </w:rPr>
        <w:footnoteReference w:id="101"/>
      </w:r>
      <w:r w:rsidR="002D01E1">
        <w:t xml:space="preserve"> </w:t>
      </w:r>
      <w:r w:rsidR="002D01E1" w:rsidRPr="007E1888">
        <w:t xml:space="preserve">The </w:t>
      </w:r>
      <w:proofErr w:type="spellStart"/>
      <w:r w:rsidR="002D01E1" w:rsidRPr="007E1888">
        <w:t>ECtHR</w:t>
      </w:r>
      <w:proofErr w:type="spellEnd"/>
      <w:r w:rsidR="002D01E1" w:rsidRPr="007E1888">
        <w:t xml:space="preserve"> ruled that there was a </w:t>
      </w:r>
      <w:r w:rsidR="002D01E1" w:rsidRPr="00F849EC">
        <w:rPr>
          <w:color w:val="000000"/>
          <w:lang w:eastAsia="en-GB"/>
        </w:rPr>
        <w:t>continuing violation of Article 3 to Protocol No 1 to the ECHR, but did not award the applicants any compensation or legal expenses.</w:t>
      </w:r>
      <w:r w:rsidR="002D01E1" w:rsidRPr="00F849EC">
        <w:rPr>
          <w:rStyle w:val="FootnoteReference"/>
          <w:color w:val="000000"/>
          <w:lang w:eastAsia="en-GB"/>
        </w:rPr>
        <w:footnoteReference w:id="102"/>
      </w:r>
      <w:r w:rsidR="002D01E1" w:rsidRPr="00F849EC">
        <w:rPr>
          <w:color w:val="000000"/>
          <w:lang w:eastAsia="en-GB"/>
        </w:rPr>
        <w:t xml:space="preserve"> </w:t>
      </w:r>
    </w:p>
    <w:p w:rsidR="002D01E1" w:rsidRPr="002D01E1" w:rsidRDefault="00756D9A" w:rsidP="00C46B5C">
      <w:pPr>
        <w:pStyle w:val="Parabeforenewsubsection"/>
      </w:pPr>
      <w:r w:rsidRPr="003F78A7">
        <w:rPr>
          <w:b/>
          <w:color w:val="000000"/>
          <w:lang w:eastAsia="en-GB"/>
        </w:rPr>
        <w:lastRenderedPageBreak/>
        <w:t>C.7.3</w:t>
      </w:r>
      <w:r>
        <w:rPr>
          <w:color w:val="000000"/>
          <w:lang w:eastAsia="en-GB"/>
        </w:rPr>
        <w:t xml:space="preserve"> </w:t>
      </w:r>
      <w:r w:rsidR="002D01E1" w:rsidRPr="00F849EC">
        <w:rPr>
          <w:color w:val="000000"/>
          <w:lang w:eastAsia="en-GB"/>
        </w:rPr>
        <w:t>In December 2013, the Joint Committee on Human Rights</w:t>
      </w:r>
      <w:r w:rsidR="002D01E1">
        <w:rPr>
          <w:color w:val="000000"/>
          <w:sz w:val="22"/>
          <w:lang w:eastAsia="en-GB"/>
        </w:rPr>
        <w:t xml:space="preserve"> </w:t>
      </w:r>
      <w:r w:rsidR="002D01E1" w:rsidRPr="008B2CB8">
        <w:t>recommended that the UK Government introduce legislation to allow all prisoners serving sentences of 12 months or less to vote in all UK Parliamentary, local and European elections.</w:t>
      </w:r>
      <w:r w:rsidR="002D01E1" w:rsidRPr="008B2CB8">
        <w:rPr>
          <w:rStyle w:val="FootnoteReference"/>
        </w:rPr>
        <w:footnoteReference w:id="103"/>
      </w:r>
      <w:r w:rsidR="008C67B4">
        <w:t xml:space="preserve"> </w:t>
      </w:r>
      <w:r w:rsidR="006923B8">
        <w:t>T</w:t>
      </w:r>
      <w:r w:rsidR="002D01E1">
        <w:t xml:space="preserve">he UK Government </w:t>
      </w:r>
      <w:r w:rsidR="006923B8">
        <w:t>did not</w:t>
      </w:r>
      <w:r w:rsidR="002D01E1">
        <w:t xml:space="preserve"> introduce prisoner voting prior to the May 2015 </w:t>
      </w:r>
      <w:r w:rsidR="007E1888">
        <w:t>UK General E</w:t>
      </w:r>
      <w:r w:rsidR="002D01E1">
        <w:t>lection</w:t>
      </w:r>
      <w:r w:rsidR="006923B8">
        <w:t>, which was consistent with its previous commitments</w:t>
      </w:r>
      <w:r w:rsidR="002D01E1">
        <w:t>.</w:t>
      </w:r>
      <w:r w:rsidR="002D01E1">
        <w:rPr>
          <w:rStyle w:val="FootnoteReference"/>
        </w:rPr>
        <w:footnoteReference w:id="104"/>
      </w:r>
    </w:p>
    <w:p w:rsidR="00F262B6" w:rsidRDefault="00F262B6" w:rsidP="00F262B6">
      <w:pPr>
        <w:pStyle w:val="Heading-subsections"/>
      </w:pPr>
      <w:r>
        <w:t>Conclusion:</w:t>
      </w:r>
    </w:p>
    <w:p w:rsidR="002D01E1" w:rsidRPr="008B2CB8" w:rsidRDefault="00756D9A" w:rsidP="00C46B5C">
      <w:pPr>
        <w:pStyle w:val="Parabold"/>
      </w:pPr>
      <w:r>
        <w:t xml:space="preserve">C.7.4 </w:t>
      </w:r>
      <w:r w:rsidR="002D01E1" w:rsidRPr="008B2CB8">
        <w:t xml:space="preserve">The UK Government is yet to implement the </w:t>
      </w:r>
      <w:r w:rsidR="006923B8">
        <w:t>UN Human Rights Committee’s</w:t>
      </w:r>
      <w:r w:rsidR="006923B8" w:rsidRPr="008B2CB8">
        <w:t xml:space="preserve"> </w:t>
      </w:r>
      <w:r w:rsidR="002D01E1" w:rsidRPr="008B2CB8">
        <w:t>2008 recommendation</w:t>
      </w:r>
      <w:r w:rsidR="002D01E1" w:rsidRPr="008B2CB8">
        <w:rPr>
          <w:rStyle w:val="FootnoteReference"/>
          <w:b w:val="0"/>
        </w:rPr>
        <w:footnoteReference w:id="105"/>
      </w:r>
      <w:r w:rsidR="002D01E1" w:rsidRPr="008B2CB8">
        <w:t xml:space="preserve"> </w:t>
      </w:r>
      <w:r w:rsidR="006923B8">
        <w:t>or the Joint Committee on Human Rights recommendation to introduce legislation to allow all prisoners serving sentences of 12 months or less to vote in all UK Parliamentary, local and European elections</w:t>
      </w:r>
      <w:r w:rsidR="00222F7B">
        <w:t>, in line with the European Court on Human Rights Judgments on the right to fair elections.</w:t>
      </w:r>
      <w:r w:rsidR="008C67B4">
        <w:t xml:space="preserve"> </w:t>
      </w:r>
      <w:r w:rsidR="00222F7B">
        <w:t>The UK Government needs to take these steps in order to comply with</w:t>
      </w:r>
      <w:r w:rsidR="00222F7B" w:rsidRPr="008B2CB8">
        <w:t xml:space="preserve"> </w:t>
      </w:r>
      <w:r w:rsidR="00690805">
        <w:t>A</w:t>
      </w:r>
      <w:r w:rsidR="002D01E1" w:rsidRPr="008B2CB8">
        <w:t xml:space="preserve">rticle 10, paragraph 3, when read in conjunction with </w:t>
      </w:r>
      <w:r w:rsidR="00690805">
        <w:t>A</w:t>
      </w:r>
      <w:r w:rsidR="002D01E1" w:rsidRPr="008B2CB8">
        <w:t xml:space="preserve">rticle 25 of ICCPR. </w:t>
      </w:r>
    </w:p>
    <w:p w:rsidR="002D01E1" w:rsidRPr="00C46B5C" w:rsidRDefault="002D01E1" w:rsidP="00C46B5C">
      <w:pPr>
        <w:pStyle w:val="Parabeforenewsection"/>
        <w:rPr>
          <w:b/>
        </w:rPr>
      </w:pPr>
      <w:r w:rsidRPr="00C46B5C">
        <w:rPr>
          <w:b/>
        </w:rPr>
        <w:t>Question A: What plans does the UK Government have to bring forward legislation to implement the judgments in the Hirst,</w:t>
      </w:r>
      <w:r w:rsidR="00597120" w:rsidRPr="00C46B5C">
        <w:rPr>
          <w:b/>
        </w:rPr>
        <w:t xml:space="preserve"> Greens</w:t>
      </w:r>
      <w:r w:rsidRPr="00C46B5C">
        <w:rPr>
          <w:b/>
        </w:rPr>
        <w:t xml:space="preserve">, Firth and </w:t>
      </w:r>
      <w:r w:rsidRPr="00C46B5C">
        <w:rPr>
          <w:rFonts w:cs="Arial"/>
          <w:b/>
          <w:color w:val="000000"/>
        </w:rPr>
        <w:t>McHugh cases</w:t>
      </w:r>
      <w:r w:rsidRPr="00C46B5C">
        <w:rPr>
          <w:b/>
        </w:rPr>
        <w:t xml:space="preserve"> (and in doing so the recommendation of the Joint Committee on the Voting Eligibility (Prisoners) Draft Bill), and ensure compliance with the requirements of Protocol No 1 of the ECHR</w:t>
      </w:r>
      <w:r w:rsidR="00597120" w:rsidRPr="00C46B5C">
        <w:rPr>
          <w:b/>
        </w:rPr>
        <w:t>?</w:t>
      </w:r>
    </w:p>
    <w:p w:rsidR="004F46AC" w:rsidRPr="00C20930" w:rsidRDefault="00C20930" w:rsidP="002B6091">
      <w:pPr>
        <w:pStyle w:val="Heading-sections"/>
        <w:numPr>
          <w:ilvl w:val="0"/>
          <w:numId w:val="7"/>
        </w:numPr>
      </w:pPr>
      <w:bookmarkStart w:id="17" w:name="_Toc420603272"/>
      <w:r>
        <w:t xml:space="preserve">Caste </w:t>
      </w:r>
      <w:r w:rsidR="00690805">
        <w:t>d</w:t>
      </w:r>
      <w:r>
        <w:t>iscriminatio</w:t>
      </w:r>
      <w:r w:rsidRPr="00756D9A">
        <w:rPr>
          <w:sz w:val="24"/>
          <w:szCs w:val="24"/>
        </w:rPr>
        <w:t xml:space="preserve">n </w:t>
      </w:r>
      <w:r w:rsidR="00105992" w:rsidRPr="00756D9A">
        <w:rPr>
          <w:sz w:val="24"/>
          <w:szCs w:val="24"/>
        </w:rPr>
        <w:t>(</w:t>
      </w:r>
      <w:r w:rsidRPr="00756D9A">
        <w:rPr>
          <w:sz w:val="24"/>
          <w:szCs w:val="24"/>
        </w:rPr>
        <w:t>Articles 2, 20, 26 and 27</w:t>
      </w:r>
      <w:r w:rsidR="00105992" w:rsidRPr="00756D9A">
        <w:rPr>
          <w:sz w:val="24"/>
          <w:szCs w:val="24"/>
        </w:rPr>
        <w:t>)</w:t>
      </w:r>
      <w:r w:rsidRPr="00756D9A">
        <w:rPr>
          <w:sz w:val="24"/>
          <w:szCs w:val="24"/>
        </w:rPr>
        <w:t>,</w:t>
      </w:r>
      <w:r>
        <w:rPr>
          <w:sz w:val="23"/>
          <w:szCs w:val="23"/>
        </w:rPr>
        <w:t xml:space="preserve"> </w:t>
      </w:r>
      <w:r>
        <w:t>List of Issues paragraph 6</w:t>
      </w:r>
      <w:bookmarkEnd w:id="17"/>
    </w:p>
    <w:p w:rsidR="002D01E1" w:rsidRDefault="00153F66" w:rsidP="00C46B5C">
      <w:pPr>
        <w:pStyle w:val="Parabeforeanother"/>
      </w:pPr>
      <w:r w:rsidRPr="003F78A7">
        <w:rPr>
          <w:b/>
        </w:rPr>
        <w:t>C.8.1</w:t>
      </w:r>
      <w:r>
        <w:t xml:space="preserve"> </w:t>
      </w:r>
      <w:r w:rsidR="002D01E1" w:rsidRPr="006F39A3">
        <w:t xml:space="preserve">The </w:t>
      </w:r>
      <w:r w:rsidR="002D01E1">
        <w:t xml:space="preserve">EHRC </w:t>
      </w:r>
      <w:r w:rsidR="002D01E1" w:rsidRPr="006F39A3">
        <w:t>supports the enactment of Section</w:t>
      </w:r>
      <w:r w:rsidR="002D01E1">
        <w:t xml:space="preserve"> 9(5) of the Equality Act 2010</w:t>
      </w:r>
      <w:r w:rsidR="002D01E1" w:rsidRPr="009157CA">
        <w:t xml:space="preserve"> </w:t>
      </w:r>
      <w:r w:rsidR="002D01E1" w:rsidRPr="00446F87">
        <w:t>(as amended by the Enterprise and R</w:t>
      </w:r>
      <w:r w:rsidR="002D01E1">
        <w:t>egulatory Reform Act 2013</w:t>
      </w:r>
      <w:r w:rsidR="002D01E1" w:rsidRPr="00446F87">
        <w:t>)</w:t>
      </w:r>
      <w:r w:rsidR="002D01E1">
        <w:t xml:space="preserve"> which provides that a </w:t>
      </w:r>
      <w:r w:rsidR="002D01E1">
        <w:lastRenderedPageBreak/>
        <w:t>Minister must,</w:t>
      </w:r>
      <w:r w:rsidR="002D01E1" w:rsidRPr="006F39A3">
        <w:t xml:space="preserve"> by order</w:t>
      </w:r>
      <w:r w:rsidR="002D01E1">
        <w:t>,</w:t>
      </w:r>
      <w:r w:rsidR="002D01E1" w:rsidRPr="006F39A3">
        <w:t xml:space="preserve"> amend the statutory definition of race to include caste and may provide for exceptions in the Act to apply or not to apply to caste</w:t>
      </w:r>
      <w:r w:rsidR="00B57AC5">
        <w:t>.</w:t>
      </w:r>
      <w:r w:rsidR="002D01E1">
        <w:rPr>
          <w:rStyle w:val="FootnoteReference"/>
        </w:rPr>
        <w:footnoteReference w:id="106"/>
      </w:r>
      <w:r w:rsidR="002D01E1" w:rsidRPr="006F39A3">
        <w:t xml:space="preserve"> </w:t>
      </w:r>
    </w:p>
    <w:p w:rsidR="002D01E1" w:rsidRPr="00446F87" w:rsidRDefault="00153F66" w:rsidP="00C46B5C">
      <w:pPr>
        <w:pStyle w:val="Parabeforeanother"/>
      </w:pPr>
      <w:r w:rsidRPr="003F78A7">
        <w:rPr>
          <w:b/>
        </w:rPr>
        <w:t>C.8.2</w:t>
      </w:r>
      <w:r w:rsidRPr="003F78A7">
        <w:t xml:space="preserve"> </w:t>
      </w:r>
      <w:r w:rsidR="002D01E1" w:rsidRPr="003F78A7">
        <w:t>I</w:t>
      </w:r>
      <w:r w:rsidR="002D01E1" w:rsidRPr="00446F87">
        <w:t xml:space="preserve">n July 2013, the </w:t>
      </w:r>
      <w:r w:rsidR="002D01E1">
        <w:t xml:space="preserve">UK Government’s </w:t>
      </w:r>
      <w:r w:rsidR="002D01E1" w:rsidRPr="00446F87">
        <w:t xml:space="preserve">Government Equalities Office announced that before </w:t>
      </w:r>
      <w:proofErr w:type="gramStart"/>
      <w:r w:rsidR="00503970">
        <w:t>s9(</w:t>
      </w:r>
      <w:proofErr w:type="gramEnd"/>
      <w:r w:rsidR="00503970">
        <w:t>5) of the Equality Act 2010</w:t>
      </w:r>
      <w:r w:rsidR="002D01E1" w:rsidRPr="00446F87">
        <w:t xml:space="preserve"> </w:t>
      </w:r>
      <w:r w:rsidR="002D01E1">
        <w:t>wa</w:t>
      </w:r>
      <w:r w:rsidR="002D01E1" w:rsidRPr="00446F87">
        <w:t xml:space="preserve">s implemented, there would be a full public consultation in order to </w:t>
      </w:r>
      <w:r w:rsidR="00225135">
        <w:t>en</w:t>
      </w:r>
      <w:r w:rsidR="002D01E1" w:rsidRPr="00446F87">
        <w:t xml:space="preserve">sure the legislation </w:t>
      </w:r>
      <w:r w:rsidR="002D01E1">
        <w:t>wa</w:t>
      </w:r>
      <w:r w:rsidR="002D01E1" w:rsidRPr="00446F87">
        <w:t>s fit for purpose</w:t>
      </w:r>
      <w:r w:rsidR="00B57AC5">
        <w:t>.</w:t>
      </w:r>
      <w:r w:rsidR="002D01E1">
        <w:rPr>
          <w:rStyle w:val="FootnoteReference"/>
        </w:rPr>
        <w:footnoteReference w:id="107"/>
      </w:r>
      <w:r w:rsidR="002D01E1" w:rsidRPr="00446F87">
        <w:t xml:space="preserve"> It was last reported that a draft order will be introduced by the summer of 2015</w:t>
      </w:r>
      <w:r w:rsidR="00B57AC5">
        <w:t>.</w:t>
      </w:r>
      <w:r w:rsidR="002D01E1">
        <w:rPr>
          <w:rStyle w:val="FootnoteReference"/>
        </w:rPr>
        <w:footnoteReference w:id="108"/>
      </w:r>
    </w:p>
    <w:p w:rsidR="002D01E1" w:rsidRDefault="00153F66" w:rsidP="00C46B5C">
      <w:pPr>
        <w:pStyle w:val="Parabeforeanother"/>
      </w:pPr>
      <w:r w:rsidRPr="003F78A7">
        <w:rPr>
          <w:b/>
        </w:rPr>
        <w:t>C.8.3</w:t>
      </w:r>
      <w:r>
        <w:t xml:space="preserve"> </w:t>
      </w:r>
      <w:r w:rsidR="002D01E1">
        <w:t>In the interim, the EHRC notes that t</w:t>
      </w:r>
      <w:r w:rsidR="002D01E1" w:rsidRPr="00446F87">
        <w:t xml:space="preserve">he definition of race in section 9(1) of the Equality Act 2010 </w:t>
      </w:r>
      <w:r w:rsidR="005B700D">
        <w:t>is non-exhaustive and includes '</w:t>
      </w:r>
      <w:r w:rsidR="002D01E1" w:rsidRPr="00446F87">
        <w:t>colour; nationa</w:t>
      </w:r>
      <w:r w:rsidR="005B700D">
        <w:t>lity; ethnic or national origin'</w:t>
      </w:r>
      <w:r w:rsidR="002D01E1" w:rsidRPr="00446F87">
        <w:t xml:space="preserve"> </w:t>
      </w:r>
      <w:r w:rsidR="002D01E1">
        <w:t>and the ongoing</w:t>
      </w:r>
      <w:r w:rsidR="002D01E1" w:rsidRPr="00446F87">
        <w:t xml:space="preserve"> discussion of whether caste </w:t>
      </w:r>
      <w:r w:rsidR="002D01E1">
        <w:t>could be included as an aspect of descent, or ethnic origin</w:t>
      </w:r>
      <w:r w:rsidR="002D01E1" w:rsidRPr="00446F87">
        <w:t>.</w:t>
      </w:r>
      <w:r w:rsidR="002D01E1">
        <w:t xml:space="preserve"> </w:t>
      </w:r>
      <w:r w:rsidR="005B700D">
        <w:t>Case law suggests that 'ethnic origin'</w:t>
      </w:r>
      <w:r w:rsidR="002D01E1" w:rsidRPr="00446F87">
        <w:t xml:space="preserve"> for the purposes of section 9(1) of the Equality Act 2010 should be interpreted widely</w:t>
      </w:r>
      <w:r>
        <w:t xml:space="preserve">, for </w:t>
      </w:r>
      <w:r w:rsidR="002D01E1">
        <w:t>example</w:t>
      </w:r>
      <w:r w:rsidR="002D01E1" w:rsidRPr="00446F87">
        <w:t xml:space="preserve"> </w:t>
      </w:r>
      <w:r w:rsidR="002D01E1">
        <w:t>i</w:t>
      </w:r>
      <w:r w:rsidR="002D01E1" w:rsidRPr="00446F87">
        <w:t xml:space="preserve">n </w:t>
      </w:r>
      <w:proofErr w:type="spellStart"/>
      <w:r w:rsidR="001C26F9" w:rsidRPr="004E720F">
        <w:rPr>
          <w:i/>
        </w:rPr>
        <w:t>Mandla</w:t>
      </w:r>
      <w:proofErr w:type="spellEnd"/>
      <w:r w:rsidR="001C26F9" w:rsidRPr="004E720F">
        <w:rPr>
          <w:i/>
        </w:rPr>
        <w:t xml:space="preserve"> v Dowell Lee</w:t>
      </w:r>
      <w:r w:rsidR="00B57AC5">
        <w:t>,</w:t>
      </w:r>
      <w:r w:rsidR="002D01E1">
        <w:rPr>
          <w:rStyle w:val="FootnoteReference"/>
        </w:rPr>
        <w:footnoteReference w:id="109"/>
      </w:r>
      <w:r w:rsidR="002D01E1" w:rsidRPr="00446F87">
        <w:t xml:space="preserve"> the House of Lords held that the t</w:t>
      </w:r>
      <w:r w:rsidR="005B700D">
        <w:t>erm 'ethnic' is wider than 'racial' or '</w:t>
      </w:r>
      <w:r w:rsidR="002D01E1" w:rsidRPr="00446F87">
        <w:t>biological</w:t>
      </w:r>
      <w:r w:rsidR="005B700D">
        <w:t>.'</w:t>
      </w:r>
      <w:r w:rsidR="002D01E1" w:rsidRPr="00446F87">
        <w:t xml:space="preserve"> </w:t>
      </w:r>
    </w:p>
    <w:p w:rsidR="002D01E1" w:rsidRDefault="00153F66" w:rsidP="00C46B5C">
      <w:pPr>
        <w:pStyle w:val="Parabeforebulletss"/>
      </w:pPr>
      <w:r w:rsidRPr="003F78A7">
        <w:rPr>
          <w:b/>
        </w:rPr>
        <w:t>C.8.4</w:t>
      </w:r>
      <w:r>
        <w:t xml:space="preserve"> </w:t>
      </w:r>
      <w:r w:rsidR="002D01E1">
        <w:t xml:space="preserve">In a recent </w:t>
      </w:r>
      <w:r w:rsidR="005B700D">
        <w:t>judgment</w:t>
      </w:r>
      <w:r w:rsidR="002D01E1" w:rsidRPr="00446F87">
        <w:t xml:space="preserve"> in the </w:t>
      </w:r>
      <w:r w:rsidR="00225135">
        <w:t>E</w:t>
      </w:r>
      <w:r w:rsidR="00225135" w:rsidRPr="00446F87">
        <w:t xml:space="preserve">mployment </w:t>
      </w:r>
      <w:r w:rsidR="00225135">
        <w:t>T</w:t>
      </w:r>
      <w:r w:rsidR="002D01E1" w:rsidRPr="00446F87">
        <w:t>ribunal</w:t>
      </w:r>
      <w:r w:rsidR="002D01E1">
        <w:t>, t</w:t>
      </w:r>
      <w:r w:rsidR="002D01E1" w:rsidRPr="00446F87">
        <w:t>he President held that</w:t>
      </w:r>
      <w:r w:rsidR="002D01E1">
        <w:t>:</w:t>
      </w:r>
      <w:r w:rsidR="002D01E1" w:rsidRPr="00446F87">
        <w:t xml:space="preserve"> </w:t>
      </w:r>
    </w:p>
    <w:p w:rsidR="002D01E1" w:rsidRDefault="002D01E1" w:rsidP="00C46B5C">
      <w:pPr>
        <w:pStyle w:val="Bullet-followedbyothers"/>
      </w:pPr>
      <w:r w:rsidRPr="002F3582">
        <w:t xml:space="preserve">a party could bring a claim for caste discrimination on the law as it currently stands </w:t>
      </w:r>
      <w:r>
        <w:t xml:space="preserve">because </w:t>
      </w:r>
      <w:r w:rsidRPr="002F3582">
        <w:t>there may be factual circumstances involving caste</w:t>
      </w:r>
      <w:r>
        <w:t>,</w:t>
      </w:r>
      <w:r w:rsidRPr="002F3582">
        <w:t xml:space="preserve"> which are capable of falling within the scope of section 9(1)</w:t>
      </w:r>
      <w:r w:rsidR="00225135">
        <w:t>,</w:t>
      </w:r>
      <w:r>
        <w:t xml:space="preserve"> despite it not being separately mentioned in the Equality Act 2010</w:t>
      </w:r>
    </w:p>
    <w:p w:rsidR="002D01E1" w:rsidRPr="002F3582" w:rsidRDefault="002D01E1" w:rsidP="00876A17">
      <w:pPr>
        <w:pStyle w:val="Bullet-lastingroup"/>
      </w:pPr>
      <w:proofErr w:type="gramStart"/>
      <w:r w:rsidRPr="002F3582">
        <w:t>the</w:t>
      </w:r>
      <w:proofErr w:type="gramEnd"/>
      <w:r w:rsidRPr="002F3582">
        <w:t xml:space="preserve"> fact the </w:t>
      </w:r>
      <w:r>
        <w:t>UK G</w:t>
      </w:r>
      <w:r w:rsidRPr="002F3582">
        <w:t xml:space="preserve">overnment had decided to legislate to clarify that caste is an aspect of the protected characteristic of race, but had not yet done so, was not determinative. The effect of section 9(5) of the Equality Act 2010 is not to limit the scope to which the statutory definition of race extends. On this basis, section 9(5) of the Equality Act 2010 contains a power to supplement or clarify section 9(1) of the Equality Act 2010, not to restrict it. </w:t>
      </w:r>
      <w:r w:rsidR="00503970">
        <w:t>T</w:t>
      </w:r>
      <w:r w:rsidR="00503970" w:rsidRPr="002F3582">
        <w:t xml:space="preserve">he </w:t>
      </w:r>
      <w:r w:rsidRPr="002F3582">
        <w:t>decisions in the two leading cases of JFS</w:t>
      </w:r>
      <w:r>
        <w:rPr>
          <w:rStyle w:val="FootnoteReference"/>
          <w:rFonts w:cs="Arial"/>
        </w:rPr>
        <w:footnoteReference w:id="110"/>
      </w:r>
      <w:r w:rsidRPr="002F3582">
        <w:t xml:space="preserve"> and </w:t>
      </w:r>
      <w:proofErr w:type="spellStart"/>
      <w:r w:rsidR="001C26F9" w:rsidRPr="004E720F">
        <w:rPr>
          <w:i/>
        </w:rPr>
        <w:t>Mandla</w:t>
      </w:r>
      <w:proofErr w:type="spellEnd"/>
      <w:r w:rsidR="001C26F9" w:rsidRPr="004E720F">
        <w:rPr>
          <w:i/>
        </w:rPr>
        <w:t xml:space="preserve"> v Dowell Lee</w:t>
      </w:r>
      <w:r w:rsidRPr="002F3582">
        <w:t xml:space="preserve"> remain fully applicable. The effect of this case law is to give a wide and fl</w:t>
      </w:r>
      <w:r w:rsidR="005B700D">
        <w:t>exible scope to the meaning of 'ethnic origins</w:t>
      </w:r>
      <w:r w:rsidR="00690805">
        <w:t>’</w:t>
      </w:r>
      <w:r w:rsidR="005B700D">
        <w:t>.</w:t>
      </w:r>
      <w:r w:rsidRPr="002F3582">
        <w:t xml:space="preserve"> The President was convinced of the close link between descent and caste and that caste is clearly to be </w:t>
      </w:r>
      <w:r w:rsidR="005B700D">
        <w:t>included within the meaning of '</w:t>
      </w:r>
      <w:r w:rsidRPr="002F3582">
        <w:t>ethnic origins</w:t>
      </w:r>
      <w:r w:rsidR="005B700D">
        <w:t>,'</w:t>
      </w:r>
      <w:r w:rsidRPr="002F3582">
        <w:t xml:space="preserve"> at least where it is linked to concepts of ethnicity. </w:t>
      </w:r>
    </w:p>
    <w:p w:rsidR="002D01E1" w:rsidRPr="00446F87" w:rsidRDefault="00153F66" w:rsidP="00876A17">
      <w:pPr>
        <w:pStyle w:val="Parabeforenewsubsection"/>
      </w:pPr>
      <w:r w:rsidRPr="003F78A7">
        <w:rPr>
          <w:b/>
        </w:rPr>
        <w:lastRenderedPageBreak/>
        <w:t>C.8.5</w:t>
      </w:r>
      <w:r>
        <w:t xml:space="preserve"> </w:t>
      </w:r>
      <w:r w:rsidR="002D01E1" w:rsidRPr="00446F87">
        <w:t>However</w:t>
      </w:r>
      <w:r w:rsidR="002D01E1">
        <w:t>,</w:t>
      </w:r>
      <w:r w:rsidR="002D01E1" w:rsidRPr="00446F87">
        <w:t xml:space="preserve"> </w:t>
      </w:r>
      <w:r w:rsidR="002D01E1">
        <w:t xml:space="preserve">the President </w:t>
      </w:r>
      <w:r w:rsidR="002D01E1" w:rsidRPr="00446F87">
        <w:t xml:space="preserve">was careful to say that his finding was fact-specific and </w:t>
      </w:r>
      <w:r w:rsidR="002D01E1">
        <w:t>he specifically declined the invitation to find that all caste</w:t>
      </w:r>
      <w:r w:rsidR="00495B99">
        <w:t>-</w:t>
      </w:r>
      <w:r w:rsidR="002D01E1">
        <w:t>based claims would</w:t>
      </w:r>
      <w:r w:rsidR="005B700D">
        <w:t xml:space="preserve"> come within the definition of '</w:t>
      </w:r>
      <w:r w:rsidR="002D01E1">
        <w:t>ethnic origins</w:t>
      </w:r>
      <w:r w:rsidR="005B700D">
        <w:t>.'</w:t>
      </w:r>
      <w:r w:rsidR="002D01E1">
        <w:t xml:space="preserve"> This means that</w:t>
      </w:r>
      <w:r w:rsidR="002D01E1" w:rsidRPr="00446F87">
        <w:t xml:space="preserve"> not all complainants of caste discrimination </w:t>
      </w:r>
      <w:r w:rsidR="004D7C13">
        <w:t>may</w:t>
      </w:r>
      <w:r w:rsidR="004D7C13" w:rsidRPr="00446F87">
        <w:t xml:space="preserve"> </w:t>
      </w:r>
      <w:r w:rsidR="002D01E1" w:rsidRPr="00446F87">
        <w:t xml:space="preserve">find </w:t>
      </w:r>
      <w:r w:rsidR="002D01E1">
        <w:t xml:space="preserve">a remedy under </w:t>
      </w:r>
      <w:r w:rsidR="002D01E1" w:rsidRPr="00446F87">
        <w:t>existing law.</w:t>
      </w:r>
    </w:p>
    <w:p w:rsidR="00F262B6" w:rsidRDefault="00F262B6" w:rsidP="00F262B6">
      <w:pPr>
        <w:pStyle w:val="Heading-subsections"/>
      </w:pPr>
      <w:r>
        <w:t>Conclusion:</w:t>
      </w:r>
    </w:p>
    <w:p w:rsidR="002D01E1" w:rsidRDefault="00153F66" w:rsidP="00876A17">
      <w:pPr>
        <w:pStyle w:val="Parabold"/>
      </w:pPr>
      <w:r>
        <w:t xml:space="preserve">C.8.6 </w:t>
      </w:r>
      <w:r w:rsidR="002D01E1" w:rsidRPr="002F3582">
        <w:t>The</w:t>
      </w:r>
      <w:r w:rsidR="00225135">
        <w:t xml:space="preserve"> Equality Act 2010 provides one of the most comprehensive legislation frameworks in the work aimed at implementing the prohibition on discrimination. In order to provide clarity on how the UK provides protection from caste discrimination in relation to Article 2 of ICCPR,</w:t>
      </w:r>
      <w:r w:rsidR="002D01E1" w:rsidRPr="002F3582">
        <w:t xml:space="preserve"> the specific provision in section 9(5) Equality Act 2010</w:t>
      </w:r>
      <w:r w:rsidR="005B700D">
        <w:t xml:space="preserve"> </w:t>
      </w:r>
      <w:r w:rsidR="00225135">
        <w:t>needs to be enacted.</w:t>
      </w:r>
    </w:p>
    <w:p w:rsidR="00EE77CC" w:rsidRDefault="002D01E1" w:rsidP="00F262B6">
      <w:pPr>
        <w:pStyle w:val="Parabold"/>
      </w:pPr>
      <w:r w:rsidRPr="00876A17">
        <w:t xml:space="preserve">Question: </w:t>
      </w:r>
      <w:r w:rsidR="004D7C13" w:rsidRPr="00876A17">
        <w:t>Has the UK Government concluded the</w:t>
      </w:r>
      <w:r w:rsidRPr="00876A17">
        <w:t xml:space="preserve"> consultation</w:t>
      </w:r>
      <w:r w:rsidR="004D7C13" w:rsidRPr="00876A17">
        <w:t xml:space="preserve"> on caste discrimination</w:t>
      </w:r>
      <w:r w:rsidRPr="00876A17">
        <w:t xml:space="preserve"> announced in July 2013?</w:t>
      </w:r>
      <w:r w:rsidR="004D7C13" w:rsidRPr="00876A17">
        <w:t xml:space="preserve"> If so, could the UK Government publish its findings and outcomes, and confirm</w:t>
      </w:r>
      <w:r w:rsidRPr="00876A17">
        <w:t xml:space="preserve"> </w:t>
      </w:r>
      <w:r w:rsidR="004D7C13" w:rsidRPr="00876A17">
        <w:t>w</w:t>
      </w:r>
      <w:r w:rsidRPr="00876A17">
        <w:t xml:space="preserve">hen a draft order </w:t>
      </w:r>
      <w:r w:rsidR="00225135" w:rsidRPr="00876A17">
        <w:t xml:space="preserve">to enact Section 9(5) of the Equality Act 2010 </w:t>
      </w:r>
      <w:r w:rsidR="004D7C13" w:rsidRPr="00876A17">
        <w:t xml:space="preserve">will </w:t>
      </w:r>
      <w:r w:rsidRPr="00876A17">
        <w:t>be laid before Parliament?</w:t>
      </w:r>
    </w:p>
    <w:p w:rsidR="00EE77CC" w:rsidRDefault="00EE77CC" w:rsidP="00EE77CC">
      <w:pPr>
        <w:rPr>
          <w:rFonts w:cs="Arial"/>
          <w:sz w:val="24"/>
          <w:szCs w:val="24"/>
        </w:rPr>
      </w:pPr>
      <w:r>
        <w:br w:type="page"/>
      </w:r>
    </w:p>
    <w:p w:rsidR="00E76D96" w:rsidRPr="005E7E37" w:rsidRDefault="00D06FFA" w:rsidP="00EB081A">
      <w:pPr>
        <w:pStyle w:val="Heading-chapter"/>
      </w:pPr>
      <w:bookmarkStart w:id="18" w:name="_Toc420603273"/>
      <w:r>
        <w:lastRenderedPageBreak/>
        <w:t xml:space="preserve">D. </w:t>
      </w:r>
      <w:r w:rsidR="00DB7424" w:rsidRPr="005E7E37">
        <w:t>Physical Security</w:t>
      </w:r>
      <w:bookmarkEnd w:id="18"/>
    </w:p>
    <w:p w:rsidR="001A71FD" w:rsidRDefault="001A71FD" w:rsidP="002B6091">
      <w:pPr>
        <w:pStyle w:val="Heading-sections"/>
        <w:numPr>
          <w:ilvl w:val="0"/>
          <w:numId w:val="7"/>
        </w:numPr>
      </w:pPr>
      <w:bookmarkStart w:id="19" w:name="_Toc420603274"/>
      <w:r w:rsidRPr="00C20930">
        <w:t>Prohibition of torture and cruel, inhuman or degrading treatment (Article</w:t>
      </w:r>
      <w:r w:rsidR="001F2427">
        <w:t>s 6 and</w:t>
      </w:r>
      <w:r w:rsidR="005E7E37">
        <w:t xml:space="preserve"> 7), List of I</w:t>
      </w:r>
      <w:r w:rsidRPr="00C20930">
        <w:t>ssues paragraphs 16 and 27</w:t>
      </w:r>
      <w:bookmarkEnd w:id="19"/>
    </w:p>
    <w:p w:rsidR="00505C5F" w:rsidRPr="008A1592" w:rsidRDefault="00C20930" w:rsidP="002B6091">
      <w:pPr>
        <w:pStyle w:val="Heading-subsections"/>
        <w:numPr>
          <w:ilvl w:val="0"/>
          <w:numId w:val="14"/>
        </w:numPr>
      </w:pPr>
      <w:r>
        <w:t>I</w:t>
      </w:r>
      <w:r w:rsidR="00505C5F" w:rsidRPr="008A1592">
        <w:t>nvestigations into alleged UK complicity in torture</w:t>
      </w:r>
    </w:p>
    <w:p w:rsidR="00505C5F" w:rsidRDefault="00364E33" w:rsidP="00876A17">
      <w:pPr>
        <w:pStyle w:val="Parabeforeanother"/>
      </w:pPr>
      <w:r w:rsidRPr="003F78A7">
        <w:rPr>
          <w:b/>
        </w:rPr>
        <w:t>D</w:t>
      </w:r>
      <w:r w:rsidR="00153F66" w:rsidRPr="003F78A7">
        <w:rPr>
          <w:b/>
        </w:rPr>
        <w:t>.9.1</w:t>
      </w:r>
      <w:r w:rsidR="00153F66">
        <w:t xml:space="preserve"> </w:t>
      </w:r>
      <w:r w:rsidR="00505C5F" w:rsidRPr="008A1592">
        <w:t>As the</w:t>
      </w:r>
      <w:r w:rsidR="004D7C13">
        <w:t xml:space="preserve"> EHRC advised the</w:t>
      </w:r>
      <w:r w:rsidR="00505C5F" w:rsidRPr="008A1592">
        <w:t xml:space="preserve"> </w:t>
      </w:r>
      <w:r w:rsidR="0082251C">
        <w:t xml:space="preserve">HRC </w:t>
      </w:r>
      <w:r w:rsidR="004D7C13">
        <w:t>in our July 2014 submission</w:t>
      </w:r>
      <w:r w:rsidR="00505C5F" w:rsidRPr="008A1592">
        <w:t>,</w:t>
      </w:r>
      <w:r w:rsidR="00F849EC">
        <w:rPr>
          <w:rStyle w:val="FootnoteReference"/>
        </w:rPr>
        <w:footnoteReference w:id="111"/>
      </w:r>
      <w:r w:rsidR="00505C5F" w:rsidRPr="008A1592">
        <w:t xml:space="preserve"> the UK Government decided to conclude the Detainee Inquiry in January 2012,</w:t>
      </w:r>
      <w:r w:rsidR="00505C5F" w:rsidRPr="008A1592">
        <w:rPr>
          <w:vertAlign w:val="superscript"/>
        </w:rPr>
        <w:footnoteReference w:id="112"/>
      </w:r>
      <w:r w:rsidR="00505C5F" w:rsidRPr="008A1592">
        <w:t xml:space="preserve"> before it had formally launched, due to the commencement of criminal investigations into the rendition of individuals to Libya.</w:t>
      </w:r>
      <w:r w:rsidR="00505C5F" w:rsidRPr="008A1592">
        <w:rPr>
          <w:vertAlign w:val="superscript"/>
        </w:rPr>
        <w:footnoteReference w:id="113"/>
      </w:r>
      <w:r w:rsidR="00505C5F" w:rsidRPr="008A1592">
        <w:t xml:space="preserve"> A report of the preparatory work undertaken by Sir Peter Gibson's Inquiry was subsequently published, which highlights eight issues where further detailed investigation is required.</w:t>
      </w:r>
      <w:r w:rsidR="00505C5F" w:rsidRPr="008A1592">
        <w:rPr>
          <w:vertAlign w:val="superscript"/>
        </w:rPr>
        <w:footnoteReference w:id="114"/>
      </w:r>
    </w:p>
    <w:p w:rsidR="00505C5F" w:rsidRPr="008A1592" w:rsidRDefault="00364E33" w:rsidP="00876A17">
      <w:pPr>
        <w:pStyle w:val="Parabeforebulletss"/>
      </w:pPr>
      <w:r w:rsidRPr="003F78A7">
        <w:rPr>
          <w:b/>
        </w:rPr>
        <w:t>D</w:t>
      </w:r>
      <w:r w:rsidR="00153F66" w:rsidRPr="003F78A7">
        <w:rPr>
          <w:b/>
        </w:rPr>
        <w:t>.9.2</w:t>
      </w:r>
      <w:r w:rsidR="00153F66">
        <w:t xml:space="preserve"> </w:t>
      </w:r>
      <w:r w:rsidR="00505C5F" w:rsidRPr="008A1592">
        <w:t xml:space="preserve">Despite committing itself to another independent, judge-led inquiry once the criminal investigations had concluded, the UK Government subsequently referred the matter to the Intelligence and Security Committee of Parliament (ISC) to: </w:t>
      </w:r>
    </w:p>
    <w:p w:rsidR="00505C5F" w:rsidRPr="008A1592" w:rsidRDefault="00505C5F" w:rsidP="00876A17">
      <w:pPr>
        <w:pStyle w:val="Bullet-followedbyothers"/>
      </w:pPr>
      <w:r w:rsidRPr="008A1592">
        <w:t>inquire into the eight issues raised by the Detainee Inquiry</w:t>
      </w:r>
    </w:p>
    <w:p w:rsidR="00505C5F" w:rsidRPr="008A1592" w:rsidRDefault="00505C5F" w:rsidP="00876A17">
      <w:pPr>
        <w:pStyle w:val="Bullet-followedbyothers"/>
      </w:pPr>
      <w:r w:rsidRPr="008A1592">
        <w:t>take further evidence</w:t>
      </w:r>
      <w:r w:rsidR="00495B99">
        <w:t>,</w:t>
      </w:r>
      <w:r w:rsidRPr="008A1592">
        <w:t xml:space="preserve"> and </w:t>
      </w:r>
    </w:p>
    <w:p w:rsidR="0082251C" w:rsidRPr="009F0DF5" w:rsidRDefault="00505C5F" w:rsidP="00876A17">
      <w:pPr>
        <w:pStyle w:val="Bullet-lastingroup"/>
      </w:pPr>
      <w:proofErr w:type="gramStart"/>
      <w:r w:rsidRPr="008A1592">
        <w:t>report</w:t>
      </w:r>
      <w:proofErr w:type="gramEnd"/>
      <w:r w:rsidRPr="008A1592">
        <w:t xml:space="preserve"> to the UK Government and Parliament on the outcome of its inquiry.</w:t>
      </w:r>
      <w:r w:rsidRPr="008A1592">
        <w:rPr>
          <w:vertAlign w:val="superscript"/>
        </w:rPr>
        <w:footnoteReference w:id="115"/>
      </w:r>
      <w:r w:rsidRPr="008A1592">
        <w:t xml:space="preserve"> </w:t>
      </w:r>
    </w:p>
    <w:p w:rsidR="00505C5F" w:rsidRDefault="00364E33" w:rsidP="00876A17">
      <w:pPr>
        <w:pStyle w:val="Parabeforeanother"/>
      </w:pPr>
      <w:r w:rsidRPr="003F78A7">
        <w:rPr>
          <w:b/>
        </w:rPr>
        <w:lastRenderedPageBreak/>
        <w:t>D</w:t>
      </w:r>
      <w:r w:rsidR="00153F66" w:rsidRPr="003F78A7">
        <w:rPr>
          <w:b/>
        </w:rPr>
        <w:t>.9.3</w:t>
      </w:r>
      <w:r w:rsidR="00153F66">
        <w:t xml:space="preserve"> </w:t>
      </w:r>
      <w:r w:rsidR="00505C5F" w:rsidRPr="008A1592">
        <w:t>Thus, while the UK Government has accepted the credibility of a number of allegations of complicity of British military personnel, security and secret intelligence services in the ill-treatment of detainees overseas, its investigations into these allegations have not, to date, satisfied the investigative duty under Articles 2</w:t>
      </w:r>
      <w:r w:rsidR="001F2427">
        <w:t xml:space="preserve"> (right to life)</w:t>
      </w:r>
      <w:r w:rsidR="00505C5F" w:rsidRPr="008A1592">
        <w:t xml:space="preserve"> and 3</w:t>
      </w:r>
      <w:r w:rsidR="001F2427">
        <w:t xml:space="preserve"> (freedom from torture)</w:t>
      </w:r>
      <w:r w:rsidR="00505C5F" w:rsidRPr="008A1592">
        <w:t xml:space="preserve"> of the </w:t>
      </w:r>
      <w:r w:rsidR="001F2427">
        <w:t>ECHR</w:t>
      </w:r>
      <w:r w:rsidR="00505C5F" w:rsidRPr="008A1592">
        <w:t>, nor its obligations under the Convention Against Torture.</w:t>
      </w:r>
    </w:p>
    <w:p w:rsidR="0082251C" w:rsidRDefault="00364E33" w:rsidP="00876A17">
      <w:pPr>
        <w:pStyle w:val="Parabeforenewsubsection"/>
      </w:pPr>
      <w:r w:rsidRPr="003F78A7">
        <w:rPr>
          <w:b/>
        </w:rPr>
        <w:t>D</w:t>
      </w:r>
      <w:r w:rsidR="00153F66" w:rsidRPr="003F78A7">
        <w:rPr>
          <w:b/>
        </w:rPr>
        <w:t>.9.4</w:t>
      </w:r>
      <w:r w:rsidR="00153F66">
        <w:t xml:space="preserve"> </w:t>
      </w:r>
      <w:r w:rsidR="00D7791F">
        <w:t xml:space="preserve">In October 2014, the EHRC responded to the ISC’s call for evidence for its inquiry </w:t>
      </w:r>
      <w:r w:rsidR="00D7791F" w:rsidRPr="004D7C13">
        <w:t>into the role of the UK Government and Security and Intelligence Agencies in relation to detainee treatment and rendition</w:t>
      </w:r>
      <w:r w:rsidR="00D7791F">
        <w:t xml:space="preserve">, restating our position that </w:t>
      </w:r>
      <w:r w:rsidR="00D7791F" w:rsidRPr="008A1592">
        <w:t>the originally promised independent, judge-led inquiry is required to reaffirm the UK’s reputation for strict adherence to international human rights standards.</w:t>
      </w:r>
      <w:r w:rsidR="00D7791F">
        <w:rPr>
          <w:rStyle w:val="FootnoteReference"/>
        </w:rPr>
        <w:footnoteReference w:id="116"/>
      </w:r>
      <w:r w:rsidR="009F0DF5">
        <w:t xml:space="preserve"> </w:t>
      </w:r>
      <w:r w:rsidR="00505C5F" w:rsidRPr="008A1592">
        <w:t>In December 2014 the ISC announced that the inquiry will not be</w:t>
      </w:r>
      <w:r w:rsidR="001F2427">
        <w:t xml:space="preserve"> concluded</w:t>
      </w:r>
      <w:r w:rsidR="00505C5F" w:rsidRPr="008A1592">
        <w:t xml:space="preserve"> until the committee is reconvened in the next Parliament.</w:t>
      </w:r>
      <w:r w:rsidR="00505C5F" w:rsidRPr="008A1592">
        <w:rPr>
          <w:rStyle w:val="FootnoteReference"/>
        </w:rPr>
        <w:footnoteReference w:id="117"/>
      </w:r>
      <w:r w:rsidR="008C67B4">
        <w:t xml:space="preserve"> </w:t>
      </w:r>
    </w:p>
    <w:p w:rsidR="00505C5F" w:rsidRPr="00C20930" w:rsidRDefault="00505C5F" w:rsidP="002B6091">
      <w:pPr>
        <w:pStyle w:val="Heading-subsections"/>
        <w:numPr>
          <w:ilvl w:val="0"/>
          <w:numId w:val="14"/>
        </w:numPr>
      </w:pPr>
      <w:r w:rsidRPr="00C20930">
        <w:t xml:space="preserve">Investigations into the mistreatment of detainees in Iraq </w:t>
      </w:r>
    </w:p>
    <w:p w:rsidR="00D7791F" w:rsidRDefault="00364E33" w:rsidP="00876A17">
      <w:pPr>
        <w:pStyle w:val="Parabeforeanother"/>
      </w:pPr>
      <w:r w:rsidRPr="003F78A7">
        <w:rPr>
          <w:b/>
        </w:rPr>
        <w:t>D</w:t>
      </w:r>
      <w:r w:rsidR="00153F66" w:rsidRPr="003F78A7">
        <w:rPr>
          <w:b/>
        </w:rPr>
        <w:t xml:space="preserve">.9.5 </w:t>
      </w:r>
      <w:r w:rsidR="00505C5F" w:rsidRPr="008A1592">
        <w:t>The</w:t>
      </w:r>
      <w:r w:rsidR="00D7791F">
        <w:t xml:space="preserve"> EHRC’s July 2014 submission</w:t>
      </w:r>
      <w:r w:rsidR="00C75B98">
        <w:rPr>
          <w:rStyle w:val="FootnoteReference"/>
        </w:rPr>
        <w:footnoteReference w:id="118"/>
      </w:r>
      <w:r w:rsidR="00D7791F">
        <w:t xml:space="preserve"> to the HRC noted that the</w:t>
      </w:r>
      <w:r w:rsidR="00505C5F" w:rsidRPr="008A1592">
        <w:t xml:space="preserve"> UK Government accepts that some of the allegations of British military personnel involvement in the torture and ill-treatment of civilians and detainees in Iraq are credible</w:t>
      </w:r>
      <w:r w:rsidR="00D7791F">
        <w:t xml:space="preserve"> and that it had</w:t>
      </w:r>
      <w:r w:rsidR="00505C5F" w:rsidRPr="008A1592">
        <w:t xml:space="preserve"> established the Iraq Historic Allegations Team (IHAT) in 2010</w:t>
      </w:r>
      <w:r w:rsidR="00D7791F">
        <w:t>.</w:t>
      </w:r>
    </w:p>
    <w:p w:rsidR="00505C5F" w:rsidRPr="008A1592" w:rsidRDefault="00364E33" w:rsidP="00876A17">
      <w:pPr>
        <w:pStyle w:val="Parabeforeanother"/>
      </w:pPr>
      <w:r w:rsidRPr="003F78A7">
        <w:rPr>
          <w:b/>
        </w:rPr>
        <w:t>D</w:t>
      </w:r>
      <w:r w:rsidR="00153F66" w:rsidRPr="003F78A7">
        <w:rPr>
          <w:b/>
        </w:rPr>
        <w:t>.9.6</w:t>
      </w:r>
      <w:r w:rsidR="00153F66">
        <w:t xml:space="preserve"> </w:t>
      </w:r>
      <w:r w:rsidR="00D7791F">
        <w:t>The IHAT</w:t>
      </w:r>
      <w:r w:rsidR="00D7791F" w:rsidRPr="008A1592">
        <w:t xml:space="preserve"> </w:t>
      </w:r>
      <w:r w:rsidR="00505C5F" w:rsidRPr="008A1592">
        <w:t>is currently investigating at least 169 different allegations, from a total of around 1,000 allegations.</w:t>
      </w:r>
      <w:r w:rsidR="00505C5F" w:rsidRPr="008A1592">
        <w:rPr>
          <w:vertAlign w:val="superscript"/>
        </w:rPr>
        <w:footnoteReference w:id="119"/>
      </w:r>
      <w:r w:rsidR="00505C5F" w:rsidRPr="008A1592">
        <w:t xml:space="preserve"> Regrettably, the progress in investigating all of these allegations has been very slow. </w:t>
      </w:r>
      <w:r w:rsidR="00D7791F">
        <w:t>The</w:t>
      </w:r>
      <w:r w:rsidR="00D7791F" w:rsidRPr="008A1592">
        <w:t xml:space="preserve"> </w:t>
      </w:r>
      <w:r w:rsidR="00505C5F" w:rsidRPr="008A1592">
        <w:t>IHAT</w:t>
      </w:r>
      <w:r w:rsidR="00D7791F">
        <w:t xml:space="preserve"> updated the information on its </w:t>
      </w:r>
      <w:r w:rsidR="00D7791F">
        <w:lastRenderedPageBreak/>
        <w:t>website about its</w:t>
      </w:r>
      <w:r w:rsidR="00505C5F" w:rsidRPr="008A1592">
        <w:t xml:space="preserve"> investigations</w:t>
      </w:r>
      <w:r w:rsidR="00D7791F">
        <w:t xml:space="preserve"> in January 2015. However, to date, it has still only completed investigations </w:t>
      </w:r>
      <w:r w:rsidR="00D7791F" w:rsidRPr="008A1592">
        <w:t>into</w:t>
      </w:r>
      <w:r w:rsidR="00505C5F" w:rsidRPr="008A1592">
        <w:t xml:space="preserve"> </w:t>
      </w:r>
      <w:r w:rsidR="00505C5F">
        <w:t>nine</w:t>
      </w:r>
      <w:r w:rsidR="00505C5F" w:rsidRPr="008A1592">
        <w:t xml:space="preserve"> cases, and has ordered only one fine against a British soldier.</w:t>
      </w:r>
      <w:r w:rsidR="003169C8">
        <w:rPr>
          <w:rStyle w:val="FootnoteReference"/>
        </w:rPr>
        <w:footnoteReference w:id="120"/>
      </w:r>
      <w:r w:rsidR="00505C5F" w:rsidRPr="008A1592">
        <w:t xml:space="preserve"> </w:t>
      </w:r>
    </w:p>
    <w:p w:rsidR="00505C5F" w:rsidRPr="000F3A48" w:rsidRDefault="00364E33" w:rsidP="00876A17">
      <w:pPr>
        <w:pStyle w:val="Parabeforeanother"/>
      </w:pPr>
      <w:r w:rsidRPr="003F78A7">
        <w:rPr>
          <w:b/>
        </w:rPr>
        <w:t>D</w:t>
      </w:r>
      <w:r w:rsidR="00153F66" w:rsidRPr="003F78A7">
        <w:rPr>
          <w:b/>
        </w:rPr>
        <w:t>.9.7</w:t>
      </w:r>
      <w:r w:rsidR="00153F66">
        <w:t xml:space="preserve"> </w:t>
      </w:r>
      <w:r w:rsidR="00505C5F" w:rsidRPr="000F3A48">
        <w:t xml:space="preserve">The </w:t>
      </w:r>
      <w:r w:rsidR="00505C5F">
        <w:t>EHRC</w:t>
      </w:r>
      <w:r w:rsidR="00505C5F" w:rsidRPr="000F3A48">
        <w:t xml:space="preserve"> do</w:t>
      </w:r>
      <w:r w:rsidR="00505C5F">
        <w:t>es</w:t>
      </w:r>
      <w:r w:rsidR="00505C5F" w:rsidRPr="000F3A48">
        <w:t xml:space="preserve"> not </w:t>
      </w:r>
      <w:r w:rsidR="001F2427">
        <w:t>consider</w:t>
      </w:r>
      <w:r w:rsidR="001F2427" w:rsidRPr="000F3A48">
        <w:t xml:space="preserve"> </w:t>
      </w:r>
      <w:r w:rsidR="00505C5F" w:rsidRPr="000F3A48">
        <w:t xml:space="preserve">this </w:t>
      </w:r>
      <w:r w:rsidR="001F2427">
        <w:t>to be</w:t>
      </w:r>
      <w:r w:rsidR="001F2427" w:rsidRPr="000F3A48">
        <w:t xml:space="preserve"> </w:t>
      </w:r>
      <w:r w:rsidR="00505C5F" w:rsidRPr="000F3A48">
        <w:t xml:space="preserve">consistent with the prompt investigative duty under Articles 2 and 3 of the ECHR, (as confirmed by the European Court of Human Rights in its Al </w:t>
      </w:r>
      <w:proofErr w:type="spellStart"/>
      <w:r w:rsidR="00505C5F" w:rsidRPr="000F3A48">
        <w:t>Skeini</w:t>
      </w:r>
      <w:proofErr w:type="spellEnd"/>
      <w:r w:rsidR="00505C5F" w:rsidRPr="000F3A48">
        <w:t xml:space="preserve"> judgment).</w:t>
      </w:r>
      <w:r w:rsidR="00505C5F" w:rsidRPr="000F3A48">
        <w:rPr>
          <w:vertAlign w:val="superscript"/>
        </w:rPr>
        <w:footnoteReference w:id="121"/>
      </w:r>
      <w:r w:rsidR="00505C5F" w:rsidRPr="000F3A48">
        <w:t xml:space="preserve"> </w:t>
      </w:r>
    </w:p>
    <w:p w:rsidR="00505C5F" w:rsidRDefault="00364E33" w:rsidP="00876A17">
      <w:pPr>
        <w:pStyle w:val="Parabeforeanother"/>
      </w:pPr>
      <w:r w:rsidRPr="003F78A7">
        <w:rPr>
          <w:b/>
        </w:rPr>
        <w:t>D</w:t>
      </w:r>
      <w:r w:rsidR="00153F66" w:rsidRPr="003F78A7">
        <w:rPr>
          <w:b/>
        </w:rPr>
        <w:t>.9.8</w:t>
      </w:r>
      <w:r w:rsidR="00153F66">
        <w:t xml:space="preserve"> </w:t>
      </w:r>
      <w:r w:rsidR="00505C5F" w:rsidRPr="008A1592">
        <w:t>In May 2013, the High Court ruled a different approach was required for cases that engage the investigative duty under Article 2 of the ECHR because the investigatory process</w:t>
      </w:r>
      <w:r w:rsidR="003169C8">
        <w:t>,</w:t>
      </w:r>
      <w:r w:rsidR="00505C5F" w:rsidRPr="008A1592">
        <w:t xml:space="preserve"> as it was then constituted, was insufficient to discharge fully that obligation.</w:t>
      </w:r>
      <w:r w:rsidR="00505C5F" w:rsidRPr="008A1592">
        <w:rPr>
          <w:vertAlign w:val="superscript"/>
        </w:rPr>
        <w:footnoteReference w:id="122"/>
      </w:r>
      <w:r w:rsidR="00505C5F" w:rsidRPr="008A1592">
        <w:t xml:space="preserve"> Accordingly, it ordered that, in relation to a number of cases, an inquisitorial process modelled on coronial inquests should be established at the conclusion of police investigations. However, the Court considered the procedure adopted by the IHAT, is </w:t>
      </w:r>
      <w:r w:rsidR="00495B99">
        <w:t>‘</w:t>
      </w:r>
      <w:r w:rsidR="00505C5F" w:rsidRPr="008A1592">
        <w:t>a more than proportionate performance</w:t>
      </w:r>
      <w:r w:rsidR="00495B99">
        <w:t>’</w:t>
      </w:r>
      <w:r w:rsidR="00505C5F" w:rsidRPr="008A1592">
        <w:t xml:space="preserve"> of the State’s duties</w:t>
      </w:r>
      <w:r w:rsidR="003169C8">
        <w:t xml:space="preserve"> under Article 3 ECHR</w:t>
      </w:r>
      <w:r w:rsidR="00505C5F" w:rsidRPr="008A1592">
        <w:t xml:space="preserve">, subject to making the inquiry accessible to the family and the public, and considering the issues of timeliness and delay. To date, </w:t>
      </w:r>
      <w:r w:rsidR="00495B99">
        <w:t>11</w:t>
      </w:r>
      <w:r w:rsidR="00505C5F">
        <w:t xml:space="preserve"> quasi-inquests have been ordered</w:t>
      </w:r>
      <w:r w:rsidR="00505C5F" w:rsidRPr="008A1592">
        <w:t>, and guidelines have been issued by the Lord Chief Justice as to how those proceedings should be conducted.</w:t>
      </w:r>
      <w:r w:rsidR="000D5D88">
        <w:rPr>
          <w:rStyle w:val="FootnoteReference"/>
        </w:rPr>
        <w:footnoteReference w:id="123"/>
      </w:r>
      <w:r w:rsidR="00505C5F" w:rsidRPr="008A1592">
        <w:t xml:space="preserve"> Preparatory work on the first of these began towards the end of 2013. A retired High Court judge was appointed in January 2014 as Inspector to supervise the first two cases. </w:t>
      </w:r>
      <w:r w:rsidR="00505C5F">
        <w:t>There has been no news of progress since then.</w:t>
      </w:r>
      <w:r w:rsidR="00505C5F" w:rsidRPr="008A1592">
        <w:t xml:space="preserve"> </w:t>
      </w:r>
    </w:p>
    <w:p w:rsidR="00C20930" w:rsidRDefault="00364E33" w:rsidP="00876A17">
      <w:pPr>
        <w:pStyle w:val="Parabeforenewsubsection"/>
      </w:pPr>
      <w:r w:rsidRPr="003F78A7">
        <w:rPr>
          <w:b/>
        </w:rPr>
        <w:t>D</w:t>
      </w:r>
      <w:r w:rsidR="00153F66" w:rsidRPr="003F78A7">
        <w:rPr>
          <w:b/>
        </w:rPr>
        <w:t>.9.9</w:t>
      </w:r>
      <w:r w:rsidR="00153F66">
        <w:t xml:space="preserve"> </w:t>
      </w:r>
      <w:r w:rsidR="00505C5F">
        <w:t>T</w:t>
      </w:r>
      <w:r w:rsidR="00505C5F" w:rsidRPr="008A1592">
        <w:t>he Al-</w:t>
      </w:r>
      <w:proofErr w:type="spellStart"/>
      <w:r w:rsidR="00505C5F" w:rsidRPr="008A1592">
        <w:t>Sweady</w:t>
      </w:r>
      <w:proofErr w:type="spellEnd"/>
      <w:r w:rsidR="00505C5F" w:rsidRPr="008A1592">
        <w:t xml:space="preserve"> Public Inquiry was established to investigate allegations that British soldiers unlawfully killed and ill-treated Iraqi nationals detained at Camp Abu </w:t>
      </w:r>
      <w:proofErr w:type="spellStart"/>
      <w:r w:rsidR="00505C5F" w:rsidRPr="008A1592">
        <w:t>Naji</w:t>
      </w:r>
      <w:proofErr w:type="spellEnd"/>
      <w:r w:rsidR="00505C5F" w:rsidRPr="008A1592">
        <w:t xml:space="preserve"> and, subsequently, the divisional temporary detention facility at </w:t>
      </w:r>
      <w:proofErr w:type="spellStart"/>
      <w:r w:rsidR="00505C5F" w:rsidRPr="008A1592">
        <w:t>Shaibah</w:t>
      </w:r>
      <w:proofErr w:type="spellEnd"/>
      <w:r w:rsidR="00505C5F" w:rsidRPr="008A1592">
        <w:t xml:space="preserve"> Logistics Base, after the so-called Battle of Danny Boy. </w:t>
      </w:r>
      <w:r w:rsidR="00505C5F" w:rsidRPr="0069649A">
        <w:t xml:space="preserve">The Inquiry has now concluded. The Chairman published his Report which was laid before Parliament </w:t>
      </w:r>
      <w:r w:rsidR="003169C8">
        <w:t>in</w:t>
      </w:r>
      <w:r w:rsidR="00505C5F" w:rsidRPr="0069649A">
        <w:t xml:space="preserve"> December 2014.</w:t>
      </w:r>
      <w:r w:rsidR="00505C5F">
        <w:rPr>
          <w:rStyle w:val="FootnoteReference"/>
        </w:rPr>
        <w:footnoteReference w:id="124"/>
      </w:r>
      <w:r w:rsidR="00505C5F">
        <w:t xml:space="preserve"> The </w:t>
      </w:r>
      <w:r w:rsidR="00495B99">
        <w:t>I</w:t>
      </w:r>
      <w:r w:rsidR="00505C5F">
        <w:t xml:space="preserve">nquiry found </w:t>
      </w:r>
      <w:r w:rsidR="00505C5F" w:rsidRPr="0069649A">
        <w:t xml:space="preserve">that a number of prisoners were abused and that </w:t>
      </w:r>
      <w:r w:rsidR="003169C8">
        <w:t xml:space="preserve">British </w:t>
      </w:r>
      <w:r w:rsidR="003169C8" w:rsidRPr="0069649A">
        <w:t>soldiers were guilty of mistreating detainees, including depriving them of food and sleep and blindfolding them, in breach of international law</w:t>
      </w:r>
      <w:r w:rsidR="003169C8">
        <w:t xml:space="preserve">, </w:t>
      </w:r>
      <w:r w:rsidR="00BA410E">
        <w:t xml:space="preserve">including the </w:t>
      </w:r>
      <w:r w:rsidR="00BA410E">
        <w:lastRenderedPageBreak/>
        <w:t>Geneva Convention</w:t>
      </w:r>
      <w:r w:rsidR="003169C8" w:rsidRPr="0069649A">
        <w:t xml:space="preserve"> and Ministry of Defence rules</w:t>
      </w:r>
      <w:r w:rsidR="003169C8">
        <w:t xml:space="preserve">. However, the </w:t>
      </w:r>
      <w:r w:rsidR="00495B99">
        <w:t>I</w:t>
      </w:r>
      <w:r w:rsidR="003169C8">
        <w:t>nquiry found</w:t>
      </w:r>
      <w:r w:rsidR="00505C5F">
        <w:t xml:space="preserve"> that </w:t>
      </w:r>
      <w:r w:rsidR="00505C5F" w:rsidRPr="0069649A">
        <w:t>allegations</w:t>
      </w:r>
      <w:r w:rsidR="003169C8">
        <w:t xml:space="preserve"> of murder</w:t>
      </w:r>
      <w:r w:rsidR="00505C5F" w:rsidRPr="0069649A">
        <w:t xml:space="preserve"> were </w:t>
      </w:r>
      <w:r w:rsidR="00495B99">
        <w:t>‘</w:t>
      </w:r>
      <w:r w:rsidR="00505C5F" w:rsidRPr="0069649A">
        <w:t>wholly without foundation and entirely the product of deliberate lies, reckless speculation and ingrained hostility</w:t>
      </w:r>
      <w:r w:rsidR="00495B99">
        <w:t>’</w:t>
      </w:r>
      <w:r w:rsidR="000D5D88">
        <w:t>.</w:t>
      </w:r>
      <w:r w:rsidR="000D5D88">
        <w:rPr>
          <w:rStyle w:val="FootnoteReference"/>
        </w:rPr>
        <w:footnoteReference w:id="125"/>
      </w:r>
      <w:r w:rsidR="00505C5F">
        <w:t xml:space="preserve"> </w:t>
      </w:r>
    </w:p>
    <w:p w:rsidR="00505C5F" w:rsidRPr="00C20930" w:rsidRDefault="00505C5F" w:rsidP="002B6091">
      <w:pPr>
        <w:pStyle w:val="Heading-subsections"/>
        <w:numPr>
          <w:ilvl w:val="0"/>
          <w:numId w:val="14"/>
        </w:numPr>
      </w:pPr>
      <w:r w:rsidRPr="00C20930">
        <w:t>Use of Diplomatic Assurances</w:t>
      </w:r>
    </w:p>
    <w:p w:rsidR="00505C5F" w:rsidRPr="008A1592" w:rsidRDefault="00364E33" w:rsidP="00876A17">
      <w:pPr>
        <w:pStyle w:val="Parabeforenewsubsection"/>
      </w:pPr>
      <w:r w:rsidRPr="003F78A7">
        <w:rPr>
          <w:b/>
        </w:rPr>
        <w:t>D</w:t>
      </w:r>
      <w:r w:rsidR="00153F66" w:rsidRPr="003F78A7">
        <w:rPr>
          <w:b/>
        </w:rPr>
        <w:t>.9.10</w:t>
      </w:r>
      <w:r w:rsidR="00153F66">
        <w:t xml:space="preserve"> </w:t>
      </w:r>
      <w:r w:rsidR="00505C5F" w:rsidRPr="008A1592">
        <w:t xml:space="preserve">In November 2013, the Home Secretary asked the Independent Reviewer of Terrorism Legislation to review the policy of deportation with assurances (DWA). In its response to that review, the EHRC stressed the need to address the underlying merits of the policy of DWA. We also stressed the need to review the compatibility with the UK’s international obligations of the policy, in general, and the minimum requirements that all </w:t>
      </w:r>
      <w:r w:rsidR="00505C5F">
        <w:t>specific assurances should meet</w:t>
      </w:r>
      <w:r w:rsidR="00505C5F" w:rsidRPr="008A1592">
        <w:t>.</w:t>
      </w:r>
      <w:r w:rsidR="00505C5F" w:rsidRPr="008A1592">
        <w:rPr>
          <w:rStyle w:val="FootnoteReference"/>
        </w:rPr>
        <w:footnoteReference w:id="126"/>
      </w:r>
      <w:r w:rsidR="00505C5F">
        <w:t xml:space="preserve"> The Independent Reviewer's report has </w:t>
      </w:r>
      <w:r w:rsidR="003169C8">
        <w:t xml:space="preserve">still </w:t>
      </w:r>
      <w:r w:rsidR="00505C5F">
        <w:t>not been published.</w:t>
      </w:r>
    </w:p>
    <w:p w:rsidR="00505C5F" w:rsidRPr="008A1592" w:rsidRDefault="00505C5F" w:rsidP="00F262B6">
      <w:pPr>
        <w:pStyle w:val="Heading-subsections"/>
      </w:pPr>
      <w:r w:rsidRPr="008A1592">
        <w:t>Conclusion:</w:t>
      </w:r>
    </w:p>
    <w:p w:rsidR="00505C5F" w:rsidRPr="00876A17" w:rsidRDefault="00364E33" w:rsidP="00876A17">
      <w:pPr>
        <w:pStyle w:val="Parabeforebulletss"/>
        <w:rPr>
          <w:b/>
        </w:rPr>
      </w:pPr>
      <w:r>
        <w:rPr>
          <w:b/>
        </w:rPr>
        <w:t>D</w:t>
      </w:r>
      <w:r w:rsidR="00153F66">
        <w:rPr>
          <w:b/>
        </w:rPr>
        <w:t xml:space="preserve">.9.11 </w:t>
      </w:r>
      <w:r w:rsidR="00505C5F" w:rsidRPr="00876A17">
        <w:rPr>
          <w:b/>
        </w:rPr>
        <w:t xml:space="preserve">While the UK Government has accepted the credibility of a number of allegations of complicity of British military personnel, security and secret intelligence services in the ill-treatment of detainees overseas, its investigations into these allegations have not, to date, satisfied the investigative duty under </w:t>
      </w:r>
      <w:r w:rsidR="001F2427" w:rsidRPr="00876A17">
        <w:rPr>
          <w:b/>
        </w:rPr>
        <w:t>in relation to the rights to life and freedom from torture</w:t>
      </w:r>
      <w:r w:rsidR="00505C5F" w:rsidRPr="00876A17">
        <w:rPr>
          <w:b/>
        </w:rPr>
        <w:t>.</w:t>
      </w:r>
      <w:r w:rsidR="008C67B4">
        <w:rPr>
          <w:b/>
        </w:rPr>
        <w:t xml:space="preserve"> </w:t>
      </w:r>
      <w:r w:rsidR="00505C5F" w:rsidRPr="00876A17">
        <w:rPr>
          <w:b/>
        </w:rPr>
        <w:t xml:space="preserve">The UK Government </w:t>
      </w:r>
      <w:r w:rsidR="001F2427" w:rsidRPr="00876A17">
        <w:rPr>
          <w:b/>
        </w:rPr>
        <w:t xml:space="preserve">needs to take a number of steps to demonstrate </w:t>
      </w:r>
      <w:r w:rsidR="00505C5F" w:rsidRPr="00876A17">
        <w:rPr>
          <w:b/>
        </w:rPr>
        <w:t xml:space="preserve">compliance with </w:t>
      </w:r>
      <w:r w:rsidR="001F2427" w:rsidRPr="00876A17">
        <w:rPr>
          <w:b/>
        </w:rPr>
        <w:t>Articles 6 and 7 of ICCPR</w:t>
      </w:r>
      <w:r w:rsidR="00505C5F" w:rsidRPr="00876A17">
        <w:rPr>
          <w:b/>
        </w:rPr>
        <w:t>, including:</w:t>
      </w:r>
    </w:p>
    <w:p w:rsidR="00505C5F" w:rsidRPr="00876A17" w:rsidRDefault="00495B99" w:rsidP="00876A17">
      <w:pPr>
        <w:pStyle w:val="Bullet-followedbyothers"/>
        <w:rPr>
          <w:b/>
        </w:rPr>
      </w:pPr>
      <w:r w:rsidRPr="00876A17">
        <w:rPr>
          <w:b/>
        </w:rPr>
        <w:t xml:space="preserve">that </w:t>
      </w:r>
      <w:r w:rsidR="00505C5F" w:rsidRPr="00876A17">
        <w:rPr>
          <w:b/>
        </w:rPr>
        <w:t>a full, independent, judge-led inquiry should be carried out in place of the ISC’s investigation into the issues raised in the Detainee Inquiry Report</w:t>
      </w:r>
    </w:p>
    <w:p w:rsidR="00505C5F" w:rsidRPr="00876A17" w:rsidRDefault="00505C5F" w:rsidP="00876A17">
      <w:pPr>
        <w:pStyle w:val="Bullet-followedbyothers"/>
        <w:rPr>
          <w:b/>
        </w:rPr>
      </w:pPr>
      <w:r w:rsidRPr="00876A17">
        <w:rPr>
          <w:b/>
        </w:rPr>
        <w:t>further reform of the way the UK approaches its investigative duty under Articles 2 and 3 of the ECHR to avoid further unacceptable delays in the resolution of individual cases, and to ensure systemic issues are identified and lessons learnt</w:t>
      </w:r>
      <w:r w:rsidR="00495B99" w:rsidRPr="00876A17">
        <w:rPr>
          <w:b/>
        </w:rPr>
        <w:t>,</w:t>
      </w:r>
      <w:r w:rsidRPr="00876A17">
        <w:rPr>
          <w:b/>
        </w:rPr>
        <w:t xml:space="preserve"> and</w:t>
      </w:r>
    </w:p>
    <w:p w:rsidR="00505C5F" w:rsidRPr="00876A17" w:rsidRDefault="001F2427" w:rsidP="00876A17">
      <w:pPr>
        <w:pStyle w:val="Bullet-lastingroup"/>
        <w:rPr>
          <w:b/>
        </w:rPr>
      </w:pPr>
      <w:r w:rsidRPr="00876A17">
        <w:rPr>
          <w:b/>
        </w:rPr>
        <w:t xml:space="preserve">a review of </w:t>
      </w:r>
      <w:r w:rsidR="00505C5F" w:rsidRPr="00876A17">
        <w:rPr>
          <w:b/>
        </w:rPr>
        <w:t xml:space="preserve">the merits of the policy of </w:t>
      </w:r>
      <w:r w:rsidR="00C31480" w:rsidRPr="00876A17">
        <w:rPr>
          <w:b/>
        </w:rPr>
        <w:t>de</w:t>
      </w:r>
      <w:r w:rsidR="00DA0C6C" w:rsidRPr="00876A17">
        <w:rPr>
          <w:b/>
        </w:rPr>
        <w:t>portation with assurances (DWA)</w:t>
      </w:r>
      <w:r w:rsidR="00505C5F" w:rsidRPr="00876A17">
        <w:rPr>
          <w:b/>
        </w:rPr>
        <w:t xml:space="preserve">; where DWA is unavoidable, ensuring effective verification and post-return monitoring is a key element of any memorandum of understanding, preferably where both parties have ratified </w:t>
      </w:r>
      <w:r w:rsidR="00C31480" w:rsidRPr="00876A17">
        <w:rPr>
          <w:b/>
        </w:rPr>
        <w:t>the Optional Protocol on the Convention Against Torture</w:t>
      </w:r>
      <w:r w:rsidR="00505C5F" w:rsidRPr="00876A17">
        <w:rPr>
          <w:b/>
        </w:rPr>
        <w:t>; and laying each future agreement before</w:t>
      </w:r>
      <w:r w:rsidR="00C31480" w:rsidRPr="00876A17">
        <w:rPr>
          <w:b/>
        </w:rPr>
        <w:t xml:space="preserve"> the UK</w:t>
      </w:r>
      <w:r w:rsidR="00505C5F" w:rsidRPr="00876A17">
        <w:rPr>
          <w:b/>
        </w:rPr>
        <w:t xml:space="preserve"> Parliament</w:t>
      </w:r>
      <w:r w:rsidR="00C31480" w:rsidRPr="00876A17">
        <w:rPr>
          <w:b/>
        </w:rPr>
        <w:t>,</w:t>
      </w:r>
      <w:r w:rsidR="00505C5F" w:rsidRPr="00876A17">
        <w:rPr>
          <w:b/>
        </w:rPr>
        <w:t xml:space="preserve"> allowing Members sufficient time to raise concerns.</w:t>
      </w:r>
    </w:p>
    <w:p w:rsidR="00505C5F" w:rsidRPr="0097441D" w:rsidRDefault="00505C5F" w:rsidP="0097441D">
      <w:pPr>
        <w:pStyle w:val="Parabeforenewsection"/>
        <w:rPr>
          <w:b/>
        </w:rPr>
      </w:pPr>
      <w:r w:rsidRPr="0097441D">
        <w:rPr>
          <w:b/>
        </w:rPr>
        <w:lastRenderedPageBreak/>
        <w:t>Question A: When is the Independent Reviewer of Terrorism Legislation’s review of the UK Government’s policy of deportation with assurances going to report? What assurances can the UK Government provide that it will seriously consider and implement the Reviewer’s recommendations</w:t>
      </w:r>
      <w:r w:rsidR="00C31480" w:rsidRPr="0097441D">
        <w:rPr>
          <w:b/>
        </w:rPr>
        <w:t xml:space="preserve"> within a reasonable timeframe</w:t>
      </w:r>
      <w:r w:rsidRPr="0097441D">
        <w:rPr>
          <w:b/>
        </w:rPr>
        <w:t>?</w:t>
      </w:r>
    </w:p>
    <w:p w:rsidR="00505C5F" w:rsidRPr="00DE7E13" w:rsidRDefault="00505C5F" w:rsidP="002B6091">
      <w:pPr>
        <w:pStyle w:val="Heading-sections"/>
        <w:numPr>
          <w:ilvl w:val="0"/>
          <w:numId w:val="7"/>
        </w:numPr>
      </w:pPr>
      <w:bookmarkStart w:id="20" w:name="_Toc420603275"/>
      <w:r w:rsidRPr="00DE7E13">
        <w:t xml:space="preserve">Treatment of </w:t>
      </w:r>
      <w:r w:rsidR="00495B99">
        <w:t>d</w:t>
      </w:r>
      <w:r w:rsidRPr="00DE7E13">
        <w:t>etainees (Art</w:t>
      </w:r>
      <w:r w:rsidR="005E7E37" w:rsidRPr="00DE7E13">
        <w:t>icles 9, 10, 12 and 24), List of I</w:t>
      </w:r>
      <w:r w:rsidRPr="00DE7E13">
        <w:t>ssues paragraphs 22 and 27</w:t>
      </w:r>
      <w:bookmarkEnd w:id="20"/>
    </w:p>
    <w:p w:rsidR="00DA0C6C" w:rsidRPr="003A2FF0" w:rsidRDefault="00DA0C6C" w:rsidP="002B6091">
      <w:pPr>
        <w:pStyle w:val="Heading-subsections"/>
        <w:numPr>
          <w:ilvl w:val="0"/>
          <w:numId w:val="15"/>
        </w:numPr>
      </w:pPr>
      <w:r w:rsidRPr="00C20930">
        <w:t xml:space="preserve">Immigration </w:t>
      </w:r>
      <w:r w:rsidR="00495B99">
        <w:t>d</w:t>
      </w:r>
      <w:r w:rsidRPr="00C20930">
        <w:t>etention</w:t>
      </w:r>
      <w:r>
        <w:t xml:space="preserve">, </w:t>
      </w:r>
      <w:r w:rsidRPr="003A2FF0">
        <w:t>List of Issues paragraphs 22 and 27</w:t>
      </w:r>
    </w:p>
    <w:p w:rsidR="00DA0C6C" w:rsidRPr="00B5568F" w:rsidRDefault="00364E33" w:rsidP="0097441D">
      <w:pPr>
        <w:pStyle w:val="Parabeforenewsubsection"/>
      </w:pPr>
      <w:r w:rsidRPr="003F78A7">
        <w:rPr>
          <w:b/>
        </w:rPr>
        <w:t>D</w:t>
      </w:r>
      <w:r w:rsidR="00153F66" w:rsidRPr="003F78A7">
        <w:rPr>
          <w:b/>
        </w:rPr>
        <w:t>.10.1</w:t>
      </w:r>
      <w:r w:rsidR="00153F66">
        <w:t xml:space="preserve"> </w:t>
      </w:r>
      <w:r w:rsidR="00DA0C6C">
        <w:t>The EHRC is not convinced that detention is being used sparingly and for the shortest period possible,</w:t>
      </w:r>
      <w:r w:rsidR="00DA0C6C">
        <w:rPr>
          <w:rStyle w:val="FootnoteReference"/>
        </w:rPr>
        <w:footnoteReference w:id="127"/>
      </w:r>
      <w:r w:rsidR="00DA0C6C">
        <w:t xml:space="preserve"> in line with Article 9 of the ICCPR and Article 5 of the ECHR.</w:t>
      </w:r>
      <w:r w:rsidR="008C67B4">
        <w:t xml:space="preserve"> </w:t>
      </w:r>
      <w:r w:rsidR="00DA0C6C" w:rsidRPr="00B5568F">
        <w:t>In the last five years, the number of people entering immigration removal centres (IRCs) increased by 59.3 per cent</w:t>
      </w:r>
      <w:r w:rsidR="00DA0C6C">
        <w:t xml:space="preserve"> from 15,922 people in 2009 to 25,363 people 2014.</w:t>
      </w:r>
      <w:r w:rsidR="00DA0C6C">
        <w:rPr>
          <w:rStyle w:val="FootnoteReference"/>
        </w:rPr>
        <w:footnoteReference w:id="128"/>
      </w:r>
      <w:r w:rsidR="00DA0C6C">
        <w:t xml:space="preserve"> In 2014, 37 per cent of detainees had been held between 29 days to over two years.</w:t>
      </w:r>
      <w:r w:rsidR="00DA0C6C">
        <w:rPr>
          <w:rStyle w:val="FootnoteReference"/>
        </w:rPr>
        <w:footnoteReference w:id="129"/>
      </w:r>
      <w:r w:rsidR="00DA0C6C">
        <w:t xml:space="preserve"> We agree with the views of many people in the sector that there needs to be a presumption towards community-based resolutions rather than detention, and that the UK Government should learn from international best practice where alternatives to detention have been found to be an effective and more holistic solution.</w:t>
      </w:r>
      <w:r w:rsidR="00DA0C6C">
        <w:rPr>
          <w:rStyle w:val="FootnoteReference"/>
        </w:rPr>
        <w:footnoteReference w:id="130"/>
      </w:r>
    </w:p>
    <w:p w:rsidR="00DA0C6C" w:rsidRPr="00DC7840" w:rsidRDefault="00DA0C6C" w:rsidP="00B715F1">
      <w:pPr>
        <w:pStyle w:val="Heading2"/>
        <w:numPr>
          <w:ilvl w:val="0"/>
          <w:numId w:val="3"/>
        </w:numPr>
        <w:spacing w:before="0" w:after="0"/>
        <w:rPr>
          <w:rFonts w:cs="Arial"/>
          <w:i/>
          <w:sz w:val="24"/>
          <w:szCs w:val="24"/>
        </w:rPr>
      </w:pPr>
      <w:bookmarkStart w:id="21" w:name="_Toc420603276"/>
      <w:r w:rsidRPr="00DC7840">
        <w:rPr>
          <w:rFonts w:cs="Arial"/>
          <w:i/>
          <w:sz w:val="24"/>
          <w:szCs w:val="24"/>
        </w:rPr>
        <w:t xml:space="preserve">The Detained Fast Track </w:t>
      </w:r>
      <w:r w:rsidR="00495B99" w:rsidRPr="00DC7840">
        <w:rPr>
          <w:rFonts w:cs="Arial"/>
          <w:i/>
          <w:sz w:val="24"/>
          <w:szCs w:val="24"/>
        </w:rPr>
        <w:t>s</w:t>
      </w:r>
      <w:r w:rsidRPr="00DC7840">
        <w:rPr>
          <w:rFonts w:cs="Arial"/>
          <w:i/>
          <w:sz w:val="24"/>
          <w:szCs w:val="24"/>
        </w:rPr>
        <w:t>ystem</w:t>
      </w:r>
      <w:bookmarkEnd w:id="21"/>
    </w:p>
    <w:p w:rsidR="00DA0C6C" w:rsidRDefault="00364E33" w:rsidP="0097441D">
      <w:pPr>
        <w:pStyle w:val="Parabeforeanother"/>
      </w:pPr>
      <w:r w:rsidRPr="003F78A7">
        <w:rPr>
          <w:b/>
        </w:rPr>
        <w:t>D</w:t>
      </w:r>
      <w:r w:rsidR="00153F66" w:rsidRPr="003F78A7">
        <w:rPr>
          <w:b/>
        </w:rPr>
        <w:t>.10.2</w:t>
      </w:r>
      <w:r w:rsidR="00153F66">
        <w:t xml:space="preserve"> </w:t>
      </w:r>
      <w:r w:rsidR="00DA0C6C">
        <w:t xml:space="preserve">In our 2014 submission to the HRC, the EHRC reported that in July 2014 the High Court found significant flaws in the Detained Fast Track (DFT) system, in line with the findings of the UN High Commissioner for Refugees, and the Committee </w:t>
      </w:r>
      <w:proofErr w:type="gramStart"/>
      <w:r w:rsidR="00DA0C6C">
        <w:t>Against</w:t>
      </w:r>
      <w:proofErr w:type="gramEnd"/>
      <w:r w:rsidR="00DA0C6C">
        <w:t xml:space="preserve"> Torture.</w:t>
      </w:r>
      <w:r w:rsidR="00DA0C6C">
        <w:rPr>
          <w:rStyle w:val="FootnoteReference"/>
        </w:rPr>
        <w:footnoteReference w:id="131"/>
      </w:r>
      <w:r w:rsidR="00DA0C6C">
        <w:t xml:space="preserve"> The DFT is </w:t>
      </w:r>
      <w:r w:rsidR="00DA0C6C" w:rsidRPr="00CA31EA">
        <w:t xml:space="preserve">designed to detain asylum seekers in order to </w:t>
      </w:r>
      <w:r w:rsidR="00DA0C6C" w:rsidRPr="00CA31EA">
        <w:lastRenderedPageBreak/>
        <w:t>process their applications quickly.</w:t>
      </w:r>
      <w:r w:rsidR="008C67B4">
        <w:t xml:space="preserve"> </w:t>
      </w:r>
      <w:r w:rsidR="00DA0C6C" w:rsidRPr="00CA31EA">
        <w:t>However, the High Court’s judgment identified failings in the safeguards supposed to prevent unsuitable claims and vulnerable applicants from entering DFT and being released from it</w:t>
      </w:r>
      <w:r w:rsidR="00DA0C6C">
        <w:t>, specifically in the Screening and Rule 35 processes</w:t>
      </w:r>
      <w:r w:rsidR="00DA0C6C" w:rsidRPr="00CA31EA">
        <w:t xml:space="preserve">. </w:t>
      </w:r>
    </w:p>
    <w:p w:rsidR="00DA0C6C" w:rsidRDefault="00364E33" w:rsidP="0097441D">
      <w:pPr>
        <w:pStyle w:val="Parabeforeanother"/>
      </w:pPr>
      <w:r w:rsidRPr="003F78A7">
        <w:rPr>
          <w:b/>
        </w:rPr>
        <w:t>D</w:t>
      </w:r>
      <w:r w:rsidR="00153F66" w:rsidRPr="003F78A7">
        <w:rPr>
          <w:b/>
        </w:rPr>
        <w:t xml:space="preserve">.10.3 </w:t>
      </w:r>
      <w:r w:rsidR="00DA0C6C">
        <w:t>An individual who claims they are a torture survivor or have suffered other forms of serious ill-treatment</w:t>
      </w:r>
      <w:r w:rsidR="00D52542">
        <w:t>,</w:t>
      </w:r>
      <w:r w:rsidR="00DA0C6C">
        <w:t xml:space="preserve"> including human trafficking, can be released from DFT, or not put into it, if the Helen </w:t>
      </w:r>
      <w:proofErr w:type="spellStart"/>
      <w:r w:rsidR="00DA0C6C">
        <w:t>Bamber</w:t>
      </w:r>
      <w:proofErr w:type="spellEnd"/>
      <w:r w:rsidR="00DA0C6C">
        <w:t xml:space="preserve"> Foundation (HBF) or Freedom From Torture Foundation has assessed</w:t>
      </w:r>
      <w:r w:rsidR="008C67B4">
        <w:t xml:space="preserve"> </w:t>
      </w:r>
      <w:r w:rsidR="00DA0C6C">
        <w:t>there is prima facie evidence of torture or cruel</w:t>
      </w:r>
      <w:r w:rsidR="00D52542">
        <w:t>,</w:t>
      </w:r>
      <w:r w:rsidR="00DA0C6C">
        <w:t xml:space="preserve"> inhuman and degrading treatment or punishment. They give advice on suitability of retaining the claim within the DFT and whether the release of the individual is necessary for further clinical investigations. Under the Asylum Policy Instructions related to these organisations, release is automatic where a pre-assessment appointment is provided pre-decision.</w:t>
      </w:r>
      <w:r w:rsidR="00DA0C6C">
        <w:rPr>
          <w:rStyle w:val="FootnoteReference"/>
        </w:rPr>
        <w:footnoteReference w:id="132"/>
      </w:r>
      <w:r w:rsidR="00DA0C6C">
        <w:t xml:space="preserve"> </w:t>
      </w:r>
    </w:p>
    <w:p w:rsidR="00DA0C6C" w:rsidRDefault="00364E33" w:rsidP="0097441D">
      <w:pPr>
        <w:pStyle w:val="Parabeforeanother"/>
      </w:pPr>
      <w:r w:rsidRPr="003F78A7">
        <w:rPr>
          <w:b/>
        </w:rPr>
        <w:t>D</w:t>
      </w:r>
      <w:r w:rsidR="00153F66" w:rsidRPr="003F78A7">
        <w:rPr>
          <w:b/>
        </w:rPr>
        <w:t>.10.4</w:t>
      </w:r>
      <w:r w:rsidR="00153F66">
        <w:t xml:space="preserve"> </w:t>
      </w:r>
      <w:r w:rsidR="00DA0C6C">
        <w:t>The Foundations consider a range of written evidence and apply their expertise in order to determine whether an individual should be released, including the individual’s screening interview record, asylum interview record, and Rule 35 report</w:t>
      </w:r>
      <w:r w:rsidR="00DA0C6C">
        <w:rPr>
          <w:rStyle w:val="FootnoteReference"/>
        </w:rPr>
        <w:footnoteReference w:id="133"/>
      </w:r>
      <w:r w:rsidR="00DA0C6C">
        <w:t xml:space="preserve"> if available.</w:t>
      </w:r>
      <w:r w:rsidR="008C67B4">
        <w:t xml:space="preserve"> </w:t>
      </w:r>
    </w:p>
    <w:p w:rsidR="00DA0C6C" w:rsidRDefault="00364E33" w:rsidP="0097441D">
      <w:pPr>
        <w:pStyle w:val="Parabeforeanother"/>
      </w:pPr>
      <w:r w:rsidRPr="003F78A7">
        <w:rPr>
          <w:b/>
        </w:rPr>
        <w:t>D</w:t>
      </w:r>
      <w:r w:rsidR="00153F66" w:rsidRPr="003F78A7">
        <w:rPr>
          <w:b/>
        </w:rPr>
        <w:t>.10.5</w:t>
      </w:r>
      <w:r w:rsidR="00153F66">
        <w:t xml:space="preserve"> </w:t>
      </w:r>
      <w:r w:rsidR="00DA0C6C" w:rsidRPr="00AA2B77">
        <w:t>The purpose of Rule 35 is to ensure that particularly vulnerable detainees are brought to the attention of those with direct responsibility for authorising, maintaining and reviewing detention</w:t>
      </w:r>
      <w:r w:rsidR="00D52542">
        <w:t>.</w:t>
      </w:r>
      <w:r w:rsidR="00DA0C6C">
        <w:rPr>
          <w:rStyle w:val="FootnoteReference"/>
        </w:rPr>
        <w:footnoteReference w:id="134"/>
      </w:r>
      <w:r w:rsidR="00DA0C6C">
        <w:rPr>
          <w:rStyle w:val="apple-converted-space"/>
          <w:sz w:val="27"/>
          <w:szCs w:val="27"/>
        </w:rPr>
        <w:t> </w:t>
      </w:r>
      <w:r w:rsidR="00DA0C6C" w:rsidRPr="00CA31EA">
        <w:t xml:space="preserve">Detention Centre Rule 35 requires that </w:t>
      </w:r>
      <w:r w:rsidR="00DA0C6C">
        <w:t>medical practitioners</w:t>
      </w:r>
      <w:r w:rsidR="00DA0C6C" w:rsidRPr="00CA31EA">
        <w:t>, ‘report to the manager on the case of any detained person whose health is likely to be injuriously affected by continued detention or any conditions of detention’ and those 'for whom there are concerns that they may have been a victim of torture'</w:t>
      </w:r>
      <w:r w:rsidR="00D52542">
        <w:t>.</w:t>
      </w:r>
      <w:r w:rsidR="00DA0C6C" w:rsidRPr="00CA31EA">
        <w:rPr>
          <w:rStyle w:val="FootnoteReference"/>
        </w:rPr>
        <w:footnoteReference w:id="135"/>
      </w:r>
      <w:r w:rsidR="008C67B4">
        <w:t xml:space="preserve"> </w:t>
      </w:r>
    </w:p>
    <w:p w:rsidR="00DA0C6C" w:rsidRDefault="00364E33" w:rsidP="0097441D">
      <w:pPr>
        <w:pStyle w:val="Parabeforeanother"/>
      </w:pPr>
      <w:r w:rsidRPr="003F78A7">
        <w:rPr>
          <w:b/>
        </w:rPr>
        <w:t>D</w:t>
      </w:r>
      <w:r w:rsidR="00153F66" w:rsidRPr="003F78A7">
        <w:rPr>
          <w:b/>
        </w:rPr>
        <w:t xml:space="preserve">.10.6 </w:t>
      </w:r>
      <w:r w:rsidR="00DA0C6C" w:rsidRPr="00CA31EA">
        <w:t>Howev</w:t>
      </w:r>
      <w:r w:rsidR="00DA0C6C">
        <w:t xml:space="preserve">er, </w:t>
      </w:r>
      <w:r w:rsidR="00DA0C6C" w:rsidRPr="00CA31EA">
        <w:t xml:space="preserve">HBF </w:t>
      </w:r>
      <w:r w:rsidR="00DA0C6C">
        <w:t>has</w:t>
      </w:r>
      <w:r w:rsidR="00DA0C6C" w:rsidRPr="00CA31EA">
        <w:t xml:space="preserve"> identified continued </w:t>
      </w:r>
      <w:r w:rsidR="00DA0C6C">
        <w:t xml:space="preserve">systematic failures </w:t>
      </w:r>
      <w:r w:rsidR="00DA0C6C" w:rsidRPr="00CA31EA">
        <w:t xml:space="preserve">with </w:t>
      </w:r>
      <w:r w:rsidR="00DA0C6C">
        <w:t xml:space="preserve">the operation of this </w:t>
      </w:r>
      <w:r w:rsidR="00DA0C6C" w:rsidRPr="00CA31EA">
        <w:t>safeguard: 'We have not seen any material improvement in the effective operation of the Rule 35 processes.</w:t>
      </w:r>
      <w:r w:rsidR="008C67B4">
        <w:t xml:space="preserve"> </w:t>
      </w:r>
      <w:r w:rsidR="00DA0C6C" w:rsidRPr="00CA31EA">
        <w:t>Many</w:t>
      </w:r>
      <w:r w:rsidR="00DA0C6C">
        <w:t xml:space="preserve"> cases still have no Rule 35 report at all, and in a number of cases referred to HBF where there is a Rule 35 report, this has not secured release.'</w:t>
      </w:r>
    </w:p>
    <w:p w:rsidR="00DA0C6C" w:rsidRDefault="00364E33" w:rsidP="0097441D">
      <w:pPr>
        <w:pStyle w:val="Parabeforeanother"/>
      </w:pPr>
      <w:r w:rsidRPr="003F78A7">
        <w:rPr>
          <w:b/>
        </w:rPr>
        <w:lastRenderedPageBreak/>
        <w:t>D</w:t>
      </w:r>
      <w:r w:rsidR="00153F66" w:rsidRPr="003F78A7">
        <w:rPr>
          <w:b/>
        </w:rPr>
        <w:t>.10.7</w:t>
      </w:r>
      <w:r w:rsidR="00153F66">
        <w:t xml:space="preserve"> </w:t>
      </w:r>
      <w:r w:rsidR="00DA0C6C">
        <w:t>It is Home Office policy to remove an individual from the DFT who is accepted by the Foundations for a pre-assessment appointment.</w:t>
      </w:r>
      <w:r w:rsidR="00DA0C6C">
        <w:rPr>
          <w:rStyle w:val="FootnoteReference"/>
        </w:rPr>
        <w:footnoteReference w:id="136"/>
      </w:r>
      <w:r w:rsidR="00DA0C6C">
        <w:t xml:space="preserve"> However, HBF has faced serious capacity issues due to significant increases in the number of individuals being detained in the DFT in recent years and requests for assessment to determine suitability for continued detention in the DFT.</w:t>
      </w:r>
      <w:r w:rsidR="00DA0C6C">
        <w:rPr>
          <w:rStyle w:val="FootnoteReference"/>
        </w:rPr>
        <w:footnoteReference w:id="137"/>
      </w:r>
      <w:r w:rsidR="00DA0C6C">
        <w:t xml:space="preserve"> The numbers increased further after the High Court judgment when lawyers were given additional time to take instruction from their clients before interview and refusal.</w:t>
      </w:r>
      <w:r w:rsidR="00DA0C6C">
        <w:rPr>
          <w:rStyle w:val="FootnoteReference"/>
        </w:rPr>
        <w:footnoteReference w:id="138"/>
      </w:r>
      <w:r w:rsidR="00DA0C6C">
        <w:t xml:space="preserve"> </w:t>
      </w:r>
    </w:p>
    <w:p w:rsidR="00DA0C6C" w:rsidRDefault="00364E33" w:rsidP="0097441D">
      <w:pPr>
        <w:pStyle w:val="Parabeforeanother"/>
      </w:pPr>
      <w:r w:rsidRPr="003F78A7">
        <w:rPr>
          <w:b/>
        </w:rPr>
        <w:t>D</w:t>
      </w:r>
      <w:r w:rsidR="00153F66" w:rsidRPr="003F78A7">
        <w:rPr>
          <w:b/>
        </w:rPr>
        <w:t>.10.8</w:t>
      </w:r>
      <w:r w:rsidR="00153F66">
        <w:t xml:space="preserve"> </w:t>
      </w:r>
      <w:r w:rsidR="00DA0C6C">
        <w:t>HBF therefore proposed to the Home Office that it could continue to assess claims to ensure the appropriate release of individuals, but could no longer offer pre-assessment appointments</w:t>
      </w:r>
      <w:r w:rsidR="00DA0C6C" w:rsidRPr="00C7609B">
        <w:t xml:space="preserve"> </w:t>
      </w:r>
      <w:r w:rsidR="00DA0C6C">
        <w:t>because of the pressure on their service of the DFT referrals.</w:t>
      </w:r>
      <w:r w:rsidR="00DA0C6C">
        <w:rPr>
          <w:rStyle w:val="FootnoteReference"/>
        </w:rPr>
        <w:footnoteReference w:id="139"/>
      </w:r>
      <w:r w:rsidR="00DA0C6C">
        <w:t xml:space="preserve"> The Home Office did not accept this proposal to vary the concession on the basis that this approach does not conform to current policy, nor did it offer any alternative solution.</w:t>
      </w:r>
      <w:r w:rsidR="008C67B4">
        <w:t xml:space="preserve"> </w:t>
      </w:r>
      <w:r w:rsidR="00DA0C6C">
        <w:t>This resulted in individuals not being released from detention, despite evidence indicating that they are unsuitable for DFT from HBF. The only difference at this stage being a pre-assessment date was not offered.</w:t>
      </w:r>
      <w:r w:rsidR="00DA0C6C">
        <w:rPr>
          <w:rStyle w:val="FootnoteReference"/>
        </w:rPr>
        <w:footnoteReference w:id="140"/>
      </w:r>
      <w:r w:rsidR="008C67B4">
        <w:t xml:space="preserve"> </w:t>
      </w:r>
      <w:r w:rsidR="00DA0C6C">
        <w:t>On 23 March 2015, the High Court granted interim relief, which enables people identified as possible torture survivors or other victims of serious ill-treatment by HBF or Freedom from Torture to be released without a pre-assessment appointment.</w:t>
      </w:r>
      <w:r w:rsidR="00DA0C6C">
        <w:rPr>
          <w:rStyle w:val="FootnoteReference"/>
        </w:rPr>
        <w:footnoteReference w:id="141"/>
      </w:r>
      <w:r w:rsidR="008C67B4">
        <w:t xml:space="preserve"> </w:t>
      </w:r>
    </w:p>
    <w:p w:rsidR="00DA0C6C" w:rsidRDefault="00364E33" w:rsidP="0097441D">
      <w:pPr>
        <w:pStyle w:val="Parabeforeanother"/>
      </w:pPr>
      <w:r w:rsidRPr="003F78A7">
        <w:rPr>
          <w:b/>
        </w:rPr>
        <w:t>D</w:t>
      </w:r>
      <w:r w:rsidR="00153F66" w:rsidRPr="003F78A7">
        <w:rPr>
          <w:b/>
        </w:rPr>
        <w:t>.10.9</w:t>
      </w:r>
      <w:r w:rsidR="00153F66">
        <w:t xml:space="preserve"> </w:t>
      </w:r>
      <w:r w:rsidR="00DA0C6C">
        <w:t>The EHRC concurs with the views of the All Party Parliamentary Groups (APPG) inquiry report on immigration detention: ‘We are concerned that within the Detained Fast Track the focus is on detention rather than on making quick high quality decisions. Additionally, the failures of the Screening and Rule 35 processes, and the inherent stressful environment of being detained, are not conducive to allowing asylum seekers the support they are entitled to and are counter-productive to high-quality decision making.’</w:t>
      </w:r>
      <w:r w:rsidR="00DA0C6C">
        <w:rPr>
          <w:rStyle w:val="FootnoteReference"/>
        </w:rPr>
        <w:footnoteReference w:id="142"/>
      </w:r>
    </w:p>
    <w:p w:rsidR="00DA0C6C" w:rsidRDefault="00364E33" w:rsidP="0097441D">
      <w:pPr>
        <w:pStyle w:val="Parabeforenewsubsection"/>
      </w:pPr>
      <w:r w:rsidRPr="003F78A7">
        <w:rPr>
          <w:b/>
        </w:rPr>
        <w:t>D</w:t>
      </w:r>
      <w:r w:rsidR="00153F66" w:rsidRPr="003F78A7">
        <w:rPr>
          <w:b/>
        </w:rPr>
        <w:t>.10.10</w:t>
      </w:r>
      <w:r w:rsidR="00153F66">
        <w:t xml:space="preserve"> </w:t>
      </w:r>
      <w:r w:rsidR="00DA0C6C">
        <w:t xml:space="preserve">Separately, in December 2014, the Court of Appeal ruled that it is unlawful to detain asylum seekers in the DFT system whilst their appeals are being processed </w:t>
      </w:r>
      <w:r w:rsidR="00DA0C6C">
        <w:lastRenderedPageBreak/>
        <w:t>and when they pose no risk of absconding.</w:t>
      </w:r>
      <w:r w:rsidR="00DA0C6C">
        <w:rPr>
          <w:rStyle w:val="FootnoteReference"/>
        </w:rPr>
        <w:footnoteReference w:id="143"/>
      </w:r>
      <w:r w:rsidR="00DA0C6C">
        <w:t xml:space="preserve"> The Court ruled that the policy on detaining asylum seekers pending their appeal was not sufficiently clear and transparent. There was also insufficient evidence to justify the interference with someone's right to liberty.</w:t>
      </w:r>
      <w:r w:rsidR="00DA0C6C">
        <w:rPr>
          <w:rStyle w:val="FootnoteReference"/>
        </w:rPr>
        <w:footnoteReference w:id="144"/>
      </w:r>
    </w:p>
    <w:p w:rsidR="00DA0C6C" w:rsidRPr="00DC7840" w:rsidRDefault="00DA0C6C" w:rsidP="00B715F1">
      <w:pPr>
        <w:pStyle w:val="ListParagraph"/>
        <w:numPr>
          <w:ilvl w:val="0"/>
          <w:numId w:val="3"/>
        </w:numPr>
        <w:spacing w:after="0"/>
        <w:rPr>
          <w:rFonts w:cs="Arial"/>
          <w:b/>
          <w:i/>
          <w:sz w:val="24"/>
          <w:szCs w:val="24"/>
        </w:rPr>
      </w:pPr>
      <w:r w:rsidRPr="00DC7840">
        <w:rPr>
          <w:rFonts w:cs="Arial"/>
          <w:b/>
          <w:i/>
          <w:sz w:val="24"/>
          <w:szCs w:val="24"/>
        </w:rPr>
        <w:t xml:space="preserve">Lengthy </w:t>
      </w:r>
      <w:r w:rsidR="00D52542" w:rsidRPr="00DC7840">
        <w:rPr>
          <w:rFonts w:cs="Arial"/>
          <w:b/>
          <w:i/>
          <w:sz w:val="24"/>
          <w:szCs w:val="24"/>
        </w:rPr>
        <w:t>i</w:t>
      </w:r>
      <w:r w:rsidRPr="00DC7840">
        <w:rPr>
          <w:rFonts w:cs="Arial"/>
          <w:b/>
          <w:i/>
          <w:sz w:val="24"/>
          <w:szCs w:val="24"/>
        </w:rPr>
        <w:t xml:space="preserve">mmigration </w:t>
      </w:r>
      <w:r w:rsidR="00D52542" w:rsidRPr="00DC7840">
        <w:rPr>
          <w:rFonts w:cs="Arial"/>
          <w:b/>
          <w:i/>
          <w:sz w:val="24"/>
          <w:szCs w:val="24"/>
        </w:rPr>
        <w:t>d</w:t>
      </w:r>
      <w:r w:rsidRPr="00DC7840">
        <w:rPr>
          <w:rFonts w:cs="Arial"/>
          <w:b/>
          <w:i/>
          <w:sz w:val="24"/>
          <w:szCs w:val="24"/>
        </w:rPr>
        <w:t xml:space="preserve">etention </w:t>
      </w:r>
    </w:p>
    <w:p w:rsidR="00DA0C6C" w:rsidRDefault="00364E33" w:rsidP="0097441D">
      <w:pPr>
        <w:pStyle w:val="Parabeforeanother"/>
      </w:pPr>
      <w:r w:rsidRPr="003F78A7">
        <w:rPr>
          <w:b/>
        </w:rPr>
        <w:t>D</w:t>
      </w:r>
      <w:r w:rsidR="00153F66" w:rsidRPr="003F78A7">
        <w:rPr>
          <w:b/>
        </w:rPr>
        <w:t>.10.11</w:t>
      </w:r>
      <w:r w:rsidR="00153F66">
        <w:t xml:space="preserve"> </w:t>
      </w:r>
      <w:r w:rsidR="00DA0C6C">
        <w:t>The EHRC maintains that the use of long-term immigration detention, particularly for individuals without any realistic prospect of removal, may be incompatible with Article 9 of the ICCPR and Article 5 (right to liberty and security) of the ECHR.</w:t>
      </w:r>
      <w:r w:rsidR="00DA0C6C">
        <w:rPr>
          <w:rStyle w:val="FootnoteReference"/>
        </w:rPr>
        <w:footnoteReference w:id="145"/>
      </w:r>
    </w:p>
    <w:p w:rsidR="00DA0C6C" w:rsidRDefault="00364E33" w:rsidP="0097441D">
      <w:pPr>
        <w:pStyle w:val="Parabeforenewsubsection"/>
      </w:pPr>
      <w:r w:rsidRPr="003F78A7">
        <w:rPr>
          <w:b/>
        </w:rPr>
        <w:t>D</w:t>
      </w:r>
      <w:r w:rsidR="00153F66" w:rsidRPr="003F78A7">
        <w:rPr>
          <w:b/>
        </w:rPr>
        <w:t>.10.12</w:t>
      </w:r>
      <w:r w:rsidR="00153F66">
        <w:t xml:space="preserve"> </w:t>
      </w:r>
      <w:r w:rsidR="00DA0C6C">
        <w:t>Contrary to the UNHCR Detention Guidelines,</w:t>
      </w:r>
      <w:r w:rsidR="00DA0C6C">
        <w:rPr>
          <w:rStyle w:val="FootnoteReference"/>
        </w:rPr>
        <w:footnoteReference w:id="146"/>
      </w:r>
      <w:r w:rsidR="00DA0C6C">
        <w:t xml:space="preserve"> the UK has set no time limit to immigration detention and it has opted out of the EU Returns Directive, which sets a maximum time limit of 18 months.</w:t>
      </w:r>
      <w:r w:rsidR="00DA0C6C">
        <w:rPr>
          <w:rStyle w:val="FootnoteReference"/>
        </w:rPr>
        <w:footnoteReference w:id="147"/>
      </w:r>
      <w:r w:rsidR="00DA0C6C">
        <w:t xml:space="preserve"> The UK is the only EU country not to have signed up to this Directive, with the exception of Ireland, which has set its own time limit of 21 days.</w:t>
      </w:r>
      <w:r w:rsidR="00DA0C6C">
        <w:rPr>
          <w:rStyle w:val="FootnoteReference"/>
        </w:rPr>
        <w:footnoteReference w:id="148"/>
      </w:r>
      <w:r w:rsidR="00DA0C6C">
        <w:t xml:space="preserve"> During the year ending September 2014, 144 people had been in immigration detention between one and two years and 30 people for two years or longer.</w:t>
      </w:r>
      <w:r w:rsidR="00DA0C6C">
        <w:rPr>
          <w:rStyle w:val="FootnoteReference"/>
        </w:rPr>
        <w:footnoteReference w:id="149"/>
      </w:r>
      <w:r w:rsidR="00DA0C6C">
        <w:t xml:space="preserve"> The Home Office does not collect data on the length of time immigration detainees are held in prison.</w:t>
      </w:r>
      <w:r w:rsidR="008C67B4">
        <w:t xml:space="preserve"> </w:t>
      </w:r>
      <w:r w:rsidR="00DA0C6C">
        <w:rPr>
          <w:lang w:eastAsia="en-GB"/>
        </w:rPr>
        <w:t>Deprivation of liberty for extended periods can have a significant impact on the mental and physical health of those detained in the immigration system, many of whom live with the uncertainty of not knowing if they are about to be deported or released.</w:t>
      </w:r>
      <w:r w:rsidR="00DA0C6C">
        <w:rPr>
          <w:rStyle w:val="FootnoteReference"/>
          <w:lang w:eastAsia="en-GB"/>
        </w:rPr>
        <w:footnoteReference w:id="150"/>
      </w:r>
      <w:r w:rsidR="00DA0C6C">
        <w:t xml:space="preserve"> We agree with the recommendations from the APPGs’ inquiry report on immigration detention that the maximum time limit </w:t>
      </w:r>
      <w:r w:rsidR="00DA0C6C">
        <w:lastRenderedPageBreak/>
        <w:t>should be set at 28 days in statute; and that there needs to be a robust system to review the decision to detain an individual early in the period of detention.</w:t>
      </w:r>
      <w:r w:rsidR="00DA0C6C">
        <w:rPr>
          <w:rStyle w:val="FootnoteReference"/>
        </w:rPr>
        <w:footnoteReference w:id="151"/>
      </w:r>
      <w:r w:rsidR="00DA0C6C">
        <w:t xml:space="preserve"> </w:t>
      </w:r>
    </w:p>
    <w:p w:rsidR="00DA0C6C" w:rsidRPr="00DC7840" w:rsidRDefault="00DA0C6C" w:rsidP="00B715F1">
      <w:pPr>
        <w:pStyle w:val="NormalWeb"/>
        <w:numPr>
          <w:ilvl w:val="0"/>
          <w:numId w:val="3"/>
        </w:numPr>
        <w:spacing w:before="0" w:beforeAutospacing="0" w:after="0" w:afterAutospacing="0"/>
        <w:rPr>
          <w:rFonts w:ascii="Arial" w:hAnsi="Arial" w:cs="Arial"/>
          <w:b/>
          <w:i/>
        </w:rPr>
      </w:pPr>
      <w:r w:rsidRPr="00DC7840">
        <w:rPr>
          <w:rFonts w:ascii="Arial" w:hAnsi="Arial" w:cs="Arial"/>
          <w:b/>
          <w:i/>
        </w:rPr>
        <w:t xml:space="preserve">Immigration </w:t>
      </w:r>
      <w:r w:rsidR="00D52542" w:rsidRPr="00DC7840">
        <w:rPr>
          <w:rFonts w:ascii="Arial" w:hAnsi="Arial" w:cs="Arial"/>
          <w:b/>
          <w:i/>
        </w:rPr>
        <w:t>d</w:t>
      </w:r>
      <w:r w:rsidRPr="00DC7840">
        <w:rPr>
          <w:rFonts w:ascii="Arial" w:hAnsi="Arial" w:cs="Arial"/>
          <w:b/>
          <w:i/>
        </w:rPr>
        <w:t xml:space="preserve">etention of </w:t>
      </w:r>
      <w:r w:rsidR="00D52542" w:rsidRPr="00DC7840">
        <w:rPr>
          <w:rFonts w:ascii="Arial" w:hAnsi="Arial" w:cs="Arial"/>
          <w:b/>
          <w:i/>
        </w:rPr>
        <w:t>p</w:t>
      </w:r>
      <w:r w:rsidRPr="00DC7840">
        <w:rPr>
          <w:rFonts w:ascii="Arial" w:hAnsi="Arial" w:cs="Arial"/>
          <w:b/>
          <w:i/>
        </w:rPr>
        <w:t xml:space="preserve">eople with </w:t>
      </w:r>
      <w:r w:rsidR="00D52542" w:rsidRPr="00DC7840">
        <w:rPr>
          <w:rFonts w:ascii="Arial" w:hAnsi="Arial" w:cs="Arial"/>
          <w:b/>
          <w:i/>
        </w:rPr>
        <w:t>s</w:t>
      </w:r>
      <w:r w:rsidRPr="00DC7840">
        <w:rPr>
          <w:rFonts w:ascii="Arial" w:hAnsi="Arial" w:cs="Arial"/>
          <w:b/>
          <w:i/>
        </w:rPr>
        <w:t xml:space="preserve">erious </w:t>
      </w:r>
      <w:r w:rsidR="00D52542" w:rsidRPr="00DC7840">
        <w:rPr>
          <w:rFonts w:ascii="Arial" w:hAnsi="Arial" w:cs="Arial"/>
          <w:b/>
          <w:i/>
        </w:rPr>
        <w:t>m</w:t>
      </w:r>
      <w:r w:rsidRPr="00DC7840">
        <w:rPr>
          <w:rFonts w:ascii="Arial" w:hAnsi="Arial" w:cs="Arial"/>
          <w:b/>
          <w:i/>
        </w:rPr>
        <w:t xml:space="preserve">edical </w:t>
      </w:r>
      <w:r w:rsidR="00D52542" w:rsidRPr="00DC7840">
        <w:rPr>
          <w:rFonts w:ascii="Arial" w:hAnsi="Arial" w:cs="Arial"/>
          <w:b/>
          <w:i/>
        </w:rPr>
        <w:t>c</w:t>
      </w:r>
      <w:r w:rsidRPr="00DC7840">
        <w:rPr>
          <w:rFonts w:ascii="Arial" w:hAnsi="Arial" w:cs="Arial"/>
          <w:b/>
          <w:i/>
        </w:rPr>
        <w:t xml:space="preserve">onditions or </w:t>
      </w:r>
      <w:r w:rsidR="00D52542" w:rsidRPr="00DC7840">
        <w:rPr>
          <w:rFonts w:ascii="Arial" w:hAnsi="Arial" w:cs="Arial"/>
          <w:b/>
          <w:i/>
        </w:rPr>
        <w:t>m</w:t>
      </w:r>
      <w:r w:rsidRPr="00DC7840">
        <w:rPr>
          <w:rFonts w:ascii="Arial" w:hAnsi="Arial" w:cs="Arial"/>
          <w:b/>
          <w:i/>
        </w:rPr>
        <w:t xml:space="preserve">ental </w:t>
      </w:r>
      <w:r w:rsidR="00D52542" w:rsidRPr="00DC7840">
        <w:rPr>
          <w:rFonts w:ascii="Arial" w:hAnsi="Arial" w:cs="Arial"/>
          <w:b/>
          <w:i/>
        </w:rPr>
        <w:t>i</w:t>
      </w:r>
      <w:r w:rsidRPr="00DC7840">
        <w:rPr>
          <w:rFonts w:ascii="Arial" w:hAnsi="Arial" w:cs="Arial"/>
          <w:b/>
          <w:i/>
        </w:rPr>
        <w:t>llness</w:t>
      </w:r>
    </w:p>
    <w:p w:rsidR="00DA0C6C" w:rsidRDefault="00364E33" w:rsidP="0097441D">
      <w:pPr>
        <w:pStyle w:val="Parabeforeanother"/>
      </w:pPr>
      <w:r w:rsidRPr="003F78A7">
        <w:rPr>
          <w:b/>
        </w:rPr>
        <w:t>D</w:t>
      </w:r>
      <w:r w:rsidR="00153F66" w:rsidRPr="003F78A7">
        <w:rPr>
          <w:b/>
        </w:rPr>
        <w:t xml:space="preserve">.10.13 </w:t>
      </w:r>
      <w:r w:rsidR="00DA0C6C">
        <w:t>The EHRC welcomes the increased number of releases of particularly vulnerable individuals from IRCs but notes there are still failings that prevent the most vulnerable from being properly assessed and released.</w:t>
      </w:r>
      <w:r w:rsidR="00DA0C6C">
        <w:rPr>
          <w:vertAlign w:val="superscript"/>
        </w:rPr>
        <w:footnoteReference w:id="152"/>
      </w:r>
      <w:r w:rsidR="00DA0C6C">
        <w:t xml:space="preserve"> The APPG inquiry report into immigration detention identified serious problems for detainees in accessing timely and quality mental health care. It concluded that it is not possible to treat mental health conditions in IRCs and that those with mental health conditions should only be detained under exceptional circumstances.</w:t>
      </w:r>
      <w:r w:rsidR="00DA0C6C">
        <w:rPr>
          <w:rStyle w:val="FootnoteReference"/>
        </w:rPr>
        <w:footnoteReference w:id="153"/>
      </w:r>
    </w:p>
    <w:p w:rsidR="00DA0C6C" w:rsidRDefault="00364E33" w:rsidP="0097441D">
      <w:pPr>
        <w:pStyle w:val="Parabeforenewsubsection"/>
      </w:pPr>
      <w:r w:rsidRPr="003F78A7">
        <w:rPr>
          <w:b/>
        </w:rPr>
        <w:t>D</w:t>
      </w:r>
      <w:r w:rsidR="00153F66" w:rsidRPr="003F78A7">
        <w:rPr>
          <w:b/>
        </w:rPr>
        <w:t xml:space="preserve">.10.14 </w:t>
      </w:r>
      <w:r w:rsidR="00DA0C6C">
        <w:t>The EHRC notes the Home Office's review of mental health issues in IRCs and welcomes that it has accepted (or partially accepted) all the recommendations made to it to improve the care and wellbeing of those detained.</w:t>
      </w:r>
      <w:r w:rsidR="00DA0C6C">
        <w:rPr>
          <w:vertAlign w:val="superscript"/>
        </w:rPr>
        <w:footnoteReference w:id="154"/>
      </w:r>
      <w:r w:rsidR="008C67B4">
        <w:t xml:space="preserve"> </w:t>
      </w:r>
      <w:r w:rsidR="00DA0C6C">
        <w:t xml:space="preserve">The Home Secretary has also announced a broader independent review of policies and procedures affecting the welfare of those held </w:t>
      </w:r>
      <w:proofErr w:type="spellStart"/>
      <w:r w:rsidR="00DA0C6C">
        <w:t>in</w:t>
      </w:r>
      <w:r w:rsidR="00D52542">
        <w:t>IRCs</w:t>
      </w:r>
      <w:proofErr w:type="spellEnd"/>
      <w:r w:rsidR="00DA0C6C">
        <w:t>.</w:t>
      </w:r>
      <w:r w:rsidR="00DA0C6C">
        <w:rPr>
          <w:vertAlign w:val="superscript"/>
        </w:rPr>
        <w:footnoteReference w:id="155"/>
      </w:r>
      <w:r w:rsidR="00DA0C6C">
        <w:t xml:space="preserve"> However, we are disappointed that the terms of reference for this review only consider the welfare of those held in detained settings and do not examine the Screening or Rule 35 processes which determine whether detention is appropriate for each individual. Considering that the High Court Ruling underlined that the DFT screening process was ineffective at identifying people who should not be detained,</w:t>
      </w:r>
      <w:r w:rsidR="00DA0C6C">
        <w:rPr>
          <w:rStyle w:val="FootnoteReference"/>
        </w:rPr>
        <w:footnoteReference w:id="156"/>
      </w:r>
      <w:r w:rsidR="00DA0C6C">
        <w:t xml:space="preserve"> we consider it essential that any review into the welfare of vulnerable detainees must examine the screening process that puts vulnerable people into detention in the first place.</w:t>
      </w:r>
      <w:r w:rsidR="008C67B4">
        <w:t xml:space="preserve"> </w:t>
      </w:r>
      <w:r w:rsidR="00DA0C6C">
        <w:t>An examination of the concept of 'independent evidence of torture' should also be conducted as part of a review of the Rule 35 process as a whole.</w:t>
      </w:r>
      <w:r w:rsidR="008C67B4">
        <w:t xml:space="preserve">  </w:t>
      </w:r>
    </w:p>
    <w:p w:rsidR="00DA0C6C" w:rsidRPr="00DC7840" w:rsidRDefault="00DA0C6C" w:rsidP="00B715F1">
      <w:pPr>
        <w:pStyle w:val="ListParagraph"/>
        <w:numPr>
          <w:ilvl w:val="0"/>
          <w:numId w:val="3"/>
        </w:numPr>
        <w:spacing w:after="0"/>
        <w:rPr>
          <w:rFonts w:cs="Arial"/>
          <w:b/>
          <w:i/>
          <w:sz w:val="24"/>
          <w:szCs w:val="24"/>
        </w:rPr>
      </w:pPr>
      <w:r w:rsidRPr="00DC7840">
        <w:rPr>
          <w:rFonts w:cs="Arial"/>
          <w:b/>
          <w:i/>
          <w:sz w:val="24"/>
          <w:szCs w:val="24"/>
        </w:rPr>
        <w:lastRenderedPageBreak/>
        <w:t>Unnatural deaths in immigration detention</w:t>
      </w:r>
    </w:p>
    <w:p w:rsidR="00DA0C6C" w:rsidRDefault="00364E33" w:rsidP="0097441D">
      <w:pPr>
        <w:pStyle w:val="Parabeforeanother"/>
      </w:pPr>
      <w:r w:rsidRPr="003F78A7">
        <w:rPr>
          <w:b/>
        </w:rPr>
        <w:t>D</w:t>
      </w:r>
      <w:r w:rsidR="00153F66" w:rsidRPr="003F78A7">
        <w:rPr>
          <w:b/>
        </w:rPr>
        <w:t>.10.15</w:t>
      </w:r>
      <w:r w:rsidR="00153F66">
        <w:t xml:space="preserve"> </w:t>
      </w:r>
      <w:r w:rsidR="00DA0C6C">
        <w:t xml:space="preserve">In our July 2014 submission to the HRC, we reported on the death of Jimmy </w:t>
      </w:r>
      <w:proofErr w:type="spellStart"/>
      <w:r w:rsidR="00DA0C6C">
        <w:t>Mubenga</w:t>
      </w:r>
      <w:proofErr w:type="spellEnd"/>
      <w:r w:rsidR="00DA0C6C">
        <w:t>, who had been unlawfully killed whilst being forcibly removed on an</w:t>
      </w:r>
      <w:r w:rsidR="00DA0C6C" w:rsidRPr="008B2CB8">
        <w:t xml:space="preserve"> aeroplane to Angola, under the escort of three Detention and Custody Officers (DCO) employed by private contractor G4 Security (G4S).</w:t>
      </w:r>
    </w:p>
    <w:p w:rsidR="00DA0C6C" w:rsidRDefault="00364E33" w:rsidP="0097441D">
      <w:pPr>
        <w:pStyle w:val="Parabeforeanother"/>
      </w:pPr>
      <w:r w:rsidRPr="003F78A7">
        <w:rPr>
          <w:b/>
        </w:rPr>
        <w:t>D</w:t>
      </w:r>
      <w:r w:rsidR="00153F66" w:rsidRPr="003F78A7">
        <w:rPr>
          <w:b/>
        </w:rPr>
        <w:t>.10.16</w:t>
      </w:r>
      <w:r w:rsidR="00153F66">
        <w:t xml:space="preserve"> </w:t>
      </w:r>
      <w:r w:rsidR="00DA0C6C">
        <w:t xml:space="preserve">In December 2014, the three DCOs who restrained Mr </w:t>
      </w:r>
      <w:proofErr w:type="spellStart"/>
      <w:r w:rsidR="00DA0C6C">
        <w:t>Mubenga</w:t>
      </w:r>
      <w:proofErr w:type="spellEnd"/>
      <w:r w:rsidR="00DA0C6C">
        <w:t xml:space="preserve"> were cleared of manslaughter.</w:t>
      </w:r>
      <w:r w:rsidR="00DA0C6C">
        <w:rPr>
          <w:rStyle w:val="FootnoteReference"/>
        </w:rPr>
        <w:footnoteReference w:id="157"/>
      </w:r>
    </w:p>
    <w:p w:rsidR="00DA0C6C" w:rsidRDefault="00364E33" w:rsidP="0097441D">
      <w:pPr>
        <w:pStyle w:val="Parabeforenewsubsection"/>
      </w:pPr>
      <w:r w:rsidRPr="003F78A7">
        <w:rPr>
          <w:b/>
        </w:rPr>
        <w:t>D</w:t>
      </w:r>
      <w:r w:rsidR="00153F66" w:rsidRPr="003F78A7">
        <w:rPr>
          <w:b/>
        </w:rPr>
        <w:t>.10.17</w:t>
      </w:r>
      <w:r w:rsidR="00153F66">
        <w:t xml:space="preserve"> </w:t>
      </w:r>
      <w:r w:rsidR="00DA0C6C" w:rsidRPr="009568C7">
        <w:t xml:space="preserve">We </w:t>
      </w:r>
      <w:r w:rsidR="00DA0C6C">
        <w:t>note</w:t>
      </w:r>
      <w:r w:rsidR="00DA0C6C" w:rsidRPr="009568C7">
        <w:t xml:space="preserve"> the UK Government’s assurances that all staff have been trained in the new system of restraint for managing people safely during immigration removals and that there</w:t>
      </w:r>
      <w:r w:rsidR="00044CCE">
        <w:t xml:space="preserve"> is</w:t>
      </w:r>
      <w:r w:rsidR="00DA0C6C" w:rsidRPr="009568C7">
        <w:t xml:space="preserve"> a monitoring system in place which gathers information from techniques, point of journey the incident took place, duration of restraint as well as injuries.</w:t>
      </w:r>
      <w:r w:rsidR="00DA0C6C">
        <w:rPr>
          <w:rStyle w:val="FootnoteReference"/>
        </w:rPr>
        <w:footnoteReference w:id="158"/>
      </w:r>
      <w:r w:rsidR="008C67B4">
        <w:t xml:space="preserve"> </w:t>
      </w:r>
    </w:p>
    <w:p w:rsidR="00DA0C6C" w:rsidRPr="000F32EC" w:rsidRDefault="00DA0C6C" w:rsidP="00B715F1">
      <w:pPr>
        <w:pStyle w:val="ListParagraph"/>
        <w:numPr>
          <w:ilvl w:val="0"/>
          <w:numId w:val="3"/>
        </w:numPr>
        <w:spacing w:after="0"/>
        <w:rPr>
          <w:rFonts w:cs="Arial"/>
          <w:b/>
          <w:sz w:val="24"/>
          <w:szCs w:val="24"/>
        </w:rPr>
      </w:pPr>
      <w:r w:rsidRPr="00DC7840">
        <w:rPr>
          <w:rFonts w:cs="Arial"/>
          <w:b/>
          <w:i/>
          <w:sz w:val="24"/>
          <w:szCs w:val="24"/>
        </w:rPr>
        <w:t>Immigration detention of women</w:t>
      </w:r>
      <w:r>
        <w:rPr>
          <w:rFonts w:cs="Arial"/>
          <w:b/>
          <w:sz w:val="24"/>
          <w:szCs w:val="24"/>
        </w:rPr>
        <w:t xml:space="preserve"> </w:t>
      </w:r>
    </w:p>
    <w:p w:rsidR="00DA0C6C" w:rsidRDefault="00364E33" w:rsidP="0097441D">
      <w:pPr>
        <w:pStyle w:val="Parabeforeanother"/>
      </w:pPr>
      <w:r w:rsidRPr="003F78A7">
        <w:rPr>
          <w:b/>
        </w:rPr>
        <w:t>D</w:t>
      </w:r>
      <w:r w:rsidR="00153F66" w:rsidRPr="003F78A7">
        <w:rPr>
          <w:b/>
        </w:rPr>
        <w:t xml:space="preserve">.10.18 </w:t>
      </w:r>
      <w:r w:rsidR="00DA0C6C">
        <w:t>327 women were detained in immigration removal centres in the last quarter of 2014.</w:t>
      </w:r>
      <w:r w:rsidR="00DA0C6C">
        <w:rPr>
          <w:rStyle w:val="FootnoteReference"/>
        </w:rPr>
        <w:footnoteReference w:id="159"/>
      </w:r>
    </w:p>
    <w:p w:rsidR="00DA0C6C" w:rsidRDefault="00364E33" w:rsidP="0097441D">
      <w:pPr>
        <w:pStyle w:val="Parabeforeanother"/>
      </w:pPr>
      <w:r w:rsidRPr="003F78A7">
        <w:rPr>
          <w:b/>
        </w:rPr>
        <w:t>D</w:t>
      </w:r>
      <w:r w:rsidR="00153F66" w:rsidRPr="003F78A7">
        <w:rPr>
          <w:b/>
        </w:rPr>
        <w:t>.10.19</w:t>
      </w:r>
      <w:r w:rsidR="00153F66">
        <w:t xml:space="preserve"> </w:t>
      </w:r>
      <w:r w:rsidR="00DA0C6C">
        <w:t>The recent APPG inquiry report into immigration detention highlighted a number of issues particular to detaining women.</w:t>
      </w:r>
      <w:r w:rsidR="00DA0C6C">
        <w:rPr>
          <w:rStyle w:val="FootnoteReference"/>
        </w:rPr>
        <w:footnoteReference w:id="160"/>
      </w:r>
      <w:r w:rsidR="00DA0C6C">
        <w:t xml:space="preserve"> Evidence provided to the inquiry indicates that the vast majority of women in immigration detention centres have been victims of gender-related persecution in their home countries.</w:t>
      </w:r>
      <w:r w:rsidR="008C67B4">
        <w:t xml:space="preserve"> </w:t>
      </w:r>
      <w:r w:rsidR="00DA0C6C">
        <w:t xml:space="preserve">However, survivors of sexual violence are not explicitly included in the categories of people who are not suitable for detention as set out in the Home Office’s </w:t>
      </w:r>
      <w:r w:rsidR="00DA0C6C" w:rsidRPr="00A42A86">
        <w:t>Enforcement Instructions and Guidance</w:t>
      </w:r>
      <w:r w:rsidR="00DA0C6C">
        <w:t>.</w:t>
      </w:r>
      <w:r w:rsidR="00DA0C6C">
        <w:rPr>
          <w:rStyle w:val="FootnoteReference"/>
        </w:rPr>
        <w:footnoteReference w:id="161"/>
      </w:r>
      <w:r w:rsidR="008C67B4">
        <w:t xml:space="preserve"> </w:t>
      </w:r>
      <w:r w:rsidR="00DA0C6C">
        <w:t>This is contrary to guidelines from the UNHCR</w:t>
      </w:r>
      <w:r w:rsidR="00DA0C6C">
        <w:rPr>
          <w:rStyle w:val="FootnoteReference"/>
        </w:rPr>
        <w:footnoteReference w:id="162"/>
      </w:r>
      <w:r w:rsidR="00DA0C6C">
        <w:t xml:space="preserve"> and Istanbul Convention.</w:t>
      </w:r>
      <w:r w:rsidR="00DA0C6C">
        <w:rPr>
          <w:rStyle w:val="FootnoteReference"/>
        </w:rPr>
        <w:footnoteReference w:id="163"/>
      </w:r>
    </w:p>
    <w:p w:rsidR="00DA0C6C" w:rsidRPr="00954D5B" w:rsidRDefault="00364E33" w:rsidP="0097441D">
      <w:pPr>
        <w:pStyle w:val="Parabeforeanother"/>
        <w:rPr>
          <w:color w:val="1D1D1B"/>
          <w:lang w:eastAsia="en-GB"/>
        </w:rPr>
      </w:pPr>
      <w:r w:rsidRPr="003F78A7">
        <w:rPr>
          <w:b/>
        </w:rPr>
        <w:lastRenderedPageBreak/>
        <w:t>D</w:t>
      </w:r>
      <w:r w:rsidR="00153F66" w:rsidRPr="003F78A7">
        <w:rPr>
          <w:b/>
        </w:rPr>
        <w:t>.10.20</w:t>
      </w:r>
      <w:r w:rsidR="00153F66">
        <w:t xml:space="preserve"> </w:t>
      </w:r>
      <w:proofErr w:type="spellStart"/>
      <w:r w:rsidR="00DA0C6C" w:rsidRPr="00954D5B">
        <w:t>Yarl’s</w:t>
      </w:r>
      <w:proofErr w:type="spellEnd"/>
      <w:r w:rsidR="00DA0C6C" w:rsidRPr="00954D5B">
        <w:t xml:space="preserve"> Wood, an </w:t>
      </w:r>
      <w:r w:rsidR="00DA0C6C">
        <w:t xml:space="preserve">IRC </w:t>
      </w:r>
      <w:r w:rsidR="00DA0C6C" w:rsidRPr="00954D5B">
        <w:t>for women, has faced a series of allegations of sexual ab</w:t>
      </w:r>
      <w:r w:rsidR="00DA0C6C">
        <w:t>use by staff against detainees.</w:t>
      </w:r>
      <w:r w:rsidR="00DA0C6C" w:rsidRPr="00954D5B">
        <w:t xml:space="preserve"> Following an </w:t>
      </w:r>
      <w:r w:rsidR="00DA0C6C" w:rsidRPr="00954D5B">
        <w:rPr>
          <w:color w:val="000000"/>
        </w:rPr>
        <w:t xml:space="preserve">investigation by the Home Office’s professional standards unit, </w:t>
      </w:r>
      <w:r w:rsidR="00DA0C6C" w:rsidRPr="00954D5B">
        <w:t xml:space="preserve">two staff </w:t>
      </w:r>
      <w:proofErr w:type="gramStart"/>
      <w:r w:rsidR="00DA0C6C" w:rsidRPr="00954D5B">
        <w:t>were</w:t>
      </w:r>
      <w:proofErr w:type="gramEnd"/>
      <w:r w:rsidR="00DA0C6C" w:rsidRPr="00954D5B">
        <w:t xml:space="preserve"> dismissed for sexual relations with a detainee.</w:t>
      </w:r>
      <w:r w:rsidR="00DA0C6C" w:rsidRPr="00954D5B">
        <w:rPr>
          <w:rStyle w:val="FootnoteReference"/>
        </w:rPr>
        <w:footnoteReference w:id="164"/>
      </w:r>
      <w:r w:rsidR="008C67B4">
        <w:t xml:space="preserve"> </w:t>
      </w:r>
      <w:r w:rsidR="00DA0C6C" w:rsidRPr="00954D5B">
        <w:t>In June 2014,</w:t>
      </w:r>
      <w:r w:rsidR="00DA0C6C" w:rsidRPr="00954D5B">
        <w:rPr>
          <w:color w:val="1D1D1B"/>
          <w:lang w:eastAsia="en-GB"/>
        </w:rPr>
        <w:t xml:space="preserve"> the management of </w:t>
      </w:r>
      <w:proofErr w:type="spellStart"/>
      <w:r w:rsidR="00DA0C6C" w:rsidRPr="00954D5B">
        <w:rPr>
          <w:color w:val="1D1D1B"/>
          <w:lang w:eastAsia="en-GB"/>
        </w:rPr>
        <w:t>Yarl’s</w:t>
      </w:r>
      <w:proofErr w:type="spellEnd"/>
      <w:r w:rsidR="00DA0C6C" w:rsidRPr="00954D5B">
        <w:rPr>
          <w:color w:val="1D1D1B"/>
          <w:lang w:eastAsia="en-GB"/>
        </w:rPr>
        <w:t xml:space="preserve"> Wood </w:t>
      </w:r>
      <w:r w:rsidR="00DA0C6C">
        <w:rPr>
          <w:color w:val="1D1D1B"/>
          <w:lang w:eastAsia="en-GB"/>
        </w:rPr>
        <w:t xml:space="preserve">told Women for Refugee Women </w:t>
      </w:r>
      <w:r w:rsidR="00DA0C6C" w:rsidRPr="00954D5B">
        <w:rPr>
          <w:color w:val="1D1D1B"/>
          <w:lang w:eastAsia="en-GB"/>
        </w:rPr>
        <w:t>that 31 allegations of sexual contact had been investigated and 10 staff had been dismissed.</w:t>
      </w:r>
      <w:r w:rsidR="00DA0C6C" w:rsidRPr="00954D5B">
        <w:rPr>
          <w:rStyle w:val="FootnoteReference"/>
          <w:color w:val="1D1D1B"/>
          <w:lang w:eastAsia="en-GB"/>
        </w:rPr>
        <w:footnoteReference w:id="165"/>
      </w:r>
    </w:p>
    <w:p w:rsidR="00DA0C6C" w:rsidRDefault="00364E33" w:rsidP="0097441D">
      <w:pPr>
        <w:pStyle w:val="Parabeforeanother"/>
      </w:pPr>
      <w:r w:rsidRPr="003F78A7">
        <w:rPr>
          <w:b/>
        </w:rPr>
        <w:t>D</w:t>
      </w:r>
      <w:r w:rsidR="00153F66" w:rsidRPr="003F78A7">
        <w:rPr>
          <w:b/>
        </w:rPr>
        <w:t>.10.21</w:t>
      </w:r>
      <w:r w:rsidR="00153F66">
        <w:t xml:space="preserve"> </w:t>
      </w:r>
      <w:r w:rsidR="00DA0C6C" w:rsidRPr="00954D5B">
        <w:t>The Prisons Inspectorate interviewed 50 women confidentially but found no evidence of systemic sexual abuse or victimisation.</w:t>
      </w:r>
      <w:r w:rsidR="00DA0C6C" w:rsidRPr="00954D5B">
        <w:rPr>
          <w:rStyle w:val="FootnoteReference"/>
        </w:rPr>
        <w:footnoteReference w:id="166"/>
      </w:r>
      <w:r w:rsidR="008C67B4">
        <w:t xml:space="preserve"> </w:t>
      </w:r>
      <w:r w:rsidR="00DA0C6C">
        <w:t>Both the Inspectorate and the APPG inquiry report into immigration detention found unacceptable insensitive behaviour by male staff, for example, entering the rooms of women without knocking while the women are undressed.</w:t>
      </w:r>
      <w:r w:rsidR="00DA0C6C">
        <w:rPr>
          <w:rStyle w:val="FootnoteReference"/>
        </w:rPr>
        <w:footnoteReference w:id="167"/>
      </w:r>
      <w:r w:rsidR="008C67B4">
        <w:t xml:space="preserve"> </w:t>
      </w:r>
      <w:r w:rsidR="00DA0C6C">
        <w:t>For many women who had suffered abuse or trauma, this was very distressing.</w:t>
      </w:r>
      <w:r w:rsidR="00DA0C6C">
        <w:rPr>
          <w:rStyle w:val="FootnoteReference"/>
        </w:rPr>
        <w:footnoteReference w:id="168"/>
      </w:r>
      <w:r w:rsidR="008C67B4">
        <w:t xml:space="preserve"> </w:t>
      </w:r>
      <w:proofErr w:type="spellStart"/>
      <w:r w:rsidR="00DA0C6C">
        <w:t>Yarl’s</w:t>
      </w:r>
      <w:proofErr w:type="spellEnd"/>
      <w:r w:rsidR="00DA0C6C">
        <w:t xml:space="preserve"> Wood has begun to respond to the Prisons Inspectorate’s recommendation to increase the number of female staff working in the IRC.</w:t>
      </w:r>
      <w:r w:rsidR="00DA0C6C">
        <w:rPr>
          <w:rStyle w:val="FootnoteReference"/>
        </w:rPr>
        <w:footnoteReference w:id="169"/>
      </w:r>
    </w:p>
    <w:p w:rsidR="00DA0C6C" w:rsidRDefault="00364E33" w:rsidP="0097441D">
      <w:pPr>
        <w:pStyle w:val="Parabeforeanother"/>
      </w:pPr>
      <w:r w:rsidRPr="003F78A7">
        <w:rPr>
          <w:b/>
        </w:rPr>
        <w:t>D</w:t>
      </w:r>
      <w:r w:rsidR="00153F66" w:rsidRPr="003F78A7">
        <w:rPr>
          <w:b/>
        </w:rPr>
        <w:t>.10.22</w:t>
      </w:r>
      <w:r w:rsidR="00153F66">
        <w:t xml:space="preserve"> </w:t>
      </w:r>
      <w:r w:rsidR="00DA0C6C">
        <w:t xml:space="preserve">In March 2015, Channel 4 News broadcasted an undercover documentary on </w:t>
      </w:r>
      <w:proofErr w:type="spellStart"/>
      <w:r w:rsidR="00DA0C6C">
        <w:t>Yarl’s</w:t>
      </w:r>
      <w:proofErr w:type="spellEnd"/>
      <w:r w:rsidR="00DA0C6C">
        <w:t xml:space="preserve"> Wood identifying staff racism, the high numbers of self-harm and a lack of decency and care for detained women.</w:t>
      </w:r>
      <w:r w:rsidR="00DA0C6C">
        <w:rPr>
          <w:rStyle w:val="FootnoteReference"/>
        </w:rPr>
        <w:footnoteReference w:id="170"/>
      </w:r>
      <w:r w:rsidR="00DA0C6C">
        <w:t xml:space="preserve"> It also highlighted the circumstances around the miscarriage of pregnant women. Home Office policy states that pregnant women must not be detained apart from in two exceptional circumstances.</w:t>
      </w:r>
      <w:r w:rsidR="00DA0C6C">
        <w:rPr>
          <w:rStyle w:val="FootnoteReference"/>
        </w:rPr>
        <w:footnoteReference w:id="171"/>
      </w:r>
      <w:r w:rsidR="00DA0C6C">
        <w:t xml:space="preserve"> However, the Prisons Inspectorate has reported that pregnant women are being </w:t>
      </w:r>
      <w:r w:rsidR="00DA0C6C">
        <w:lastRenderedPageBreak/>
        <w:t>detained outside of these circumstances.</w:t>
      </w:r>
      <w:r w:rsidR="00DA0C6C">
        <w:rPr>
          <w:rStyle w:val="FootnoteReference"/>
        </w:rPr>
        <w:footnoteReference w:id="172"/>
      </w:r>
      <w:r w:rsidR="00DA0C6C">
        <w:t xml:space="preserve"> The Home Office do not collect data on the number of pregnant women in detention.</w:t>
      </w:r>
      <w:r w:rsidR="00DA0C6C">
        <w:rPr>
          <w:rStyle w:val="FootnoteReference"/>
        </w:rPr>
        <w:footnoteReference w:id="173"/>
      </w:r>
    </w:p>
    <w:p w:rsidR="00DA0C6C" w:rsidRDefault="00364E33" w:rsidP="0097441D">
      <w:pPr>
        <w:pStyle w:val="Parabeforenewsubsection"/>
      </w:pPr>
      <w:r w:rsidRPr="003F78A7">
        <w:rPr>
          <w:b/>
        </w:rPr>
        <w:t>D</w:t>
      </w:r>
      <w:r w:rsidR="00153F66" w:rsidRPr="003F78A7">
        <w:rPr>
          <w:b/>
        </w:rPr>
        <w:t>.10.23</w:t>
      </w:r>
      <w:r w:rsidR="00153F66">
        <w:t xml:space="preserve"> </w:t>
      </w:r>
      <w:r w:rsidR="00DA0C6C">
        <w:t xml:space="preserve">Since the documentary, </w:t>
      </w:r>
      <w:proofErr w:type="spellStart"/>
      <w:r w:rsidR="00DA0C6C">
        <w:t>Secro</w:t>
      </w:r>
      <w:proofErr w:type="spellEnd"/>
      <w:r w:rsidR="00DA0C6C">
        <w:t xml:space="preserve"> has suspended one member of staff</w:t>
      </w:r>
      <w:r w:rsidR="00DA0C6C">
        <w:rPr>
          <w:rStyle w:val="FootnoteReference"/>
        </w:rPr>
        <w:footnoteReference w:id="174"/>
      </w:r>
      <w:r w:rsidR="00DA0C6C">
        <w:t xml:space="preserve"> and has appointed a barrister to conduct an independent review of </w:t>
      </w:r>
      <w:proofErr w:type="spellStart"/>
      <w:r w:rsidR="00DA0C6C">
        <w:t>Yarl’s</w:t>
      </w:r>
      <w:proofErr w:type="spellEnd"/>
      <w:r w:rsidR="00DA0C6C">
        <w:t xml:space="preserve"> Wood.</w:t>
      </w:r>
      <w:r w:rsidR="00DA0C6C">
        <w:rPr>
          <w:rStyle w:val="FootnoteReference"/>
        </w:rPr>
        <w:footnoteReference w:id="175"/>
      </w:r>
    </w:p>
    <w:p w:rsidR="00DA0C6C" w:rsidRPr="00DC7840" w:rsidRDefault="00DA0C6C" w:rsidP="00035238">
      <w:pPr>
        <w:spacing w:after="0"/>
        <w:ind w:left="720"/>
        <w:rPr>
          <w:rFonts w:cs="Arial"/>
          <w:b/>
          <w:i/>
          <w:sz w:val="24"/>
          <w:szCs w:val="24"/>
        </w:rPr>
      </w:pPr>
      <w:r w:rsidRPr="00DC7840">
        <w:rPr>
          <w:rFonts w:cs="Arial"/>
          <w:b/>
          <w:i/>
          <w:sz w:val="24"/>
          <w:szCs w:val="24"/>
        </w:rPr>
        <w:t>vi. Immigration detention of children</w:t>
      </w:r>
    </w:p>
    <w:p w:rsidR="00DA0C6C" w:rsidRDefault="00364E33" w:rsidP="0097441D">
      <w:pPr>
        <w:pStyle w:val="Parabeforeanother"/>
      </w:pPr>
      <w:r w:rsidRPr="003F78A7">
        <w:rPr>
          <w:b/>
        </w:rPr>
        <w:t>D</w:t>
      </w:r>
      <w:r w:rsidR="00153F66" w:rsidRPr="003F78A7">
        <w:rPr>
          <w:b/>
        </w:rPr>
        <w:t>.10.24</w:t>
      </w:r>
      <w:r w:rsidR="00153F66">
        <w:t xml:space="preserve"> </w:t>
      </w:r>
      <w:r w:rsidR="00DA0C6C">
        <w:t>In our July 2014 submission to the Human Rights Council, we noted that the UK Government had changed its policy on immigration detention for children and their families who were being removed from the UK.</w:t>
      </w:r>
      <w:r w:rsidR="00DA0C6C">
        <w:rPr>
          <w:rStyle w:val="FootnoteReference"/>
        </w:rPr>
        <w:footnoteReference w:id="176"/>
      </w:r>
    </w:p>
    <w:p w:rsidR="00DA0C6C" w:rsidRPr="0094271B" w:rsidRDefault="00364E33" w:rsidP="0097441D">
      <w:pPr>
        <w:pStyle w:val="Parabeforeanother"/>
      </w:pPr>
      <w:r w:rsidRPr="003F78A7">
        <w:rPr>
          <w:b/>
        </w:rPr>
        <w:t>D</w:t>
      </w:r>
      <w:r w:rsidR="00153F66" w:rsidRPr="003F78A7">
        <w:rPr>
          <w:b/>
        </w:rPr>
        <w:t>.10.25</w:t>
      </w:r>
      <w:r w:rsidR="00153F66">
        <w:t xml:space="preserve"> </w:t>
      </w:r>
      <w:r w:rsidR="00DA0C6C" w:rsidRPr="00461251">
        <w:t xml:space="preserve">Families who do not </w:t>
      </w:r>
      <w:r w:rsidR="00DA0C6C">
        <w:t xml:space="preserve">voluntarily leave the UK </w:t>
      </w:r>
      <w:r w:rsidR="00DA0C6C" w:rsidRPr="00461251">
        <w:t xml:space="preserve">may be held for up to a week in secure </w:t>
      </w:r>
      <w:r w:rsidR="00044CCE">
        <w:t>‘</w:t>
      </w:r>
      <w:r w:rsidR="00DA0C6C" w:rsidRPr="00461251">
        <w:t>pre-departure acc</w:t>
      </w:r>
      <w:r w:rsidR="00DA0C6C">
        <w:t>ommodation</w:t>
      </w:r>
      <w:r w:rsidR="00044CCE">
        <w:t>’</w:t>
      </w:r>
      <w:r w:rsidR="00DA0C6C">
        <w:t>,</w:t>
      </w:r>
      <w:r w:rsidR="00044CCE">
        <w:t xml:space="preserve"> </w:t>
      </w:r>
      <w:r w:rsidR="00DA0C6C">
        <w:t xml:space="preserve">called Cedars, as a </w:t>
      </w:r>
      <w:r w:rsidR="00044CCE">
        <w:t>‘</w:t>
      </w:r>
      <w:r w:rsidR="00DA0C6C">
        <w:t>last resort</w:t>
      </w:r>
      <w:r w:rsidR="00044CCE">
        <w:t>’</w:t>
      </w:r>
      <w:r w:rsidR="00DA0C6C">
        <w:t>.</w:t>
      </w:r>
      <w:r w:rsidR="00DA0C6C">
        <w:rPr>
          <w:rStyle w:val="FootnoteReference"/>
        </w:rPr>
        <w:footnoteReference w:id="177"/>
      </w:r>
      <w:r w:rsidR="00DA0C6C">
        <w:t xml:space="preserve"> </w:t>
      </w:r>
      <w:r w:rsidR="00DA0C6C" w:rsidRPr="00461251">
        <w:t>Over the past three full years since Cedars opened</w:t>
      </w:r>
      <w:r w:rsidR="00DA0C6C">
        <w:t>,</w:t>
      </w:r>
      <w:r w:rsidR="00DA0C6C" w:rsidRPr="00461251">
        <w:t xml:space="preserve"> there has been a decrease in the number of children and families held there: 121 children </w:t>
      </w:r>
      <w:r w:rsidR="00DA0C6C">
        <w:t xml:space="preserve">in 2012, reducing to </w:t>
      </w:r>
      <w:r w:rsidR="00DA0C6C" w:rsidRPr="00461251">
        <w:t>32 in 2014.</w:t>
      </w:r>
      <w:r w:rsidR="00DA0C6C" w:rsidRPr="00461251">
        <w:rPr>
          <w:rStyle w:val="FootnoteReference"/>
        </w:rPr>
        <w:footnoteReference w:id="178"/>
      </w:r>
      <w:r w:rsidR="00DA0C6C">
        <w:t xml:space="preserve"> The children's charity, </w:t>
      </w:r>
      <w:proofErr w:type="spellStart"/>
      <w:r w:rsidR="00DA0C6C" w:rsidRPr="00461251">
        <w:t>Barnardo's</w:t>
      </w:r>
      <w:proofErr w:type="spellEnd"/>
      <w:r w:rsidR="00DA0C6C">
        <w:t>,</w:t>
      </w:r>
      <w:r w:rsidR="00DA0C6C" w:rsidRPr="00461251">
        <w:t xml:space="preserve"> provides the welfare and support services </w:t>
      </w:r>
      <w:r w:rsidR="00DA0C6C">
        <w:t xml:space="preserve">and the facility </w:t>
      </w:r>
      <w:r w:rsidR="00DA0C6C" w:rsidRPr="00461251">
        <w:t xml:space="preserve">has been regarded as a significant improvement to </w:t>
      </w:r>
      <w:r w:rsidR="00DA0C6C">
        <w:t xml:space="preserve">holding children at </w:t>
      </w:r>
      <w:proofErr w:type="spellStart"/>
      <w:r w:rsidR="00DA0C6C" w:rsidRPr="00461251">
        <w:t>Yarl’s</w:t>
      </w:r>
      <w:proofErr w:type="spellEnd"/>
      <w:r w:rsidR="00DA0C6C" w:rsidRPr="00461251">
        <w:t xml:space="preserve"> Wood</w:t>
      </w:r>
      <w:r w:rsidR="00DA0C6C">
        <w:t xml:space="preserve"> IRC</w:t>
      </w:r>
      <w:r w:rsidR="00DA0C6C" w:rsidRPr="00461251">
        <w:t>.</w:t>
      </w:r>
      <w:r w:rsidR="00DA0C6C" w:rsidRPr="00461251">
        <w:rPr>
          <w:rStyle w:val="FootnoteReference"/>
        </w:rPr>
        <w:footnoteReference w:id="179"/>
      </w:r>
      <w:r w:rsidR="00DA0C6C" w:rsidRPr="00461251">
        <w:t xml:space="preserve"> In March 2015, </w:t>
      </w:r>
      <w:proofErr w:type="spellStart"/>
      <w:r w:rsidR="00DA0C6C" w:rsidRPr="00461251">
        <w:t>Barnardo’s</w:t>
      </w:r>
      <w:proofErr w:type="spellEnd"/>
      <w:r w:rsidR="00DA0C6C" w:rsidRPr="00461251">
        <w:t xml:space="preserve"> made seven recommendations for an incoming government in order to improve the pre-departure process, including that physical intervention should not be used with children or pregnant women except to prevent harm to self or others; and children should never </w:t>
      </w:r>
      <w:r w:rsidR="00DA0C6C" w:rsidRPr="00461251">
        <w:lastRenderedPageBreak/>
        <w:t>be separated from their parents for the purposes of immigration control, but only if there is a safeguarding or welfare concern.</w:t>
      </w:r>
      <w:r w:rsidR="00DA0C6C" w:rsidRPr="00461251">
        <w:rPr>
          <w:rStyle w:val="FootnoteReference"/>
        </w:rPr>
        <w:footnoteReference w:id="180"/>
      </w:r>
      <w:r w:rsidR="00DA0C6C" w:rsidRPr="00461251">
        <w:t xml:space="preserve"> </w:t>
      </w:r>
    </w:p>
    <w:p w:rsidR="00DA0C6C" w:rsidRPr="00461251" w:rsidRDefault="00364E33" w:rsidP="0097441D">
      <w:pPr>
        <w:pStyle w:val="Parabeforeanother"/>
      </w:pPr>
      <w:r w:rsidRPr="003F78A7">
        <w:rPr>
          <w:b/>
        </w:rPr>
        <w:t>D</w:t>
      </w:r>
      <w:r w:rsidR="00153F66" w:rsidRPr="003F78A7">
        <w:rPr>
          <w:b/>
        </w:rPr>
        <w:t>.10.26</w:t>
      </w:r>
      <w:r w:rsidR="00153F66">
        <w:t xml:space="preserve"> </w:t>
      </w:r>
      <w:r w:rsidR="00DA0C6C" w:rsidRPr="00461251">
        <w:t>The UK Government did not commit to ending detention of children in short</w:t>
      </w:r>
      <w:r w:rsidR="00044CCE">
        <w:t>-</w:t>
      </w:r>
      <w:r w:rsidR="00DA0C6C" w:rsidRPr="00461251">
        <w:t xml:space="preserve">term holding facilities (STHF) at UK points of entry. In 2010, the Home Office stated that such short detention would only affect a </w:t>
      </w:r>
      <w:r w:rsidR="00044CCE">
        <w:t>‘</w:t>
      </w:r>
      <w:r w:rsidR="00DA0C6C" w:rsidRPr="00461251">
        <w:t>few dozen families each year, usually for less than 24 hours</w:t>
      </w:r>
      <w:r w:rsidR="00044CCE">
        <w:t>’</w:t>
      </w:r>
      <w:r w:rsidR="00DA0C6C" w:rsidRPr="00461251">
        <w:t>.</w:t>
      </w:r>
      <w:r w:rsidR="00DA0C6C" w:rsidRPr="00461251">
        <w:rPr>
          <w:rStyle w:val="FootnoteReference"/>
        </w:rPr>
        <w:footnoteReference w:id="181"/>
      </w:r>
      <w:r w:rsidR="008C67B4">
        <w:t xml:space="preserve"> </w:t>
      </w:r>
      <w:r w:rsidR="00DA0C6C" w:rsidRPr="00461251">
        <w:t xml:space="preserve">However, </w:t>
      </w:r>
      <w:r w:rsidR="00DA0C6C">
        <w:t>m</w:t>
      </w:r>
      <w:r w:rsidR="00DA0C6C" w:rsidRPr="00461251">
        <w:t xml:space="preserve">anagement information figures provided in answer to a Freedom of Information request showed that 610 children were held in at English </w:t>
      </w:r>
      <w:r w:rsidR="00DA0C6C">
        <w:t xml:space="preserve">ports between April </w:t>
      </w:r>
      <w:r w:rsidR="00044CCE">
        <w:t>and</w:t>
      </w:r>
      <w:r w:rsidR="00DA0C6C">
        <w:t xml:space="preserve"> July 2013</w:t>
      </w:r>
      <w:r w:rsidR="00DA0C6C" w:rsidRPr="00461251">
        <w:t>.</w:t>
      </w:r>
      <w:r w:rsidR="00DA0C6C" w:rsidRPr="00461251">
        <w:rPr>
          <w:rStyle w:val="FootnoteReference"/>
        </w:rPr>
        <w:footnoteReference w:id="182"/>
      </w:r>
    </w:p>
    <w:p w:rsidR="00DA0C6C" w:rsidRPr="00461251" w:rsidRDefault="00364E33" w:rsidP="0097441D">
      <w:pPr>
        <w:pStyle w:val="Parabeforeanother"/>
      </w:pPr>
      <w:r w:rsidRPr="003F78A7">
        <w:rPr>
          <w:b/>
        </w:rPr>
        <w:t>D</w:t>
      </w:r>
      <w:r w:rsidR="00153F66" w:rsidRPr="003F78A7">
        <w:rPr>
          <w:b/>
        </w:rPr>
        <w:t>.10.27</w:t>
      </w:r>
      <w:r w:rsidR="00153F66">
        <w:t xml:space="preserve"> </w:t>
      </w:r>
      <w:r w:rsidR="00DA0C6C" w:rsidRPr="00461251">
        <w:t>According to published official figures, 570 children were held in immigration detention from the start of 2012 to the end of 2014. 318 (55.8 per cent) were held at Tinsley House IRC or a STHF.</w:t>
      </w:r>
      <w:r w:rsidR="00DA0C6C" w:rsidRPr="00461251">
        <w:rPr>
          <w:rStyle w:val="FootnoteReference"/>
        </w:rPr>
        <w:footnoteReference w:id="183"/>
      </w:r>
      <w:r w:rsidR="00DA0C6C" w:rsidRPr="00461251">
        <w:t xml:space="preserve"> The remainder were held at Cedars. While most of these children for were held for three days or less in Tinsley House IRC or another STHF, 73 children (23 per cent) were held anywhere from four days to over three months.</w:t>
      </w:r>
      <w:r w:rsidR="00DA0C6C" w:rsidRPr="00461251">
        <w:rPr>
          <w:rStyle w:val="FootnoteReference"/>
        </w:rPr>
        <w:footnoteReference w:id="184"/>
      </w:r>
    </w:p>
    <w:p w:rsidR="00DA0C6C" w:rsidRPr="00252D80" w:rsidRDefault="00364E33" w:rsidP="0097441D">
      <w:pPr>
        <w:pStyle w:val="Parabeforenewsubsection"/>
      </w:pPr>
      <w:r w:rsidRPr="003F78A7">
        <w:rPr>
          <w:b/>
        </w:rPr>
        <w:t>D</w:t>
      </w:r>
      <w:r w:rsidR="00153F66" w:rsidRPr="003F78A7">
        <w:rPr>
          <w:b/>
        </w:rPr>
        <w:t>.10.28</w:t>
      </w:r>
      <w:r w:rsidR="00153F66">
        <w:t xml:space="preserve"> </w:t>
      </w:r>
      <w:r w:rsidR="00DA0C6C" w:rsidRPr="00461251">
        <w:t>Some unaccompanied children are also detained with adults because their age is disputed either by the UK</w:t>
      </w:r>
      <w:r w:rsidR="00DA0C6C">
        <w:t>V</w:t>
      </w:r>
      <w:r w:rsidR="0049677A">
        <w:t xml:space="preserve"> Visas and Immigration </w:t>
      </w:r>
      <w:r w:rsidR="00DA0C6C" w:rsidRPr="00461251">
        <w:t xml:space="preserve">officials or by social services. This means that they are inappropriately detained without the increased safety provisions that a children's setting affords. In 2013, the Refugee Council said that it secured the release of 36 young people from immigration detention </w:t>
      </w:r>
      <w:proofErr w:type="gramStart"/>
      <w:r w:rsidR="00DA0C6C" w:rsidRPr="00461251">
        <w:t>who</w:t>
      </w:r>
      <w:proofErr w:type="gramEnd"/>
      <w:r w:rsidR="00DA0C6C" w:rsidRPr="00461251">
        <w:t xml:space="preserve"> had been wrongly assessed as adults. It believes there are many more children who are being incorrectly detained as adults.</w:t>
      </w:r>
      <w:r w:rsidR="00DA0C6C" w:rsidRPr="00461251">
        <w:rPr>
          <w:rStyle w:val="FootnoteReference"/>
        </w:rPr>
        <w:footnoteReference w:id="185"/>
      </w:r>
      <w:r w:rsidR="00DA0C6C" w:rsidRPr="00461251">
        <w:t xml:space="preserve"> It is calling for greater safeguards to prevent children being wrongly identified as adults, including the presumption that asylum applicants are children until they are independently</w:t>
      </w:r>
      <w:r w:rsidR="00DA0C6C">
        <w:t xml:space="preserve"> assessed by an adult.</w:t>
      </w:r>
      <w:r w:rsidR="00DA0C6C">
        <w:rPr>
          <w:rStyle w:val="FootnoteReference"/>
        </w:rPr>
        <w:footnoteReference w:id="186"/>
      </w:r>
    </w:p>
    <w:p w:rsidR="00F262B6" w:rsidRDefault="00F262B6" w:rsidP="00F262B6">
      <w:pPr>
        <w:pStyle w:val="Heading-subsections"/>
      </w:pPr>
      <w:r>
        <w:t>Conclusion:</w:t>
      </w:r>
    </w:p>
    <w:p w:rsidR="00DA0C6C" w:rsidRPr="00725421" w:rsidRDefault="00364E33" w:rsidP="0097441D">
      <w:pPr>
        <w:pStyle w:val="Parabold"/>
      </w:pPr>
      <w:r>
        <w:t>D</w:t>
      </w:r>
      <w:r w:rsidR="00153F66">
        <w:t xml:space="preserve">.10.29 </w:t>
      </w:r>
      <w:r w:rsidR="00DA0C6C" w:rsidRPr="00233C57">
        <w:t>The UK needs to make improvements to ensure it complies with Articles 7, 9 and12</w:t>
      </w:r>
      <w:r w:rsidR="00DA0C6C">
        <w:t xml:space="preserve"> </w:t>
      </w:r>
      <w:r w:rsidR="00DA0C6C" w:rsidRPr="00233C57">
        <w:t>(and 24) of ICCPR.</w:t>
      </w:r>
      <w:r w:rsidR="008C67B4">
        <w:t xml:space="preserve"> </w:t>
      </w:r>
      <w:r w:rsidR="00DA0C6C" w:rsidRPr="00233C57">
        <w:t xml:space="preserve">The UK Government detains many people for immigration purposes and too many are held for long periods of </w:t>
      </w:r>
      <w:r w:rsidR="00DA0C6C" w:rsidRPr="00233C57">
        <w:lastRenderedPageBreak/>
        <w:t>time. The UK’s DFT system for asylum seekers still does not provide adequate safeguards to guarantee quality decision-making and to screen out applicants whose detention will be detrimental to their wellbeing.</w:t>
      </w:r>
      <w:r w:rsidR="008C67B4">
        <w:t xml:space="preserve"> </w:t>
      </w:r>
      <w:r w:rsidR="00DA0C6C" w:rsidRPr="00233C57">
        <w:t xml:space="preserve">People with mental health conditions have problems accessing timely and quality mental health care. </w:t>
      </w:r>
      <w:proofErr w:type="gramStart"/>
      <w:r w:rsidR="00DA0C6C" w:rsidRPr="00233C57">
        <w:t>Staff need</w:t>
      </w:r>
      <w:proofErr w:type="gramEnd"/>
      <w:r w:rsidR="00DA0C6C" w:rsidRPr="00233C57">
        <w:t xml:space="preserve"> to improve how they care for women detainees, and follow policy to ensure that pregnant women are only detained in exceptional circumstances</w:t>
      </w:r>
      <w:r w:rsidR="00DA0C6C">
        <w:t xml:space="preserve">. </w:t>
      </w:r>
      <w:r w:rsidR="00DA0C6C" w:rsidRPr="006A3847">
        <w:t xml:space="preserve">The Cedars pre-departure accommodation, with the welfare support from </w:t>
      </w:r>
      <w:proofErr w:type="spellStart"/>
      <w:r w:rsidR="00DA0C6C" w:rsidRPr="006A3847">
        <w:t>Barnardo’s</w:t>
      </w:r>
      <w:proofErr w:type="spellEnd"/>
      <w:r w:rsidR="00DA0C6C" w:rsidRPr="006A3847">
        <w:t xml:space="preserve">, </w:t>
      </w:r>
      <w:r w:rsidR="00DA0C6C">
        <w:t xml:space="preserve">and a statutory time limit for child detention, </w:t>
      </w:r>
      <w:r w:rsidR="00DA0C6C" w:rsidRPr="006A3847">
        <w:t xml:space="preserve">is a significant improvement to detaining children in </w:t>
      </w:r>
      <w:proofErr w:type="spellStart"/>
      <w:r w:rsidR="00DA0C6C" w:rsidRPr="006A3847">
        <w:t>Yarl’s</w:t>
      </w:r>
      <w:proofErr w:type="spellEnd"/>
      <w:r w:rsidR="00DA0C6C" w:rsidRPr="006A3847">
        <w:t xml:space="preserve"> Wood. However, there </w:t>
      </w:r>
      <w:proofErr w:type="gramStart"/>
      <w:r w:rsidR="00DA0C6C" w:rsidRPr="006A3847">
        <w:t>is</w:t>
      </w:r>
      <w:proofErr w:type="gramEnd"/>
      <w:r w:rsidR="00DA0C6C" w:rsidRPr="006A3847">
        <w:t xml:space="preserve"> still a large number of children who are detained in other </w:t>
      </w:r>
      <w:r w:rsidR="00DA0C6C">
        <w:t xml:space="preserve">immigration </w:t>
      </w:r>
      <w:r w:rsidR="00DA0C6C" w:rsidRPr="006A3847">
        <w:t>settings</w:t>
      </w:r>
      <w:r w:rsidR="00DA0C6C">
        <w:t>,</w:t>
      </w:r>
      <w:r w:rsidR="00DA0C6C" w:rsidRPr="006A3847">
        <w:t xml:space="preserve"> and for long period</w:t>
      </w:r>
      <w:r w:rsidR="00DA0C6C">
        <w:t>s</w:t>
      </w:r>
      <w:r w:rsidR="00DA0C6C" w:rsidRPr="006A3847">
        <w:t xml:space="preserve"> of time</w:t>
      </w:r>
      <w:r w:rsidR="00DA0C6C">
        <w:t>.</w:t>
      </w:r>
    </w:p>
    <w:p w:rsidR="00DA0C6C" w:rsidRDefault="00DA0C6C" w:rsidP="0097441D">
      <w:pPr>
        <w:pStyle w:val="Parabold"/>
      </w:pPr>
      <w:r>
        <w:t>Question A: What steps is the UK Government taking to remedy the unlawfulness in the DFT screening, Rule 35 processes and appeals process and will this include a full review of the DFT screening policy so that particularly vulnerable individuals do not enter detention?</w:t>
      </w:r>
    </w:p>
    <w:p w:rsidR="00DA0C6C" w:rsidRDefault="00DA0C6C" w:rsidP="0097441D">
      <w:pPr>
        <w:pStyle w:val="Parabold"/>
      </w:pPr>
      <w:r w:rsidRPr="000C5860">
        <w:t xml:space="preserve">Question B: How </w:t>
      </w:r>
      <w:r>
        <w:t xml:space="preserve">will </w:t>
      </w:r>
      <w:r w:rsidRPr="000C5860">
        <w:t xml:space="preserve">the UK Government commit to ensuring that people are automatically released from immigration detention when </w:t>
      </w:r>
      <w:r>
        <w:t xml:space="preserve">they are identified as being particularly vulnerable? </w:t>
      </w:r>
    </w:p>
    <w:p w:rsidR="00DA0C6C" w:rsidRDefault="00DA0C6C" w:rsidP="0097441D">
      <w:pPr>
        <w:pStyle w:val="Parabold"/>
      </w:pPr>
      <w:r>
        <w:t>Question C: Will the UK commit to setting a</w:t>
      </w:r>
      <w:r w:rsidRPr="00B95D37">
        <w:t xml:space="preserve"> </w:t>
      </w:r>
      <w:r>
        <w:t>maximum limit of 28 days to the length of time an individual can be held in immigration detention, to avoid the human and financial costs connected with long-term detention?</w:t>
      </w:r>
    </w:p>
    <w:p w:rsidR="00DA0C6C" w:rsidRPr="0097441D" w:rsidRDefault="00DA0C6C" w:rsidP="0097441D">
      <w:pPr>
        <w:pStyle w:val="Parabeforenewsection"/>
        <w:rPr>
          <w:b/>
        </w:rPr>
      </w:pPr>
      <w:r w:rsidRPr="0097441D">
        <w:rPr>
          <w:b/>
        </w:rPr>
        <w:t>Question D: Will the UK Government commit to responding to the recommendations in the APPG inquiry report on immigration detention,</w:t>
      </w:r>
      <w:r w:rsidRPr="0097441D">
        <w:rPr>
          <w:rStyle w:val="FootnoteReference"/>
          <w:b/>
        </w:rPr>
        <w:t xml:space="preserve"> </w:t>
      </w:r>
      <w:r w:rsidRPr="0097441D">
        <w:rPr>
          <w:rStyle w:val="FootnoteReference"/>
          <w:b/>
        </w:rPr>
        <w:footnoteReference w:id="187"/>
      </w:r>
      <w:r w:rsidRPr="0097441D">
        <w:rPr>
          <w:b/>
        </w:rPr>
        <w:t xml:space="preserve"> including those on seeking alternative solutions to detention, which are likely to help address many of the issues which have been identified</w:t>
      </w:r>
      <w:r w:rsidR="00044CCE" w:rsidRPr="0097441D">
        <w:rPr>
          <w:b/>
        </w:rPr>
        <w:t>?</w:t>
      </w:r>
    </w:p>
    <w:p w:rsidR="003A2FF0" w:rsidRPr="003A2FF0" w:rsidRDefault="00505C5F" w:rsidP="002B6091">
      <w:pPr>
        <w:pStyle w:val="Heading-sections"/>
        <w:numPr>
          <w:ilvl w:val="0"/>
          <w:numId w:val="7"/>
        </w:numPr>
      </w:pPr>
      <w:bookmarkStart w:id="22" w:name="_Toc420603277"/>
      <w:r w:rsidRPr="00C20930">
        <w:t>Prisons</w:t>
      </w:r>
      <w:r w:rsidR="00921DD5">
        <w:t>,</w:t>
      </w:r>
      <w:r w:rsidR="003A2FF0" w:rsidRPr="003A2FF0">
        <w:rPr>
          <w:sz w:val="23"/>
          <w:szCs w:val="23"/>
        </w:rPr>
        <w:t xml:space="preserve"> </w:t>
      </w:r>
      <w:r w:rsidR="003A2FF0">
        <w:t>List of Issues paragraph 22</w:t>
      </w:r>
      <w:bookmarkEnd w:id="22"/>
    </w:p>
    <w:p w:rsidR="00F34058" w:rsidRDefault="00F34058" w:rsidP="002B6091">
      <w:pPr>
        <w:pStyle w:val="Heading-subsections"/>
        <w:numPr>
          <w:ilvl w:val="0"/>
          <w:numId w:val="16"/>
        </w:numPr>
      </w:pPr>
      <w:r>
        <w:t>Self-</w:t>
      </w:r>
      <w:r w:rsidR="00B2487C">
        <w:t>h</w:t>
      </w:r>
      <w:r>
        <w:t xml:space="preserve">arm, </w:t>
      </w:r>
      <w:r w:rsidR="00B2487C">
        <w:t>d</w:t>
      </w:r>
      <w:r>
        <w:t xml:space="preserve">eaths in </w:t>
      </w:r>
      <w:r w:rsidR="00B2487C">
        <w:t>c</w:t>
      </w:r>
      <w:r>
        <w:t xml:space="preserve">ustody and </w:t>
      </w:r>
      <w:r w:rsidR="00B2487C">
        <w:t>s</w:t>
      </w:r>
      <w:r>
        <w:t>afety</w:t>
      </w:r>
    </w:p>
    <w:p w:rsidR="00F34058" w:rsidRDefault="00364E33" w:rsidP="0097441D">
      <w:pPr>
        <w:pStyle w:val="Parabeforeanother"/>
      </w:pPr>
      <w:r w:rsidRPr="003F78A7">
        <w:rPr>
          <w:b/>
        </w:rPr>
        <w:t>D</w:t>
      </w:r>
      <w:r w:rsidR="00153F66" w:rsidRPr="003F78A7">
        <w:rPr>
          <w:b/>
        </w:rPr>
        <w:t>.11.1</w:t>
      </w:r>
      <w:r w:rsidR="00153F66">
        <w:t xml:space="preserve"> </w:t>
      </w:r>
      <w:r w:rsidR="00F34058">
        <w:t xml:space="preserve">In our submission to the HRC in 2014, we highlighted the </w:t>
      </w:r>
      <w:r w:rsidR="004A059C">
        <w:t xml:space="preserve">human rights implications of the </w:t>
      </w:r>
      <w:r w:rsidR="00F34058">
        <w:t xml:space="preserve">number of incidents of self-harm and self-inflicted deaths in </w:t>
      </w:r>
      <w:r w:rsidR="00F34058">
        <w:lastRenderedPageBreak/>
        <w:t>prisons.</w:t>
      </w:r>
      <w:r w:rsidR="00F34058">
        <w:rPr>
          <w:rStyle w:val="FootnoteReference"/>
        </w:rPr>
        <w:footnoteReference w:id="188"/>
      </w:r>
      <w:r w:rsidR="00F34058">
        <w:t xml:space="preserve"> Latest data show there were 84 self-inflicted deaths in 2014; 9 more than in 2013.</w:t>
      </w:r>
      <w:r w:rsidR="00F34058">
        <w:rPr>
          <w:rStyle w:val="FootnoteReference"/>
        </w:rPr>
        <w:footnoteReference w:id="189"/>
      </w:r>
      <w:r w:rsidR="008C67B4">
        <w:t xml:space="preserve"> </w:t>
      </w:r>
      <w:r w:rsidR="00F34058">
        <w:t>The rate of self-inflicted deaths is now at 1 per 1,000 prisoners.</w:t>
      </w:r>
      <w:r w:rsidR="008C67B4">
        <w:t xml:space="preserve"> </w:t>
      </w:r>
      <w:r w:rsidR="00F34058">
        <w:t xml:space="preserve">This is the second year there has been an increase in the number of self-inflicted prison deaths. </w:t>
      </w:r>
    </w:p>
    <w:p w:rsidR="00F34058" w:rsidRDefault="00364E33" w:rsidP="0097441D">
      <w:pPr>
        <w:pStyle w:val="Parabeforebulletss"/>
      </w:pPr>
      <w:r w:rsidRPr="003F78A7">
        <w:rPr>
          <w:b/>
        </w:rPr>
        <w:t>D</w:t>
      </w:r>
      <w:r w:rsidR="00153F66" w:rsidRPr="003F78A7">
        <w:rPr>
          <w:b/>
        </w:rPr>
        <w:t>.11.2</w:t>
      </w:r>
      <w:r w:rsidR="00153F66">
        <w:t xml:space="preserve"> </w:t>
      </w:r>
      <w:r w:rsidR="00F34058">
        <w:t>Self-harm incidents have also increased. In the 12 months to September 2014 there were</w:t>
      </w:r>
      <w:r w:rsidR="00B2487C">
        <w:t>:</w:t>
      </w:r>
    </w:p>
    <w:p w:rsidR="00F34058" w:rsidRDefault="00F34058" w:rsidP="0097441D">
      <w:pPr>
        <w:pStyle w:val="Bullet-followedbyothers"/>
      </w:pPr>
      <w:r>
        <w:t>24,748 reported incidents of self-harm; up 6 per cent on the same period in 2013</w:t>
      </w:r>
    </w:p>
    <w:p w:rsidR="00F34058" w:rsidRDefault="00F34058" w:rsidP="0097441D">
      <w:pPr>
        <w:pStyle w:val="Bullet-followedbyothers"/>
      </w:pPr>
      <w:r>
        <w:t>7,465 prisoners reported to have self-harmed; up 7 per cent on the same period in 2013</w:t>
      </w:r>
    </w:p>
    <w:p w:rsidR="00F34058" w:rsidRDefault="00F34058" w:rsidP="0097441D">
      <w:pPr>
        <w:pStyle w:val="Bullet-followedbyothers"/>
      </w:pPr>
      <w:r>
        <w:t>222 incidents per 1,000 male prisoners; up</w:t>
      </w:r>
      <w:r w:rsidR="008C67B4">
        <w:t xml:space="preserve"> </w:t>
      </w:r>
      <w:r>
        <w:t>4 per cent compared with the previous 12 months</w:t>
      </w:r>
      <w:r w:rsidR="00B2487C">
        <w:t>,</w:t>
      </w:r>
      <w:r>
        <w:t xml:space="preserve"> </w:t>
      </w:r>
      <w:r w:rsidR="004A059C">
        <w:t>and</w:t>
      </w:r>
    </w:p>
    <w:p w:rsidR="00F34058" w:rsidRDefault="00F34058" w:rsidP="0097441D">
      <w:pPr>
        <w:pStyle w:val="Bullet-lastingroup"/>
      </w:pPr>
      <w:r>
        <w:t>277 incide</w:t>
      </w:r>
      <w:r w:rsidR="00B715F1">
        <w:t>n</w:t>
      </w:r>
      <w:r>
        <w:t>ts per 1,000 female prisoners; up 2 per cent on the previous 12 months.</w:t>
      </w:r>
      <w:r w:rsidR="008C67B4">
        <w:t xml:space="preserve"> </w:t>
      </w:r>
    </w:p>
    <w:p w:rsidR="003A2FF0" w:rsidRPr="003A2FF0" w:rsidRDefault="003A2FF0" w:rsidP="002B6091">
      <w:pPr>
        <w:pStyle w:val="Heading-subsections"/>
        <w:numPr>
          <w:ilvl w:val="0"/>
          <w:numId w:val="16"/>
        </w:numPr>
      </w:pPr>
      <w:r w:rsidRPr="003A2FF0">
        <w:t>Self-</w:t>
      </w:r>
      <w:r w:rsidR="00B2487C">
        <w:t>i</w:t>
      </w:r>
      <w:r w:rsidRPr="003A2FF0">
        <w:t xml:space="preserve">nflicted </w:t>
      </w:r>
      <w:r w:rsidR="00B2487C">
        <w:t>d</w:t>
      </w:r>
      <w:r w:rsidRPr="003A2FF0">
        <w:t xml:space="preserve">eaths in </w:t>
      </w:r>
      <w:r w:rsidR="00B2487C">
        <w:t>c</w:t>
      </w:r>
      <w:r w:rsidRPr="003A2FF0">
        <w:t>ustody</w:t>
      </w:r>
    </w:p>
    <w:p w:rsidR="00F34058" w:rsidRDefault="00364E33" w:rsidP="0097441D">
      <w:pPr>
        <w:pStyle w:val="Parabeforeanother"/>
      </w:pPr>
      <w:r w:rsidRPr="003F78A7">
        <w:rPr>
          <w:b/>
        </w:rPr>
        <w:t>D</w:t>
      </w:r>
      <w:r w:rsidR="00153F66" w:rsidRPr="003F78A7">
        <w:rPr>
          <w:b/>
        </w:rPr>
        <w:t>.11.3</w:t>
      </w:r>
      <w:r w:rsidR="00153F66">
        <w:t xml:space="preserve"> </w:t>
      </w:r>
      <w:r w:rsidR="00F34058">
        <w:t>In February 2015, the EHRC published its inquiry report into non-natural deaths in detention of adults with mental health conditions</w:t>
      </w:r>
      <w:r w:rsidR="004A059C">
        <w:t>, which considered the human rights implications under Article 2 of the ECHR</w:t>
      </w:r>
      <w:r w:rsidR="00F34058">
        <w:t>.</w:t>
      </w:r>
      <w:r w:rsidR="00F34058">
        <w:rPr>
          <w:rStyle w:val="FootnoteReference"/>
        </w:rPr>
        <w:footnoteReference w:id="190"/>
      </w:r>
      <w:r w:rsidR="008C67B4">
        <w:t xml:space="preserve"> </w:t>
      </w:r>
      <w:r w:rsidR="004A059C">
        <w:t xml:space="preserve">The inquiry found </w:t>
      </w:r>
      <w:r w:rsidR="00F34058">
        <w:t xml:space="preserve">that the prison service does not record the numbers of prisoners with mental health conditions. The most recent national data relates to 1997 where 92 per cent of male prisoners were reported to have one of the following five conditions: psychosis, neurosis, personality disorder, </w:t>
      </w:r>
      <w:proofErr w:type="gramStart"/>
      <w:r w:rsidR="00F34058">
        <w:t>alcohol</w:t>
      </w:r>
      <w:proofErr w:type="gramEnd"/>
      <w:r w:rsidR="00F34058">
        <w:t xml:space="preserve"> misuse and drug dependence. Seventy per cent experienced at least two of these conditions.</w:t>
      </w:r>
      <w:r w:rsidR="00F34058">
        <w:rPr>
          <w:rStyle w:val="FootnoteReference"/>
        </w:rPr>
        <w:footnoteReference w:id="191"/>
      </w:r>
      <w:r w:rsidR="008C67B4">
        <w:t xml:space="preserve"> </w:t>
      </w:r>
    </w:p>
    <w:p w:rsidR="00F34058" w:rsidRDefault="00364E33" w:rsidP="0097441D">
      <w:pPr>
        <w:pStyle w:val="Parabeforebulletss"/>
      </w:pPr>
      <w:r w:rsidRPr="003F78A7">
        <w:rPr>
          <w:b/>
        </w:rPr>
        <w:t>D</w:t>
      </w:r>
      <w:r w:rsidR="00153F66" w:rsidRPr="003F78A7">
        <w:rPr>
          <w:b/>
        </w:rPr>
        <w:t xml:space="preserve">.11.4 </w:t>
      </w:r>
      <w:r w:rsidR="00F34058">
        <w:t>The inquiry's findings include:</w:t>
      </w:r>
    </w:p>
    <w:p w:rsidR="00F34058" w:rsidRDefault="00F34058" w:rsidP="0097441D">
      <w:pPr>
        <w:pStyle w:val="Bullet-followedbyothers"/>
      </w:pPr>
      <w:r>
        <w:t>People may enter the criminal justice system as a result of their mental health condition not being adequately treated beforehand</w:t>
      </w:r>
      <w:r w:rsidR="00B2487C">
        <w:t>.</w:t>
      </w:r>
    </w:p>
    <w:p w:rsidR="00F34058" w:rsidRDefault="00F34058" w:rsidP="0097441D">
      <w:pPr>
        <w:pStyle w:val="Bullet-followedbyothers"/>
      </w:pPr>
      <w:r>
        <w:lastRenderedPageBreak/>
        <w:t>Inadequate risk assessments, poor communication and information sharing contribute to some non-natural deaths</w:t>
      </w:r>
      <w:r w:rsidR="00B2487C">
        <w:t>.</w:t>
      </w:r>
    </w:p>
    <w:p w:rsidR="00F34058" w:rsidRDefault="00F34058" w:rsidP="0097441D">
      <w:pPr>
        <w:pStyle w:val="Bullet-followedbyothers"/>
      </w:pPr>
      <w:r>
        <w:t>Even when a risk has been identified, the mechanism to oversee a prisoner’s care (the Assessment Care in Custody and Treatment (ACCT)) is frequently not correctly implemented or monitored</w:t>
      </w:r>
      <w:r w:rsidR="00B2487C">
        <w:t>.</w:t>
      </w:r>
    </w:p>
    <w:p w:rsidR="00F34058" w:rsidRDefault="00F34058" w:rsidP="0097441D">
      <w:pPr>
        <w:pStyle w:val="Bullet-followedbyothers"/>
      </w:pPr>
      <w:r>
        <w:t>There is a lack of family involvement in helping to inform the provision of treatment and support for a vulnerable prisoner</w:t>
      </w:r>
      <w:r w:rsidR="00B2487C">
        <w:t>.</w:t>
      </w:r>
    </w:p>
    <w:p w:rsidR="00F34058" w:rsidRDefault="00F34058" w:rsidP="0097441D">
      <w:pPr>
        <w:pStyle w:val="Bullet-followedbyothers"/>
      </w:pPr>
      <w:r>
        <w:t>While there is some provision of treatment and support for adults, there is evidence of inappropriate mental health treatment and inconsistent treatment across the establishments</w:t>
      </w:r>
      <w:r w:rsidR="00B2487C">
        <w:t>.</w:t>
      </w:r>
    </w:p>
    <w:p w:rsidR="00F34058" w:rsidRDefault="00F34058" w:rsidP="0097441D">
      <w:pPr>
        <w:pStyle w:val="Bullet-followedbyothers"/>
      </w:pPr>
      <w:r>
        <w:t>While training for staff on mental health awareness is available, it is not compulsory suggesting staff with competing work pressures may not participate in it</w:t>
      </w:r>
      <w:r w:rsidR="00B2487C">
        <w:t>.</w:t>
      </w:r>
    </w:p>
    <w:p w:rsidR="00F34058" w:rsidRDefault="00F34058" w:rsidP="0097441D">
      <w:pPr>
        <w:pStyle w:val="Bullet-followedbyothers"/>
      </w:pPr>
      <w:r>
        <w:t>Prisoners with mental health conditions, and those on ACCT</w:t>
      </w:r>
      <w:r w:rsidR="00B2487C">
        <w:t>,</w:t>
      </w:r>
      <w:r>
        <w:t xml:space="preserve"> are being segregated without sufficient consideration as to the appropriateness of this setting</w:t>
      </w:r>
      <w:r w:rsidR="00B2487C">
        <w:t>.</w:t>
      </w:r>
    </w:p>
    <w:p w:rsidR="00F34058" w:rsidRDefault="00F34058" w:rsidP="0097441D">
      <w:pPr>
        <w:pStyle w:val="Bullet-lastingroup"/>
      </w:pPr>
      <w:r>
        <w:t>While there have been efforts to learn lessons, there is some repetition of the same or similar recommendations following investigations into non-natural deaths of adults with mental health conditions. This suggests that recommendations are often only partially implemented and are not sustained long-term.</w:t>
      </w:r>
    </w:p>
    <w:p w:rsidR="00F34058" w:rsidRPr="0082251C" w:rsidRDefault="00364E33" w:rsidP="0097441D">
      <w:pPr>
        <w:pStyle w:val="Parabeforeanother"/>
      </w:pPr>
      <w:r w:rsidRPr="003F78A7">
        <w:rPr>
          <w:b/>
        </w:rPr>
        <w:t>D</w:t>
      </w:r>
      <w:r w:rsidR="00153F66" w:rsidRPr="003F78A7">
        <w:rPr>
          <w:b/>
        </w:rPr>
        <w:t>.11.5</w:t>
      </w:r>
      <w:r w:rsidR="00153F66">
        <w:t xml:space="preserve"> </w:t>
      </w:r>
      <w:r w:rsidR="00F34058" w:rsidRPr="0003288C">
        <w:t>We have made a series of recommendations, including that institutions should adopt the EH</w:t>
      </w:r>
      <w:r w:rsidR="00F34058" w:rsidRPr="0082251C">
        <w:t>RC Human Rights</w:t>
      </w:r>
      <w:r w:rsidR="00F34058">
        <w:t xml:space="preserve"> framework</w:t>
      </w:r>
      <w:r w:rsidR="00F34058" w:rsidRPr="0082251C">
        <w:t>.</w:t>
      </w:r>
      <w:r w:rsidR="00F34058" w:rsidRPr="0082251C">
        <w:rPr>
          <w:rStyle w:val="FootnoteReference"/>
        </w:rPr>
        <w:footnoteReference w:id="192"/>
      </w:r>
      <w:r w:rsidR="00F34058" w:rsidRPr="0082251C">
        <w:t xml:space="preserve"> This sets out practical steps to protect lives</w:t>
      </w:r>
      <w:r w:rsidR="00F34058">
        <w:t xml:space="preserve"> and to support effective investigations and learning from them. </w:t>
      </w:r>
    </w:p>
    <w:p w:rsidR="00F34058" w:rsidRDefault="00364E33" w:rsidP="0097441D">
      <w:pPr>
        <w:pStyle w:val="Parabeforeanother"/>
      </w:pPr>
      <w:r w:rsidRPr="003F78A7">
        <w:rPr>
          <w:b/>
          <w:color w:val="000000"/>
        </w:rPr>
        <w:t>D</w:t>
      </w:r>
      <w:r w:rsidR="00153F66" w:rsidRPr="003F78A7">
        <w:rPr>
          <w:b/>
          <w:color w:val="000000"/>
        </w:rPr>
        <w:t>.11.6</w:t>
      </w:r>
      <w:r w:rsidR="00153F66">
        <w:rPr>
          <w:color w:val="000000"/>
        </w:rPr>
        <w:t xml:space="preserve"> </w:t>
      </w:r>
      <w:r w:rsidR="00F34058">
        <w:rPr>
          <w:color w:val="000000"/>
        </w:rPr>
        <w:t>In September 2014, the UK Government committed to ‘</w:t>
      </w:r>
      <w:r w:rsidR="00F34058">
        <w:t>a national system of liaison and diversion services being built which would mean the mental health condition of an offender could be identified during the court process and a decision taken at that stage on where to detain him’.</w:t>
      </w:r>
      <w:r w:rsidR="00F34058">
        <w:rPr>
          <w:rStyle w:val="FootnoteReference"/>
        </w:rPr>
        <w:footnoteReference w:id="193"/>
      </w:r>
      <w:r w:rsidR="00F34058">
        <w:t xml:space="preserve"> The Minister has committed to ‘every prisoner who needs it to have access to the best possible treatment. I want mental health to be the priority for our system’.</w:t>
      </w:r>
      <w:r w:rsidR="00F34058">
        <w:rPr>
          <w:rStyle w:val="FootnoteReference"/>
        </w:rPr>
        <w:footnoteReference w:id="194"/>
      </w:r>
    </w:p>
    <w:p w:rsidR="00F34058" w:rsidRDefault="00364E33" w:rsidP="0097441D">
      <w:pPr>
        <w:pStyle w:val="Parabeforenewsubsection"/>
      </w:pPr>
      <w:r w:rsidRPr="003F78A7">
        <w:rPr>
          <w:b/>
        </w:rPr>
        <w:t>D</w:t>
      </w:r>
      <w:r w:rsidR="00153F66" w:rsidRPr="003F78A7">
        <w:rPr>
          <w:b/>
        </w:rPr>
        <w:t>.11.7</w:t>
      </w:r>
      <w:r w:rsidR="00153F66">
        <w:t xml:space="preserve"> </w:t>
      </w:r>
      <w:r w:rsidR="006B1709">
        <w:t>We believe the</w:t>
      </w:r>
      <w:r w:rsidR="00F34058">
        <w:t xml:space="preserve"> </w:t>
      </w:r>
      <w:proofErr w:type="spellStart"/>
      <w:r w:rsidR="00F34058">
        <w:t>MoJ</w:t>
      </w:r>
      <w:proofErr w:type="spellEnd"/>
      <w:r w:rsidR="00F34058">
        <w:t xml:space="preserve"> needs to review the increase in deaths in prisons in conjunction with the inspectorates and ombudsman to ensure the changes can be made to decrease the numbers of prisoners dying. There should also be immediate implementation of the commitments made by the Secretary of State to improve </w:t>
      </w:r>
      <w:r w:rsidR="00F34058">
        <w:lastRenderedPageBreak/>
        <w:t>mental health services in prisons, after a consultation process to ensure the most effective initiatives are implemented.</w:t>
      </w:r>
      <w:r w:rsidR="00F34058">
        <w:rPr>
          <w:rStyle w:val="FootnoteReference"/>
        </w:rPr>
        <w:footnoteReference w:id="195"/>
      </w:r>
    </w:p>
    <w:p w:rsidR="003A2FF0" w:rsidRDefault="003A2FF0" w:rsidP="002B6091">
      <w:pPr>
        <w:pStyle w:val="Heading-subsections"/>
        <w:numPr>
          <w:ilvl w:val="0"/>
          <w:numId w:val="16"/>
        </w:numPr>
      </w:pPr>
      <w:r>
        <w:t xml:space="preserve">Safety and </w:t>
      </w:r>
      <w:r w:rsidR="00B2487C">
        <w:t>p</w:t>
      </w:r>
      <w:r>
        <w:t>urposeful activity</w:t>
      </w:r>
    </w:p>
    <w:p w:rsidR="00F34058" w:rsidRDefault="00364E33" w:rsidP="0097441D">
      <w:pPr>
        <w:pStyle w:val="Parabeforeanother"/>
        <w:rPr>
          <w:bCs/>
        </w:rPr>
      </w:pPr>
      <w:r w:rsidRPr="003F78A7">
        <w:rPr>
          <w:b/>
        </w:rPr>
        <w:t>D</w:t>
      </w:r>
      <w:r w:rsidR="00153F66" w:rsidRPr="003F78A7">
        <w:rPr>
          <w:b/>
        </w:rPr>
        <w:t>.11.8</w:t>
      </w:r>
      <w:r w:rsidR="00153F66">
        <w:t xml:space="preserve"> </w:t>
      </w:r>
      <w:r w:rsidR="00F34058">
        <w:t xml:space="preserve">In our submission to the HRC in July 2014, we highlighted the significant challenges facing the prison service with significant budget and staff cuts, an increasing population and the impact this </w:t>
      </w:r>
      <w:r w:rsidR="006B1709">
        <w:t xml:space="preserve">might </w:t>
      </w:r>
      <w:r w:rsidR="00F34058">
        <w:t>have on prisoners’ safety, purposeful activity and rehabilitation.</w:t>
      </w:r>
      <w:r w:rsidR="00F34058">
        <w:rPr>
          <w:rStyle w:val="FootnoteReference"/>
          <w:rFonts w:cs="Georgia"/>
          <w:color w:val="000000"/>
        </w:rPr>
        <w:footnoteReference w:id="196"/>
      </w:r>
      <w:r w:rsidR="008C67B4">
        <w:rPr>
          <w:bCs/>
        </w:rPr>
        <w:t xml:space="preserve"> </w:t>
      </w:r>
      <w:r w:rsidR="00F34058">
        <w:rPr>
          <w:bCs/>
        </w:rPr>
        <w:t>We also stated that the UK Government’s plan to build more prison places was not a viable, long-term solution.</w:t>
      </w:r>
      <w:r w:rsidR="00F34058">
        <w:rPr>
          <w:rStyle w:val="FootnoteReference"/>
          <w:bCs/>
        </w:rPr>
        <w:footnoteReference w:id="197"/>
      </w:r>
      <w:r w:rsidR="00F34058">
        <w:rPr>
          <w:bCs/>
        </w:rPr>
        <w:t xml:space="preserve"> </w:t>
      </w:r>
    </w:p>
    <w:p w:rsidR="00F34058" w:rsidRDefault="00364E33" w:rsidP="0097441D">
      <w:pPr>
        <w:pStyle w:val="Parabeforeanother"/>
      </w:pPr>
      <w:r w:rsidRPr="003F78A7">
        <w:rPr>
          <w:b/>
        </w:rPr>
        <w:t>D</w:t>
      </w:r>
      <w:r w:rsidR="00153F66" w:rsidRPr="003F78A7">
        <w:rPr>
          <w:b/>
        </w:rPr>
        <w:t>.11.9</w:t>
      </w:r>
      <w:r w:rsidR="00153F66">
        <w:t xml:space="preserve"> </w:t>
      </w:r>
      <w:r w:rsidR="00F34058">
        <w:t>Since then, the Chief Inspector of Prisons has discussed prisoners, ‘being held in deplorable conditions who are suicidal, they don’t have anything to do and they don’t have anyone to talk to'.</w:t>
      </w:r>
      <w:r w:rsidR="00F34058">
        <w:rPr>
          <w:rStyle w:val="FootnoteReference"/>
          <w:rFonts w:cs="Georgia"/>
          <w:color w:val="000000"/>
        </w:rPr>
        <w:footnoteReference w:id="198"/>
      </w:r>
      <w:r w:rsidR="00F34058">
        <w:t xml:space="preserve"> </w:t>
      </w:r>
    </w:p>
    <w:p w:rsidR="00F34058" w:rsidRDefault="00364E33" w:rsidP="0097441D">
      <w:pPr>
        <w:pStyle w:val="Parabeforeanother"/>
      </w:pPr>
      <w:r w:rsidRPr="003F78A7">
        <w:rPr>
          <w:b/>
        </w:rPr>
        <w:t>D</w:t>
      </w:r>
      <w:r w:rsidR="00153F66" w:rsidRPr="003F78A7">
        <w:rPr>
          <w:b/>
        </w:rPr>
        <w:t>.11.10</w:t>
      </w:r>
      <w:r w:rsidR="00153F66">
        <w:t xml:space="preserve"> </w:t>
      </w:r>
      <w:r w:rsidR="00F34058">
        <w:t>The Justice Committee</w:t>
      </w:r>
      <w:r w:rsidR="00507CB7">
        <w:t xml:space="preserve"> published its report on Prisons and</w:t>
      </w:r>
      <w:r w:rsidR="00F34058">
        <w:t xml:space="preserve"> </w:t>
      </w:r>
      <w:r w:rsidR="00507CB7">
        <w:t>concluded</w:t>
      </w:r>
      <w:r w:rsidR="00F34058">
        <w:t xml:space="preserve"> that the confluence of estate modernisation and re-configuration, efficiency savings, staff shortages and changes in policy have made a significant contribution to the deterioration in safety.</w:t>
      </w:r>
      <w:r w:rsidR="00F34058">
        <w:rPr>
          <w:rStyle w:val="FootnoteReference"/>
          <w:rFonts w:cs="Georgia"/>
          <w:color w:val="000000"/>
        </w:rPr>
        <w:footnoteReference w:id="199"/>
      </w:r>
      <w:r w:rsidR="00F34058">
        <w:t xml:space="preserve"> It criticised the UK Government for its reluctance to acknowledge the serious nature of these challenges and the role of its own policy decisions in creating them.</w:t>
      </w:r>
      <w:r w:rsidR="00F34058">
        <w:rPr>
          <w:rStyle w:val="FootnoteReference"/>
          <w:rFonts w:cs="Georgia"/>
          <w:color w:val="000000"/>
        </w:rPr>
        <w:footnoteReference w:id="200"/>
      </w:r>
    </w:p>
    <w:p w:rsidR="00F34058" w:rsidRDefault="00364E33" w:rsidP="0097441D">
      <w:pPr>
        <w:pStyle w:val="Parabeforenewsubsection"/>
      </w:pPr>
      <w:r w:rsidRPr="003F78A7">
        <w:rPr>
          <w:b/>
        </w:rPr>
        <w:t>D</w:t>
      </w:r>
      <w:r w:rsidR="00153F66" w:rsidRPr="003F78A7">
        <w:rPr>
          <w:b/>
        </w:rPr>
        <w:t>.11.11</w:t>
      </w:r>
      <w:r w:rsidR="00153F66">
        <w:t xml:space="preserve"> </w:t>
      </w:r>
      <w:r w:rsidR="00F34058">
        <w:t xml:space="preserve">The </w:t>
      </w:r>
      <w:r w:rsidR="007E5A32">
        <w:t xml:space="preserve">Justice </w:t>
      </w:r>
      <w:r w:rsidR="00F34058">
        <w:t xml:space="preserve">Committee </w:t>
      </w:r>
      <w:r w:rsidR="006B1709">
        <w:t xml:space="preserve">also </w:t>
      </w:r>
      <w:r w:rsidR="00507CB7">
        <w:t>found</w:t>
      </w:r>
      <w:r w:rsidR="00F34058">
        <w:t xml:space="preserve"> there </w:t>
      </w:r>
      <w:r w:rsidR="00507CB7">
        <w:t xml:space="preserve">to be </w:t>
      </w:r>
      <w:r w:rsidR="00F34058">
        <w:t xml:space="preserve">insufficient places to meet the increasing demand </w:t>
      </w:r>
      <w:r w:rsidR="006B1709">
        <w:t xml:space="preserve">of </w:t>
      </w:r>
      <w:r w:rsidR="00F34058">
        <w:t>an already overcrowded prison population</w:t>
      </w:r>
      <w:r w:rsidR="00507CB7">
        <w:t>,</w:t>
      </w:r>
      <w:r w:rsidR="00F34058">
        <w:t xml:space="preserve"> and suggested exploring opportunities to reduce numbers which does not interfere in the courts’ autonomy in sentencing.</w:t>
      </w:r>
      <w:r w:rsidR="00F34058">
        <w:rPr>
          <w:rStyle w:val="FootnoteReference"/>
          <w:rFonts w:cs="Georgia"/>
          <w:color w:val="000000"/>
        </w:rPr>
        <w:footnoteReference w:id="201"/>
      </w:r>
      <w:r w:rsidR="00F34058">
        <w:t xml:space="preserve"> It concluded that if steps taken by the </w:t>
      </w:r>
      <w:r w:rsidR="006B1709">
        <w:t xml:space="preserve">UK </w:t>
      </w:r>
      <w:r w:rsidR="00F34058">
        <w:t xml:space="preserve">Government lead towards a larger prison population, then commensurate resources must be found so that people do not leave prison less able to play a </w:t>
      </w:r>
      <w:r w:rsidR="00507CB7">
        <w:t xml:space="preserve">more </w:t>
      </w:r>
      <w:r w:rsidR="00F34058">
        <w:t xml:space="preserve">productive role in society </w:t>
      </w:r>
      <w:r w:rsidR="00507CB7">
        <w:t xml:space="preserve">than </w:t>
      </w:r>
      <w:r w:rsidR="00F34058">
        <w:t>when they arrived.</w:t>
      </w:r>
      <w:r w:rsidR="00F34058">
        <w:rPr>
          <w:rStyle w:val="FootnoteReference"/>
          <w:rFonts w:cs="Georgia"/>
          <w:color w:val="000000"/>
        </w:rPr>
        <w:footnoteReference w:id="202"/>
      </w:r>
    </w:p>
    <w:p w:rsidR="00035238" w:rsidRDefault="00035238" w:rsidP="0097441D">
      <w:pPr>
        <w:pStyle w:val="Parabeforenewsubsection"/>
      </w:pPr>
    </w:p>
    <w:p w:rsidR="00406FED" w:rsidRPr="004E720F" w:rsidRDefault="001C26F9" w:rsidP="002B6091">
      <w:pPr>
        <w:pStyle w:val="Heading-subsections"/>
        <w:numPr>
          <w:ilvl w:val="0"/>
          <w:numId w:val="16"/>
        </w:numPr>
      </w:pPr>
      <w:r w:rsidRPr="004E720F">
        <w:lastRenderedPageBreak/>
        <w:t>Women prisoners</w:t>
      </w:r>
    </w:p>
    <w:p w:rsidR="00F34058" w:rsidRDefault="00364E33" w:rsidP="0097441D">
      <w:pPr>
        <w:pStyle w:val="Parabeforeanother"/>
      </w:pPr>
      <w:r w:rsidRPr="003F78A7">
        <w:rPr>
          <w:b/>
        </w:rPr>
        <w:t>D</w:t>
      </w:r>
      <w:r w:rsidR="00153F66" w:rsidRPr="003F78A7">
        <w:rPr>
          <w:b/>
        </w:rPr>
        <w:t xml:space="preserve">.11.12 </w:t>
      </w:r>
      <w:r w:rsidR="00F34058">
        <w:t>On 6 March 2015, the female prison population stood at 3,866, a 1.6 per cent decrease on the previous year.</w:t>
      </w:r>
      <w:r w:rsidR="00F34058">
        <w:rPr>
          <w:rStyle w:val="FootnoteReference"/>
        </w:rPr>
        <w:footnoteReference w:id="203"/>
      </w:r>
      <w:r w:rsidR="008C67B4">
        <w:t xml:space="preserve"> </w:t>
      </w:r>
    </w:p>
    <w:p w:rsidR="00F34058" w:rsidRPr="0082251C" w:rsidRDefault="00364E33" w:rsidP="0097441D">
      <w:pPr>
        <w:pStyle w:val="Parabeforebulletss"/>
        <w:rPr>
          <w:lang w:eastAsia="en-GB"/>
        </w:rPr>
      </w:pPr>
      <w:r w:rsidRPr="003F78A7">
        <w:rPr>
          <w:b/>
          <w:lang w:eastAsia="en-GB"/>
        </w:rPr>
        <w:t>D</w:t>
      </w:r>
      <w:r w:rsidR="00153F66" w:rsidRPr="003F78A7">
        <w:rPr>
          <w:b/>
          <w:lang w:eastAsia="en-GB"/>
        </w:rPr>
        <w:t xml:space="preserve">.11.13 </w:t>
      </w:r>
      <w:r w:rsidR="00F34058" w:rsidRPr="0082251C">
        <w:rPr>
          <w:lang w:eastAsia="en-GB"/>
        </w:rPr>
        <w:t>We welcome the piloting of liaison and diversion services for people with mental health problems in the criminal justice system, with women-specific provision as an integral element</w:t>
      </w:r>
      <w:r w:rsidR="00B2487C">
        <w:rPr>
          <w:lang w:eastAsia="en-GB"/>
        </w:rPr>
        <w:t>.</w:t>
      </w:r>
      <w:r w:rsidR="00F34058" w:rsidRPr="0082251C">
        <w:rPr>
          <w:rStyle w:val="FootnoteReference"/>
          <w:rFonts w:cs="Arial"/>
          <w:lang w:eastAsia="en-GB"/>
        </w:rPr>
        <w:footnoteReference w:id="204"/>
      </w:r>
      <w:r w:rsidR="00F34058" w:rsidRPr="0082251C">
        <w:rPr>
          <w:lang w:eastAsia="en-GB"/>
        </w:rPr>
        <w:t xml:space="preserve"> </w:t>
      </w:r>
      <w:r w:rsidR="00F34058" w:rsidRPr="0082251C">
        <w:t>We maintain that there needs to be sufficient investment in community initiatives tailored to address the offending and rehabilitation of women, as well as to reduce the female prison population further.</w:t>
      </w:r>
      <w:r w:rsidR="00F34058" w:rsidRPr="0082251C">
        <w:rPr>
          <w:rStyle w:val="FootnoteReference"/>
          <w:rFonts w:cs="Arial"/>
        </w:rPr>
        <w:footnoteReference w:id="205"/>
      </w:r>
      <w:r w:rsidR="008C67B4">
        <w:t xml:space="preserve"> </w:t>
      </w:r>
      <w:r w:rsidR="00F34058" w:rsidRPr="0082251C">
        <w:t>This includes:</w:t>
      </w:r>
    </w:p>
    <w:p w:rsidR="00F34058" w:rsidRPr="0082251C" w:rsidRDefault="00F34058" w:rsidP="0097441D">
      <w:pPr>
        <w:pStyle w:val="Bullet-followedbyothers"/>
      </w:pPr>
      <w:r w:rsidRPr="0082251C">
        <w:t>greater leadership to ensure that gender</w:t>
      </w:r>
      <w:r w:rsidR="00B2487C">
        <w:t>-</w:t>
      </w:r>
      <w:r w:rsidRPr="0082251C">
        <w:t>specific responses to offending are understood and implemented</w:t>
      </w:r>
    </w:p>
    <w:p w:rsidR="00F34058" w:rsidRDefault="00F34058" w:rsidP="0097441D">
      <w:pPr>
        <w:pStyle w:val="Bullet-followedbyothers"/>
      </w:pPr>
      <w:r w:rsidRPr="0082251C">
        <w:t>a coherent funding strategy to red</w:t>
      </w:r>
      <w:r>
        <w:t>uce the uncertainty of these organisations working with women offenders and those at risk of offending</w:t>
      </w:r>
    </w:p>
    <w:p w:rsidR="00F34058" w:rsidRDefault="00F34058" w:rsidP="0097441D">
      <w:pPr>
        <w:pStyle w:val="Bullet-followedbyothers"/>
      </w:pPr>
      <w:r>
        <w:t>increased women</w:t>
      </w:r>
      <w:r w:rsidR="00B2487C">
        <w:t>-</w:t>
      </w:r>
      <w:r>
        <w:t xml:space="preserve">specific community orders across England and Wales to provide </w:t>
      </w:r>
      <w:proofErr w:type="spellStart"/>
      <w:r>
        <w:t>sentencers</w:t>
      </w:r>
      <w:proofErr w:type="spellEnd"/>
      <w:r>
        <w:t xml:space="preserve"> with a viable alternative to custodial sentences</w:t>
      </w:r>
    </w:p>
    <w:p w:rsidR="00F34058" w:rsidRDefault="00F34058" w:rsidP="0097441D">
      <w:pPr>
        <w:pStyle w:val="Bullet-lastingroup"/>
      </w:pPr>
      <w:proofErr w:type="gramStart"/>
      <w:r>
        <w:rPr>
          <w:lang w:eastAsia="en-GB"/>
        </w:rPr>
        <w:t>improved</w:t>
      </w:r>
      <w:proofErr w:type="gramEnd"/>
      <w:r>
        <w:rPr>
          <w:lang w:eastAsia="en-GB"/>
        </w:rPr>
        <w:t xml:space="preserve"> information sharing about local services to increase the take</w:t>
      </w:r>
      <w:r w:rsidR="00B2487C">
        <w:rPr>
          <w:lang w:eastAsia="en-GB"/>
        </w:rPr>
        <w:t>-</w:t>
      </w:r>
      <w:r>
        <w:rPr>
          <w:lang w:eastAsia="en-GB"/>
        </w:rPr>
        <w:t>up of services which are available.</w:t>
      </w:r>
      <w:r>
        <w:rPr>
          <w:rStyle w:val="FootnoteReference"/>
          <w:rFonts w:cs="Arial"/>
          <w:lang w:eastAsia="en-GB"/>
        </w:rPr>
        <w:footnoteReference w:id="206"/>
      </w:r>
      <w:r w:rsidR="008C67B4">
        <w:rPr>
          <w:lang w:eastAsia="en-GB"/>
        </w:rPr>
        <w:t xml:space="preserve"> </w:t>
      </w:r>
    </w:p>
    <w:p w:rsidR="00F34058" w:rsidRDefault="00364E33" w:rsidP="0097441D">
      <w:pPr>
        <w:pStyle w:val="Parabeforenewsubsection"/>
        <w:rPr>
          <w:color w:val="000000"/>
        </w:rPr>
      </w:pPr>
      <w:r w:rsidRPr="003F78A7">
        <w:rPr>
          <w:b/>
        </w:rPr>
        <w:t>D</w:t>
      </w:r>
      <w:r w:rsidR="00153F66" w:rsidRPr="003F78A7">
        <w:rPr>
          <w:b/>
        </w:rPr>
        <w:t xml:space="preserve">.11.14 </w:t>
      </w:r>
      <w:r w:rsidR="00F34058">
        <w:t>The Chief Inspector of Prisons reported</w:t>
      </w:r>
      <w:r w:rsidR="008A7EB7">
        <w:t xml:space="preserve"> in October 2014 that there have been</w:t>
      </w:r>
      <w:r w:rsidR="00F34058">
        <w:t xml:space="preserve"> improved safety outcomes in women's prisons </w:t>
      </w:r>
      <w:r w:rsidR="008A7EB7">
        <w:t xml:space="preserve">following </w:t>
      </w:r>
      <w:r w:rsidR="00F34058">
        <w:t>the introduction of improved support procedures</w:t>
      </w:r>
      <w:r w:rsidR="008A7EB7">
        <w:t>,</w:t>
      </w:r>
      <w:r w:rsidR="00F34058">
        <w:t xml:space="preserve"> including </w:t>
      </w:r>
      <w:r w:rsidR="00F34058">
        <w:rPr>
          <w:color w:val="000000"/>
        </w:rPr>
        <w:t>better substance misuse services and better mental health care.</w:t>
      </w:r>
      <w:r w:rsidR="00F34058">
        <w:rPr>
          <w:rStyle w:val="FootnoteReference"/>
          <w:color w:val="000000"/>
        </w:rPr>
        <w:footnoteReference w:id="207"/>
      </w:r>
      <w:r w:rsidR="00F34058">
        <w:rPr>
          <w:color w:val="000000"/>
        </w:rPr>
        <w:t xml:space="preserve"> However, </w:t>
      </w:r>
      <w:r w:rsidR="008A7EB7">
        <w:rPr>
          <w:color w:val="000000"/>
        </w:rPr>
        <w:t xml:space="preserve">he </w:t>
      </w:r>
      <w:r w:rsidR="00F34058">
        <w:rPr>
          <w:color w:val="000000"/>
        </w:rPr>
        <w:t>also note</w:t>
      </w:r>
      <w:r w:rsidR="008A7EB7">
        <w:rPr>
          <w:color w:val="000000"/>
        </w:rPr>
        <w:t>d</w:t>
      </w:r>
      <w:r w:rsidR="00F34058">
        <w:rPr>
          <w:color w:val="000000"/>
        </w:rPr>
        <w:t xml:space="preserve"> that some of the most vulnerable women are also the most challenging and their care is less developed than it would be in a men’s prison.</w:t>
      </w:r>
      <w:r w:rsidR="00F34058">
        <w:rPr>
          <w:rStyle w:val="FootnoteReference"/>
          <w:color w:val="000000"/>
        </w:rPr>
        <w:footnoteReference w:id="208"/>
      </w:r>
    </w:p>
    <w:p w:rsidR="00406FED" w:rsidRPr="004E720F" w:rsidRDefault="001C26F9" w:rsidP="002B6091">
      <w:pPr>
        <w:pStyle w:val="Heading-subsections"/>
        <w:numPr>
          <w:ilvl w:val="0"/>
          <w:numId w:val="16"/>
        </w:numPr>
      </w:pPr>
      <w:r w:rsidRPr="004E720F">
        <w:t>Disabled and older prisoners</w:t>
      </w:r>
    </w:p>
    <w:p w:rsidR="00F34058" w:rsidRDefault="00364E33" w:rsidP="0097441D">
      <w:pPr>
        <w:pStyle w:val="Parabeforenewsubsection"/>
      </w:pPr>
      <w:r w:rsidRPr="003F78A7">
        <w:rPr>
          <w:b/>
        </w:rPr>
        <w:t>D</w:t>
      </w:r>
      <w:r w:rsidR="00153F66" w:rsidRPr="003F78A7">
        <w:rPr>
          <w:b/>
        </w:rPr>
        <w:t>.11.15</w:t>
      </w:r>
      <w:r w:rsidR="00153F66">
        <w:t xml:space="preserve"> </w:t>
      </w:r>
      <w:r w:rsidR="00F34058">
        <w:t>As well as not collecting data on the number of prisoners with mental health conditions, the prison service does not collect data on the number of people with disabilities.</w:t>
      </w:r>
      <w:r w:rsidR="008C67B4">
        <w:t xml:space="preserve"> </w:t>
      </w:r>
      <w:r w:rsidR="00F34058">
        <w:t xml:space="preserve">The EHRC </w:t>
      </w:r>
      <w:r w:rsidR="00883EB3">
        <w:t xml:space="preserve">notes the Chief Inspector of Prison’s findings </w:t>
      </w:r>
      <w:r w:rsidR="00F34058">
        <w:t xml:space="preserve">that prisoners </w:t>
      </w:r>
      <w:r w:rsidR="00F34058">
        <w:lastRenderedPageBreak/>
        <w:t>with disabilities have problems accessing different parts of prison facilities.</w:t>
      </w:r>
      <w:r w:rsidR="00F34058">
        <w:rPr>
          <w:rStyle w:val="FootnoteReference"/>
        </w:rPr>
        <w:footnoteReference w:id="209"/>
      </w:r>
      <w:r w:rsidR="008C67B4">
        <w:t xml:space="preserve"> </w:t>
      </w:r>
      <w:r w:rsidR="00F34058">
        <w:t>Disability will increasingly affect the rapidly aging prisoner population, and the EHRC continues to support HMCIP’s repeated recommendation for an Older Prisoners Strategy to meet these specific needs.</w:t>
      </w:r>
      <w:r w:rsidR="00F34058">
        <w:rPr>
          <w:rStyle w:val="FootnoteReference"/>
        </w:rPr>
        <w:footnoteReference w:id="210"/>
      </w:r>
    </w:p>
    <w:p w:rsidR="00F262B6" w:rsidRDefault="00F262B6" w:rsidP="00F262B6">
      <w:pPr>
        <w:pStyle w:val="Heading-subsections"/>
      </w:pPr>
      <w:r>
        <w:t>Conclusion:</w:t>
      </w:r>
    </w:p>
    <w:p w:rsidR="00F34058" w:rsidRPr="0097441D" w:rsidRDefault="00364E33" w:rsidP="0097441D">
      <w:pPr>
        <w:pStyle w:val="Parapre-bullets"/>
        <w:rPr>
          <w:b/>
        </w:rPr>
      </w:pPr>
      <w:r>
        <w:rPr>
          <w:b/>
        </w:rPr>
        <w:t>D</w:t>
      </w:r>
      <w:r w:rsidR="00153F66">
        <w:rPr>
          <w:b/>
        </w:rPr>
        <w:t xml:space="preserve">.11.16 </w:t>
      </w:r>
      <w:r w:rsidR="001431D1" w:rsidRPr="0097441D">
        <w:rPr>
          <w:b/>
        </w:rPr>
        <w:t xml:space="preserve">While the UK Government has made recent progress and committed to </w:t>
      </w:r>
      <w:r w:rsidR="00B2487C" w:rsidRPr="0097441D">
        <w:rPr>
          <w:b/>
        </w:rPr>
        <w:t>‘</w:t>
      </w:r>
      <w:r w:rsidR="001431D1" w:rsidRPr="0097441D">
        <w:rPr>
          <w:b/>
        </w:rPr>
        <w:t>Transforming Rehabilitation</w:t>
      </w:r>
      <w:r w:rsidR="00B2487C" w:rsidRPr="0097441D">
        <w:rPr>
          <w:b/>
        </w:rPr>
        <w:t>’</w:t>
      </w:r>
      <w:r w:rsidR="001431D1" w:rsidRPr="0097441D">
        <w:rPr>
          <w:b/>
        </w:rPr>
        <w:t xml:space="preserve"> in England and Wales, </w:t>
      </w:r>
      <w:r w:rsidR="00F34058" w:rsidRPr="0097441D">
        <w:rPr>
          <w:b/>
        </w:rPr>
        <w:t xml:space="preserve">considerable challenges </w:t>
      </w:r>
      <w:r w:rsidR="001431D1" w:rsidRPr="0097441D">
        <w:rPr>
          <w:b/>
        </w:rPr>
        <w:t xml:space="preserve">in protecting </w:t>
      </w:r>
      <w:r w:rsidR="00F34058" w:rsidRPr="0097441D">
        <w:rPr>
          <w:b/>
        </w:rPr>
        <w:t>the</w:t>
      </w:r>
      <w:r w:rsidR="001431D1" w:rsidRPr="0097441D">
        <w:rPr>
          <w:b/>
        </w:rPr>
        <w:t xml:space="preserve"> human rights of those detained by the</w:t>
      </w:r>
      <w:r w:rsidR="00F34058" w:rsidRPr="0097441D">
        <w:rPr>
          <w:b/>
        </w:rPr>
        <w:t xml:space="preserve"> prison service</w:t>
      </w:r>
      <w:r w:rsidR="00B2487C" w:rsidRPr="0097441D">
        <w:rPr>
          <w:b/>
        </w:rPr>
        <w:t xml:space="preserve"> remain</w:t>
      </w:r>
      <w:r w:rsidR="00F34058" w:rsidRPr="0097441D">
        <w:rPr>
          <w:b/>
        </w:rPr>
        <w:t>, particularly</w:t>
      </w:r>
      <w:r w:rsidR="001431D1" w:rsidRPr="0097441D">
        <w:rPr>
          <w:b/>
        </w:rPr>
        <w:t xml:space="preserve"> the right to life</w:t>
      </w:r>
      <w:r w:rsidR="00F34058" w:rsidRPr="0097441D">
        <w:rPr>
          <w:b/>
        </w:rPr>
        <w:t xml:space="preserve"> of offenders with mental health conditions who are at risk self-harm and self-inflicted deaths. </w:t>
      </w:r>
      <w:r w:rsidR="001431D1" w:rsidRPr="0097441D">
        <w:rPr>
          <w:b/>
        </w:rPr>
        <w:t xml:space="preserve">In order to comply with Article 6 of ICCPR, the UK Government should </w:t>
      </w:r>
      <w:r w:rsidR="00DB0E05" w:rsidRPr="0097441D">
        <w:rPr>
          <w:b/>
        </w:rPr>
        <w:t xml:space="preserve">adopt </w:t>
      </w:r>
      <w:r w:rsidR="001431D1" w:rsidRPr="0097441D">
        <w:rPr>
          <w:b/>
        </w:rPr>
        <w:t xml:space="preserve">the </w:t>
      </w:r>
      <w:r w:rsidR="00C7003C" w:rsidRPr="0097441D">
        <w:rPr>
          <w:b/>
        </w:rPr>
        <w:t>EHRC’</w:t>
      </w:r>
      <w:r w:rsidR="0017664E" w:rsidRPr="0097441D">
        <w:rPr>
          <w:b/>
        </w:rPr>
        <w:t>s</w:t>
      </w:r>
      <w:r w:rsidR="00C7003C" w:rsidRPr="0097441D">
        <w:rPr>
          <w:b/>
        </w:rPr>
        <w:t xml:space="preserve"> </w:t>
      </w:r>
      <w:r w:rsidR="00B2487C" w:rsidRPr="0097441D">
        <w:rPr>
          <w:b/>
        </w:rPr>
        <w:t>H</w:t>
      </w:r>
      <w:r w:rsidR="00DB0E05" w:rsidRPr="0097441D">
        <w:rPr>
          <w:b/>
        </w:rPr>
        <w:t xml:space="preserve">uman </w:t>
      </w:r>
      <w:r w:rsidR="00B2487C" w:rsidRPr="0097441D">
        <w:rPr>
          <w:b/>
        </w:rPr>
        <w:t>R</w:t>
      </w:r>
      <w:r w:rsidR="00DB0E05" w:rsidRPr="0097441D">
        <w:rPr>
          <w:b/>
        </w:rPr>
        <w:t xml:space="preserve">ights </w:t>
      </w:r>
      <w:r w:rsidR="00B2487C" w:rsidRPr="0097441D">
        <w:rPr>
          <w:b/>
        </w:rPr>
        <w:t>F</w:t>
      </w:r>
      <w:r w:rsidR="00DB0E05" w:rsidRPr="0097441D">
        <w:rPr>
          <w:b/>
        </w:rPr>
        <w:t xml:space="preserve">ramework and implement the other recommendations of its </w:t>
      </w:r>
      <w:r w:rsidR="001431D1" w:rsidRPr="0097441D">
        <w:rPr>
          <w:b/>
        </w:rPr>
        <w:t>inquiry into</w:t>
      </w:r>
      <w:r w:rsidR="00DB0E05" w:rsidRPr="0097441D">
        <w:rPr>
          <w:b/>
        </w:rPr>
        <w:t xml:space="preserve"> non-natural deaths in detention of adults with mental health conditions. In addition, a number of interventions are required to meet the </w:t>
      </w:r>
      <w:r w:rsidR="008630ED" w:rsidRPr="0097441D">
        <w:rPr>
          <w:b/>
        </w:rPr>
        <w:t>complex</w:t>
      </w:r>
      <w:r w:rsidR="00DB0E05" w:rsidRPr="0097441D">
        <w:rPr>
          <w:b/>
        </w:rPr>
        <w:t xml:space="preserve"> needs of particular sections of the prisoner population, including women, older prisoners and people with disabilities; and </w:t>
      </w:r>
      <w:r w:rsidR="00F34058" w:rsidRPr="0097441D">
        <w:rPr>
          <w:b/>
        </w:rPr>
        <w:t>to rehabilitate prisoners</w:t>
      </w:r>
      <w:r w:rsidR="00DB0E05" w:rsidRPr="0097441D">
        <w:rPr>
          <w:b/>
        </w:rPr>
        <w:t>, generally,</w:t>
      </w:r>
      <w:r w:rsidR="00F34058" w:rsidRPr="0097441D">
        <w:rPr>
          <w:b/>
        </w:rPr>
        <w:t xml:space="preserve"> and divert them away from offending and from custody.</w:t>
      </w:r>
      <w:r w:rsidR="00DB0E05" w:rsidRPr="0097441D">
        <w:rPr>
          <w:b/>
        </w:rPr>
        <w:t xml:space="preserve"> These include:</w:t>
      </w:r>
    </w:p>
    <w:p w:rsidR="00DB0E05" w:rsidRPr="0097441D" w:rsidRDefault="00DB0E05" w:rsidP="0097441D">
      <w:pPr>
        <w:pStyle w:val="Bullet-followedbyothers"/>
        <w:rPr>
          <w:b/>
        </w:rPr>
      </w:pPr>
      <w:r w:rsidRPr="0097441D">
        <w:rPr>
          <w:b/>
        </w:rPr>
        <w:t>further investment in community</w:t>
      </w:r>
      <w:r w:rsidR="00B2487C" w:rsidRPr="0097441D">
        <w:rPr>
          <w:b/>
        </w:rPr>
        <w:t>-</w:t>
      </w:r>
      <w:r w:rsidRPr="0097441D">
        <w:rPr>
          <w:b/>
        </w:rPr>
        <w:t>based services to reduce offending and reoffending, such as those to tackle substance abuse</w:t>
      </w:r>
    </w:p>
    <w:p w:rsidR="00DB0E05" w:rsidRPr="0097441D" w:rsidRDefault="00DB0E05" w:rsidP="0097441D">
      <w:pPr>
        <w:pStyle w:val="Bullet-followedbyothers"/>
        <w:rPr>
          <w:b/>
        </w:rPr>
      </w:pPr>
      <w:r w:rsidRPr="0097441D">
        <w:rPr>
          <w:b/>
        </w:rPr>
        <w:t>improved data collection to understand the prevalence of disability within the prisoner population to help identify targeted services that meet different and complex needs</w:t>
      </w:r>
    </w:p>
    <w:p w:rsidR="00DB0E05" w:rsidRPr="0097441D" w:rsidRDefault="00DB0E05" w:rsidP="0097441D">
      <w:pPr>
        <w:pStyle w:val="Bullet-followedbyothers"/>
        <w:rPr>
          <w:b/>
        </w:rPr>
      </w:pPr>
      <w:r w:rsidRPr="0097441D">
        <w:rPr>
          <w:b/>
        </w:rPr>
        <w:t>the development of an older prisoners strategy</w:t>
      </w:r>
    </w:p>
    <w:p w:rsidR="00DB0E05" w:rsidRPr="0097441D" w:rsidRDefault="00DB0E05" w:rsidP="0097441D">
      <w:pPr>
        <w:pStyle w:val="Bullet-followedbyothers"/>
        <w:rPr>
          <w:b/>
        </w:rPr>
      </w:pPr>
      <w:r w:rsidRPr="0097441D">
        <w:rPr>
          <w:b/>
        </w:rPr>
        <w:t xml:space="preserve">implementation of the outstanding recommendations from the </w:t>
      </w:r>
      <w:proofErr w:type="spellStart"/>
      <w:r w:rsidRPr="0097441D">
        <w:rPr>
          <w:b/>
        </w:rPr>
        <w:t>Corston</w:t>
      </w:r>
      <w:proofErr w:type="spellEnd"/>
      <w:r w:rsidRPr="0097441D">
        <w:rPr>
          <w:b/>
        </w:rPr>
        <w:t xml:space="preserve"> Report, in line with the Bangkok rules and the 2013 Concluding Observations of the Committee on the Elimination of Discrimination Against Women and the Committee Against Torture</w:t>
      </w:r>
      <w:r w:rsidR="00C7003C" w:rsidRPr="0097441D">
        <w:rPr>
          <w:b/>
        </w:rPr>
        <w:t>,</w:t>
      </w:r>
      <w:r w:rsidRPr="0097441D">
        <w:rPr>
          <w:b/>
        </w:rPr>
        <w:t xml:space="preserve"> and</w:t>
      </w:r>
    </w:p>
    <w:p w:rsidR="00DB0E05" w:rsidRPr="0097441D" w:rsidRDefault="00C7003C" w:rsidP="0097441D">
      <w:pPr>
        <w:pStyle w:val="Bullet-lastingroup"/>
        <w:rPr>
          <w:b/>
        </w:rPr>
      </w:pPr>
      <w:proofErr w:type="gramStart"/>
      <w:r w:rsidRPr="0097441D">
        <w:rPr>
          <w:b/>
        </w:rPr>
        <w:t>m</w:t>
      </w:r>
      <w:r w:rsidR="00DB0E05" w:rsidRPr="0097441D">
        <w:rPr>
          <w:b/>
        </w:rPr>
        <w:t>onitoring</w:t>
      </w:r>
      <w:proofErr w:type="gramEnd"/>
      <w:r w:rsidR="00DB0E05" w:rsidRPr="0097441D">
        <w:rPr>
          <w:b/>
        </w:rPr>
        <w:t xml:space="preserve"> of implementation of the extent to which the Sentencing Council’s mitigation factors have been applied for sole or primary carers.</w:t>
      </w:r>
    </w:p>
    <w:p w:rsidR="00F34058" w:rsidRDefault="00F34058" w:rsidP="00B715F1">
      <w:pPr>
        <w:pStyle w:val="Parabold"/>
      </w:pPr>
      <w:r>
        <w:t xml:space="preserve">Question A: When will the UK Government publish its review into the increase in the number of self-inflicted deaths and will it consider the potential link </w:t>
      </w:r>
      <w:r>
        <w:lastRenderedPageBreak/>
        <w:t>between the increase in the male prison population and the increase in cases of self-harm and self-inflicted deaths?</w:t>
      </w:r>
    </w:p>
    <w:p w:rsidR="00F34058" w:rsidRPr="0097441D" w:rsidRDefault="00F34058" w:rsidP="0097441D">
      <w:pPr>
        <w:pStyle w:val="Parapre-bullets"/>
        <w:rPr>
          <w:b/>
        </w:rPr>
      </w:pPr>
      <w:r w:rsidRPr="0097441D">
        <w:rPr>
          <w:b/>
        </w:rPr>
        <w:t xml:space="preserve">Question B: When will the UK Government respond to the recommendations from the Justice Committee, including the steps it is taking </w:t>
      </w:r>
      <w:proofErr w:type="gramStart"/>
      <w:r w:rsidRPr="0097441D">
        <w:rPr>
          <w:b/>
        </w:rPr>
        <w:t>to:</w:t>
      </w:r>
      <w:proofErr w:type="gramEnd"/>
    </w:p>
    <w:p w:rsidR="00F34058" w:rsidRPr="0097441D" w:rsidRDefault="00F34058" w:rsidP="0097441D">
      <w:pPr>
        <w:pStyle w:val="Bullet-followedbyothers"/>
        <w:rPr>
          <w:b/>
        </w:rPr>
      </w:pPr>
      <w:proofErr w:type="gramStart"/>
      <w:r w:rsidRPr="0097441D">
        <w:rPr>
          <w:b/>
        </w:rPr>
        <w:t>reduce</w:t>
      </w:r>
      <w:proofErr w:type="gramEnd"/>
      <w:r w:rsidRPr="0097441D">
        <w:rPr>
          <w:b/>
        </w:rPr>
        <w:t xml:space="preserve"> the number of people being incarcerated in prisons in England and Wales?</w:t>
      </w:r>
    </w:p>
    <w:p w:rsidR="00F34058" w:rsidRPr="0097441D" w:rsidRDefault="00F34058" w:rsidP="0097441D">
      <w:pPr>
        <w:pStyle w:val="Bullet-lastingroup"/>
        <w:rPr>
          <w:b/>
        </w:rPr>
      </w:pPr>
      <w:proofErr w:type="gramStart"/>
      <w:r w:rsidRPr="0097441D">
        <w:rPr>
          <w:b/>
        </w:rPr>
        <w:t>reduce</w:t>
      </w:r>
      <w:proofErr w:type="gramEnd"/>
      <w:r w:rsidRPr="0097441D">
        <w:rPr>
          <w:b/>
        </w:rPr>
        <w:t xml:space="preserve"> the number of hours a prisoner is locked in their cells in favour of improved purposeful activity and rehabilitation?</w:t>
      </w:r>
    </w:p>
    <w:p w:rsidR="00F34058" w:rsidRDefault="00F34058" w:rsidP="0097441D">
      <w:pPr>
        <w:pStyle w:val="Parabold"/>
      </w:pPr>
      <w:r>
        <w:t xml:space="preserve">Question C: What steps is the UK Government taking to respond to the findings and recommendations in the EHRC’s Deaths in Detention Report? This should include ensuring that new </w:t>
      </w:r>
      <w:r w:rsidRPr="007A0B64">
        <w:t>institutions (s</w:t>
      </w:r>
      <w:r>
        <w:t xml:space="preserve">uch as Secure Training Centres </w:t>
      </w:r>
      <w:r w:rsidRPr="007A0B64">
        <w:t xml:space="preserve">and the North Wales prison in Wrexham) incorporate policies which explicitly address human rights obligations and incorporate </w:t>
      </w:r>
      <w:r w:rsidR="00C7003C">
        <w:t>EHRC’s</w:t>
      </w:r>
      <w:r>
        <w:t xml:space="preserve"> Human Rights Framework.</w:t>
      </w:r>
    </w:p>
    <w:p w:rsidR="00F34058" w:rsidRPr="0097441D" w:rsidRDefault="00F34058" w:rsidP="0097441D">
      <w:pPr>
        <w:pStyle w:val="Parabeforebulletss"/>
        <w:rPr>
          <w:b/>
        </w:rPr>
      </w:pPr>
      <w:r w:rsidRPr="0097441D">
        <w:rPr>
          <w:b/>
        </w:rPr>
        <w:t>Question D</w:t>
      </w:r>
      <w:r w:rsidR="00105992" w:rsidRPr="0097441D">
        <w:rPr>
          <w:b/>
        </w:rPr>
        <w:t>:</w:t>
      </w:r>
      <w:r w:rsidRPr="0097441D">
        <w:rPr>
          <w:b/>
        </w:rPr>
        <w:t xml:space="preserve"> When will the UK Government carry out the commitments made by the Justice </w:t>
      </w:r>
      <w:proofErr w:type="gramStart"/>
      <w:r w:rsidR="008630ED" w:rsidRPr="0097441D">
        <w:rPr>
          <w:b/>
        </w:rPr>
        <w:t>secretary</w:t>
      </w:r>
      <w:proofErr w:type="gramEnd"/>
      <w:r w:rsidRPr="0097441D">
        <w:rPr>
          <w:b/>
        </w:rPr>
        <w:t xml:space="preserve"> to:</w:t>
      </w:r>
    </w:p>
    <w:p w:rsidR="00F34058" w:rsidRPr="0097441D" w:rsidRDefault="00F34058" w:rsidP="0097441D">
      <w:pPr>
        <w:pStyle w:val="Bullet-followedbyothers"/>
        <w:rPr>
          <w:b/>
        </w:rPr>
      </w:pPr>
      <w:proofErr w:type="gramStart"/>
      <w:r w:rsidRPr="0097441D">
        <w:rPr>
          <w:b/>
        </w:rPr>
        <w:t>improve</w:t>
      </w:r>
      <w:proofErr w:type="gramEnd"/>
      <w:r w:rsidRPr="0097441D">
        <w:rPr>
          <w:b/>
        </w:rPr>
        <w:t xml:space="preserve"> mental health services in prisons?</w:t>
      </w:r>
    </w:p>
    <w:p w:rsidR="00F34058" w:rsidRPr="0097441D" w:rsidRDefault="00C7003C" w:rsidP="0097441D">
      <w:pPr>
        <w:pStyle w:val="Bullet-lastingroup"/>
        <w:rPr>
          <w:b/>
        </w:rPr>
      </w:pPr>
      <w:proofErr w:type="gramStart"/>
      <w:r w:rsidRPr="0097441D">
        <w:rPr>
          <w:b/>
        </w:rPr>
        <w:t>i</w:t>
      </w:r>
      <w:r w:rsidR="001C26F9" w:rsidRPr="0097441D">
        <w:rPr>
          <w:b/>
        </w:rPr>
        <w:t>dentify</w:t>
      </w:r>
      <w:proofErr w:type="gramEnd"/>
      <w:r w:rsidR="001C26F9" w:rsidRPr="0097441D">
        <w:rPr>
          <w:b/>
        </w:rPr>
        <w:t xml:space="preserve"> offenders with mental health conditions, and will this include the collection and publication of the numbers of prisoners with mental health conditions and the types of mental health conditions that they have?</w:t>
      </w:r>
    </w:p>
    <w:p w:rsidR="00505C5F" w:rsidRPr="00DC7840" w:rsidRDefault="00F34058" w:rsidP="00DC7840">
      <w:pPr>
        <w:pStyle w:val="Parabeforenewsection"/>
        <w:rPr>
          <w:b/>
        </w:rPr>
      </w:pPr>
      <w:r w:rsidRPr="00DC7840">
        <w:rPr>
          <w:b/>
        </w:rPr>
        <w:t>Question E: Can the UK Government describe how it will evidence the impact of initiatives that specifically address the offending and rehabilitation of women?</w:t>
      </w:r>
    </w:p>
    <w:p w:rsidR="005B700D" w:rsidRDefault="0031371D" w:rsidP="00DC7840">
      <w:pPr>
        <w:pStyle w:val="Heading-sections"/>
      </w:pPr>
      <w:bookmarkStart w:id="23" w:name="_Toc420603278"/>
      <w:r>
        <w:t xml:space="preserve">12. </w:t>
      </w:r>
      <w:r w:rsidR="00505C5F">
        <w:t xml:space="preserve">Youth </w:t>
      </w:r>
      <w:r w:rsidR="00105992">
        <w:t>j</w:t>
      </w:r>
      <w:r w:rsidR="00505C5F">
        <w:t>ustice</w:t>
      </w:r>
      <w:r w:rsidR="005150BC">
        <w:t>, List of issues paragraph 25</w:t>
      </w:r>
      <w:bookmarkEnd w:id="23"/>
    </w:p>
    <w:p w:rsidR="005B700D" w:rsidRPr="00B654AC" w:rsidRDefault="00DC7840" w:rsidP="00A819B2">
      <w:pPr>
        <w:pStyle w:val="Heading-subsections"/>
        <w:ind w:left="720"/>
      </w:pPr>
      <w:r>
        <w:t xml:space="preserve">a. </w:t>
      </w:r>
      <w:r w:rsidR="005B700D" w:rsidRPr="00B654AC">
        <w:t>The age of criminal responsibility</w:t>
      </w:r>
    </w:p>
    <w:p w:rsidR="005B700D" w:rsidRDefault="00364E33" w:rsidP="0097441D">
      <w:pPr>
        <w:pStyle w:val="Parabeforeanother"/>
      </w:pPr>
      <w:r w:rsidRPr="003F78A7">
        <w:rPr>
          <w:b/>
        </w:rPr>
        <w:t>D</w:t>
      </w:r>
      <w:r w:rsidR="00153F66" w:rsidRPr="003F78A7">
        <w:rPr>
          <w:b/>
        </w:rPr>
        <w:t xml:space="preserve">.12.1 </w:t>
      </w:r>
      <w:r w:rsidR="007C394C" w:rsidRPr="008B2CB8">
        <w:t>In England and Wales</w:t>
      </w:r>
      <w:r w:rsidR="007261A3">
        <w:t>,</w:t>
      </w:r>
      <w:r w:rsidR="007C394C" w:rsidRPr="008B2CB8">
        <w:t xml:space="preserve"> the age of criminal responsi</w:t>
      </w:r>
      <w:r w:rsidR="007C394C">
        <w:t xml:space="preserve">bility is set at 10 years old. </w:t>
      </w:r>
      <w:r w:rsidR="005B700D">
        <w:t>Since the EHRC’s submission to the HRC in July 2014,</w:t>
      </w:r>
      <w:r w:rsidR="005B700D">
        <w:rPr>
          <w:rStyle w:val="FootnoteReference"/>
        </w:rPr>
        <w:footnoteReference w:id="211"/>
      </w:r>
      <w:r w:rsidR="005B700D">
        <w:t xml:space="preserve"> the UK Government has not taken steps to increase the age of criminal responsibility. This is not in line with </w:t>
      </w:r>
      <w:r w:rsidR="005B700D">
        <w:lastRenderedPageBreak/>
        <w:t xml:space="preserve">recommendations from the </w:t>
      </w:r>
      <w:r w:rsidR="005B700D" w:rsidRPr="008B2CB8">
        <w:t>C</w:t>
      </w:r>
      <w:r w:rsidR="005B700D">
        <w:t>ommittee on the Rights of the Child</w:t>
      </w:r>
      <w:r w:rsidR="00C7003C">
        <w:t>,</w:t>
      </w:r>
      <w:r w:rsidR="005B700D" w:rsidRPr="008B2CB8">
        <w:rPr>
          <w:vertAlign w:val="superscript"/>
        </w:rPr>
        <w:footnoteReference w:id="212"/>
      </w:r>
      <w:r w:rsidR="008C67B4">
        <w:t xml:space="preserve"> </w:t>
      </w:r>
      <w:r w:rsidR="005B700D">
        <w:t xml:space="preserve">the Committee </w:t>
      </w:r>
      <w:proofErr w:type="gramStart"/>
      <w:r w:rsidR="005B700D">
        <w:t>Against</w:t>
      </w:r>
      <w:proofErr w:type="gramEnd"/>
      <w:r w:rsidR="005B700D">
        <w:t xml:space="preserve"> Torture</w:t>
      </w:r>
      <w:r w:rsidR="005B700D" w:rsidRPr="008B2CB8">
        <w:rPr>
          <w:rStyle w:val="FootnoteReference"/>
        </w:rPr>
        <w:footnoteReference w:id="213"/>
      </w:r>
      <w:r w:rsidR="005B700D">
        <w:t xml:space="preserve"> and the </w:t>
      </w:r>
      <w:r w:rsidR="005B700D" w:rsidRPr="008B2CB8">
        <w:t>Council of Europe Commissioner for Human Rights.</w:t>
      </w:r>
      <w:r w:rsidR="005B700D" w:rsidRPr="008B2CB8">
        <w:rPr>
          <w:vertAlign w:val="superscript"/>
        </w:rPr>
        <w:footnoteReference w:id="214"/>
      </w:r>
    </w:p>
    <w:p w:rsidR="0009223E" w:rsidRPr="008B2CB8" w:rsidRDefault="00364E33" w:rsidP="0097441D">
      <w:pPr>
        <w:pStyle w:val="Parabeforeanother"/>
      </w:pPr>
      <w:r w:rsidRPr="003F78A7">
        <w:rPr>
          <w:b/>
        </w:rPr>
        <w:t>D</w:t>
      </w:r>
      <w:r w:rsidR="00153F66" w:rsidRPr="003F78A7">
        <w:rPr>
          <w:b/>
        </w:rPr>
        <w:t>.12.2</w:t>
      </w:r>
      <w:r w:rsidR="00153F66">
        <w:t xml:space="preserve"> </w:t>
      </w:r>
      <w:r w:rsidR="0009223E" w:rsidRPr="000064D0">
        <w:t xml:space="preserve">In March 2015, in response to the </w:t>
      </w:r>
      <w:r w:rsidR="0017664E">
        <w:t>HRC’s</w:t>
      </w:r>
      <w:r w:rsidR="0009223E" w:rsidRPr="000064D0">
        <w:t xml:space="preserve"> questions to the UK on this matter, the UK confirmed that it has no plans to increase the minimum age of criminal responsibility.</w:t>
      </w:r>
      <w:r w:rsidR="0009223E" w:rsidRPr="000064D0">
        <w:rPr>
          <w:rStyle w:val="FootnoteReference"/>
        </w:rPr>
        <w:footnoteReference w:id="215"/>
      </w:r>
      <w:r w:rsidR="008C67B4">
        <w:t xml:space="preserve"> </w:t>
      </w:r>
      <w:r w:rsidR="0009223E" w:rsidRPr="000064D0">
        <w:t xml:space="preserve">We note that the Scottish Government is giving consideration to </w:t>
      </w:r>
      <w:proofErr w:type="gramStart"/>
      <w:r w:rsidR="0009223E" w:rsidRPr="000064D0">
        <w:t>raise</w:t>
      </w:r>
      <w:proofErr w:type="gramEnd"/>
      <w:r w:rsidR="0009223E" w:rsidRPr="000064D0">
        <w:t xml:space="preserve"> the age of criminal responsibility.</w:t>
      </w:r>
      <w:r w:rsidR="0009223E" w:rsidRPr="000064D0">
        <w:rPr>
          <w:rStyle w:val="FootnoteReference"/>
        </w:rPr>
        <w:footnoteReference w:id="216"/>
      </w:r>
    </w:p>
    <w:p w:rsidR="005B700D" w:rsidRPr="00B654AC" w:rsidRDefault="00364E33" w:rsidP="0097441D">
      <w:pPr>
        <w:pStyle w:val="Parabeforenewsubsection"/>
        <w:rPr>
          <w:lang w:val="en-US"/>
        </w:rPr>
      </w:pPr>
      <w:r w:rsidRPr="003F78A7">
        <w:rPr>
          <w:b/>
          <w:lang w:val="en-US"/>
        </w:rPr>
        <w:t>D</w:t>
      </w:r>
      <w:r w:rsidR="00153F66" w:rsidRPr="003F78A7">
        <w:rPr>
          <w:b/>
          <w:lang w:val="en-US"/>
        </w:rPr>
        <w:t>.12.3</w:t>
      </w:r>
      <w:r w:rsidR="00153F66">
        <w:rPr>
          <w:lang w:val="en-US"/>
        </w:rPr>
        <w:t xml:space="preserve"> </w:t>
      </w:r>
      <w:r w:rsidR="005B700D">
        <w:rPr>
          <w:lang w:val="en-US"/>
        </w:rPr>
        <w:t>In our 2014 submission to the HRC</w:t>
      </w:r>
      <w:r w:rsidR="005B700D" w:rsidRPr="00E53912">
        <w:rPr>
          <w:lang w:val="en-US"/>
        </w:rPr>
        <w:t>, we stressed the importance of children being treated in the juvenile justice system, with sufficient consideration giv</w:t>
      </w:r>
      <w:r w:rsidR="005B700D">
        <w:rPr>
          <w:lang w:val="en-US"/>
        </w:rPr>
        <w:t>en to the child's age, maturity and</w:t>
      </w:r>
      <w:r w:rsidR="005B700D" w:rsidRPr="00E53912">
        <w:rPr>
          <w:lang w:val="en-US"/>
        </w:rPr>
        <w:t xml:space="preserve"> communication skills</w:t>
      </w:r>
      <w:r w:rsidR="007C394C">
        <w:rPr>
          <w:lang w:val="en-US"/>
        </w:rPr>
        <w:t xml:space="preserve"> as the best way to help meet Article 6 (right to a fair trial) under the ECHR.</w:t>
      </w:r>
      <w:r w:rsidR="005B700D" w:rsidRPr="00E53912">
        <w:rPr>
          <w:lang w:val="en-US"/>
        </w:rPr>
        <w:t xml:space="preserve"> We support the recommendation of Lord </w:t>
      </w:r>
      <w:proofErr w:type="spellStart"/>
      <w:r w:rsidR="005B700D" w:rsidRPr="00E53912">
        <w:rPr>
          <w:lang w:val="en-US"/>
        </w:rPr>
        <w:t>Carlile</w:t>
      </w:r>
      <w:proofErr w:type="spellEnd"/>
      <w:r w:rsidR="005B700D" w:rsidRPr="00E53912">
        <w:rPr>
          <w:lang w:val="en-US"/>
        </w:rPr>
        <w:t xml:space="preserve"> that there should be a presumption</w:t>
      </w:r>
      <w:r w:rsidR="005B700D">
        <w:rPr>
          <w:lang w:val="en-US"/>
        </w:rPr>
        <w:t>,</w:t>
      </w:r>
      <w:r w:rsidR="005B700D" w:rsidRPr="00E53912">
        <w:rPr>
          <w:lang w:val="en-US"/>
        </w:rPr>
        <w:t xml:space="preserve"> in </w:t>
      </w:r>
      <w:proofErr w:type="gramStart"/>
      <w:r w:rsidR="007261A3" w:rsidRPr="00E53912">
        <w:rPr>
          <w:lang w:val="en-US"/>
        </w:rPr>
        <w:t>law</w:t>
      </w:r>
      <w:r w:rsidR="00C7003C">
        <w:rPr>
          <w:lang w:val="en-US"/>
        </w:rPr>
        <w:t>,</w:t>
      </w:r>
      <w:r w:rsidR="007261A3">
        <w:rPr>
          <w:lang w:val="en-US"/>
        </w:rPr>
        <w:t xml:space="preserve"> that</w:t>
      </w:r>
      <w:proofErr w:type="gramEnd"/>
      <w:r w:rsidR="005B700D" w:rsidRPr="00E53912">
        <w:rPr>
          <w:lang w:val="en-US"/>
        </w:rPr>
        <w:t xml:space="preserve"> all children should be dealt with in youth courts.</w:t>
      </w:r>
      <w:r w:rsidR="005B700D">
        <w:rPr>
          <w:rStyle w:val="FootnoteReference"/>
          <w:iCs/>
          <w:lang w:val="en-US"/>
        </w:rPr>
        <w:footnoteReference w:id="217"/>
      </w:r>
      <w:r w:rsidR="005B700D" w:rsidRPr="00E53912">
        <w:rPr>
          <w:lang w:val="en-US"/>
        </w:rPr>
        <w:t xml:space="preserve"> We also support the piloting of a 'problem solving approach' in youth courts which better meet</w:t>
      </w:r>
      <w:r w:rsidR="005B700D">
        <w:rPr>
          <w:lang w:val="en-US"/>
        </w:rPr>
        <w:t>s</w:t>
      </w:r>
      <w:r w:rsidR="005B700D" w:rsidRPr="00E53912">
        <w:rPr>
          <w:lang w:val="en-US"/>
        </w:rPr>
        <w:t xml:space="preserve"> the aim of youth proceedings to prevent offending and have due regard to the welfare of the child</w:t>
      </w:r>
      <w:r w:rsidR="005B700D">
        <w:rPr>
          <w:lang w:val="en-US"/>
        </w:rPr>
        <w:t>.</w:t>
      </w:r>
      <w:r w:rsidR="005B700D">
        <w:rPr>
          <w:rStyle w:val="FootnoteReference"/>
          <w:iCs/>
          <w:lang w:val="en-US"/>
        </w:rPr>
        <w:footnoteReference w:id="218"/>
      </w:r>
    </w:p>
    <w:p w:rsidR="005B700D" w:rsidRPr="00143B4C" w:rsidRDefault="007261A3" w:rsidP="00A819B2">
      <w:pPr>
        <w:pStyle w:val="Heading-subsections"/>
        <w:ind w:left="720"/>
      </w:pPr>
      <w:r>
        <w:t xml:space="preserve">b. </w:t>
      </w:r>
      <w:r w:rsidR="005B700D" w:rsidRPr="00143B4C">
        <w:t>Detention as a last resort</w:t>
      </w:r>
    </w:p>
    <w:p w:rsidR="0009223E" w:rsidRPr="0009223E" w:rsidRDefault="00364E33" w:rsidP="0097441D">
      <w:pPr>
        <w:pStyle w:val="Parabeforeanother"/>
        <w:rPr>
          <w:rFonts w:cs="Trade Gothic LT Std"/>
          <w:color w:val="000000"/>
        </w:rPr>
      </w:pPr>
      <w:r w:rsidRPr="003F78A7">
        <w:rPr>
          <w:b/>
          <w:lang w:val="en-US"/>
        </w:rPr>
        <w:t>D</w:t>
      </w:r>
      <w:r w:rsidR="00153F66" w:rsidRPr="003F78A7">
        <w:rPr>
          <w:b/>
          <w:lang w:val="en-US"/>
        </w:rPr>
        <w:t xml:space="preserve">.12.4 </w:t>
      </w:r>
      <w:r w:rsidR="000F4D12">
        <w:rPr>
          <w:lang w:val="en-US"/>
        </w:rPr>
        <w:t xml:space="preserve">Article 37 of the UNCRC and </w:t>
      </w:r>
      <w:r w:rsidR="000F4D12" w:rsidRPr="00E53912">
        <w:rPr>
          <w:lang w:val="en-US"/>
        </w:rPr>
        <w:t>Rule 13 Beijing Rules all call for the use of detention</w:t>
      </w:r>
      <w:r w:rsidR="00D251BB">
        <w:rPr>
          <w:lang w:val="en-US"/>
        </w:rPr>
        <w:t xml:space="preserve"> of children only</w:t>
      </w:r>
      <w:r w:rsidR="000F4D12" w:rsidRPr="00E53912">
        <w:rPr>
          <w:lang w:val="en-US"/>
        </w:rPr>
        <w:t xml:space="preserve"> as </w:t>
      </w:r>
      <w:r w:rsidR="00C7003C">
        <w:rPr>
          <w:lang w:val="en-US"/>
        </w:rPr>
        <w:t xml:space="preserve">a </w:t>
      </w:r>
      <w:r w:rsidR="000F4D12" w:rsidRPr="00E53912">
        <w:rPr>
          <w:lang w:val="en-US"/>
        </w:rPr>
        <w:t>last resort</w:t>
      </w:r>
      <w:r w:rsidR="007C55FA">
        <w:rPr>
          <w:lang w:val="en-US"/>
        </w:rPr>
        <w:t xml:space="preserve"> and for the shortest appropriate period of time</w:t>
      </w:r>
      <w:r w:rsidR="000F4D12" w:rsidRPr="00E53912">
        <w:rPr>
          <w:lang w:val="en-US"/>
        </w:rPr>
        <w:t xml:space="preserve">. </w:t>
      </w:r>
      <w:r w:rsidR="005B700D" w:rsidRPr="003D479C">
        <w:t>The EHRC commends the UK Government for the continued reduction in the number of children sentenced to custody</w:t>
      </w:r>
      <w:r w:rsidR="00205958">
        <w:t>. In January 2015, there were 981</w:t>
      </w:r>
      <w:r w:rsidR="005B700D" w:rsidRPr="003D479C">
        <w:t xml:space="preserve"> under 18s in secure settings in England and Wales</w:t>
      </w:r>
      <w:r w:rsidR="00205958">
        <w:t>, a 17 per cent decrease on the previous year</w:t>
      </w:r>
      <w:r w:rsidR="005B700D" w:rsidRPr="003D479C">
        <w:t>.</w:t>
      </w:r>
      <w:r w:rsidR="005B700D" w:rsidRPr="003D479C">
        <w:rPr>
          <w:rStyle w:val="FootnoteReference"/>
        </w:rPr>
        <w:footnoteReference w:id="219"/>
      </w:r>
    </w:p>
    <w:p w:rsidR="0009223E" w:rsidRDefault="00364E33" w:rsidP="0097441D">
      <w:pPr>
        <w:pStyle w:val="Parabeforeanother"/>
      </w:pPr>
      <w:r w:rsidRPr="003F78A7">
        <w:rPr>
          <w:b/>
        </w:rPr>
        <w:lastRenderedPageBreak/>
        <w:t>D</w:t>
      </w:r>
      <w:r w:rsidR="00153F66" w:rsidRPr="003F78A7">
        <w:rPr>
          <w:b/>
        </w:rPr>
        <w:t>.12.5</w:t>
      </w:r>
      <w:r w:rsidR="00153F66">
        <w:t xml:space="preserve"> </w:t>
      </w:r>
      <w:r w:rsidR="0009223E" w:rsidRPr="000064D0">
        <w:t>We believe more can be done to ensure that detention is used as a last resort. For example, 62 per cent of all children and young people who are remanded into custody do not go on to receive custodial sentences.</w:t>
      </w:r>
      <w:r w:rsidR="0009223E" w:rsidRPr="000064D0">
        <w:rPr>
          <w:rStyle w:val="FootnoteReference"/>
        </w:rPr>
        <w:footnoteReference w:id="220"/>
      </w:r>
      <w:r w:rsidR="0009223E" w:rsidRPr="000064D0">
        <w:t xml:space="preserve"> This suggests that for the majority of young people, detention was not necessary. </w:t>
      </w:r>
    </w:p>
    <w:p w:rsidR="005B700D" w:rsidRDefault="00364E33" w:rsidP="0097441D">
      <w:pPr>
        <w:pStyle w:val="Parabeforeanother"/>
      </w:pPr>
      <w:r w:rsidRPr="003F78A7">
        <w:rPr>
          <w:b/>
        </w:rPr>
        <w:t>D</w:t>
      </w:r>
      <w:r w:rsidR="00153F66" w:rsidRPr="003F78A7">
        <w:rPr>
          <w:b/>
        </w:rPr>
        <w:t>.12.6</w:t>
      </w:r>
      <w:r w:rsidR="00153F66">
        <w:t xml:space="preserve"> </w:t>
      </w:r>
      <w:r w:rsidR="005B700D" w:rsidRPr="003D479C">
        <w:t xml:space="preserve">The </w:t>
      </w:r>
      <w:r w:rsidR="0025142D">
        <w:t xml:space="preserve">Chief Inspector of Prisons has noted that the </w:t>
      </w:r>
      <w:r w:rsidR="005B700D" w:rsidRPr="003D479C">
        <w:t xml:space="preserve">fall in the number of children in young offenders institutions </w:t>
      </w:r>
      <w:r w:rsidR="0025142D">
        <w:t>means</w:t>
      </w:r>
      <w:r w:rsidR="0025142D" w:rsidRPr="003D479C">
        <w:t xml:space="preserve"> </w:t>
      </w:r>
      <w:r w:rsidR="005B700D" w:rsidRPr="003D479C">
        <w:t xml:space="preserve">that </w:t>
      </w:r>
      <w:r w:rsidR="007254C1">
        <w:t>‘</w:t>
      </w:r>
      <w:r w:rsidR="005B700D" w:rsidRPr="003D479C">
        <w:t>the population in custody is a much more concentrated mix of boys with both great vulnerability and challenging, sometimes very violent, behaviour who are a danger to themselves, other boys and staff</w:t>
      </w:r>
      <w:r w:rsidR="00C7003C">
        <w:t>’</w:t>
      </w:r>
      <w:r w:rsidR="005B700D" w:rsidRPr="003D479C">
        <w:t>.</w:t>
      </w:r>
      <w:r w:rsidR="005B700D" w:rsidRPr="003D479C">
        <w:rPr>
          <w:rStyle w:val="FootnoteReference"/>
        </w:rPr>
        <w:footnoteReference w:id="221"/>
      </w:r>
      <w:r w:rsidR="005B700D" w:rsidRPr="003D479C">
        <w:t xml:space="preserve"> In his latest annual report</w:t>
      </w:r>
      <w:r w:rsidR="0025142D">
        <w:t xml:space="preserve"> he</w:t>
      </w:r>
      <w:r w:rsidR="005B700D" w:rsidRPr="003D479C">
        <w:t xml:space="preserve"> </w:t>
      </w:r>
      <w:r w:rsidR="0025142D">
        <w:t>finds</w:t>
      </w:r>
      <w:r w:rsidR="0025142D" w:rsidRPr="003D479C">
        <w:t xml:space="preserve"> </w:t>
      </w:r>
      <w:r w:rsidR="005B700D" w:rsidRPr="003D479C">
        <w:t>that establishments struggled to control violence and bullying and that there is fighting and assaults in all establishments almost every day.</w:t>
      </w:r>
      <w:r w:rsidR="005B700D" w:rsidRPr="003D479C">
        <w:rPr>
          <w:rStyle w:val="FootnoteReference"/>
        </w:rPr>
        <w:footnoteReference w:id="222"/>
      </w:r>
      <w:r w:rsidR="008C67B4">
        <w:t xml:space="preserve"> </w:t>
      </w:r>
      <w:r w:rsidR="005B700D" w:rsidRPr="003D479C">
        <w:t>Official statistics support this viewpoint, with the rate of restraints, assaults and self-harm incidents all increasing over the past two years.</w:t>
      </w:r>
      <w:r w:rsidR="005B700D" w:rsidRPr="003D479C">
        <w:rPr>
          <w:rStyle w:val="FootnoteReference"/>
        </w:rPr>
        <w:footnoteReference w:id="223"/>
      </w:r>
    </w:p>
    <w:p w:rsidR="0043180C" w:rsidRDefault="00364E33" w:rsidP="0097441D">
      <w:pPr>
        <w:pStyle w:val="Parabeforenewsubsection"/>
      </w:pPr>
      <w:r w:rsidRPr="003F78A7">
        <w:rPr>
          <w:b/>
        </w:rPr>
        <w:t>D</w:t>
      </w:r>
      <w:r w:rsidR="00153F66" w:rsidRPr="003F78A7">
        <w:rPr>
          <w:b/>
        </w:rPr>
        <w:t>.12.7</w:t>
      </w:r>
      <w:r w:rsidR="00153F66">
        <w:t xml:space="preserve"> </w:t>
      </w:r>
      <w:r w:rsidR="0043180C" w:rsidRPr="003D479C">
        <w:t>The</w:t>
      </w:r>
      <w:r w:rsidR="0025142D">
        <w:t xml:space="preserve"> Criminal Justice and Courts Act </w:t>
      </w:r>
      <w:r w:rsidR="00D251BB">
        <w:t xml:space="preserve">2015 </w:t>
      </w:r>
      <w:r w:rsidR="007A43F0">
        <w:t xml:space="preserve">provides for the introduction of secure training colleges as a form of youth detention. </w:t>
      </w:r>
      <w:r w:rsidR="003D6979">
        <w:t xml:space="preserve">The EHRC has highlighted evidence that </w:t>
      </w:r>
      <w:r w:rsidR="003D6979" w:rsidRPr="003D6979">
        <w:t>large establishments for most under 18s may be less beneficial to troubled and challenging children than smaller units close to a child’s family and age</w:t>
      </w:r>
      <w:r w:rsidR="003D6979">
        <w:t>ncies to support resettlement. T</w:t>
      </w:r>
      <w:r w:rsidR="007A43F0">
        <w:t>he</w:t>
      </w:r>
      <w:r w:rsidR="0043180C" w:rsidRPr="003D479C">
        <w:t xml:space="preserve"> Chief Inspector </w:t>
      </w:r>
      <w:r w:rsidR="003D6979">
        <w:t xml:space="preserve">of Prisons </w:t>
      </w:r>
      <w:r w:rsidR="0043180C" w:rsidRPr="003D479C">
        <w:t>has</w:t>
      </w:r>
      <w:r w:rsidR="003D6979">
        <w:t xml:space="preserve"> </w:t>
      </w:r>
      <w:r w:rsidR="0043180C" w:rsidRPr="003D479C">
        <w:t>questioned whether the</w:t>
      </w:r>
      <w:r w:rsidR="007A43F0">
        <w:t>y</w:t>
      </w:r>
      <w:r w:rsidR="0043180C" w:rsidRPr="003D479C">
        <w:t xml:space="preserve"> will be able to provide </w:t>
      </w:r>
      <w:r w:rsidR="00BB2049">
        <w:t>young offenders</w:t>
      </w:r>
      <w:r w:rsidR="0043180C">
        <w:t xml:space="preserve"> </w:t>
      </w:r>
      <w:r w:rsidR="0043180C" w:rsidRPr="003D479C">
        <w:t>with a better education tha</w:t>
      </w:r>
      <w:r w:rsidR="00C7003C">
        <w:t>n</w:t>
      </w:r>
      <w:r w:rsidR="0043180C" w:rsidRPr="003D479C">
        <w:t xml:space="preserve"> those delivered in Y</w:t>
      </w:r>
      <w:r w:rsidR="007A43F0">
        <w:t xml:space="preserve">oung </w:t>
      </w:r>
      <w:r w:rsidR="0043180C" w:rsidRPr="003D479C">
        <w:t>O</w:t>
      </w:r>
      <w:r w:rsidR="007A43F0">
        <w:t xml:space="preserve">ffenders </w:t>
      </w:r>
      <w:r w:rsidR="0043180C" w:rsidRPr="003D479C">
        <w:t>I</w:t>
      </w:r>
      <w:r w:rsidR="007A43F0">
        <w:t>nstitution</w:t>
      </w:r>
      <w:r w:rsidR="0043180C" w:rsidRPr="003D479C">
        <w:t>s where provision has significantly improved.</w:t>
      </w:r>
      <w:r w:rsidR="0043180C" w:rsidRPr="003D479C">
        <w:rPr>
          <w:rStyle w:val="FootnoteReference"/>
          <w:rFonts w:cs="Trade Gothic LT Std"/>
          <w:color w:val="000000"/>
        </w:rPr>
        <w:footnoteReference w:id="224"/>
      </w:r>
      <w:r w:rsidR="0043180C" w:rsidRPr="003D479C">
        <w:t xml:space="preserve"> </w:t>
      </w:r>
      <w:r w:rsidR="0043180C">
        <w:t xml:space="preserve">The Justice Committee </w:t>
      </w:r>
      <w:r w:rsidR="003D6979">
        <w:t xml:space="preserve">has </w:t>
      </w:r>
      <w:r w:rsidR="0043180C">
        <w:t>also question</w:t>
      </w:r>
      <w:r w:rsidR="003D6979">
        <w:t>ed</w:t>
      </w:r>
      <w:r w:rsidR="0043180C">
        <w:t xml:space="preserve"> the necessity of dedicating significant funding to these colleges when the youth population is shrinking so rapidly, and they maintain that small units are safer and more humane for young people.</w:t>
      </w:r>
      <w:r w:rsidR="0043180C">
        <w:rPr>
          <w:rStyle w:val="FootnoteReference"/>
          <w:rFonts w:cs="Trade Gothic LT Std"/>
          <w:color w:val="000000"/>
        </w:rPr>
        <w:footnoteReference w:id="225"/>
      </w:r>
    </w:p>
    <w:p w:rsidR="00406FED" w:rsidRPr="004E720F" w:rsidRDefault="00105992" w:rsidP="00A819B2">
      <w:pPr>
        <w:pStyle w:val="Heading-subsections"/>
        <w:ind w:left="720"/>
      </w:pPr>
      <w:r>
        <w:t xml:space="preserve">c. </w:t>
      </w:r>
      <w:r w:rsidR="001C26F9" w:rsidRPr="004E720F">
        <w:t>Use of restraint in secure training colleges</w:t>
      </w:r>
    </w:p>
    <w:p w:rsidR="0009223E" w:rsidRPr="000064D0" w:rsidRDefault="00364E33" w:rsidP="0097441D">
      <w:pPr>
        <w:pStyle w:val="Parabeforenewsubsection"/>
      </w:pPr>
      <w:r w:rsidRPr="003F78A7">
        <w:rPr>
          <w:b/>
          <w:iCs/>
        </w:rPr>
        <w:t>D</w:t>
      </w:r>
      <w:r w:rsidR="00153F66" w:rsidRPr="003F78A7">
        <w:rPr>
          <w:b/>
          <w:iCs/>
        </w:rPr>
        <w:t>.12.8</w:t>
      </w:r>
      <w:r w:rsidR="00153F66">
        <w:rPr>
          <w:iCs/>
        </w:rPr>
        <w:t xml:space="preserve"> </w:t>
      </w:r>
      <w:r w:rsidR="003D6979">
        <w:rPr>
          <w:iCs/>
        </w:rPr>
        <w:t>T</w:t>
      </w:r>
      <w:r w:rsidR="005B700D" w:rsidRPr="00B654AC">
        <w:rPr>
          <w:iCs/>
        </w:rPr>
        <w:t xml:space="preserve">he </w:t>
      </w:r>
      <w:r w:rsidR="007261A3">
        <w:rPr>
          <w:iCs/>
        </w:rPr>
        <w:t>Criminal Justice and Courts Act</w:t>
      </w:r>
      <w:r w:rsidR="007261A3" w:rsidRPr="00B654AC">
        <w:rPr>
          <w:iCs/>
        </w:rPr>
        <w:t xml:space="preserve"> </w:t>
      </w:r>
      <w:r w:rsidR="005B700D">
        <w:rPr>
          <w:iCs/>
        </w:rPr>
        <w:t xml:space="preserve">provides for the potential use </w:t>
      </w:r>
      <w:r w:rsidR="005B700D">
        <w:t xml:space="preserve">of </w:t>
      </w:r>
      <w:r w:rsidR="005B700D" w:rsidRPr="00B654AC">
        <w:t>reasonable force</w:t>
      </w:r>
      <w:r w:rsidR="00103BA5">
        <w:t xml:space="preserve"> on young offenders in </w:t>
      </w:r>
      <w:r w:rsidR="00C7003C">
        <w:t>s</w:t>
      </w:r>
      <w:r w:rsidR="00103BA5">
        <w:t xml:space="preserve">ecure </w:t>
      </w:r>
      <w:r w:rsidR="00C7003C">
        <w:t>t</w:t>
      </w:r>
      <w:r w:rsidR="00103BA5">
        <w:t xml:space="preserve">raining </w:t>
      </w:r>
      <w:r w:rsidR="00C7003C">
        <w:t>c</w:t>
      </w:r>
      <w:r w:rsidR="00103BA5">
        <w:t>olleges,</w:t>
      </w:r>
      <w:r w:rsidR="005B700D" w:rsidRPr="00B654AC">
        <w:t xml:space="preserve"> where necessary to ensure good order and discipline on the part of persons detained. </w:t>
      </w:r>
      <w:r w:rsidR="007A43F0">
        <w:t xml:space="preserve">The EHRC </w:t>
      </w:r>
      <w:r w:rsidR="003D6979">
        <w:t>advised the UK Government and Parliament that</w:t>
      </w:r>
      <w:r w:rsidR="007A43F0">
        <w:t xml:space="preserve"> this</w:t>
      </w:r>
      <w:r w:rsidR="00103BA5">
        <w:t xml:space="preserve"> provision</w:t>
      </w:r>
      <w:r w:rsidR="007A43F0" w:rsidRPr="00B654AC">
        <w:t xml:space="preserve"> </w:t>
      </w:r>
      <w:r w:rsidR="005B700D" w:rsidRPr="00B654AC">
        <w:t>may not be compatible with Articles 3</w:t>
      </w:r>
      <w:r w:rsidR="00D251BB">
        <w:t xml:space="preserve"> (freedom from torture, inhuman or degrading treatment or </w:t>
      </w:r>
      <w:r w:rsidR="00D251BB">
        <w:lastRenderedPageBreak/>
        <w:t>punishment)</w:t>
      </w:r>
      <w:r w:rsidR="005B700D" w:rsidRPr="00B654AC">
        <w:t xml:space="preserve"> and 8</w:t>
      </w:r>
      <w:r w:rsidR="00D251BB">
        <w:t xml:space="preserve"> (right to respect for privacy and family life)</w:t>
      </w:r>
      <w:r w:rsidR="005B700D" w:rsidRPr="00B654AC">
        <w:t xml:space="preserve"> of the ECHR; </w:t>
      </w:r>
      <w:r w:rsidR="003D6979">
        <w:t xml:space="preserve">it </w:t>
      </w:r>
      <w:r w:rsidR="005B700D" w:rsidRPr="00B654AC">
        <w:t xml:space="preserve">has already been the subject of a decision by the Court of Appeal; and </w:t>
      </w:r>
      <w:r w:rsidR="003D6979">
        <w:t xml:space="preserve">that both </w:t>
      </w:r>
      <w:r w:rsidR="005B700D" w:rsidRPr="00B654AC">
        <w:t xml:space="preserve">the </w:t>
      </w:r>
      <w:r w:rsidR="003D6979">
        <w:t>UN</w:t>
      </w:r>
      <w:r w:rsidR="005B700D" w:rsidRPr="00B654AC">
        <w:t>CRC</w:t>
      </w:r>
      <w:r w:rsidR="003D6979">
        <w:t xml:space="preserve"> and UNCAT have </w:t>
      </w:r>
      <w:r w:rsidR="003D6979" w:rsidRPr="003D6979">
        <w:t>recommended that restraint against children should be a last resort and exclusively to prevent harm to the child or others</w:t>
      </w:r>
      <w:r w:rsidR="00406FED">
        <w:t>.</w:t>
      </w:r>
      <w:r w:rsidR="003D6979">
        <w:rPr>
          <w:rStyle w:val="FootnoteReference"/>
        </w:rPr>
        <w:footnoteReference w:id="226"/>
      </w:r>
      <w:r w:rsidR="0009223E" w:rsidRPr="0009223E">
        <w:t xml:space="preserve"> </w:t>
      </w:r>
      <w:r w:rsidR="0009223E" w:rsidRPr="000064D0">
        <w:t>While the UK Government accepted the principle of our concerns, it did not agree to amend the Bill before it was enacted, as it did not regard that the authorisation of the use of force would constitute a breach of Articles 3 and 8</w:t>
      </w:r>
      <w:r w:rsidR="00C7003C">
        <w:t>.</w:t>
      </w:r>
      <w:r w:rsidR="0009223E" w:rsidRPr="000064D0">
        <w:rPr>
          <w:rStyle w:val="FootnoteReference"/>
        </w:rPr>
        <w:footnoteReference w:id="227"/>
      </w:r>
      <w:r w:rsidR="0009223E" w:rsidRPr="000064D0">
        <w:t xml:space="preserve"> This issue is all the more pertinent considering the increase in the rate of restraint in youth settings.</w:t>
      </w:r>
      <w:r w:rsidR="0009223E" w:rsidRPr="000064D0">
        <w:rPr>
          <w:rStyle w:val="FootnoteReference"/>
        </w:rPr>
        <w:footnoteReference w:id="228"/>
      </w:r>
    </w:p>
    <w:p w:rsidR="00F262B6" w:rsidRDefault="00F262B6" w:rsidP="00F262B6">
      <w:pPr>
        <w:pStyle w:val="Heading-subsections"/>
        <w:rPr>
          <w:lang w:val="en-US"/>
        </w:rPr>
      </w:pPr>
      <w:r>
        <w:rPr>
          <w:lang w:val="en-US"/>
        </w:rPr>
        <w:t>Conclusion:</w:t>
      </w:r>
    </w:p>
    <w:p w:rsidR="007C55FA" w:rsidRDefault="00364E33" w:rsidP="0097441D">
      <w:pPr>
        <w:pStyle w:val="Parabold"/>
        <w:rPr>
          <w:lang w:val="en-US"/>
        </w:rPr>
      </w:pPr>
      <w:r>
        <w:rPr>
          <w:lang w:val="en-US"/>
        </w:rPr>
        <w:t xml:space="preserve">D.12.9 </w:t>
      </w:r>
      <w:r w:rsidR="000271F2">
        <w:rPr>
          <w:lang w:val="en-US"/>
        </w:rPr>
        <w:t xml:space="preserve">The age of criminal responsibility in England and Wales is considered </w:t>
      </w:r>
      <w:r w:rsidR="00C7003C">
        <w:rPr>
          <w:lang w:val="en-US"/>
        </w:rPr>
        <w:t>‘</w:t>
      </w:r>
      <w:r w:rsidR="000271F2">
        <w:rPr>
          <w:lang w:val="en-US"/>
        </w:rPr>
        <w:t>not acceptable</w:t>
      </w:r>
      <w:r w:rsidR="00C7003C">
        <w:rPr>
          <w:lang w:val="en-US"/>
        </w:rPr>
        <w:t>’</w:t>
      </w:r>
      <w:r w:rsidR="000271F2">
        <w:rPr>
          <w:lang w:val="en-US"/>
        </w:rPr>
        <w:t xml:space="preserve"> by the Committee on the Rights of the Child. In order to bring England in line with the rest of Europe, the UK Government needs to implement the 2013 recommendations of the Committee </w:t>
      </w:r>
      <w:proofErr w:type="gramStart"/>
      <w:r w:rsidR="000271F2">
        <w:rPr>
          <w:lang w:val="en-US"/>
        </w:rPr>
        <w:t>Against</w:t>
      </w:r>
      <w:proofErr w:type="gramEnd"/>
      <w:r w:rsidR="000271F2">
        <w:rPr>
          <w:lang w:val="en-US"/>
        </w:rPr>
        <w:t xml:space="preserve"> Torture, the Beijing Rules, and the Riyadh Guidelines. </w:t>
      </w:r>
    </w:p>
    <w:p w:rsidR="002D76F6" w:rsidRPr="0097441D" w:rsidRDefault="00364E33" w:rsidP="0097441D">
      <w:pPr>
        <w:pStyle w:val="Parabeforebulletss"/>
        <w:rPr>
          <w:b/>
          <w:lang w:val="en-US"/>
        </w:rPr>
      </w:pPr>
      <w:r>
        <w:rPr>
          <w:b/>
          <w:lang w:val="en-US"/>
        </w:rPr>
        <w:t xml:space="preserve">D.12.10 </w:t>
      </w:r>
      <w:r w:rsidR="000271F2" w:rsidRPr="0097441D">
        <w:rPr>
          <w:b/>
          <w:lang w:val="en-US"/>
        </w:rPr>
        <w:t>The number of children sentenced to custody in England and Wales continues to decrease</w:t>
      </w:r>
      <w:r w:rsidR="007C55FA" w:rsidRPr="0097441D">
        <w:rPr>
          <w:b/>
          <w:lang w:val="en-US"/>
        </w:rPr>
        <w:t xml:space="preserve">, though children who have committed non-violent offence are still being detained. To increase compliance with Article 10 of </w:t>
      </w:r>
      <w:r w:rsidR="002D76F6" w:rsidRPr="0097441D">
        <w:rPr>
          <w:b/>
          <w:lang w:val="en-US"/>
        </w:rPr>
        <w:t>ICCPR, the UK Government should:</w:t>
      </w:r>
    </w:p>
    <w:p w:rsidR="002D76F6" w:rsidRPr="00390DA6" w:rsidRDefault="002D76F6" w:rsidP="0097441D">
      <w:pPr>
        <w:pStyle w:val="Bullet-followedbyothers"/>
        <w:rPr>
          <w:b/>
          <w:lang w:val="en-US"/>
        </w:rPr>
      </w:pPr>
      <w:r w:rsidRPr="00390DA6">
        <w:rPr>
          <w:b/>
          <w:lang w:val="en-US"/>
        </w:rPr>
        <w:t xml:space="preserve">implement the recommendations of Lord </w:t>
      </w:r>
      <w:proofErr w:type="spellStart"/>
      <w:r w:rsidRPr="00390DA6">
        <w:rPr>
          <w:b/>
          <w:lang w:val="en-US"/>
        </w:rPr>
        <w:t>Ca</w:t>
      </w:r>
      <w:r w:rsidR="00C7003C" w:rsidRPr="00390DA6">
        <w:rPr>
          <w:b/>
          <w:lang w:val="en-US"/>
        </w:rPr>
        <w:t>r</w:t>
      </w:r>
      <w:r w:rsidRPr="00390DA6">
        <w:rPr>
          <w:b/>
          <w:lang w:val="en-US"/>
        </w:rPr>
        <w:t>lile</w:t>
      </w:r>
      <w:proofErr w:type="spellEnd"/>
      <w:r w:rsidR="00C7003C" w:rsidRPr="00390DA6">
        <w:rPr>
          <w:b/>
          <w:lang w:val="en-US"/>
        </w:rPr>
        <w:t>,</w:t>
      </w:r>
      <w:r w:rsidRPr="00390DA6">
        <w:rPr>
          <w:b/>
          <w:lang w:val="en-US"/>
        </w:rPr>
        <w:t xml:space="preserve"> and</w:t>
      </w:r>
    </w:p>
    <w:p w:rsidR="002D76F6" w:rsidRPr="00390DA6" w:rsidRDefault="007C55FA" w:rsidP="0097441D">
      <w:pPr>
        <w:pStyle w:val="Bullet-followedbyothers"/>
        <w:rPr>
          <w:b/>
          <w:lang w:val="en-US"/>
        </w:rPr>
      </w:pPr>
      <w:r w:rsidRPr="00390DA6">
        <w:rPr>
          <w:b/>
          <w:lang w:val="en-US"/>
        </w:rPr>
        <w:t>place a greater emphasis on restorative, community-based alternatives to youth justice, and raise the c</w:t>
      </w:r>
      <w:r w:rsidR="00390DA6" w:rsidRPr="00390DA6">
        <w:rPr>
          <w:b/>
          <w:lang w:val="en-US"/>
        </w:rPr>
        <w:t>ustod</w:t>
      </w:r>
      <w:r w:rsidRPr="00390DA6">
        <w:rPr>
          <w:b/>
          <w:lang w:val="en-US"/>
        </w:rPr>
        <w:t>y threshold to explicitly prevent children who have not committed a violent offence from</w:t>
      </w:r>
      <w:r w:rsidR="002D76F6" w:rsidRPr="00390DA6">
        <w:rPr>
          <w:b/>
          <w:lang w:val="en-US"/>
        </w:rPr>
        <w:t xml:space="preserve"> being held in secure settings</w:t>
      </w:r>
      <w:r w:rsidR="00C7003C" w:rsidRPr="00390DA6">
        <w:rPr>
          <w:b/>
          <w:lang w:val="en-US"/>
        </w:rPr>
        <w:t>,</w:t>
      </w:r>
      <w:r w:rsidR="002D76F6" w:rsidRPr="00390DA6">
        <w:rPr>
          <w:b/>
          <w:lang w:val="en-US"/>
        </w:rPr>
        <w:t xml:space="preserve"> and</w:t>
      </w:r>
    </w:p>
    <w:p w:rsidR="000271F2" w:rsidRPr="006D12ED" w:rsidRDefault="007C55FA" w:rsidP="00390DA6">
      <w:pPr>
        <w:pStyle w:val="Bullet-lastingroup"/>
        <w:rPr>
          <w:lang w:val="en-US"/>
        </w:rPr>
      </w:pPr>
      <w:proofErr w:type="gramStart"/>
      <w:r w:rsidRPr="00390DA6">
        <w:rPr>
          <w:b/>
          <w:lang w:val="en-US"/>
        </w:rPr>
        <w:t>reconsider</w:t>
      </w:r>
      <w:proofErr w:type="gramEnd"/>
      <w:r w:rsidRPr="00390DA6">
        <w:rPr>
          <w:b/>
          <w:lang w:val="en-US"/>
        </w:rPr>
        <w:t xml:space="preserve"> the effectiveness of </w:t>
      </w:r>
      <w:r w:rsidR="00C7003C" w:rsidRPr="00390DA6">
        <w:rPr>
          <w:b/>
          <w:lang w:val="en-US"/>
        </w:rPr>
        <w:t>s</w:t>
      </w:r>
      <w:r w:rsidRPr="00390DA6">
        <w:rPr>
          <w:b/>
          <w:lang w:val="en-US"/>
        </w:rPr>
        <w:t xml:space="preserve">ecure </w:t>
      </w:r>
      <w:r w:rsidR="00C7003C" w:rsidRPr="00390DA6">
        <w:rPr>
          <w:b/>
          <w:lang w:val="en-US"/>
        </w:rPr>
        <w:t>t</w:t>
      </w:r>
      <w:r w:rsidRPr="00390DA6">
        <w:rPr>
          <w:b/>
          <w:lang w:val="en-US"/>
        </w:rPr>
        <w:t xml:space="preserve">raining </w:t>
      </w:r>
      <w:r w:rsidR="00C7003C" w:rsidRPr="00390DA6">
        <w:rPr>
          <w:b/>
          <w:lang w:val="en-US"/>
        </w:rPr>
        <w:t>c</w:t>
      </w:r>
      <w:r w:rsidRPr="00390DA6">
        <w:rPr>
          <w:b/>
          <w:lang w:val="en-US"/>
        </w:rPr>
        <w:t>olleges</w:t>
      </w:r>
      <w:r w:rsidR="002D76F6" w:rsidRPr="00390DA6">
        <w:rPr>
          <w:b/>
          <w:lang w:val="en-US"/>
        </w:rPr>
        <w:t xml:space="preserve"> for rehabilitation, compared with smaller units close to a child’s family and agencies to support resettlement.</w:t>
      </w:r>
      <w:r w:rsidR="008C67B4">
        <w:rPr>
          <w:b/>
          <w:lang w:val="en-US"/>
        </w:rPr>
        <w:t xml:space="preserve"> </w:t>
      </w:r>
    </w:p>
    <w:p w:rsidR="002D76F6" w:rsidRDefault="00364E33" w:rsidP="00390DA6">
      <w:pPr>
        <w:pStyle w:val="Parabold"/>
        <w:rPr>
          <w:lang w:val="en-US"/>
        </w:rPr>
      </w:pPr>
      <w:r>
        <w:rPr>
          <w:lang w:val="en-US"/>
        </w:rPr>
        <w:t xml:space="preserve">D.12.11 </w:t>
      </w:r>
      <w:proofErr w:type="gramStart"/>
      <w:r w:rsidR="002D76F6">
        <w:rPr>
          <w:lang w:val="en-US"/>
        </w:rPr>
        <w:t>Finally</w:t>
      </w:r>
      <w:proofErr w:type="gramEnd"/>
      <w:r w:rsidR="002D76F6">
        <w:rPr>
          <w:lang w:val="en-US"/>
        </w:rPr>
        <w:t xml:space="preserve">, provision for the use of restraint in </w:t>
      </w:r>
      <w:r w:rsidR="0061348F">
        <w:rPr>
          <w:lang w:val="en-US"/>
        </w:rPr>
        <w:t>s</w:t>
      </w:r>
      <w:r w:rsidR="002D76F6">
        <w:rPr>
          <w:lang w:val="en-US"/>
        </w:rPr>
        <w:t xml:space="preserve">ecure </w:t>
      </w:r>
      <w:r w:rsidR="0061348F">
        <w:rPr>
          <w:lang w:val="en-US"/>
        </w:rPr>
        <w:t>t</w:t>
      </w:r>
      <w:r w:rsidR="002D76F6">
        <w:rPr>
          <w:lang w:val="en-US"/>
        </w:rPr>
        <w:t xml:space="preserve">raining </w:t>
      </w:r>
      <w:r w:rsidR="0061348F">
        <w:rPr>
          <w:lang w:val="en-US"/>
        </w:rPr>
        <w:t>c</w:t>
      </w:r>
      <w:r w:rsidR="002D76F6">
        <w:rPr>
          <w:lang w:val="en-US"/>
        </w:rPr>
        <w:t xml:space="preserve">olleges may not be consistent with those young people’s rights to freedom from cruel, inhuman or degrading treatment or punishment. In order to improve </w:t>
      </w:r>
      <w:r w:rsidR="002D76F6">
        <w:rPr>
          <w:lang w:val="en-US"/>
        </w:rPr>
        <w:lastRenderedPageBreak/>
        <w:t xml:space="preserve">compliance with Article 7 of ICCPR, the UK Government needs to amend the </w:t>
      </w:r>
      <w:r w:rsidR="002D76F6" w:rsidRPr="002D76F6">
        <w:rPr>
          <w:lang w:val="en-US"/>
        </w:rPr>
        <w:t>Criminal Justice and Courts Act</w:t>
      </w:r>
      <w:r w:rsidR="002D76F6">
        <w:rPr>
          <w:lang w:val="en-US"/>
        </w:rPr>
        <w:t xml:space="preserve"> 2015. </w:t>
      </w:r>
    </w:p>
    <w:p w:rsidR="00D3316C" w:rsidRPr="005A198C" w:rsidRDefault="00D3316C" w:rsidP="00390DA6">
      <w:pPr>
        <w:pStyle w:val="Parabold"/>
        <w:rPr>
          <w:lang w:val="en-US"/>
        </w:rPr>
      </w:pPr>
      <w:r w:rsidRPr="005A198C">
        <w:rPr>
          <w:lang w:val="en-US"/>
        </w:rPr>
        <w:t>Question A</w:t>
      </w:r>
      <w:r w:rsidR="0061348F">
        <w:rPr>
          <w:lang w:val="en-US"/>
        </w:rPr>
        <w:t>:</w:t>
      </w:r>
      <w:r w:rsidRPr="005A198C">
        <w:rPr>
          <w:lang w:val="en-US"/>
        </w:rPr>
        <w:t xml:space="preserve"> Will the UK Government reconsider </w:t>
      </w:r>
      <w:proofErr w:type="gramStart"/>
      <w:r w:rsidRPr="005A198C">
        <w:rPr>
          <w:lang w:val="en-US"/>
        </w:rPr>
        <w:t>raising</w:t>
      </w:r>
      <w:proofErr w:type="gramEnd"/>
      <w:r w:rsidRPr="005A198C">
        <w:rPr>
          <w:lang w:val="en-US"/>
        </w:rPr>
        <w:t xml:space="preserve"> the age of criminal responsibility to bring it line with recommendations from UN bodies and with many countries around the world?</w:t>
      </w:r>
    </w:p>
    <w:p w:rsidR="00D3316C" w:rsidRPr="00390DA6" w:rsidRDefault="00D3316C" w:rsidP="00390DA6">
      <w:pPr>
        <w:pStyle w:val="Parapre-bullets"/>
        <w:rPr>
          <w:b/>
          <w:lang w:val="en-US"/>
        </w:rPr>
      </w:pPr>
      <w:r w:rsidRPr="00390DA6">
        <w:rPr>
          <w:b/>
          <w:lang w:val="en-US"/>
        </w:rPr>
        <w:t>Question B</w:t>
      </w:r>
      <w:r w:rsidR="0061348F" w:rsidRPr="00390DA6">
        <w:rPr>
          <w:b/>
          <w:lang w:val="en-US"/>
        </w:rPr>
        <w:t>:</w:t>
      </w:r>
      <w:r w:rsidRPr="00390DA6">
        <w:rPr>
          <w:b/>
          <w:lang w:val="en-US"/>
        </w:rPr>
        <w:t xml:space="preserve"> Will the </w:t>
      </w:r>
      <w:r w:rsidR="001D5B68" w:rsidRPr="00390DA6">
        <w:rPr>
          <w:b/>
          <w:lang w:val="en-US"/>
        </w:rPr>
        <w:t xml:space="preserve">UK </w:t>
      </w:r>
      <w:r w:rsidRPr="00390DA6">
        <w:rPr>
          <w:b/>
          <w:lang w:val="en-US"/>
        </w:rPr>
        <w:t xml:space="preserve">Government respond to the findings and recommendations in the Lord </w:t>
      </w:r>
      <w:proofErr w:type="spellStart"/>
      <w:r w:rsidRPr="00390DA6">
        <w:rPr>
          <w:b/>
          <w:lang w:val="en-US"/>
        </w:rPr>
        <w:t>Carlile</w:t>
      </w:r>
      <w:proofErr w:type="spellEnd"/>
      <w:r w:rsidRPr="00390DA6">
        <w:rPr>
          <w:b/>
          <w:lang w:val="en-US"/>
        </w:rPr>
        <w:t xml:space="preserve"> Youth Courts report, in particular: </w:t>
      </w:r>
    </w:p>
    <w:p w:rsidR="00D3316C" w:rsidRPr="00390DA6" w:rsidRDefault="00D3316C" w:rsidP="00390DA6">
      <w:pPr>
        <w:pStyle w:val="Bullet-followedbyothers"/>
        <w:rPr>
          <w:b/>
          <w:lang w:val="en-US"/>
        </w:rPr>
      </w:pPr>
      <w:r w:rsidRPr="00390DA6">
        <w:rPr>
          <w:b/>
          <w:lang w:val="en-US"/>
        </w:rPr>
        <w:t>that children must always be heard in a youth court and not in an adult court</w:t>
      </w:r>
      <w:r w:rsidR="0061348F" w:rsidRPr="00390DA6">
        <w:rPr>
          <w:b/>
          <w:lang w:val="en-US"/>
        </w:rPr>
        <w:t>,</w:t>
      </w:r>
      <w:r w:rsidR="00C6618C" w:rsidRPr="00390DA6">
        <w:rPr>
          <w:b/>
          <w:lang w:val="en-US"/>
        </w:rPr>
        <w:t xml:space="preserve"> and</w:t>
      </w:r>
    </w:p>
    <w:p w:rsidR="00D3316C" w:rsidRPr="00390DA6" w:rsidRDefault="00D3316C" w:rsidP="00390DA6">
      <w:pPr>
        <w:pStyle w:val="Bullet-lastingroup"/>
        <w:rPr>
          <w:b/>
          <w:lang w:val="en-US"/>
        </w:rPr>
      </w:pPr>
      <w:r w:rsidRPr="00390DA6">
        <w:rPr>
          <w:b/>
          <w:lang w:val="en-US"/>
        </w:rPr>
        <w:t>that youth courts should pilot a problem solving approach which aim</w:t>
      </w:r>
      <w:r w:rsidR="0061348F" w:rsidRPr="00390DA6">
        <w:rPr>
          <w:b/>
          <w:lang w:val="en-US"/>
        </w:rPr>
        <w:t>s</w:t>
      </w:r>
      <w:r w:rsidRPr="00390DA6">
        <w:rPr>
          <w:b/>
          <w:lang w:val="en-US"/>
        </w:rPr>
        <w:t xml:space="preserve"> to address the underlying issues around the child’s offending and have due regard to their welfare.</w:t>
      </w:r>
    </w:p>
    <w:p w:rsidR="00D3316C" w:rsidRPr="005A198C" w:rsidRDefault="00D3316C" w:rsidP="00390DA6">
      <w:pPr>
        <w:pStyle w:val="Parabold"/>
      </w:pPr>
      <w:r w:rsidRPr="005A198C">
        <w:t xml:space="preserve">Question C: Given the large number of children who do not receive a custodial sentence after being remanded in custody, will the UK Government </w:t>
      </w:r>
      <w:r>
        <w:t xml:space="preserve">review </w:t>
      </w:r>
      <w:r w:rsidRPr="005A198C">
        <w:t>whether there may be ways to reduce the incarcerated youth population?</w:t>
      </w:r>
    </w:p>
    <w:p w:rsidR="00D30248" w:rsidRPr="00390DA6" w:rsidRDefault="00D30248" w:rsidP="00390DA6">
      <w:pPr>
        <w:pStyle w:val="Parabeforenewsection"/>
        <w:rPr>
          <w:b/>
        </w:rPr>
      </w:pPr>
      <w:r w:rsidRPr="00390DA6">
        <w:rPr>
          <w:b/>
        </w:rPr>
        <w:t>Question D: Will the UK Government review whether the proposals for secure training colleges are still appropriate for the smaller, challenging and more vulnerable detained population in line with the Chief Inspector of Prisons Recommendations, and review the provision in the Act which allows for the use of restraint for good order and discipline?</w:t>
      </w:r>
    </w:p>
    <w:p w:rsidR="00DB7424" w:rsidRPr="00505C5F" w:rsidRDefault="0031371D" w:rsidP="00DC7840">
      <w:pPr>
        <w:pStyle w:val="Heading-sections"/>
      </w:pPr>
      <w:bookmarkStart w:id="24" w:name="_Toc420603279"/>
      <w:r>
        <w:t xml:space="preserve">13. </w:t>
      </w:r>
      <w:r w:rsidR="00DB7424" w:rsidRPr="008B2CB8">
        <w:t xml:space="preserve">Hate </w:t>
      </w:r>
      <w:r w:rsidR="0061348F">
        <w:t>c</w:t>
      </w:r>
      <w:r w:rsidR="00DB7424" w:rsidRPr="008B2CB8">
        <w:t xml:space="preserve">rime (Articles </w:t>
      </w:r>
      <w:r w:rsidR="00667D3F">
        <w:t>2</w:t>
      </w:r>
      <w:r w:rsidR="00DB7424" w:rsidRPr="008B2CB8">
        <w:t xml:space="preserve">, </w:t>
      </w:r>
      <w:r w:rsidR="00667D3F">
        <w:t>3</w:t>
      </w:r>
      <w:r w:rsidR="00DB7424" w:rsidRPr="008B2CB8">
        <w:t xml:space="preserve">, </w:t>
      </w:r>
      <w:r w:rsidR="00667D3F">
        <w:t xml:space="preserve">20 </w:t>
      </w:r>
      <w:r w:rsidR="00DB7424" w:rsidRPr="008B2CB8">
        <w:t>26</w:t>
      </w:r>
      <w:r w:rsidR="00667D3F">
        <w:t xml:space="preserve"> and 27</w:t>
      </w:r>
      <w:r w:rsidR="00DB7424" w:rsidRPr="008B2CB8">
        <w:t>)</w:t>
      </w:r>
      <w:r w:rsidR="005E7E37">
        <w:t>, List of I</w:t>
      </w:r>
      <w:r w:rsidR="00505C5F">
        <w:t xml:space="preserve">ssues </w:t>
      </w:r>
      <w:r w:rsidR="00505C5F" w:rsidRPr="00505C5F">
        <w:t>paragraph 5</w:t>
      </w:r>
      <w:bookmarkEnd w:id="24"/>
    </w:p>
    <w:p w:rsidR="008F28F7" w:rsidRPr="009D502D" w:rsidRDefault="008F28F7" w:rsidP="002B6091">
      <w:pPr>
        <w:pStyle w:val="Heading-subsections"/>
        <w:numPr>
          <w:ilvl w:val="0"/>
          <w:numId w:val="17"/>
        </w:numPr>
      </w:pPr>
      <w:r w:rsidRPr="009D502D">
        <w:t>Hate crime incidents and reporting</w:t>
      </w:r>
    </w:p>
    <w:p w:rsidR="008F28F7" w:rsidRPr="00F63B9F" w:rsidRDefault="00364E33" w:rsidP="00CB0759">
      <w:pPr>
        <w:pStyle w:val="Parabeforebulletss"/>
        <w:rPr>
          <w:lang w:eastAsia="en-GB"/>
        </w:rPr>
      </w:pPr>
      <w:r w:rsidRPr="003F78A7">
        <w:rPr>
          <w:b/>
        </w:rPr>
        <w:t>D.13.1</w:t>
      </w:r>
      <w:r>
        <w:t xml:space="preserve"> </w:t>
      </w:r>
      <w:r w:rsidR="00C6618C">
        <w:t>In our July 2014 submission to th</w:t>
      </w:r>
      <w:r w:rsidR="00667D3F">
        <w:t>e HRC, the EHRC set out the 2012-13</w:t>
      </w:r>
      <w:r w:rsidR="00C6618C">
        <w:t xml:space="preserve"> </w:t>
      </w:r>
      <w:r w:rsidR="00667D3F">
        <w:t xml:space="preserve">reporting </w:t>
      </w:r>
      <w:r w:rsidR="00C6618C">
        <w:t>figures for hate crime in England and Wales.</w:t>
      </w:r>
      <w:r w:rsidR="00C6618C">
        <w:rPr>
          <w:rStyle w:val="FootnoteReference"/>
          <w:rFonts w:cs="Arial"/>
          <w:color w:val="000000"/>
        </w:rPr>
        <w:footnoteReference w:id="229"/>
      </w:r>
      <w:r w:rsidR="00C6618C">
        <w:t xml:space="preserve"> </w:t>
      </w:r>
      <w:r w:rsidR="008F28F7">
        <w:t>In October 2014, t</w:t>
      </w:r>
      <w:r w:rsidR="008F28F7" w:rsidRPr="00F63B9F">
        <w:t xml:space="preserve">he Home Office </w:t>
      </w:r>
      <w:r w:rsidR="008F28F7">
        <w:t>published</w:t>
      </w:r>
      <w:r w:rsidR="00667D3F">
        <w:t xml:space="preserve"> the figures for</w:t>
      </w:r>
      <w:r w:rsidR="008F28F7">
        <w:t xml:space="preserve"> 2013-</w:t>
      </w:r>
      <w:r w:rsidR="008F28F7" w:rsidRPr="00F63B9F">
        <w:t>14</w:t>
      </w:r>
      <w:r w:rsidR="00667D3F">
        <w:t>, which</w:t>
      </w:r>
      <w:r w:rsidR="008F28F7">
        <w:t xml:space="preserve"> </w:t>
      </w:r>
      <w:r w:rsidR="008F28F7" w:rsidRPr="00F63B9F">
        <w:t xml:space="preserve">found </w:t>
      </w:r>
      <w:r w:rsidR="008F28F7">
        <w:t xml:space="preserve">the police recorded </w:t>
      </w:r>
      <w:r w:rsidR="008F28F7" w:rsidRPr="00F63B9F">
        <w:rPr>
          <w:lang w:eastAsia="en-GB"/>
        </w:rPr>
        <w:t>44,480 hate crimes</w:t>
      </w:r>
      <w:r w:rsidR="008F28F7">
        <w:rPr>
          <w:lang w:eastAsia="en-GB"/>
        </w:rPr>
        <w:t>;</w:t>
      </w:r>
      <w:r w:rsidR="008F28F7" w:rsidRPr="00F63B9F">
        <w:rPr>
          <w:lang w:eastAsia="en-GB"/>
        </w:rPr>
        <w:t xml:space="preserve"> an increase of fi</w:t>
      </w:r>
      <w:r w:rsidR="008F28F7">
        <w:rPr>
          <w:lang w:eastAsia="en-GB"/>
        </w:rPr>
        <w:t xml:space="preserve">ve per cent </w:t>
      </w:r>
      <w:r w:rsidR="00667D3F">
        <w:rPr>
          <w:lang w:eastAsia="en-GB"/>
        </w:rPr>
        <w:t>on the previous year</w:t>
      </w:r>
      <w:r w:rsidR="008F28F7" w:rsidRPr="00F63B9F">
        <w:rPr>
          <w:lang w:eastAsia="en-GB"/>
        </w:rPr>
        <w:t>, of which:</w:t>
      </w:r>
    </w:p>
    <w:p w:rsidR="008F28F7" w:rsidRPr="00F63B9F" w:rsidRDefault="008F28F7" w:rsidP="00CB0759">
      <w:pPr>
        <w:pStyle w:val="Bullet-followedbyothers"/>
        <w:rPr>
          <w:lang w:eastAsia="en-GB"/>
        </w:rPr>
      </w:pPr>
      <w:r w:rsidRPr="00F63B9F">
        <w:rPr>
          <w:lang w:eastAsia="en-GB"/>
        </w:rPr>
        <w:t>37,484 (84%) were race hate crimes</w:t>
      </w:r>
    </w:p>
    <w:p w:rsidR="008F28F7" w:rsidRPr="00F63B9F" w:rsidRDefault="008F28F7" w:rsidP="00CB0759">
      <w:pPr>
        <w:pStyle w:val="Bullet-followedbyothers"/>
        <w:rPr>
          <w:lang w:eastAsia="en-GB"/>
        </w:rPr>
      </w:pPr>
      <w:r w:rsidRPr="00F63B9F">
        <w:rPr>
          <w:lang w:eastAsia="en-GB"/>
        </w:rPr>
        <w:t>4,622 (10%) were sexual orientation hate crimes</w:t>
      </w:r>
    </w:p>
    <w:p w:rsidR="008F28F7" w:rsidRPr="00F63B9F" w:rsidRDefault="008F28F7" w:rsidP="00CB0759">
      <w:pPr>
        <w:pStyle w:val="Bullet-followedbyothers"/>
        <w:rPr>
          <w:lang w:eastAsia="en-GB"/>
        </w:rPr>
      </w:pPr>
      <w:r w:rsidRPr="00F63B9F">
        <w:rPr>
          <w:lang w:eastAsia="en-GB"/>
        </w:rPr>
        <w:lastRenderedPageBreak/>
        <w:t>2,273 (5%) were religion hate crimes</w:t>
      </w:r>
    </w:p>
    <w:p w:rsidR="008F28F7" w:rsidRPr="00F63B9F" w:rsidRDefault="008F28F7" w:rsidP="00CB0759">
      <w:pPr>
        <w:pStyle w:val="Bullet-followedbyothers"/>
        <w:rPr>
          <w:lang w:eastAsia="en-GB"/>
        </w:rPr>
      </w:pPr>
      <w:r w:rsidRPr="00F63B9F">
        <w:rPr>
          <w:lang w:eastAsia="en-GB"/>
        </w:rPr>
        <w:t>1,985 (4%) were disability hate crimes</w:t>
      </w:r>
      <w:r w:rsidR="002F7961">
        <w:rPr>
          <w:lang w:eastAsia="en-GB"/>
        </w:rPr>
        <w:t>,</w:t>
      </w:r>
      <w:r w:rsidRPr="00F63B9F">
        <w:rPr>
          <w:lang w:eastAsia="en-GB"/>
        </w:rPr>
        <w:t xml:space="preserve"> and</w:t>
      </w:r>
    </w:p>
    <w:p w:rsidR="008F28F7" w:rsidRPr="00F63B9F" w:rsidRDefault="008F28F7" w:rsidP="00CB0759">
      <w:pPr>
        <w:pStyle w:val="Bulletsgroupend"/>
      </w:pPr>
      <w:r w:rsidRPr="00F63B9F">
        <w:t>555 (1%) were transgender hate crimes.</w:t>
      </w:r>
    </w:p>
    <w:p w:rsidR="008F28F7" w:rsidRPr="00F63B9F" w:rsidRDefault="00364E33" w:rsidP="00CB0759">
      <w:pPr>
        <w:pStyle w:val="Parabeforeanother"/>
        <w:rPr>
          <w:lang w:eastAsia="en-GB"/>
        </w:rPr>
      </w:pPr>
      <w:r w:rsidRPr="003F78A7">
        <w:rPr>
          <w:b/>
          <w:lang w:eastAsia="en-GB"/>
        </w:rPr>
        <w:t xml:space="preserve">D.13.2 </w:t>
      </w:r>
      <w:r w:rsidR="008F28F7" w:rsidRPr="00F63B9F">
        <w:rPr>
          <w:lang w:eastAsia="en-GB"/>
        </w:rPr>
        <w:t>There were increases in all five of the monitored hate crime strands (race, religion, sexual orientation, disability and transgender ide</w:t>
      </w:r>
      <w:r w:rsidR="008F28F7">
        <w:rPr>
          <w:lang w:eastAsia="en-GB"/>
        </w:rPr>
        <w:t>ntity) between 2012-13 and 2013-</w:t>
      </w:r>
      <w:r w:rsidR="008F28F7" w:rsidRPr="00F63B9F">
        <w:rPr>
          <w:lang w:eastAsia="en-GB"/>
        </w:rPr>
        <w:t>14</w:t>
      </w:r>
      <w:r w:rsidR="00CA7E37">
        <w:rPr>
          <w:lang w:eastAsia="en-GB"/>
        </w:rPr>
        <w:t>.</w:t>
      </w:r>
      <w:r w:rsidR="008F28F7" w:rsidRPr="00F63B9F">
        <w:rPr>
          <w:rStyle w:val="FootnoteReference"/>
          <w:lang w:eastAsia="en-GB"/>
        </w:rPr>
        <w:footnoteReference w:id="230"/>
      </w:r>
      <w:r w:rsidR="008F28F7" w:rsidRPr="00F63B9F">
        <w:rPr>
          <w:lang w:eastAsia="en-GB"/>
        </w:rPr>
        <w:t xml:space="preserve"> </w:t>
      </w:r>
    </w:p>
    <w:p w:rsidR="00667D3F" w:rsidRDefault="00364E33" w:rsidP="00CB0759">
      <w:pPr>
        <w:pStyle w:val="Parabeforebulletss"/>
        <w:rPr>
          <w:rStyle w:val="FootnoteReference"/>
          <w:rFonts w:cs="Arial"/>
        </w:rPr>
      </w:pPr>
      <w:r w:rsidRPr="003F78A7">
        <w:rPr>
          <w:b/>
        </w:rPr>
        <w:t>D.13.3</w:t>
      </w:r>
      <w:r>
        <w:t xml:space="preserve"> </w:t>
      </w:r>
      <w:r w:rsidR="008F28F7" w:rsidRPr="00F63B9F">
        <w:t xml:space="preserve">The EHRC recognises that improving the reporting and recording of hate crimes is a priority for the </w:t>
      </w:r>
      <w:r w:rsidR="008F28F7">
        <w:t>UK G</w:t>
      </w:r>
      <w:r w:rsidR="008F28F7" w:rsidRPr="00F63B9F">
        <w:t xml:space="preserve">overnment, but </w:t>
      </w:r>
      <w:r w:rsidR="00883EB3">
        <w:t>notes</w:t>
      </w:r>
      <w:r w:rsidR="008F28F7" w:rsidRPr="00F63B9F">
        <w:t xml:space="preserve"> the significant disparity in hate crimes reported by the national statistics</w:t>
      </w:r>
      <w:r w:rsidR="007C394C" w:rsidRPr="00F63B9F">
        <w:rPr>
          <w:rStyle w:val="FootnoteReference"/>
          <w:rFonts w:cs="Arial"/>
        </w:rPr>
        <w:footnoteReference w:id="231"/>
      </w:r>
      <w:r w:rsidR="008F28F7" w:rsidRPr="00F63B9F">
        <w:t xml:space="preserve"> (approximately 278,000 hate crimes take place in England and Wales each year)</w:t>
      </w:r>
      <w:r w:rsidR="007C394C">
        <w:t xml:space="preserve"> </w:t>
      </w:r>
      <w:r w:rsidR="007C394C" w:rsidRPr="00F63B9F">
        <w:t>and that by the police</w:t>
      </w:r>
      <w:r w:rsidR="00667D3F">
        <w:t>, in particular in relation to individuals who are more isolated within UK society, including:</w:t>
      </w:r>
    </w:p>
    <w:p w:rsidR="00667D3F" w:rsidRDefault="002F7961" w:rsidP="00CB0759">
      <w:pPr>
        <w:pStyle w:val="Bullet-followedbyothers"/>
      </w:pPr>
      <w:r>
        <w:t>m</w:t>
      </w:r>
      <w:r w:rsidR="00667D3F">
        <w:t>igrants and asylum seekers</w:t>
      </w:r>
    </w:p>
    <w:p w:rsidR="00667D3F" w:rsidRDefault="00667D3F" w:rsidP="00CB0759">
      <w:pPr>
        <w:pStyle w:val="Bullet-followedbyothers"/>
      </w:pPr>
      <w:r>
        <w:t>Gypsy, Irish traveller, and Roma communities</w:t>
      </w:r>
    </w:p>
    <w:p w:rsidR="00667D3F" w:rsidRDefault="002F7961" w:rsidP="00CB0759">
      <w:pPr>
        <w:pStyle w:val="Bullet-followedbyothers"/>
      </w:pPr>
      <w:r>
        <w:t>t</w:t>
      </w:r>
      <w:r w:rsidR="00667D3F">
        <w:t>ransgender people</w:t>
      </w:r>
      <w:r>
        <w:t>,</w:t>
      </w:r>
      <w:r w:rsidR="00667D3F">
        <w:t xml:space="preserve"> and</w:t>
      </w:r>
    </w:p>
    <w:p w:rsidR="008F28F7" w:rsidRPr="006D12ED" w:rsidRDefault="002F7961" w:rsidP="00CB0759">
      <w:pPr>
        <w:pStyle w:val="Bullet-lastingroup"/>
      </w:pPr>
      <w:proofErr w:type="gramStart"/>
      <w:r>
        <w:t>disabled</w:t>
      </w:r>
      <w:proofErr w:type="gramEnd"/>
      <w:r>
        <w:t xml:space="preserve"> people</w:t>
      </w:r>
      <w:r w:rsidR="00667D3F">
        <w:t>.</w:t>
      </w:r>
    </w:p>
    <w:p w:rsidR="008F28F7" w:rsidRPr="00F63B9F" w:rsidRDefault="00364E33" w:rsidP="00CB0759">
      <w:pPr>
        <w:pStyle w:val="Parabeforeanother"/>
      </w:pPr>
      <w:r w:rsidRPr="003F78A7">
        <w:rPr>
          <w:b/>
        </w:rPr>
        <w:t>D.13.4</w:t>
      </w:r>
      <w:r>
        <w:t xml:space="preserve"> </w:t>
      </w:r>
      <w:r w:rsidR="008F28F7" w:rsidRPr="00F63B9F">
        <w:t>In December 2014</w:t>
      </w:r>
      <w:r w:rsidR="008F28F7">
        <w:t>,</w:t>
      </w:r>
      <w:r w:rsidR="008F28F7" w:rsidRPr="00F63B9F">
        <w:t xml:space="preserve"> the EHRC launched a 16-month-long project to tackle significant under-reporting of hate crime against Lesbian, Gay, Bisexual and Transgender (LGBT) people in Great Britain</w:t>
      </w:r>
      <w:r w:rsidR="002142D9">
        <w:t xml:space="preserve">. </w:t>
      </w:r>
      <w:r w:rsidR="00486CB2">
        <w:t>This work has been funded by additional</w:t>
      </w:r>
      <w:r w:rsidR="00CA7E37">
        <w:t xml:space="preserve"> resources from the </w:t>
      </w:r>
      <w:r w:rsidR="00667D3F">
        <w:t xml:space="preserve">UK </w:t>
      </w:r>
      <w:r w:rsidR="00CA7E37">
        <w:t>Government.</w:t>
      </w:r>
      <w:r w:rsidR="008F28F7" w:rsidRPr="00F63B9F">
        <w:rPr>
          <w:rStyle w:val="FootnoteReference"/>
        </w:rPr>
        <w:footnoteReference w:id="232"/>
      </w:r>
      <w:r w:rsidR="00CA7E37">
        <w:t xml:space="preserve"> </w:t>
      </w:r>
      <w:r w:rsidR="008F28F7" w:rsidRPr="00F63B9F">
        <w:t>The EHRC’s project will seek to develop alternative channels for reporting incidents for people who do not wish to go to the official authorities. Particular attention will be paid to rural communities where reporting is especially low.</w:t>
      </w:r>
    </w:p>
    <w:p w:rsidR="008F28F7" w:rsidRPr="00F63B9F" w:rsidRDefault="00364E33" w:rsidP="00CB0759">
      <w:pPr>
        <w:pStyle w:val="Parapre-bullets"/>
      </w:pPr>
      <w:r w:rsidRPr="003F78A7">
        <w:rPr>
          <w:b/>
        </w:rPr>
        <w:t>D.13.5</w:t>
      </w:r>
      <w:r>
        <w:t xml:space="preserve"> </w:t>
      </w:r>
      <w:r w:rsidR="008F28F7" w:rsidRPr="00F63B9F">
        <w:t>The project aims to deliver:</w:t>
      </w:r>
    </w:p>
    <w:p w:rsidR="008F28F7" w:rsidRPr="00F63B9F" w:rsidRDefault="00CA7E37" w:rsidP="00CB0759">
      <w:pPr>
        <w:pStyle w:val="Bullet-followedbyothers"/>
        <w:rPr>
          <w:lang w:eastAsia="en-GB"/>
        </w:rPr>
      </w:pPr>
      <w:r>
        <w:t>improved understanding among LGB</w:t>
      </w:r>
      <w:r w:rsidR="008F28F7" w:rsidRPr="00F63B9F">
        <w:t>T people of their rights and how to e</w:t>
      </w:r>
      <w:r>
        <w:t>ngage them and report incidents</w:t>
      </w:r>
    </w:p>
    <w:p w:rsidR="008F28F7" w:rsidRPr="00F63B9F" w:rsidRDefault="00CA7E37" w:rsidP="00CB0759">
      <w:pPr>
        <w:pStyle w:val="Bullet-followedbyothers"/>
        <w:rPr>
          <w:lang w:eastAsia="en-GB"/>
        </w:rPr>
      </w:pPr>
      <w:r>
        <w:t>i</w:t>
      </w:r>
      <w:r w:rsidR="008F28F7" w:rsidRPr="00F63B9F">
        <w:t>mproved knowledge and understanding of LGBT hate crimes within criminal justice agencies, leading to greate</w:t>
      </w:r>
      <w:r>
        <w:t>r and more consistent recording</w:t>
      </w:r>
      <w:r w:rsidR="002F7961">
        <w:t>,</w:t>
      </w:r>
      <w:r>
        <w:t xml:space="preserve"> and</w:t>
      </w:r>
    </w:p>
    <w:p w:rsidR="008F28F7" w:rsidRPr="00F63B9F" w:rsidRDefault="00CA7E37" w:rsidP="00CB0759">
      <w:pPr>
        <w:pStyle w:val="Bullet-lastingroup"/>
      </w:pPr>
      <w:proofErr w:type="gramStart"/>
      <w:r>
        <w:rPr>
          <w:lang w:eastAsia="en-GB"/>
        </w:rPr>
        <w:lastRenderedPageBreak/>
        <w:t>a</w:t>
      </w:r>
      <w:proofErr w:type="gramEnd"/>
      <w:r w:rsidR="008F28F7" w:rsidRPr="00F63B9F">
        <w:rPr>
          <w:lang w:eastAsia="en-GB"/>
        </w:rPr>
        <w:t xml:space="preserve"> re</w:t>
      </w:r>
      <w:r w:rsidR="008F28F7">
        <w:rPr>
          <w:lang w:eastAsia="en-GB"/>
        </w:rPr>
        <w:t>duction in the number of LGB</w:t>
      </w:r>
      <w:r w:rsidR="008F28F7" w:rsidRPr="00F63B9F">
        <w:rPr>
          <w:lang w:eastAsia="en-GB"/>
        </w:rPr>
        <w:t xml:space="preserve">T hate crime incidents occurring, due to improved preventative action and greater public awareness of </w:t>
      </w:r>
      <w:r w:rsidR="008F28F7" w:rsidRPr="00F63B9F">
        <w:t>homophobic and transphobic hate crime.</w:t>
      </w:r>
    </w:p>
    <w:p w:rsidR="008F28F7" w:rsidRPr="009D502D" w:rsidRDefault="008F28F7" w:rsidP="002B6091">
      <w:pPr>
        <w:pStyle w:val="Heading-subsections"/>
        <w:numPr>
          <w:ilvl w:val="0"/>
          <w:numId w:val="17"/>
        </w:numPr>
      </w:pPr>
      <w:r w:rsidRPr="009D502D">
        <w:t xml:space="preserve">Anti-Muslim hatred </w:t>
      </w:r>
    </w:p>
    <w:p w:rsidR="008F28F7" w:rsidRDefault="00364E33" w:rsidP="00CB0759">
      <w:pPr>
        <w:pStyle w:val="Parabeforenewsubsection"/>
      </w:pPr>
      <w:r w:rsidRPr="003F78A7">
        <w:rPr>
          <w:b/>
        </w:rPr>
        <w:t>D.13.6</w:t>
      </w:r>
      <w:r>
        <w:t xml:space="preserve"> </w:t>
      </w:r>
      <w:r w:rsidR="008F28F7" w:rsidRPr="00F63B9F">
        <w:t xml:space="preserve">The combined </w:t>
      </w:r>
      <w:r w:rsidR="008F28F7" w:rsidRPr="00F63B9F">
        <w:rPr>
          <w:iCs/>
        </w:rPr>
        <w:t>Crime Survey for England and Wales</w:t>
      </w:r>
      <w:r w:rsidR="008F28F7" w:rsidRPr="00F63B9F">
        <w:rPr>
          <w:i/>
          <w:iCs/>
        </w:rPr>
        <w:t xml:space="preserve"> </w:t>
      </w:r>
      <w:r w:rsidR="008F28F7">
        <w:t>2011-12 and 2012-</w:t>
      </w:r>
      <w:r w:rsidR="008F28F7" w:rsidRPr="00F63B9F">
        <w:t xml:space="preserve">13 estimated that there were </w:t>
      </w:r>
      <w:r w:rsidR="007C394C">
        <w:t>around</w:t>
      </w:r>
      <w:r w:rsidR="008F28F7" w:rsidRPr="00F63B9F">
        <w:t xml:space="preserve"> 70,000 incidents of religiously motivated hate crime per year</w:t>
      </w:r>
      <w:r w:rsidR="008F28F7">
        <w:t>.</w:t>
      </w:r>
      <w:r w:rsidR="008F28F7" w:rsidRPr="00F63B9F">
        <w:rPr>
          <w:rStyle w:val="FootnoteReference"/>
        </w:rPr>
        <w:footnoteReference w:id="233"/>
      </w:r>
      <w:r w:rsidR="008F28F7" w:rsidRPr="00F63B9F">
        <w:t xml:space="preserve"> </w:t>
      </w:r>
      <w:r w:rsidR="008F28F7" w:rsidRPr="00F63B9F">
        <w:rPr>
          <w:color w:val="000000"/>
        </w:rPr>
        <w:t>The aftermath of the murder of Lee Rigby led to a spike in the number of reports of anti-Muslim hatred</w:t>
      </w:r>
      <w:r w:rsidR="008F28F7">
        <w:rPr>
          <w:color w:val="000000"/>
        </w:rPr>
        <w:t>.</w:t>
      </w:r>
      <w:r w:rsidR="008F28F7" w:rsidRPr="00F63B9F">
        <w:rPr>
          <w:rStyle w:val="FootnoteReference"/>
          <w:color w:val="000000"/>
        </w:rPr>
        <w:footnoteReference w:id="234"/>
      </w:r>
      <w:r w:rsidR="008F28F7" w:rsidRPr="00F63B9F">
        <w:rPr>
          <w:color w:val="000000"/>
        </w:rPr>
        <w:t xml:space="preserve"> </w:t>
      </w:r>
      <w:r w:rsidR="001D5B68">
        <w:rPr>
          <w:color w:val="000000"/>
        </w:rPr>
        <w:t xml:space="preserve">The EHRC </w:t>
      </w:r>
      <w:r w:rsidR="007C394C">
        <w:rPr>
          <w:color w:val="000000"/>
        </w:rPr>
        <w:t>acknowledge</w:t>
      </w:r>
      <w:r w:rsidR="001D5B68">
        <w:rPr>
          <w:color w:val="000000"/>
        </w:rPr>
        <w:t>s</w:t>
      </w:r>
      <w:r w:rsidR="007C394C">
        <w:rPr>
          <w:color w:val="000000"/>
        </w:rPr>
        <w:t xml:space="preserve"> the </w:t>
      </w:r>
      <w:r w:rsidR="008F28F7" w:rsidRPr="00F63B9F">
        <w:rPr>
          <w:color w:val="000000"/>
        </w:rPr>
        <w:t>steps outlined in</w:t>
      </w:r>
      <w:r w:rsidR="007C394C">
        <w:rPr>
          <w:color w:val="000000"/>
        </w:rPr>
        <w:t xml:space="preserve"> the UK Government’s </w:t>
      </w:r>
      <w:r w:rsidR="008F28F7" w:rsidRPr="00F63B9F">
        <w:rPr>
          <w:color w:val="000000"/>
        </w:rPr>
        <w:t xml:space="preserve">hate crime action plan to tackle anti-Muslim hatred, including </w:t>
      </w:r>
      <w:r w:rsidR="008F28F7" w:rsidRPr="00F63B9F">
        <w:t>the launch of the first third party reporting service to record incidents and support victims of anti-Muslim hatred</w:t>
      </w:r>
      <w:r w:rsidR="007C394C">
        <w:t>.</w:t>
      </w:r>
      <w:r w:rsidR="008F28F7" w:rsidRPr="00F63B9F">
        <w:rPr>
          <w:rStyle w:val="FootnoteReference"/>
        </w:rPr>
        <w:footnoteReference w:id="235"/>
      </w:r>
    </w:p>
    <w:p w:rsidR="006B1709" w:rsidRPr="00CA7E37" w:rsidRDefault="006B1709" w:rsidP="009D4FD9">
      <w:pPr>
        <w:spacing w:after="0"/>
        <w:rPr>
          <w:rFonts w:cs="Arial"/>
          <w:sz w:val="24"/>
          <w:szCs w:val="24"/>
        </w:rPr>
      </w:pPr>
    </w:p>
    <w:p w:rsidR="008F28F7" w:rsidRPr="00CA7E37" w:rsidRDefault="008F28F7" w:rsidP="002B6091">
      <w:pPr>
        <w:pStyle w:val="Heading-subsections"/>
        <w:numPr>
          <w:ilvl w:val="0"/>
          <w:numId w:val="17"/>
        </w:numPr>
      </w:pPr>
      <w:r w:rsidRPr="00CA7E37">
        <w:t xml:space="preserve">Anti-Semitism </w:t>
      </w:r>
    </w:p>
    <w:p w:rsidR="00CA7E37" w:rsidRDefault="00364E33" w:rsidP="00CB0759">
      <w:pPr>
        <w:pStyle w:val="Parabeforenewsubsection"/>
        <w:rPr>
          <w:color w:val="000000"/>
        </w:rPr>
      </w:pPr>
      <w:r w:rsidRPr="003F78A7">
        <w:rPr>
          <w:b/>
        </w:rPr>
        <w:t>D.13.7</w:t>
      </w:r>
      <w:r>
        <w:t xml:space="preserve"> </w:t>
      </w:r>
      <w:r w:rsidR="008F28F7" w:rsidRPr="00CA7E37">
        <w:t xml:space="preserve">A </w:t>
      </w:r>
      <w:r w:rsidR="00667D3F">
        <w:t xml:space="preserve">2015 </w:t>
      </w:r>
      <w:r w:rsidR="008F28F7" w:rsidRPr="00CA7E37">
        <w:t xml:space="preserve">report of the All Party Parliamentary Inquiry into Anti-Semitism notes that the </w:t>
      </w:r>
      <w:r w:rsidR="001D5B68" w:rsidRPr="00CA7E37">
        <w:rPr>
          <w:lang w:eastAsia="en-GB"/>
        </w:rPr>
        <w:t xml:space="preserve">Community Security Trust </w:t>
      </w:r>
      <w:r w:rsidR="008F28F7" w:rsidRPr="00CA7E37">
        <w:rPr>
          <w:lang w:eastAsia="en-GB"/>
        </w:rPr>
        <w:t xml:space="preserve">points to a distinct global pattern in which </w:t>
      </w:r>
      <w:r w:rsidR="002F7961">
        <w:rPr>
          <w:lang w:eastAsia="en-GB"/>
        </w:rPr>
        <w:t>‘</w:t>
      </w:r>
      <w:r w:rsidR="008F28F7" w:rsidRPr="00CA7E37">
        <w:rPr>
          <w:lang w:eastAsia="en-GB"/>
        </w:rPr>
        <w:t>overseas events (primarily, but not exclusively, involving Israel) trigger sudden escalations in local anti-Semitic incident levels</w:t>
      </w:r>
      <w:r w:rsidR="002F7961">
        <w:rPr>
          <w:lang w:eastAsia="en-GB"/>
        </w:rPr>
        <w:t>’</w:t>
      </w:r>
      <w:r w:rsidR="00CA7E37">
        <w:rPr>
          <w:lang w:eastAsia="en-GB"/>
        </w:rPr>
        <w:t>.</w:t>
      </w:r>
      <w:r w:rsidR="001D5B68" w:rsidRPr="00CA7E37">
        <w:rPr>
          <w:rStyle w:val="FootnoteReference"/>
        </w:rPr>
        <w:footnoteReference w:id="236"/>
      </w:r>
      <w:r w:rsidR="008F28F7" w:rsidRPr="00CA7E37">
        <w:rPr>
          <w:lang w:eastAsia="en-GB"/>
        </w:rPr>
        <w:t xml:space="preserve"> </w:t>
      </w:r>
      <w:r w:rsidR="008F28F7" w:rsidRPr="00CA7E37">
        <w:t>The inquiry report makes a number of conclusions and recommendations on the state of anti-Semitism in the</w:t>
      </w:r>
      <w:r w:rsidR="008F28F7" w:rsidRPr="00F63B9F">
        <w:rPr>
          <w:color w:val="000000"/>
        </w:rPr>
        <w:t xml:space="preserve"> UK.</w:t>
      </w:r>
      <w:r w:rsidR="00CA7E37">
        <w:rPr>
          <w:color w:val="000000"/>
        </w:rPr>
        <w:t xml:space="preserve"> One recommendation proposed that the EHRC publish </w:t>
      </w:r>
      <w:r w:rsidR="00CA7E37" w:rsidRPr="00CA7E37">
        <w:rPr>
          <w:color w:val="000000"/>
        </w:rPr>
        <w:t>guidance to help local authorities, political parties and candidates understand how equality and human rights law affects election campaigning.</w:t>
      </w:r>
      <w:r w:rsidR="00CA7E37">
        <w:rPr>
          <w:color w:val="000000"/>
        </w:rPr>
        <w:t xml:space="preserve"> We published our Election Guidance on 17 May 2015.</w:t>
      </w:r>
      <w:r w:rsidR="00CA7E37">
        <w:rPr>
          <w:rStyle w:val="FootnoteReference"/>
          <w:color w:val="000000"/>
        </w:rPr>
        <w:footnoteReference w:id="237"/>
      </w:r>
    </w:p>
    <w:p w:rsidR="000B3BEF" w:rsidRDefault="000B3BEF" w:rsidP="00CB0759">
      <w:pPr>
        <w:pStyle w:val="Parabeforenewsubsection"/>
        <w:rPr>
          <w:color w:val="000000"/>
        </w:rPr>
      </w:pPr>
    </w:p>
    <w:p w:rsidR="008F28F7" w:rsidRPr="009D502D" w:rsidRDefault="008F28F7" w:rsidP="002B6091">
      <w:pPr>
        <w:pStyle w:val="Heading-subsections"/>
        <w:numPr>
          <w:ilvl w:val="0"/>
          <w:numId w:val="17"/>
        </w:numPr>
      </w:pPr>
      <w:r w:rsidRPr="009D502D">
        <w:lastRenderedPageBreak/>
        <w:t>Aggravated offences</w:t>
      </w:r>
    </w:p>
    <w:p w:rsidR="008F28F7" w:rsidRDefault="00364E33" w:rsidP="00CB0759">
      <w:pPr>
        <w:pStyle w:val="Parabeforenewsubsection"/>
      </w:pPr>
      <w:r w:rsidRPr="003F78A7">
        <w:rPr>
          <w:b/>
        </w:rPr>
        <w:t>D.13.8</w:t>
      </w:r>
      <w:r>
        <w:t xml:space="preserve"> </w:t>
      </w:r>
      <w:r w:rsidR="008F28F7" w:rsidRPr="00F63B9F">
        <w:t xml:space="preserve">In relation to aggravated offences, the information in the EHRC’s </w:t>
      </w:r>
      <w:r w:rsidR="001D5B68">
        <w:t xml:space="preserve">July </w:t>
      </w:r>
      <w:r w:rsidR="008F28F7" w:rsidRPr="00F63B9F">
        <w:t>2014 submission</w:t>
      </w:r>
      <w:r w:rsidR="008F28F7" w:rsidRPr="00F63B9F">
        <w:rPr>
          <w:rStyle w:val="FootnoteReference"/>
          <w:color w:val="000000"/>
        </w:rPr>
        <w:footnoteReference w:id="238"/>
      </w:r>
      <w:r w:rsidR="008F28F7" w:rsidRPr="00F63B9F">
        <w:t xml:space="preserve"> remains </w:t>
      </w:r>
      <w:r w:rsidR="00872B60">
        <w:t>the latest position</w:t>
      </w:r>
      <w:r w:rsidR="008F28F7" w:rsidRPr="00F63B9F">
        <w:t xml:space="preserve">. </w:t>
      </w:r>
      <w:r w:rsidR="002F7961">
        <w:t>‘</w:t>
      </w:r>
      <w:r w:rsidR="008F28F7" w:rsidRPr="00F63B9F">
        <w:t xml:space="preserve">Challenge it, </w:t>
      </w:r>
      <w:r w:rsidR="001D5B68">
        <w:t>R</w:t>
      </w:r>
      <w:r w:rsidR="008F28F7" w:rsidRPr="00F63B9F">
        <w:t xml:space="preserve">eport it, </w:t>
      </w:r>
      <w:r w:rsidR="001D5B68">
        <w:t>S</w:t>
      </w:r>
      <w:r w:rsidR="008F28F7" w:rsidRPr="00F63B9F">
        <w:t>top it</w:t>
      </w:r>
      <w:r w:rsidR="002F7961">
        <w:t>’</w:t>
      </w:r>
      <w:r w:rsidR="008F28F7" w:rsidRPr="00F63B9F">
        <w:t xml:space="preserve"> 2014 states that the </w:t>
      </w:r>
      <w:r w:rsidR="001D5B68">
        <w:t>UK G</w:t>
      </w:r>
      <w:r w:rsidR="008F28F7" w:rsidRPr="00F63B9F">
        <w:t xml:space="preserve">overnment will shortly consider the findings from the Law </w:t>
      </w:r>
      <w:r w:rsidR="00667D3F">
        <w:t>Commission’s</w:t>
      </w:r>
      <w:r w:rsidR="00667D3F" w:rsidRPr="00F63B9F">
        <w:t xml:space="preserve"> </w:t>
      </w:r>
      <w:r w:rsidR="008F28F7" w:rsidRPr="00F63B9F">
        <w:t>consultation on the case for extending the existing stirring up hatred and aggravated offences.</w:t>
      </w:r>
      <w:r w:rsidR="009D4FD9">
        <w:rPr>
          <w:rStyle w:val="FootnoteReference"/>
          <w:color w:val="000000"/>
        </w:rPr>
        <w:footnoteReference w:id="239"/>
      </w:r>
    </w:p>
    <w:p w:rsidR="00872B60" w:rsidRPr="009434E3" w:rsidRDefault="00991FBA" w:rsidP="002B6091">
      <w:pPr>
        <w:pStyle w:val="Heading-subsections"/>
        <w:numPr>
          <w:ilvl w:val="0"/>
          <w:numId w:val="17"/>
        </w:numPr>
      </w:pPr>
      <w:r w:rsidRPr="006D12ED">
        <w:t xml:space="preserve">Freedom of </w:t>
      </w:r>
      <w:r w:rsidR="002F7961">
        <w:t>e</w:t>
      </w:r>
      <w:r>
        <w:t>xpression</w:t>
      </w:r>
      <w:r w:rsidRPr="006D12ED">
        <w:t xml:space="preserve"> and </w:t>
      </w:r>
      <w:r w:rsidR="002F7961">
        <w:t>h</w:t>
      </w:r>
      <w:r w:rsidRPr="006D12ED">
        <w:t xml:space="preserve">ate </w:t>
      </w:r>
      <w:r w:rsidR="002F7961">
        <w:t>s</w:t>
      </w:r>
      <w:r w:rsidRPr="006D12ED">
        <w:t>peech</w:t>
      </w:r>
    </w:p>
    <w:p w:rsidR="00872B60" w:rsidRPr="00F63B9F" w:rsidRDefault="00364E33" w:rsidP="00CB0759">
      <w:pPr>
        <w:pStyle w:val="Parabeforenewsubsection"/>
      </w:pPr>
      <w:r w:rsidRPr="003F78A7">
        <w:rPr>
          <w:b/>
        </w:rPr>
        <w:t>D.13.9</w:t>
      </w:r>
      <w:r>
        <w:t xml:space="preserve"> </w:t>
      </w:r>
      <w:r w:rsidR="00872B60">
        <w:t xml:space="preserve">Our July 2014 submission also noted that the UK’s interpretative declaration of Article 4 of the Convention on the Elimination of Racial Discrimination </w:t>
      </w:r>
      <w:r w:rsidR="002F7961">
        <w:t xml:space="preserve">(CERD) </w:t>
      </w:r>
      <w:r w:rsidR="00872B60">
        <w:t>sets out the law in England and Wales in relation to the restrictions on the right to freedom of expression in relation to incitement to</w:t>
      </w:r>
      <w:r w:rsidR="00872B60" w:rsidRPr="00872B60">
        <w:t xml:space="preserve"> violence against others</w:t>
      </w:r>
      <w:r w:rsidR="00872B60">
        <w:t>,</w:t>
      </w:r>
      <w:r w:rsidR="00872B60" w:rsidRPr="00872B60">
        <w:t xml:space="preserve"> or </w:t>
      </w:r>
      <w:r w:rsidR="00872B60">
        <w:t>the promotion of</w:t>
      </w:r>
      <w:r w:rsidR="00872B60" w:rsidRPr="00872B60">
        <w:t xml:space="preserve"> hatred based on the colour of someone’s skin or their sexual orientation or their religion.</w:t>
      </w:r>
      <w:r w:rsidR="00872B60">
        <w:t xml:space="preserve"> </w:t>
      </w:r>
      <w:r w:rsidR="00C81308">
        <w:t xml:space="preserve">We continue to share the </w:t>
      </w:r>
      <w:r w:rsidR="00C81308" w:rsidRPr="008B2CB8">
        <w:t>concerns raised by CERD</w:t>
      </w:r>
      <w:r w:rsidR="00C81308" w:rsidRPr="008B2CB8">
        <w:rPr>
          <w:rStyle w:val="FootnoteReference"/>
        </w:rPr>
        <w:footnoteReference w:id="240"/>
      </w:r>
      <w:r w:rsidR="00C81308" w:rsidRPr="008B2CB8">
        <w:t xml:space="preserve"> and the European Commission against Racism and Intolerance (ECRI)</w:t>
      </w:r>
      <w:r w:rsidR="00C81308" w:rsidRPr="008B2CB8">
        <w:rPr>
          <w:rStyle w:val="FootnoteReference"/>
        </w:rPr>
        <w:footnoteReference w:id="241"/>
      </w:r>
      <w:r w:rsidR="00C81308" w:rsidRPr="008B2CB8">
        <w:t xml:space="preserve"> </w:t>
      </w:r>
      <w:r w:rsidR="00C81308">
        <w:t>and more recently by the</w:t>
      </w:r>
      <w:r w:rsidR="00C81308" w:rsidRPr="00906CEF">
        <w:t xml:space="preserve"> UN High Commissioner for Human Rights</w:t>
      </w:r>
      <w:r w:rsidR="00C81308">
        <w:rPr>
          <w:rStyle w:val="FootnoteReference"/>
        </w:rPr>
        <w:footnoteReference w:id="242"/>
      </w:r>
      <w:r w:rsidR="00C81308">
        <w:t xml:space="preserve"> </w:t>
      </w:r>
      <w:r w:rsidR="00C81308" w:rsidRPr="008B2CB8">
        <w:t>about the negative media portrayal of some isolated groups, such as</w:t>
      </w:r>
      <w:r w:rsidR="00C81308">
        <w:t xml:space="preserve"> refugees and migrants. </w:t>
      </w:r>
      <w:r w:rsidR="00872B60">
        <w:t>Following the tragic events in Paris, the EHRC published guidance in February 2015 on Freedom of Expression under Article 10 of the ECHR.</w:t>
      </w:r>
      <w:r w:rsidR="00872B60">
        <w:rPr>
          <w:rStyle w:val="FootnoteReference"/>
          <w:color w:val="000000"/>
        </w:rPr>
        <w:footnoteReference w:id="243"/>
      </w:r>
      <w:r w:rsidR="00872B60">
        <w:t xml:space="preserve"> </w:t>
      </w:r>
    </w:p>
    <w:p w:rsidR="00F262B6" w:rsidRDefault="00F262B6" w:rsidP="00F262B6">
      <w:pPr>
        <w:pStyle w:val="Heading-subsections"/>
      </w:pPr>
      <w:r>
        <w:t>Conclusion:</w:t>
      </w:r>
    </w:p>
    <w:p w:rsidR="00764301" w:rsidRDefault="00364E33" w:rsidP="00CB0759">
      <w:pPr>
        <w:pStyle w:val="Parabeforebulletss"/>
      </w:pPr>
      <w:r>
        <w:rPr>
          <w:b/>
        </w:rPr>
        <w:t xml:space="preserve">D.13.10 </w:t>
      </w:r>
      <w:r w:rsidR="007C394C" w:rsidRPr="00CB0759">
        <w:rPr>
          <w:b/>
        </w:rPr>
        <w:t>While the EHRC acknowledges the UK Government is actively taking steps to address hate crime, we believe further work could be done to improve reporting and operational responses</w:t>
      </w:r>
      <w:r w:rsidR="00764301" w:rsidRPr="00CB0759">
        <w:rPr>
          <w:b/>
        </w:rPr>
        <w:t>, including</w:t>
      </w:r>
      <w:r w:rsidR="00764301">
        <w:t>:</w:t>
      </w:r>
    </w:p>
    <w:p w:rsidR="00764301" w:rsidRPr="00CB0759" w:rsidRDefault="00764301" w:rsidP="00CB0759">
      <w:pPr>
        <w:pStyle w:val="Bullet-followedbyothers"/>
        <w:rPr>
          <w:b/>
        </w:rPr>
      </w:pPr>
      <w:r w:rsidRPr="00CB0759">
        <w:rPr>
          <w:b/>
        </w:rPr>
        <w:lastRenderedPageBreak/>
        <w:t>implementation of the Law Commission’s recommendation for a full</w:t>
      </w:r>
      <w:r w:rsidR="002F7961" w:rsidRPr="00CB0759">
        <w:rPr>
          <w:b/>
        </w:rPr>
        <w:t>-</w:t>
      </w:r>
      <w:r w:rsidRPr="00CB0759">
        <w:rPr>
          <w:b/>
        </w:rPr>
        <w:t>scale review of the operation and effectiveness of enhanced and aggravated sentencing provisions</w:t>
      </w:r>
      <w:r w:rsidR="002F7961" w:rsidRPr="00CB0759">
        <w:rPr>
          <w:b/>
        </w:rPr>
        <w:t>,</w:t>
      </w:r>
      <w:r w:rsidRPr="00CB0759">
        <w:rPr>
          <w:b/>
        </w:rPr>
        <w:t xml:space="preserve"> and</w:t>
      </w:r>
    </w:p>
    <w:p w:rsidR="007C394C" w:rsidRPr="00CB0759" w:rsidRDefault="00764301" w:rsidP="00CB0759">
      <w:pPr>
        <w:pStyle w:val="Bullet-lastingroup"/>
        <w:rPr>
          <w:b/>
        </w:rPr>
      </w:pPr>
      <w:proofErr w:type="gramStart"/>
      <w:r w:rsidRPr="00CB0759">
        <w:rPr>
          <w:b/>
        </w:rPr>
        <w:t>implementation</w:t>
      </w:r>
      <w:proofErr w:type="gramEnd"/>
      <w:r w:rsidRPr="00CB0759">
        <w:rPr>
          <w:b/>
        </w:rPr>
        <w:t xml:space="preserve"> of the recommendations from CERD and ECRI and the UN High Commissioner for Human Rights to tackle the negative portrayal of particular groups by the media.</w:t>
      </w:r>
      <w:r w:rsidR="008F3D18" w:rsidRPr="00CB0759">
        <w:rPr>
          <w:b/>
        </w:rPr>
        <w:t xml:space="preserve"> </w:t>
      </w:r>
    </w:p>
    <w:p w:rsidR="007C394C" w:rsidRPr="00F63B9F" w:rsidRDefault="007C394C" w:rsidP="00CB0759">
      <w:pPr>
        <w:pStyle w:val="Parabold"/>
      </w:pPr>
      <w:r w:rsidRPr="00F63B9F">
        <w:t xml:space="preserve">Question A: What steps </w:t>
      </w:r>
      <w:r>
        <w:t>is</w:t>
      </w:r>
      <w:r w:rsidRPr="00F63B9F">
        <w:t xml:space="preserve"> the UK Government taking to support </w:t>
      </w:r>
      <w:r>
        <w:t xml:space="preserve">improved </w:t>
      </w:r>
      <w:r w:rsidRPr="00F63B9F">
        <w:t>reporting of hate crime to authorities?</w:t>
      </w:r>
    </w:p>
    <w:p w:rsidR="008F28F7" w:rsidRDefault="007C394C" w:rsidP="00CB0759">
      <w:pPr>
        <w:pStyle w:val="Parabold"/>
      </w:pPr>
      <w:r w:rsidRPr="00553F23">
        <w:t>Question</w:t>
      </w:r>
      <w:r>
        <w:t xml:space="preserve"> B</w:t>
      </w:r>
      <w:r w:rsidRPr="00553F23">
        <w:t xml:space="preserve">: </w:t>
      </w:r>
      <w:r w:rsidRPr="008B2CB8">
        <w:t>How does the UK Government plan to respond to the Law Commission’s recommendation for a comprehensive review of hate crime legislation?</w:t>
      </w:r>
    </w:p>
    <w:p w:rsidR="008F28F7" w:rsidRPr="00CB0759" w:rsidRDefault="0031371D" w:rsidP="00CB0759">
      <w:pPr>
        <w:pStyle w:val="Parabeforenewsection"/>
        <w:rPr>
          <w:b/>
          <w:color w:val="000000"/>
        </w:rPr>
      </w:pPr>
      <w:r w:rsidRPr="00CB0759">
        <w:rPr>
          <w:b/>
        </w:rPr>
        <w:t>Question C</w:t>
      </w:r>
      <w:r w:rsidR="008F28F7" w:rsidRPr="00CB0759">
        <w:rPr>
          <w:b/>
        </w:rPr>
        <w:t xml:space="preserve">: </w:t>
      </w:r>
      <w:r w:rsidR="007C394C" w:rsidRPr="00CB0759">
        <w:rPr>
          <w:b/>
        </w:rPr>
        <w:t>When will the UK G</w:t>
      </w:r>
      <w:r w:rsidR="008F28F7" w:rsidRPr="00CB0759">
        <w:rPr>
          <w:b/>
        </w:rPr>
        <w:t>overnment take forward recommendations from the all-party parliamentary inquiry into anti-Semitism?</w:t>
      </w:r>
    </w:p>
    <w:p w:rsidR="00505C5F" w:rsidRPr="007C394C" w:rsidRDefault="0031371D" w:rsidP="00DC7840">
      <w:pPr>
        <w:pStyle w:val="Heading-sections"/>
      </w:pPr>
      <w:bookmarkStart w:id="25" w:name="_Toc420603280"/>
      <w:r>
        <w:t xml:space="preserve">14. </w:t>
      </w:r>
      <w:r w:rsidR="00D66F60" w:rsidRPr="007C394C">
        <w:t xml:space="preserve">Violence </w:t>
      </w:r>
      <w:r w:rsidR="00843B3C">
        <w:t>a</w:t>
      </w:r>
      <w:r w:rsidR="00D66F60" w:rsidRPr="007C394C">
        <w:t xml:space="preserve">gainst </w:t>
      </w:r>
      <w:r w:rsidR="00843B3C">
        <w:t>w</w:t>
      </w:r>
      <w:r w:rsidR="00D66F60" w:rsidRPr="007C394C">
        <w:t xml:space="preserve">omen and </w:t>
      </w:r>
      <w:r w:rsidR="00843B3C">
        <w:t>g</w:t>
      </w:r>
      <w:r w:rsidR="00D66F60" w:rsidRPr="007C394C">
        <w:t xml:space="preserve">irls (VAWG) </w:t>
      </w:r>
      <w:r w:rsidR="00505C5F" w:rsidRPr="007C394C">
        <w:t xml:space="preserve">(Articles </w:t>
      </w:r>
      <w:r w:rsidR="00364453">
        <w:t xml:space="preserve">2, </w:t>
      </w:r>
      <w:r w:rsidR="00505C5F" w:rsidRPr="007C394C">
        <w:t>3, 7, and 26)</w:t>
      </w:r>
      <w:r w:rsidR="007C394C">
        <w:t>, List of I</w:t>
      </w:r>
      <w:r w:rsidR="00505C5F" w:rsidRPr="007C394C">
        <w:t>ssues paragraph 10</w:t>
      </w:r>
      <w:bookmarkEnd w:id="25"/>
    </w:p>
    <w:p w:rsidR="00EB4FF5" w:rsidRDefault="00364E33" w:rsidP="00CB0759">
      <w:pPr>
        <w:pStyle w:val="Parabeforeanother"/>
      </w:pPr>
      <w:r w:rsidRPr="003F78A7">
        <w:rPr>
          <w:b/>
        </w:rPr>
        <w:t>D.14.1</w:t>
      </w:r>
      <w:r>
        <w:t xml:space="preserve"> </w:t>
      </w:r>
      <w:r w:rsidR="009D502D">
        <w:t xml:space="preserve">The EHRC has stressed </w:t>
      </w:r>
      <w:r w:rsidR="00D66F60">
        <w:t xml:space="preserve">that </w:t>
      </w:r>
      <w:r w:rsidR="00843B3C">
        <w:t>v</w:t>
      </w:r>
      <w:r w:rsidR="00D66F60">
        <w:t xml:space="preserve">iolence </w:t>
      </w:r>
      <w:r w:rsidR="00843B3C">
        <w:t>a</w:t>
      </w:r>
      <w:r w:rsidR="00D66F60">
        <w:t xml:space="preserve">gainst </w:t>
      </w:r>
      <w:r w:rsidR="00843B3C">
        <w:t>w</w:t>
      </w:r>
      <w:r w:rsidR="00D66F60">
        <w:t xml:space="preserve">omen and </w:t>
      </w:r>
      <w:r w:rsidR="00843B3C">
        <w:t>g</w:t>
      </w:r>
      <w:r w:rsidR="00D66F60">
        <w:t>irls (VAWG) is one of the most pervasive human rights issues in Britain.</w:t>
      </w:r>
      <w:r w:rsidR="00D66F60">
        <w:rPr>
          <w:rStyle w:val="FootnoteReference"/>
        </w:rPr>
        <w:footnoteReference w:id="244"/>
      </w:r>
      <w:r w:rsidR="00D66F60">
        <w:t xml:space="preserve"> </w:t>
      </w:r>
    </w:p>
    <w:p w:rsidR="00EB4FF5" w:rsidRPr="00D96792" w:rsidRDefault="00364E33" w:rsidP="00CB0759">
      <w:pPr>
        <w:pStyle w:val="Parabeforebulletss"/>
      </w:pPr>
      <w:r w:rsidRPr="003F78A7">
        <w:rPr>
          <w:b/>
        </w:rPr>
        <w:t>D.14.2</w:t>
      </w:r>
      <w:r>
        <w:t xml:space="preserve"> </w:t>
      </w:r>
      <w:r w:rsidR="00EB4FF5" w:rsidRPr="00D96792">
        <w:t>The latest data from the Crime Survey of England and Wales show that in 2013-14</w:t>
      </w:r>
      <w:r w:rsidR="00EB4FF5">
        <w:t>:</w:t>
      </w:r>
      <w:r w:rsidR="00EB4FF5" w:rsidRPr="00D96792">
        <w:rPr>
          <w:rStyle w:val="FootnoteReference"/>
          <w:rFonts w:cs="Arial"/>
        </w:rPr>
        <w:footnoteReference w:id="245"/>
      </w:r>
    </w:p>
    <w:p w:rsidR="00EB4FF5" w:rsidRDefault="00EB4FF5" w:rsidP="00CB0759">
      <w:pPr>
        <w:pStyle w:val="Bullet-followedbyothers"/>
      </w:pPr>
      <w:r w:rsidRPr="00D96792">
        <w:t>8.5% of women experienced some form of domestic abuse in the last year, equivalent to an estimated 1.4 million female victims.</w:t>
      </w:r>
      <w:r w:rsidRPr="00D96792">
        <w:rPr>
          <w:rStyle w:val="FootnoteReference"/>
          <w:rFonts w:cs="Arial"/>
        </w:rPr>
        <w:footnoteReference w:id="246"/>
      </w:r>
    </w:p>
    <w:p w:rsidR="00EB4FF5" w:rsidRPr="00D96792" w:rsidRDefault="00EB4FF5" w:rsidP="00CB0759">
      <w:pPr>
        <w:pStyle w:val="Bullet-followedbyothers"/>
      </w:pPr>
      <w:r w:rsidRPr="00D96792">
        <w:t xml:space="preserve">6.8% of women experienced </w:t>
      </w:r>
      <w:r w:rsidRPr="00D96792">
        <w:rPr>
          <w:rStyle w:val="Strong"/>
          <w:rFonts w:cs="Arial"/>
          <w:b w:val="0"/>
          <w:color w:val="000000"/>
        </w:rPr>
        <w:t>partner abuse</w:t>
      </w:r>
      <w:r w:rsidRPr="00D96792">
        <w:t xml:space="preserve"> in the last year, equivalent to an estimated 1.1 million female victims and 500,000 male victims.</w:t>
      </w:r>
    </w:p>
    <w:p w:rsidR="00EB4FF5" w:rsidRPr="00D96792" w:rsidRDefault="00EB4FF5" w:rsidP="00CB0759">
      <w:pPr>
        <w:pStyle w:val="Bullet-followedbyothers"/>
      </w:pPr>
      <w:r w:rsidRPr="00D96792">
        <w:t>Overall, 28.3% of women had experienced any domestic abuse since the age of 16, equivalent to an estimated 4.6 million female victims</w:t>
      </w:r>
      <w:r w:rsidR="002F7961">
        <w:t>.</w:t>
      </w:r>
    </w:p>
    <w:p w:rsidR="00EB4FF5" w:rsidRPr="00EB4FF5" w:rsidRDefault="00EB4FF5" w:rsidP="00CB0759">
      <w:pPr>
        <w:pStyle w:val="Bullet-lastingroup"/>
      </w:pPr>
      <w:r w:rsidRPr="00D96792">
        <w:lastRenderedPageBreak/>
        <w:t>2.2% of women experienced some form of sexual assault (including attempts) in the last year.</w:t>
      </w:r>
    </w:p>
    <w:p w:rsidR="00D66F60" w:rsidRDefault="00364E33" w:rsidP="00CB0759">
      <w:pPr>
        <w:pStyle w:val="Parabeforenewsubsection"/>
      </w:pPr>
      <w:r w:rsidRPr="003F78A7">
        <w:rPr>
          <w:b/>
        </w:rPr>
        <w:t>D.14.3</w:t>
      </w:r>
      <w:r>
        <w:t xml:space="preserve"> </w:t>
      </w:r>
      <w:r w:rsidR="00D66F60">
        <w:t xml:space="preserve">The EHRC highlighted </w:t>
      </w:r>
      <w:r w:rsidR="00D66F60" w:rsidRPr="002D1CD3">
        <w:t>the ongoing need for the UK Government to take the required steps to ratify the Istanbul Convention (Convention on preventing and combating violence against women and domestic violence)</w:t>
      </w:r>
      <w:r w:rsidR="00D66F60">
        <w:rPr>
          <w:rStyle w:val="FootnoteReference"/>
          <w:bCs/>
        </w:rPr>
        <w:footnoteReference w:id="247"/>
      </w:r>
      <w:r w:rsidR="00D66F60" w:rsidRPr="002D1CD3">
        <w:t xml:space="preserve"> and to </w:t>
      </w:r>
      <w:r w:rsidR="00D66F60">
        <w:t xml:space="preserve">take the necessary measures to ensure victims of VAWG have access to required support services. </w:t>
      </w:r>
    </w:p>
    <w:p w:rsidR="00D66F60" w:rsidRPr="00924BA7" w:rsidRDefault="00D66F60" w:rsidP="002B6091">
      <w:pPr>
        <w:pStyle w:val="Heading-subsections"/>
        <w:numPr>
          <w:ilvl w:val="0"/>
          <w:numId w:val="18"/>
        </w:numPr>
      </w:pPr>
      <w:r>
        <w:t>Ratification of the Istanbul Convention</w:t>
      </w:r>
    </w:p>
    <w:p w:rsidR="00D66F60" w:rsidRDefault="00364E33" w:rsidP="00CB0759">
      <w:pPr>
        <w:pStyle w:val="Parabeforebulletss"/>
      </w:pPr>
      <w:r w:rsidRPr="003F78A7">
        <w:rPr>
          <w:b/>
        </w:rPr>
        <w:t>D.14.4</w:t>
      </w:r>
      <w:r>
        <w:t xml:space="preserve"> </w:t>
      </w:r>
      <w:r w:rsidR="00D66F60">
        <w:t xml:space="preserve">In our July 2014 submission to the </w:t>
      </w:r>
      <w:r w:rsidR="0017664E">
        <w:t>HRC</w:t>
      </w:r>
      <w:r w:rsidR="00D66F60">
        <w:t>,</w:t>
      </w:r>
      <w:r w:rsidR="005150BC">
        <w:rPr>
          <w:rStyle w:val="FootnoteReference"/>
          <w:rFonts w:cs="Arial"/>
          <w:bCs/>
        </w:rPr>
        <w:footnoteReference w:id="248"/>
      </w:r>
      <w:r w:rsidR="00D66F60">
        <w:t xml:space="preserve"> the EHRC </w:t>
      </w:r>
      <w:r w:rsidR="00D66F60" w:rsidRPr="008B2CB8">
        <w:t>consider</w:t>
      </w:r>
      <w:r w:rsidR="00D66F60">
        <w:t>ed</w:t>
      </w:r>
      <w:r w:rsidR="00D66F60" w:rsidRPr="008B2CB8">
        <w:t xml:space="preserve"> that ratification and compliance </w:t>
      </w:r>
      <w:r w:rsidR="00D66F60">
        <w:t>with</w:t>
      </w:r>
      <w:r w:rsidR="00D66F60" w:rsidRPr="008B2CB8">
        <w:t xml:space="preserve"> the Istanbul Convention would enable the UK to satisfy </w:t>
      </w:r>
      <w:r w:rsidR="00D66F60">
        <w:t xml:space="preserve">the Committee on the Elimination of Discrimination against Women’s </w:t>
      </w:r>
      <w:r w:rsidR="00D66F60" w:rsidRPr="008B2CB8">
        <w:t xml:space="preserve">outstanding </w:t>
      </w:r>
      <w:r w:rsidR="00883EB3">
        <w:t>recommendations</w:t>
      </w:r>
      <w:r w:rsidR="00D66F60">
        <w:rPr>
          <w:rStyle w:val="FootnoteReference"/>
          <w:rFonts w:cs="Arial"/>
          <w:bCs/>
        </w:rPr>
        <w:footnoteReference w:id="249"/>
      </w:r>
      <w:r w:rsidR="00D66F60" w:rsidRPr="008B2CB8">
        <w:t xml:space="preserve"> and its General Recommendation 19.</w:t>
      </w:r>
      <w:r w:rsidR="00D66F60" w:rsidRPr="008B2CB8">
        <w:rPr>
          <w:rStyle w:val="FootnoteReference"/>
          <w:rFonts w:cs="Arial"/>
          <w:bCs/>
        </w:rPr>
        <w:footnoteReference w:id="250"/>
      </w:r>
      <w:r w:rsidR="00D66F60" w:rsidRPr="008B2CB8">
        <w:t xml:space="preserve"> </w:t>
      </w:r>
      <w:r w:rsidR="00D66F60">
        <w:t xml:space="preserve">We also </w:t>
      </w:r>
      <w:r w:rsidR="00D66F60" w:rsidRPr="008B2CB8">
        <w:t>set out a detailed analysis of what the UK Government needs to do to comply with the Istanbul Convention</w:t>
      </w:r>
      <w:r w:rsidR="00D66F60">
        <w:t>.</w:t>
      </w:r>
      <w:r w:rsidR="00D66F60" w:rsidRPr="008B2CB8">
        <w:rPr>
          <w:rStyle w:val="FootnoteReference"/>
          <w:rFonts w:cs="Arial"/>
          <w:bCs/>
        </w:rPr>
        <w:footnoteReference w:id="251"/>
      </w:r>
      <w:r w:rsidR="00D66F60">
        <w:t xml:space="preserve"> Our analysis concluded</w:t>
      </w:r>
      <w:r w:rsidR="00D66F60" w:rsidRPr="008B2CB8">
        <w:t xml:space="preserve"> that most obligations are, or will soon be, implemented through British legislation</w:t>
      </w:r>
      <w:r w:rsidR="00D66F60">
        <w:t>,</w:t>
      </w:r>
      <w:r w:rsidR="00D66F60" w:rsidRPr="008B2CB8">
        <w:rPr>
          <w:rStyle w:val="FootnoteReference"/>
          <w:rFonts w:cs="Arial"/>
          <w:bCs/>
        </w:rPr>
        <w:footnoteReference w:id="252"/>
      </w:r>
      <w:r w:rsidR="00D66F60" w:rsidRPr="008B2CB8">
        <w:t xml:space="preserve"> </w:t>
      </w:r>
      <w:r w:rsidR="00364453">
        <w:t xml:space="preserve">but that </w:t>
      </w:r>
      <w:r w:rsidR="00D66F60" w:rsidRPr="008B2CB8">
        <w:t>further actions are required to avoid potential legislative non-compliance</w:t>
      </w:r>
      <w:r w:rsidR="00D66F60">
        <w:t>.</w:t>
      </w:r>
      <w:r w:rsidR="00D66F60">
        <w:rPr>
          <w:rStyle w:val="FootnoteReference"/>
          <w:rFonts w:cs="Arial"/>
          <w:bCs/>
        </w:rPr>
        <w:footnoteReference w:id="253"/>
      </w:r>
      <w:r w:rsidR="00D66F60">
        <w:t xml:space="preserve"> Recent proposed legislative developments may address some of our </w:t>
      </w:r>
      <w:r w:rsidR="00883EB3">
        <w:t>recommendations</w:t>
      </w:r>
      <w:r w:rsidR="00D66F60">
        <w:t>:</w:t>
      </w:r>
    </w:p>
    <w:p w:rsidR="00D66F60" w:rsidRDefault="00D66F60" w:rsidP="00CB0759">
      <w:pPr>
        <w:pStyle w:val="Bullet-followedbyothers"/>
      </w:pPr>
      <w:r>
        <w:t xml:space="preserve">On 18 December 2014, the Home Secretary announced that she will include a new offence of domestic abuse as an amendment to the Serious Crime Bill which </w:t>
      </w:r>
      <w:r>
        <w:lastRenderedPageBreak/>
        <w:t>will ‘explicitly criminalise patterns of coercive and controlling behaviour where they are perpetrated against an intimate partner or family member’.</w:t>
      </w:r>
      <w:r>
        <w:rPr>
          <w:rStyle w:val="FootnoteReference"/>
          <w:rFonts w:cs="Arial"/>
          <w:bCs/>
        </w:rPr>
        <w:footnoteReference w:id="254"/>
      </w:r>
    </w:p>
    <w:p w:rsidR="00D66F60" w:rsidRPr="00924BA7" w:rsidRDefault="00D66F60" w:rsidP="00CB0759">
      <w:pPr>
        <w:pStyle w:val="Bullet-lastingroup"/>
      </w:pPr>
      <w:r w:rsidRPr="00FA2E1D">
        <w:t xml:space="preserve">In Wales, the Gender-based Violence, Domestic Abuse and Sexual Violence (Wales) </w:t>
      </w:r>
      <w:r w:rsidR="000175D2">
        <w:t>Bill</w:t>
      </w:r>
      <w:r w:rsidRPr="00FA2E1D">
        <w:t xml:space="preserve"> was </w:t>
      </w:r>
      <w:r w:rsidR="000175D2">
        <w:t>passed on 10 March 2015</w:t>
      </w:r>
      <w:r w:rsidR="000175D2">
        <w:rPr>
          <w:rStyle w:val="FootnoteReference"/>
        </w:rPr>
        <w:footnoteReference w:id="255"/>
      </w:r>
      <w:r w:rsidR="000175D2">
        <w:t xml:space="preserve"> </w:t>
      </w:r>
      <w:r w:rsidRPr="00FA2E1D">
        <w:t>and the Welsh Government has consulted on its National Training Framework on gender-based violence, domestic abuse and sexual violence</w:t>
      </w:r>
      <w:r w:rsidR="00664B95">
        <w:t>.</w:t>
      </w:r>
      <w:r>
        <w:rPr>
          <w:rStyle w:val="FootnoteReference"/>
        </w:rPr>
        <w:footnoteReference w:id="256"/>
      </w:r>
    </w:p>
    <w:p w:rsidR="00D66F60" w:rsidRDefault="00364E33" w:rsidP="00CB0759">
      <w:pPr>
        <w:pStyle w:val="Parabeforenewsubsection"/>
      </w:pPr>
      <w:r w:rsidRPr="003F78A7">
        <w:rPr>
          <w:b/>
        </w:rPr>
        <w:t>D.14.5</w:t>
      </w:r>
      <w:r>
        <w:t xml:space="preserve"> </w:t>
      </w:r>
      <w:r w:rsidR="00D66F60">
        <w:t>In February 2015 the UK Parliament’s Joint Committee on Human Rights (JCHR) published a report on its inquiry into Violence against Women and Girls (VAWG Inquiry).</w:t>
      </w:r>
      <w:r w:rsidR="00D66F60">
        <w:rPr>
          <w:rStyle w:val="FootnoteReference"/>
          <w:bCs/>
        </w:rPr>
        <w:footnoteReference w:id="257"/>
      </w:r>
      <w:r w:rsidR="00D66F60">
        <w:t xml:space="preserve"> The JCHR called ‘on the Government to prioritise ratification of the Istanbul Convention by putting the final legislative changes required (regarding jurisdiction) before’ Parliament.</w:t>
      </w:r>
      <w:r w:rsidR="00D66F60">
        <w:rPr>
          <w:rStyle w:val="FootnoteReference"/>
          <w:bCs/>
        </w:rPr>
        <w:footnoteReference w:id="258"/>
      </w:r>
      <w:r w:rsidR="00D66F60">
        <w:t xml:space="preserve"> The </w:t>
      </w:r>
      <w:r w:rsidR="001D5B68">
        <w:t xml:space="preserve">UK </w:t>
      </w:r>
      <w:r w:rsidR="00D66F60">
        <w:t xml:space="preserve">Government gave evidence to the JCHR that </w:t>
      </w:r>
      <w:r w:rsidR="00843B3C">
        <w:t>‘</w:t>
      </w:r>
      <w:r w:rsidR="00D66F60">
        <w:t xml:space="preserve">a specific statutory provision </w:t>
      </w:r>
      <w:r w:rsidR="001D5B68">
        <w:t xml:space="preserve">would be </w:t>
      </w:r>
      <w:r w:rsidR="00D66F60">
        <w:t xml:space="preserve">required </w:t>
      </w:r>
      <w:r w:rsidR="001D5B68">
        <w:t xml:space="preserve">to enable </w:t>
      </w:r>
      <w:r w:rsidR="00D66F60">
        <w:t xml:space="preserve">relevant parts of the criminal law </w:t>
      </w:r>
      <w:r w:rsidR="001D5B68">
        <w:t xml:space="preserve">to be applied </w:t>
      </w:r>
      <w:r w:rsidR="00D66F60">
        <w:t>to conduct abroad’</w:t>
      </w:r>
      <w:r w:rsidR="001D5B68">
        <w:t xml:space="preserve"> and therefore enable ratification of the Istanbul Convention</w:t>
      </w:r>
      <w:r w:rsidR="00D66F60">
        <w:t>.</w:t>
      </w:r>
      <w:r w:rsidR="00D66F60">
        <w:rPr>
          <w:rStyle w:val="FootnoteReference"/>
          <w:bCs/>
        </w:rPr>
        <w:footnoteReference w:id="259"/>
      </w:r>
      <w:r w:rsidR="00044CC9">
        <w:t xml:space="preserve"> </w:t>
      </w:r>
      <w:r w:rsidR="002127A9" w:rsidRPr="002127A9">
        <w:t>In March 2015, the UK Government published its VAW</w:t>
      </w:r>
      <w:r w:rsidR="00843B3C">
        <w:t>G</w:t>
      </w:r>
      <w:r w:rsidR="00CB0759">
        <w:t xml:space="preserve"> </w:t>
      </w:r>
      <w:r w:rsidR="002127A9" w:rsidRPr="002127A9">
        <w:t>progress report, outlining action that it has taken to address this issue.</w:t>
      </w:r>
      <w:r w:rsidR="002127A9">
        <w:rPr>
          <w:rStyle w:val="FootnoteReference"/>
          <w:bCs/>
        </w:rPr>
        <w:footnoteReference w:id="260"/>
      </w:r>
    </w:p>
    <w:p w:rsidR="00D66F60" w:rsidRPr="00DC7840" w:rsidRDefault="00D66F60" w:rsidP="002B6091">
      <w:pPr>
        <w:pStyle w:val="Heading-subsections"/>
        <w:numPr>
          <w:ilvl w:val="0"/>
          <w:numId w:val="18"/>
        </w:numPr>
        <w:rPr>
          <w:rStyle w:val="Strong"/>
          <w:b/>
        </w:rPr>
      </w:pPr>
      <w:r w:rsidRPr="00DC7840">
        <w:rPr>
          <w:rStyle w:val="Strong"/>
          <w:b/>
        </w:rPr>
        <w:t>State support required to address VAWG</w:t>
      </w:r>
    </w:p>
    <w:p w:rsidR="00D66F60" w:rsidRPr="002D0669" w:rsidRDefault="00364E33" w:rsidP="00CB0759">
      <w:pPr>
        <w:pStyle w:val="Parabeforeanother"/>
      </w:pPr>
      <w:r w:rsidRPr="003F78A7">
        <w:rPr>
          <w:rStyle w:val="Strong"/>
        </w:rPr>
        <w:t>D.14.6</w:t>
      </w:r>
      <w:r>
        <w:rPr>
          <w:rStyle w:val="Strong"/>
          <w:b w:val="0"/>
        </w:rPr>
        <w:t xml:space="preserve"> </w:t>
      </w:r>
      <w:r w:rsidR="00D66F60" w:rsidRPr="002D0669">
        <w:rPr>
          <w:rStyle w:val="Strong"/>
          <w:b w:val="0"/>
        </w:rPr>
        <w:t>The EHRC reiterates its view that the UK Government needs to</w:t>
      </w:r>
      <w:r w:rsidR="00D66F60" w:rsidRPr="002D0669">
        <w:rPr>
          <w:rStyle w:val="Strong"/>
        </w:rPr>
        <w:t xml:space="preserve"> </w:t>
      </w:r>
      <w:r w:rsidR="00D66F60" w:rsidRPr="002D0669">
        <w:t>provide sufficient financial and legal support and refuge to victims of VAWG, as required under Article 20 of the Istanbul Convention.</w:t>
      </w:r>
      <w:r w:rsidR="00D66F60" w:rsidRPr="002D0669">
        <w:rPr>
          <w:rStyle w:val="FootnoteReference"/>
          <w:bCs/>
        </w:rPr>
        <w:footnoteReference w:id="261"/>
      </w:r>
      <w:r w:rsidR="00D66F60" w:rsidRPr="002D0669">
        <w:t xml:space="preserve"> </w:t>
      </w:r>
    </w:p>
    <w:p w:rsidR="00D66F60" w:rsidRPr="00182345" w:rsidRDefault="00364E33" w:rsidP="00CB0759">
      <w:pPr>
        <w:pStyle w:val="Parabeforeanother"/>
      </w:pPr>
      <w:r w:rsidRPr="003F78A7">
        <w:rPr>
          <w:b/>
        </w:rPr>
        <w:lastRenderedPageBreak/>
        <w:t>D.14.7</w:t>
      </w:r>
      <w:r>
        <w:t xml:space="preserve"> </w:t>
      </w:r>
      <w:r w:rsidR="00D66F60">
        <w:t>The EHRC welcomes the UK Government announcement in November 2014 of £10 million funding to support women’s refuges in 100 areas across England and that it has written to England’s 326 councils to remind them of their ‘legal duty to house women and children who have been forced to flee their homes for fear of violence and abuse’.</w:t>
      </w:r>
      <w:r w:rsidR="00D66F60">
        <w:rPr>
          <w:rStyle w:val="FootnoteReference"/>
          <w:bCs/>
        </w:rPr>
        <w:footnoteReference w:id="262"/>
      </w:r>
      <w:r w:rsidR="00D66F60">
        <w:t xml:space="preserve"> However the EHRC draws the </w:t>
      </w:r>
      <w:r w:rsidR="001D5B68">
        <w:t xml:space="preserve">HRC’s </w:t>
      </w:r>
      <w:r w:rsidR="00D66F60">
        <w:t xml:space="preserve">attention to the findings of the JCHR’s VAWG Inquiry, which highlighted funding for specialist support services as a key issue, including </w:t>
      </w:r>
      <w:r w:rsidR="00883EB3">
        <w:t xml:space="preserve">an evidence gap in </w:t>
      </w:r>
      <w:r w:rsidR="00D66F60">
        <w:t>the number of refuge spaces per head in local authority areas.</w:t>
      </w:r>
      <w:r w:rsidR="00D66F60">
        <w:rPr>
          <w:rStyle w:val="FootnoteReference"/>
          <w:bCs/>
        </w:rPr>
        <w:footnoteReference w:id="263"/>
      </w:r>
      <w:r w:rsidR="00D66F60">
        <w:t xml:space="preserve"> Such data are essential to determine whether the required services are being provided. This is important given the JCHR received evidence from the Women’s Aid Annual Survey 2014 of domestic violence services across England, which found that nearly a third of referrals to refuges in 2013-14 were turned away because of lack of space.</w:t>
      </w:r>
      <w:r w:rsidR="00D66F60">
        <w:rPr>
          <w:rStyle w:val="FootnoteReference"/>
          <w:bCs/>
        </w:rPr>
        <w:footnoteReference w:id="264"/>
      </w:r>
    </w:p>
    <w:p w:rsidR="00D66F60" w:rsidRDefault="00364E33" w:rsidP="00CB0759">
      <w:pPr>
        <w:pStyle w:val="Parabeforeanother"/>
      </w:pPr>
      <w:r w:rsidRPr="003F78A7">
        <w:rPr>
          <w:b/>
        </w:rPr>
        <w:t>D.14.8</w:t>
      </w:r>
      <w:r>
        <w:t xml:space="preserve"> </w:t>
      </w:r>
      <w:r w:rsidR="00D66F60" w:rsidRPr="00D7373F">
        <w:t>In April 2013, the Legal Aid, Sentencing and Punishment of Offenders (LASPO) Act 2012 narrowed the scope of civil legal aid in England and Wales</w:t>
      </w:r>
      <w:r w:rsidR="00843B3C">
        <w:t>.</w:t>
      </w:r>
      <w:r w:rsidR="00D66F60" w:rsidRPr="00D7373F">
        <w:t xml:space="preserve"> Excluded areas include private law family cases except where there is evidence of domestic violence; housing and debt cases where the home is not at risk; and most welfare benefits cases.</w:t>
      </w:r>
      <w:r w:rsidR="00D66F60" w:rsidRPr="00D7373F">
        <w:rPr>
          <w:vertAlign w:val="superscript"/>
        </w:rPr>
        <w:footnoteReference w:id="265"/>
      </w:r>
    </w:p>
    <w:p w:rsidR="00D66F60" w:rsidRDefault="00364E33" w:rsidP="00CB0759">
      <w:pPr>
        <w:pStyle w:val="Parabeforenewsubsection"/>
      </w:pPr>
      <w:r w:rsidRPr="003F78A7">
        <w:rPr>
          <w:b/>
        </w:rPr>
        <w:t>D.14.9</w:t>
      </w:r>
      <w:r>
        <w:t xml:space="preserve"> </w:t>
      </w:r>
      <w:r w:rsidR="00D66F60">
        <w:t>In terms of UK Government's legal support to victims of VAWG, e</w:t>
      </w:r>
      <w:r w:rsidR="00D66F60" w:rsidRPr="00D7373F">
        <w:t>vidence</w:t>
      </w:r>
      <w:r w:rsidR="00D66F60">
        <w:t xml:space="preserve"> from civil society organisations</w:t>
      </w:r>
      <w:r w:rsidR="00D66F60" w:rsidRPr="00D7373F">
        <w:t xml:space="preserve"> suggests that domestic violence victims may not be able to provide adequate proof of their experiences to qualify for legal aid for a family law case.</w:t>
      </w:r>
      <w:r w:rsidR="00D66F60" w:rsidRPr="00D7373F">
        <w:rPr>
          <w:vertAlign w:val="superscript"/>
        </w:rPr>
        <w:footnoteReference w:id="266"/>
      </w:r>
      <w:r w:rsidR="00D66F60" w:rsidRPr="00D7373F">
        <w:t xml:space="preserve"> </w:t>
      </w:r>
      <w:r w:rsidR="00D66F60">
        <w:t>A civil society organisation, Rights of Women, challenged the lawfulness of the regulations requiring this evidence</w:t>
      </w:r>
      <w:r w:rsidR="00A85CC6">
        <w:t>, but in</w:t>
      </w:r>
      <w:r w:rsidR="00D66F60">
        <w:t xml:space="preserve"> January 2015 the High Court found </w:t>
      </w:r>
      <w:r w:rsidR="00D66F60">
        <w:lastRenderedPageBreak/>
        <w:t xml:space="preserve">the regulations </w:t>
      </w:r>
      <w:r w:rsidR="00A85CC6">
        <w:t xml:space="preserve">to be </w:t>
      </w:r>
      <w:r w:rsidR="00D66F60">
        <w:t>lawful.</w:t>
      </w:r>
      <w:r w:rsidR="00D66F60">
        <w:rPr>
          <w:rStyle w:val="FootnoteReference"/>
        </w:rPr>
        <w:footnoteReference w:id="267"/>
      </w:r>
      <w:r w:rsidR="008C67B4">
        <w:t xml:space="preserve"> </w:t>
      </w:r>
      <w:r w:rsidR="00A85CC6">
        <w:t>Rights of Women</w:t>
      </w:r>
      <w:r w:rsidR="00D66F60">
        <w:t xml:space="preserve"> have indicated they are seeking to appeal this decision.</w:t>
      </w:r>
      <w:r w:rsidR="00D66F60">
        <w:rPr>
          <w:rStyle w:val="FootnoteReference"/>
        </w:rPr>
        <w:footnoteReference w:id="268"/>
      </w:r>
      <w:r w:rsidR="00D66F60" w:rsidRPr="00D7373F">
        <w:rPr>
          <w:rFonts w:ascii="Droid Sans" w:hAnsi="Droid Sans"/>
          <w:i/>
          <w:iCs/>
          <w:sz w:val="18"/>
          <w:szCs w:val="18"/>
          <w:bdr w:val="none" w:sz="0" w:space="0" w:color="auto" w:frame="1"/>
        </w:rPr>
        <w:t xml:space="preserve"> </w:t>
      </w:r>
    </w:p>
    <w:p w:rsidR="00035238" w:rsidRDefault="00035238" w:rsidP="00F262B6">
      <w:pPr>
        <w:pStyle w:val="Heading-subsections"/>
      </w:pPr>
    </w:p>
    <w:p w:rsidR="00F262B6" w:rsidRDefault="00F262B6" w:rsidP="00F262B6">
      <w:pPr>
        <w:pStyle w:val="Heading-subsections"/>
      </w:pPr>
      <w:r>
        <w:t>Conclusion:</w:t>
      </w:r>
    </w:p>
    <w:p w:rsidR="000553A4" w:rsidRPr="007660C0" w:rsidRDefault="00364E33" w:rsidP="007660C0">
      <w:pPr>
        <w:pStyle w:val="Parabeforebulletss"/>
        <w:rPr>
          <w:b/>
        </w:rPr>
      </w:pPr>
      <w:r>
        <w:rPr>
          <w:b/>
        </w:rPr>
        <w:t xml:space="preserve">D.14.10 </w:t>
      </w:r>
      <w:r w:rsidR="00364453" w:rsidRPr="007660C0">
        <w:rPr>
          <w:b/>
        </w:rPr>
        <w:t>Violence against women and girls</w:t>
      </w:r>
      <w:r w:rsidR="000553A4" w:rsidRPr="007660C0">
        <w:rPr>
          <w:b/>
        </w:rPr>
        <w:t xml:space="preserve"> (VAWG)</w:t>
      </w:r>
      <w:r w:rsidR="00364453" w:rsidRPr="007660C0">
        <w:rPr>
          <w:b/>
        </w:rPr>
        <w:t xml:space="preserve"> remains one of the most pervasive human rights issues in England and Wales. In order to improve </w:t>
      </w:r>
      <w:r w:rsidR="000553A4" w:rsidRPr="007660C0">
        <w:rPr>
          <w:b/>
        </w:rPr>
        <w:t xml:space="preserve">compliance with Articles 2, 3, 7 and 26 of ICCPR </w:t>
      </w:r>
      <w:r w:rsidR="00D66F60" w:rsidRPr="007660C0">
        <w:rPr>
          <w:b/>
        </w:rPr>
        <w:t>the UK Government must</w:t>
      </w:r>
      <w:r w:rsidR="000553A4" w:rsidRPr="007660C0">
        <w:rPr>
          <w:b/>
        </w:rPr>
        <w:t>:</w:t>
      </w:r>
      <w:r w:rsidR="00D66F60" w:rsidRPr="007660C0">
        <w:rPr>
          <w:b/>
        </w:rPr>
        <w:t xml:space="preserve"> </w:t>
      </w:r>
    </w:p>
    <w:p w:rsidR="000553A4" w:rsidRPr="007660C0" w:rsidRDefault="00D66F60" w:rsidP="007660C0">
      <w:pPr>
        <w:pStyle w:val="Bullet-followedbyothers"/>
        <w:rPr>
          <w:b/>
        </w:rPr>
      </w:pPr>
      <w:r w:rsidRPr="007660C0">
        <w:rPr>
          <w:b/>
        </w:rPr>
        <w:t>continue to work towards ratification and implementation of the Istanbul Convention, including ensuring that victims of VAWG have access to sufficient financial and legal support</w:t>
      </w:r>
      <w:r w:rsidR="000553A4" w:rsidRPr="007660C0">
        <w:rPr>
          <w:b/>
        </w:rPr>
        <w:t>; and</w:t>
      </w:r>
    </w:p>
    <w:p w:rsidR="00D66F60" w:rsidRPr="007660C0" w:rsidRDefault="000553A4" w:rsidP="007660C0">
      <w:pPr>
        <w:pStyle w:val="Bullet-lastingroup"/>
        <w:rPr>
          <w:b/>
        </w:rPr>
      </w:pPr>
      <w:proofErr w:type="gramStart"/>
      <w:r w:rsidRPr="007660C0">
        <w:rPr>
          <w:b/>
        </w:rPr>
        <w:t>implement</w:t>
      </w:r>
      <w:proofErr w:type="gramEnd"/>
      <w:r w:rsidRPr="007660C0">
        <w:rPr>
          <w:b/>
        </w:rPr>
        <w:t xml:space="preserve"> the 2013 recommendations of the Committee on the Elimination of Discrimination Against Women, and the Committee’s General Recommendation 19 on VAWG.</w:t>
      </w:r>
    </w:p>
    <w:p w:rsidR="00D66F60" w:rsidRDefault="00D66F60" w:rsidP="007660C0">
      <w:pPr>
        <w:pStyle w:val="Parabold"/>
      </w:pPr>
      <w:r>
        <w:t>Question A: When will the UK Government take the required action to ratify the Istanbul Convention?</w:t>
      </w:r>
    </w:p>
    <w:p w:rsidR="00D66F60" w:rsidRPr="008B2CB8" w:rsidRDefault="00D66F60" w:rsidP="007660C0">
      <w:pPr>
        <w:pStyle w:val="Parabold"/>
      </w:pPr>
      <w:r w:rsidRPr="008B2CB8">
        <w:t xml:space="preserve">Question </w:t>
      </w:r>
      <w:r>
        <w:t>B</w:t>
      </w:r>
      <w:r w:rsidRPr="008B2CB8">
        <w:t xml:space="preserve">: Could the UK Government describe how it monitors local public agencies in England and Wales’ delivery of VAWG strategies and services to ensure compliance with the UK’s international human rights obligations? </w:t>
      </w:r>
    </w:p>
    <w:p w:rsidR="00D66F60" w:rsidRPr="007660C0" w:rsidRDefault="00D66F60" w:rsidP="007660C0">
      <w:pPr>
        <w:pStyle w:val="Parabeforebulletss"/>
        <w:rPr>
          <w:b/>
        </w:rPr>
      </w:pPr>
      <w:r w:rsidRPr="007660C0">
        <w:rPr>
          <w:b/>
        </w:rPr>
        <w:t xml:space="preserve">Question C: Could the UK Government provide information about the financial and human resources local public agencies in England and Wales dedicate to VAWG strategies and services, as well as the total UK public expenditure on implementing the UK’s international human rights obligations in relation to VAWG? Could these resources be disaggregated to show expenditure on the following </w:t>
      </w:r>
      <w:proofErr w:type="gramStart"/>
      <w:r w:rsidRPr="007660C0">
        <w:rPr>
          <w:b/>
        </w:rPr>
        <w:t>provision:</w:t>
      </w:r>
      <w:proofErr w:type="gramEnd"/>
    </w:p>
    <w:p w:rsidR="00D66F60" w:rsidRPr="009D0BA5" w:rsidRDefault="00D66F60" w:rsidP="009D0BA5">
      <w:pPr>
        <w:pStyle w:val="Bullet-followedbyothers"/>
        <w:rPr>
          <w:b/>
        </w:rPr>
      </w:pPr>
      <w:r w:rsidRPr="009D0BA5">
        <w:rPr>
          <w:b/>
        </w:rPr>
        <w:t>assistance to victims of VAWG in accessing legal representation and advice</w:t>
      </w:r>
    </w:p>
    <w:p w:rsidR="00D66F60" w:rsidRPr="009D0BA5" w:rsidRDefault="00D66F60" w:rsidP="009D0BA5">
      <w:pPr>
        <w:pStyle w:val="Bullet-followedbyothers"/>
        <w:rPr>
          <w:b/>
        </w:rPr>
      </w:pPr>
      <w:r w:rsidRPr="009D0BA5">
        <w:rPr>
          <w:b/>
        </w:rPr>
        <w:t>refuge to victims of VAWG, including how many refuge spaces each council area has</w:t>
      </w:r>
    </w:p>
    <w:p w:rsidR="00D66F60" w:rsidRPr="009D0BA5" w:rsidRDefault="00D66F60" w:rsidP="009D0BA5">
      <w:pPr>
        <w:pStyle w:val="Bullet-lastingroup"/>
        <w:rPr>
          <w:b/>
        </w:rPr>
      </w:pPr>
      <w:proofErr w:type="gramStart"/>
      <w:r w:rsidRPr="009D0BA5">
        <w:rPr>
          <w:b/>
        </w:rPr>
        <w:t>health</w:t>
      </w:r>
      <w:proofErr w:type="gramEnd"/>
      <w:r w:rsidRPr="009D0BA5">
        <w:rPr>
          <w:b/>
        </w:rPr>
        <w:t xml:space="preserve"> services to victims of VAWG, including victims of FGM.</w:t>
      </w:r>
    </w:p>
    <w:p w:rsidR="00190569" w:rsidRDefault="00D66F60" w:rsidP="009D0BA5">
      <w:pPr>
        <w:pStyle w:val="Parabeforenewsection"/>
        <w:rPr>
          <w:b/>
        </w:rPr>
      </w:pPr>
      <w:r w:rsidRPr="009D0BA5">
        <w:rPr>
          <w:b/>
        </w:rPr>
        <w:t>Question D: Will the UK Government review the requirements for evidence of domestic violence for access to legal aid?</w:t>
      </w:r>
    </w:p>
    <w:p w:rsidR="00DB7424" w:rsidRPr="00D06FFA" w:rsidRDefault="005E7E37" w:rsidP="002B6091">
      <w:pPr>
        <w:pStyle w:val="Heading-chapter"/>
        <w:numPr>
          <w:ilvl w:val="0"/>
          <w:numId w:val="20"/>
        </w:numPr>
      </w:pPr>
      <w:bookmarkStart w:id="26" w:name="_Toc420603281"/>
      <w:r w:rsidRPr="00D06FFA">
        <w:lastRenderedPageBreak/>
        <w:t>Productive and Valued</w:t>
      </w:r>
      <w:r w:rsidR="00E76D96" w:rsidRPr="00D06FFA">
        <w:t xml:space="preserve"> Activities</w:t>
      </w:r>
      <w:bookmarkEnd w:id="26"/>
    </w:p>
    <w:p w:rsidR="00B3024E" w:rsidRPr="0031371D" w:rsidRDefault="00EE77CC" w:rsidP="00367FB5">
      <w:pPr>
        <w:pStyle w:val="Heading-sections"/>
      </w:pPr>
      <w:bookmarkStart w:id="27" w:name="_Toc420603282"/>
      <w:r>
        <w:t xml:space="preserve">15. </w:t>
      </w:r>
      <w:r w:rsidR="00B3024E" w:rsidRPr="0031371D">
        <w:t>T</w:t>
      </w:r>
      <w:r w:rsidR="005E7E37">
        <w:t xml:space="preserve">he </w:t>
      </w:r>
      <w:r w:rsidR="00843B3C">
        <w:t>p</w:t>
      </w:r>
      <w:r w:rsidR="005E7E37">
        <w:t xml:space="preserve">ay </w:t>
      </w:r>
      <w:r w:rsidR="00843B3C">
        <w:t>g</w:t>
      </w:r>
      <w:r w:rsidR="005E7E37">
        <w:t>ap (Articles 2,</w:t>
      </w:r>
      <w:r w:rsidR="00843B3C">
        <w:t xml:space="preserve"> </w:t>
      </w:r>
      <w:r w:rsidR="005E7E37">
        <w:t>3</w:t>
      </w:r>
      <w:r w:rsidR="00105992">
        <w:t xml:space="preserve"> and</w:t>
      </w:r>
      <w:r w:rsidR="005E7E37">
        <w:t xml:space="preserve"> 26)</w:t>
      </w:r>
      <w:r w:rsidR="00105992">
        <w:t>,</w:t>
      </w:r>
      <w:r w:rsidR="005E7E37">
        <w:t xml:space="preserve"> L</w:t>
      </w:r>
      <w:r w:rsidR="00B3024E" w:rsidRPr="0031371D">
        <w:t>ist of</w:t>
      </w:r>
      <w:r w:rsidR="005E7E37">
        <w:t xml:space="preserve"> I</w:t>
      </w:r>
      <w:r w:rsidR="00B3024E" w:rsidRPr="0031371D">
        <w:t>ssues paragraph 9</w:t>
      </w:r>
      <w:bookmarkEnd w:id="27"/>
    </w:p>
    <w:p w:rsidR="00B3024E" w:rsidRDefault="00364E33" w:rsidP="009D0BA5">
      <w:pPr>
        <w:pStyle w:val="Parabeforeanother"/>
      </w:pPr>
      <w:r w:rsidRPr="003F78A7">
        <w:rPr>
          <w:b/>
        </w:rPr>
        <w:t>E.15.1</w:t>
      </w:r>
      <w:r>
        <w:t xml:space="preserve"> </w:t>
      </w:r>
      <w:r w:rsidR="00B3024E">
        <w:t>T</w:t>
      </w:r>
      <w:r w:rsidR="00B3024E" w:rsidRPr="00090ACC">
        <w:t xml:space="preserve">he </w:t>
      </w:r>
      <w:r w:rsidR="00B3024E">
        <w:t xml:space="preserve">EHRC </w:t>
      </w:r>
      <w:r w:rsidR="00A85CC6">
        <w:t>notes</w:t>
      </w:r>
      <w:r w:rsidR="00B3024E" w:rsidRPr="00090ACC">
        <w:t xml:space="preserve"> the</w:t>
      </w:r>
      <w:r w:rsidR="00A85CC6">
        <w:t xml:space="preserve"> progress the</w:t>
      </w:r>
      <w:r w:rsidR="00B3024E" w:rsidRPr="00090ACC">
        <w:t xml:space="preserve"> UK Government has</w:t>
      </w:r>
      <w:r w:rsidR="00B3024E">
        <w:t xml:space="preserve"> made to address the pay gap </w:t>
      </w:r>
      <w:r w:rsidR="00B3024E" w:rsidRPr="00090ACC">
        <w:t xml:space="preserve">between men and women, </w:t>
      </w:r>
      <w:r w:rsidR="00B3024E">
        <w:t>however we</w:t>
      </w:r>
      <w:r w:rsidR="00B3024E" w:rsidRPr="00090ACC">
        <w:t xml:space="preserve"> </w:t>
      </w:r>
      <w:r w:rsidR="00A85CC6">
        <w:t>consider</w:t>
      </w:r>
      <w:r w:rsidR="00A85CC6" w:rsidRPr="00090ACC">
        <w:t xml:space="preserve"> </w:t>
      </w:r>
      <w:r w:rsidR="00A85CC6">
        <w:t>these</w:t>
      </w:r>
      <w:r w:rsidR="00A85CC6" w:rsidRPr="00090ACC">
        <w:t xml:space="preserve"> </w:t>
      </w:r>
      <w:r w:rsidR="00B3024E" w:rsidRPr="00090ACC">
        <w:t>efforts need to be revitalised.</w:t>
      </w:r>
      <w:r w:rsidR="00B3024E">
        <w:rPr>
          <w:rStyle w:val="FootnoteReference"/>
          <w:rFonts w:eastAsia="Times New Roman"/>
          <w:color w:val="000000"/>
        </w:rPr>
        <w:footnoteReference w:id="269"/>
      </w:r>
      <w:r w:rsidR="00B3024E" w:rsidRPr="00090ACC">
        <w:t xml:space="preserve"> </w:t>
      </w:r>
      <w:r w:rsidR="00B3024E">
        <w:t>The EHRC</w:t>
      </w:r>
      <w:r w:rsidR="00B3024E" w:rsidRPr="00090ACC">
        <w:t xml:space="preserve"> also </w:t>
      </w:r>
      <w:r w:rsidR="00A85CC6">
        <w:t>considers</w:t>
      </w:r>
      <w:r w:rsidR="00A85CC6" w:rsidRPr="00090ACC">
        <w:t xml:space="preserve"> </w:t>
      </w:r>
      <w:r w:rsidR="00B3024E" w:rsidRPr="00090ACC">
        <w:t xml:space="preserve">that the pay gaps for other </w:t>
      </w:r>
      <w:r w:rsidR="00775436">
        <w:t>individuals</w:t>
      </w:r>
      <w:r w:rsidR="00A22E37">
        <w:t xml:space="preserve"> who share protected characteristics </w:t>
      </w:r>
      <w:r w:rsidR="00B3024E" w:rsidRPr="00090ACC">
        <w:t xml:space="preserve">such as </w:t>
      </w:r>
      <w:r w:rsidR="00A22E37">
        <w:t xml:space="preserve">by </w:t>
      </w:r>
      <w:r w:rsidR="00B3024E" w:rsidRPr="00090ACC">
        <w:t>race and disability require more attention.</w:t>
      </w:r>
      <w:r w:rsidR="00B3024E" w:rsidRPr="00090ACC">
        <w:rPr>
          <w:rStyle w:val="FootnoteReference"/>
          <w:rFonts w:eastAsia="Times New Roman"/>
          <w:color w:val="000000"/>
        </w:rPr>
        <w:footnoteReference w:id="270"/>
      </w:r>
      <w:r w:rsidR="00B3024E">
        <w:br/>
      </w:r>
      <w:r w:rsidRPr="003F78A7">
        <w:rPr>
          <w:b/>
        </w:rPr>
        <w:t>E.15.2</w:t>
      </w:r>
      <w:r>
        <w:t xml:space="preserve"> </w:t>
      </w:r>
      <w:r w:rsidR="00B3024E" w:rsidRPr="00090ACC">
        <w:t xml:space="preserve">The full-time gender pay gap stood at </w:t>
      </w:r>
      <w:r w:rsidR="00B3024E">
        <w:t>9.4</w:t>
      </w:r>
      <w:r w:rsidR="00B3024E" w:rsidRPr="00090ACC">
        <w:t xml:space="preserve"> per cent in 201</w:t>
      </w:r>
      <w:r w:rsidR="00B3024E">
        <w:t>4</w:t>
      </w:r>
      <w:r w:rsidR="00B3024E" w:rsidRPr="00090ACC">
        <w:t xml:space="preserve">; a slight </w:t>
      </w:r>
      <w:r w:rsidR="00B3024E">
        <w:t>de</w:t>
      </w:r>
      <w:r w:rsidR="00B3024E" w:rsidRPr="00090ACC">
        <w:t>crease from 201</w:t>
      </w:r>
      <w:r w:rsidR="00B3024E">
        <w:t>3</w:t>
      </w:r>
      <w:r w:rsidR="00B3024E" w:rsidRPr="00090ACC">
        <w:t>.</w:t>
      </w:r>
      <w:r w:rsidR="00B3024E" w:rsidRPr="00090ACC">
        <w:rPr>
          <w:rStyle w:val="FootnoteReference"/>
          <w:rFonts w:eastAsia="Times New Roman"/>
          <w:color w:val="000000"/>
        </w:rPr>
        <w:footnoteReference w:id="271"/>
      </w:r>
      <w:r w:rsidR="00B3024E" w:rsidRPr="00090ACC">
        <w:t xml:space="preserve"> </w:t>
      </w:r>
      <w:r w:rsidR="00B3024E">
        <w:t>The pay gap for full and part time workers together is also decreasing at 19.1 per cent.</w:t>
      </w:r>
      <w:r w:rsidR="00B3024E">
        <w:rPr>
          <w:rStyle w:val="FootnoteReference"/>
          <w:rFonts w:eastAsia="Times New Roman"/>
          <w:color w:val="000000"/>
        </w:rPr>
        <w:footnoteReference w:id="272"/>
      </w:r>
      <w:r w:rsidR="00B3024E">
        <w:t xml:space="preserve"> T</w:t>
      </w:r>
      <w:r w:rsidR="00B3024E" w:rsidRPr="00090ACC">
        <w:t xml:space="preserve">here is little to no gender pay gap between men and women in age groups below 40, </w:t>
      </w:r>
      <w:r w:rsidR="00B3024E">
        <w:t xml:space="preserve">however </w:t>
      </w:r>
      <w:r w:rsidR="00B3024E" w:rsidRPr="00090ACC">
        <w:t>it widens sharply for those who are older than this.</w:t>
      </w:r>
      <w:r w:rsidR="00B3024E" w:rsidRPr="00090ACC">
        <w:rPr>
          <w:rStyle w:val="FootnoteReference"/>
          <w:rFonts w:eastAsia="Times New Roman"/>
          <w:color w:val="000000"/>
        </w:rPr>
        <w:footnoteReference w:id="273"/>
      </w:r>
      <w:r w:rsidR="00B3024E" w:rsidRPr="00090ACC">
        <w:t xml:space="preserve"> </w:t>
      </w:r>
    </w:p>
    <w:p w:rsidR="00B3024E" w:rsidRPr="00090ACC" w:rsidRDefault="00364E33" w:rsidP="009D0BA5">
      <w:pPr>
        <w:pStyle w:val="Parabeforebulletss"/>
      </w:pPr>
      <w:r w:rsidRPr="003F78A7">
        <w:rPr>
          <w:b/>
        </w:rPr>
        <w:t>E.15.3</w:t>
      </w:r>
      <w:r>
        <w:t xml:space="preserve"> </w:t>
      </w:r>
      <w:r w:rsidR="00B3024E">
        <w:t>D</w:t>
      </w:r>
      <w:r w:rsidR="00B3024E" w:rsidRPr="00090ACC">
        <w:t>ata suggest the main cause of the gender pay gap is the impact of motherhood on women’s employment outcomes</w:t>
      </w:r>
      <w:r w:rsidR="00B3024E">
        <w:t>.</w:t>
      </w:r>
      <w:r w:rsidR="008C67B4">
        <w:t xml:space="preserve"> </w:t>
      </w:r>
      <w:r w:rsidR="00B3024E" w:rsidRPr="00090ACC">
        <w:t xml:space="preserve">This may arise as a result of the following factors: </w:t>
      </w:r>
    </w:p>
    <w:p w:rsidR="00B3024E" w:rsidRPr="00090ACC" w:rsidRDefault="00B3024E" w:rsidP="009D0BA5">
      <w:pPr>
        <w:pStyle w:val="Bullet-followedbyothers"/>
      </w:pPr>
      <w:r w:rsidRPr="00090ACC">
        <w:t>the limited availability and high cost of suitable childcare</w:t>
      </w:r>
      <w:r w:rsidRPr="00090ACC">
        <w:rPr>
          <w:rStyle w:val="FootnoteReference"/>
          <w:rFonts w:eastAsia="Times New Roman"/>
        </w:rPr>
        <w:footnoteReference w:id="274"/>
      </w:r>
      <w:r w:rsidRPr="00090ACC">
        <w:t xml:space="preserve"> </w:t>
      </w:r>
    </w:p>
    <w:p w:rsidR="00B3024E" w:rsidRPr="00090ACC" w:rsidRDefault="00B3024E" w:rsidP="009D0BA5">
      <w:pPr>
        <w:pStyle w:val="Bullet-followedbyothers"/>
      </w:pPr>
      <w:r w:rsidRPr="00090ACC">
        <w:lastRenderedPageBreak/>
        <w:t>the lower pay of many of the part-time jobs</w:t>
      </w:r>
      <w:r>
        <w:t>,</w:t>
      </w:r>
      <w:r w:rsidRPr="00090ACC">
        <w:t xml:space="preserve"> which many mothers take during this period of their lives</w:t>
      </w:r>
      <w:r w:rsidRPr="00090ACC">
        <w:rPr>
          <w:rStyle w:val="FootnoteReference"/>
          <w:rFonts w:eastAsia="Times New Roman"/>
        </w:rPr>
        <w:footnoteReference w:id="275"/>
      </w:r>
      <w:r w:rsidRPr="00090ACC">
        <w:t xml:space="preserve"> </w:t>
      </w:r>
    </w:p>
    <w:p w:rsidR="00B3024E" w:rsidRDefault="00B3024E" w:rsidP="009D0BA5">
      <w:pPr>
        <w:pStyle w:val="Bullet-followedbyothers"/>
      </w:pPr>
      <w:r w:rsidRPr="00090ACC">
        <w:t>the unfair treatment and discrimination</w:t>
      </w:r>
      <w:r>
        <w:t>,</w:t>
      </w:r>
      <w:r w:rsidRPr="00090ACC">
        <w:t xml:space="preserve"> which can still occur when women announce their pregnancy, take maternity leave or return to employment</w:t>
      </w:r>
      <w:r w:rsidRPr="00090ACC">
        <w:rPr>
          <w:rStyle w:val="FootnoteReference"/>
          <w:rFonts w:eastAsia="Times New Roman"/>
        </w:rPr>
        <w:footnoteReference w:id="276"/>
      </w:r>
    </w:p>
    <w:p w:rsidR="00B3024E" w:rsidRPr="00090ACC" w:rsidRDefault="00B3024E" w:rsidP="009D0BA5">
      <w:pPr>
        <w:pStyle w:val="Bullet-followedbyothers"/>
      </w:pPr>
      <w:r>
        <w:t>direct and indirect discrimination in pay policies and practices</w:t>
      </w:r>
      <w:r w:rsidR="00D4379C">
        <w:t>,</w:t>
      </w:r>
      <w:r>
        <w:rPr>
          <w:rStyle w:val="FootnoteReference"/>
        </w:rPr>
        <w:footnoteReference w:id="277"/>
      </w:r>
      <w:r w:rsidRPr="00090ACC">
        <w:t xml:space="preserve"> and </w:t>
      </w:r>
    </w:p>
    <w:p w:rsidR="00B3024E" w:rsidRPr="00090ACC" w:rsidRDefault="00B3024E" w:rsidP="009D0BA5">
      <w:pPr>
        <w:pStyle w:val="Bullet-lastingroup"/>
      </w:pPr>
      <w:proofErr w:type="gramStart"/>
      <w:r w:rsidRPr="00090ACC">
        <w:t>the</w:t>
      </w:r>
      <w:proofErr w:type="gramEnd"/>
      <w:r w:rsidRPr="00090ACC">
        <w:t xml:space="preserve"> continued lack of flexible working practices in more senior positions</w:t>
      </w:r>
      <w:r>
        <w:t>,</w:t>
      </w:r>
      <w:r w:rsidRPr="00090ACC">
        <w:t xml:space="preserve"> which often inhibits many mothers from progressing in their careers.</w:t>
      </w:r>
      <w:r w:rsidRPr="00090ACC">
        <w:rPr>
          <w:rStyle w:val="FootnoteReference"/>
          <w:rFonts w:eastAsia="Times New Roman"/>
        </w:rPr>
        <w:footnoteReference w:id="278"/>
      </w:r>
    </w:p>
    <w:p w:rsidR="00B3024E" w:rsidRDefault="00364E33" w:rsidP="009D0BA5">
      <w:pPr>
        <w:pStyle w:val="Parabeforeanother"/>
      </w:pPr>
      <w:r w:rsidRPr="003F78A7">
        <w:rPr>
          <w:b/>
        </w:rPr>
        <w:t>E.15.4</w:t>
      </w:r>
      <w:r>
        <w:t xml:space="preserve"> </w:t>
      </w:r>
      <w:r w:rsidR="00B3024E">
        <w:t>T</w:t>
      </w:r>
      <w:r w:rsidR="00B3024E" w:rsidRPr="00090ACC">
        <w:t xml:space="preserve">he Equality Act 2010 (Equal Pay Audit Regulations) </w:t>
      </w:r>
      <w:r w:rsidR="00B3024E">
        <w:t>took effect in October 2014.</w:t>
      </w:r>
      <w:r w:rsidR="00E60EC5">
        <w:rPr>
          <w:rStyle w:val="FootnoteReference"/>
          <w:rFonts w:eastAsia="Times New Roman"/>
          <w:color w:val="000000"/>
        </w:rPr>
        <w:footnoteReference w:id="279"/>
      </w:r>
      <w:r w:rsidR="00B3024E">
        <w:t xml:space="preserve"> The EHRC welcomes the changes </w:t>
      </w:r>
      <w:r w:rsidR="00A85CC6">
        <w:t xml:space="preserve">that </w:t>
      </w:r>
      <w:r w:rsidR="00B3024E">
        <w:t>will require employment tribunals to order a respondent to carry out an equal pay audit in cases where there has been an equal pay breach.</w:t>
      </w:r>
      <w:r w:rsidR="00B3024E">
        <w:rPr>
          <w:rStyle w:val="FootnoteReference"/>
          <w:rFonts w:eastAsia="Times New Roman"/>
          <w:color w:val="000000"/>
        </w:rPr>
        <w:footnoteReference w:id="280"/>
      </w:r>
      <w:r w:rsidR="00B3024E">
        <w:t xml:space="preserve"> However </w:t>
      </w:r>
      <w:r w:rsidR="00B3024E" w:rsidRPr="00090ACC">
        <w:t xml:space="preserve">the </w:t>
      </w:r>
      <w:r w:rsidR="00B3024E">
        <w:t xml:space="preserve">EHRC </w:t>
      </w:r>
      <w:r w:rsidR="00883EB3">
        <w:t>notes</w:t>
      </w:r>
      <w:r w:rsidR="00B3024E" w:rsidRPr="00090ACC">
        <w:t xml:space="preserve"> that </w:t>
      </w:r>
      <w:r w:rsidR="00B3024E">
        <w:t xml:space="preserve">other </w:t>
      </w:r>
      <w:r w:rsidR="00B3024E" w:rsidRPr="00090ACC">
        <w:t>recent changes, such as the introduction of fees for equal pay claims and the repeal of s138 of the Equality Act</w:t>
      </w:r>
      <w:r w:rsidR="00B3024E">
        <w:t xml:space="preserve"> 2010</w:t>
      </w:r>
      <w:r w:rsidR="00B3024E" w:rsidRPr="00090ACC">
        <w:t>, may have adverse effects on people challenging discriminatory pay (</w:t>
      </w:r>
      <w:r w:rsidR="00B3024E">
        <w:t xml:space="preserve">also </w:t>
      </w:r>
      <w:r w:rsidR="00B3024E" w:rsidRPr="00090ACC">
        <w:t>see Access to Civil Justice).</w:t>
      </w:r>
      <w:r w:rsidR="00B3024E">
        <w:rPr>
          <w:rStyle w:val="FootnoteReference"/>
          <w:rFonts w:eastAsia="Times New Roman"/>
          <w:color w:val="000000"/>
        </w:rPr>
        <w:footnoteReference w:id="281"/>
      </w:r>
    </w:p>
    <w:p w:rsidR="00B3024E" w:rsidRDefault="00364E33" w:rsidP="009D0BA5">
      <w:pPr>
        <w:pStyle w:val="Parabeforeanother"/>
      </w:pPr>
      <w:r w:rsidRPr="003F78A7">
        <w:rPr>
          <w:b/>
        </w:rPr>
        <w:t xml:space="preserve">E.15.5 </w:t>
      </w:r>
      <w:r w:rsidR="00B3024E">
        <w:t xml:space="preserve">The EHRC has </w:t>
      </w:r>
      <w:r w:rsidR="00B3024E" w:rsidRPr="00D2676E">
        <w:t xml:space="preserve">supported the </w:t>
      </w:r>
      <w:r w:rsidR="00B3024E">
        <w:t xml:space="preserve">UK Government’s </w:t>
      </w:r>
      <w:r w:rsidR="00D4379C">
        <w:t>‘</w:t>
      </w:r>
      <w:r w:rsidR="00B3024E">
        <w:t>Think, Act, Report</w:t>
      </w:r>
      <w:r w:rsidR="00D4379C">
        <w:t>’</w:t>
      </w:r>
      <w:r w:rsidR="00B3024E" w:rsidRPr="00D2676E">
        <w:t xml:space="preserve"> </w:t>
      </w:r>
      <w:r w:rsidR="00A85CC6">
        <w:t>i</w:t>
      </w:r>
      <w:r w:rsidR="00B3024E" w:rsidRPr="00D2676E">
        <w:t>nitiative to encourage companies to improve gender equality on a voluntary basis.</w:t>
      </w:r>
      <w:r w:rsidR="00B3024E">
        <w:rPr>
          <w:rStyle w:val="FootnoteReference"/>
          <w:rFonts w:eastAsia="Times New Roman"/>
          <w:color w:val="000000"/>
        </w:rPr>
        <w:footnoteReference w:id="282"/>
      </w:r>
      <w:r w:rsidR="008C67B4">
        <w:t xml:space="preserve"> </w:t>
      </w:r>
      <w:r w:rsidR="00B3024E" w:rsidRPr="00D2676E">
        <w:t xml:space="preserve">However, </w:t>
      </w:r>
      <w:r w:rsidR="00B3024E">
        <w:t>only 270</w:t>
      </w:r>
      <w:r w:rsidR="00B3024E" w:rsidRPr="00D2676E">
        <w:t xml:space="preserve"> employers</w:t>
      </w:r>
      <w:r w:rsidR="00B3024E">
        <w:rPr>
          <w:rStyle w:val="FootnoteReference"/>
          <w:rFonts w:eastAsia="Times New Roman"/>
          <w:color w:val="000000"/>
        </w:rPr>
        <w:footnoteReference w:id="283"/>
      </w:r>
      <w:r w:rsidR="00B3024E">
        <w:t xml:space="preserve"> are involved in this</w:t>
      </w:r>
      <w:r w:rsidR="00B3024E" w:rsidRPr="00D2676E">
        <w:t xml:space="preserve"> </w:t>
      </w:r>
      <w:r w:rsidR="00B3024E">
        <w:t>i</w:t>
      </w:r>
      <w:r w:rsidR="00B3024E" w:rsidRPr="00D2676E">
        <w:t xml:space="preserve">nitiative, compared to </w:t>
      </w:r>
      <w:r w:rsidR="00B3024E">
        <w:t>6,700</w:t>
      </w:r>
      <w:r w:rsidR="00B3024E" w:rsidRPr="00D2676E">
        <w:t xml:space="preserve"> companies with over 250 employers in the UK</w:t>
      </w:r>
      <w:r w:rsidR="00B3024E">
        <w:t>.</w:t>
      </w:r>
      <w:r w:rsidR="00B3024E">
        <w:rPr>
          <w:rStyle w:val="FootnoteReference"/>
          <w:rFonts w:eastAsia="Times New Roman"/>
          <w:color w:val="000000"/>
        </w:rPr>
        <w:footnoteReference w:id="284"/>
      </w:r>
      <w:r w:rsidR="008C67B4">
        <w:t xml:space="preserve"> </w:t>
      </w:r>
      <w:r w:rsidR="00B3024E" w:rsidRPr="00D2676E">
        <w:t>Of those</w:t>
      </w:r>
      <w:r w:rsidR="00B3024E">
        <w:t xml:space="preserve"> 270 employers</w:t>
      </w:r>
      <w:r w:rsidR="00B3024E" w:rsidRPr="00D2676E">
        <w:t xml:space="preserve">, only five </w:t>
      </w:r>
      <w:r w:rsidR="00B3024E" w:rsidRPr="00D2676E">
        <w:lastRenderedPageBreak/>
        <w:t>have signed up to publish their gender pay gaps.</w:t>
      </w:r>
      <w:r w:rsidR="00B3024E">
        <w:rPr>
          <w:rStyle w:val="FootnoteReference"/>
          <w:rFonts w:eastAsia="Times New Roman"/>
          <w:color w:val="000000"/>
        </w:rPr>
        <w:footnoteReference w:id="285"/>
      </w:r>
      <w:r w:rsidR="008C67B4">
        <w:t xml:space="preserve"> </w:t>
      </w:r>
      <w:r w:rsidR="00B3024E">
        <w:t>Since this suggest</w:t>
      </w:r>
      <w:r w:rsidR="00A85CC6">
        <w:t>s</w:t>
      </w:r>
      <w:r w:rsidR="00B3024E">
        <w:t xml:space="preserve"> </w:t>
      </w:r>
      <w:r w:rsidR="00B3024E" w:rsidRPr="00D2676E">
        <w:t>that a voluntary approach</w:t>
      </w:r>
      <w:r w:rsidR="00A85CC6">
        <w:t>,</w:t>
      </w:r>
      <w:r w:rsidR="00B3024E" w:rsidRPr="00D2676E">
        <w:t xml:space="preserve"> on its own</w:t>
      </w:r>
      <w:r w:rsidR="00A85CC6">
        <w:t>,</w:t>
      </w:r>
      <w:r w:rsidR="00B3024E" w:rsidRPr="00D2676E">
        <w:t xml:space="preserve"> will not deliver the transparency needed to achieve a </w:t>
      </w:r>
      <w:r w:rsidR="00B3024E">
        <w:t xml:space="preserve">change in companies’ behaviour, we welcome the UK Government’s decision </w:t>
      </w:r>
      <w:r w:rsidR="00B3024E" w:rsidRPr="00CF3984">
        <w:t>to make gender pay gap reporting mandatory for companies employing 250 people or more.</w:t>
      </w:r>
      <w:r w:rsidR="00B3024E">
        <w:rPr>
          <w:rStyle w:val="FootnoteReference"/>
          <w:rFonts w:eastAsia="Times New Roman"/>
          <w:color w:val="000000"/>
        </w:rPr>
        <w:footnoteReference w:id="286"/>
      </w:r>
      <w:r w:rsidR="00B3024E" w:rsidRPr="00CF3984">
        <w:t xml:space="preserve"> The new clause will place a duty on the Secretary of State to make the necessary regulations within 12 months of the enactment of the Small Business, Enterprise and Employment Bill.</w:t>
      </w:r>
      <w:r w:rsidR="00B3024E">
        <w:rPr>
          <w:rStyle w:val="FootnoteReference"/>
          <w:rFonts w:eastAsia="Times New Roman"/>
          <w:color w:val="000000"/>
        </w:rPr>
        <w:footnoteReference w:id="287"/>
      </w:r>
      <w:r w:rsidR="00B3024E">
        <w:t xml:space="preserve"> The EHRC looks forward to hearing more about how this regulation will be monitored and enforced.</w:t>
      </w:r>
      <w:r w:rsidR="008C67B4">
        <w:t xml:space="preserve"> </w:t>
      </w:r>
    </w:p>
    <w:p w:rsidR="00B4130D" w:rsidRDefault="00364E33" w:rsidP="009D0BA5">
      <w:pPr>
        <w:pStyle w:val="Parabeforeanother"/>
      </w:pPr>
      <w:r w:rsidRPr="003F78A7">
        <w:rPr>
          <w:b/>
        </w:rPr>
        <w:t>E.15.6</w:t>
      </w:r>
      <w:r>
        <w:t xml:space="preserve"> </w:t>
      </w:r>
      <w:r w:rsidR="009D6430">
        <w:t xml:space="preserve">In Wales, </w:t>
      </w:r>
      <w:r w:rsidR="007F72EF">
        <w:t xml:space="preserve">there is already a requirement for </w:t>
      </w:r>
      <w:r w:rsidR="009D6430">
        <w:t xml:space="preserve">public authorities </w:t>
      </w:r>
      <w:r w:rsidR="007F72EF">
        <w:t xml:space="preserve">to </w:t>
      </w:r>
      <w:r w:rsidR="009D6430" w:rsidRPr="009D6430">
        <w:t>publish an equality objective to address any gender pay gap, or else publish the reasons why i</w:t>
      </w:r>
      <w:r w:rsidR="007F72EF">
        <w:t>t has not done so.</w:t>
      </w:r>
      <w:r w:rsidR="007F72EF">
        <w:rPr>
          <w:rStyle w:val="FootnoteReference"/>
          <w:rFonts w:eastAsia="Times New Roman"/>
          <w:color w:val="000000"/>
        </w:rPr>
        <w:footnoteReference w:id="288"/>
      </w:r>
      <w:r w:rsidR="008C67B4">
        <w:t xml:space="preserve"> </w:t>
      </w:r>
      <w:r w:rsidR="009D6430" w:rsidRPr="009D6430">
        <w:t>Welsh local authorities have found that they have made good progress in reducing the gender pay gap but recognised there was more work to be done. They felt that significant progress could be best achieved if external factors, such as those relating to childcare were addressed.</w:t>
      </w:r>
      <w:r w:rsidR="007F72EF">
        <w:rPr>
          <w:rStyle w:val="FootnoteReference"/>
          <w:rFonts w:eastAsia="Times New Roman"/>
          <w:color w:val="000000"/>
        </w:rPr>
        <w:footnoteReference w:id="289"/>
      </w:r>
    </w:p>
    <w:p w:rsidR="00B3024E" w:rsidRDefault="00364E33" w:rsidP="009D0BA5">
      <w:pPr>
        <w:pStyle w:val="Parabeforeanother"/>
      </w:pPr>
      <w:r w:rsidRPr="003F78A7">
        <w:rPr>
          <w:b/>
        </w:rPr>
        <w:t>E.15.7</w:t>
      </w:r>
      <w:r>
        <w:t xml:space="preserve"> </w:t>
      </w:r>
      <w:r w:rsidR="00A85CC6">
        <w:t>The EHRC considers</w:t>
      </w:r>
      <w:r w:rsidR="00B3024E">
        <w:t xml:space="preserve"> it would also be helpful for the UK Government to </w:t>
      </w:r>
      <w:r w:rsidR="00B3024E" w:rsidRPr="00090ACC">
        <w:t>promote good practice by employers and to ensure that successful initiatives taken by the devolved governments are better shared.</w:t>
      </w:r>
      <w:r w:rsidR="00B3024E" w:rsidRPr="00090ACC">
        <w:rPr>
          <w:rStyle w:val="FootnoteReference"/>
          <w:rFonts w:eastAsia="Times New Roman"/>
          <w:color w:val="000000"/>
        </w:rPr>
        <w:footnoteReference w:id="290"/>
      </w:r>
      <w:r w:rsidR="00B3024E" w:rsidRPr="00090ACC">
        <w:t xml:space="preserve"> </w:t>
      </w:r>
    </w:p>
    <w:p w:rsidR="00B3024E" w:rsidRDefault="00364E33" w:rsidP="009D0BA5">
      <w:pPr>
        <w:pStyle w:val="Parabeforeanother"/>
      </w:pPr>
      <w:r w:rsidRPr="003F78A7">
        <w:rPr>
          <w:b/>
        </w:rPr>
        <w:t>E.15.8</w:t>
      </w:r>
      <w:r>
        <w:t xml:space="preserve"> </w:t>
      </w:r>
      <w:r w:rsidR="00B3024E" w:rsidRPr="00090ACC">
        <w:t xml:space="preserve">Unlike gender, there are no regular analyses on the pay gaps faced by those with other protected characteristics. This reduces public awareness of these pay gaps and makes it difficult to monitor any changes over time. Existing data sources, while increasingly dated, can be used to provide an assessment of pay gaps </w:t>
      </w:r>
      <w:r w:rsidR="00B3024E">
        <w:t>for individuals with some protected characteristics</w:t>
      </w:r>
      <w:r w:rsidR="00B3024E" w:rsidRPr="00090ACC">
        <w:t xml:space="preserve">, but no reliable evidence exists for </w:t>
      </w:r>
      <w:r w:rsidR="00B3024E">
        <w:t>lesbian, gay, bisexual or transgender people.</w:t>
      </w:r>
    </w:p>
    <w:p w:rsidR="00B3024E" w:rsidRPr="00090ACC" w:rsidRDefault="00364E33" w:rsidP="009D0BA5">
      <w:pPr>
        <w:pStyle w:val="Parabeforenewsubsection"/>
      </w:pPr>
      <w:r w:rsidRPr="003F78A7">
        <w:rPr>
          <w:b/>
        </w:rPr>
        <w:t>E.15.9</w:t>
      </w:r>
      <w:r>
        <w:t xml:space="preserve"> </w:t>
      </w:r>
      <w:r w:rsidR="00B3024E" w:rsidRPr="00090ACC">
        <w:t xml:space="preserve">The </w:t>
      </w:r>
      <w:r w:rsidR="00B3024E">
        <w:t>EHRC</w:t>
      </w:r>
      <w:r w:rsidR="00B3024E" w:rsidRPr="00090ACC">
        <w:t xml:space="preserve"> has </w:t>
      </w:r>
      <w:r w:rsidR="00B3024E">
        <w:t>conducted research</w:t>
      </w:r>
      <w:r w:rsidR="00B3024E" w:rsidRPr="00090ACC">
        <w:t xml:space="preserve"> that </w:t>
      </w:r>
      <w:r w:rsidR="00B3024E">
        <w:t xml:space="preserve">demonstrates </w:t>
      </w:r>
      <w:r w:rsidR="00B3024E" w:rsidRPr="00090ACC">
        <w:t xml:space="preserve">discrimination and unfair treatment is still a factor in relation to pay gaps by age, ethnicity, religious </w:t>
      </w:r>
      <w:r w:rsidR="00B3024E" w:rsidRPr="00090ACC">
        <w:lastRenderedPageBreak/>
        <w:t>belief and disability.</w:t>
      </w:r>
      <w:r w:rsidR="00B3024E" w:rsidRPr="00090ACC">
        <w:rPr>
          <w:rStyle w:val="FootnoteReference"/>
          <w:rFonts w:eastAsia="Times New Roman"/>
          <w:color w:val="000000"/>
        </w:rPr>
        <w:footnoteReference w:id="291"/>
      </w:r>
      <w:r w:rsidR="00B3024E" w:rsidRPr="00090ACC">
        <w:t xml:space="preserve"> However, like gender, the main causes of these </w:t>
      </w:r>
      <w:r w:rsidR="00A85CC6">
        <w:t xml:space="preserve">other equal pay </w:t>
      </w:r>
      <w:r w:rsidR="00B3024E" w:rsidRPr="00090ACC">
        <w:t>gaps are a range of economic and social factors and a variety of approaches will be necessary to tackle them effectively.</w:t>
      </w:r>
      <w:r w:rsidR="00B3024E" w:rsidRPr="00090ACC">
        <w:rPr>
          <w:rStyle w:val="FootnoteReference"/>
          <w:rFonts w:eastAsia="Times New Roman"/>
          <w:color w:val="000000"/>
        </w:rPr>
        <w:footnoteReference w:id="292"/>
      </w:r>
    </w:p>
    <w:p w:rsidR="00F262B6" w:rsidRDefault="00F262B6" w:rsidP="00F262B6">
      <w:pPr>
        <w:pStyle w:val="Heading-subsections"/>
      </w:pPr>
      <w:r>
        <w:t>Conclusion:</w:t>
      </w:r>
    </w:p>
    <w:p w:rsidR="00B3024E" w:rsidRDefault="00364E33" w:rsidP="009D0BA5">
      <w:pPr>
        <w:pStyle w:val="Parabold"/>
      </w:pPr>
      <w:r>
        <w:t xml:space="preserve">E.15.10 </w:t>
      </w:r>
      <w:r w:rsidR="000553A4">
        <w:t xml:space="preserve">There has been significant progress in England and Wales towards closing the </w:t>
      </w:r>
      <w:r w:rsidR="000553A4" w:rsidRPr="000553A4">
        <w:t>gender pay gap between men and women in age groups below 40</w:t>
      </w:r>
      <w:r w:rsidR="000553A4">
        <w:t xml:space="preserve">. While this suggests significant progress in tackling direct discrimination on the basis of gender, challenges remain in relation to the unequal employment outcomes that many mothers experience. </w:t>
      </w:r>
      <w:r w:rsidR="00B3024E">
        <w:t>W</w:t>
      </w:r>
      <w:r w:rsidR="00707CE7">
        <w:t>hile w</w:t>
      </w:r>
      <w:r w:rsidR="00B3024E">
        <w:t xml:space="preserve">e welcome the recent initiative from the UK Government </w:t>
      </w:r>
      <w:r w:rsidR="00707CE7">
        <w:t>for</w:t>
      </w:r>
      <w:r w:rsidR="00B3024E">
        <w:t xml:space="preserve"> large employe</w:t>
      </w:r>
      <w:r w:rsidR="00707CE7">
        <w:t>r</w:t>
      </w:r>
      <w:r w:rsidR="00B3024E">
        <w:t xml:space="preserve">s </w:t>
      </w:r>
      <w:r w:rsidR="00707CE7">
        <w:t xml:space="preserve">to </w:t>
      </w:r>
      <w:r w:rsidR="00B3024E">
        <w:t>publish information regarding the gender pay gap in their business</w:t>
      </w:r>
      <w:r w:rsidR="00707CE7">
        <w:t xml:space="preserve">, in order to improve compliance with Articles 2,3, 26 of ICCPR, </w:t>
      </w:r>
      <w:r w:rsidR="00B3024E">
        <w:t>it must also</w:t>
      </w:r>
      <w:r w:rsidR="00C75B98">
        <w:t xml:space="preserve"> consider broader issues, such as improving access to affordable childcare, </w:t>
      </w:r>
      <w:r w:rsidR="00707CE7">
        <w:t>and</w:t>
      </w:r>
      <w:r w:rsidR="00B3024E">
        <w:t xml:space="preserve"> progress initiatives to monitor and address the pay gaps in relation to </w:t>
      </w:r>
      <w:r w:rsidR="00707CE7">
        <w:t xml:space="preserve">individuals with other </w:t>
      </w:r>
      <w:r w:rsidR="00B3024E">
        <w:t>protected characteristics</w:t>
      </w:r>
      <w:r w:rsidR="00707CE7">
        <w:t>, such as ethnic minorities, age, religion or belief, and disabled people</w:t>
      </w:r>
      <w:r w:rsidR="00B3024E">
        <w:t>.</w:t>
      </w:r>
    </w:p>
    <w:p w:rsidR="00B3024E" w:rsidRDefault="00B3024E" w:rsidP="009D0BA5">
      <w:pPr>
        <w:pStyle w:val="Parabold"/>
      </w:pPr>
      <w:r>
        <w:t>Question A: Could the UK Government explain how it will monitor and enforce the new regulation on business to publish information on their ge</w:t>
      </w:r>
      <w:r w:rsidR="00775436">
        <w:t>nder pay gap</w:t>
      </w:r>
      <w:r>
        <w:t>?</w:t>
      </w:r>
    </w:p>
    <w:p w:rsidR="00B3024E" w:rsidRDefault="00B3024E" w:rsidP="009D0BA5">
      <w:pPr>
        <w:pStyle w:val="Parabold"/>
      </w:pPr>
      <w:r>
        <w:t>Question B: W</w:t>
      </w:r>
      <w:r w:rsidR="00775436">
        <w:t>hen w</w:t>
      </w:r>
      <w:r>
        <w:t>ill the UK Government review the impact of the recent introduction of fees for Employment Tribunals to ensure that these are not associated with adverse equality impacts in terms of access to redress; and review the impact of the repeal of s138 of the Equality Act 2010?</w:t>
      </w:r>
    </w:p>
    <w:p w:rsidR="00B3024E" w:rsidRDefault="00B3024E" w:rsidP="009D0BA5">
      <w:pPr>
        <w:pStyle w:val="Parabold"/>
      </w:pPr>
      <w:r>
        <w:t>Question C: Will the UK Government review existing government statistics with a view to producing regular estimates of the pay gaps</w:t>
      </w:r>
      <w:r w:rsidRPr="00090ACC">
        <w:t xml:space="preserve"> </w:t>
      </w:r>
      <w:r w:rsidRPr="002C6163">
        <w:t>for full-time and part-time work, as well as the associated employment rates, for all the main protected characteristics to reflect the demographic diversity of modern day Britain?</w:t>
      </w:r>
    </w:p>
    <w:p w:rsidR="002B6091" w:rsidRDefault="002B6091">
      <w:pPr>
        <w:spacing w:after="0"/>
        <w:rPr>
          <w:b/>
          <w:sz w:val="24"/>
          <w:szCs w:val="24"/>
        </w:rPr>
      </w:pPr>
      <w:r>
        <w:rPr>
          <w:b/>
          <w:sz w:val="24"/>
          <w:szCs w:val="24"/>
        </w:rPr>
        <w:br w:type="page"/>
      </w:r>
    </w:p>
    <w:p w:rsidR="002B6091" w:rsidRPr="000C2B25" w:rsidRDefault="002B6091" w:rsidP="002B6091">
      <w:pPr>
        <w:pStyle w:val="Heading-chapter"/>
      </w:pPr>
      <w:bookmarkStart w:id="28" w:name="_Toc420603283"/>
      <w:r>
        <w:lastRenderedPageBreak/>
        <w:t>Appendix A: Summary of Recommendations and Questions</w:t>
      </w:r>
      <w:bookmarkEnd w:id="28"/>
    </w:p>
    <w:p w:rsidR="002B6091" w:rsidRDefault="002B6091" w:rsidP="002B6091">
      <w:pPr>
        <w:pStyle w:val="ListParagraph"/>
        <w:spacing w:after="0"/>
        <w:ind w:left="0"/>
        <w:rPr>
          <w:b/>
          <w:szCs w:val="28"/>
        </w:rPr>
      </w:pPr>
      <w:r>
        <w:rPr>
          <w:b/>
          <w:szCs w:val="28"/>
        </w:rPr>
        <w:t>Recommendations</w:t>
      </w:r>
    </w:p>
    <w:p w:rsidR="002B6091" w:rsidRPr="00A37C9A" w:rsidRDefault="002B6091" w:rsidP="002B6091">
      <w:pPr>
        <w:pStyle w:val="Heading2"/>
        <w:numPr>
          <w:ilvl w:val="0"/>
          <w:numId w:val="23"/>
        </w:numPr>
        <w:rPr>
          <w:rFonts w:cs="Arial"/>
          <w:sz w:val="24"/>
          <w:szCs w:val="24"/>
          <w:lang w:eastAsia="en-GB"/>
        </w:rPr>
      </w:pPr>
      <w:bookmarkStart w:id="29" w:name="_Toc420603193"/>
      <w:bookmarkStart w:id="30" w:name="_Toc420603284"/>
      <w:proofErr w:type="gramStart"/>
      <w:r w:rsidRPr="008B2CB8">
        <w:rPr>
          <w:sz w:val="24"/>
          <w:szCs w:val="24"/>
        </w:rPr>
        <w:t xml:space="preserve">Judicial Diversity (Articles </w:t>
      </w:r>
      <w:r>
        <w:rPr>
          <w:sz w:val="24"/>
          <w:szCs w:val="24"/>
        </w:rPr>
        <w:t xml:space="preserve">2, </w:t>
      </w:r>
      <w:r w:rsidRPr="008B2CB8">
        <w:rPr>
          <w:sz w:val="24"/>
          <w:szCs w:val="24"/>
        </w:rPr>
        <w:t>3</w:t>
      </w:r>
      <w:r>
        <w:rPr>
          <w:sz w:val="24"/>
          <w:szCs w:val="24"/>
        </w:rPr>
        <w:t>, 25</w:t>
      </w:r>
      <w:r w:rsidRPr="008B2CB8">
        <w:rPr>
          <w:sz w:val="24"/>
          <w:szCs w:val="24"/>
        </w:rPr>
        <w:t xml:space="preserve"> and 26)</w:t>
      </w:r>
      <w:r>
        <w:rPr>
          <w:sz w:val="24"/>
          <w:szCs w:val="24"/>
        </w:rPr>
        <w:t>, List of Issues paragraph 6 and 9.</w:t>
      </w:r>
      <w:bookmarkEnd w:id="29"/>
      <w:bookmarkEnd w:id="30"/>
      <w:proofErr w:type="gramEnd"/>
    </w:p>
    <w:p w:rsidR="002B6091" w:rsidRPr="00E32557" w:rsidRDefault="002B6091" w:rsidP="002B6091">
      <w:pPr>
        <w:spacing w:after="0"/>
        <w:ind w:right="-243"/>
        <w:rPr>
          <w:rFonts w:cs="Arial"/>
          <w:sz w:val="24"/>
          <w:szCs w:val="24"/>
        </w:rPr>
      </w:pPr>
      <w:r w:rsidRPr="00E32557">
        <w:rPr>
          <w:rFonts w:cs="Arial"/>
          <w:sz w:val="24"/>
          <w:szCs w:val="24"/>
        </w:rPr>
        <w:t xml:space="preserve">The UK Government has taken a number of positive steps in relation to improving the diversity of the judiciary in England and Wales, such as establishing a Judicial Diversity Taskforce. However, progress in increasing the representation of women, ethnic minorities and people from poor socio-economic backgrounds remains slow and is out of step with progress across the globe. For progress to accelerate and the UK Government to improve compliance with Article 2 of ICCPR in relation to the judiciary, it must rapidly implement the recommendations of Advisory Panel on Judicial Diversity and the House of Lords Committee on the Constitution. If there is no significant increase in the numbers of women and ethnic minorities in judicial appointments by 2017, the UK Government should consider the introduction of non-mandatory targets. </w:t>
      </w:r>
    </w:p>
    <w:p w:rsidR="002B6091" w:rsidRPr="00836DF3" w:rsidRDefault="002B6091" w:rsidP="002B6091">
      <w:pPr>
        <w:spacing w:after="0"/>
        <w:rPr>
          <w:b/>
          <w:sz w:val="24"/>
          <w:szCs w:val="24"/>
        </w:rPr>
      </w:pPr>
    </w:p>
    <w:p w:rsidR="002B6091" w:rsidRPr="00F849EC" w:rsidRDefault="002B6091" w:rsidP="002B6091">
      <w:pPr>
        <w:pStyle w:val="ListParagraph"/>
        <w:numPr>
          <w:ilvl w:val="0"/>
          <w:numId w:val="23"/>
        </w:numPr>
        <w:spacing w:after="0"/>
        <w:rPr>
          <w:b/>
          <w:sz w:val="24"/>
          <w:szCs w:val="24"/>
        </w:rPr>
      </w:pPr>
      <w:r w:rsidRPr="00F849EC">
        <w:rPr>
          <w:b/>
          <w:sz w:val="24"/>
          <w:szCs w:val="24"/>
        </w:rPr>
        <w:t>Access to Civil Justice (Article 14), List of Issues paragraph 24</w:t>
      </w:r>
      <w:r>
        <w:rPr>
          <w:rStyle w:val="FootnoteReference"/>
          <w:b/>
          <w:sz w:val="24"/>
          <w:szCs w:val="24"/>
        </w:rPr>
        <w:footnoteReference w:id="293"/>
      </w:r>
    </w:p>
    <w:p w:rsidR="002B6091" w:rsidRDefault="002B6091" w:rsidP="002B6091">
      <w:pPr>
        <w:spacing w:after="0"/>
        <w:rPr>
          <w:rFonts w:cs="Arial"/>
          <w:b/>
          <w:sz w:val="24"/>
          <w:szCs w:val="24"/>
        </w:rPr>
      </w:pPr>
    </w:p>
    <w:p w:rsidR="002B6091" w:rsidRPr="00E32557" w:rsidRDefault="002B6091" w:rsidP="002B6091">
      <w:pPr>
        <w:spacing w:after="0"/>
        <w:rPr>
          <w:rFonts w:cs="Arial"/>
          <w:sz w:val="24"/>
          <w:szCs w:val="24"/>
        </w:rPr>
      </w:pPr>
      <w:r w:rsidRPr="00E32557">
        <w:rPr>
          <w:rFonts w:cs="Arial"/>
          <w:sz w:val="24"/>
          <w:szCs w:val="24"/>
        </w:rPr>
        <w:t>Changes introduced to civil legal aid by the LASPO Act 2012 and reforms to Judicial Review introduced by the Criminal Justice and Courts Act 2015 have significantly weakened the protections for the right to equality before courts and tribunals for all persons in England and Wales. The UK Government needs to take a number of steps to improve compliance with Article 14 of ICCPR, including:</w:t>
      </w:r>
    </w:p>
    <w:p w:rsidR="002B6091" w:rsidRPr="00E32557" w:rsidRDefault="002B6091" w:rsidP="002B6091">
      <w:pPr>
        <w:pStyle w:val="ListParagraph"/>
        <w:numPr>
          <w:ilvl w:val="0"/>
          <w:numId w:val="25"/>
        </w:numPr>
        <w:spacing w:after="0"/>
        <w:rPr>
          <w:rFonts w:cs="Arial"/>
          <w:sz w:val="24"/>
          <w:szCs w:val="24"/>
        </w:rPr>
      </w:pPr>
      <w:r w:rsidRPr="00E32557">
        <w:rPr>
          <w:rFonts w:cs="Arial"/>
          <w:sz w:val="24"/>
          <w:szCs w:val="24"/>
        </w:rPr>
        <w:t>Urgently acting on the evidence of weaknesses in the exceptional funding scheme for legal aid and the telephone advice gateway;</w:t>
      </w:r>
    </w:p>
    <w:p w:rsidR="002B6091" w:rsidRPr="00E32557" w:rsidRDefault="002B6091" w:rsidP="002B6091">
      <w:pPr>
        <w:pStyle w:val="ListParagraph"/>
        <w:numPr>
          <w:ilvl w:val="0"/>
          <w:numId w:val="25"/>
        </w:numPr>
        <w:spacing w:after="0"/>
        <w:rPr>
          <w:rFonts w:cs="Arial"/>
          <w:sz w:val="24"/>
          <w:szCs w:val="24"/>
        </w:rPr>
      </w:pPr>
      <w:r w:rsidRPr="00E32557">
        <w:rPr>
          <w:rFonts w:cs="Arial"/>
          <w:sz w:val="24"/>
          <w:szCs w:val="24"/>
        </w:rPr>
        <w:t>Responding to the recommendations of the Low Commission on the future of advice and legal support for social welfare in England and Wales; and</w:t>
      </w:r>
    </w:p>
    <w:p w:rsidR="002B6091" w:rsidRDefault="002B6091" w:rsidP="002B6091">
      <w:pPr>
        <w:pStyle w:val="ListParagraph"/>
        <w:numPr>
          <w:ilvl w:val="0"/>
          <w:numId w:val="25"/>
        </w:numPr>
        <w:spacing w:after="0"/>
        <w:rPr>
          <w:rFonts w:cs="Arial"/>
          <w:sz w:val="24"/>
          <w:szCs w:val="24"/>
        </w:rPr>
      </w:pPr>
      <w:r w:rsidRPr="00E32557">
        <w:rPr>
          <w:rFonts w:cs="Arial"/>
          <w:sz w:val="24"/>
          <w:szCs w:val="24"/>
        </w:rPr>
        <w:t>Withdrawing the residence test, the restrictions for legal aid for judicial review, and the proposals to limit the court’s discretion in these cases.</w:t>
      </w:r>
    </w:p>
    <w:p w:rsidR="002B6091" w:rsidRPr="008B6375" w:rsidRDefault="002B6091" w:rsidP="002B6091">
      <w:pPr>
        <w:pStyle w:val="ListParagraph"/>
        <w:spacing w:after="0"/>
        <w:rPr>
          <w:rFonts w:cs="Arial"/>
          <w:sz w:val="24"/>
          <w:szCs w:val="24"/>
        </w:rPr>
      </w:pPr>
    </w:p>
    <w:p w:rsidR="002B6091" w:rsidRPr="00B3024E" w:rsidRDefault="002B6091" w:rsidP="002B6091">
      <w:pPr>
        <w:pStyle w:val="ListParagraph"/>
        <w:numPr>
          <w:ilvl w:val="0"/>
          <w:numId w:val="23"/>
        </w:numPr>
        <w:spacing w:after="0"/>
        <w:ind w:left="426" w:hanging="426"/>
        <w:rPr>
          <w:b/>
          <w:sz w:val="24"/>
          <w:szCs w:val="24"/>
        </w:rPr>
      </w:pPr>
      <w:r w:rsidRPr="00B3024E">
        <w:rPr>
          <w:b/>
          <w:sz w:val="24"/>
          <w:szCs w:val="24"/>
        </w:rPr>
        <w:t>Counter Terrorism Provisions (Articles 9, 14), List of Issues paragraph 11, 20, 23</w:t>
      </w:r>
      <w:r>
        <w:rPr>
          <w:rStyle w:val="FootnoteReference"/>
          <w:b/>
          <w:sz w:val="24"/>
          <w:szCs w:val="24"/>
        </w:rPr>
        <w:footnoteReference w:id="294"/>
      </w:r>
    </w:p>
    <w:p w:rsidR="002B6091" w:rsidRPr="00E32557" w:rsidRDefault="002B6091" w:rsidP="002B6091">
      <w:pPr>
        <w:spacing w:after="0"/>
        <w:rPr>
          <w:rFonts w:cs="Arial"/>
          <w:sz w:val="24"/>
          <w:szCs w:val="24"/>
        </w:rPr>
      </w:pPr>
    </w:p>
    <w:p w:rsidR="002B6091" w:rsidRPr="00E32557" w:rsidRDefault="002B6091" w:rsidP="002B6091">
      <w:pPr>
        <w:spacing w:after="0"/>
        <w:rPr>
          <w:rFonts w:cs="Arial"/>
          <w:sz w:val="24"/>
          <w:szCs w:val="24"/>
        </w:rPr>
      </w:pPr>
      <w:r w:rsidRPr="00E32557">
        <w:rPr>
          <w:rFonts w:cs="Arial"/>
          <w:sz w:val="24"/>
          <w:szCs w:val="24"/>
        </w:rPr>
        <w:t>The UK Government has introduced a package of anti-terrorism legislation, which creates very wide-reaching powers that may be incompatible with its obligations to protect the rights to liberty and equality before the courts while protecting national security. The UK Government needs to conduct a broad review of its anti-terrorism legislation to ensure that all these powers are necessary and do not unduly interfere with its obligations under Articles 9 and 14 of ICCPR, including consideration of:</w:t>
      </w:r>
    </w:p>
    <w:p w:rsidR="002B6091" w:rsidRPr="00E32557" w:rsidRDefault="002B6091" w:rsidP="002B6091">
      <w:pPr>
        <w:spacing w:after="0"/>
        <w:rPr>
          <w:rFonts w:cs="Arial"/>
          <w:sz w:val="24"/>
          <w:szCs w:val="24"/>
        </w:rPr>
      </w:pPr>
    </w:p>
    <w:p w:rsidR="002B6091" w:rsidRPr="00E32557" w:rsidRDefault="002B6091" w:rsidP="002B6091">
      <w:pPr>
        <w:pStyle w:val="ListParagraph"/>
        <w:numPr>
          <w:ilvl w:val="0"/>
          <w:numId w:val="22"/>
        </w:numPr>
        <w:spacing w:after="0"/>
        <w:rPr>
          <w:rFonts w:cs="Arial"/>
          <w:sz w:val="24"/>
          <w:szCs w:val="24"/>
        </w:rPr>
      </w:pPr>
      <w:r w:rsidRPr="00E32557">
        <w:rPr>
          <w:rFonts w:cs="Arial"/>
          <w:sz w:val="24"/>
          <w:szCs w:val="24"/>
        </w:rPr>
        <w:t>amending Schedule 8 to the Terrorism Act 2000 so that terrorism suspects have the same right to access legal advice as those arrested for non-terrorism related cases;</w:t>
      </w:r>
    </w:p>
    <w:p w:rsidR="002B6091" w:rsidRPr="00E32557" w:rsidRDefault="002B6091" w:rsidP="002B6091">
      <w:pPr>
        <w:pStyle w:val="ListParagraph"/>
        <w:numPr>
          <w:ilvl w:val="0"/>
          <w:numId w:val="22"/>
        </w:numPr>
        <w:spacing w:after="0"/>
        <w:rPr>
          <w:rFonts w:cs="Arial"/>
          <w:sz w:val="24"/>
          <w:szCs w:val="24"/>
        </w:rPr>
      </w:pPr>
      <w:r w:rsidRPr="00E32557">
        <w:rPr>
          <w:rFonts w:cs="Arial"/>
          <w:sz w:val="24"/>
          <w:szCs w:val="24"/>
        </w:rPr>
        <w:t>reducing the limit on pre-charge detention for terrorist suspects to four days, in line with the criminal law in England and Wales;</w:t>
      </w:r>
    </w:p>
    <w:p w:rsidR="002B6091" w:rsidRPr="00E32557" w:rsidRDefault="002B6091" w:rsidP="002B6091">
      <w:pPr>
        <w:pStyle w:val="ListParagraph"/>
        <w:numPr>
          <w:ilvl w:val="0"/>
          <w:numId w:val="22"/>
        </w:numPr>
        <w:spacing w:after="0"/>
        <w:rPr>
          <w:rFonts w:cs="Arial"/>
          <w:sz w:val="24"/>
          <w:szCs w:val="24"/>
        </w:rPr>
      </w:pPr>
      <w:r w:rsidRPr="00E32557">
        <w:rPr>
          <w:rFonts w:cs="Arial"/>
          <w:sz w:val="24"/>
          <w:szCs w:val="24"/>
        </w:rPr>
        <w:t>considering the continued necessity of TPIMs; and</w:t>
      </w:r>
    </w:p>
    <w:p w:rsidR="002B6091" w:rsidRPr="00E32557" w:rsidRDefault="002B6091" w:rsidP="002B6091">
      <w:pPr>
        <w:pStyle w:val="ListParagraph"/>
        <w:numPr>
          <w:ilvl w:val="0"/>
          <w:numId w:val="22"/>
        </w:numPr>
        <w:spacing w:after="0"/>
        <w:rPr>
          <w:rFonts w:cs="Arial"/>
          <w:sz w:val="24"/>
          <w:szCs w:val="24"/>
        </w:rPr>
      </w:pPr>
      <w:r w:rsidRPr="00E32557">
        <w:rPr>
          <w:rFonts w:cs="Arial"/>
          <w:sz w:val="24"/>
          <w:szCs w:val="24"/>
        </w:rPr>
        <w:t xml:space="preserve">restricting the use of closed material proceedings to the smallest possible number of courts and tribunals, as a last resort where there is no alternative means of achieving justice; </w:t>
      </w:r>
    </w:p>
    <w:p w:rsidR="002B6091" w:rsidRPr="00E32557" w:rsidRDefault="002B6091" w:rsidP="002B6091">
      <w:pPr>
        <w:pStyle w:val="ListParagraph"/>
        <w:numPr>
          <w:ilvl w:val="0"/>
          <w:numId w:val="22"/>
        </w:numPr>
        <w:spacing w:after="0"/>
        <w:rPr>
          <w:rFonts w:cs="Arial"/>
          <w:sz w:val="24"/>
          <w:szCs w:val="24"/>
        </w:rPr>
      </w:pPr>
      <w:r w:rsidRPr="00E32557">
        <w:rPr>
          <w:rFonts w:cs="Arial"/>
          <w:sz w:val="24"/>
          <w:szCs w:val="24"/>
        </w:rPr>
        <w:t>repealing the provisions in the Justice and Security Act to extend the use of closed material proceedings into civil litigation; and</w:t>
      </w:r>
    </w:p>
    <w:p w:rsidR="002B6091" w:rsidRPr="00E32557" w:rsidRDefault="002B6091" w:rsidP="002B6091">
      <w:pPr>
        <w:pStyle w:val="ListParagraph"/>
        <w:numPr>
          <w:ilvl w:val="0"/>
          <w:numId w:val="22"/>
        </w:numPr>
        <w:spacing w:after="0"/>
        <w:rPr>
          <w:rFonts w:cs="Arial"/>
          <w:sz w:val="24"/>
          <w:szCs w:val="24"/>
        </w:rPr>
      </w:pPr>
      <w:proofErr w:type="gramStart"/>
      <w:r w:rsidRPr="00E32557">
        <w:rPr>
          <w:rFonts w:cs="Arial"/>
          <w:sz w:val="24"/>
          <w:szCs w:val="24"/>
        </w:rPr>
        <w:t>where</w:t>
      </w:r>
      <w:proofErr w:type="gramEnd"/>
      <w:r w:rsidRPr="00E32557">
        <w:rPr>
          <w:rFonts w:cs="Arial"/>
          <w:sz w:val="24"/>
          <w:szCs w:val="24"/>
        </w:rPr>
        <w:t xml:space="preserve"> material is to remain closed, ensuring the excluded party is given sufficient information to enable them to give effective instructions to their Special Advocate. </w:t>
      </w:r>
    </w:p>
    <w:p w:rsidR="002B6091" w:rsidRPr="00E32557" w:rsidRDefault="002B6091" w:rsidP="002B6091">
      <w:pPr>
        <w:spacing w:after="0"/>
        <w:rPr>
          <w:rFonts w:cs="Arial"/>
          <w:sz w:val="24"/>
          <w:szCs w:val="24"/>
        </w:rPr>
      </w:pPr>
    </w:p>
    <w:p w:rsidR="002B6091" w:rsidRDefault="002B6091" w:rsidP="002B6091">
      <w:pPr>
        <w:pStyle w:val="ListParagraph"/>
        <w:numPr>
          <w:ilvl w:val="0"/>
          <w:numId w:val="23"/>
        </w:numPr>
        <w:spacing w:after="0"/>
        <w:ind w:left="357" w:hanging="357"/>
        <w:rPr>
          <w:b/>
          <w:sz w:val="24"/>
          <w:szCs w:val="24"/>
        </w:rPr>
      </w:pPr>
      <w:r w:rsidRPr="00B3024E">
        <w:rPr>
          <w:b/>
          <w:sz w:val="24"/>
          <w:szCs w:val="24"/>
        </w:rPr>
        <w:t>Stop and S</w:t>
      </w:r>
      <w:r>
        <w:rPr>
          <w:b/>
          <w:sz w:val="24"/>
          <w:szCs w:val="24"/>
        </w:rPr>
        <w:t>earch (Articles 9, 17 and 26), List of I</w:t>
      </w:r>
      <w:r w:rsidRPr="00B3024E">
        <w:rPr>
          <w:b/>
          <w:sz w:val="24"/>
          <w:szCs w:val="24"/>
        </w:rPr>
        <w:t>ssues, paragraph</w:t>
      </w:r>
      <w:r>
        <w:rPr>
          <w:b/>
          <w:sz w:val="24"/>
          <w:szCs w:val="24"/>
        </w:rPr>
        <w:t>s</w:t>
      </w:r>
      <w:r w:rsidRPr="00B3024E">
        <w:rPr>
          <w:b/>
          <w:sz w:val="24"/>
          <w:szCs w:val="24"/>
        </w:rPr>
        <w:t xml:space="preserve"> 8</w:t>
      </w:r>
      <w:r>
        <w:rPr>
          <w:b/>
          <w:sz w:val="24"/>
          <w:szCs w:val="24"/>
        </w:rPr>
        <w:t>, 11 and 23</w:t>
      </w:r>
    </w:p>
    <w:p w:rsidR="002B6091" w:rsidRPr="008B6375" w:rsidRDefault="002B6091" w:rsidP="002B6091">
      <w:pPr>
        <w:pStyle w:val="ListParagraph"/>
        <w:spacing w:after="0"/>
        <w:ind w:left="357"/>
        <w:rPr>
          <w:b/>
          <w:sz w:val="24"/>
          <w:szCs w:val="24"/>
        </w:rPr>
      </w:pPr>
    </w:p>
    <w:p w:rsidR="002B6091" w:rsidRPr="008B6375" w:rsidRDefault="002B6091" w:rsidP="002B6091">
      <w:pPr>
        <w:rPr>
          <w:bCs/>
          <w:sz w:val="24"/>
          <w:szCs w:val="24"/>
        </w:rPr>
      </w:pPr>
      <w:r w:rsidRPr="00E32557">
        <w:rPr>
          <w:sz w:val="24"/>
          <w:szCs w:val="24"/>
        </w:rPr>
        <w:t>Evidence suggests that stop and search powers may not be being exercised fairly and in a non-discriminatory manner in England and Wales. If that’s the case, then the UK Government may not be fulfilling its obligations in relation to the rights to privacy, liberty and security, the prohibition on discrimination under Articles 9, 17 and 26 of ICCPR.</w:t>
      </w:r>
      <w:r w:rsidRPr="00E32557">
        <w:rPr>
          <w:bCs/>
          <w:sz w:val="24"/>
          <w:szCs w:val="24"/>
        </w:rPr>
        <w:t xml:space="preserve"> </w:t>
      </w:r>
    </w:p>
    <w:p w:rsidR="002B6091" w:rsidRPr="00B3024E" w:rsidRDefault="002B6091" w:rsidP="002B6091">
      <w:pPr>
        <w:pStyle w:val="ListParagraph"/>
        <w:numPr>
          <w:ilvl w:val="0"/>
          <w:numId w:val="23"/>
        </w:numPr>
        <w:spacing w:after="0"/>
        <w:ind w:left="426" w:hanging="426"/>
        <w:rPr>
          <w:b/>
          <w:sz w:val="24"/>
          <w:szCs w:val="24"/>
        </w:rPr>
      </w:pPr>
      <w:r w:rsidRPr="00B3024E">
        <w:rPr>
          <w:b/>
          <w:sz w:val="24"/>
          <w:szCs w:val="24"/>
        </w:rPr>
        <w:t xml:space="preserve">Trafficking and forced labour (Articles 2, 8, 9, 14, 24 and 26), </w:t>
      </w:r>
      <w:r>
        <w:rPr>
          <w:b/>
          <w:sz w:val="24"/>
          <w:szCs w:val="24"/>
        </w:rPr>
        <w:t xml:space="preserve">List of Issues </w:t>
      </w:r>
      <w:r w:rsidRPr="00B3024E">
        <w:rPr>
          <w:b/>
          <w:sz w:val="24"/>
          <w:szCs w:val="24"/>
        </w:rPr>
        <w:t>paragraph 26</w:t>
      </w:r>
    </w:p>
    <w:p w:rsidR="002B6091" w:rsidRPr="00E32557" w:rsidRDefault="002B6091" w:rsidP="002B6091">
      <w:pPr>
        <w:spacing w:after="0"/>
        <w:rPr>
          <w:rFonts w:cs="Arial"/>
          <w:bCs/>
          <w:sz w:val="24"/>
          <w:szCs w:val="24"/>
        </w:rPr>
      </w:pPr>
    </w:p>
    <w:p w:rsidR="002B6091" w:rsidRPr="00E32557" w:rsidRDefault="002B6091" w:rsidP="002B6091">
      <w:pPr>
        <w:spacing w:after="0"/>
        <w:rPr>
          <w:rFonts w:cs="Arial"/>
          <w:bCs/>
          <w:sz w:val="24"/>
          <w:szCs w:val="24"/>
        </w:rPr>
      </w:pPr>
      <w:r w:rsidRPr="00E32557">
        <w:rPr>
          <w:rFonts w:cs="Arial"/>
          <w:bCs/>
          <w:sz w:val="24"/>
          <w:szCs w:val="24"/>
        </w:rPr>
        <w:t>The Modern Slavery Act 2015 is a timely and necessary legislative measure to enforce the prohibition on trafficking and slavery in England and Wales. However, gaps in legislation and implementation remain, in relation to the protection of children and adults who have been victims of trafficking and exploitation, for example as evidenced in the UK Government’s review of the National Referral Mechanism.</w:t>
      </w:r>
      <w:r w:rsidR="008C67B4">
        <w:rPr>
          <w:rFonts w:cs="Arial"/>
          <w:bCs/>
          <w:sz w:val="24"/>
          <w:szCs w:val="24"/>
        </w:rPr>
        <w:t xml:space="preserve"> </w:t>
      </w:r>
      <w:r w:rsidRPr="00E32557">
        <w:rPr>
          <w:rFonts w:cs="Arial"/>
          <w:bCs/>
          <w:sz w:val="24"/>
          <w:szCs w:val="24"/>
        </w:rPr>
        <w:t xml:space="preserve">In order to improve compliance with Articles 2, 8, 9, 14, 24 and 26 of ICCPR, the UK Government should commit to: </w:t>
      </w:r>
    </w:p>
    <w:p w:rsidR="002B6091" w:rsidRPr="00E32557" w:rsidRDefault="002B6091" w:rsidP="002B6091">
      <w:pPr>
        <w:pStyle w:val="ListParagraph"/>
        <w:numPr>
          <w:ilvl w:val="0"/>
          <w:numId w:val="26"/>
        </w:numPr>
        <w:spacing w:after="0"/>
        <w:rPr>
          <w:rFonts w:cs="Arial"/>
          <w:bCs/>
          <w:sz w:val="24"/>
          <w:szCs w:val="24"/>
        </w:rPr>
      </w:pPr>
      <w:r w:rsidRPr="00E32557">
        <w:rPr>
          <w:rFonts w:cs="Arial"/>
          <w:bCs/>
          <w:sz w:val="24"/>
          <w:szCs w:val="24"/>
        </w:rPr>
        <w:t>reviewing the Modern Slavery Act within this Parliament to see whether it is functioning as intended and, if evidence suggests these remaining gaps impact on compliance with international human rights obligations, bringing forward amendments to the legislation;</w:t>
      </w:r>
    </w:p>
    <w:p w:rsidR="002B6091" w:rsidRPr="00E32557" w:rsidRDefault="002B6091" w:rsidP="002B6091">
      <w:pPr>
        <w:pStyle w:val="ListParagraph"/>
        <w:numPr>
          <w:ilvl w:val="0"/>
          <w:numId w:val="26"/>
        </w:numPr>
        <w:spacing w:after="0"/>
        <w:rPr>
          <w:rFonts w:cs="Arial"/>
          <w:bCs/>
          <w:sz w:val="24"/>
          <w:szCs w:val="24"/>
        </w:rPr>
      </w:pPr>
      <w:r w:rsidRPr="00E32557">
        <w:rPr>
          <w:rFonts w:cs="Arial"/>
          <w:bCs/>
          <w:sz w:val="24"/>
          <w:szCs w:val="24"/>
        </w:rPr>
        <w:t>expediting implementation of the pilot schemes to address the recommendations of the review of the National Referral Mechanism, including the provision of legal advice from the point at which potential victims of trafficking are identified;</w:t>
      </w:r>
    </w:p>
    <w:p w:rsidR="002B6091" w:rsidRPr="00E32557" w:rsidRDefault="002B6091" w:rsidP="002B6091">
      <w:pPr>
        <w:pStyle w:val="ListParagraph"/>
        <w:numPr>
          <w:ilvl w:val="0"/>
          <w:numId w:val="26"/>
        </w:numPr>
        <w:spacing w:after="0"/>
        <w:rPr>
          <w:rFonts w:cs="Arial"/>
          <w:bCs/>
          <w:sz w:val="24"/>
          <w:szCs w:val="24"/>
        </w:rPr>
      </w:pPr>
      <w:r w:rsidRPr="00E32557">
        <w:rPr>
          <w:rFonts w:cs="Arial"/>
          <w:bCs/>
          <w:sz w:val="24"/>
          <w:szCs w:val="24"/>
        </w:rPr>
        <w:lastRenderedPageBreak/>
        <w:t>ensuring the Regulations detailing the provisions for the identification and support of victims of trafficking address the</w:t>
      </w:r>
      <w:r w:rsidR="008C67B4">
        <w:rPr>
          <w:rFonts w:cs="Arial"/>
          <w:bCs/>
          <w:sz w:val="24"/>
          <w:szCs w:val="24"/>
        </w:rPr>
        <w:t xml:space="preserve"> </w:t>
      </w:r>
      <w:r w:rsidRPr="00E32557">
        <w:rPr>
          <w:sz w:val="24"/>
          <w:szCs w:val="24"/>
        </w:rPr>
        <w:t>need for the following:</w:t>
      </w:r>
    </w:p>
    <w:p w:rsidR="002B6091" w:rsidRPr="00E32557" w:rsidRDefault="002B6091" w:rsidP="002B6091">
      <w:pPr>
        <w:pStyle w:val="ListParagraph"/>
        <w:numPr>
          <w:ilvl w:val="0"/>
          <w:numId w:val="24"/>
        </w:numPr>
        <w:spacing w:after="0"/>
        <w:ind w:left="1080"/>
        <w:rPr>
          <w:rFonts w:cs="Arial"/>
          <w:bCs/>
          <w:sz w:val="24"/>
          <w:szCs w:val="24"/>
        </w:rPr>
      </w:pPr>
      <w:r w:rsidRPr="00E32557">
        <w:rPr>
          <w:rFonts w:cs="Arial"/>
          <w:bCs/>
          <w:sz w:val="24"/>
          <w:szCs w:val="24"/>
        </w:rPr>
        <w:t>a formal appeal process in the NRM;</w:t>
      </w:r>
    </w:p>
    <w:p w:rsidR="002B6091" w:rsidRPr="00E32557" w:rsidRDefault="002B6091" w:rsidP="002B6091">
      <w:pPr>
        <w:numPr>
          <w:ilvl w:val="0"/>
          <w:numId w:val="21"/>
        </w:numPr>
        <w:spacing w:after="0"/>
        <w:ind w:left="1080"/>
        <w:rPr>
          <w:rFonts w:cs="Arial"/>
          <w:sz w:val="24"/>
          <w:szCs w:val="24"/>
        </w:rPr>
      </w:pPr>
      <w:r w:rsidRPr="00E32557">
        <w:rPr>
          <w:rFonts w:cs="Arial"/>
          <w:bCs/>
          <w:sz w:val="24"/>
          <w:szCs w:val="24"/>
        </w:rPr>
        <w:t xml:space="preserve">a clear statutory duty to record and report trafficked children who go missing from care applicable </w:t>
      </w:r>
      <w:r w:rsidRPr="00E32557">
        <w:rPr>
          <w:rFonts w:cs="Arial"/>
          <w:sz w:val="24"/>
          <w:szCs w:val="24"/>
        </w:rPr>
        <w:t>to all relevant public authorities, including: health authorities, schools, prisons, probation services, competent authorities and voluntary organisations performing a public function; and</w:t>
      </w:r>
    </w:p>
    <w:p w:rsidR="002B6091" w:rsidRPr="00E32557" w:rsidRDefault="002B6091" w:rsidP="002B6091">
      <w:pPr>
        <w:numPr>
          <w:ilvl w:val="0"/>
          <w:numId w:val="21"/>
        </w:numPr>
        <w:autoSpaceDE w:val="0"/>
        <w:autoSpaceDN w:val="0"/>
        <w:adjustRightInd w:val="0"/>
        <w:spacing w:after="0"/>
        <w:ind w:left="1080"/>
        <w:rPr>
          <w:rFonts w:cs="Arial"/>
          <w:bCs/>
          <w:sz w:val="24"/>
          <w:szCs w:val="24"/>
        </w:rPr>
      </w:pPr>
      <w:proofErr w:type="gramStart"/>
      <w:r w:rsidRPr="00E32557">
        <w:rPr>
          <w:rFonts w:cs="Arial"/>
          <w:sz w:val="24"/>
          <w:szCs w:val="24"/>
        </w:rPr>
        <w:t>clarity</w:t>
      </w:r>
      <w:proofErr w:type="gramEnd"/>
      <w:r w:rsidRPr="00E32557">
        <w:rPr>
          <w:rFonts w:cs="Arial"/>
          <w:sz w:val="24"/>
          <w:szCs w:val="24"/>
        </w:rPr>
        <w:t xml:space="preserve"> that only a credible suspicion is required to trigger the provision of support and assistance and require public authorities to report suspected victims of trafficking or slavery.</w:t>
      </w:r>
    </w:p>
    <w:p w:rsidR="002B6091" w:rsidRDefault="002B6091" w:rsidP="002B6091">
      <w:pPr>
        <w:pStyle w:val="Heading2"/>
        <w:spacing w:before="0" w:after="0"/>
        <w:rPr>
          <w:rFonts w:cs="Arial"/>
          <w:sz w:val="24"/>
          <w:szCs w:val="24"/>
        </w:rPr>
      </w:pPr>
    </w:p>
    <w:p w:rsidR="002B6091" w:rsidRDefault="002B6091" w:rsidP="002B6091">
      <w:pPr>
        <w:pStyle w:val="ListParagraph"/>
        <w:numPr>
          <w:ilvl w:val="0"/>
          <w:numId w:val="23"/>
        </w:numPr>
        <w:spacing w:after="0"/>
        <w:ind w:left="720" w:hanging="720"/>
        <w:rPr>
          <w:b/>
          <w:sz w:val="24"/>
          <w:szCs w:val="24"/>
        </w:rPr>
      </w:pPr>
      <w:r w:rsidRPr="00EF0534">
        <w:rPr>
          <w:b/>
          <w:sz w:val="24"/>
          <w:szCs w:val="24"/>
        </w:rPr>
        <w:t>Privacy and Security (Articles 2, 5 (1) and 17)</w:t>
      </w:r>
      <w:r>
        <w:rPr>
          <w:b/>
          <w:sz w:val="24"/>
          <w:szCs w:val="24"/>
        </w:rPr>
        <w:t>, List of Issues paragraph 28</w:t>
      </w:r>
    </w:p>
    <w:p w:rsidR="002B6091" w:rsidRPr="00EF0534" w:rsidRDefault="002B6091" w:rsidP="002B6091">
      <w:pPr>
        <w:pStyle w:val="ListParagraph"/>
        <w:spacing w:after="0"/>
        <w:rPr>
          <w:b/>
          <w:sz w:val="24"/>
          <w:szCs w:val="24"/>
        </w:rPr>
      </w:pPr>
    </w:p>
    <w:p w:rsidR="002B6091" w:rsidRPr="00C1258B" w:rsidRDefault="002B6091" w:rsidP="002B6091">
      <w:pPr>
        <w:spacing w:after="0"/>
        <w:rPr>
          <w:rFonts w:cs="Arial"/>
          <w:sz w:val="24"/>
          <w:szCs w:val="24"/>
          <w:lang w:eastAsia="en-GB"/>
        </w:rPr>
      </w:pPr>
      <w:r w:rsidRPr="00C1258B">
        <w:rPr>
          <w:rFonts w:cs="Arial"/>
          <w:sz w:val="24"/>
          <w:szCs w:val="24"/>
          <w:lang w:eastAsia="en-GB"/>
        </w:rPr>
        <w:t>The nature of the legal framework governing privacy and surveillance in the UK means the protections for the rights to privacy and freedom of expression are fragmented and may not be in pace with the demands of protecting national security and changes in the technology of gathering and sharing data. In order to demonstrate and ensure compliance with Articles 2, 5(1) and 17 of ICCPR, the UK Government needs to conduct a forward-looking “root and branch” review of the privacy and surveillance legal framework, and establish principles to govern authorisations, including necessity, proportionality, legitimacy and fairness. The review should specifically consider:</w:t>
      </w:r>
    </w:p>
    <w:p w:rsidR="002B6091" w:rsidRPr="00C1258B" w:rsidRDefault="002B6091" w:rsidP="002B6091">
      <w:pPr>
        <w:pStyle w:val="ListParagraph"/>
        <w:numPr>
          <w:ilvl w:val="0"/>
          <w:numId w:val="27"/>
        </w:numPr>
        <w:spacing w:after="0"/>
        <w:rPr>
          <w:rFonts w:cs="Arial"/>
          <w:sz w:val="24"/>
          <w:szCs w:val="24"/>
          <w:lang w:eastAsia="en-GB"/>
        </w:rPr>
      </w:pPr>
      <w:r w:rsidRPr="00C1258B">
        <w:rPr>
          <w:rFonts w:cs="Arial"/>
          <w:sz w:val="24"/>
          <w:szCs w:val="24"/>
          <w:lang w:eastAsia="en-GB"/>
        </w:rPr>
        <w:t>the introduction of a requirement for judicial authorisation for interception warrants under Part 1 of RIPA to ensure effective, independent scrutiny;</w:t>
      </w:r>
    </w:p>
    <w:p w:rsidR="002B6091" w:rsidRPr="00C1258B" w:rsidRDefault="002B6091" w:rsidP="002B6091">
      <w:pPr>
        <w:pStyle w:val="ListParagraph"/>
        <w:numPr>
          <w:ilvl w:val="0"/>
          <w:numId w:val="27"/>
        </w:numPr>
        <w:spacing w:after="0"/>
        <w:rPr>
          <w:rFonts w:cs="Arial"/>
          <w:sz w:val="24"/>
          <w:szCs w:val="24"/>
          <w:lang w:eastAsia="en-GB"/>
        </w:rPr>
      </w:pPr>
      <w:r w:rsidRPr="00C1258B">
        <w:rPr>
          <w:rFonts w:cs="Arial"/>
          <w:sz w:val="24"/>
          <w:szCs w:val="24"/>
          <w:lang w:eastAsia="en-GB"/>
        </w:rPr>
        <w:t>whether requests to access traffic and service use data (but not subscriber data) under Part 2 of RIPA could meaningfully be subjected to judicial scrutiny;</w:t>
      </w:r>
    </w:p>
    <w:p w:rsidR="002B6091" w:rsidRPr="00C1258B" w:rsidRDefault="002B6091" w:rsidP="002B6091">
      <w:pPr>
        <w:pStyle w:val="ListParagraph"/>
        <w:numPr>
          <w:ilvl w:val="0"/>
          <w:numId w:val="27"/>
        </w:numPr>
        <w:spacing w:after="0"/>
        <w:rPr>
          <w:rFonts w:cs="Arial"/>
          <w:sz w:val="24"/>
          <w:szCs w:val="24"/>
          <w:lang w:eastAsia="en-GB"/>
        </w:rPr>
      </w:pPr>
      <w:r w:rsidRPr="00C1258B">
        <w:rPr>
          <w:rFonts w:cs="Arial"/>
          <w:sz w:val="24"/>
          <w:szCs w:val="24"/>
          <w:lang w:eastAsia="en-GB"/>
        </w:rPr>
        <w:t>introducing a number of reforms to improve the cohesion, efficiency, transparency and accountability of the RIPA oversight system (including the Surveillance Commissioners, IPT and ISC) while preserving national security; and</w:t>
      </w:r>
    </w:p>
    <w:p w:rsidR="002B6091" w:rsidRPr="00C1258B" w:rsidRDefault="002B6091" w:rsidP="002B6091">
      <w:pPr>
        <w:pStyle w:val="ListParagraph"/>
        <w:numPr>
          <w:ilvl w:val="0"/>
          <w:numId w:val="27"/>
        </w:numPr>
        <w:spacing w:after="0"/>
        <w:rPr>
          <w:rFonts w:cs="Arial"/>
          <w:sz w:val="24"/>
          <w:szCs w:val="24"/>
          <w:lang w:eastAsia="en-GB"/>
        </w:rPr>
      </w:pPr>
      <w:proofErr w:type="gramStart"/>
      <w:r w:rsidRPr="00C1258B">
        <w:rPr>
          <w:rFonts w:cs="Arial"/>
          <w:sz w:val="24"/>
          <w:szCs w:val="24"/>
          <w:lang w:eastAsia="en-GB"/>
        </w:rPr>
        <w:t>the</w:t>
      </w:r>
      <w:proofErr w:type="gramEnd"/>
      <w:r w:rsidRPr="00C1258B">
        <w:rPr>
          <w:rFonts w:cs="Arial"/>
          <w:sz w:val="24"/>
          <w:szCs w:val="24"/>
          <w:lang w:eastAsia="en-GB"/>
        </w:rPr>
        <w:t xml:space="preserve"> need for the UK Parliament to clarify the definition of “communication” in Section 20 of RIPA as a matter of urgency and ensure the levels of authorisations required are proportionate to the protection needed.</w:t>
      </w:r>
    </w:p>
    <w:p w:rsidR="002B6091" w:rsidRDefault="002B6091" w:rsidP="002B6091">
      <w:pPr>
        <w:spacing w:after="0"/>
        <w:rPr>
          <w:b/>
          <w:sz w:val="24"/>
          <w:szCs w:val="24"/>
        </w:rPr>
      </w:pPr>
    </w:p>
    <w:p w:rsidR="002B6091" w:rsidRPr="00C20930" w:rsidRDefault="002B6091" w:rsidP="002B6091">
      <w:pPr>
        <w:pStyle w:val="ListParagraph"/>
        <w:numPr>
          <w:ilvl w:val="0"/>
          <w:numId w:val="23"/>
        </w:numPr>
        <w:spacing w:after="0"/>
        <w:ind w:left="426" w:hanging="426"/>
        <w:rPr>
          <w:b/>
          <w:sz w:val="24"/>
          <w:szCs w:val="24"/>
        </w:rPr>
      </w:pPr>
      <w:r w:rsidRPr="00C20930">
        <w:rPr>
          <w:b/>
          <w:sz w:val="24"/>
          <w:szCs w:val="24"/>
        </w:rPr>
        <w:t>Voting Rights (Article 25), List of Issues paragraph 30</w:t>
      </w:r>
    </w:p>
    <w:p w:rsidR="002B6091" w:rsidRPr="00C1258B" w:rsidRDefault="002B6091" w:rsidP="002B6091">
      <w:pPr>
        <w:pStyle w:val="ListParagraph"/>
        <w:spacing w:after="0"/>
        <w:ind w:left="0"/>
        <w:rPr>
          <w:rFonts w:cs="Arial"/>
          <w:color w:val="000000"/>
          <w:sz w:val="22"/>
          <w:lang w:eastAsia="en-GB"/>
        </w:rPr>
      </w:pPr>
    </w:p>
    <w:p w:rsidR="002B6091" w:rsidRPr="00C1258B" w:rsidRDefault="002B6091" w:rsidP="002B6091">
      <w:pPr>
        <w:pStyle w:val="ListParagraph"/>
        <w:spacing w:after="0"/>
        <w:ind w:left="0"/>
        <w:rPr>
          <w:sz w:val="24"/>
          <w:szCs w:val="24"/>
        </w:rPr>
      </w:pPr>
      <w:r w:rsidRPr="00C1258B">
        <w:rPr>
          <w:sz w:val="24"/>
          <w:szCs w:val="24"/>
        </w:rPr>
        <w:t>The UK Government is yet to implement the UN Human Rights Committee’s 2008 recommendation</w:t>
      </w:r>
      <w:r w:rsidRPr="00C1258B">
        <w:rPr>
          <w:rStyle w:val="FootnoteReference"/>
          <w:sz w:val="24"/>
          <w:szCs w:val="24"/>
        </w:rPr>
        <w:footnoteReference w:id="295"/>
      </w:r>
      <w:r w:rsidRPr="00C1258B">
        <w:rPr>
          <w:sz w:val="24"/>
          <w:szCs w:val="24"/>
        </w:rPr>
        <w:t xml:space="preserve"> or the Joint Committee on Human Rights recommendation to introduce legislation to allow all prisoners serving sentences of 12 months or less to vote in all UK Parliamentary, local and European elections, in line with the European Court on Human Rights Judgments on the right to fair elections.</w:t>
      </w:r>
      <w:r w:rsidR="008C67B4">
        <w:rPr>
          <w:sz w:val="24"/>
          <w:szCs w:val="24"/>
        </w:rPr>
        <w:t xml:space="preserve"> </w:t>
      </w:r>
      <w:r w:rsidRPr="00C1258B">
        <w:rPr>
          <w:sz w:val="24"/>
          <w:szCs w:val="24"/>
        </w:rPr>
        <w:t xml:space="preserve">The UK Government needs to take these steps in order to comply with article 10, paragraph 3, when read in conjunction with article 25 of ICCPR. </w:t>
      </w:r>
    </w:p>
    <w:p w:rsidR="002B6091" w:rsidRPr="002D01E1" w:rsidRDefault="002B6091" w:rsidP="002B6091">
      <w:pPr>
        <w:spacing w:after="0"/>
        <w:rPr>
          <w:b/>
          <w:sz w:val="24"/>
          <w:szCs w:val="24"/>
        </w:rPr>
      </w:pPr>
    </w:p>
    <w:p w:rsidR="002B6091" w:rsidRPr="00C20930" w:rsidRDefault="002B6091" w:rsidP="002B6091">
      <w:pPr>
        <w:pStyle w:val="ListParagraph"/>
        <w:numPr>
          <w:ilvl w:val="0"/>
          <w:numId w:val="23"/>
        </w:numPr>
        <w:tabs>
          <w:tab w:val="left" w:pos="426"/>
        </w:tabs>
        <w:spacing w:after="0"/>
        <w:ind w:left="0" w:firstLine="0"/>
        <w:rPr>
          <w:b/>
          <w:sz w:val="24"/>
          <w:szCs w:val="24"/>
        </w:rPr>
      </w:pPr>
      <w:r>
        <w:rPr>
          <w:b/>
          <w:sz w:val="24"/>
          <w:szCs w:val="24"/>
        </w:rPr>
        <w:t xml:space="preserve">Caste Discrimination, Articles </w:t>
      </w:r>
      <w:r>
        <w:rPr>
          <w:b/>
          <w:bCs/>
          <w:sz w:val="23"/>
          <w:szCs w:val="23"/>
        </w:rPr>
        <w:t xml:space="preserve">2, 20, 26 and 27, </w:t>
      </w:r>
      <w:r>
        <w:rPr>
          <w:b/>
          <w:sz w:val="24"/>
          <w:szCs w:val="24"/>
        </w:rPr>
        <w:t>List of Issues paragraph 6</w:t>
      </w:r>
    </w:p>
    <w:p w:rsidR="002B6091" w:rsidRDefault="002B6091" w:rsidP="002B6091">
      <w:pPr>
        <w:spacing w:after="0"/>
        <w:rPr>
          <w:b/>
          <w:sz w:val="24"/>
          <w:szCs w:val="24"/>
        </w:rPr>
      </w:pPr>
    </w:p>
    <w:p w:rsidR="002B6091" w:rsidRPr="00C1258B" w:rsidRDefault="002B6091" w:rsidP="002B6091">
      <w:pPr>
        <w:spacing w:after="0"/>
        <w:rPr>
          <w:sz w:val="24"/>
          <w:szCs w:val="24"/>
        </w:rPr>
      </w:pPr>
      <w:r w:rsidRPr="00C1258B">
        <w:rPr>
          <w:sz w:val="24"/>
          <w:szCs w:val="24"/>
        </w:rPr>
        <w:t>The Equality Act 2010 provides one of the most comprehensive legislation frameworks in the work aimed at implementing the prohibition on discrimination. In order to provide clarity on how the UK provides protection from caste discrimination in relation to Article 2 of ICCPR,</w:t>
      </w:r>
      <w:r w:rsidR="008C67B4">
        <w:rPr>
          <w:sz w:val="24"/>
          <w:szCs w:val="24"/>
        </w:rPr>
        <w:t xml:space="preserve"> </w:t>
      </w:r>
      <w:r w:rsidRPr="00C1258B">
        <w:rPr>
          <w:sz w:val="24"/>
          <w:szCs w:val="24"/>
        </w:rPr>
        <w:t>the specific provision in section 9(5) Equality Act 2010 needs to be enacted.</w:t>
      </w:r>
    </w:p>
    <w:p w:rsidR="002B6091" w:rsidRDefault="002B6091" w:rsidP="002B6091">
      <w:pPr>
        <w:spacing w:after="0"/>
        <w:rPr>
          <w:b/>
          <w:sz w:val="24"/>
          <w:szCs w:val="24"/>
        </w:rPr>
      </w:pPr>
    </w:p>
    <w:p w:rsidR="002B6091" w:rsidRDefault="002B6091" w:rsidP="002B6091">
      <w:pPr>
        <w:pStyle w:val="ListParagraph"/>
        <w:numPr>
          <w:ilvl w:val="0"/>
          <w:numId w:val="23"/>
        </w:numPr>
        <w:spacing w:after="0"/>
        <w:ind w:left="357" w:hanging="357"/>
        <w:rPr>
          <w:b/>
          <w:sz w:val="24"/>
          <w:szCs w:val="24"/>
        </w:rPr>
      </w:pPr>
      <w:r w:rsidRPr="00C20930">
        <w:rPr>
          <w:b/>
          <w:sz w:val="24"/>
          <w:szCs w:val="24"/>
        </w:rPr>
        <w:t>Prohibition of torture and cruel, inhuman or degrading treatment (Article</w:t>
      </w:r>
      <w:r>
        <w:rPr>
          <w:b/>
          <w:sz w:val="24"/>
          <w:szCs w:val="24"/>
        </w:rPr>
        <w:t>s 6 and 7), List of I</w:t>
      </w:r>
      <w:r w:rsidRPr="00C20930">
        <w:rPr>
          <w:b/>
          <w:sz w:val="24"/>
          <w:szCs w:val="24"/>
        </w:rPr>
        <w:t>ssues paragraphs 16 and 27.</w:t>
      </w:r>
    </w:p>
    <w:p w:rsidR="002B6091" w:rsidRDefault="002B6091" w:rsidP="002B6091">
      <w:pPr>
        <w:spacing w:after="0"/>
        <w:rPr>
          <w:rFonts w:cs="Arial"/>
          <w:b/>
          <w:sz w:val="24"/>
          <w:szCs w:val="24"/>
        </w:rPr>
      </w:pPr>
    </w:p>
    <w:p w:rsidR="002B6091" w:rsidRPr="00C1258B" w:rsidRDefault="002B6091" w:rsidP="002B6091">
      <w:pPr>
        <w:spacing w:after="0"/>
        <w:rPr>
          <w:rFonts w:cs="Arial"/>
          <w:sz w:val="24"/>
          <w:szCs w:val="24"/>
        </w:rPr>
      </w:pPr>
      <w:r w:rsidRPr="00C1258B">
        <w:rPr>
          <w:rFonts w:cs="Arial"/>
          <w:sz w:val="24"/>
          <w:szCs w:val="24"/>
        </w:rPr>
        <w:t>While the UK Government has accepted the credibility of a number of allegations of complicity of British military personnel, security and secret intelligence services in the ill-treatment of detainees overseas, its investigations into these allegations have not, to date, satisfied the investigative duty under in relation to the rights to life and freedom from torture.</w:t>
      </w:r>
      <w:r w:rsidR="008C67B4">
        <w:rPr>
          <w:rFonts w:cs="Arial"/>
          <w:sz w:val="24"/>
          <w:szCs w:val="24"/>
        </w:rPr>
        <w:t xml:space="preserve"> </w:t>
      </w:r>
      <w:r w:rsidRPr="00C1258B">
        <w:rPr>
          <w:rFonts w:cs="Arial"/>
          <w:sz w:val="24"/>
          <w:szCs w:val="24"/>
        </w:rPr>
        <w:t>The UK Government needs to take a number of steps to demonstrate compliance with Articles 6 and 7 of ICCPR, including:</w:t>
      </w:r>
    </w:p>
    <w:p w:rsidR="002B6091" w:rsidRPr="00C1258B" w:rsidRDefault="002B6091" w:rsidP="002B6091">
      <w:pPr>
        <w:pStyle w:val="ListParagraph"/>
        <w:numPr>
          <w:ilvl w:val="0"/>
          <w:numId w:val="22"/>
        </w:numPr>
        <w:spacing w:after="0"/>
        <w:rPr>
          <w:rFonts w:cs="Arial"/>
          <w:sz w:val="24"/>
          <w:szCs w:val="24"/>
        </w:rPr>
      </w:pPr>
      <w:r w:rsidRPr="00C1258B">
        <w:rPr>
          <w:rFonts w:cs="Arial"/>
          <w:sz w:val="24"/>
          <w:szCs w:val="24"/>
        </w:rPr>
        <w:t>a full, independent, judge-led inquiry should be carried out in place of the ISC’s investigation into the issues raised in the Detainee Inquiry Report;</w:t>
      </w:r>
    </w:p>
    <w:p w:rsidR="002B6091" w:rsidRPr="00C1258B" w:rsidRDefault="002B6091" w:rsidP="002B6091">
      <w:pPr>
        <w:pStyle w:val="ListParagraph"/>
        <w:numPr>
          <w:ilvl w:val="0"/>
          <w:numId w:val="22"/>
        </w:numPr>
        <w:spacing w:after="0"/>
        <w:rPr>
          <w:rFonts w:cs="Arial"/>
          <w:sz w:val="24"/>
          <w:szCs w:val="24"/>
        </w:rPr>
      </w:pPr>
      <w:r w:rsidRPr="00C1258B">
        <w:rPr>
          <w:rFonts w:cs="Arial"/>
          <w:sz w:val="24"/>
          <w:szCs w:val="24"/>
        </w:rPr>
        <w:t>further reform of the way the UK approaches its investigative duty under Articles 2 and 3 of the ECHR to avoid further unacceptable delays in the resolution of individual cases, and to ensure systemic issues are identified and lessons learnt; and</w:t>
      </w:r>
    </w:p>
    <w:p w:rsidR="002B6091" w:rsidRPr="00C1258B" w:rsidRDefault="002B6091" w:rsidP="002B6091">
      <w:pPr>
        <w:pStyle w:val="ListParagraph"/>
        <w:numPr>
          <w:ilvl w:val="0"/>
          <w:numId w:val="22"/>
        </w:numPr>
        <w:spacing w:after="0"/>
        <w:rPr>
          <w:rFonts w:cs="Arial"/>
          <w:sz w:val="24"/>
          <w:szCs w:val="24"/>
        </w:rPr>
      </w:pPr>
      <w:r w:rsidRPr="00C1258B">
        <w:rPr>
          <w:rFonts w:cs="Arial"/>
          <w:sz w:val="24"/>
          <w:szCs w:val="24"/>
        </w:rPr>
        <w:t>a review of the merits of the policy of deportation with assurances (DWA); where DWA is unavoidable, ensuring effective verification and post-return monitoring is a key element of any memorandum of understanding, preferably where both parties have ratified the Optional Protocol on the Convention Against Torture; and laying each future agreement before the UK Parliament, allowing Members sufficient time to raise concerns.</w:t>
      </w:r>
    </w:p>
    <w:p w:rsidR="002B6091" w:rsidRPr="00C1258B" w:rsidRDefault="002B6091" w:rsidP="002B6091">
      <w:pPr>
        <w:pStyle w:val="ListParagraph"/>
        <w:spacing w:after="0"/>
        <w:rPr>
          <w:rFonts w:cs="Arial"/>
          <w:sz w:val="24"/>
          <w:szCs w:val="24"/>
        </w:rPr>
      </w:pPr>
    </w:p>
    <w:p w:rsidR="002B6091" w:rsidRPr="00DE7E13" w:rsidRDefault="002B6091" w:rsidP="002B6091">
      <w:pPr>
        <w:pStyle w:val="ListParagraph"/>
        <w:numPr>
          <w:ilvl w:val="0"/>
          <w:numId w:val="23"/>
        </w:numPr>
        <w:spacing w:after="0"/>
        <w:rPr>
          <w:b/>
          <w:sz w:val="24"/>
          <w:szCs w:val="24"/>
        </w:rPr>
      </w:pPr>
      <w:r w:rsidRPr="00DE7E13">
        <w:rPr>
          <w:b/>
          <w:sz w:val="24"/>
          <w:szCs w:val="24"/>
        </w:rPr>
        <w:t>Treatment of Detainees (Articles 9, 10, 12 and 24), List of Issues paragraphs 22 and 27</w:t>
      </w:r>
    </w:p>
    <w:p w:rsidR="002B6091" w:rsidRDefault="002B6091" w:rsidP="002B6091">
      <w:pPr>
        <w:spacing w:after="0"/>
        <w:rPr>
          <w:b/>
          <w:sz w:val="24"/>
          <w:szCs w:val="24"/>
        </w:rPr>
      </w:pPr>
    </w:p>
    <w:p w:rsidR="002B6091" w:rsidRPr="003A2FF0" w:rsidRDefault="002B6091" w:rsidP="002B6091">
      <w:pPr>
        <w:pStyle w:val="ListParagraph"/>
        <w:numPr>
          <w:ilvl w:val="0"/>
          <w:numId w:val="28"/>
        </w:numPr>
        <w:spacing w:after="0"/>
        <w:rPr>
          <w:b/>
          <w:sz w:val="24"/>
          <w:szCs w:val="24"/>
        </w:rPr>
      </w:pPr>
      <w:r w:rsidRPr="00C20930">
        <w:rPr>
          <w:b/>
          <w:sz w:val="24"/>
          <w:szCs w:val="24"/>
        </w:rPr>
        <w:t>Immigration Detention</w:t>
      </w:r>
      <w:r>
        <w:rPr>
          <w:b/>
          <w:sz w:val="24"/>
          <w:szCs w:val="24"/>
        </w:rPr>
        <w:t xml:space="preserve">, </w:t>
      </w:r>
      <w:r w:rsidRPr="003A2FF0">
        <w:rPr>
          <w:b/>
          <w:sz w:val="24"/>
          <w:szCs w:val="24"/>
        </w:rPr>
        <w:t>List of Issues paragraphs 22 and 27</w:t>
      </w:r>
    </w:p>
    <w:p w:rsidR="002B6091" w:rsidRPr="00252D80" w:rsidRDefault="002B6091" w:rsidP="002B6091">
      <w:pPr>
        <w:spacing w:after="0"/>
        <w:rPr>
          <w:rFonts w:cs="Arial"/>
          <w:b/>
          <w:sz w:val="24"/>
          <w:szCs w:val="24"/>
        </w:rPr>
      </w:pPr>
    </w:p>
    <w:p w:rsidR="002B6091" w:rsidRDefault="002B6091" w:rsidP="002B6091">
      <w:r w:rsidRPr="00C1258B">
        <w:rPr>
          <w:rFonts w:cs="Arial"/>
          <w:sz w:val="24"/>
          <w:szCs w:val="24"/>
        </w:rPr>
        <w:t>The UK needs to make improvements to ensure it complies with Articles 7, 9 and12 (and 24) of ICCPR.</w:t>
      </w:r>
      <w:r w:rsidR="008C67B4">
        <w:rPr>
          <w:rFonts w:cs="Arial"/>
          <w:sz w:val="24"/>
          <w:szCs w:val="24"/>
        </w:rPr>
        <w:t xml:space="preserve"> </w:t>
      </w:r>
      <w:r w:rsidRPr="00C1258B">
        <w:rPr>
          <w:rFonts w:cs="Arial"/>
          <w:sz w:val="24"/>
          <w:szCs w:val="24"/>
        </w:rPr>
        <w:t>The UK Government detains many people for immigration purposes and too many are held for long periods of time. The UK’s detained fast track (DFT) system for asylum seekers still does not provide adequate safeguards to guarantee quality decision-making and to screen out applicants whose detention will be detrimental to their wellbeing.</w:t>
      </w:r>
      <w:r w:rsidR="008C67B4">
        <w:rPr>
          <w:rFonts w:cs="Arial"/>
          <w:sz w:val="24"/>
          <w:szCs w:val="24"/>
        </w:rPr>
        <w:t xml:space="preserve"> </w:t>
      </w:r>
      <w:r w:rsidRPr="00C1258B">
        <w:rPr>
          <w:rFonts w:cs="Arial"/>
          <w:sz w:val="24"/>
          <w:szCs w:val="24"/>
        </w:rPr>
        <w:t xml:space="preserve">People with mental health conditions have problems accessing timely and quality mental health care. </w:t>
      </w:r>
      <w:proofErr w:type="gramStart"/>
      <w:r w:rsidRPr="00C1258B">
        <w:rPr>
          <w:rFonts w:cs="Arial"/>
          <w:sz w:val="24"/>
          <w:szCs w:val="24"/>
        </w:rPr>
        <w:t>Staff need</w:t>
      </w:r>
      <w:proofErr w:type="gramEnd"/>
      <w:r w:rsidRPr="00C1258B">
        <w:rPr>
          <w:rFonts w:cs="Arial"/>
          <w:sz w:val="24"/>
          <w:szCs w:val="24"/>
        </w:rPr>
        <w:t xml:space="preserve"> to improve how they care for women detainees, and follow policy to ensure that pregnant women are only detained in exceptional circumstances. The Cedars pre-departure accommodation, with the welfare support from </w:t>
      </w:r>
      <w:proofErr w:type="spellStart"/>
      <w:r w:rsidRPr="00C1258B">
        <w:rPr>
          <w:rFonts w:cs="Arial"/>
          <w:sz w:val="24"/>
          <w:szCs w:val="24"/>
        </w:rPr>
        <w:t>Barnardo’s</w:t>
      </w:r>
      <w:proofErr w:type="spellEnd"/>
      <w:r w:rsidRPr="00C1258B">
        <w:rPr>
          <w:rFonts w:cs="Arial"/>
          <w:sz w:val="24"/>
          <w:szCs w:val="24"/>
        </w:rPr>
        <w:t xml:space="preserve">, and a statutory time limit for child detention, is a significant improvement to detaining children in </w:t>
      </w:r>
      <w:proofErr w:type="spellStart"/>
      <w:r w:rsidRPr="00C1258B">
        <w:rPr>
          <w:rFonts w:cs="Arial"/>
          <w:sz w:val="24"/>
          <w:szCs w:val="24"/>
        </w:rPr>
        <w:t>Yarl’s</w:t>
      </w:r>
      <w:proofErr w:type="spellEnd"/>
      <w:r w:rsidRPr="00C1258B">
        <w:rPr>
          <w:rFonts w:cs="Arial"/>
          <w:sz w:val="24"/>
          <w:szCs w:val="24"/>
        </w:rPr>
        <w:t xml:space="preserve"> Wood. However, there </w:t>
      </w:r>
      <w:proofErr w:type="gramStart"/>
      <w:r w:rsidRPr="00C1258B">
        <w:rPr>
          <w:rFonts w:cs="Arial"/>
          <w:sz w:val="24"/>
          <w:szCs w:val="24"/>
        </w:rPr>
        <w:t>is</w:t>
      </w:r>
      <w:proofErr w:type="gramEnd"/>
      <w:r w:rsidRPr="00C1258B">
        <w:rPr>
          <w:rFonts w:cs="Arial"/>
          <w:sz w:val="24"/>
          <w:szCs w:val="24"/>
        </w:rPr>
        <w:t xml:space="preserve"> still a large number of children who are detained in other immigration settings, and for long periods of time</w:t>
      </w:r>
      <w:r w:rsidRPr="00C1258B">
        <w:t>.</w:t>
      </w:r>
    </w:p>
    <w:p w:rsidR="002B6091" w:rsidRPr="00A10364" w:rsidRDefault="002B6091" w:rsidP="002B6091">
      <w:r>
        <w:lastRenderedPageBreak/>
        <w:t xml:space="preserve">b. </w:t>
      </w:r>
      <w:r w:rsidRPr="00C20930">
        <w:rPr>
          <w:b/>
          <w:sz w:val="24"/>
          <w:szCs w:val="24"/>
        </w:rPr>
        <w:t>Prisons</w:t>
      </w:r>
      <w:r>
        <w:rPr>
          <w:b/>
          <w:sz w:val="24"/>
          <w:szCs w:val="24"/>
        </w:rPr>
        <w:t>.</w:t>
      </w:r>
      <w:r w:rsidRPr="003A2FF0">
        <w:rPr>
          <w:b/>
          <w:bCs/>
          <w:sz w:val="23"/>
          <w:szCs w:val="23"/>
        </w:rPr>
        <w:t xml:space="preserve"> </w:t>
      </w:r>
      <w:r>
        <w:rPr>
          <w:b/>
          <w:sz w:val="24"/>
          <w:szCs w:val="24"/>
        </w:rPr>
        <w:t>List of Issues paragraphs 22</w:t>
      </w:r>
    </w:p>
    <w:p w:rsidR="002B6091" w:rsidRDefault="002B6091" w:rsidP="002B6091">
      <w:pPr>
        <w:spacing w:after="0"/>
        <w:rPr>
          <w:rFonts w:cs="Arial"/>
          <w:b/>
          <w:sz w:val="24"/>
          <w:szCs w:val="24"/>
        </w:rPr>
      </w:pPr>
    </w:p>
    <w:p w:rsidR="002B6091" w:rsidRPr="00C1258B" w:rsidRDefault="002B6091" w:rsidP="002B6091">
      <w:pPr>
        <w:pStyle w:val="ListParagraph"/>
        <w:spacing w:after="0"/>
        <w:ind w:left="0"/>
        <w:rPr>
          <w:rFonts w:cs="Arial"/>
          <w:sz w:val="24"/>
          <w:szCs w:val="24"/>
        </w:rPr>
      </w:pPr>
      <w:r w:rsidRPr="00C1258B">
        <w:rPr>
          <w:rFonts w:cs="Arial"/>
          <w:sz w:val="24"/>
          <w:szCs w:val="24"/>
        </w:rPr>
        <w:t>While the UK Government has made recent progress and committed to “Transforming Rehabilitation” in England and Wales, considerable challenges in protecting the human rights of those detained by the prison service, particularly the right to life of offenders with mental health conditions who are at risk self-harm and self-inflicted deaths. In order to comply with Article 6 of ICCPR, the UK Government should adopt the Equality and Human Rights Commission’s human rights framework and implement the other recommendations of its inquiry into non-natural deaths in detention of adults with mental health conditions. In addition, a number of interventions are required to meet the complex needs of particular sections of the prisoner population, including women, older prisoners and people with disabilities; and to rehabilitate prisoners, generally, and divert them away from offending and from custody. These include:</w:t>
      </w:r>
    </w:p>
    <w:p w:rsidR="002B6091" w:rsidRPr="00C1258B" w:rsidRDefault="002B6091" w:rsidP="002B6091">
      <w:pPr>
        <w:pStyle w:val="ListParagraph"/>
        <w:numPr>
          <w:ilvl w:val="0"/>
          <w:numId w:val="29"/>
        </w:numPr>
        <w:spacing w:after="0"/>
        <w:rPr>
          <w:rFonts w:cs="Arial"/>
          <w:sz w:val="24"/>
          <w:szCs w:val="24"/>
        </w:rPr>
      </w:pPr>
      <w:r w:rsidRPr="00C1258B">
        <w:rPr>
          <w:rFonts w:cs="Arial"/>
          <w:sz w:val="24"/>
          <w:szCs w:val="24"/>
        </w:rPr>
        <w:t>further investment in community based services to reduce offending and reoffending, such as those to tackle substance abuse;</w:t>
      </w:r>
    </w:p>
    <w:p w:rsidR="002B6091" w:rsidRPr="00C1258B" w:rsidRDefault="002B6091" w:rsidP="002B6091">
      <w:pPr>
        <w:pStyle w:val="ListParagraph"/>
        <w:numPr>
          <w:ilvl w:val="0"/>
          <w:numId w:val="29"/>
        </w:numPr>
        <w:spacing w:after="0"/>
        <w:rPr>
          <w:rFonts w:cs="Arial"/>
          <w:sz w:val="24"/>
          <w:szCs w:val="24"/>
        </w:rPr>
      </w:pPr>
      <w:r w:rsidRPr="00C1258B">
        <w:rPr>
          <w:rFonts w:cs="Arial"/>
          <w:sz w:val="24"/>
          <w:szCs w:val="24"/>
        </w:rPr>
        <w:t>improved data collection to understand the prevalence of disability within the prisoner population to help identify targeted services that meet different and complex needs;</w:t>
      </w:r>
    </w:p>
    <w:p w:rsidR="002B6091" w:rsidRPr="00C1258B" w:rsidRDefault="002B6091" w:rsidP="002B6091">
      <w:pPr>
        <w:pStyle w:val="ListParagraph"/>
        <w:numPr>
          <w:ilvl w:val="0"/>
          <w:numId w:val="29"/>
        </w:numPr>
        <w:spacing w:after="0"/>
        <w:rPr>
          <w:rFonts w:cs="Arial"/>
          <w:sz w:val="24"/>
          <w:szCs w:val="24"/>
        </w:rPr>
      </w:pPr>
      <w:r w:rsidRPr="00C1258B">
        <w:rPr>
          <w:rFonts w:cs="Arial"/>
          <w:sz w:val="24"/>
          <w:szCs w:val="24"/>
        </w:rPr>
        <w:t>the development of an older prisoners strategy;</w:t>
      </w:r>
    </w:p>
    <w:p w:rsidR="002B6091" w:rsidRPr="00C1258B" w:rsidRDefault="002B6091" w:rsidP="002B6091">
      <w:pPr>
        <w:pStyle w:val="ListParagraph"/>
        <w:numPr>
          <w:ilvl w:val="0"/>
          <w:numId w:val="29"/>
        </w:numPr>
        <w:spacing w:after="0"/>
        <w:rPr>
          <w:rFonts w:cs="Arial"/>
          <w:sz w:val="24"/>
          <w:szCs w:val="24"/>
        </w:rPr>
      </w:pPr>
      <w:r w:rsidRPr="00C1258B">
        <w:rPr>
          <w:rFonts w:cs="Arial"/>
          <w:sz w:val="24"/>
          <w:szCs w:val="24"/>
        </w:rPr>
        <w:t xml:space="preserve">implementation of the outstanding recommendations from the </w:t>
      </w:r>
      <w:proofErr w:type="spellStart"/>
      <w:r w:rsidRPr="00C1258B">
        <w:rPr>
          <w:rFonts w:cs="Arial"/>
          <w:sz w:val="24"/>
          <w:szCs w:val="24"/>
        </w:rPr>
        <w:t>Corston</w:t>
      </w:r>
      <w:proofErr w:type="spellEnd"/>
      <w:r w:rsidRPr="00C1258B">
        <w:rPr>
          <w:rFonts w:cs="Arial"/>
          <w:sz w:val="24"/>
          <w:szCs w:val="24"/>
        </w:rPr>
        <w:t xml:space="preserve"> Report, in line with the Bangkok rules and the 2013 Concluding Observations of the Committee on the Elimination of Discrimination Against Women and the Committee Against Torture; and</w:t>
      </w:r>
    </w:p>
    <w:p w:rsidR="002B6091" w:rsidRPr="00C1258B" w:rsidRDefault="002B6091" w:rsidP="002B6091">
      <w:pPr>
        <w:pStyle w:val="ListParagraph"/>
        <w:numPr>
          <w:ilvl w:val="0"/>
          <w:numId w:val="29"/>
        </w:numPr>
        <w:spacing w:after="0"/>
        <w:rPr>
          <w:rFonts w:cs="Arial"/>
          <w:sz w:val="24"/>
          <w:szCs w:val="24"/>
        </w:rPr>
      </w:pPr>
      <w:proofErr w:type="gramStart"/>
      <w:r>
        <w:rPr>
          <w:rFonts w:cs="Arial"/>
          <w:sz w:val="24"/>
          <w:szCs w:val="24"/>
        </w:rPr>
        <w:t>m</w:t>
      </w:r>
      <w:r w:rsidRPr="00C1258B">
        <w:rPr>
          <w:rFonts w:cs="Arial"/>
          <w:sz w:val="24"/>
          <w:szCs w:val="24"/>
        </w:rPr>
        <w:t>onitoring</w:t>
      </w:r>
      <w:proofErr w:type="gramEnd"/>
      <w:r w:rsidRPr="00C1258B">
        <w:rPr>
          <w:rFonts w:cs="Arial"/>
          <w:sz w:val="24"/>
          <w:szCs w:val="24"/>
        </w:rPr>
        <w:t xml:space="preserve"> of implementation of the extent to which the Sentencing Council’s mitigation factors have been applied for sole or primary carers.</w:t>
      </w:r>
    </w:p>
    <w:p w:rsidR="002B6091" w:rsidRPr="00C1258B" w:rsidRDefault="002B6091" w:rsidP="002B6091">
      <w:pPr>
        <w:pStyle w:val="ListParagraph"/>
        <w:spacing w:after="0"/>
        <w:ind w:left="0"/>
        <w:rPr>
          <w:rFonts w:cs="Arial"/>
          <w:sz w:val="24"/>
          <w:szCs w:val="24"/>
        </w:rPr>
      </w:pPr>
      <w:r>
        <w:rPr>
          <w:rFonts w:cs="Arial"/>
          <w:b/>
          <w:sz w:val="24"/>
          <w:szCs w:val="24"/>
        </w:rPr>
        <w:t xml:space="preserve"> </w:t>
      </w:r>
    </w:p>
    <w:p w:rsidR="002B6091" w:rsidRDefault="002B6091" w:rsidP="002B6091">
      <w:pPr>
        <w:spacing w:after="0"/>
        <w:rPr>
          <w:b/>
          <w:sz w:val="24"/>
          <w:szCs w:val="24"/>
        </w:rPr>
      </w:pPr>
      <w:r>
        <w:rPr>
          <w:b/>
          <w:sz w:val="24"/>
          <w:szCs w:val="24"/>
        </w:rPr>
        <w:t>c.</w:t>
      </w:r>
      <w:r w:rsidR="008C67B4">
        <w:rPr>
          <w:b/>
          <w:sz w:val="24"/>
          <w:szCs w:val="24"/>
        </w:rPr>
        <w:t xml:space="preserve"> </w:t>
      </w:r>
      <w:r>
        <w:rPr>
          <w:b/>
          <w:sz w:val="24"/>
          <w:szCs w:val="24"/>
        </w:rPr>
        <w:t>Youth Justice, List of issues paragraph 25.</w:t>
      </w:r>
    </w:p>
    <w:p w:rsidR="002B6091" w:rsidRDefault="002B6091" w:rsidP="002B6091">
      <w:pPr>
        <w:spacing w:after="0"/>
        <w:rPr>
          <w:b/>
          <w:sz w:val="24"/>
          <w:szCs w:val="24"/>
        </w:rPr>
      </w:pPr>
    </w:p>
    <w:p w:rsidR="002B6091" w:rsidRPr="00C1258B" w:rsidRDefault="002B6091" w:rsidP="002B6091">
      <w:pPr>
        <w:spacing w:after="0"/>
        <w:rPr>
          <w:iCs/>
          <w:sz w:val="24"/>
          <w:szCs w:val="24"/>
          <w:lang w:val="en-US"/>
        </w:rPr>
      </w:pPr>
      <w:r w:rsidRPr="00C1258B">
        <w:rPr>
          <w:iCs/>
          <w:sz w:val="24"/>
          <w:szCs w:val="24"/>
          <w:lang w:val="en-US"/>
        </w:rPr>
        <w:t xml:space="preserve">The age of criminal responsibility in England and Wales is considered “not acceptable” by the Committee on the Rights of the Children. In order to bring England in line with the rest of Europe, the UK Government needs to implement the 2013 recommendations of the Committee </w:t>
      </w:r>
      <w:proofErr w:type="gramStart"/>
      <w:r w:rsidRPr="00C1258B">
        <w:rPr>
          <w:iCs/>
          <w:sz w:val="24"/>
          <w:szCs w:val="24"/>
          <w:lang w:val="en-US"/>
        </w:rPr>
        <w:t>Against</w:t>
      </w:r>
      <w:proofErr w:type="gramEnd"/>
      <w:r w:rsidRPr="00C1258B">
        <w:rPr>
          <w:iCs/>
          <w:sz w:val="24"/>
          <w:szCs w:val="24"/>
          <w:lang w:val="en-US"/>
        </w:rPr>
        <w:t xml:space="preserve"> Torture, the Beijing Rules, and the Riyadh Guidelines. </w:t>
      </w:r>
    </w:p>
    <w:p w:rsidR="002B6091" w:rsidRPr="00C1258B" w:rsidRDefault="002B6091" w:rsidP="002B6091">
      <w:pPr>
        <w:spacing w:after="0"/>
        <w:rPr>
          <w:iCs/>
          <w:sz w:val="24"/>
          <w:szCs w:val="24"/>
          <w:lang w:val="en-US"/>
        </w:rPr>
      </w:pPr>
    </w:p>
    <w:p w:rsidR="002B6091" w:rsidRPr="00C1258B" w:rsidRDefault="002B6091" w:rsidP="002B6091">
      <w:pPr>
        <w:spacing w:after="0"/>
        <w:rPr>
          <w:iCs/>
          <w:sz w:val="24"/>
          <w:szCs w:val="24"/>
          <w:lang w:val="en-US"/>
        </w:rPr>
      </w:pPr>
      <w:r w:rsidRPr="00C1258B">
        <w:rPr>
          <w:iCs/>
          <w:sz w:val="24"/>
          <w:szCs w:val="24"/>
          <w:lang w:val="en-US"/>
        </w:rPr>
        <w:t>The number of children sentenced to custody in England and Wales continues to decrease, though children who have committed non-violent offence are still being detained. To increase compliance with Article 10 of ICCPR, the UK Government should:</w:t>
      </w:r>
    </w:p>
    <w:p w:rsidR="002B6091" w:rsidRPr="00C1258B" w:rsidRDefault="002B6091" w:rsidP="002B6091">
      <w:pPr>
        <w:pStyle w:val="ListParagraph"/>
        <w:numPr>
          <w:ilvl w:val="0"/>
          <w:numId w:val="30"/>
        </w:numPr>
        <w:spacing w:after="0"/>
        <w:rPr>
          <w:iCs/>
          <w:sz w:val="24"/>
          <w:szCs w:val="24"/>
          <w:lang w:val="en-US"/>
        </w:rPr>
      </w:pPr>
      <w:r w:rsidRPr="00C1258B">
        <w:rPr>
          <w:iCs/>
          <w:sz w:val="24"/>
          <w:szCs w:val="24"/>
          <w:lang w:val="en-US"/>
        </w:rPr>
        <w:t xml:space="preserve">implement the recommendations of Lord </w:t>
      </w:r>
      <w:proofErr w:type="spellStart"/>
      <w:r w:rsidRPr="00C1258B">
        <w:rPr>
          <w:iCs/>
          <w:sz w:val="24"/>
          <w:szCs w:val="24"/>
          <w:lang w:val="en-US"/>
        </w:rPr>
        <w:t>Calile</w:t>
      </w:r>
      <w:proofErr w:type="spellEnd"/>
      <w:r w:rsidRPr="00C1258B">
        <w:rPr>
          <w:iCs/>
          <w:sz w:val="24"/>
          <w:szCs w:val="24"/>
          <w:lang w:val="en-US"/>
        </w:rPr>
        <w:t>; and</w:t>
      </w:r>
    </w:p>
    <w:p w:rsidR="002B6091" w:rsidRPr="00C1258B" w:rsidRDefault="002B6091" w:rsidP="002B6091">
      <w:pPr>
        <w:pStyle w:val="ListParagraph"/>
        <w:numPr>
          <w:ilvl w:val="0"/>
          <w:numId w:val="30"/>
        </w:numPr>
        <w:spacing w:after="0"/>
        <w:rPr>
          <w:iCs/>
          <w:sz w:val="24"/>
          <w:szCs w:val="24"/>
          <w:lang w:val="en-US"/>
        </w:rPr>
      </w:pPr>
      <w:r w:rsidRPr="00C1258B">
        <w:rPr>
          <w:iCs/>
          <w:sz w:val="24"/>
          <w:szCs w:val="24"/>
          <w:lang w:val="en-US"/>
        </w:rPr>
        <w:t>place a greater emphasis on restorative, community-based alternatives to youth justice, and raise the custody threshold to explicitly prevent children who have not committed a violent offence from being held in secure settings; and</w:t>
      </w:r>
    </w:p>
    <w:p w:rsidR="002B6091" w:rsidRPr="00C1258B" w:rsidRDefault="002B6091" w:rsidP="002B6091">
      <w:pPr>
        <w:pStyle w:val="ListParagraph"/>
        <w:numPr>
          <w:ilvl w:val="0"/>
          <w:numId w:val="30"/>
        </w:numPr>
        <w:spacing w:after="0"/>
        <w:rPr>
          <w:iCs/>
          <w:sz w:val="24"/>
          <w:szCs w:val="24"/>
          <w:lang w:val="en-US"/>
        </w:rPr>
      </w:pPr>
      <w:proofErr w:type="gramStart"/>
      <w:r w:rsidRPr="00C1258B">
        <w:rPr>
          <w:iCs/>
          <w:sz w:val="24"/>
          <w:szCs w:val="24"/>
          <w:lang w:val="en-US"/>
        </w:rPr>
        <w:t>reconsider</w:t>
      </w:r>
      <w:proofErr w:type="gramEnd"/>
      <w:r w:rsidRPr="00C1258B">
        <w:rPr>
          <w:iCs/>
          <w:sz w:val="24"/>
          <w:szCs w:val="24"/>
          <w:lang w:val="en-US"/>
        </w:rPr>
        <w:t xml:space="preserve"> the effectiveness of Secure Training Colleges for rehabilitation, compared with smaller units close to a child’s family and agencies to support resettlement.</w:t>
      </w:r>
      <w:r w:rsidR="008C67B4">
        <w:rPr>
          <w:iCs/>
          <w:sz w:val="24"/>
          <w:szCs w:val="24"/>
          <w:lang w:val="en-US"/>
        </w:rPr>
        <w:t xml:space="preserve"> </w:t>
      </w:r>
    </w:p>
    <w:p w:rsidR="002B6091" w:rsidRPr="00C1258B" w:rsidRDefault="002B6091" w:rsidP="002B6091">
      <w:pPr>
        <w:spacing w:after="0"/>
        <w:rPr>
          <w:iCs/>
          <w:sz w:val="24"/>
          <w:szCs w:val="24"/>
          <w:lang w:val="en-US"/>
        </w:rPr>
      </w:pPr>
    </w:p>
    <w:p w:rsidR="002B6091" w:rsidRPr="00C1258B" w:rsidRDefault="002B6091" w:rsidP="002B6091">
      <w:pPr>
        <w:spacing w:after="0"/>
        <w:rPr>
          <w:iCs/>
          <w:sz w:val="24"/>
          <w:szCs w:val="24"/>
          <w:lang w:val="en-US"/>
        </w:rPr>
      </w:pPr>
      <w:r w:rsidRPr="00C1258B">
        <w:rPr>
          <w:iCs/>
          <w:sz w:val="24"/>
          <w:szCs w:val="24"/>
          <w:lang w:val="en-US"/>
        </w:rPr>
        <w:lastRenderedPageBreak/>
        <w:t xml:space="preserve">Finally, provision for the use of restraint in Secure Training Colleges may not be consistent with those young people’s rights to freedom from cruel, inhuman or degrading treatment or punishment. In order to improve compliance with Article 7 of ICCPR, the UK Government needs to amend the Criminal Justice and Courts Act 2015. </w:t>
      </w:r>
    </w:p>
    <w:p w:rsidR="002B6091" w:rsidRDefault="002B6091" w:rsidP="002B6091">
      <w:pPr>
        <w:spacing w:after="0"/>
        <w:rPr>
          <w:b/>
          <w:sz w:val="24"/>
          <w:szCs w:val="24"/>
        </w:rPr>
      </w:pPr>
    </w:p>
    <w:p w:rsidR="002B6091" w:rsidRPr="00505C5F" w:rsidRDefault="002B6091" w:rsidP="002B6091">
      <w:pPr>
        <w:pStyle w:val="Heading2"/>
        <w:spacing w:before="0" w:after="0"/>
        <w:rPr>
          <w:sz w:val="24"/>
          <w:szCs w:val="24"/>
        </w:rPr>
      </w:pPr>
      <w:bookmarkStart w:id="31" w:name="_Toc420603194"/>
      <w:bookmarkStart w:id="32" w:name="_Toc420603285"/>
      <w:r>
        <w:rPr>
          <w:sz w:val="24"/>
          <w:szCs w:val="24"/>
        </w:rPr>
        <w:t xml:space="preserve">11. </w:t>
      </w:r>
      <w:r w:rsidRPr="008B2CB8">
        <w:rPr>
          <w:sz w:val="24"/>
          <w:szCs w:val="24"/>
        </w:rPr>
        <w:t xml:space="preserve">Hate Crime (Articles </w:t>
      </w:r>
      <w:r>
        <w:rPr>
          <w:sz w:val="24"/>
          <w:szCs w:val="24"/>
        </w:rPr>
        <w:t>2</w:t>
      </w:r>
      <w:r w:rsidRPr="008B2CB8">
        <w:rPr>
          <w:sz w:val="24"/>
          <w:szCs w:val="24"/>
        </w:rPr>
        <w:t xml:space="preserve">, </w:t>
      </w:r>
      <w:r>
        <w:rPr>
          <w:sz w:val="24"/>
          <w:szCs w:val="24"/>
        </w:rPr>
        <w:t>3</w:t>
      </w:r>
      <w:r w:rsidRPr="008B2CB8">
        <w:rPr>
          <w:sz w:val="24"/>
          <w:szCs w:val="24"/>
        </w:rPr>
        <w:t xml:space="preserve">, </w:t>
      </w:r>
      <w:r>
        <w:rPr>
          <w:sz w:val="24"/>
          <w:szCs w:val="24"/>
        </w:rPr>
        <w:t xml:space="preserve">20 </w:t>
      </w:r>
      <w:r w:rsidRPr="008B2CB8">
        <w:rPr>
          <w:sz w:val="24"/>
          <w:szCs w:val="24"/>
        </w:rPr>
        <w:t>26</w:t>
      </w:r>
      <w:r>
        <w:rPr>
          <w:sz w:val="24"/>
          <w:szCs w:val="24"/>
        </w:rPr>
        <w:t xml:space="preserve"> and 27</w:t>
      </w:r>
      <w:r w:rsidRPr="008B2CB8">
        <w:rPr>
          <w:sz w:val="24"/>
          <w:szCs w:val="24"/>
        </w:rPr>
        <w:t>)</w:t>
      </w:r>
      <w:r>
        <w:rPr>
          <w:sz w:val="24"/>
          <w:szCs w:val="24"/>
        </w:rPr>
        <w:t>, List of Issues</w:t>
      </w:r>
      <w:r>
        <w:rPr>
          <w:b w:val="0"/>
          <w:sz w:val="24"/>
          <w:szCs w:val="24"/>
        </w:rPr>
        <w:t xml:space="preserve"> </w:t>
      </w:r>
      <w:r w:rsidRPr="00505C5F">
        <w:rPr>
          <w:sz w:val="24"/>
          <w:szCs w:val="24"/>
        </w:rPr>
        <w:t>paragraph 5</w:t>
      </w:r>
      <w:bookmarkEnd w:id="31"/>
      <w:bookmarkEnd w:id="32"/>
    </w:p>
    <w:p w:rsidR="002B6091" w:rsidRPr="008B2CB8" w:rsidRDefault="002B6091" w:rsidP="002B6091">
      <w:pPr>
        <w:spacing w:after="0"/>
        <w:rPr>
          <w:rFonts w:cs="Arial"/>
          <w:sz w:val="24"/>
          <w:szCs w:val="24"/>
        </w:rPr>
      </w:pPr>
    </w:p>
    <w:p w:rsidR="002B6091" w:rsidRPr="008B6375" w:rsidRDefault="002B6091" w:rsidP="002B6091">
      <w:pPr>
        <w:spacing w:after="0"/>
        <w:rPr>
          <w:rFonts w:cs="Arial"/>
          <w:sz w:val="24"/>
          <w:szCs w:val="24"/>
        </w:rPr>
      </w:pPr>
      <w:r w:rsidRPr="008B6375">
        <w:rPr>
          <w:rFonts w:cs="Arial"/>
          <w:sz w:val="24"/>
          <w:szCs w:val="24"/>
        </w:rPr>
        <w:t>While the EHRC acknowledges the UK Government is actively taking steps to address hate crime, we believe further work could be done to improve reporting and operational responses, including:</w:t>
      </w:r>
    </w:p>
    <w:p w:rsidR="002B6091" w:rsidRPr="008B6375" w:rsidRDefault="002B6091" w:rsidP="002B6091">
      <w:pPr>
        <w:pStyle w:val="ListParagraph"/>
        <w:numPr>
          <w:ilvl w:val="0"/>
          <w:numId w:val="32"/>
        </w:numPr>
        <w:spacing w:after="0"/>
        <w:rPr>
          <w:rFonts w:cs="Arial"/>
          <w:sz w:val="24"/>
          <w:szCs w:val="24"/>
        </w:rPr>
      </w:pPr>
      <w:r w:rsidRPr="008B6375">
        <w:rPr>
          <w:rFonts w:cs="Arial"/>
          <w:sz w:val="24"/>
          <w:szCs w:val="24"/>
        </w:rPr>
        <w:t>implementation of the Law Commission’s recommendation for a full scale review of the operation and effectiveness of enhanced and aggravated sentencing provisions; and</w:t>
      </w:r>
    </w:p>
    <w:p w:rsidR="002B6091" w:rsidRPr="008B6375" w:rsidRDefault="002B6091" w:rsidP="002B6091">
      <w:pPr>
        <w:pStyle w:val="ListParagraph"/>
        <w:numPr>
          <w:ilvl w:val="0"/>
          <w:numId w:val="32"/>
        </w:numPr>
        <w:spacing w:after="0"/>
        <w:rPr>
          <w:rFonts w:cs="Arial"/>
          <w:sz w:val="24"/>
          <w:szCs w:val="24"/>
        </w:rPr>
      </w:pPr>
      <w:proofErr w:type="gramStart"/>
      <w:r w:rsidRPr="008B6375">
        <w:rPr>
          <w:rFonts w:cs="Arial"/>
          <w:sz w:val="24"/>
          <w:szCs w:val="24"/>
        </w:rPr>
        <w:t>implementation</w:t>
      </w:r>
      <w:proofErr w:type="gramEnd"/>
      <w:r w:rsidRPr="008B6375">
        <w:rPr>
          <w:rFonts w:cs="Arial"/>
          <w:sz w:val="24"/>
          <w:szCs w:val="24"/>
        </w:rPr>
        <w:t xml:space="preserve"> of the recommendations from CERD and ECRI and the UN High Commissioner for Human Rights to tackle the negative portrayal of particular groups by the media. </w:t>
      </w:r>
    </w:p>
    <w:p w:rsidR="002B6091" w:rsidRDefault="002B6091" w:rsidP="002B6091">
      <w:pPr>
        <w:spacing w:after="0"/>
        <w:rPr>
          <w:b/>
          <w:sz w:val="24"/>
          <w:szCs w:val="24"/>
        </w:rPr>
      </w:pPr>
    </w:p>
    <w:p w:rsidR="002B6091" w:rsidRPr="007C394C" w:rsidRDefault="002B6091" w:rsidP="002B6091">
      <w:pPr>
        <w:spacing w:after="0"/>
        <w:rPr>
          <w:b/>
          <w:sz w:val="24"/>
          <w:szCs w:val="24"/>
        </w:rPr>
      </w:pPr>
      <w:proofErr w:type="gramStart"/>
      <w:r>
        <w:rPr>
          <w:b/>
          <w:sz w:val="24"/>
          <w:szCs w:val="24"/>
        </w:rPr>
        <w:t xml:space="preserve">12. </w:t>
      </w:r>
      <w:r w:rsidRPr="007C394C">
        <w:rPr>
          <w:b/>
          <w:sz w:val="24"/>
          <w:szCs w:val="24"/>
        </w:rPr>
        <w:t>Violence Against Women</w:t>
      </w:r>
      <w:proofErr w:type="gramEnd"/>
      <w:r w:rsidRPr="007C394C">
        <w:rPr>
          <w:b/>
          <w:sz w:val="24"/>
          <w:szCs w:val="24"/>
        </w:rPr>
        <w:t xml:space="preserve"> and Girls (VAWG) (Articles </w:t>
      </w:r>
      <w:r>
        <w:rPr>
          <w:b/>
          <w:sz w:val="24"/>
          <w:szCs w:val="24"/>
        </w:rPr>
        <w:t xml:space="preserve">2, </w:t>
      </w:r>
      <w:r w:rsidRPr="007C394C">
        <w:rPr>
          <w:b/>
          <w:sz w:val="24"/>
          <w:szCs w:val="24"/>
        </w:rPr>
        <w:t>3, 7, and 26)</w:t>
      </w:r>
      <w:r>
        <w:rPr>
          <w:b/>
          <w:sz w:val="24"/>
          <w:szCs w:val="24"/>
        </w:rPr>
        <w:t>, List of I</w:t>
      </w:r>
      <w:r w:rsidRPr="007C394C">
        <w:rPr>
          <w:b/>
          <w:sz w:val="24"/>
          <w:szCs w:val="24"/>
        </w:rPr>
        <w:t>ssues paragraph 10</w:t>
      </w:r>
    </w:p>
    <w:p w:rsidR="002B6091" w:rsidRPr="00E32557" w:rsidRDefault="002B6091" w:rsidP="002B6091">
      <w:pPr>
        <w:spacing w:after="0"/>
        <w:rPr>
          <w:rFonts w:cs="Arial"/>
          <w:bCs/>
          <w:sz w:val="24"/>
          <w:szCs w:val="24"/>
        </w:rPr>
      </w:pPr>
      <w:r w:rsidRPr="00E32557">
        <w:rPr>
          <w:rFonts w:cs="Arial"/>
          <w:bCs/>
          <w:sz w:val="24"/>
          <w:szCs w:val="24"/>
        </w:rPr>
        <w:t xml:space="preserve">Violence against women and girls (VAWG) remains one of the most pervasive human rights issues in England and Wales. In order to improve compliance with Articles 2, 3, 7 and 26 of ICCPR the UK Government must: </w:t>
      </w:r>
    </w:p>
    <w:p w:rsidR="002B6091" w:rsidRPr="00E32557" w:rsidRDefault="002B6091" w:rsidP="002B6091">
      <w:pPr>
        <w:pStyle w:val="ListParagraph"/>
        <w:numPr>
          <w:ilvl w:val="0"/>
          <w:numId w:val="31"/>
        </w:numPr>
        <w:spacing w:after="0"/>
        <w:rPr>
          <w:rFonts w:cs="Arial"/>
          <w:bCs/>
          <w:sz w:val="24"/>
          <w:szCs w:val="24"/>
        </w:rPr>
      </w:pPr>
      <w:r w:rsidRPr="00E32557">
        <w:rPr>
          <w:rFonts w:cs="Arial"/>
          <w:bCs/>
          <w:sz w:val="24"/>
          <w:szCs w:val="24"/>
        </w:rPr>
        <w:t>continue to work towards ratification and implementation of the Istanbul Convention, including ensuring that victims of VAWG have access to sufficient financial and legal support; and</w:t>
      </w:r>
    </w:p>
    <w:p w:rsidR="002B6091" w:rsidRPr="00310CAD" w:rsidRDefault="002B6091" w:rsidP="002B6091">
      <w:pPr>
        <w:pStyle w:val="ListParagraph"/>
        <w:numPr>
          <w:ilvl w:val="0"/>
          <w:numId w:val="31"/>
        </w:numPr>
        <w:spacing w:after="0"/>
        <w:rPr>
          <w:rFonts w:cs="Arial"/>
          <w:bCs/>
          <w:sz w:val="24"/>
          <w:szCs w:val="24"/>
        </w:rPr>
      </w:pPr>
      <w:proofErr w:type="gramStart"/>
      <w:r w:rsidRPr="00E32557">
        <w:rPr>
          <w:rFonts w:cs="Arial"/>
          <w:bCs/>
          <w:sz w:val="24"/>
          <w:szCs w:val="24"/>
        </w:rPr>
        <w:t>implement</w:t>
      </w:r>
      <w:proofErr w:type="gramEnd"/>
      <w:r w:rsidRPr="00E32557">
        <w:rPr>
          <w:rFonts w:cs="Arial"/>
          <w:bCs/>
          <w:sz w:val="24"/>
          <w:szCs w:val="24"/>
        </w:rPr>
        <w:t xml:space="preserve"> the 2013 recommendations of the Committee on the Elimination of Discrimination Against Women, and the Committee’s General Recommendation 19 on VAWG.</w:t>
      </w:r>
    </w:p>
    <w:p w:rsidR="002B6091" w:rsidRDefault="002B6091" w:rsidP="002B6091">
      <w:pPr>
        <w:spacing w:after="0"/>
        <w:rPr>
          <w:b/>
          <w:sz w:val="24"/>
          <w:szCs w:val="24"/>
        </w:rPr>
      </w:pPr>
    </w:p>
    <w:p w:rsidR="002B6091" w:rsidRPr="00A10364" w:rsidRDefault="002B6091" w:rsidP="002B6091">
      <w:pPr>
        <w:spacing w:after="0"/>
        <w:rPr>
          <w:b/>
          <w:sz w:val="24"/>
          <w:szCs w:val="24"/>
        </w:rPr>
      </w:pPr>
      <w:r>
        <w:rPr>
          <w:b/>
          <w:sz w:val="24"/>
          <w:szCs w:val="24"/>
        </w:rPr>
        <w:t xml:space="preserve">13. </w:t>
      </w:r>
      <w:r w:rsidRPr="00A10364">
        <w:rPr>
          <w:b/>
          <w:sz w:val="24"/>
          <w:szCs w:val="24"/>
        </w:rPr>
        <w:t>The Pay Gap, (Articles 2</w:t>
      </w:r>
      <w:proofErr w:type="gramStart"/>
      <w:r w:rsidRPr="00A10364">
        <w:rPr>
          <w:b/>
          <w:sz w:val="24"/>
          <w:szCs w:val="24"/>
        </w:rPr>
        <w:t>,3</w:t>
      </w:r>
      <w:proofErr w:type="gramEnd"/>
      <w:r w:rsidRPr="00A10364">
        <w:rPr>
          <w:b/>
          <w:sz w:val="24"/>
          <w:szCs w:val="24"/>
        </w:rPr>
        <w:t>, 26) List of Issues paragraph 9</w:t>
      </w:r>
    </w:p>
    <w:p w:rsidR="002B6091" w:rsidRPr="00E32557" w:rsidRDefault="002B6091" w:rsidP="002B6091">
      <w:pPr>
        <w:pStyle w:val="Parapre-bullets"/>
        <w:spacing w:after="0" w:line="240" w:lineRule="auto"/>
      </w:pPr>
    </w:p>
    <w:p w:rsidR="002B6091" w:rsidRPr="00E32557" w:rsidRDefault="002B6091" w:rsidP="002B6091">
      <w:pPr>
        <w:pStyle w:val="Parapre-bullets"/>
        <w:spacing w:after="0" w:line="240" w:lineRule="auto"/>
      </w:pPr>
      <w:r w:rsidRPr="00E32557">
        <w:t>There has been significant progress in England and Wales towards closing the gender pay gap between men and women in age groups below 40. While this suggests significant progress in tackling direct discrimination on the basis of gender, challenges remain in relation to the unequal employment outcomes that many mothers experience. While we welcome the recent initiative from the UK Government for large employers to publish information regarding the gender pay gap in their business, in order to improve compliance with Articles 2,3, 26 of ICCPR, it must also consider broader issues, such as improving access to affordable childcare, and progress initiatives to monitor and address the pay gaps in relation to individuals with other protected characteristics, such as ethnic minorities, age, religion or belief, and disabled people.</w:t>
      </w:r>
    </w:p>
    <w:p w:rsidR="002B6091" w:rsidRDefault="002B6091" w:rsidP="002B6091">
      <w:pPr>
        <w:spacing w:after="0"/>
        <w:rPr>
          <w:b/>
          <w:szCs w:val="28"/>
        </w:rPr>
      </w:pPr>
      <w:r w:rsidRPr="00A10364">
        <w:rPr>
          <w:b/>
          <w:szCs w:val="28"/>
        </w:rPr>
        <w:t>Questions</w:t>
      </w:r>
    </w:p>
    <w:p w:rsidR="002B6091" w:rsidRDefault="002B6091" w:rsidP="002B6091">
      <w:pPr>
        <w:spacing w:after="0"/>
        <w:rPr>
          <w:b/>
          <w:szCs w:val="28"/>
        </w:rPr>
      </w:pPr>
    </w:p>
    <w:p w:rsidR="002B6091" w:rsidRPr="00A10364" w:rsidRDefault="002B6091" w:rsidP="002B6091">
      <w:pPr>
        <w:spacing w:after="0"/>
        <w:rPr>
          <w:b/>
          <w:szCs w:val="28"/>
        </w:rPr>
      </w:pPr>
      <w:proofErr w:type="gramStart"/>
      <w:r w:rsidRPr="00A10364">
        <w:rPr>
          <w:b/>
          <w:sz w:val="24"/>
          <w:szCs w:val="24"/>
        </w:rPr>
        <w:t>Judicial Diversity (Articles 2, 3, 25 and 26), List of Issues paragraph 6 and 9.</w:t>
      </w:r>
      <w:proofErr w:type="gramEnd"/>
    </w:p>
    <w:p w:rsidR="002B6091" w:rsidRDefault="002B6091" w:rsidP="002B6091">
      <w:pPr>
        <w:pStyle w:val="ListParagraph"/>
        <w:numPr>
          <w:ilvl w:val="0"/>
          <w:numId w:val="33"/>
        </w:numPr>
        <w:spacing w:after="0"/>
        <w:ind w:right="-243"/>
        <w:rPr>
          <w:sz w:val="24"/>
          <w:szCs w:val="24"/>
        </w:rPr>
      </w:pPr>
      <w:r w:rsidRPr="00A10364">
        <w:rPr>
          <w:sz w:val="24"/>
          <w:szCs w:val="24"/>
        </w:rPr>
        <w:t xml:space="preserve">Could the UK Government confirm when the Judicial Diversity Taskforce’s 2014 Annual Report will be published and, in lieu of publication, outline the steps the UK Government has taken, and human and financial resources it has committed </w:t>
      </w:r>
      <w:r w:rsidRPr="00A10364">
        <w:rPr>
          <w:sz w:val="24"/>
          <w:szCs w:val="24"/>
        </w:rPr>
        <w:lastRenderedPageBreak/>
        <w:t>to considering and implementing the latest recommendations on improving judicial diversity in England and Wales?</w:t>
      </w:r>
      <w:r w:rsidRPr="00E32557">
        <w:rPr>
          <w:rStyle w:val="FootnoteReference"/>
          <w:sz w:val="24"/>
          <w:szCs w:val="24"/>
        </w:rPr>
        <w:footnoteReference w:id="296"/>
      </w:r>
      <w:r w:rsidRPr="00A10364">
        <w:rPr>
          <w:sz w:val="24"/>
          <w:szCs w:val="24"/>
        </w:rPr>
        <w:t xml:space="preserve"> </w:t>
      </w:r>
    </w:p>
    <w:p w:rsidR="002B6091" w:rsidRDefault="002B6091" w:rsidP="002B6091">
      <w:pPr>
        <w:pStyle w:val="ListParagraph"/>
        <w:spacing w:after="0"/>
        <w:ind w:right="-243"/>
        <w:rPr>
          <w:sz w:val="24"/>
          <w:szCs w:val="24"/>
        </w:rPr>
      </w:pPr>
    </w:p>
    <w:p w:rsidR="002B6091" w:rsidRDefault="002B6091" w:rsidP="002B6091">
      <w:pPr>
        <w:pStyle w:val="ListParagraph"/>
        <w:numPr>
          <w:ilvl w:val="0"/>
          <w:numId w:val="33"/>
        </w:numPr>
        <w:spacing w:after="0"/>
        <w:ind w:right="-243"/>
        <w:rPr>
          <w:sz w:val="24"/>
          <w:szCs w:val="24"/>
        </w:rPr>
      </w:pPr>
      <w:r w:rsidRPr="00A10364">
        <w:rPr>
          <w:sz w:val="24"/>
          <w:szCs w:val="24"/>
        </w:rPr>
        <w:t>Could the UK Government provide an update on steps it has taken to implement the recommendations of the CEDAW and CERD Committees to introduce targeted measures to increase representation of women and ethnic minorities in the judiciary in England and Wales; and could the UK Government provide an analysis of the implications of setting non-mandatory targets if significantly improved outcomes are not achieved by 2017?</w:t>
      </w:r>
      <w:r w:rsidRPr="00E32557">
        <w:rPr>
          <w:rStyle w:val="FootnoteReference"/>
          <w:sz w:val="24"/>
          <w:szCs w:val="24"/>
        </w:rPr>
        <w:footnoteReference w:id="297"/>
      </w:r>
      <w:r w:rsidR="008C67B4">
        <w:rPr>
          <w:sz w:val="24"/>
          <w:szCs w:val="24"/>
        </w:rPr>
        <w:t xml:space="preserve"> </w:t>
      </w:r>
      <w:r w:rsidRPr="00A10364">
        <w:rPr>
          <w:sz w:val="24"/>
          <w:szCs w:val="24"/>
        </w:rPr>
        <w:t xml:space="preserve"> </w:t>
      </w:r>
    </w:p>
    <w:p w:rsidR="002B6091" w:rsidRDefault="002B6091" w:rsidP="002B6091">
      <w:pPr>
        <w:pStyle w:val="ListParagraph"/>
        <w:spacing w:after="0"/>
        <w:ind w:right="-243"/>
        <w:rPr>
          <w:sz w:val="24"/>
          <w:szCs w:val="24"/>
        </w:rPr>
      </w:pPr>
    </w:p>
    <w:p w:rsidR="002B6091" w:rsidRDefault="002B6091" w:rsidP="002B6091">
      <w:pPr>
        <w:pStyle w:val="ListParagraph"/>
        <w:spacing w:after="0"/>
        <w:ind w:left="0" w:right="-243"/>
        <w:rPr>
          <w:sz w:val="24"/>
          <w:szCs w:val="24"/>
        </w:rPr>
      </w:pPr>
      <w:r w:rsidRPr="00A10364">
        <w:rPr>
          <w:b/>
          <w:sz w:val="24"/>
          <w:szCs w:val="24"/>
        </w:rPr>
        <w:t>Access to Civil Justice (Article 14), List of Issues paragraph 24</w:t>
      </w:r>
      <w:r>
        <w:rPr>
          <w:rStyle w:val="FootnoteReference"/>
          <w:b/>
          <w:sz w:val="24"/>
          <w:szCs w:val="24"/>
        </w:rPr>
        <w:footnoteReference w:id="298"/>
      </w:r>
    </w:p>
    <w:p w:rsidR="002B6091" w:rsidRDefault="002B6091" w:rsidP="002B6091">
      <w:pPr>
        <w:pStyle w:val="ListParagraph"/>
        <w:numPr>
          <w:ilvl w:val="0"/>
          <w:numId w:val="33"/>
        </w:numPr>
        <w:spacing w:after="0"/>
        <w:ind w:right="-243"/>
        <w:rPr>
          <w:sz w:val="24"/>
          <w:szCs w:val="24"/>
        </w:rPr>
      </w:pPr>
      <w:r w:rsidRPr="00A10364">
        <w:rPr>
          <w:rFonts w:cs="Arial"/>
          <w:sz w:val="24"/>
          <w:szCs w:val="24"/>
        </w:rPr>
        <w:t>Could the UK Government provide data about the impact (including cumulative impacts) of the LASPO Act and associated reforms, including on:</w:t>
      </w:r>
    </w:p>
    <w:p w:rsidR="002B6091" w:rsidRDefault="002B6091" w:rsidP="002B6091">
      <w:pPr>
        <w:pStyle w:val="ListParagraph"/>
        <w:numPr>
          <w:ilvl w:val="0"/>
          <w:numId w:val="39"/>
        </w:numPr>
        <w:spacing w:after="0"/>
        <w:ind w:right="-243"/>
        <w:rPr>
          <w:sz w:val="24"/>
          <w:szCs w:val="24"/>
        </w:rPr>
      </w:pPr>
      <w:r w:rsidRPr="00310CAD">
        <w:rPr>
          <w:rFonts w:cs="Arial"/>
          <w:sz w:val="24"/>
          <w:szCs w:val="24"/>
        </w:rPr>
        <w:t>The impact on access to justice for people with particular impairments arising from the introduction of a mandatory telephone advice gateway?</w:t>
      </w:r>
    </w:p>
    <w:p w:rsidR="002B6091" w:rsidRDefault="002B6091" w:rsidP="002B6091">
      <w:pPr>
        <w:pStyle w:val="ListParagraph"/>
        <w:numPr>
          <w:ilvl w:val="0"/>
          <w:numId w:val="39"/>
        </w:numPr>
        <w:spacing w:after="0"/>
        <w:ind w:right="-243"/>
        <w:rPr>
          <w:sz w:val="24"/>
          <w:szCs w:val="24"/>
        </w:rPr>
      </w:pPr>
      <w:r w:rsidRPr="00310CAD">
        <w:rPr>
          <w:rFonts w:cs="Arial"/>
          <w:sz w:val="24"/>
          <w:szCs w:val="24"/>
        </w:rPr>
        <w:t>The combined impact of the mandatory telephone advice gateway and the introduction of fees for the Employment Tribunal on access to justice for victims of workplace discrimination?</w:t>
      </w:r>
    </w:p>
    <w:p w:rsidR="002B6091" w:rsidRDefault="002B6091" w:rsidP="002B6091">
      <w:pPr>
        <w:pStyle w:val="ListParagraph"/>
        <w:numPr>
          <w:ilvl w:val="0"/>
          <w:numId w:val="39"/>
        </w:numPr>
        <w:spacing w:after="0"/>
        <w:ind w:right="-243"/>
        <w:rPr>
          <w:sz w:val="24"/>
          <w:szCs w:val="24"/>
        </w:rPr>
      </w:pPr>
      <w:r w:rsidRPr="00310CAD">
        <w:rPr>
          <w:rFonts w:cs="Arial"/>
          <w:sz w:val="24"/>
          <w:szCs w:val="24"/>
        </w:rPr>
        <w:t xml:space="preserve">The increase in litigants in person in the civil and family courts and the consequences for access to justice arising from this? </w:t>
      </w:r>
    </w:p>
    <w:p w:rsidR="002B6091" w:rsidRDefault="002B6091" w:rsidP="002B6091">
      <w:pPr>
        <w:pStyle w:val="ListParagraph"/>
        <w:numPr>
          <w:ilvl w:val="0"/>
          <w:numId w:val="39"/>
        </w:numPr>
        <w:spacing w:after="0"/>
        <w:ind w:right="-243"/>
        <w:rPr>
          <w:sz w:val="24"/>
          <w:szCs w:val="24"/>
        </w:rPr>
      </w:pPr>
      <w:r w:rsidRPr="00310CAD">
        <w:rPr>
          <w:rFonts w:cs="Arial"/>
          <w:sz w:val="24"/>
          <w:szCs w:val="24"/>
        </w:rPr>
        <w:t>The impact on the legal and advice sector of the reforms, also taking into account the effect of local and national austerity measures on funding for this sector?</w:t>
      </w:r>
    </w:p>
    <w:p w:rsidR="002B6091" w:rsidRPr="00310CAD" w:rsidRDefault="002B6091" w:rsidP="002B6091">
      <w:pPr>
        <w:pStyle w:val="ListParagraph"/>
        <w:numPr>
          <w:ilvl w:val="0"/>
          <w:numId w:val="39"/>
        </w:numPr>
        <w:spacing w:after="0"/>
        <w:ind w:right="-243"/>
        <w:rPr>
          <w:sz w:val="24"/>
          <w:szCs w:val="24"/>
        </w:rPr>
      </w:pPr>
      <w:r w:rsidRPr="00310CAD">
        <w:rPr>
          <w:rFonts w:cs="Arial"/>
          <w:sz w:val="24"/>
          <w:szCs w:val="24"/>
        </w:rPr>
        <w:t>Could the UK Government also provide information about the steps it has taken to mitigate these impacts?</w:t>
      </w:r>
    </w:p>
    <w:p w:rsidR="002B6091" w:rsidRPr="00E32557" w:rsidRDefault="002B6091" w:rsidP="002B6091">
      <w:pPr>
        <w:pStyle w:val="ListParagraph"/>
        <w:spacing w:after="0"/>
        <w:ind w:left="0"/>
        <w:rPr>
          <w:rFonts w:cs="Arial"/>
          <w:sz w:val="24"/>
          <w:szCs w:val="24"/>
        </w:rPr>
      </w:pPr>
    </w:p>
    <w:p w:rsidR="002B6091" w:rsidRDefault="002B6091" w:rsidP="002B6091">
      <w:pPr>
        <w:pStyle w:val="ListParagraph"/>
        <w:numPr>
          <w:ilvl w:val="0"/>
          <w:numId w:val="33"/>
        </w:numPr>
        <w:spacing w:after="0"/>
        <w:rPr>
          <w:rFonts w:cs="Arial"/>
          <w:sz w:val="24"/>
          <w:szCs w:val="24"/>
        </w:rPr>
      </w:pPr>
      <w:r w:rsidRPr="00E32557">
        <w:rPr>
          <w:rFonts w:cs="Arial"/>
          <w:sz w:val="24"/>
          <w:szCs w:val="24"/>
        </w:rPr>
        <w:t>What steps is the UK Government taking to modify the exceptional funding scheme in the light of its low uptake, the low success rates of applications and recent successful court challenges to guidance on the scheme?</w:t>
      </w:r>
    </w:p>
    <w:p w:rsidR="002B6091" w:rsidRPr="00310CAD" w:rsidRDefault="002B6091" w:rsidP="002B6091">
      <w:pPr>
        <w:pStyle w:val="ListParagraph"/>
        <w:spacing w:after="0"/>
        <w:rPr>
          <w:rFonts w:cs="Arial"/>
          <w:sz w:val="24"/>
          <w:szCs w:val="24"/>
        </w:rPr>
      </w:pPr>
    </w:p>
    <w:p w:rsidR="002B6091" w:rsidRDefault="002B6091" w:rsidP="002B6091">
      <w:pPr>
        <w:pStyle w:val="ListParagraph"/>
        <w:numPr>
          <w:ilvl w:val="0"/>
          <w:numId w:val="33"/>
        </w:numPr>
        <w:spacing w:after="0"/>
        <w:rPr>
          <w:rFonts w:cs="Arial"/>
          <w:sz w:val="24"/>
          <w:szCs w:val="24"/>
        </w:rPr>
      </w:pPr>
      <w:r w:rsidRPr="00E32557">
        <w:rPr>
          <w:rFonts w:cs="Arial"/>
          <w:sz w:val="24"/>
          <w:szCs w:val="24"/>
        </w:rPr>
        <w:t>Can the UK Government describe how it will ensure the residence test for civil legal aid, if introduced, will not lead to individuals being denied access to justice for a case relating to rights that are reflected in the ICCPR?</w:t>
      </w:r>
    </w:p>
    <w:p w:rsidR="002B6091" w:rsidRDefault="002B6091" w:rsidP="002B6091">
      <w:pPr>
        <w:pStyle w:val="ListParagraph"/>
        <w:spacing w:after="0"/>
        <w:rPr>
          <w:rFonts w:cs="Arial"/>
          <w:sz w:val="24"/>
          <w:szCs w:val="24"/>
        </w:rPr>
      </w:pPr>
    </w:p>
    <w:p w:rsidR="002B6091" w:rsidRDefault="002B6091" w:rsidP="002B6091">
      <w:pPr>
        <w:pStyle w:val="ListParagraph"/>
        <w:numPr>
          <w:ilvl w:val="0"/>
          <w:numId w:val="33"/>
        </w:numPr>
        <w:spacing w:after="0"/>
        <w:rPr>
          <w:rFonts w:cs="Arial"/>
          <w:sz w:val="24"/>
          <w:szCs w:val="24"/>
        </w:rPr>
      </w:pPr>
      <w:r w:rsidRPr="00A10364">
        <w:rPr>
          <w:rFonts w:cs="Arial"/>
          <w:sz w:val="24"/>
          <w:szCs w:val="24"/>
        </w:rPr>
        <w:t>What steps is the UK government taking to monitor the impact of recent and forthcoming reforms to judicial review on individuals’ and organisations’ ability to hold the UK to account for breaches of rights reflected in the ICCPR?</w:t>
      </w:r>
    </w:p>
    <w:p w:rsidR="002B6091" w:rsidRDefault="002B6091" w:rsidP="002B6091">
      <w:pPr>
        <w:pStyle w:val="ListParagraph"/>
        <w:spacing w:after="0"/>
        <w:rPr>
          <w:rFonts w:cs="Arial"/>
          <w:sz w:val="24"/>
          <w:szCs w:val="24"/>
        </w:rPr>
      </w:pPr>
    </w:p>
    <w:p w:rsidR="002B6091" w:rsidRPr="00A10364" w:rsidRDefault="002B6091" w:rsidP="002B6091">
      <w:pPr>
        <w:pStyle w:val="ListParagraph"/>
        <w:spacing w:after="0"/>
        <w:ind w:left="0"/>
        <w:rPr>
          <w:rFonts w:cs="Arial"/>
          <w:sz w:val="24"/>
          <w:szCs w:val="24"/>
        </w:rPr>
      </w:pPr>
      <w:r w:rsidRPr="00A10364">
        <w:rPr>
          <w:b/>
          <w:sz w:val="24"/>
          <w:szCs w:val="24"/>
        </w:rPr>
        <w:t>Counter Terrorism Provisions (Articles 9, 14), List of Issues paragraph 11, 20, 23</w:t>
      </w:r>
      <w:r>
        <w:rPr>
          <w:rStyle w:val="FootnoteReference"/>
          <w:b/>
          <w:sz w:val="24"/>
          <w:szCs w:val="24"/>
        </w:rPr>
        <w:footnoteReference w:id="299"/>
      </w:r>
    </w:p>
    <w:p w:rsidR="002B6091" w:rsidRPr="00E32557" w:rsidRDefault="002B6091" w:rsidP="002B6091">
      <w:pPr>
        <w:pStyle w:val="ListParagraph"/>
        <w:spacing w:after="0"/>
        <w:rPr>
          <w:rFonts w:cs="Arial"/>
          <w:sz w:val="24"/>
          <w:szCs w:val="24"/>
        </w:rPr>
      </w:pPr>
    </w:p>
    <w:p w:rsidR="002B6091" w:rsidRPr="00A10364" w:rsidRDefault="002B6091" w:rsidP="002B6091">
      <w:pPr>
        <w:pStyle w:val="ListParagraph"/>
        <w:numPr>
          <w:ilvl w:val="0"/>
          <w:numId w:val="33"/>
        </w:numPr>
        <w:spacing w:after="0"/>
        <w:rPr>
          <w:rFonts w:cs="Arial"/>
          <w:sz w:val="24"/>
          <w:szCs w:val="24"/>
        </w:rPr>
      </w:pPr>
      <w:r w:rsidRPr="00A10364">
        <w:rPr>
          <w:rFonts w:cs="Arial"/>
          <w:sz w:val="24"/>
          <w:szCs w:val="24"/>
        </w:rPr>
        <w:t>When will the UK Government conduct a review of its terrorism powers to ensure it complies with its international obligations to protect a range of human rights, while protecting national security?</w:t>
      </w:r>
    </w:p>
    <w:p w:rsidR="002B6091" w:rsidRDefault="002B6091" w:rsidP="002B6091">
      <w:pPr>
        <w:pStyle w:val="ListParagraph"/>
        <w:spacing w:after="0"/>
        <w:ind w:left="357"/>
        <w:rPr>
          <w:rFonts w:cs="Arial"/>
          <w:sz w:val="24"/>
          <w:szCs w:val="24"/>
        </w:rPr>
      </w:pPr>
    </w:p>
    <w:p w:rsidR="002B6091" w:rsidRPr="00B3024E" w:rsidRDefault="002B6091" w:rsidP="002B6091">
      <w:pPr>
        <w:pStyle w:val="ListParagraph"/>
        <w:spacing w:after="0"/>
        <w:ind w:left="0"/>
        <w:rPr>
          <w:b/>
          <w:sz w:val="24"/>
          <w:szCs w:val="24"/>
        </w:rPr>
      </w:pPr>
      <w:r w:rsidRPr="00B3024E">
        <w:rPr>
          <w:b/>
          <w:sz w:val="24"/>
          <w:szCs w:val="24"/>
        </w:rPr>
        <w:t>Stop and S</w:t>
      </w:r>
      <w:r>
        <w:rPr>
          <w:b/>
          <w:sz w:val="24"/>
          <w:szCs w:val="24"/>
        </w:rPr>
        <w:t>earch (Articles 9, 17 and 26), List of I</w:t>
      </w:r>
      <w:r w:rsidRPr="00B3024E">
        <w:rPr>
          <w:b/>
          <w:sz w:val="24"/>
          <w:szCs w:val="24"/>
        </w:rPr>
        <w:t>ssues, paragraph</w:t>
      </w:r>
      <w:r>
        <w:rPr>
          <w:b/>
          <w:sz w:val="24"/>
          <w:szCs w:val="24"/>
        </w:rPr>
        <w:t>s</w:t>
      </w:r>
      <w:r w:rsidRPr="00B3024E">
        <w:rPr>
          <w:b/>
          <w:sz w:val="24"/>
          <w:szCs w:val="24"/>
        </w:rPr>
        <w:t xml:space="preserve"> 8</w:t>
      </w:r>
      <w:r>
        <w:rPr>
          <w:b/>
          <w:sz w:val="24"/>
          <w:szCs w:val="24"/>
        </w:rPr>
        <w:t>, 11 and 23</w:t>
      </w:r>
    </w:p>
    <w:p w:rsidR="002B6091" w:rsidRDefault="002B6091" w:rsidP="002B6091">
      <w:pPr>
        <w:spacing w:after="0"/>
        <w:rPr>
          <w:rFonts w:cs="Arial"/>
          <w:sz w:val="24"/>
          <w:szCs w:val="24"/>
        </w:rPr>
      </w:pPr>
    </w:p>
    <w:p w:rsidR="002B6091" w:rsidRDefault="002B6091" w:rsidP="002B6091">
      <w:pPr>
        <w:pStyle w:val="ListParagraph"/>
        <w:numPr>
          <w:ilvl w:val="0"/>
          <w:numId w:val="33"/>
        </w:numPr>
        <w:spacing w:after="0"/>
        <w:rPr>
          <w:rFonts w:cs="Arial"/>
          <w:sz w:val="24"/>
          <w:szCs w:val="24"/>
        </w:rPr>
      </w:pPr>
      <w:r w:rsidRPr="00A10364" w:rsidDel="0023029F">
        <w:rPr>
          <w:rFonts w:cs="Arial"/>
          <w:sz w:val="24"/>
          <w:szCs w:val="24"/>
        </w:rPr>
        <w:t xml:space="preserve">How will the UK Government collect, analyse and publish data on the use of Schedule 7 to reassure themselves and the public that they are meeting the Equality Act 2010 requirements, as set out in the code of practice on the Terrorism Act 2000? </w:t>
      </w:r>
    </w:p>
    <w:p w:rsidR="002B6091" w:rsidRDefault="002B6091" w:rsidP="002B6091">
      <w:pPr>
        <w:pStyle w:val="ListParagraph"/>
        <w:spacing w:after="0"/>
        <w:rPr>
          <w:rFonts w:cs="Arial"/>
          <w:sz w:val="24"/>
          <w:szCs w:val="24"/>
        </w:rPr>
      </w:pPr>
    </w:p>
    <w:p w:rsidR="002B6091" w:rsidRDefault="002B6091" w:rsidP="002B6091">
      <w:pPr>
        <w:pStyle w:val="ListParagraph"/>
        <w:numPr>
          <w:ilvl w:val="0"/>
          <w:numId w:val="33"/>
        </w:numPr>
        <w:spacing w:after="0"/>
        <w:rPr>
          <w:rFonts w:cs="Arial"/>
          <w:sz w:val="24"/>
          <w:szCs w:val="24"/>
        </w:rPr>
      </w:pPr>
      <w:r w:rsidRPr="00A10364">
        <w:rPr>
          <w:sz w:val="24"/>
          <w:szCs w:val="24"/>
        </w:rPr>
        <w:t>What steps, including legislative amendments, will the UK Government take to safeguard against future potential abuse of the Section 60 power to stop and search by individual forces?</w:t>
      </w:r>
    </w:p>
    <w:p w:rsidR="002B6091" w:rsidRDefault="002B6091" w:rsidP="002B6091">
      <w:pPr>
        <w:pStyle w:val="ListParagraph"/>
        <w:spacing w:after="0"/>
        <w:rPr>
          <w:rFonts w:cs="Arial"/>
          <w:sz w:val="24"/>
          <w:szCs w:val="24"/>
        </w:rPr>
      </w:pPr>
    </w:p>
    <w:p w:rsidR="002B6091" w:rsidRPr="00A10364" w:rsidRDefault="002B6091" w:rsidP="002B6091">
      <w:pPr>
        <w:pStyle w:val="ListParagraph"/>
        <w:numPr>
          <w:ilvl w:val="0"/>
          <w:numId w:val="33"/>
        </w:numPr>
        <w:spacing w:after="0"/>
        <w:rPr>
          <w:rFonts w:cs="Arial"/>
          <w:sz w:val="24"/>
          <w:szCs w:val="24"/>
        </w:rPr>
      </w:pPr>
      <w:r w:rsidRPr="00A10364">
        <w:rPr>
          <w:sz w:val="24"/>
          <w:szCs w:val="24"/>
        </w:rPr>
        <w:t xml:space="preserve">What steps is the UK Government taking to ensure that HMIC's recommendations from its HMIC 2013 and 2015 stop and search reports are followed up? </w:t>
      </w:r>
    </w:p>
    <w:p w:rsidR="002B6091" w:rsidRPr="00A10364" w:rsidRDefault="002B6091" w:rsidP="002B6091">
      <w:pPr>
        <w:pStyle w:val="ListParagraph"/>
        <w:spacing w:after="0"/>
        <w:rPr>
          <w:rFonts w:cs="Arial"/>
          <w:sz w:val="24"/>
          <w:szCs w:val="24"/>
        </w:rPr>
      </w:pPr>
    </w:p>
    <w:p w:rsidR="002B6091" w:rsidRPr="00A10364" w:rsidRDefault="002B6091" w:rsidP="002B6091">
      <w:pPr>
        <w:pStyle w:val="ListParagraph"/>
        <w:numPr>
          <w:ilvl w:val="0"/>
          <w:numId w:val="33"/>
        </w:numPr>
        <w:spacing w:after="0"/>
        <w:rPr>
          <w:rFonts w:cs="Arial"/>
          <w:sz w:val="24"/>
          <w:szCs w:val="24"/>
        </w:rPr>
      </w:pPr>
      <w:r w:rsidRPr="00A10364">
        <w:rPr>
          <w:sz w:val="24"/>
          <w:szCs w:val="24"/>
        </w:rPr>
        <w:t>The EHRC and the College of Policing are working to produce a new programme of police training for stop and search. Providing the pilots prove to be successful, what steps will the UK Government take to ensure that this training (or training of an equivalent standard) is used by each force, and what if any measures might be employed to ascertain how many officers have received the training?</w:t>
      </w:r>
    </w:p>
    <w:p w:rsidR="002B6091" w:rsidRPr="00A10364" w:rsidRDefault="002B6091" w:rsidP="002B6091">
      <w:pPr>
        <w:pStyle w:val="ListParagraph"/>
        <w:spacing w:after="0"/>
        <w:rPr>
          <w:rFonts w:cs="Arial"/>
          <w:sz w:val="24"/>
          <w:szCs w:val="24"/>
        </w:rPr>
      </w:pPr>
    </w:p>
    <w:p w:rsidR="002B6091" w:rsidRPr="00A10364" w:rsidRDefault="002B6091" w:rsidP="002B6091">
      <w:pPr>
        <w:pStyle w:val="ListParagraph"/>
        <w:numPr>
          <w:ilvl w:val="0"/>
          <w:numId w:val="33"/>
        </w:numPr>
        <w:spacing w:after="0"/>
        <w:rPr>
          <w:rFonts w:cs="Arial"/>
          <w:sz w:val="24"/>
          <w:szCs w:val="24"/>
        </w:rPr>
      </w:pPr>
      <w:r w:rsidRPr="00A10364">
        <w:rPr>
          <w:sz w:val="24"/>
          <w:szCs w:val="24"/>
        </w:rPr>
        <w:t>Could the UK Government please clarify:</w:t>
      </w:r>
    </w:p>
    <w:p w:rsidR="002B6091" w:rsidRDefault="002B6091" w:rsidP="002B6091">
      <w:pPr>
        <w:pStyle w:val="ListParagraph"/>
        <w:numPr>
          <w:ilvl w:val="0"/>
          <w:numId w:val="34"/>
        </w:numPr>
        <w:spacing w:after="0"/>
        <w:rPr>
          <w:sz w:val="24"/>
          <w:szCs w:val="24"/>
        </w:rPr>
      </w:pPr>
      <w:r w:rsidRPr="00E32557">
        <w:rPr>
          <w:sz w:val="24"/>
          <w:szCs w:val="24"/>
        </w:rPr>
        <w:t>How will individual officers be scrutinised on their ability to use their stop and search powers effectively, legally and fairly?</w:t>
      </w:r>
      <w:r w:rsidR="008C67B4">
        <w:rPr>
          <w:sz w:val="24"/>
          <w:szCs w:val="24"/>
        </w:rPr>
        <w:t xml:space="preserve"> </w:t>
      </w:r>
    </w:p>
    <w:p w:rsidR="002B6091" w:rsidRDefault="002B6091" w:rsidP="002B6091">
      <w:pPr>
        <w:pStyle w:val="ListParagraph"/>
        <w:numPr>
          <w:ilvl w:val="0"/>
          <w:numId w:val="34"/>
        </w:numPr>
        <w:spacing w:after="0"/>
        <w:rPr>
          <w:sz w:val="24"/>
          <w:szCs w:val="24"/>
        </w:rPr>
      </w:pPr>
      <w:r w:rsidRPr="00310CAD">
        <w:rPr>
          <w:sz w:val="24"/>
          <w:szCs w:val="24"/>
        </w:rPr>
        <w:t>What is the role of police and crime commissioners (PCCs) in scrutinising how their forces are using stop and search, and what steps can be taken in the event that a PCC is not engaging with the issue or equality and human rights more generally?</w:t>
      </w:r>
    </w:p>
    <w:p w:rsidR="002B6091" w:rsidRPr="00310CAD" w:rsidRDefault="002B6091" w:rsidP="002B6091">
      <w:pPr>
        <w:pStyle w:val="ListParagraph"/>
        <w:numPr>
          <w:ilvl w:val="0"/>
          <w:numId w:val="34"/>
        </w:numPr>
        <w:spacing w:after="0"/>
        <w:rPr>
          <w:sz w:val="24"/>
          <w:szCs w:val="24"/>
        </w:rPr>
      </w:pPr>
      <w:r w:rsidRPr="00310CAD">
        <w:rPr>
          <w:sz w:val="24"/>
          <w:szCs w:val="24"/>
        </w:rPr>
        <w:t>If stop and search is to feature as one of a range of measures used annually to assess how each force is performing (part of the PEEL Assessment),</w:t>
      </w:r>
      <w:r w:rsidRPr="00E32557">
        <w:rPr>
          <w:rStyle w:val="FootnoteReference"/>
          <w:sz w:val="24"/>
          <w:szCs w:val="24"/>
        </w:rPr>
        <w:footnoteReference w:id="300"/>
      </w:r>
      <w:r w:rsidRPr="00310CAD">
        <w:rPr>
          <w:sz w:val="24"/>
          <w:szCs w:val="24"/>
        </w:rPr>
        <w:t xml:space="preserve"> how will this work in practice?</w:t>
      </w:r>
    </w:p>
    <w:p w:rsidR="002B6091" w:rsidRPr="00B3024E" w:rsidRDefault="002B6091" w:rsidP="002B6091">
      <w:pPr>
        <w:pStyle w:val="ListParagraph"/>
        <w:spacing w:after="0"/>
        <w:ind w:left="0"/>
        <w:rPr>
          <w:b/>
          <w:sz w:val="24"/>
          <w:szCs w:val="24"/>
        </w:rPr>
      </w:pPr>
      <w:r w:rsidRPr="00B3024E">
        <w:rPr>
          <w:b/>
          <w:sz w:val="24"/>
          <w:szCs w:val="24"/>
        </w:rPr>
        <w:t xml:space="preserve">Trafficking and forced labour (Articles 2, 8, 9, 14, 24 and 26), </w:t>
      </w:r>
      <w:r>
        <w:rPr>
          <w:b/>
          <w:sz w:val="24"/>
          <w:szCs w:val="24"/>
        </w:rPr>
        <w:t xml:space="preserve">List of Issues </w:t>
      </w:r>
      <w:r w:rsidRPr="00B3024E">
        <w:rPr>
          <w:b/>
          <w:sz w:val="24"/>
          <w:szCs w:val="24"/>
        </w:rPr>
        <w:t>paragraph 26</w:t>
      </w:r>
    </w:p>
    <w:p w:rsidR="002B6091" w:rsidRPr="00E32557" w:rsidRDefault="002B6091" w:rsidP="002B6091">
      <w:pPr>
        <w:spacing w:after="0"/>
        <w:rPr>
          <w:rFonts w:cs="Arial"/>
          <w:bCs/>
          <w:sz w:val="24"/>
          <w:szCs w:val="24"/>
        </w:rPr>
      </w:pPr>
    </w:p>
    <w:p w:rsidR="002B6091" w:rsidRDefault="002B6091" w:rsidP="002B6091">
      <w:pPr>
        <w:pStyle w:val="ListParagraph"/>
        <w:numPr>
          <w:ilvl w:val="0"/>
          <w:numId w:val="33"/>
        </w:numPr>
        <w:spacing w:after="0"/>
        <w:rPr>
          <w:rFonts w:cs="Arial"/>
          <w:bCs/>
          <w:sz w:val="24"/>
          <w:szCs w:val="24"/>
        </w:rPr>
      </w:pPr>
      <w:r w:rsidRPr="00310CAD">
        <w:rPr>
          <w:rFonts w:cs="Arial"/>
          <w:bCs/>
          <w:sz w:val="24"/>
          <w:szCs w:val="24"/>
        </w:rPr>
        <w:lastRenderedPageBreak/>
        <w:t>Would the UK Government outline the scope of Regulations detailing the provision for the identification and support of victims of trafficking in England and Wales?</w:t>
      </w:r>
    </w:p>
    <w:p w:rsidR="002B6091" w:rsidRDefault="002B6091" w:rsidP="002B6091">
      <w:pPr>
        <w:pStyle w:val="ListParagraph"/>
        <w:spacing w:after="0"/>
        <w:rPr>
          <w:rFonts w:cs="Arial"/>
          <w:bCs/>
          <w:sz w:val="24"/>
          <w:szCs w:val="24"/>
        </w:rPr>
      </w:pPr>
    </w:p>
    <w:p w:rsidR="002B6091" w:rsidRDefault="002B6091" w:rsidP="002B6091">
      <w:pPr>
        <w:pStyle w:val="ListParagraph"/>
        <w:numPr>
          <w:ilvl w:val="0"/>
          <w:numId w:val="33"/>
        </w:numPr>
        <w:spacing w:after="0"/>
        <w:rPr>
          <w:rFonts w:cs="Arial"/>
          <w:bCs/>
          <w:sz w:val="24"/>
          <w:szCs w:val="24"/>
        </w:rPr>
      </w:pPr>
      <w:r w:rsidRPr="00310CAD">
        <w:rPr>
          <w:rFonts w:cs="Arial"/>
          <w:bCs/>
          <w:sz w:val="24"/>
          <w:szCs w:val="24"/>
        </w:rPr>
        <w:t xml:space="preserve">Would the UK Government outline the scope and timetable for implementation of the pilot schemes to test improvements to the National Referral Mechanism? </w:t>
      </w:r>
    </w:p>
    <w:p w:rsidR="002B6091" w:rsidRDefault="002B6091" w:rsidP="002B6091">
      <w:pPr>
        <w:pStyle w:val="ListParagraph"/>
        <w:spacing w:after="0"/>
        <w:rPr>
          <w:rFonts w:cs="Arial"/>
          <w:bCs/>
          <w:sz w:val="24"/>
          <w:szCs w:val="24"/>
        </w:rPr>
      </w:pPr>
    </w:p>
    <w:p w:rsidR="002B6091" w:rsidRDefault="002B6091" w:rsidP="002B6091">
      <w:pPr>
        <w:pStyle w:val="ListParagraph"/>
        <w:numPr>
          <w:ilvl w:val="0"/>
          <w:numId w:val="33"/>
        </w:numPr>
        <w:spacing w:after="0"/>
        <w:rPr>
          <w:rFonts w:cs="Arial"/>
          <w:bCs/>
          <w:sz w:val="24"/>
          <w:szCs w:val="24"/>
        </w:rPr>
      </w:pPr>
      <w:r w:rsidRPr="00310CAD">
        <w:rPr>
          <w:rFonts w:cs="Arial"/>
          <w:bCs/>
          <w:sz w:val="24"/>
          <w:szCs w:val="24"/>
        </w:rPr>
        <w:t xml:space="preserve">Will the UK Government commit to reviewing the Modern Slavery Act within this Parliament to see whether it is functioning as intended? </w:t>
      </w:r>
    </w:p>
    <w:p w:rsidR="002B6091" w:rsidRDefault="002B6091" w:rsidP="002B6091">
      <w:pPr>
        <w:pStyle w:val="ListParagraph"/>
        <w:spacing w:after="0"/>
        <w:rPr>
          <w:rFonts w:cs="Arial"/>
          <w:bCs/>
          <w:sz w:val="24"/>
          <w:szCs w:val="24"/>
        </w:rPr>
      </w:pPr>
    </w:p>
    <w:p w:rsidR="002B6091" w:rsidRPr="00310CAD" w:rsidRDefault="002B6091" w:rsidP="002B6091">
      <w:pPr>
        <w:pStyle w:val="ListParagraph"/>
        <w:numPr>
          <w:ilvl w:val="0"/>
          <w:numId w:val="33"/>
        </w:numPr>
        <w:spacing w:after="0"/>
        <w:rPr>
          <w:rFonts w:cs="Arial"/>
          <w:bCs/>
          <w:sz w:val="24"/>
          <w:szCs w:val="24"/>
        </w:rPr>
      </w:pPr>
      <w:r w:rsidRPr="00310CAD">
        <w:rPr>
          <w:rFonts w:cs="Arial"/>
          <w:bCs/>
          <w:sz w:val="24"/>
          <w:szCs w:val="24"/>
        </w:rPr>
        <w:t>Can the UK Government reassure the Committee that it will act on the recommendations that ensure from the Overseas Domestic Workers review within a set timeframe?</w:t>
      </w:r>
    </w:p>
    <w:p w:rsidR="002B6091" w:rsidRDefault="002B6091" w:rsidP="002B6091">
      <w:pPr>
        <w:pStyle w:val="ListParagraph"/>
        <w:spacing w:after="0"/>
        <w:rPr>
          <w:rFonts w:cs="Arial"/>
          <w:bCs/>
          <w:sz w:val="24"/>
          <w:szCs w:val="24"/>
        </w:rPr>
      </w:pPr>
    </w:p>
    <w:p w:rsidR="002B6091" w:rsidRDefault="002B6091" w:rsidP="002B6091">
      <w:pPr>
        <w:pStyle w:val="ListParagraph"/>
        <w:spacing w:after="0"/>
        <w:ind w:left="0"/>
        <w:rPr>
          <w:b/>
          <w:sz w:val="24"/>
          <w:szCs w:val="24"/>
        </w:rPr>
      </w:pPr>
      <w:r w:rsidRPr="00EF0534">
        <w:rPr>
          <w:b/>
          <w:sz w:val="24"/>
          <w:szCs w:val="24"/>
        </w:rPr>
        <w:t>Privacy and Security (Articles 2, 5 (1) and 17)</w:t>
      </w:r>
      <w:r>
        <w:rPr>
          <w:b/>
          <w:sz w:val="24"/>
          <w:szCs w:val="24"/>
        </w:rPr>
        <w:t>, List of Issues paragraph 28</w:t>
      </w:r>
    </w:p>
    <w:p w:rsidR="002B6091" w:rsidRPr="00C1258B" w:rsidRDefault="002B6091" w:rsidP="002B6091">
      <w:pPr>
        <w:spacing w:after="0"/>
        <w:rPr>
          <w:rFonts w:cs="Arial"/>
          <w:sz w:val="24"/>
          <w:szCs w:val="24"/>
          <w:lang w:eastAsia="en-GB"/>
        </w:rPr>
      </w:pPr>
    </w:p>
    <w:p w:rsidR="002B6091" w:rsidRDefault="002B6091" w:rsidP="002B6091">
      <w:pPr>
        <w:pStyle w:val="ListParagraph"/>
        <w:numPr>
          <w:ilvl w:val="0"/>
          <w:numId w:val="33"/>
        </w:numPr>
        <w:spacing w:after="0"/>
        <w:rPr>
          <w:rFonts w:cs="Arial"/>
          <w:sz w:val="24"/>
          <w:szCs w:val="24"/>
          <w:lang w:eastAsia="en-GB"/>
        </w:rPr>
      </w:pPr>
      <w:r w:rsidRPr="00310CAD">
        <w:rPr>
          <w:rFonts w:cs="Arial"/>
          <w:sz w:val="24"/>
          <w:szCs w:val="24"/>
          <w:lang w:eastAsia="en-GB"/>
        </w:rPr>
        <w:t>Given the fragmented nature of the legal framework governing privacy and surveillance, will the UK Government consider undertaking a forward-looking “root and branch” review?</w:t>
      </w:r>
    </w:p>
    <w:p w:rsidR="002B6091" w:rsidRDefault="002B6091" w:rsidP="002B6091">
      <w:pPr>
        <w:pStyle w:val="ListParagraph"/>
        <w:spacing w:after="0"/>
        <w:rPr>
          <w:rFonts w:cs="Arial"/>
          <w:sz w:val="24"/>
          <w:szCs w:val="24"/>
          <w:lang w:eastAsia="en-GB"/>
        </w:rPr>
      </w:pPr>
    </w:p>
    <w:p w:rsidR="002B6091" w:rsidRPr="00310CAD" w:rsidRDefault="002B6091" w:rsidP="002B6091">
      <w:pPr>
        <w:pStyle w:val="ListParagraph"/>
        <w:numPr>
          <w:ilvl w:val="0"/>
          <w:numId w:val="33"/>
        </w:numPr>
        <w:spacing w:after="0"/>
        <w:rPr>
          <w:rFonts w:cs="Arial"/>
          <w:sz w:val="24"/>
          <w:szCs w:val="24"/>
          <w:lang w:eastAsia="en-GB"/>
        </w:rPr>
      </w:pPr>
      <w:r w:rsidRPr="00310CAD">
        <w:rPr>
          <w:rFonts w:cs="Arial"/>
          <w:sz w:val="24"/>
          <w:szCs w:val="24"/>
        </w:rPr>
        <w:t>How does the UK Government propose to address (and to what timetable), the following:</w:t>
      </w:r>
    </w:p>
    <w:p w:rsidR="002B6091" w:rsidRDefault="002B6091" w:rsidP="002B6091">
      <w:pPr>
        <w:pStyle w:val="ListParagraph"/>
        <w:numPr>
          <w:ilvl w:val="0"/>
          <w:numId w:val="40"/>
        </w:numPr>
        <w:spacing w:after="0"/>
        <w:rPr>
          <w:rFonts w:cs="Arial"/>
          <w:sz w:val="24"/>
          <w:szCs w:val="24"/>
        </w:rPr>
      </w:pPr>
      <w:r w:rsidRPr="00C1258B">
        <w:rPr>
          <w:rFonts w:cs="Arial"/>
          <w:sz w:val="24"/>
          <w:szCs w:val="24"/>
        </w:rPr>
        <w:t xml:space="preserve">loose definitions of ‘communication’ in Section 20 of RIPA; </w:t>
      </w:r>
    </w:p>
    <w:p w:rsidR="002B6091" w:rsidRDefault="002B6091" w:rsidP="002B6091">
      <w:pPr>
        <w:pStyle w:val="ListParagraph"/>
        <w:numPr>
          <w:ilvl w:val="0"/>
          <w:numId w:val="40"/>
        </w:numPr>
        <w:spacing w:after="0"/>
        <w:rPr>
          <w:rFonts w:cs="Arial"/>
          <w:sz w:val="24"/>
          <w:szCs w:val="24"/>
        </w:rPr>
      </w:pPr>
      <w:r w:rsidRPr="00310CAD">
        <w:rPr>
          <w:rFonts w:cs="Arial"/>
          <w:sz w:val="24"/>
          <w:szCs w:val="24"/>
        </w:rPr>
        <w:t xml:space="preserve">the appropriate levels of authorisation to safeguard human rights in the use of RIPA surveillance powers; </w:t>
      </w:r>
    </w:p>
    <w:p w:rsidR="002B6091" w:rsidRDefault="002B6091" w:rsidP="002B6091">
      <w:pPr>
        <w:pStyle w:val="ListParagraph"/>
        <w:numPr>
          <w:ilvl w:val="0"/>
          <w:numId w:val="40"/>
        </w:numPr>
        <w:spacing w:after="0"/>
        <w:rPr>
          <w:rFonts w:cs="Arial"/>
          <w:sz w:val="24"/>
          <w:szCs w:val="24"/>
        </w:rPr>
      </w:pPr>
      <w:r w:rsidRPr="00310CAD">
        <w:rPr>
          <w:rFonts w:cs="Arial"/>
          <w:sz w:val="24"/>
          <w:szCs w:val="24"/>
        </w:rPr>
        <w:t>the complexity of the oversight mechanisms; and</w:t>
      </w:r>
    </w:p>
    <w:p w:rsidR="002B6091" w:rsidRPr="00310CAD" w:rsidRDefault="002B6091" w:rsidP="002B6091">
      <w:pPr>
        <w:pStyle w:val="ListParagraph"/>
        <w:numPr>
          <w:ilvl w:val="0"/>
          <w:numId w:val="40"/>
        </w:numPr>
        <w:spacing w:after="0"/>
        <w:rPr>
          <w:rFonts w:cs="Arial"/>
          <w:sz w:val="24"/>
          <w:szCs w:val="24"/>
        </w:rPr>
      </w:pPr>
      <w:proofErr w:type="gramStart"/>
      <w:r w:rsidRPr="00310CAD">
        <w:rPr>
          <w:rFonts w:cs="Arial"/>
          <w:sz w:val="24"/>
          <w:szCs w:val="24"/>
        </w:rPr>
        <w:t>the</w:t>
      </w:r>
      <w:proofErr w:type="gramEnd"/>
      <w:r w:rsidRPr="00310CAD">
        <w:rPr>
          <w:rFonts w:cs="Arial"/>
          <w:sz w:val="24"/>
          <w:szCs w:val="24"/>
        </w:rPr>
        <w:t xml:space="preserve"> need for greater judicial oversight.</w:t>
      </w:r>
    </w:p>
    <w:p w:rsidR="002B6091" w:rsidRPr="00C1258B" w:rsidRDefault="002B6091" w:rsidP="002B6091">
      <w:pPr>
        <w:pStyle w:val="ListParagraph"/>
        <w:spacing w:after="0"/>
        <w:ind w:left="0"/>
        <w:rPr>
          <w:rFonts w:cs="Arial"/>
          <w:sz w:val="24"/>
          <w:szCs w:val="24"/>
        </w:rPr>
      </w:pPr>
    </w:p>
    <w:p w:rsidR="002B6091" w:rsidRPr="00C1258B" w:rsidRDefault="002B6091" w:rsidP="002B6091">
      <w:pPr>
        <w:pStyle w:val="ListParagraph"/>
        <w:numPr>
          <w:ilvl w:val="0"/>
          <w:numId w:val="33"/>
        </w:numPr>
        <w:spacing w:after="0"/>
        <w:rPr>
          <w:rFonts w:cs="Arial"/>
          <w:sz w:val="24"/>
          <w:szCs w:val="24"/>
        </w:rPr>
      </w:pPr>
      <w:r w:rsidRPr="00C1258B">
        <w:rPr>
          <w:rFonts w:cs="Arial"/>
          <w:sz w:val="24"/>
          <w:szCs w:val="24"/>
        </w:rPr>
        <w:t>How can the UK Government reassure itself, and the public, that surveillance powers under RIPA are not being used in a discriminatory way?</w:t>
      </w:r>
    </w:p>
    <w:p w:rsidR="002B6091" w:rsidRPr="00C1258B" w:rsidRDefault="002B6091" w:rsidP="002B6091">
      <w:pPr>
        <w:spacing w:after="0"/>
        <w:rPr>
          <w:sz w:val="24"/>
          <w:szCs w:val="24"/>
        </w:rPr>
      </w:pPr>
    </w:p>
    <w:p w:rsidR="002B6091" w:rsidRPr="00C20930" w:rsidRDefault="002B6091" w:rsidP="002B6091">
      <w:pPr>
        <w:pStyle w:val="ListParagraph"/>
        <w:spacing w:after="0"/>
        <w:ind w:left="-142" w:firstLine="142"/>
        <w:rPr>
          <w:b/>
          <w:sz w:val="24"/>
          <w:szCs w:val="24"/>
        </w:rPr>
      </w:pPr>
      <w:r w:rsidRPr="00C20930">
        <w:rPr>
          <w:b/>
          <w:sz w:val="24"/>
          <w:szCs w:val="24"/>
        </w:rPr>
        <w:t>Voting Rights (Article 25), List of Issues paragraph 30</w:t>
      </w:r>
    </w:p>
    <w:p w:rsidR="002B6091" w:rsidRPr="00C1258B" w:rsidRDefault="002B6091" w:rsidP="002B6091">
      <w:pPr>
        <w:pStyle w:val="ListParagraph"/>
        <w:spacing w:after="0"/>
        <w:ind w:left="0"/>
        <w:rPr>
          <w:sz w:val="24"/>
          <w:szCs w:val="24"/>
        </w:rPr>
      </w:pPr>
    </w:p>
    <w:p w:rsidR="002B6091" w:rsidRPr="00310CAD" w:rsidRDefault="002B6091" w:rsidP="002B6091">
      <w:pPr>
        <w:pStyle w:val="ListParagraph"/>
        <w:numPr>
          <w:ilvl w:val="0"/>
          <w:numId w:val="33"/>
        </w:numPr>
        <w:spacing w:after="0"/>
        <w:rPr>
          <w:sz w:val="24"/>
          <w:szCs w:val="24"/>
        </w:rPr>
      </w:pPr>
      <w:r w:rsidRPr="00310CAD">
        <w:rPr>
          <w:sz w:val="24"/>
          <w:szCs w:val="24"/>
        </w:rPr>
        <w:t xml:space="preserve">What plans does the UK Government have to bring forward legislation to implement the judgments in the Hirst, Greens, Firth and </w:t>
      </w:r>
      <w:r w:rsidRPr="00310CAD">
        <w:rPr>
          <w:rFonts w:cs="Arial"/>
          <w:color w:val="000000"/>
          <w:sz w:val="24"/>
          <w:szCs w:val="24"/>
        </w:rPr>
        <w:t>McHugh cases</w:t>
      </w:r>
      <w:r w:rsidRPr="00310CAD">
        <w:rPr>
          <w:sz w:val="24"/>
          <w:szCs w:val="24"/>
        </w:rPr>
        <w:t>, (and in doing so the recommendation of the Joint Committee on the Voting Eligibility (Prisoners) Draft Bill), and ensure compliance with the requirements of Protocol No 1 of the ECHR?</w:t>
      </w:r>
    </w:p>
    <w:p w:rsidR="002B6091" w:rsidRPr="002D01E1" w:rsidRDefault="002B6091" w:rsidP="002B6091">
      <w:pPr>
        <w:spacing w:after="0"/>
        <w:rPr>
          <w:b/>
          <w:sz w:val="24"/>
          <w:szCs w:val="24"/>
        </w:rPr>
      </w:pPr>
    </w:p>
    <w:p w:rsidR="002B6091" w:rsidRPr="00C20930" w:rsidRDefault="002B6091" w:rsidP="002B6091">
      <w:pPr>
        <w:pStyle w:val="ListParagraph"/>
        <w:tabs>
          <w:tab w:val="left" w:pos="426"/>
        </w:tabs>
        <w:spacing w:after="0"/>
        <w:ind w:left="0"/>
        <w:rPr>
          <w:b/>
          <w:sz w:val="24"/>
          <w:szCs w:val="24"/>
        </w:rPr>
      </w:pPr>
      <w:r>
        <w:rPr>
          <w:b/>
          <w:sz w:val="24"/>
          <w:szCs w:val="24"/>
        </w:rPr>
        <w:t xml:space="preserve">Caste Discrimination, Articles </w:t>
      </w:r>
      <w:r>
        <w:rPr>
          <w:b/>
          <w:bCs/>
          <w:sz w:val="23"/>
          <w:szCs w:val="23"/>
        </w:rPr>
        <w:t xml:space="preserve">2, 20, 26 and 27, </w:t>
      </w:r>
      <w:r>
        <w:rPr>
          <w:b/>
          <w:sz w:val="24"/>
          <w:szCs w:val="24"/>
        </w:rPr>
        <w:t>List of Issues paragraph 6</w:t>
      </w:r>
    </w:p>
    <w:p w:rsidR="002B6091" w:rsidRPr="00C1258B" w:rsidRDefault="002B6091" w:rsidP="002B6091">
      <w:pPr>
        <w:spacing w:after="0"/>
        <w:rPr>
          <w:sz w:val="24"/>
          <w:szCs w:val="24"/>
        </w:rPr>
      </w:pPr>
    </w:p>
    <w:p w:rsidR="002B6091" w:rsidRPr="00310CAD" w:rsidRDefault="002B6091" w:rsidP="002B6091">
      <w:pPr>
        <w:pStyle w:val="ListParagraph"/>
        <w:numPr>
          <w:ilvl w:val="0"/>
          <w:numId w:val="33"/>
        </w:numPr>
        <w:spacing w:after="0"/>
        <w:rPr>
          <w:sz w:val="24"/>
          <w:szCs w:val="24"/>
        </w:rPr>
      </w:pPr>
      <w:r w:rsidRPr="00310CAD">
        <w:rPr>
          <w:sz w:val="24"/>
          <w:szCs w:val="24"/>
        </w:rPr>
        <w:t xml:space="preserve">Has the UK Government concluded the consultation on caste discrimination announced in July 2013? If so, could the UK Government publish its findings and outcomes, and confirm when a draft order to enact Section 9(5) of the Equality Act 2010 will be laid before Parliament? </w:t>
      </w:r>
    </w:p>
    <w:p w:rsidR="002B6091" w:rsidRPr="00C1258B" w:rsidRDefault="002B6091" w:rsidP="002B6091">
      <w:pPr>
        <w:spacing w:after="0"/>
        <w:rPr>
          <w:sz w:val="24"/>
          <w:szCs w:val="24"/>
        </w:rPr>
      </w:pPr>
    </w:p>
    <w:p w:rsidR="002B6091" w:rsidRDefault="002B6091" w:rsidP="002B6091">
      <w:pPr>
        <w:pStyle w:val="ListParagraph"/>
        <w:spacing w:after="0"/>
        <w:ind w:left="0"/>
        <w:rPr>
          <w:b/>
          <w:sz w:val="24"/>
          <w:szCs w:val="24"/>
        </w:rPr>
      </w:pPr>
      <w:proofErr w:type="gramStart"/>
      <w:r w:rsidRPr="00C20930">
        <w:rPr>
          <w:b/>
          <w:sz w:val="24"/>
          <w:szCs w:val="24"/>
        </w:rPr>
        <w:t>Prohibition of torture and cruel, inhuman or degrading treatment (Article</w:t>
      </w:r>
      <w:r>
        <w:rPr>
          <w:b/>
          <w:sz w:val="24"/>
          <w:szCs w:val="24"/>
        </w:rPr>
        <w:t>s 6 and 7), List of I</w:t>
      </w:r>
      <w:r w:rsidRPr="00C20930">
        <w:rPr>
          <w:b/>
          <w:sz w:val="24"/>
          <w:szCs w:val="24"/>
        </w:rPr>
        <w:t>ssues paragraphs 16 and 27.</w:t>
      </w:r>
      <w:proofErr w:type="gramEnd"/>
    </w:p>
    <w:p w:rsidR="002B6091" w:rsidRDefault="002B6091" w:rsidP="002B6091">
      <w:pPr>
        <w:spacing w:after="0"/>
        <w:rPr>
          <w:rFonts w:cs="Arial"/>
          <w:b/>
          <w:sz w:val="24"/>
          <w:szCs w:val="24"/>
        </w:rPr>
      </w:pPr>
    </w:p>
    <w:p w:rsidR="002B6091" w:rsidRDefault="002B6091" w:rsidP="002B6091">
      <w:pPr>
        <w:pStyle w:val="ListParagraph"/>
        <w:numPr>
          <w:ilvl w:val="0"/>
          <w:numId w:val="33"/>
        </w:numPr>
        <w:spacing w:after="0"/>
        <w:rPr>
          <w:rFonts w:cs="Arial"/>
          <w:sz w:val="24"/>
          <w:szCs w:val="24"/>
        </w:rPr>
      </w:pPr>
      <w:r w:rsidRPr="00C1258B">
        <w:rPr>
          <w:rFonts w:cs="Arial"/>
          <w:sz w:val="24"/>
          <w:szCs w:val="24"/>
        </w:rPr>
        <w:lastRenderedPageBreak/>
        <w:t>When is the Independent Reviewer of Terrorism Legislation’s review of the UK Government’s policy of deportation with assurances going to report? What assurances can the UK Government provide that it will seriously consider and implement the Reviewer’s recommendations within a reasonable timeframe?</w:t>
      </w:r>
    </w:p>
    <w:p w:rsidR="002B6091" w:rsidRPr="00310CAD" w:rsidRDefault="002B6091" w:rsidP="002B6091">
      <w:pPr>
        <w:pStyle w:val="ListParagraph"/>
        <w:spacing w:after="0"/>
        <w:rPr>
          <w:rFonts w:cs="Arial"/>
          <w:sz w:val="24"/>
          <w:szCs w:val="24"/>
        </w:rPr>
      </w:pPr>
    </w:p>
    <w:p w:rsidR="002B6091" w:rsidRDefault="002B6091" w:rsidP="002B6091">
      <w:pPr>
        <w:pStyle w:val="ListParagraph"/>
        <w:spacing w:after="0"/>
        <w:ind w:left="0"/>
        <w:rPr>
          <w:b/>
          <w:sz w:val="24"/>
          <w:szCs w:val="24"/>
        </w:rPr>
      </w:pPr>
      <w:r w:rsidRPr="00DE7E13">
        <w:rPr>
          <w:b/>
          <w:sz w:val="24"/>
          <w:szCs w:val="24"/>
        </w:rPr>
        <w:t>Treatment of Detainees (Articles 9, 10, 12 and 24), List of Issues paragraphs 22 and 27</w:t>
      </w:r>
    </w:p>
    <w:p w:rsidR="002B6091" w:rsidRDefault="002B6091" w:rsidP="002B6091">
      <w:pPr>
        <w:pStyle w:val="ListParagraph"/>
        <w:spacing w:after="0"/>
        <w:ind w:left="0"/>
        <w:rPr>
          <w:b/>
          <w:sz w:val="24"/>
          <w:szCs w:val="24"/>
        </w:rPr>
      </w:pPr>
    </w:p>
    <w:p w:rsidR="002B6091" w:rsidRPr="003A2FF0" w:rsidRDefault="002B6091" w:rsidP="002B6091">
      <w:pPr>
        <w:pStyle w:val="ListParagraph"/>
        <w:spacing w:after="0"/>
        <w:ind w:left="0"/>
        <w:rPr>
          <w:b/>
          <w:sz w:val="24"/>
          <w:szCs w:val="24"/>
        </w:rPr>
      </w:pPr>
      <w:r>
        <w:rPr>
          <w:b/>
          <w:sz w:val="24"/>
          <w:szCs w:val="24"/>
        </w:rPr>
        <w:t xml:space="preserve">a. </w:t>
      </w:r>
      <w:r w:rsidRPr="00C20930">
        <w:rPr>
          <w:b/>
          <w:sz w:val="24"/>
          <w:szCs w:val="24"/>
        </w:rPr>
        <w:t>Immigration Detention</w:t>
      </w:r>
      <w:r>
        <w:rPr>
          <w:b/>
          <w:sz w:val="24"/>
          <w:szCs w:val="24"/>
        </w:rPr>
        <w:t xml:space="preserve">, </w:t>
      </w:r>
      <w:r w:rsidRPr="003A2FF0">
        <w:rPr>
          <w:b/>
          <w:sz w:val="24"/>
          <w:szCs w:val="24"/>
        </w:rPr>
        <w:t>List of Issues paragraphs 22 and 27</w:t>
      </w:r>
    </w:p>
    <w:p w:rsidR="002B6091" w:rsidRPr="00252D80" w:rsidRDefault="002B6091" w:rsidP="002B6091">
      <w:pPr>
        <w:spacing w:after="0"/>
        <w:rPr>
          <w:rFonts w:cs="Arial"/>
          <w:b/>
          <w:sz w:val="24"/>
          <w:szCs w:val="24"/>
        </w:rPr>
      </w:pPr>
    </w:p>
    <w:p w:rsidR="002B6091" w:rsidRDefault="002B6091" w:rsidP="002B6091">
      <w:pPr>
        <w:pStyle w:val="ListParagraph"/>
        <w:numPr>
          <w:ilvl w:val="0"/>
          <w:numId w:val="33"/>
        </w:numPr>
        <w:spacing w:after="0"/>
        <w:rPr>
          <w:rFonts w:cs="Arial"/>
          <w:sz w:val="24"/>
          <w:szCs w:val="24"/>
        </w:rPr>
      </w:pPr>
      <w:r w:rsidRPr="00310CAD">
        <w:rPr>
          <w:rFonts w:cs="Arial"/>
          <w:sz w:val="24"/>
          <w:szCs w:val="24"/>
        </w:rPr>
        <w:t>What steps is the UK Government taking to remedy the unlawfulness in the DFT screening, Rule 35 processes and appeals process and will this include a full review of the DFT screening policy so that particularly vulnerable individuals do not enter detention?</w:t>
      </w:r>
    </w:p>
    <w:p w:rsidR="002B6091" w:rsidRDefault="002B6091" w:rsidP="002B6091">
      <w:pPr>
        <w:pStyle w:val="ListParagraph"/>
        <w:spacing w:after="0"/>
        <w:rPr>
          <w:rFonts w:cs="Arial"/>
          <w:sz w:val="24"/>
          <w:szCs w:val="24"/>
        </w:rPr>
      </w:pPr>
    </w:p>
    <w:p w:rsidR="002B6091" w:rsidRDefault="002B6091" w:rsidP="002B6091">
      <w:pPr>
        <w:pStyle w:val="ListParagraph"/>
        <w:numPr>
          <w:ilvl w:val="0"/>
          <w:numId w:val="33"/>
        </w:numPr>
        <w:spacing w:after="0"/>
        <w:rPr>
          <w:rFonts w:cs="Arial"/>
          <w:sz w:val="24"/>
          <w:szCs w:val="24"/>
        </w:rPr>
      </w:pPr>
      <w:r w:rsidRPr="00310CAD">
        <w:rPr>
          <w:rFonts w:cs="Arial"/>
          <w:sz w:val="24"/>
          <w:szCs w:val="24"/>
        </w:rPr>
        <w:t xml:space="preserve">How will the UK Government commit to ensuring that people are automatically released from immigration detention when they are identified as being particularly vulnerable? </w:t>
      </w:r>
    </w:p>
    <w:p w:rsidR="002B6091" w:rsidRPr="00310CAD" w:rsidRDefault="002B6091" w:rsidP="002B6091">
      <w:pPr>
        <w:pStyle w:val="ListParagraph"/>
        <w:spacing w:after="0"/>
        <w:rPr>
          <w:rFonts w:cs="Arial"/>
          <w:sz w:val="24"/>
          <w:szCs w:val="24"/>
        </w:rPr>
      </w:pPr>
    </w:p>
    <w:p w:rsidR="002B6091" w:rsidRDefault="002B6091" w:rsidP="002B6091">
      <w:pPr>
        <w:pStyle w:val="ListParagraph"/>
        <w:numPr>
          <w:ilvl w:val="0"/>
          <w:numId w:val="33"/>
        </w:numPr>
        <w:spacing w:after="0"/>
        <w:rPr>
          <w:rFonts w:cs="Arial"/>
          <w:sz w:val="24"/>
          <w:szCs w:val="24"/>
        </w:rPr>
      </w:pPr>
      <w:r w:rsidRPr="00310CAD">
        <w:rPr>
          <w:rFonts w:cs="Arial"/>
          <w:sz w:val="24"/>
          <w:szCs w:val="24"/>
        </w:rPr>
        <w:t>Will the UK commit to setting a maximum limit of 28 days to the length of time an individual can be held in immigration detention, to avoid the human and financial costs connected with long-term detention?</w:t>
      </w:r>
    </w:p>
    <w:p w:rsidR="002B6091" w:rsidRDefault="002B6091" w:rsidP="002B6091">
      <w:pPr>
        <w:pStyle w:val="ListParagraph"/>
        <w:spacing w:after="0"/>
        <w:rPr>
          <w:rFonts w:cs="Arial"/>
          <w:sz w:val="24"/>
          <w:szCs w:val="24"/>
        </w:rPr>
      </w:pPr>
    </w:p>
    <w:p w:rsidR="002B6091" w:rsidRPr="00310CAD" w:rsidRDefault="002B6091" w:rsidP="002B6091">
      <w:pPr>
        <w:pStyle w:val="ListParagraph"/>
        <w:numPr>
          <w:ilvl w:val="0"/>
          <w:numId w:val="33"/>
        </w:numPr>
        <w:spacing w:after="0"/>
        <w:rPr>
          <w:rFonts w:cs="Arial"/>
          <w:sz w:val="24"/>
          <w:szCs w:val="24"/>
        </w:rPr>
      </w:pPr>
      <w:r w:rsidRPr="00310CAD">
        <w:rPr>
          <w:sz w:val="24"/>
          <w:szCs w:val="24"/>
        </w:rPr>
        <w:t xml:space="preserve">Will the UK Government commit to responding to the recommendations in the </w:t>
      </w:r>
      <w:r w:rsidRPr="00310CAD">
        <w:rPr>
          <w:rFonts w:cs="Arial"/>
          <w:sz w:val="24"/>
          <w:szCs w:val="24"/>
        </w:rPr>
        <w:t>APPG inquiry report on immigration detention,</w:t>
      </w:r>
      <w:r w:rsidRPr="00310CAD">
        <w:rPr>
          <w:rStyle w:val="FootnoteReference"/>
          <w:sz w:val="24"/>
          <w:szCs w:val="24"/>
        </w:rPr>
        <w:t xml:space="preserve"> </w:t>
      </w:r>
      <w:r w:rsidRPr="00C1258B">
        <w:rPr>
          <w:rStyle w:val="FootnoteReference"/>
          <w:sz w:val="24"/>
          <w:szCs w:val="24"/>
        </w:rPr>
        <w:footnoteReference w:id="301"/>
      </w:r>
      <w:r w:rsidRPr="00310CAD">
        <w:rPr>
          <w:rFonts w:cs="Arial"/>
          <w:sz w:val="24"/>
          <w:szCs w:val="24"/>
        </w:rPr>
        <w:t xml:space="preserve"> including those on seeking alternative solutions to detention, which are likely to help address many of the issues which have been </w:t>
      </w:r>
      <w:proofErr w:type="gramStart"/>
      <w:r w:rsidRPr="00310CAD">
        <w:rPr>
          <w:rFonts w:cs="Arial"/>
          <w:sz w:val="24"/>
          <w:szCs w:val="24"/>
        </w:rPr>
        <w:t>identified.</w:t>
      </w:r>
      <w:proofErr w:type="gramEnd"/>
    </w:p>
    <w:p w:rsidR="002B6091" w:rsidRDefault="002B6091" w:rsidP="002B6091">
      <w:pPr>
        <w:spacing w:after="0"/>
        <w:rPr>
          <w:b/>
          <w:sz w:val="24"/>
          <w:szCs w:val="24"/>
        </w:rPr>
      </w:pPr>
      <w:r w:rsidRPr="000C5860">
        <w:rPr>
          <w:b/>
          <w:sz w:val="24"/>
          <w:szCs w:val="24"/>
        </w:rPr>
        <w:t xml:space="preserve"> </w:t>
      </w:r>
    </w:p>
    <w:p w:rsidR="002B6091" w:rsidRPr="003A2FF0" w:rsidRDefault="002B6091" w:rsidP="002B6091">
      <w:pPr>
        <w:spacing w:after="0"/>
        <w:rPr>
          <w:b/>
          <w:sz w:val="24"/>
          <w:szCs w:val="24"/>
        </w:rPr>
      </w:pPr>
      <w:r>
        <w:rPr>
          <w:b/>
          <w:sz w:val="24"/>
          <w:szCs w:val="24"/>
        </w:rPr>
        <w:t xml:space="preserve">b. </w:t>
      </w:r>
      <w:r w:rsidRPr="00C20930">
        <w:rPr>
          <w:b/>
          <w:sz w:val="24"/>
          <w:szCs w:val="24"/>
        </w:rPr>
        <w:t>Prisons</w:t>
      </w:r>
      <w:r>
        <w:rPr>
          <w:b/>
          <w:sz w:val="24"/>
          <w:szCs w:val="24"/>
        </w:rPr>
        <w:t>,</w:t>
      </w:r>
      <w:r w:rsidR="008C67B4">
        <w:rPr>
          <w:b/>
          <w:sz w:val="24"/>
          <w:szCs w:val="24"/>
        </w:rPr>
        <w:t xml:space="preserve"> </w:t>
      </w:r>
      <w:r>
        <w:rPr>
          <w:b/>
          <w:sz w:val="24"/>
          <w:szCs w:val="24"/>
        </w:rPr>
        <w:t>List of Issues paragraphs 22</w:t>
      </w:r>
    </w:p>
    <w:p w:rsidR="002B6091" w:rsidRPr="00C1258B" w:rsidRDefault="002B6091" w:rsidP="002B6091">
      <w:pPr>
        <w:pStyle w:val="ListParagraph"/>
        <w:spacing w:after="0"/>
        <w:ind w:left="0"/>
        <w:rPr>
          <w:rFonts w:cs="Arial"/>
          <w:sz w:val="24"/>
          <w:szCs w:val="24"/>
        </w:rPr>
      </w:pPr>
    </w:p>
    <w:p w:rsidR="002B6091" w:rsidRDefault="002B6091" w:rsidP="002B6091">
      <w:pPr>
        <w:pStyle w:val="ListParagraph"/>
        <w:numPr>
          <w:ilvl w:val="0"/>
          <w:numId w:val="33"/>
        </w:numPr>
        <w:spacing w:after="0"/>
        <w:rPr>
          <w:rFonts w:cs="Arial"/>
          <w:sz w:val="24"/>
          <w:szCs w:val="24"/>
        </w:rPr>
      </w:pPr>
      <w:r w:rsidRPr="00310CAD">
        <w:rPr>
          <w:rFonts w:cs="Arial"/>
          <w:sz w:val="24"/>
          <w:szCs w:val="24"/>
        </w:rPr>
        <w:t xml:space="preserve">When will the UK Government </w:t>
      </w:r>
      <w:r w:rsidRPr="00310CAD">
        <w:rPr>
          <w:sz w:val="24"/>
          <w:szCs w:val="24"/>
        </w:rPr>
        <w:t xml:space="preserve">publish its review into the increase in the number of self-inflicted deaths and will it consider </w:t>
      </w:r>
      <w:r w:rsidRPr="00310CAD">
        <w:rPr>
          <w:rFonts w:cs="Arial"/>
          <w:sz w:val="24"/>
          <w:szCs w:val="24"/>
        </w:rPr>
        <w:t>the potential link between the increase in the male prison population and the increase in cases of self-harm and self-inflicted deaths?</w:t>
      </w:r>
    </w:p>
    <w:p w:rsidR="002B6091" w:rsidRDefault="002B6091" w:rsidP="002B6091">
      <w:pPr>
        <w:pStyle w:val="ListParagraph"/>
        <w:spacing w:after="0"/>
        <w:rPr>
          <w:rFonts w:cs="Arial"/>
          <w:sz w:val="24"/>
          <w:szCs w:val="24"/>
        </w:rPr>
      </w:pPr>
    </w:p>
    <w:p w:rsidR="002B6091" w:rsidRPr="00310CAD" w:rsidRDefault="002B6091" w:rsidP="002B6091">
      <w:pPr>
        <w:pStyle w:val="ListParagraph"/>
        <w:numPr>
          <w:ilvl w:val="0"/>
          <w:numId w:val="33"/>
        </w:numPr>
        <w:spacing w:after="0"/>
        <w:rPr>
          <w:rFonts w:cs="Arial"/>
          <w:sz w:val="24"/>
          <w:szCs w:val="24"/>
        </w:rPr>
      </w:pPr>
      <w:r w:rsidRPr="00310CAD">
        <w:rPr>
          <w:rFonts w:cs="Arial"/>
          <w:sz w:val="24"/>
          <w:szCs w:val="24"/>
        </w:rPr>
        <w:t xml:space="preserve">When will the UK Government respond to the recommendations from the Justice Committee, including, the </w:t>
      </w:r>
      <w:r w:rsidRPr="00310CAD">
        <w:rPr>
          <w:sz w:val="24"/>
          <w:szCs w:val="24"/>
        </w:rPr>
        <w:t>steps it is taking to:</w:t>
      </w:r>
    </w:p>
    <w:p w:rsidR="002B6091" w:rsidRDefault="002B6091" w:rsidP="002B6091">
      <w:pPr>
        <w:pStyle w:val="ListParagraph"/>
        <w:numPr>
          <w:ilvl w:val="0"/>
          <w:numId w:val="35"/>
        </w:numPr>
        <w:spacing w:after="0"/>
        <w:rPr>
          <w:sz w:val="24"/>
          <w:szCs w:val="24"/>
        </w:rPr>
      </w:pPr>
      <w:proofErr w:type="gramStart"/>
      <w:r w:rsidRPr="00C1258B">
        <w:rPr>
          <w:sz w:val="24"/>
          <w:szCs w:val="24"/>
        </w:rPr>
        <w:t>reduce</w:t>
      </w:r>
      <w:proofErr w:type="gramEnd"/>
      <w:r w:rsidRPr="00C1258B">
        <w:rPr>
          <w:sz w:val="24"/>
          <w:szCs w:val="24"/>
        </w:rPr>
        <w:t xml:space="preserve"> the number of people being incarcerated in prisons in England and Wales?</w:t>
      </w:r>
    </w:p>
    <w:p w:rsidR="002B6091" w:rsidRPr="00310CAD" w:rsidRDefault="002B6091" w:rsidP="002B6091">
      <w:pPr>
        <w:pStyle w:val="ListParagraph"/>
        <w:numPr>
          <w:ilvl w:val="0"/>
          <w:numId w:val="35"/>
        </w:numPr>
        <w:spacing w:after="0"/>
        <w:rPr>
          <w:sz w:val="24"/>
          <w:szCs w:val="24"/>
        </w:rPr>
      </w:pPr>
      <w:proofErr w:type="gramStart"/>
      <w:r w:rsidRPr="00310CAD">
        <w:rPr>
          <w:sz w:val="24"/>
          <w:szCs w:val="24"/>
        </w:rPr>
        <w:t>reduce</w:t>
      </w:r>
      <w:proofErr w:type="gramEnd"/>
      <w:r w:rsidRPr="00310CAD">
        <w:rPr>
          <w:sz w:val="24"/>
          <w:szCs w:val="24"/>
        </w:rPr>
        <w:t xml:space="preserve"> the number of hours a prisoner is locked in their cells in favour of improved purposeful activity and rehabilitation?</w:t>
      </w:r>
    </w:p>
    <w:p w:rsidR="002B6091" w:rsidRPr="00C1258B" w:rsidRDefault="002B6091" w:rsidP="002B6091">
      <w:pPr>
        <w:pStyle w:val="ListParagraph"/>
        <w:spacing w:after="0"/>
        <w:ind w:left="0"/>
        <w:rPr>
          <w:rFonts w:cs="Arial"/>
          <w:sz w:val="24"/>
          <w:szCs w:val="24"/>
        </w:rPr>
      </w:pPr>
    </w:p>
    <w:p w:rsidR="002B6091" w:rsidRPr="00C1258B" w:rsidRDefault="002B6091" w:rsidP="002B6091">
      <w:pPr>
        <w:pStyle w:val="ListParagraph"/>
        <w:numPr>
          <w:ilvl w:val="0"/>
          <w:numId w:val="33"/>
        </w:numPr>
        <w:spacing w:after="0"/>
        <w:rPr>
          <w:rFonts w:cs="Arial"/>
          <w:sz w:val="24"/>
          <w:szCs w:val="24"/>
        </w:rPr>
      </w:pPr>
      <w:r w:rsidRPr="00C1258B">
        <w:rPr>
          <w:sz w:val="24"/>
          <w:szCs w:val="24"/>
        </w:rPr>
        <w:t xml:space="preserve">What steps is the UK Government taking to respond to the findings and recommendations in the EHRC’s Deaths in Detention Report? This should include ensuring that new institutions (such as Secure Training Centres and </w:t>
      </w:r>
      <w:r w:rsidRPr="00C1258B">
        <w:rPr>
          <w:sz w:val="24"/>
          <w:szCs w:val="24"/>
        </w:rPr>
        <w:lastRenderedPageBreak/>
        <w:t>the North Wales prison in Wrexham) incorporate policies which explicitly address human rights obligations and incorporate the Commission’s Human Rights Framework.</w:t>
      </w:r>
    </w:p>
    <w:p w:rsidR="002B6091" w:rsidRPr="00C1258B" w:rsidRDefault="002B6091" w:rsidP="002B6091">
      <w:pPr>
        <w:pStyle w:val="ListParagraph"/>
        <w:spacing w:after="0"/>
        <w:rPr>
          <w:sz w:val="24"/>
          <w:szCs w:val="24"/>
        </w:rPr>
      </w:pPr>
    </w:p>
    <w:p w:rsidR="002B6091" w:rsidRDefault="002B6091" w:rsidP="002B6091">
      <w:pPr>
        <w:pStyle w:val="ListParagraph"/>
        <w:numPr>
          <w:ilvl w:val="0"/>
          <w:numId w:val="33"/>
        </w:numPr>
        <w:spacing w:after="0"/>
        <w:rPr>
          <w:sz w:val="24"/>
          <w:szCs w:val="24"/>
        </w:rPr>
      </w:pPr>
      <w:r w:rsidRPr="00310CAD">
        <w:rPr>
          <w:sz w:val="24"/>
          <w:szCs w:val="24"/>
        </w:rPr>
        <w:t>When will the UK Government carry out the commitments made by the Justice secretary to:</w:t>
      </w:r>
    </w:p>
    <w:p w:rsidR="002B6091" w:rsidRDefault="002B6091" w:rsidP="002B6091">
      <w:pPr>
        <w:pStyle w:val="ListParagraph"/>
        <w:numPr>
          <w:ilvl w:val="0"/>
          <w:numId w:val="36"/>
        </w:numPr>
        <w:spacing w:after="0"/>
        <w:rPr>
          <w:sz w:val="24"/>
          <w:szCs w:val="24"/>
        </w:rPr>
      </w:pPr>
      <w:proofErr w:type="gramStart"/>
      <w:r w:rsidRPr="00310CAD">
        <w:rPr>
          <w:sz w:val="24"/>
          <w:szCs w:val="24"/>
        </w:rPr>
        <w:t>improve</w:t>
      </w:r>
      <w:proofErr w:type="gramEnd"/>
      <w:r w:rsidRPr="00310CAD">
        <w:rPr>
          <w:sz w:val="24"/>
          <w:szCs w:val="24"/>
        </w:rPr>
        <w:t xml:space="preserve"> mental health services in prisons?</w:t>
      </w:r>
    </w:p>
    <w:p w:rsidR="002B6091" w:rsidRPr="00310CAD" w:rsidRDefault="002B6091" w:rsidP="002B6091">
      <w:pPr>
        <w:pStyle w:val="ListParagraph"/>
        <w:numPr>
          <w:ilvl w:val="0"/>
          <w:numId w:val="36"/>
        </w:numPr>
        <w:spacing w:after="0"/>
        <w:rPr>
          <w:sz w:val="24"/>
          <w:szCs w:val="24"/>
        </w:rPr>
      </w:pPr>
      <w:r w:rsidRPr="00310CAD">
        <w:rPr>
          <w:sz w:val="24"/>
          <w:szCs w:val="24"/>
        </w:rPr>
        <w:t>Identify offenders with mental health conditions, and will this include the collection and publication of the numbers of prisoners with mental health conditions and the types of mental health conditions that they have?</w:t>
      </w:r>
    </w:p>
    <w:p w:rsidR="002B6091" w:rsidRPr="00310CAD" w:rsidRDefault="002B6091" w:rsidP="002B6091">
      <w:pPr>
        <w:spacing w:after="0"/>
        <w:rPr>
          <w:sz w:val="24"/>
          <w:szCs w:val="24"/>
        </w:rPr>
      </w:pPr>
    </w:p>
    <w:p w:rsidR="002B6091" w:rsidRPr="00310CAD" w:rsidRDefault="002B6091" w:rsidP="002B6091">
      <w:pPr>
        <w:pStyle w:val="ListParagraph"/>
        <w:numPr>
          <w:ilvl w:val="0"/>
          <w:numId w:val="33"/>
        </w:numPr>
        <w:spacing w:after="0"/>
        <w:rPr>
          <w:sz w:val="24"/>
          <w:szCs w:val="24"/>
        </w:rPr>
      </w:pPr>
      <w:r w:rsidRPr="00310CAD">
        <w:rPr>
          <w:rFonts w:cs="Arial"/>
          <w:sz w:val="24"/>
          <w:szCs w:val="24"/>
        </w:rPr>
        <w:t>Can the UK Government describe how it will evidence the impact of initiatives that specifically address the offending and rehabilitation of women?</w:t>
      </w:r>
    </w:p>
    <w:p w:rsidR="002B6091" w:rsidRPr="00C1258B" w:rsidRDefault="002B6091" w:rsidP="002B6091">
      <w:pPr>
        <w:spacing w:after="0"/>
        <w:rPr>
          <w:rFonts w:cs="Arial"/>
          <w:sz w:val="24"/>
          <w:szCs w:val="24"/>
        </w:rPr>
      </w:pPr>
    </w:p>
    <w:p w:rsidR="002B6091" w:rsidRDefault="002B6091" w:rsidP="002B6091">
      <w:pPr>
        <w:spacing w:after="0"/>
        <w:rPr>
          <w:b/>
          <w:sz w:val="24"/>
          <w:szCs w:val="24"/>
        </w:rPr>
      </w:pPr>
      <w:r>
        <w:rPr>
          <w:b/>
          <w:sz w:val="24"/>
          <w:szCs w:val="24"/>
        </w:rPr>
        <w:t>c. Youth Justice, List of issues paragraph 25.</w:t>
      </w:r>
    </w:p>
    <w:p w:rsidR="002B6091" w:rsidRPr="00C1258B" w:rsidRDefault="002B6091" w:rsidP="002B6091">
      <w:pPr>
        <w:spacing w:after="0"/>
        <w:rPr>
          <w:iCs/>
          <w:sz w:val="24"/>
          <w:szCs w:val="24"/>
          <w:lang w:val="en-US"/>
        </w:rPr>
      </w:pPr>
    </w:p>
    <w:p w:rsidR="002B6091" w:rsidRDefault="002B6091" w:rsidP="002B6091">
      <w:pPr>
        <w:pStyle w:val="ListParagraph"/>
        <w:numPr>
          <w:ilvl w:val="0"/>
          <w:numId w:val="33"/>
        </w:numPr>
        <w:spacing w:after="0"/>
        <w:rPr>
          <w:iCs/>
          <w:sz w:val="24"/>
          <w:szCs w:val="24"/>
          <w:lang w:val="en-US"/>
        </w:rPr>
      </w:pPr>
      <w:r w:rsidRPr="00310CAD">
        <w:rPr>
          <w:iCs/>
          <w:sz w:val="24"/>
          <w:szCs w:val="24"/>
          <w:lang w:val="en-US"/>
        </w:rPr>
        <w:t xml:space="preserve">Will the UK Government re-consider </w:t>
      </w:r>
      <w:proofErr w:type="gramStart"/>
      <w:r w:rsidRPr="00310CAD">
        <w:rPr>
          <w:iCs/>
          <w:sz w:val="24"/>
          <w:szCs w:val="24"/>
          <w:lang w:val="en-US"/>
        </w:rPr>
        <w:t>raising</w:t>
      </w:r>
      <w:proofErr w:type="gramEnd"/>
      <w:r w:rsidRPr="00310CAD">
        <w:rPr>
          <w:iCs/>
          <w:sz w:val="24"/>
          <w:szCs w:val="24"/>
          <w:lang w:val="en-US"/>
        </w:rPr>
        <w:t xml:space="preserve"> the age of criminal responsibility to bring it line with recommendations from UN bodies and with many countries around the world?</w:t>
      </w:r>
    </w:p>
    <w:p w:rsidR="002B6091" w:rsidRDefault="002B6091" w:rsidP="002B6091">
      <w:pPr>
        <w:pStyle w:val="ListParagraph"/>
        <w:spacing w:after="0"/>
        <w:rPr>
          <w:iCs/>
          <w:sz w:val="24"/>
          <w:szCs w:val="24"/>
          <w:lang w:val="en-US"/>
        </w:rPr>
      </w:pPr>
    </w:p>
    <w:p w:rsidR="002B6091" w:rsidRPr="00310CAD" w:rsidRDefault="002B6091" w:rsidP="002B6091">
      <w:pPr>
        <w:pStyle w:val="ListParagraph"/>
        <w:numPr>
          <w:ilvl w:val="0"/>
          <w:numId w:val="33"/>
        </w:numPr>
        <w:spacing w:after="0"/>
        <w:rPr>
          <w:iCs/>
          <w:sz w:val="24"/>
          <w:szCs w:val="24"/>
          <w:lang w:val="en-US"/>
        </w:rPr>
      </w:pPr>
      <w:r w:rsidRPr="00310CAD">
        <w:rPr>
          <w:iCs/>
          <w:sz w:val="24"/>
          <w:szCs w:val="24"/>
          <w:lang w:val="en-US"/>
        </w:rPr>
        <w:t xml:space="preserve">Will the UK Government respond to the findings and recommendations in the Lord </w:t>
      </w:r>
      <w:proofErr w:type="spellStart"/>
      <w:r w:rsidRPr="00310CAD">
        <w:rPr>
          <w:iCs/>
          <w:sz w:val="24"/>
          <w:szCs w:val="24"/>
          <w:lang w:val="en-US"/>
        </w:rPr>
        <w:t>Carlile</w:t>
      </w:r>
      <w:proofErr w:type="spellEnd"/>
      <w:r w:rsidRPr="00310CAD">
        <w:rPr>
          <w:iCs/>
          <w:sz w:val="24"/>
          <w:szCs w:val="24"/>
          <w:lang w:val="en-US"/>
        </w:rPr>
        <w:t xml:space="preserve"> Youth Courts report, in particular: </w:t>
      </w:r>
    </w:p>
    <w:p w:rsidR="002B6091" w:rsidRDefault="002B6091" w:rsidP="002B6091">
      <w:pPr>
        <w:pStyle w:val="ListParagraph"/>
        <w:numPr>
          <w:ilvl w:val="0"/>
          <w:numId w:val="37"/>
        </w:numPr>
        <w:spacing w:after="0"/>
        <w:rPr>
          <w:iCs/>
          <w:sz w:val="24"/>
          <w:szCs w:val="24"/>
          <w:lang w:val="en-US"/>
        </w:rPr>
      </w:pPr>
      <w:r w:rsidRPr="00C1258B">
        <w:rPr>
          <w:iCs/>
          <w:sz w:val="24"/>
          <w:szCs w:val="24"/>
          <w:lang w:val="en-US"/>
        </w:rPr>
        <w:t>that children must always be heard in a youth court and not in an adult court; and</w:t>
      </w:r>
    </w:p>
    <w:p w:rsidR="002B6091" w:rsidRPr="00310CAD" w:rsidRDefault="002B6091" w:rsidP="002B6091">
      <w:pPr>
        <w:pStyle w:val="ListParagraph"/>
        <w:numPr>
          <w:ilvl w:val="0"/>
          <w:numId w:val="37"/>
        </w:numPr>
        <w:spacing w:after="0"/>
        <w:rPr>
          <w:iCs/>
          <w:sz w:val="24"/>
          <w:szCs w:val="24"/>
          <w:lang w:val="en-US"/>
        </w:rPr>
      </w:pPr>
      <w:r w:rsidRPr="00310CAD">
        <w:rPr>
          <w:iCs/>
          <w:sz w:val="24"/>
          <w:szCs w:val="24"/>
          <w:lang w:val="en-US"/>
        </w:rPr>
        <w:t>that youth courts should pilot a problem solving approach which aim to address the underlying issues around the child’s offending and have due regard to their welfare.</w:t>
      </w:r>
    </w:p>
    <w:p w:rsidR="002B6091" w:rsidRPr="00C1258B" w:rsidRDefault="002B6091" w:rsidP="002B6091">
      <w:pPr>
        <w:spacing w:after="0"/>
        <w:rPr>
          <w:sz w:val="24"/>
          <w:szCs w:val="24"/>
        </w:rPr>
      </w:pPr>
    </w:p>
    <w:p w:rsidR="002B6091" w:rsidRPr="00310CAD" w:rsidRDefault="002B6091" w:rsidP="002B6091">
      <w:pPr>
        <w:pStyle w:val="ListParagraph"/>
        <w:numPr>
          <w:ilvl w:val="0"/>
          <w:numId w:val="33"/>
        </w:numPr>
        <w:spacing w:after="0"/>
        <w:rPr>
          <w:sz w:val="24"/>
          <w:szCs w:val="24"/>
        </w:rPr>
      </w:pPr>
      <w:r w:rsidRPr="00310CAD">
        <w:rPr>
          <w:sz w:val="24"/>
          <w:szCs w:val="24"/>
        </w:rPr>
        <w:t>Given the large number of children who do not receive a custodial sentence after being remanded in custody, will the UK Government review whether there may be ways to reduce the incarcerated youth population?</w:t>
      </w:r>
    </w:p>
    <w:p w:rsidR="002B6091" w:rsidRPr="00C1258B" w:rsidRDefault="002B6091" w:rsidP="002B6091">
      <w:pPr>
        <w:spacing w:after="0"/>
        <w:rPr>
          <w:sz w:val="24"/>
          <w:szCs w:val="24"/>
        </w:rPr>
      </w:pPr>
    </w:p>
    <w:p w:rsidR="002B6091" w:rsidRPr="00310CAD" w:rsidRDefault="002B6091" w:rsidP="002B6091">
      <w:pPr>
        <w:pStyle w:val="ListParagraph"/>
        <w:numPr>
          <w:ilvl w:val="0"/>
          <w:numId w:val="33"/>
        </w:numPr>
        <w:spacing w:after="0"/>
        <w:rPr>
          <w:rFonts w:cs="Arial"/>
          <w:sz w:val="24"/>
          <w:szCs w:val="24"/>
        </w:rPr>
      </w:pPr>
      <w:r w:rsidRPr="00310CAD">
        <w:rPr>
          <w:rFonts w:cs="Arial"/>
          <w:bCs/>
          <w:sz w:val="24"/>
          <w:szCs w:val="24"/>
        </w:rPr>
        <w:t xml:space="preserve">Will the UK Government review whether the proposals for secure training colleges are still appropriate for the smaller, challenging and more vulnerable detained population in line with the Chief Inspector of Prisons Recommendations, and review </w:t>
      </w:r>
      <w:r w:rsidRPr="00310CAD">
        <w:rPr>
          <w:sz w:val="24"/>
          <w:szCs w:val="24"/>
        </w:rPr>
        <w:t>the provision in the Act which allows for the use of restraint for good order and discipline?</w:t>
      </w:r>
    </w:p>
    <w:p w:rsidR="002B6091" w:rsidRDefault="002B6091" w:rsidP="002B6091">
      <w:pPr>
        <w:spacing w:after="0"/>
        <w:rPr>
          <w:b/>
          <w:sz w:val="24"/>
          <w:szCs w:val="24"/>
        </w:rPr>
      </w:pPr>
    </w:p>
    <w:p w:rsidR="002B6091" w:rsidRPr="00505C5F" w:rsidRDefault="002B6091" w:rsidP="002B6091">
      <w:pPr>
        <w:pStyle w:val="Heading2"/>
        <w:spacing w:before="0" w:after="0"/>
        <w:rPr>
          <w:sz w:val="24"/>
          <w:szCs w:val="24"/>
        </w:rPr>
      </w:pPr>
      <w:r>
        <w:rPr>
          <w:sz w:val="24"/>
          <w:szCs w:val="24"/>
        </w:rPr>
        <w:t xml:space="preserve"> </w:t>
      </w:r>
      <w:bookmarkStart w:id="33" w:name="_Toc420603195"/>
      <w:bookmarkStart w:id="34" w:name="_Toc420603286"/>
      <w:r w:rsidRPr="008B2CB8">
        <w:rPr>
          <w:sz w:val="24"/>
          <w:szCs w:val="24"/>
        </w:rPr>
        <w:t xml:space="preserve">Hate Crime (Articles </w:t>
      </w:r>
      <w:r>
        <w:rPr>
          <w:sz w:val="24"/>
          <w:szCs w:val="24"/>
        </w:rPr>
        <w:t>2</w:t>
      </w:r>
      <w:r w:rsidRPr="008B2CB8">
        <w:rPr>
          <w:sz w:val="24"/>
          <w:szCs w:val="24"/>
        </w:rPr>
        <w:t xml:space="preserve">, </w:t>
      </w:r>
      <w:r>
        <w:rPr>
          <w:sz w:val="24"/>
          <w:szCs w:val="24"/>
        </w:rPr>
        <w:t>3</w:t>
      </w:r>
      <w:r w:rsidRPr="008B2CB8">
        <w:rPr>
          <w:sz w:val="24"/>
          <w:szCs w:val="24"/>
        </w:rPr>
        <w:t xml:space="preserve">, </w:t>
      </w:r>
      <w:r>
        <w:rPr>
          <w:sz w:val="24"/>
          <w:szCs w:val="24"/>
        </w:rPr>
        <w:t xml:space="preserve">20 </w:t>
      </w:r>
      <w:r w:rsidRPr="008B2CB8">
        <w:rPr>
          <w:sz w:val="24"/>
          <w:szCs w:val="24"/>
        </w:rPr>
        <w:t>26</w:t>
      </w:r>
      <w:r>
        <w:rPr>
          <w:sz w:val="24"/>
          <w:szCs w:val="24"/>
        </w:rPr>
        <w:t xml:space="preserve"> and 27</w:t>
      </w:r>
      <w:r w:rsidRPr="008B2CB8">
        <w:rPr>
          <w:sz w:val="24"/>
          <w:szCs w:val="24"/>
        </w:rPr>
        <w:t>)</w:t>
      </w:r>
      <w:r>
        <w:rPr>
          <w:sz w:val="24"/>
          <w:szCs w:val="24"/>
        </w:rPr>
        <w:t>, List of Issues</w:t>
      </w:r>
      <w:r>
        <w:rPr>
          <w:b w:val="0"/>
          <w:sz w:val="24"/>
          <w:szCs w:val="24"/>
        </w:rPr>
        <w:t xml:space="preserve"> </w:t>
      </w:r>
      <w:r w:rsidRPr="00505C5F">
        <w:rPr>
          <w:sz w:val="24"/>
          <w:szCs w:val="24"/>
        </w:rPr>
        <w:t>paragraph 5</w:t>
      </w:r>
      <w:bookmarkEnd w:id="33"/>
      <w:bookmarkEnd w:id="34"/>
    </w:p>
    <w:p w:rsidR="002B6091" w:rsidRPr="008B6375" w:rsidRDefault="002B6091" w:rsidP="002B6091">
      <w:pPr>
        <w:spacing w:after="0"/>
        <w:rPr>
          <w:rFonts w:cs="Arial"/>
          <w:sz w:val="24"/>
          <w:szCs w:val="24"/>
        </w:rPr>
      </w:pPr>
    </w:p>
    <w:p w:rsidR="002B6091" w:rsidRDefault="002B6091" w:rsidP="002B6091">
      <w:pPr>
        <w:pStyle w:val="ListParagraph"/>
        <w:numPr>
          <w:ilvl w:val="0"/>
          <w:numId w:val="33"/>
        </w:numPr>
        <w:spacing w:after="0"/>
        <w:rPr>
          <w:rFonts w:cs="Arial"/>
          <w:sz w:val="24"/>
          <w:szCs w:val="24"/>
        </w:rPr>
      </w:pPr>
      <w:r w:rsidRPr="00310CAD">
        <w:rPr>
          <w:rFonts w:cs="Arial"/>
          <w:sz w:val="24"/>
          <w:szCs w:val="24"/>
        </w:rPr>
        <w:t>What steps is the UK Government taking to support improved reporting of hate crime to authorities?</w:t>
      </w:r>
    </w:p>
    <w:p w:rsidR="002B6091" w:rsidRDefault="002B6091" w:rsidP="002B6091">
      <w:pPr>
        <w:pStyle w:val="ListParagraph"/>
        <w:spacing w:after="0"/>
        <w:rPr>
          <w:rFonts w:cs="Arial"/>
          <w:sz w:val="24"/>
          <w:szCs w:val="24"/>
        </w:rPr>
      </w:pPr>
    </w:p>
    <w:p w:rsidR="002B6091" w:rsidRDefault="002B6091" w:rsidP="002B6091">
      <w:pPr>
        <w:pStyle w:val="ListParagraph"/>
        <w:numPr>
          <w:ilvl w:val="0"/>
          <w:numId w:val="33"/>
        </w:numPr>
        <w:spacing w:after="0"/>
        <w:rPr>
          <w:rFonts w:cs="Arial"/>
          <w:sz w:val="24"/>
          <w:szCs w:val="24"/>
        </w:rPr>
      </w:pPr>
      <w:r w:rsidRPr="00310CAD">
        <w:rPr>
          <w:rFonts w:cs="Arial"/>
          <w:sz w:val="24"/>
          <w:szCs w:val="24"/>
        </w:rPr>
        <w:t>How does the UK Government plan to respond to the Law Commission’s recommendation for a comprehensive review of hate crime legislation?</w:t>
      </w:r>
    </w:p>
    <w:p w:rsidR="002B6091" w:rsidRDefault="002B6091" w:rsidP="002B6091">
      <w:pPr>
        <w:pStyle w:val="ListParagraph"/>
        <w:spacing w:after="0"/>
        <w:rPr>
          <w:rFonts w:cs="Arial"/>
          <w:sz w:val="24"/>
          <w:szCs w:val="24"/>
        </w:rPr>
      </w:pPr>
    </w:p>
    <w:p w:rsidR="002B6091" w:rsidRPr="00310CAD" w:rsidRDefault="002B6091" w:rsidP="002B6091">
      <w:pPr>
        <w:pStyle w:val="ListParagraph"/>
        <w:numPr>
          <w:ilvl w:val="0"/>
          <w:numId w:val="33"/>
        </w:numPr>
        <w:spacing w:after="0"/>
        <w:rPr>
          <w:rFonts w:cs="Arial"/>
          <w:sz w:val="24"/>
          <w:szCs w:val="24"/>
        </w:rPr>
      </w:pPr>
      <w:r w:rsidRPr="00310CAD">
        <w:rPr>
          <w:rFonts w:cs="Arial"/>
          <w:sz w:val="24"/>
          <w:szCs w:val="24"/>
        </w:rPr>
        <w:t>When will the UK Government take forward recommendations from the all-party parliamentary inquiry into anti-Semitism?</w:t>
      </w:r>
    </w:p>
    <w:p w:rsidR="002B6091" w:rsidRDefault="002B6091" w:rsidP="002B6091">
      <w:pPr>
        <w:spacing w:after="0"/>
        <w:rPr>
          <w:rFonts w:cs="Arial"/>
          <w:color w:val="000000"/>
          <w:sz w:val="24"/>
          <w:szCs w:val="24"/>
        </w:rPr>
      </w:pPr>
    </w:p>
    <w:p w:rsidR="002B6091" w:rsidRDefault="002B6091" w:rsidP="002B6091">
      <w:pPr>
        <w:spacing w:after="0"/>
        <w:rPr>
          <w:b/>
          <w:sz w:val="24"/>
          <w:szCs w:val="24"/>
        </w:rPr>
      </w:pPr>
    </w:p>
    <w:p w:rsidR="002B6091" w:rsidRPr="007C394C" w:rsidRDefault="002B6091" w:rsidP="002B6091">
      <w:pPr>
        <w:spacing w:after="0"/>
        <w:rPr>
          <w:b/>
          <w:sz w:val="24"/>
          <w:szCs w:val="24"/>
        </w:rPr>
      </w:pPr>
      <w:r w:rsidRPr="007C394C">
        <w:rPr>
          <w:b/>
          <w:sz w:val="24"/>
          <w:szCs w:val="24"/>
        </w:rPr>
        <w:t xml:space="preserve">Violence </w:t>
      </w:r>
      <w:proofErr w:type="gramStart"/>
      <w:r w:rsidRPr="007C394C">
        <w:rPr>
          <w:b/>
          <w:sz w:val="24"/>
          <w:szCs w:val="24"/>
        </w:rPr>
        <w:t>Against</w:t>
      </w:r>
      <w:proofErr w:type="gramEnd"/>
      <w:r w:rsidRPr="007C394C">
        <w:rPr>
          <w:b/>
          <w:sz w:val="24"/>
          <w:szCs w:val="24"/>
        </w:rPr>
        <w:t xml:space="preserve"> Women and Girls (VAWG) (Articles </w:t>
      </w:r>
      <w:r>
        <w:rPr>
          <w:b/>
          <w:sz w:val="24"/>
          <w:szCs w:val="24"/>
        </w:rPr>
        <w:t xml:space="preserve">2, </w:t>
      </w:r>
      <w:r w:rsidRPr="007C394C">
        <w:rPr>
          <w:b/>
          <w:sz w:val="24"/>
          <w:szCs w:val="24"/>
        </w:rPr>
        <w:t>3, 7, and 26)</w:t>
      </w:r>
      <w:r>
        <w:rPr>
          <w:b/>
          <w:sz w:val="24"/>
          <w:szCs w:val="24"/>
        </w:rPr>
        <w:t>, List of I</w:t>
      </w:r>
      <w:r w:rsidRPr="007C394C">
        <w:rPr>
          <w:b/>
          <w:sz w:val="24"/>
          <w:szCs w:val="24"/>
        </w:rPr>
        <w:t>ssues paragraph 10</w:t>
      </w:r>
    </w:p>
    <w:p w:rsidR="002B6091" w:rsidRPr="00E32557" w:rsidRDefault="002B6091" w:rsidP="002B6091">
      <w:pPr>
        <w:spacing w:after="0"/>
        <w:rPr>
          <w:rFonts w:cs="Arial"/>
          <w:bCs/>
          <w:sz w:val="24"/>
          <w:szCs w:val="24"/>
        </w:rPr>
      </w:pPr>
    </w:p>
    <w:p w:rsidR="002B6091" w:rsidRDefault="002B6091" w:rsidP="002B6091">
      <w:pPr>
        <w:pStyle w:val="ListParagraph"/>
        <w:numPr>
          <w:ilvl w:val="0"/>
          <w:numId w:val="33"/>
        </w:numPr>
        <w:spacing w:after="0"/>
        <w:rPr>
          <w:rFonts w:cs="Arial"/>
          <w:bCs/>
          <w:sz w:val="24"/>
          <w:szCs w:val="24"/>
        </w:rPr>
      </w:pPr>
      <w:r w:rsidRPr="00310CAD">
        <w:rPr>
          <w:rFonts w:cs="Arial"/>
          <w:bCs/>
          <w:sz w:val="24"/>
          <w:szCs w:val="24"/>
        </w:rPr>
        <w:t>When will the UK Government take the required action to ratify the Istanbul Convention?</w:t>
      </w:r>
    </w:p>
    <w:p w:rsidR="002B6091" w:rsidRDefault="002B6091" w:rsidP="002B6091">
      <w:pPr>
        <w:pStyle w:val="ListParagraph"/>
        <w:spacing w:after="0"/>
        <w:rPr>
          <w:rFonts w:cs="Arial"/>
          <w:bCs/>
          <w:sz w:val="24"/>
          <w:szCs w:val="24"/>
        </w:rPr>
      </w:pPr>
    </w:p>
    <w:p w:rsidR="002B6091" w:rsidRDefault="002B6091" w:rsidP="002B6091">
      <w:pPr>
        <w:pStyle w:val="ListParagraph"/>
        <w:numPr>
          <w:ilvl w:val="0"/>
          <w:numId w:val="33"/>
        </w:numPr>
        <w:spacing w:after="0"/>
        <w:rPr>
          <w:rFonts w:cs="Arial"/>
          <w:bCs/>
          <w:sz w:val="24"/>
          <w:szCs w:val="24"/>
        </w:rPr>
      </w:pPr>
      <w:r w:rsidRPr="00310CAD">
        <w:rPr>
          <w:rFonts w:cs="Arial"/>
          <w:bCs/>
          <w:sz w:val="24"/>
          <w:szCs w:val="24"/>
        </w:rPr>
        <w:t xml:space="preserve">Could the UK Government describe how it monitors local public agencies in England and Wales’ delivery of VAWG strategies and services to ensure compliance with the UK’s international human rights obligations? </w:t>
      </w:r>
    </w:p>
    <w:p w:rsidR="002B6091" w:rsidRDefault="002B6091" w:rsidP="002B6091">
      <w:pPr>
        <w:pStyle w:val="ListParagraph"/>
        <w:spacing w:after="0"/>
        <w:rPr>
          <w:rFonts w:cs="Arial"/>
          <w:bCs/>
          <w:sz w:val="24"/>
          <w:szCs w:val="24"/>
        </w:rPr>
      </w:pPr>
    </w:p>
    <w:p w:rsidR="002B6091" w:rsidRPr="00310CAD" w:rsidRDefault="002B6091" w:rsidP="002B6091">
      <w:pPr>
        <w:pStyle w:val="ListParagraph"/>
        <w:numPr>
          <w:ilvl w:val="0"/>
          <w:numId w:val="33"/>
        </w:numPr>
        <w:spacing w:after="0"/>
        <w:rPr>
          <w:rFonts w:cs="Arial"/>
          <w:bCs/>
          <w:sz w:val="24"/>
          <w:szCs w:val="24"/>
        </w:rPr>
      </w:pPr>
      <w:r w:rsidRPr="00310CAD">
        <w:rPr>
          <w:rFonts w:cs="Arial"/>
          <w:bCs/>
          <w:sz w:val="24"/>
          <w:szCs w:val="24"/>
        </w:rPr>
        <w:t>Could the UK Government provide information about the financial and human resources local public agencies in England and Wales dedicate to VAWG strategies and services, as well as the total UK public expenditure on implementing the UK’s international human rights obligations in relation to VAWG? Could these resources be disaggregated to show expenditure on the following provision:</w:t>
      </w:r>
    </w:p>
    <w:p w:rsidR="002B6091" w:rsidRDefault="002B6091" w:rsidP="002B6091">
      <w:pPr>
        <w:pStyle w:val="ListParagraph"/>
        <w:numPr>
          <w:ilvl w:val="0"/>
          <w:numId w:val="38"/>
        </w:numPr>
        <w:spacing w:after="0"/>
        <w:rPr>
          <w:rFonts w:cs="Arial"/>
          <w:bCs/>
          <w:sz w:val="24"/>
          <w:szCs w:val="24"/>
        </w:rPr>
      </w:pPr>
      <w:r w:rsidRPr="00E32557">
        <w:rPr>
          <w:rFonts w:cs="Arial"/>
          <w:bCs/>
          <w:sz w:val="24"/>
          <w:szCs w:val="24"/>
        </w:rPr>
        <w:t>assistance to victims of VAWG in accessing legal representation and advice;</w:t>
      </w:r>
    </w:p>
    <w:p w:rsidR="002B6091" w:rsidRDefault="002B6091" w:rsidP="002B6091">
      <w:pPr>
        <w:pStyle w:val="ListParagraph"/>
        <w:numPr>
          <w:ilvl w:val="0"/>
          <w:numId w:val="38"/>
        </w:numPr>
        <w:spacing w:after="0"/>
        <w:rPr>
          <w:rFonts w:cs="Arial"/>
          <w:bCs/>
          <w:sz w:val="24"/>
          <w:szCs w:val="24"/>
        </w:rPr>
      </w:pPr>
      <w:r w:rsidRPr="00310CAD">
        <w:rPr>
          <w:rFonts w:cs="Arial"/>
          <w:bCs/>
          <w:sz w:val="24"/>
          <w:szCs w:val="24"/>
        </w:rPr>
        <w:t>refuge to victims of VAWG, including how many refuge spaces each council area has;</w:t>
      </w:r>
    </w:p>
    <w:p w:rsidR="002B6091" w:rsidRPr="00310CAD" w:rsidRDefault="002B6091" w:rsidP="002B6091">
      <w:pPr>
        <w:pStyle w:val="ListParagraph"/>
        <w:numPr>
          <w:ilvl w:val="0"/>
          <w:numId w:val="38"/>
        </w:numPr>
        <w:spacing w:after="0"/>
        <w:rPr>
          <w:rFonts w:cs="Arial"/>
          <w:bCs/>
          <w:sz w:val="24"/>
          <w:szCs w:val="24"/>
        </w:rPr>
      </w:pPr>
      <w:proofErr w:type="gramStart"/>
      <w:r w:rsidRPr="00310CAD">
        <w:rPr>
          <w:rFonts w:cs="Arial"/>
          <w:bCs/>
          <w:sz w:val="24"/>
          <w:szCs w:val="24"/>
        </w:rPr>
        <w:t>health</w:t>
      </w:r>
      <w:proofErr w:type="gramEnd"/>
      <w:r w:rsidRPr="00310CAD">
        <w:rPr>
          <w:rFonts w:cs="Arial"/>
          <w:bCs/>
          <w:sz w:val="24"/>
          <w:szCs w:val="24"/>
        </w:rPr>
        <w:t xml:space="preserve"> services to victims of VAWG, including victims of FGM.</w:t>
      </w:r>
    </w:p>
    <w:p w:rsidR="002B6091" w:rsidRPr="00E32557" w:rsidRDefault="002B6091" w:rsidP="002B6091">
      <w:pPr>
        <w:spacing w:after="0"/>
        <w:rPr>
          <w:sz w:val="24"/>
          <w:szCs w:val="24"/>
        </w:rPr>
      </w:pPr>
    </w:p>
    <w:p w:rsidR="002B6091" w:rsidRPr="00310CAD" w:rsidRDefault="002B6091" w:rsidP="002B6091">
      <w:pPr>
        <w:pStyle w:val="ListParagraph"/>
        <w:numPr>
          <w:ilvl w:val="0"/>
          <w:numId w:val="33"/>
        </w:numPr>
        <w:spacing w:after="0"/>
        <w:rPr>
          <w:sz w:val="24"/>
          <w:szCs w:val="24"/>
        </w:rPr>
      </w:pPr>
      <w:r w:rsidRPr="00310CAD">
        <w:rPr>
          <w:sz w:val="24"/>
          <w:szCs w:val="24"/>
        </w:rPr>
        <w:t>Will the UK Government review the requirements for evidence of domestic violence for access to legal aid?</w:t>
      </w:r>
    </w:p>
    <w:p w:rsidR="002B6091" w:rsidRDefault="002B6091" w:rsidP="002B6091">
      <w:pPr>
        <w:pStyle w:val="ListParagraph"/>
        <w:spacing w:after="0"/>
        <w:ind w:left="567"/>
        <w:rPr>
          <w:b/>
          <w:szCs w:val="28"/>
        </w:rPr>
      </w:pPr>
    </w:p>
    <w:p w:rsidR="002B6091" w:rsidRPr="0031371D" w:rsidRDefault="002B6091" w:rsidP="002B6091">
      <w:pPr>
        <w:pStyle w:val="ListParagraph"/>
        <w:spacing w:after="0"/>
        <w:ind w:left="142"/>
        <w:rPr>
          <w:b/>
          <w:sz w:val="24"/>
          <w:szCs w:val="24"/>
        </w:rPr>
      </w:pPr>
      <w:r w:rsidRPr="0031371D">
        <w:rPr>
          <w:b/>
          <w:sz w:val="24"/>
          <w:szCs w:val="24"/>
        </w:rPr>
        <w:t>T</w:t>
      </w:r>
      <w:r>
        <w:rPr>
          <w:b/>
          <w:sz w:val="24"/>
          <w:szCs w:val="24"/>
        </w:rPr>
        <w:t>he Pay Gap, (Articles 2</w:t>
      </w:r>
      <w:proofErr w:type="gramStart"/>
      <w:r>
        <w:rPr>
          <w:b/>
          <w:sz w:val="24"/>
          <w:szCs w:val="24"/>
        </w:rPr>
        <w:t>,3</w:t>
      </w:r>
      <w:proofErr w:type="gramEnd"/>
      <w:r>
        <w:rPr>
          <w:b/>
          <w:sz w:val="24"/>
          <w:szCs w:val="24"/>
        </w:rPr>
        <w:t>, 26) L</w:t>
      </w:r>
      <w:r w:rsidRPr="0031371D">
        <w:rPr>
          <w:b/>
          <w:sz w:val="24"/>
          <w:szCs w:val="24"/>
        </w:rPr>
        <w:t>ist of</w:t>
      </w:r>
      <w:r>
        <w:rPr>
          <w:b/>
          <w:sz w:val="24"/>
          <w:szCs w:val="24"/>
        </w:rPr>
        <w:t xml:space="preserve"> I</w:t>
      </w:r>
      <w:r w:rsidRPr="0031371D">
        <w:rPr>
          <w:b/>
          <w:sz w:val="24"/>
          <w:szCs w:val="24"/>
        </w:rPr>
        <w:t>ssues paragraph 9</w:t>
      </w:r>
    </w:p>
    <w:p w:rsidR="002B6091" w:rsidRDefault="002B6091" w:rsidP="002B6091">
      <w:pPr>
        <w:pStyle w:val="Parapre-bullets"/>
        <w:spacing w:after="0" w:line="240" w:lineRule="auto"/>
        <w:rPr>
          <w:b/>
        </w:rPr>
      </w:pPr>
    </w:p>
    <w:p w:rsidR="002B6091" w:rsidRDefault="002B6091" w:rsidP="002B6091">
      <w:pPr>
        <w:pStyle w:val="Parapre-bullets"/>
        <w:numPr>
          <w:ilvl w:val="0"/>
          <w:numId w:val="33"/>
        </w:numPr>
        <w:spacing w:after="0" w:line="240" w:lineRule="auto"/>
      </w:pPr>
      <w:r w:rsidRPr="00E32557">
        <w:t>Could the UK Government explain how it will monitor and enforce the new regulation on business to publish information on their gender pay gap?</w:t>
      </w:r>
    </w:p>
    <w:p w:rsidR="002B6091" w:rsidRDefault="002B6091" w:rsidP="002B6091">
      <w:pPr>
        <w:pStyle w:val="Parapre-bullets"/>
        <w:spacing w:after="0" w:line="240" w:lineRule="auto"/>
        <w:ind w:left="720"/>
      </w:pPr>
    </w:p>
    <w:p w:rsidR="002B6091" w:rsidRDefault="002B6091" w:rsidP="002B6091">
      <w:pPr>
        <w:pStyle w:val="Parapre-bullets"/>
        <w:numPr>
          <w:ilvl w:val="0"/>
          <w:numId w:val="33"/>
        </w:numPr>
        <w:spacing w:after="0" w:line="240" w:lineRule="auto"/>
      </w:pPr>
      <w:r w:rsidRPr="00E32557">
        <w:t>When will the UK Government review the impact of the recent introduction of fees for Employment Tribunals to ensure that these are not associated with adverse equality impacts in terms of access to redress; and review the impact of the repeal of s138 of the Equality Act 2010?</w:t>
      </w:r>
    </w:p>
    <w:p w:rsidR="002B6091" w:rsidRDefault="002B6091" w:rsidP="002B6091">
      <w:pPr>
        <w:pStyle w:val="Parapre-bullets"/>
        <w:spacing w:after="0" w:line="240" w:lineRule="auto"/>
        <w:ind w:left="720"/>
      </w:pPr>
    </w:p>
    <w:p w:rsidR="002B6091" w:rsidRPr="00E32557" w:rsidRDefault="002B6091" w:rsidP="002B6091">
      <w:pPr>
        <w:pStyle w:val="Parapre-bullets"/>
        <w:numPr>
          <w:ilvl w:val="0"/>
          <w:numId w:val="33"/>
        </w:numPr>
        <w:spacing w:after="0" w:line="240" w:lineRule="auto"/>
      </w:pPr>
      <w:r w:rsidRPr="00E32557">
        <w:t>Will the UK Government review existing government statistics with a view to producing regular estimates of the pay gaps for full-time and part-time work, as well as the associated employment rates, for all the main protected characteristics to reflect the demographic diversity of modern day Britain?</w:t>
      </w:r>
    </w:p>
    <w:p w:rsidR="002B6091" w:rsidRPr="00B3024E" w:rsidRDefault="002B6091" w:rsidP="002B6091">
      <w:pPr>
        <w:spacing w:after="0"/>
        <w:rPr>
          <w:b/>
          <w:sz w:val="24"/>
          <w:szCs w:val="24"/>
        </w:rPr>
      </w:pPr>
    </w:p>
    <w:p w:rsidR="002B6091" w:rsidRPr="002B6091" w:rsidRDefault="002B6091" w:rsidP="002B6091">
      <w:pPr>
        <w:pStyle w:val="Heading-chapter"/>
        <w:rPr>
          <w:b/>
          <w:sz w:val="24"/>
          <w:szCs w:val="24"/>
        </w:rPr>
      </w:pPr>
      <w:r>
        <w:rPr>
          <w:b/>
          <w:sz w:val="24"/>
          <w:szCs w:val="24"/>
        </w:rPr>
        <w:br w:type="page"/>
      </w:r>
      <w:bookmarkStart w:id="35" w:name="_Toc420603287"/>
      <w:r w:rsidRPr="002B6091">
        <w:lastRenderedPageBreak/>
        <w:t xml:space="preserve">Appendix B: </w:t>
      </w:r>
      <w:r w:rsidRPr="0052435E">
        <w:t>Equality and Human Rights Commission Submission to the United Nations Human Rights Committee Pre-Sessional Working Group on the United Kingdom’s Implementation of the International Covenant on Civil and Political Rights.</w:t>
      </w:r>
      <w:bookmarkEnd w:id="35"/>
    </w:p>
    <w:p w:rsidR="002B6091" w:rsidRPr="00553F23" w:rsidRDefault="002B6091" w:rsidP="002B6091">
      <w:pPr>
        <w:pStyle w:val="Heading2"/>
        <w:numPr>
          <w:ilvl w:val="0"/>
          <w:numId w:val="104"/>
        </w:numPr>
        <w:rPr>
          <w:sz w:val="24"/>
          <w:szCs w:val="24"/>
        </w:rPr>
      </w:pPr>
      <w:bookmarkStart w:id="36" w:name="_Toc420603197"/>
      <w:bookmarkStart w:id="37" w:name="_Toc420603288"/>
      <w:r w:rsidRPr="008B2CB8">
        <w:rPr>
          <w:sz w:val="24"/>
          <w:szCs w:val="24"/>
        </w:rPr>
        <w:t>Scope of the Report</w:t>
      </w:r>
      <w:bookmarkEnd w:id="36"/>
      <w:bookmarkEnd w:id="37"/>
    </w:p>
    <w:p w:rsidR="002B6091" w:rsidRPr="008B2CB8" w:rsidRDefault="002B6091" w:rsidP="002B6091">
      <w:pPr>
        <w:pStyle w:val="Body1"/>
        <w:outlineLvl w:val="0"/>
        <w:rPr>
          <w:rFonts w:ascii="Arial" w:hAnsi="Arial" w:cs="Arial"/>
          <w:szCs w:val="24"/>
        </w:rPr>
      </w:pPr>
      <w:bookmarkStart w:id="38" w:name="_Toc420603198"/>
      <w:bookmarkStart w:id="39" w:name="_Toc420603289"/>
      <w:r w:rsidRPr="008B2CB8">
        <w:rPr>
          <w:rFonts w:ascii="Arial" w:hAnsi="Arial" w:cs="Arial"/>
          <w:szCs w:val="24"/>
        </w:rPr>
        <w:t xml:space="preserve">The Equality and Human Rights Commission (EHRC) is one of the United Kingdom’s (UK) three ‘A status’ accredited National Human Rights Institutions (NHRI). The EHRC’s jurisdiction covers England and Wales and Scottish matters that are reserved to the UK Parliament. The Scottish Human Rights Commission (SHRC) has jurisdiction with respect to matters that are devolved to the Scottish Parliament, and will cover those matters in a separate </w:t>
      </w:r>
      <w:r w:rsidRPr="0052435E">
        <w:rPr>
          <w:rFonts w:ascii="Arial" w:hAnsi="Arial" w:cs="Arial"/>
          <w:szCs w:val="24"/>
        </w:rPr>
        <w:t>submission.</w:t>
      </w:r>
      <w:r w:rsidRPr="008B2CB8">
        <w:rPr>
          <w:rFonts w:ascii="Arial" w:hAnsi="Arial" w:cs="Arial"/>
          <w:szCs w:val="24"/>
        </w:rPr>
        <w:t xml:space="preserve"> The EHRC's remit also does not extend to Northern Ireland, which is therefore outside the scope of this report. The Northern Ireland Human Rights Commission (NIHRC) has made a separate </w:t>
      </w:r>
      <w:r w:rsidRPr="0052435E">
        <w:rPr>
          <w:rFonts w:ascii="Arial" w:hAnsi="Arial" w:cs="Arial"/>
          <w:szCs w:val="24"/>
        </w:rPr>
        <w:t>submission.</w:t>
      </w:r>
      <w:bookmarkEnd w:id="38"/>
      <w:bookmarkEnd w:id="39"/>
    </w:p>
    <w:p w:rsidR="002B6091" w:rsidRPr="008B2CB8" w:rsidRDefault="002B6091" w:rsidP="002B6091">
      <w:pPr>
        <w:pStyle w:val="ListParagraph"/>
        <w:spacing w:after="0"/>
        <w:ind w:left="0"/>
        <w:rPr>
          <w:rFonts w:cs="Arial"/>
          <w:color w:val="231F20"/>
          <w:sz w:val="24"/>
          <w:szCs w:val="24"/>
          <w:lang w:eastAsia="en-GB"/>
        </w:rPr>
      </w:pPr>
    </w:p>
    <w:p w:rsidR="002B6091" w:rsidRPr="008B2CB8" w:rsidRDefault="002B6091" w:rsidP="002B6091">
      <w:pPr>
        <w:pStyle w:val="ListParagraph"/>
        <w:spacing w:after="0"/>
        <w:ind w:left="0"/>
        <w:rPr>
          <w:rFonts w:eastAsia="Times New Roman" w:cs="Arial"/>
          <w:sz w:val="24"/>
          <w:szCs w:val="24"/>
          <w:lang w:eastAsia="en-GB"/>
        </w:rPr>
      </w:pPr>
      <w:r w:rsidRPr="008B2CB8">
        <w:rPr>
          <w:rFonts w:eastAsia="Times New Roman" w:cs="Arial"/>
          <w:sz w:val="24"/>
          <w:szCs w:val="24"/>
          <w:lang w:eastAsia="en-GB"/>
        </w:rPr>
        <w:t>The EHRC has reviewed the Human Rights Committee’s (HRC) Concluding Observations from 2008</w:t>
      </w:r>
      <w:r w:rsidRPr="008B2CB8">
        <w:rPr>
          <w:rStyle w:val="FootnoteReference"/>
          <w:rFonts w:eastAsia="Times New Roman" w:cs="Arial"/>
          <w:sz w:val="24"/>
          <w:szCs w:val="24"/>
          <w:lang w:eastAsia="en-GB"/>
        </w:rPr>
        <w:footnoteReference w:id="302"/>
      </w:r>
      <w:r w:rsidRPr="008B2CB8">
        <w:rPr>
          <w:rFonts w:eastAsia="Times New Roman" w:cs="Arial"/>
          <w:sz w:val="24"/>
          <w:szCs w:val="24"/>
          <w:lang w:eastAsia="en-GB"/>
        </w:rPr>
        <w:t xml:space="preserve"> and the UK state report from 2012.</w:t>
      </w:r>
      <w:r w:rsidRPr="008B2CB8">
        <w:rPr>
          <w:rStyle w:val="FootnoteReference"/>
          <w:rFonts w:eastAsia="Times New Roman" w:cs="Arial"/>
          <w:sz w:val="24"/>
          <w:szCs w:val="24"/>
          <w:lang w:eastAsia="en-GB"/>
        </w:rPr>
        <w:footnoteReference w:id="303"/>
      </w:r>
      <w:r w:rsidRPr="008B2CB8">
        <w:rPr>
          <w:rFonts w:eastAsia="Times New Roman" w:cs="Arial"/>
          <w:sz w:val="24"/>
          <w:szCs w:val="24"/>
          <w:lang w:eastAsia="en-GB"/>
        </w:rPr>
        <w:t xml:space="preserve"> We consider that we can most usefully contribute to the HRC’s pre-sessional working group on the UK by focusing on one of the domains within our measurement framework</w:t>
      </w:r>
      <w:r w:rsidRPr="008B2CB8">
        <w:rPr>
          <w:rStyle w:val="FootnoteReference"/>
          <w:rFonts w:eastAsia="Times New Roman" w:cs="Arial"/>
          <w:sz w:val="24"/>
          <w:szCs w:val="24"/>
          <w:lang w:eastAsia="en-GB"/>
        </w:rPr>
        <w:footnoteReference w:id="304"/>
      </w:r>
      <w:r w:rsidRPr="008B2CB8">
        <w:rPr>
          <w:rFonts w:eastAsia="Times New Roman" w:cs="Arial"/>
          <w:sz w:val="24"/>
          <w:szCs w:val="24"/>
          <w:lang w:eastAsia="en-GB"/>
        </w:rPr>
        <w:t xml:space="preserve">: legal and </w:t>
      </w:r>
      <w:r w:rsidRPr="008B2CB8">
        <w:rPr>
          <w:rFonts w:eastAsia="Times New Roman" w:cs="Arial"/>
          <w:sz w:val="24"/>
          <w:szCs w:val="24"/>
          <w:lang w:eastAsia="en-GB"/>
        </w:rPr>
        <w:lastRenderedPageBreak/>
        <w:t xml:space="preserve">physical security. This domain contains a range of indicators and measures that assess how: </w:t>
      </w:r>
    </w:p>
    <w:p w:rsidR="002B6091" w:rsidRPr="008B2CB8" w:rsidRDefault="002B6091" w:rsidP="002B6091">
      <w:pPr>
        <w:pStyle w:val="ListParagraph"/>
        <w:numPr>
          <w:ilvl w:val="0"/>
          <w:numId w:val="41"/>
        </w:numPr>
        <w:spacing w:after="0"/>
        <w:rPr>
          <w:rFonts w:eastAsia="Times New Roman" w:cs="Arial"/>
          <w:sz w:val="24"/>
          <w:szCs w:val="24"/>
          <w:lang w:eastAsia="en-GB"/>
        </w:rPr>
      </w:pPr>
      <w:r w:rsidRPr="008B2CB8">
        <w:rPr>
          <w:rFonts w:eastAsia="Times New Roman" w:cs="Arial"/>
          <w:sz w:val="24"/>
          <w:szCs w:val="24"/>
          <w:lang w:eastAsia="en-GB"/>
        </w:rPr>
        <w:t xml:space="preserve">representative and accessible Britain’s legal system is, and how it meets its obligations to protect the right to a </w:t>
      </w:r>
      <w:r>
        <w:rPr>
          <w:rFonts w:eastAsia="Times New Roman" w:cs="Arial"/>
          <w:sz w:val="24"/>
          <w:szCs w:val="24"/>
          <w:lang w:eastAsia="en-GB"/>
        </w:rPr>
        <w:t>fair</w:t>
      </w:r>
      <w:r w:rsidRPr="008B2CB8">
        <w:rPr>
          <w:rFonts w:eastAsia="Times New Roman" w:cs="Arial"/>
          <w:sz w:val="24"/>
          <w:szCs w:val="24"/>
          <w:lang w:eastAsia="en-GB"/>
        </w:rPr>
        <w:t xml:space="preserve"> trial and the right to liberty and security;</w:t>
      </w:r>
    </w:p>
    <w:p w:rsidR="002B6091" w:rsidRPr="008B2CB8" w:rsidRDefault="002B6091" w:rsidP="002B6091">
      <w:pPr>
        <w:pStyle w:val="ListParagraph"/>
        <w:numPr>
          <w:ilvl w:val="0"/>
          <w:numId w:val="41"/>
        </w:numPr>
        <w:spacing w:after="0"/>
        <w:rPr>
          <w:rFonts w:eastAsia="Times New Roman" w:cs="Arial"/>
          <w:sz w:val="24"/>
          <w:szCs w:val="24"/>
          <w:lang w:eastAsia="en-GB"/>
        </w:rPr>
      </w:pPr>
      <w:r w:rsidRPr="008B2CB8">
        <w:rPr>
          <w:rFonts w:eastAsia="Times New Roman" w:cs="Arial"/>
          <w:sz w:val="24"/>
          <w:szCs w:val="24"/>
          <w:lang w:eastAsia="en-GB"/>
        </w:rPr>
        <w:t xml:space="preserve">Britain’s legislative and regulatory framework protects the right to private life, and balances that right against other rights, such as security; </w:t>
      </w:r>
    </w:p>
    <w:p w:rsidR="002B6091" w:rsidRPr="008B2CB8" w:rsidRDefault="002B6091" w:rsidP="002B6091">
      <w:pPr>
        <w:pStyle w:val="ListParagraph"/>
        <w:numPr>
          <w:ilvl w:val="0"/>
          <w:numId w:val="41"/>
        </w:numPr>
        <w:spacing w:after="0"/>
        <w:rPr>
          <w:rFonts w:eastAsia="Times New Roman" w:cs="Arial"/>
          <w:sz w:val="24"/>
          <w:szCs w:val="24"/>
          <w:lang w:eastAsia="en-GB"/>
        </w:rPr>
      </w:pPr>
      <w:r w:rsidRPr="008B2CB8">
        <w:rPr>
          <w:rFonts w:eastAsia="Times New Roman" w:cs="Arial"/>
          <w:sz w:val="24"/>
          <w:szCs w:val="24"/>
          <w:lang w:eastAsia="en-GB"/>
        </w:rPr>
        <w:t>the UK Government has responded to allegations of complicity in torture overseas, and meets its obligations to protect the right to freedom from torture or to cruel, inhuman or degrading treatment or punishment;</w:t>
      </w:r>
    </w:p>
    <w:p w:rsidR="002B6091" w:rsidRPr="008B2CB8" w:rsidRDefault="002B6091" w:rsidP="002B6091">
      <w:pPr>
        <w:pStyle w:val="ListParagraph"/>
        <w:numPr>
          <w:ilvl w:val="0"/>
          <w:numId w:val="41"/>
        </w:numPr>
        <w:spacing w:after="0"/>
        <w:rPr>
          <w:rFonts w:eastAsia="Times New Roman" w:cs="Arial"/>
          <w:sz w:val="24"/>
          <w:szCs w:val="24"/>
          <w:lang w:eastAsia="en-GB"/>
        </w:rPr>
      </w:pPr>
      <w:r>
        <w:rPr>
          <w:rFonts w:eastAsia="Times New Roman" w:cs="Arial"/>
          <w:sz w:val="24"/>
          <w:szCs w:val="24"/>
          <w:lang w:eastAsia="en-GB"/>
        </w:rPr>
        <w:t>i</w:t>
      </w:r>
      <w:r w:rsidRPr="008B2CB8">
        <w:rPr>
          <w:rFonts w:eastAsia="Times New Roman" w:cs="Arial"/>
          <w:sz w:val="24"/>
          <w:szCs w:val="24"/>
          <w:lang w:eastAsia="en-GB"/>
        </w:rPr>
        <w:t xml:space="preserve">ndividuals with different characteristics experience detention in Britain’s immigration, criminal justice and youth justice systems; and </w:t>
      </w:r>
    </w:p>
    <w:p w:rsidR="002B6091" w:rsidRPr="00553F23" w:rsidRDefault="002B6091" w:rsidP="002B6091">
      <w:pPr>
        <w:pStyle w:val="ListParagraph"/>
        <w:numPr>
          <w:ilvl w:val="0"/>
          <w:numId w:val="41"/>
        </w:numPr>
        <w:spacing w:after="0"/>
        <w:rPr>
          <w:rFonts w:eastAsia="Times New Roman" w:cs="Arial"/>
          <w:sz w:val="24"/>
          <w:szCs w:val="24"/>
          <w:lang w:eastAsia="en-GB"/>
        </w:rPr>
      </w:pPr>
      <w:proofErr w:type="gramStart"/>
      <w:r w:rsidRPr="008B2CB8">
        <w:rPr>
          <w:rFonts w:eastAsia="Times New Roman" w:cs="Arial"/>
          <w:sz w:val="24"/>
          <w:szCs w:val="24"/>
          <w:lang w:eastAsia="en-GB"/>
        </w:rPr>
        <w:t>violent</w:t>
      </w:r>
      <w:proofErr w:type="gramEnd"/>
      <w:r w:rsidRPr="008B2CB8">
        <w:rPr>
          <w:rFonts w:eastAsia="Times New Roman" w:cs="Arial"/>
          <w:sz w:val="24"/>
          <w:szCs w:val="24"/>
          <w:lang w:eastAsia="en-GB"/>
        </w:rPr>
        <w:t xml:space="preserve"> crime and sexual assault are experienced by individuals with different characteristics in Britain.</w:t>
      </w:r>
      <w:r w:rsidR="008C67B4">
        <w:rPr>
          <w:rFonts w:eastAsia="Times New Roman" w:cs="Arial"/>
          <w:sz w:val="24"/>
          <w:szCs w:val="24"/>
          <w:lang w:eastAsia="en-GB"/>
        </w:rPr>
        <w:t xml:space="preserve">   </w:t>
      </w:r>
    </w:p>
    <w:p w:rsidR="002B6091" w:rsidRPr="008B2CB8" w:rsidRDefault="002B6091" w:rsidP="002B6091">
      <w:pPr>
        <w:pStyle w:val="Heading1"/>
        <w:numPr>
          <w:ilvl w:val="0"/>
          <w:numId w:val="104"/>
        </w:numPr>
        <w:rPr>
          <w:rFonts w:cs="Arial"/>
          <w:sz w:val="24"/>
          <w:szCs w:val="24"/>
          <w:lang w:eastAsia="en-GB"/>
        </w:rPr>
      </w:pPr>
      <w:bookmarkStart w:id="40" w:name="_Toc420603199"/>
      <w:bookmarkStart w:id="41" w:name="_Toc420603290"/>
      <w:r w:rsidRPr="008B2CB8">
        <w:rPr>
          <w:sz w:val="24"/>
          <w:szCs w:val="24"/>
        </w:rPr>
        <w:t>Legal Security</w:t>
      </w:r>
      <w:bookmarkEnd w:id="40"/>
      <w:bookmarkEnd w:id="41"/>
    </w:p>
    <w:p w:rsidR="002B6091" w:rsidRPr="008B2CB8" w:rsidRDefault="002B6091" w:rsidP="002B6091">
      <w:pPr>
        <w:pStyle w:val="Heading2"/>
        <w:numPr>
          <w:ilvl w:val="0"/>
          <w:numId w:val="23"/>
        </w:numPr>
        <w:rPr>
          <w:rFonts w:cs="Arial"/>
          <w:sz w:val="24"/>
          <w:szCs w:val="24"/>
          <w:lang w:eastAsia="en-GB"/>
        </w:rPr>
      </w:pPr>
      <w:bookmarkStart w:id="42" w:name="_Toc420603200"/>
      <w:bookmarkStart w:id="43" w:name="_Toc420603291"/>
      <w:r w:rsidRPr="008B2CB8">
        <w:rPr>
          <w:sz w:val="24"/>
          <w:szCs w:val="24"/>
        </w:rPr>
        <w:t xml:space="preserve">Judicial Diversity (Articles </w:t>
      </w:r>
      <w:r>
        <w:rPr>
          <w:sz w:val="24"/>
          <w:szCs w:val="24"/>
        </w:rPr>
        <w:t xml:space="preserve">2, </w:t>
      </w:r>
      <w:r w:rsidRPr="008B2CB8">
        <w:rPr>
          <w:sz w:val="24"/>
          <w:szCs w:val="24"/>
        </w:rPr>
        <w:t>3</w:t>
      </w:r>
      <w:r>
        <w:rPr>
          <w:sz w:val="24"/>
          <w:szCs w:val="24"/>
        </w:rPr>
        <w:t>, 25</w:t>
      </w:r>
      <w:r w:rsidRPr="008B2CB8">
        <w:rPr>
          <w:sz w:val="24"/>
          <w:szCs w:val="24"/>
        </w:rPr>
        <w:t xml:space="preserve"> and 26)</w:t>
      </w:r>
      <w:r w:rsidRPr="008B2CB8">
        <w:rPr>
          <w:rStyle w:val="FootnoteReference"/>
          <w:sz w:val="24"/>
          <w:szCs w:val="24"/>
        </w:rPr>
        <w:footnoteReference w:id="305"/>
      </w:r>
      <w:bookmarkEnd w:id="42"/>
      <w:bookmarkEnd w:id="43"/>
    </w:p>
    <w:p w:rsidR="002B6091" w:rsidRPr="008B2CB8" w:rsidRDefault="002B6091" w:rsidP="002B6091">
      <w:pPr>
        <w:pStyle w:val="ListParagraph"/>
        <w:rPr>
          <w:rFonts w:eastAsia="Times New Roman" w:cs="Arial"/>
          <w:b/>
          <w:sz w:val="24"/>
          <w:szCs w:val="24"/>
          <w:lang w:eastAsia="en-GB"/>
        </w:rPr>
      </w:pPr>
    </w:p>
    <w:p w:rsidR="002B6091" w:rsidRPr="008B2CB8" w:rsidRDefault="002B6091" w:rsidP="002B6091">
      <w:pPr>
        <w:pStyle w:val="ListParagraph"/>
        <w:spacing w:after="0"/>
        <w:ind w:left="0"/>
        <w:rPr>
          <w:rFonts w:eastAsia="Times New Roman" w:cs="Arial"/>
          <w:sz w:val="24"/>
          <w:szCs w:val="24"/>
          <w:lang w:eastAsia="en-GB"/>
        </w:rPr>
      </w:pPr>
      <w:r w:rsidRPr="008B2CB8">
        <w:rPr>
          <w:rFonts w:eastAsia="Times New Roman" w:cs="Arial"/>
          <w:sz w:val="24"/>
          <w:szCs w:val="24"/>
          <w:lang w:eastAsia="en-GB"/>
        </w:rPr>
        <w:t>The EHRC believes there is a strong case for judicial diversity, based on equality of opportunity and the need for the judiciary to reflect the public it serves. We welcome that an Independent Panel on Judicial Diversity was established for England and Wales in 2009, which put forward 53 recommendations in 2010.</w:t>
      </w:r>
      <w:r w:rsidRPr="008B2CB8">
        <w:rPr>
          <w:rStyle w:val="FootnoteReference"/>
          <w:rFonts w:eastAsia="Times New Roman" w:cs="Arial"/>
          <w:sz w:val="24"/>
          <w:szCs w:val="24"/>
          <w:lang w:eastAsia="en-GB"/>
        </w:rPr>
        <w:footnoteReference w:id="306"/>
      </w:r>
      <w:r w:rsidRPr="008B2CB8">
        <w:rPr>
          <w:rFonts w:eastAsia="Times New Roman" w:cs="Arial"/>
          <w:sz w:val="24"/>
          <w:szCs w:val="24"/>
          <w:lang w:eastAsia="en-GB"/>
        </w:rPr>
        <w:t xml:space="preserve"> </w:t>
      </w:r>
      <w:r w:rsidRPr="008B2CB8">
        <w:rPr>
          <w:sz w:val="24"/>
          <w:szCs w:val="24"/>
        </w:rPr>
        <w:t>Some of these recommendations were implemented through the Crime and Courts Act 2013</w:t>
      </w:r>
      <w:r w:rsidRPr="008B2CB8">
        <w:rPr>
          <w:rStyle w:val="FootnoteReference"/>
          <w:sz w:val="24"/>
          <w:szCs w:val="24"/>
        </w:rPr>
        <w:footnoteReference w:id="307"/>
      </w:r>
      <w:r w:rsidRPr="008B2CB8">
        <w:rPr>
          <w:sz w:val="24"/>
          <w:szCs w:val="24"/>
        </w:rPr>
        <w:t>, including the introduction of:</w:t>
      </w:r>
    </w:p>
    <w:p w:rsidR="002B6091" w:rsidRPr="008B2CB8" w:rsidRDefault="002B6091" w:rsidP="002B6091">
      <w:pPr>
        <w:pStyle w:val="ListParagraph"/>
        <w:numPr>
          <w:ilvl w:val="0"/>
          <w:numId w:val="42"/>
        </w:numPr>
        <w:spacing w:after="0"/>
        <w:ind w:left="720"/>
        <w:rPr>
          <w:sz w:val="24"/>
          <w:szCs w:val="24"/>
        </w:rPr>
      </w:pPr>
      <w:r w:rsidRPr="008B2CB8">
        <w:rPr>
          <w:sz w:val="24"/>
          <w:szCs w:val="24"/>
        </w:rPr>
        <w:t>a statutory duty upon the Lord Chancellor and the Lord Chief Justice to encourage judicial diversity;</w:t>
      </w:r>
      <w:r w:rsidR="008C67B4">
        <w:rPr>
          <w:sz w:val="24"/>
          <w:szCs w:val="24"/>
        </w:rPr>
        <w:t xml:space="preserve"> </w:t>
      </w:r>
      <w:r w:rsidRPr="008B2CB8">
        <w:rPr>
          <w:sz w:val="24"/>
          <w:szCs w:val="24"/>
        </w:rPr>
        <w:t xml:space="preserve"> </w:t>
      </w:r>
    </w:p>
    <w:p w:rsidR="002B6091" w:rsidRPr="008B2CB8" w:rsidRDefault="002B6091" w:rsidP="002B6091">
      <w:pPr>
        <w:pStyle w:val="ListParagraph"/>
        <w:numPr>
          <w:ilvl w:val="0"/>
          <w:numId w:val="42"/>
        </w:numPr>
        <w:spacing w:after="0"/>
        <w:ind w:left="720"/>
        <w:rPr>
          <w:sz w:val="24"/>
          <w:szCs w:val="24"/>
        </w:rPr>
      </w:pPr>
      <w:r w:rsidRPr="008B2CB8">
        <w:rPr>
          <w:sz w:val="24"/>
          <w:szCs w:val="24"/>
        </w:rPr>
        <w:t xml:space="preserve">an "equal merit" provision when there are candidates of equal merit, to allow candidates to be selected on the basis of improving diversity; and </w:t>
      </w:r>
    </w:p>
    <w:p w:rsidR="002B6091" w:rsidRPr="008B2CB8" w:rsidRDefault="002B6091" w:rsidP="002B6091">
      <w:pPr>
        <w:pStyle w:val="ListParagraph"/>
        <w:numPr>
          <w:ilvl w:val="0"/>
          <w:numId w:val="42"/>
        </w:numPr>
        <w:spacing w:after="0"/>
        <w:ind w:left="720"/>
        <w:rPr>
          <w:sz w:val="24"/>
          <w:szCs w:val="24"/>
        </w:rPr>
      </w:pPr>
      <w:proofErr w:type="gramStart"/>
      <w:r w:rsidRPr="008B2CB8">
        <w:rPr>
          <w:sz w:val="24"/>
          <w:szCs w:val="24"/>
        </w:rPr>
        <w:t>flexible</w:t>
      </w:r>
      <w:proofErr w:type="gramEnd"/>
      <w:r w:rsidRPr="008B2CB8">
        <w:rPr>
          <w:sz w:val="24"/>
          <w:szCs w:val="24"/>
        </w:rPr>
        <w:t xml:space="preserve"> and part-time working for judicial appointments to the High Court and above. </w:t>
      </w:r>
    </w:p>
    <w:p w:rsidR="002B6091" w:rsidRPr="008B2CB8" w:rsidRDefault="002B6091" w:rsidP="002B6091">
      <w:pPr>
        <w:pStyle w:val="ListParagraph"/>
        <w:spacing w:after="0"/>
        <w:ind w:left="0"/>
        <w:rPr>
          <w:sz w:val="24"/>
          <w:szCs w:val="24"/>
        </w:rPr>
      </w:pPr>
    </w:p>
    <w:p w:rsidR="002B6091" w:rsidRDefault="002B6091" w:rsidP="002B6091">
      <w:pPr>
        <w:pStyle w:val="ListParagraph"/>
        <w:spacing w:after="0"/>
        <w:ind w:left="0"/>
        <w:rPr>
          <w:sz w:val="24"/>
          <w:szCs w:val="24"/>
        </w:rPr>
      </w:pPr>
      <w:r w:rsidRPr="008B2CB8">
        <w:rPr>
          <w:sz w:val="24"/>
          <w:szCs w:val="24"/>
        </w:rPr>
        <w:t xml:space="preserve">However, </w:t>
      </w:r>
      <w:r>
        <w:rPr>
          <w:sz w:val="24"/>
          <w:szCs w:val="24"/>
        </w:rPr>
        <w:t xml:space="preserve">while the judicial diversity trend has been improving, </w:t>
      </w:r>
      <w:r w:rsidRPr="008B2CB8">
        <w:rPr>
          <w:sz w:val="24"/>
          <w:szCs w:val="24"/>
        </w:rPr>
        <w:t>progress has been slow</w:t>
      </w:r>
      <w:r>
        <w:rPr>
          <w:sz w:val="24"/>
          <w:szCs w:val="24"/>
        </w:rPr>
        <w:t>, for example</w:t>
      </w:r>
      <w:r w:rsidRPr="008B2CB8">
        <w:rPr>
          <w:sz w:val="24"/>
          <w:szCs w:val="24"/>
        </w:rPr>
        <w:t xml:space="preserve"> </w:t>
      </w:r>
      <w:r>
        <w:rPr>
          <w:sz w:val="24"/>
          <w:szCs w:val="24"/>
        </w:rPr>
        <w:t>i</w:t>
      </w:r>
      <w:r w:rsidRPr="008B2CB8">
        <w:rPr>
          <w:sz w:val="24"/>
          <w:szCs w:val="24"/>
        </w:rPr>
        <w:t>n 2012/13</w:t>
      </w:r>
      <w:r>
        <w:rPr>
          <w:sz w:val="24"/>
          <w:szCs w:val="24"/>
        </w:rPr>
        <w:t>:</w:t>
      </w:r>
    </w:p>
    <w:p w:rsidR="002B6091" w:rsidRDefault="002B6091" w:rsidP="002B6091">
      <w:pPr>
        <w:pStyle w:val="ListParagraph"/>
        <w:numPr>
          <w:ilvl w:val="0"/>
          <w:numId w:val="103"/>
        </w:numPr>
        <w:spacing w:after="0"/>
        <w:rPr>
          <w:sz w:val="24"/>
          <w:szCs w:val="24"/>
        </w:rPr>
      </w:pPr>
      <w:r w:rsidRPr="008B2CB8">
        <w:rPr>
          <w:sz w:val="24"/>
          <w:szCs w:val="24"/>
        </w:rPr>
        <w:t>24.3% of the judges in England and Wales were women, and 4.8% were ethnic minorities</w:t>
      </w:r>
      <w:r>
        <w:rPr>
          <w:sz w:val="24"/>
          <w:szCs w:val="24"/>
        </w:rPr>
        <w:t>;</w:t>
      </w:r>
      <w:r w:rsidRPr="008B2CB8">
        <w:rPr>
          <w:rStyle w:val="FootnoteReference"/>
          <w:sz w:val="24"/>
          <w:szCs w:val="24"/>
        </w:rPr>
        <w:footnoteReference w:id="308"/>
      </w:r>
      <w:r w:rsidRPr="008B2CB8">
        <w:rPr>
          <w:sz w:val="24"/>
          <w:szCs w:val="24"/>
        </w:rPr>
        <w:t xml:space="preserve"> </w:t>
      </w:r>
    </w:p>
    <w:p w:rsidR="002B6091" w:rsidRPr="002D75FB" w:rsidRDefault="002B6091" w:rsidP="002B6091">
      <w:pPr>
        <w:pStyle w:val="ListParagraph"/>
        <w:numPr>
          <w:ilvl w:val="0"/>
          <w:numId w:val="103"/>
        </w:numPr>
        <w:spacing w:after="0"/>
        <w:rPr>
          <w:sz w:val="24"/>
          <w:szCs w:val="24"/>
        </w:rPr>
      </w:pPr>
      <w:r>
        <w:rPr>
          <w:sz w:val="24"/>
          <w:szCs w:val="24"/>
        </w:rPr>
        <w:lastRenderedPageBreak/>
        <w:t>at the top,</w:t>
      </w:r>
      <w:r w:rsidRPr="008B2CB8">
        <w:rPr>
          <w:sz w:val="24"/>
          <w:szCs w:val="24"/>
        </w:rPr>
        <w:t>11.4% of Court of Appeal judges were women and still no ethnic minorities</w:t>
      </w:r>
      <w:r>
        <w:rPr>
          <w:sz w:val="24"/>
          <w:szCs w:val="24"/>
        </w:rPr>
        <w:t xml:space="preserve">, and </w:t>
      </w:r>
      <w:r w:rsidRPr="002D75FB">
        <w:rPr>
          <w:sz w:val="24"/>
          <w:szCs w:val="24"/>
        </w:rPr>
        <w:t>none of the heads of division were female or ethnic minorities</w:t>
      </w:r>
      <w:r>
        <w:rPr>
          <w:sz w:val="24"/>
          <w:szCs w:val="24"/>
        </w:rPr>
        <w:t>; and</w:t>
      </w:r>
      <w:r w:rsidRPr="002D75FB">
        <w:rPr>
          <w:sz w:val="24"/>
          <w:szCs w:val="24"/>
        </w:rPr>
        <w:t xml:space="preserve"> </w:t>
      </w:r>
    </w:p>
    <w:p w:rsidR="002B6091" w:rsidRDefault="002B6091" w:rsidP="002B6091">
      <w:pPr>
        <w:pStyle w:val="ListParagraph"/>
        <w:numPr>
          <w:ilvl w:val="0"/>
          <w:numId w:val="103"/>
        </w:numPr>
        <w:spacing w:after="0"/>
        <w:rPr>
          <w:sz w:val="24"/>
          <w:szCs w:val="24"/>
        </w:rPr>
      </w:pPr>
      <w:proofErr w:type="gramStart"/>
      <w:r>
        <w:rPr>
          <w:sz w:val="24"/>
          <w:szCs w:val="24"/>
        </w:rPr>
        <w:t>at</w:t>
      </w:r>
      <w:proofErr w:type="gramEnd"/>
      <w:r>
        <w:rPr>
          <w:sz w:val="24"/>
          <w:szCs w:val="24"/>
        </w:rPr>
        <w:t xml:space="preserve"> the bottom, </w:t>
      </w:r>
      <w:r w:rsidRPr="008B2CB8">
        <w:rPr>
          <w:sz w:val="24"/>
          <w:szCs w:val="24"/>
        </w:rPr>
        <w:t xml:space="preserve">32.4% of deputy district judges in magistrates’ courts were women and 7.6% were known to be ethnic minorities. </w:t>
      </w:r>
    </w:p>
    <w:p w:rsidR="002B6091" w:rsidRDefault="002B6091" w:rsidP="002B6091">
      <w:pPr>
        <w:spacing w:after="0"/>
        <w:rPr>
          <w:sz w:val="24"/>
          <w:szCs w:val="24"/>
        </w:rPr>
      </w:pPr>
    </w:p>
    <w:p w:rsidR="002B6091" w:rsidRPr="002D75FB" w:rsidRDefault="002B6091" w:rsidP="002B6091">
      <w:pPr>
        <w:spacing w:after="0"/>
        <w:rPr>
          <w:sz w:val="24"/>
          <w:szCs w:val="24"/>
        </w:rPr>
      </w:pPr>
      <w:r>
        <w:rPr>
          <w:sz w:val="24"/>
          <w:szCs w:val="24"/>
        </w:rPr>
        <w:t>The</w:t>
      </w:r>
      <w:r w:rsidRPr="002D75FB">
        <w:rPr>
          <w:sz w:val="24"/>
          <w:szCs w:val="24"/>
        </w:rPr>
        <w:t xml:space="preserve"> EHRC is concerned that England and Wales is out of step with the rest of the world. For example, on average, women represent 48% of the judiciary across the countries of the Council of Europe; and England and Wales sits fourth from the bottom, only above Azerbaijan, Scotland and Armenia.</w:t>
      </w:r>
      <w:r w:rsidRPr="008B2CB8">
        <w:rPr>
          <w:rStyle w:val="FootnoteReference"/>
          <w:sz w:val="24"/>
          <w:szCs w:val="24"/>
        </w:rPr>
        <w:footnoteReference w:id="309"/>
      </w:r>
      <w:r w:rsidRPr="002D75FB">
        <w:rPr>
          <w:sz w:val="24"/>
          <w:szCs w:val="24"/>
        </w:rPr>
        <w:t xml:space="preserve"> </w:t>
      </w:r>
    </w:p>
    <w:p w:rsidR="002B6091" w:rsidRPr="008B2CB8" w:rsidRDefault="002B6091" w:rsidP="002B6091">
      <w:pPr>
        <w:pStyle w:val="ListParagraph"/>
        <w:spacing w:after="0"/>
        <w:ind w:left="0"/>
        <w:rPr>
          <w:sz w:val="24"/>
          <w:szCs w:val="24"/>
        </w:rPr>
      </w:pPr>
    </w:p>
    <w:p w:rsidR="002B6091" w:rsidRPr="008B2CB8" w:rsidRDefault="002B6091" w:rsidP="002B6091">
      <w:pPr>
        <w:pStyle w:val="ListParagraph"/>
        <w:spacing w:after="0"/>
        <w:ind w:left="0"/>
        <w:rPr>
          <w:sz w:val="24"/>
          <w:szCs w:val="24"/>
        </w:rPr>
      </w:pPr>
      <w:r>
        <w:rPr>
          <w:sz w:val="24"/>
          <w:szCs w:val="24"/>
        </w:rPr>
        <w:t>In line with Article 2.1 and the HRC’s General Comment</w:t>
      </w:r>
      <w:r w:rsidRPr="008B2CB8">
        <w:rPr>
          <w:sz w:val="24"/>
          <w:szCs w:val="24"/>
        </w:rPr>
        <w:t xml:space="preserve"> </w:t>
      </w:r>
      <w:r>
        <w:rPr>
          <w:sz w:val="24"/>
          <w:szCs w:val="24"/>
        </w:rPr>
        <w:t>No. 25,</w:t>
      </w:r>
      <w:r>
        <w:rPr>
          <w:rStyle w:val="FootnoteReference"/>
          <w:sz w:val="24"/>
          <w:szCs w:val="24"/>
        </w:rPr>
        <w:footnoteReference w:id="310"/>
      </w:r>
      <w:r>
        <w:rPr>
          <w:sz w:val="24"/>
          <w:szCs w:val="24"/>
        </w:rPr>
        <w:t xml:space="preserve"> the </w:t>
      </w:r>
      <w:r w:rsidRPr="008B2CB8">
        <w:rPr>
          <w:sz w:val="24"/>
          <w:szCs w:val="24"/>
        </w:rPr>
        <w:t xml:space="preserve">EHRC is also concerned about the accessibility of senior positions in the judiciary to people from low socio-economic backgrounds. In 2009, approximately 75% of judges, 68% of top barristers and 55% of solicitors </w:t>
      </w:r>
      <w:r>
        <w:rPr>
          <w:sz w:val="24"/>
          <w:szCs w:val="24"/>
        </w:rPr>
        <w:t>were</w:t>
      </w:r>
      <w:r w:rsidRPr="008B2CB8">
        <w:rPr>
          <w:sz w:val="24"/>
          <w:szCs w:val="24"/>
        </w:rPr>
        <w:t xml:space="preserve"> privately educated (though these figures are steadily decreasing); with lawyers typically growing up in families with an income 64% above the national average.</w:t>
      </w:r>
      <w:r w:rsidRPr="008B2CB8">
        <w:rPr>
          <w:rStyle w:val="FootnoteReference"/>
          <w:sz w:val="24"/>
          <w:szCs w:val="24"/>
        </w:rPr>
        <w:footnoteReference w:id="311"/>
      </w:r>
      <w:r w:rsidRPr="008B2CB8">
        <w:rPr>
          <w:sz w:val="24"/>
          <w:szCs w:val="24"/>
        </w:rPr>
        <w:t xml:space="preserve"> A good illustration is the current composition of the Supreme Court of England and Wales where, of its 12 judges, all but one went to a private school; all but one went to Oxford or Cambridge University; and all were previously successful barristers in private practice.</w:t>
      </w:r>
      <w:r w:rsidRPr="008B2CB8">
        <w:rPr>
          <w:rStyle w:val="FootnoteReference"/>
          <w:sz w:val="24"/>
          <w:szCs w:val="24"/>
        </w:rPr>
        <w:footnoteReference w:id="312"/>
      </w:r>
    </w:p>
    <w:p w:rsidR="002B6091" w:rsidRPr="008B2CB8" w:rsidRDefault="002B6091" w:rsidP="002B6091">
      <w:pPr>
        <w:pStyle w:val="ListParagraph"/>
        <w:spacing w:after="0"/>
        <w:ind w:left="0"/>
        <w:rPr>
          <w:sz w:val="24"/>
          <w:szCs w:val="24"/>
        </w:rPr>
      </w:pPr>
    </w:p>
    <w:p w:rsidR="002B6091" w:rsidRPr="008B2CB8" w:rsidRDefault="002B6091" w:rsidP="002B6091">
      <w:pPr>
        <w:pStyle w:val="ListParagraph"/>
        <w:spacing w:after="0"/>
        <w:ind w:left="0"/>
        <w:rPr>
          <w:sz w:val="24"/>
          <w:szCs w:val="24"/>
        </w:rPr>
      </w:pPr>
      <w:r w:rsidRPr="008B2CB8">
        <w:rPr>
          <w:sz w:val="24"/>
          <w:szCs w:val="24"/>
        </w:rPr>
        <w:t>A Judicial Diversity Taskforce was established in 2010 to implement the remainder of the Panel on Judicial Diversity’s recommendations, and report on progress. By 2013 only 18 of the 53 recommendations had been fully implemented.</w:t>
      </w:r>
      <w:r w:rsidRPr="008B2CB8">
        <w:rPr>
          <w:rStyle w:val="FootnoteReference"/>
          <w:sz w:val="24"/>
          <w:szCs w:val="24"/>
        </w:rPr>
        <w:footnoteReference w:id="313"/>
      </w:r>
      <w:r w:rsidRPr="008B2CB8">
        <w:rPr>
          <w:sz w:val="24"/>
          <w:szCs w:val="24"/>
        </w:rPr>
        <w:t xml:space="preserve"> The House of Lords Select Committee on the Constitution</w:t>
      </w:r>
      <w:r w:rsidRPr="008B2CB8">
        <w:rPr>
          <w:rStyle w:val="FootnoteReference"/>
          <w:sz w:val="24"/>
          <w:szCs w:val="24"/>
        </w:rPr>
        <w:footnoteReference w:id="314"/>
      </w:r>
      <w:r w:rsidRPr="008B2CB8">
        <w:rPr>
          <w:sz w:val="24"/>
          <w:szCs w:val="24"/>
        </w:rPr>
        <w:t xml:space="preserve"> has stressed that “sufficient steps have yet been taken” to increase judicial diversity and made a number of recommendations to accelerate change, including:</w:t>
      </w:r>
    </w:p>
    <w:p w:rsidR="002B6091" w:rsidRPr="008B2CB8" w:rsidRDefault="002B6091" w:rsidP="002B6091">
      <w:pPr>
        <w:pStyle w:val="ListParagraph"/>
        <w:numPr>
          <w:ilvl w:val="0"/>
          <w:numId w:val="43"/>
        </w:numPr>
        <w:spacing w:after="0"/>
        <w:ind w:left="780"/>
        <w:rPr>
          <w:sz w:val="24"/>
          <w:szCs w:val="24"/>
        </w:rPr>
      </w:pPr>
      <w:r w:rsidRPr="008B2CB8">
        <w:rPr>
          <w:sz w:val="24"/>
          <w:szCs w:val="24"/>
        </w:rPr>
        <w:t xml:space="preserve">selection panels should be gender and ethnically diverse, with all those involved in the appointments process being required to undertake diversity training; </w:t>
      </w:r>
    </w:p>
    <w:p w:rsidR="002B6091" w:rsidRPr="008B2CB8" w:rsidRDefault="002B6091" w:rsidP="002B6091">
      <w:pPr>
        <w:pStyle w:val="ListParagraph"/>
        <w:numPr>
          <w:ilvl w:val="0"/>
          <w:numId w:val="43"/>
        </w:numPr>
        <w:spacing w:after="0"/>
        <w:ind w:left="780"/>
        <w:rPr>
          <w:sz w:val="24"/>
          <w:szCs w:val="24"/>
        </w:rPr>
      </w:pPr>
      <w:r w:rsidRPr="008B2CB8">
        <w:rPr>
          <w:sz w:val="24"/>
          <w:szCs w:val="24"/>
        </w:rPr>
        <w:lastRenderedPageBreak/>
        <w:t>the consideration of non-mandatory targets for the Judicial Appointments Commission i</w:t>
      </w:r>
      <w:r>
        <w:rPr>
          <w:sz w:val="24"/>
          <w:szCs w:val="24"/>
        </w:rPr>
        <w:t>f</w:t>
      </w:r>
      <w:r w:rsidRPr="008B2CB8">
        <w:rPr>
          <w:sz w:val="24"/>
          <w:szCs w:val="24"/>
        </w:rPr>
        <w:t xml:space="preserve"> there is no significant increase in the numbers of women and ethnic minorities in judicial appointments by 2017;</w:t>
      </w:r>
      <w:r w:rsidRPr="008B2CB8">
        <w:rPr>
          <w:rStyle w:val="FootnoteReference"/>
          <w:sz w:val="24"/>
          <w:szCs w:val="24"/>
        </w:rPr>
        <w:footnoteReference w:id="315"/>
      </w:r>
      <w:r w:rsidRPr="008B2CB8">
        <w:rPr>
          <w:sz w:val="24"/>
          <w:szCs w:val="24"/>
        </w:rPr>
        <w:t xml:space="preserve"> and</w:t>
      </w:r>
    </w:p>
    <w:p w:rsidR="002B6091" w:rsidRPr="008B2CB8" w:rsidRDefault="002B6091" w:rsidP="002B6091">
      <w:pPr>
        <w:pStyle w:val="ListParagraph"/>
        <w:numPr>
          <w:ilvl w:val="0"/>
          <w:numId w:val="43"/>
        </w:numPr>
        <w:spacing w:after="0"/>
        <w:ind w:left="780"/>
        <w:rPr>
          <w:sz w:val="24"/>
          <w:szCs w:val="24"/>
        </w:rPr>
      </w:pPr>
      <w:proofErr w:type="gramStart"/>
      <w:r w:rsidRPr="008B2CB8">
        <w:rPr>
          <w:sz w:val="24"/>
          <w:szCs w:val="24"/>
        </w:rPr>
        <w:t>appointments</w:t>
      </w:r>
      <w:proofErr w:type="gramEnd"/>
      <w:r w:rsidRPr="008B2CB8">
        <w:rPr>
          <w:sz w:val="24"/>
          <w:szCs w:val="24"/>
        </w:rPr>
        <w:t xml:space="preserve"> panels must include lay persons who can bring a different perspective to the assessment of candidates’ abilities.</w:t>
      </w:r>
    </w:p>
    <w:p w:rsidR="002B6091" w:rsidRPr="008B2CB8" w:rsidRDefault="002B6091" w:rsidP="002B6091">
      <w:pPr>
        <w:spacing w:after="0"/>
        <w:rPr>
          <w:sz w:val="24"/>
          <w:szCs w:val="24"/>
        </w:rPr>
      </w:pPr>
    </w:p>
    <w:p w:rsidR="002B6091" w:rsidRPr="008B2CB8" w:rsidRDefault="002B6091" w:rsidP="002B6091">
      <w:pPr>
        <w:pStyle w:val="ListParagraph"/>
        <w:spacing w:after="0"/>
        <w:ind w:left="0"/>
        <w:rPr>
          <w:b/>
          <w:sz w:val="24"/>
          <w:szCs w:val="24"/>
        </w:rPr>
      </w:pPr>
      <w:r w:rsidRPr="008B2CB8">
        <w:rPr>
          <w:b/>
          <w:sz w:val="24"/>
          <w:szCs w:val="24"/>
        </w:rPr>
        <w:t xml:space="preserve">Conclusion: While some progress has been made in enhancing the policy and legal framework related to judicial diversity in England and Wales, this is incomplete and yet to translate into significantly improved outcomes for women, ethnic minorities and those from poor socio-economic backgrounds. The UK Government should therefore ensure the recommendations of the Advisory Panel on Judicial Diversity and the House of Lords Committee on the Constitution are implemented more rapidly in England and Wales. </w:t>
      </w:r>
    </w:p>
    <w:p w:rsidR="002B6091" w:rsidRPr="008B2CB8" w:rsidRDefault="002B6091" w:rsidP="002B6091">
      <w:pPr>
        <w:pStyle w:val="ListParagraph"/>
        <w:spacing w:after="0"/>
        <w:ind w:left="0"/>
        <w:rPr>
          <w:b/>
          <w:sz w:val="24"/>
          <w:szCs w:val="24"/>
        </w:rPr>
      </w:pPr>
    </w:p>
    <w:p w:rsidR="002B6091" w:rsidRPr="008B2CB8" w:rsidRDefault="002B6091" w:rsidP="002B6091">
      <w:pPr>
        <w:pStyle w:val="ListParagraph"/>
        <w:spacing w:after="0"/>
        <w:ind w:left="0"/>
        <w:rPr>
          <w:b/>
          <w:sz w:val="24"/>
          <w:szCs w:val="24"/>
        </w:rPr>
      </w:pPr>
      <w:r w:rsidRPr="008B2CB8">
        <w:rPr>
          <w:b/>
          <w:sz w:val="24"/>
          <w:szCs w:val="24"/>
        </w:rPr>
        <w:t xml:space="preserve">Question A: Could the UK Government outline the steps it has taken and human and financial resources it has committed to ensuring the recommendations of the Advisory Panel on Judicial Diversity and the House of Lords Committee on the Constitution are implemented more rapidly in England and Wales? </w:t>
      </w:r>
    </w:p>
    <w:p w:rsidR="002B6091" w:rsidRPr="008B2CB8" w:rsidRDefault="002B6091" w:rsidP="002B6091">
      <w:pPr>
        <w:pStyle w:val="ListParagraph"/>
        <w:spacing w:after="0"/>
        <w:ind w:left="0"/>
        <w:rPr>
          <w:b/>
          <w:sz w:val="24"/>
          <w:szCs w:val="24"/>
        </w:rPr>
      </w:pPr>
    </w:p>
    <w:p w:rsidR="002B6091" w:rsidRPr="008B2CB8" w:rsidRDefault="002B6091" w:rsidP="002B6091">
      <w:pPr>
        <w:pStyle w:val="ListParagraph"/>
        <w:spacing w:after="0"/>
        <w:ind w:left="0"/>
        <w:rPr>
          <w:b/>
          <w:sz w:val="24"/>
          <w:szCs w:val="24"/>
        </w:rPr>
      </w:pPr>
      <w:r w:rsidRPr="008B2CB8">
        <w:rPr>
          <w:b/>
          <w:sz w:val="24"/>
          <w:szCs w:val="24"/>
        </w:rPr>
        <w:t>Question B: Could the UK Government provide an update on steps it has taken to implement the recommendations of the CEDAW and CERD Committees to introduce targeted measures to increase representation of women and ethnic minorities in the judiciary in England and Wales; and could the UK Government provide an analysis of the implications of setting non-mandatory targets for the Judicial Appointments Commission to follow if significantly improved outcomes are not achieved by 2017?</w:t>
      </w:r>
      <w:r w:rsidR="008C67B4">
        <w:rPr>
          <w:b/>
          <w:sz w:val="24"/>
          <w:szCs w:val="24"/>
        </w:rPr>
        <w:t xml:space="preserve">  </w:t>
      </w:r>
    </w:p>
    <w:p w:rsidR="002B6091" w:rsidRPr="008B2CB8" w:rsidRDefault="002B6091" w:rsidP="002B6091">
      <w:pPr>
        <w:spacing w:after="0"/>
        <w:rPr>
          <w:sz w:val="24"/>
          <w:szCs w:val="24"/>
        </w:rPr>
      </w:pPr>
    </w:p>
    <w:p w:rsidR="002B6091" w:rsidRPr="008B2CB8" w:rsidRDefault="002B6091" w:rsidP="002B6091">
      <w:pPr>
        <w:pStyle w:val="Heading2"/>
        <w:numPr>
          <w:ilvl w:val="0"/>
          <w:numId w:val="23"/>
        </w:numPr>
        <w:rPr>
          <w:sz w:val="24"/>
          <w:szCs w:val="24"/>
        </w:rPr>
      </w:pPr>
      <w:bookmarkStart w:id="44" w:name="_Toc420603201"/>
      <w:bookmarkStart w:id="45" w:name="_Toc420603292"/>
      <w:r w:rsidRPr="008B2CB8">
        <w:rPr>
          <w:sz w:val="24"/>
          <w:szCs w:val="24"/>
        </w:rPr>
        <w:t>Access to Civil Justice (Article 14)</w:t>
      </w:r>
      <w:r w:rsidRPr="008B2CB8">
        <w:rPr>
          <w:rStyle w:val="FootnoteReference"/>
          <w:sz w:val="24"/>
          <w:szCs w:val="24"/>
        </w:rPr>
        <w:footnoteReference w:id="316"/>
      </w:r>
      <w:bookmarkEnd w:id="44"/>
      <w:bookmarkEnd w:id="45"/>
    </w:p>
    <w:p w:rsidR="002B6091" w:rsidRPr="008B2CB8" w:rsidRDefault="002B6091" w:rsidP="002B6091">
      <w:pPr>
        <w:pStyle w:val="ListParagraph"/>
        <w:spacing w:after="0"/>
        <w:ind w:left="360"/>
        <w:rPr>
          <w:b/>
          <w:sz w:val="24"/>
          <w:szCs w:val="24"/>
        </w:rPr>
      </w:pPr>
    </w:p>
    <w:p w:rsidR="002B6091" w:rsidRPr="00E353B0" w:rsidRDefault="002B6091" w:rsidP="002B6091">
      <w:pPr>
        <w:pStyle w:val="Heading2"/>
        <w:numPr>
          <w:ilvl w:val="0"/>
          <w:numId w:val="106"/>
        </w:numPr>
        <w:rPr>
          <w:sz w:val="24"/>
          <w:szCs w:val="24"/>
        </w:rPr>
      </w:pPr>
      <w:bookmarkStart w:id="46" w:name="_Toc420603202"/>
      <w:bookmarkStart w:id="47" w:name="_Toc420603293"/>
      <w:r w:rsidRPr="00E353B0">
        <w:rPr>
          <w:sz w:val="24"/>
          <w:szCs w:val="24"/>
        </w:rPr>
        <w:t>Legal Aid, Sentencing and Punishment Offenders (LASPO) Act 2012</w:t>
      </w:r>
      <w:bookmarkEnd w:id="46"/>
      <w:bookmarkEnd w:id="47"/>
    </w:p>
    <w:p w:rsidR="002B6091" w:rsidRPr="008B2CB8" w:rsidRDefault="002B6091" w:rsidP="002B6091">
      <w:pPr>
        <w:pStyle w:val="ListParagraph"/>
        <w:spacing w:after="0"/>
        <w:rPr>
          <w:b/>
          <w:sz w:val="24"/>
          <w:szCs w:val="24"/>
        </w:rPr>
      </w:pPr>
    </w:p>
    <w:p w:rsidR="002B6091" w:rsidRPr="008B2CB8" w:rsidRDefault="002B6091" w:rsidP="002B6091">
      <w:pPr>
        <w:spacing w:after="0"/>
        <w:rPr>
          <w:sz w:val="24"/>
          <w:szCs w:val="24"/>
        </w:rPr>
      </w:pPr>
      <w:r w:rsidRPr="008B2CB8">
        <w:rPr>
          <w:bCs/>
          <w:sz w:val="24"/>
          <w:szCs w:val="24"/>
        </w:rPr>
        <w:t>Providing a system of legal aid is a significant part of how Britain meets its obligations to ensure equality before the courts and tribunals for all persons. The EHRC is concerned that changes</w:t>
      </w:r>
      <w:r w:rsidR="008C67B4">
        <w:rPr>
          <w:bCs/>
          <w:sz w:val="24"/>
          <w:szCs w:val="24"/>
        </w:rPr>
        <w:t xml:space="preserve"> </w:t>
      </w:r>
      <w:r w:rsidRPr="008B2CB8">
        <w:rPr>
          <w:bCs/>
          <w:sz w:val="24"/>
          <w:szCs w:val="24"/>
        </w:rPr>
        <w:t xml:space="preserve">introduced to civil legal aid by the Legal Aid, </w:t>
      </w:r>
      <w:r w:rsidRPr="008B2CB8">
        <w:rPr>
          <w:bCs/>
          <w:sz w:val="24"/>
          <w:szCs w:val="24"/>
        </w:rPr>
        <w:lastRenderedPageBreak/>
        <w:t>Sentencing and Punishment of Offenders (LASPO) Act 2012</w:t>
      </w:r>
      <w:r>
        <w:rPr>
          <w:rStyle w:val="FootnoteReference"/>
          <w:bCs/>
          <w:sz w:val="24"/>
          <w:szCs w:val="24"/>
        </w:rPr>
        <w:footnoteReference w:id="317"/>
      </w:r>
      <w:r w:rsidRPr="008B2CB8">
        <w:rPr>
          <w:bCs/>
          <w:sz w:val="24"/>
          <w:szCs w:val="24"/>
        </w:rPr>
        <w:t xml:space="preserve"> weaken these protections in England and Wales.</w:t>
      </w:r>
      <w:r w:rsidRPr="008B2CB8">
        <w:rPr>
          <w:rStyle w:val="FootnoteReference"/>
          <w:sz w:val="24"/>
          <w:szCs w:val="24"/>
        </w:rPr>
        <w:footnoteReference w:id="318"/>
      </w:r>
      <w:r w:rsidRPr="008B2CB8">
        <w:rPr>
          <w:bCs/>
          <w:sz w:val="24"/>
          <w:szCs w:val="24"/>
        </w:rPr>
        <w:t xml:space="preserve"> Compared to the previous year, in 2013/14 around 420,000 fewer legal help cases were started and 45,500 fewer certificates were granted for representation in court.</w:t>
      </w:r>
      <w:r w:rsidRPr="008B2CB8">
        <w:rPr>
          <w:rStyle w:val="FootnoteReference"/>
          <w:bCs/>
          <w:sz w:val="24"/>
          <w:szCs w:val="24"/>
        </w:rPr>
        <w:footnoteReference w:id="319"/>
      </w:r>
      <w:r w:rsidRPr="008B2CB8">
        <w:rPr>
          <w:bCs/>
          <w:sz w:val="24"/>
          <w:szCs w:val="24"/>
        </w:rPr>
        <w:t xml:space="preserve"> </w:t>
      </w:r>
    </w:p>
    <w:p w:rsidR="002B6091" w:rsidRPr="008B2CB8" w:rsidRDefault="002B6091" w:rsidP="002B6091">
      <w:pPr>
        <w:spacing w:after="0"/>
        <w:rPr>
          <w:sz w:val="24"/>
          <w:szCs w:val="24"/>
        </w:rPr>
      </w:pPr>
    </w:p>
    <w:p w:rsidR="002B6091" w:rsidRPr="008B2CB8" w:rsidRDefault="002B6091" w:rsidP="002B6091">
      <w:pPr>
        <w:spacing w:after="0"/>
        <w:rPr>
          <w:sz w:val="24"/>
          <w:szCs w:val="24"/>
        </w:rPr>
      </w:pPr>
      <w:r w:rsidRPr="008B2CB8">
        <w:rPr>
          <w:sz w:val="24"/>
          <w:szCs w:val="24"/>
        </w:rPr>
        <w:t>The EHRC is also concerned that:</w:t>
      </w:r>
    </w:p>
    <w:p w:rsidR="002B6091" w:rsidRPr="008B2CB8" w:rsidRDefault="002B6091" w:rsidP="002B6091">
      <w:pPr>
        <w:pStyle w:val="ListParagraph"/>
        <w:numPr>
          <w:ilvl w:val="0"/>
          <w:numId w:val="44"/>
        </w:numPr>
        <w:spacing w:after="0"/>
        <w:rPr>
          <w:b/>
          <w:sz w:val="24"/>
          <w:szCs w:val="24"/>
        </w:rPr>
      </w:pPr>
      <w:r w:rsidRPr="008B2CB8">
        <w:rPr>
          <w:sz w:val="24"/>
          <w:szCs w:val="24"/>
        </w:rPr>
        <w:t>an exceptional funding scheme – designed to allow funding where a failure to provide legal aid would be, or would result in, a breach of the individual’s human rights under the European Convention on Human Rights (ECHR) or rights under European Union law - is not functioning as intended, both because of its demanding application process and the strict interpretation of its eligibility criteria;</w:t>
      </w:r>
      <w:r w:rsidRPr="008B2CB8">
        <w:rPr>
          <w:rStyle w:val="FootnoteReference"/>
          <w:sz w:val="24"/>
          <w:szCs w:val="24"/>
        </w:rPr>
        <w:footnoteReference w:id="320"/>
      </w:r>
      <w:r w:rsidRPr="008B2CB8">
        <w:rPr>
          <w:b/>
          <w:sz w:val="24"/>
          <w:szCs w:val="24"/>
        </w:rPr>
        <w:t xml:space="preserve"> </w:t>
      </w:r>
      <w:r w:rsidRPr="008B2CB8">
        <w:rPr>
          <w:sz w:val="24"/>
          <w:szCs w:val="24"/>
        </w:rPr>
        <w:t>and</w:t>
      </w:r>
    </w:p>
    <w:p w:rsidR="002B6091" w:rsidRPr="008B2CB8" w:rsidRDefault="002B6091" w:rsidP="002B6091">
      <w:pPr>
        <w:pStyle w:val="ListParagraph"/>
        <w:numPr>
          <w:ilvl w:val="0"/>
          <w:numId w:val="44"/>
        </w:numPr>
        <w:spacing w:after="0"/>
        <w:rPr>
          <w:b/>
          <w:sz w:val="24"/>
          <w:szCs w:val="24"/>
        </w:rPr>
      </w:pPr>
      <w:proofErr w:type="gramStart"/>
      <w:r w:rsidRPr="008B2CB8">
        <w:rPr>
          <w:sz w:val="24"/>
          <w:szCs w:val="24"/>
        </w:rPr>
        <w:t>the</w:t>
      </w:r>
      <w:proofErr w:type="gramEnd"/>
      <w:r w:rsidRPr="008B2CB8">
        <w:rPr>
          <w:sz w:val="24"/>
          <w:szCs w:val="24"/>
        </w:rPr>
        <w:t xml:space="preserve"> legal aid reforms, along with freezes in remuneration and increased administrative controls, are impacting on the availability of law firms conducting legal aid work, and specialist advisers. For example:</w:t>
      </w:r>
    </w:p>
    <w:p w:rsidR="002B6091" w:rsidRPr="008B2CB8" w:rsidRDefault="002B6091" w:rsidP="002B6091">
      <w:pPr>
        <w:pStyle w:val="ListParagraph"/>
        <w:numPr>
          <w:ilvl w:val="1"/>
          <w:numId w:val="44"/>
        </w:numPr>
        <w:spacing w:after="0"/>
        <w:rPr>
          <w:sz w:val="24"/>
          <w:szCs w:val="24"/>
        </w:rPr>
      </w:pPr>
      <w:r>
        <w:rPr>
          <w:sz w:val="24"/>
          <w:szCs w:val="24"/>
        </w:rPr>
        <w:t>t</w:t>
      </w:r>
      <w:r w:rsidRPr="008B2CB8">
        <w:rPr>
          <w:sz w:val="24"/>
          <w:szCs w:val="24"/>
        </w:rPr>
        <w:t>he Low Commission estimated that funding for advice from English local authorities could fall from £220million to £160million by 2015/16, and made a number of recommendations on the future of advice and legal support on social welfare in England and Wales;</w:t>
      </w:r>
      <w:r w:rsidRPr="008B2CB8">
        <w:rPr>
          <w:rStyle w:val="FootnoteReference"/>
          <w:sz w:val="24"/>
          <w:szCs w:val="24"/>
        </w:rPr>
        <w:footnoteReference w:id="321"/>
      </w:r>
      <w:r w:rsidR="008C67B4">
        <w:rPr>
          <w:sz w:val="24"/>
          <w:szCs w:val="24"/>
        </w:rPr>
        <w:t xml:space="preserve"> </w:t>
      </w:r>
    </w:p>
    <w:p w:rsidR="002B6091" w:rsidRPr="008B2CB8" w:rsidRDefault="002B6091" w:rsidP="002B6091">
      <w:pPr>
        <w:pStyle w:val="ListParagraph"/>
        <w:numPr>
          <w:ilvl w:val="1"/>
          <w:numId w:val="44"/>
        </w:numPr>
        <w:spacing w:after="0"/>
        <w:rPr>
          <w:sz w:val="24"/>
          <w:szCs w:val="24"/>
        </w:rPr>
      </w:pPr>
      <w:r>
        <w:rPr>
          <w:sz w:val="24"/>
          <w:szCs w:val="24"/>
        </w:rPr>
        <w:t>i</w:t>
      </w:r>
      <w:r w:rsidRPr="008B2CB8">
        <w:rPr>
          <w:sz w:val="24"/>
          <w:szCs w:val="24"/>
        </w:rPr>
        <w:t>n 2013/14 the number of civil legal aid providers reduced by almost a quarter compared to the previous year;</w:t>
      </w:r>
      <w:r w:rsidRPr="008B2CB8">
        <w:rPr>
          <w:rStyle w:val="FootnoteReference"/>
          <w:sz w:val="24"/>
          <w:szCs w:val="24"/>
        </w:rPr>
        <w:footnoteReference w:id="322"/>
      </w:r>
    </w:p>
    <w:p w:rsidR="002B6091" w:rsidRPr="008B2CB8" w:rsidRDefault="002B6091" w:rsidP="002B6091">
      <w:pPr>
        <w:pStyle w:val="ListParagraph"/>
        <w:numPr>
          <w:ilvl w:val="1"/>
          <w:numId w:val="44"/>
        </w:numPr>
        <w:spacing w:after="0"/>
        <w:rPr>
          <w:sz w:val="24"/>
          <w:szCs w:val="24"/>
        </w:rPr>
      </w:pPr>
      <w:proofErr w:type="gramStart"/>
      <w:r>
        <w:rPr>
          <w:sz w:val="24"/>
          <w:szCs w:val="24"/>
        </w:rPr>
        <w:t>f</w:t>
      </w:r>
      <w:r w:rsidRPr="008B2CB8">
        <w:rPr>
          <w:sz w:val="24"/>
          <w:szCs w:val="24"/>
        </w:rPr>
        <w:t>our</w:t>
      </w:r>
      <w:proofErr w:type="gramEnd"/>
      <w:r w:rsidRPr="008B2CB8">
        <w:rPr>
          <w:sz w:val="24"/>
          <w:szCs w:val="24"/>
        </w:rPr>
        <w:t xml:space="preserve"> law centres have closed in the past 12 months;</w:t>
      </w:r>
      <w:r w:rsidRPr="008B2CB8">
        <w:rPr>
          <w:rStyle w:val="FootnoteReference"/>
          <w:sz w:val="24"/>
          <w:szCs w:val="24"/>
        </w:rPr>
        <w:footnoteReference w:id="323"/>
      </w:r>
      <w:r w:rsidRPr="008B2CB8">
        <w:rPr>
          <w:sz w:val="24"/>
          <w:szCs w:val="24"/>
        </w:rPr>
        <w:t xml:space="preserve"> and Shelter, the national housing charity, has closed nine of its advice centres.</w:t>
      </w:r>
      <w:r w:rsidRPr="008B2CB8">
        <w:rPr>
          <w:rStyle w:val="FootnoteReference"/>
          <w:sz w:val="24"/>
          <w:szCs w:val="24"/>
        </w:rPr>
        <w:footnoteReference w:id="324"/>
      </w:r>
      <w:r w:rsidR="008C67B4">
        <w:rPr>
          <w:sz w:val="24"/>
          <w:szCs w:val="24"/>
        </w:rPr>
        <w:t xml:space="preserve"> </w:t>
      </w:r>
    </w:p>
    <w:p w:rsidR="002B6091" w:rsidRPr="008B2CB8" w:rsidRDefault="002B6091" w:rsidP="002B6091">
      <w:pPr>
        <w:pStyle w:val="ListParagraph"/>
        <w:spacing w:after="0"/>
        <w:ind w:left="1440"/>
        <w:rPr>
          <w:sz w:val="24"/>
          <w:szCs w:val="24"/>
        </w:rPr>
      </w:pPr>
    </w:p>
    <w:p w:rsidR="002B6091" w:rsidRPr="008B2CB8" w:rsidRDefault="002B6091" w:rsidP="002B6091">
      <w:pPr>
        <w:spacing w:after="0"/>
        <w:rPr>
          <w:sz w:val="24"/>
          <w:szCs w:val="24"/>
        </w:rPr>
      </w:pPr>
      <w:r w:rsidRPr="008B2CB8">
        <w:rPr>
          <w:sz w:val="24"/>
          <w:szCs w:val="24"/>
        </w:rPr>
        <w:t>The</w:t>
      </w:r>
      <w:r w:rsidRPr="008B2CB8">
        <w:rPr>
          <w:b/>
          <w:sz w:val="24"/>
          <w:szCs w:val="24"/>
        </w:rPr>
        <w:t xml:space="preserve"> </w:t>
      </w:r>
      <w:r w:rsidRPr="008B2CB8">
        <w:rPr>
          <w:sz w:val="24"/>
          <w:szCs w:val="24"/>
        </w:rPr>
        <w:t>EHRC is particularly concerned about the potentially disproportionate impact of these changes on people with disabilities who represented 58% of the recipients of legally aided advice for welfare benefits in 2009/10.</w:t>
      </w:r>
      <w:r w:rsidRPr="008B2CB8">
        <w:rPr>
          <w:rStyle w:val="FootnoteReference"/>
          <w:sz w:val="24"/>
          <w:szCs w:val="24"/>
        </w:rPr>
        <w:footnoteReference w:id="325"/>
      </w:r>
      <w:r w:rsidRPr="008B2CB8">
        <w:rPr>
          <w:sz w:val="24"/>
          <w:szCs w:val="24"/>
        </w:rPr>
        <w:t xml:space="preserve"> We have also raised concerns about the accessibility of a mandatory telephone advice gateway that has been introduced for cases involving discrimination, debt and special educational needs.</w:t>
      </w:r>
      <w:r w:rsidRPr="008B2CB8">
        <w:rPr>
          <w:rStyle w:val="FootnoteReference"/>
          <w:sz w:val="24"/>
          <w:szCs w:val="24"/>
        </w:rPr>
        <w:footnoteReference w:id="326"/>
      </w:r>
      <w:r w:rsidRPr="008B2CB8">
        <w:rPr>
          <w:sz w:val="24"/>
          <w:szCs w:val="24"/>
        </w:rPr>
        <w:t xml:space="preserve"> The UK Government has given assurances that reasonable adjustments will be made for people with disabilities and those with urgent cases. A limited evaluation of user experiences of the telephone gateway is currently in progress.</w:t>
      </w:r>
      <w:r w:rsidRPr="008B2CB8">
        <w:rPr>
          <w:rStyle w:val="FootnoteReference"/>
          <w:sz w:val="24"/>
          <w:szCs w:val="24"/>
        </w:rPr>
        <w:footnoteReference w:id="327"/>
      </w:r>
    </w:p>
    <w:p w:rsidR="002B6091" w:rsidRPr="008B2CB8" w:rsidRDefault="002B6091" w:rsidP="002B6091">
      <w:pPr>
        <w:spacing w:after="0"/>
        <w:rPr>
          <w:sz w:val="24"/>
          <w:szCs w:val="24"/>
        </w:rPr>
      </w:pPr>
    </w:p>
    <w:p w:rsidR="002B6091" w:rsidRPr="00E353B0" w:rsidRDefault="002B6091" w:rsidP="002B6091">
      <w:pPr>
        <w:pStyle w:val="Heading2"/>
        <w:numPr>
          <w:ilvl w:val="0"/>
          <w:numId w:val="106"/>
        </w:numPr>
        <w:rPr>
          <w:sz w:val="24"/>
          <w:szCs w:val="24"/>
        </w:rPr>
      </w:pPr>
      <w:bookmarkStart w:id="48" w:name="_Toc420603203"/>
      <w:bookmarkStart w:id="49" w:name="_Toc420603294"/>
      <w:r w:rsidRPr="00E353B0">
        <w:rPr>
          <w:sz w:val="24"/>
          <w:szCs w:val="24"/>
        </w:rPr>
        <w:t>Residence Test for Civil Legal Aid</w:t>
      </w:r>
      <w:bookmarkEnd w:id="48"/>
      <w:bookmarkEnd w:id="49"/>
    </w:p>
    <w:p w:rsidR="002B6091" w:rsidRPr="008B2CB8" w:rsidRDefault="002B6091" w:rsidP="002B6091">
      <w:pPr>
        <w:spacing w:after="0"/>
        <w:rPr>
          <w:b/>
          <w:sz w:val="24"/>
          <w:szCs w:val="24"/>
        </w:rPr>
      </w:pPr>
      <w:r w:rsidRPr="008B2CB8">
        <w:rPr>
          <w:b/>
          <w:sz w:val="24"/>
          <w:szCs w:val="24"/>
        </w:rPr>
        <w:t xml:space="preserve"> </w:t>
      </w:r>
    </w:p>
    <w:p w:rsidR="002B6091" w:rsidRPr="008B2CB8" w:rsidRDefault="002B6091" w:rsidP="002B6091">
      <w:pPr>
        <w:spacing w:after="0"/>
        <w:rPr>
          <w:sz w:val="24"/>
          <w:szCs w:val="24"/>
        </w:rPr>
      </w:pPr>
      <w:r>
        <w:rPr>
          <w:sz w:val="24"/>
          <w:szCs w:val="24"/>
        </w:rPr>
        <w:t>T</w:t>
      </w:r>
      <w:r w:rsidRPr="003B35DC">
        <w:rPr>
          <w:sz w:val="24"/>
          <w:szCs w:val="24"/>
        </w:rPr>
        <w:t xml:space="preserve">he UK Government </w:t>
      </w:r>
      <w:r>
        <w:rPr>
          <w:sz w:val="24"/>
          <w:szCs w:val="24"/>
        </w:rPr>
        <w:t>had planned to</w:t>
      </w:r>
      <w:r w:rsidRPr="003B35DC">
        <w:rPr>
          <w:sz w:val="24"/>
          <w:szCs w:val="24"/>
        </w:rPr>
        <w:t xml:space="preserve"> introduce a residence test for civil legal aid, designed to limit funding to people who are lawfully resident in the UK and who, at some point, have been continuously resident for at least 12 months. Although this is a test of residence rather than being based on nationality, the EHRC believes it is arguable that it would unjustifiably discriminate against certain non-UK nationals, which could be a violation of Article 6(1), read with Article 14 of the ECHR.</w:t>
      </w:r>
      <w:r w:rsidRPr="008B2CB8">
        <w:rPr>
          <w:rStyle w:val="FootnoteReference"/>
          <w:sz w:val="24"/>
          <w:szCs w:val="24"/>
        </w:rPr>
        <w:footnoteReference w:id="328"/>
      </w:r>
      <w:r w:rsidRPr="008B2CB8">
        <w:rPr>
          <w:sz w:val="24"/>
          <w:szCs w:val="24"/>
        </w:rPr>
        <w:t xml:space="preserve"> </w:t>
      </w:r>
    </w:p>
    <w:p w:rsidR="002B6091" w:rsidRPr="008B2CB8" w:rsidRDefault="002B6091" w:rsidP="002B6091">
      <w:pPr>
        <w:spacing w:after="0"/>
        <w:rPr>
          <w:sz w:val="24"/>
          <w:szCs w:val="24"/>
        </w:rPr>
      </w:pPr>
    </w:p>
    <w:p w:rsidR="002B6091" w:rsidRPr="008B2CB8" w:rsidRDefault="002B6091" w:rsidP="002B6091">
      <w:pPr>
        <w:spacing w:after="0"/>
        <w:rPr>
          <w:sz w:val="24"/>
          <w:szCs w:val="24"/>
        </w:rPr>
      </w:pPr>
      <w:r w:rsidRPr="008B2CB8">
        <w:rPr>
          <w:sz w:val="24"/>
          <w:szCs w:val="24"/>
        </w:rPr>
        <w:t>Following a public consultation, the UK Government announced some exceptions to the residence test, including for victims of child trafficking, forced marriage, and asylum seekers. Nevertheless, there remain concerns that certain vulnerable children would still be unable to prove that they satisfy the test, for example:</w:t>
      </w:r>
    </w:p>
    <w:p w:rsidR="002B6091" w:rsidRPr="008B2CB8" w:rsidRDefault="002B6091" w:rsidP="002B6091">
      <w:pPr>
        <w:pStyle w:val="ListParagraph"/>
        <w:numPr>
          <w:ilvl w:val="0"/>
          <w:numId w:val="45"/>
        </w:numPr>
        <w:spacing w:after="0"/>
        <w:rPr>
          <w:sz w:val="24"/>
          <w:szCs w:val="24"/>
        </w:rPr>
      </w:pPr>
      <w:r>
        <w:rPr>
          <w:sz w:val="24"/>
          <w:szCs w:val="24"/>
        </w:rPr>
        <w:t>v</w:t>
      </w:r>
      <w:r w:rsidRPr="008B2CB8">
        <w:rPr>
          <w:sz w:val="24"/>
          <w:szCs w:val="24"/>
        </w:rPr>
        <w:t>ictims of trafficking whose status is disputed;</w:t>
      </w:r>
    </w:p>
    <w:p w:rsidR="002B6091" w:rsidRPr="008B2CB8" w:rsidRDefault="002B6091" w:rsidP="002B6091">
      <w:pPr>
        <w:pStyle w:val="ListParagraph"/>
        <w:numPr>
          <w:ilvl w:val="0"/>
          <w:numId w:val="45"/>
        </w:numPr>
        <w:spacing w:after="0"/>
        <w:rPr>
          <w:sz w:val="24"/>
          <w:szCs w:val="24"/>
        </w:rPr>
      </w:pPr>
      <w:r>
        <w:rPr>
          <w:sz w:val="24"/>
          <w:szCs w:val="24"/>
        </w:rPr>
        <w:t>c</w:t>
      </w:r>
      <w:r w:rsidRPr="008B2CB8">
        <w:rPr>
          <w:sz w:val="24"/>
          <w:szCs w:val="24"/>
        </w:rPr>
        <w:t>hildren who are undocumented, or who otherwise cannot prove that they have been lawfully resident in the UK for more than one year;</w:t>
      </w:r>
    </w:p>
    <w:p w:rsidR="002B6091" w:rsidRPr="008B2CB8" w:rsidRDefault="002B6091" w:rsidP="002B6091">
      <w:pPr>
        <w:pStyle w:val="ListParagraph"/>
        <w:numPr>
          <w:ilvl w:val="0"/>
          <w:numId w:val="45"/>
        </w:numPr>
        <w:spacing w:after="0"/>
        <w:rPr>
          <w:sz w:val="24"/>
          <w:szCs w:val="24"/>
        </w:rPr>
      </w:pPr>
      <w:proofErr w:type="gramStart"/>
      <w:r>
        <w:rPr>
          <w:sz w:val="24"/>
          <w:szCs w:val="24"/>
        </w:rPr>
        <w:t>c</w:t>
      </w:r>
      <w:r w:rsidRPr="008B2CB8">
        <w:rPr>
          <w:sz w:val="24"/>
          <w:szCs w:val="24"/>
        </w:rPr>
        <w:t>ertain</w:t>
      </w:r>
      <w:proofErr w:type="gramEnd"/>
      <w:r w:rsidRPr="008B2CB8">
        <w:rPr>
          <w:sz w:val="24"/>
          <w:szCs w:val="24"/>
        </w:rPr>
        <w:t xml:space="preserve"> child abduction cases, for example where the child is wrongfully brought to, or retained in, the UK, and their parent does not satisfy the residence test.</w:t>
      </w:r>
    </w:p>
    <w:p w:rsidR="002B6091" w:rsidRPr="008B2CB8" w:rsidRDefault="002B6091" w:rsidP="002B6091">
      <w:pPr>
        <w:pStyle w:val="ListParagraph"/>
        <w:spacing w:after="0"/>
        <w:rPr>
          <w:sz w:val="24"/>
          <w:szCs w:val="24"/>
        </w:rPr>
      </w:pPr>
    </w:p>
    <w:p w:rsidR="002B6091" w:rsidRPr="008B2CB8" w:rsidRDefault="002B6091" w:rsidP="002B6091">
      <w:pPr>
        <w:spacing w:after="0"/>
        <w:rPr>
          <w:sz w:val="24"/>
          <w:szCs w:val="24"/>
        </w:rPr>
      </w:pPr>
      <w:r w:rsidRPr="008B2CB8">
        <w:rPr>
          <w:sz w:val="24"/>
          <w:szCs w:val="24"/>
        </w:rPr>
        <w:t>In this context, concerns have been raised that the UK Government has not given full consideration to its international human rights obligations.</w:t>
      </w:r>
      <w:r w:rsidRPr="008B2CB8">
        <w:rPr>
          <w:rStyle w:val="FootnoteReference"/>
          <w:sz w:val="24"/>
          <w:szCs w:val="24"/>
        </w:rPr>
        <w:footnoteReference w:id="329"/>
      </w:r>
      <w:r>
        <w:rPr>
          <w:sz w:val="24"/>
          <w:szCs w:val="24"/>
        </w:rPr>
        <w:t xml:space="preserve"> </w:t>
      </w:r>
      <w:r w:rsidRPr="0052435E">
        <w:rPr>
          <w:sz w:val="24"/>
          <w:szCs w:val="24"/>
        </w:rPr>
        <w:t xml:space="preserve">In July 2014, the High </w:t>
      </w:r>
      <w:r w:rsidRPr="0052435E">
        <w:rPr>
          <w:sz w:val="24"/>
          <w:szCs w:val="24"/>
        </w:rPr>
        <w:lastRenderedPageBreak/>
        <w:t>Court ruled that the residence test is ‘ultra vires’ the LASPO Act, as well as being in breach of Article 14 read with Article 6 ECHR, and thus discriminatory.</w:t>
      </w:r>
      <w:r w:rsidRPr="0052435E">
        <w:rPr>
          <w:rStyle w:val="FootnoteReference"/>
          <w:sz w:val="24"/>
          <w:szCs w:val="24"/>
        </w:rPr>
        <w:footnoteReference w:id="330"/>
      </w:r>
      <w:r w:rsidRPr="0052435E">
        <w:rPr>
          <w:sz w:val="24"/>
          <w:szCs w:val="24"/>
        </w:rPr>
        <w:t xml:space="preserve"> </w:t>
      </w:r>
      <w:r w:rsidRPr="00F674DC">
        <w:rPr>
          <w:sz w:val="24"/>
          <w:szCs w:val="24"/>
        </w:rPr>
        <w:t xml:space="preserve">The </w:t>
      </w:r>
      <w:r>
        <w:rPr>
          <w:sz w:val="24"/>
          <w:szCs w:val="24"/>
        </w:rPr>
        <w:t xml:space="preserve">UK Government has taken the </w:t>
      </w:r>
      <w:r w:rsidRPr="00F674DC">
        <w:rPr>
          <w:sz w:val="24"/>
          <w:szCs w:val="24"/>
        </w:rPr>
        <w:t xml:space="preserve">decision to withdraw the draft Order introducing the residence test that was before Parliament, pending consideration of next steps on how to proceed. The </w:t>
      </w:r>
      <w:r>
        <w:rPr>
          <w:sz w:val="24"/>
          <w:szCs w:val="24"/>
        </w:rPr>
        <w:t xml:space="preserve">UK </w:t>
      </w:r>
      <w:r w:rsidRPr="00F674DC">
        <w:rPr>
          <w:sz w:val="24"/>
          <w:szCs w:val="24"/>
        </w:rPr>
        <w:t>Government will be appealing the judgement.</w:t>
      </w:r>
    </w:p>
    <w:p w:rsidR="002B6091" w:rsidRPr="008B2CB8" w:rsidRDefault="002B6091" w:rsidP="002B6091">
      <w:pPr>
        <w:spacing w:after="0"/>
        <w:rPr>
          <w:sz w:val="24"/>
          <w:szCs w:val="24"/>
        </w:rPr>
      </w:pPr>
    </w:p>
    <w:p w:rsidR="002B6091" w:rsidRPr="00E353B0" w:rsidRDefault="002B6091" w:rsidP="002B6091">
      <w:pPr>
        <w:pStyle w:val="Heading2"/>
        <w:numPr>
          <w:ilvl w:val="0"/>
          <w:numId w:val="106"/>
        </w:numPr>
        <w:rPr>
          <w:sz w:val="24"/>
          <w:szCs w:val="24"/>
        </w:rPr>
      </w:pPr>
      <w:bookmarkStart w:id="50" w:name="_Toc420603204"/>
      <w:bookmarkStart w:id="51" w:name="_Toc420603295"/>
      <w:r w:rsidRPr="00E353B0">
        <w:rPr>
          <w:sz w:val="24"/>
          <w:szCs w:val="24"/>
        </w:rPr>
        <w:t>Judicial Review Reforms</w:t>
      </w:r>
      <w:bookmarkEnd w:id="50"/>
      <w:bookmarkEnd w:id="51"/>
    </w:p>
    <w:p w:rsidR="002B6091" w:rsidRPr="008B2CB8" w:rsidRDefault="002B6091" w:rsidP="002B6091">
      <w:pPr>
        <w:pStyle w:val="ListParagraph"/>
        <w:spacing w:after="0"/>
        <w:ind w:left="360"/>
        <w:rPr>
          <w:sz w:val="24"/>
          <w:szCs w:val="24"/>
        </w:rPr>
      </w:pPr>
    </w:p>
    <w:p w:rsidR="002B6091" w:rsidRPr="008B2CB8" w:rsidRDefault="002B6091" w:rsidP="002B6091">
      <w:pPr>
        <w:pStyle w:val="ListParagraph"/>
        <w:spacing w:after="0"/>
        <w:ind w:left="0"/>
        <w:rPr>
          <w:sz w:val="24"/>
          <w:szCs w:val="24"/>
        </w:rPr>
      </w:pPr>
      <w:r w:rsidRPr="008B2CB8">
        <w:rPr>
          <w:sz w:val="24"/>
          <w:szCs w:val="24"/>
        </w:rPr>
        <w:t>The UK Government has presented a Bill to Parliament that would limit access to judicial review in England and Wales.</w:t>
      </w:r>
      <w:r w:rsidRPr="008B2CB8">
        <w:rPr>
          <w:rStyle w:val="FootnoteReference"/>
          <w:sz w:val="24"/>
          <w:szCs w:val="24"/>
        </w:rPr>
        <w:footnoteReference w:id="331"/>
      </w:r>
      <w:r w:rsidR="008C67B4">
        <w:rPr>
          <w:sz w:val="24"/>
          <w:szCs w:val="24"/>
        </w:rPr>
        <w:t xml:space="preserve"> </w:t>
      </w:r>
      <w:r w:rsidRPr="008B2CB8">
        <w:rPr>
          <w:sz w:val="24"/>
          <w:szCs w:val="24"/>
        </w:rPr>
        <w:t>The relevant provisions</w:t>
      </w:r>
      <w:r w:rsidRPr="008B2CB8">
        <w:rPr>
          <w:rStyle w:val="FootnoteReference"/>
          <w:sz w:val="24"/>
          <w:szCs w:val="24"/>
        </w:rPr>
        <w:footnoteReference w:id="332"/>
      </w:r>
      <w:r w:rsidRPr="008B2CB8">
        <w:rPr>
          <w:sz w:val="24"/>
          <w:szCs w:val="24"/>
        </w:rPr>
        <w:t xml:space="preserve"> include:</w:t>
      </w:r>
      <w:r w:rsidRPr="008B2CB8">
        <w:rPr>
          <w:rStyle w:val="FootnoteReference"/>
          <w:sz w:val="24"/>
          <w:szCs w:val="24"/>
        </w:rPr>
        <w:t xml:space="preserve"> </w:t>
      </w:r>
    </w:p>
    <w:p w:rsidR="002B6091" w:rsidRPr="008B2CB8" w:rsidRDefault="002B6091" w:rsidP="002B6091">
      <w:pPr>
        <w:pStyle w:val="ListParagraph"/>
        <w:numPr>
          <w:ilvl w:val="0"/>
          <w:numId w:val="46"/>
        </w:numPr>
        <w:spacing w:after="0"/>
        <w:rPr>
          <w:sz w:val="24"/>
          <w:szCs w:val="24"/>
        </w:rPr>
      </w:pPr>
      <w:r w:rsidRPr="008B2CB8">
        <w:rPr>
          <w:sz w:val="24"/>
          <w:szCs w:val="24"/>
        </w:rPr>
        <w:t xml:space="preserve">requiring the court to reject judicial review applications challenging procedural defects, where it is ‘highly likely’ that the outcome would be the same; this creates a risk of </w:t>
      </w:r>
      <w:r w:rsidRPr="008B2CB8">
        <w:rPr>
          <w:rFonts w:ascii="MinionPro-Regular" w:hAnsi="MinionPro-Regular" w:cs="MinionPro-Regular"/>
          <w:sz w:val="24"/>
          <w:szCs w:val="24"/>
          <w:lang w:eastAsia="en-GB"/>
        </w:rPr>
        <w:t>unlawful administrative action without a remedy;</w:t>
      </w:r>
    </w:p>
    <w:p w:rsidR="002B6091" w:rsidRPr="008B2CB8" w:rsidRDefault="002B6091" w:rsidP="002B6091">
      <w:pPr>
        <w:pStyle w:val="ListParagraph"/>
        <w:numPr>
          <w:ilvl w:val="0"/>
          <w:numId w:val="46"/>
        </w:numPr>
        <w:spacing w:after="0"/>
        <w:rPr>
          <w:sz w:val="24"/>
          <w:szCs w:val="24"/>
        </w:rPr>
      </w:pPr>
      <w:r w:rsidRPr="008B2CB8">
        <w:rPr>
          <w:sz w:val="24"/>
          <w:szCs w:val="24"/>
        </w:rPr>
        <w:t>limiting protective costs orders to cases where permission has already been granted, a move likely to discourage public interest challenges;</w:t>
      </w:r>
      <w:r w:rsidRPr="008B2CB8">
        <w:rPr>
          <w:rStyle w:val="FootnoteReference"/>
          <w:sz w:val="24"/>
          <w:szCs w:val="24"/>
        </w:rPr>
        <w:footnoteReference w:id="333"/>
      </w:r>
      <w:r w:rsidRPr="008B2CB8">
        <w:rPr>
          <w:sz w:val="24"/>
          <w:szCs w:val="24"/>
        </w:rPr>
        <w:t xml:space="preserve"> and</w:t>
      </w:r>
    </w:p>
    <w:p w:rsidR="002B6091" w:rsidRPr="008B2CB8" w:rsidRDefault="002B6091" w:rsidP="002B6091">
      <w:pPr>
        <w:pStyle w:val="ListParagraph"/>
        <w:numPr>
          <w:ilvl w:val="0"/>
          <w:numId w:val="46"/>
        </w:numPr>
        <w:spacing w:after="0"/>
        <w:rPr>
          <w:sz w:val="24"/>
          <w:szCs w:val="24"/>
        </w:rPr>
      </w:pPr>
      <w:proofErr w:type="gramStart"/>
      <w:r w:rsidRPr="008B2CB8">
        <w:rPr>
          <w:sz w:val="24"/>
          <w:szCs w:val="24"/>
        </w:rPr>
        <w:t>a</w:t>
      </w:r>
      <w:proofErr w:type="gramEnd"/>
      <w:r w:rsidRPr="008B2CB8">
        <w:rPr>
          <w:sz w:val="24"/>
          <w:szCs w:val="24"/>
        </w:rPr>
        <w:t xml:space="preserve"> presumption that third party interveners bear the additional costs arising to the parties from an intervention being made; this reverses the current presumption on costs.</w:t>
      </w:r>
      <w:r w:rsidRPr="008B2CB8">
        <w:rPr>
          <w:rStyle w:val="FootnoteReference"/>
          <w:sz w:val="24"/>
          <w:szCs w:val="24"/>
        </w:rPr>
        <w:footnoteReference w:id="334"/>
      </w:r>
      <w:r w:rsidRPr="008B2CB8">
        <w:rPr>
          <w:sz w:val="24"/>
          <w:szCs w:val="24"/>
        </w:rPr>
        <w:t xml:space="preserve"> </w:t>
      </w:r>
    </w:p>
    <w:p w:rsidR="002B6091" w:rsidRPr="008B2CB8" w:rsidRDefault="002B6091" w:rsidP="002B6091">
      <w:pPr>
        <w:pStyle w:val="ListParagraph"/>
        <w:spacing w:after="0"/>
        <w:ind w:left="0"/>
        <w:rPr>
          <w:sz w:val="24"/>
          <w:szCs w:val="24"/>
        </w:rPr>
      </w:pPr>
    </w:p>
    <w:p w:rsidR="002B6091" w:rsidRPr="008B2CB8" w:rsidRDefault="002B6091" w:rsidP="002B6091">
      <w:pPr>
        <w:pStyle w:val="ListParagraph"/>
        <w:spacing w:after="0"/>
        <w:ind w:left="0"/>
        <w:rPr>
          <w:sz w:val="24"/>
          <w:szCs w:val="24"/>
        </w:rPr>
      </w:pPr>
      <w:r w:rsidRPr="008B2CB8">
        <w:rPr>
          <w:sz w:val="24"/>
          <w:szCs w:val="24"/>
        </w:rPr>
        <w:t>In the EHRC’s analysis, the court should retain full discretion on all these aspects of procedure, recognising that judicial review is concerned with challenges to public wrongs, rather than the private law rights of individuals.</w:t>
      </w:r>
    </w:p>
    <w:p w:rsidR="002B6091" w:rsidRPr="008B2CB8" w:rsidRDefault="002B6091" w:rsidP="002B6091">
      <w:pPr>
        <w:pStyle w:val="ListParagraph"/>
        <w:spacing w:after="0"/>
        <w:ind w:left="0"/>
        <w:rPr>
          <w:sz w:val="24"/>
          <w:szCs w:val="24"/>
        </w:rPr>
      </w:pPr>
    </w:p>
    <w:p w:rsidR="002B6091" w:rsidRPr="008B2CB8" w:rsidRDefault="002B6091" w:rsidP="002B6091">
      <w:pPr>
        <w:pStyle w:val="ListParagraph"/>
        <w:spacing w:after="0"/>
        <w:ind w:left="0"/>
        <w:rPr>
          <w:sz w:val="24"/>
          <w:szCs w:val="24"/>
        </w:rPr>
      </w:pPr>
      <w:r w:rsidRPr="008B2CB8">
        <w:rPr>
          <w:sz w:val="24"/>
          <w:szCs w:val="24"/>
        </w:rPr>
        <w:t>The UK Government has also removed legal aid for judicial review applications, unless the court grants permission for the application to go ahead (although there is discretion to grant funding where the case settles before reaching the permission stage).</w:t>
      </w:r>
      <w:r w:rsidRPr="008B2CB8">
        <w:rPr>
          <w:rStyle w:val="FootnoteReference"/>
          <w:sz w:val="24"/>
          <w:szCs w:val="24"/>
        </w:rPr>
        <w:footnoteReference w:id="335"/>
      </w:r>
      <w:r w:rsidRPr="008B2CB8">
        <w:rPr>
          <w:sz w:val="24"/>
          <w:szCs w:val="24"/>
        </w:rPr>
        <w:t xml:space="preserve"> The EHRC is concerned that this could have a negative impact on the ability of individuals and organisations to hold the state to account.</w:t>
      </w:r>
    </w:p>
    <w:p w:rsidR="002B6091" w:rsidRPr="008B2CB8" w:rsidRDefault="002B6091" w:rsidP="002B6091">
      <w:pPr>
        <w:pStyle w:val="ListParagraph"/>
        <w:spacing w:after="0"/>
        <w:ind w:left="0"/>
        <w:rPr>
          <w:sz w:val="24"/>
          <w:szCs w:val="24"/>
        </w:rPr>
      </w:pPr>
    </w:p>
    <w:p w:rsidR="002B6091" w:rsidRPr="008B2CB8" w:rsidRDefault="002B6091" w:rsidP="002B6091">
      <w:pPr>
        <w:spacing w:after="0"/>
        <w:rPr>
          <w:b/>
          <w:sz w:val="24"/>
          <w:szCs w:val="24"/>
        </w:rPr>
      </w:pPr>
      <w:r w:rsidRPr="008B2CB8">
        <w:rPr>
          <w:b/>
          <w:sz w:val="24"/>
          <w:szCs w:val="24"/>
        </w:rPr>
        <w:lastRenderedPageBreak/>
        <w:t>Conclusion: The UK Government needs to take a number of steps to ensure it continues to meet its obligations to protect the right to ensure equality before the courts and tribunals for all persons</w:t>
      </w:r>
      <w:r w:rsidRPr="008B2CB8" w:rsidDel="00374DC4">
        <w:rPr>
          <w:b/>
          <w:sz w:val="24"/>
          <w:szCs w:val="24"/>
        </w:rPr>
        <w:t xml:space="preserve"> </w:t>
      </w:r>
      <w:r w:rsidRPr="008B2CB8">
        <w:rPr>
          <w:b/>
          <w:sz w:val="24"/>
          <w:szCs w:val="24"/>
        </w:rPr>
        <w:t>and the right to liberty and security. These include:</w:t>
      </w:r>
    </w:p>
    <w:p w:rsidR="002B6091" w:rsidRPr="008B2CB8" w:rsidRDefault="002B6091" w:rsidP="002B6091">
      <w:pPr>
        <w:pStyle w:val="ListParagraph"/>
        <w:numPr>
          <w:ilvl w:val="0"/>
          <w:numId w:val="47"/>
        </w:numPr>
        <w:spacing w:after="0"/>
        <w:rPr>
          <w:b/>
          <w:sz w:val="24"/>
          <w:szCs w:val="24"/>
        </w:rPr>
      </w:pPr>
      <w:r w:rsidRPr="008B2CB8">
        <w:rPr>
          <w:b/>
          <w:sz w:val="24"/>
          <w:szCs w:val="24"/>
        </w:rPr>
        <w:t>urgently commissioning a comprehensive, independent review of the operation of the exceptional funding scheme and telephone advice gateway;</w:t>
      </w:r>
    </w:p>
    <w:p w:rsidR="002B6091" w:rsidRPr="008B2CB8" w:rsidRDefault="002B6091" w:rsidP="002B6091">
      <w:pPr>
        <w:pStyle w:val="ListParagraph"/>
        <w:numPr>
          <w:ilvl w:val="0"/>
          <w:numId w:val="47"/>
        </w:numPr>
        <w:spacing w:after="0"/>
        <w:rPr>
          <w:b/>
          <w:sz w:val="24"/>
          <w:szCs w:val="24"/>
        </w:rPr>
      </w:pPr>
      <w:r w:rsidRPr="008B2CB8">
        <w:rPr>
          <w:b/>
          <w:sz w:val="24"/>
          <w:szCs w:val="24"/>
        </w:rPr>
        <w:t>responding to the recommendations of the Low Commission on the future of advice and legal support for social welfare in England and Wales; and</w:t>
      </w:r>
    </w:p>
    <w:p w:rsidR="002B6091" w:rsidRPr="008B2CB8" w:rsidRDefault="002B6091" w:rsidP="002B6091">
      <w:pPr>
        <w:pStyle w:val="ListParagraph"/>
        <w:numPr>
          <w:ilvl w:val="0"/>
          <w:numId w:val="47"/>
        </w:numPr>
        <w:spacing w:after="0"/>
        <w:rPr>
          <w:b/>
          <w:sz w:val="24"/>
          <w:szCs w:val="24"/>
        </w:rPr>
      </w:pPr>
      <w:proofErr w:type="gramStart"/>
      <w:r w:rsidRPr="008B2CB8">
        <w:rPr>
          <w:b/>
          <w:sz w:val="24"/>
          <w:szCs w:val="24"/>
        </w:rPr>
        <w:t>withdrawing</w:t>
      </w:r>
      <w:proofErr w:type="gramEnd"/>
      <w:r w:rsidRPr="008B2CB8">
        <w:rPr>
          <w:b/>
          <w:sz w:val="24"/>
          <w:szCs w:val="24"/>
        </w:rPr>
        <w:t xml:space="preserve"> the residence test, the restrictions for legal aid for judicial review and the proposals to limit the court’s discretion in these cases.</w:t>
      </w:r>
    </w:p>
    <w:p w:rsidR="002B6091" w:rsidRPr="008B2CB8" w:rsidRDefault="002B6091" w:rsidP="002B6091">
      <w:pPr>
        <w:spacing w:after="0"/>
        <w:rPr>
          <w:b/>
          <w:sz w:val="24"/>
          <w:szCs w:val="24"/>
        </w:rPr>
      </w:pPr>
    </w:p>
    <w:p w:rsidR="002B6091" w:rsidRPr="008B2CB8" w:rsidRDefault="002B6091" w:rsidP="002B6091">
      <w:pPr>
        <w:spacing w:after="0"/>
        <w:rPr>
          <w:b/>
          <w:sz w:val="24"/>
          <w:szCs w:val="24"/>
        </w:rPr>
      </w:pPr>
      <w:r w:rsidRPr="008B2CB8">
        <w:rPr>
          <w:b/>
          <w:sz w:val="24"/>
          <w:szCs w:val="24"/>
        </w:rPr>
        <w:t>Question A: Could the UK Government provide data about the impact of the LA</w:t>
      </w:r>
      <w:r>
        <w:rPr>
          <w:b/>
          <w:sz w:val="24"/>
          <w:szCs w:val="24"/>
        </w:rPr>
        <w:t>SP</w:t>
      </w:r>
      <w:r w:rsidRPr="008B2CB8">
        <w:rPr>
          <w:b/>
          <w:sz w:val="24"/>
          <w:szCs w:val="24"/>
        </w:rPr>
        <w:t>O Act within its first year of operation on the legal and advice sector, together with the impact of austerity measures on this sector, including:</w:t>
      </w:r>
    </w:p>
    <w:p w:rsidR="002B6091" w:rsidRPr="008B2CB8" w:rsidRDefault="002B6091" w:rsidP="002B6091">
      <w:pPr>
        <w:pStyle w:val="ListParagraph"/>
        <w:numPr>
          <w:ilvl w:val="0"/>
          <w:numId w:val="48"/>
        </w:numPr>
        <w:spacing w:after="0"/>
        <w:rPr>
          <w:b/>
          <w:sz w:val="24"/>
          <w:szCs w:val="24"/>
        </w:rPr>
      </w:pPr>
      <w:r w:rsidRPr="008B2CB8">
        <w:rPr>
          <w:b/>
          <w:sz w:val="24"/>
          <w:szCs w:val="24"/>
        </w:rPr>
        <w:t>the reduction in the number of civil legal aid providers;</w:t>
      </w:r>
    </w:p>
    <w:p w:rsidR="002B6091" w:rsidRPr="008B2CB8" w:rsidRDefault="002B6091" w:rsidP="002B6091">
      <w:pPr>
        <w:pStyle w:val="ListParagraph"/>
        <w:numPr>
          <w:ilvl w:val="0"/>
          <w:numId w:val="48"/>
        </w:numPr>
        <w:spacing w:after="0"/>
        <w:rPr>
          <w:b/>
          <w:sz w:val="24"/>
          <w:szCs w:val="24"/>
        </w:rPr>
      </w:pPr>
      <w:r w:rsidRPr="008B2CB8">
        <w:rPr>
          <w:b/>
          <w:sz w:val="24"/>
          <w:szCs w:val="24"/>
        </w:rPr>
        <w:t>reductions in funding for advice from English and Welsh local authorities; and the number of closures of law centres and specialist advice centres, such as those providing advice to children and young people.</w:t>
      </w:r>
    </w:p>
    <w:p w:rsidR="002B6091" w:rsidRPr="008B2CB8" w:rsidRDefault="002B6091" w:rsidP="002B6091">
      <w:pPr>
        <w:pStyle w:val="ListParagraph"/>
        <w:spacing w:after="0"/>
        <w:ind w:left="0"/>
        <w:rPr>
          <w:b/>
          <w:sz w:val="24"/>
          <w:szCs w:val="24"/>
        </w:rPr>
      </w:pPr>
      <w:r w:rsidRPr="008B2CB8">
        <w:rPr>
          <w:b/>
          <w:sz w:val="24"/>
          <w:szCs w:val="24"/>
        </w:rPr>
        <w:t>Could the UK Government also provide information about the steps it has taken to mitigate these impacts?</w:t>
      </w:r>
    </w:p>
    <w:p w:rsidR="002B6091" w:rsidRPr="008B2CB8" w:rsidRDefault="002B6091" w:rsidP="002B6091">
      <w:pPr>
        <w:pStyle w:val="ListParagraph"/>
        <w:spacing w:after="0"/>
        <w:ind w:left="0"/>
        <w:rPr>
          <w:b/>
          <w:sz w:val="24"/>
          <w:szCs w:val="24"/>
        </w:rPr>
      </w:pPr>
    </w:p>
    <w:p w:rsidR="002B6091" w:rsidRPr="008B2CB8" w:rsidRDefault="002B6091" w:rsidP="002B6091">
      <w:pPr>
        <w:pStyle w:val="ListParagraph"/>
        <w:spacing w:after="0"/>
        <w:ind w:left="0"/>
        <w:rPr>
          <w:b/>
          <w:sz w:val="24"/>
          <w:szCs w:val="24"/>
        </w:rPr>
      </w:pPr>
      <w:r w:rsidRPr="008B2CB8">
        <w:rPr>
          <w:b/>
          <w:sz w:val="24"/>
          <w:szCs w:val="24"/>
        </w:rPr>
        <w:t>Question B: Can the UK Government describe how it will ensure the residence test, once introduced, will not lead to individuals being excluded from access to civil legal aid for a case relating to rights that are reflected in the ICCPR</w:t>
      </w:r>
      <w:r>
        <w:rPr>
          <w:b/>
          <w:sz w:val="24"/>
          <w:szCs w:val="24"/>
        </w:rPr>
        <w:t>?</w:t>
      </w:r>
    </w:p>
    <w:p w:rsidR="002B6091" w:rsidRPr="008B2CB8" w:rsidRDefault="002B6091" w:rsidP="002B6091">
      <w:pPr>
        <w:pStyle w:val="Heading2"/>
        <w:numPr>
          <w:ilvl w:val="0"/>
          <w:numId w:val="23"/>
        </w:numPr>
        <w:rPr>
          <w:sz w:val="24"/>
          <w:szCs w:val="24"/>
        </w:rPr>
      </w:pPr>
      <w:bookmarkStart w:id="52" w:name="_Toc420603205"/>
      <w:bookmarkStart w:id="53" w:name="_Toc420603296"/>
      <w:r w:rsidRPr="008B2CB8">
        <w:rPr>
          <w:sz w:val="24"/>
          <w:szCs w:val="24"/>
        </w:rPr>
        <w:t>Counter Terrorism Provisions (Articles 9 and 14)</w:t>
      </w:r>
      <w:r w:rsidRPr="008B2CB8">
        <w:rPr>
          <w:rStyle w:val="FootnoteReference"/>
          <w:sz w:val="24"/>
          <w:szCs w:val="24"/>
        </w:rPr>
        <w:footnoteReference w:id="336"/>
      </w:r>
      <w:bookmarkEnd w:id="52"/>
      <w:bookmarkEnd w:id="53"/>
    </w:p>
    <w:p w:rsidR="002B6091" w:rsidRPr="00553F23" w:rsidRDefault="002B6091" w:rsidP="002B6091">
      <w:pPr>
        <w:pStyle w:val="Heading2"/>
        <w:numPr>
          <w:ilvl w:val="0"/>
          <w:numId w:val="51"/>
        </w:numPr>
        <w:rPr>
          <w:sz w:val="24"/>
          <w:szCs w:val="24"/>
        </w:rPr>
      </w:pPr>
      <w:bookmarkStart w:id="54" w:name="_Toc420603206"/>
      <w:bookmarkStart w:id="55" w:name="_Toc420603297"/>
      <w:r w:rsidRPr="008B2CB8">
        <w:rPr>
          <w:sz w:val="24"/>
          <w:szCs w:val="24"/>
        </w:rPr>
        <w:t>Right to legal advice when detained</w:t>
      </w:r>
      <w:bookmarkEnd w:id="54"/>
      <w:bookmarkEnd w:id="55"/>
    </w:p>
    <w:p w:rsidR="002B6091" w:rsidRPr="008B2CB8" w:rsidRDefault="002B6091" w:rsidP="002B6091">
      <w:pPr>
        <w:pStyle w:val="ListParagraph"/>
        <w:spacing w:after="0"/>
        <w:ind w:left="0"/>
        <w:rPr>
          <w:b/>
          <w:sz w:val="24"/>
          <w:szCs w:val="24"/>
        </w:rPr>
      </w:pPr>
      <w:r w:rsidRPr="008B2CB8">
        <w:rPr>
          <w:sz w:val="24"/>
          <w:szCs w:val="24"/>
        </w:rPr>
        <w:t>The EHRC remains concerned that persons arrested under section 41 of the Terrorism Act 2000</w:t>
      </w:r>
      <w:r w:rsidRPr="008B2CB8">
        <w:rPr>
          <w:rStyle w:val="FootnoteReference"/>
          <w:sz w:val="24"/>
          <w:szCs w:val="24"/>
        </w:rPr>
        <w:footnoteReference w:id="337"/>
      </w:r>
      <w:r w:rsidRPr="008B2CB8">
        <w:rPr>
          <w:sz w:val="24"/>
          <w:szCs w:val="24"/>
        </w:rPr>
        <w:t xml:space="preserve"> do not have the same right to access legal advice as those arrested for non-terrorism related cases.</w:t>
      </w:r>
      <w:r w:rsidRPr="008B2CB8">
        <w:rPr>
          <w:rStyle w:val="FootnoteReference"/>
          <w:sz w:val="24"/>
          <w:szCs w:val="24"/>
        </w:rPr>
        <w:footnoteReference w:id="338"/>
      </w:r>
      <w:r w:rsidRPr="008B2CB8">
        <w:rPr>
          <w:sz w:val="24"/>
          <w:szCs w:val="24"/>
        </w:rPr>
        <w:t xml:space="preserve"> While terrorism suspects have the right to consult </w:t>
      </w:r>
      <w:r>
        <w:rPr>
          <w:sz w:val="24"/>
          <w:szCs w:val="24"/>
        </w:rPr>
        <w:t>a</w:t>
      </w:r>
      <w:r w:rsidRPr="008B2CB8">
        <w:rPr>
          <w:sz w:val="24"/>
          <w:szCs w:val="24"/>
        </w:rPr>
        <w:t xml:space="preserve"> solicitor privately and as soon as reasonably practicable, access may be delayed where there is reason to believe its immediate provision will lead to interference with the gathering of information about the commission, preparation, or instigation of acts of terrorism. Any such delay must be authorised by a senior police officer and may not be delayed beyond 48 hours. The EHRC </w:t>
      </w:r>
      <w:r>
        <w:rPr>
          <w:sz w:val="24"/>
          <w:szCs w:val="24"/>
        </w:rPr>
        <w:t>has recommended</w:t>
      </w:r>
      <w:r w:rsidRPr="008B2CB8">
        <w:rPr>
          <w:sz w:val="24"/>
          <w:szCs w:val="24"/>
        </w:rPr>
        <w:t xml:space="preserve"> that Schedule 8 to the Terrorism Act 2000 be amended so that terrorism suspects have </w:t>
      </w:r>
      <w:r w:rsidRPr="008B2CB8">
        <w:rPr>
          <w:sz w:val="24"/>
          <w:szCs w:val="24"/>
        </w:rPr>
        <w:lastRenderedPageBreak/>
        <w:t>the same access to legal advice as those arrested for non-terrorism related cases</w:t>
      </w:r>
      <w:r>
        <w:rPr>
          <w:sz w:val="24"/>
          <w:szCs w:val="24"/>
        </w:rPr>
        <w:t>, for example through the duty solicitor scheme</w:t>
      </w:r>
      <w:r w:rsidRPr="008B2CB8">
        <w:rPr>
          <w:sz w:val="24"/>
          <w:szCs w:val="24"/>
        </w:rPr>
        <w:t>.</w:t>
      </w:r>
      <w:r w:rsidRPr="008B2CB8">
        <w:rPr>
          <w:rStyle w:val="FootnoteReference"/>
          <w:sz w:val="24"/>
          <w:szCs w:val="24"/>
        </w:rPr>
        <w:footnoteReference w:id="339"/>
      </w:r>
      <w:r w:rsidRPr="008B2CB8">
        <w:rPr>
          <w:sz w:val="24"/>
          <w:szCs w:val="24"/>
        </w:rPr>
        <w:t xml:space="preserve"> </w:t>
      </w:r>
    </w:p>
    <w:p w:rsidR="002B6091" w:rsidRPr="008B2CB8" w:rsidRDefault="002B6091" w:rsidP="002B6091">
      <w:pPr>
        <w:pStyle w:val="Heading2"/>
        <w:numPr>
          <w:ilvl w:val="0"/>
          <w:numId w:val="51"/>
        </w:numPr>
        <w:rPr>
          <w:sz w:val="24"/>
          <w:szCs w:val="24"/>
        </w:rPr>
      </w:pPr>
      <w:bookmarkStart w:id="56" w:name="_Toc420603207"/>
      <w:bookmarkStart w:id="57" w:name="_Toc420603298"/>
      <w:r w:rsidRPr="008B2CB8">
        <w:rPr>
          <w:sz w:val="24"/>
          <w:szCs w:val="24"/>
        </w:rPr>
        <w:t>Pre-charge detention</w:t>
      </w:r>
      <w:bookmarkEnd w:id="56"/>
      <w:bookmarkEnd w:id="57"/>
    </w:p>
    <w:p w:rsidR="002B6091" w:rsidRPr="008B2CB8" w:rsidRDefault="002B6091" w:rsidP="002B6091">
      <w:pPr>
        <w:spacing w:after="0"/>
        <w:rPr>
          <w:sz w:val="24"/>
          <w:szCs w:val="24"/>
        </w:rPr>
      </w:pPr>
      <w:r w:rsidRPr="008B2CB8">
        <w:rPr>
          <w:sz w:val="24"/>
          <w:szCs w:val="24"/>
        </w:rPr>
        <w:t>The Protection of Freedoms Act 2012</w:t>
      </w:r>
      <w:r w:rsidRPr="008B2CB8">
        <w:rPr>
          <w:rStyle w:val="FootnoteReference"/>
          <w:sz w:val="24"/>
          <w:szCs w:val="24"/>
        </w:rPr>
        <w:footnoteReference w:id="340"/>
      </w:r>
      <w:r w:rsidRPr="008B2CB8">
        <w:rPr>
          <w:sz w:val="24"/>
          <w:szCs w:val="24"/>
        </w:rPr>
        <w:t xml:space="preserve"> retains the 14-day limit for terrorism suspects</w:t>
      </w:r>
      <w:r>
        <w:rPr>
          <w:sz w:val="24"/>
          <w:szCs w:val="24"/>
        </w:rPr>
        <w:t xml:space="preserve"> to be detained before being charged</w:t>
      </w:r>
      <w:r w:rsidRPr="008B2CB8">
        <w:rPr>
          <w:sz w:val="24"/>
          <w:szCs w:val="24"/>
        </w:rPr>
        <w:t>, with judicial authorisation.</w:t>
      </w:r>
      <w:r w:rsidR="008C67B4">
        <w:rPr>
          <w:sz w:val="24"/>
          <w:szCs w:val="24"/>
        </w:rPr>
        <w:t xml:space="preserve"> </w:t>
      </w:r>
      <w:r w:rsidRPr="008B2CB8">
        <w:rPr>
          <w:sz w:val="24"/>
          <w:szCs w:val="24"/>
        </w:rPr>
        <w:t>The EHRC shares the HRC’s concerns about pre-charge detention in terrorism cases,</w:t>
      </w:r>
      <w:r w:rsidRPr="008B2CB8">
        <w:rPr>
          <w:rStyle w:val="FootnoteReference"/>
          <w:sz w:val="24"/>
          <w:szCs w:val="24"/>
        </w:rPr>
        <w:footnoteReference w:id="341"/>
      </w:r>
      <w:r w:rsidRPr="008B2CB8">
        <w:rPr>
          <w:sz w:val="24"/>
          <w:szCs w:val="24"/>
        </w:rPr>
        <w:t xml:space="preserve"> and considers the maximum should be four days, consistent with the criminal law in England and Wales. This would still be longer than pre-charge detention in terrorism cases in other countries, such as the United States (two days), Canada (one day), and Germany (one day).</w:t>
      </w:r>
      <w:r w:rsidRPr="008B2CB8">
        <w:rPr>
          <w:rStyle w:val="FootnoteReference"/>
          <w:sz w:val="24"/>
          <w:szCs w:val="24"/>
        </w:rPr>
        <w:footnoteReference w:id="342"/>
      </w:r>
    </w:p>
    <w:p w:rsidR="002B6091" w:rsidRPr="008B2CB8" w:rsidRDefault="002B6091" w:rsidP="002B6091">
      <w:pPr>
        <w:spacing w:after="0"/>
        <w:rPr>
          <w:sz w:val="24"/>
          <w:szCs w:val="24"/>
        </w:rPr>
      </w:pPr>
    </w:p>
    <w:p w:rsidR="002B6091" w:rsidRPr="008B2CB8" w:rsidRDefault="002B6091" w:rsidP="002B6091">
      <w:pPr>
        <w:spacing w:after="0"/>
        <w:rPr>
          <w:sz w:val="24"/>
          <w:szCs w:val="24"/>
        </w:rPr>
      </w:pPr>
      <w:r w:rsidRPr="008B2CB8">
        <w:rPr>
          <w:sz w:val="24"/>
          <w:szCs w:val="24"/>
        </w:rPr>
        <w:t>The Home Secretary also retains a limited power to extend pre-charge detention to 28 days in an emergency, when the UK Parliament has been dissolved, or at the start of a new Parliament, before the Queen’s Speech.</w:t>
      </w:r>
      <w:r w:rsidRPr="008B2CB8">
        <w:rPr>
          <w:rStyle w:val="FootnoteReference"/>
          <w:sz w:val="24"/>
          <w:szCs w:val="24"/>
        </w:rPr>
        <w:footnoteReference w:id="343"/>
      </w:r>
      <w:r w:rsidRPr="008B2CB8">
        <w:rPr>
          <w:sz w:val="24"/>
          <w:szCs w:val="24"/>
        </w:rPr>
        <w:t xml:space="preserve"> The EHRC considers an extension to 28 days, even in an emergency, would risk breaching Article 5 of the ECHR.</w:t>
      </w:r>
      <w:r w:rsidRPr="008B2CB8">
        <w:rPr>
          <w:rStyle w:val="FootnoteReference"/>
          <w:sz w:val="24"/>
          <w:szCs w:val="24"/>
        </w:rPr>
        <w:footnoteReference w:id="344"/>
      </w:r>
      <w:r w:rsidRPr="008B2CB8">
        <w:rPr>
          <w:sz w:val="24"/>
          <w:szCs w:val="24"/>
        </w:rPr>
        <w:t xml:space="preserve"> Again, we agree with the HRC and the UN Human Rights Council’s (UNHRC) recommendations</w:t>
      </w:r>
      <w:r w:rsidRPr="008B2CB8">
        <w:rPr>
          <w:rStyle w:val="FootnoteReference"/>
          <w:sz w:val="24"/>
          <w:szCs w:val="24"/>
        </w:rPr>
        <w:footnoteReference w:id="345"/>
      </w:r>
      <w:r w:rsidRPr="008B2CB8">
        <w:rPr>
          <w:sz w:val="24"/>
          <w:szCs w:val="24"/>
        </w:rPr>
        <w:t xml:space="preserve"> for strict time limits for pre-charge detention, strengthened guarantees and that, on arrest, terrorist suspects should be promptly informed of any charge against them, and tried within a reasonable time, or released.</w:t>
      </w:r>
    </w:p>
    <w:p w:rsidR="002B6091" w:rsidRPr="008B2CB8" w:rsidRDefault="002B6091" w:rsidP="002B6091">
      <w:pPr>
        <w:spacing w:after="0"/>
        <w:rPr>
          <w:sz w:val="24"/>
          <w:szCs w:val="24"/>
        </w:rPr>
      </w:pPr>
    </w:p>
    <w:p w:rsidR="002B6091" w:rsidRPr="00553F23" w:rsidRDefault="002B6091" w:rsidP="002B6091">
      <w:pPr>
        <w:spacing w:after="0"/>
        <w:rPr>
          <w:b/>
          <w:sz w:val="24"/>
          <w:szCs w:val="24"/>
        </w:rPr>
      </w:pPr>
      <w:r w:rsidRPr="008B2CB8">
        <w:rPr>
          <w:sz w:val="24"/>
          <w:szCs w:val="24"/>
        </w:rPr>
        <w:t>The independent reviewer of terrorism legislation has also recommended that bail be available to those detained under the Terrorism Acts.</w:t>
      </w:r>
      <w:r w:rsidRPr="008B2CB8">
        <w:rPr>
          <w:rStyle w:val="FootnoteReference"/>
          <w:sz w:val="24"/>
          <w:szCs w:val="24"/>
        </w:rPr>
        <w:footnoteReference w:id="346"/>
      </w:r>
      <w:r w:rsidRPr="008B2CB8">
        <w:rPr>
          <w:sz w:val="24"/>
          <w:szCs w:val="24"/>
        </w:rPr>
        <w:t xml:space="preserve"> </w:t>
      </w:r>
    </w:p>
    <w:p w:rsidR="002B6091" w:rsidRPr="00553F23" w:rsidRDefault="002B6091" w:rsidP="002B6091">
      <w:pPr>
        <w:pStyle w:val="Heading2"/>
        <w:numPr>
          <w:ilvl w:val="0"/>
          <w:numId w:val="51"/>
        </w:numPr>
        <w:rPr>
          <w:sz w:val="24"/>
          <w:szCs w:val="24"/>
        </w:rPr>
      </w:pPr>
      <w:bookmarkStart w:id="58" w:name="_Toc420603208"/>
      <w:bookmarkStart w:id="59" w:name="_Toc420603299"/>
      <w:r w:rsidRPr="008B2CB8">
        <w:rPr>
          <w:sz w:val="24"/>
          <w:szCs w:val="24"/>
        </w:rPr>
        <w:t>Terrorism Prevention and Investigation Measures and Prosecution of Terrorist Suspects</w:t>
      </w:r>
      <w:bookmarkEnd w:id="58"/>
      <w:bookmarkEnd w:id="59"/>
    </w:p>
    <w:p w:rsidR="002B6091" w:rsidRPr="008B2CB8" w:rsidRDefault="002B6091" w:rsidP="002B6091">
      <w:pPr>
        <w:spacing w:after="0"/>
        <w:rPr>
          <w:sz w:val="24"/>
          <w:szCs w:val="24"/>
        </w:rPr>
      </w:pPr>
      <w:r w:rsidRPr="008B2CB8">
        <w:rPr>
          <w:sz w:val="24"/>
          <w:szCs w:val="24"/>
        </w:rPr>
        <w:t>The Terrorism Prevention and Investigation Measures (TPIMs) Act 2011</w:t>
      </w:r>
      <w:r w:rsidRPr="008B2CB8">
        <w:rPr>
          <w:rStyle w:val="FootnoteReference"/>
          <w:sz w:val="24"/>
          <w:szCs w:val="24"/>
        </w:rPr>
        <w:footnoteReference w:id="347"/>
      </w:r>
      <w:r w:rsidRPr="008B2CB8">
        <w:rPr>
          <w:sz w:val="24"/>
          <w:szCs w:val="24"/>
        </w:rPr>
        <w:t xml:space="preserve"> replaced control orders. TPIMs are restrictions imposed on individuals the Home Secretary </w:t>
      </w:r>
      <w:r w:rsidRPr="008B2CB8">
        <w:rPr>
          <w:sz w:val="24"/>
          <w:szCs w:val="24"/>
        </w:rPr>
        <w:lastRenderedPageBreak/>
        <w:t xml:space="preserve">believes to have engaged in terrorism-related activity, but that it is unfeasible to prosecute nor to deport, for example due to a lack of evidence, or even where the individual has already been acquitted by a jury. </w:t>
      </w:r>
    </w:p>
    <w:p w:rsidR="002B6091" w:rsidRPr="008B2CB8" w:rsidRDefault="002B6091" w:rsidP="002B6091">
      <w:pPr>
        <w:spacing w:after="0"/>
        <w:rPr>
          <w:sz w:val="24"/>
          <w:szCs w:val="24"/>
        </w:rPr>
      </w:pPr>
    </w:p>
    <w:p w:rsidR="002B6091" w:rsidRPr="008B2CB8" w:rsidRDefault="002B6091" w:rsidP="002B6091">
      <w:pPr>
        <w:spacing w:after="0"/>
        <w:rPr>
          <w:sz w:val="24"/>
          <w:szCs w:val="24"/>
        </w:rPr>
      </w:pPr>
      <w:r w:rsidRPr="008B2CB8">
        <w:rPr>
          <w:sz w:val="24"/>
          <w:szCs w:val="24"/>
        </w:rPr>
        <w:t>TPIMs allow significant restrictions on individuals’ liberty based on the “reasonable belief” of the threat they are considered to pose. While this standard of proof is higher than that required for control orders (“suspicion”), it is still well below that required in civil (“the balance of probabilities”) or criminal matters (“beyond reasonable doubt”).</w:t>
      </w:r>
    </w:p>
    <w:p w:rsidR="002B6091" w:rsidRPr="008B2CB8" w:rsidRDefault="002B6091" w:rsidP="002B6091">
      <w:pPr>
        <w:spacing w:after="0"/>
        <w:rPr>
          <w:sz w:val="24"/>
          <w:szCs w:val="24"/>
        </w:rPr>
      </w:pPr>
    </w:p>
    <w:p w:rsidR="002B6091" w:rsidRPr="008B2CB8" w:rsidRDefault="002B6091" w:rsidP="002B6091">
      <w:pPr>
        <w:spacing w:after="0"/>
        <w:rPr>
          <w:sz w:val="24"/>
          <w:szCs w:val="24"/>
        </w:rPr>
      </w:pPr>
      <w:r w:rsidRPr="008B2CB8">
        <w:rPr>
          <w:sz w:val="24"/>
          <w:szCs w:val="24"/>
        </w:rPr>
        <w:t>The EHRC has welcomed that TPIMs provide for a more proportionate regime than control orders,</w:t>
      </w:r>
      <w:r w:rsidRPr="008B2CB8">
        <w:rPr>
          <w:rStyle w:val="FootnoteReference"/>
          <w:sz w:val="24"/>
          <w:szCs w:val="24"/>
        </w:rPr>
        <w:footnoteReference w:id="348"/>
      </w:r>
      <w:r w:rsidRPr="008B2CB8">
        <w:rPr>
          <w:sz w:val="24"/>
          <w:szCs w:val="24"/>
        </w:rPr>
        <w:t xml:space="preserve"> and that they have been used with some restraint. While we note that none have been in force since March 2014, we remain concerned that TPIMs lack the necessary safeguards to protect human rights and violate </w:t>
      </w:r>
      <w:r>
        <w:rPr>
          <w:sz w:val="24"/>
          <w:szCs w:val="24"/>
        </w:rPr>
        <w:t xml:space="preserve">one of </w:t>
      </w:r>
      <w:r w:rsidRPr="008B2CB8">
        <w:rPr>
          <w:sz w:val="24"/>
          <w:szCs w:val="24"/>
        </w:rPr>
        <w:t xml:space="preserve">the key </w:t>
      </w:r>
      <w:proofErr w:type="gramStart"/>
      <w:r w:rsidRPr="008B2CB8">
        <w:rPr>
          <w:sz w:val="24"/>
          <w:szCs w:val="24"/>
        </w:rPr>
        <w:t>principle</w:t>
      </w:r>
      <w:proofErr w:type="gramEnd"/>
      <w:r w:rsidRPr="008B2CB8">
        <w:rPr>
          <w:sz w:val="24"/>
          <w:szCs w:val="24"/>
        </w:rPr>
        <w:t xml:space="preserve"> of civil liberties to prohibit punishment for what people </w:t>
      </w:r>
      <w:r w:rsidRPr="008B2CB8">
        <w:rPr>
          <w:i/>
          <w:sz w:val="24"/>
          <w:szCs w:val="24"/>
        </w:rPr>
        <w:t>might</w:t>
      </w:r>
      <w:r w:rsidRPr="008B2CB8">
        <w:rPr>
          <w:sz w:val="24"/>
          <w:szCs w:val="24"/>
        </w:rPr>
        <w:t xml:space="preserve"> do, rather than what they </w:t>
      </w:r>
      <w:r w:rsidRPr="008B2CB8">
        <w:rPr>
          <w:i/>
          <w:sz w:val="24"/>
          <w:szCs w:val="24"/>
        </w:rPr>
        <w:t>have</w:t>
      </w:r>
      <w:r w:rsidRPr="008B2CB8">
        <w:rPr>
          <w:sz w:val="24"/>
          <w:szCs w:val="24"/>
        </w:rPr>
        <w:t xml:space="preserve"> done. </w:t>
      </w:r>
    </w:p>
    <w:p w:rsidR="002B6091" w:rsidRPr="008B2CB8" w:rsidRDefault="002B6091" w:rsidP="002B6091">
      <w:pPr>
        <w:spacing w:after="0"/>
        <w:rPr>
          <w:sz w:val="24"/>
          <w:szCs w:val="24"/>
        </w:rPr>
      </w:pPr>
    </w:p>
    <w:p w:rsidR="002B6091" w:rsidRPr="008B2CB8" w:rsidRDefault="002B6091" w:rsidP="002B6091">
      <w:pPr>
        <w:spacing w:after="0"/>
        <w:rPr>
          <w:sz w:val="24"/>
          <w:szCs w:val="24"/>
        </w:rPr>
      </w:pPr>
      <w:r w:rsidRPr="008B2CB8">
        <w:rPr>
          <w:sz w:val="24"/>
          <w:szCs w:val="24"/>
        </w:rPr>
        <w:t>TPIMs include intrusive, restrictive measures that can be imposed for a maximum of two years, including:</w:t>
      </w:r>
    </w:p>
    <w:p w:rsidR="002B6091" w:rsidRPr="008B2CB8" w:rsidRDefault="002B6091" w:rsidP="002B6091">
      <w:pPr>
        <w:pStyle w:val="ListParagraph"/>
        <w:numPr>
          <w:ilvl w:val="0"/>
          <w:numId w:val="49"/>
        </w:numPr>
        <w:spacing w:after="0"/>
        <w:rPr>
          <w:sz w:val="24"/>
          <w:szCs w:val="24"/>
        </w:rPr>
      </w:pPr>
      <w:r w:rsidRPr="008B2CB8">
        <w:rPr>
          <w:sz w:val="24"/>
          <w:szCs w:val="24"/>
        </w:rPr>
        <w:t>electronic tagging;</w:t>
      </w:r>
    </w:p>
    <w:p w:rsidR="002B6091" w:rsidRPr="008B2CB8" w:rsidRDefault="002B6091" w:rsidP="002B6091">
      <w:pPr>
        <w:pStyle w:val="ListParagraph"/>
        <w:numPr>
          <w:ilvl w:val="0"/>
          <w:numId w:val="49"/>
        </w:numPr>
        <w:spacing w:after="0"/>
        <w:rPr>
          <w:sz w:val="24"/>
          <w:szCs w:val="24"/>
        </w:rPr>
      </w:pPr>
      <w:r w:rsidRPr="008B2CB8">
        <w:rPr>
          <w:sz w:val="24"/>
          <w:szCs w:val="24"/>
        </w:rPr>
        <w:t>requirements to stay overnight at specified addresses;</w:t>
      </w:r>
    </w:p>
    <w:p w:rsidR="002B6091" w:rsidRPr="008B2CB8" w:rsidRDefault="002B6091" w:rsidP="002B6091">
      <w:pPr>
        <w:pStyle w:val="ListParagraph"/>
        <w:numPr>
          <w:ilvl w:val="0"/>
          <w:numId w:val="49"/>
        </w:numPr>
        <w:spacing w:after="0"/>
        <w:rPr>
          <w:sz w:val="24"/>
          <w:szCs w:val="24"/>
        </w:rPr>
      </w:pPr>
      <w:r w:rsidRPr="008B2CB8">
        <w:rPr>
          <w:sz w:val="24"/>
          <w:szCs w:val="24"/>
        </w:rPr>
        <w:t xml:space="preserve">daily reports to a police station; </w:t>
      </w:r>
    </w:p>
    <w:p w:rsidR="002B6091" w:rsidRPr="008B2CB8" w:rsidRDefault="002B6091" w:rsidP="002B6091">
      <w:pPr>
        <w:pStyle w:val="ListParagraph"/>
        <w:numPr>
          <w:ilvl w:val="0"/>
          <w:numId w:val="49"/>
        </w:numPr>
        <w:spacing w:after="0"/>
        <w:rPr>
          <w:sz w:val="24"/>
          <w:szCs w:val="24"/>
        </w:rPr>
      </w:pPr>
      <w:r w:rsidRPr="008B2CB8">
        <w:rPr>
          <w:sz w:val="24"/>
          <w:szCs w:val="24"/>
        </w:rPr>
        <w:t>prohibitions on entering specific places or areas, contacting particular individuals, or travelling overseas;</w:t>
      </w:r>
    </w:p>
    <w:p w:rsidR="002B6091" w:rsidRPr="008B2CB8" w:rsidRDefault="002B6091" w:rsidP="002B6091">
      <w:pPr>
        <w:pStyle w:val="ListParagraph"/>
        <w:numPr>
          <w:ilvl w:val="0"/>
          <w:numId w:val="49"/>
        </w:numPr>
        <w:spacing w:after="0"/>
        <w:rPr>
          <w:sz w:val="24"/>
          <w:szCs w:val="24"/>
        </w:rPr>
      </w:pPr>
      <w:r w:rsidRPr="008B2CB8">
        <w:rPr>
          <w:sz w:val="24"/>
          <w:szCs w:val="24"/>
        </w:rPr>
        <w:t>work restrictions; and</w:t>
      </w:r>
    </w:p>
    <w:p w:rsidR="002B6091" w:rsidRPr="008B2CB8" w:rsidRDefault="002B6091" w:rsidP="002B6091">
      <w:pPr>
        <w:pStyle w:val="ListParagraph"/>
        <w:numPr>
          <w:ilvl w:val="0"/>
          <w:numId w:val="49"/>
        </w:numPr>
        <w:spacing w:after="0"/>
        <w:rPr>
          <w:sz w:val="24"/>
          <w:szCs w:val="24"/>
        </w:rPr>
      </w:pPr>
      <w:proofErr w:type="gramStart"/>
      <w:r w:rsidRPr="008B2CB8">
        <w:rPr>
          <w:sz w:val="24"/>
          <w:szCs w:val="24"/>
        </w:rPr>
        <w:t>limits</w:t>
      </w:r>
      <w:proofErr w:type="gramEnd"/>
      <w:r w:rsidRPr="008B2CB8">
        <w:rPr>
          <w:sz w:val="24"/>
          <w:szCs w:val="24"/>
        </w:rPr>
        <w:t xml:space="preserve"> on access to property, financial services and the internet.</w:t>
      </w:r>
    </w:p>
    <w:p w:rsidR="002B6091" w:rsidRPr="008B2CB8" w:rsidRDefault="002B6091" w:rsidP="002B6091">
      <w:pPr>
        <w:spacing w:after="0"/>
        <w:rPr>
          <w:sz w:val="24"/>
          <w:szCs w:val="24"/>
        </w:rPr>
      </w:pPr>
    </w:p>
    <w:p w:rsidR="002B6091" w:rsidRPr="008B2CB8" w:rsidRDefault="002B6091" w:rsidP="002B6091">
      <w:pPr>
        <w:rPr>
          <w:sz w:val="24"/>
          <w:szCs w:val="24"/>
        </w:rPr>
      </w:pPr>
      <w:r w:rsidRPr="008B2CB8">
        <w:rPr>
          <w:sz w:val="24"/>
          <w:szCs w:val="24"/>
        </w:rPr>
        <w:t>While it was recommended that any replacement of control orders should aim to facilitate the prosecution and conviction of terrorist suspects,</w:t>
      </w:r>
      <w:r w:rsidRPr="008B2CB8">
        <w:rPr>
          <w:rStyle w:val="FootnoteReference"/>
          <w:sz w:val="24"/>
          <w:szCs w:val="24"/>
        </w:rPr>
        <w:footnoteReference w:id="349"/>
      </w:r>
      <w:r w:rsidRPr="008B2CB8">
        <w:rPr>
          <w:sz w:val="24"/>
          <w:szCs w:val="24"/>
        </w:rPr>
        <w:t xml:space="preserve"> the independent reviewer of terrorism legislation and the UK Parliament’s Joint Committee on Human Rights (JCHR) have found TPIMs to be an ineffective investigation measure.</w:t>
      </w:r>
      <w:r w:rsidRPr="008B2CB8">
        <w:rPr>
          <w:rStyle w:val="FootnoteReference"/>
          <w:sz w:val="24"/>
          <w:szCs w:val="24"/>
        </w:rPr>
        <w:footnoteReference w:id="350"/>
      </w:r>
      <w:r w:rsidRPr="008B2CB8">
        <w:rPr>
          <w:sz w:val="24"/>
          <w:szCs w:val="24"/>
        </w:rPr>
        <w:t xml:space="preserve"> The EHRC has suggested the UK Government consider alternatives to meet this aim, such as the use of surveillance, or allowing intercept evidence to be used in court, </w:t>
      </w:r>
      <w:r w:rsidRPr="008B2CB8">
        <w:rPr>
          <w:sz w:val="24"/>
          <w:szCs w:val="24"/>
        </w:rPr>
        <w:lastRenderedPageBreak/>
        <w:t>which would allow suspects to be prosecuted under the normal criminal justice system, and either be convicted or acquitted.</w:t>
      </w:r>
      <w:r w:rsidRPr="008B2CB8">
        <w:rPr>
          <w:rStyle w:val="FootnoteReference"/>
          <w:sz w:val="24"/>
          <w:szCs w:val="24"/>
        </w:rPr>
        <w:footnoteReference w:id="351"/>
      </w:r>
    </w:p>
    <w:p w:rsidR="002B6091" w:rsidRPr="008B2CB8" w:rsidRDefault="002B6091" w:rsidP="002B6091">
      <w:pPr>
        <w:pStyle w:val="Heading2"/>
        <w:numPr>
          <w:ilvl w:val="0"/>
          <w:numId w:val="51"/>
        </w:numPr>
        <w:rPr>
          <w:sz w:val="24"/>
          <w:szCs w:val="24"/>
        </w:rPr>
      </w:pPr>
      <w:bookmarkStart w:id="60" w:name="_Toc420603209"/>
      <w:bookmarkStart w:id="61" w:name="_Toc420603300"/>
      <w:r w:rsidRPr="008B2CB8">
        <w:rPr>
          <w:sz w:val="24"/>
          <w:szCs w:val="24"/>
        </w:rPr>
        <w:t xml:space="preserve">Closed </w:t>
      </w:r>
      <w:r>
        <w:rPr>
          <w:sz w:val="24"/>
          <w:szCs w:val="24"/>
        </w:rPr>
        <w:t xml:space="preserve">material </w:t>
      </w:r>
      <w:r w:rsidRPr="008B2CB8">
        <w:rPr>
          <w:sz w:val="24"/>
          <w:szCs w:val="24"/>
        </w:rPr>
        <w:t>proceedings and secret evidence</w:t>
      </w:r>
      <w:bookmarkEnd w:id="60"/>
      <w:bookmarkEnd w:id="61"/>
    </w:p>
    <w:p w:rsidR="002B6091" w:rsidRPr="008B2CB8" w:rsidRDefault="002B6091" w:rsidP="002B6091">
      <w:pPr>
        <w:rPr>
          <w:sz w:val="24"/>
          <w:szCs w:val="24"/>
        </w:rPr>
      </w:pPr>
      <w:r>
        <w:rPr>
          <w:sz w:val="24"/>
          <w:szCs w:val="24"/>
        </w:rPr>
        <w:t xml:space="preserve">Closed material proceedings (CMPs) mean that one party, for example an individual bringing a claim against a government agency, is not permitted to take part in all, or part of, the proceedings. </w:t>
      </w:r>
      <w:r w:rsidRPr="008B2CB8">
        <w:rPr>
          <w:sz w:val="24"/>
          <w:szCs w:val="24"/>
        </w:rPr>
        <w:t xml:space="preserve">There is a range of different contexts where </w:t>
      </w:r>
      <w:r>
        <w:rPr>
          <w:sz w:val="24"/>
          <w:szCs w:val="24"/>
        </w:rPr>
        <w:t>CMPs,</w:t>
      </w:r>
      <w:r w:rsidRPr="008B2CB8">
        <w:rPr>
          <w:sz w:val="24"/>
          <w:szCs w:val="24"/>
        </w:rPr>
        <w:t xml:space="preserve"> via the Special Advocates System</w:t>
      </w:r>
      <w:r>
        <w:rPr>
          <w:sz w:val="24"/>
          <w:szCs w:val="24"/>
        </w:rPr>
        <w:t>,</w:t>
      </w:r>
      <w:r w:rsidRPr="008B2CB8">
        <w:rPr>
          <w:sz w:val="24"/>
          <w:szCs w:val="24"/>
        </w:rPr>
        <w:t xml:space="preserve"> </w:t>
      </w:r>
      <w:r>
        <w:rPr>
          <w:sz w:val="24"/>
          <w:szCs w:val="24"/>
        </w:rPr>
        <w:t>have</w:t>
      </w:r>
      <w:r w:rsidRPr="008B2CB8">
        <w:rPr>
          <w:sz w:val="24"/>
          <w:szCs w:val="24"/>
        </w:rPr>
        <w:t xml:space="preserve"> been legislated for in the UK, including terrorist asset freezing proceedings</w:t>
      </w:r>
      <w:r>
        <w:rPr>
          <w:sz w:val="24"/>
          <w:szCs w:val="24"/>
        </w:rPr>
        <w:t>,</w:t>
      </w:r>
      <w:r w:rsidRPr="008B2CB8">
        <w:rPr>
          <w:sz w:val="24"/>
          <w:szCs w:val="24"/>
        </w:rPr>
        <w:t xml:space="preserve"> employment tribunals and planning inquiries. </w:t>
      </w:r>
      <w:r w:rsidRPr="008B2CB8">
        <w:rPr>
          <w:rStyle w:val="FootnoteReference"/>
          <w:sz w:val="24"/>
          <w:szCs w:val="24"/>
        </w:rPr>
        <w:footnoteReference w:id="352"/>
      </w:r>
      <w:r w:rsidRPr="008B2CB8">
        <w:rPr>
          <w:sz w:val="24"/>
          <w:szCs w:val="24"/>
        </w:rPr>
        <w:t xml:space="preserve"> There are also a number of situations where special advocates have been appointed on a non-statutory basis, for example the </w:t>
      </w:r>
      <w:r w:rsidRPr="008B2CB8">
        <w:rPr>
          <w:rFonts w:cs="Arial"/>
          <w:sz w:val="24"/>
          <w:szCs w:val="24"/>
        </w:rPr>
        <w:t>Security Vetting Appeals Panel.</w:t>
      </w:r>
    </w:p>
    <w:p w:rsidR="002B6091" w:rsidRPr="008B2CB8" w:rsidRDefault="002B6091" w:rsidP="002B6091">
      <w:pPr>
        <w:rPr>
          <w:sz w:val="24"/>
          <w:szCs w:val="24"/>
        </w:rPr>
      </w:pPr>
      <w:r w:rsidRPr="008B2CB8">
        <w:rPr>
          <w:sz w:val="24"/>
          <w:szCs w:val="24"/>
        </w:rPr>
        <w:t>The Justice and Security Act 2013 extends the use of closed proceedings to any civil case in which the Justice Secretary certifies that it involves sensitive material that it would not be in the public interest to disclose because of national security.</w:t>
      </w:r>
      <w:r w:rsidRPr="008B2CB8">
        <w:rPr>
          <w:rStyle w:val="FootnoteReference"/>
          <w:sz w:val="24"/>
          <w:szCs w:val="24"/>
        </w:rPr>
        <w:footnoteReference w:id="353"/>
      </w:r>
      <w:r w:rsidRPr="008B2CB8">
        <w:rPr>
          <w:sz w:val="24"/>
          <w:szCs w:val="24"/>
        </w:rPr>
        <w:t xml:space="preserve"> Much of the closed evidence used in cases that concern national security is heavily reliant on information from secret intelligence sources. Such evidence may contain second or third hand testimony or other material that would not normally be admissible in ordinary criminal or civil proceedings.</w:t>
      </w:r>
      <w:r w:rsidRPr="008B2CB8">
        <w:rPr>
          <w:rStyle w:val="FootnoteReference"/>
          <w:sz w:val="24"/>
          <w:szCs w:val="24"/>
        </w:rPr>
        <w:footnoteReference w:id="354"/>
      </w:r>
      <w:r w:rsidRPr="008B2CB8">
        <w:rPr>
          <w:sz w:val="24"/>
          <w:szCs w:val="24"/>
        </w:rPr>
        <w:t xml:space="preserve"> A number of senior judges have noted that closed material is likely to be less reliable than evidence produced in open court, because it has not been tested by thorough cross-examination.</w:t>
      </w:r>
      <w:r w:rsidRPr="008B2CB8">
        <w:rPr>
          <w:rStyle w:val="FootnoteReference"/>
          <w:sz w:val="24"/>
          <w:szCs w:val="24"/>
        </w:rPr>
        <w:footnoteReference w:id="355"/>
      </w:r>
      <w:r w:rsidRPr="008B2CB8">
        <w:rPr>
          <w:sz w:val="24"/>
          <w:szCs w:val="24"/>
        </w:rPr>
        <w:t xml:space="preserve"> </w:t>
      </w:r>
    </w:p>
    <w:p w:rsidR="002B6091" w:rsidRPr="008B2CB8" w:rsidRDefault="002B6091" w:rsidP="002B6091">
      <w:pPr>
        <w:rPr>
          <w:sz w:val="24"/>
          <w:szCs w:val="24"/>
        </w:rPr>
      </w:pPr>
      <w:r w:rsidRPr="008B2CB8">
        <w:rPr>
          <w:sz w:val="24"/>
          <w:szCs w:val="24"/>
        </w:rPr>
        <w:t xml:space="preserve">While the Special Advocate System has been amended to enable an individual to be given the “gist” of the allegations against them to enable them to instruct a </w:t>
      </w:r>
      <w:r>
        <w:rPr>
          <w:sz w:val="24"/>
          <w:szCs w:val="24"/>
        </w:rPr>
        <w:t>S</w:t>
      </w:r>
      <w:r w:rsidRPr="008B2CB8">
        <w:rPr>
          <w:sz w:val="24"/>
          <w:szCs w:val="24"/>
        </w:rPr>
        <w:t xml:space="preserve">pecial </w:t>
      </w:r>
      <w:r>
        <w:rPr>
          <w:sz w:val="24"/>
          <w:szCs w:val="24"/>
        </w:rPr>
        <w:t>A</w:t>
      </w:r>
      <w:r w:rsidRPr="008B2CB8">
        <w:rPr>
          <w:sz w:val="24"/>
          <w:szCs w:val="24"/>
        </w:rPr>
        <w:t>dvocate, the inherent lack of detail means this is an inadequate means of ensuring equality of arms. The Special Advocates continue to have a number of practical concerns with the operation of closed material procedures and consider them inherently unfair.</w:t>
      </w:r>
      <w:r w:rsidRPr="008B2CB8">
        <w:rPr>
          <w:rStyle w:val="FootnoteReference"/>
          <w:sz w:val="24"/>
          <w:szCs w:val="24"/>
        </w:rPr>
        <w:footnoteReference w:id="356"/>
      </w:r>
    </w:p>
    <w:p w:rsidR="002B6091" w:rsidRPr="008B2CB8" w:rsidRDefault="002B6091" w:rsidP="002B6091">
      <w:pPr>
        <w:rPr>
          <w:sz w:val="24"/>
          <w:szCs w:val="24"/>
          <w:lang w:val="en"/>
        </w:rPr>
      </w:pPr>
      <w:r w:rsidRPr="008B2CB8">
        <w:rPr>
          <w:sz w:val="24"/>
          <w:szCs w:val="24"/>
        </w:rPr>
        <w:lastRenderedPageBreak/>
        <w:t>The EHRC and others have raised concerns about whether the use of closed material procedures in civil claims is consistent with the right to a fair trial</w:t>
      </w:r>
      <w:r w:rsidRPr="008B2CB8">
        <w:rPr>
          <w:rStyle w:val="FootnoteReference"/>
          <w:sz w:val="24"/>
          <w:szCs w:val="24"/>
        </w:rPr>
        <w:footnoteReference w:id="357"/>
      </w:r>
      <w:r w:rsidRPr="008B2CB8">
        <w:rPr>
          <w:sz w:val="24"/>
          <w:szCs w:val="24"/>
        </w:rPr>
        <w:t xml:space="preserve"> </w:t>
      </w:r>
      <w:r>
        <w:rPr>
          <w:sz w:val="24"/>
          <w:szCs w:val="24"/>
        </w:rPr>
        <w:t>and when</w:t>
      </w:r>
      <w:r w:rsidRPr="008B2CB8">
        <w:rPr>
          <w:sz w:val="24"/>
          <w:szCs w:val="24"/>
        </w:rPr>
        <w:t xml:space="preserve"> the UK Government has </w:t>
      </w:r>
      <w:r w:rsidRPr="008B2CB8">
        <w:rPr>
          <w:sz w:val="24"/>
          <w:szCs w:val="24"/>
          <w:lang w:val="en"/>
        </w:rPr>
        <w:t>provided sufficient evidence to demonstrate the fairness concern on which it relies to justify such procedures is a real and practical problem.</w:t>
      </w:r>
      <w:r w:rsidRPr="008B2CB8">
        <w:rPr>
          <w:rStyle w:val="FootnoteReference"/>
          <w:sz w:val="24"/>
          <w:szCs w:val="24"/>
          <w:lang w:val="en"/>
        </w:rPr>
        <w:footnoteReference w:id="358"/>
      </w:r>
      <w:r w:rsidRPr="008B2CB8">
        <w:rPr>
          <w:sz w:val="24"/>
          <w:szCs w:val="24"/>
          <w:lang w:val="en"/>
        </w:rPr>
        <w:t xml:space="preserve"> Lord Brown, a former Law Lord and former Intelligence Services Commissioner, has warned that this provision of the Justice and Security Act 2013 “involves so radical a departure from the cardinal principle of open justice in civil proceedings, so sensitive an aspect of the court’s processes, that everything that can possibly help </w:t>
      </w:r>
      <w:proofErr w:type="spellStart"/>
      <w:r w:rsidRPr="008B2CB8">
        <w:rPr>
          <w:sz w:val="24"/>
          <w:szCs w:val="24"/>
          <w:lang w:val="en"/>
        </w:rPr>
        <w:t>minimise</w:t>
      </w:r>
      <w:proofErr w:type="spellEnd"/>
      <w:r w:rsidRPr="008B2CB8">
        <w:rPr>
          <w:sz w:val="24"/>
          <w:szCs w:val="24"/>
          <w:lang w:val="en"/>
        </w:rPr>
        <w:t xml:space="preserve"> the number of occasions when the power is used should be </w:t>
      </w:r>
      <w:proofErr w:type="spellStart"/>
      <w:r w:rsidRPr="008B2CB8">
        <w:rPr>
          <w:sz w:val="24"/>
          <w:szCs w:val="24"/>
          <w:lang w:val="en"/>
        </w:rPr>
        <w:t>recognised</w:t>
      </w:r>
      <w:proofErr w:type="spellEnd"/>
      <w:r w:rsidRPr="008B2CB8">
        <w:rPr>
          <w:sz w:val="24"/>
          <w:szCs w:val="24"/>
          <w:lang w:val="en"/>
        </w:rPr>
        <w:t>.”</w:t>
      </w:r>
      <w:r w:rsidRPr="008B2CB8">
        <w:rPr>
          <w:rStyle w:val="FootnoteReference"/>
          <w:sz w:val="24"/>
          <w:szCs w:val="24"/>
          <w:lang w:val="en"/>
        </w:rPr>
        <w:footnoteReference w:id="359"/>
      </w:r>
      <w:r w:rsidRPr="008B2CB8">
        <w:rPr>
          <w:sz w:val="24"/>
          <w:szCs w:val="24"/>
          <w:lang w:val="en"/>
        </w:rPr>
        <w:t xml:space="preserve"> </w:t>
      </w:r>
    </w:p>
    <w:p w:rsidR="002B6091" w:rsidRPr="008B2CB8" w:rsidRDefault="002B6091" w:rsidP="002B6091">
      <w:pPr>
        <w:rPr>
          <w:b/>
          <w:sz w:val="24"/>
          <w:szCs w:val="24"/>
          <w:lang w:val="en"/>
        </w:rPr>
      </w:pPr>
      <w:r w:rsidRPr="008B2CB8">
        <w:rPr>
          <w:b/>
          <w:sz w:val="24"/>
          <w:szCs w:val="24"/>
          <w:lang w:val="en"/>
        </w:rPr>
        <w:t>Conclusion: The EHRC recommends the UK Government conducts a broad review of its terrorism powers and takes a number of steps to ensure it complies with its international obligations to protect a range of human rights, while protecting national security, including:</w:t>
      </w:r>
    </w:p>
    <w:p w:rsidR="002B6091" w:rsidRPr="008B2CB8" w:rsidRDefault="002B6091" w:rsidP="002B6091">
      <w:pPr>
        <w:pStyle w:val="ListParagraph"/>
        <w:numPr>
          <w:ilvl w:val="0"/>
          <w:numId w:val="22"/>
        </w:numPr>
        <w:rPr>
          <w:b/>
          <w:sz w:val="24"/>
          <w:szCs w:val="24"/>
          <w:lang w:val="en"/>
        </w:rPr>
      </w:pPr>
      <w:r w:rsidRPr="008B2CB8">
        <w:rPr>
          <w:b/>
          <w:sz w:val="24"/>
          <w:szCs w:val="24"/>
          <w:lang w:val="en"/>
        </w:rPr>
        <w:t>amending Schedule 8 to the Terrorism Act 2000 so that terrorism suspects have the same right to access legal advice as those arrested for non-terrorism related cases;</w:t>
      </w:r>
    </w:p>
    <w:p w:rsidR="002B6091" w:rsidRPr="008B2CB8" w:rsidRDefault="002B6091" w:rsidP="002B6091">
      <w:pPr>
        <w:pStyle w:val="ListParagraph"/>
        <w:numPr>
          <w:ilvl w:val="0"/>
          <w:numId w:val="22"/>
        </w:numPr>
        <w:rPr>
          <w:b/>
          <w:sz w:val="24"/>
          <w:szCs w:val="24"/>
          <w:lang w:val="en"/>
        </w:rPr>
      </w:pPr>
      <w:r w:rsidRPr="008B2CB8">
        <w:rPr>
          <w:b/>
          <w:sz w:val="24"/>
          <w:szCs w:val="24"/>
          <w:lang w:val="en"/>
        </w:rPr>
        <w:t>reducing the limit on pre-charge detention for terrorist suspects to four days, in line with the criminal law in England and Wales;</w:t>
      </w:r>
    </w:p>
    <w:p w:rsidR="002B6091" w:rsidRPr="008B2CB8" w:rsidRDefault="002B6091" w:rsidP="002B6091">
      <w:pPr>
        <w:pStyle w:val="ListParagraph"/>
        <w:numPr>
          <w:ilvl w:val="0"/>
          <w:numId w:val="22"/>
        </w:numPr>
        <w:rPr>
          <w:b/>
          <w:sz w:val="24"/>
          <w:szCs w:val="24"/>
          <w:lang w:val="en"/>
        </w:rPr>
      </w:pPr>
      <w:r w:rsidRPr="008B2CB8">
        <w:rPr>
          <w:b/>
          <w:sz w:val="24"/>
          <w:szCs w:val="24"/>
          <w:lang w:val="en"/>
        </w:rPr>
        <w:t>considering the continued necessity of TPIMs; and</w:t>
      </w:r>
    </w:p>
    <w:p w:rsidR="002B6091" w:rsidRPr="008B2CB8" w:rsidRDefault="002B6091" w:rsidP="002B6091">
      <w:pPr>
        <w:pStyle w:val="ListParagraph"/>
        <w:numPr>
          <w:ilvl w:val="0"/>
          <w:numId w:val="22"/>
        </w:numPr>
        <w:rPr>
          <w:b/>
          <w:sz w:val="24"/>
          <w:szCs w:val="24"/>
          <w:lang w:val="en"/>
        </w:rPr>
      </w:pPr>
      <w:proofErr w:type="gramStart"/>
      <w:r w:rsidRPr="008B2CB8">
        <w:rPr>
          <w:b/>
          <w:sz w:val="24"/>
          <w:szCs w:val="24"/>
          <w:lang w:val="en"/>
        </w:rPr>
        <w:t>restricting</w:t>
      </w:r>
      <w:proofErr w:type="gramEnd"/>
      <w:r w:rsidRPr="008B2CB8">
        <w:rPr>
          <w:b/>
          <w:sz w:val="24"/>
          <w:szCs w:val="24"/>
          <w:lang w:val="en"/>
        </w:rPr>
        <w:t xml:space="preserve"> the use of closed material proceedings to the smallest possible number of courts and tribunals, as a last resort where there is no alternative means of achieving justice; and the Justice and Security Act provisions extending their use into civil litigation should be repealed. Where material is to remain closed, the excluded party must be given sufficient information about it to enable them to give effective instructions to their Special Advocate. </w:t>
      </w:r>
    </w:p>
    <w:p w:rsidR="002B6091" w:rsidRPr="008B2CB8" w:rsidRDefault="002B6091" w:rsidP="002B6091">
      <w:pPr>
        <w:rPr>
          <w:sz w:val="24"/>
          <w:szCs w:val="24"/>
        </w:rPr>
      </w:pPr>
      <w:r w:rsidRPr="008B2CB8">
        <w:rPr>
          <w:b/>
          <w:sz w:val="24"/>
          <w:szCs w:val="24"/>
          <w:lang w:val="en"/>
        </w:rPr>
        <w:t>Question A:</w:t>
      </w:r>
      <w:r w:rsidRPr="008B2CB8">
        <w:rPr>
          <w:sz w:val="24"/>
          <w:szCs w:val="24"/>
          <w:lang w:val="en"/>
        </w:rPr>
        <w:t xml:space="preserve"> </w:t>
      </w:r>
      <w:r w:rsidRPr="008B2CB8">
        <w:rPr>
          <w:b/>
          <w:sz w:val="24"/>
          <w:szCs w:val="24"/>
          <w:lang w:val="en"/>
        </w:rPr>
        <w:t>Given that no TPIMs have been in place since March 2014, does the UK Government agree that a review of their effectiveness should be brought forward, and its outcomes used to inform a broad review of terrorism powers in the next Parliament?</w:t>
      </w:r>
    </w:p>
    <w:p w:rsidR="002B6091" w:rsidRPr="008B2CB8" w:rsidRDefault="002B6091" w:rsidP="002B6091">
      <w:pPr>
        <w:pStyle w:val="Heading2"/>
        <w:numPr>
          <w:ilvl w:val="0"/>
          <w:numId w:val="23"/>
        </w:numPr>
        <w:rPr>
          <w:sz w:val="24"/>
          <w:szCs w:val="24"/>
        </w:rPr>
      </w:pPr>
      <w:bookmarkStart w:id="62" w:name="_Toc420603210"/>
      <w:bookmarkStart w:id="63" w:name="_Toc420603301"/>
      <w:r w:rsidRPr="008B2CB8">
        <w:rPr>
          <w:sz w:val="24"/>
          <w:szCs w:val="24"/>
        </w:rPr>
        <w:lastRenderedPageBreak/>
        <w:t>Stop and Search (Articles 9, 17 and 26)</w:t>
      </w:r>
      <w:r w:rsidRPr="008B2CB8">
        <w:rPr>
          <w:rStyle w:val="FootnoteReference"/>
          <w:sz w:val="24"/>
          <w:szCs w:val="24"/>
        </w:rPr>
        <w:footnoteReference w:id="360"/>
      </w:r>
      <w:bookmarkEnd w:id="62"/>
      <w:bookmarkEnd w:id="63"/>
    </w:p>
    <w:p w:rsidR="002B6091" w:rsidRPr="008B2CB8" w:rsidRDefault="002B6091" w:rsidP="002B6091">
      <w:pPr>
        <w:pStyle w:val="Heading2"/>
        <w:numPr>
          <w:ilvl w:val="0"/>
          <w:numId w:val="53"/>
        </w:numPr>
        <w:rPr>
          <w:sz w:val="24"/>
          <w:szCs w:val="24"/>
        </w:rPr>
      </w:pPr>
      <w:bookmarkStart w:id="64" w:name="_Toc420603211"/>
      <w:bookmarkStart w:id="65" w:name="_Toc420603302"/>
      <w:proofErr w:type="gramStart"/>
      <w:r w:rsidRPr="008B2CB8">
        <w:rPr>
          <w:sz w:val="24"/>
          <w:szCs w:val="24"/>
        </w:rPr>
        <w:t>Schedule 1 of the Police and Criminal Evidence Act (PACE) and Section 60 of the Criminal Justice and Public Order Act (CJPOA).</w:t>
      </w:r>
      <w:bookmarkEnd w:id="64"/>
      <w:bookmarkEnd w:id="65"/>
      <w:proofErr w:type="gramEnd"/>
    </w:p>
    <w:p w:rsidR="002B6091" w:rsidRPr="008B2CB8" w:rsidRDefault="002B6091" w:rsidP="002B6091">
      <w:pPr>
        <w:pStyle w:val="Heading2"/>
        <w:numPr>
          <w:ilvl w:val="0"/>
          <w:numId w:val="56"/>
        </w:numPr>
        <w:rPr>
          <w:sz w:val="24"/>
          <w:szCs w:val="24"/>
        </w:rPr>
      </w:pPr>
      <w:bookmarkStart w:id="66" w:name="_Toc420603212"/>
      <w:bookmarkStart w:id="67" w:name="_Toc420603303"/>
      <w:r w:rsidRPr="008B2CB8">
        <w:rPr>
          <w:sz w:val="24"/>
          <w:szCs w:val="24"/>
        </w:rPr>
        <w:t>Summary of the Powers</w:t>
      </w:r>
      <w:bookmarkEnd w:id="66"/>
      <w:bookmarkEnd w:id="67"/>
    </w:p>
    <w:p w:rsidR="002B6091" w:rsidRPr="008B2CB8" w:rsidRDefault="002B6091" w:rsidP="002B6091">
      <w:pPr>
        <w:rPr>
          <w:sz w:val="24"/>
          <w:szCs w:val="24"/>
        </w:rPr>
      </w:pPr>
      <w:r w:rsidRPr="008B2CB8">
        <w:rPr>
          <w:sz w:val="24"/>
          <w:szCs w:val="24"/>
        </w:rPr>
        <w:t>Under Schedule 1 of the Police and Criminal Evidence Act (PACE)</w:t>
      </w:r>
      <w:r w:rsidRPr="008B2CB8">
        <w:rPr>
          <w:rStyle w:val="FootnoteReference"/>
          <w:sz w:val="24"/>
          <w:szCs w:val="24"/>
        </w:rPr>
        <w:footnoteReference w:id="361"/>
      </w:r>
      <w:r w:rsidRPr="008B2CB8">
        <w:rPr>
          <w:sz w:val="24"/>
          <w:szCs w:val="24"/>
        </w:rPr>
        <w:t>, police officers in England and Wales can stop and search a person when they have “reasonable suspicion” that this individual is in possession of stolen or prohibited articles.</w:t>
      </w:r>
      <w:r w:rsidRPr="008B2CB8">
        <w:rPr>
          <w:rStyle w:val="FootnoteReference"/>
          <w:sz w:val="24"/>
          <w:szCs w:val="24"/>
        </w:rPr>
        <w:footnoteReference w:id="362"/>
      </w:r>
      <w:r w:rsidRPr="008B2CB8">
        <w:rPr>
          <w:sz w:val="24"/>
          <w:szCs w:val="24"/>
        </w:rPr>
        <w:t xml:space="preserve"> </w:t>
      </w:r>
    </w:p>
    <w:p w:rsidR="002B6091" w:rsidRPr="008B2CB8" w:rsidRDefault="002B6091" w:rsidP="002B6091">
      <w:pPr>
        <w:rPr>
          <w:sz w:val="24"/>
          <w:szCs w:val="24"/>
        </w:rPr>
      </w:pPr>
      <w:r w:rsidRPr="008B2CB8">
        <w:rPr>
          <w:sz w:val="24"/>
          <w:szCs w:val="24"/>
        </w:rPr>
        <w:t>Section 60 of the Criminal Justice and Public Order Act (CJPOA)</w:t>
      </w:r>
      <w:r w:rsidRPr="008B2CB8">
        <w:rPr>
          <w:rStyle w:val="FootnoteReference"/>
          <w:sz w:val="24"/>
          <w:szCs w:val="24"/>
        </w:rPr>
        <w:footnoteReference w:id="363"/>
      </w:r>
      <w:r w:rsidRPr="008B2CB8">
        <w:rPr>
          <w:sz w:val="24"/>
          <w:szCs w:val="24"/>
        </w:rPr>
        <w:t xml:space="preserve"> enables a senior officer in England and Wales to authorise police searches in a defined area for up to 24 hours, if there is:</w:t>
      </w:r>
    </w:p>
    <w:p w:rsidR="002B6091" w:rsidRPr="008B2CB8" w:rsidRDefault="002B6091" w:rsidP="002B6091">
      <w:pPr>
        <w:pStyle w:val="ListParagraph"/>
        <w:numPr>
          <w:ilvl w:val="0"/>
          <w:numId w:val="52"/>
        </w:numPr>
        <w:rPr>
          <w:sz w:val="24"/>
          <w:szCs w:val="24"/>
        </w:rPr>
      </w:pPr>
      <w:r w:rsidRPr="008B2CB8">
        <w:rPr>
          <w:sz w:val="24"/>
          <w:szCs w:val="24"/>
        </w:rPr>
        <w:t xml:space="preserve">“reasonable belief” that violence will occur; </w:t>
      </w:r>
    </w:p>
    <w:p w:rsidR="002B6091" w:rsidRPr="008B2CB8" w:rsidRDefault="002B6091" w:rsidP="002B6091">
      <w:pPr>
        <w:pStyle w:val="ListParagraph"/>
        <w:numPr>
          <w:ilvl w:val="0"/>
          <w:numId w:val="52"/>
        </w:numPr>
        <w:rPr>
          <w:sz w:val="24"/>
          <w:szCs w:val="24"/>
        </w:rPr>
      </w:pPr>
      <w:r w:rsidRPr="008B2CB8">
        <w:rPr>
          <w:sz w:val="24"/>
          <w:szCs w:val="24"/>
        </w:rPr>
        <w:t>a person in the area carrying a dangerous object or an offensive weapon; or</w:t>
      </w:r>
    </w:p>
    <w:p w:rsidR="002B6091" w:rsidRPr="008B2CB8" w:rsidRDefault="002B6091" w:rsidP="002B6091">
      <w:pPr>
        <w:pStyle w:val="ListParagraph"/>
        <w:numPr>
          <w:ilvl w:val="0"/>
          <w:numId w:val="52"/>
        </w:numPr>
        <w:rPr>
          <w:sz w:val="24"/>
          <w:szCs w:val="24"/>
        </w:rPr>
      </w:pPr>
      <w:proofErr w:type="gramStart"/>
      <w:r w:rsidRPr="008B2CB8">
        <w:rPr>
          <w:sz w:val="24"/>
          <w:szCs w:val="24"/>
        </w:rPr>
        <w:t>a</w:t>
      </w:r>
      <w:proofErr w:type="gramEnd"/>
      <w:r w:rsidRPr="008B2CB8">
        <w:rPr>
          <w:sz w:val="24"/>
          <w:szCs w:val="24"/>
        </w:rPr>
        <w:t xml:space="preserve"> person in the area carrying such a weapon following an incident.</w:t>
      </w:r>
    </w:p>
    <w:p w:rsidR="002B6091" w:rsidRPr="008B2CB8" w:rsidRDefault="002B6091" w:rsidP="002B6091">
      <w:pPr>
        <w:rPr>
          <w:sz w:val="24"/>
          <w:szCs w:val="24"/>
        </w:rPr>
      </w:pPr>
      <w:r w:rsidRPr="008B2CB8">
        <w:rPr>
          <w:sz w:val="24"/>
          <w:szCs w:val="24"/>
        </w:rPr>
        <w:t xml:space="preserve">Once authorised, powers under </w:t>
      </w:r>
      <w:r>
        <w:rPr>
          <w:sz w:val="24"/>
          <w:szCs w:val="24"/>
        </w:rPr>
        <w:t>s</w:t>
      </w:r>
      <w:r w:rsidRPr="008B2CB8">
        <w:rPr>
          <w:sz w:val="24"/>
          <w:szCs w:val="24"/>
        </w:rPr>
        <w:t>ection 60 require a lower standard of proof than the “reasonable suspicion” required for PACE, and consequently concerns have been raised that it could lead to further disproportionate use.</w:t>
      </w:r>
      <w:r w:rsidRPr="008B2CB8">
        <w:rPr>
          <w:rStyle w:val="FootnoteReference"/>
          <w:sz w:val="24"/>
          <w:szCs w:val="24"/>
        </w:rPr>
        <w:footnoteReference w:id="364"/>
      </w:r>
    </w:p>
    <w:p w:rsidR="002B6091" w:rsidRPr="008B2CB8" w:rsidRDefault="002B6091" w:rsidP="002B6091">
      <w:pPr>
        <w:pStyle w:val="Heading2"/>
        <w:numPr>
          <w:ilvl w:val="0"/>
          <w:numId w:val="56"/>
        </w:numPr>
        <w:rPr>
          <w:sz w:val="24"/>
          <w:szCs w:val="24"/>
        </w:rPr>
      </w:pPr>
      <w:bookmarkStart w:id="68" w:name="_Toc420603213"/>
      <w:bookmarkStart w:id="69" w:name="_Toc420603304"/>
      <w:r w:rsidRPr="008B2CB8">
        <w:rPr>
          <w:sz w:val="24"/>
          <w:szCs w:val="24"/>
        </w:rPr>
        <w:t>Disproportionality</w:t>
      </w:r>
      <w:bookmarkEnd w:id="68"/>
      <w:bookmarkEnd w:id="69"/>
    </w:p>
    <w:p w:rsidR="002B6091" w:rsidRPr="008B2CB8" w:rsidRDefault="002B6091" w:rsidP="002B6091">
      <w:pPr>
        <w:rPr>
          <w:sz w:val="24"/>
          <w:szCs w:val="24"/>
        </w:rPr>
      </w:pPr>
      <w:r w:rsidRPr="008B2CB8">
        <w:rPr>
          <w:sz w:val="24"/>
          <w:szCs w:val="24"/>
        </w:rPr>
        <w:t>While there has been a reduction in the overall use of stop and search powers, the EHRC continues to be concerned about their disproportionality in relation to ethnic minorities. We believe these powers are an important means of tackling crime, but only if they are used legitimately and proportionately. If they are</w:t>
      </w:r>
      <w:r>
        <w:rPr>
          <w:sz w:val="24"/>
          <w:szCs w:val="24"/>
        </w:rPr>
        <w:t xml:space="preserve"> </w:t>
      </w:r>
      <w:r w:rsidRPr="008B2CB8">
        <w:rPr>
          <w:sz w:val="24"/>
          <w:szCs w:val="24"/>
        </w:rPr>
        <w:t>n</w:t>
      </w:r>
      <w:r>
        <w:rPr>
          <w:sz w:val="24"/>
          <w:szCs w:val="24"/>
        </w:rPr>
        <w:t>o</w:t>
      </w:r>
      <w:r w:rsidRPr="008B2CB8">
        <w:rPr>
          <w:sz w:val="24"/>
          <w:szCs w:val="24"/>
        </w:rPr>
        <w:t>t, there is a risk they may contribute to tensions between communities and the police.</w:t>
      </w:r>
      <w:r w:rsidRPr="008B2CB8">
        <w:rPr>
          <w:rStyle w:val="FootnoteReference"/>
          <w:sz w:val="24"/>
          <w:szCs w:val="24"/>
        </w:rPr>
        <w:footnoteReference w:id="365"/>
      </w:r>
    </w:p>
    <w:p w:rsidR="002B6091" w:rsidRPr="008B2CB8" w:rsidRDefault="002B6091" w:rsidP="002B6091">
      <w:pPr>
        <w:rPr>
          <w:sz w:val="24"/>
          <w:szCs w:val="24"/>
        </w:rPr>
      </w:pPr>
      <w:r w:rsidRPr="008B2CB8">
        <w:rPr>
          <w:sz w:val="24"/>
          <w:szCs w:val="24"/>
        </w:rPr>
        <w:t>Overall, the use of Schedule 1 of PACE has decreased from 1,222,378 in 2010-11, to 1,137,551 in 2012/13.</w:t>
      </w:r>
      <w:r>
        <w:rPr>
          <w:sz w:val="24"/>
          <w:szCs w:val="24"/>
        </w:rPr>
        <w:t xml:space="preserve"> </w:t>
      </w:r>
      <w:r w:rsidRPr="008B2CB8">
        <w:rPr>
          <w:sz w:val="24"/>
          <w:szCs w:val="24"/>
        </w:rPr>
        <w:t xml:space="preserve">However, where ethnicity data is available, 30% of all stops </w:t>
      </w:r>
      <w:r w:rsidRPr="008B2CB8">
        <w:rPr>
          <w:sz w:val="24"/>
          <w:szCs w:val="24"/>
        </w:rPr>
        <w:lastRenderedPageBreak/>
        <w:t>under this power were on ethnic minorities</w:t>
      </w:r>
      <w:r w:rsidRPr="008B2CB8">
        <w:rPr>
          <w:rStyle w:val="FootnoteReference"/>
          <w:sz w:val="24"/>
          <w:szCs w:val="24"/>
        </w:rPr>
        <w:footnoteReference w:id="366"/>
      </w:r>
      <w:r w:rsidRPr="008B2CB8">
        <w:rPr>
          <w:sz w:val="24"/>
          <w:szCs w:val="24"/>
        </w:rPr>
        <w:t xml:space="preserve"> and its use remains disproportionate, for example in 2011/12, black people were 11.7 times more likely to be stopped than white people in Dorset, and 7.8 times more likely in Gloucestershire.</w:t>
      </w:r>
      <w:r w:rsidRPr="008B2CB8">
        <w:rPr>
          <w:rStyle w:val="FootnoteReference"/>
          <w:sz w:val="24"/>
          <w:szCs w:val="24"/>
        </w:rPr>
        <w:footnoteReference w:id="367"/>
      </w:r>
      <w:r w:rsidRPr="008B2CB8">
        <w:rPr>
          <w:sz w:val="24"/>
          <w:szCs w:val="24"/>
        </w:rPr>
        <w:t xml:space="preserve"> </w:t>
      </w:r>
      <w:r>
        <w:rPr>
          <w:sz w:val="24"/>
          <w:szCs w:val="24"/>
        </w:rPr>
        <w:t>T</w:t>
      </w:r>
      <w:r w:rsidRPr="008B2CB8">
        <w:rPr>
          <w:sz w:val="24"/>
          <w:szCs w:val="24"/>
        </w:rPr>
        <w:t>he EHRC welcomes that the use of Section 60 of CJPOA has dropped by 88.6% from 2011/12 to 2012/13.</w:t>
      </w:r>
      <w:r w:rsidRPr="008B2CB8">
        <w:rPr>
          <w:rStyle w:val="FootnoteReference"/>
          <w:sz w:val="24"/>
          <w:szCs w:val="24"/>
        </w:rPr>
        <w:footnoteReference w:id="368"/>
      </w:r>
      <w:r w:rsidRPr="008B2CB8">
        <w:rPr>
          <w:sz w:val="24"/>
          <w:szCs w:val="24"/>
        </w:rPr>
        <w:t xml:space="preserve"> </w:t>
      </w:r>
      <w:r>
        <w:rPr>
          <w:sz w:val="24"/>
          <w:szCs w:val="24"/>
        </w:rPr>
        <w:t>However, w</w:t>
      </w:r>
      <w:r w:rsidRPr="008B2CB8">
        <w:rPr>
          <w:sz w:val="24"/>
          <w:szCs w:val="24"/>
        </w:rPr>
        <w:t>hile ethnicity data is not currently available, data from 2011/12 shows continued disproportionality in relation ethnic minorities, for example in the West Midlands, black people were 29 times more likely to be stopped than white people, and 16.9 times more likely in Nottingham.</w:t>
      </w:r>
      <w:r w:rsidRPr="008B2CB8">
        <w:rPr>
          <w:rStyle w:val="FootnoteReference"/>
          <w:sz w:val="24"/>
          <w:szCs w:val="24"/>
        </w:rPr>
        <w:footnoteReference w:id="369"/>
      </w:r>
      <w:r w:rsidRPr="008B2CB8">
        <w:rPr>
          <w:sz w:val="24"/>
          <w:szCs w:val="24"/>
        </w:rPr>
        <w:t xml:space="preserve"> </w:t>
      </w:r>
    </w:p>
    <w:p w:rsidR="002B6091" w:rsidRPr="008B2CB8" w:rsidRDefault="002B6091" w:rsidP="002B6091">
      <w:pPr>
        <w:rPr>
          <w:sz w:val="24"/>
          <w:szCs w:val="24"/>
        </w:rPr>
      </w:pPr>
      <w:r w:rsidRPr="008B2CB8">
        <w:rPr>
          <w:sz w:val="24"/>
          <w:szCs w:val="24"/>
        </w:rPr>
        <w:t xml:space="preserve">The EHRC considers it essential that </w:t>
      </w:r>
      <w:r>
        <w:rPr>
          <w:sz w:val="24"/>
          <w:szCs w:val="24"/>
        </w:rPr>
        <w:t xml:space="preserve">ethnicity </w:t>
      </w:r>
      <w:r w:rsidRPr="008B2CB8">
        <w:rPr>
          <w:sz w:val="24"/>
          <w:szCs w:val="24"/>
        </w:rPr>
        <w:t xml:space="preserve">data </w:t>
      </w:r>
      <w:r>
        <w:rPr>
          <w:sz w:val="24"/>
          <w:szCs w:val="24"/>
        </w:rPr>
        <w:t>about this use of this power</w:t>
      </w:r>
      <w:r w:rsidRPr="008B2CB8">
        <w:rPr>
          <w:sz w:val="24"/>
          <w:szCs w:val="24"/>
        </w:rPr>
        <w:t xml:space="preserve"> is gathered an</w:t>
      </w:r>
      <w:r>
        <w:rPr>
          <w:sz w:val="24"/>
          <w:szCs w:val="24"/>
        </w:rPr>
        <w:t>d published by police forces</w:t>
      </w:r>
      <w:r w:rsidRPr="008B2CB8">
        <w:rPr>
          <w:sz w:val="24"/>
          <w:szCs w:val="24"/>
        </w:rPr>
        <w:t>; and police forces with particularly high race disproportionality implement programmes of monitoring, training and scrutiny to ensure they use the power fairly and on the basis of intelligence.</w:t>
      </w:r>
      <w:r w:rsidRPr="008B2CB8">
        <w:rPr>
          <w:rStyle w:val="FootnoteReference"/>
          <w:sz w:val="24"/>
          <w:szCs w:val="24"/>
        </w:rPr>
        <w:footnoteReference w:id="370"/>
      </w:r>
    </w:p>
    <w:p w:rsidR="002B6091" w:rsidRPr="008B2CB8" w:rsidRDefault="002B6091" w:rsidP="002B6091">
      <w:pPr>
        <w:pStyle w:val="Heading2"/>
        <w:numPr>
          <w:ilvl w:val="0"/>
          <w:numId w:val="56"/>
        </w:numPr>
        <w:rPr>
          <w:sz w:val="24"/>
          <w:szCs w:val="24"/>
        </w:rPr>
      </w:pPr>
      <w:bookmarkStart w:id="70" w:name="_Toc420603214"/>
      <w:bookmarkStart w:id="71" w:name="_Toc420603305"/>
      <w:r w:rsidRPr="008B2CB8">
        <w:rPr>
          <w:sz w:val="24"/>
          <w:szCs w:val="24"/>
        </w:rPr>
        <w:t>Reasonable Suspicion</w:t>
      </w:r>
      <w:bookmarkEnd w:id="70"/>
      <w:bookmarkEnd w:id="71"/>
    </w:p>
    <w:p w:rsidR="002B6091" w:rsidRPr="008B2CB8" w:rsidRDefault="002B6091" w:rsidP="002B6091">
      <w:pPr>
        <w:rPr>
          <w:sz w:val="24"/>
          <w:szCs w:val="24"/>
        </w:rPr>
      </w:pPr>
      <w:r w:rsidRPr="008B2CB8">
        <w:rPr>
          <w:sz w:val="24"/>
          <w:szCs w:val="24"/>
        </w:rPr>
        <w:t>The EHRC is concerned about the implications of a lack of a “reasonable suspicion” requirement in the use of powers under Section 60 of CJPOA for the rights to privacy, liberty and security, and the prohibition of discrimination.</w:t>
      </w:r>
      <w:r w:rsidRPr="008B2CB8">
        <w:rPr>
          <w:rStyle w:val="FootnoteReference"/>
          <w:sz w:val="24"/>
          <w:szCs w:val="24"/>
        </w:rPr>
        <w:footnoteReference w:id="371"/>
      </w:r>
      <w:r w:rsidRPr="008B2CB8">
        <w:rPr>
          <w:sz w:val="24"/>
          <w:szCs w:val="24"/>
        </w:rPr>
        <w:t xml:space="preserve"> These concerns were shared by 20% of the people who responded to the Home Office’s consultation on the use of stop and search powers; with ethnic minorities and young people more likely to think that the powers were not used in a way that effectively balances public protection with individual freedoms.</w:t>
      </w:r>
      <w:r w:rsidRPr="008B2CB8">
        <w:rPr>
          <w:rStyle w:val="FootnoteReference"/>
          <w:sz w:val="24"/>
          <w:szCs w:val="24"/>
        </w:rPr>
        <w:footnoteReference w:id="372"/>
      </w:r>
      <w:r w:rsidRPr="008B2CB8">
        <w:rPr>
          <w:sz w:val="24"/>
          <w:szCs w:val="24"/>
        </w:rPr>
        <w:t xml:space="preserve"> </w:t>
      </w:r>
    </w:p>
    <w:p w:rsidR="002B6091" w:rsidRPr="008B2CB8" w:rsidRDefault="002B6091" w:rsidP="002B6091">
      <w:pPr>
        <w:rPr>
          <w:sz w:val="24"/>
          <w:szCs w:val="24"/>
        </w:rPr>
      </w:pPr>
      <w:r w:rsidRPr="008B2CB8">
        <w:rPr>
          <w:sz w:val="24"/>
          <w:szCs w:val="24"/>
        </w:rPr>
        <w:t xml:space="preserve">The EHRC’s evidence from a large number of police forces suggests that insufficient justification and poor recording of reasons for individual stops and searches </w:t>
      </w:r>
      <w:r w:rsidRPr="008B2CB8">
        <w:rPr>
          <w:sz w:val="24"/>
          <w:szCs w:val="24"/>
        </w:rPr>
        <w:lastRenderedPageBreak/>
        <w:t xml:space="preserve">contribute to inconsistent and weak systems to </w:t>
      </w:r>
      <w:r>
        <w:rPr>
          <w:sz w:val="24"/>
          <w:szCs w:val="24"/>
        </w:rPr>
        <w:t>account for</w:t>
      </w:r>
      <w:r w:rsidRPr="008B2CB8">
        <w:rPr>
          <w:sz w:val="24"/>
          <w:szCs w:val="24"/>
        </w:rPr>
        <w:t xml:space="preserve"> </w:t>
      </w:r>
      <w:r>
        <w:rPr>
          <w:sz w:val="24"/>
          <w:szCs w:val="24"/>
        </w:rPr>
        <w:t>the</w:t>
      </w:r>
      <w:r w:rsidRPr="008B2CB8">
        <w:rPr>
          <w:sz w:val="24"/>
          <w:szCs w:val="24"/>
        </w:rPr>
        <w:t xml:space="preserve"> use of </w:t>
      </w:r>
      <w:r>
        <w:rPr>
          <w:sz w:val="24"/>
          <w:szCs w:val="24"/>
        </w:rPr>
        <w:t>this</w:t>
      </w:r>
      <w:r w:rsidRPr="008B2CB8">
        <w:rPr>
          <w:sz w:val="24"/>
          <w:szCs w:val="24"/>
        </w:rPr>
        <w:t xml:space="preserve"> power.</w:t>
      </w:r>
      <w:r w:rsidRPr="008B2CB8">
        <w:rPr>
          <w:rStyle w:val="FootnoteReference"/>
          <w:sz w:val="24"/>
          <w:szCs w:val="24"/>
        </w:rPr>
        <w:footnoteReference w:id="373"/>
      </w:r>
      <w:r w:rsidRPr="008B2CB8">
        <w:rPr>
          <w:sz w:val="24"/>
          <w:szCs w:val="24"/>
        </w:rPr>
        <w:t xml:space="preserve"> In addition, Home Office statistics show only 9% of stops result in an arrest.</w:t>
      </w:r>
      <w:r w:rsidRPr="008B2CB8">
        <w:rPr>
          <w:rStyle w:val="FootnoteReference"/>
          <w:sz w:val="24"/>
          <w:szCs w:val="24"/>
        </w:rPr>
        <w:footnoteReference w:id="374"/>
      </w:r>
    </w:p>
    <w:p w:rsidR="002B6091" w:rsidRPr="008B2CB8" w:rsidRDefault="002B6091" w:rsidP="002B6091">
      <w:pPr>
        <w:rPr>
          <w:sz w:val="24"/>
          <w:szCs w:val="24"/>
        </w:rPr>
      </w:pPr>
      <w:r w:rsidRPr="008B2CB8">
        <w:rPr>
          <w:sz w:val="24"/>
          <w:szCs w:val="24"/>
        </w:rPr>
        <w:t>The EHRC maintains that the use of Section 60 can only be compatible with articles 5, 8, 14 of the ECHR if any interference with those rights is lawful.</w:t>
      </w:r>
      <w:r w:rsidRPr="008B2CB8">
        <w:rPr>
          <w:rStyle w:val="FootnoteReference"/>
          <w:sz w:val="24"/>
          <w:szCs w:val="24"/>
        </w:rPr>
        <w:footnoteReference w:id="375"/>
      </w:r>
      <w:r w:rsidRPr="008B2CB8">
        <w:rPr>
          <w:sz w:val="24"/>
          <w:szCs w:val="24"/>
        </w:rPr>
        <w:t xml:space="preserve"> We consider there is a need for clearer definition of effectiveness; and the annual collection and publication of comparative data to demonstrate performance of individual forces and increase public trust. </w:t>
      </w:r>
    </w:p>
    <w:p w:rsidR="002B6091" w:rsidRPr="008B2CB8" w:rsidRDefault="002B6091" w:rsidP="002B6091">
      <w:pPr>
        <w:pStyle w:val="Heading2"/>
        <w:numPr>
          <w:ilvl w:val="0"/>
          <w:numId w:val="56"/>
        </w:numPr>
        <w:rPr>
          <w:sz w:val="24"/>
          <w:szCs w:val="24"/>
        </w:rPr>
      </w:pPr>
      <w:bookmarkStart w:id="72" w:name="_Toc420603215"/>
      <w:bookmarkStart w:id="73" w:name="_Toc420603306"/>
      <w:r w:rsidRPr="008B2CB8">
        <w:rPr>
          <w:sz w:val="24"/>
          <w:szCs w:val="24"/>
        </w:rPr>
        <w:t>Effectiveness</w:t>
      </w:r>
      <w:bookmarkEnd w:id="72"/>
      <w:bookmarkEnd w:id="73"/>
    </w:p>
    <w:p w:rsidR="002B6091" w:rsidRPr="008B2CB8" w:rsidRDefault="002B6091" w:rsidP="002B6091">
      <w:pPr>
        <w:rPr>
          <w:sz w:val="24"/>
          <w:szCs w:val="24"/>
        </w:rPr>
      </w:pPr>
      <w:r w:rsidRPr="008B2CB8">
        <w:rPr>
          <w:sz w:val="24"/>
          <w:szCs w:val="24"/>
        </w:rPr>
        <w:t>The EHRC considers that if the use of powers under Schedule 1 of PACE and Schedule 60 of CJPOA are authorised, undertaken following the receipt, analysis and communication of robust intelligence, and a clear link can be made between that intelligence and the resulting stop and search, then the powers are more likely to target the criminal and anti-social behaviour they were introduced to prevent and address.</w:t>
      </w:r>
      <w:r w:rsidRPr="008B2CB8">
        <w:rPr>
          <w:rStyle w:val="FootnoteReference"/>
          <w:sz w:val="24"/>
          <w:szCs w:val="24"/>
        </w:rPr>
        <w:footnoteReference w:id="376"/>
      </w:r>
      <w:r w:rsidRPr="008B2CB8">
        <w:rPr>
          <w:sz w:val="24"/>
          <w:szCs w:val="24"/>
        </w:rPr>
        <w:t xml:space="preserve"> However, Her Majesty’s Inspectorate of Constabulary (HMIC) in England and Wales has report</w:t>
      </w:r>
      <w:r>
        <w:rPr>
          <w:sz w:val="24"/>
          <w:szCs w:val="24"/>
        </w:rPr>
        <w:t>ed</w:t>
      </w:r>
      <w:r w:rsidRPr="008B2CB8">
        <w:rPr>
          <w:sz w:val="24"/>
          <w:szCs w:val="24"/>
        </w:rPr>
        <w:t xml:space="preserve"> that</w:t>
      </w:r>
      <w:r>
        <w:rPr>
          <w:sz w:val="24"/>
          <w:szCs w:val="24"/>
        </w:rPr>
        <w:t xml:space="preserve"> in</w:t>
      </w:r>
      <w:r w:rsidRPr="008B2CB8">
        <w:rPr>
          <w:sz w:val="24"/>
          <w:szCs w:val="24"/>
        </w:rPr>
        <w:t xml:space="preserve"> 27% (2338) of stop and search records it examined:</w:t>
      </w:r>
    </w:p>
    <w:p w:rsidR="002B6091" w:rsidRPr="008B2CB8" w:rsidRDefault="002B6091" w:rsidP="002B6091">
      <w:pPr>
        <w:pStyle w:val="ListParagraph"/>
        <w:numPr>
          <w:ilvl w:val="0"/>
          <w:numId w:val="99"/>
        </w:numPr>
        <w:rPr>
          <w:sz w:val="24"/>
          <w:szCs w:val="24"/>
        </w:rPr>
      </w:pPr>
      <w:r w:rsidRPr="008B2CB8">
        <w:rPr>
          <w:sz w:val="24"/>
          <w:szCs w:val="24"/>
        </w:rPr>
        <w:t xml:space="preserve">did not contain sufficient reasonable grounds to search people; </w:t>
      </w:r>
    </w:p>
    <w:p w:rsidR="002B6091" w:rsidRPr="008B2CB8" w:rsidRDefault="002B6091" w:rsidP="002B6091">
      <w:pPr>
        <w:pStyle w:val="ListParagraph"/>
        <w:numPr>
          <w:ilvl w:val="0"/>
          <w:numId w:val="99"/>
        </w:numPr>
        <w:rPr>
          <w:sz w:val="24"/>
          <w:szCs w:val="24"/>
        </w:rPr>
      </w:pPr>
      <w:r w:rsidRPr="008B2CB8">
        <w:rPr>
          <w:sz w:val="24"/>
          <w:szCs w:val="24"/>
        </w:rPr>
        <w:t xml:space="preserve">there was evidence of low levels of supervision, poor or inconsistent recording; and </w:t>
      </w:r>
    </w:p>
    <w:p w:rsidR="002B6091" w:rsidRPr="008B2CB8" w:rsidRDefault="002B6091" w:rsidP="002B6091">
      <w:pPr>
        <w:pStyle w:val="ListParagraph"/>
        <w:numPr>
          <w:ilvl w:val="0"/>
          <w:numId w:val="99"/>
        </w:numPr>
        <w:rPr>
          <w:sz w:val="24"/>
          <w:szCs w:val="24"/>
        </w:rPr>
      </w:pPr>
      <w:proofErr w:type="gramStart"/>
      <w:r>
        <w:rPr>
          <w:sz w:val="24"/>
          <w:szCs w:val="24"/>
        </w:rPr>
        <w:t>there</w:t>
      </w:r>
      <w:proofErr w:type="gramEnd"/>
      <w:r>
        <w:rPr>
          <w:sz w:val="24"/>
          <w:szCs w:val="24"/>
        </w:rPr>
        <w:t xml:space="preserve"> were </w:t>
      </w:r>
      <w:r w:rsidRPr="008B2CB8">
        <w:rPr>
          <w:sz w:val="24"/>
          <w:szCs w:val="24"/>
        </w:rPr>
        <w:t>indications that the reasons for the search were not always provided to the individual concerned, nor were they always treated fairly.</w:t>
      </w:r>
      <w:r w:rsidRPr="008B2CB8">
        <w:rPr>
          <w:rStyle w:val="FootnoteReference"/>
          <w:sz w:val="24"/>
          <w:szCs w:val="24"/>
        </w:rPr>
        <w:footnoteReference w:id="377"/>
      </w:r>
    </w:p>
    <w:p w:rsidR="002B6091" w:rsidRPr="008B2CB8" w:rsidRDefault="002B6091" w:rsidP="002B6091">
      <w:pPr>
        <w:rPr>
          <w:sz w:val="24"/>
          <w:szCs w:val="24"/>
        </w:rPr>
      </w:pPr>
      <w:r w:rsidRPr="008B2CB8">
        <w:rPr>
          <w:sz w:val="24"/>
          <w:szCs w:val="24"/>
        </w:rPr>
        <w:t>The EHRC therefore considers better evidence of the effectiveness of these powers is needed, including the extent to which stop and searches result in the detection of an offence (not necessarily an arrest), and the extent of the intelligence that leads to stops.</w:t>
      </w:r>
      <w:r w:rsidRPr="008B2CB8">
        <w:rPr>
          <w:rStyle w:val="FootnoteReference"/>
          <w:sz w:val="24"/>
          <w:szCs w:val="24"/>
        </w:rPr>
        <w:footnoteReference w:id="378"/>
      </w:r>
      <w:r w:rsidRPr="008B2CB8">
        <w:rPr>
          <w:sz w:val="24"/>
          <w:szCs w:val="24"/>
        </w:rPr>
        <w:t xml:space="preserve"> We support the Home Office’s decision to: </w:t>
      </w:r>
    </w:p>
    <w:p w:rsidR="002B6091" w:rsidRPr="008B2CB8" w:rsidRDefault="002B6091" w:rsidP="002B6091">
      <w:pPr>
        <w:pStyle w:val="ListParagraph"/>
        <w:numPr>
          <w:ilvl w:val="0"/>
          <w:numId w:val="54"/>
        </w:numPr>
        <w:rPr>
          <w:sz w:val="24"/>
          <w:szCs w:val="24"/>
        </w:rPr>
      </w:pPr>
      <w:r w:rsidRPr="008B2CB8">
        <w:rPr>
          <w:sz w:val="24"/>
          <w:szCs w:val="24"/>
        </w:rPr>
        <w:t xml:space="preserve">revise the PACE Code of Practice to make it clear what constitutes “reasonable grounds for suspicion;” </w:t>
      </w:r>
    </w:p>
    <w:p w:rsidR="002B6091" w:rsidRPr="008B2CB8" w:rsidRDefault="002B6091" w:rsidP="002B6091">
      <w:pPr>
        <w:pStyle w:val="ListParagraph"/>
        <w:numPr>
          <w:ilvl w:val="0"/>
          <w:numId w:val="54"/>
        </w:numPr>
        <w:rPr>
          <w:sz w:val="24"/>
          <w:szCs w:val="24"/>
        </w:rPr>
      </w:pPr>
      <w:r w:rsidRPr="008B2CB8">
        <w:rPr>
          <w:sz w:val="24"/>
          <w:szCs w:val="24"/>
        </w:rPr>
        <w:t>ask HMIC to include use of stop and search, as well as similar police powers, in its new annual general inspections, with a view to eliminating any unfair or improper use;</w:t>
      </w:r>
      <w:r>
        <w:rPr>
          <w:sz w:val="24"/>
          <w:szCs w:val="24"/>
        </w:rPr>
        <w:t xml:space="preserve"> and</w:t>
      </w:r>
    </w:p>
    <w:p w:rsidR="002B6091" w:rsidRPr="008B2CB8" w:rsidRDefault="002B6091" w:rsidP="002B6091">
      <w:pPr>
        <w:pStyle w:val="ListParagraph"/>
        <w:numPr>
          <w:ilvl w:val="0"/>
          <w:numId w:val="54"/>
        </w:numPr>
        <w:rPr>
          <w:sz w:val="24"/>
          <w:szCs w:val="24"/>
        </w:rPr>
      </w:pPr>
      <w:proofErr w:type="gramStart"/>
      <w:r w:rsidRPr="008B2CB8">
        <w:rPr>
          <w:sz w:val="24"/>
          <w:szCs w:val="24"/>
        </w:rPr>
        <w:lastRenderedPageBreak/>
        <w:t>commission</w:t>
      </w:r>
      <w:proofErr w:type="gramEnd"/>
      <w:r w:rsidRPr="008B2CB8">
        <w:rPr>
          <w:sz w:val="24"/>
          <w:szCs w:val="24"/>
        </w:rPr>
        <w:t xml:space="preserve"> the National College of Policing to review the national training of stop and search for all officers and introduce an assessment of officers’ fitness to use stop and search powers. If they fail this assessment, they will not be allowed to use these powers.</w:t>
      </w:r>
      <w:r w:rsidRPr="008B2CB8">
        <w:rPr>
          <w:rStyle w:val="FootnoteReference"/>
          <w:sz w:val="24"/>
          <w:szCs w:val="24"/>
        </w:rPr>
        <w:footnoteReference w:id="379"/>
      </w:r>
    </w:p>
    <w:p w:rsidR="002B6091" w:rsidRPr="008B2CB8" w:rsidRDefault="002B6091" w:rsidP="002B6091">
      <w:pPr>
        <w:rPr>
          <w:sz w:val="24"/>
          <w:szCs w:val="24"/>
        </w:rPr>
      </w:pPr>
      <w:r>
        <w:rPr>
          <w:sz w:val="24"/>
          <w:szCs w:val="24"/>
        </w:rPr>
        <w:t>The EHRC</w:t>
      </w:r>
      <w:r w:rsidRPr="008B2CB8">
        <w:rPr>
          <w:sz w:val="24"/>
          <w:szCs w:val="24"/>
        </w:rPr>
        <w:t xml:space="preserve"> also welcome</w:t>
      </w:r>
      <w:r>
        <w:rPr>
          <w:sz w:val="24"/>
          <w:szCs w:val="24"/>
        </w:rPr>
        <w:t>s</w:t>
      </w:r>
      <w:r w:rsidRPr="008B2CB8">
        <w:rPr>
          <w:sz w:val="24"/>
          <w:szCs w:val="24"/>
        </w:rPr>
        <w:t xml:space="preserve"> a range of initiatives from the Home Office to increase the transparency of the use of stop and search powers, through a “Best Use of Stop and Search” </w:t>
      </w:r>
      <w:r>
        <w:rPr>
          <w:sz w:val="24"/>
          <w:szCs w:val="24"/>
        </w:rPr>
        <w:t xml:space="preserve">voluntary </w:t>
      </w:r>
      <w:r w:rsidRPr="008B2CB8">
        <w:rPr>
          <w:sz w:val="24"/>
          <w:szCs w:val="24"/>
        </w:rPr>
        <w:t>scheme that includes:</w:t>
      </w:r>
    </w:p>
    <w:p w:rsidR="002B6091" w:rsidRPr="008B2CB8" w:rsidRDefault="002B6091" w:rsidP="002B6091">
      <w:pPr>
        <w:pStyle w:val="ListParagraph"/>
        <w:numPr>
          <w:ilvl w:val="0"/>
          <w:numId w:val="55"/>
        </w:numPr>
        <w:rPr>
          <w:sz w:val="24"/>
          <w:szCs w:val="24"/>
        </w:rPr>
      </w:pPr>
      <w:r w:rsidRPr="008B2CB8">
        <w:rPr>
          <w:sz w:val="24"/>
          <w:szCs w:val="24"/>
        </w:rPr>
        <w:t xml:space="preserve">recording the outcome of searches in more detail to show the link – or lack of a link – between the object of the search and its outcome (such as penalty notices and cautions), allowing an assessment of how well forces interpret the “reasonable grounds for suspicion;” </w:t>
      </w:r>
    </w:p>
    <w:p w:rsidR="002B6091" w:rsidRPr="008B2CB8" w:rsidRDefault="002B6091" w:rsidP="002B6091">
      <w:pPr>
        <w:pStyle w:val="ListParagraph"/>
        <w:numPr>
          <w:ilvl w:val="0"/>
          <w:numId w:val="55"/>
        </w:numPr>
        <w:rPr>
          <w:sz w:val="24"/>
          <w:szCs w:val="24"/>
        </w:rPr>
      </w:pPr>
      <w:r w:rsidRPr="008B2CB8">
        <w:rPr>
          <w:sz w:val="24"/>
          <w:szCs w:val="24"/>
        </w:rPr>
        <w:t>sharing best practice amongst police forces;</w:t>
      </w:r>
    </w:p>
    <w:p w:rsidR="002B6091" w:rsidRPr="008B2CB8" w:rsidRDefault="002B6091" w:rsidP="002B6091">
      <w:pPr>
        <w:pStyle w:val="ListParagraph"/>
        <w:numPr>
          <w:ilvl w:val="0"/>
          <w:numId w:val="55"/>
        </w:numPr>
        <w:rPr>
          <w:sz w:val="24"/>
          <w:szCs w:val="24"/>
        </w:rPr>
      </w:pPr>
      <w:r w:rsidRPr="008B2CB8">
        <w:rPr>
          <w:sz w:val="24"/>
          <w:szCs w:val="24"/>
        </w:rPr>
        <w:t>allowing members of the public to apply to accompany officers on patrol to help improve the community’s understanding of the police; and</w:t>
      </w:r>
    </w:p>
    <w:p w:rsidR="002B6091" w:rsidRPr="008B2CB8" w:rsidRDefault="002B6091" w:rsidP="002B6091">
      <w:pPr>
        <w:pStyle w:val="ListParagraph"/>
        <w:numPr>
          <w:ilvl w:val="0"/>
          <w:numId w:val="55"/>
        </w:numPr>
        <w:rPr>
          <w:sz w:val="24"/>
          <w:szCs w:val="24"/>
        </w:rPr>
      </w:pPr>
      <w:proofErr w:type="gramStart"/>
      <w:r w:rsidRPr="008B2CB8">
        <w:rPr>
          <w:sz w:val="24"/>
          <w:szCs w:val="24"/>
        </w:rPr>
        <w:t>the</w:t>
      </w:r>
      <w:proofErr w:type="gramEnd"/>
      <w:r w:rsidRPr="008B2CB8">
        <w:rPr>
          <w:sz w:val="24"/>
          <w:szCs w:val="24"/>
        </w:rPr>
        <w:t xml:space="preserve"> introduction of a stop and search complaints “community trigger” so forces must explain to the public how powers are used if they receive a large volume of complaints.</w:t>
      </w:r>
      <w:r w:rsidRPr="008B2CB8">
        <w:rPr>
          <w:rStyle w:val="FootnoteReference"/>
          <w:sz w:val="24"/>
          <w:szCs w:val="24"/>
        </w:rPr>
        <w:footnoteReference w:id="380"/>
      </w:r>
    </w:p>
    <w:p w:rsidR="002B6091" w:rsidRPr="008B2CB8" w:rsidRDefault="002B6091" w:rsidP="002B6091">
      <w:pPr>
        <w:pStyle w:val="ListParagraph"/>
        <w:rPr>
          <w:sz w:val="24"/>
          <w:szCs w:val="24"/>
        </w:rPr>
      </w:pPr>
    </w:p>
    <w:p w:rsidR="002B6091" w:rsidRPr="008B2CB8" w:rsidRDefault="002B6091" w:rsidP="002B6091">
      <w:pPr>
        <w:pStyle w:val="ListParagraph"/>
        <w:ind w:left="0"/>
        <w:rPr>
          <w:sz w:val="24"/>
          <w:szCs w:val="24"/>
        </w:rPr>
      </w:pPr>
      <w:r w:rsidRPr="008B2CB8">
        <w:rPr>
          <w:sz w:val="24"/>
          <w:szCs w:val="24"/>
        </w:rPr>
        <w:t>However, the EHRC is disappointed these initiatives are not compulsory, as we consider all police forces and the public would benefit from them.</w:t>
      </w:r>
    </w:p>
    <w:p w:rsidR="002B6091" w:rsidRPr="008B2CB8" w:rsidRDefault="002B6091" w:rsidP="002B6091">
      <w:pPr>
        <w:pStyle w:val="Heading2"/>
        <w:numPr>
          <w:ilvl w:val="0"/>
          <w:numId w:val="53"/>
        </w:numPr>
        <w:rPr>
          <w:sz w:val="24"/>
          <w:szCs w:val="24"/>
        </w:rPr>
      </w:pPr>
      <w:bookmarkStart w:id="74" w:name="_Toc420603216"/>
      <w:bookmarkStart w:id="75" w:name="_Toc420603307"/>
      <w:r w:rsidRPr="008B2CB8">
        <w:rPr>
          <w:sz w:val="24"/>
          <w:szCs w:val="24"/>
        </w:rPr>
        <w:t>Schedule 7 of the Terrorism Act 2000</w:t>
      </w:r>
      <w:bookmarkEnd w:id="74"/>
      <w:bookmarkEnd w:id="75"/>
    </w:p>
    <w:p w:rsidR="002B6091" w:rsidRPr="008B2CB8" w:rsidRDefault="002B6091" w:rsidP="002B6091">
      <w:pPr>
        <w:rPr>
          <w:sz w:val="24"/>
          <w:szCs w:val="24"/>
        </w:rPr>
      </w:pPr>
      <w:r w:rsidRPr="008B2CB8">
        <w:rPr>
          <w:sz w:val="24"/>
          <w:szCs w:val="24"/>
        </w:rPr>
        <w:t xml:space="preserve">Schedule 7 of the Terrorism Act 2000 provides police officers across the UK with the power to </w:t>
      </w:r>
      <w:proofErr w:type="gramStart"/>
      <w:r w:rsidRPr="008B2CB8">
        <w:rPr>
          <w:sz w:val="24"/>
          <w:szCs w:val="24"/>
        </w:rPr>
        <w:t>stop,</w:t>
      </w:r>
      <w:proofErr w:type="gramEnd"/>
      <w:r w:rsidRPr="008B2CB8">
        <w:rPr>
          <w:sz w:val="24"/>
          <w:szCs w:val="24"/>
        </w:rPr>
        <w:t xml:space="preserve"> search and examine individuals at airports and ports, to determine whether they </w:t>
      </w:r>
      <w:r>
        <w:rPr>
          <w:sz w:val="24"/>
          <w:szCs w:val="24"/>
        </w:rPr>
        <w:t xml:space="preserve">appear to be concerned </w:t>
      </w:r>
      <w:r w:rsidRPr="008B2CB8">
        <w:rPr>
          <w:sz w:val="24"/>
          <w:szCs w:val="24"/>
        </w:rPr>
        <w:t>in commissioning, preparing or instigating a terrorist act. The powers enable the police to:</w:t>
      </w:r>
    </w:p>
    <w:p w:rsidR="002B6091" w:rsidRPr="008B2CB8" w:rsidRDefault="002B6091" w:rsidP="002B6091">
      <w:pPr>
        <w:pStyle w:val="ListParagraph"/>
        <w:numPr>
          <w:ilvl w:val="0"/>
          <w:numId w:val="57"/>
        </w:numPr>
        <w:rPr>
          <w:sz w:val="24"/>
          <w:szCs w:val="24"/>
        </w:rPr>
      </w:pPr>
      <w:r w:rsidRPr="008B2CB8">
        <w:rPr>
          <w:sz w:val="24"/>
          <w:szCs w:val="24"/>
        </w:rPr>
        <w:t>compel the individual to answer highly intrusive and personal questions, backed by a threat of criminal punishment and up to 51 weeks imprisonment;</w:t>
      </w:r>
      <w:r w:rsidRPr="008B2CB8">
        <w:rPr>
          <w:rStyle w:val="FootnoteReference"/>
          <w:sz w:val="24"/>
          <w:szCs w:val="24"/>
        </w:rPr>
        <w:footnoteReference w:id="381"/>
      </w:r>
    </w:p>
    <w:p w:rsidR="002B6091" w:rsidRPr="008B2CB8" w:rsidRDefault="002B6091" w:rsidP="002B6091">
      <w:pPr>
        <w:pStyle w:val="ListParagraph"/>
        <w:numPr>
          <w:ilvl w:val="0"/>
          <w:numId w:val="57"/>
        </w:numPr>
        <w:rPr>
          <w:sz w:val="24"/>
          <w:szCs w:val="24"/>
        </w:rPr>
      </w:pPr>
      <w:r w:rsidRPr="008B2CB8">
        <w:rPr>
          <w:sz w:val="24"/>
          <w:szCs w:val="24"/>
        </w:rPr>
        <w:t xml:space="preserve">take </w:t>
      </w:r>
      <w:r>
        <w:rPr>
          <w:sz w:val="24"/>
          <w:szCs w:val="24"/>
        </w:rPr>
        <w:t>finger prints and non-intimate samples (i.e. DNA mouth swab)</w:t>
      </w:r>
      <w:r w:rsidRPr="008B2CB8">
        <w:rPr>
          <w:sz w:val="24"/>
          <w:szCs w:val="24"/>
        </w:rPr>
        <w:t>, even if they are not subsequently arrested; and</w:t>
      </w:r>
    </w:p>
    <w:p w:rsidR="002B6091" w:rsidRPr="008B2CB8" w:rsidRDefault="002B6091" w:rsidP="002B6091">
      <w:pPr>
        <w:pStyle w:val="ListParagraph"/>
        <w:numPr>
          <w:ilvl w:val="0"/>
          <w:numId w:val="57"/>
        </w:numPr>
        <w:rPr>
          <w:sz w:val="24"/>
          <w:szCs w:val="24"/>
        </w:rPr>
      </w:pPr>
      <w:proofErr w:type="gramStart"/>
      <w:r w:rsidRPr="008B2CB8">
        <w:rPr>
          <w:sz w:val="24"/>
          <w:szCs w:val="24"/>
        </w:rPr>
        <w:t>prevent</w:t>
      </w:r>
      <w:proofErr w:type="gramEnd"/>
      <w:r w:rsidRPr="008B2CB8">
        <w:rPr>
          <w:sz w:val="24"/>
          <w:szCs w:val="24"/>
        </w:rPr>
        <w:t xml:space="preserve"> the individual from consulting with a solicitor immediately once they are stopped.</w:t>
      </w:r>
    </w:p>
    <w:p w:rsidR="002B6091" w:rsidRDefault="002B6091" w:rsidP="002B6091">
      <w:pPr>
        <w:rPr>
          <w:sz w:val="24"/>
          <w:szCs w:val="24"/>
        </w:rPr>
      </w:pPr>
      <w:r>
        <w:rPr>
          <w:sz w:val="24"/>
          <w:szCs w:val="24"/>
        </w:rPr>
        <w:lastRenderedPageBreak/>
        <w:t>While use of this power has continued its welcome decline in recent years, a</w:t>
      </w:r>
      <w:r w:rsidRPr="008B2CB8">
        <w:rPr>
          <w:sz w:val="24"/>
          <w:szCs w:val="24"/>
        </w:rPr>
        <w:t xml:space="preserve"> large number of individuals are subject to </w:t>
      </w:r>
      <w:r>
        <w:rPr>
          <w:sz w:val="24"/>
          <w:szCs w:val="24"/>
        </w:rPr>
        <w:t>it</w:t>
      </w:r>
      <w:r w:rsidRPr="008B2CB8">
        <w:rPr>
          <w:sz w:val="24"/>
          <w:szCs w:val="24"/>
        </w:rPr>
        <w:t xml:space="preserve"> each year.</w:t>
      </w:r>
      <w:r w:rsidRPr="008B2CB8">
        <w:rPr>
          <w:rStyle w:val="FootnoteReference"/>
          <w:sz w:val="24"/>
          <w:szCs w:val="24"/>
        </w:rPr>
        <w:footnoteReference w:id="382"/>
      </w:r>
      <w:r w:rsidRPr="008B2CB8">
        <w:rPr>
          <w:sz w:val="24"/>
          <w:szCs w:val="24"/>
        </w:rPr>
        <w:t xml:space="preserve"> The EHRC’s analysis shows that a disproportionate number of those individuals are from particular ethnic minorities</w:t>
      </w:r>
      <w:r w:rsidRPr="008B2CB8">
        <w:rPr>
          <w:rStyle w:val="FootnoteReference"/>
          <w:sz w:val="24"/>
          <w:szCs w:val="24"/>
        </w:rPr>
        <w:footnoteReference w:id="383"/>
      </w:r>
      <w:r w:rsidRPr="008B2CB8">
        <w:rPr>
          <w:sz w:val="24"/>
          <w:szCs w:val="24"/>
        </w:rPr>
        <w:t xml:space="preserve"> despite the Code of Practice</w:t>
      </w:r>
      <w:r w:rsidRPr="008B2CB8">
        <w:rPr>
          <w:rStyle w:val="FootnoteReference"/>
          <w:sz w:val="24"/>
          <w:szCs w:val="24"/>
        </w:rPr>
        <w:footnoteReference w:id="384"/>
      </w:r>
      <w:r w:rsidRPr="008B2CB8">
        <w:rPr>
          <w:sz w:val="24"/>
          <w:szCs w:val="24"/>
        </w:rPr>
        <w:t xml:space="preserve"> on the use of Schedule 7 explicitly rul</w:t>
      </w:r>
      <w:r>
        <w:rPr>
          <w:sz w:val="24"/>
          <w:szCs w:val="24"/>
        </w:rPr>
        <w:t>ing</w:t>
      </w:r>
      <w:r w:rsidRPr="008B2CB8">
        <w:rPr>
          <w:sz w:val="24"/>
          <w:szCs w:val="24"/>
        </w:rPr>
        <w:t xml:space="preserve"> out a reliance on ethnicity as the sole means to determine who to stop under this power. </w:t>
      </w:r>
      <w:r>
        <w:rPr>
          <w:sz w:val="24"/>
          <w:szCs w:val="24"/>
        </w:rPr>
        <w:t>While we acknowledge the differing views as to whether this disproportionality demonstrates unlawful discrimination,</w:t>
      </w:r>
      <w:r>
        <w:rPr>
          <w:rStyle w:val="FootnoteReference"/>
          <w:sz w:val="24"/>
          <w:szCs w:val="24"/>
        </w:rPr>
        <w:footnoteReference w:id="385"/>
      </w:r>
      <w:r>
        <w:rPr>
          <w:sz w:val="24"/>
          <w:szCs w:val="24"/>
        </w:rPr>
        <w:t xml:space="preserve"> we believe</w:t>
      </w:r>
      <w:r w:rsidRPr="008B2CB8">
        <w:rPr>
          <w:sz w:val="24"/>
          <w:szCs w:val="24"/>
        </w:rPr>
        <w:t xml:space="preserve"> the HRC’s 2008 concerns remain valid.</w:t>
      </w:r>
      <w:r w:rsidRPr="008B2CB8">
        <w:rPr>
          <w:rStyle w:val="FootnoteReference"/>
          <w:sz w:val="24"/>
          <w:szCs w:val="24"/>
        </w:rPr>
        <w:footnoteReference w:id="386"/>
      </w:r>
      <w:r w:rsidRPr="008B2CB8">
        <w:rPr>
          <w:sz w:val="24"/>
          <w:szCs w:val="24"/>
        </w:rPr>
        <w:t xml:space="preserve"> </w:t>
      </w:r>
    </w:p>
    <w:p w:rsidR="002B6091" w:rsidRDefault="002B6091" w:rsidP="002B6091">
      <w:pPr>
        <w:rPr>
          <w:sz w:val="24"/>
          <w:szCs w:val="24"/>
        </w:rPr>
      </w:pPr>
      <w:r>
        <w:rPr>
          <w:sz w:val="24"/>
          <w:szCs w:val="24"/>
        </w:rPr>
        <w:t>The EHRC was therefore</w:t>
      </w:r>
      <w:r w:rsidRPr="008B2CB8">
        <w:rPr>
          <w:sz w:val="24"/>
          <w:szCs w:val="24"/>
        </w:rPr>
        <w:t xml:space="preserve"> </w:t>
      </w:r>
      <w:r>
        <w:rPr>
          <w:sz w:val="24"/>
          <w:szCs w:val="24"/>
        </w:rPr>
        <w:t>disappointed</w:t>
      </w:r>
      <w:r w:rsidRPr="008B2CB8">
        <w:rPr>
          <w:sz w:val="24"/>
          <w:szCs w:val="24"/>
        </w:rPr>
        <w:t xml:space="preserve"> </w:t>
      </w:r>
      <w:r>
        <w:rPr>
          <w:sz w:val="24"/>
          <w:szCs w:val="24"/>
        </w:rPr>
        <w:t>that</w:t>
      </w:r>
      <w:r w:rsidRPr="008B2CB8">
        <w:rPr>
          <w:sz w:val="24"/>
          <w:szCs w:val="24"/>
        </w:rPr>
        <w:t xml:space="preserve"> recent </w:t>
      </w:r>
      <w:r>
        <w:rPr>
          <w:sz w:val="24"/>
          <w:szCs w:val="24"/>
        </w:rPr>
        <w:t>amendments</w:t>
      </w:r>
      <w:r w:rsidRPr="008B2CB8">
        <w:rPr>
          <w:sz w:val="24"/>
          <w:szCs w:val="24"/>
        </w:rPr>
        <w:t xml:space="preserve"> to the legislation</w:t>
      </w:r>
      <w:r w:rsidRPr="008B2CB8">
        <w:rPr>
          <w:rStyle w:val="FootnoteReference"/>
          <w:sz w:val="24"/>
          <w:szCs w:val="24"/>
        </w:rPr>
        <w:footnoteReference w:id="387"/>
      </w:r>
      <w:r w:rsidRPr="008B2CB8">
        <w:rPr>
          <w:sz w:val="24"/>
          <w:szCs w:val="24"/>
        </w:rPr>
        <w:t xml:space="preserve"> did not include a statutory requirement to centrally record and monitor data about the equality characteristics of those who</w:t>
      </w:r>
      <w:r>
        <w:rPr>
          <w:sz w:val="24"/>
          <w:szCs w:val="24"/>
        </w:rPr>
        <w:t xml:space="preserve"> are stopped under Schedule 7. We believe s</w:t>
      </w:r>
      <w:r w:rsidRPr="008B2CB8">
        <w:rPr>
          <w:sz w:val="24"/>
          <w:szCs w:val="24"/>
        </w:rPr>
        <w:t>uch a duty would help ensure the power is not used in a discrim</w:t>
      </w:r>
      <w:r>
        <w:rPr>
          <w:sz w:val="24"/>
          <w:szCs w:val="24"/>
        </w:rPr>
        <w:t>inatory or disproportionate way</w:t>
      </w:r>
      <w:r w:rsidRPr="008B2CB8">
        <w:rPr>
          <w:rStyle w:val="FootnoteReference"/>
          <w:sz w:val="24"/>
          <w:szCs w:val="24"/>
        </w:rPr>
        <w:footnoteReference w:id="388"/>
      </w:r>
      <w:r>
        <w:rPr>
          <w:sz w:val="24"/>
          <w:szCs w:val="24"/>
        </w:rPr>
        <w:t xml:space="preserve"> and would address the perception of prejudice, which the Independent Review of Terrorism Legislation notes “</w:t>
      </w:r>
      <w:r w:rsidRPr="00F738F9">
        <w:rPr>
          <w:sz w:val="24"/>
          <w:szCs w:val="24"/>
        </w:rPr>
        <w:t>can be</w:t>
      </w:r>
      <w:r>
        <w:rPr>
          <w:sz w:val="24"/>
          <w:szCs w:val="24"/>
        </w:rPr>
        <w:t xml:space="preserve"> quite as damaging to community </w:t>
      </w:r>
      <w:r w:rsidRPr="00F738F9">
        <w:rPr>
          <w:sz w:val="24"/>
          <w:szCs w:val="24"/>
        </w:rPr>
        <w:t>relations as the reality.</w:t>
      </w:r>
      <w:r>
        <w:rPr>
          <w:sz w:val="24"/>
          <w:szCs w:val="24"/>
        </w:rPr>
        <w:t>”</w:t>
      </w:r>
      <w:r>
        <w:rPr>
          <w:rStyle w:val="FootnoteReference"/>
          <w:sz w:val="24"/>
          <w:szCs w:val="24"/>
        </w:rPr>
        <w:footnoteReference w:id="389"/>
      </w:r>
      <w:r w:rsidRPr="008B2CB8">
        <w:rPr>
          <w:sz w:val="24"/>
          <w:szCs w:val="24"/>
        </w:rPr>
        <w:t xml:space="preserve"> </w:t>
      </w:r>
      <w:r>
        <w:rPr>
          <w:sz w:val="24"/>
          <w:szCs w:val="24"/>
        </w:rPr>
        <w:t>We also remain</w:t>
      </w:r>
      <w:r w:rsidRPr="008B2CB8">
        <w:rPr>
          <w:sz w:val="24"/>
          <w:szCs w:val="24"/>
        </w:rPr>
        <w:t xml:space="preserve"> concerned that these powers continue to lack fundamental procedural protections, such as the requirement of “reasonable suspicion,” which would be consistent with the rights to privacy, and liberty and security</w:t>
      </w:r>
      <w:r>
        <w:rPr>
          <w:sz w:val="24"/>
          <w:szCs w:val="24"/>
        </w:rPr>
        <w:t xml:space="preserve"> under</w:t>
      </w:r>
      <w:r w:rsidRPr="008B2CB8">
        <w:rPr>
          <w:sz w:val="24"/>
          <w:szCs w:val="24"/>
        </w:rPr>
        <w:t xml:space="preserve"> the ECHR. </w:t>
      </w:r>
    </w:p>
    <w:p w:rsidR="002B6091" w:rsidRPr="008B2CB8" w:rsidRDefault="002B6091" w:rsidP="002B6091">
      <w:pPr>
        <w:rPr>
          <w:b/>
          <w:sz w:val="24"/>
          <w:szCs w:val="24"/>
        </w:rPr>
      </w:pPr>
      <w:r w:rsidRPr="008B2CB8">
        <w:rPr>
          <w:b/>
          <w:sz w:val="24"/>
          <w:szCs w:val="24"/>
        </w:rPr>
        <w:lastRenderedPageBreak/>
        <w:t>Conclusion: The EHRC is concerned that unless stop and search powers are used appropriately and proportionately, and are exercised fairly and in a non-discriminatory manner they have the potential to violate rights to privacy, liberty and security and the prohibition on discrimination under the ECHR. We recommend:</w:t>
      </w:r>
    </w:p>
    <w:p w:rsidR="002B6091" w:rsidRPr="008B2CB8" w:rsidRDefault="002B6091" w:rsidP="002B6091">
      <w:pPr>
        <w:pStyle w:val="ListParagraph"/>
        <w:numPr>
          <w:ilvl w:val="0"/>
          <w:numId w:val="58"/>
        </w:numPr>
        <w:rPr>
          <w:b/>
          <w:sz w:val="24"/>
          <w:szCs w:val="24"/>
        </w:rPr>
      </w:pPr>
      <w:proofErr w:type="gramStart"/>
      <w:r w:rsidRPr="008B2CB8">
        <w:rPr>
          <w:b/>
          <w:sz w:val="24"/>
          <w:szCs w:val="24"/>
        </w:rPr>
        <w:t>the</w:t>
      </w:r>
      <w:proofErr w:type="gramEnd"/>
      <w:r w:rsidRPr="008B2CB8">
        <w:rPr>
          <w:b/>
          <w:sz w:val="24"/>
          <w:szCs w:val="24"/>
        </w:rPr>
        <w:t xml:space="preserve"> UK Government actively encourages police forces in England and Wales to sign up to the new “Best Use of Stop and Search” scheme. If, after two years, there are forces in England and Wales who have not enrolled, (and subject to a review of its impact), consideration should be given to making the scheme mandatory;</w:t>
      </w:r>
    </w:p>
    <w:p w:rsidR="002B6091" w:rsidRPr="008B2CB8" w:rsidRDefault="002B6091" w:rsidP="002B6091">
      <w:pPr>
        <w:pStyle w:val="ListParagraph"/>
        <w:numPr>
          <w:ilvl w:val="0"/>
          <w:numId w:val="58"/>
        </w:numPr>
        <w:rPr>
          <w:b/>
          <w:sz w:val="24"/>
          <w:szCs w:val="24"/>
        </w:rPr>
      </w:pPr>
      <w:r w:rsidRPr="008B2CB8">
        <w:rPr>
          <w:b/>
          <w:sz w:val="24"/>
          <w:szCs w:val="24"/>
        </w:rPr>
        <w:t>legislative amendments to require “reasonable suspicion” for the use of powers under Section 60 of CJPOA and Schedule 7 of the Terrorism Act, as well as any other amendments to ensure compliance with the ECHR; and</w:t>
      </w:r>
    </w:p>
    <w:p w:rsidR="002B6091" w:rsidRPr="008B2CB8" w:rsidRDefault="002B6091" w:rsidP="002B6091">
      <w:pPr>
        <w:pStyle w:val="ListParagraph"/>
        <w:numPr>
          <w:ilvl w:val="0"/>
          <w:numId w:val="58"/>
        </w:numPr>
        <w:rPr>
          <w:b/>
          <w:sz w:val="24"/>
          <w:szCs w:val="24"/>
        </w:rPr>
      </w:pPr>
      <w:proofErr w:type="gramStart"/>
      <w:r w:rsidRPr="008B2CB8">
        <w:rPr>
          <w:b/>
          <w:sz w:val="24"/>
          <w:szCs w:val="24"/>
        </w:rPr>
        <w:t>improvements</w:t>
      </w:r>
      <w:proofErr w:type="gramEnd"/>
      <w:r w:rsidRPr="008B2CB8">
        <w:rPr>
          <w:b/>
          <w:sz w:val="24"/>
          <w:szCs w:val="24"/>
        </w:rPr>
        <w:t xml:space="preserve"> to data collection and monitoring to ensure lawful use of the powers under Schedule 7 of the Terrorism Act.</w:t>
      </w:r>
    </w:p>
    <w:p w:rsidR="002B6091" w:rsidRPr="008B2CB8" w:rsidRDefault="002B6091" w:rsidP="002B6091">
      <w:pPr>
        <w:rPr>
          <w:b/>
          <w:sz w:val="24"/>
          <w:szCs w:val="24"/>
        </w:rPr>
      </w:pPr>
      <w:r w:rsidRPr="008B2CB8">
        <w:rPr>
          <w:b/>
          <w:sz w:val="24"/>
          <w:szCs w:val="24"/>
        </w:rPr>
        <w:t>Question A: How will the UK Government ensure that those police forces in England and Wales who are most in need of improvement will sign up to the “Best Use of Stop and Search” scheme and make the necessary changes to prevent potentially discriminatory use of their powers?</w:t>
      </w:r>
    </w:p>
    <w:p w:rsidR="002B6091" w:rsidRPr="007516A1" w:rsidRDefault="002B6091" w:rsidP="002B6091">
      <w:pPr>
        <w:rPr>
          <w:b/>
          <w:sz w:val="24"/>
          <w:szCs w:val="24"/>
        </w:rPr>
      </w:pPr>
      <w:r w:rsidRPr="008B2CB8">
        <w:rPr>
          <w:b/>
          <w:sz w:val="24"/>
          <w:szCs w:val="24"/>
        </w:rPr>
        <w:t xml:space="preserve">Question B: How will the UK Government collect, analyse and publish data on the use of Schedule 7 to reassure themselves and the public that they are meeting the Equality Act 2010 requirements, as set out in the code of practice on the Terrorism Act 2000? </w:t>
      </w:r>
    </w:p>
    <w:p w:rsidR="002B6091" w:rsidRPr="008B2CB8" w:rsidRDefault="002B6091" w:rsidP="002B6091">
      <w:pPr>
        <w:pStyle w:val="Heading2"/>
        <w:numPr>
          <w:ilvl w:val="0"/>
          <w:numId w:val="23"/>
        </w:numPr>
        <w:rPr>
          <w:sz w:val="24"/>
          <w:szCs w:val="24"/>
        </w:rPr>
      </w:pPr>
      <w:bookmarkStart w:id="76" w:name="_Toc420603217"/>
      <w:bookmarkStart w:id="77" w:name="_Toc420603308"/>
      <w:r w:rsidRPr="008B2CB8">
        <w:rPr>
          <w:sz w:val="24"/>
          <w:szCs w:val="24"/>
        </w:rPr>
        <w:t>Trafficking and forced labour (Articles 2, 8, 9, 14, 24 and 26)</w:t>
      </w:r>
      <w:r w:rsidRPr="008B2CB8">
        <w:rPr>
          <w:rStyle w:val="FootnoteReference"/>
          <w:sz w:val="24"/>
          <w:szCs w:val="24"/>
        </w:rPr>
        <w:footnoteReference w:id="390"/>
      </w:r>
      <w:bookmarkEnd w:id="76"/>
      <w:bookmarkEnd w:id="77"/>
      <w:r w:rsidRPr="008B2CB8">
        <w:rPr>
          <w:sz w:val="24"/>
          <w:szCs w:val="24"/>
        </w:rPr>
        <w:t xml:space="preserve"> </w:t>
      </w:r>
    </w:p>
    <w:p w:rsidR="002B6091" w:rsidRPr="008B2CB8" w:rsidRDefault="002B6091" w:rsidP="002B6091">
      <w:pPr>
        <w:pStyle w:val="Heading2"/>
        <w:numPr>
          <w:ilvl w:val="0"/>
          <w:numId w:val="93"/>
        </w:numPr>
        <w:rPr>
          <w:sz w:val="24"/>
          <w:szCs w:val="24"/>
        </w:rPr>
      </w:pPr>
      <w:bookmarkStart w:id="78" w:name="_Toc420603218"/>
      <w:bookmarkStart w:id="79" w:name="_Toc420603309"/>
      <w:r w:rsidRPr="008B2CB8">
        <w:rPr>
          <w:sz w:val="24"/>
          <w:szCs w:val="24"/>
        </w:rPr>
        <w:t>Overview</w:t>
      </w:r>
      <w:bookmarkEnd w:id="78"/>
      <w:bookmarkEnd w:id="79"/>
      <w:r w:rsidRPr="008B2CB8">
        <w:rPr>
          <w:sz w:val="24"/>
          <w:szCs w:val="24"/>
        </w:rPr>
        <w:t xml:space="preserve"> </w:t>
      </w:r>
    </w:p>
    <w:p w:rsidR="002B6091" w:rsidRPr="008B2CB8" w:rsidRDefault="002B6091" w:rsidP="002B6091">
      <w:pPr>
        <w:rPr>
          <w:rFonts w:cs="Arial"/>
          <w:color w:val="000000" w:themeColor="text1"/>
          <w:sz w:val="24"/>
          <w:szCs w:val="24"/>
        </w:rPr>
      </w:pPr>
      <w:r w:rsidRPr="008B2CB8">
        <w:rPr>
          <w:rFonts w:cs="Arial"/>
          <w:color w:val="000000" w:themeColor="text1"/>
          <w:sz w:val="24"/>
          <w:szCs w:val="24"/>
        </w:rPr>
        <w:t>Data from 2013 shows a 47% increase in the number referrals to the UK’s National Referral Mechanism (NRM) of trafficking victims on 2012, with an 18% increase in the numbers of countries of origin. Victims under 17 years old accounted for 26% of these referrals (452) which was also a significant increase on 2012.</w:t>
      </w:r>
      <w:r w:rsidRPr="008B2CB8">
        <w:rPr>
          <w:rStyle w:val="FootnoteReference"/>
          <w:rFonts w:cs="Arial"/>
          <w:color w:val="000000" w:themeColor="text1"/>
          <w:sz w:val="24"/>
          <w:szCs w:val="24"/>
        </w:rPr>
        <w:footnoteReference w:id="391"/>
      </w:r>
    </w:p>
    <w:p w:rsidR="002B6091" w:rsidRPr="008B2CB8" w:rsidRDefault="002B6091" w:rsidP="002B6091">
      <w:pPr>
        <w:rPr>
          <w:rFonts w:eastAsia="Helvetica" w:cs="Arial"/>
          <w:color w:val="000000" w:themeColor="text1"/>
          <w:sz w:val="24"/>
          <w:szCs w:val="24"/>
        </w:rPr>
      </w:pPr>
      <w:r w:rsidRPr="008B2CB8">
        <w:rPr>
          <w:rFonts w:cs="Arial"/>
          <w:color w:val="000000" w:themeColor="text1"/>
          <w:sz w:val="24"/>
          <w:szCs w:val="24"/>
        </w:rPr>
        <w:t xml:space="preserve">The UK Government’s </w:t>
      </w:r>
      <w:r w:rsidRPr="008B2CB8">
        <w:rPr>
          <w:rFonts w:eastAsia="Helvetica" w:cs="Arial"/>
          <w:color w:val="000000" w:themeColor="text1"/>
          <w:sz w:val="24"/>
          <w:szCs w:val="24"/>
        </w:rPr>
        <w:t xml:space="preserve">Modern Slavery </w:t>
      </w:r>
      <w:r w:rsidRPr="008B2CB8">
        <w:rPr>
          <w:rFonts w:cs="Arial"/>
          <w:color w:val="000000" w:themeColor="text1"/>
          <w:sz w:val="24"/>
          <w:szCs w:val="24"/>
        </w:rPr>
        <w:t>Bill (MSB) is therefore timely and necessary.</w:t>
      </w:r>
      <w:r w:rsidRPr="008B2CB8">
        <w:rPr>
          <w:rStyle w:val="FootnoteReference"/>
          <w:rFonts w:cs="Arial"/>
          <w:color w:val="000000" w:themeColor="text1"/>
          <w:sz w:val="24"/>
          <w:szCs w:val="24"/>
        </w:rPr>
        <w:footnoteReference w:id="392"/>
      </w:r>
      <w:r w:rsidRPr="008B2CB8">
        <w:rPr>
          <w:rFonts w:cs="Arial"/>
          <w:color w:val="000000" w:themeColor="text1"/>
          <w:sz w:val="24"/>
          <w:szCs w:val="24"/>
        </w:rPr>
        <w:t xml:space="preserve"> Its purpose is to consolidate, simplify and strengthen existing slavery and human trafficking offences</w:t>
      </w:r>
      <w:r w:rsidRPr="008B2CB8">
        <w:rPr>
          <w:rStyle w:val="FootnoteReference"/>
          <w:rFonts w:cs="Arial"/>
          <w:color w:val="000000" w:themeColor="text1"/>
          <w:sz w:val="24"/>
          <w:szCs w:val="24"/>
        </w:rPr>
        <w:footnoteReference w:id="393"/>
      </w:r>
      <w:r w:rsidRPr="008B2CB8">
        <w:rPr>
          <w:rFonts w:cs="Arial"/>
          <w:color w:val="000000" w:themeColor="text1"/>
          <w:sz w:val="24"/>
          <w:szCs w:val="24"/>
        </w:rPr>
        <w:t xml:space="preserve"> in England and Wales, and to improve support and protection for victims. The EHRC supports the aims of the MSB, but considers that its provisions need strengthening in some areas to ensure the human rights of all </w:t>
      </w:r>
      <w:r w:rsidRPr="008B2CB8">
        <w:rPr>
          <w:rFonts w:cs="Arial"/>
          <w:color w:val="000000" w:themeColor="text1"/>
          <w:sz w:val="24"/>
          <w:szCs w:val="24"/>
        </w:rPr>
        <w:lastRenderedPageBreak/>
        <w:t>affected by the Bill are fully protected;</w:t>
      </w:r>
      <w:r w:rsidRPr="00553F23">
        <w:rPr>
          <w:rStyle w:val="FootnoteReference"/>
          <w:rFonts w:cs="Arial"/>
          <w:color w:val="000000" w:themeColor="text1"/>
          <w:sz w:val="24"/>
          <w:szCs w:val="24"/>
        </w:rPr>
        <w:footnoteReference w:id="394"/>
      </w:r>
      <w:r w:rsidRPr="008B2CB8">
        <w:rPr>
          <w:rFonts w:cs="Arial"/>
          <w:color w:val="000000" w:themeColor="text1"/>
          <w:sz w:val="24"/>
          <w:szCs w:val="24"/>
        </w:rPr>
        <w:t xml:space="preserve"> and to fully reflect the 2014 </w:t>
      </w:r>
      <w:r w:rsidRPr="008B2CB8">
        <w:rPr>
          <w:rFonts w:eastAsia="Helvetica" w:cs="Arial"/>
          <w:color w:val="000000" w:themeColor="text1"/>
          <w:sz w:val="24"/>
          <w:szCs w:val="24"/>
        </w:rPr>
        <w:t>concluding observations of the UN Committee on the Rights of the Child (CRC),</w:t>
      </w:r>
      <w:r w:rsidRPr="00553F23">
        <w:rPr>
          <w:rStyle w:val="FootnoteReference"/>
          <w:rFonts w:cs="Arial"/>
          <w:color w:val="000000" w:themeColor="text1"/>
          <w:sz w:val="24"/>
          <w:szCs w:val="24"/>
        </w:rPr>
        <w:footnoteReference w:id="395"/>
      </w:r>
      <w:r w:rsidRPr="008B2CB8">
        <w:rPr>
          <w:rFonts w:cs="Arial"/>
          <w:color w:val="000000" w:themeColor="text1"/>
          <w:sz w:val="24"/>
          <w:szCs w:val="24"/>
        </w:rPr>
        <w:t xml:space="preserve"> to ensure the protection of child victims of trafficking.</w:t>
      </w:r>
      <w:r w:rsidRPr="008B2CB8">
        <w:rPr>
          <w:rStyle w:val="FootnoteReference"/>
          <w:rFonts w:cs="Arial"/>
          <w:color w:val="000000" w:themeColor="text1"/>
          <w:sz w:val="24"/>
          <w:szCs w:val="24"/>
        </w:rPr>
        <w:footnoteReference w:id="396"/>
      </w:r>
      <w:r w:rsidRPr="008B2CB8">
        <w:rPr>
          <w:rFonts w:cs="Arial"/>
          <w:color w:val="000000" w:themeColor="text1"/>
          <w:sz w:val="24"/>
          <w:szCs w:val="24"/>
        </w:rPr>
        <w:t xml:space="preserve"> </w:t>
      </w:r>
    </w:p>
    <w:p w:rsidR="002B6091" w:rsidRPr="008B2CB8" w:rsidRDefault="002B6091" w:rsidP="002B6091">
      <w:pPr>
        <w:pStyle w:val="Heading2"/>
        <w:numPr>
          <w:ilvl w:val="0"/>
          <w:numId w:val="93"/>
        </w:numPr>
        <w:rPr>
          <w:sz w:val="24"/>
          <w:szCs w:val="24"/>
        </w:rPr>
      </w:pPr>
      <w:bookmarkStart w:id="80" w:name="_Toc420603219"/>
      <w:bookmarkStart w:id="81" w:name="_Toc420603310"/>
      <w:r w:rsidRPr="008B2CB8">
        <w:rPr>
          <w:sz w:val="24"/>
          <w:szCs w:val="24"/>
        </w:rPr>
        <w:t>Omissions in criminal offences</w:t>
      </w:r>
      <w:bookmarkEnd w:id="80"/>
      <w:bookmarkEnd w:id="81"/>
    </w:p>
    <w:p w:rsidR="002B6091" w:rsidRPr="008B2CB8" w:rsidRDefault="002B6091" w:rsidP="002B6091">
      <w:pPr>
        <w:pStyle w:val="Body1"/>
        <w:tabs>
          <w:tab w:val="left" w:pos="0"/>
          <w:tab w:val="left" w:pos="0"/>
          <w:tab w:val="left" w:pos="709"/>
          <w:tab w:val="left" w:pos="1134"/>
          <w:tab w:val="left" w:pos="1276"/>
        </w:tabs>
        <w:rPr>
          <w:rFonts w:cs="Arial"/>
          <w:szCs w:val="24"/>
        </w:rPr>
      </w:pPr>
      <w:r w:rsidRPr="008B2CB8">
        <w:rPr>
          <w:rFonts w:cs="Arial"/>
          <w:szCs w:val="24"/>
        </w:rPr>
        <w:t>The EHRC considers the MSB to be an opportunity to remove current gaps in legislation and ensure the UK has a comprehensive and consistent legislative framework, which</w:t>
      </w:r>
      <w:r>
        <w:rPr>
          <w:rFonts w:cs="Arial"/>
          <w:szCs w:val="24"/>
        </w:rPr>
        <w:t xml:space="preserve"> </w:t>
      </w:r>
      <w:r w:rsidRPr="008B2CB8">
        <w:rPr>
          <w:rFonts w:cs="Arial"/>
          <w:szCs w:val="24"/>
        </w:rPr>
        <w:t>complies with international standards.</w:t>
      </w:r>
      <w:r w:rsidRPr="008B2CB8">
        <w:rPr>
          <w:rStyle w:val="FootnoteReference"/>
          <w:rFonts w:cs="Arial"/>
          <w:szCs w:val="24"/>
        </w:rPr>
        <w:footnoteReference w:id="397"/>
      </w:r>
      <w:r w:rsidRPr="008B2CB8">
        <w:rPr>
          <w:rFonts w:cs="Arial"/>
          <w:szCs w:val="24"/>
        </w:rPr>
        <w:t xml:space="preserve"> To achieve this, the EHRC considers the current range of criminal offences outlined in Part 1 of the MSB needs to be extended, including: </w:t>
      </w:r>
    </w:p>
    <w:p w:rsidR="002B6091" w:rsidRPr="008B2CB8" w:rsidRDefault="002B6091" w:rsidP="002B6091">
      <w:pPr>
        <w:pStyle w:val="Body1"/>
        <w:numPr>
          <w:ilvl w:val="0"/>
          <w:numId w:val="100"/>
        </w:numPr>
        <w:tabs>
          <w:tab w:val="left" w:pos="0"/>
          <w:tab w:val="left" w:pos="0"/>
          <w:tab w:val="left" w:pos="709"/>
          <w:tab w:val="left" w:pos="1134"/>
          <w:tab w:val="left" w:pos="1276"/>
        </w:tabs>
        <w:rPr>
          <w:rFonts w:cs="Arial"/>
          <w:color w:val="auto"/>
          <w:szCs w:val="24"/>
        </w:rPr>
      </w:pPr>
      <w:r w:rsidRPr="008B2CB8">
        <w:rPr>
          <w:rFonts w:ascii="Arial" w:hAnsi="Arial" w:cs="Arial"/>
          <w:szCs w:val="24"/>
        </w:rPr>
        <w:t xml:space="preserve">extending </w:t>
      </w:r>
      <w:r w:rsidRPr="008B2CB8">
        <w:rPr>
          <w:rFonts w:cs="Arial"/>
          <w:szCs w:val="24"/>
        </w:rPr>
        <w:t xml:space="preserve">clause 2 of the MSB to capture traffickers who are </w:t>
      </w:r>
      <w:r w:rsidRPr="008B2CB8">
        <w:rPr>
          <w:rFonts w:cs="Arial"/>
          <w:color w:val="auto"/>
          <w:szCs w:val="24"/>
        </w:rPr>
        <w:t xml:space="preserve">not directly involved in the movement of victims, but are involved in other aspects of the trafficking chain, for example those </w:t>
      </w:r>
      <w:proofErr w:type="spellStart"/>
      <w:r w:rsidRPr="008B2CB8">
        <w:rPr>
          <w:rFonts w:cs="Arial"/>
          <w:color w:val="auto"/>
          <w:szCs w:val="24"/>
        </w:rPr>
        <w:t>harbouring</w:t>
      </w:r>
      <w:proofErr w:type="spellEnd"/>
      <w:r w:rsidRPr="008B2CB8">
        <w:rPr>
          <w:rFonts w:cs="Arial"/>
          <w:color w:val="auto"/>
          <w:szCs w:val="24"/>
        </w:rPr>
        <w:t xml:space="preserve"> or receiving victims.</w:t>
      </w:r>
    </w:p>
    <w:p w:rsidR="002B6091" w:rsidRPr="008B2CB8" w:rsidRDefault="002B6091" w:rsidP="002B6091">
      <w:pPr>
        <w:pStyle w:val="Body1"/>
        <w:numPr>
          <w:ilvl w:val="0"/>
          <w:numId w:val="100"/>
        </w:numPr>
        <w:tabs>
          <w:tab w:val="left" w:pos="0"/>
          <w:tab w:val="left" w:pos="0"/>
          <w:tab w:val="left" w:pos="709"/>
          <w:tab w:val="left" w:pos="1134"/>
          <w:tab w:val="left" w:pos="1276"/>
        </w:tabs>
        <w:rPr>
          <w:rFonts w:eastAsia="Helvetica" w:cs="Arial"/>
          <w:szCs w:val="24"/>
        </w:rPr>
      </w:pPr>
      <w:proofErr w:type="gramStart"/>
      <w:r w:rsidRPr="008B2CB8">
        <w:rPr>
          <w:rFonts w:ascii="Arial" w:eastAsia="Times New Roman" w:hAnsi="Arial"/>
          <w:bCs/>
          <w:color w:val="auto"/>
          <w:szCs w:val="24"/>
          <w:lang w:val="en-GB" w:eastAsia="en-US"/>
        </w:rPr>
        <w:t>including</w:t>
      </w:r>
      <w:proofErr w:type="gramEnd"/>
      <w:r w:rsidRPr="008B2CB8">
        <w:rPr>
          <w:rFonts w:ascii="Arial" w:eastAsia="Times New Roman" w:hAnsi="Arial"/>
          <w:b/>
          <w:bCs/>
          <w:color w:val="auto"/>
          <w:szCs w:val="24"/>
          <w:lang w:val="en-GB" w:eastAsia="en-US"/>
        </w:rPr>
        <w:t xml:space="preserve"> </w:t>
      </w:r>
      <w:r w:rsidRPr="008B2CB8">
        <w:rPr>
          <w:rFonts w:cs="Arial"/>
          <w:szCs w:val="24"/>
        </w:rPr>
        <w:t>illegal adoption (under section 1(1) of the Child Abduction Act 1984</w:t>
      </w:r>
      <w:r w:rsidRPr="008B2CB8">
        <w:rPr>
          <w:rStyle w:val="FootnoteReference"/>
          <w:rFonts w:cs="Arial"/>
          <w:szCs w:val="24"/>
        </w:rPr>
        <w:footnoteReference w:id="398"/>
      </w:r>
      <w:r w:rsidRPr="008B2CB8">
        <w:rPr>
          <w:rFonts w:cs="Arial"/>
          <w:szCs w:val="24"/>
        </w:rPr>
        <w:t xml:space="preserve">) as a trafficking offence in the MSB, in line with Article 2(1) of the European Anti-Trafficking Directive and the </w:t>
      </w:r>
      <w:r w:rsidRPr="008B2CB8">
        <w:rPr>
          <w:rFonts w:eastAsia="Helvetica" w:cs="Arial"/>
          <w:szCs w:val="24"/>
        </w:rPr>
        <w:t>Concluding Observations of the CRC.</w:t>
      </w:r>
      <w:r w:rsidRPr="008B2CB8">
        <w:rPr>
          <w:rStyle w:val="FootnoteReference"/>
          <w:rFonts w:cs="Arial"/>
          <w:szCs w:val="24"/>
        </w:rPr>
        <w:footnoteReference w:id="399"/>
      </w:r>
    </w:p>
    <w:p w:rsidR="002B6091" w:rsidRPr="008B2CB8" w:rsidRDefault="002B6091" w:rsidP="002B6091">
      <w:pPr>
        <w:pStyle w:val="Body1"/>
        <w:numPr>
          <w:ilvl w:val="0"/>
          <w:numId w:val="100"/>
        </w:numPr>
        <w:tabs>
          <w:tab w:val="left" w:pos="0"/>
          <w:tab w:val="left" w:pos="0"/>
          <w:tab w:val="left" w:pos="709"/>
          <w:tab w:val="left" w:pos="1134"/>
          <w:tab w:val="left" w:pos="1276"/>
        </w:tabs>
        <w:rPr>
          <w:rFonts w:cs="Arial"/>
          <w:szCs w:val="24"/>
        </w:rPr>
      </w:pPr>
      <w:proofErr w:type="gramStart"/>
      <w:r w:rsidRPr="008B2CB8">
        <w:rPr>
          <w:rFonts w:cs="Arial"/>
          <w:szCs w:val="24"/>
        </w:rPr>
        <w:t>being</w:t>
      </w:r>
      <w:proofErr w:type="gramEnd"/>
      <w:r w:rsidRPr="008B2CB8">
        <w:rPr>
          <w:rFonts w:cs="Arial"/>
          <w:szCs w:val="24"/>
        </w:rPr>
        <w:t xml:space="preserve"> explicit that a victim cannot consent to their exploitation where the perpetrator uses threat, force, coercion, abduction, fraud, deception, abuse of power etc</w:t>
      </w:r>
      <w:r>
        <w:rPr>
          <w:rFonts w:cs="Arial"/>
          <w:szCs w:val="24"/>
        </w:rPr>
        <w:t>.</w:t>
      </w:r>
      <w:r w:rsidRPr="008B2CB8">
        <w:rPr>
          <w:rFonts w:cs="Arial"/>
          <w:szCs w:val="24"/>
        </w:rPr>
        <w:t>, regardless of the particular exploitative action being employed, in line with the EU Anti-Trafficking Directive.</w:t>
      </w:r>
      <w:r w:rsidRPr="008B2CB8">
        <w:rPr>
          <w:rStyle w:val="FootnoteReference"/>
          <w:rFonts w:cs="Arial"/>
          <w:szCs w:val="24"/>
        </w:rPr>
        <w:footnoteReference w:id="400"/>
      </w:r>
      <w:r w:rsidRPr="008B2CB8">
        <w:rPr>
          <w:rFonts w:cs="Arial"/>
          <w:szCs w:val="24"/>
        </w:rPr>
        <w:t xml:space="preserve"> </w:t>
      </w:r>
    </w:p>
    <w:p w:rsidR="002B6091" w:rsidRPr="008B2CB8" w:rsidRDefault="002B6091" w:rsidP="002B6091">
      <w:pPr>
        <w:pStyle w:val="Body1"/>
        <w:numPr>
          <w:ilvl w:val="0"/>
          <w:numId w:val="100"/>
        </w:numPr>
        <w:tabs>
          <w:tab w:val="left" w:pos="0"/>
          <w:tab w:val="left" w:pos="0"/>
          <w:tab w:val="left" w:pos="709"/>
          <w:tab w:val="left" w:pos="1134"/>
          <w:tab w:val="left" w:pos="1276"/>
        </w:tabs>
        <w:rPr>
          <w:rFonts w:cs="Arial"/>
          <w:szCs w:val="24"/>
        </w:rPr>
      </w:pPr>
      <w:r w:rsidRPr="008B2CB8">
        <w:rPr>
          <w:rFonts w:cs="Arial"/>
          <w:szCs w:val="24"/>
        </w:rPr>
        <w:t>broadening the scope of Clause 1 of the MSB</w:t>
      </w:r>
      <w:r>
        <w:rPr>
          <w:rFonts w:cs="Arial"/>
          <w:szCs w:val="24"/>
        </w:rPr>
        <w:t xml:space="preserve"> to</w:t>
      </w:r>
      <w:r w:rsidRPr="008B2CB8">
        <w:rPr>
          <w:rFonts w:cs="Arial"/>
          <w:szCs w:val="24"/>
        </w:rPr>
        <w:t xml:space="preserve"> include several critical potential vulnerabilities to trafficking as </w:t>
      </w:r>
      <w:r>
        <w:rPr>
          <w:rFonts w:cs="Arial"/>
          <w:szCs w:val="24"/>
        </w:rPr>
        <w:t>set out in the Anti-Trafficking Directive</w:t>
      </w:r>
      <w:r w:rsidRPr="008B2CB8">
        <w:rPr>
          <w:rFonts w:cs="Arial"/>
          <w:szCs w:val="24"/>
        </w:rPr>
        <w:t xml:space="preserve"> and the </w:t>
      </w:r>
      <w:r w:rsidRPr="008B2CB8">
        <w:rPr>
          <w:rFonts w:cs="Arial"/>
          <w:szCs w:val="24"/>
          <w:lang w:val="en-GB"/>
        </w:rPr>
        <w:t>ECHR</w:t>
      </w:r>
      <w:r w:rsidRPr="008B2CB8">
        <w:rPr>
          <w:rFonts w:cs="Arial"/>
          <w:szCs w:val="24"/>
        </w:rPr>
        <w:t>,</w:t>
      </w:r>
      <w:r w:rsidRPr="008B2CB8">
        <w:rPr>
          <w:rStyle w:val="FootnoteReference"/>
          <w:rFonts w:cs="Arial"/>
          <w:szCs w:val="24"/>
        </w:rPr>
        <w:footnoteReference w:id="401"/>
      </w:r>
      <w:r w:rsidRPr="008B2CB8">
        <w:rPr>
          <w:rFonts w:cs="Arial"/>
          <w:szCs w:val="24"/>
        </w:rPr>
        <w:t xml:space="preserve"> such as:</w:t>
      </w:r>
    </w:p>
    <w:p w:rsidR="002B6091" w:rsidRPr="008B2CB8" w:rsidRDefault="002B6091" w:rsidP="002B6091">
      <w:pPr>
        <w:pStyle w:val="Body1"/>
        <w:numPr>
          <w:ilvl w:val="0"/>
          <w:numId w:val="94"/>
        </w:numPr>
        <w:tabs>
          <w:tab w:val="left" w:pos="0"/>
          <w:tab w:val="left" w:pos="0"/>
          <w:tab w:val="left" w:pos="709"/>
          <w:tab w:val="left" w:pos="1134"/>
          <w:tab w:val="left" w:pos="1276"/>
        </w:tabs>
        <w:rPr>
          <w:rFonts w:cs="Arial"/>
          <w:szCs w:val="24"/>
        </w:rPr>
      </w:pPr>
      <w:r w:rsidRPr="008B2CB8">
        <w:rPr>
          <w:rFonts w:cs="Arial"/>
          <w:szCs w:val="24"/>
        </w:rPr>
        <w:lastRenderedPageBreak/>
        <w:t>ethnicity, national origin, or religion;</w:t>
      </w:r>
      <w:r w:rsidRPr="008B2CB8">
        <w:rPr>
          <w:rStyle w:val="FootnoteReference"/>
          <w:rFonts w:cs="Arial"/>
          <w:szCs w:val="24"/>
        </w:rPr>
        <w:footnoteReference w:id="402"/>
      </w:r>
      <w:r w:rsidRPr="008B2CB8">
        <w:rPr>
          <w:rFonts w:cs="Arial"/>
          <w:szCs w:val="24"/>
        </w:rPr>
        <w:t xml:space="preserve"> or</w:t>
      </w:r>
    </w:p>
    <w:p w:rsidR="002B6091" w:rsidRPr="008B2CB8" w:rsidRDefault="002B6091" w:rsidP="002B6091">
      <w:pPr>
        <w:pStyle w:val="Body1"/>
        <w:numPr>
          <w:ilvl w:val="0"/>
          <w:numId w:val="94"/>
        </w:numPr>
        <w:tabs>
          <w:tab w:val="left" w:pos="0"/>
          <w:tab w:val="left" w:pos="0"/>
          <w:tab w:val="left" w:pos="709"/>
          <w:tab w:val="left" w:pos="1134"/>
          <w:tab w:val="left" w:pos="1276"/>
        </w:tabs>
        <w:rPr>
          <w:rFonts w:cs="Arial"/>
          <w:szCs w:val="24"/>
        </w:rPr>
      </w:pPr>
      <w:proofErr w:type="gramStart"/>
      <w:r w:rsidRPr="008B2CB8">
        <w:rPr>
          <w:rFonts w:cs="Arial"/>
          <w:szCs w:val="24"/>
        </w:rPr>
        <w:t>socio-legal</w:t>
      </w:r>
      <w:proofErr w:type="gramEnd"/>
      <w:r w:rsidRPr="008B2CB8">
        <w:rPr>
          <w:rFonts w:cs="Arial"/>
          <w:szCs w:val="24"/>
        </w:rPr>
        <w:t xml:space="preserve"> and socio-economic factors</w:t>
      </w:r>
      <w:r>
        <w:rPr>
          <w:rFonts w:cs="Arial"/>
          <w:szCs w:val="24"/>
        </w:rPr>
        <w:t>, f</w:t>
      </w:r>
      <w:r w:rsidRPr="008B2CB8">
        <w:rPr>
          <w:rFonts w:cs="Arial"/>
          <w:szCs w:val="24"/>
        </w:rPr>
        <w:t xml:space="preserve">or example, research has demonstrated the vulnerability of migrants to forced </w:t>
      </w:r>
      <w:proofErr w:type="spellStart"/>
      <w:r w:rsidRPr="008B2CB8">
        <w:rPr>
          <w:rFonts w:cs="Arial"/>
          <w:szCs w:val="24"/>
        </w:rPr>
        <w:t>labour</w:t>
      </w:r>
      <w:proofErr w:type="spellEnd"/>
      <w:r>
        <w:rPr>
          <w:rFonts w:cs="Arial"/>
          <w:szCs w:val="24"/>
        </w:rPr>
        <w:t>.</w:t>
      </w:r>
      <w:r w:rsidRPr="008B2CB8">
        <w:rPr>
          <w:rStyle w:val="FootnoteReference"/>
          <w:rFonts w:cs="Arial"/>
          <w:szCs w:val="24"/>
        </w:rPr>
        <w:footnoteReference w:id="403"/>
      </w:r>
      <w:r w:rsidRPr="008B2CB8">
        <w:rPr>
          <w:rFonts w:cs="Arial"/>
          <w:szCs w:val="24"/>
        </w:rPr>
        <w:t xml:space="preserve"> </w:t>
      </w:r>
    </w:p>
    <w:p w:rsidR="002B6091" w:rsidRDefault="002B6091" w:rsidP="002B6091">
      <w:pPr>
        <w:pStyle w:val="Body1"/>
        <w:numPr>
          <w:ilvl w:val="0"/>
          <w:numId w:val="94"/>
        </w:numPr>
        <w:tabs>
          <w:tab w:val="left" w:pos="0"/>
          <w:tab w:val="left" w:pos="0"/>
          <w:tab w:val="left" w:pos="709"/>
          <w:tab w:val="left" w:pos="1134"/>
          <w:tab w:val="left" w:pos="1276"/>
        </w:tabs>
        <w:ind w:left="720"/>
        <w:rPr>
          <w:rFonts w:cs="Arial"/>
          <w:szCs w:val="24"/>
        </w:rPr>
      </w:pPr>
      <w:proofErr w:type="gramStart"/>
      <w:r w:rsidRPr="008B2CB8">
        <w:rPr>
          <w:rFonts w:cs="Arial"/>
          <w:szCs w:val="24"/>
        </w:rPr>
        <w:t>explicitly</w:t>
      </w:r>
      <w:proofErr w:type="gramEnd"/>
      <w:r w:rsidRPr="008B2CB8">
        <w:rPr>
          <w:rFonts w:cs="Arial"/>
          <w:szCs w:val="24"/>
        </w:rPr>
        <w:t xml:space="preserve"> clarifying that a child cannot consent to their own exploitation.</w:t>
      </w:r>
      <w:r w:rsidRPr="008B2CB8">
        <w:rPr>
          <w:rStyle w:val="FootnoteReference"/>
          <w:rFonts w:cs="Arial"/>
          <w:szCs w:val="24"/>
        </w:rPr>
        <w:footnoteReference w:id="404"/>
      </w:r>
      <w:r w:rsidR="008C67B4">
        <w:rPr>
          <w:rFonts w:cs="Arial"/>
          <w:szCs w:val="24"/>
        </w:rPr>
        <w:t xml:space="preserve"> </w:t>
      </w:r>
      <w:r w:rsidRPr="008B2CB8">
        <w:rPr>
          <w:rFonts w:cs="Arial"/>
          <w:szCs w:val="24"/>
        </w:rPr>
        <w:t>The EHRC also considers that Clause 3(6) is ambiguous in its reference to "young" – and should be amended to clarify that the young people covered by th</w:t>
      </w:r>
      <w:r>
        <w:rPr>
          <w:rFonts w:cs="Arial"/>
          <w:szCs w:val="24"/>
        </w:rPr>
        <w:t>is provision are those under 18;</w:t>
      </w:r>
      <w:r w:rsidRPr="008B2CB8">
        <w:rPr>
          <w:rStyle w:val="FootnoteReference"/>
          <w:rFonts w:cs="Arial"/>
          <w:szCs w:val="24"/>
        </w:rPr>
        <w:footnoteReference w:id="405"/>
      </w:r>
      <w:r>
        <w:rPr>
          <w:rFonts w:cs="Arial"/>
          <w:szCs w:val="24"/>
        </w:rPr>
        <w:t xml:space="preserve"> and</w:t>
      </w:r>
    </w:p>
    <w:p w:rsidR="002B6091" w:rsidRPr="00280281" w:rsidRDefault="002B6091" w:rsidP="002B6091">
      <w:pPr>
        <w:pStyle w:val="Body1"/>
        <w:numPr>
          <w:ilvl w:val="0"/>
          <w:numId w:val="94"/>
        </w:numPr>
        <w:tabs>
          <w:tab w:val="left" w:pos="0"/>
          <w:tab w:val="left" w:pos="0"/>
          <w:tab w:val="left" w:pos="709"/>
          <w:tab w:val="left" w:pos="1134"/>
          <w:tab w:val="left" w:pos="1276"/>
        </w:tabs>
        <w:ind w:left="720"/>
        <w:rPr>
          <w:rFonts w:cs="Arial"/>
          <w:szCs w:val="24"/>
        </w:rPr>
      </w:pPr>
      <w:r w:rsidRPr="00280281">
        <w:rPr>
          <w:rFonts w:cs="Arial"/>
          <w:szCs w:val="24"/>
        </w:rPr>
        <w:t>expanding the definition of exploitation in Clause 3 of the MSB to include:</w:t>
      </w:r>
    </w:p>
    <w:p w:rsidR="002B6091" w:rsidRPr="008B2CB8" w:rsidRDefault="002B6091" w:rsidP="002B6091">
      <w:pPr>
        <w:pStyle w:val="ListParagraph"/>
        <w:numPr>
          <w:ilvl w:val="0"/>
          <w:numId w:val="95"/>
        </w:numPr>
        <w:ind w:left="1440"/>
        <w:rPr>
          <w:rFonts w:cs="Arial"/>
          <w:sz w:val="24"/>
          <w:szCs w:val="24"/>
        </w:rPr>
      </w:pPr>
      <w:r w:rsidRPr="008B2CB8">
        <w:rPr>
          <w:rFonts w:cs="Arial"/>
          <w:sz w:val="24"/>
          <w:szCs w:val="24"/>
        </w:rPr>
        <w:t>debt bondage (a common means of controlling a trafficking victim</w:t>
      </w:r>
      <w:r w:rsidRPr="008B2CB8">
        <w:rPr>
          <w:rStyle w:val="FootnoteReference"/>
          <w:rFonts w:cs="Arial"/>
          <w:sz w:val="24"/>
          <w:szCs w:val="24"/>
        </w:rPr>
        <w:footnoteReference w:id="406"/>
      </w:r>
      <w:r w:rsidRPr="008B2CB8">
        <w:rPr>
          <w:rFonts w:cs="Arial"/>
          <w:sz w:val="24"/>
          <w:szCs w:val="24"/>
        </w:rPr>
        <w:t xml:space="preserve">), </w:t>
      </w:r>
    </w:p>
    <w:p w:rsidR="002B6091" w:rsidRPr="008B2CB8" w:rsidRDefault="002B6091" w:rsidP="002B6091">
      <w:pPr>
        <w:pStyle w:val="ListParagraph"/>
        <w:numPr>
          <w:ilvl w:val="0"/>
          <w:numId w:val="95"/>
        </w:numPr>
        <w:ind w:left="1440"/>
        <w:rPr>
          <w:rFonts w:cs="Arial"/>
          <w:sz w:val="24"/>
          <w:szCs w:val="24"/>
        </w:rPr>
      </w:pPr>
      <w:r w:rsidRPr="008B2CB8">
        <w:rPr>
          <w:rFonts w:cs="Arial"/>
          <w:sz w:val="24"/>
          <w:szCs w:val="24"/>
        </w:rPr>
        <w:t xml:space="preserve">abduction, abuse of power, fraud, or coercion; or </w:t>
      </w:r>
    </w:p>
    <w:p w:rsidR="002B6091" w:rsidRPr="008B2CB8" w:rsidRDefault="002B6091" w:rsidP="002B6091">
      <w:pPr>
        <w:pStyle w:val="ListParagraph"/>
        <w:numPr>
          <w:ilvl w:val="0"/>
          <w:numId w:val="95"/>
        </w:numPr>
        <w:ind w:left="1440"/>
        <w:rPr>
          <w:rFonts w:cs="Arial"/>
          <w:sz w:val="24"/>
          <w:szCs w:val="24"/>
        </w:rPr>
      </w:pPr>
      <w:proofErr w:type="gramStart"/>
      <w:r w:rsidRPr="008B2CB8">
        <w:rPr>
          <w:rFonts w:cs="Arial"/>
          <w:sz w:val="24"/>
          <w:szCs w:val="24"/>
        </w:rPr>
        <w:t>where</w:t>
      </w:r>
      <w:proofErr w:type="gramEnd"/>
      <w:r w:rsidRPr="008B2CB8">
        <w:rPr>
          <w:rFonts w:cs="Arial"/>
          <w:sz w:val="24"/>
          <w:szCs w:val="24"/>
        </w:rPr>
        <w:t xml:space="preserve"> payments are received to achieve the consent of a person having control over another person.</w:t>
      </w:r>
      <w:r w:rsidRPr="008B2CB8">
        <w:rPr>
          <w:rStyle w:val="FootnoteReference"/>
          <w:rFonts w:cs="Arial"/>
          <w:sz w:val="24"/>
          <w:szCs w:val="24"/>
        </w:rPr>
        <w:footnoteReference w:id="407"/>
      </w:r>
      <w:r w:rsidR="008C67B4">
        <w:rPr>
          <w:rFonts w:cs="Arial"/>
          <w:sz w:val="24"/>
          <w:szCs w:val="24"/>
        </w:rPr>
        <w:t xml:space="preserve"> </w:t>
      </w:r>
    </w:p>
    <w:p w:rsidR="002B6091" w:rsidRPr="008B2CB8" w:rsidRDefault="002B6091" w:rsidP="002B6091">
      <w:pPr>
        <w:pStyle w:val="Heading2"/>
        <w:numPr>
          <w:ilvl w:val="0"/>
          <w:numId w:val="93"/>
        </w:numPr>
        <w:rPr>
          <w:sz w:val="24"/>
          <w:szCs w:val="24"/>
        </w:rPr>
      </w:pPr>
      <w:bookmarkStart w:id="82" w:name="_Toc420603220"/>
      <w:bookmarkStart w:id="83" w:name="_Toc420603311"/>
      <w:r w:rsidRPr="008B2CB8">
        <w:rPr>
          <w:sz w:val="24"/>
          <w:szCs w:val="24"/>
        </w:rPr>
        <w:t>Children</w:t>
      </w:r>
      <w:bookmarkEnd w:id="82"/>
      <w:bookmarkEnd w:id="83"/>
    </w:p>
    <w:p w:rsidR="002B6091" w:rsidRPr="008B2CB8" w:rsidRDefault="002B6091" w:rsidP="002B6091">
      <w:pPr>
        <w:rPr>
          <w:rFonts w:cs="Arial"/>
          <w:sz w:val="24"/>
          <w:szCs w:val="24"/>
        </w:rPr>
      </w:pPr>
      <w:r w:rsidRPr="008B2CB8">
        <w:rPr>
          <w:rFonts w:cs="Arial"/>
          <w:sz w:val="24"/>
          <w:szCs w:val="24"/>
        </w:rPr>
        <w:t>The Child Exploitation and Online Protection Centre (CEOP) estimates that 60% of suspected child victims of trafficking in local authority care go missing and two-thirds are never found.</w:t>
      </w:r>
      <w:r w:rsidR="008C67B4">
        <w:rPr>
          <w:rFonts w:cs="Arial"/>
          <w:sz w:val="24"/>
          <w:szCs w:val="24"/>
        </w:rPr>
        <w:t xml:space="preserve"> </w:t>
      </w:r>
      <w:r w:rsidRPr="008B2CB8">
        <w:rPr>
          <w:rFonts w:cs="Arial"/>
          <w:sz w:val="24"/>
          <w:szCs w:val="24"/>
        </w:rPr>
        <w:t>There is evidence that those who are found are with traffickers again.</w:t>
      </w:r>
      <w:r w:rsidRPr="008B2CB8">
        <w:rPr>
          <w:rStyle w:val="FootnoteReference"/>
          <w:rFonts w:cs="Arial"/>
          <w:sz w:val="24"/>
          <w:szCs w:val="24"/>
        </w:rPr>
        <w:footnoteReference w:id="408"/>
      </w:r>
      <w:r w:rsidRPr="008B2CB8">
        <w:rPr>
          <w:rFonts w:cs="Arial"/>
          <w:sz w:val="24"/>
          <w:szCs w:val="24"/>
        </w:rPr>
        <w:t xml:space="preserve"> The EHRC therefore welcomes the MSB’s provision for the appointment of advocates for unaccompanied trafficked children, subject to a pilot scheme to be commenced in summer 2014.</w:t>
      </w:r>
      <w:r w:rsidR="008C67B4">
        <w:rPr>
          <w:rFonts w:cs="Arial"/>
          <w:sz w:val="24"/>
          <w:szCs w:val="24"/>
        </w:rPr>
        <w:t xml:space="preserve"> </w:t>
      </w:r>
      <w:r w:rsidRPr="008B2CB8">
        <w:rPr>
          <w:rFonts w:cs="Arial"/>
          <w:sz w:val="24"/>
          <w:szCs w:val="24"/>
        </w:rPr>
        <w:t xml:space="preserve">However, we believe there is also a need for positive, effective measures to record and investigate the whereabouts of trafficked children who go missing from care, so as to accord with the UK’s positive obligations under Article 4 of the ECHR, the Anti-Trafficking Directive and the </w:t>
      </w:r>
      <w:r w:rsidRPr="008B2CB8">
        <w:rPr>
          <w:rFonts w:eastAsia="Helvetica" w:cs="Arial"/>
          <w:sz w:val="24"/>
          <w:szCs w:val="24"/>
        </w:rPr>
        <w:t xml:space="preserve">CRC’s </w:t>
      </w:r>
      <w:r>
        <w:rPr>
          <w:rFonts w:eastAsia="Helvetica" w:cs="Arial"/>
          <w:sz w:val="24"/>
          <w:szCs w:val="24"/>
        </w:rPr>
        <w:t>C</w:t>
      </w:r>
      <w:r w:rsidRPr="008B2CB8">
        <w:rPr>
          <w:rFonts w:eastAsia="Helvetica" w:cs="Arial"/>
          <w:sz w:val="24"/>
          <w:szCs w:val="24"/>
        </w:rPr>
        <w:t xml:space="preserve">oncluding </w:t>
      </w:r>
      <w:r>
        <w:rPr>
          <w:rFonts w:eastAsia="Helvetica" w:cs="Arial"/>
          <w:sz w:val="24"/>
          <w:szCs w:val="24"/>
        </w:rPr>
        <w:t>O</w:t>
      </w:r>
      <w:r w:rsidRPr="008B2CB8">
        <w:rPr>
          <w:rFonts w:eastAsia="Helvetica" w:cs="Arial"/>
          <w:sz w:val="24"/>
          <w:szCs w:val="24"/>
        </w:rPr>
        <w:t>bservations.</w:t>
      </w:r>
      <w:r w:rsidRPr="008B2CB8">
        <w:rPr>
          <w:rStyle w:val="FootnoteReference"/>
          <w:rFonts w:cs="Arial"/>
          <w:sz w:val="24"/>
          <w:szCs w:val="24"/>
        </w:rPr>
        <w:footnoteReference w:id="409"/>
      </w:r>
    </w:p>
    <w:p w:rsidR="002B6091" w:rsidRPr="008B2CB8" w:rsidRDefault="002B6091" w:rsidP="002B6091">
      <w:pPr>
        <w:pStyle w:val="Heading2"/>
        <w:numPr>
          <w:ilvl w:val="0"/>
          <w:numId w:val="93"/>
        </w:numPr>
        <w:rPr>
          <w:sz w:val="24"/>
          <w:szCs w:val="24"/>
        </w:rPr>
      </w:pPr>
      <w:bookmarkStart w:id="84" w:name="_Toc420603221"/>
      <w:bookmarkStart w:id="85" w:name="_Toc420603312"/>
      <w:r w:rsidRPr="008B2CB8">
        <w:rPr>
          <w:sz w:val="24"/>
          <w:szCs w:val="24"/>
        </w:rPr>
        <w:lastRenderedPageBreak/>
        <w:t>Non-prosecution of victims of trafficking</w:t>
      </w:r>
      <w:bookmarkEnd w:id="84"/>
      <w:bookmarkEnd w:id="85"/>
    </w:p>
    <w:p w:rsidR="002B6091" w:rsidRPr="008B2CB8" w:rsidRDefault="002B6091" w:rsidP="002B6091">
      <w:pPr>
        <w:pStyle w:val="Heading2"/>
        <w:rPr>
          <w:b w:val="0"/>
          <w:color w:val="000000" w:themeColor="text1"/>
          <w:sz w:val="24"/>
          <w:szCs w:val="24"/>
        </w:rPr>
      </w:pPr>
      <w:bookmarkStart w:id="86" w:name="_Toc420603222"/>
      <w:bookmarkStart w:id="87" w:name="_Toc420603313"/>
      <w:r w:rsidRPr="008B2CB8">
        <w:rPr>
          <w:b w:val="0"/>
          <w:sz w:val="24"/>
          <w:szCs w:val="24"/>
        </w:rPr>
        <w:t xml:space="preserve">The MSB has improved since its original draft by prohibiting the prosecution of trafficking victims for offences committed by compulsion as a result of slavery or exploitation. </w:t>
      </w:r>
      <w:r w:rsidRPr="008B2CB8">
        <w:rPr>
          <w:b w:val="0"/>
          <w:color w:val="000000" w:themeColor="text1"/>
          <w:sz w:val="24"/>
          <w:szCs w:val="24"/>
        </w:rPr>
        <w:t>This is welcome implementation of the CRC’s concluding observations</w:t>
      </w:r>
      <w:r w:rsidRPr="008B2CB8">
        <w:rPr>
          <w:rFonts w:eastAsia="Helvetica"/>
          <w:b w:val="0"/>
          <w:sz w:val="24"/>
          <w:szCs w:val="24"/>
        </w:rPr>
        <w:t>.</w:t>
      </w:r>
      <w:r w:rsidRPr="008B2CB8">
        <w:rPr>
          <w:rStyle w:val="FootnoteReference"/>
          <w:rFonts w:cs="Arial"/>
          <w:b w:val="0"/>
          <w:color w:val="000000" w:themeColor="text1"/>
          <w:sz w:val="24"/>
          <w:szCs w:val="24"/>
        </w:rPr>
        <w:footnoteReference w:id="410"/>
      </w:r>
      <w:r>
        <w:rPr>
          <w:rFonts w:eastAsia="Helvetica"/>
          <w:b w:val="0"/>
          <w:sz w:val="24"/>
          <w:szCs w:val="24"/>
        </w:rPr>
        <w:t xml:space="preserve"> </w:t>
      </w:r>
      <w:r w:rsidRPr="008B2CB8">
        <w:rPr>
          <w:rFonts w:eastAsia="Helvetica"/>
          <w:b w:val="0"/>
          <w:sz w:val="24"/>
          <w:szCs w:val="24"/>
        </w:rPr>
        <w:t>It is also necessary,</w:t>
      </w:r>
      <w:r w:rsidRPr="008B2CB8">
        <w:rPr>
          <w:b w:val="0"/>
          <w:color w:val="000000" w:themeColor="text1"/>
          <w:sz w:val="24"/>
          <w:szCs w:val="24"/>
        </w:rPr>
        <w:t xml:space="preserve"> in light of the body of evidence</w:t>
      </w:r>
      <w:r w:rsidRPr="008B2CB8">
        <w:rPr>
          <w:rStyle w:val="FootnoteReference"/>
          <w:rFonts w:cs="Arial"/>
          <w:b w:val="0"/>
          <w:color w:val="000000" w:themeColor="text1"/>
          <w:sz w:val="24"/>
          <w:szCs w:val="24"/>
        </w:rPr>
        <w:footnoteReference w:id="411"/>
      </w:r>
      <w:r w:rsidRPr="008B2CB8">
        <w:rPr>
          <w:b w:val="0"/>
          <w:color w:val="000000" w:themeColor="text1"/>
          <w:sz w:val="24"/>
          <w:szCs w:val="24"/>
        </w:rPr>
        <w:t xml:space="preserve"> that, despite Crown Prosecution Service (CPS) guidance,</w:t>
      </w:r>
      <w:r w:rsidRPr="008B2CB8">
        <w:rPr>
          <w:rStyle w:val="FootnoteReference"/>
          <w:rFonts w:cs="Arial"/>
          <w:b w:val="0"/>
          <w:color w:val="000000" w:themeColor="text1"/>
          <w:sz w:val="24"/>
          <w:szCs w:val="24"/>
        </w:rPr>
        <w:footnoteReference w:id="412"/>
      </w:r>
      <w:r w:rsidRPr="008B2CB8">
        <w:rPr>
          <w:b w:val="0"/>
          <w:color w:val="000000" w:themeColor="text1"/>
          <w:sz w:val="24"/>
          <w:szCs w:val="24"/>
        </w:rPr>
        <w:t xml:space="preserve"> individuals continue to be prosecuted for offences committed </w:t>
      </w:r>
      <w:r>
        <w:rPr>
          <w:b w:val="0"/>
          <w:color w:val="000000" w:themeColor="text1"/>
          <w:sz w:val="24"/>
          <w:szCs w:val="24"/>
        </w:rPr>
        <w:t>with</w:t>
      </w:r>
      <w:r w:rsidRPr="008B2CB8">
        <w:rPr>
          <w:b w:val="0"/>
          <w:color w:val="000000" w:themeColor="text1"/>
          <w:sz w:val="24"/>
          <w:szCs w:val="24"/>
        </w:rPr>
        <w:t xml:space="preserve"> victims of trafficking.</w:t>
      </w:r>
      <w:bookmarkEnd w:id="86"/>
      <w:bookmarkEnd w:id="87"/>
      <w:r w:rsidRPr="008B2CB8">
        <w:rPr>
          <w:b w:val="0"/>
          <w:color w:val="000000" w:themeColor="text1"/>
          <w:sz w:val="24"/>
          <w:szCs w:val="24"/>
        </w:rPr>
        <w:t xml:space="preserve"> </w:t>
      </w:r>
    </w:p>
    <w:p w:rsidR="002B6091" w:rsidRPr="007516A1" w:rsidRDefault="002B6091" w:rsidP="002B6091">
      <w:pPr>
        <w:pStyle w:val="Heading2"/>
        <w:numPr>
          <w:ilvl w:val="0"/>
          <w:numId w:val="93"/>
        </w:numPr>
        <w:rPr>
          <w:sz w:val="24"/>
          <w:szCs w:val="24"/>
        </w:rPr>
      </w:pPr>
      <w:bookmarkStart w:id="88" w:name="_Toc420603223"/>
      <w:bookmarkStart w:id="89" w:name="_Toc420603314"/>
      <w:r w:rsidRPr="008B2CB8">
        <w:rPr>
          <w:sz w:val="24"/>
          <w:szCs w:val="24"/>
        </w:rPr>
        <w:t>Data collection and the review of the National Referral Mechanism</w:t>
      </w:r>
      <w:bookmarkEnd w:id="88"/>
      <w:bookmarkEnd w:id="89"/>
    </w:p>
    <w:p w:rsidR="002B6091" w:rsidRPr="008B2CB8" w:rsidRDefault="002B6091" w:rsidP="002B6091">
      <w:pPr>
        <w:pStyle w:val="ListParagraph"/>
        <w:ind w:left="0"/>
        <w:rPr>
          <w:sz w:val="24"/>
          <w:szCs w:val="24"/>
        </w:rPr>
      </w:pPr>
      <w:r w:rsidRPr="008B2CB8">
        <w:rPr>
          <w:sz w:val="24"/>
          <w:szCs w:val="24"/>
        </w:rPr>
        <w:t>The EHRC has raised concerns about the UK Government’s lack of a comprehensive data collection system to enable improved identification</w:t>
      </w:r>
      <w:r>
        <w:rPr>
          <w:sz w:val="24"/>
          <w:szCs w:val="24"/>
        </w:rPr>
        <w:t xml:space="preserve"> and</w:t>
      </w:r>
      <w:r w:rsidRPr="008B2CB8">
        <w:rPr>
          <w:sz w:val="24"/>
          <w:szCs w:val="24"/>
        </w:rPr>
        <w:t xml:space="preserve"> recording</w:t>
      </w:r>
      <w:r>
        <w:rPr>
          <w:sz w:val="24"/>
          <w:szCs w:val="24"/>
        </w:rPr>
        <w:t xml:space="preserve"> of suspected cases of trafficking, and</w:t>
      </w:r>
      <w:r w:rsidRPr="008B2CB8">
        <w:rPr>
          <w:sz w:val="24"/>
          <w:szCs w:val="24"/>
        </w:rPr>
        <w:t xml:space="preserve"> </w:t>
      </w:r>
      <w:r>
        <w:rPr>
          <w:sz w:val="24"/>
          <w:szCs w:val="24"/>
        </w:rPr>
        <w:t xml:space="preserve">their </w:t>
      </w:r>
      <w:r w:rsidRPr="008B2CB8">
        <w:rPr>
          <w:sz w:val="24"/>
          <w:szCs w:val="24"/>
        </w:rPr>
        <w:t>referral and follow-up at a local and national level.</w:t>
      </w:r>
      <w:r w:rsidRPr="008B2CB8">
        <w:rPr>
          <w:rStyle w:val="FootnoteReference"/>
          <w:sz w:val="24"/>
          <w:szCs w:val="24"/>
        </w:rPr>
        <w:footnoteReference w:id="413"/>
      </w:r>
      <w:r w:rsidRPr="008B2CB8">
        <w:rPr>
          <w:sz w:val="24"/>
          <w:szCs w:val="24"/>
        </w:rPr>
        <w:t xml:space="preserve"> We therefore welcome the recently announced review of the NRM, which is due to report in autumn 2014. </w:t>
      </w:r>
      <w:r w:rsidRPr="008B2CB8">
        <w:rPr>
          <w:rFonts w:cs="Arial"/>
          <w:sz w:val="24"/>
          <w:szCs w:val="24"/>
        </w:rPr>
        <w:t>The EHRC’s Inquiry into Human Trafficking in Scotland</w:t>
      </w:r>
      <w:r w:rsidRPr="008B2CB8">
        <w:rPr>
          <w:rStyle w:val="FootnoteReference"/>
          <w:rFonts w:cs="Arial"/>
          <w:sz w:val="24"/>
          <w:szCs w:val="24"/>
        </w:rPr>
        <w:footnoteReference w:id="414"/>
      </w:r>
      <w:r w:rsidRPr="008B2CB8">
        <w:rPr>
          <w:rFonts w:cs="Arial"/>
          <w:sz w:val="24"/>
          <w:szCs w:val="24"/>
        </w:rPr>
        <w:t xml:space="preserve"> recommended that such a review should consider:</w:t>
      </w:r>
    </w:p>
    <w:p w:rsidR="002B6091" w:rsidRPr="008B2CB8" w:rsidRDefault="002B6091" w:rsidP="002B6091">
      <w:pPr>
        <w:pStyle w:val="ListParagraph"/>
        <w:numPr>
          <w:ilvl w:val="0"/>
          <w:numId w:val="92"/>
        </w:numPr>
        <w:spacing w:after="0"/>
        <w:rPr>
          <w:sz w:val="24"/>
          <w:szCs w:val="24"/>
        </w:rPr>
      </w:pPr>
      <w:r w:rsidRPr="008B2CB8">
        <w:rPr>
          <w:sz w:val="24"/>
          <w:szCs w:val="24"/>
        </w:rPr>
        <w:t>the approaches and structures used for the identification of trafficked persons;</w:t>
      </w:r>
    </w:p>
    <w:p w:rsidR="002B6091" w:rsidRPr="008B2CB8" w:rsidRDefault="002B6091" w:rsidP="002B6091">
      <w:pPr>
        <w:pStyle w:val="ListParagraph"/>
        <w:numPr>
          <w:ilvl w:val="0"/>
          <w:numId w:val="92"/>
        </w:numPr>
        <w:spacing w:after="0"/>
        <w:rPr>
          <w:sz w:val="24"/>
          <w:szCs w:val="24"/>
        </w:rPr>
      </w:pPr>
      <w:r w:rsidRPr="008B2CB8">
        <w:rPr>
          <w:sz w:val="24"/>
          <w:szCs w:val="24"/>
        </w:rPr>
        <w:t>the independence of the present arrangements;</w:t>
      </w:r>
    </w:p>
    <w:p w:rsidR="002B6091" w:rsidRPr="008B2CB8" w:rsidRDefault="002B6091" w:rsidP="002B6091">
      <w:pPr>
        <w:pStyle w:val="ListParagraph"/>
        <w:numPr>
          <w:ilvl w:val="0"/>
          <w:numId w:val="92"/>
        </w:numPr>
        <w:spacing w:after="0"/>
        <w:rPr>
          <w:sz w:val="24"/>
          <w:szCs w:val="24"/>
        </w:rPr>
      </w:pPr>
      <w:r w:rsidRPr="008B2CB8">
        <w:rPr>
          <w:sz w:val="24"/>
          <w:szCs w:val="24"/>
        </w:rPr>
        <w:t>whether the present arrangements for identifying victims should be devolved to local decision makers;</w:t>
      </w:r>
    </w:p>
    <w:p w:rsidR="002B6091" w:rsidRPr="008B2CB8" w:rsidRDefault="002B6091" w:rsidP="002B6091">
      <w:pPr>
        <w:pStyle w:val="ListParagraph"/>
        <w:numPr>
          <w:ilvl w:val="0"/>
          <w:numId w:val="92"/>
        </w:numPr>
        <w:spacing w:after="0"/>
        <w:rPr>
          <w:sz w:val="24"/>
          <w:szCs w:val="24"/>
        </w:rPr>
      </w:pPr>
      <w:r w:rsidRPr="008B2CB8">
        <w:rPr>
          <w:sz w:val="24"/>
          <w:szCs w:val="24"/>
        </w:rPr>
        <w:t>how to improve accountability;</w:t>
      </w:r>
    </w:p>
    <w:p w:rsidR="002B6091" w:rsidRPr="008B2CB8" w:rsidRDefault="002B6091" w:rsidP="002B6091">
      <w:pPr>
        <w:pStyle w:val="ListParagraph"/>
        <w:numPr>
          <w:ilvl w:val="0"/>
          <w:numId w:val="92"/>
        </w:numPr>
        <w:spacing w:after="0"/>
        <w:rPr>
          <w:sz w:val="24"/>
          <w:szCs w:val="24"/>
        </w:rPr>
      </w:pPr>
      <w:r w:rsidRPr="008B2CB8">
        <w:rPr>
          <w:sz w:val="24"/>
          <w:szCs w:val="24"/>
        </w:rPr>
        <w:t>whether the current decision making processes present conflicts of interest;</w:t>
      </w:r>
    </w:p>
    <w:p w:rsidR="002B6091" w:rsidRPr="008B2CB8" w:rsidRDefault="002B6091" w:rsidP="002B6091">
      <w:pPr>
        <w:pStyle w:val="ListParagraph"/>
        <w:numPr>
          <w:ilvl w:val="0"/>
          <w:numId w:val="92"/>
        </w:numPr>
        <w:spacing w:after="0"/>
        <w:rPr>
          <w:sz w:val="24"/>
          <w:szCs w:val="24"/>
        </w:rPr>
      </w:pPr>
      <w:r w:rsidRPr="008B2CB8">
        <w:rPr>
          <w:sz w:val="24"/>
          <w:szCs w:val="24"/>
        </w:rPr>
        <w:t>introducing a formal appeal process;</w:t>
      </w:r>
    </w:p>
    <w:p w:rsidR="002B6091" w:rsidRPr="008B2CB8" w:rsidRDefault="002B6091" w:rsidP="002B6091">
      <w:pPr>
        <w:pStyle w:val="ListParagraph"/>
        <w:numPr>
          <w:ilvl w:val="0"/>
          <w:numId w:val="92"/>
        </w:numPr>
        <w:autoSpaceDE w:val="0"/>
        <w:autoSpaceDN w:val="0"/>
        <w:spacing w:before="100" w:beforeAutospacing="1" w:after="100" w:afterAutospacing="1"/>
        <w:rPr>
          <w:sz w:val="24"/>
          <w:szCs w:val="24"/>
        </w:rPr>
      </w:pPr>
      <w:r w:rsidRPr="008B2CB8">
        <w:rPr>
          <w:sz w:val="24"/>
          <w:szCs w:val="24"/>
        </w:rPr>
        <w:t>enhancing anti-trafficking practices across partner agencies by allowing for the disaggregation, systematic analysis and sharing of NRM data;</w:t>
      </w:r>
    </w:p>
    <w:p w:rsidR="002B6091" w:rsidRPr="008B2CB8" w:rsidRDefault="002B6091" w:rsidP="002B6091">
      <w:pPr>
        <w:pStyle w:val="ListParagraph"/>
        <w:numPr>
          <w:ilvl w:val="0"/>
          <w:numId w:val="92"/>
        </w:numPr>
        <w:autoSpaceDE w:val="0"/>
        <w:autoSpaceDN w:val="0"/>
        <w:spacing w:before="100" w:beforeAutospacing="1" w:after="100" w:afterAutospacing="1"/>
        <w:rPr>
          <w:sz w:val="24"/>
          <w:szCs w:val="24"/>
        </w:rPr>
      </w:pPr>
      <w:proofErr w:type="gramStart"/>
      <w:r w:rsidRPr="008B2CB8">
        <w:rPr>
          <w:sz w:val="24"/>
          <w:szCs w:val="24"/>
        </w:rPr>
        <w:t>introducing</w:t>
      </w:r>
      <w:proofErr w:type="gramEnd"/>
      <w:r w:rsidRPr="008B2CB8">
        <w:rPr>
          <w:sz w:val="24"/>
          <w:szCs w:val="24"/>
        </w:rPr>
        <w:t xml:space="preserve"> a trafficking care standard and an end-to-end service for trafficking victims. This should include arrangements for systematically tracking the progress and outcomes for each victim; and</w:t>
      </w:r>
    </w:p>
    <w:p w:rsidR="002B6091" w:rsidRPr="007516A1" w:rsidRDefault="002B6091" w:rsidP="002B6091">
      <w:pPr>
        <w:pStyle w:val="ListParagraph"/>
        <w:numPr>
          <w:ilvl w:val="0"/>
          <w:numId w:val="92"/>
        </w:numPr>
        <w:autoSpaceDE w:val="0"/>
        <w:autoSpaceDN w:val="0"/>
        <w:spacing w:before="100" w:beforeAutospacing="1" w:after="100" w:afterAutospacing="1"/>
        <w:rPr>
          <w:sz w:val="24"/>
          <w:szCs w:val="24"/>
        </w:rPr>
      </w:pPr>
      <w:proofErr w:type="gramStart"/>
      <w:r w:rsidRPr="008B2CB8">
        <w:rPr>
          <w:sz w:val="24"/>
          <w:szCs w:val="24"/>
        </w:rPr>
        <w:lastRenderedPageBreak/>
        <w:t>review</w:t>
      </w:r>
      <w:proofErr w:type="gramEnd"/>
      <w:r w:rsidRPr="008B2CB8">
        <w:rPr>
          <w:sz w:val="24"/>
          <w:szCs w:val="24"/>
        </w:rPr>
        <w:t xml:space="preserve"> systems for the collection of data arising from the identification of victims of trafficking and/or slavery to ensure the timely collection of data to allow enforcement action.</w:t>
      </w:r>
      <w:r w:rsidRPr="008B2CB8">
        <w:rPr>
          <w:rStyle w:val="FootnoteReference"/>
          <w:sz w:val="24"/>
          <w:szCs w:val="24"/>
        </w:rPr>
        <w:footnoteReference w:id="415"/>
      </w:r>
    </w:p>
    <w:p w:rsidR="002B6091" w:rsidRPr="007516A1" w:rsidRDefault="002B6091" w:rsidP="002B6091">
      <w:pPr>
        <w:pStyle w:val="Heading2"/>
        <w:rPr>
          <w:sz w:val="24"/>
          <w:szCs w:val="24"/>
        </w:rPr>
      </w:pPr>
      <w:bookmarkStart w:id="90" w:name="_Toc420603224"/>
      <w:bookmarkStart w:id="91" w:name="_Toc420603315"/>
      <w:r w:rsidRPr="008B2CB8">
        <w:rPr>
          <w:sz w:val="24"/>
          <w:szCs w:val="24"/>
        </w:rPr>
        <w:t>f. Anti-slavery Commissioner</w:t>
      </w:r>
      <w:bookmarkEnd w:id="90"/>
      <w:bookmarkEnd w:id="91"/>
    </w:p>
    <w:p w:rsidR="002B6091" w:rsidRPr="008B2CB8" w:rsidRDefault="002B6091" w:rsidP="002B6091">
      <w:pPr>
        <w:pStyle w:val="ListParagraph"/>
        <w:spacing w:after="0"/>
        <w:ind w:left="0"/>
        <w:rPr>
          <w:rFonts w:cs="Arial"/>
          <w:color w:val="000000" w:themeColor="text1"/>
          <w:sz w:val="24"/>
          <w:szCs w:val="24"/>
        </w:rPr>
      </w:pPr>
      <w:r w:rsidRPr="008B2CB8">
        <w:rPr>
          <w:sz w:val="24"/>
          <w:szCs w:val="24"/>
        </w:rPr>
        <w:t>The EHRC welcomes the MSB’s provision for an Anti-slavery Commissioner.</w:t>
      </w:r>
      <w:r w:rsidRPr="008B2CB8">
        <w:rPr>
          <w:rStyle w:val="FootnoteReference"/>
          <w:rFonts w:cs="Arial"/>
          <w:color w:val="000000" w:themeColor="text1"/>
          <w:sz w:val="24"/>
          <w:szCs w:val="24"/>
        </w:rPr>
        <w:t xml:space="preserve"> </w:t>
      </w:r>
      <w:r w:rsidRPr="008B2CB8">
        <w:rPr>
          <w:rFonts w:cs="Arial"/>
          <w:color w:val="000000" w:themeColor="text1"/>
          <w:sz w:val="24"/>
          <w:szCs w:val="24"/>
        </w:rPr>
        <w:t>However, we are concerned that the Commissioner may not have sufficient resources to fulfil this role effectively, as envisaged in the EU Anti-Trafficking Directive. We therefore agree with the recommendations in the Modern Slavery Bill Evidence Review</w:t>
      </w:r>
      <w:r w:rsidRPr="008B2CB8">
        <w:rPr>
          <w:rStyle w:val="FootnoteReference"/>
          <w:rFonts w:cs="Arial"/>
          <w:color w:val="000000" w:themeColor="text1"/>
          <w:sz w:val="24"/>
          <w:szCs w:val="24"/>
        </w:rPr>
        <w:footnoteReference w:id="416"/>
      </w:r>
      <w:r>
        <w:rPr>
          <w:rFonts w:cs="Arial"/>
          <w:color w:val="000000" w:themeColor="text1"/>
          <w:sz w:val="24"/>
          <w:szCs w:val="24"/>
        </w:rPr>
        <w:t xml:space="preserve"> to strengthen the powers of the Anti-Slavery Commissioner</w:t>
      </w:r>
      <w:r w:rsidRPr="008B2CB8">
        <w:rPr>
          <w:rFonts w:cs="Arial"/>
          <w:color w:val="000000" w:themeColor="text1"/>
          <w:sz w:val="24"/>
          <w:szCs w:val="24"/>
        </w:rPr>
        <w:t xml:space="preserve"> to</w:t>
      </w:r>
      <w:r>
        <w:rPr>
          <w:rFonts w:cs="Arial"/>
          <w:color w:val="000000" w:themeColor="text1"/>
          <w:sz w:val="24"/>
          <w:szCs w:val="24"/>
        </w:rPr>
        <w:t xml:space="preserve"> enable him or her to</w:t>
      </w:r>
      <w:r w:rsidRPr="008B2CB8">
        <w:rPr>
          <w:rFonts w:cs="Arial"/>
          <w:color w:val="000000" w:themeColor="text1"/>
          <w:sz w:val="24"/>
          <w:szCs w:val="24"/>
        </w:rPr>
        <w:t>:</w:t>
      </w:r>
    </w:p>
    <w:p w:rsidR="002B6091" w:rsidRPr="008B2CB8" w:rsidRDefault="002B6091" w:rsidP="002B6091">
      <w:pPr>
        <w:pStyle w:val="ListParagraph"/>
        <w:numPr>
          <w:ilvl w:val="0"/>
          <w:numId w:val="96"/>
        </w:numPr>
        <w:spacing w:after="0"/>
        <w:rPr>
          <w:rFonts w:cs="Arial"/>
          <w:color w:val="000000" w:themeColor="text1"/>
          <w:sz w:val="24"/>
          <w:szCs w:val="24"/>
        </w:rPr>
      </w:pPr>
      <w:r w:rsidRPr="008B2CB8">
        <w:rPr>
          <w:rFonts w:cs="Arial"/>
          <w:color w:val="000000" w:themeColor="text1"/>
          <w:sz w:val="24"/>
          <w:szCs w:val="24"/>
        </w:rPr>
        <w:t>make recommendations to appropriate regulatory bodies;</w:t>
      </w:r>
    </w:p>
    <w:p w:rsidR="002B6091" w:rsidRPr="008B2CB8" w:rsidRDefault="002B6091" w:rsidP="002B6091">
      <w:pPr>
        <w:pStyle w:val="ListParagraph"/>
        <w:numPr>
          <w:ilvl w:val="0"/>
          <w:numId w:val="96"/>
        </w:numPr>
        <w:spacing w:after="0"/>
        <w:rPr>
          <w:rFonts w:cs="Arial"/>
          <w:color w:val="000000" w:themeColor="text1"/>
          <w:sz w:val="24"/>
          <w:szCs w:val="24"/>
        </w:rPr>
      </w:pPr>
      <w:r w:rsidRPr="008B2CB8">
        <w:rPr>
          <w:rFonts w:cs="Arial"/>
          <w:color w:val="000000" w:themeColor="text1"/>
          <w:sz w:val="24"/>
          <w:szCs w:val="24"/>
        </w:rPr>
        <w:t>request data and information (including classified information) from relevant bodies;</w:t>
      </w:r>
    </w:p>
    <w:p w:rsidR="002B6091" w:rsidRPr="008B2CB8" w:rsidRDefault="002B6091" w:rsidP="002B6091">
      <w:pPr>
        <w:pStyle w:val="ListParagraph"/>
        <w:numPr>
          <w:ilvl w:val="0"/>
          <w:numId w:val="96"/>
        </w:numPr>
        <w:spacing w:after="0"/>
        <w:rPr>
          <w:rFonts w:cs="Arial"/>
          <w:color w:val="000000" w:themeColor="text1"/>
          <w:sz w:val="24"/>
          <w:szCs w:val="24"/>
        </w:rPr>
      </w:pPr>
      <w:r w:rsidRPr="008B2CB8">
        <w:rPr>
          <w:rFonts w:cs="Arial"/>
          <w:color w:val="000000" w:themeColor="text1"/>
          <w:sz w:val="24"/>
          <w:szCs w:val="24"/>
        </w:rPr>
        <w:t>hold all agencies to account for non-compliance with laws and policies;</w:t>
      </w:r>
    </w:p>
    <w:p w:rsidR="002B6091" w:rsidRPr="008B2CB8" w:rsidRDefault="002B6091" w:rsidP="002B6091">
      <w:pPr>
        <w:pStyle w:val="ListParagraph"/>
        <w:numPr>
          <w:ilvl w:val="0"/>
          <w:numId w:val="96"/>
        </w:numPr>
        <w:spacing w:after="0"/>
        <w:rPr>
          <w:rFonts w:cs="Arial"/>
          <w:color w:val="000000" w:themeColor="text1"/>
          <w:sz w:val="24"/>
          <w:szCs w:val="24"/>
        </w:rPr>
      </w:pPr>
      <w:r w:rsidRPr="008B2CB8">
        <w:rPr>
          <w:rFonts w:cs="Arial"/>
          <w:color w:val="000000" w:themeColor="text1"/>
          <w:sz w:val="24"/>
          <w:szCs w:val="24"/>
        </w:rPr>
        <w:t>launch inquiries, enter premises and investigate actions of any agency tasked with tackling modern slavery;</w:t>
      </w:r>
    </w:p>
    <w:p w:rsidR="002B6091" w:rsidRPr="008B2CB8" w:rsidRDefault="002B6091" w:rsidP="002B6091">
      <w:pPr>
        <w:pStyle w:val="ListParagraph"/>
        <w:numPr>
          <w:ilvl w:val="0"/>
          <w:numId w:val="96"/>
        </w:numPr>
        <w:spacing w:after="0"/>
        <w:rPr>
          <w:rFonts w:cs="Arial"/>
          <w:color w:val="000000" w:themeColor="text1"/>
          <w:sz w:val="24"/>
          <w:szCs w:val="24"/>
        </w:rPr>
      </w:pPr>
      <w:r w:rsidRPr="008B2CB8">
        <w:rPr>
          <w:rFonts w:cs="Arial"/>
          <w:color w:val="000000" w:themeColor="text1"/>
          <w:sz w:val="24"/>
          <w:szCs w:val="24"/>
        </w:rPr>
        <w:t>conduct regular audits of shelters that provide services to victims of modern slavery; and</w:t>
      </w:r>
    </w:p>
    <w:p w:rsidR="002B6091" w:rsidRPr="008B2CB8" w:rsidRDefault="002B6091" w:rsidP="002B6091">
      <w:pPr>
        <w:pStyle w:val="ListParagraph"/>
        <w:numPr>
          <w:ilvl w:val="0"/>
          <w:numId w:val="96"/>
        </w:numPr>
        <w:spacing w:after="0"/>
        <w:rPr>
          <w:rFonts w:cs="Arial"/>
          <w:color w:val="000000" w:themeColor="text1"/>
          <w:sz w:val="24"/>
          <w:szCs w:val="24"/>
        </w:rPr>
      </w:pPr>
      <w:proofErr w:type="gramStart"/>
      <w:r w:rsidRPr="008B2CB8">
        <w:rPr>
          <w:rFonts w:cs="Arial"/>
          <w:color w:val="000000" w:themeColor="text1"/>
          <w:sz w:val="24"/>
          <w:szCs w:val="24"/>
        </w:rPr>
        <w:t>launch</w:t>
      </w:r>
      <w:proofErr w:type="gramEnd"/>
      <w:r w:rsidRPr="008B2CB8">
        <w:rPr>
          <w:rFonts w:cs="Arial"/>
          <w:color w:val="000000" w:themeColor="text1"/>
          <w:sz w:val="24"/>
          <w:szCs w:val="24"/>
        </w:rPr>
        <w:t xml:space="preserve"> or request independent research and inquiries to monitor and identify trends in modern slavery.</w:t>
      </w:r>
    </w:p>
    <w:p w:rsidR="002B6091" w:rsidRPr="008B2CB8" w:rsidRDefault="002B6091" w:rsidP="002B6091">
      <w:pPr>
        <w:pStyle w:val="ListParagraph"/>
        <w:spacing w:after="0"/>
        <w:rPr>
          <w:rFonts w:cs="Arial"/>
          <w:color w:val="000000" w:themeColor="text1"/>
          <w:sz w:val="24"/>
          <w:szCs w:val="24"/>
        </w:rPr>
      </w:pPr>
    </w:p>
    <w:p w:rsidR="002B6091" w:rsidRPr="008B2CB8" w:rsidRDefault="002B6091" w:rsidP="002B6091">
      <w:pPr>
        <w:spacing w:after="0"/>
        <w:rPr>
          <w:rFonts w:cs="Arial"/>
          <w:b/>
          <w:sz w:val="24"/>
          <w:szCs w:val="24"/>
        </w:rPr>
      </w:pPr>
      <w:r w:rsidRPr="008B2CB8">
        <w:rPr>
          <w:rFonts w:cs="Arial"/>
          <w:b/>
          <w:sz w:val="24"/>
          <w:szCs w:val="24"/>
        </w:rPr>
        <w:t>Conclusion: The EHRC welcomes the MSB and supports its aims. However, we believe further steps are required to:</w:t>
      </w:r>
    </w:p>
    <w:p w:rsidR="002B6091" w:rsidRPr="008B2CB8" w:rsidRDefault="002B6091" w:rsidP="002B6091">
      <w:pPr>
        <w:pStyle w:val="ListParagraph"/>
        <w:numPr>
          <w:ilvl w:val="0"/>
          <w:numId w:val="101"/>
        </w:numPr>
        <w:spacing w:after="0"/>
        <w:rPr>
          <w:rFonts w:cs="Arial"/>
          <w:b/>
          <w:sz w:val="24"/>
          <w:szCs w:val="24"/>
        </w:rPr>
      </w:pPr>
      <w:r w:rsidRPr="008B2CB8">
        <w:rPr>
          <w:rFonts w:cs="Arial"/>
          <w:b/>
          <w:sz w:val="24"/>
          <w:szCs w:val="24"/>
        </w:rPr>
        <w:t>address omissions in criminal offences in the MSB;</w:t>
      </w:r>
    </w:p>
    <w:p w:rsidR="002B6091" w:rsidRPr="008B2CB8" w:rsidRDefault="002B6091" w:rsidP="002B6091">
      <w:pPr>
        <w:pStyle w:val="ListParagraph"/>
        <w:numPr>
          <w:ilvl w:val="0"/>
          <w:numId w:val="101"/>
        </w:numPr>
        <w:spacing w:after="0"/>
        <w:rPr>
          <w:rFonts w:cs="Arial"/>
          <w:b/>
          <w:sz w:val="24"/>
          <w:szCs w:val="24"/>
        </w:rPr>
      </w:pPr>
      <w:r w:rsidRPr="008B2CB8">
        <w:rPr>
          <w:rFonts w:cs="Arial"/>
          <w:b/>
          <w:sz w:val="24"/>
          <w:szCs w:val="24"/>
        </w:rPr>
        <w:t>implement the concluding observations of the CRC, particularly in relation to the appointment of guardians for separated children;</w:t>
      </w:r>
    </w:p>
    <w:p w:rsidR="002B6091" w:rsidRPr="008B2CB8" w:rsidRDefault="002B6091" w:rsidP="002B6091">
      <w:pPr>
        <w:pStyle w:val="ListParagraph"/>
        <w:numPr>
          <w:ilvl w:val="0"/>
          <w:numId w:val="101"/>
        </w:numPr>
        <w:spacing w:after="0"/>
        <w:rPr>
          <w:rFonts w:cs="Arial"/>
          <w:b/>
          <w:sz w:val="24"/>
          <w:szCs w:val="24"/>
        </w:rPr>
      </w:pPr>
      <w:r w:rsidRPr="008B2CB8">
        <w:rPr>
          <w:rFonts w:cs="Arial"/>
          <w:b/>
          <w:sz w:val="24"/>
          <w:szCs w:val="24"/>
        </w:rPr>
        <w:t>improve data collection and analysis, following a robust review of the NRM; and</w:t>
      </w:r>
    </w:p>
    <w:p w:rsidR="002B6091" w:rsidRPr="008B2CB8" w:rsidRDefault="002B6091" w:rsidP="002B6091">
      <w:pPr>
        <w:pStyle w:val="ListParagraph"/>
        <w:numPr>
          <w:ilvl w:val="0"/>
          <w:numId w:val="101"/>
        </w:numPr>
        <w:spacing w:after="0"/>
        <w:rPr>
          <w:rFonts w:cs="Arial"/>
          <w:b/>
          <w:sz w:val="24"/>
          <w:szCs w:val="24"/>
        </w:rPr>
      </w:pPr>
      <w:proofErr w:type="gramStart"/>
      <w:r>
        <w:rPr>
          <w:rFonts w:cs="Arial"/>
          <w:b/>
          <w:sz w:val="24"/>
          <w:szCs w:val="24"/>
        </w:rPr>
        <w:t>s</w:t>
      </w:r>
      <w:r w:rsidRPr="008B2CB8">
        <w:rPr>
          <w:rFonts w:cs="Arial"/>
          <w:b/>
          <w:sz w:val="24"/>
          <w:szCs w:val="24"/>
        </w:rPr>
        <w:t>trengthen</w:t>
      </w:r>
      <w:proofErr w:type="gramEnd"/>
      <w:r w:rsidRPr="008B2CB8">
        <w:rPr>
          <w:rFonts w:cs="Arial"/>
          <w:b/>
          <w:sz w:val="24"/>
          <w:szCs w:val="24"/>
        </w:rPr>
        <w:t xml:space="preserve"> powers and </w:t>
      </w:r>
      <w:r>
        <w:rPr>
          <w:rFonts w:cs="Arial"/>
          <w:b/>
          <w:sz w:val="24"/>
          <w:szCs w:val="24"/>
        </w:rPr>
        <w:t>provide adequate resources for the Anti-S</w:t>
      </w:r>
      <w:r w:rsidRPr="008B2CB8">
        <w:rPr>
          <w:rFonts w:cs="Arial"/>
          <w:b/>
          <w:sz w:val="24"/>
          <w:szCs w:val="24"/>
        </w:rPr>
        <w:t>lavery Commissioner.</w:t>
      </w:r>
    </w:p>
    <w:p w:rsidR="002B6091" w:rsidRPr="008B2CB8" w:rsidRDefault="002B6091" w:rsidP="002B6091">
      <w:pPr>
        <w:spacing w:after="0"/>
        <w:rPr>
          <w:rFonts w:cs="Arial"/>
          <w:b/>
          <w:sz w:val="24"/>
          <w:szCs w:val="24"/>
        </w:rPr>
      </w:pPr>
    </w:p>
    <w:p w:rsidR="002B6091" w:rsidRPr="008B2CB8" w:rsidRDefault="002B6091" w:rsidP="002B6091">
      <w:pPr>
        <w:spacing w:after="0"/>
        <w:rPr>
          <w:rFonts w:cs="Arial"/>
          <w:b/>
          <w:sz w:val="24"/>
          <w:szCs w:val="24"/>
        </w:rPr>
      </w:pPr>
      <w:r w:rsidRPr="008B2CB8">
        <w:rPr>
          <w:rFonts w:cs="Arial"/>
          <w:b/>
          <w:sz w:val="24"/>
          <w:szCs w:val="24"/>
        </w:rPr>
        <w:t>Question A: Can the UK Government outline how it has considered and implemented the</w:t>
      </w:r>
      <w:r>
        <w:rPr>
          <w:rFonts w:cs="Arial"/>
          <w:b/>
          <w:sz w:val="24"/>
          <w:szCs w:val="24"/>
        </w:rPr>
        <w:t xml:space="preserve"> CRC’s 2014</w:t>
      </w:r>
      <w:r w:rsidRPr="008B2CB8">
        <w:rPr>
          <w:rFonts w:cs="Arial"/>
          <w:b/>
          <w:sz w:val="24"/>
          <w:szCs w:val="24"/>
        </w:rPr>
        <w:t xml:space="preserve"> </w:t>
      </w:r>
      <w:r>
        <w:rPr>
          <w:rFonts w:cs="Arial"/>
          <w:b/>
          <w:sz w:val="24"/>
          <w:szCs w:val="24"/>
        </w:rPr>
        <w:t>C</w:t>
      </w:r>
      <w:r w:rsidRPr="008B2CB8">
        <w:rPr>
          <w:rFonts w:cs="Arial"/>
          <w:b/>
          <w:sz w:val="24"/>
          <w:szCs w:val="24"/>
        </w:rPr>
        <w:t xml:space="preserve">oncluding </w:t>
      </w:r>
      <w:r>
        <w:rPr>
          <w:rFonts w:cs="Arial"/>
          <w:b/>
          <w:sz w:val="24"/>
          <w:szCs w:val="24"/>
        </w:rPr>
        <w:t>O</w:t>
      </w:r>
      <w:r w:rsidRPr="008B2CB8">
        <w:rPr>
          <w:rFonts w:cs="Arial"/>
          <w:b/>
          <w:sz w:val="24"/>
          <w:szCs w:val="24"/>
        </w:rPr>
        <w:t>bservations through the MSB, and how it plans to respond to any outstanding recommendations?</w:t>
      </w:r>
    </w:p>
    <w:p w:rsidR="002B6091" w:rsidRPr="008B2CB8" w:rsidRDefault="002B6091" w:rsidP="002B6091">
      <w:pPr>
        <w:spacing w:after="0"/>
        <w:rPr>
          <w:rFonts w:cs="Arial"/>
          <w:b/>
          <w:sz w:val="24"/>
          <w:szCs w:val="24"/>
        </w:rPr>
      </w:pPr>
    </w:p>
    <w:p w:rsidR="002B6091" w:rsidRPr="00553F23" w:rsidRDefault="002B6091" w:rsidP="002B6091">
      <w:pPr>
        <w:spacing w:after="0"/>
        <w:rPr>
          <w:rFonts w:cs="Arial"/>
          <w:b/>
          <w:sz w:val="24"/>
          <w:szCs w:val="24"/>
        </w:rPr>
      </w:pPr>
      <w:r w:rsidRPr="008B2CB8">
        <w:rPr>
          <w:rFonts w:cs="Arial"/>
          <w:b/>
          <w:sz w:val="24"/>
          <w:szCs w:val="24"/>
        </w:rPr>
        <w:t>Question B: How does the UK Government intend to engage the devolved administrations in the review of the NRM, and thereafter to ensure data is collected and shared to build a robust evidence base of the prevalence of trafficking across the UK?</w:t>
      </w:r>
    </w:p>
    <w:p w:rsidR="002B6091" w:rsidRPr="008B2CB8" w:rsidRDefault="002B6091" w:rsidP="002B6091">
      <w:pPr>
        <w:pStyle w:val="Heading2"/>
        <w:numPr>
          <w:ilvl w:val="0"/>
          <w:numId w:val="23"/>
        </w:numPr>
        <w:rPr>
          <w:sz w:val="24"/>
          <w:szCs w:val="24"/>
        </w:rPr>
      </w:pPr>
      <w:bookmarkStart w:id="92" w:name="_Toc420603225"/>
      <w:bookmarkStart w:id="93" w:name="_Toc420603316"/>
      <w:r w:rsidRPr="008B2CB8">
        <w:rPr>
          <w:sz w:val="24"/>
          <w:szCs w:val="24"/>
        </w:rPr>
        <w:lastRenderedPageBreak/>
        <w:t>Privacy and Security (Articles 2, 5 (1) and 17)</w:t>
      </w:r>
      <w:r w:rsidRPr="008B2CB8">
        <w:rPr>
          <w:rStyle w:val="FootnoteReference"/>
          <w:sz w:val="24"/>
          <w:szCs w:val="24"/>
        </w:rPr>
        <w:footnoteReference w:id="417"/>
      </w:r>
      <w:bookmarkEnd w:id="92"/>
      <w:bookmarkEnd w:id="93"/>
      <w:r>
        <w:rPr>
          <w:sz w:val="24"/>
          <w:szCs w:val="24"/>
        </w:rPr>
        <w:t xml:space="preserve"> </w:t>
      </w:r>
    </w:p>
    <w:p w:rsidR="002B6091" w:rsidRPr="008B2CB8" w:rsidRDefault="002B6091" w:rsidP="002B6091">
      <w:pPr>
        <w:pStyle w:val="Heading2"/>
        <w:numPr>
          <w:ilvl w:val="0"/>
          <w:numId w:val="62"/>
        </w:numPr>
        <w:rPr>
          <w:sz w:val="24"/>
          <w:szCs w:val="24"/>
        </w:rPr>
      </w:pPr>
      <w:bookmarkStart w:id="94" w:name="_Toc420603226"/>
      <w:bookmarkStart w:id="95" w:name="_Toc420603317"/>
      <w:r w:rsidRPr="008B2CB8">
        <w:rPr>
          <w:sz w:val="24"/>
          <w:szCs w:val="24"/>
        </w:rPr>
        <w:t>Summary of the Legal Framework</w:t>
      </w:r>
      <w:bookmarkEnd w:id="94"/>
      <w:bookmarkEnd w:id="95"/>
    </w:p>
    <w:p w:rsidR="002B6091" w:rsidRDefault="002B6091" w:rsidP="002B6091">
      <w:pPr>
        <w:autoSpaceDE w:val="0"/>
        <w:autoSpaceDN w:val="0"/>
        <w:adjustRightInd w:val="0"/>
        <w:spacing w:after="0"/>
        <w:rPr>
          <w:sz w:val="24"/>
          <w:szCs w:val="24"/>
        </w:rPr>
      </w:pPr>
    </w:p>
    <w:p w:rsidR="002B6091" w:rsidRPr="008B2CB8" w:rsidRDefault="002B6091" w:rsidP="002B6091">
      <w:pPr>
        <w:autoSpaceDE w:val="0"/>
        <w:autoSpaceDN w:val="0"/>
        <w:adjustRightInd w:val="0"/>
        <w:spacing w:after="0"/>
        <w:rPr>
          <w:rFonts w:cs="Arial"/>
          <w:sz w:val="24"/>
          <w:szCs w:val="24"/>
          <w:lang w:eastAsia="en-GB"/>
        </w:rPr>
      </w:pPr>
      <w:r w:rsidRPr="008B2CB8">
        <w:rPr>
          <w:sz w:val="24"/>
          <w:szCs w:val="24"/>
        </w:rPr>
        <w:t xml:space="preserve">The right to respect for private and family life, home and correspondence is protected in UK law under Article 8 of the ECHR. </w:t>
      </w:r>
      <w:r>
        <w:rPr>
          <w:sz w:val="24"/>
          <w:szCs w:val="24"/>
        </w:rPr>
        <w:t xml:space="preserve">It </w:t>
      </w:r>
      <w:r w:rsidRPr="008B2CB8">
        <w:rPr>
          <w:sz w:val="24"/>
          <w:szCs w:val="24"/>
        </w:rPr>
        <w:t>is a qualified right so that, in certain circumstances,</w:t>
      </w:r>
      <w:r w:rsidRPr="008B2CB8">
        <w:rPr>
          <w:rStyle w:val="FootnoteReference"/>
          <w:sz w:val="24"/>
          <w:szCs w:val="24"/>
        </w:rPr>
        <w:footnoteReference w:id="418"/>
      </w:r>
      <w:r w:rsidRPr="008B2CB8">
        <w:rPr>
          <w:sz w:val="24"/>
          <w:szCs w:val="24"/>
        </w:rPr>
        <w:t xml:space="preserve"> public authorities can interfere with the private and family life of an individual. Such interference must be proportionate, in accordance with law and necessary to protect national security, public safety or the economic wellbeing of the country; to prevent disorder or crime, protect health or morals, or to protect the rights and freedoms of others. </w:t>
      </w:r>
      <w:r>
        <w:rPr>
          <w:sz w:val="24"/>
          <w:szCs w:val="24"/>
        </w:rPr>
        <w:t>While the EHRC fully acknowledges the need for states to qualify the right to privacy in order to protect the public, we note that concerns</w:t>
      </w:r>
      <w:r w:rsidRPr="008B2CB8">
        <w:rPr>
          <w:sz w:val="24"/>
          <w:szCs w:val="24"/>
        </w:rPr>
        <w:t xml:space="preserve"> the HRC has raised in relation to mass surveillance of communications by the United States of America,</w:t>
      </w:r>
      <w:r w:rsidRPr="008B2CB8">
        <w:rPr>
          <w:rStyle w:val="FootnoteReference"/>
          <w:sz w:val="24"/>
          <w:szCs w:val="24"/>
        </w:rPr>
        <w:footnoteReference w:id="419"/>
      </w:r>
      <w:r w:rsidRPr="008B2CB8">
        <w:rPr>
          <w:sz w:val="24"/>
          <w:szCs w:val="24"/>
        </w:rPr>
        <w:t xml:space="preserve"> </w:t>
      </w:r>
      <w:r>
        <w:rPr>
          <w:sz w:val="24"/>
          <w:szCs w:val="24"/>
        </w:rPr>
        <w:t>may</w:t>
      </w:r>
      <w:r w:rsidRPr="008B2CB8">
        <w:rPr>
          <w:sz w:val="24"/>
          <w:szCs w:val="24"/>
        </w:rPr>
        <w:t xml:space="preserve"> also</w:t>
      </w:r>
      <w:r>
        <w:rPr>
          <w:sz w:val="24"/>
          <w:szCs w:val="24"/>
        </w:rPr>
        <w:t xml:space="preserve"> be</w:t>
      </w:r>
      <w:r w:rsidRPr="008B2CB8">
        <w:rPr>
          <w:sz w:val="24"/>
          <w:szCs w:val="24"/>
        </w:rPr>
        <w:t xml:space="preserve"> relevant to the UK context</w:t>
      </w:r>
      <w:r>
        <w:rPr>
          <w:sz w:val="24"/>
          <w:szCs w:val="24"/>
        </w:rPr>
        <w:t>; and</w:t>
      </w:r>
      <w:r w:rsidRPr="008B2CB8">
        <w:rPr>
          <w:sz w:val="24"/>
          <w:szCs w:val="24"/>
        </w:rPr>
        <w:t xml:space="preserve"> that </w:t>
      </w:r>
      <w:r w:rsidRPr="008B2CB8">
        <w:rPr>
          <w:rFonts w:cs="Arial"/>
          <w:sz w:val="24"/>
          <w:szCs w:val="24"/>
          <w:lang w:eastAsia="en-GB"/>
        </w:rPr>
        <w:t>current UK privacy laws and regulation do not adequately comply with the state’s international human rights obligations.</w:t>
      </w:r>
      <w:r w:rsidRPr="008B2CB8">
        <w:rPr>
          <w:rStyle w:val="FootnoteReference"/>
          <w:rFonts w:cs="Arial"/>
          <w:sz w:val="24"/>
          <w:szCs w:val="24"/>
          <w:lang w:eastAsia="en-GB"/>
        </w:rPr>
        <w:footnoteReference w:id="420"/>
      </w:r>
      <w:r w:rsidRPr="008B2CB8">
        <w:rPr>
          <w:rFonts w:cs="Arial"/>
          <w:sz w:val="24"/>
          <w:szCs w:val="24"/>
          <w:lang w:eastAsia="en-GB"/>
        </w:rPr>
        <w:t xml:space="preserve"> </w:t>
      </w:r>
    </w:p>
    <w:p w:rsidR="002B6091" w:rsidRDefault="002B6091" w:rsidP="002B6091">
      <w:pPr>
        <w:autoSpaceDE w:val="0"/>
        <w:autoSpaceDN w:val="0"/>
        <w:adjustRightInd w:val="0"/>
        <w:spacing w:after="0"/>
        <w:rPr>
          <w:sz w:val="24"/>
          <w:szCs w:val="24"/>
        </w:rPr>
      </w:pPr>
    </w:p>
    <w:p w:rsidR="002B6091" w:rsidRDefault="002B6091" w:rsidP="002B6091">
      <w:pPr>
        <w:autoSpaceDE w:val="0"/>
        <w:autoSpaceDN w:val="0"/>
        <w:adjustRightInd w:val="0"/>
        <w:spacing w:after="0"/>
        <w:rPr>
          <w:rFonts w:cs="Arial"/>
          <w:sz w:val="24"/>
          <w:szCs w:val="24"/>
          <w:lang w:eastAsia="en-GB"/>
        </w:rPr>
      </w:pPr>
      <w:r w:rsidRPr="008B2CB8">
        <w:rPr>
          <w:sz w:val="24"/>
          <w:szCs w:val="24"/>
        </w:rPr>
        <w:t>Aspects of the right to privacy are addressed in the Data Protection Act 1998</w:t>
      </w:r>
      <w:r w:rsidRPr="008B2CB8">
        <w:rPr>
          <w:rStyle w:val="FootnoteReference"/>
          <w:sz w:val="24"/>
          <w:szCs w:val="24"/>
        </w:rPr>
        <w:footnoteReference w:id="421"/>
      </w:r>
      <w:r w:rsidRPr="008B2CB8">
        <w:rPr>
          <w:sz w:val="24"/>
          <w:szCs w:val="24"/>
        </w:rPr>
        <w:t xml:space="preserve"> the Regulation of Investigatory Powers Act 2000 (RIPA),</w:t>
      </w:r>
      <w:r w:rsidRPr="008B2CB8">
        <w:rPr>
          <w:rStyle w:val="FootnoteReference"/>
          <w:sz w:val="24"/>
          <w:szCs w:val="24"/>
        </w:rPr>
        <w:footnoteReference w:id="422"/>
      </w:r>
      <w:r w:rsidRPr="008B2CB8">
        <w:rPr>
          <w:sz w:val="24"/>
          <w:szCs w:val="24"/>
        </w:rPr>
        <w:t xml:space="preserve"> the Security Service Act 1989</w:t>
      </w:r>
      <w:r w:rsidRPr="008B2CB8">
        <w:rPr>
          <w:rStyle w:val="FootnoteReference"/>
          <w:sz w:val="24"/>
          <w:szCs w:val="24"/>
        </w:rPr>
        <w:footnoteReference w:id="423"/>
      </w:r>
      <w:r w:rsidRPr="008B2CB8">
        <w:rPr>
          <w:sz w:val="24"/>
          <w:szCs w:val="24"/>
        </w:rPr>
        <w:t>, the Intelligence Services Act 1994</w:t>
      </w:r>
      <w:r w:rsidRPr="008B2CB8">
        <w:rPr>
          <w:rStyle w:val="FootnoteReference"/>
          <w:sz w:val="24"/>
          <w:szCs w:val="24"/>
        </w:rPr>
        <w:footnoteReference w:id="424"/>
      </w:r>
      <w:r w:rsidRPr="008B2CB8">
        <w:rPr>
          <w:sz w:val="24"/>
          <w:szCs w:val="24"/>
        </w:rPr>
        <w:t>, and the common law. These laws are broadly framed and their legal interpretation by the Investigatory Powers Tribunal (IPT)</w:t>
      </w:r>
      <w:r w:rsidRPr="008B2CB8">
        <w:rPr>
          <w:rStyle w:val="FootnoteReference"/>
          <w:sz w:val="24"/>
          <w:szCs w:val="24"/>
        </w:rPr>
        <w:footnoteReference w:id="425"/>
      </w:r>
      <w:r w:rsidRPr="008B2CB8">
        <w:rPr>
          <w:sz w:val="24"/>
          <w:szCs w:val="24"/>
        </w:rPr>
        <w:t xml:space="preserve"> is generally not made public. The EHRC is concerned that </w:t>
      </w:r>
      <w:r w:rsidRPr="008B2CB8">
        <w:rPr>
          <w:rFonts w:cs="Arial"/>
          <w:sz w:val="24"/>
          <w:szCs w:val="24"/>
          <w:lang w:eastAsia="en-GB"/>
        </w:rPr>
        <w:t>UK privacy law has struggled to keep pace with the demands of government and changes in the technology of information gathering and data sharing; and become increasingly fragmented and incoherent.</w:t>
      </w:r>
      <w:r w:rsidRPr="008B2CB8">
        <w:rPr>
          <w:rStyle w:val="FootnoteReference"/>
          <w:rFonts w:cs="Arial"/>
          <w:sz w:val="24"/>
          <w:szCs w:val="24"/>
          <w:lang w:eastAsia="en-GB"/>
        </w:rPr>
        <w:footnoteReference w:id="426"/>
      </w:r>
      <w:r w:rsidRPr="008B2CB8">
        <w:rPr>
          <w:rFonts w:cs="Arial"/>
          <w:sz w:val="24"/>
          <w:szCs w:val="24"/>
          <w:lang w:eastAsia="en-GB"/>
        </w:rPr>
        <w:t xml:space="preserve"> </w:t>
      </w:r>
    </w:p>
    <w:p w:rsidR="002B6091" w:rsidRDefault="002B6091" w:rsidP="002B6091">
      <w:pPr>
        <w:autoSpaceDE w:val="0"/>
        <w:autoSpaceDN w:val="0"/>
        <w:adjustRightInd w:val="0"/>
        <w:spacing w:after="0"/>
        <w:rPr>
          <w:rFonts w:cs="Arial"/>
          <w:sz w:val="24"/>
          <w:szCs w:val="24"/>
          <w:lang w:eastAsia="en-GB"/>
        </w:rPr>
      </w:pPr>
    </w:p>
    <w:p w:rsidR="002B6091" w:rsidRPr="00770A7C" w:rsidRDefault="002B6091" w:rsidP="002B6091">
      <w:pPr>
        <w:autoSpaceDE w:val="0"/>
        <w:autoSpaceDN w:val="0"/>
        <w:adjustRightInd w:val="0"/>
        <w:spacing w:after="0"/>
        <w:rPr>
          <w:sz w:val="24"/>
          <w:szCs w:val="24"/>
        </w:rPr>
      </w:pPr>
      <w:r w:rsidRPr="008B2CB8">
        <w:rPr>
          <w:rFonts w:cs="Arial"/>
          <w:sz w:val="24"/>
          <w:szCs w:val="24"/>
          <w:lang w:eastAsia="en-GB"/>
        </w:rPr>
        <w:t xml:space="preserve">Given the fragmented nature of the legal framework, </w:t>
      </w:r>
      <w:r>
        <w:rPr>
          <w:rFonts w:cs="Arial"/>
          <w:sz w:val="24"/>
          <w:szCs w:val="24"/>
          <w:lang w:eastAsia="en-GB"/>
        </w:rPr>
        <w:t xml:space="preserve">the EHRC has called for a wide-ranging review of the legislation, and </w:t>
      </w:r>
      <w:r w:rsidRPr="008B2CB8">
        <w:rPr>
          <w:rFonts w:cs="Arial"/>
          <w:sz w:val="24"/>
          <w:szCs w:val="24"/>
          <w:lang w:eastAsia="en-GB"/>
        </w:rPr>
        <w:t>recommend</w:t>
      </w:r>
      <w:r>
        <w:rPr>
          <w:rFonts w:cs="Arial"/>
          <w:sz w:val="24"/>
          <w:szCs w:val="24"/>
          <w:lang w:eastAsia="en-GB"/>
        </w:rPr>
        <w:t>ed</w:t>
      </w:r>
      <w:r w:rsidRPr="008B2CB8">
        <w:rPr>
          <w:rFonts w:cs="Arial"/>
          <w:sz w:val="24"/>
          <w:szCs w:val="24"/>
          <w:lang w:eastAsia="en-GB"/>
        </w:rPr>
        <w:t xml:space="preserve"> the establishment of a framework of principles to govern surveillance authorisations, including necessity, </w:t>
      </w:r>
      <w:r w:rsidRPr="008B2CB8">
        <w:rPr>
          <w:rFonts w:cs="Arial"/>
          <w:sz w:val="24"/>
          <w:szCs w:val="24"/>
          <w:lang w:eastAsia="en-GB"/>
        </w:rPr>
        <w:lastRenderedPageBreak/>
        <w:t>proportionality, legitimacy and fairness.</w:t>
      </w:r>
      <w:r w:rsidRPr="008B2CB8">
        <w:rPr>
          <w:rStyle w:val="FootnoteReference"/>
          <w:rFonts w:cs="Arial"/>
          <w:sz w:val="24"/>
          <w:szCs w:val="24"/>
          <w:lang w:eastAsia="en-GB"/>
        </w:rPr>
        <w:footnoteReference w:id="427"/>
      </w:r>
      <w:r w:rsidRPr="008B2CB8">
        <w:rPr>
          <w:rFonts w:cs="Arial"/>
          <w:sz w:val="24"/>
          <w:szCs w:val="24"/>
          <w:lang w:eastAsia="en-GB"/>
        </w:rPr>
        <w:t xml:space="preserve"> </w:t>
      </w:r>
      <w:r>
        <w:rPr>
          <w:rFonts w:cs="Arial"/>
          <w:sz w:val="24"/>
          <w:szCs w:val="24"/>
          <w:lang w:eastAsia="en-GB"/>
        </w:rPr>
        <w:t xml:space="preserve">We have stressed that new proposals and their implementation should be </w:t>
      </w:r>
      <w:r w:rsidRPr="00DD60BD">
        <w:rPr>
          <w:rFonts w:cs="Arial"/>
          <w:sz w:val="24"/>
          <w:szCs w:val="24"/>
          <w:lang w:eastAsia="en-GB"/>
        </w:rPr>
        <w:t>su</w:t>
      </w:r>
      <w:r>
        <w:rPr>
          <w:rFonts w:cs="Arial"/>
          <w:sz w:val="24"/>
          <w:szCs w:val="24"/>
          <w:lang w:eastAsia="en-GB"/>
        </w:rPr>
        <w:t xml:space="preserve">bjected to appropriate scrutiny, </w:t>
      </w:r>
      <w:r w:rsidRPr="00770A7C">
        <w:rPr>
          <w:rFonts w:cs="Arial"/>
          <w:sz w:val="24"/>
          <w:szCs w:val="24"/>
          <w:lang w:eastAsia="en-GB"/>
        </w:rPr>
        <w:t xml:space="preserve">so we noted with caution the UK Government’s announcement on 10 July 2014 </w:t>
      </w:r>
      <w:r w:rsidRPr="00770A7C">
        <w:rPr>
          <w:sz w:val="24"/>
          <w:szCs w:val="24"/>
        </w:rPr>
        <w:t xml:space="preserve">of: </w:t>
      </w:r>
    </w:p>
    <w:p w:rsidR="002B6091" w:rsidRPr="00770A7C" w:rsidRDefault="002B6091" w:rsidP="002B6091">
      <w:pPr>
        <w:pStyle w:val="ListParagraph"/>
        <w:numPr>
          <w:ilvl w:val="0"/>
          <w:numId w:val="109"/>
        </w:numPr>
        <w:autoSpaceDE w:val="0"/>
        <w:autoSpaceDN w:val="0"/>
        <w:adjustRightInd w:val="0"/>
        <w:spacing w:after="0"/>
        <w:rPr>
          <w:sz w:val="24"/>
          <w:szCs w:val="24"/>
        </w:rPr>
      </w:pPr>
      <w:r w:rsidRPr="00770A7C">
        <w:rPr>
          <w:sz w:val="24"/>
          <w:szCs w:val="24"/>
        </w:rPr>
        <w:t>emergency legislation to be introduced to ensure that UK law enforcement and intelligence agencies could maintain their ability to access the telecommunications data they need to investigate criminal activity and protect the public;</w:t>
      </w:r>
      <w:r w:rsidRPr="00770A7C">
        <w:rPr>
          <w:rStyle w:val="FootnoteReference"/>
          <w:rFonts w:cs="Arial"/>
          <w:sz w:val="24"/>
          <w:szCs w:val="24"/>
          <w:lang w:eastAsia="en-GB"/>
        </w:rPr>
        <w:footnoteReference w:id="428"/>
      </w:r>
      <w:r w:rsidRPr="00770A7C">
        <w:rPr>
          <w:sz w:val="24"/>
          <w:szCs w:val="24"/>
        </w:rPr>
        <w:t xml:space="preserve"> </w:t>
      </w:r>
    </w:p>
    <w:p w:rsidR="002B6091" w:rsidRPr="00770A7C" w:rsidRDefault="002B6091" w:rsidP="002B6091">
      <w:pPr>
        <w:pStyle w:val="ListParagraph"/>
        <w:numPr>
          <w:ilvl w:val="0"/>
          <w:numId w:val="109"/>
        </w:numPr>
        <w:autoSpaceDE w:val="0"/>
        <w:autoSpaceDN w:val="0"/>
        <w:adjustRightInd w:val="0"/>
        <w:spacing w:after="0"/>
        <w:rPr>
          <w:sz w:val="24"/>
          <w:szCs w:val="24"/>
        </w:rPr>
      </w:pPr>
      <w:r>
        <w:rPr>
          <w:sz w:val="24"/>
          <w:szCs w:val="24"/>
        </w:rPr>
        <w:t>a review of the “Capabilities and powers required by law enforcement and Security and Intelligence Agencies and the regulatory framework within which those capabilities and powers should be exercised”</w:t>
      </w:r>
      <w:r>
        <w:rPr>
          <w:rStyle w:val="FootnoteReference"/>
          <w:sz w:val="24"/>
          <w:szCs w:val="24"/>
        </w:rPr>
        <w:footnoteReference w:id="429"/>
      </w:r>
      <w:r w:rsidRPr="00770A7C">
        <w:rPr>
          <w:sz w:val="24"/>
          <w:szCs w:val="24"/>
        </w:rPr>
        <w:t>;</w:t>
      </w:r>
    </w:p>
    <w:p w:rsidR="002B6091" w:rsidRPr="00770A7C" w:rsidRDefault="002B6091" w:rsidP="002B6091">
      <w:pPr>
        <w:pStyle w:val="ListParagraph"/>
        <w:numPr>
          <w:ilvl w:val="0"/>
          <w:numId w:val="109"/>
        </w:numPr>
        <w:autoSpaceDE w:val="0"/>
        <w:autoSpaceDN w:val="0"/>
        <w:adjustRightInd w:val="0"/>
        <w:spacing w:after="0"/>
        <w:rPr>
          <w:sz w:val="24"/>
          <w:szCs w:val="24"/>
        </w:rPr>
      </w:pPr>
      <w:r w:rsidRPr="00770A7C">
        <w:rPr>
          <w:sz w:val="24"/>
          <w:szCs w:val="24"/>
        </w:rPr>
        <w:t>the establishment of a</w:t>
      </w:r>
      <w:r>
        <w:rPr>
          <w:sz w:val="24"/>
          <w:szCs w:val="24"/>
        </w:rPr>
        <w:t>n Independent</w:t>
      </w:r>
      <w:r w:rsidRPr="00770A7C">
        <w:rPr>
          <w:sz w:val="24"/>
          <w:szCs w:val="24"/>
        </w:rPr>
        <w:t xml:space="preserve"> Privacy and Civil Liberties Oversight Board</w:t>
      </w:r>
      <w:r>
        <w:rPr>
          <w:rStyle w:val="FootnoteReference"/>
          <w:sz w:val="24"/>
          <w:szCs w:val="24"/>
        </w:rPr>
        <w:footnoteReference w:id="430"/>
      </w:r>
      <w:r w:rsidRPr="00770A7C">
        <w:rPr>
          <w:sz w:val="24"/>
          <w:szCs w:val="24"/>
        </w:rPr>
        <w:t xml:space="preserve">; </w:t>
      </w:r>
    </w:p>
    <w:p w:rsidR="002B6091" w:rsidRPr="00770A7C" w:rsidRDefault="002B6091" w:rsidP="002B6091">
      <w:pPr>
        <w:pStyle w:val="ListParagraph"/>
        <w:numPr>
          <w:ilvl w:val="0"/>
          <w:numId w:val="109"/>
        </w:numPr>
        <w:autoSpaceDE w:val="0"/>
        <w:autoSpaceDN w:val="0"/>
        <w:adjustRightInd w:val="0"/>
        <w:spacing w:after="0"/>
        <w:rPr>
          <w:sz w:val="24"/>
          <w:szCs w:val="24"/>
        </w:rPr>
      </w:pPr>
      <w:r w:rsidRPr="00770A7C">
        <w:rPr>
          <w:sz w:val="24"/>
          <w:szCs w:val="24"/>
        </w:rPr>
        <w:t>annual “transparency reports” on the use of surveillance powers; and</w:t>
      </w:r>
    </w:p>
    <w:p w:rsidR="002B6091" w:rsidRPr="00770A7C" w:rsidRDefault="002B6091" w:rsidP="002B6091">
      <w:pPr>
        <w:pStyle w:val="ListParagraph"/>
        <w:numPr>
          <w:ilvl w:val="0"/>
          <w:numId w:val="109"/>
        </w:numPr>
        <w:autoSpaceDE w:val="0"/>
        <w:autoSpaceDN w:val="0"/>
        <w:adjustRightInd w:val="0"/>
        <w:spacing w:after="0"/>
        <w:rPr>
          <w:sz w:val="24"/>
          <w:szCs w:val="24"/>
        </w:rPr>
      </w:pPr>
      <w:proofErr w:type="gramStart"/>
      <w:r w:rsidRPr="00770A7C">
        <w:rPr>
          <w:sz w:val="24"/>
          <w:szCs w:val="24"/>
        </w:rPr>
        <w:t>restrictions</w:t>
      </w:r>
      <w:proofErr w:type="gramEnd"/>
      <w:r w:rsidRPr="00770A7C">
        <w:rPr>
          <w:sz w:val="24"/>
          <w:szCs w:val="24"/>
        </w:rPr>
        <w:t xml:space="preserve"> on the number of public bodies able to request communications data.</w:t>
      </w:r>
    </w:p>
    <w:p w:rsidR="002B6091" w:rsidRPr="00770A7C" w:rsidRDefault="002B6091" w:rsidP="002B6091">
      <w:pPr>
        <w:pStyle w:val="ListParagraph"/>
        <w:autoSpaceDE w:val="0"/>
        <w:autoSpaceDN w:val="0"/>
        <w:adjustRightInd w:val="0"/>
        <w:spacing w:after="0"/>
        <w:rPr>
          <w:sz w:val="24"/>
          <w:szCs w:val="24"/>
        </w:rPr>
      </w:pPr>
    </w:p>
    <w:p w:rsidR="002B6091" w:rsidRPr="00770A7C" w:rsidRDefault="002B6091" w:rsidP="002B6091">
      <w:pPr>
        <w:autoSpaceDE w:val="0"/>
        <w:autoSpaceDN w:val="0"/>
        <w:adjustRightInd w:val="0"/>
        <w:spacing w:after="0"/>
        <w:rPr>
          <w:sz w:val="24"/>
          <w:szCs w:val="24"/>
        </w:rPr>
      </w:pPr>
      <w:r w:rsidRPr="00770A7C">
        <w:rPr>
          <w:sz w:val="24"/>
          <w:szCs w:val="24"/>
        </w:rPr>
        <w:t>The Data Retention and Investigatory Powers Act (DRIP) became law on 17 July 2014</w:t>
      </w:r>
      <w:r w:rsidRPr="00770A7C">
        <w:rPr>
          <w:rStyle w:val="FootnoteReference"/>
          <w:sz w:val="24"/>
          <w:szCs w:val="24"/>
        </w:rPr>
        <w:footnoteReference w:id="431"/>
      </w:r>
      <w:r w:rsidRPr="00770A7C">
        <w:rPr>
          <w:sz w:val="24"/>
          <w:szCs w:val="24"/>
        </w:rPr>
        <w:t>. The DRIP Act:</w:t>
      </w:r>
    </w:p>
    <w:p w:rsidR="002B6091" w:rsidRPr="00770A7C" w:rsidRDefault="002B6091" w:rsidP="002B6091">
      <w:pPr>
        <w:pStyle w:val="ListParagraph"/>
        <w:numPr>
          <w:ilvl w:val="0"/>
          <w:numId w:val="108"/>
        </w:numPr>
        <w:autoSpaceDE w:val="0"/>
        <w:autoSpaceDN w:val="0"/>
        <w:adjustRightInd w:val="0"/>
        <w:spacing w:after="0"/>
        <w:rPr>
          <w:sz w:val="24"/>
          <w:szCs w:val="24"/>
        </w:rPr>
      </w:pPr>
      <w:r w:rsidRPr="00770A7C">
        <w:rPr>
          <w:sz w:val="24"/>
          <w:szCs w:val="24"/>
        </w:rPr>
        <w:t>responds to a judgment of the European Court of Justice that the Data Retention Directive was invalid by replacing the regulations that had transposed that Directive into UK law;</w:t>
      </w:r>
      <w:r w:rsidRPr="00770A7C">
        <w:rPr>
          <w:rStyle w:val="FootnoteReference"/>
          <w:sz w:val="24"/>
          <w:szCs w:val="24"/>
        </w:rPr>
        <w:footnoteReference w:id="432"/>
      </w:r>
    </w:p>
    <w:p w:rsidR="002B6091" w:rsidRPr="00770A7C" w:rsidRDefault="002B6091" w:rsidP="002B6091">
      <w:pPr>
        <w:pStyle w:val="ListParagraph"/>
        <w:numPr>
          <w:ilvl w:val="0"/>
          <w:numId w:val="108"/>
        </w:numPr>
        <w:autoSpaceDE w:val="0"/>
        <w:autoSpaceDN w:val="0"/>
        <w:adjustRightInd w:val="0"/>
        <w:spacing w:after="0"/>
        <w:rPr>
          <w:rFonts w:cs="Arial"/>
          <w:sz w:val="24"/>
          <w:szCs w:val="24"/>
          <w:lang w:eastAsia="en-GB"/>
        </w:rPr>
      </w:pPr>
      <w:r w:rsidRPr="00770A7C">
        <w:rPr>
          <w:sz w:val="24"/>
          <w:szCs w:val="24"/>
        </w:rPr>
        <w:t>amends RIPA to ensure requests for interception and communications data to overseas companies that are providing communications services within the UK are subject to the legislation; and</w:t>
      </w:r>
    </w:p>
    <w:p w:rsidR="002B6091" w:rsidRPr="00770A7C" w:rsidRDefault="002B6091" w:rsidP="002B6091">
      <w:pPr>
        <w:pStyle w:val="ListParagraph"/>
        <w:numPr>
          <w:ilvl w:val="0"/>
          <w:numId w:val="108"/>
        </w:numPr>
        <w:autoSpaceDE w:val="0"/>
        <w:autoSpaceDN w:val="0"/>
        <w:adjustRightInd w:val="0"/>
        <w:spacing w:after="0"/>
        <w:rPr>
          <w:sz w:val="24"/>
          <w:szCs w:val="24"/>
        </w:rPr>
      </w:pPr>
      <w:proofErr w:type="gramStart"/>
      <w:r w:rsidRPr="00770A7C">
        <w:rPr>
          <w:sz w:val="24"/>
          <w:szCs w:val="24"/>
        </w:rPr>
        <w:t>requires</w:t>
      </w:r>
      <w:proofErr w:type="gramEnd"/>
      <w:r w:rsidRPr="00770A7C">
        <w:rPr>
          <w:sz w:val="24"/>
          <w:szCs w:val="24"/>
        </w:rPr>
        <w:t xml:space="preserve"> a warrant, signed by a Secretary of State, to enable content (rather than </w:t>
      </w:r>
      <w:r>
        <w:rPr>
          <w:sz w:val="24"/>
          <w:szCs w:val="24"/>
        </w:rPr>
        <w:t>communications data</w:t>
      </w:r>
      <w:r w:rsidRPr="00770A7C">
        <w:rPr>
          <w:sz w:val="24"/>
          <w:szCs w:val="24"/>
        </w:rPr>
        <w:t>) to be accessed.</w:t>
      </w:r>
    </w:p>
    <w:p w:rsidR="002B6091" w:rsidRDefault="002B6091" w:rsidP="002B6091">
      <w:pPr>
        <w:autoSpaceDE w:val="0"/>
        <w:autoSpaceDN w:val="0"/>
        <w:adjustRightInd w:val="0"/>
        <w:spacing w:after="0"/>
        <w:rPr>
          <w:sz w:val="24"/>
          <w:szCs w:val="24"/>
        </w:rPr>
      </w:pPr>
    </w:p>
    <w:p w:rsidR="002B6091" w:rsidRPr="008B2CB8" w:rsidRDefault="002B6091" w:rsidP="002B6091">
      <w:pPr>
        <w:pStyle w:val="Heading2"/>
        <w:numPr>
          <w:ilvl w:val="0"/>
          <w:numId w:val="62"/>
        </w:numPr>
        <w:rPr>
          <w:sz w:val="24"/>
          <w:szCs w:val="24"/>
        </w:rPr>
      </w:pPr>
      <w:bookmarkStart w:id="96" w:name="_Toc420603227"/>
      <w:bookmarkStart w:id="97" w:name="_Toc420603318"/>
      <w:r w:rsidRPr="008B2CB8">
        <w:rPr>
          <w:sz w:val="24"/>
          <w:szCs w:val="24"/>
        </w:rPr>
        <w:t>Judicial Oversight</w:t>
      </w:r>
      <w:bookmarkEnd w:id="96"/>
      <w:bookmarkEnd w:id="97"/>
    </w:p>
    <w:p w:rsidR="002B6091" w:rsidRPr="008B2CB8" w:rsidRDefault="002B6091" w:rsidP="002B6091">
      <w:pPr>
        <w:rPr>
          <w:sz w:val="24"/>
          <w:szCs w:val="24"/>
        </w:rPr>
      </w:pPr>
      <w:r w:rsidRPr="008B2CB8">
        <w:rPr>
          <w:sz w:val="24"/>
          <w:szCs w:val="24"/>
        </w:rPr>
        <w:t>The EHRC’s analysis suggests RIPA is “marred by ambiguity, leaving open the possibility of serious errors, inadvertent use of illegal surveillance techniques, and inappropriate use of surveillance powers.” Among the problems we have identified – and w</w:t>
      </w:r>
      <w:r>
        <w:rPr>
          <w:sz w:val="24"/>
          <w:szCs w:val="24"/>
        </w:rPr>
        <w:t>as</w:t>
      </w:r>
      <w:r w:rsidRPr="008B2CB8">
        <w:rPr>
          <w:sz w:val="24"/>
          <w:szCs w:val="24"/>
        </w:rPr>
        <w:t xml:space="preserve"> not addressed through the Protection of Freedoms Act 2012 - is that access to communications data under RIPA relies heavily on “internal self-authorisation, </w:t>
      </w:r>
      <w:r w:rsidRPr="008B2CB8">
        <w:rPr>
          <w:sz w:val="24"/>
          <w:szCs w:val="24"/>
        </w:rPr>
        <w:lastRenderedPageBreak/>
        <w:t>without the requirement for judicial oversight.”</w:t>
      </w:r>
      <w:r w:rsidRPr="008B2CB8">
        <w:rPr>
          <w:rStyle w:val="FootnoteReference"/>
          <w:sz w:val="24"/>
          <w:szCs w:val="24"/>
        </w:rPr>
        <w:footnoteReference w:id="433"/>
      </w:r>
      <w:r w:rsidRPr="008B2CB8">
        <w:rPr>
          <w:sz w:val="24"/>
          <w:szCs w:val="24"/>
        </w:rPr>
        <w:t xml:space="preserve"> By 2011, there had been almost 3 million decisions made by public bodies under RIPA, yet less than 0.5% had been subject to judicial approval.</w:t>
      </w:r>
      <w:r w:rsidRPr="008B2CB8">
        <w:rPr>
          <w:rStyle w:val="FootnoteReference"/>
          <w:sz w:val="24"/>
          <w:szCs w:val="24"/>
        </w:rPr>
        <w:footnoteReference w:id="434"/>
      </w:r>
    </w:p>
    <w:p w:rsidR="002B6091" w:rsidRPr="008B2CB8" w:rsidRDefault="002B6091" w:rsidP="002B6091">
      <w:pPr>
        <w:rPr>
          <w:sz w:val="24"/>
          <w:szCs w:val="24"/>
        </w:rPr>
      </w:pPr>
      <w:r w:rsidRPr="008B2CB8">
        <w:rPr>
          <w:sz w:val="24"/>
          <w:szCs w:val="24"/>
        </w:rPr>
        <w:t>We believe serious consideration should be given to introducing a requirement for judicial authorisation for interception warrants under Part 1 of RIPA to ensure effective, independent scrutiny of the merits of requests to intercept private communications, and provide evidence that any interference with the right to privacy of individuals is necessary and proportionate. This would be consistent with practice in other countries, such as Australia, Canada and Germany;</w:t>
      </w:r>
      <w:r w:rsidRPr="008B2CB8">
        <w:rPr>
          <w:rStyle w:val="FootnoteReference"/>
          <w:sz w:val="24"/>
          <w:szCs w:val="24"/>
        </w:rPr>
        <w:footnoteReference w:id="435"/>
      </w:r>
      <w:r w:rsidRPr="008B2CB8">
        <w:rPr>
          <w:sz w:val="24"/>
          <w:szCs w:val="24"/>
        </w:rPr>
        <w:t xml:space="preserve"> and with the recognised need in the UK for a judicial warrant before a person’s home can be searched by the police</w:t>
      </w:r>
      <w:r>
        <w:rPr>
          <w:sz w:val="24"/>
          <w:szCs w:val="24"/>
        </w:rPr>
        <w:t>. T</w:t>
      </w:r>
      <w:r w:rsidRPr="008B2CB8">
        <w:rPr>
          <w:sz w:val="24"/>
          <w:szCs w:val="24"/>
        </w:rPr>
        <w:t>here is no longer a meaningful distinction between the quantity and nature of personal information that can be discovered through a premises search and obtained via surveillance under RIPA.</w:t>
      </w:r>
      <w:r w:rsidRPr="008B2CB8">
        <w:rPr>
          <w:rStyle w:val="FootnoteReference"/>
          <w:sz w:val="24"/>
          <w:szCs w:val="24"/>
        </w:rPr>
        <w:footnoteReference w:id="436"/>
      </w:r>
      <w:r w:rsidRPr="008B2CB8">
        <w:rPr>
          <w:sz w:val="24"/>
          <w:szCs w:val="24"/>
        </w:rPr>
        <w:t xml:space="preserve"> UK judges have experience of granting similar applications, for example in relation to approving authorisations for police to use intrusive surveillance under Part 2 of RIPA. </w:t>
      </w:r>
    </w:p>
    <w:p w:rsidR="002B6091" w:rsidRPr="008B2CB8" w:rsidRDefault="002B6091" w:rsidP="002B6091">
      <w:pPr>
        <w:rPr>
          <w:sz w:val="24"/>
          <w:szCs w:val="24"/>
        </w:rPr>
      </w:pPr>
      <w:r>
        <w:rPr>
          <w:sz w:val="24"/>
          <w:szCs w:val="24"/>
        </w:rPr>
        <w:t>F</w:t>
      </w:r>
      <w:r w:rsidRPr="008B2CB8">
        <w:rPr>
          <w:sz w:val="24"/>
          <w:szCs w:val="24"/>
        </w:rPr>
        <w:t>urther consideration should also be given to whether requests to access traffic and service use data (but not subscriber data) under Part 2 of RIPA could meaningfully be subjected to judicial scrutiny.</w:t>
      </w:r>
    </w:p>
    <w:p w:rsidR="002B6091" w:rsidRPr="008B2CB8" w:rsidRDefault="002B6091" w:rsidP="002B6091">
      <w:pPr>
        <w:pStyle w:val="Heading2"/>
        <w:numPr>
          <w:ilvl w:val="0"/>
          <w:numId w:val="62"/>
        </w:numPr>
        <w:rPr>
          <w:sz w:val="24"/>
          <w:szCs w:val="24"/>
        </w:rPr>
      </w:pPr>
      <w:bookmarkStart w:id="98" w:name="_Toc420603228"/>
      <w:bookmarkStart w:id="99" w:name="_Toc420603319"/>
      <w:r w:rsidRPr="008B2CB8">
        <w:rPr>
          <w:sz w:val="24"/>
          <w:szCs w:val="24"/>
        </w:rPr>
        <w:t>Oversight and Accountability</w:t>
      </w:r>
      <w:bookmarkEnd w:id="98"/>
      <w:bookmarkEnd w:id="99"/>
    </w:p>
    <w:p w:rsidR="002B6091" w:rsidRPr="008B2CB8" w:rsidRDefault="002B6091" w:rsidP="002B6091">
      <w:pPr>
        <w:rPr>
          <w:sz w:val="24"/>
          <w:szCs w:val="24"/>
        </w:rPr>
      </w:pPr>
      <w:r w:rsidRPr="008B2CB8">
        <w:rPr>
          <w:sz w:val="24"/>
          <w:szCs w:val="24"/>
        </w:rPr>
        <w:t>Concerns have been raised about the ex post facto oversight of the security services provided by the Surveillance Commissioners,</w:t>
      </w:r>
      <w:r w:rsidRPr="008B2CB8">
        <w:rPr>
          <w:rStyle w:val="FootnoteReference"/>
          <w:sz w:val="24"/>
          <w:szCs w:val="24"/>
        </w:rPr>
        <w:footnoteReference w:id="437"/>
      </w:r>
      <w:r w:rsidRPr="008B2CB8">
        <w:rPr>
          <w:sz w:val="24"/>
          <w:szCs w:val="24"/>
        </w:rPr>
        <w:t xml:space="preserve"> the IPT and the UK Parliament’s Intelligence and Security Committee (ISC).</w:t>
      </w:r>
      <w:r w:rsidRPr="008B2CB8">
        <w:rPr>
          <w:rStyle w:val="FootnoteReference"/>
          <w:sz w:val="24"/>
          <w:szCs w:val="24"/>
        </w:rPr>
        <w:footnoteReference w:id="438"/>
      </w:r>
      <w:r w:rsidRPr="008B2CB8">
        <w:rPr>
          <w:sz w:val="24"/>
          <w:szCs w:val="24"/>
        </w:rPr>
        <w:t xml:space="preserve"> While we welcome the new powers granted to the ISC under Part 1 of the Justice and Security Act 2013</w:t>
      </w:r>
      <w:r w:rsidRPr="008B2CB8">
        <w:rPr>
          <w:rStyle w:val="FootnoteReference"/>
          <w:sz w:val="24"/>
          <w:szCs w:val="24"/>
        </w:rPr>
        <w:footnoteReference w:id="439"/>
      </w:r>
      <w:r w:rsidRPr="008B2CB8">
        <w:rPr>
          <w:sz w:val="24"/>
          <w:szCs w:val="24"/>
        </w:rPr>
        <w:t xml:space="preserve"> and believe pre-judicial authorisation of targeted surveillance could help plug oversight gaps in this fragmented and under</w:t>
      </w:r>
      <w:r>
        <w:rPr>
          <w:sz w:val="24"/>
          <w:szCs w:val="24"/>
        </w:rPr>
        <w:t>-</w:t>
      </w:r>
      <w:r w:rsidRPr="008B2CB8">
        <w:rPr>
          <w:sz w:val="24"/>
          <w:szCs w:val="24"/>
        </w:rPr>
        <w:t xml:space="preserve">resourced system, the EHRC considers a number of </w:t>
      </w:r>
      <w:r w:rsidRPr="008B2CB8">
        <w:rPr>
          <w:sz w:val="24"/>
          <w:szCs w:val="24"/>
        </w:rPr>
        <w:lastRenderedPageBreak/>
        <w:t>other reforms are required to improve cohesion, efficiency, transparency and accountability, while preserving national security, including:</w:t>
      </w:r>
    </w:p>
    <w:p w:rsidR="002B6091" w:rsidRPr="00553F23" w:rsidRDefault="002B6091" w:rsidP="002B6091">
      <w:pPr>
        <w:pStyle w:val="ListParagraph"/>
        <w:numPr>
          <w:ilvl w:val="0"/>
          <w:numId w:val="64"/>
        </w:numPr>
        <w:rPr>
          <w:sz w:val="24"/>
          <w:szCs w:val="24"/>
        </w:rPr>
      </w:pPr>
      <w:r w:rsidRPr="008B2CB8">
        <w:rPr>
          <w:sz w:val="24"/>
          <w:szCs w:val="24"/>
        </w:rPr>
        <w:t>appointments to the ISC should be made by both Houses of Parliament and should not be subject to nomination or effective pre-approval by the Prime Minister;</w:t>
      </w:r>
      <w:r w:rsidRPr="008B2CB8">
        <w:rPr>
          <w:rStyle w:val="FootnoteReference"/>
          <w:sz w:val="24"/>
          <w:szCs w:val="24"/>
        </w:rPr>
        <w:footnoteReference w:id="440"/>
      </w:r>
      <w:r w:rsidRPr="008B2CB8">
        <w:rPr>
          <w:sz w:val="24"/>
          <w:szCs w:val="24"/>
        </w:rPr>
        <w:t xml:space="preserve"> </w:t>
      </w:r>
    </w:p>
    <w:p w:rsidR="002B6091" w:rsidRPr="008B2CB8" w:rsidRDefault="002B6091" w:rsidP="002B6091">
      <w:pPr>
        <w:pStyle w:val="ListParagraph"/>
        <w:numPr>
          <w:ilvl w:val="0"/>
          <w:numId w:val="64"/>
        </w:numPr>
        <w:rPr>
          <w:sz w:val="24"/>
          <w:szCs w:val="24"/>
        </w:rPr>
      </w:pPr>
      <w:r w:rsidRPr="008B2CB8">
        <w:rPr>
          <w:sz w:val="24"/>
          <w:szCs w:val="24"/>
        </w:rPr>
        <w:t>while the ISC should consult and consider seriously the Prime Minister’s and others</w:t>
      </w:r>
      <w:r>
        <w:rPr>
          <w:sz w:val="24"/>
          <w:szCs w:val="24"/>
        </w:rPr>
        <w:t>’</w:t>
      </w:r>
      <w:r w:rsidRPr="008B2CB8">
        <w:rPr>
          <w:sz w:val="24"/>
          <w:szCs w:val="24"/>
        </w:rPr>
        <w:t xml:space="preserve"> views as to</w:t>
      </w:r>
      <w:r>
        <w:rPr>
          <w:sz w:val="24"/>
          <w:szCs w:val="24"/>
        </w:rPr>
        <w:t xml:space="preserve"> the sensitivity of information</w:t>
      </w:r>
      <w:r w:rsidRPr="008B2CB8">
        <w:rPr>
          <w:sz w:val="24"/>
          <w:szCs w:val="24"/>
        </w:rPr>
        <w:t xml:space="preserve"> and consider appropriate redactions to its reports; the content of its reports should be a matter for the ISC to determine and should never be subject to effective Prime Ministerial veto or censorship; </w:t>
      </w:r>
    </w:p>
    <w:p w:rsidR="002B6091" w:rsidRPr="008B2CB8" w:rsidRDefault="002B6091" w:rsidP="002B6091">
      <w:pPr>
        <w:pStyle w:val="ListParagraph"/>
        <w:numPr>
          <w:ilvl w:val="0"/>
          <w:numId w:val="64"/>
        </w:numPr>
        <w:rPr>
          <w:sz w:val="24"/>
          <w:szCs w:val="24"/>
        </w:rPr>
      </w:pPr>
      <w:proofErr w:type="gramStart"/>
      <w:r w:rsidRPr="008B2CB8">
        <w:rPr>
          <w:sz w:val="24"/>
          <w:szCs w:val="24"/>
        </w:rPr>
        <w:t>reducing</w:t>
      </w:r>
      <w:proofErr w:type="gramEnd"/>
      <w:r w:rsidRPr="008B2CB8">
        <w:rPr>
          <w:sz w:val="24"/>
          <w:szCs w:val="24"/>
        </w:rPr>
        <w:t xml:space="preserve"> the number of Commissioners and creating a new, public-facing oversight body, to provide high quality and independent review and audit of surveillance decisions made under RIPA (and any subsequent legislation). Such a body should have strong powers to address any unlawful or disproportionate authorisations</w:t>
      </w:r>
      <w:r>
        <w:rPr>
          <w:sz w:val="24"/>
          <w:szCs w:val="24"/>
        </w:rPr>
        <w:t>; and</w:t>
      </w:r>
    </w:p>
    <w:p w:rsidR="002B6091" w:rsidRPr="008B2CB8" w:rsidRDefault="002B6091" w:rsidP="002B6091">
      <w:pPr>
        <w:pStyle w:val="ListParagraph"/>
        <w:numPr>
          <w:ilvl w:val="0"/>
          <w:numId w:val="63"/>
        </w:numPr>
        <w:rPr>
          <w:sz w:val="24"/>
          <w:szCs w:val="24"/>
        </w:rPr>
      </w:pPr>
      <w:r w:rsidRPr="008B2CB8">
        <w:rPr>
          <w:sz w:val="24"/>
          <w:szCs w:val="24"/>
        </w:rPr>
        <w:t>the powers and function of the IPT should be reviewed, and consideration be given to a number of reforms, including:</w:t>
      </w:r>
    </w:p>
    <w:p w:rsidR="002B6091" w:rsidRPr="008B2CB8" w:rsidRDefault="002B6091" w:rsidP="002B6091">
      <w:pPr>
        <w:pStyle w:val="ListParagraph"/>
        <w:numPr>
          <w:ilvl w:val="1"/>
          <w:numId w:val="63"/>
        </w:numPr>
        <w:rPr>
          <w:sz w:val="24"/>
          <w:szCs w:val="24"/>
        </w:rPr>
      </w:pPr>
      <w:r w:rsidRPr="008B2CB8">
        <w:rPr>
          <w:sz w:val="24"/>
          <w:szCs w:val="24"/>
        </w:rPr>
        <w:t>the new oversight body should be required to refer cases for investigation to the IPT where i</w:t>
      </w:r>
      <w:r>
        <w:rPr>
          <w:sz w:val="24"/>
          <w:szCs w:val="24"/>
        </w:rPr>
        <w:t>t</w:t>
      </w:r>
      <w:r w:rsidRPr="008B2CB8">
        <w:rPr>
          <w:sz w:val="24"/>
          <w:szCs w:val="24"/>
        </w:rPr>
        <w:t xml:space="preserve"> reasonably suspects a public authority has acted unlawfully;</w:t>
      </w:r>
      <w:r w:rsidRPr="008B2CB8">
        <w:rPr>
          <w:rStyle w:val="FootnoteReference"/>
          <w:sz w:val="24"/>
          <w:szCs w:val="24"/>
        </w:rPr>
        <w:footnoteReference w:id="441"/>
      </w:r>
    </w:p>
    <w:p w:rsidR="002B6091" w:rsidRPr="008B2CB8" w:rsidRDefault="002B6091" w:rsidP="002B6091">
      <w:pPr>
        <w:pStyle w:val="ListParagraph"/>
        <w:numPr>
          <w:ilvl w:val="1"/>
          <w:numId w:val="63"/>
        </w:numPr>
        <w:rPr>
          <w:sz w:val="24"/>
          <w:szCs w:val="24"/>
        </w:rPr>
      </w:pPr>
      <w:r w:rsidRPr="008B2CB8">
        <w:rPr>
          <w:sz w:val="24"/>
          <w:szCs w:val="24"/>
        </w:rPr>
        <w:t>the IPT’s investigative capabilities could be increased to enable it to undertake proactive investigations that arise from reasonable suspicion of systemic failings resulting in the unlawful use of surveillance powers;</w:t>
      </w:r>
    </w:p>
    <w:p w:rsidR="002B6091" w:rsidRPr="008B2CB8" w:rsidRDefault="002B6091" w:rsidP="002B6091">
      <w:pPr>
        <w:pStyle w:val="ListParagraph"/>
        <w:numPr>
          <w:ilvl w:val="1"/>
          <w:numId w:val="63"/>
        </w:numPr>
        <w:rPr>
          <w:sz w:val="24"/>
          <w:szCs w:val="24"/>
        </w:rPr>
      </w:pPr>
      <w:proofErr w:type="gramStart"/>
      <w:r w:rsidRPr="008B2CB8">
        <w:rPr>
          <w:sz w:val="24"/>
          <w:szCs w:val="24"/>
        </w:rPr>
        <w:t>robust</w:t>
      </w:r>
      <w:proofErr w:type="gramEnd"/>
      <w:r w:rsidRPr="008B2CB8">
        <w:rPr>
          <w:sz w:val="24"/>
          <w:szCs w:val="24"/>
        </w:rPr>
        <w:t xml:space="preserve"> steps to increase the IPT’s transparency, for example requiring it to publish its judgments, unless national security concerns require that secrecy be maintained.</w:t>
      </w:r>
    </w:p>
    <w:p w:rsidR="002B6091" w:rsidRPr="00553F23" w:rsidRDefault="002B6091" w:rsidP="002B6091">
      <w:pPr>
        <w:pStyle w:val="Heading2"/>
        <w:numPr>
          <w:ilvl w:val="0"/>
          <w:numId w:val="62"/>
        </w:numPr>
        <w:rPr>
          <w:sz w:val="24"/>
          <w:szCs w:val="24"/>
        </w:rPr>
      </w:pPr>
      <w:bookmarkStart w:id="100" w:name="_Toc420603229"/>
      <w:bookmarkStart w:id="101" w:name="_Toc420603320"/>
      <w:r w:rsidRPr="008B2CB8">
        <w:rPr>
          <w:sz w:val="24"/>
          <w:szCs w:val="24"/>
        </w:rPr>
        <w:t>Legal Certainty</w:t>
      </w:r>
      <w:bookmarkEnd w:id="100"/>
      <w:bookmarkEnd w:id="101"/>
      <w:r w:rsidRPr="008B2CB8">
        <w:rPr>
          <w:sz w:val="24"/>
          <w:szCs w:val="24"/>
        </w:rPr>
        <w:t xml:space="preserve"> </w:t>
      </w:r>
    </w:p>
    <w:p w:rsidR="002B6091" w:rsidRPr="008B2CB8" w:rsidRDefault="002B6091" w:rsidP="002B6091">
      <w:pPr>
        <w:autoSpaceDE w:val="0"/>
        <w:autoSpaceDN w:val="0"/>
        <w:adjustRightInd w:val="0"/>
        <w:spacing w:after="0"/>
        <w:rPr>
          <w:sz w:val="24"/>
          <w:szCs w:val="24"/>
        </w:rPr>
      </w:pPr>
      <w:r w:rsidRPr="008B2CB8">
        <w:rPr>
          <w:sz w:val="24"/>
          <w:szCs w:val="24"/>
        </w:rPr>
        <w:t xml:space="preserve">Deficiencies in the framework for authorising the interception of communications under Part 1 of RIPA mean internet communications may be subject to two different interception regimes, depending on how they are routed: communications “internal” to the UK under section </w:t>
      </w:r>
      <w:r>
        <w:rPr>
          <w:sz w:val="24"/>
          <w:szCs w:val="24"/>
        </w:rPr>
        <w:t>5</w:t>
      </w:r>
      <w:r w:rsidRPr="008B2CB8">
        <w:rPr>
          <w:rStyle w:val="FootnoteReference"/>
          <w:sz w:val="24"/>
          <w:szCs w:val="24"/>
        </w:rPr>
        <w:footnoteReference w:id="442"/>
      </w:r>
      <w:r w:rsidRPr="008B2CB8">
        <w:rPr>
          <w:sz w:val="24"/>
          <w:szCs w:val="24"/>
        </w:rPr>
        <w:t>, and “external” communications – “sent or received outside the British Islands,” – under section 8(4). Unlike those under section 5, intercept warrants under section 8(4):</w:t>
      </w:r>
    </w:p>
    <w:p w:rsidR="002B6091" w:rsidRPr="008B2CB8" w:rsidRDefault="002B6091" w:rsidP="002B6091">
      <w:pPr>
        <w:pStyle w:val="ListParagraph"/>
        <w:numPr>
          <w:ilvl w:val="0"/>
          <w:numId w:val="60"/>
        </w:numPr>
        <w:autoSpaceDE w:val="0"/>
        <w:autoSpaceDN w:val="0"/>
        <w:adjustRightInd w:val="0"/>
        <w:spacing w:after="0"/>
        <w:rPr>
          <w:sz w:val="24"/>
          <w:szCs w:val="24"/>
        </w:rPr>
      </w:pPr>
      <w:r w:rsidRPr="008B2CB8">
        <w:rPr>
          <w:sz w:val="24"/>
          <w:szCs w:val="24"/>
        </w:rPr>
        <w:t>do not specify that they are targeting a particular individual or premises, meaning that it can encompass extremely broad categories of communications; and</w:t>
      </w:r>
    </w:p>
    <w:p w:rsidR="002B6091" w:rsidRPr="008B2CB8" w:rsidRDefault="002B6091" w:rsidP="002B6091">
      <w:pPr>
        <w:pStyle w:val="ListParagraph"/>
        <w:numPr>
          <w:ilvl w:val="0"/>
          <w:numId w:val="60"/>
        </w:numPr>
        <w:autoSpaceDE w:val="0"/>
        <w:autoSpaceDN w:val="0"/>
        <w:adjustRightInd w:val="0"/>
        <w:spacing w:after="0"/>
        <w:rPr>
          <w:sz w:val="24"/>
          <w:szCs w:val="24"/>
        </w:rPr>
      </w:pPr>
      <w:proofErr w:type="gramStart"/>
      <w:r w:rsidRPr="008B2CB8">
        <w:rPr>
          <w:sz w:val="24"/>
          <w:szCs w:val="24"/>
        </w:rPr>
        <w:t>can</w:t>
      </w:r>
      <w:proofErr w:type="gramEnd"/>
      <w:r w:rsidRPr="008B2CB8">
        <w:rPr>
          <w:sz w:val="24"/>
          <w:szCs w:val="24"/>
        </w:rPr>
        <w:t xml:space="preserve"> last for 3 or 6 months, and be renewed indefinitely. </w:t>
      </w:r>
    </w:p>
    <w:p w:rsidR="002B6091" w:rsidRPr="008B2CB8" w:rsidRDefault="002B6091" w:rsidP="002B6091">
      <w:pPr>
        <w:autoSpaceDE w:val="0"/>
        <w:autoSpaceDN w:val="0"/>
        <w:adjustRightInd w:val="0"/>
        <w:spacing w:after="0"/>
        <w:rPr>
          <w:sz w:val="24"/>
          <w:szCs w:val="24"/>
        </w:rPr>
      </w:pPr>
    </w:p>
    <w:p w:rsidR="002B6091" w:rsidRPr="008B2CB8" w:rsidRDefault="002B6091" w:rsidP="002B6091">
      <w:pPr>
        <w:autoSpaceDE w:val="0"/>
        <w:autoSpaceDN w:val="0"/>
        <w:adjustRightInd w:val="0"/>
        <w:spacing w:after="0"/>
        <w:rPr>
          <w:sz w:val="24"/>
          <w:szCs w:val="24"/>
        </w:rPr>
      </w:pPr>
      <w:r w:rsidRPr="008B2CB8">
        <w:rPr>
          <w:sz w:val="24"/>
          <w:szCs w:val="24"/>
        </w:rPr>
        <w:t>Due to changes in communications technology since 2000, Part 1 of RIPA no longer provides sufficient certainty to the public about when their internet based communications are liable to be subject to “internal” or “external” interception warrants. A claim before the IPT</w:t>
      </w:r>
      <w:r>
        <w:rPr>
          <w:sz w:val="24"/>
          <w:szCs w:val="24"/>
        </w:rPr>
        <w:t>, (which was</w:t>
      </w:r>
      <w:r w:rsidRPr="008B2CB8">
        <w:rPr>
          <w:sz w:val="24"/>
          <w:szCs w:val="24"/>
        </w:rPr>
        <w:t xml:space="preserve"> </w:t>
      </w:r>
      <w:r>
        <w:rPr>
          <w:sz w:val="24"/>
          <w:szCs w:val="24"/>
        </w:rPr>
        <w:t>heard 14-18 July 2014 and we’re awaiting judgment)</w:t>
      </w:r>
      <w:r w:rsidRPr="008B2CB8">
        <w:rPr>
          <w:sz w:val="24"/>
          <w:szCs w:val="24"/>
        </w:rPr>
        <w:t xml:space="preserve"> is seeking to establish:</w:t>
      </w:r>
    </w:p>
    <w:p w:rsidR="002B6091" w:rsidRPr="008B2CB8" w:rsidRDefault="002B6091" w:rsidP="002B6091">
      <w:pPr>
        <w:pStyle w:val="ListParagraph"/>
        <w:numPr>
          <w:ilvl w:val="0"/>
          <w:numId w:val="59"/>
        </w:numPr>
        <w:autoSpaceDE w:val="0"/>
        <w:autoSpaceDN w:val="0"/>
        <w:adjustRightInd w:val="0"/>
        <w:spacing w:after="0"/>
        <w:rPr>
          <w:sz w:val="24"/>
          <w:szCs w:val="24"/>
        </w:rPr>
      </w:pPr>
      <w:r w:rsidRPr="008B2CB8">
        <w:rPr>
          <w:sz w:val="24"/>
          <w:szCs w:val="24"/>
        </w:rPr>
        <w:t>whether the RIPA definition of “external communication” in section 20 of RIPA provides sufficient clarity concerning conditions and circumstances in which UK residents are liable to have their communications intercepted; and</w:t>
      </w:r>
    </w:p>
    <w:p w:rsidR="002B6091" w:rsidRPr="008B2CB8" w:rsidRDefault="002B6091" w:rsidP="002B6091">
      <w:pPr>
        <w:pStyle w:val="ListParagraph"/>
        <w:numPr>
          <w:ilvl w:val="0"/>
          <w:numId w:val="59"/>
        </w:numPr>
        <w:autoSpaceDE w:val="0"/>
        <w:autoSpaceDN w:val="0"/>
        <w:adjustRightInd w:val="0"/>
        <w:spacing w:after="0"/>
        <w:rPr>
          <w:sz w:val="24"/>
          <w:szCs w:val="24"/>
        </w:rPr>
      </w:pPr>
      <w:r w:rsidRPr="008B2CB8">
        <w:rPr>
          <w:sz w:val="24"/>
          <w:szCs w:val="24"/>
        </w:rPr>
        <w:t>what, if any, legal frameworks govern the granting of, access to, or receipt of, intercept product and communications data to/from a foreign intelligence service in respect of communications originating from the UK.</w:t>
      </w:r>
      <w:r w:rsidRPr="008B2CB8">
        <w:rPr>
          <w:rStyle w:val="FootnoteReference"/>
          <w:sz w:val="24"/>
          <w:szCs w:val="24"/>
        </w:rPr>
        <w:footnoteReference w:id="443"/>
      </w:r>
    </w:p>
    <w:p w:rsidR="002B6091" w:rsidRPr="008B2CB8" w:rsidRDefault="002B6091" w:rsidP="002B6091">
      <w:pPr>
        <w:autoSpaceDE w:val="0"/>
        <w:autoSpaceDN w:val="0"/>
        <w:adjustRightInd w:val="0"/>
        <w:spacing w:after="0"/>
        <w:rPr>
          <w:sz w:val="24"/>
          <w:szCs w:val="24"/>
        </w:rPr>
      </w:pPr>
    </w:p>
    <w:p w:rsidR="002B6091" w:rsidRPr="008B2CB8" w:rsidRDefault="002B6091" w:rsidP="002B6091">
      <w:pPr>
        <w:autoSpaceDE w:val="0"/>
        <w:autoSpaceDN w:val="0"/>
        <w:adjustRightInd w:val="0"/>
        <w:spacing w:after="0"/>
        <w:rPr>
          <w:sz w:val="24"/>
          <w:szCs w:val="24"/>
        </w:rPr>
      </w:pPr>
      <w:r w:rsidRPr="008B2CB8">
        <w:rPr>
          <w:sz w:val="24"/>
          <w:szCs w:val="24"/>
        </w:rPr>
        <w:t>The Director General of the Office for Security and Counter-terrorism’s witness statement to the IPT in that case suggests the UK Government considers that because searches on Google, Twitter, Facebook and YouTube are likely to involve communicating with a "web-based platform" abroad they are "external communications" and do not require a specific target. Emails sent or received from abroad could be intercepted in a similar way.</w:t>
      </w:r>
      <w:r w:rsidRPr="008B2CB8">
        <w:rPr>
          <w:rStyle w:val="FootnoteReference"/>
          <w:sz w:val="24"/>
          <w:szCs w:val="24"/>
        </w:rPr>
        <w:footnoteReference w:id="444"/>
      </w:r>
      <w:r w:rsidRPr="008B2CB8">
        <w:rPr>
          <w:sz w:val="24"/>
          <w:szCs w:val="24"/>
        </w:rPr>
        <w:t xml:space="preserve"> In addition, the witness says that while he can "</w:t>
      </w:r>
      <w:proofErr w:type="gramStart"/>
      <w:r w:rsidRPr="008B2CB8">
        <w:rPr>
          <w:sz w:val="24"/>
          <w:szCs w:val="24"/>
        </w:rPr>
        <w:t>neither confirm or</w:t>
      </w:r>
      <w:proofErr w:type="gramEnd"/>
      <w:r w:rsidRPr="008B2CB8">
        <w:rPr>
          <w:sz w:val="24"/>
          <w:szCs w:val="24"/>
        </w:rPr>
        <w:t xml:space="preserve"> deny" the existence of the much reported and debated </w:t>
      </w:r>
      <w:proofErr w:type="spellStart"/>
      <w:r w:rsidRPr="008B2CB8">
        <w:rPr>
          <w:sz w:val="24"/>
          <w:szCs w:val="24"/>
        </w:rPr>
        <w:t>Tempora</w:t>
      </w:r>
      <w:proofErr w:type="spellEnd"/>
      <w:r w:rsidRPr="008B2CB8">
        <w:rPr>
          <w:sz w:val="24"/>
          <w:szCs w:val="24"/>
        </w:rPr>
        <w:t xml:space="preserve"> interception programme,</w:t>
      </w:r>
      <w:r w:rsidRPr="008B2CB8">
        <w:rPr>
          <w:rStyle w:val="FootnoteReference"/>
          <w:sz w:val="24"/>
          <w:szCs w:val="24"/>
        </w:rPr>
        <w:footnoteReference w:id="445"/>
      </w:r>
      <w:r w:rsidRPr="008B2CB8">
        <w:rPr>
          <w:sz w:val="24"/>
          <w:szCs w:val="24"/>
        </w:rPr>
        <w:t xml:space="preserve"> he does accept the existence of Prism – </w:t>
      </w:r>
      <w:r>
        <w:rPr>
          <w:sz w:val="24"/>
          <w:szCs w:val="24"/>
        </w:rPr>
        <w:t>an American</w:t>
      </w:r>
      <w:r w:rsidRPr="008B2CB8">
        <w:rPr>
          <w:sz w:val="24"/>
          <w:szCs w:val="24"/>
        </w:rPr>
        <w:t xml:space="preserve"> interception programme – "because it has been expressly avowed by the executive branch of the US government".</w:t>
      </w:r>
      <w:r w:rsidRPr="008B2CB8">
        <w:rPr>
          <w:rStyle w:val="FootnoteReference"/>
          <w:sz w:val="24"/>
          <w:szCs w:val="24"/>
        </w:rPr>
        <w:footnoteReference w:id="446"/>
      </w:r>
    </w:p>
    <w:p w:rsidR="002B6091" w:rsidRPr="008B2CB8" w:rsidRDefault="002B6091" w:rsidP="002B6091">
      <w:pPr>
        <w:autoSpaceDE w:val="0"/>
        <w:autoSpaceDN w:val="0"/>
        <w:adjustRightInd w:val="0"/>
        <w:spacing w:after="0"/>
        <w:rPr>
          <w:sz w:val="24"/>
          <w:szCs w:val="24"/>
        </w:rPr>
      </w:pPr>
    </w:p>
    <w:p w:rsidR="002B6091" w:rsidRPr="008B2CB8" w:rsidRDefault="002B6091" w:rsidP="002B6091">
      <w:pPr>
        <w:autoSpaceDE w:val="0"/>
        <w:autoSpaceDN w:val="0"/>
        <w:adjustRightInd w:val="0"/>
        <w:spacing w:after="0"/>
        <w:rPr>
          <w:sz w:val="24"/>
          <w:szCs w:val="24"/>
        </w:rPr>
      </w:pPr>
      <w:r w:rsidRPr="008B2CB8">
        <w:rPr>
          <w:sz w:val="24"/>
          <w:szCs w:val="24"/>
        </w:rPr>
        <w:t>It has been suggested that “in theory, and perhaps in practice, the Secretary of State may order the interception of all material passing along a transatlantic cable. If that is the case, then RIPA provides almost no meaningful restraint on the exercise of executive discretion in respect of external communications.”</w:t>
      </w:r>
      <w:r w:rsidRPr="008B2CB8">
        <w:rPr>
          <w:rStyle w:val="FootnoteReference"/>
          <w:sz w:val="24"/>
          <w:szCs w:val="24"/>
        </w:rPr>
        <w:footnoteReference w:id="447"/>
      </w:r>
      <w:r w:rsidRPr="008B2CB8">
        <w:rPr>
          <w:sz w:val="24"/>
          <w:szCs w:val="24"/>
        </w:rPr>
        <w:t xml:space="preserve"> The EHRC considers that such an interpretation and application of Section 8(4) risks non-compliance with Article 8 of the ECHR because they are not “in accordance with law”</w:t>
      </w:r>
      <w:r w:rsidRPr="008B2CB8">
        <w:rPr>
          <w:rStyle w:val="FootnoteReference"/>
          <w:sz w:val="24"/>
          <w:szCs w:val="24"/>
        </w:rPr>
        <w:footnoteReference w:id="448"/>
      </w:r>
      <w:r w:rsidRPr="008B2CB8">
        <w:rPr>
          <w:sz w:val="24"/>
          <w:szCs w:val="24"/>
        </w:rPr>
        <w:t xml:space="preserve"> and disproportionate. To address these risks, we suggest the UK Parliament clarify the definition of </w:t>
      </w:r>
      <w:r>
        <w:rPr>
          <w:sz w:val="24"/>
          <w:szCs w:val="24"/>
        </w:rPr>
        <w:t xml:space="preserve">“external </w:t>
      </w:r>
      <w:r w:rsidRPr="008B2CB8">
        <w:rPr>
          <w:sz w:val="24"/>
          <w:szCs w:val="24"/>
        </w:rPr>
        <w:t>communication</w:t>
      </w:r>
      <w:r>
        <w:rPr>
          <w:sz w:val="24"/>
          <w:szCs w:val="24"/>
        </w:rPr>
        <w:t>”</w:t>
      </w:r>
      <w:r w:rsidRPr="008B2CB8">
        <w:rPr>
          <w:sz w:val="24"/>
          <w:szCs w:val="24"/>
        </w:rPr>
        <w:t xml:space="preserve"> in Section 20 of RIPA as a matter of urgency.</w:t>
      </w:r>
    </w:p>
    <w:p w:rsidR="002B6091" w:rsidRPr="008B2CB8" w:rsidRDefault="002B6091" w:rsidP="002B6091">
      <w:pPr>
        <w:pStyle w:val="Heading2"/>
        <w:numPr>
          <w:ilvl w:val="0"/>
          <w:numId w:val="62"/>
        </w:numPr>
        <w:rPr>
          <w:sz w:val="24"/>
          <w:szCs w:val="24"/>
        </w:rPr>
      </w:pPr>
      <w:bookmarkStart w:id="102" w:name="_Toc420603230"/>
      <w:bookmarkStart w:id="103" w:name="_Toc420603321"/>
      <w:r w:rsidRPr="008B2CB8">
        <w:rPr>
          <w:sz w:val="24"/>
          <w:szCs w:val="24"/>
        </w:rPr>
        <w:lastRenderedPageBreak/>
        <w:t>Non-discrimination</w:t>
      </w:r>
      <w:bookmarkEnd w:id="102"/>
      <w:bookmarkEnd w:id="103"/>
    </w:p>
    <w:p w:rsidR="002B6091" w:rsidRPr="008B2CB8" w:rsidRDefault="002B6091" w:rsidP="002B6091">
      <w:pPr>
        <w:rPr>
          <w:sz w:val="24"/>
          <w:szCs w:val="24"/>
        </w:rPr>
      </w:pPr>
      <w:r w:rsidRPr="008B2CB8">
        <w:rPr>
          <w:sz w:val="24"/>
          <w:szCs w:val="24"/>
        </w:rPr>
        <w:t>The EHRC is concerned that the existing scheme of internal and external warrants under Part 1 of RIPA, under which no targeting is required in respect of communications with persons outside the UK, could disproportionately impact on some ethnic minorities, including foreign nationals, who may be more likely to have family and social contacts outside of the UK. We consider that the UK Government should consider introducing a single system of targeted warrants for the interception of communications; and should prohibit untargeted monitoring and collection of private communications and related data except where it is a necessary and proportionate response to a reasonable suspicion based on evidence.</w:t>
      </w:r>
    </w:p>
    <w:p w:rsidR="002B6091" w:rsidRPr="008B2CB8" w:rsidRDefault="002B6091" w:rsidP="002B6091">
      <w:pPr>
        <w:rPr>
          <w:rFonts w:cs="Arial"/>
          <w:b/>
          <w:sz w:val="24"/>
          <w:szCs w:val="24"/>
          <w:lang w:eastAsia="en-GB"/>
        </w:rPr>
      </w:pPr>
      <w:r w:rsidRPr="008B2CB8">
        <w:rPr>
          <w:rFonts w:cs="Arial"/>
          <w:b/>
          <w:sz w:val="24"/>
          <w:szCs w:val="24"/>
          <w:lang w:eastAsia="en-GB"/>
        </w:rPr>
        <w:t>Conclusion: Given the fragmented nature of the legal framework governing privacy and surveillance, the EHRC considers that it should be subject to a forward</w:t>
      </w:r>
      <w:r>
        <w:rPr>
          <w:rFonts w:cs="Arial"/>
          <w:b/>
          <w:sz w:val="24"/>
          <w:szCs w:val="24"/>
          <w:lang w:eastAsia="en-GB"/>
        </w:rPr>
        <w:t>-</w:t>
      </w:r>
      <w:r w:rsidRPr="008B2CB8">
        <w:rPr>
          <w:rFonts w:cs="Arial"/>
          <w:b/>
          <w:sz w:val="24"/>
          <w:szCs w:val="24"/>
          <w:lang w:eastAsia="en-GB"/>
        </w:rPr>
        <w:t>looking “root and branch” review, rather than piecemeal reform, and the establishment of a framework of principles to govern authorisations, including necessity, proportionality, legitimacy and fairness.</w:t>
      </w:r>
      <w:r w:rsidRPr="008B2CB8">
        <w:rPr>
          <w:rStyle w:val="FootnoteReference"/>
          <w:rFonts w:cs="Arial"/>
          <w:b/>
          <w:sz w:val="24"/>
          <w:szCs w:val="24"/>
          <w:lang w:eastAsia="en-GB"/>
        </w:rPr>
        <w:footnoteReference w:id="449"/>
      </w:r>
      <w:r w:rsidRPr="008B2CB8">
        <w:rPr>
          <w:rFonts w:cs="Arial"/>
          <w:b/>
          <w:sz w:val="24"/>
          <w:szCs w:val="24"/>
          <w:lang w:eastAsia="en-GB"/>
        </w:rPr>
        <w:t xml:space="preserve"> In the context of interception of communications and access to communications data, we believe the following, specific, measures are necessary:</w:t>
      </w:r>
    </w:p>
    <w:p w:rsidR="002B6091" w:rsidRPr="008B2CB8" w:rsidRDefault="002B6091" w:rsidP="002B6091">
      <w:pPr>
        <w:pStyle w:val="ListParagraph"/>
        <w:numPr>
          <w:ilvl w:val="0"/>
          <w:numId w:val="61"/>
        </w:numPr>
        <w:rPr>
          <w:rFonts w:cs="Arial"/>
          <w:b/>
          <w:sz w:val="24"/>
          <w:szCs w:val="24"/>
          <w:lang w:eastAsia="en-GB"/>
        </w:rPr>
      </w:pPr>
      <w:r w:rsidRPr="008B2CB8">
        <w:rPr>
          <w:b/>
          <w:sz w:val="24"/>
          <w:szCs w:val="24"/>
        </w:rPr>
        <w:t xml:space="preserve">serious consideration should be given to introducing a requirement for judicial authorisation for interception warrants under Part 1 of RIPA to ensure effective, independent scrutiny; </w:t>
      </w:r>
    </w:p>
    <w:p w:rsidR="002B6091" w:rsidRPr="008B2CB8" w:rsidRDefault="002B6091" w:rsidP="002B6091">
      <w:pPr>
        <w:pStyle w:val="ListParagraph"/>
        <w:numPr>
          <w:ilvl w:val="0"/>
          <w:numId w:val="61"/>
        </w:numPr>
        <w:rPr>
          <w:rFonts w:cs="Arial"/>
          <w:b/>
          <w:sz w:val="24"/>
          <w:szCs w:val="24"/>
          <w:lang w:eastAsia="en-GB"/>
        </w:rPr>
      </w:pPr>
      <w:r w:rsidRPr="008B2CB8">
        <w:rPr>
          <w:b/>
          <w:sz w:val="24"/>
          <w:szCs w:val="24"/>
        </w:rPr>
        <w:t>further consideration should also be given to whether requests to access traffic and service use data (but not subscriber data) under Part 2 of RIPA could meaningfully be subjected to judicial scrutiny;</w:t>
      </w:r>
    </w:p>
    <w:p w:rsidR="002B6091" w:rsidRPr="008B2CB8" w:rsidRDefault="002B6091" w:rsidP="002B6091">
      <w:pPr>
        <w:pStyle w:val="ListParagraph"/>
        <w:numPr>
          <w:ilvl w:val="0"/>
          <w:numId w:val="61"/>
        </w:numPr>
        <w:rPr>
          <w:rFonts w:cs="Arial"/>
          <w:b/>
          <w:sz w:val="24"/>
          <w:szCs w:val="24"/>
          <w:lang w:eastAsia="en-GB"/>
        </w:rPr>
      </w:pPr>
      <w:r w:rsidRPr="008B2CB8">
        <w:rPr>
          <w:rFonts w:cs="Arial"/>
          <w:b/>
          <w:sz w:val="24"/>
          <w:szCs w:val="24"/>
          <w:lang w:eastAsia="en-GB"/>
        </w:rPr>
        <w:t>a number of reforms to improve the cohesion, efficiency, transparency and accountability of the RIPA oversight system (including the Surveillance Commissioners, IPT and ISC) while preserving national security; and</w:t>
      </w:r>
    </w:p>
    <w:p w:rsidR="002B6091" w:rsidRPr="008B2CB8" w:rsidRDefault="002B6091" w:rsidP="002B6091">
      <w:pPr>
        <w:pStyle w:val="ListParagraph"/>
        <w:numPr>
          <w:ilvl w:val="0"/>
          <w:numId w:val="61"/>
        </w:numPr>
        <w:rPr>
          <w:rFonts w:cs="Arial"/>
          <w:b/>
          <w:sz w:val="24"/>
          <w:szCs w:val="24"/>
          <w:lang w:eastAsia="en-GB"/>
        </w:rPr>
      </w:pPr>
      <w:r w:rsidRPr="008B2CB8">
        <w:rPr>
          <w:rFonts w:cs="Arial"/>
          <w:b/>
          <w:sz w:val="24"/>
          <w:szCs w:val="24"/>
          <w:lang w:eastAsia="en-GB"/>
        </w:rPr>
        <w:t>the UK Parliament clarify the definition of “communication” in Section 20 of RIPA as a matter of urgency and ensure the levels of authorisations required are appropriate to the protection needed.</w:t>
      </w:r>
    </w:p>
    <w:p w:rsidR="002B6091" w:rsidRPr="00554EAF" w:rsidRDefault="002B6091" w:rsidP="002B6091">
      <w:pPr>
        <w:ind w:left="360"/>
        <w:rPr>
          <w:b/>
          <w:sz w:val="24"/>
          <w:szCs w:val="24"/>
        </w:rPr>
      </w:pPr>
      <w:r w:rsidRPr="00554EAF">
        <w:rPr>
          <w:b/>
          <w:sz w:val="24"/>
          <w:szCs w:val="24"/>
        </w:rPr>
        <w:t xml:space="preserve">Question A: </w:t>
      </w:r>
      <w:r w:rsidRPr="00D30961">
        <w:rPr>
          <w:rFonts w:cs="Arial"/>
          <w:b/>
          <w:sz w:val="24"/>
          <w:szCs w:val="24"/>
        </w:rPr>
        <w:t>How does the UK Government propose to address (and to what timetable), the following:</w:t>
      </w:r>
    </w:p>
    <w:p w:rsidR="002B6091" w:rsidRPr="00554EAF" w:rsidRDefault="002B6091" w:rsidP="002B6091">
      <w:pPr>
        <w:pStyle w:val="ListParagraph"/>
        <w:numPr>
          <w:ilvl w:val="1"/>
          <w:numId w:val="98"/>
        </w:numPr>
        <w:rPr>
          <w:b/>
          <w:sz w:val="24"/>
          <w:szCs w:val="24"/>
        </w:rPr>
      </w:pPr>
      <w:r w:rsidRPr="00D30961">
        <w:rPr>
          <w:rFonts w:cs="Arial"/>
          <w:b/>
          <w:sz w:val="24"/>
          <w:szCs w:val="24"/>
        </w:rPr>
        <w:t xml:space="preserve">loose definitions of ‘communication’ in Section 20 of RIPA; </w:t>
      </w:r>
    </w:p>
    <w:p w:rsidR="002B6091" w:rsidRPr="00554EAF" w:rsidRDefault="002B6091" w:rsidP="002B6091">
      <w:pPr>
        <w:pStyle w:val="ListParagraph"/>
        <w:numPr>
          <w:ilvl w:val="1"/>
          <w:numId w:val="98"/>
        </w:numPr>
        <w:rPr>
          <w:b/>
          <w:sz w:val="24"/>
          <w:szCs w:val="24"/>
        </w:rPr>
      </w:pPr>
      <w:r w:rsidRPr="00D30961">
        <w:rPr>
          <w:rFonts w:cs="Arial"/>
          <w:b/>
          <w:sz w:val="24"/>
          <w:szCs w:val="24"/>
        </w:rPr>
        <w:t xml:space="preserve">the appropriate levels of authorisation to safeguard human rights in the use of RIPA surveillance powers; </w:t>
      </w:r>
    </w:p>
    <w:p w:rsidR="002B6091" w:rsidRPr="00554EAF" w:rsidRDefault="002B6091" w:rsidP="002B6091">
      <w:pPr>
        <w:pStyle w:val="ListParagraph"/>
        <w:numPr>
          <w:ilvl w:val="1"/>
          <w:numId w:val="98"/>
        </w:numPr>
        <w:rPr>
          <w:b/>
          <w:sz w:val="24"/>
          <w:szCs w:val="24"/>
        </w:rPr>
      </w:pPr>
      <w:r w:rsidRPr="00D30961">
        <w:rPr>
          <w:rFonts w:cs="Arial"/>
          <w:b/>
          <w:sz w:val="24"/>
          <w:szCs w:val="24"/>
        </w:rPr>
        <w:t>the complexity of the oversight mechanisms; and</w:t>
      </w:r>
    </w:p>
    <w:p w:rsidR="002B6091" w:rsidRPr="00554EAF" w:rsidRDefault="002B6091" w:rsidP="002B6091">
      <w:pPr>
        <w:pStyle w:val="ListParagraph"/>
        <w:numPr>
          <w:ilvl w:val="1"/>
          <w:numId w:val="98"/>
        </w:numPr>
        <w:rPr>
          <w:b/>
          <w:sz w:val="24"/>
          <w:szCs w:val="24"/>
        </w:rPr>
      </w:pPr>
      <w:proofErr w:type="gramStart"/>
      <w:r w:rsidRPr="00D30961">
        <w:rPr>
          <w:rFonts w:cs="Arial"/>
          <w:b/>
          <w:sz w:val="24"/>
          <w:szCs w:val="24"/>
        </w:rPr>
        <w:t>the</w:t>
      </w:r>
      <w:proofErr w:type="gramEnd"/>
      <w:r w:rsidRPr="00D30961">
        <w:rPr>
          <w:rFonts w:cs="Arial"/>
          <w:b/>
          <w:sz w:val="24"/>
          <w:szCs w:val="24"/>
        </w:rPr>
        <w:t xml:space="preserve"> need for greater judicial oversight.</w:t>
      </w:r>
    </w:p>
    <w:p w:rsidR="002B6091" w:rsidRPr="00D30961" w:rsidRDefault="002B6091" w:rsidP="002B6091">
      <w:pPr>
        <w:pStyle w:val="ListParagraph"/>
        <w:ind w:left="1440"/>
        <w:rPr>
          <w:rFonts w:cs="Arial"/>
          <w:b/>
          <w:sz w:val="24"/>
          <w:szCs w:val="24"/>
        </w:rPr>
      </w:pPr>
    </w:p>
    <w:p w:rsidR="002B6091" w:rsidRPr="00554EAF" w:rsidRDefault="002B6091" w:rsidP="002B6091">
      <w:pPr>
        <w:pStyle w:val="ListParagraph"/>
        <w:ind w:left="360"/>
        <w:rPr>
          <w:b/>
          <w:sz w:val="24"/>
          <w:szCs w:val="24"/>
        </w:rPr>
      </w:pPr>
      <w:r w:rsidRPr="00554EAF">
        <w:rPr>
          <w:rFonts w:cs="Arial"/>
          <w:b/>
          <w:sz w:val="24"/>
          <w:szCs w:val="24"/>
        </w:rPr>
        <w:t>Question B:</w:t>
      </w:r>
      <w:r w:rsidRPr="00D30961">
        <w:rPr>
          <w:rFonts w:cs="Arial"/>
          <w:b/>
          <w:sz w:val="24"/>
          <w:szCs w:val="24"/>
        </w:rPr>
        <w:t xml:space="preserve"> How can the UK Government reassure itself and the public that surveillance powers under RIPA are not being used in a discriminatory way?</w:t>
      </w:r>
    </w:p>
    <w:p w:rsidR="002B6091" w:rsidRPr="00553F23" w:rsidRDefault="002B6091" w:rsidP="002B6091">
      <w:pPr>
        <w:pStyle w:val="Heading2"/>
        <w:numPr>
          <w:ilvl w:val="0"/>
          <w:numId w:val="23"/>
        </w:numPr>
        <w:rPr>
          <w:sz w:val="24"/>
          <w:szCs w:val="24"/>
        </w:rPr>
      </w:pPr>
      <w:bookmarkStart w:id="104" w:name="_Toc420603231"/>
      <w:bookmarkStart w:id="105" w:name="_Toc420603322"/>
      <w:r w:rsidRPr="008B2CB8">
        <w:rPr>
          <w:sz w:val="24"/>
          <w:szCs w:val="24"/>
        </w:rPr>
        <w:lastRenderedPageBreak/>
        <w:t>Prisoner Voting Rights (Article 25)</w:t>
      </w:r>
      <w:r w:rsidRPr="008B2CB8">
        <w:rPr>
          <w:rStyle w:val="FootnoteReference"/>
          <w:sz w:val="24"/>
          <w:szCs w:val="24"/>
        </w:rPr>
        <w:footnoteReference w:id="450"/>
      </w:r>
      <w:bookmarkEnd w:id="104"/>
      <w:bookmarkEnd w:id="105"/>
    </w:p>
    <w:p w:rsidR="002B6091" w:rsidRPr="008B2CB8" w:rsidRDefault="002B6091" w:rsidP="002B6091">
      <w:pPr>
        <w:pStyle w:val="ListParagraph"/>
        <w:spacing w:after="0"/>
        <w:ind w:left="0"/>
        <w:rPr>
          <w:sz w:val="24"/>
          <w:szCs w:val="24"/>
        </w:rPr>
      </w:pPr>
      <w:r w:rsidRPr="008B2CB8">
        <w:rPr>
          <w:sz w:val="24"/>
          <w:szCs w:val="24"/>
        </w:rPr>
        <w:t>Currently, prisoners serving a custodial sentence in the UK do not have the right to vote; while those who are on remand are able to vote according to the Representation of the People Act 2000.</w:t>
      </w:r>
      <w:r w:rsidRPr="008B2CB8">
        <w:rPr>
          <w:rStyle w:val="FootnoteReference"/>
          <w:sz w:val="24"/>
          <w:szCs w:val="24"/>
        </w:rPr>
        <w:footnoteReference w:id="451"/>
      </w:r>
    </w:p>
    <w:p w:rsidR="002B6091" w:rsidRPr="008B2CB8" w:rsidRDefault="002B6091" w:rsidP="002B6091">
      <w:pPr>
        <w:pStyle w:val="ListParagraph"/>
        <w:spacing w:after="0"/>
        <w:ind w:left="0"/>
        <w:rPr>
          <w:sz w:val="24"/>
          <w:szCs w:val="24"/>
        </w:rPr>
      </w:pPr>
    </w:p>
    <w:p w:rsidR="002B6091" w:rsidRPr="008B2CB8" w:rsidRDefault="002B6091" w:rsidP="002B6091">
      <w:pPr>
        <w:pStyle w:val="ListParagraph"/>
        <w:spacing w:after="0"/>
        <w:ind w:left="0"/>
        <w:rPr>
          <w:sz w:val="24"/>
          <w:szCs w:val="24"/>
        </w:rPr>
      </w:pPr>
      <w:r w:rsidRPr="008B2CB8">
        <w:rPr>
          <w:sz w:val="24"/>
          <w:szCs w:val="24"/>
        </w:rPr>
        <w:t xml:space="preserve">The Grand Chamber of the European Court of Human Rights’ judgment in the </w:t>
      </w:r>
      <w:proofErr w:type="spellStart"/>
      <w:r w:rsidRPr="008B2CB8">
        <w:rPr>
          <w:sz w:val="24"/>
          <w:szCs w:val="24"/>
        </w:rPr>
        <w:t>Scoppola</w:t>
      </w:r>
      <w:proofErr w:type="spellEnd"/>
      <w:r w:rsidRPr="008B2CB8">
        <w:rPr>
          <w:sz w:val="24"/>
          <w:szCs w:val="24"/>
        </w:rPr>
        <w:t xml:space="preserve"> case</w:t>
      </w:r>
      <w:r w:rsidRPr="008B2CB8">
        <w:rPr>
          <w:rStyle w:val="FootnoteReference"/>
          <w:sz w:val="24"/>
          <w:szCs w:val="24"/>
        </w:rPr>
        <w:footnoteReference w:id="452"/>
      </w:r>
      <w:r w:rsidRPr="008B2CB8">
        <w:rPr>
          <w:sz w:val="24"/>
          <w:szCs w:val="24"/>
        </w:rPr>
        <w:t xml:space="preserve"> confirmed the outcome of Hirst (</w:t>
      </w:r>
      <w:r>
        <w:rPr>
          <w:sz w:val="24"/>
          <w:szCs w:val="24"/>
        </w:rPr>
        <w:t>N</w:t>
      </w:r>
      <w:r w:rsidRPr="008B2CB8">
        <w:rPr>
          <w:sz w:val="24"/>
          <w:szCs w:val="24"/>
        </w:rPr>
        <w:t>o 2)</w:t>
      </w:r>
      <w:r w:rsidRPr="008B2CB8">
        <w:rPr>
          <w:rStyle w:val="FootnoteReference"/>
          <w:sz w:val="24"/>
          <w:szCs w:val="24"/>
        </w:rPr>
        <w:footnoteReference w:id="453"/>
      </w:r>
      <w:r w:rsidRPr="008B2CB8">
        <w:rPr>
          <w:sz w:val="24"/>
          <w:szCs w:val="24"/>
        </w:rPr>
        <w:t xml:space="preserve"> that a general and automatic disenfranchisement of all serving prisoners was incompatible with Article 3 of Protocol No 1 of the ECHR, but accepted the UK Government’s argument that member states should have a wide discretion in how they regulate a ban on prisoners voting. The judgment meant the UK Government had to bring forward proposals to amend its legislation by the end of 2012. </w:t>
      </w:r>
    </w:p>
    <w:p w:rsidR="002B6091" w:rsidRPr="008B2CB8" w:rsidRDefault="002B6091" w:rsidP="002B6091">
      <w:pPr>
        <w:pStyle w:val="ListParagraph"/>
        <w:spacing w:after="0"/>
        <w:ind w:left="0"/>
        <w:rPr>
          <w:sz w:val="24"/>
          <w:szCs w:val="24"/>
        </w:rPr>
      </w:pPr>
    </w:p>
    <w:p w:rsidR="002B6091" w:rsidRPr="008B2CB8" w:rsidRDefault="002B6091" w:rsidP="002B6091">
      <w:pPr>
        <w:pStyle w:val="ListParagraph"/>
        <w:spacing w:after="0"/>
        <w:ind w:left="0"/>
        <w:rPr>
          <w:sz w:val="24"/>
          <w:szCs w:val="24"/>
        </w:rPr>
      </w:pPr>
      <w:r w:rsidRPr="008B2CB8">
        <w:rPr>
          <w:sz w:val="24"/>
          <w:szCs w:val="24"/>
        </w:rPr>
        <w:t>On 22 November 2012 the UK Government published the Voting Eligibility (Prisoners) Draft Bill</w:t>
      </w:r>
      <w:r w:rsidRPr="008B2CB8">
        <w:rPr>
          <w:rStyle w:val="FootnoteReference"/>
          <w:sz w:val="24"/>
          <w:szCs w:val="24"/>
        </w:rPr>
        <w:footnoteReference w:id="454"/>
      </w:r>
      <w:r w:rsidRPr="008B2CB8">
        <w:rPr>
          <w:sz w:val="24"/>
          <w:szCs w:val="24"/>
        </w:rPr>
        <w:t>, for pre-legislative scrutiny by a Joint Committee of both Houses. The EHRC advised the Committee that only implementation of the Hirst (</w:t>
      </w:r>
      <w:r>
        <w:rPr>
          <w:sz w:val="24"/>
          <w:szCs w:val="24"/>
        </w:rPr>
        <w:t>N</w:t>
      </w:r>
      <w:r w:rsidRPr="008B2CB8">
        <w:rPr>
          <w:sz w:val="24"/>
          <w:szCs w:val="24"/>
        </w:rPr>
        <w:t xml:space="preserve">o 2) and </w:t>
      </w:r>
      <w:r>
        <w:rPr>
          <w:sz w:val="24"/>
          <w:szCs w:val="24"/>
        </w:rPr>
        <w:t xml:space="preserve">the </w:t>
      </w:r>
      <w:r w:rsidRPr="008B2CB8">
        <w:rPr>
          <w:sz w:val="24"/>
          <w:szCs w:val="24"/>
        </w:rPr>
        <w:t>Greens</w:t>
      </w:r>
      <w:r w:rsidRPr="008B2CB8">
        <w:rPr>
          <w:rStyle w:val="FootnoteReference"/>
          <w:sz w:val="24"/>
          <w:szCs w:val="24"/>
        </w:rPr>
        <w:footnoteReference w:id="455"/>
      </w:r>
      <w:r w:rsidRPr="008B2CB8">
        <w:rPr>
          <w:sz w:val="24"/>
          <w:szCs w:val="24"/>
        </w:rPr>
        <w:t xml:space="preserve"> judgments would prevent further legal claims before the </w:t>
      </w:r>
      <w:proofErr w:type="spellStart"/>
      <w:r w:rsidRPr="008B2CB8">
        <w:rPr>
          <w:sz w:val="24"/>
          <w:szCs w:val="24"/>
        </w:rPr>
        <w:t>ECtHR</w:t>
      </w:r>
      <w:proofErr w:type="spellEnd"/>
      <w:r w:rsidRPr="008B2CB8">
        <w:rPr>
          <w:sz w:val="24"/>
          <w:szCs w:val="24"/>
        </w:rPr>
        <w:t>.</w:t>
      </w:r>
      <w:r w:rsidRPr="008B2CB8">
        <w:rPr>
          <w:rStyle w:val="FootnoteReference"/>
          <w:sz w:val="24"/>
          <w:szCs w:val="24"/>
        </w:rPr>
        <w:footnoteReference w:id="456"/>
      </w:r>
      <w:r w:rsidRPr="008B2CB8">
        <w:rPr>
          <w:sz w:val="24"/>
          <w:szCs w:val="24"/>
        </w:rPr>
        <w:t xml:space="preserve"> The Committee published its report on 18 December 2013 and recommended that the UK Government should introduce legislation to allow all prisoners serving sentences of 12 months or less to vote in all UK Parliamentary, local and European elections.</w:t>
      </w:r>
      <w:r w:rsidRPr="008B2CB8">
        <w:rPr>
          <w:rStyle w:val="FootnoteReference"/>
          <w:sz w:val="24"/>
          <w:szCs w:val="24"/>
        </w:rPr>
        <w:footnoteReference w:id="457"/>
      </w:r>
      <w:r w:rsidRPr="008B2CB8">
        <w:rPr>
          <w:sz w:val="24"/>
          <w:szCs w:val="24"/>
        </w:rPr>
        <w:t xml:space="preserve"> </w:t>
      </w:r>
    </w:p>
    <w:p w:rsidR="002B6091" w:rsidRPr="008B2CB8" w:rsidRDefault="002B6091" w:rsidP="002B6091">
      <w:pPr>
        <w:pStyle w:val="ListParagraph"/>
        <w:spacing w:after="0"/>
        <w:ind w:left="0"/>
        <w:rPr>
          <w:sz w:val="24"/>
          <w:szCs w:val="24"/>
        </w:rPr>
      </w:pPr>
    </w:p>
    <w:p w:rsidR="002B6091" w:rsidRPr="008B2CB8" w:rsidRDefault="002B6091" w:rsidP="002B6091">
      <w:pPr>
        <w:pStyle w:val="ListParagraph"/>
        <w:spacing w:after="0"/>
        <w:ind w:left="0"/>
        <w:rPr>
          <w:sz w:val="24"/>
          <w:szCs w:val="24"/>
        </w:rPr>
      </w:pPr>
      <w:r w:rsidRPr="008B2CB8">
        <w:rPr>
          <w:sz w:val="24"/>
          <w:szCs w:val="24"/>
        </w:rPr>
        <w:t xml:space="preserve">The Lord Chancellor and Justice Secretary </w:t>
      </w:r>
      <w:r>
        <w:rPr>
          <w:sz w:val="24"/>
          <w:szCs w:val="24"/>
        </w:rPr>
        <w:t>wrote to the Committee</w:t>
      </w:r>
      <w:r w:rsidRPr="008B2CB8">
        <w:rPr>
          <w:sz w:val="24"/>
          <w:szCs w:val="24"/>
        </w:rPr>
        <w:t xml:space="preserve"> on 25 February 2014, confirming the issue is under “active consideration</w:t>
      </w:r>
      <w:r>
        <w:rPr>
          <w:sz w:val="24"/>
          <w:szCs w:val="24"/>
        </w:rPr>
        <w:t>.</w:t>
      </w:r>
      <w:r w:rsidRPr="008B2CB8">
        <w:rPr>
          <w:sz w:val="24"/>
          <w:szCs w:val="24"/>
        </w:rPr>
        <w:t>”</w:t>
      </w:r>
      <w:r w:rsidRPr="008B2CB8">
        <w:rPr>
          <w:rStyle w:val="FootnoteReference"/>
          <w:sz w:val="24"/>
          <w:szCs w:val="24"/>
        </w:rPr>
        <w:footnoteReference w:id="458"/>
      </w:r>
      <w:r w:rsidRPr="008B2CB8">
        <w:rPr>
          <w:sz w:val="24"/>
          <w:szCs w:val="24"/>
        </w:rPr>
        <w:t xml:space="preserve"> </w:t>
      </w:r>
      <w:r>
        <w:rPr>
          <w:sz w:val="24"/>
          <w:szCs w:val="24"/>
        </w:rPr>
        <w:t>T</w:t>
      </w:r>
      <w:r w:rsidRPr="008B2CB8">
        <w:rPr>
          <w:sz w:val="24"/>
          <w:szCs w:val="24"/>
        </w:rPr>
        <w:t xml:space="preserve">he UK Government </w:t>
      </w:r>
      <w:r>
        <w:rPr>
          <w:sz w:val="24"/>
          <w:szCs w:val="24"/>
        </w:rPr>
        <w:t>has not yet</w:t>
      </w:r>
      <w:r w:rsidRPr="008B2CB8">
        <w:rPr>
          <w:sz w:val="24"/>
          <w:szCs w:val="24"/>
        </w:rPr>
        <w:t xml:space="preserve"> included it in its legislative programme for 2014-15.</w:t>
      </w:r>
      <w:r w:rsidRPr="008B2CB8">
        <w:rPr>
          <w:rStyle w:val="FootnoteReference"/>
          <w:sz w:val="24"/>
          <w:szCs w:val="24"/>
        </w:rPr>
        <w:footnoteReference w:id="459"/>
      </w:r>
    </w:p>
    <w:p w:rsidR="002B6091" w:rsidRPr="008B2CB8" w:rsidRDefault="002B6091" w:rsidP="002B6091">
      <w:pPr>
        <w:pStyle w:val="ListParagraph"/>
        <w:spacing w:after="0"/>
        <w:ind w:left="0"/>
        <w:rPr>
          <w:sz w:val="24"/>
          <w:szCs w:val="24"/>
        </w:rPr>
      </w:pPr>
    </w:p>
    <w:p w:rsidR="002B6091" w:rsidRPr="008B2CB8" w:rsidRDefault="002B6091" w:rsidP="002B6091">
      <w:pPr>
        <w:pStyle w:val="ListParagraph"/>
        <w:spacing w:after="0"/>
        <w:ind w:left="0"/>
        <w:rPr>
          <w:b/>
          <w:sz w:val="24"/>
          <w:szCs w:val="24"/>
        </w:rPr>
      </w:pPr>
      <w:r w:rsidRPr="008B2CB8">
        <w:rPr>
          <w:b/>
          <w:sz w:val="24"/>
          <w:szCs w:val="24"/>
        </w:rPr>
        <w:lastRenderedPageBreak/>
        <w:t>Conclusion: The UK Government is yet to implement the HRC’s 2008 recommendation,</w:t>
      </w:r>
      <w:r w:rsidRPr="008B2CB8">
        <w:rPr>
          <w:rStyle w:val="FootnoteReference"/>
          <w:b/>
          <w:sz w:val="24"/>
          <w:szCs w:val="24"/>
        </w:rPr>
        <w:footnoteReference w:id="460"/>
      </w:r>
      <w:r w:rsidRPr="008B2CB8">
        <w:rPr>
          <w:b/>
          <w:sz w:val="24"/>
          <w:szCs w:val="24"/>
        </w:rPr>
        <w:t xml:space="preserve"> and may still not meet the requirements of Article 3 of Protocol No 1 of the ECHR, or article 10, paragraph 3, when read in conjunction with article 25 of ICCPR. </w:t>
      </w:r>
    </w:p>
    <w:p w:rsidR="002B6091" w:rsidRPr="008B2CB8" w:rsidRDefault="002B6091" w:rsidP="002B6091">
      <w:pPr>
        <w:pStyle w:val="ListParagraph"/>
        <w:spacing w:after="0"/>
        <w:ind w:left="0"/>
        <w:rPr>
          <w:b/>
          <w:sz w:val="24"/>
          <w:szCs w:val="24"/>
        </w:rPr>
      </w:pPr>
    </w:p>
    <w:p w:rsidR="002B6091" w:rsidRPr="007516A1" w:rsidRDefault="002B6091" w:rsidP="002B6091">
      <w:pPr>
        <w:pStyle w:val="ListParagraph"/>
        <w:spacing w:after="0"/>
        <w:ind w:left="0"/>
        <w:rPr>
          <w:b/>
          <w:sz w:val="24"/>
          <w:szCs w:val="24"/>
        </w:rPr>
      </w:pPr>
      <w:r w:rsidRPr="008B2CB8">
        <w:rPr>
          <w:b/>
          <w:sz w:val="24"/>
          <w:szCs w:val="24"/>
        </w:rPr>
        <w:t xml:space="preserve">Question A: What plans does the UK Government have to bring forward legislation to implement the judgment in the </w:t>
      </w:r>
      <w:proofErr w:type="spellStart"/>
      <w:r w:rsidRPr="008B2CB8">
        <w:rPr>
          <w:b/>
          <w:sz w:val="24"/>
          <w:szCs w:val="24"/>
        </w:rPr>
        <w:t>Scoppola</w:t>
      </w:r>
      <w:proofErr w:type="spellEnd"/>
      <w:r w:rsidRPr="008B2CB8">
        <w:rPr>
          <w:b/>
          <w:sz w:val="24"/>
          <w:szCs w:val="24"/>
        </w:rPr>
        <w:t xml:space="preserve"> case, (and in doing so the recommendation of the Joint Committee on the Voting Eligibility (Prisoners) Draft Bill), and ensure compliance with the requirements of Protocol No 1 of the ECHR and ICCPR, particularly given there is a General Election in 2015?</w:t>
      </w:r>
    </w:p>
    <w:p w:rsidR="002B6091" w:rsidRPr="007516A1" w:rsidRDefault="002B6091" w:rsidP="002B6091">
      <w:pPr>
        <w:pStyle w:val="Heading1"/>
        <w:numPr>
          <w:ilvl w:val="0"/>
          <w:numId w:val="104"/>
        </w:numPr>
        <w:rPr>
          <w:sz w:val="24"/>
          <w:szCs w:val="24"/>
        </w:rPr>
      </w:pPr>
      <w:bookmarkStart w:id="106" w:name="_Toc420603232"/>
      <w:bookmarkStart w:id="107" w:name="_Toc420603323"/>
      <w:r w:rsidRPr="008B2CB8">
        <w:rPr>
          <w:sz w:val="24"/>
          <w:szCs w:val="24"/>
        </w:rPr>
        <w:t>Physical Security</w:t>
      </w:r>
      <w:bookmarkEnd w:id="106"/>
      <w:bookmarkEnd w:id="107"/>
    </w:p>
    <w:p w:rsidR="002B6091" w:rsidRPr="008B2CB8" w:rsidRDefault="002B6091" w:rsidP="002B6091">
      <w:pPr>
        <w:pStyle w:val="Heading2"/>
        <w:numPr>
          <w:ilvl w:val="0"/>
          <w:numId w:val="105"/>
        </w:numPr>
        <w:rPr>
          <w:sz w:val="24"/>
          <w:szCs w:val="24"/>
        </w:rPr>
      </w:pPr>
      <w:bookmarkStart w:id="108" w:name="_Toc420603233"/>
      <w:bookmarkStart w:id="109" w:name="_Toc420603324"/>
      <w:r w:rsidRPr="008B2CB8">
        <w:rPr>
          <w:sz w:val="24"/>
          <w:szCs w:val="24"/>
        </w:rPr>
        <w:t>Prohibition of torture and cruel, inhuman or degrading treatment (Article 7)</w:t>
      </w:r>
      <w:r w:rsidRPr="008B2CB8">
        <w:rPr>
          <w:rStyle w:val="FootnoteReference"/>
          <w:sz w:val="24"/>
          <w:szCs w:val="24"/>
        </w:rPr>
        <w:footnoteReference w:id="461"/>
      </w:r>
      <w:bookmarkEnd w:id="108"/>
      <w:bookmarkEnd w:id="109"/>
    </w:p>
    <w:p w:rsidR="002B6091" w:rsidRPr="008B2CB8" w:rsidRDefault="002B6091" w:rsidP="002B6091">
      <w:pPr>
        <w:pStyle w:val="Heading2"/>
        <w:numPr>
          <w:ilvl w:val="0"/>
          <w:numId w:val="66"/>
        </w:numPr>
        <w:ind w:left="360"/>
        <w:rPr>
          <w:sz w:val="24"/>
          <w:szCs w:val="24"/>
        </w:rPr>
      </w:pPr>
      <w:bookmarkStart w:id="110" w:name="_Toc420603234"/>
      <w:bookmarkStart w:id="111" w:name="_Toc420603325"/>
      <w:r w:rsidRPr="008B2CB8">
        <w:rPr>
          <w:sz w:val="24"/>
          <w:szCs w:val="24"/>
        </w:rPr>
        <w:t>Investigations into alleged UK complicity in torture</w:t>
      </w:r>
      <w:bookmarkEnd w:id="110"/>
      <w:bookmarkEnd w:id="111"/>
    </w:p>
    <w:p w:rsidR="002B6091" w:rsidRPr="008B2CB8" w:rsidRDefault="002B6091" w:rsidP="002B6091">
      <w:pPr>
        <w:rPr>
          <w:sz w:val="24"/>
          <w:szCs w:val="24"/>
        </w:rPr>
      </w:pPr>
      <w:r w:rsidRPr="008B2CB8">
        <w:rPr>
          <w:sz w:val="24"/>
          <w:szCs w:val="24"/>
        </w:rPr>
        <w:t>A number of UN</w:t>
      </w:r>
      <w:r w:rsidRPr="008B2CB8">
        <w:rPr>
          <w:rStyle w:val="FootnoteReference"/>
          <w:sz w:val="24"/>
          <w:szCs w:val="24"/>
        </w:rPr>
        <w:footnoteReference w:id="462"/>
      </w:r>
      <w:r w:rsidRPr="008B2CB8">
        <w:rPr>
          <w:sz w:val="24"/>
          <w:szCs w:val="24"/>
        </w:rPr>
        <w:t xml:space="preserve"> and UK bodies</w:t>
      </w:r>
      <w:r w:rsidRPr="008B2CB8">
        <w:rPr>
          <w:rStyle w:val="FootnoteReference"/>
          <w:sz w:val="24"/>
          <w:szCs w:val="24"/>
        </w:rPr>
        <w:footnoteReference w:id="463"/>
      </w:r>
      <w:r w:rsidRPr="008B2CB8">
        <w:rPr>
          <w:sz w:val="24"/>
          <w:szCs w:val="24"/>
        </w:rPr>
        <w:t xml:space="preserve"> including the EHRC</w:t>
      </w:r>
      <w:r w:rsidRPr="008B2CB8">
        <w:rPr>
          <w:rStyle w:val="FootnoteReference"/>
          <w:sz w:val="24"/>
          <w:szCs w:val="24"/>
        </w:rPr>
        <w:footnoteReference w:id="464"/>
      </w:r>
      <w:r w:rsidRPr="008B2CB8">
        <w:rPr>
          <w:sz w:val="24"/>
          <w:szCs w:val="24"/>
        </w:rPr>
        <w:t xml:space="preserve"> have raised concerns about the alleged complicity of British security and secret intelligence services in the ill-treatment of prisoners and civilians in overseas counter-terrorism operations in the aftermath of the 9/11 attacks on the United States of America. These allegations concern those held in the Guantanamo Bay detention facility and in Afghanistan, Egypt, Pakistan, Libya and Uganda. </w:t>
      </w:r>
    </w:p>
    <w:p w:rsidR="002B6091" w:rsidRPr="008B2CB8" w:rsidRDefault="002B6091" w:rsidP="002B6091">
      <w:pPr>
        <w:rPr>
          <w:sz w:val="24"/>
          <w:szCs w:val="24"/>
        </w:rPr>
      </w:pPr>
      <w:r w:rsidRPr="008B2CB8">
        <w:rPr>
          <w:sz w:val="24"/>
          <w:szCs w:val="24"/>
        </w:rPr>
        <w:t>In 2010, the Prime Minister delivered a statement</w:t>
      </w:r>
      <w:r w:rsidRPr="008B2CB8">
        <w:rPr>
          <w:rStyle w:val="FootnoteReference"/>
          <w:sz w:val="24"/>
          <w:szCs w:val="24"/>
        </w:rPr>
        <w:footnoteReference w:id="465"/>
      </w:r>
      <w:r w:rsidRPr="008B2CB8">
        <w:rPr>
          <w:sz w:val="24"/>
          <w:szCs w:val="24"/>
        </w:rPr>
        <w:t xml:space="preserve"> to the UK Parliament to “try and draw a line under the serious allegations that had been made about the role the UK </w:t>
      </w:r>
      <w:r w:rsidRPr="008B2CB8">
        <w:rPr>
          <w:sz w:val="24"/>
          <w:szCs w:val="24"/>
        </w:rPr>
        <w:lastRenderedPageBreak/>
        <w:t>has played in the treatment of detainees held by other countries.”</w:t>
      </w:r>
      <w:r w:rsidRPr="008B2CB8">
        <w:rPr>
          <w:rStyle w:val="FootnoteReference"/>
          <w:sz w:val="24"/>
          <w:szCs w:val="24"/>
        </w:rPr>
        <w:footnoteReference w:id="466"/>
      </w:r>
      <w:r w:rsidRPr="008B2CB8">
        <w:rPr>
          <w:sz w:val="24"/>
          <w:szCs w:val="24"/>
        </w:rPr>
        <w:t xml:space="preserve"> He announced that Sir Peter Gibson would chair an independent inquiry to examine “whether Britain was implicated in the improper treatment of detainees, held by other countries, which may have occurred in the aftermath of 9/11.”</w:t>
      </w:r>
      <w:r w:rsidRPr="008B2CB8">
        <w:rPr>
          <w:rStyle w:val="FootnoteReference"/>
          <w:sz w:val="24"/>
          <w:szCs w:val="24"/>
        </w:rPr>
        <w:footnoteReference w:id="467"/>
      </w:r>
      <w:r w:rsidRPr="008B2CB8">
        <w:rPr>
          <w:sz w:val="24"/>
          <w:szCs w:val="24"/>
        </w:rPr>
        <w:t xml:space="preserve"> </w:t>
      </w:r>
    </w:p>
    <w:p w:rsidR="002B6091" w:rsidRPr="008B2CB8" w:rsidRDefault="002B6091" w:rsidP="002B6091">
      <w:pPr>
        <w:rPr>
          <w:sz w:val="24"/>
          <w:szCs w:val="24"/>
        </w:rPr>
      </w:pPr>
      <w:r w:rsidRPr="008B2CB8">
        <w:rPr>
          <w:sz w:val="24"/>
          <w:szCs w:val="24"/>
        </w:rPr>
        <w:t>The EHRC raised concerns with the UK Government about the terms of reference of the inquiry.</w:t>
      </w:r>
      <w:r w:rsidRPr="008B2CB8">
        <w:rPr>
          <w:rStyle w:val="FootnoteReference"/>
          <w:sz w:val="24"/>
          <w:szCs w:val="24"/>
        </w:rPr>
        <w:footnoteReference w:id="468"/>
      </w:r>
      <w:r w:rsidRPr="008B2CB8">
        <w:rPr>
          <w:sz w:val="24"/>
          <w:szCs w:val="24"/>
        </w:rPr>
        <w:t xml:space="preserve"> We also urged Sir Peter Gibson and the UK Government to ensure the investigation was compliant with its international human rights obligations.</w:t>
      </w:r>
      <w:r w:rsidRPr="008B2CB8">
        <w:rPr>
          <w:rStyle w:val="FootnoteReference"/>
          <w:sz w:val="24"/>
          <w:szCs w:val="24"/>
        </w:rPr>
        <w:footnoteReference w:id="469"/>
      </w:r>
      <w:r w:rsidRPr="008B2CB8">
        <w:rPr>
          <w:sz w:val="24"/>
          <w:szCs w:val="24"/>
        </w:rPr>
        <w:t xml:space="preserve"> Lawyers acting for former detainees and 10 non-governmental organisations indicated they would not participate in the inquiry, believing that the terms of reference and protocols would not establish </w:t>
      </w:r>
      <w:r>
        <w:rPr>
          <w:sz w:val="24"/>
          <w:szCs w:val="24"/>
        </w:rPr>
        <w:t xml:space="preserve">the </w:t>
      </w:r>
      <w:r w:rsidRPr="008B2CB8">
        <w:rPr>
          <w:sz w:val="24"/>
          <w:szCs w:val="24"/>
        </w:rPr>
        <w:t>truth of the allegations, or prevent the abuses from happening again.</w:t>
      </w:r>
      <w:r w:rsidRPr="008B2CB8">
        <w:rPr>
          <w:rStyle w:val="FootnoteReference"/>
          <w:sz w:val="24"/>
          <w:szCs w:val="24"/>
        </w:rPr>
        <w:footnoteReference w:id="470"/>
      </w:r>
    </w:p>
    <w:p w:rsidR="002B6091" w:rsidRPr="008B2CB8" w:rsidRDefault="002B6091" w:rsidP="002B6091">
      <w:pPr>
        <w:rPr>
          <w:sz w:val="24"/>
          <w:szCs w:val="24"/>
        </w:rPr>
      </w:pPr>
      <w:r w:rsidRPr="008B2CB8">
        <w:rPr>
          <w:sz w:val="24"/>
          <w:szCs w:val="24"/>
        </w:rPr>
        <w:t>The UK Government decided to conclude the inquiry in January 2012,</w:t>
      </w:r>
      <w:r w:rsidRPr="008B2CB8">
        <w:rPr>
          <w:rStyle w:val="FootnoteReference"/>
          <w:sz w:val="24"/>
          <w:szCs w:val="24"/>
        </w:rPr>
        <w:footnoteReference w:id="471"/>
      </w:r>
      <w:r w:rsidRPr="008B2CB8">
        <w:rPr>
          <w:sz w:val="24"/>
          <w:szCs w:val="24"/>
        </w:rPr>
        <w:t xml:space="preserve"> before it had formally launched, due to the commencement of criminal investigations into the rendition of individuals to Libya.</w:t>
      </w:r>
      <w:r w:rsidRPr="008B2CB8">
        <w:rPr>
          <w:rStyle w:val="FootnoteReference"/>
          <w:sz w:val="24"/>
          <w:szCs w:val="24"/>
        </w:rPr>
        <w:footnoteReference w:id="472"/>
      </w:r>
      <w:r w:rsidRPr="008B2CB8">
        <w:rPr>
          <w:sz w:val="24"/>
          <w:szCs w:val="24"/>
        </w:rPr>
        <w:t xml:space="preserve"> A report of the preparatory work undertaken by the Detainee Inquiry was subsequently published, which highlights eight issues where further detailed investigation is required.</w:t>
      </w:r>
      <w:r w:rsidRPr="008B2CB8">
        <w:rPr>
          <w:rStyle w:val="FootnoteReference"/>
          <w:sz w:val="24"/>
          <w:szCs w:val="24"/>
        </w:rPr>
        <w:footnoteReference w:id="473"/>
      </w:r>
    </w:p>
    <w:p w:rsidR="002B6091" w:rsidRPr="008B2CB8" w:rsidRDefault="002B6091" w:rsidP="002B6091">
      <w:pPr>
        <w:rPr>
          <w:sz w:val="24"/>
          <w:szCs w:val="24"/>
        </w:rPr>
      </w:pPr>
      <w:r w:rsidRPr="008B2CB8">
        <w:rPr>
          <w:sz w:val="24"/>
          <w:szCs w:val="24"/>
        </w:rPr>
        <w:t xml:space="preserve">Despite committing itself to another independent, judge-led inquiry once the criminal investigations had concluded, the UK Government subsequently referred the matter to the ISC to: </w:t>
      </w:r>
    </w:p>
    <w:p w:rsidR="002B6091" w:rsidRPr="008B2CB8" w:rsidRDefault="002B6091" w:rsidP="002B6091">
      <w:pPr>
        <w:pStyle w:val="ListParagraph"/>
        <w:numPr>
          <w:ilvl w:val="0"/>
          <w:numId w:val="102"/>
        </w:numPr>
        <w:rPr>
          <w:sz w:val="24"/>
          <w:szCs w:val="24"/>
        </w:rPr>
      </w:pPr>
      <w:r w:rsidRPr="008B2CB8">
        <w:rPr>
          <w:sz w:val="24"/>
          <w:szCs w:val="24"/>
        </w:rPr>
        <w:t xml:space="preserve">inquire into the eight issues raised by the Detainee Inquiry; </w:t>
      </w:r>
    </w:p>
    <w:p w:rsidR="002B6091" w:rsidRPr="008B2CB8" w:rsidRDefault="002B6091" w:rsidP="002B6091">
      <w:pPr>
        <w:pStyle w:val="ListParagraph"/>
        <w:numPr>
          <w:ilvl w:val="0"/>
          <w:numId w:val="102"/>
        </w:numPr>
        <w:rPr>
          <w:sz w:val="24"/>
          <w:szCs w:val="24"/>
        </w:rPr>
      </w:pPr>
      <w:r w:rsidRPr="008B2CB8">
        <w:rPr>
          <w:sz w:val="24"/>
          <w:szCs w:val="24"/>
        </w:rPr>
        <w:t xml:space="preserve">take further evidence; and </w:t>
      </w:r>
    </w:p>
    <w:p w:rsidR="002B6091" w:rsidRPr="008B2CB8" w:rsidRDefault="002B6091" w:rsidP="002B6091">
      <w:pPr>
        <w:pStyle w:val="ListParagraph"/>
        <w:numPr>
          <w:ilvl w:val="0"/>
          <w:numId w:val="102"/>
        </w:numPr>
        <w:rPr>
          <w:sz w:val="24"/>
          <w:szCs w:val="24"/>
        </w:rPr>
      </w:pPr>
      <w:proofErr w:type="gramStart"/>
      <w:r w:rsidRPr="008B2CB8">
        <w:rPr>
          <w:sz w:val="24"/>
          <w:szCs w:val="24"/>
        </w:rPr>
        <w:t>report</w:t>
      </w:r>
      <w:proofErr w:type="gramEnd"/>
      <w:r w:rsidRPr="008B2CB8">
        <w:rPr>
          <w:sz w:val="24"/>
          <w:szCs w:val="24"/>
        </w:rPr>
        <w:t xml:space="preserve"> to the UK Government and Parliament on the outcome of its inquiry.</w:t>
      </w:r>
      <w:r w:rsidRPr="008B2CB8">
        <w:rPr>
          <w:rStyle w:val="FootnoteReference"/>
          <w:sz w:val="24"/>
          <w:szCs w:val="24"/>
        </w:rPr>
        <w:footnoteReference w:id="474"/>
      </w:r>
      <w:r w:rsidRPr="008B2CB8">
        <w:rPr>
          <w:sz w:val="24"/>
          <w:szCs w:val="24"/>
        </w:rPr>
        <w:t xml:space="preserve"> </w:t>
      </w:r>
    </w:p>
    <w:p w:rsidR="002B6091" w:rsidRPr="008B2CB8" w:rsidRDefault="002B6091" w:rsidP="002B6091">
      <w:pPr>
        <w:rPr>
          <w:sz w:val="24"/>
          <w:szCs w:val="24"/>
        </w:rPr>
      </w:pPr>
      <w:r w:rsidRPr="008B2CB8">
        <w:rPr>
          <w:sz w:val="24"/>
          <w:szCs w:val="24"/>
        </w:rPr>
        <w:lastRenderedPageBreak/>
        <w:t xml:space="preserve">The UK Government will then consider whether a public inquiry is still warranted. The EHRC and </w:t>
      </w:r>
      <w:r>
        <w:rPr>
          <w:sz w:val="24"/>
          <w:szCs w:val="24"/>
        </w:rPr>
        <w:t xml:space="preserve">the Committee </w:t>
      </w:r>
      <w:proofErr w:type="gramStart"/>
      <w:r>
        <w:rPr>
          <w:sz w:val="24"/>
          <w:szCs w:val="24"/>
        </w:rPr>
        <w:t>Against</w:t>
      </w:r>
      <w:proofErr w:type="gramEnd"/>
      <w:r>
        <w:rPr>
          <w:sz w:val="24"/>
          <w:szCs w:val="24"/>
        </w:rPr>
        <w:t xml:space="preserve"> Torture (</w:t>
      </w:r>
      <w:r w:rsidRPr="008B2CB8">
        <w:rPr>
          <w:sz w:val="24"/>
          <w:szCs w:val="24"/>
        </w:rPr>
        <w:t>CAT</w:t>
      </w:r>
      <w:r>
        <w:rPr>
          <w:sz w:val="24"/>
          <w:szCs w:val="24"/>
        </w:rPr>
        <w:t>)</w:t>
      </w:r>
      <w:r w:rsidRPr="008B2CB8">
        <w:rPr>
          <w:sz w:val="24"/>
          <w:szCs w:val="24"/>
        </w:rPr>
        <w:t xml:space="preserve"> have recommended that the originally promised independent, judge-led inquiry is required to reaffirm the UK’s reputation for strict adherence to international human rights standards.</w:t>
      </w:r>
      <w:r w:rsidRPr="008B2CB8">
        <w:rPr>
          <w:rStyle w:val="FootnoteReference"/>
          <w:sz w:val="24"/>
          <w:szCs w:val="24"/>
        </w:rPr>
        <w:footnoteReference w:id="475"/>
      </w:r>
    </w:p>
    <w:p w:rsidR="002B6091" w:rsidRPr="008B2CB8" w:rsidRDefault="002B6091" w:rsidP="002B6091">
      <w:pPr>
        <w:pStyle w:val="Heading2"/>
        <w:numPr>
          <w:ilvl w:val="0"/>
          <w:numId w:val="66"/>
        </w:numPr>
        <w:ind w:left="360"/>
        <w:rPr>
          <w:sz w:val="24"/>
          <w:szCs w:val="24"/>
        </w:rPr>
      </w:pPr>
      <w:bookmarkStart w:id="112" w:name="_Toc420603235"/>
      <w:bookmarkStart w:id="113" w:name="_Toc420603326"/>
      <w:r w:rsidRPr="008B2CB8">
        <w:rPr>
          <w:sz w:val="24"/>
          <w:szCs w:val="24"/>
        </w:rPr>
        <w:t>Extraordinary Renditions</w:t>
      </w:r>
      <w:bookmarkEnd w:id="112"/>
      <w:bookmarkEnd w:id="113"/>
    </w:p>
    <w:p w:rsidR="002B6091" w:rsidRPr="008B2CB8" w:rsidRDefault="002B6091" w:rsidP="002B6091">
      <w:pPr>
        <w:rPr>
          <w:sz w:val="24"/>
          <w:szCs w:val="24"/>
        </w:rPr>
      </w:pPr>
      <w:r w:rsidRPr="008B2CB8">
        <w:rPr>
          <w:sz w:val="24"/>
          <w:szCs w:val="24"/>
        </w:rPr>
        <w:t>In advance of, and subsequent to, the HRC’s 2008 recommendation for the State Party to investigate such allegations,</w:t>
      </w:r>
      <w:r w:rsidRPr="008B2CB8">
        <w:rPr>
          <w:rStyle w:val="FootnoteReference"/>
          <w:sz w:val="24"/>
          <w:szCs w:val="24"/>
        </w:rPr>
        <w:footnoteReference w:id="476"/>
      </w:r>
      <w:r w:rsidRPr="008B2CB8">
        <w:rPr>
          <w:sz w:val="24"/>
          <w:szCs w:val="24"/>
        </w:rPr>
        <w:t xml:space="preserve"> the UK Government has accepted that its airspace and territory had been used for the extraordinary rendition of individuals to other states, such as Afghanistan, where there would have been substantial grounds for believing the individual would be at risk of torture or ill treatment.</w:t>
      </w:r>
      <w:r w:rsidRPr="008B2CB8">
        <w:rPr>
          <w:rStyle w:val="FootnoteReference"/>
          <w:sz w:val="24"/>
          <w:szCs w:val="24"/>
        </w:rPr>
        <w:footnoteReference w:id="477"/>
      </w:r>
      <w:r w:rsidRPr="008B2CB8">
        <w:rPr>
          <w:sz w:val="24"/>
          <w:szCs w:val="24"/>
        </w:rPr>
        <w:t xml:space="preserve"> The UK Government has also admitted that civil servants and relevant Senior Ministers were aware of some of these transfers and should have challenged their compliance with international human rights obligations them at the time.</w:t>
      </w:r>
      <w:r w:rsidRPr="008B2CB8">
        <w:rPr>
          <w:rStyle w:val="FootnoteReference"/>
          <w:sz w:val="24"/>
          <w:szCs w:val="24"/>
        </w:rPr>
        <w:footnoteReference w:id="478"/>
      </w:r>
      <w:r w:rsidRPr="008B2CB8">
        <w:rPr>
          <w:sz w:val="24"/>
          <w:szCs w:val="24"/>
        </w:rPr>
        <w:t xml:space="preserve"> </w:t>
      </w:r>
    </w:p>
    <w:p w:rsidR="002B6091" w:rsidRPr="008B2CB8" w:rsidRDefault="002B6091" w:rsidP="002B6091">
      <w:pPr>
        <w:pStyle w:val="Heading2"/>
        <w:numPr>
          <w:ilvl w:val="0"/>
          <w:numId w:val="66"/>
        </w:numPr>
        <w:ind w:left="360"/>
        <w:rPr>
          <w:sz w:val="24"/>
          <w:szCs w:val="24"/>
        </w:rPr>
      </w:pPr>
      <w:bookmarkStart w:id="114" w:name="_Toc420603236"/>
      <w:bookmarkStart w:id="115" w:name="_Toc420603327"/>
      <w:r w:rsidRPr="008B2CB8">
        <w:rPr>
          <w:sz w:val="24"/>
          <w:szCs w:val="24"/>
        </w:rPr>
        <w:t>Investigations into the mistreatment of detainees in Iraq</w:t>
      </w:r>
      <w:bookmarkEnd w:id="114"/>
      <w:bookmarkEnd w:id="115"/>
      <w:r w:rsidRPr="008B2CB8">
        <w:rPr>
          <w:sz w:val="24"/>
          <w:szCs w:val="24"/>
        </w:rPr>
        <w:t xml:space="preserve"> </w:t>
      </w:r>
    </w:p>
    <w:p w:rsidR="002B6091" w:rsidRPr="008B2CB8" w:rsidRDefault="002B6091" w:rsidP="002B6091">
      <w:pPr>
        <w:rPr>
          <w:sz w:val="24"/>
          <w:szCs w:val="24"/>
        </w:rPr>
      </w:pPr>
      <w:r w:rsidRPr="008B2CB8">
        <w:rPr>
          <w:sz w:val="24"/>
          <w:szCs w:val="24"/>
        </w:rPr>
        <w:t>As well as the HRC</w:t>
      </w:r>
      <w:r w:rsidRPr="008B2CB8">
        <w:rPr>
          <w:rStyle w:val="FootnoteReference"/>
          <w:sz w:val="24"/>
          <w:szCs w:val="24"/>
        </w:rPr>
        <w:footnoteReference w:id="479"/>
      </w:r>
      <w:r w:rsidRPr="008B2CB8">
        <w:rPr>
          <w:sz w:val="24"/>
          <w:szCs w:val="24"/>
        </w:rPr>
        <w:t xml:space="preserve"> a number of other bodies, including CAT,</w:t>
      </w:r>
      <w:r w:rsidRPr="008B2CB8">
        <w:rPr>
          <w:rStyle w:val="FootnoteReference"/>
          <w:sz w:val="24"/>
          <w:szCs w:val="24"/>
        </w:rPr>
        <w:footnoteReference w:id="480"/>
      </w:r>
      <w:r w:rsidRPr="008B2CB8">
        <w:rPr>
          <w:sz w:val="24"/>
          <w:szCs w:val="24"/>
        </w:rPr>
        <w:t xml:space="preserve"> have raised concerns about allegations of British military personnel involvement in the torture and ill-treatment of civilians and detainees in Iraq. The UK Government accepts that some of these allegations are credible and has established the Iraq Historic Allegations Team (IHAT) in 2010, which is currently investigating at least 169 different allegations, from a total of around 1,000 allegations.</w:t>
      </w:r>
      <w:r w:rsidRPr="008B2CB8">
        <w:rPr>
          <w:rStyle w:val="FootnoteReference"/>
          <w:sz w:val="24"/>
          <w:szCs w:val="24"/>
        </w:rPr>
        <w:footnoteReference w:id="481"/>
      </w:r>
      <w:r w:rsidRPr="008B2CB8">
        <w:rPr>
          <w:sz w:val="24"/>
          <w:szCs w:val="24"/>
        </w:rPr>
        <w:t xml:space="preserve"> These allegations have been described by a senior judge as those “of the most serious kind, involving murder, manslaughter, the wilful infliction of serious bodily injury, sexual indignities, cruel, inhuman and degrading treatment and large scale violation of international humanitarian law.”</w:t>
      </w:r>
      <w:r w:rsidRPr="008B2CB8">
        <w:rPr>
          <w:rStyle w:val="FootnoteReference"/>
          <w:sz w:val="24"/>
          <w:szCs w:val="24"/>
        </w:rPr>
        <w:footnoteReference w:id="482"/>
      </w:r>
      <w:r w:rsidRPr="008B2CB8">
        <w:rPr>
          <w:sz w:val="24"/>
          <w:szCs w:val="24"/>
        </w:rPr>
        <w:t xml:space="preserve"> Specifically, detainees were:</w:t>
      </w:r>
    </w:p>
    <w:p w:rsidR="002B6091" w:rsidRPr="008B2CB8" w:rsidRDefault="002B6091" w:rsidP="002B6091">
      <w:pPr>
        <w:pStyle w:val="ListParagraph"/>
        <w:numPr>
          <w:ilvl w:val="0"/>
          <w:numId w:val="67"/>
        </w:numPr>
        <w:rPr>
          <w:sz w:val="24"/>
          <w:szCs w:val="24"/>
        </w:rPr>
      </w:pPr>
      <w:r w:rsidRPr="008B2CB8">
        <w:rPr>
          <w:sz w:val="24"/>
          <w:szCs w:val="24"/>
        </w:rPr>
        <w:lastRenderedPageBreak/>
        <w:t>starved, sleep-deprived; and subject to sensory deprivation;</w:t>
      </w:r>
    </w:p>
    <w:p w:rsidR="002B6091" w:rsidRPr="008B2CB8" w:rsidRDefault="002B6091" w:rsidP="002B6091">
      <w:pPr>
        <w:pStyle w:val="ListParagraph"/>
        <w:numPr>
          <w:ilvl w:val="0"/>
          <w:numId w:val="67"/>
        </w:numPr>
        <w:rPr>
          <w:sz w:val="24"/>
          <w:szCs w:val="24"/>
        </w:rPr>
      </w:pPr>
      <w:r w:rsidRPr="008B2CB8">
        <w:rPr>
          <w:sz w:val="24"/>
          <w:szCs w:val="24"/>
        </w:rPr>
        <w:t>threatened with execution;</w:t>
      </w:r>
    </w:p>
    <w:p w:rsidR="002B6091" w:rsidRPr="008B2CB8" w:rsidRDefault="002B6091" w:rsidP="002B6091">
      <w:pPr>
        <w:pStyle w:val="ListParagraph"/>
        <w:numPr>
          <w:ilvl w:val="0"/>
          <w:numId w:val="67"/>
        </w:numPr>
        <w:rPr>
          <w:sz w:val="24"/>
          <w:szCs w:val="24"/>
        </w:rPr>
      </w:pPr>
      <w:r w:rsidRPr="008B2CB8">
        <w:rPr>
          <w:sz w:val="24"/>
          <w:szCs w:val="24"/>
        </w:rPr>
        <w:t>beaten, forced to adopt “stress positions” (standing up with knees bent and arms outstretched) for up to 30 hours at a time, and subjected to electric shocks;</w:t>
      </w:r>
    </w:p>
    <w:p w:rsidR="002B6091" w:rsidRPr="008B2CB8" w:rsidRDefault="002B6091" w:rsidP="002B6091">
      <w:pPr>
        <w:pStyle w:val="ListParagraph"/>
        <w:numPr>
          <w:ilvl w:val="0"/>
          <w:numId w:val="67"/>
        </w:numPr>
        <w:rPr>
          <w:sz w:val="24"/>
          <w:szCs w:val="24"/>
        </w:rPr>
      </w:pPr>
      <w:r w:rsidRPr="008B2CB8">
        <w:rPr>
          <w:sz w:val="24"/>
          <w:szCs w:val="24"/>
        </w:rPr>
        <w:t>subject to sexual humiliation by female soldiers; and</w:t>
      </w:r>
    </w:p>
    <w:p w:rsidR="002B6091" w:rsidRPr="008B2CB8" w:rsidRDefault="002B6091" w:rsidP="002B6091">
      <w:pPr>
        <w:pStyle w:val="ListParagraph"/>
        <w:numPr>
          <w:ilvl w:val="0"/>
          <w:numId w:val="67"/>
        </w:numPr>
        <w:rPr>
          <w:sz w:val="24"/>
          <w:szCs w:val="24"/>
        </w:rPr>
      </w:pPr>
      <w:proofErr w:type="gramStart"/>
      <w:r w:rsidRPr="008B2CB8">
        <w:rPr>
          <w:sz w:val="24"/>
          <w:szCs w:val="24"/>
        </w:rPr>
        <w:t>held</w:t>
      </w:r>
      <w:proofErr w:type="gramEnd"/>
      <w:r w:rsidRPr="008B2CB8">
        <w:rPr>
          <w:sz w:val="24"/>
          <w:szCs w:val="24"/>
        </w:rPr>
        <w:t xml:space="preserve"> for days in cells as small as one square metre.</w:t>
      </w:r>
    </w:p>
    <w:p w:rsidR="002B6091" w:rsidRPr="008B2CB8" w:rsidRDefault="002B6091" w:rsidP="002B6091">
      <w:pPr>
        <w:rPr>
          <w:sz w:val="24"/>
          <w:szCs w:val="24"/>
        </w:rPr>
      </w:pPr>
      <w:r w:rsidRPr="008B2CB8">
        <w:rPr>
          <w:sz w:val="24"/>
          <w:szCs w:val="24"/>
        </w:rPr>
        <w:t xml:space="preserve">The Baha </w:t>
      </w:r>
      <w:proofErr w:type="spellStart"/>
      <w:r w:rsidRPr="008B2CB8">
        <w:rPr>
          <w:sz w:val="24"/>
          <w:szCs w:val="24"/>
        </w:rPr>
        <w:t>Mousa</w:t>
      </w:r>
      <w:proofErr w:type="spellEnd"/>
      <w:r w:rsidRPr="008B2CB8">
        <w:rPr>
          <w:sz w:val="24"/>
          <w:szCs w:val="24"/>
        </w:rPr>
        <w:t xml:space="preserve"> Inquiry</w:t>
      </w:r>
      <w:r w:rsidRPr="008B2CB8">
        <w:rPr>
          <w:rStyle w:val="FootnoteReference"/>
          <w:sz w:val="24"/>
          <w:szCs w:val="24"/>
        </w:rPr>
        <w:footnoteReference w:id="483"/>
      </w:r>
      <w:r w:rsidRPr="008B2CB8">
        <w:rPr>
          <w:sz w:val="24"/>
          <w:szCs w:val="24"/>
        </w:rPr>
        <w:t xml:space="preserve"> (into the death of an Iraqi civilian while in British army custody in Basra in 2003), found that prisoners were:</w:t>
      </w:r>
    </w:p>
    <w:p w:rsidR="002B6091" w:rsidRPr="008B2CB8" w:rsidRDefault="002B6091" w:rsidP="002B6091">
      <w:pPr>
        <w:pStyle w:val="ListParagraph"/>
        <w:numPr>
          <w:ilvl w:val="0"/>
          <w:numId w:val="68"/>
        </w:numPr>
        <w:rPr>
          <w:sz w:val="24"/>
          <w:szCs w:val="24"/>
        </w:rPr>
      </w:pPr>
      <w:r w:rsidRPr="008B2CB8">
        <w:rPr>
          <w:sz w:val="24"/>
          <w:szCs w:val="24"/>
        </w:rPr>
        <w:t>hooded with hessian sacks and handcuffed;</w:t>
      </w:r>
    </w:p>
    <w:p w:rsidR="002B6091" w:rsidRPr="008B2CB8" w:rsidRDefault="002B6091" w:rsidP="002B6091">
      <w:pPr>
        <w:pStyle w:val="ListParagraph"/>
        <w:numPr>
          <w:ilvl w:val="0"/>
          <w:numId w:val="68"/>
        </w:numPr>
        <w:rPr>
          <w:sz w:val="24"/>
          <w:szCs w:val="24"/>
        </w:rPr>
      </w:pPr>
      <w:r w:rsidRPr="008B2CB8">
        <w:rPr>
          <w:sz w:val="24"/>
          <w:szCs w:val="24"/>
        </w:rPr>
        <w:t>forced to adopt “stress positions”</w:t>
      </w:r>
      <w:r>
        <w:rPr>
          <w:sz w:val="24"/>
          <w:szCs w:val="24"/>
        </w:rPr>
        <w:t>;</w:t>
      </w:r>
      <w:r w:rsidRPr="008B2CB8">
        <w:rPr>
          <w:sz w:val="24"/>
          <w:szCs w:val="24"/>
        </w:rPr>
        <w:t xml:space="preserve"> </w:t>
      </w:r>
    </w:p>
    <w:p w:rsidR="002B6091" w:rsidRPr="008B2CB8" w:rsidRDefault="002B6091" w:rsidP="002B6091">
      <w:pPr>
        <w:pStyle w:val="ListParagraph"/>
        <w:numPr>
          <w:ilvl w:val="0"/>
          <w:numId w:val="68"/>
        </w:numPr>
        <w:rPr>
          <w:sz w:val="24"/>
          <w:szCs w:val="24"/>
        </w:rPr>
      </w:pPr>
      <w:r w:rsidRPr="008B2CB8">
        <w:rPr>
          <w:sz w:val="24"/>
          <w:szCs w:val="24"/>
        </w:rPr>
        <w:t>sleep-deprived;</w:t>
      </w:r>
    </w:p>
    <w:p w:rsidR="002B6091" w:rsidRPr="008B2CB8" w:rsidRDefault="002B6091" w:rsidP="002B6091">
      <w:pPr>
        <w:pStyle w:val="ListParagraph"/>
        <w:numPr>
          <w:ilvl w:val="0"/>
          <w:numId w:val="68"/>
        </w:numPr>
        <w:rPr>
          <w:sz w:val="24"/>
          <w:szCs w:val="24"/>
        </w:rPr>
      </w:pPr>
      <w:proofErr w:type="gramStart"/>
      <w:r w:rsidRPr="008B2CB8">
        <w:rPr>
          <w:sz w:val="24"/>
          <w:szCs w:val="24"/>
        </w:rPr>
        <w:t>beaten</w:t>
      </w:r>
      <w:proofErr w:type="gramEnd"/>
      <w:r w:rsidRPr="008B2CB8">
        <w:rPr>
          <w:sz w:val="24"/>
          <w:szCs w:val="24"/>
        </w:rPr>
        <w:t xml:space="preserve"> and kicked as part of “conditioning” for subsequent “tactical questioning by military officers.”</w:t>
      </w:r>
      <w:r w:rsidRPr="008B2CB8">
        <w:rPr>
          <w:rStyle w:val="FootnoteReference"/>
          <w:sz w:val="24"/>
          <w:szCs w:val="24"/>
        </w:rPr>
        <w:footnoteReference w:id="484"/>
      </w:r>
    </w:p>
    <w:p w:rsidR="002B6091" w:rsidRPr="008B2CB8" w:rsidRDefault="002B6091" w:rsidP="002B6091">
      <w:pPr>
        <w:rPr>
          <w:sz w:val="24"/>
          <w:szCs w:val="24"/>
        </w:rPr>
      </w:pPr>
      <w:r w:rsidRPr="008B2CB8">
        <w:rPr>
          <w:sz w:val="24"/>
          <w:szCs w:val="24"/>
        </w:rPr>
        <w:t xml:space="preserve">A post-mortem found that Baha </w:t>
      </w:r>
      <w:proofErr w:type="spellStart"/>
      <w:r w:rsidRPr="008B2CB8">
        <w:rPr>
          <w:sz w:val="24"/>
          <w:szCs w:val="24"/>
        </w:rPr>
        <w:t>Mousa</w:t>
      </w:r>
      <w:proofErr w:type="spellEnd"/>
      <w:r w:rsidRPr="008B2CB8">
        <w:rPr>
          <w:sz w:val="24"/>
          <w:szCs w:val="24"/>
        </w:rPr>
        <w:t xml:space="preserve"> suffered at least 93 injuries, including fractured ribs and a broken nose, which were, “in part” the cause of his death. In 2007, a court martial found Corporal Donald Payne guilty of inhumane treatment and sentenced him to one year in prison.</w:t>
      </w:r>
      <w:r w:rsidRPr="008B2CB8">
        <w:rPr>
          <w:rStyle w:val="FootnoteReference"/>
          <w:sz w:val="24"/>
          <w:szCs w:val="24"/>
        </w:rPr>
        <w:footnoteReference w:id="485"/>
      </w:r>
    </w:p>
    <w:p w:rsidR="002B6091" w:rsidRPr="008B2CB8" w:rsidRDefault="002B6091" w:rsidP="002B6091">
      <w:pPr>
        <w:rPr>
          <w:sz w:val="24"/>
          <w:szCs w:val="24"/>
        </w:rPr>
      </w:pPr>
      <w:r w:rsidRPr="008B2CB8">
        <w:rPr>
          <w:sz w:val="24"/>
          <w:szCs w:val="24"/>
        </w:rPr>
        <w:t>The Al-</w:t>
      </w:r>
      <w:proofErr w:type="spellStart"/>
      <w:r w:rsidRPr="008B2CB8">
        <w:rPr>
          <w:sz w:val="24"/>
          <w:szCs w:val="24"/>
        </w:rPr>
        <w:t>Sweady</w:t>
      </w:r>
      <w:proofErr w:type="spellEnd"/>
      <w:r w:rsidRPr="008B2CB8">
        <w:rPr>
          <w:sz w:val="24"/>
          <w:szCs w:val="24"/>
        </w:rPr>
        <w:t xml:space="preserve"> Public Inquiry</w:t>
      </w:r>
      <w:r w:rsidRPr="008B2CB8">
        <w:rPr>
          <w:rStyle w:val="FootnoteReference"/>
          <w:sz w:val="24"/>
          <w:szCs w:val="24"/>
        </w:rPr>
        <w:footnoteReference w:id="486"/>
      </w:r>
      <w:r w:rsidRPr="008B2CB8">
        <w:rPr>
          <w:sz w:val="24"/>
          <w:szCs w:val="24"/>
        </w:rPr>
        <w:t xml:space="preserve"> was established to investigate allegations that British soldiers unlawfully killed and ill-treated Iraqi nationals detained at Camp Abu </w:t>
      </w:r>
      <w:proofErr w:type="spellStart"/>
      <w:r w:rsidRPr="008B2CB8">
        <w:rPr>
          <w:sz w:val="24"/>
          <w:szCs w:val="24"/>
        </w:rPr>
        <w:t>Naji</w:t>
      </w:r>
      <w:proofErr w:type="spellEnd"/>
      <w:r w:rsidRPr="008B2CB8">
        <w:rPr>
          <w:sz w:val="24"/>
          <w:szCs w:val="24"/>
        </w:rPr>
        <w:t xml:space="preserve"> and, subsequently, the divisional temporary detention facility at </w:t>
      </w:r>
      <w:proofErr w:type="spellStart"/>
      <w:r w:rsidRPr="008B2CB8">
        <w:rPr>
          <w:sz w:val="24"/>
          <w:szCs w:val="24"/>
        </w:rPr>
        <w:t>Shaibah</w:t>
      </w:r>
      <w:proofErr w:type="spellEnd"/>
      <w:r w:rsidRPr="008B2CB8">
        <w:rPr>
          <w:sz w:val="24"/>
          <w:szCs w:val="24"/>
        </w:rPr>
        <w:t xml:space="preserve"> Logistics Base, after the so-called Battle of Danny Boy. Lawyers for the Iraqi core participants have agreed that there is insufficient evidence to submit that anyone was unlawfully killed. However, the allegations of mistreatment remain, and the Inquiry report is currently being written.</w:t>
      </w:r>
    </w:p>
    <w:p w:rsidR="002B6091" w:rsidRPr="008B2CB8" w:rsidRDefault="002B6091" w:rsidP="002B6091">
      <w:pPr>
        <w:rPr>
          <w:sz w:val="24"/>
          <w:szCs w:val="24"/>
        </w:rPr>
      </w:pPr>
      <w:r w:rsidRPr="008B2CB8">
        <w:rPr>
          <w:sz w:val="24"/>
          <w:szCs w:val="24"/>
        </w:rPr>
        <w:t>Regrettably, the progress in investigating all of these allegations has been very slow. The IHAT has only completed investigations into eight cases, and has ordered only one fine against a British soldier.</w:t>
      </w:r>
      <w:r w:rsidRPr="008B2CB8">
        <w:rPr>
          <w:rStyle w:val="FootnoteReference"/>
          <w:sz w:val="24"/>
          <w:szCs w:val="24"/>
        </w:rPr>
        <w:footnoteReference w:id="487"/>
      </w:r>
      <w:r w:rsidRPr="008B2CB8">
        <w:rPr>
          <w:sz w:val="24"/>
          <w:szCs w:val="24"/>
        </w:rPr>
        <w:t xml:space="preserve"> The EHRC does not believe this is consistent with the prompt investigative duty under Articles 2 and 3 of the ECHR, (as confirmed by the European Court of Human Rights in its Al </w:t>
      </w:r>
      <w:proofErr w:type="spellStart"/>
      <w:r w:rsidRPr="008B2CB8">
        <w:rPr>
          <w:sz w:val="24"/>
          <w:szCs w:val="24"/>
        </w:rPr>
        <w:t>Skeini</w:t>
      </w:r>
      <w:proofErr w:type="spellEnd"/>
      <w:r w:rsidRPr="008B2CB8">
        <w:rPr>
          <w:sz w:val="24"/>
          <w:szCs w:val="24"/>
        </w:rPr>
        <w:t xml:space="preserve"> judgment</w:t>
      </w:r>
      <w:r w:rsidRPr="008B2CB8">
        <w:rPr>
          <w:rStyle w:val="FootnoteReference"/>
          <w:sz w:val="24"/>
          <w:szCs w:val="24"/>
        </w:rPr>
        <w:footnoteReference w:id="488"/>
      </w:r>
      <w:r w:rsidRPr="008B2CB8">
        <w:rPr>
          <w:sz w:val="24"/>
          <w:szCs w:val="24"/>
        </w:rPr>
        <w:t xml:space="preserve">) and the UK </w:t>
      </w:r>
      <w:r w:rsidRPr="008B2CB8">
        <w:rPr>
          <w:sz w:val="24"/>
          <w:szCs w:val="24"/>
        </w:rPr>
        <w:lastRenderedPageBreak/>
        <w:t xml:space="preserve">Government’s obligations under Article 12 of the UN Convention </w:t>
      </w:r>
      <w:proofErr w:type="gramStart"/>
      <w:r w:rsidRPr="008B2CB8">
        <w:rPr>
          <w:sz w:val="24"/>
          <w:szCs w:val="24"/>
        </w:rPr>
        <w:t>Against</w:t>
      </w:r>
      <w:proofErr w:type="gramEnd"/>
      <w:r w:rsidRPr="008B2CB8">
        <w:rPr>
          <w:sz w:val="24"/>
          <w:szCs w:val="24"/>
        </w:rPr>
        <w:t xml:space="preserve"> Torture.</w:t>
      </w:r>
      <w:r w:rsidRPr="008B2CB8">
        <w:rPr>
          <w:rStyle w:val="FootnoteReference"/>
          <w:sz w:val="24"/>
          <w:szCs w:val="24"/>
        </w:rPr>
        <w:footnoteReference w:id="489"/>
      </w:r>
      <w:r w:rsidRPr="008B2CB8">
        <w:rPr>
          <w:sz w:val="24"/>
          <w:szCs w:val="24"/>
        </w:rPr>
        <w:t xml:space="preserve"> The Al </w:t>
      </w:r>
      <w:proofErr w:type="spellStart"/>
      <w:r w:rsidRPr="008B2CB8">
        <w:rPr>
          <w:sz w:val="24"/>
          <w:szCs w:val="24"/>
        </w:rPr>
        <w:t>Skeini</w:t>
      </w:r>
      <w:proofErr w:type="spellEnd"/>
      <w:r w:rsidRPr="008B2CB8">
        <w:rPr>
          <w:sz w:val="24"/>
          <w:szCs w:val="24"/>
        </w:rPr>
        <w:t xml:space="preserve"> judgment also confirmed that this duty applies to alleged incidents that take place out</w:t>
      </w:r>
      <w:r>
        <w:rPr>
          <w:sz w:val="24"/>
          <w:szCs w:val="24"/>
        </w:rPr>
        <w:t>-</w:t>
      </w:r>
      <w:r w:rsidRPr="008B2CB8">
        <w:rPr>
          <w:sz w:val="24"/>
          <w:szCs w:val="24"/>
        </w:rPr>
        <w:t>with British military bases abroad. In May 2013, the High Court ruled a different approach was required for cases that engage the investigative duty under Article 2 of the ECHR.</w:t>
      </w:r>
      <w:r w:rsidRPr="008B2CB8">
        <w:rPr>
          <w:rStyle w:val="FootnoteReference"/>
          <w:sz w:val="24"/>
          <w:szCs w:val="24"/>
        </w:rPr>
        <w:footnoteReference w:id="490"/>
      </w:r>
      <w:r w:rsidRPr="008B2CB8">
        <w:rPr>
          <w:sz w:val="24"/>
          <w:szCs w:val="24"/>
        </w:rPr>
        <w:t xml:space="preserve"> To date, eleven quasi-inquests have been ordered,</w:t>
      </w:r>
      <w:r w:rsidRPr="008B2CB8">
        <w:rPr>
          <w:rStyle w:val="FootnoteReference"/>
          <w:sz w:val="24"/>
          <w:szCs w:val="24"/>
        </w:rPr>
        <w:footnoteReference w:id="491"/>
      </w:r>
      <w:r w:rsidRPr="008B2CB8">
        <w:rPr>
          <w:sz w:val="24"/>
          <w:szCs w:val="24"/>
        </w:rPr>
        <w:t xml:space="preserve"> and guidelines have been set out by the Lord Chief Justice as to how those proceedings should be conducted.</w:t>
      </w:r>
      <w:r w:rsidRPr="008B2CB8">
        <w:rPr>
          <w:rStyle w:val="FootnoteReference"/>
          <w:sz w:val="24"/>
          <w:szCs w:val="24"/>
        </w:rPr>
        <w:footnoteReference w:id="492"/>
      </w:r>
    </w:p>
    <w:p w:rsidR="002B6091" w:rsidRPr="007516A1" w:rsidRDefault="002B6091" w:rsidP="002B6091">
      <w:pPr>
        <w:pStyle w:val="Heading2"/>
        <w:numPr>
          <w:ilvl w:val="0"/>
          <w:numId w:val="66"/>
        </w:numPr>
        <w:ind w:left="360"/>
        <w:rPr>
          <w:sz w:val="24"/>
          <w:szCs w:val="24"/>
          <w:lang w:val="en"/>
        </w:rPr>
      </w:pPr>
      <w:bookmarkStart w:id="116" w:name="_Toc420603237"/>
      <w:bookmarkStart w:id="117" w:name="_Toc420603328"/>
      <w:r w:rsidRPr="008B2CB8">
        <w:rPr>
          <w:sz w:val="24"/>
          <w:szCs w:val="24"/>
          <w:lang w:val="en"/>
        </w:rPr>
        <w:t>Use of Diplomatic Assurances</w:t>
      </w:r>
      <w:bookmarkEnd w:id="116"/>
      <w:bookmarkEnd w:id="117"/>
    </w:p>
    <w:p w:rsidR="002B6091" w:rsidRPr="008B2CB8" w:rsidRDefault="002B6091" w:rsidP="002B6091">
      <w:pPr>
        <w:rPr>
          <w:sz w:val="24"/>
          <w:szCs w:val="24"/>
          <w:lang w:val="en"/>
        </w:rPr>
      </w:pPr>
      <w:r w:rsidRPr="008B2CB8">
        <w:rPr>
          <w:sz w:val="24"/>
          <w:szCs w:val="24"/>
          <w:lang w:val="en"/>
        </w:rPr>
        <w:t>Despite repeated concerns from the HRC,</w:t>
      </w:r>
      <w:r w:rsidRPr="008B2CB8">
        <w:rPr>
          <w:rStyle w:val="FootnoteReference"/>
          <w:sz w:val="24"/>
          <w:szCs w:val="24"/>
          <w:lang w:val="en"/>
        </w:rPr>
        <w:footnoteReference w:id="493"/>
      </w:r>
      <w:r w:rsidRPr="008B2CB8">
        <w:rPr>
          <w:sz w:val="24"/>
          <w:szCs w:val="24"/>
          <w:lang w:val="en"/>
        </w:rPr>
        <w:t xml:space="preserve"> CAT,</w:t>
      </w:r>
      <w:r w:rsidRPr="008B2CB8">
        <w:rPr>
          <w:rStyle w:val="FootnoteReference"/>
          <w:sz w:val="24"/>
          <w:szCs w:val="24"/>
          <w:lang w:val="en"/>
        </w:rPr>
        <w:footnoteReference w:id="494"/>
      </w:r>
      <w:r w:rsidRPr="008B2CB8">
        <w:rPr>
          <w:sz w:val="24"/>
          <w:szCs w:val="24"/>
          <w:lang w:val="en"/>
        </w:rPr>
        <w:t xml:space="preserve"> and the Special Rapporteurs on Torture and Counter Terrorism and Human Rights</w:t>
      </w:r>
      <w:r w:rsidRPr="008B2CB8">
        <w:rPr>
          <w:rStyle w:val="FootnoteReference"/>
          <w:sz w:val="24"/>
          <w:szCs w:val="24"/>
          <w:lang w:val="en"/>
        </w:rPr>
        <w:footnoteReference w:id="495"/>
      </w:r>
      <w:r w:rsidRPr="008B2CB8">
        <w:rPr>
          <w:sz w:val="24"/>
          <w:szCs w:val="24"/>
          <w:lang w:val="en"/>
        </w:rPr>
        <w:t xml:space="preserve"> the UK Government continues to rely on memoranda of understanding and diplomatic assurances (in individual cases) to try to mitigate the risks of torture and other ill treatment that would otherwise prevent the transfer of people, in particular terrorist suspects, to other countries. For example, in 2012 the UK Government sought assurances from Jordan, through a memorandum of understanding, </w:t>
      </w:r>
      <w:r>
        <w:rPr>
          <w:sz w:val="24"/>
          <w:szCs w:val="24"/>
          <w:lang w:val="en"/>
        </w:rPr>
        <w:t xml:space="preserve">that </w:t>
      </w:r>
      <w:r w:rsidRPr="008B2CB8">
        <w:rPr>
          <w:sz w:val="24"/>
          <w:szCs w:val="24"/>
          <w:lang w:val="en"/>
        </w:rPr>
        <w:t>the terrorist suspect Abu Qatada would not be tortured and that he would receive a fair trial.</w:t>
      </w:r>
      <w:r w:rsidRPr="008B2CB8">
        <w:rPr>
          <w:rStyle w:val="FootnoteReference"/>
          <w:sz w:val="24"/>
          <w:szCs w:val="24"/>
          <w:lang w:val="en"/>
        </w:rPr>
        <w:footnoteReference w:id="496"/>
      </w:r>
    </w:p>
    <w:p w:rsidR="002B6091" w:rsidRPr="008B2CB8" w:rsidRDefault="002B6091" w:rsidP="002B6091">
      <w:pPr>
        <w:rPr>
          <w:sz w:val="24"/>
          <w:szCs w:val="24"/>
          <w:lang w:val="en"/>
        </w:rPr>
      </w:pPr>
      <w:r w:rsidRPr="008B2CB8">
        <w:rPr>
          <w:sz w:val="24"/>
          <w:szCs w:val="24"/>
          <w:lang w:val="en"/>
        </w:rPr>
        <w:t xml:space="preserve">In November 2013, the Home Secretary asked the Independent Reviewer of Terrorism Legislation to review the policy of deportation with assurances (DWA). In its response to that review, the EHRC stressed the need to address the underlying merits of the policy of DWA. We also stressed the need to review the compatibility with the UK’s international obligations of the policy, in general, and the minimum requirements that all specific assurances should meet. In particular, the EHRC considers that effective verification of assurances is essential if DWA are to offer adequate protection against ill-treatment, preferably in the context of both parties having ratified the Optional Protocol to the UN Convention </w:t>
      </w:r>
      <w:proofErr w:type="gramStart"/>
      <w:r w:rsidRPr="008B2CB8">
        <w:rPr>
          <w:sz w:val="24"/>
          <w:szCs w:val="24"/>
          <w:lang w:val="en"/>
        </w:rPr>
        <w:t>Against</w:t>
      </w:r>
      <w:proofErr w:type="gramEnd"/>
      <w:r w:rsidRPr="008B2CB8">
        <w:rPr>
          <w:sz w:val="24"/>
          <w:szCs w:val="24"/>
          <w:lang w:val="en"/>
        </w:rPr>
        <w:t xml:space="preserve"> Torture (OPCAT). Finally, the EHRC agrees with the House of Commons Foreign Affairs Committee that DWA arrangements are of such significant that the text of each future arrangement should be laid before Parliament and should not come into force before </w:t>
      </w:r>
      <w:r w:rsidRPr="008B2CB8">
        <w:rPr>
          <w:sz w:val="24"/>
          <w:szCs w:val="24"/>
          <w:lang w:val="en"/>
        </w:rPr>
        <w:lastRenderedPageBreak/>
        <w:t>14 sitting days have elapsed, during which time Members may signify any objection.</w:t>
      </w:r>
      <w:r w:rsidRPr="008B2CB8">
        <w:rPr>
          <w:rStyle w:val="FootnoteReference"/>
          <w:sz w:val="24"/>
          <w:szCs w:val="24"/>
          <w:lang w:val="en"/>
        </w:rPr>
        <w:footnoteReference w:id="497"/>
      </w:r>
    </w:p>
    <w:p w:rsidR="002B6091" w:rsidRPr="008B2CB8" w:rsidRDefault="002B6091" w:rsidP="002B6091">
      <w:pPr>
        <w:rPr>
          <w:b/>
          <w:sz w:val="24"/>
          <w:szCs w:val="24"/>
        </w:rPr>
      </w:pPr>
      <w:r w:rsidRPr="008B2CB8">
        <w:rPr>
          <w:b/>
          <w:sz w:val="24"/>
          <w:szCs w:val="24"/>
        </w:rPr>
        <w:t>Conclusion:</w:t>
      </w:r>
    </w:p>
    <w:p w:rsidR="002B6091" w:rsidRPr="007516A1" w:rsidRDefault="002B6091" w:rsidP="002B6091">
      <w:pPr>
        <w:rPr>
          <w:b/>
          <w:sz w:val="24"/>
          <w:szCs w:val="24"/>
        </w:rPr>
      </w:pPr>
      <w:r w:rsidRPr="008B2CB8">
        <w:rPr>
          <w:b/>
          <w:sz w:val="24"/>
          <w:szCs w:val="24"/>
        </w:rPr>
        <w:t>While the UK Government has accepted the credibility of a number of allegations of complicity of British military personnel, security and secret intelligence services in the ill-treatment of detainees overseas, its investigations into these allegations have not, to date, satisfied the investigative duty under Articles 2 and 3 of the ECHR.</w:t>
      </w:r>
      <w:r w:rsidR="008C67B4">
        <w:rPr>
          <w:b/>
          <w:sz w:val="24"/>
          <w:szCs w:val="24"/>
        </w:rPr>
        <w:t xml:space="preserve"> </w:t>
      </w:r>
      <w:r w:rsidRPr="008B2CB8">
        <w:rPr>
          <w:b/>
          <w:sz w:val="24"/>
          <w:szCs w:val="24"/>
        </w:rPr>
        <w:t>In addition, the UK Government is not yet taking sufficient steps to ensure it complies with its Article 3 obligations to individuals it transfers to other countries. The EHRC therefore considers a number of steps are required to improve the UK Government compliance with its international obligations, including:</w:t>
      </w:r>
    </w:p>
    <w:p w:rsidR="002B6091" w:rsidRPr="008B2CB8" w:rsidRDefault="002B6091" w:rsidP="002B6091">
      <w:pPr>
        <w:pStyle w:val="ListParagraph"/>
        <w:numPr>
          <w:ilvl w:val="0"/>
          <w:numId w:val="22"/>
        </w:numPr>
        <w:rPr>
          <w:b/>
          <w:sz w:val="24"/>
          <w:szCs w:val="24"/>
          <w:lang w:val="en"/>
        </w:rPr>
      </w:pPr>
      <w:r w:rsidRPr="008B2CB8">
        <w:rPr>
          <w:b/>
          <w:sz w:val="24"/>
          <w:szCs w:val="24"/>
          <w:lang w:val="en"/>
        </w:rPr>
        <w:t>a full, independent, judge-led inquiry should be carried out in place of the ISC’s investigation into the issues raised in the Detainee Inquiry Report;</w:t>
      </w:r>
    </w:p>
    <w:p w:rsidR="002B6091" w:rsidRPr="008B2CB8" w:rsidRDefault="002B6091" w:rsidP="002B6091">
      <w:pPr>
        <w:pStyle w:val="ListParagraph"/>
        <w:numPr>
          <w:ilvl w:val="0"/>
          <w:numId w:val="22"/>
        </w:numPr>
        <w:rPr>
          <w:b/>
          <w:sz w:val="24"/>
          <w:szCs w:val="24"/>
          <w:lang w:val="en"/>
        </w:rPr>
      </w:pPr>
      <w:r w:rsidRPr="008B2CB8">
        <w:rPr>
          <w:b/>
          <w:sz w:val="24"/>
          <w:szCs w:val="24"/>
          <w:lang w:val="en"/>
        </w:rPr>
        <w:t>further reform of the way the UK approaches its investigative duty under Articles 2 and 3 of the ECHR to avoid further unacceptable delays in the resolution of individual cases, and to ensure systemic issues are identified and lessons learnt; and</w:t>
      </w:r>
    </w:p>
    <w:p w:rsidR="002B6091" w:rsidRPr="008B2CB8" w:rsidRDefault="002B6091" w:rsidP="002B6091">
      <w:pPr>
        <w:pStyle w:val="ListParagraph"/>
        <w:numPr>
          <w:ilvl w:val="0"/>
          <w:numId w:val="22"/>
        </w:numPr>
        <w:rPr>
          <w:b/>
          <w:sz w:val="24"/>
          <w:szCs w:val="24"/>
          <w:lang w:val="en"/>
        </w:rPr>
      </w:pPr>
      <w:proofErr w:type="gramStart"/>
      <w:r w:rsidRPr="008B2CB8">
        <w:rPr>
          <w:b/>
          <w:sz w:val="24"/>
          <w:szCs w:val="24"/>
          <w:lang w:val="en"/>
        </w:rPr>
        <w:t>the</w:t>
      </w:r>
      <w:proofErr w:type="gramEnd"/>
      <w:r w:rsidRPr="008B2CB8">
        <w:rPr>
          <w:b/>
          <w:sz w:val="24"/>
          <w:szCs w:val="24"/>
          <w:lang w:val="en"/>
        </w:rPr>
        <w:t xml:space="preserve"> merits of the policy of DWA should be reviewed; where DWA is unavoidable, ensuring effective verification and post-return monitoring is a key element of any memorandum of understanding, preferably where both parties have ratified OPCAT; and laying each future agreement before Parliament and allowing Members sufficient time to raise concerns.</w:t>
      </w:r>
    </w:p>
    <w:p w:rsidR="002B6091" w:rsidRPr="008B2CB8" w:rsidRDefault="002B6091" w:rsidP="002B6091">
      <w:pPr>
        <w:pStyle w:val="ListParagraph"/>
        <w:rPr>
          <w:b/>
          <w:sz w:val="24"/>
          <w:szCs w:val="24"/>
          <w:lang w:val="en"/>
        </w:rPr>
      </w:pPr>
    </w:p>
    <w:p w:rsidR="002B6091" w:rsidRPr="00553F23" w:rsidRDefault="002B6091" w:rsidP="002B6091">
      <w:pPr>
        <w:pStyle w:val="ListParagraph"/>
        <w:ind w:left="0"/>
        <w:rPr>
          <w:b/>
          <w:sz w:val="24"/>
          <w:szCs w:val="24"/>
          <w:lang w:val="en"/>
        </w:rPr>
      </w:pPr>
      <w:r w:rsidRPr="008B2CB8">
        <w:rPr>
          <w:b/>
          <w:sz w:val="24"/>
          <w:szCs w:val="24"/>
          <w:lang w:val="en"/>
        </w:rPr>
        <w:t>Question A: When is the Independent Reviewer of Terrorism Legislation’s review of the UK Government’s policy of deportation with assurances going to report? What assurances can the UK Government provide that it will seriously consider and implement the Reviewer’s recommendations?</w:t>
      </w:r>
    </w:p>
    <w:p w:rsidR="002B6091" w:rsidRPr="008B2CB8" w:rsidRDefault="002B6091" w:rsidP="002B6091">
      <w:pPr>
        <w:pStyle w:val="Heading2"/>
        <w:numPr>
          <w:ilvl w:val="0"/>
          <w:numId w:val="105"/>
        </w:numPr>
        <w:rPr>
          <w:sz w:val="24"/>
          <w:szCs w:val="24"/>
        </w:rPr>
      </w:pPr>
      <w:bookmarkStart w:id="118" w:name="_Toc420603238"/>
      <w:bookmarkStart w:id="119" w:name="_Toc420603329"/>
      <w:r w:rsidRPr="008B2CB8">
        <w:rPr>
          <w:sz w:val="24"/>
          <w:szCs w:val="24"/>
        </w:rPr>
        <w:t>Treatment of Detainees (Articles 9, 10, 12 and 24)</w:t>
      </w:r>
      <w:bookmarkEnd w:id="118"/>
      <w:bookmarkEnd w:id="119"/>
    </w:p>
    <w:p w:rsidR="002B6091" w:rsidRPr="008B2CB8" w:rsidRDefault="002B6091" w:rsidP="002B6091">
      <w:pPr>
        <w:pStyle w:val="Heading2"/>
        <w:numPr>
          <w:ilvl w:val="0"/>
          <w:numId w:val="65"/>
        </w:numPr>
        <w:rPr>
          <w:sz w:val="24"/>
          <w:szCs w:val="24"/>
        </w:rPr>
      </w:pPr>
      <w:bookmarkStart w:id="120" w:name="_Toc420603239"/>
      <w:bookmarkStart w:id="121" w:name="_Toc420603330"/>
      <w:r w:rsidRPr="008B2CB8">
        <w:rPr>
          <w:sz w:val="24"/>
          <w:szCs w:val="24"/>
        </w:rPr>
        <w:t>Immigration Detention</w:t>
      </w:r>
      <w:r w:rsidRPr="008B2CB8">
        <w:rPr>
          <w:rStyle w:val="FootnoteReference"/>
          <w:sz w:val="24"/>
          <w:szCs w:val="24"/>
        </w:rPr>
        <w:footnoteReference w:id="498"/>
      </w:r>
      <w:bookmarkEnd w:id="120"/>
      <w:bookmarkEnd w:id="121"/>
    </w:p>
    <w:p w:rsidR="002B6091" w:rsidRPr="008B2CB8" w:rsidRDefault="002B6091" w:rsidP="002B6091">
      <w:pPr>
        <w:pStyle w:val="Heading2"/>
        <w:numPr>
          <w:ilvl w:val="0"/>
          <w:numId w:val="69"/>
        </w:numPr>
        <w:rPr>
          <w:sz w:val="24"/>
          <w:szCs w:val="24"/>
        </w:rPr>
      </w:pPr>
      <w:r w:rsidRPr="008B2CB8">
        <w:rPr>
          <w:sz w:val="24"/>
          <w:szCs w:val="24"/>
        </w:rPr>
        <w:t xml:space="preserve"> </w:t>
      </w:r>
      <w:bookmarkStart w:id="122" w:name="_Toc420603240"/>
      <w:bookmarkStart w:id="123" w:name="_Toc420603331"/>
      <w:r>
        <w:rPr>
          <w:sz w:val="24"/>
          <w:szCs w:val="24"/>
        </w:rPr>
        <w:t>Vulnerable Asylum Seekers</w:t>
      </w:r>
      <w:r w:rsidRPr="008B2CB8">
        <w:rPr>
          <w:sz w:val="24"/>
          <w:szCs w:val="24"/>
        </w:rPr>
        <w:t xml:space="preserve"> and the Detained Fast Track System</w:t>
      </w:r>
      <w:bookmarkEnd w:id="122"/>
      <w:bookmarkEnd w:id="123"/>
    </w:p>
    <w:p w:rsidR="002B6091" w:rsidRPr="008B2CB8" w:rsidRDefault="002B6091" w:rsidP="002B6091">
      <w:pPr>
        <w:rPr>
          <w:sz w:val="24"/>
          <w:szCs w:val="24"/>
        </w:rPr>
      </w:pPr>
      <w:r w:rsidRPr="008B2CB8">
        <w:rPr>
          <w:sz w:val="24"/>
          <w:szCs w:val="24"/>
        </w:rPr>
        <w:t xml:space="preserve">The UN High Commissioner of Refugees (UNHCR) and CAT have criticised the UK’s use of detained fast track system (DFT) for asylum applicants for administrative convenience rather than last resort, and the lack of adequate safeguards to </w:t>
      </w:r>
      <w:r w:rsidRPr="008B2CB8">
        <w:rPr>
          <w:sz w:val="24"/>
          <w:szCs w:val="24"/>
        </w:rPr>
        <w:lastRenderedPageBreak/>
        <w:t>guarantee fairness of procedure and quality decision making.</w:t>
      </w:r>
      <w:r w:rsidRPr="008B2CB8">
        <w:rPr>
          <w:rStyle w:val="FootnoteReference"/>
          <w:sz w:val="24"/>
          <w:szCs w:val="24"/>
        </w:rPr>
        <w:footnoteReference w:id="499"/>
      </w:r>
      <w:r w:rsidRPr="008B2CB8">
        <w:rPr>
          <w:sz w:val="24"/>
          <w:szCs w:val="24"/>
        </w:rPr>
        <w:t xml:space="preserve"> The EHRC has also raised concerns that the length of time in detention, without any realistic prospect of removal, for those who have committed no crime risks breaching the right to liberty and security under Article 5 of the ECHR.</w:t>
      </w:r>
      <w:r w:rsidRPr="008B2CB8">
        <w:rPr>
          <w:rStyle w:val="FootnoteReference"/>
          <w:sz w:val="24"/>
          <w:szCs w:val="24"/>
        </w:rPr>
        <w:footnoteReference w:id="500"/>
      </w:r>
    </w:p>
    <w:p w:rsidR="002B6091" w:rsidRDefault="002B6091" w:rsidP="002B6091">
      <w:pPr>
        <w:rPr>
          <w:sz w:val="24"/>
          <w:szCs w:val="24"/>
        </w:rPr>
      </w:pPr>
      <w:r w:rsidRPr="008B2CB8">
        <w:rPr>
          <w:sz w:val="24"/>
          <w:szCs w:val="24"/>
        </w:rPr>
        <w:t>The UNCHR and CAT have criticised the UK for not having sufficient safeguards in place to prevent vulnerable individuals entering the DFT.</w:t>
      </w:r>
      <w:r w:rsidRPr="008B2CB8">
        <w:rPr>
          <w:rStyle w:val="FootnoteReference"/>
          <w:sz w:val="24"/>
          <w:szCs w:val="24"/>
        </w:rPr>
        <w:footnoteReference w:id="501"/>
      </w:r>
      <w:r w:rsidRPr="008B2CB8">
        <w:rPr>
          <w:sz w:val="24"/>
          <w:szCs w:val="24"/>
        </w:rPr>
        <w:t xml:space="preserve"> Article 2 of the ECHR obliges authorities to take reasonable measures to avert risk of self-harm and suicide. However, torture survivors</w:t>
      </w:r>
      <w:r>
        <w:rPr>
          <w:sz w:val="24"/>
          <w:szCs w:val="24"/>
        </w:rPr>
        <w:t>, for example,</w:t>
      </w:r>
      <w:r w:rsidRPr="008B2CB8">
        <w:rPr>
          <w:sz w:val="24"/>
          <w:szCs w:val="24"/>
        </w:rPr>
        <w:t xml:space="preserve"> may continue to enter the DFT because the information needed to assess them is only available at the asylum interview, which takes place </w:t>
      </w:r>
      <w:r w:rsidRPr="008B2CB8">
        <w:rPr>
          <w:i/>
          <w:sz w:val="24"/>
          <w:szCs w:val="24"/>
        </w:rPr>
        <w:t>after</w:t>
      </w:r>
      <w:r w:rsidRPr="008B2CB8">
        <w:rPr>
          <w:sz w:val="24"/>
          <w:szCs w:val="24"/>
        </w:rPr>
        <w:t xml:space="preserve"> the person is in detention. Torture survivors are also unlikely to realise they will need to produce “independent evidence of torture” at the screening interview to establish their protection claim, as they are unlikely to have received independent legal advice.</w:t>
      </w:r>
      <w:r w:rsidRPr="008B2CB8">
        <w:rPr>
          <w:rStyle w:val="FootnoteReference"/>
          <w:sz w:val="24"/>
          <w:szCs w:val="24"/>
        </w:rPr>
        <w:footnoteReference w:id="502"/>
      </w:r>
      <w:r w:rsidR="008C67B4">
        <w:rPr>
          <w:sz w:val="24"/>
          <w:szCs w:val="24"/>
        </w:rPr>
        <w:t xml:space="preserve"> </w:t>
      </w:r>
      <w:r w:rsidRPr="008B2CB8">
        <w:rPr>
          <w:sz w:val="24"/>
          <w:szCs w:val="24"/>
        </w:rPr>
        <w:t>In addition, the Independent Chief Inspector of Borders and Immigration has observed these interviews taking place in an open plan environment, which potentially compromises confidentiality and may inhibit applicants mentioning they have been tortured, especially if they have feelings of shame about what they have experienced. Some may have been tortured by authority figures, which can make it difficult for immigration officers to elicit such information, even if trained to do so.</w:t>
      </w:r>
      <w:r w:rsidRPr="008B2CB8">
        <w:rPr>
          <w:rStyle w:val="FootnoteReference"/>
          <w:sz w:val="24"/>
          <w:szCs w:val="24"/>
        </w:rPr>
        <w:footnoteReference w:id="503"/>
      </w:r>
    </w:p>
    <w:p w:rsidR="002B6091" w:rsidRDefault="002B6091" w:rsidP="002B6091">
      <w:pPr>
        <w:rPr>
          <w:sz w:val="24"/>
          <w:szCs w:val="24"/>
        </w:rPr>
      </w:pPr>
      <w:r w:rsidRPr="008F0814">
        <w:rPr>
          <w:sz w:val="24"/>
          <w:szCs w:val="24"/>
        </w:rPr>
        <w:t>On 9 July 2014 the High</w:t>
      </w:r>
      <w:r>
        <w:rPr>
          <w:sz w:val="24"/>
          <w:szCs w:val="24"/>
        </w:rPr>
        <w:t xml:space="preserve"> Court gave judgment in a case </w:t>
      </w:r>
      <w:r w:rsidRPr="008F0814">
        <w:rPr>
          <w:sz w:val="24"/>
          <w:szCs w:val="24"/>
        </w:rPr>
        <w:t xml:space="preserve">in which the </w:t>
      </w:r>
      <w:r>
        <w:rPr>
          <w:sz w:val="24"/>
          <w:szCs w:val="24"/>
        </w:rPr>
        <w:t>EHRC intervened,</w:t>
      </w:r>
      <w:r w:rsidRPr="008F0814">
        <w:rPr>
          <w:sz w:val="24"/>
          <w:szCs w:val="24"/>
        </w:rPr>
        <w:t xml:space="preserve"> which challenged the lawfulness of the </w:t>
      </w:r>
      <w:r>
        <w:rPr>
          <w:sz w:val="24"/>
          <w:szCs w:val="24"/>
        </w:rPr>
        <w:t>DFT</w:t>
      </w:r>
      <w:r w:rsidRPr="008F0814">
        <w:rPr>
          <w:sz w:val="24"/>
          <w:szCs w:val="24"/>
        </w:rPr>
        <w:t xml:space="preserve"> process.</w:t>
      </w:r>
      <w:r>
        <w:rPr>
          <w:rStyle w:val="FootnoteReference"/>
          <w:sz w:val="24"/>
          <w:szCs w:val="24"/>
        </w:rPr>
        <w:footnoteReference w:id="504"/>
      </w:r>
      <w:r w:rsidRPr="008F0814">
        <w:rPr>
          <w:sz w:val="24"/>
          <w:szCs w:val="24"/>
        </w:rPr>
        <w:t xml:space="preserve"> The </w:t>
      </w:r>
      <w:r>
        <w:rPr>
          <w:sz w:val="24"/>
          <w:szCs w:val="24"/>
        </w:rPr>
        <w:t>High Court</w:t>
      </w:r>
      <w:r w:rsidRPr="008F0814">
        <w:rPr>
          <w:sz w:val="24"/>
          <w:szCs w:val="24"/>
        </w:rPr>
        <w:t xml:space="preserve"> found significant flaws in the system as it currently operates, which</w:t>
      </w:r>
      <w:r>
        <w:rPr>
          <w:sz w:val="24"/>
          <w:szCs w:val="24"/>
        </w:rPr>
        <w:t xml:space="preserve"> </w:t>
      </w:r>
      <w:r w:rsidRPr="008F0814">
        <w:rPr>
          <w:sz w:val="24"/>
          <w:szCs w:val="24"/>
        </w:rPr>
        <w:t xml:space="preserve">mean the safeguards supposed to prevent unsuitable claims and vulnerable applicants from entering the </w:t>
      </w:r>
      <w:r>
        <w:rPr>
          <w:sz w:val="24"/>
          <w:szCs w:val="24"/>
        </w:rPr>
        <w:t>DFT</w:t>
      </w:r>
      <w:r w:rsidRPr="008F0814">
        <w:rPr>
          <w:sz w:val="24"/>
          <w:szCs w:val="24"/>
        </w:rPr>
        <w:t xml:space="preserve"> do not work. Improvements to the </w:t>
      </w:r>
      <w:r>
        <w:rPr>
          <w:sz w:val="24"/>
          <w:szCs w:val="24"/>
        </w:rPr>
        <w:t>DFT</w:t>
      </w:r>
      <w:r w:rsidRPr="008F0814">
        <w:rPr>
          <w:sz w:val="24"/>
          <w:szCs w:val="24"/>
        </w:rPr>
        <w:t xml:space="preserve"> being introduced by the </w:t>
      </w:r>
      <w:r>
        <w:rPr>
          <w:sz w:val="24"/>
          <w:szCs w:val="24"/>
        </w:rPr>
        <w:t>UK G</w:t>
      </w:r>
      <w:r w:rsidRPr="008F0814">
        <w:rPr>
          <w:sz w:val="24"/>
          <w:szCs w:val="24"/>
        </w:rPr>
        <w:t>overnment in re</w:t>
      </w:r>
      <w:r>
        <w:rPr>
          <w:sz w:val="24"/>
          <w:szCs w:val="24"/>
        </w:rPr>
        <w:t>sponse to the judgment include:</w:t>
      </w:r>
      <w:r w:rsidRPr="008F0814">
        <w:rPr>
          <w:sz w:val="24"/>
          <w:szCs w:val="24"/>
        </w:rPr>
        <w:t xml:space="preserve"> </w:t>
      </w:r>
    </w:p>
    <w:p w:rsidR="002B6091" w:rsidRDefault="002B6091" w:rsidP="002B6091">
      <w:pPr>
        <w:pStyle w:val="ListParagraph"/>
        <w:numPr>
          <w:ilvl w:val="0"/>
          <w:numId w:val="107"/>
        </w:numPr>
        <w:rPr>
          <w:sz w:val="24"/>
          <w:szCs w:val="24"/>
        </w:rPr>
      </w:pPr>
      <w:r w:rsidRPr="008F0814">
        <w:rPr>
          <w:sz w:val="24"/>
          <w:szCs w:val="24"/>
        </w:rPr>
        <w:t>earli</w:t>
      </w:r>
      <w:r>
        <w:rPr>
          <w:sz w:val="24"/>
          <w:szCs w:val="24"/>
        </w:rPr>
        <w:t>er availability of legal advice;</w:t>
      </w:r>
      <w:r w:rsidRPr="008F0814">
        <w:rPr>
          <w:sz w:val="24"/>
          <w:szCs w:val="24"/>
        </w:rPr>
        <w:t xml:space="preserve"> </w:t>
      </w:r>
      <w:r>
        <w:rPr>
          <w:sz w:val="24"/>
          <w:szCs w:val="24"/>
        </w:rPr>
        <w:t>and</w:t>
      </w:r>
    </w:p>
    <w:p w:rsidR="002B6091" w:rsidRDefault="002B6091" w:rsidP="002B6091">
      <w:pPr>
        <w:pStyle w:val="ListParagraph"/>
        <w:numPr>
          <w:ilvl w:val="0"/>
          <w:numId w:val="107"/>
        </w:numPr>
        <w:rPr>
          <w:sz w:val="24"/>
          <w:szCs w:val="24"/>
        </w:rPr>
      </w:pPr>
      <w:proofErr w:type="gramStart"/>
      <w:r w:rsidRPr="008F0814">
        <w:rPr>
          <w:sz w:val="24"/>
          <w:szCs w:val="24"/>
        </w:rPr>
        <w:lastRenderedPageBreak/>
        <w:t>additional</w:t>
      </w:r>
      <w:proofErr w:type="gramEnd"/>
      <w:r w:rsidRPr="008F0814">
        <w:rPr>
          <w:sz w:val="24"/>
          <w:szCs w:val="24"/>
        </w:rPr>
        <w:t xml:space="preserve"> screening questions and a review of the "rule 35" procedure</w:t>
      </w:r>
      <w:r>
        <w:rPr>
          <w:sz w:val="24"/>
          <w:szCs w:val="24"/>
        </w:rPr>
        <w:t>,</w:t>
      </w:r>
      <w:r w:rsidRPr="008F0814">
        <w:rPr>
          <w:sz w:val="24"/>
          <w:szCs w:val="24"/>
        </w:rPr>
        <w:t xml:space="preserve"> which is intended to identify victims of torture and people with mental health problems. </w:t>
      </w:r>
    </w:p>
    <w:p w:rsidR="002B6091" w:rsidRPr="008F0814" w:rsidRDefault="002B6091" w:rsidP="002B6091">
      <w:pPr>
        <w:rPr>
          <w:sz w:val="24"/>
          <w:szCs w:val="24"/>
        </w:rPr>
      </w:pPr>
      <w:r w:rsidRPr="00C12F10">
        <w:rPr>
          <w:sz w:val="24"/>
          <w:szCs w:val="24"/>
        </w:rPr>
        <w:t>The DFT system cannot be operated until these changes have been implemented. The impact of these reforms will need to be assessed in due course.</w:t>
      </w:r>
    </w:p>
    <w:p w:rsidR="002B6091" w:rsidRPr="008B2CB8" w:rsidRDefault="002B6091" w:rsidP="002B6091">
      <w:pPr>
        <w:pStyle w:val="Heading2"/>
        <w:numPr>
          <w:ilvl w:val="0"/>
          <w:numId w:val="69"/>
        </w:numPr>
        <w:rPr>
          <w:sz w:val="24"/>
          <w:szCs w:val="24"/>
        </w:rPr>
      </w:pPr>
      <w:bookmarkStart w:id="124" w:name="_Toc420603241"/>
      <w:bookmarkStart w:id="125" w:name="_Toc420603332"/>
      <w:r w:rsidRPr="008B2CB8">
        <w:rPr>
          <w:sz w:val="24"/>
          <w:szCs w:val="24"/>
        </w:rPr>
        <w:t>Immigration Detention of People with Serious Medical Conditions or Mental Illness</w:t>
      </w:r>
      <w:bookmarkEnd w:id="124"/>
      <w:bookmarkEnd w:id="125"/>
    </w:p>
    <w:p w:rsidR="002B6091" w:rsidRPr="008B2CB8" w:rsidRDefault="002B6091" w:rsidP="002B6091">
      <w:pPr>
        <w:rPr>
          <w:sz w:val="24"/>
          <w:szCs w:val="24"/>
        </w:rPr>
      </w:pPr>
      <w:r w:rsidRPr="008B2CB8">
        <w:rPr>
          <w:sz w:val="24"/>
          <w:szCs w:val="24"/>
        </w:rPr>
        <w:t>The EHRC has raised concerns that detention can have a detrimental impact on a detainee's mental and physical health that may engage the obligation to safeguard vulnerable individuals under Articles 2 and 3 of the ECHR, as well and the right to psychological integrity as an aspect of the right to a private life under Article 8.</w:t>
      </w:r>
      <w:r w:rsidRPr="008B2CB8">
        <w:rPr>
          <w:rStyle w:val="FootnoteReference"/>
          <w:sz w:val="24"/>
          <w:szCs w:val="24"/>
        </w:rPr>
        <w:footnoteReference w:id="505"/>
      </w:r>
      <w:r w:rsidRPr="008B2CB8">
        <w:rPr>
          <w:sz w:val="24"/>
          <w:szCs w:val="24"/>
        </w:rPr>
        <w:t xml:space="preserve"> </w:t>
      </w:r>
    </w:p>
    <w:p w:rsidR="002B6091" w:rsidRPr="008B2CB8" w:rsidRDefault="002B6091" w:rsidP="002B6091">
      <w:pPr>
        <w:rPr>
          <w:sz w:val="24"/>
          <w:szCs w:val="24"/>
        </w:rPr>
      </w:pPr>
      <w:r w:rsidRPr="008B2CB8">
        <w:rPr>
          <w:sz w:val="24"/>
          <w:szCs w:val="24"/>
        </w:rPr>
        <w:t>There no longer appears to be a “presumption in favour of release” for people suffering from serious medical conditions or mental illnesses.</w:t>
      </w:r>
      <w:r w:rsidRPr="008B2CB8">
        <w:rPr>
          <w:rStyle w:val="FootnoteReference"/>
          <w:sz w:val="24"/>
          <w:szCs w:val="24"/>
        </w:rPr>
        <w:footnoteReference w:id="506"/>
      </w:r>
      <w:r w:rsidRPr="008B2CB8">
        <w:rPr>
          <w:sz w:val="24"/>
          <w:szCs w:val="24"/>
        </w:rPr>
        <w:t xml:space="preserve"> The UK Government’s current Enforcement Instructions and Guidance allows for the detention of such people unless their conditions “cannot be satisfactorily managed within detention.”</w:t>
      </w:r>
      <w:r w:rsidRPr="008B2CB8">
        <w:rPr>
          <w:rStyle w:val="FootnoteReference"/>
          <w:sz w:val="24"/>
          <w:szCs w:val="24"/>
        </w:rPr>
        <w:footnoteReference w:id="507"/>
      </w:r>
      <w:r w:rsidRPr="008B2CB8">
        <w:rPr>
          <w:sz w:val="24"/>
          <w:szCs w:val="24"/>
        </w:rPr>
        <w:t xml:space="preserve"> In exceptional cases it may also be necessary for detention at a removal centre or prison to continue while individuals are being or waiting to be assessed, or are awaiting transfer under the Mental Health Act. This guidance remains in place despite the courts holding that detention of a mentally ill person in an </w:t>
      </w:r>
      <w:r>
        <w:rPr>
          <w:sz w:val="24"/>
          <w:szCs w:val="24"/>
        </w:rPr>
        <w:t>Immigration Removal Centre (</w:t>
      </w:r>
      <w:r w:rsidRPr="008B2CB8">
        <w:rPr>
          <w:sz w:val="24"/>
          <w:szCs w:val="24"/>
        </w:rPr>
        <w:t>IRC</w:t>
      </w:r>
      <w:r>
        <w:rPr>
          <w:sz w:val="24"/>
          <w:szCs w:val="24"/>
        </w:rPr>
        <w:t>)</w:t>
      </w:r>
      <w:r w:rsidRPr="008B2CB8">
        <w:rPr>
          <w:sz w:val="24"/>
          <w:szCs w:val="24"/>
        </w:rPr>
        <w:t xml:space="preserve"> amounts to inhuman and degrading treatment</w:t>
      </w:r>
      <w:r w:rsidRPr="008B2CB8">
        <w:rPr>
          <w:rStyle w:val="FootnoteReference"/>
          <w:sz w:val="24"/>
          <w:szCs w:val="24"/>
        </w:rPr>
        <w:footnoteReference w:id="508"/>
      </w:r>
      <w:r w:rsidRPr="008B2CB8">
        <w:rPr>
          <w:sz w:val="24"/>
          <w:szCs w:val="24"/>
        </w:rPr>
        <w:t xml:space="preserve"> and a breach of the PSED.</w:t>
      </w:r>
      <w:r w:rsidRPr="008B2CB8">
        <w:rPr>
          <w:rStyle w:val="FootnoteReference"/>
          <w:sz w:val="24"/>
          <w:szCs w:val="24"/>
        </w:rPr>
        <w:footnoteReference w:id="509"/>
      </w:r>
    </w:p>
    <w:p w:rsidR="002B6091" w:rsidRPr="008B2CB8" w:rsidRDefault="002B6091" w:rsidP="002B6091">
      <w:pPr>
        <w:rPr>
          <w:sz w:val="24"/>
          <w:szCs w:val="24"/>
        </w:rPr>
      </w:pPr>
      <w:r w:rsidRPr="008B2CB8">
        <w:rPr>
          <w:sz w:val="24"/>
          <w:szCs w:val="24"/>
        </w:rPr>
        <w:t>Her Majesty’s Chief Inspector of Prisons (HMCIP) has also commented on the unsuitability of IRCs for vulnerable individuals as they lack access to mental health services, and health care staff lack expertise in the trauma associated with torture.</w:t>
      </w:r>
      <w:r w:rsidRPr="008B2CB8">
        <w:rPr>
          <w:rStyle w:val="FootnoteReference"/>
          <w:sz w:val="24"/>
          <w:szCs w:val="24"/>
        </w:rPr>
        <w:footnoteReference w:id="510"/>
      </w:r>
      <w:r w:rsidRPr="008B2CB8">
        <w:rPr>
          <w:sz w:val="24"/>
          <w:szCs w:val="24"/>
        </w:rPr>
        <w:t xml:space="preserve"> This inadequate approach means that IRCs may not meet their Article 2 obligation in preventing suicide and self-harm and CAT’s concerns have not yet been acted upon.</w:t>
      </w:r>
      <w:r w:rsidRPr="008B2CB8">
        <w:rPr>
          <w:rStyle w:val="FootnoteReference"/>
          <w:sz w:val="24"/>
          <w:szCs w:val="24"/>
        </w:rPr>
        <w:footnoteReference w:id="511"/>
      </w:r>
    </w:p>
    <w:p w:rsidR="002B6091" w:rsidRPr="008B2CB8" w:rsidRDefault="002B6091" w:rsidP="002B6091">
      <w:pPr>
        <w:pStyle w:val="Heading2"/>
        <w:numPr>
          <w:ilvl w:val="0"/>
          <w:numId w:val="69"/>
        </w:numPr>
        <w:rPr>
          <w:sz w:val="24"/>
          <w:szCs w:val="24"/>
        </w:rPr>
      </w:pPr>
      <w:bookmarkStart w:id="126" w:name="_Toc420603242"/>
      <w:bookmarkStart w:id="127" w:name="_Toc420603333"/>
      <w:r w:rsidRPr="008B2CB8">
        <w:rPr>
          <w:sz w:val="24"/>
          <w:szCs w:val="24"/>
        </w:rPr>
        <w:lastRenderedPageBreak/>
        <w:t>Unnatural deaths in custody</w:t>
      </w:r>
      <w:bookmarkEnd w:id="126"/>
      <w:bookmarkEnd w:id="127"/>
    </w:p>
    <w:p w:rsidR="002B6091" w:rsidRPr="008B2CB8" w:rsidRDefault="002B6091" w:rsidP="002B6091">
      <w:pPr>
        <w:rPr>
          <w:sz w:val="24"/>
          <w:szCs w:val="24"/>
        </w:rPr>
      </w:pPr>
      <w:r w:rsidRPr="008B2CB8">
        <w:rPr>
          <w:sz w:val="24"/>
          <w:szCs w:val="24"/>
        </w:rPr>
        <w:t>In the past 10 years, the Prison and Probation Ombudsman (PPO) has completed 15 fatal incident investigations in IRCs. A further four cases are currently under investigation or are suspended because of police inquiries.</w:t>
      </w:r>
      <w:r w:rsidRPr="008B2CB8">
        <w:rPr>
          <w:rStyle w:val="FootnoteReference"/>
          <w:sz w:val="24"/>
          <w:szCs w:val="24"/>
        </w:rPr>
        <w:footnoteReference w:id="512"/>
      </w:r>
      <w:r w:rsidRPr="008B2CB8">
        <w:rPr>
          <w:sz w:val="24"/>
          <w:szCs w:val="24"/>
        </w:rPr>
        <w:t xml:space="preserve"> Of the 15 deaths, seven were from natural causes and seven were self-inflicted. </w:t>
      </w:r>
    </w:p>
    <w:p w:rsidR="002B6091" w:rsidRPr="008B2CB8" w:rsidRDefault="002B6091" w:rsidP="002B6091">
      <w:pPr>
        <w:rPr>
          <w:sz w:val="24"/>
          <w:szCs w:val="24"/>
        </w:rPr>
      </w:pPr>
      <w:r w:rsidRPr="008B2CB8">
        <w:rPr>
          <w:sz w:val="24"/>
          <w:szCs w:val="24"/>
        </w:rPr>
        <w:t xml:space="preserve">The remaining individual was Jimmy </w:t>
      </w:r>
      <w:proofErr w:type="spellStart"/>
      <w:r w:rsidRPr="008B2CB8">
        <w:rPr>
          <w:sz w:val="24"/>
          <w:szCs w:val="24"/>
        </w:rPr>
        <w:t>Mubenga</w:t>
      </w:r>
      <w:proofErr w:type="spellEnd"/>
      <w:r w:rsidRPr="008B2CB8">
        <w:rPr>
          <w:sz w:val="24"/>
          <w:szCs w:val="24"/>
        </w:rPr>
        <w:t xml:space="preserve">, who died in 2010 while being forcibly removed by aeroplane to Angola, under the escort of three Detention and Custody Officers (DCO) employed by private contractor G4 Security (G4S). The jury in the inquest into his death concluded Mr </w:t>
      </w:r>
      <w:proofErr w:type="spellStart"/>
      <w:r w:rsidRPr="008B2CB8">
        <w:rPr>
          <w:sz w:val="24"/>
          <w:szCs w:val="24"/>
        </w:rPr>
        <w:t>Mubenga</w:t>
      </w:r>
      <w:proofErr w:type="spellEnd"/>
      <w:r w:rsidRPr="008B2CB8">
        <w:rPr>
          <w:sz w:val="24"/>
          <w:szCs w:val="24"/>
        </w:rPr>
        <w:t xml:space="preserve"> had been unlawfully killed, on the basis of evidence showing that:</w:t>
      </w:r>
    </w:p>
    <w:p w:rsidR="002B6091" w:rsidRPr="008B2CB8" w:rsidRDefault="002B6091" w:rsidP="002B6091">
      <w:pPr>
        <w:pStyle w:val="ListParagraph"/>
        <w:numPr>
          <w:ilvl w:val="0"/>
          <w:numId w:val="70"/>
        </w:numPr>
        <w:rPr>
          <w:sz w:val="24"/>
          <w:szCs w:val="24"/>
        </w:rPr>
      </w:pPr>
      <w:r w:rsidRPr="008B2CB8">
        <w:rPr>
          <w:sz w:val="24"/>
          <w:szCs w:val="24"/>
        </w:rPr>
        <w:t xml:space="preserve">Mr </w:t>
      </w:r>
      <w:proofErr w:type="spellStart"/>
      <w:r w:rsidRPr="008B2CB8">
        <w:rPr>
          <w:sz w:val="24"/>
          <w:szCs w:val="24"/>
        </w:rPr>
        <w:t>Mubenga</w:t>
      </w:r>
      <w:proofErr w:type="spellEnd"/>
      <w:r w:rsidRPr="008B2CB8">
        <w:rPr>
          <w:sz w:val="24"/>
          <w:szCs w:val="24"/>
        </w:rPr>
        <w:t xml:space="preserve"> was pushed or held down by one or more of the DCOs for between 30 and 40 minutes, causing his breathing to be impeded - a significant number of witnesses reported Mr </w:t>
      </w:r>
      <w:proofErr w:type="spellStart"/>
      <w:r w:rsidRPr="008B2CB8">
        <w:rPr>
          <w:sz w:val="24"/>
          <w:szCs w:val="24"/>
        </w:rPr>
        <w:t>Mubenga</w:t>
      </w:r>
      <w:proofErr w:type="spellEnd"/>
      <w:r w:rsidRPr="008B2CB8">
        <w:rPr>
          <w:sz w:val="24"/>
          <w:szCs w:val="24"/>
        </w:rPr>
        <w:t xml:space="preserve"> shouting that he could not breathe and say “they’re killing me” or similar;</w:t>
      </w:r>
      <w:r w:rsidRPr="008B2CB8">
        <w:rPr>
          <w:rStyle w:val="FootnoteReference"/>
          <w:sz w:val="24"/>
          <w:szCs w:val="24"/>
        </w:rPr>
        <w:footnoteReference w:id="513"/>
      </w:r>
    </w:p>
    <w:p w:rsidR="002B6091" w:rsidRPr="008B2CB8" w:rsidRDefault="002B6091" w:rsidP="002B6091">
      <w:pPr>
        <w:pStyle w:val="ListParagraph"/>
        <w:numPr>
          <w:ilvl w:val="0"/>
          <w:numId w:val="70"/>
        </w:numPr>
        <w:rPr>
          <w:sz w:val="24"/>
          <w:szCs w:val="24"/>
        </w:rPr>
      </w:pPr>
      <w:r>
        <w:rPr>
          <w:sz w:val="24"/>
          <w:szCs w:val="24"/>
        </w:rPr>
        <w:t>t</w:t>
      </w:r>
      <w:r w:rsidRPr="008B2CB8">
        <w:rPr>
          <w:sz w:val="24"/>
          <w:szCs w:val="24"/>
        </w:rPr>
        <w:t xml:space="preserve">he DCOs used unreasonable force and acted in an unlawful manner, whereby the would have known their actions would have caused Mr </w:t>
      </w:r>
      <w:proofErr w:type="spellStart"/>
      <w:r w:rsidRPr="008B2CB8">
        <w:rPr>
          <w:sz w:val="24"/>
          <w:szCs w:val="24"/>
        </w:rPr>
        <w:t>Mubenga</w:t>
      </w:r>
      <w:proofErr w:type="spellEnd"/>
      <w:r w:rsidRPr="008B2CB8">
        <w:rPr>
          <w:sz w:val="24"/>
          <w:szCs w:val="24"/>
        </w:rPr>
        <w:t xml:space="preserve"> harm - all three had received training prescribed by the “Use of Force” training manual;</w:t>
      </w:r>
      <w:r w:rsidRPr="008B2CB8">
        <w:rPr>
          <w:rStyle w:val="FootnoteReference"/>
          <w:sz w:val="24"/>
          <w:szCs w:val="24"/>
        </w:rPr>
        <w:footnoteReference w:id="514"/>
      </w:r>
      <w:r w:rsidRPr="008B2CB8">
        <w:rPr>
          <w:sz w:val="24"/>
          <w:szCs w:val="24"/>
        </w:rPr>
        <w:t xml:space="preserve"> and</w:t>
      </w:r>
    </w:p>
    <w:p w:rsidR="002B6091" w:rsidRPr="008B2CB8" w:rsidRDefault="002B6091" w:rsidP="002B6091">
      <w:pPr>
        <w:pStyle w:val="ListParagraph"/>
        <w:numPr>
          <w:ilvl w:val="0"/>
          <w:numId w:val="70"/>
        </w:numPr>
        <w:rPr>
          <w:sz w:val="24"/>
          <w:szCs w:val="24"/>
        </w:rPr>
      </w:pPr>
      <w:proofErr w:type="gramStart"/>
      <w:r>
        <w:rPr>
          <w:sz w:val="24"/>
          <w:szCs w:val="24"/>
        </w:rPr>
        <w:t>w</w:t>
      </w:r>
      <w:r w:rsidRPr="008B2CB8">
        <w:rPr>
          <w:sz w:val="24"/>
          <w:szCs w:val="24"/>
        </w:rPr>
        <w:t>hile</w:t>
      </w:r>
      <w:proofErr w:type="gramEnd"/>
      <w:r w:rsidRPr="008B2CB8">
        <w:rPr>
          <w:sz w:val="24"/>
          <w:szCs w:val="24"/>
        </w:rPr>
        <w:t xml:space="preserve"> the DCOs and cabin crew all had first aid training, they did not attempt to administer first aid to Mr </w:t>
      </w:r>
      <w:proofErr w:type="spellStart"/>
      <w:r w:rsidRPr="008B2CB8">
        <w:rPr>
          <w:sz w:val="24"/>
          <w:szCs w:val="24"/>
        </w:rPr>
        <w:t>Mubenga</w:t>
      </w:r>
      <w:proofErr w:type="spellEnd"/>
      <w:r w:rsidRPr="008B2CB8">
        <w:rPr>
          <w:sz w:val="24"/>
          <w:szCs w:val="24"/>
        </w:rPr>
        <w:t xml:space="preserve"> when he first became unresponsive, which would have increased his chances of survival.</w:t>
      </w:r>
      <w:r w:rsidRPr="008B2CB8">
        <w:rPr>
          <w:rStyle w:val="FootnoteReference"/>
          <w:sz w:val="24"/>
          <w:szCs w:val="24"/>
        </w:rPr>
        <w:t xml:space="preserve"> </w:t>
      </w:r>
      <w:r w:rsidRPr="008B2CB8">
        <w:rPr>
          <w:rStyle w:val="FootnoteReference"/>
          <w:sz w:val="24"/>
          <w:szCs w:val="24"/>
        </w:rPr>
        <w:footnoteReference w:id="515"/>
      </w:r>
    </w:p>
    <w:p w:rsidR="002B6091" w:rsidRPr="008B2CB8" w:rsidRDefault="002B6091" w:rsidP="002B6091">
      <w:pPr>
        <w:pStyle w:val="ListParagraph"/>
        <w:spacing w:after="0"/>
        <w:ind w:left="360"/>
        <w:rPr>
          <w:sz w:val="24"/>
          <w:szCs w:val="24"/>
        </w:rPr>
      </w:pPr>
    </w:p>
    <w:p w:rsidR="002B6091" w:rsidRPr="008B2CB8" w:rsidRDefault="002B6091" w:rsidP="002B6091">
      <w:pPr>
        <w:pStyle w:val="ListParagraph"/>
        <w:spacing w:after="0"/>
        <w:ind w:left="0"/>
        <w:rPr>
          <w:sz w:val="24"/>
          <w:szCs w:val="24"/>
        </w:rPr>
      </w:pPr>
      <w:r w:rsidRPr="008B2CB8">
        <w:rPr>
          <w:sz w:val="24"/>
          <w:szCs w:val="24"/>
        </w:rPr>
        <w:t>The three DCOs have been charged with manslaughter and will face a criminal trial later in 2014.</w:t>
      </w:r>
      <w:r w:rsidRPr="008B2CB8">
        <w:rPr>
          <w:rStyle w:val="FootnoteReference"/>
          <w:sz w:val="24"/>
          <w:szCs w:val="24"/>
        </w:rPr>
        <w:footnoteReference w:id="516"/>
      </w:r>
    </w:p>
    <w:p w:rsidR="002B6091" w:rsidRPr="008B2CB8" w:rsidRDefault="002B6091" w:rsidP="002B6091">
      <w:pPr>
        <w:pStyle w:val="ListParagraph"/>
        <w:spacing w:after="0"/>
        <w:ind w:left="0"/>
        <w:rPr>
          <w:sz w:val="24"/>
          <w:szCs w:val="24"/>
        </w:rPr>
      </w:pPr>
    </w:p>
    <w:p w:rsidR="002B6091" w:rsidRPr="008B2CB8" w:rsidRDefault="002B6091" w:rsidP="002B6091">
      <w:pPr>
        <w:pStyle w:val="ListParagraph"/>
        <w:spacing w:after="0"/>
        <w:ind w:left="0"/>
        <w:rPr>
          <w:sz w:val="24"/>
          <w:szCs w:val="24"/>
        </w:rPr>
      </w:pPr>
      <w:r w:rsidRPr="008B2CB8">
        <w:rPr>
          <w:sz w:val="24"/>
          <w:szCs w:val="24"/>
        </w:rPr>
        <w:t xml:space="preserve">The inquest also exposed a culture of racism amongst the concerned DCOs (who exchanged offensive text messages and posted racist material on the internet, before and after Mr </w:t>
      </w:r>
      <w:proofErr w:type="spellStart"/>
      <w:r w:rsidRPr="008B2CB8">
        <w:rPr>
          <w:sz w:val="24"/>
          <w:szCs w:val="24"/>
        </w:rPr>
        <w:t>Mubenga’s</w:t>
      </w:r>
      <w:proofErr w:type="spellEnd"/>
      <w:r w:rsidRPr="008B2CB8">
        <w:rPr>
          <w:sz w:val="24"/>
          <w:szCs w:val="24"/>
        </w:rPr>
        <w:t xml:space="preserve"> death) and the wider organisation of G4S.</w:t>
      </w:r>
      <w:r w:rsidRPr="008B2CB8">
        <w:rPr>
          <w:rStyle w:val="FootnoteReference"/>
          <w:sz w:val="24"/>
          <w:szCs w:val="24"/>
        </w:rPr>
        <w:footnoteReference w:id="517"/>
      </w:r>
    </w:p>
    <w:p w:rsidR="002B6091" w:rsidRPr="008B2CB8" w:rsidRDefault="002B6091" w:rsidP="002B6091">
      <w:pPr>
        <w:pStyle w:val="ListParagraph"/>
        <w:spacing w:after="0"/>
        <w:ind w:left="0"/>
        <w:rPr>
          <w:sz w:val="24"/>
          <w:szCs w:val="24"/>
        </w:rPr>
      </w:pPr>
    </w:p>
    <w:p w:rsidR="002B6091" w:rsidRPr="008B2CB8" w:rsidRDefault="002B6091" w:rsidP="002B6091">
      <w:pPr>
        <w:pStyle w:val="ListParagraph"/>
        <w:spacing w:after="0"/>
        <w:ind w:left="0"/>
        <w:rPr>
          <w:sz w:val="24"/>
          <w:szCs w:val="24"/>
        </w:rPr>
      </w:pPr>
      <w:r w:rsidRPr="008B2CB8">
        <w:rPr>
          <w:sz w:val="24"/>
          <w:szCs w:val="24"/>
        </w:rPr>
        <w:t>The Inquest made six recommendations to address concerns about racism and the unlawful use of force. These were largely directed to the Home Office wh</w:t>
      </w:r>
      <w:r>
        <w:rPr>
          <w:sz w:val="24"/>
          <w:szCs w:val="24"/>
        </w:rPr>
        <w:t>ich</w:t>
      </w:r>
      <w:r w:rsidRPr="008B2CB8">
        <w:rPr>
          <w:sz w:val="24"/>
          <w:szCs w:val="24"/>
        </w:rPr>
        <w:t xml:space="preserve"> </w:t>
      </w:r>
      <w:r>
        <w:rPr>
          <w:sz w:val="24"/>
          <w:szCs w:val="24"/>
        </w:rPr>
        <w:t>has</w:t>
      </w:r>
      <w:r w:rsidRPr="008B2CB8">
        <w:rPr>
          <w:sz w:val="24"/>
          <w:szCs w:val="24"/>
        </w:rPr>
        <w:t xml:space="preserve"> ultimate responsibility for ensuring that any immigration removals are carried out </w:t>
      </w:r>
      <w:r w:rsidRPr="008B2CB8">
        <w:rPr>
          <w:sz w:val="24"/>
          <w:szCs w:val="24"/>
        </w:rPr>
        <w:lastRenderedPageBreak/>
        <w:t>safely.</w:t>
      </w:r>
      <w:r w:rsidRPr="008B2CB8">
        <w:rPr>
          <w:rStyle w:val="FootnoteReference"/>
          <w:sz w:val="24"/>
          <w:szCs w:val="24"/>
        </w:rPr>
        <w:footnoteReference w:id="518"/>
      </w:r>
      <w:r w:rsidRPr="008B2CB8">
        <w:rPr>
          <w:sz w:val="24"/>
          <w:szCs w:val="24"/>
        </w:rPr>
        <w:t xml:space="preserve"> However, a report by HMCIP of inspections conducted in 2012/13 suggests lessons have not been learnt as “most operational staff had little awareness of recent important findings… none remembered any information or training on the issues raised.”</w:t>
      </w:r>
      <w:r w:rsidRPr="008B2CB8">
        <w:rPr>
          <w:rStyle w:val="FootnoteReference"/>
          <w:sz w:val="24"/>
          <w:szCs w:val="24"/>
        </w:rPr>
        <w:footnoteReference w:id="519"/>
      </w:r>
      <w:r w:rsidRPr="008B2CB8">
        <w:rPr>
          <w:sz w:val="24"/>
          <w:szCs w:val="24"/>
        </w:rPr>
        <w:t xml:space="preserve"> </w:t>
      </w:r>
    </w:p>
    <w:p w:rsidR="002B6091" w:rsidRPr="008B2CB8" w:rsidRDefault="002B6091" w:rsidP="002B6091">
      <w:pPr>
        <w:pStyle w:val="ListParagraph"/>
        <w:spacing w:after="0"/>
        <w:ind w:left="0"/>
        <w:rPr>
          <w:sz w:val="24"/>
          <w:szCs w:val="24"/>
        </w:rPr>
      </w:pPr>
    </w:p>
    <w:p w:rsidR="002B6091" w:rsidRPr="008B2CB8" w:rsidRDefault="002B6091" w:rsidP="002B6091">
      <w:pPr>
        <w:pStyle w:val="ListParagraph"/>
        <w:spacing w:after="0"/>
        <w:ind w:left="0"/>
        <w:rPr>
          <w:sz w:val="24"/>
          <w:szCs w:val="24"/>
        </w:rPr>
      </w:pPr>
      <w:r w:rsidRPr="008B2CB8">
        <w:rPr>
          <w:sz w:val="24"/>
          <w:szCs w:val="24"/>
        </w:rPr>
        <w:t>In HMCIP’s view, “people deported from Britain were too often treated as "commodities to be delivered, rather than as vulnerable individuals deserving of attention.”</w:t>
      </w:r>
      <w:r w:rsidRPr="008B2CB8">
        <w:rPr>
          <w:rStyle w:val="FootnoteReference"/>
          <w:sz w:val="24"/>
          <w:szCs w:val="24"/>
        </w:rPr>
        <w:footnoteReference w:id="520"/>
      </w:r>
      <w:r w:rsidRPr="008B2CB8">
        <w:rPr>
          <w:sz w:val="24"/>
          <w:szCs w:val="24"/>
        </w:rPr>
        <w:t xml:space="preserve"> In an inspection report concerning the deportation of 66 migrants to Pakistan, the HMCIP found that some security staff, from the Home </w:t>
      </w:r>
      <w:proofErr w:type="gramStart"/>
      <w:r w:rsidRPr="008B2CB8">
        <w:rPr>
          <w:sz w:val="24"/>
          <w:szCs w:val="24"/>
        </w:rPr>
        <w:t>Office’s</w:t>
      </w:r>
      <w:proofErr w:type="gramEnd"/>
      <w:r w:rsidRPr="008B2CB8">
        <w:rPr>
          <w:sz w:val="24"/>
          <w:szCs w:val="24"/>
        </w:rPr>
        <w:t xml:space="preserve"> new contractor, </w:t>
      </w:r>
      <w:proofErr w:type="spellStart"/>
      <w:r w:rsidRPr="008B2CB8">
        <w:rPr>
          <w:sz w:val="24"/>
          <w:szCs w:val="24"/>
        </w:rPr>
        <w:t>Tascor</w:t>
      </w:r>
      <w:proofErr w:type="spellEnd"/>
      <w:r w:rsidRPr="008B2CB8">
        <w:rPr>
          <w:sz w:val="24"/>
          <w:szCs w:val="24"/>
        </w:rPr>
        <w:t>:</w:t>
      </w:r>
    </w:p>
    <w:p w:rsidR="002B6091" w:rsidRPr="008B2CB8" w:rsidRDefault="002B6091" w:rsidP="002B6091">
      <w:pPr>
        <w:pStyle w:val="ListParagraph"/>
        <w:numPr>
          <w:ilvl w:val="0"/>
          <w:numId w:val="71"/>
        </w:numPr>
        <w:spacing w:after="0"/>
        <w:ind w:left="780"/>
        <w:rPr>
          <w:sz w:val="24"/>
          <w:szCs w:val="24"/>
        </w:rPr>
      </w:pPr>
      <w:r w:rsidRPr="008B2CB8">
        <w:rPr>
          <w:sz w:val="24"/>
          <w:szCs w:val="24"/>
        </w:rPr>
        <w:t>made loud animal noises, and swore loudly in front of deportees;</w:t>
      </w:r>
      <w:r w:rsidRPr="008B2CB8">
        <w:rPr>
          <w:rStyle w:val="FootnoteReference"/>
          <w:sz w:val="24"/>
          <w:szCs w:val="24"/>
        </w:rPr>
        <w:footnoteReference w:id="521"/>
      </w:r>
      <w:r w:rsidRPr="008B2CB8">
        <w:rPr>
          <w:sz w:val="24"/>
          <w:szCs w:val="24"/>
        </w:rPr>
        <w:t xml:space="preserve"> and </w:t>
      </w:r>
    </w:p>
    <w:p w:rsidR="002B6091" w:rsidRPr="008B2CB8" w:rsidRDefault="002B6091" w:rsidP="002B6091">
      <w:pPr>
        <w:pStyle w:val="ListParagraph"/>
        <w:numPr>
          <w:ilvl w:val="0"/>
          <w:numId w:val="71"/>
        </w:numPr>
        <w:spacing w:after="0"/>
        <w:ind w:left="780"/>
        <w:rPr>
          <w:sz w:val="24"/>
          <w:szCs w:val="24"/>
        </w:rPr>
      </w:pPr>
      <w:proofErr w:type="gramStart"/>
      <w:r w:rsidRPr="008B2CB8">
        <w:rPr>
          <w:sz w:val="24"/>
          <w:szCs w:val="24"/>
        </w:rPr>
        <w:t>fell</w:t>
      </w:r>
      <w:proofErr w:type="gramEnd"/>
      <w:r w:rsidRPr="008B2CB8">
        <w:rPr>
          <w:sz w:val="24"/>
          <w:szCs w:val="24"/>
        </w:rPr>
        <w:t xml:space="preserve"> asleep, despite being in charge of someone identified as at risk of self-harm.</w:t>
      </w:r>
      <w:r w:rsidRPr="008B2CB8">
        <w:rPr>
          <w:rStyle w:val="FootnoteReference"/>
          <w:sz w:val="24"/>
          <w:szCs w:val="24"/>
        </w:rPr>
        <w:footnoteReference w:id="522"/>
      </w:r>
    </w:p>
    <w:p w:rsidR="002B6091" w:rsidRPr="008B2CB8" w:rsidRDefault="002B6091" w:rsidP="002B6091">
      <w:pPr>
        <w:spacing w:after="0"/>
        <w:rPr>
          <w:sz w:val="24"/>
          <w:szCs w:val="24"/>
        </w:rPr>
      </w:pPr>
    </w:p>
    <w:p w:rsidR="002B6091" w:rsidRPr="008B2CB8" w:rsidRDefault="002B6091" w:rsidP="002B6091">
      <w:pPr>
        <w:spacing w:after="0"/>
        <w:rPr>
          <w:sz w:val="24"/>
          <w:szCs w:val="24"/>
        </w:rPr>
      </w:pPr>
      <w:r w:rsidRPr="008B2CB8">
        <w:rPr>
          <w:sz w:val="24"/>
          <w:szCs w:val="24"/>
        </w:rPr>
        <w:t xml:space="preserve">The HMCIP’s report included 22 recommendations to the Home Office and </w:t>
      </w:r>
      <w:proofErr w:type="spellStart"/>
      <w:r w:rsidRPr="008B2CB8">
        <w:rPr>
          <w:sz w:val="24"/>
          <w:szCs w:val="24"/>
        </w:rPr>
        <w:t>Tascor</w:t>
      </w:r>
      <w:proofErr w:type="spellEnd"/>
      <w:r w:rsidRPr="008B2CB8">
        <w:rPr>
          <w:sz w:val="24"/>
          <w:szCs w:val="24"/>
        </w:rPr>
        <w:t>, which covered concerns about safety, respect and preparations for reintegration.</w:t>
      </w:r>
      <w:r w:rsidRPr="008B2CB8">
        <w:rPr>
          <w:rStyle w:val="FootnoteReference"/>
          <w:sz w:val="24"/>
          <w:szCs w:val="24"/>
        </w:rPr>
        <w:footnoteReference w:id="523"/>
      </w:r>
      <w:r w:rsidRPr="008B2CB8">
        <w:rPr>
          <w:sz w:val="24"/>
          <w:szCs w:val="24"/>
        </w:rPr>
        <w:t xml:space="preserve"> This reiterated concerns made in other reports of abuse by </w:t>
      </w:r>
      <w:proofErr w:type="spellStart"/>
      <w:r w:rsidRPr="008B2CB8">
        <w:rPr>
          <w:sz w:val="24"/>
          <w:szCs w:val="24"/>
        </w:rPr>
        <w:t>Tascor</w:t>
      </w:r>
      <w:proofErr w:type="spellEnd"/>
      <w:r w:rsidRPr="008B2CB8">
        <w:rPr>
          <w:sz w:val="24"/>
          <w:szCs w:val="24"/>
        </w:rPr>
        <w:t xml:space="preserve"> personnel, and that potentially lethal head-down restraints may still have been used, even though they are not authorised.</w:t>
      </w:r>
      <w:r w:rsidRPr="008B2CB8">
        <w:rPr>
          <w:rStyle w:val="FootnoteReference"/>
          <w:sz w:val="24"/>
          <w:szCs w:val="24"/>
        </w:rPr>
        <w:footnoteReference w:id="524"/>
      </w:r>
      <w:r w:rsidRPr="008B2CB8">
        <w:rPr>
          <w:sz w:val="24"/>
          <w:szCs w:val="24"/>
        </w:rPr>
        <w:t xml:space="preserve"> </w:t>
      </w:r>
    </w:p>
    <w:p w:rsidR="002B6091" w:rsidRPr="008B2CB8" w:rsidRDefault="002B6091" w:rsidP="002B6091">
      <w:pPr>
        <w:spacing w:after="0"/>
        <w:rPr>
          <w:sz w:val="24"/>
          <w:szCs w:val="24"/>
        </w:rPr>
      </w:pPr>
    </w:p>
    <w:p w:rsidR="002B6091" w:rsidRPr="008B2CB8" w:rsidRDefault="002B6091" w:rsidP="002B6091">
      <w:pPr>
        <w:spacing w:after="0"/>
        <w:rPr>
          <w:sz w:val="24"/>
          <w:szCs w:val="24"/>
        </w:rPr>
      </w:pPr>
      <w:r w:rsidRPr="008B2CB8">
        <w:rPr>
          <w:sz w:val="24"/>
          <w:szCs w:val="24"/>
        </w:rPr>
        <w:t>In June 2014, the UK Government finally responded</w:t>
      </w:r>
      <w:r w:rsidRPr="008B2CB8">
        <w:rPr>
          <w:rStyle w:val="FootnoteReference"/>
          <w:sz w:val="24"/>
          <w:szCs w:val="24"/>
        </w:rPr>
        <w:footnoteReference w:id="525"/>
      </w:r>
      <w:r w:rsidRPr="008B2CB8">
        <w:rPr>
          <w:sz w:val="24"/>
          <w:szCs w:val="24"/>
        </w:rPr>
        <w:t xml:space="preserve"> to recommendations made in 2010 to review the training provided on the use of force to ensure officers are trained to “consider constantly the legality, necessity and proportionality of that use of force.”</w:t>
      </w:r>
      <w:r w:rsidRPr="008B2CB8">
        <w:rPr>
          <w:rStyle w:val="FootnoteReference"/>
          <w:sz w:val="24"/>
          <w:szCs w:val="24"/>
        </w:rPr>
        <w:footnoteReference w:id="526"/>
      </w:r>
      <w:r w:rsidRPr="008B2CB8">
        <w:rPr>
          <w:sz w:val="24"/>
          <w:szCs w:val="24"/>
        </w:rPr>
        <w:t xml:space="preserve"> The new restraint system will be implemented from July 2014 </w:t>
      </w:r>
      <w:r>
        <w:rPr>
          <w:sz w:val="24"/>
          <w:szCs w:val="24"/>
        </w:rPr>
        <w:t xml:space="preserve">and </w:t>
      </w:r>
      <w:r w:rsidRPr="008B2CB8">
        <w:rPr>
          <w:sz w:val="24"/>
          <w:szCs w:val="24"/>
        </w:rPr>
        <w:t xml:space="preserve">has </w:t>
      </w:r>
      <w:r w:rsidRPr="008B2CB8">
        <w:rPr>
          <w:sz w:val="24"/>
          <w:szCs w:val="24"/>
        </w:rPr>
        <w:lastRenderedPageBreak/>
        <w:t>been assessed by the Independent Advisory Panel for Non Compliance Management.</w:t>
      </w:r>
      <w:r w:rsidRPr="008B2CB8">
        <w:rPr>
          <w:rStyle w:val="FootnoteReference"/>
          <w:sz w:val="24"/>
          <w:szCs w:val="24"/>
        </w:rPr>
        <w:footnoteReference w:id="527"/>
      </w:r>
    </w:p>
    <w:p w:rsidR="002B6091" w:rsidRPr="008B2CB8" w:rsidRDefault="002B6091" w:rsidP="002B6091">
      <w:pPr>
        <w:pStyle w:val="Heading2"/>
        <w:numPr>
          <w:ilvl w:val="0"/>
          <w:numId w:val="69"/>
        </w:numPr>
        <w:rPr>
          <w:sz w:val="24"/>
          <w:szCs w:val="24"/>
        </w:rPr>
      </w:pPr>
      <w:bookmarkStart w:id="128" w:name="_Toc420603243"/>
      <w:bookmarkStart w:id="129" w:name="_Toc420603334"/>
      <w:r w:rsidRPr="008B2CB8">
        <w:rPr>
          <w:sz w:val="24"/>
          <w:szCs w:val="24"/>
        </w:rPr>
        <w:t>Immigration Detention of Children</w:t>
      </w:r>
      <w:bookmarkEnd w:id="128"/>
      <w:bookmarkEnd w:id="129"/>
    </w:p>
    <w:p w:rsidR="002B6091" w:rsidRPr="008B2CB8" w:rsidRDefault="002B6091" w:rsidP="002B6091">
      <w:pPr>
        <w:rPr>
          <w:sz w:val="24"/>
          <w:szCs w:val="24"/>
        </w:rPr>
      </w:pPr>
      <w:r w:rsidRPr="008B2CB8">
        <w:rPr>
          <w:sz w:val="24"/>
          <w:szCs w:val="24"/>
        </w:rPr>
        <w:t>In June 2010, the UK Government announced it would end the detention of children for immigration purposes.</w:t>
      </w:r>
      <w:r w:rsidRPr="008B2CB8">
        <w:rPr>
          <w:rStyle w:val="FootnoteReference"/>
          <w:sz w:val="24"/>
          <w:szCs w:val="24"/>
        </w:rPr>
        <w:footnoteReference w:id="528"/>
      </w:r>
      <w:r w:rsidRPr="008B2CB8">
        <w:rPr>
          <w:sz w:val="24"/>
          <w:szCs w:val="24"/>
        </w:rPr>
        <w:t xml:space="preserve"> It published its review on the subject as it closed the family unit at </w:t>
      </w:r>
      <w:proofErr w:type="spellStart"/>
      <w:r w:rsidRPr="008B2CB8">
        <w:rPr>
          <w:sz w:val="24"/>
          <w:szCs w:val="24"/>
        </w:rPr>
        <w:t>Yarl’s</w:t>
      </w:r>
      <w:proofErr w:type="spellEnd"/>
      <w:r w:rsidRPr="008B2CB8">
        <w:rPr>
          <w:sz w:val="24"/>
          <w:szCs w:val="24"/>
        </w:rPr>
        <w:t xml:space="preserve"> Wood IRC.</w:t>
      </w:r>
      <w:r w:rsidRPr="008B2CB8">
        <w:rPr>
          <w:rStyle w:val="FootnoteReference"/>
          <w:sz w:val="24"/>
          <w:szCs w:val="24"/>
        </w:rPr>
        <w:footnoteReference w:id="529"/>
      </w:r>
      <w:r w:rsidRPr="008B2CB8">
        <w:rPr>
          <w:sz w:val="24"/>
          <w:szCs w:val="24"/>
        </w:rPr>
        <w:t xml:space="preserve"> The new process provides for detention of children in two contexts:</w:t>
      </w:r>
    </w:p>
    <w:p w:rsidR="002B6091" w:rsidRPr="008B2CB8" w:rsidRDefault="002B6091" w:rsidP="002B6091">
      <w:pPr>
        <w:pStyle w:val="ListParagraph"/>
        <w:numPr>
          <w:ilvl w:val="0"/>
          <w:numId w:val="72"/>
        </w:numPr>
        <w:rPr>
          <w:sz w:val="24"/>
          <w:szCs w:val="24"/>
        </w:rPr>
      </w:pPr>
      <w:r w:rsidRPr="008B2CB8">
        <w:rPr>
          <w:sz w:val="24"/>
          <w:szCs w:val="24"/>
        </w:rPr>
        <w:t>upon arrival in the UK, for example between May and the end of August 2011 (the year the new system was introduced) 697 children were held at Greater London and South East ports, one third of whom were unaccompanied.</w:t>
      </w:r>
      <w:r w:rsidRPr="008B2CB8">
        <w:rPr>
          <w:rStyle w:val="FootnoteReference"/>
          <w:sz w:val="24"/>
          <w:szCs w:val="24"/>
        </w:rPr>
        <w:footnoteReference w:id="530"/>
      </w:r>
      <w:r w:rsidRPr="008B2CB8">
        <w:rPr>
          <w:sz w:val="24"/>
          <w:szCs w:val="24"/>
        </w:rPr>
        <w:t xml:space="preserve"> Evidence suggests these children are not being held for the “shortest appropriate period of time,” but instead are “detained whilst significant interviews took place that will inevitably bear on their prospects of being granted permission to stay in the UK”</w:t>
      </w:r>
      <w:r w:rsidRPr="008B2CB8">
        <w:rPr>
          <w:rStyle w:val="FootnoteReference"/>
          <w:sz w:val="24"/>
          <w:szCs w:val="24"/>
        </w:rPr>
        <w:footnoteReference w:id="531"/>
      </w:r>
      <w:r>
        <w:rPr>
          <w:sz w:val="24"/>
          <w:szCs w:val="24"/>
        </w:rPr>
        <w:t>;</w:t>
      </w:r>
      <w:r w:rsidRPr="008B2CB8">
        <w:rPr>
          <w:sz w:val="24"/>
          <w:szCs w:val="24"/>
        </w:rPr>
        <w:t xml:space="preserve"> and</w:t>
      </w:r>
    </w:p>
    <w:p w:rsidR="002B6091" w:rsidRPr="008B2CB8" w:rsidRDefault="002B6091" w:rsidP="002B6091">
      <w:pPr>
        <w:pStyle w:val="ListParagraph"/>
        <w:numPr>
          <w:ilvl w:val="0"/>
          <w:numId w:val="72"/>
        </w:numPr>
        <w:rPr>
          <w:sz w:val="24"/>
          <w:szCs w:val="24"/>
        </w:rPr>
      </w:pPr>
      <w:r w:rsidRPr="008B2CB8">
        <w:rPr>
          <w:sz w:val="24"/>
          <w:szCs w:val="24"/>
        </w:rPr>
        <w:t>referral, as a “last resort”, to Cedars “pre departure accommodation” near Gatwick Airport, for up to 72 hours (approximately 80%) or up to one week with Ministerial approval. 58 families with 120 children stayed</w:t>
      </w:r>
    </w:p>
    <w:p w:rsidR="002B6091" w:rsidRPr="008B2CB8" w:rsidRDefault="002B6091" w:rsidP="002B6091">
      <w:pPr>
        <w:pStyle w:val="ListParagraph"/>
        <w:rPr>
          <w:sz w:val="24"/>
          <w:szCs w:val="24"/>
        </w:rPr>
      </w:pPr>
      <w:proofErr w:type="gramStart"/>
      <w:r w:rsidRPr="008B2CB8">
        <w:rPr>
          <w:sz w:val="24"/>
          <w:szCs w:val="24"/>
        </w:rPr>
        <w:t>at</w:t>
      </w:r>
      <w:proofErr w:type="gramEnd"/>
      <w:r w:rsidRPr="008B2CB8">
        <w:rPr>
          <w:sz w:val="24"/>
          <w:szCs w:val="24"/>
        </w:rPr>
        <w:t xml:space="preserve"> Cedars in its first year, reducing to 50 families with 90 children in the second year.</w:t>
      </w:r>
      <w:r w:rsidRPr="008B2CB8">
        <w:rPr>
          <w:rStyle w:val="FootnoteReference"/>
          <w:sz w:val="24"/>
          <w:szCs w:val="24"/>
        </w:rPr>
        <w:footnoteReference w:id="532"/>
      </w:r>
      <w:r w:rsidRPr="008B2CB8">
        <w:rPr>
          <w:sz w:val="24"/>
          <w:szCs w:val="24"/>
        </w:rPr>
        <w:t xml:space="preserve"> Welfare and support services are provided by children’s charity </w:t>
      </w:r>
      <w:proofErr w:type="spellStart"/>
      <w:r w:rsidRPr="008B2CB8">
        <w:rPr>
          <w:sz w:val="24"/>
          <w:szCs w:val="24"/>
        </w:rPr>
        <w:t>Barnardo’s</w:t>
      </w:r>
      <w:proofErr w:type="spellEnd"/>
      <w:r w:rsidRPr="008B2CB8">
        <w:rPr>
          <w:sz w:val="24"/>
          <w:szCs w:val="24"/>
        </w:rPr>
        <w:t xml:space="preserve"> who have made five recommendations to improve this system, including that physical intervention should not be used with children or pregnant women except to prevent harm to self or others; and children should never be separated from their parents for the purposes of immigration control, but only if there is a safeguarding or welfare concern.</w:t>
      </w:r>
      <w:r w:rsidRPr="008B2CB8">
        <w:rPr>
          <w:rStyle w:val="FootnoteReference"/>
          <w:sz w:val="24"/>
          <w:szCs w:val="24"/>
        </w:rPr>
        <w:footnoteReference w:id="533"/>
      </w:r>
      <w:r w:rsidRPr="008B2CB8">
        <w:rPr>
          <w:sz w:val="24"/>
          <w:szCs w:val="24"/>
        </w:rPr>
        <w:t xml:space="preserve"> </w:t>
      </w:r>
    </w:p>
    <w:p w:rsidR="002B6091" w:rsidRPr="008B2CB8" w:rsidRDefault="002B6091" w:rsidP="002B6091">
      <w:pPr>
        <w:pStyle w:val="ListParagraph"/>
        <w:rPr>
          <w:sz w:val="24"/>
          <w:szCs w:val="24"/>
        </w:rPr>
      </w:pPr>
    </w:p>
    <w:p w:rsidR="002B6091" w:rsidRPr="008B2CB8" w:rsidRDefault="002B6091" w:rsidP="002B6091">
      <w:pPr>
        <w:pStyle w:val="ListParagraph"/>
        <w:ind w:left="0"/>
        <w:rPr>
          <w:b/>
          <w:sz w:val="24"/>
          <w:szCs w:val="24"/>
        </w:rPr>
      </w:pPr>
      <w:r w:rsidRPr="008B2CB8">
        <w:rPr>
          <w:b/>
          <w:sz w:val="24"/>
          <w:szCs w:val="24"/>
        </w:rPr>
        <w:t xml:space="preserve">Conclusion: The EHRC is concerned that many of the concerns raised by the CAT Committee in 2013 have not yet been acted upon, including: </w:t>
      </w:r>
    </w:p>
    <w:p w:rsidR="002B6091" w:rsidRPr="008B2CB8" w:rsidRDefault="002B6091" w:rsidP="002B6091">
      <w:pPr>
        <w:pStyle w:val="ListParagraph"/>
        <w:numPr>
          <w:ilvl w:val="0"/>
          <w:numId w:val="81"/>
        </w:numPr>
        <w:rPr>
          <w:b/>
          <w:sz w:val="24"/>
          <w:szCs w:val="24"/>
        </w:rPr>
      </w:pPr>
      <w:r w:rsidRPr="008B2CB8">
        <w:rPr>
          <w:b/>
          <w:sz w:val="24"/>
          <w:szCs w:val="24"/>
        </w:rPr>
        <w:t>evidence is not yet available to demonstrate that detention is not being used as a last resort by UK immigration agencies</w:t>
      </w:r>
      <w:r>
        <w:rPr>
          <w:b/>
          <w:sz w:val="24"/>
          <w:szCs w:val="24"/>
        </w:rPr>
        <w:t>, or that the system is preventing the detention of torture survivors or victims of trafficking</w:t>
      </w:r>
      <w:r w:rsidRPr="008B2CB8">
        <w:rPr>
          <w:b/>
          <w:sz w:val="24"/>
          <w:szCs w:val="24"/>
        </w:rPr>
        <w:t>;</w:t>
      </w:r>
    </w:p>
    <w:p w:rsidR="002B6091" w:rsidRPr="008B2CB8" w:rsidRDefault="002B6091" w:rsidP="002B6091">
      <w:pPr>
        <w:pStyle w:val="ListParagraph"/>
        <w:numPr>
          <w:ilvl w:val="0"/>
          <w:numId w:val="81"/>
        </w:numPr>
        <w:rPr>
          <w:b/>
          <w:sz w:val="24"/>
          <w:szCs w:val="24"/>
        </w:rPr>
      </w:pPr>
      <w:r w:rsidRPr="008B2CB8">
        <w:rPr>
          <w:b/>
          <w:sz w:val="24"/>
          <w:szCs w:val="24"/>
        </w:rPr>
        <w:lastRenderedPageBreak/>
        <w:t xml:space="preserve">where detention of someone with a mental health condition is unavoidable, medical care provision is currently inadequate; </w:t>
      </w:r>
    </w:p>
    <w:p w:rsidR="002B6091" w:rsidRPr="008B2CB8" w:rsidRDefault="002B6091" w:rsidP="002B6091">
      <w:pPr>
        <w:pStyle w:val="ListParagraph"/>
        <w:numPr>
          <w:ilvl w:val="0"/>
          <w:numId w:val="81"/>
        </w:numPr>
        <w:rPr>
          <w:b/>
          <w:sz w:val="24"/>
          <w:szCs w:val="24"/>
        </w:rPr>
      </w:pPr>
      <w:r w:rsidRPr="008B2CB8">
        <w:rPr>
          <w:b/>
          <w:sz w:val="24"/>
          <w:szCs w:val="24"/>
        </w:rPr>
        <w:t>despite the change in UK Government policy, the detention of children for immigration purposes continues and needs to cease; and</w:t>
      </w:r>
    </w:p>
    <w:p w:rsidR="002B6091" w:rsidRPr="008B2CB8" w:rsidRDefault="002B6091" w:rsidP="002B6091">
      <w:pPr>
        <w:pStyle w:val="ListParagraph"/>
        <w:numPr>
          <w:ilvl w:val="0"/>
          <w:numId w:val="81"/>
        </w:numPr>
        <w:rPr>
          <w:b/>
          <w:sz w:val="24"/>
          <w:szCs w:val="24"/>
        </w:rPr>
      </w:pPr>
      <w:proofErr w:type="gramStart"/>
      <w:r w:rsidRPr="008B2CB8">
        <w:rPr>
          <w:b/>
          <w:sz w:val="24"/>
          <w:szCs w:val="24"/>
        </w:rPr>
        <w:t>the</w:t>
      </w:r>
      <w:proofErr w:type="gramEnd"/>
      <w:r w:rsidRPr="008B2CB8">
        <w:rPr>
          <w:b/>
          <w:sz w:val="24"/>
          <w:szCs w:val="24"/>
        </w:rPr>
        <w:t xml:space="preserve"> need to act upon the findings of the Jimmy </w:t>
      </w:r>
      <w:proofErr w:type="spellStart"/>
      <w:r w:rsidRPr="008B2CB8">
        <w:rPr>
          <w:b/>
          <w:sz w:val="24"/>
          <w:szCs w:val="24"/>
        </w:rPr>
        <w:t>Mubenga</w:t>
      </w:r>
      <w:proofErr w:type="spellEnd"/>
      <w:r w:rsidRPr="008B2CB8">
        <w:rPr>
          <w:b/>
          <w:sz w:val="24"/>
          <w:szCs w:val="24"/>
        </w:rPr>
        <w:t xml:space="preserve"> inquest</w:t>
      </w:r>
      <w:r>
        <w:rPr>
          <w:b/>
          <w:sz w:val="24"/>
          <w:szCs w:val="24"/>
        </w:rPr>
        <w:t>.</w:t>
      </w:r>
    </w:p>
    <w:p w:rsidR="002B6091" w:rsidRPr="008B2CB8" w:rsidRDefault="002B6091" w:rsidP="002B6091">
      <w:pPr>
        <w:pStyle w:val="ListParagraph"/>
        <w:ind w:left="0"/>
        <w:rPr>
          <w:b/>
          <w:sz w:val="24"/>
          <w:szCs w:val="24"/>
        </w:rPr>
      </w:pPr>
    </w:p>
    <w:p w:rsidR="002B6091" w:rsidRPr="008B2CB8" w:rsidRDefault="002B6091" w:rsidP="002B6091">
      <w:pPr>
        <w:pStyle w:val="ListParagraph"/>
        <w:ind w:left="0"/>
        <w:rPr>
          <w:b/>
          <w:sz w:val="24"/>
          <w:szCs w:val="24"/>
        </w:rPr>
      </w:pPr>
      <w:r w:rsidRPr="008B2CB8">
        <w:rPr>
          <w:b/>
          <w:sz w:val="24"/>
          <w:szCs w:val="24"/>
        </w:rPr>
        <w:t>Question A: What steps has the UK Government taken to actively consider and implement CAT’s recommendations, set out in paragraph 30 of its 2013 Concluding Observations?</w:t>
      </w:r>
    </w:p>
    <w:p w:rsidR="002B6091" w:rsidRPr="008B2CB8" w:rsidRDefault="002B6091" w:rsidP="002B6091">
      <w:pPr>
        <w:pStyle w:val="Heading2"/>
        <w:numPr>
          <w:ilvl w:val="0"/>
          <w:numId w:val="65"/>
        </w:numPr>
        <w:rPr>
          <w:sz w:val="24"/>
          <w:szCs w:val="24"/>
        </w:rPr>
      </w:pPr>
      <w:bookmarkStart w:id="130" w:name="_Toc420603244"/>
      <w:bookmarkStart w:id="131" w:name="_Toc420603335"/>
      <w:r w:rsidRPr="008B2CB8">
        <w:rPr>
          <w:sz w:val="24"/>
          <w:szCs w:val="24"/>
        </w:rPr>
        <w:t>Prisons</w:t>
      </w:r>
      <w:r w:rsidRPr="008B2CB8">
        <w:rPr>
          <w:rStyle w:val="FootnoteReference"/>
          <w:sz w:val="24"/>
          <w:szCs w:val="24"/>
        </w:rPr>
        <w:footnoteReference w:id="534"/>
      </w:r>
      <w:bookmarkEnd w:id="130"/>
      <w:bookmarkEnd w:id="131"/>
    </w:p>
    <w:p w:rsidR="002B6091" w:rsidRPr="008B2CB8" w:rsidRDefault="002B6091" w:rsidP="002B6091">
      <w:pPr>
        <w:pStyle w:val="Heading2"/>
        <w:numPr>
          <w:ilvl w:val="0"/>
          <w:numId w:val="73"/>
        </w:numPr>
        <w:rPr>
          <w:sz w:val="24"/>
          <w:szCs w:val="24"/>
        </w:rPr>
      </w:pPr>
      <w:bookmarkStart w:id="132" w:name="_Toc420603245"/>
      <w:bookmarkStart w:id="133" w:name="_Toc420603336"/>
      <w:r w:rsidRPr="008B2CB8">
        <w:rPr>
          <w:sz w:val="24"/>
          <w:szCs w:val="24"/>
        </w:rPr>
        <w:t>Prison Overcrowding and Social Reintegration</w:t>
      </w:r>
      <w:bookmarkEnd w:id="132"/>
      <w:bookmarkEnd w:id="133"/>
    </w:p>
    <w:p w:rsidR="002B6091" w:rsidRPr="008B2CB8" w:rsidRDefault="002B6091" w:rsidP="002B6091">
      <w:pPr>
        <w:spacing w:after="0"/>
        <w:rPr>
          <w:rFonts w:cs="Arial"/>
          <w:bCs/>
          <w:sz w:val="24"/>
          <w:szCs w:val="24"/>
        </w:rPr>
      </w:pPr>
      <w:r w:rsidRPr="008B2CB8">
        <w:rPr>
          <w:rFonts w:cs="Arial"/>
          <w:bCs/>
          <w:sz w:val="24"/>
          <w:szCs w:val="24"/>
        </w:rPr>
        <w:t>Britain has the second highest prison rate in Western Europe, after Spain.</w:t>
      </w:r>
      <w:r w:rsidRPr="008B2CB8">
        <w:rPr>
          <w:rStyle w:val="FootnoteReference"/>
          <w:rFonts w:cs="Arial"/>
          <w:bCs/>
          <w:sz w:val="24"/>
          <w:szCs w:val="24"/>
        </w:rPr>
        <w:footnoteReference w:id="535"/>
      </w:r>
      <w:r w:rsidRPr="008B2CB8">
        <w:rPr>
          <w:rFonts w:cs="Arial"/>
          <w:bCs/>
          <w:sz w:val="24"/>
          <w:szCs w:val="24"/>
        </w:rPr>
        <w:t xml:space="preserve"> On 25 April 2014, the prison population stood at 85,300 in England and Wales.</w:t>
      </w:r>
      <w:r w:rsidRPr="008B2CB8">
        <w:rPr>
          <w:rStyle w:val="FootnoteReference"/>
          <w:rFonts w:cs="Arial"/>
          <w:bCs/>
          <w:sz w:val="24"/>
          <w:szCs w:val="24"/>
        </w:rPr>
        <w:footnoteReference w:id="536"/>
      </w:r>
      <w:r w:rsidRPr="008B2CB8">
        <w:rPr>
          <w:rFonts w:cs="Arial"/>
          <w:bCs/>
          <w:sz w:val="24"/>
          <w:szCs w:val="24"/>
        </w:rPr>
        <w:t xml:space="preserve"> </w:t>
      </w:r>
      <w:proofErr w:type="gramStart"/>
      <w:r>
        <w:rPr>
          <w:rFonts w:cs="Arial"/>
          <w:bCs/>
          <w:sz w:val="24"/>
          <w:szCs w:val="24"/>
        </w:rPr>
        <w:t>Between 1993 and 2012 the prison population increased by 98%.</w:t>
      </w:r>
      <w:proofErr w:type="gramEnd"/>
      <w:r>
        <w:rPr>
          <w:rStyle w:val="FootnoteReference"/>
          <w:rFonts w:cs="Arial"/>
          <w:bCs/>
          <w:sz w:val="24"/>
          <w:szCs w:val="24"/>
        </w:rPr>
        <w:footnoteReference w:id="537"/>
      </w:r>
      <w:r>
        <w:rPr>
          <w:rFonts w:cs="Arial"/>
          <w:bCs/>
          <w:sz w:val="24"/>
          <w:szCs w:val="24"/>
        </w:rPr>
        <w:t xml:space="preserve"> </w:t>
      </w:r>
      <w:r w:rsidRPr="008B2CB8">
        <w:rPr>
          <w:rFonts w:cs="Arial"/>
          <w:bCs/>
          <w:sz w:val="24"/>
          <w:szCs w:val="24"/>
        </w:rPr>
        <w:t>Each prison has a Certified Normal Accommodation (CNA), which is the uncrowded capacity of the establishment. In April, the population in England and Wales was operating above the CNA level at 112</w:t>
      </w:r>
      <w:r>
        <w:rPr>
          <w:rFonts w:cs="Arial"/>
          <w:bCs/>
          <w:sz w:val="24"/>
          <w:szCs w:val="24"/>
        </w:rPr>
        <w:t>%</w:t>
      </w:r>
      <w:r w:rsidRPr="008B2CB8">
        <w:rPr>
          <w:rFonts w:cs="Arial"/>
          <w:bCs/>
          <w:sz w:val="24"/>
          <w:szCs w:val="24"/>
        </w:rPr>
        <w:t>.</w:t>
      </w:r>
      <w:r w:rsidRPr="008B2CB8">
        <w:rPr>
          <w:rFonts w:cs="Arial"/>
          <w:bCs/>
          <w:sz w:val="24"/>
          <w:szCs w:val="24"/>
          <w:vertAlign w:val="superscript"/>
        </w:rPr>
        <w:footnoteReference w:id="538"/>
      </w:r>
      <w:r w:rsidR="008C67B4">
        <w:rPr>
          <w:rFonts w:cs="Arial"/>
          <w:bCs/>
          <w:sz w:val="24"/>
          <w:szCs w:val="24"/>
        </w:rPr>
        <w:t xml:space="preserve"> </w:t>
      </w:r>
    </w:p>
    <w:p w:rsidR="002B6091" w:rsidRPr="008B2CB8" w:rsidRDefault="002B6091" w:rsidP="002B6091">
      <w:pPr>
        <w:spacing w:after="0"/>
        <w:rPr>
          <w:rFonts w:cs="Arial"/>
          <w:bCs/>
          <w:sz w:val="24"/>
          <w:szCs w:val="24"/>
        </w:rPr>
      </w:pPr>
    </w:p>
    <w:p w:rsidR="002B6091" w:rsidRPr="008B2CB8" w:rsidRDefault="002B6091" w:rsidP="002B6091">
      <w:pPr>
        <w:spacing w:after="0"/>
        <w:rPr>
          <w:rFonts w:cs="Arial"/>
          <w:sz w:val="24"/>
          <w:szCs w:val="24"/>
          <w:lang w:eastAsia="en-GB"/>
        </w:rPr>
      </w:pPr>
      <w:r w:rsidRPr="008B2CB8">
        <w:rPr>
          <w:rFonts w:cs="Arial"/>
          <w:bCs/>
          <w:sz w:val="24"/>
          <w:szCs w:val="24"/>
        </w:rPr>
        <w:t>In parallel with the increase in the prison population, human and financial resources are falling. Between</w:t>
      </w:r>
      <w:r w:rsidRPr="008B2CB8">
        <w:rPr>
          <w:rFonts w:cs="Arial"/>
          <w:bCs/>
          <w:sz w:val="24"/>
          <w:szCs w:val="24"/>
          <w:lang w:eastAsia="en-GB"/>
        </w:rPr>
        <w:t xml:space="preserve"> 31 March 2010 and 30 June 2013 the number of staff across the prison estate fell by 17.7% (7,980 staff).</w:t>
      </w:r>
      <w:r w:rsidRPr="008B2CB8">
        <w:rPr>
          <w:rStyle w:val="FootnoteReference"/>
          <w:rFonts w:cs="Arial"/>
          <w:bCs/>
          <w:sz w:val="24"/>
          <w:szCs w:val="24"/>
          <w:lang w:eastAsia="en-GB"/>
        </w:rPr>
        <w:footnoteReference w:id="539"/>
      </w:r>
      <w:r w:rsidRPr="008B2CB8">
        <w:rPr>
          <w:rFonts w:cs="Arial"/>
          <w:bCs/>
          <w:sz w:val="24"/>
          <w:szCs w:val="24"/>
          <w:lang w:eastAsia="en-GB"/>
        </w:rPr>
        <w:t xml:space="preserve"> </w:t>
      </w:r>
      <w:r>
        <w:rPr>
          <w:rFonts w:cs="Arial"/>
          <w:bCs/>
          <w:sz w:val="24"/>
          <w:szCs w:val="24"/>
        </w:rPr>
        <w:t>The National Audit Office has estimated that removing levels of overcrowding would cost over £900million.</w:t>
      </w:r>
      <w:r>
        <w:rPr>
          <w:rStyle w:val="FootnoteReference"/>
          <w:rFonts w:cs="Arial"/>
          <w:bCs/>
          <w:sz w:val="24"/>
          <w:szCs w:val="24"/>
        </w:rPr>
        <w:footnoteReference w:id="540"/>
      </w:r>
      <w:r>
        <w:rPr>
          <w:rFonts w:cs="Arial"/>
          <w:bCs/>
          <w:sz w:val="24"/>
          <w:szCs w:val="24"/>
        </w:rPr>
        <w:t xml:space="preserve"> Meanwhile, </w:t>
      </w:r>
      <w:r>
        <w:rPr>
          <w:rFonts w:cs="Arial"/>
          <w:bCs/>
          <w:sz w:val="24"/>
          <w:szCs w:val="24"/>
          <w:lang w:eastAsia="en-GB"/>
        </w:rPr>
        <w:t>t</w:t>
      </w:r>
      <w:r w:rsidRPr="008B2CB8">
        <w:rPr>
          <w:rFonts w:cs="Arial"/>
          <w:bCs/>
          <w:sz w:val="24"/>
          <w:szCs w:val="24"/>
          <w:lang w:eastAsia="en-GB"/>
        </w:rPr>
        <w:t xml:space="preserve">he National Offender Manager Service (NOMS) </w:t>
      </w:r>
      <w:r w:rsidRPr="008B2CB8">
        <w:rPr>
          <w:rFonts w:cs="Arial"/>
          <w:sz w:val="24"/>
          <w:szCs w:val="24"/>
          <w:lang w:eastAsia="en-GB"/>
        </w:rPr>
        <w:t>needs to save £149m in 2014-15, on top of having saved nearly £750m in 2011-12 to 13-14.</w:t>
      </w:r>
      <w:r w:rsidRPr="008B2CB8">
        <w:rPr>
          <w:rStyle w:val="FootnoteReference"/>
          <w:rFonts w:cs="Arial"/>
          <w:sz w:val="24"/>
          <w:szCs w:val="24"/>
          <w:lang w:eastAsia="en-GB"/>
        </w:rPr>
        <w:footnoteReference w:id="541"/>
      </w:r>
      <w:r w:rsidR="008C67B4">
        <w:rPr>
          <w:rFonts w:cs="Arial"/>
          <w:sz w:val="24"/>
          <w:szCs w:val="24"/>
          <w:lang w:eastAsia="en-GB"/>
        </w:rPr>
        <w:t xml:space="preserve"> </w:t>
      </w:r>
      <w:r w:rsidRPr="008B2CB8">
        <w:rPr>
          <w:rFonts w:cs="Arial"/>
          <w:sz w:val="24"/>
          <w:szCs w:val="24"/>
          <w:lang w:eastAsia="en-GB"/>
        </w:rPr>
        <w:t>This represents a total cost reduction of 24%.</w:t>
      </w:r>
      <w:r w:rsidRPr="008B2CB8">
        <w:rPr>
          <w:rStyle w:val="FootnoteReference"/>
          <w:rFonts w:cs="Arial"/>
          <w:sz w:val="24"/>
          <w:szCs w:val="24"/>
          <w:lang w:eastAsia="en-GB"/>
        </w:rPr>
        <w:footnoteReference w:id="542"/>
      </w:r>
      <w:r w:rsidRPr="008B2CB8">
        <w:rPr>
          <w:rFonts w:cs="Arial"/>
          <w:sz w:val="24"/>
          <w:szCs w:val="24"/>
          <w:lang w:eastAsia="en-GB"/>
        </w:rPr>
        <w:t xml:space="preserve"> </w:t>
      </w:r>
    </w:p>
    <w:p w:rsidR="002B6091" w:rsidRPr="008B2CB8" w:rsidRDefault="002B6091" w:rsidP="002B6091">
      <w:pPr>
        <w:spacing w:after="0"/>
        <w:rPr>
          <w:rFonts w:cs="Arial"/>
          <w:sz w:val="24"/>
          <w:szCs w:val="24"/>
          <w:lang w:eastAsia="en-GB"/>
        </w:rPr>
      </w:pPr>
    </w:p>
    <w:p w:rsidR="002B6091" w:rsidRPr="008B2CB8" w:rsidRDefault="002B6091" w:rsidP="002B6091">
      <w:pPr>
        <w:spacing w:after="0"/>
        <w:rPr>
          <w:rFonts w:cs="Arial"/>
          <w:bCs/>
          <w:sz w:val="24"/>
          <w:szCs w:val="24"/>
        </w:rPr>
      </w:pPr>
      <w:r w:rsidRPr="008B2CB8">
        <w:rPr>
          <w:rFonts w:cs="Arial"/>
          <w:sz w:val="24"/>
          <w:szCs w:val="24"/>
          <w:lang w:eastAsia="en-GB"/>
        </w:rPr>
        <w:lastRenderedPageBreak/>
        <w:t>HMCIP has raised concerns about the risks of these financi</w:t>
      </w:r>
      <w:r>
        <w:rPr>
          <w:rFonts w:cs="Arial"/>
          <w:sz w:val="24"/>
          <w:szCs w:val="24"/>
          <w:lang w:eastAsia="en-GB"/>
        </w:rPr>
        <w:t>al and organisational pressures</w:t>
      </w:r>
      <w:r w:rsidRPr="008B2CB8">
        <w:rPr>
          <w:rFonts w:cs="Arial"/>
          <w:sz w:val="24"/>
          <w:szCs w:val="24"/>
          <w:lang w:eastAsia="en-GB"/>
        </w:rPr>
        <w:t xml:space="preserve"> and </w:t>
      </w:r>
      <w:proofErr w:type="spellStart"/>
      <w:r>
        <w:rPr>
          <w:rFonts w:cs="Arial"/>
          <w:sz w:val="24"/>
          <w:szCs w:val="24"/>
          <w:lang w:eastAsia="en-GB"/>
        </w:rPr>
        <w:t>their</w:t>
      </w:r>
      <w:proofErr w:type="spellEnd"/>
      <w:r>
        <w:rPr>
          <w:rFonts w:cs="Arial"/>
          <w:sz w:val="24"/>
          <w:szCs w:val="24"/>
          <w:lang w:eastAsia="en-GB"/>
        </w:rPr>
        <w:t>,</w:t>
      </w:r>
      <w:r w:rsidRPr="008B2CB8">
        <w:rPr>
          <w:rFonts w:cs="Arial"/>
          <w:sz w:val="24"/>
          <w:szCs w:val="24"/>
          <w:lang w:eastAsia="en-GB"/>
        </w:rPr>
        <w:t xml:space="preserve"> </w:t>
      </w:r>
      <w:r>
        <w:rPr>
          <w:rFonts w:cs="Arial"/>
          <w:bCs/>
          <w:sz w:val="24"/>
          <w:szCs w:val="24"/>
        </w:rPr>
        <w:t>perhaps,</w:t>
      </w:r>
      <w:r w:rsidRPr="008B2CB8">
        <w:rPr>
          <w:rFonts w:cs="Arial"/>
          <w:bCs/>
          <w:sz w:val="24"/>
          <w:szCs w:val="24"/>
        </w:rPr>
        <w:t xml:space="preserve"> inevitable impact on prisoners’ experience and their effective rehabilitation.</w:t>
      </w:r>
      <w:r w:rsidRPr="008B2CB8">
        <w:rPr>
          <w:rStyle w:val="FootnoteReference"/>
          <w:rFonts w:cs="Arial"/>
          <w:sz w:val="24"/>
          <w:szCs w:val="24"/>
          <w:lang w:eastAsia="en-GB"/>
        </w:rPr>
        <w:footnoteReference w:id="543"/>
      </w:r>
      <w:r w:rsidRPr="008B2CB8">
        <w:rPr>
          <w:rFonts w:cs="Arial"/>
          <w:sz w:val="24"/>
          <w:szCs w:val="24"/>
          <w:lang w:eastAsia="en-GB"/>
        </w:rPr>
        <w:t xml:space="preserve"> For example, </w:t>
      </w:r>
      <w:r w:rsidRPr="008B2CB8">
        <w:rPr>
          <w:rFonts w:cs="Arial"/>
          <w:bCs/>
          <w:sz w:val="24"/>
          <w:szCs w:val="24"/>
        </w:rPr>
        <w:t>previous progress on safety and respect ha</w:t>
      </w:r>
      <w:r>
        <w:rPr>
          <w:rFonts w:cs="Arial"/>
          <w:bCs/>
          <w:sz w:val="24"/>
          <w:szCs w:val="24"/>
        </w:rPr>
        <w:t>s</w:t>
      </w:r>
      <w:r w:rsidRPr="008B2CB8">
        <w:rPr>
          <w:rFonts w:cs="Arial"/>
          <w:bCs/>
          <w:sz w:val="24"/>
          <w:szCs w:val="24"/>
        </w:rPr>
        <w:t xml:space="preserve"> stalled, and purposeful activity has “plummeted.”</w:t>
      </w:r>
      <w:r w:rsidRPr="008B2CB8">
        <w:rPr>
          <w:rStyle w:val="FootnoteReference"/>
          <w:rFonts w:cs="Arial"/>
          <w:bCs/>
          <w:sz w:val="24"/>
          <w:szCs w:val="24"/>
        </w:rPr>
        <w:footnoteReference w:id="544"/>
      </w:r>
      <w:r w:rsidRPr="008B2CB8">
        <w:rPr>
          <w:rFonts w:cs="Arial"/>
          <w:bCs/>
          <w:sz w:val="24"/>
          <w:szCs w:val="24"/>
        </w:rPr>
        <w:t xml:space="preserve"> A prisoner may find himself unemployed and spending 22 hours a day sharing a cell built for one because there is no activity available to him, with very little to do in order to support him for release.</w:t>
      </w:r>
      <w:r w:rsidRPr="008B2CB8">
        <w:rPr>
          <w:rStyle w:val="FootnoteReference"/>
          <w:rFonts w:cs="Arial"/>
          <w:bCs/>
          <w:sz w:val="24"/>
          <w:szCs w:val="24"/>
        </w:rPr>
        <w:footnoteReference w:id="545"/>
      </w:r>
    </w:p>
    <w:p w:rsidR="002B6091" w:rsidRPr="008B2CB8" w:rsidRDefault="002B6091" w:rsidP="002B6091">
      <w:pPr>
        <w:spacing w:after="0"/>
        <w:rPr>
          <w:rFonts w:cs="Arial"/>
          <w:sz w:val="24"/>
          <w:szCs w:val="24"/>
          <w:lang w:eastAsia="en-GB"/>
        </w:rPr>
      </w:pPr>
    </w:p>
    <w:p w:rsidR="002B6091" w:rsidRPr="008B2CB8" w:rsidRDefault="002B6091" w:rsidP="002B6091">
      <w:pPr>
        <w:autoSpaceDE w:val="0"/>
        <w:autoSpaceDN w:val="0"/>
        <w:adjustRightInd w:val="0"/>
        <w:spacing w:after="0"/>
        <w:rPr>
          <w:rFonts w:cs="Arial"/>
          <w:bCs/>
          <w:sz w:val="24"/>
          <w:szCs w:val="24"/>
        </w:rPr>
      </w:pPr>
      <w:r w:rsidRPr="008B2CB8">
        <w:rPr>
          <w:rFonts w:cs="Arial"/>
          <w:bCs/>
          <w:sz w:val="24"/>
          <w:szCs w:val="24"/>
        </w:rPr>
        <w:t>HMCIP has emphasised that unless budgets increase or the population decreases, recent progress will be undermined, as will the UK Government's intended "rehabilitation revolution".</w:t>
      </w:r>
      <w:r w:rsidRPr="008B2CB8">
        <w:rPr>
          <w:rFonts w:cs="Arial"/>
          <w:bCs/>
          <w:sz w:val="24"/>
          <w:szCs w:val="24"/>
          <w:vertAlign w:val="superscript"/>
        </w:rPr>
        <w:footnoteReference w:id="546"/>
      </w:r>
      <w:r w:rsidR="008C67B4">
        <w:rPr>
          <w:rFonts w:cs="Arial"/>
          <w:bCs/>
          <w:sz w:val="24"/>
          <w:szCs w:val="24"/>
        </w:rPr>
        <w:t xml:space="preserve"> </w:t>
      </w:r>
      <w:r w:rsidRPr="008B2CB8">
        <w:rPr>
          <w:rFonts w:cs="Arial"/>
          <w:bCs/>
          <w:sz w:val="24"/>
          <w:szCs w:val="24"/>
        </w:rPr>
        <w:t>Instead of seeking to reduce the prison population, the UK Government has announced plans to increase male capacity at a lower unit and overall cost through the construction of a 2,000 unit capacity prison, as well as the expansion of four existing prisons.</w:t>
      </w:r>
      <w:r w:rsidRPr="008B2CB8">
        <w:rPr>
          <w:rFonts w:cs="Arial"/>
          <w:bCs/>
          <w:sz w:val="24"/>
          <w:szCs w:val="24"/>
          <w:vertAlign w:val="superscript"/>
        </w:rPr>
        <w:footnoteReference w:id="547"/>
      </w:r>
      <w:r w:rsidR="008C67B4">
        <w:rPr>
          <w:rFonts w:cs="Arial"/>
          <w:bCs/>
          <w:sz w:val="24"/>
          <w:szCs w:val="24"/>
        </w:rPr>
        <w:t xml:space="preserve"> </w:t>
      </w:r>
      <w:r w:rsidRPr="008B2CB8">
        <w:rPr>
          <w:rFonts w:cs="Arial"/>
          <w:bCs/>
          <w:sz w:val="24"/>
          <w:szCs w:val="24"/>
        </w:rPr>
        <w:t xml:space="preserve">One of these prisons will be built at HMP </w:t>
      </w:r>
      <w:proofErr w:type="spellStart"/>
      <w:r w:rsidRPr="008B2CB8">
        <w:rPr>
          <w:rFonts w:cs="Arial"/>
          <w:bCs/>
          <w:sz w:val="24"/>
          <w:szCs w:val="24"/>
        </w:rPr>
        <w:t>Thameside</w:t>
      </w:r>
      <w:proofErr w:type="spellEnd"/>
      <w:r w:rsidRPr="008B2CB8">
        <w:rPr>
          <w:rFonts w:cs="Arial"/>
          <w:bCs/>
          <w:sz w:val="24"/>
          <w:szCs w:val="24"/>
        </w:rPr>
        <w:t>, itself a new prison which has been criticised for having one of the most restricted regimes ever seen by inspectors, with an inevitable impact on the purposeful activity of prisoners.</w:t>
      </w:r>
      <w:r w:rsidRPr="008B2CB8">
        <w:rPr>
          <w:rStyle w:val="FootnoteReference"/>
          <w:rFonts w:cs="Arial"/>
          <w:bCs/>
          <w:sz w:val="24"/>
          <w:szCs w:val="24"/>
        </w:rPr>
        <w:footnoteReference w:id="548"/>
      </w:r>
      <w:r w:rsidRPr="008B2CB8">
        <w:rPr>
          <w:rFonts w:cs="Arial"/>
          <w:bCs/>
          <w:sz w:val="24"/>
          <w:szCs w:val="24"/>
        </w:rPr>
        <w:t xml:space="preserve"> The EHRC would seek assurances from</w:t>
      </w:r>
      <w:r>
        <w:rPr>
          <w:rFonts w:cs="Arial"/>
          <w:bCs/>
          <w:sz w:val="24"/>
          <w:szCs w:val="24"/>
        </w:rPr>
        <w:t xml:space="preserve"> the</w:t>
      </w:r>
      <w:r w:rsidRPr="008B2CB8">
        <w:rPr>
          <w:rFonts w:cs="Arial"/>
          <w:bCs/>
          <w:sz w:val="24"/>
          <w:szCs w:val="24"/>
        </w:rPr>
        <w:t xml:space="preserve"> UK Government that any increase to the prison population would not compromise offender safety or rehabilitation. </w:t>
      </w:r>
    </w:p>
    <w:p w:rsidR="002B6091" w:rsidRPr="008B2CB8" w:rsidRDefault="002B6091" w:rsidP="002B6091">
      <w:pPr>
        <w:spacing w:after="0"/>
        <w:rPr>
          <w:rFonts w:cs="Arial"/>
          <w:bCs/>
          <w:sz w:val="24"/>
          <w:szCs w:val="24"/>
        </w:rPr>
      </w:pPr>
    </w:p>
    <w:p w:rsidR="002B6091" w:rsidRPr="008B2CB8" w:rsidRDefault="002B6091" w:rsidP="002B6091">
      <w:pPr>
        <w:autoSpaceDE w:val="0"/>
        <w:autoSpaceDN w:val="0"/>
        <w:adjustRightInd w:val="0"/>
        <w:spacing w:after="0"/>
        <w:rPr>
          <w:rFonts w:cs="Arial"/>
          <w:bCs/>
          <w:sz w:val="24"/>
          <w:szCs w:val="24"/>
        </w:rPr>
      </w:pPr>
      <w:r w:rsidRPr="008B2CB8">
        <w:rPr>
          <w:rFonts w:cs="Arial"/>
          <w:bCs/>
          <w:sz w:val="24"/>
          <w:szCs w:val="24"/>
        </w:rPr>
        <w:t>The EHRC is not convinced building additional places is a viable long-term solution to the problem of prison overcrowding, and agree with CAT</w:t>
      </w:r>
      <w:r w:rsidRPr="008B2CB8">
        <w:rPr>
          <w:rStyle w:val="FootnoteReference"/>
          <w:rFonts w:cs="Arial"/>
          <w:bCs/>
          <w:sz w:val="24"/>
          <w:szCs w:val="24"/>
        </w:rPr>
        <w:footnoteReference w:id="549"/>
      </w:r>
      <w:r w:rsidRPr="008B2CB8">
        <w:rPr>
          <w:rFonts w:cs="Arial"/>
          <w:bCs/>
          <w:sz w:val="24"/>
          <w:szCs w:val="24"/>
        </w:rPr>
        <w:t xml:space="preserve"> that the UK Government should instead </w:t>
      </w:r>
      <w:r w:rsidRPr="008B2CB8">
        <w:rPr>
          <w:sz w:val="24"/>
          <w:szCs w:val="24"/>
        </w:rPr>
        <w:t>set concrete targets to reduce the high level of imprisonment and overcrowding, in particular through the wider use of non-custodial measures as an alternative to imprisonment, in the light of the Tokyo Rules</w:t>
      </w:r>
      <w:r w:rsidRPr="008B2CB8">
        <w:rPr>
          <w:rStyle w:val="FootnoteReference"/>
          <w:sz w:val="24"/>
          <w:szCs w:val="24"/>
        </w:rPr>
        <w:footnoteReference w:id="550"/>
      </w:r>
      <w:r w:rsidRPr="008B2CB8">
        <w:rPr>
          <w:rFonts w:cs="Arial"/>
          <w:bCs/>
          <w:sz w:val="24"/>
          <w:szCs w:val="24"/>
        </w:rPr>
        <w:t xml:space="preserve">. </w:t>
      </w:r>
    </w:p>
    <w:p w:rsidR="002B6091" w:rsidRPr="008B2CB8" w:rsidRDefault="002B6091" w:rsidP="002B6091">
      <w:pPr>
        <w:autoSpaceDE w:val="0"/>
        <w:autoSpaceDN w:val="0"/>
        <w:adjustRightInd w:val="0"/>
        <w:spacing w:after="0"/>
        <w:rPr>
          <w:rFonts w:cs="Arial"/>
          <w:bCs/>
          <w:sz w:val="24"/>
          <w:szCs w:val="24"/>
        </w:rPr>
      </w:pPr>
    </w:p>
    <w:p w:rsidR="002B6091" w:rsidRPr="008B2CB8" w:rsidRDefault="002B6091" w:rsidP="002B6091">
      <w:pPr>
        <w:autoSpaceDE w:val="0"/>
        <w:autoSpaceDN w:val="0"/>
        <w:adjustRightInd w:val="0"/>
        <w:spacing w:after="0"/>
        <w:rPr>
          <w:rFonts w:cs="Arial"/>
          <w:bCs/>
          <w:sz w:val="24"/>
          <w:szCs w:val="24"/>
        </w:rPr>
      </w:pPr>
      <w:r w:rsidRPr="008B2CB8">
        <w:rPr>
          <w:rFonts w:cs="Arial"/>
          <w:bCs/>
          <w:sz w:val="24"/>
          <w:szCs w:val="24"/>
        </w:rPr>
        <w:t xml:space="preserve">The EHRC also believes the UK Government’s “Transforming Rehabilitation” programme requires further investment than that committed to date in: </w:t>
      </w:r>
    </w:p>
    <w:p w:rsidR="002B6091" w:rsidRPr="008B2CB8" w:rsidRDefault="002B6091" w:rsidP="002B6091">
      <w:pPr>
        <w:pStyle w:val="ListParagraph"/>
        <w:numPr>
          <w:ilvl w:val="0"/>
          <w:numId w:val="78"/>
        </w:numPr>
        <w:autoSpaceDE w:val="0"/>
        <w:autoSpaceDN w:val="0"/>
        <w:adjustRightInd w:val="0"/>
        <w:spacing w:after="0"/>
        <w:rPr>
          <w:rFonts w:cs="Arial"/>
          <w:bCs/>
          <w:sz w:val="24"/>
          <w:szCs w:val="24"/>
        </w:rPr>
      </w:pPr>
      <w:r w:rsidRPr="008B2CB8">
        <w:rPr>
          <w:rFonts w:cs="Arial"/>
          <w:bCs/>
          <w:sz w:val="24"/>
          <w:szCs w:val="24"/>
        </w:rPr>
        <w:lastRenderedPageBreak/>
        <w:t>community and health care solutions, such as supporting substance abusers to receive treatment; and</w:t>
      </w:r>
    </w:p>
    <w:p w:rsidR="002B6091" w:rsidRPr="007516A1" w:rsidRDefault="002B6091" w:rsidP="002B6091">
      <w:pPr>
        <w:pStyle w:val="ListParagraph"/>
        <w:numPr>
          <w:ilvl w:val="0"/>
          <w:numId w:val="78"/>
        </w:numPr>
        <w:autoSpaceDE w:val="0"/>
        <w:autoSpaceDN w:val="0"/>
        <w:adjustRightInd w:val="0"/>
        <w:spacing w:after="0"/>
        <w:rPr>
          <w:rFonts w:cs="Arial"/>
          <w:bCs/>
          <w:sz w:val="24"/>
          <w:szCs w:val="24"/>
        </w:rPr>
      </w:pPr>
      <w:proofErr w:type="gramStart"/>
      <w:r w:rsidRPr="008B2CB8">
        <w:rPr>
          <w:rFonts w:cs="Arial"/>
          <w:bCs/>
          <w:sz w:val="24"/>
          <w:szCs w:val="24"/>
        </w:rPr>
        <w:t>working</w:t>
      </w:r>
      <w:proofErr w:type="gramEnd"/>
      <w:r w:rsidRPr="008B2CB8">
        <w:rPr>
          <w:rFonts w:cs="Arial"/>
          <w:bCs/>
          <w:sz w:val="24"/>
          <w:szCs w:val="24"/>
        </w:rPr>
        <w:t xml:space="preserve"> in crime prevention and post-release rehabilitation, including a “through the gate” package of effective support by a single provider who will help former prisoners to live and work actively in the community.</w:t>
      </w:r>
    </w:p>
    <w:p w:rsidR="002B6091" w:rsidRPr="008B2CB8" w:rsidRDefault="002B6091" w:rsidP="002B6091">
      <w:pPr>
        <w:pStyle w:val="Heading2"/>
        <w:numPr>
          <w:ilvl w:val="0"/>
          <w:numId w:val="73"/>
        </w:numPr>
        <w:rPr>
          <w:sz w:val="24"/>
          <w:szCs w:val="24"/>
        </w:rPr>
      </w:pPr>
      <w:bookmarkStart w:id="134" w:name="_Toc420603246"/>
      <w:bookmarkStart w:id="135" w:name="_Toc420603337"/>
      <w:r w:rsidRPr="008B2CB8">
        <w:rPr>
          <w:sz w:val="24"/>
          <w:szCs w:val="24"/>
        </w:rPr>
        <w:t>Self-Harm and Deaths in Custody</w:t>
      </w:r>
      <w:bookmarkEnd w:id="134"/>
      <w:bookmarkEnd w:id="135"/>
    </w:p>
    <w:p w:rsidR="002B6091" w:rsidRPr="008B2CB8" w:rsidRDefault="002B6091" w:rsidP="002B6091">
      <w:pPr>
        <w:spacing w:after="0"/>
        <w:rPr>
          <w:b/>
          <w:sz w:val="24"/>
          <w:szCs w:val="24"/>
        </w:rPr>
      </w:pPr>
      <w:r w:rsidRPr="008B2CB8">
        <w:rPr>
          <w:sz w:val="24"/>
          <w:szCs w:val="24"/>
        </w:rPr>
        <w:t>During 2013 there were over 23,000 recorded incidents of self-harm in prisons in England and Wales.</w:t>
      </w:r>
      <w:r w:rsidRPr="008B2CB8">
        <w:rPr>
          <w:rStyle w:val="FootnoteReference"/>
          <w:sz w:val="24"/>
          <w:szCs w:val="24"/>
        </w:rPr>
        <w:footnoteReference w:id="551"/>
      </w:r>
      <w:r w:rsidRPr="008B2CB8">
        <w:rPr>
          <w:sz w:val="24"/>
          <w:szCs w:val="24"/>
        </w:rPr>
        <w:t xml:space="preserve"> Despite making up only 5% of the prison population, women constituted 26% of all self-harm incidents, though this is a significant reduction on 50% in 2010.</w:t>
      </w:r>
      <w:r w:rsidRPr="008B2CB8">
        <w:rPr>
          <w:rStyle w:val="FootnoteReference"/>
          <w:sz w:val="24"/>
          <w:szCs w:val="24"/>
        </w:rPr>
        <w:footnoteReference w:id="552"/>
      </w:r>
      <w:r w:rsidRPr="008B2CB8">
        <w:rPr>
          <w:sz w:val="24"/>
          <w:szCs w:val="24"/>
        </w:rPr>
        <w:t xml:space="preserve"> This reduction is driven by a decrease in the female population and the number of repetitive self-harmers. By contrast, between 2005 and 2013, the number of male self-harm incidents has increased by 47%.</w:t>
      </w:r>
      <w:r w:rsidRPr="008B2CB8">
        <w:rPr>
          <w:rStyle w:val="FootnoteReference"/>
          <w:sz w:val="24"/>
          <w:szCs w:val="24"/>
        </w:rPr>
        <w:footnoteReference w:id="553"/>
      </w:r>
      <w:r w:rsidRPr="008B2CB8">
        <w:rPr>
          <w:sz w:val="24"/>
          <w:szCs w:val="24"/>
        </w:rPr>
        <w:t xml:space="preserve"> </w:t>
      </w:r>
    </w:p>
    <w:p w:rsidR="002B6091" w:rsidRPr="008B2CB8" w:rsidRDefault="002B6091" w:rsidP="002B6091">
      <w:pPr>
        <w:spacing w:after="0"/>
        <w:rPr>
          <w:sz w:val="24"/>
          <w:szCs w:val="24"/>
        </w:rPr>
      </w:pPr>
    </w:p>
    <w:p w:rsidR="002B6091" w:rsidRPr="008B2CB8" w:rsidRDefault="002B6091" w:rsidP="002B6091">
      <w:pPr>
        <w:spacing w:after="0"/>
        <w:rPr>
          <w:sz w:val="24"/>
          <w:szCs w:val="24"/>
        </w:rPr>
      </w:pPr>
      <w:r w:rsidRPr="008B2CB8">
        <w:rPr>
          <w:sz w:val="24"/>
          <w:szCs w:val="24"/>
        </w:rPr>
        <w:t>The number of self-inflicted deaths in 2013 was at its highest since 2007: 74 people took their own lives, 14 more than in 2012.</w:t>
      </w:r>
      <w:r w:rsidRPr="008B2CB8">
        <w:rPr>
          <w:rStyle w:val="FootnoteReference"/>
          <w:sz w:val="24"/>
          <w:szCs w:val="24"/>
        </w:rPr>
        <w:footnoteReference w:id="554"/>
      </w:r>
      <w:r w:rsidRPr="008B2CB8">
        <w:rPr>
          <w:sz w:val="24"/>
          <w:szCs w:val="24"/>
        </w:rPr>
        <w:t xml:space="preserve"> Between 1 April 2007 and 31 December 2013, </w:t>
      </w:r>
      <w:r>
        <w:rPr>
          <w:sz w:val="24"/>
          <w:szCs w:val="24"/>
        </w:rPr>
        <w:t>84</w:t>
      </w:r>
      <w:r w:rsidRPr="008B2CB8">
        <w:rPr>
          <w:sz w:val="24"/>
          <w:szCs w:val="24"/>
        </w:rPr>
        <w:t xml:space="preserve"> people aged 18-24 </w:t>
      </w:r>
      <w:r>
        <w:rPr>
          <w:sz w:val="24"/>
          <w:szCs w:val="24"/>
        </w:rPr>
        <w:t>took their own lives while in custody. T</w:t>
      </w:r>
      <w:r w:rsidRPr="008B2CB8">
        <w:rPr>
          <w:sz w:val="24"/>
          <w:szCs w:val="24"/>
        </w:rPr>
        <w:t>he UK Government has launched an independent inquiry to make recommendations for reducing the risk of future deaths in custody focusing on that age group, but also identify learning to benefit all age groups.</w:t>
      </w:r>
      <w:r w:rsidRPr="008B2CB8">
        <w:rPr>
          <w:rStyle w:val="FootnoteReference"/>
          <w:sz w:val="24"/>
          <w:szCs w:val="24"/>
        </w:rPr>
        <w:footnoteReference w:id="555"/>
      </w:r>
    </w:p>
    <w:p w:rsidR="002B6091" w:rsidRPr="008B2CB8" w:rsidRDefault="002B6091" w:rsidP="002B6091">
      <w:pPr>
        <w:spacing w:after="0"/>
        <w:rPr>
          <w:sz w:val="24"/>
          <w:szCs w:val="24"/>
        </w:rPr>
      </w:pPr>
    </w:p>
    <w:p w:rsidR="002B6091" w:rsidRPr="008B2CB8" w:rsidRDefault="002B6091" w:rsidP="002B6091">
      <w:pPr>
        <w:spacing w:after="0"/>
        <w:rPr>
          <w:sz w:val="24"/>
          <w:szCs w:val="24"/>
        </w:rPr>
      </w:pPr>
      <w:r w:rsidRPr="008B2CB8">
        <w:rPr>
          <w:sz w:val="24"/>
          <w:szCs w:val="24"/>
        </w:rPr>
        <w:t xml:space="preserve">The EHRC believes there are four challenges </w:t>
      </w:r>
      <w:r>
        <w:rPr>
          <w:sz w:val="24"/>
          <w:szCs w:val="24"/>
        </w:rPr>
        <w:t>to</w:t>
      </w:r>
      <w:r w:rsidRPr="008B2CB8">
        <w:rPr>
          <w:sz w:val="24"/>
          <w:szCs w:val="24"/>
        </w:rPr>
        <w:t xml:space="preserve"> keeping people safe from suicide and self-harm while in prison in England and Wales:</w:t>
      </w:r>
    </w:p>
    <w:p w:rsidR="002B6091" w:rsidRPr="008B2CB8" w:rsidRDefault="002B6091" w:rsidP="002B6091">
      <w:pPr>
        <w:pStyle w:val="ListParagraph"/>
        <w:numPr>
          <w:ilvl w:val="0"/>
          <w:numId w:val="74"/>
        </w:numPr>
        <w:spacing w:after="0"/>
        <w:rPr>
          <w:sz w:val="24"/>
          <w:szCs w:val="24"/>
        </w:rPr>
      </w:pPr>
      <w:r w:rsidRPr="008B2CB8">
        <w:rPr>
          <w:sz w:val="24"/>
          <w:szCs w:val="24"/>
        </w:rPr>
        <w:t>while healthcare provision has improved, there is still insufficient provision for prisoners with mental health conditions, and transfers to secure mental health hospitals take too long;</w:t>
      </w:r>
      <w:r w:rsidRPr="008B2CB8">
        <w:rPr>
          <w:rStyle w:val="FootnoteReference"/>
          <w:sz w:val="24"/>
          <w:szCs w:val="24"/>
        </w:rPr>
        <w:footnoteReference w:id="556"/>
      </w:r>
    </w:p>
    <w:p w:rsidR="002B6091" w:rsidRPr="008B2CB8" w:rsidRDefault="002B6091" w:rsidP="002B6091">
      <w:pPr>
        <w:pStyle w:val="ListParagraph"/>
        <w:numPr>
          <w:ilvl w:val="0"/>
          <w:numId w:val="74"/>
        </w:numPr>
        <w:spacing w:after="0"/>
        <w:rPr>
          <w:sz w:val="24"/>
          <w:szCs w:val="24"/>
        </w:rPr>
      </w:pPr>
      <w:proofErr w:type="gramStart"/>
      <w:r w:rsidRPr="008B2CB8">
        <w:rPr>
          <w:sz w:val="24"/>
          <w:szCs w:val="24"/>
        </w:rPr>
        <w:t>the</w:t>
      </w:r>
      <w:proofErr w:type="gramEnd"/>
      <w:r w:rsidRPr="008B2CB8">
        <w:rPr>
          <w:sz w:val="24"/>
          <w:szCs w:val="24"/>
        </w:rPr>
        <w:t xml:space="preserve"> procedure for highlighting individuals at risk of suicide or self-harm, the Assessment Care in Custody and Teamwork Plan (ACCT), is too complicated. Staff often misunderstand the ACCT’s requirements and may therefore not be following correct procedures;</w:t>
      </w:r>
      <w:r w:rsidRPr="008B2CB8">
        <w:rPr>
          <w:rStyle w:val="FootnoteReference"/>
          <w:sz w:val="24"/>
          <w:szCs w:val="24"/>
        </w:rPr>
        <w:footnoteReference w:id="557"/>
      </w:r>
    </w:p>
    <w:p w:rsidR="002B6091" w:rsidRPr="008B2CB8" w:rsidRDefault="002B6091" w:rsidP="002B6091">
      <w:pPr>
        <w:pStyle w:val="ListParagraph"/>
        <w:numPr>
          <w:ilvl w:val="0"/>
          <w:numId w:val="74"/>
        </w:numPr>
        <w:spacing w:after="0"/>
        <w:rPr>
          <w:sz w:val="24"/>
          <w:szCs w:val="24"/>
        </w:rPr>
      </w:pPr>
      <w:r w:rsidRPr="008B2CB8">
        <w:rPr>
          <w:sz w:val="24"/>
          <w:szCs w:val="24"/>
        </w:rPr>
        <w:t xml:space="preserve">the Prisons and Probation Ombudsman (PPO) and the National Offenders Management Service (NOMS) have identified the need to improve ACCT </w:t>
      </w:r>
      <w:r w:rsidRPr="008B2CB8">
        <w:rPr>
          <w:sz w:val="24"/>
          <w:szCs w:val="24"/>
        </w:rPr>
        <w:lastRenderedPageBreak/>
        <w:t>training and guidance to help staff ensure the ACCT procedure is used effectively to tackle targeted risks in a proactive and joined up way;</w:t>
      </w:r>
      <w:r w:rsidRPr="008B2CB8">
        <w:rPr>
          <w:rStyle w:val="FootnoteReference"/>
          <w:sz w:val="24"/>
          <w:szCs w:val="24"/>
        </w:rPr>
        <w:footnoteReference w:id="558"/>
      </w:r>
      <w:r w:rsidRPr="008B2CB8">
        <w:rPr>
          <w:sz w:val="24"/>
          <w:szCs w:val="24"/>
        </w:rPr>
        <w:t xml:space="preserve"> and</w:t>
      </w:r>
    </w:p>
    <w:p w:rsidR="002B6091" w:rsidRPr="00150E8F" w:rsidRDefault="002B6091" w:rsidP="002B6091">
      <w:pPr>
        <w:pStyle w:val="ListParagraph"/>
        <w:numPr>
          <w:ilvl w:val="0"/>
          <w:numId w:val="74"/>
        </w:numPr>
        <w:spacing w:after="0"/>
        <w:rPr>
          <w:sz w:val="24"/>
          <w:szCs w:val="24"/>
        </w:rPr>
      </w:pPr>
      <w:proofErr w:type="gramStart"/>
      <w:r w:rsidRPr="008B2CB8">
        <w:rPr>
          <w:sz w:val="24"/>
          <w:szCs w:val="24"/>
        </w:rPr>
        <w:t>we</w:t>
      </w:r>
      <w:proofErr w:type="gramEnd"/>
      <w:r w:rsidRPr="008B2CB8">
        <w:rPr>
          <w:sz w:val="24"/>
          <w:szCs w:val="24"/>
        </w:rPr>
        <w:t xml:space="preserve"> agree with CAT and Lord Bradley about the need for non-custodial alternatives for short-term prisoners who committed offences while suffering mental health problems.</w:t>
      </w:r>
      <w:r w:rsidRPr="008B2CB8">
        <w:rPr>
          <w:rStyle w:val="FootnoteReference"/>
          <w:sz w:val="24"/>
          <w:szCs w:val="24"/>
        </w:rPr>
        <w:footnoteReference w:id="559"/>
      </w:r>
      <w:r w:rsidRPr="008B2CB8">
        <w:rPr>
          <w:sz w:val="24"/>
          <w:szCs w:val="24"/>
        </w:rPr>
        <w:t xml:space="preserve"> The EHRC therefore welcomes the UK Government’s investment in establishing a liaison and diversion service, in police stations </w:t>
      </w:r>
      <w:r w:rsidRPr="009705C0">
        <w:rPr>
          <w:sz w:val="24"/>
          <w:szCs w:val="24"/>
        </w:rPr>
        <w:t>and courts, to ensure those best treated by the health service do not go to prison.</w:t>
      </w:r>
      <w:r w:rsidRPr="002D75FB">
        <w:rPr>
          <w:rStyle w:val="FootnoteReference"/>
          <w:sz w:val="24"/>
          <w:szCs w:val="24"/>
        </w:rPr>
        <w:footnoteReference w:id="560"/>
      </w:r>
      <w:r w:rsidRPr="008B2CB8">
        <w:rPr>
          <w:b/>
          <w:sz w:val="24"/>
          <w:szCs w:val="24"/>
        </w:rPr>
        <w:t xml:space="preserve"> </w:t>
      </w:r>
    </w:p>
    <w:p w:rsidR="002B6091" w:rsidRDefault="002B6091" w:rsidP="002B6091">
      <w:pPr>
        <w:pStyle w:val="ListParagraph"/>
        <w:spacing w:after="0"/>
        <w:rPr>
          <w:b/>
          <w:sz w:val="24"/>
          <w:szCs w:val="24"/>
        </w:rPr>
      </w:pPr>
    </w:p>
    <w:p w:rsidR="002B6091" w:rsidRPr="00150E8F" w:rsidRDefault="002B6091" w:rsidP="002B6091">
      <w:pPr>
        <w:pStyle w:val="ListParagraph"/>
        <w:spacing w:after="0"/>
        <w:ind w:left="0"/>
        <w:rPr>
          <w:sz w:val="24"/>
          <w:szCs w:val="24"/>
        </w:rPr>
      </w:pPr>
      <w:r>
        <w:rPr>
          <w:sz w:val="24"/>
          <w:szCs w:val="24"/>
        </w:rPr>
        <w:t>In June 2014, the EHRC has launched an inquiry into non-natural deaths of people with mental health conditions in state detention, which will cover some of these concerns. The inquiry will report in spring 2015.</w:t>
      </w:r>
      <w:r>
        <w:rPr>
          <w:rStyle w:val="FootnoteReference"/>
          <w:sz w:val="24"/>
          <w:szCs w:val="24"/>
        </w:rPr>
        <w:footnoteReference w:id="561"/>
      </w:r>
    </w:p>
    <w:p w:rsidR="002B6091" w:rsidRPr="008B2CB8" w:rsidRDefault="002B6091" w:rsidP="002B6091">
      <w:pPr>
        <w:pStyle w:val="Heading2"/>
        <w:numPr>
          <w:ilvl w:val="0"/>
          <w:numId w:val="73"/>
        </w:numPr>
        <w:rPr>
          <w:sz w:val="24"/>
          <w:szCs w:val="24"/>
        </w:rPr>
      </w:pPr>
      <w:bookmarkStart w:id="136" w:name="_Toc420603247"/>
      <w:bookmarkStart w:id="137" w:name="_Toc420603338"/>
      <w:r w:rsidRPr="008B2CB8">
        <w:rPr>
          <w:sz w:val="24"/>
          <w:szCs w:val="24"/>
        </w:rPr>
        <w:t>Prisoners</w:t>
      </w:r>
      <w:r>
        <w:rPr>
          <w:sz w:val="24"/>
          <w:szCs w:val="24"/>
        </w:rPr>
        <w:t xml:space="preserve"> with disabilities</w:t>
      </w:r>
      <w:bookmarkEnd w:id="136"/>
      <w:bookmarkEnd w:id="137"/>
    </w:p>
    <w:p w:rsidR="002B6091" w:rsidRPr="008B2CB8" w:rsidRDefault="002B6091" w:rsidP="002B6091">
      <w:pPr>
        <w:rPr>
          <w:sz w:val="24"/>
          <w:szCs w:val="24"/>
        </w:rPr>
      </w:pPr>
      <w:r w:rsidRPr="009705C0">
        <w:rPr>
          <w:sz w:val="24"/>
          <w:szCs w:val="24"/>
        </w:rPr>
        <w:t>Estimates of the proportion of disabled people in the pr</w:t>
      </w:r>
      <w:r>
        <w:rPr>
          <w:sz w:val="24"/>
          <w:szCs w:val="24"/>
        </w:rPr>
        <w:t>isoner population vary from 5-34</w:t>
      </w:r>
      <w:r w:rsidRPr="009705C0">
        <w:rPr>
          <w:sz w:val="24"/>
          <w:szCs w:val="24"/>
        </w:rPr>
        <w:t>%.</w:t>
      </w:r>
      <w:r w:rsidRPr="002D75FB">
        <w:rPr>
          <w:rStyle w:val="FootnoteReference"/>
          <w:sz w:val="24"/>
          <w:szCs w:val="24"/>
        </w:rPr>
        <w:footnoteReference w:id="562"/>
      </w:r>
      <w:r>
        <w:rPr>
          <w:sz w:val="24"/>
          <w:szCs w:val="24"/>
        </w:rPr>
        <w:t xml:space="preserve"> </w:t>
      </w:r>
      <w:r w:rsidRPr="008B2CB8">
        <w:rPr>
          <w:sz w:val="24"/>
          <w:szCs w:val="24"/>
        </w:rPr>
        <w:t xml:space="preserve">20-30% of offenders have learning </w:t>
      </w:r>
      <w:r w:rsidRPr="009705C0">
        <w:rPr>
          <w:sz w:val="24"/>
          <w:szCs w:val="24"/>
        </w:rPr>
        <w:t>disabilities or difficulties that interfere with their ability to cope with the criminal justice system.</w:t>
      </w:r>
      <w:r w:rsidRPr="002D75FB">
        <w:rPr>
          <w:rStyle w:val="FootnoteReference"/>
          <w:sz w:val="24"/>
          <w:szCs w:val="24"/>
        </w:rPr>
        <w:footnoteReference w:id="563"/>
      </w:r>
      <w:r w:rsidRPr="009705C0">
        <w:rPr>
          <w:sz w:val="24"/>
          <w:szCs w:val="24"/>
        </w:rPr>
        <w:t xml:space="preserve"> Disability will increasingly affect the rapidly aging prisoner population, and the EHRC supports HMCIP’s recommendation for an Older Prisoners Strategy to meet these specific needs.</w:t>
      </w:r>
      <w:r w:rsidRPr="002D75FB">
        <w:rPr>
          <w:rStyle w:val="FootnoteReference"/>
          <w:sz w:val="24"/>
          <w:szCs w:val="24"/>
        </w:rPr>
        <w:footnoteReference w:id="564"/>
      </w:r>
    </w:p>
    <w:p w:rsidR="002B6091" w:rsidRPr="008B2CB8" w:rsidRDefault="002B6091" w:rsidP="002B6091">
      <w:pPr>
        <w:rPr>
          <w:sz w:val="24"/>
          <w:szCs w:val="24"/>
        </w:rPr>
      </w:pPr>
      <w:r w:rsidRPr="008B2CB8">
        <w:rPr>
          <w:sz w:val="24"/>
          <w:szCs w:val="24"/>
        </w:rPr>
        <w:t>The EHRC is concerned by reports that prisoners</w:t>
      </w:r>
      <w:r>
        <w:rPr>
          <w:sz w:val="24"/>
          <w:szCs w:val="24"/>
        </w:rPr>
        <w:t xml:space="preserve"> with disabilities</w:t>
      </w:r>
      <w:r w:rsidRPr="008B2CB8">
        <w:rPr>
          <w:sz w:val="24"/>
          <w:szCs w:val="24"/>
        </w:rPr>
        <w:t xml:space="preserve"> continue to have problems accessing different parts of prison facilities, such as education, for example </w:t>
      </w:r>
      <w:r w:rsidRPr="008B2CB8">
        <w:rPr>
          <w:sz w:val="24"/>
          <w:szCs w:val="24"/>
        </w:rPr>
        <w:lastRenderedPageBreak/>
        <w:t>because prison staff re</w:t>
      </w:r>
      <w:r>
        <w:rPr>
          <w:sz w:val="24"/>
          <w:szCs w:val="24"/>
        </w:rPr>
        <w:t>fuse to push their wheelchairs,</w:t>
      </w:r>
      <w:r w:rsidRPr="008B2CB8">
        <w:rPr>
          <w:rStyle w:val="FootnoteReference"/>
          <w:sz w:val="24"/>
          <w:szCs w:val="24"/>
        </w:rPr>
        <w:footnoteReference w:id="565"/>
      </w:r>
      <w:r w:rsidRPr="008B2CB8">
        <w:rPr>
          <w:sz w:val="24"/>
          <w:szCs w:val="24"/>
        </w:rPr>
        <w:t xml:space="preserve"> or the failure to make reasonable adjustments, required by the Equality Act 2010 and the UN Convention on the Rights of Persons with Disabilities (CRPD).</w:t>
      </w:r>
      <w:r w:rsidRPr="008B2CB8">
        <w:rPr>
          <w:rStyle w:val="FootnoteReference"/>
          <w:sz w:val="24"/>
          <w:szCs w:val="24"/>
        </w:rPr>
        <w:footnoteReference w:id="566"/>
      </w:r>
    </w:p>
    <w:p w:rsidR="002B6091" w:rsidRPr="008B2CB8" w:rsidRDefault="002B6091" w:rsidP="002B6091">
      <w:pPr>
        <w:pStyle w:val="Heading2"/>
        <w:numPr>
          <w:ilvl w:val="0"/>
          <w:numId w:val="73"/>
        </w:numPr>
        <w:rPr>
          <w:sz w:val="24"/>
          <w:szCs w:val="24"/>
        </w:rPr>
      </w:pPr>
      <w:bookmarkStart w:id="138" w:name="_Toc420603248"/>
      <w:bookmarkStart w:id="139" w:name="_Toc420603339"/>
      <w:r w:rsidRPr="008B2CB8">
        <w:rPr>
          <w:sz w:val="24"/>
          <w:szCs w:val="24"/>
        </w:rPr>
        <w:t>Women Prisoners</w:t>
      </w:r>
      <w:bookmarkEnd w:id="138"/>
      <w:bookmarkEnd w:id="139"/>
    </w:p>
    <w:p w:rsidR="002B6091" w:rsidRDefault="002B6091" w:rsidP="002B6091">
      <w:pPr>
        <w:spacing w:after="0"/>
        <w:rPr>
          <w:rFonts w:cs="Arial"/>
          <w:sz w:val="24"/>
          <w:szCs w:val="24"/>
        </w:rPr>
      </w:pPr>
      <w:r>
        <w:rPr>
          <w:sz w:val="24"/>
          <w:szCs w:val="24"/>
        </w:rPr>
        <w:t>The female prisoner population has decreased slightly from 4,172 in May 2011 to 3,883 in May 2014.</w:t>
      </w:r>
      <w:r>
        <w:rPr>
          <w:rStyle w:val="FootnoteReference"/>
          <w:sz w:val="24"/>
          <w:szCs w:val="24"/>
        </w:rPr>
        <w:footnoteReference w:id="567"/>
      </w:r>
      <w:r>
        <w:rPr>
          <w:sz w:val="24"/>
          <w:szCs w:val="24"/>
        </w:rPr>
        <w:t xml:space="preserve"> </w:t>
      </w:r>
      <w:r w:rsidRPr="008B2CB8">
        <w:rPr>
          <w:sz w:val="24"/>
          <w:szCs w:val="24"/>
        </w:rPr>
        <w:t>The EHRC shares the general consensus that the majority of women offenders pose little risk to public safety and that imprisonment is frequently an ineffective response.</w:t>
      </w:r>
      <w:r w:rsidRPr="008B2CB8">
        <w:rPr>
          <w:rStyle w:val="FootnoteReference"/>
          <w:sz w:val="24"/>
          <w:szCs w:val="24"/>
        </w:rPr>
        <w:footnoteReference w:id="568"/>
      </w:r>
      <w:r w:rsidRPr="008B2CB8">
        <w:rPr>
          <w:sz w:val="24"/>
          <w:szCs w:val="24"/>
        </w:rPr>
        <w:t xml:space="preserve"> In 2012-13 81% of sentenced women prisoners had not committed a violent offence.</w:t>
      </w:r>
      <w:r w:rsidRPr="008B2CB8">
        <w:rPr>
          <w:rStyle w:val="FootnoteReference"/>
          <w:sz w:val="24"/>
          <w:szCs w:val="24"/>
        </w:rPr>
        <w:footnoteReference w:id="569"/>
      </w:r>
      <w:r w:rsidRPr="008B2CB8">
        <w:rPr>
          <w:sz w:val="24"/>
          <w:szCs w:val="24"/>
        </w:rPr>
        <w:t xml:space="preserve"> </w:t>
      </w:r>
      <w:r w:rsidRPr="008B2CB8">
        <w:rPr>
          <w:rFonts w:cs="Arial"/>
          <w:sz w:val="24"/>
          <w:szCs w:val="24"/>
        </w:rPr>
        <w:t>Theft and handling offences accounted for the single largest group of women entering prison under sentence, at 40</w:t>
      </w:r>
      <w:r>
        <w:rPr>
          <w:rFonts w:cs="Arial"/>
          <w:sz w:val="24"/>
          <w:szCs w:val="24"/>
        </w:rPr>
        <w:t>%</w:t>
      </w:r>
      <w:r w:rsidRPr="008B2CB8">
        <w:rPr>
          <w:rFonts w:cs="Arial"/>
          <w:sz w:val="24"/>
          <w:szCs w:val="24"/>
        </w:rPr>
        <w:t>; most of whom served less than 6 months.</w:t>
      </w:r>
      <w:r w:rsidRPr="008B2CB8">
        <w:rPr>
          <w:rStyle w:val="FootnoteReference"/>
          <w:rFonts w:cs="Arial"/>
          <w:sz w:val="24"/>
          <w:szCs w:val="24"/>
        </w:rPr>
        <w:footnoteReference w:id="570"/>
      </w:r>
      <w:r w:rsidR="008C67B4">
        <w:rPr>
          <w:rFonts w:cs="Arial"/>
          <w:sz w:val="24"/>
          <w:szCs w:val="24"/>
        </w:rPr>
        <w:t xml:space="preserve"> </w:t>
      </w:r>
      <w:r w:rsidRPr="008B2CB8">
        <w:rPr>
          <w:rFonts w:cs="Arial"/>
          <w:sz w:val="24"/>
          <w:szCs w:val="24"/>
        </w:rPr>
        <w:t>At 31 March 2014, there was an 11 per cent increase in the number of women sentenced for this offence in the past year.</w:t>
      </w:r>
      <w:r w:rsidRPr="008B2CB8">
        <w:rPr>
          <w:rStyle w:val="FootnoteReference"/>
          <w:rFonts w:cs="Arial"/>
          <w:sz w:val="24"/>
          <w:szCs w:val="24"/>
        </w:rPr>
        <w:footnoteReference w:id="571"/>
      </w:r>
    </w:p>
    <w:p w:rsidR="002B6091" w:rsidRPr="007516A1" w:rsidRDefault="002B6091" w:rsidP="002B6091">
      <w:pPr>
        <w:spacing w:after="0"/>
        <w:rPr>
          <w:rFonts w:cs="Arial"/>
          <w:sz w:val="24"/>
          <w:szCs w:val="24"/>
        </w:rPr>
      </w:pPr>
    </w:p>
    <w:p w:rsidR="002B6091" w:rsidRPr="008B2CB8" w:rsidRDefault="002B6091" w:rsidP="002B6091">
      <w:pPr>
        <w:rPr>
          <w:sz w:val="24"/>
          <w:szCs w:val="24"/>
        </w:rPr>
      </w:pPr>
      <w:r w:rsidRPr="008B2CB8">
        <w:rPr>
          <w:sz w:val="24"/>
          <w:szCs w:val="24"/>
        </w:rPr>
        <w:t>Meanwhile, women in prison have complex needs and many are victims of crimes themselves:</w:t>
      </w:r>
    </w:p>
    <w:p w:rsidR="002B6091" w:rsidRPr="008B2CB8" w:rsidRDefault="002B6091" w:rsidP="002B6091">
      <w:pPr>
        <w:pStyle w:val="ListParagraph"/>
        <w:numPr>
          <w:ilvl w:val="0"/>
          <w:numId w:val="75"/>
        </w:numPr>
        <w:rPr>
          <w:sz w:val="24"/>
          <w:szCs w:val="24"/>
        </w:rPr>
      </w:pPr>
      <w:r w:rsidRPr="008B2CB8">
        <w:rPr>
          <w:sz w:val="24"/>
          <w:szCs w:val="24"/>
        </w:rPr>
        <w:t>half are victims of domestic violence;</w:t>
      </w:r>
    </w:p>
    <w:p w:rsidR="002B6091" w:rsidRPr="008B2CB8" w:rsidRDefault="002B6091" w:rsidP="002B6091">
      <w:pPr>
        <w:pStyle w:val="ListParagraph"/>
        <w:numPr>
          <w:ilvl w:val="0"/>
          <w:numId w:val="75"/>
        </w:numPr>
        <w:rPr>
          <w:sz w:val="24"/>
          <w:szCs w:val="24"/>
        </w:rPr>
      </w:pPr>
      <w:r w:rsidRPr="008B2CB8">
        <w:rPr>
          <w:sz w:val="24"/>
          <w:szCs w:val="24"/>
        </w:rPr>
        <w:t>one in three has experienced sexual abuse;</w:t>
      </w:r>
      <w:r w:rsidRPr="008B2CB8">
        <w:rPr>
          <w:rStyle w:val="FootnoteReference"/>
          <w:sz w:val="24"/>
          <w:szCs w:val="24"/>
        </w:rPr>
        <w:footnoteReference w:id="572"/>
      </w:r>
    </w:p>
    <w:p w:rsidR="002B6091" w:rsidRPr="008B2CB8" w:rsidRDefault="002B6091" w:rsidP="002B6091">
      <w:pPr>
        <w:pStyle w:val="ListParagraph"/>
        <w:numPr>
          <w:ilvl w:val="0"/>
          <w:numId w:val="75"/>
        </w:numPr>
        <w:rPr>
          <w:sz w:val="24"/>
          <w:szCs w:val="24"/>
        </w:rPr>
      </w:pPr>
      <w:r w:rsidRPr="008B2CB8">
        <w:rPr>
          <w:sz w:val="24"/>
          <w:szCs w:val="24"/>
        </w:rPr>
        <w:t>53% were abused as a child;</w:t>
      </w:r>
    </w:p>
    <w:p w:rsidR="002B6091" w:rsidRPr="008B2CB8" w:rsidRDefault="002B6091" w:rsidP="002B6091">
      <w:pPr>
        <w:pStyle w:val="ListParagraph"/>
        <w:numPr>
          <w:ilvl w:val="0"/>
          <w:numId w:val="75"/>
        </w:numPr>
        <w:rPr>
          <w:sz w:val="24"/>
          <w:szCs w:val="24"/>
        </w:rPr>
      </w:pPr>
      <w:r w:rsidRPr="008B2CB8">
        <w:rPr>
          <w:sz w:val="24"/>
          <w:szCs w:val="24"/>
        </w:rPr>
        <w:t>31% have spent time in local authority care;</w:t>
      </w:r>
      <w:r w:rsidRPr="008B2CB8">
        <w:rPr>
          <w:rStyle w:val="FootnoteReference"/>
          <w:sz w:val="24"/>
          <w:szCs w:val="24"/>
        </w:rPr>
        <w:footnoteReference w:id="573"/>
      </w:r>
      <w:r w:rsidRPr="008B2CB8">
        <w:rPr>
          <w:sz w:val="24"/>
          <w:szCs w:val="24"/>
        </w:rPr>
        <w:t xml:space="preserve"> and</w:t>
      </w:r>
    </w:p>
    <w:p w:rsidR="002B6091" w:rsidRPr="008B2CB8" w:rsidRDefault="002B6091" w:rsidP="002B6091">
      <w:pPr>
        <w:pStyle w:val="ListParagraph"/>
        <w:numPr>
          <w:ilvl w:val="0"/>
          <w:numId w:val="75"/>
        </w:numPr>
        <w:rPr>
          <w:sz w:val="24"/>
          <w:szCs w:val="24"/>
        </w:rPr>
      </w:pPr>
      <w:r w:rsidRPr="008B2CB8">
        <w:rPr>
          <w:sz w:val="24"/>
          <w:szCs w:val="24"/>
        </w:rPr>
        <w:t>46% have attempted suicide at some point in their life</w:t>
      </w:r>
      <w:r>
        <w:rPr>
          <w:sz w:val="24"/>
          <w:szCs w:val="24"/>
        </w:rPr>
        <w:t>.</w:t>
      </w:r>
      <w:r w:rsidRPr="008B2CB8">
        <w:rPr>
          <w:rStyle w:val="FootnoteReference"/>
          <w:sz w:val="24"/>
          <w:szCs w:val="24"/>
        </w:rPr>
        <w:footnoteReference w:id="574"/>
      </w:r>
    </w:p>
    <w:p w:rsidR="002B6091" w:rsidRPr="008B2CB8" w:rsidRDefault="002B6091" w:rsidP="002B6091">
      <w:pPr>
        <w:pStyle w:val="ListParagraph"/>
        <w:spacing w:after="0"/>
        <w:ind w:left="360"/>
        <w:rPr>
          <w:sz w:val="24"/>
          <w:szCs w:val="24"/>
        </w:rPr>
      </w:pPr>
    </w:p>
    <w:p w:rsidR="002B6091" w:rsidRPr="008B2CB8" w:rsidRDefault="002B6091" w:rsidP="002B6091">
      <w:pPr>
        <w:pStyle w:val="ListParagraph"/>
        <w:spacing w:after="0"/>
        <w:ind w:left="0"/>
        <w:rPr>
          <w:sz w:val="24"/>
          <w:szCs w:val="24"/>
        </w:rPr>
      </w:pPr>
      <w:r w:rsidRPr="008B2CB8">
        <w:rPr>
          <w:sz w:val="24"/>
          <w:szCs w:val="24"/>
        </w:rPr>
        <w:t>The EHRC welcomes the UK Government’s proactive approach to their examinations by CAT and CEDAW and prompt response to their Concluding Observations</w:t>
      </w:r>
      <w:r w:rsidRPr="008B2CB8">
        <w:rPr>
          <w:rStyle w:val="FootnoteReference"/>
          <w:sz w:val="24"/>
          <w:szCs w:val="24"/>
        </w:rPr>
        <w:footnoteReference w:id="575"/>
      </w:r>
      <w:r w:rsidRPr="008B2CB8">
        <w:rPr>
          <w:sz w:val="24"/>
          <w:szCs w:val="24"/>
        </w:rPr>
        <w:t xml:space="preserve"> in relation to women prisoners, including:</w:t>
      </w:r>
    </w:p>
    <w:p w:rsidR="002B6091" w:rsidRPr="008B2CB8" w:rsidRDefault="002B6091" w:rsidP="002B6091">
      <w:pPr>
        <w:pStyle w:val="ListParagraph"/>
        <w:numPr>
          <w:ilvl w:val="0"/>
          <w:numId w:val="76"/>
        </w:numPr>
        <w:spacing w:after="0"/>
        <w:rPr>
          <w:sz w:val="24"/>
          <w:szCs w:val="24"/>
        </w:rPr>
      </w:pPr>
      <w:r w:rsidRPr="008B2CB8">
        <w:rPr>
          <w:sz w:val="24"/>
          <w:szCs w:val="24"/>
        </w:rPr>
        <w:t>a review of the female prison estate;</w:t>
      </w:r>
    </w:p>
    <w:p w:rsidR="002B6091" w:rsidRPr="008B2CB8" w:rsidRDefault="002B6091" w:rsidP="002B6091">
      <w:pPr>
        <w:pStyle w:val="ListParagraph"/>
        <w:numPr>
          <w:ilvl w:val="0"/>
          <w:numId w:val="76"/>
        </w:numPr>
        <w:spacing w:after="0"/>
        <w:rPr>
          <w:sz w:val="24"/>
          <w:szCs w:val="24"/>
        </w:rPr>
      </w:pPr>
      <w:r w:rsidRPr="008B2CB8">
        <w:rPr>
          <w:sz w:val="24"/>
          <w:szCs w:val="24"/>
        </w:rPr>
        <w:t xml:space="preserve">publication of strategic objectives for female offenders; </w:t>
      </w:r>
    </w:p>
    <w:p w:rsidR="002B6091" w:rsidRPr="008B2CB8" w:rsidRDefault="002B6091" w:rsidP="002B6091">
      <w:pPr>
        <w:pStyle w:val="ListParagraph"/>
        <w:numPr>
          <w:ilvl w:val="0"/>
          <w:numId w:val="76"/>
        </w:numPr>
        <w:spacing w:after="0"/>
        <w:rPr>
          <w:sz w:val="24"/>
          <w:szCs w:val="24"/>
        </w:rPr>
      </w:pPr>
      <w:r w:rsidRPr="008B2CB8">
        <w:rPr>
          <w:sz w:val="24"/>
          <w:szCs w:val="24"/>
        </w:rPr>
        <w:t>a commitment to accelerate progress in responding to women offenders – also in response to a recommendation from the UK Parliament’s Justice Select Committee</w:t>
      </w:r>
      <w:r w:rsidRPr="008B2CB8">
        <w:rPr>
          <w:rStyle w:val="FootnoteReference"/>
          <w:sz w:val="24"/>
          <w:szCs w:val="24"/>
        </w:rPr>
        <w:footnoteReference w:id="576"/>
      </w:r>
      <w:r w:rsidRPr="008B2CB8">
        <w:rPr>
          <w:sz w:val="24"/>
          <w:szCs w:val="24"/>
        </w:rPr>
        <w:t>;</w:t>
      </w:r>
    </w:p>
    <w:p w:rsidR="002B6091" w:rsidRPr="008B2CB8" w:rsidRDefault="002B6091" w:rsidP="002B6091">
      <w:pPr>
        <w:pStyle w:val="ListParagraph"/>
        <w:numPr>
          <w:ilvl w:val="0"/>
          <w:numId w:val="76"/>
        </w:numPr>
        <w:spacing w:after="0"/>
        <w:rPr>
          <w:sz w:val="24"/>
          <w:szCs w:val="24"/>
        </w:rPr>
      </w:pPr>
      <w:r w:rsidRPr="008B2CB8">
        <w:rPr>
          <w:sz w:val="24"/>
          <w:szCs w:val="24"/>
        </w:rPr>
        <w:t>Ministerial leadership for responsibility for women offenders; and</w:t>
      </w:r>
    </w:p>
    <w:p w:rsidR="002B6091" w:rsidRPr="008B2CB8" w:rsidRDefault="002B6091" w:rsidP="002B6091">
      <w:pPr>
        <w:pStyle w:val="ListParagraph"/>
        <w:numPr>
          <w:ilvl w:val="0"/>
          <w:numId w:val="76"/>
        </w:numPr>
        <w:spacing w:after="0"/>
        <w:rPr>
          <w:sz w:val="24"/>
          <w:szCs w:val="24"/>
        </w:rPr>
      </w:pPr>
      <w:r w:rsidRPr="008B2CB8">
        <w:rPr>
          <w:sz w:val="24"/>
          <w:szCs w:val="24"/>
        </w:rPr>
        <w:t>Increasing understanding of and service provision to address the particular needs of women offenders.</w:t>
      </w:r>
      <w:r w:rsidRPr="008B2CB8">
        <w:rPr>
          <w:rStyle w:val="FootnoteReference"/>
          <w:sz w:val="24"/>
          <w:szCs w:val="24"/>
        </w:rPr>
        <w:footnoteReference w:id="577"/>
      </w:r>
    </w:p>
    <w:p w:rsidR="002B6091" w:rsidRPr="008B2CB8" w:rsidRDefault="002B6091" w:rsidP="002B6091">
      <w:pPr>
        <w:pStyle w:val="ListParagraph"/>
        <w:spacing w:after="0"/>
        <w:ind w:left="0"/>
        <w:rPr>
          <w:sz w:val="24"/>
          <w:szCs w:val="24"/>
        </w:rPr>
      </w:pPr>
    </w:p>
    <w:p w:rsidR="002B6091" w:rsidRPr="008B2CB8" w:rsidRDefault="002B6091" w:rsidP="002B6091">
      <w:pPr>
        <w:spacing w:after="0"/>
        <w:rPr>
          <w:rFonts w:cs="Arial"/>
          <w:sz w:val="24"/>
          <w:szCs w:val="24"/>
        </w:rPr>
      </w:pPr>
      <w:r w:rsidRPr="008B2CB8">
        <w:rPr>
          <w:sz w:val="24"/>
          <w:szCs w:val="24"/>
        </w:rPr>
        <w:t>We also acknowledge the UK Government has considered the specific needs of women in its rehabilitation strategy for prisoners in England and Wales, and its commitment to explore why women receive short custodial sentences.</w:t>
      </w:r>
      <w:r w:rsidRPr="002D75FB">
        <w:rPr>
          <w:rStyle w:val="FootnoteReference"/>
          <w:rFonts w:cs="Arial"/>
        </w:rPr>
        <w:footnoteReference w:id="578"/>
      </w:r>
      <w:r w:rsidRPr="008B2CB8">
        <w:rPr>
          <w:sz w:val="24"/>
          <w:szCs w:val="24"/>
        </w:rPr>
        <w:t xml:space="preserve"> </w:t>
      </w:r>
    </w:p>
    <w:p w:rsidR="002B6091" w:rsidRPr="008B2CB8" w:rsidRDefault="002B6091" w:rsidP="002B6091">
      <w:pPr>
        <w:spacing w:after="0"/>
        <w:rPr>
          <w:rFonts w:cs="Arial"/>
          <w:sz w:val="24"/>
          <w:szCs w:val="24"/>
        </w:rPr>
      </w:pPr>
      <w:r w:rsidRPr="008B2CB8">
        <w:rPr>
          <w:rFonts w:cs="Arial"/>
          <w:sz w:val="24"/>
          <w:szCs w:val="24"/>
        </w:rPr>
        <w:t xml:space="preserve">However, the EHRC believes there are a number of areas that need to be addressed to implement the CAT and CEDAW recommendations in full, including: </w:t>
      </w:r>
    </w:p>
    <w:p w:rsidR="002B6091" w:rsidRPr="008B2CB8" w:rsidRDefault="002B6091" w:rsidP="002B6091">
      <w:pPr>
        <w:pStyle w:val="ListParagraph"/>
        <w:numPr>
          <w:ilvl w:val="0"/>
          <w:numId w:val="97"/>
        </w:numPr>
        <w:spacing w:after="0"/>
        <w:rPr>
          <w:rFonts w:cs="Arial"/>
          <w:sz w:val="24"/>
          <w:szCs w:val="24"/>
        </w:rPr>
      </w:pPr>
      <w:r w:rsidRPr="008B2CB8">
        <w:rPr>
          <w:rFonts w:cs="Arial"/>
          <w:sz w:val="24"/>
          <w:szCs w:val="24"/>
        </w:rPr>
        <w:t>avoiding the unnecessary disruption to the lives – and lives of the families – of the 70% of women who enter custody each year on remand but do not go on to be convicted or receive a custodial sentence;</w:t>
      </w:r>
      <w:r w:rsidRPr="008B2CB8">
        <w:rPr>
          <w:rStyle w:val="FootnoteReference"/>
          <w:rFonts w:cs="Arial"/>
          <w:sz w:val="24"/>
          <w:szCs w:val="24"/>
        </w:rPr>
        <w:footnoteReference w:id="579"/>
      </w:r>
    </w:p>
    <w:p w:rsidR="002B6091" w:rsidRPr="008B2CB8" w:rsidRDefault="002B6091" w:rsidP="002B6091">
      <w:pPr>
        <w:pStyle w:val="ListParagraph"/>
        <w:numPr>
          <w:ilvl w:val="0"/>
          <w:numId w:val="97"/>
        </w:numPr>
        <w:spacing w:after="0"/>
        <w:rPr>
          <w:rFonts w:cs="Arial"/>
          <w:sz w:val="24"/>
          <w:szCs w:val="24"/>
        </w:rPr>
      </w:pPr>
      <w:r w:rsidRPr="008B2CB8">
        <w:rPr>
          <w:rFonts w:cs="Arial"/>
          <w:sz w:val="24"/>
          <w:szCs w:val="24"/>
        </w:rPr>
        <w:t>ensuring that proposals to extend the statutory monitoring and supervision to offenders serving less than 12 months include specific provision for women (19.9% of women compared to 10.4% of men receive short custodial sentences</w:t>
      </w:r>
      <w:r w:rsidRPr="008B2CB8">
        <w:rPr>
          <w:rStyle w:val="FootnoteReference"/>
          <w:rFonts w:cs="Arial"/>
          <w:sz w:val="24"/>
          <w:szCs w:val="24"/>
        </w:rPr>
        <w:footnoteReference w:id="580"/>
      </w:r>
      <w:r w:rsidRPr="008B2CB8">
        <w:rPr>
          <w:rFonts w:cs="Arial"/>
          <w:sz w:val="24"/>
          <w:szCs w:val="24"/>
        </w:rPr>
        <w:t>) to avoid the risks of:</w:t>
      </w:r>
    </w:p>
    <w:p w:rsidR="002B6091" w:rsidRPr="008B2CB8" w:rsidRDefault="002B6091" w:rsidP="002B6091">
      <w:pPr>
        <w:pStyle w:val="ListParagraph"/>
        <w:numPr>
          <w:ilvl w:val="1"/>
          <w:numId w:val="97"/>
        </w:numPr>
        <w:spacing w:after="0"/>
        <w:rPr>
          <w:rFonts w:cs="Arial"/>
          <w:sz w:val="24"/>
          <w:szCs w:val="24"/>
        </w:rPr>
      </w:pPr>
      <w:proofErr w:type="spellStart"/>
      <w:r w:rsidRPr="008B2CB8">
        <w:rPr>
          <w:rFonts w:cs="Arial"/>
          <w:sz w:val="24"/>
          <w:szCs w:val="24"/>
        </w:rPr>
        <w:t>sentencers</w:t>
      </w:r>
      <w:proofErr w:type="spellEnd"/>
      <w:r w:rsidRPr="008B2CB8">
        <w:rPr>
          <w:rFonts w:cs="Arial"/>
          <w:sz w:val="24"/>
          <w:szCs w:val="24"/>
        </w:rPr>
        <w:t xml:space="preserve"> viewing short periods of time in custody as a gateway to accessing services in the community; or </w:t>
      </w:r>
    </w:p>
    <w:p w:rsidR="002B6091" w:rsidRPr="008B2CB8" w:rsidRDefault="002B6091" w:rsidP="002B6091">
      <w:pPr>
        <w:pStyle w:val="ListParagraph"/>
        <w:numPr>
          <w:ilvl w:val="1"/>
          <w:numId w:val="97"/>
        </w:numPr>
        <w:spacing w:after="0"/>
        <w:rPr>
          <w:rFonts w:cs="Arial"/>
          <w:sz w:val="24"/>
          <w:szCs w:val="24"/>
        </w:rPr>
      </w:pPr>
      <w:r w:rsidRPr="008B2CB8">
        <w:rPr>
          <w:rFonts w:cs="Arial"/>
          <w:sz w:val="24"/>
          <w:szCs w:val="24"/>
        </w:rPr>
        <w:lastRenderedPageBreak/>
        <w:t>women returning to custody for breaching the terms of the supervisory order, for example because of missing a supervision meeting due to unmet childcare needs;</w:t>
      </w:r>
      <w:r w:rsidRPr="008B2CB8">
        <w:rPr>
          <w:rStyle w:val="FootnoteReference"/>
          <w:rFonts w:cs="Arial"/>
          <w:sz w:val="24"/>
          <w:szCs w:val="24"/>
        </w:rPr>
        <w:footnoteReference w:id="581"/>
      </w:r>
    </w:p>
    <w:p w:rsidR="002B6091" w:rsidRPr="008B2CB8" w:rsidRDefault="002B6091" w:rsidP="002B6091">
      <w:pPr>
        <w:pStyle w:val="ListParagraph"/>
        <w:numPr>
          <w:ilvl w:val="0"/>
          <w:numId w:val="97"/>
        </w:numPr>
        <w:spacing w:after="0"/>
        <w:rPr>
          <w:rFonts w:cs="Arial"/>
          <w:sz w:val="24"/>
          <w:szCs w:val="24"/>
        </w:rPr>
      </w:pPr>
      <w:r w:rsidRPr="008B2CB8">
        <w:rPr>
          <w:rFonts w:cs="Arial"/>
          <w:sz w:val="24"/>
          <w:szCs w:val="24"/>
        </w:rPr>
        <w:t>ensuring sufficient focus on the needs of specific groups of female offenders, in particular, those with learning disabilities, ethnic minorities, (including foreign nationals), those with personality disorders, or otherwise representing a high risk of harm to the public;</w:t>
      </w:r>
      <w:r w:rsidRPr="008B2CB8">
        <w:rPr>
          <w:rStyle w:val="FootnoteReference"/>
          <w:rFonts w:cs="Arial"/>
          <w:sz w:val="24"/>
          <w:szCs w:val="24"/>
        </w:rPr>
        <w:footnoteReference w:id="582"/>
      </w:r>
    </w:p>
    <w:p w:rsidR="002B6091" w:rsidRPr="00553F23" w:rsidRDefault="002B6091" w:rsidP="002B6091">
      <w:pPr>
        <w:pStyle w:val="ListParagraph"/>
        <w:numPr>
          <w:ilvl w:val="0"/>
          <w:numId w:val="97"/>
        </w:numPr>
        <w:spacing w:after="0"/>
        <w:rPr>
          <w:rFonts w:cs="Arial"/>
          <w:sz w:val="24"/>
          <w:szCs w:val="24"/>
        </w:rPr>
      </w:pPr>
      <w:proofErr w:type="gramStart"/>
      <w:r w:rsidRPr="008B2CB8">
        <w:rPr>
          <w:rFonts w:cs="Arial"/>
          <w:sz w:val="24"/>
          <w:szCs w:val="24"/>
        </w:rPr>
        <w:t>providing</w:t>
      </w:r>
      <w:proofErr w:type="gramEnd"/>
      <w:r w:rsidRPr="008B2CB8">
        <w:rPr>
          <w:rFonts w:cs="Arial"/>
          <w:sz w:val="24"/>
          <w:szCs w:val="24"/>
        </w:rPr>
        <w:t xml:space="preserve"> sufficient investment in community initiatives tailored to address the offending and rehabilitation of women.</w:t>
      </w:r>
      <w:r w:rsidR="008C67B4">
        <w:rPr>
          <w:rFonts w:cs="Arial"/>
          <w:sz w:val="24"/>
          <w:szCs w:val="24"/>
        </w:rPr>
        <w:t xml:space="preserve"> </w:t>
      </w:r>
      <w:r w:rsidRPr="008B2CB8">
        <w:rPr>
          <w:rFonts w:cs="Arial"/>
          <w:sz w:val="24"/>
          <w:szCs w:val="24"/>
        </w:rPr>
        <w:t>Instead, it has been suggested that reconfiguring the female prison estate has taken priority.</w:t>
      </w:r>
      <w:r w:rsidRPr="008B2CB8">
        <w:rPr>
          <w:rStyle w:val="FootnoteReference"/>
          <w:rFonts w:cs="Arial"/>
          <w:sz w:val="24"/>
          <w:szCs w:val="24"/>
        </w:rPr>
        <w:footnoteReference w:id="583"/>
      </w:r>
      <w:r w:rsidRPr="008B2CB8">
        <w:rPr>
          <w:rFonts w:cs="Arial"/>
          <w:sz w:val="24"/>
          <w:szCs w:val="24"/>
        </w:rPr>
        <w:t xml:space="preserve"> </w:t>
      </w:r>
    </w:p>
    <w:p w:rsidR="002B6091" w:rsidRPr="008B2CB8" w:rsidRDefault="002B6091" w:rsidP="002B6091">
      <w:pPr>
        <w:pStyle w:val="Heading2"/>
        <w:numPr>
          <w:ilvl w:val="0"/>
          <w:numId w:val="73"/>
        </w:numPr>
        <w:rPr>
          <w:sz w:val="24"/>
          <w:szCs w:val="24"/>
        </w:rPr>
      </w:pPr>
      <w:bookmarkStart w:id="141" w:name="_Toc420603249"/>
      <w:bookmarkStart w:id="142" w:name="_Toc420603340"/>
      <w:r w:rsidRPr="008B2CB8">
        <w:rPr>
          <w:sz w:val="24"/>
          <w:szCs w:val="24"/>
        </w:rPr>
        <w:t>Detaining the sole or primary carer of a child</w:t>
      </w:r>
      <w:bookmarkEnd w:id="141"/>
      <w:bookmarkEnd w:id="142"/>
    </w:p>
    <w:p w:rsidR="002B6091" w:rsidRPr="008B2CB8" w:rsidRDefault="002B6091" w:rsidP="002B6091">
      <w:pPr>
        <w:rPr>
          <w:sz w:val="24"/>
          <w:szCs w:val="24"/>
        </w:rPr>
      </w:pPr>
      <w:r w:rsidRPr="008B2CB8">
        <w:rPr>
          <w:sz w:val="24"/>
          <w:szCs w:val="24"/>
        </w:rPr>
        <w:t>It is not clear the extent to which criminal justice agencies in England and Wales are ensuring the best interests of the child are taken into account when a child’s primary or sole carer is detained – as required by the Bangkok Rules.</w:t>
      </w:r>
      <w:r w:rsidRPr="008B2CB8">
        <w:rPr>
          <w:rStyle w:val="FootnoteReference"/>
          <w:sz w:val="24"/>
          <w:szCs w:val="24"/>
        </w:rPr>
        <w:footnoteReference w:id="584"/>
      </w:r>
      <w:r w:rsidRPr="008B2CB8">
        <w:rPr>
          <w:sz w:val="24"/>
          <w:szCs w:val="24"/>
        </w:rPr>
        <w:t xml:space="preserve"> It is estimated that 17,240 children were separated from their mother in 2010 by imprisonment.</w:t>
      </w:r>
      <w:r w:rsidRPr="008B2CB8">
        <w:rPr>
          <w:rStyle w:val="FootnoteReference"/>
          <w:sz w:val="24"/>
          <w:szCs w:val="24"/>
        </w:rPr>
        <w:footnoteReference w:id="585"/>
      </w:r>
      <w:r w:rsidRPr="008B2CB8">
        <w:rPr>
          <w:b/>
          <w:sz w:val="24"/>
          <w:szCs w:val="24"/>
        </w:rPr>
        <w:t xml:space="preserve"> </w:t>
      </w:r>
    </w:p>
    <w:p w:rsidR="002B6091" w:rsidRPr="008B2CB8" w:rsidRDefault="002B6091" w:rsidP="002B6091">
      <w:pPr>
        <w:rPr>
          <w:sz w:val="24"/>
          <w:szCs w:val="24"/>
        </w:rPr>
      </w:pPr>
      <w:r w:rsidRPr="008B2CB8">
        <w:rPr>
          <w:sz w:val="24"/>
          <w:szCs w:val="24"/>
        </w:rPr>
        <w:t xml:space="preserve">While UK Government policy aims to support children to visit their parents, the fact that there are just 12 women’s prisons in England and none in Wales makes it difficult for this aim to be achieved. The EHRC supports Baroness </w:t>
      </w:r>
      <w:proofErr w:type="spellStart"/>
      <w:r w:rsidRPr="008B2CB8">
        <w:rPr>
          <w:sz w:val="24"/>
          <w:szCs w:val="24"/>
        </w:rPr>
        <w:t>Corston’s</w:t>
      </w:r>
      <w:proofErr w:type="spellEnd"/>
      <w:r w:rsidRPr="008B2CB8">
        <w:rPr>
          <w:sz w:val="24"/>
          <w:szCs w:val="24"/>
        </w:rPr>
        <w:t xml:space="preserve"> recommendations that: </w:t>
      </w:r>
    </w:p>
    <w:p w:rsidR="002B6091" w:rsidRPr="008B2CB8" w:rsidRDefault="002B6091" w:rsidP="002B6091">
      <w:pPr>
        <w:pStyle w:val="ListParagraph"/>
        <w:numPr>
          <w:ilvl w:val="0"/>
          <w:numId w:val="77"/>
        </w:numPr>
        <w:rPr>
          <w:sz w:val="24"/>
          <w:szCs w:val="24"/>
        </w:rPr>
      </w:pPr>
      <w:r w:rsidRPr="008B2CB8">
        <w:rPr>
          <w:sz w:val="24"/>
          <w:szCs w:val="24"/>
        </w:rPr>
        <w:t>alternatives to custody for women should be implemented; and</w:t>
      </w:r>
    </w:p>
    <w:p w:rsidR="002B6091" w:rsidRPr="008B2CB8" w:rsidRDefault="002B6091" w:rsidP="002B6091">
      <w:pPr>
        <w:pStyle w:val="ListParagraph"/>
        <w:numPr>
          <w:ilvl w:val="0"/>
          <w:numId w:val="77"/>
        </w:numPr>
        <w:rPr>
          <w:sz w:val="24"/>
          <w:szCs w:val="24"/>
        </w:rPr>
      </w:pPr>
      <w:proofErr w:type="gramStart"/>
      <w:r w:rsidRPr="008B2CB8">
        <w:rPr>
          <w:sz w:val="24"/>
          <w:szCs w:val="24"/>
        </w:rPr>
        <w:t>women’s</w:t>
      </w:r>
      <w:proofErr w:type="gramEnd"/>
      <w:r w:rsidRPr="008B2CB8">
        <w:rPr>
          <w:sz w:val="24"/>
          <w:szCs w:val="24"/>
        </w:rPr>
        <w:t xml:space="preserve"> prisons should be replaced with small, geographically dispersed, multi-functional custodial centres for the small proportion of women where custody is necessary</w:t>
      </w:r>
      <w:r>
        <w:rPr>
          <w:sz w:val="24"/>
          <w:szCs w:val="24"/>
        </w:rPr>
        <w:t>.</w:t>
      </w:r>
      <w:r w:rsidRPr="008B2CB8">
        <w:rPr>
          <w:rStyle w:val="FootnoteReference"/>
          <w:sz w:val="24"/>
          <w:szCs w:val="24"/>
        </w:rPr>
        <w:footnoteReference w:id="586"/>
      </w:r>
      <w:r w:rsidRPr="008B2CB8">
        <w:rPr>
          <w:sz w:val="24"/>
          <w:szCs w:val="24"/>
        </w:rPr>
        <w:t xml:space="preserve"> </w:t>
      </w:r>
    </w:p>
    <w:p w:rsidR="002B6091" w:rsidRPr="008B2CB8" w:rsidRDefault="002B6091" w:rsidP="002B6091">
      <w:pPr>
        <w:rPr>
          <w:sz w:val="24"/>
          <w:szCs w:val="24"/>
        </w:rPr>
      </w:pPr>
      <w:r w:rsidRPr="008B2CB8">
        <w:rPr>
          <w:sz w:val="24"/>
          <w:szCs w:val="24"/>
        </w:rPr>
        <w:t>We also welcome the changes by the Sentencing Council to include primary caring responsibilities as a mitigating factor in sentencing guidelines.</w:t>
      </w:r>
      <w:r w:rsidRPr="008B2CB8">
        <w:rPr>
          <w:rStyle w:val="FootnoteReference"/>
          <w:sz w:val="24"/>
          <w:szCs w:val="24"/>
        </w:rPr>
        <w:footnoteReference w:id="587"/>
      </w:r>
    </w:p>
    <w:p w:rsidR="002B6091" w:rsidRPr="008B2CB8" w:rsidRDefault="002B6091" w:rsidP="002B6091">
      <w:pPr>
        <w:pStyle w:val="ListParagraph"/>
        <w:spacing w:after="0"/>
        <w:ind w:left="0"/>
        <w:rPr>
          <w:b/>
          <w:sz w:val="24"/>
          <w:szCs w:val="24"/>
        </w:rPr>
      </w:pPr>
      <w:r w:rsidRPr="008B2CB8">
        <w:rPr>
          <w:b/>
          <w:sz w:val="24"/>
          <w:szCs w:val="24"/>
        </w:rPr>
        <w:t xml:space="preserve">Conclusion: While the UK Government has made recent progress and committed to “Transforming Rehabilitation” the EHRC considers that further investment is required to deliver this ambitious programme, and targeted interventions are required to meet the complex needs of particular sections of </w:t>
      </w:r>
      <w:r w:rsidRPr="008B2CB8">
        <w:rPr>
          <w:b/>
          <w:sz w:val="24"/>
          <w:szCs w:val="24"/>
        </w:rPr>
        <w:lastRenderedPageBreak/>
        <w:t>the prisoner population including women, people</w:t>
      </w:r>
      <w:r>
        <w:rPr>
          <w:b/>
          <w:sz w:val="24"/>
          <w:szCs w:val="24"/>
        </w:rPr>
        <w:t xml:space="preserve"> with disabilities</w:t>
      </w:r>
      <w:r w:rsidRPr="008B2CB8">
        <w:rPr>
          <w:b/>
          <w:sz w:val="24"/>
          <w:szCs w:val="24"/>
        </w:rPr>
        <w:t xml:space="preserve"> and those with mental health issues that put them at risk of self-harm and suicide. Our recommendations include:</w:t>
      </w:r>
    </w:p>
    <w:p w:rsidR="002B6091" w:rsidRPr="008B2CB8" w:rsidRDefault="002B6091" w:rsidP="002B6091">
      <w:pPr>
        <w:pStyle w:val="ListParagraph"/>
        <w:numPr>
          <w:ilvl w:val="0"/>
          <w:numId w:val="79"/>
        </w:numPr>
        <w:spacing w:after="0"/>
        <w:rPr>
          <w:b/>
          <w:sz w:val="24"/>
          <w:szCs w:val="24"/>
        </w:rPr>
      </w:pPr>
      <w:r w:rsidRPr="008B2CB8">
        <w:rPr>
          <w:b/>
          <w:sz w:val="24"/>
          <w:szCs w:val="24"/>
        </w:rPr>
        <w:t>further investment in community based services to reduce offending and reoffending, such as those to tackle substance abuse;</w:t>
      </w:r>
    </w:p>
    <w:p w:rsidR="002B6091" w:rsidRPr="008B2CB8" w:rsidRDefault="002B6091" w:rsidP="002B6091">
      <w:pPr>
        <w:pStyle w:val="ListParagraph"/>
        <w:numPr>
          <w:ilvl w:val="0"/>
          <w:numId w:val="79"/>
        </w:numPr>
        <w:spacing w:after="0"/>
        <w:rPr>
          <w:b/>
          <w:sz w:val="24"/>
          <w:szCs w:val="24"/>
        </w:rPr>
      </w:pPr>
      <w:r w:rsidRPr="008B2CB8">
        <w:rPr>
          <w:b/>
          <w:sz w:val="24"/>
          <w:szCs w:val="24"/>
        </w:rPr>
        <w:t>greater provision of mental health services in prisons and shortening timeframes to transfer prisoners to secure mental health hospitals;</w:t>
      </w:r>
    </w:p>
    <w:p w:rsidR="002B6091" w:rsidRPr="008B2CB8" w:rsidRDefault="002B6091" w:rsidP="002B6091">
      <w:pPr>
        <w:pStyle w:val="ListParagraph"/>
        <w:numPr>
          <w:ilvl w:val="0"/>
          <w:numId w:val="79"/>
        </w:numPr>
        <w:spacing w:after="0"/>
        <w:rPr>
          <w:b/>
          <w:sz w:val="24"/>
          <w:szCs w:val="24"/>
        </w:rPr>
      </w:pPr>
      <w:r w:rsidRPr="008B2CB8">
        <w:rPr>
          <w:b/>
          <w:sz w:val="24"/>
          <w:szCs w:val="24"/>
        </w:rPr>
        <w:t>a review of the ACCT plan to ensure it user-friendly, and the provision of training to prison staff to help them tackle targeted risks in a proactive and joined up way;</w:t>
      </w:r>
    </w:p>
    <w:p w:rsidR="002B6091" w:rsidRPr="008B2CB8" w:rsidRDefault="002B6091" w:rsidP="002B6091">
      <w:pPr>
        <w:pStyle w:val="ListParagraph"/>
        <w:numPr>
          <w:ilvl w:val="0"/>
          <w:numId w:val="79"/>
        </w:numPr>
        <w:spacing w:after="0"/>
        <w:rPr>
          <w:b/>
          <w:sz w:val="24"/>
          <w:szCs w:val="24"/>
        </w:rPr>
      </w:pPr>
      <w:r w:rsidRPr="008B2CB8">
        <w:rPr>
          <w:b/>
          <w:sz w:val="24"/>
          <w:szCs w:val="24"/>
        </w:rPr>
        <w:t>improved data collection to understand the prevalence of disability within the prisoner population to help identify targeted services that meet different and complex needs;</w:t>
      </w:r>
    </w:p>
    <w:p w:rsidR="002B6091" w:rsidRPr="008B2CB8" w:rsidRDefault="002B6091" w:rsidP="002B6091">
      <w:pPr>
        <w:pStyle w:val="ListParagraph"/>
        <w:numPr>
          <w:ilvl w:val="0"/>
          <w:numId w:val="79"/>
        </w:numPr>
        <w:spacing w:after="0"/>
        <w:rPr>
          <w:b/>
          <w:sz w:val="24"/>
          <w:szCs w:val="24"/>
        </w:rPr>
      </w:pPr>
      <w:r w:rsidRPr="008B2CB8">
        <w:rPr>
          <w:b/>
          <w:sz w:val="24"/>
          <w:szCs w:val="24"/>
        </w:rPr>
        <w:t>ensuring compliance with the duty under the Equality Act 2010 to make reasonable adjustments for prisoners</w:t>
      </w:r>
      <w:r>
        <w:rPr>
          <w:b/>
          <w:sz w:val="24"/>
          <w:szCs w:val="24"/>
        </w:rPr>
        <w:t xml:space="preserve"> with disabilities</w:t>
      </w:r>
      <w:r w:rsidRPr="008B2CB8">
        <w:rPr>
          <w:b/>
          <w:sz w:val="24"/>
          <w:szCs w:val="24"/>
        </w:rPr>
        <w:t xml:space="preserve">; </w:t>
      </w:r>
    </w:p>
    <w:p w:rsidR="002B6091" w:rsidRPr="008B2CB8" w:rsidRDefault="002B6091" w:rsidP="002B6091">
      <w:pPr>
        <w:pStyle w:val="ListParagraph"/>
        <w:numPr>
          <w:ilvl w:val="0"/>
          <w:numId w:val="79"/>
        </w:numPr>
        <w:spacing w:after="0"/>
        <w:rPr>
          <w:b/>
          <w:sz w:val="24"/>
          <w:szCs w:val="24"/>
        </w:rPr>
      </w:pPr>
      <w:r w:rsidRPr="008B2CB8">
        <w:rPr>
          <w:b/>
          <w:sz w:val="24"/>
          <w:szCs w:val="24"/>
        </w:rPr>
        <w:t xml:space="preserve">the development of an older prisoners strategy; </w:t>
      </w:r>
    </w:p>
    <w:p w:rsidR="002B6091" w:rsidRPr="008B2CB8" w:rsidRDefault="002B6091" w:rsidP="002B6091">
      <w:pPr>
        <w:pStyle w:val="ListParagraph"/>
        <w:numPr>
          <w:ilvl w:val="0"/>
          <w:numId w:val="79"/>
        </w:numPr>
        <w:spacing w:after="0"/>
        <w:rPr>
          <w:b/>
          <w:sz w:val="24"/>
          <w:szCs w:val="24"/>
        </w:rPr>
      </w:pPr>
      <w:r w:rsidRPr="008B2CB8">
        <w:rPr>
          <w:b/>
          <w:sz w:val="24"/>
          <w:szCs w:val="24"/>
        </w:rPr>
        <w:t xml:space="preserve">implementation of the outstanding recommendations from the </w:t>
      </w:r>
      <w:proofErr w:type="spellStart"/>
      <w:r w:rsidRPr="008B2CB8">
        <w:rPr>
          <w:b/>
          <w:sz w:val="24"/>
          <w:szCs w:val="24"/>
        </w:rPr>
        <w:t>Corston</w:t>
      </w:r>
      <w:proofErr w:type="spellEnd"/>
      <w:r w:rsidRPr="008B2CB8">
        <w:rPr>
          <w:b/>
          <w:sz w:val="24"/>
          <w:szCs w:val="24"/>
        </w:rPr>
        <w:t xml:space="preserve"> Report, in line with the Bangkok rules and the 2013 UK Concluding Observations of the CEDAW and CAT Committees;</w:t>
      </w:r>
    </w:p>
    <w:p w:rsidR="002B6091" w:rsidRPr="008B2CB8" w:rsidRDefault="002B6091" w:rsidP="002B6091">
      <w:pPr>
        <w:pStyle w:val="ListParagraph"/>
        <w:numPr>
          <w:ilvl w:val="0"/>
          <w:numId w:val="79"/>
        </w:numPr>
        <w:spacing w:after="0"/>
        <w:rPr>
          <w:b/>
          <w:sz w:val="24"/>
          <w:szCs w:val="24"/>
        </w:rPr>
      </w:pPr>
      <w:proofErr w:type="gramStart"/>
      <w:r w:rsidRPr="008B2CB8">
        <w:rPr>
          <w:b/>
          <w:sz w:val="24"/>
          <w:szCs w:val="24"/>
        </w:rPr>
        <w:t>monitoring</w:t>
      </w:r>
      <w:proofErr w:type="gramEnd"/>
      <w:r w:rsidRPr="008B2CB8">
        <w:rPr>
          <w:b/>
          <w:sz w:val="24"/>
          <w:szCs w:val="24"/>
        </w:rPr>
        <w:t xml:space="preserve"> of implementation of the extent to which the Sentencing Council’s mitigating factors have been applied for sole or primary carers.</w:t>
      </w:r>
    </w:p>
    <w:p w:rsidR="002B6091" w:rsidRDefault="002B6091" w:rsidP="002B6091">
      <w:pPr>
        <w:pStyle w:val="ListParagraph"/>
        <w:spacing w:after="0"/>
        <w:rPr>
          <w:b/>
          <w:sz w:val="24"/>
          <w:szCs w:val="24"/>
        </w:rPr>
      </w:pPr>
    </w:p>
    <w:p w:rsidR="002B6091" w:rsidRDefault="002B6091" w:rsidP="002B6091">
      <w:pPr>
        <w:pStyle w:val="ListParagraph"/>
        <w:spacing w:after="0"/>
        <w:ind w:left="0"/>
        <w:rPr>
          <w:b/>
          <w:sz w:val="24"/>
          <w:szCs w:val="24"/>
        </w:rPr>
      </w:pPr>
      <w:r>
        <w:rPr>
          <w:b/>
          <w:sz w:val="24"/>
          <w:szCs w:val="24"/>
        </w:rPr>
        <w:t xml:space="preserve">Question A: </w:t>
      </w:r>
      <w:r w:rsidRPr="00096D97">
        <w:rPr>
          <w:b/>
          <w:sz w:val="24"/>
          <w:szCs w:val="24"/>
        </w:rPr>
        <w:t xml:space="preserve">What analysis </w:t>
      </w:r>
      <w:r>
        <w:rPr>
          <w:b/>
          <w:sz w:val="24"/>
          <w:szCs w:val="24"/>
        </w:rPr>
        <w:t xml:space="preserve">has </w:t>
      </w:r>
      <w:r w:rsidRPr="00096D97">
        <w:rPr>
          <w:b/>
          <w:sz w:val="24"/>
          <w:szCs w:val="24"/>
        </w:rPr>
        <w:t xml:space="preserve">the </w:t>
      </w:r>
      <w:r>
        <w:rPr>
          <w:b/>
          <w:sz w:val="24"/>
          <w:szCs w:val="24"/>
        </w:rPr>
        <w:t xml:space="preserve">UK </w:t>
      </w:r>
      <w:r w:rsidRPr="00096D97">
        <w:rPr>
          <w:b/>
          <w:sz w:val="24"/>
          <w:szCs w:val="24"/>
        </w:rPr>
        <w:t>Government done to understand the potential link between the increase in the male prison population and the increase in cases of self-harm and suicide</w:t>
      </w:r>
      <w:r>
        <w:rPr>
          <w:b/>
          <w:sz w:val="24"/>
          <w:szCs w:val="24"/>
        </w:rPr>
        <w:t>?</w:t>
      </w:r>
    </w:p>
    <w:p w:rsidR="002B6091" w:rsidRDefault="002B6091" w:rsidP="002B6091">
      <w:pPr>
        <w:pStyle w:val="ListParagraph"/>
        <w:spacing w:after="0"/>
        <w:ind w:left="0"/>
        <w:rPr>
          <w:b/>
          <w:sz w:val="24"/>
          <w:szCs w:val="24"/>
        </w:rPr>
      </w:pPr>
    </w:p>
    <w:p w:rsidR="002B6091" w:rsidRDefault="002B6091" w:rsidP="002B6091">
      <w:pPr>
        <w:pStyle w:val="ListParagraph"/>
        <w:spacing w:after="0"/>
        <w:ind w:left="0"/>
        <w:rPr>
          <w:b/>
          <w:sz w:val="24"/>
          <w:szCs w:val="24"/>
        </w:rPr>
      </w:pPr>
      <w:r>
        <w:rPr>
          <w:b/>
          <w:sz w:val="24"/>
          <w:szCs w:val="24"/>
        </w:rPr>
        <w:t xml:space="preserve">Question B: </w:t>
      </w:r>
      <w:r w:rsidRPr="00096D97">
        <w:rPr>
          <w:b/>
          <w:sz w:val="24"/>
          <w:szCs w:val="24"/>
        </w:rPr>
        <w:t xml:space="preserve">Can the UK Government describe how it will evidence the impact of initiatives </w:t>
      </w:r>
      <w:r>
        <w:rPr>
          <w:b/>
          <w:sz w:val="24"/>
          <w:szCs w:val="24"/>
        </w:rPr>
        <w:t>that</w:t>
      </w:r>
      <w:r w:rsidRPr="00096D97">
        <w:rPr>
          <w:b/>
          <w:sz w:val="24"/>
          <w:szCs w:val="24"/>
        </w:rPr>
        <w:t xml:space="preserve"> specifically address the offending and rehabilitation of women</w:t>
      </w:r>
      <w:r>
        <w:rPr>
          <w:b/>
          <w:sz w:val="24"/>
          <w:szCs w:val="24"/>
        </w:rPr>
        <w:t>?</w:t>
      </w:r>
    </w:p>
    <w:p w:rsidR="002B6091" w:rsidRDefault="002B6091" w:rsidP="002B6091">
      <w:pPr>
        <w:pStyle w:val="ListParagraph"/>
        <w:spacing w:after="0"/>
        <w:ind w:left="0"/>
        <w:rPr>
          <w:b/>
          <w:sz w:val="24"/>
          <w:szCs w:val="24"/>
        </w:rPr>
      </w:pPr>
    </w:p>
    <w:p w:rsidR="002B6091" w:rsidRPr="008B2CB8" w:rsidRDefault="002B6091" w:rsidP="002B6091">
      <w:pPr>
        <w:pStyle w:val="ListParagraph"/>
        <w:spacing w:after="0"/>
        <w:ind w:left="0"/>
        <w:rPr>
          <w:b/>
          <w:sz w:val="24"/>
          <w:szCs w:val="24"/>
        </w:rPr>
      </w:pPr>
      <w:r>
        <w:rPr>
          <w:b/>
          <w:sz w:val="24"/>
          <w:szCs w:val="24"/>
        </w:rPr>
        <w:t xml:space="preserve">Question C: </w:t>
      </w:r>
      <w:r w:rsidRPr="00096D97">
        <w:rPr>
          <w:b/>
          <w:sz w:val="24"/>
          <w:szCs w:val="24"/>
        </w:rPr>
        <w:t>How does the UK Government monitor implementation of sentenc</w:t>
      </w:r>
      <w:r>
        <w:rPr>
          <w:b/>
          <w:sz w:val="24"/>
          <w:szCs w:val="24"/>
        </w:rPr>
        <w:t>ing</w:t>
      </w:r>
      <w:r w:rsidRPr="00096D97">
        <w:rPr>
          <w:b/>
          <w:sz w:val="24"/>
          <w:szCs w:val="24"/>
        </w:rPr>
        <w:t xml:space="preserve"> guidelines in relation to primary caring responsibilities, and can it describe the impact they have had on the numbers of primary carers detained</w:t>
      </w:r>
      <w:r>
        <w:rPr>
          <w:b/>
          <w:sz w:val="24"/>
          <w:szCs w:val="24"/>
        </w:rPr>
        <w:t>?</w:t>
      </w:r>
      <w:r w:rsidRPr="00096D97">
        <w:rPr>
          <w:b/>
          <w:sz w:val="24"/>
          <w:szCs w:val="24"/>
        </w:rPr>
        <w:t xml:space="preserve"> </w:t>
      </w:r>
    </w:p>
    <w:p w:rsidR="002B6091" w:rsidRPr="008B2CB8" w:rsidRDefault="002B6091" w:rsidP="002B6091">
      <w:pPr>
        <w:pStyle w:val="Heading2"/>
        <w:numPr>
          <w:ilvl w:val="0"/>
          <w:numId w:val="65"/>
        </w:numPr>
        <w:rPr>
          <w:sz w:val="24"/>
          <w:szCs w:val="24"/>
        </w:rPr>
      </w:pPr>
      <w:bookmarkStart w:id="143" w:name="_Toc420603250"/>
      <w:bookmarkStart w:id="144" w:name="_Toc420603341"/>
      <w:r w:rsidRPr="008B2CB8">
        <w:rPr>
          <w:sz w:val="24"/>
          <w:szCs w:val="24"/>
        </w:rPr>
        <w:t>Youth Justice System</w:t>
      </w:r>
      <w:r w:rsidRPr="008B2CB8">
        <w:rPr>
          <w:rStyle w:val="FootnoteReference"/>
          <w:sz w:val="24"/>
          <w:szCs w:val="24"/>
        </w:rPr>
        <w:footnoteReference w:id="588"/>
      </w:r>
      <w:bookmarkEnd w:id="143"/>
      <w:bookmarkEnd w:id="144"/>
    </w:p>
    <w:p w:rsidR="002B6091" w:rsidRPr="008B2CB8" w:rsidRDefault="002B6091" w:rsidP="002B6091">
      <w:pPr>
        <w:pStyle w:val="Heading2"/>
        <w:numPr>
          <w:ilvl w:val="0"/>
          <w:numId w:val="80"/>
        </w:numPr>
        <w:rPr>
          <w:sz w:val="24"/>
          <w:szCs w:val="24"/>
        </w:rPr>
      </w:pPr>
      <w:bookmarkStart w:id="145" w:name="_Toc420603251"/>
      <w:bookmarkStart w:id="146" w:name="_Toc420603342"/>
      <w:r w:rsidRPr="008B2CB8">
        <w:rPr>
          <w:sz w:val="24"/>
          <w:szCs w:val="24"/>
        </w:rPr>
        <w:t>The age of criminal responsibility</w:t>
      </w:r>
      <w:bookmarkEnd w:id="145"/>
      <w:bookmarkEnd w:id="146"/>
    </w:p>
    <w:p w:rsidR="002B6091" w:rsidRPr="008B2CB8" w:rsidRDefault="002B6091" w:rsidP="002B6091">
      <w:pPr>
        <w:spacing w:after="0"/>
        <w:rPr>
          <w:rFonts w:cs="Arial"/>
          <w:sz w:val="24"/>
          <w:szCs w:val="24"/>
        </w:rPr>
      </w:pPr>
      <w:r w:rsidRPr="008B2CB8">
        <w:rPr>
          <w:rFonts w:cs="Arial"/>
          <w:sz w:val="24"/>
          <w:szCs w:val="24"/>
        </w:rPr>
        <w:t>In England and Wales the age of criminal responsibility is set at 10 years old.</w:t>
      </w:r>
      <w:r w:rsidR="008C67B4">
        <w:rPr>
          <w:rFonts w:cs="Arial"/>
          <w:sz w:val="24"/>
          <w:szCs w:val="24"/>
        </w:rPr>
        <w:t xml:space="preserve"> </w:t>
      </w:r>
      <w:r w:rsidRPr="008B2CB8">
        <w:rPr>
          <w:rFonts w:cs="Arial"/>
          <w:sz w:val="24"/>
          <w:szCs w:val="24"/>
        </w:rPr>
        <w:t xml:space="preserve">This is the age at which a person can be charged, and be found guilty, of committing a criminal offence. Any child below the age of 10 is not considered to have the capacity to distinguish right from wrong and be held liable for a criminal act. </w:t>
      </w:r>
    </w:p>
    <w:p w:rsidR="002B6091" w:rsidRPr="008B2CB8" w:rsidRDefault="002B6091" w:rsidP="002B6091">
      <w:pPr>
        <w:spacing w:after="0"/>
        <w:rPr>
          <w:rFonts w:cs="Arial"/>
          <w:sz w:val="24"/>
          <w:szCs w:val="24"/>
        </w:rPr>
      </w:pPr>
    </w:p>
    <w:p w:rsidR="002B6091" w:rsidRPr="008B2CB8" w:rsidRDefault="002B6091" w:rsidP="002B6091">
      <w:pPr>
        <w:spacing w:after="0"/>
        <w:rPr>
          <w:rFonts w:cs="Arial"/>
          <w:sz w:val="24"/>
          <w:szCs w:val="24"/>
        </w:rPr>
      </w:pPr>
      <w:r w:rsidRPr="008B2CB8">
        <w:rPr>
          <w:rFonts w:cs="Arial"/>
          <w:sz w:val="24"/>
          <w:szCs w:val="24"/>
        </w:rPr>
        <w:t xml:space="preserve">The age of criminal responsibility in England and Wales is lower than many countries: in Scotland it is 12 years, in China and Russia it is 14 years, and in France </w:t>
      </w:r>
      <w:r w:rsidRPr="008B2CB8">
        <w:rPr>
          <w:rFonts w:cs="Arial"/>
          <w:sz w:val="24"/>
          <w:szCs w:val="24"/>
        </w:rPr>
        <w:lastRenderedPageBreak/>
        <w:t>and Brazil it is 18 years.</w:t>
      </w:r>
      <w:r w:rsidRPr="008B2CB8">
        <w:rPr>
          <w:rFonts w:cs="Arial"/>
          <w:sz w:val="24"/>
          <w:szCs w:val="24"/>
          <w:vertAlign w:val="superscript"/>
        </w:rPr>
        <w:footnoteReference w:id="589"/>
      </w:r>
      <w:r w:rsidRPr="008B2CB8">
        <w:rPr>
          <w:rFonts w:cs="Arial"/>
          <w:sz w:val="24"/>
          <w:szCs w:val="24"/>
        </w:rPr>
        <w:t xml:space="preserve"> The CRC has stated that setting the age of criminal responsibility below 12 is ‘not acceptable;’</w:t>
      </w:r>
      <w:r w:rsidRPr="008B2CB8">
        <w:rPr>
          <w:rFonts w:cs="Arial"/>
          <w:sz w:val="24"/>
          <w:szCs w:val="24"/>
          <w:vertAlign w:val="superscript"/>
        </w:rPr>
        <w:footnoteReference w:id="590"/>
      </w:r>
      <w:r w:rsidR="008C67B4">
        <w:rPr>
          <w:rFonts w:cs="Arial"/>
          <w:sz w:val="24"/>
          <w:szCs w:val="24"/>
        </w:rPr>
        <w:t xml:space="preserve"> </w:t>
      </w:r>
      <w:r w:rsidRPr="008B2CB8">
        <w:rPr>
          <w:rFonts w:cs="Arial"/>
          <w:sz w:val="24"/>
          <w:szCs w:val="24"/>
        </w:rPr>
        <w:t>and urged the UK to raise the age limit accordingly.</w:t>
      </w:r>
      <w:r w:rsidRPr="008B2CB8">
        <w:rPr>
          <w:rFonts w:cs="Arial"/>
          <w:sz w:val="24"/>
          <w:szCs w:val="24"/>
          <w:vertAlign w:val="superscript"/>
        </w:rPr>
        <w:footnoteReference w:id="591"/>
      </w:r>
      <w:r w:rsidR="008C67B4">
        <w:rPr>
          <w:rFonts w:cs="Arial"/>
          <w:sz w:val="24"/>
          <w:szCs w:val="24"/>
        </w:rPr>
        <w:t xml:space="preserve"> </w:t>
      </w:r>
      <w:r w:rsidRPr="008B2CB8">
        <w:rPr>
          <w:sz w:val="24"/>
          <w:szCs w:val="24"/>
        </w:rPr>
        <w:t>CAT also made this recommendation</w:t>
      </w:r>
      <w:r w:rsidRPr="008B2CB8">
        <w:rPr>
          <w:rStyle w:val="FootnoteReference"/>
          <w:sz w:val="24"/>
          <w:szCs w:val="24"/>
        </w:rPr>
        <w:footnoteReference w:id="592"/>
      </w:r>
      <w:r w:rsidRPr="008B2CB8">
        <w:rPr>
          <w:sz w:val="24"/>
          <w:szCs w:val="24"/>
        </w:rPr>
        <w:t>, and called on the UK Government to ensure full implementation of the Beijing Rules</w:t>
      </w:r>
      <w:r w:rsidRPr="008B2CB8">
        <w:rPr>
          <w:rStyle w:val="FootnoteReference"/>
          <w:sz w:val="24"/>
          <w:szCs w:val="24"/>
        </w:rPr>
        <w:footnoteReference w:id="593"/>
      </w:r>
      <w:r w:rsidRPr="008B2CB8">
        <w:rPr>
          <w:sz w:val="24"/>
          <w:szCs w:val="24"/>
        </w:rPr>
        <w:t xml:space="preserve"> and Riyadh Guidelines.</w:t>
      </w:r>
      <w:r w:rsidRPr="008B2CB8">
        <w:rPr>
          <w:rStyle w:val="FootnoteReference"/>
          <w:sz w:val="24"/>
          <w:szCs w:val="24"/>
        </w:rPr>
        <w:footnoteReference w:id="594"/>
      </w:r>
      <w:r w:rsidRPr="008B2CB8">
        <w:rPr>
          <w:sz w:val="24"/>
          <w:szCs w:val="24"/>
        </w:rPr>
        <w:t xml:space="preserve"> Finally, </w:t>
      </w:r>
      <w:r w:rsidRPr="008B2CB8">
        <w:rPr>
          <w:rFonts w:cs="Arial"/>
          <w:sz w:val="24"/>
          <w:szCs w:val="24"/>
        </w:rPr>
        <w:t>the Council of Europe Commissioner for Human Rights recommended the UK increase the age ‘to bring it in line with the rest of Europe, where the average age of criminal responsibility is 14 or 15’.</w:t>
      </w:r>
      <w:r w:rsidRPr="008B2CB8">
        <w:rPr>
          <w:rFonts w:cs="Arial"/>
          <w:sz w:val="24"/>
          <w:szCs w:val="24"/>
          <w:vertAlign w:val="superscript"/>
        </w:rPr>
        <w:footnoteReference w:id="595"/>
      </w:r>
    </w:p>
    <w:p w:rsidR="002B6091" w:rsidRPr="008B2CB8" w:rsidRDefault="002B6091" w:rsidP="002B6091">
      <w:pPr>
        <w:spacing w:after="0"/>
        <w:rPr>
          <w:rFonts w:cs="Arial"/>
          <w:sz w:val="24"/>
          <w:szCs w:val="24"/>
        </w:rPr>
      </w:pPr>
    </w:p>
    <w:p w:rsidR="002B6091" w:rsidRPr="008B2CB8" w:rsidRDefault="002B6091" w:rsidP="002B6091">
      <w:pPr>
        <w:spacing w:after="0"/>
        <w:rPr>
          <w:rFonts w:cs="Arial"/>
          <w:sz w:val="24"/>
          <w:szCs w:val="24"/>
        </w:rPr>
      </w:pPr>
      <w:r w:rsidRPr="008B2CB8">
        <w:rPr>
          <w:rFonts w:cs="Arial"/>
          <w:sz w:val="24"/>
          <w:szCs w:val="24"/>
        </w:rPr>
        <w:t xml:space="preserve">Whilst the sentencing guidelines for England and Wales emphasise the need to consider children’s welfare, and requires </w:t>
      </w:r>
      <w:proofErr w:type="spellStart"/>
      <w:r w:rsidRPr="008B2CB8">
        <w:rPr>
          <w:rFonts w:cs="Arial"/>
          <w:sz w:val="24"/>
          <w:szCs w:val="24"/>
        </w:rPr>
        <w:t>sentencers</w:t>
      </w:r>
      <w:proofErr w:type="spellEnd"/>
      <w:r w:rsidRPr="008B2CB8">
        <w:rPr>
          <w:rFonts w:cs="Arial"/>
          <w:sz w:val="24"/>
          <w:szCs w:val="24"/>
        </w:rPr>
        <w:t xml:space="preserve"> to keep in mind the high prevalence of mental health, learning difficulties, disabilities and communications problems in the youth justice system, a significant number of children still end up in custody.</w:t>
      </w:r>
      <w:r w:rsidRPr="008B2CB8">
        <w:rPr>
          <w:rStyle w:val="FootnoteReference"/>
          <w:sz w:val="24"/>
          <w:szCs w:val="24"/>
        </w:rPr>
        <w:footnoteReference w:id="596"/>
      </w:r>
      <w:r w:rsidR="008C67B4">
        <w:rPr>
          <w:rFonts w:cs="Arial"/>
          <w:sz w:val="24"/>
          <w:szCs w:val="24"/>
        </w:rPr>
        <w:t xml:space="preserve"> </w:t>
      </w:r>
      <w:r w:rsidRPr="008B2CB8">
        <w:rPr>
          <w:rFonts w:cs="Arial"/>
          <w:sz w:val="24"/>
          <w:szCs w:val="24"/>
        </w:rPr>
        <w:t>Other jurisdictions, such as Scotland, adopt a welfare-based approach that regards children in trouble with the law as children in need first and foremost.</w:t>
      </w:r>
      <w:r w:rsidR="008C67B4">
        <w:rPr>
          <w:rFonts w:cs="Arial"/>
          <w:sz w:val="24"/>
          <w:szCs w:val="24"/>
        </w:rPr>
        <w:t xml:space="preserve"> </w:t>
      </w:r>
      <w:r w:rsidRPr="008B2CB8">
        <w:rPr>
          <w:rFonts w:cs="Arial"/>
          <w:sz w:val="24"/>
          <w:szCs w:val="24"/>
        </w:rPr>
        <w:t>This approach seeks to address</w:t>
      </w:r>
      <w:r>
        <w:rPr>
          <w:rFonts w:cs="Arial"/>
          <w:sz w:val="24"/>
          <w:szCs w:val="24"/>
        </w:rPr>
        <w:t>,</w:t>
      </w:r>
      <w:r w:rsidRPr="008B2CB8">
        <w:rPr>
          <w:rFonts w:cs="Arial"/>
          <w:sz w:val="24"/>
          <w:szCs w:val="24"/>
        </w:rPr>
        <w:t xml:space="preserve"> outside of the courts</w:t>
      </w:r>
      <w:r>
        <w:rPr>
          <w:rFonts w:cs="Arial"/>
          <w:sz w:val="24"/>
          <w:szCs w:val="24"/>
        </w:rPr>
        <w:t>,</w:t>
      </w:r>
      <w:r w:rsidRPr="008B2CB8">
        <w:rPr>
          <w:rFonts w:cs="Arial"/>
          <w:sz w:val="24"/>
          <w:szCs w:val="24"/>
        </w:rPr>
        <w:t xml:space="preserve"> the causes of crime, which are likely to stem from neglect and abuse, rather than prioritising an adversarial system of proving guilt and innocence.</w:t>
      </w:r>
    </w:p>
    <w:p w:rsidR="002B6091" w:rsidRPr="008B2CB8" w:rsidRDefault="002B6091" w:rsidP="002B6091">
      <w:pPr>
        <w:spacing w:after="0"/>
        <w:rPr>
          <w:rFonts w:cs="Arial"/>
          <w:sz w:val="24"/>
          <w:szCs w:val="24"/>
        </w:rPr>
      </w:pPr>
    </w:p>
    <w:p w:rsidR="002B6091" w:rsidRPr="008B2CB8" w:rsidRDefault="002B6091" w:rsidP="002B6091">
      <w:pPr>
        <w:spacing w:after="0"/>
        <w:rPr>
          <w:rFonts w:cs="Arial"/>
          <w:sz w:val="24"/>
          <w:szCs w:val="24"/>
        </w:rPr>
      </w:pPr>
      <w:r w:rsidRPr="008B2CB8">
        <w:rPr>
          <w:rFonts w:cs="Arial"/>
          <w:sz w:val="24"/>
          <w:szCs w:val="24"/>
        </w:rPr>
        <w:t>The EHRC believes the UK Government could learn from the Scottish approach to dealing with o</w:t>
      </w:r>
      <w:r>
        <w:rPr>
          <w:rFonts w:cs="Arial"/>
          <w:sz w:val="24"/>
          <w:szCs w:val="24"/>
        </w:rPr>
        <w:t xml:space="preserve">ffences committed by children. </w:t>
      </w:r>
      <w:r w:rsidRPr="008B2CB8">
        <w:rPr>
          <w:rFonts w:cs="Arial"/>
          <w:sz w:val="24"/>
          <w:szCs w:val="24"/>
        </w:rPr>
        <w:t>The Scotland Children's Hearing System takes most of the responsibility from courts for dealing with children and young people under 16, (and in some cases under 18), who commit offences or who are in need of care and protection.</w:t>
      </w:r>
      <w:r w:rsidR="008C67B4">
        <w:rPr>
          <w:rFonts w:cs="Arial"/>
          <w:sz w:val="24"/>
          <w:szCs w:val="24"/>
        </w:rPr>
        <w:t xml:space="preserve"> </w:t>
      </w:r>
      <w:r w:rsidRPr="008B2CB8">
        <w:rPr>
          <w:rFonts w:cs="Arial"/>
          <w:sz w:val="24"/>
          <w:szCs w:val="24"/>
        </w:rPr>
        <w:t>This is based on the principle that children who commit offences and children who need care and protection are often the same children.</w:t>
      </w:r>
      <w:r w:rsidR="008C67B4">
        <w:rPr>
          <w:rFonts w:cs="Arial"/>
          <w:sz w:val="24"/>
          <w:szCs w:val="24"/>
        </w:rPr>
        <w:t xml:space="preserve"> </w:t>
      </w:r>
      <w:r w:rsidRPr="008B2CB8">
        <w:rPr>
          <w:rFonts w:cs="Arial"/>
          <w:sz w:val="24"/>
          <w:szCs w:val="24"/>
        </w:rPr>
        <w:t>This system seeks ways to support the child and move them away from re-offending.</w:t>
      </w:r>
      <w:r w:rsidR="008C67B4">
        <w:rPr>
          <w:rFonts w:cs="Arial"/>
          <w:sz w:val="24"/>
          <w:szCs w:val="24"/>
        </w:rPr>
        <w:t xml:space="preserve"> </w:t>
      </w:r>
      <w:r w:rsidRPr="008B2CB8">
        <w:rPr>
          <w:rFonts w:cs="Arial"/>
          <w:sz w:val="24"/>
          <w:szCs w:val="24"/>
        </w:rPr>
        <w:t xml:space="preserve">Where a decision is made to prosecute a child in a court, the hearing system can advise the court on how best to support the child in the process. </w:t>
      </w:r>
    </w:p>
    <w:p w:rsidR="002B6091" w:rsidRPr="008B2CB8" w:rsidRDefault="002B6091" w:rsidP="002B6091">
      <w:pPr>
        <w:spacing w:after="0"/>
        <w:rPr>
          <w:rFonts w:cs="Arial"/>
          <w:sz w:val="24"/>
          <w:szCs w:val="24"/>
        </w:rPr>
      </w:pPr>
    </w:p>
    <w:p w:rsidR="002B6091" w:rsidRPr="008B2CB8" w:rsidRDefault="002B6091" w:rsidP="002B6091">
      <w:pPr>
        <w:spacing w:after="0"/>
        <w:rPr>
          <w:rFonts w:cs="Arial"/>
          <w:sz w:val="24"/>
          <w:szCs w:val="24"/>
        </w:rPr>
      </w:pPr>
      <w:r w:rsidRPr="008B2CB8">
        <w:rPr>
          <w:rFonts w:cs="Arial"/>
          <w:sz w:val="24"/>
          <w:szCs w:val="24"/>
        </w:rPr>
        <w:lastRenderedPageBreak/>
        <w:t>UNCRC requires the UK to ensure the best interests of the child is the primary consideration of the courts;</w:t>
      </w:r>
      <w:r w:rsidRPr="008B2CB8">
        <w:rPr>
          <w:rStyle w:val="FootnoteReference"/>
          <w:rFonts w:cs="Arial"/>
          <w:sz w:val="24"/>
          <w:szCs w:val="24"/>
        </w:rPr>
        <w:footnoteReference w:id="597"/>
      </w:r>
      <w:r w:rsidRPr="008B2CB8">
        <w:rPr>
          <w:rFonts w:cs="Arial"/>
          <w:sz w:val="24"/>
          <w:szCs w:val="24"/>
        </w:rPr>
        <w:t xml:space="preserve"> and the CRC has recommended that children in conflict with the law should always be dealt with by the juvenile system and never tried as adults within ordinary courts.</w:t>
      </w:r>
      <w:r w:rsidRPr="008B2CB8">
        <w:rPr>
          <w:rStyle w:val="FootnoteReference"/>
          <w:sz w:val="24"/>
          <w:szCs w:val="24"/>
        </w:rPr>
        <w:footnoteReference w:id="598"/>
      </w:r>
      <w:r w:rsidRPr="008B2CB8">
        <w:rPr>
          <w:rFonts w:cs="Arial"/>
          <w:sz w:val="24"/>
          <w:szCs w:val="24"/>
        </w:rPr>
        <w:t xml:space="preserve"> However, while most children are dealt with by a dedicated youth court with specially trained magistrates, those accused of serious offences can be tried in the Crown Courts. In 2012, 2,419 children were tried in this way.</w:t>
      </w:r>
      <w:r w:rsidRPr="008B2CB8">
        <w:rPr>
          <w:rStyle w:val="FootnoteReference"/>
          <w:rFonts w:cs="Arial"/>
          <w:sz w:val="24"/>
          <w:szCs w:val="24"/>
        </w:rPr>
        <w:footnoteReference w:id="599"/>
      </w:r>
      <w:r w:rsidRPr="008B2CB8">
        <w:rPr>
          <w:rFonts w:cs="Arial"/>
          <w:sz w:val="24"/>
          <w:szCs w:val="24"/>
        </w:rPr>
        <w:t xml:space="preserve"> The EHRC is concerned that children tried in Crown Courts are at risk of breaching Article 6 of the ECHR as insufficient consideration is given to their age, maturity or communications skills.</w:t>
      </w:r>
      <w:r w:rsidRPr="008B2CB8">
        <w:rPr>
          <w:rStyle w:val="FootnoteReference"/>
          <w:rFonts w:cs="Arial"/>
          <w:sz w:val="24"/>
          <w:szCs w:val="24"/>
        </w:rPr>
        <w:footnoteReference w:id="600"/>
      </w:r>
    </w:p>
    <w:p w:rsidR="002B6091" w:rsidRPr="00553F23" w:rsidRDefault="002B6091" w:rsidP="002B6091">
      <w:pPr>
        <w:pStyle w:val="Heading2"/>
        <w:numPr>
          <w:ilvl w:val="0"/>
          <w:numId w:val="80"/>
        </w:numPr>
        <w:rPr>
          <w:sz w:val="24"/>
          <w:szCs w:val="24"/>
        </w:rPr>
      </w:pPr>
      <w:bookmarkStart w:id="147" w:name="_Toc420603252"/>
      <w:bookmarkStart w:id="148" w:name="_Toc420603343"/>
      <w:r w:rsidRPr="008B2CB8">
        <w:rPr>
          <w:sz w:val="24"/>
          <w:szCs w:val="24"/>
        </w:rPr>
        <w:t>Alternatives to detaining children in custody</w:t>
      </w:r>
      <w:bookmarkEnd w:id="147"/>
      <w:bookmarkEnd w:id="148"/>
    </w:p>
    <w:p w:rsidR="002B6091" w:rsidRPr="008B2CB8" w:rsidRDefault="002B6091" w:rsidP="002B6091">
      <w:pPr>
        <w:spacing w:after="0"/>
        <w:rPr>
          <w:rFonts w:cs="Arial"/>
          <w:sz w:val="24"/>
          <w:szCs w:val="24"/>
        </w:rPr>
      </w:pPr>
      <w:r w:rsidRPr="008B2CB8">
        <w:rPr>
          <w:rFonts w:cs="Arial"/>
          <w:sz w:val="24"/>
          <w:szCs w:val="24"/>
        </w:rPr>
        <w:t>The EHRC commends the UK Government for reducing the number of children sentenced to custody by 63.9% over the past ten years</w:t>
      </w:r>
      <w:r w:rsidRPr="008B2CB8">
        <w:rPr>
          <w:rStyle w:val="FootnoteReference"/>
          <w:rFonts w:cs="Arial"/>
          <w:sz w:val="24"/>
          <w:szCs w:val="24"/>
        </w:rPr>
        <w:footnoteReference w:id="601"/>
      </w:r>
      <w:r w:rsidR="008C67B4">
        <w:rPr>
          <w:rFonts w:cs="Arial"/>
          <w:sz w:val="24"/>
          <w:szCs w:val="24"/>
        </w:rPr>
        <w:t xml:space="preserve"> </w:t>
      </w:r>
      <w:r w:rsidRPr="008B2CB8">
        <w:rPr>
          <w:rFonts w:cs="Arial"/>
          <w:sz w:val="24"/>
          <w:szCs w:val="24"/>
        </w:rPr>
        <w:t>but notes that in February 2014, there were still 1,183 under 18s in secure settings in England and Wales.</w:t>
      </w:r>
      <w:r w:rsidRPr="008B2CB8">
        <w:rPr>
          <w:rStyle w:val="FootnoteReference"/>
          <w:rFonts w:cs="Arial"/>
          <w:sz w:val="24"/>
          <w:szCs w:val="24"/>
        </w:rPr>
        <w:footnoteReference w:id="602"/>
      </w:r>
      <w:r w:rsidR="008C67B4">
        <w:rPr>
          <w:rFonts w:cs="Arial"/>
          <w:sz w:val="24"/>
          <w:szCs w:val="24"/>
        </w:rPr>
        <w:t xml:space="preserve"> </w:t>
      </w:r>
    </w:p>
    <w:p w:rsidR="002B6091" w:rsidRPr="008B2CB8" w:rsidRDefault="002B6091" w:rsidP="002B6091">
      <w:pPr>
        <w:spacing w:after="0"/>
        <w:rPr>
          <w:rFonts w:cs="Arial"/>
          <w:sz w:val="24"/>
          <w:szCs w:val="24"/>
        </w:rPr>
      </w:pPr>
    </w:p>
    <w:p w:rsidR="002B6091" w:rsidRPr="008B2CB8" w:rsidRDefault="002B6091" w:rsidP="002B6091">
      <w:pPr>
        <w:spacing w:after="0"/>
        <w:rPr>
          <w:rFonts w:cs="Arial"/>
          <w:sz w:val="24"/>
          <w:szCs w:val="24"/>
        </w:rPr>
      </w:pPr>
      <w:r w:rsidRPr="008B2CB8">
        <w:rPr>
          <w:rFonts w:cs="Arial"/>
          <w:sz w:val="24"/>
          <w:szCs w:val="24"/>
        </w:rPr>
        <w:t>Children in custody often have difficult and complex backgrounds, including histories of physical and sexual abuse, time in care, disrupted education and living arrangements and substance abuse. Many experience mental and physical health problems and have learning difficulties and disabilities.</w:t>
      </w:r>
      <w:r w:rsidRPr="008B2CB8">
        <w:rPr>
          <w:rStyle w:val="FootnoteReference"/>
          <w:rFonts w:cs="Arial"/>
          <w:sz w:val="24"/>
          <w:szCs w:val="24"/>
        </w:rPr>
        <w:footnoteReference w:id="603"/>
      </w:r>
      <w:r w:rsidRPr="008B2CB8">
        <w:rPr>
          <w:rFonts w:cs="Arial"/>
          <w:sz w:val="24"/>
          <w:szCs w:val="24"/>
        </w:rPr>
        <w:t xml:space="preserve"> </w:t>
      </w:r>
    </w:p>
    <w:p w:rsidR="002B6091" w:rsidRPr="008B2CB8" w:rsidRDefault="002B6091" w:rsidP="002B6091">
      <w:pPr>
        <w:spacing w:after="0"/>
        <w:rPr>
          <w:rFonts w:cs="Arial"/>
          <w:sz w:val="24"/>
          <w:szCs w:val="24"/>
        </w:rPr>
      </w:pPr>
    </w:p>
    <w:p w:rsidR="002B6091" w:rsidRPr="008B2CB8" w:rsidRDefault="002B6091" w:rsidP="002B6091">
      <w:pPr>
        <w:spacing w:after="0"/>
        <w:rPr>
          <w:rFonts w:cs="Arial"/>
          <w:sz w:val="24"/>
          <w:szCs w:val="24"/>
        </w:rPr>
      </w:pPr>
      <w:r w:rsidRPr="008B2CB8">
        <w:rPr>
          <w:rFonts w:cs="Arial"/>
          <w:sz w:val="24"/>
          <w:szCs w:val="24"/>
        </w:rPr>
        <w:t>71% of children who have been in custody go on to re-offend.</w:t>
      </w:r>
      <w:r w:rsidRPr="008B2CB8">
        <w:rPr>
          <w:rStyle w:val="FootnoteReference"/>
          <w:rFonts w:cs="Arial"/>
          <w:sz w:val="24"/>
          <w:szCs w:val="24"/>
        </w:rPr>
        <w:footnoteReference w:id="604"/>
      </w:r>
      <w:r w:rsidR="008C67B4">
        <w:rPr>
          <w:rFonts w:cs="Arial"/>
          <w:sz w:val="24"/>
          <w:szCs w:val="24"/>
        </w:rPr>
        <w:t xml:space="preserve"> </w:t>
      </w:r>
      <w:r w:rsidRPr="008B2CB8">
        <w:rPr>
          <w:rFonts w:cs="Arial"/>
          <w:sz w:val="24"/>
          <w:szCs w:val="24"/>
        </w:rPr>
        <w:t>The EHRC therefore welcomes the emphasis on placing education at the heart of detention in the UK Government’s new Bill to transform youth custody in England and Wales.</w:t>
      </w:r>
      <w:r w:rsidRPr="008B2CB8">
        <w:rPr>
          <w:rStyle w:val="FootnoteReference"/>
          <w:sz w:val="24"/>
          <w:szCs w:val="24"/>
        </w:rPr>
        <w:t xml:space="preserve"> </w:t>
      </w:r>
      <w:r w:rsidRPr="008B2CB8">
        <w:rPr>
          <w:rStyle w:val="FootnoteReference"/>
          <w:sz w:val="24"/>
          <w:szCs w:val="24"/>
        </w:rPr>
        <w:footnoteReference w:id="605"/>
      </w:r>
      <w:r w:rsidRPr="008B2CB8">
        <w:rPr>
          <w:sz w:val="24"/>
          <w:szCs w:val="24"/>
        </w:rPr>
        <w:t xml:space="preserve"> However, </w:t>
      </w:r>
      <w:r w:rsidRPr="008B2CB8">
        <w:rPr>
          <w:rFonts w:cs="Arial"/>
          <w:sz w:val="24"/>
          <w:szCs w:val="24"/>
        </w:rPr>
        <w:t xml:space="preserve">we are concerned the proposal to use large, secure training colleges </w:t>
      </w:r>
      <w:r w:rsidRPr="008B2CB8">
        <w:rPr>
          <w:rFonts w:cs="Arial"/>
          <w:sz w:val="24"/>
          <w:szCs w:val="24"/>
        </w:rPr>
        <w:lastRenderedPageBreak/>
        <w:t>(STCs) for most under 18s may undermine some of the intended benefits.</w:t>
      </w:r>
      <w:r w:rsidRPr="008B2CB8">
        <w:rPr>
          <w:rStyle w:val="FootnoteReference"/>
          <w:sz w:val="24"/>
          <w:szCs w:val="24"/>
        </w:rPr>
        <w:t xml:space="preserve"> </w:t>
      </w:r>
      <w:r w:rsidRPr="008B2CB8">
        <w:rPr>
          <w:rStyle w:val="FootnoteReference"/>
          <w:sz w:val="24"/>
          <w:szCs w:val="24"/>
        </w:rPr>
        <w:footnoteReference w:id="606"/>
      </w:r>
      <w:r w:rsidR="008C67B4">
        <w:rPr>
          <w:rFonts w:cs="Arial"/>
          <w:sz w:val="24"/>
          <w:szCs w:val="24"/>
        </w:rPr>
        <w:t xml:space="preserve"> </w:t>
      </w:r>
      <w:r w:rsidRPr="008B2CB8">
        <w:rPr>
          <w:rFonts w:cs="Arial"/>
          <w:sz w:val="24"/>
          <w:szCs w:val="24"/>
        </w:rPr>
        <w:t xml:space="preserve"> Evidence suggests small secure units, close to a child’s home, with well-trained, highly qualified staff, and high staff to child ratios that provide intensive support, are the safest and have the best outcomes for detained children.</w:t>
      </w:r>
      <w:r w:rsidRPr="008B2CB8">
        <w:rPr>
          <w:rStyle w:val="FootnoteReference"/>
          <w:sz w:val="24"/>
          <w:szCs w:val="24"/>
        </w:rPr>
        <w:footnoteReference w:id="607"/>
      </w:r>
      <w:r w:rsidRPr="008B2CB8">
        <w:rPr>
          <w:rFonts w:cs="Arial"/>
          <w:sz w:val="24"/>
          <w:szCs w:val="24"/>
        </w:rPr>
        <w:t xml:space="preserve"> The EHRC considers Secure Children’s Homes (SCHs) best match this model and, while mindful of the need to make efficiency savings, encourage the UK Government to fully implement its own commitment to provide sufficient places in SCHs for children and young people with the most complex needs, and for younger children.</w:t>
      </w:r>
      <w:r w:rsidRPr="008B2CB8">
        <w:rPr>
          <w:rStyle w:val="FootnoteReference"/>
          <w:sz w:val="24"/>
          <w:szCs w:val="24"/>
        </w:rPr>
        <w:footnoteReference w:id="608"/>
      </w:r>
    </w:p>
    <w:p w:rsidR="002B6091" w:rsidRPr="008B2CB8" w:rsidRDefault="002B6091" w:rsidP="002B6091">
      <w:pPr>
        <w:spacing w:after="0"/>
        <w:rPr>
          <w:rFonts w:cs="Arial"/>
          <w:sz w:val="24"/>
          <w:szCs w:val="24"/>
        </w:rPr>
      </w:pPr>
    </w:p>
    <w:p w:rsidR="002B6091" w:rsidRPr="008B2CB8" w:rsidRDefault="002B6091" w:rsidP="002B6091">
      <w:pPr>
        <w:autoSpaceDE w:val="0"/>
        <w:autoSpaceDN w:val="0"/>
        <w:adjustRightInd w:val="0"/>
        <w:rPr>
          <w:rFonts w:cs="Arial"/>
          <w:iCs/>
          <w:sz w:val="24"/>
          <w:szCs w:val="24"/>
        </w:rPr>
      </w:pPr>
      <w:r w:rsidRPr="008B2CB8">
        <w:rPr>
          <w:rFonts w:cs="Arial"/>
          <w:iCs/>
          <w:sz w:val="24"/>
          <w:szCs w:val="24"/>
        </w:rPr>
        <w:t>The Bill enables a</w:t>
      </w:r>
      <w:r w:rsidRPr="008B2CB8">
        <w:rPr>
          <w:rFonts w:cs="Arial"/>
          <w:sz w:val="24"/>
          <w:szCs w:val="24"/>
        </w:rPr>
        <w:t xml:space="preserve"> secure college custody officer, “if authorised to do so by secure college rules”, to use reasonable force where necessary to ensure good order and discipline on the part of persons detained.</w:t>
      </w:r>
      <w:r w:rsidRPr="008B2CB8">
        <w:rPr>
          <w:rStyle w:val="FootnoteReference"/>
          <w:rFonts w:cs="Arial"/>
          <w:sz w:val="24"/>
          <w:szCs w:val="24"/>
        </w:rPr>
        <w:footnoteReference w:id="609"/>
      </w:r>
      <w:r w:rsidRPr="008B2CB8">
        <w:rPr>
          <w:rFonts w:cs="Arial"/>
          <w:sz w:val="24"/>
          <w:szCs w:val="24"/>
        </w:rPr>
        <w:t xml:space="preserve"> Concerns have been raised that this provision may not be compatible with Articles 3 and 8 of the ECHR; has already been the subject of a decision by the Court of Appeal; and recommendations of the CRC.</w:t>
      </w:r>
      <w:r w:rsidRPr="008B2CB8">
        <w:rPr>
          <w:rStyle w:val="FootnoteReference"/>
          <w:rFonts w:cs="Arial"/>
          <w:sz w:val="24"/>
          <w:szCs w:val="24"/>
        </w:rPr>
        <w:footnoteReference w:id="610"/>
      </w:r>
      <w:r w:rsidRPr="008B2CB8">
        <w:rPr>
          <w:rFonts w:cs="Arial"/>
          <w:sz w:val="24"/>
          <w:szCs w:val="24"/>
        </w:rPr>
        <w:t xml:space="preserve"> The EHRC has set out its own concerns on the use of restraint on children in this way</w:t>
      </w:r>
      <w:r w:rsidRPr="008B2CB8">
        <w:rPr>
          <w:rStyle w:val="FootnoteReference"/>
          <w:rFonts w:cs="Arial"/>
          <w:sz w:val="24"/>
          <w:szCs w:val="24"/>
        </w:rPr>
        <w:footnoteReference w:id="611"/>
      </w:r>
      <w:r w:rsidRPr="008B2CB8">
        <w:rPr>
          <w:rFonts w:cs="Arial"/>
          <w:sz w:val="24"/>
          <w:szCs w:val="24"/>
        </w:rPr>
        <w:t xml:space="preserve"> and fully supports calls for the Bill to be amended accordingly.</w:t>
      </w:r>
      <w:r w:rsidRPr="008B2CB8">
        <w:rPr>
          <w:rStyle w:val="FootnoteReference"/>
          <w:rFonts w:cs="Arial"/>
          <w:sz w:val="24"/>
          <w:szCs w:val="24"/>
        </w:rPr>
        <w:footnoteReference w:id="612"/>
      </w:r>
    </w:p>
    <w:p w:rsidR="002B6091" w:rsidRPr="00553F23" w:rsidRDefault="002B6091" w:rsidP="002B6091">
      <w:pPr>
        <w:spacing w:after="0"/>
        <w:rPr>
          <w:rFonts w:cs="Arial"/>
          <w:sz w:val="24"/>
          <w:szCs w:val="24"/>
        </w:rPr>
      </w:pPr>
      <w:r w:rsidRPr="008B2CB8">
        <w:rPr>
          <w:rFonts w:cs="Arial"/>
          <w:sz w:val="24"/>
          <w:szCs w:val="24"/>
        </w:rPr>
        <w:t>UNCRC requires imprisonment of a child to be as a last resort and for the shortest appropriate period of time;</w:t>
      </w:r>
      <w:r w:rsidRPr="008B2CB8">
        <w:rPr>
          <w:rStyle w:val="FootnoteReference"/>
          <w:rFonts w:cs="Arial"/>
          <w:sz w:val="24"/>
          <w:szCs w:val="24"/>
        </w:rPr>
        <w:footnoteReference w:id="613"/>
      </w:r>
      <w:r w:rsidRPr="008B2CB8">
        <w:rPr>
          <w:rFonts w:cs="Arial"/>
          <w:sz w:val="24"/>
          <w:szCs w:val="24"/>
        </w:rPr>
        <w:t xml:space="preserve"> and this should form the basis of any government policy on youth justice reform, alongside placing the best interests of the child as a primary consideration.</w:t>
      </w:r>
      <w:r w:rsidRPr="008B2CB8">
        <w:rPr>
          <w:rStyle w:val="FootnoteReference"/>
          <w:rFonts w:cs="Arial"/>
          <w:sz w:val="24"/>
          <w:szCs w:val="24"/>
        </w:rPr>
        <w:footnoteReference w:id="614"/>
      </w:r>
      <w:r w:rsidR="008C67B4">
        <w:rPr>
          <w:rFonts w:cs="Arial"/>
          <w:sz w:val="24"/>
          <w:szCs w:val="24"/>
        </w:rPr>
        <w:t xml:space="preserve"> </w:t>
      </w:r>
      <w:r w:rsidRPr="008B2CB8">
        <w:rPr>
          <w:rFonts w:cs="Arial"/>
          <w:sz w:val="24"/>
          <w:szCs w:val="24"/>
        </w:rPr>
        <w:t>Whilst the EHRC recognises there may be a need to keep some children in secure settings, many children currently in custody are held for non-violent offences, and short periods of time.</w:t>
      </w:r>
      <w:r w:rsidRPr="008B2CB8">
        <w:rPr>
          <w:rStyle w:val="FootnoteReference"/>
          <w:rFonts w:cs="Arial"/>
          <w:sz w:val="24"/>
          <w:szCs w:val="24"/>
        </w:rPr>
        <w:footnoteReference w:id="615"/>
      </w:r>
      <w:r w:rsidR="008C67B4">
        <w:rPr>
          <w:rFonts w:cs="Arial"/>
          <w:sz w:val="24"/>
          <w:szCs w:val="24"/>
        </w:rPr>
        <w:t xml:space="preserve"> </w:t>
      </w:r>
      <w:r w:rsidRPr="008B2CB8">
        <w:rPr>
          <w:rFonts w:cs="Arial"/>
          <w:sz w:val="24"/>
          <w:szCs w:val="24"/>
        </w:rPr>
        <w:t>We therefore recommend a greater emphasis on restorative, community-based alternatives to custody, which have been shown to be more effective than custody in reducing reoffending.</w:t>
      </w:r>
      <w:r w:rsidRPr="008B2CB8">
        <w:rPr>
          <w:rStyle w:val="FootnoteReference"/>
          <w:sz w:val="24"/>
          <w:szCs w:val="24"/>
        </w:rPr>
        <w:footnoteReference w:id="616"/>
      </w:r>
      <w:r w:rsidRPr="008B2CB8">
        <w:rPr>
          <w:rFonts w:cs="Arial"/>
          <w:sz w:val="24"/>
          <w:szCs w:val="24"/>
        </w:rPr>
        <w:t xml:space="preserve"> The combination of these measures should also meet the UK Government’s aim of making further </w:t>
      </w:r>
      <w:r w:rsidRPr="008B2CB8">
        <w:rPr>
          <w:rFonts w:cs="Arial"/>
          <w:sz w:val="24"/>
          <w:szCs w:val="24"/>
        </w:rPr>
        <w:lastRenderedPageBreak/>
        <w:t>efficiency savings.</w:t>
      </w:r>
      <w:r w:rsidRPr="008B2CB8">
        <w:rPr>
          <w:rStyle w:val="FootnoteReference"/>
          <w:rFonts w:cs="Arial"/>
          <w:sz w:val="24"/>
          <w:szCs w:val="24"/>
        </w:rPr>
        <w:t xml:space="preserve"> </w:t>
      </w:r>
      <w:r w:rsidRPr="008B2CB8">
        <w:rPr>
          <w:rStyle w:val="FootnoteReference"/>
          <w:rFonts w:cs="Arial"/>
          <w:sz w:val="24"/>
          <w:szCs w:val="24"/>
        </w:rPr>
        <w:footnoteReference w:id="617"/>
      </w:r>
      <w:r w:rsidR="008C67B4">
        <w:rPr>
          <w:rFonts w:cs="Arial"/>
          <w:sz w:val="24"/>
          <w:szCs w:val="24"/>
        </w:rPr>
        <w:t xml:space="preserve"> </w:t>
      </w:r>
      <w:r w:rsidRPr="008B2CB8">
        <w:rPr>
          <w:rFonts w:cs="Arial"/>
          <w:sz w:val="24"/>
          <w:szCs w:val="24"/>
        </w:rPr>
        <w:t>In addition, we recommend raising the custody threshold to explicitly prevent children who do not commit violent offences from being held in sec</w:t>
      </w:r>
      <w:r>
        <w:rPr>
          <w:rFonts w:cs="Arial"/>
          <w:sz w:val="24"/>
          <w:szCs w:val="24"/>
        </w:rPr>
        <w:t xml:space="preserve">ure settings. </w:t>
      </w:r>
    </w:p>
    <w:p w:rsidR="002B6091" w:rsidRPr="008B2CB8" w:rsidRDefault="002B6091" w:rsidP="002B6091">
      <w:pPr>
        <w:pStyle w:val="Heading2"/>
        <w:numPr>
          <w:ilvl w:val="0"/>
          <w:numId w:val="50"/>
        </w:numPr>
        <w:rPr>
          <w:sz w:val="24"/>
          <w:szCs w:val="24"/>
        </w:rPr>
      </w:pPr>
      <w:bookmarkStart w:id="149" w:name="_Toc420603253"/>
      <w:bookmarkStart w:id="150" w:name="_Toc420603344"/>
      <w:r>
        <w:rPr>
          <w:sz w:val="24"/>
          <w:szCs w:val="24"/>
        </w:rPr>
        <w:t xml:space="preserve">3. </w:t>
      </w:r>
      <w:r w:rsidRPr="008B2CB8">
        <w:rPr>
          <w:sz w:val="24"/>
          <w:szCs w:val="24"/>
        </w:rPr>
        <w:t>Hate Crime (Articles 7, 9, and 26)</w:t>
      </w:r>
      <w:r w:rsidRPr="008B2CB8">
        <w:rPr>
          <w:rStyle w:val="FootnoteReference"/>
          <w:sz w:val="24"/>
          <w:szCs w:val="24"/>
        </w:rPr>
        <w:footnoteReference w:id="618"/>
      </w:r>
      <w:bookmarkEnd w:id="149"/>
      <w:bookmarkEnd w:id="150"/>
    </w:p>
    <w:p w:rsidR="002B6091" w:rsidRPr="008B2CB8" w:rsidRDefault="002B6091" w:rsidP="002B6091">
      <w:pPr>
        <w:pStyle w:val="Heading2"/>
        <w:numPr>
          <w:ilvl w:val="0"/>
          <w:numId w:val="84"/>
        </w:numPr>
        <w:rPr>
          <w:sz w:val="24"/>
          <w:szCs w:val="24"/>
        </w:rPr>
      </w:pPr>
      <w:bookmarkStart w:id="151" w:name="_Toc420603254"/>
      <w:bookmarkStart w:id="152" w:name="_Toc420603345"/>
      <w:r w:rsidRPr="008B2CB8">
        <w:rPr>
          <w:sz w:val="24"/>
          <w:szCs w:val="24"/>
        </w:rPr>
        <w:t>Data collection</w:t>
      </w:r>
      <w:bookmarkEnd w:id="151"/>
      <w:bookmarkEnd w:id="152"/>
    </w:p>
    <w:p w:rsidR="002B6091" w:rsidRPr="008B2CB8" w:rsidRDefault="002B6091" w:rsidP="002B6091">
      <w:pPr>
        <w:pStyle w:val="ListParagraph"/>
        <w:spacing w:after="0"/>
        <w:ind w:left="0"/>
        <w:rPr>
          <w:sz w:val="24"/>
          <w:szCs w:val="24"/>
        </w:rPr>
      </w:pPr>
      <w:r w:rsidRPr="008B2CB8">
        <w:rPr>
          <w:sz w:val="24"/>
          <w:szCs w:val="24"/>
        </w:rPr>
        <w:t>Approximately 278,000 hate crimes take place in England and Wales each year; although just over 42,000 are officially recorded by the police.</w:t>
      </w:r>
      <w:r w:rsidRPr="008B2CB8">
        <w:rPr>
          <w:rStyle w:val="FootnoteReference"/>
          <w:sz w:val="24"/>
          <w:szCs w:val="24"/>
        </w:rPr>
        <w:footnoteReference w:id="619"/>
      </w:r>
      <w:r w:rsidRPr="008B2CB8">
        <w:rPr>
          <w:sz w:val="24"/>
          <w:szCs w:val="24"/>
        </w:rPr>
        <w:t xml:space="preserve"> The UK and Welsh Governments both have action plans in place to help tackle hate crime in England and Wales.</w:t>
      </w:r>
      <w:r w:rsidRPr="008B2CB8">
        <w:rPr>
          <w:rStyle w:val="FootnoteReference"/>
          <w:sz w:val="24"/>
          <w:szCs w:val="24"/>
        </w:rPr>
        <w:footnoteReference w:id="620"/>
      </w:r>
      <w:r w:rsidRPr="008B2CB8">
        <w:rPr>
          <w:sz w:val="24"/>
          <w:szCs w:val="24"/>
        </w:rPr>
        <w:t xml:space="preserve"> They include examples of good practice in tackling hate crime online and against particular groups, such as Muslims and people</w:t>
      </w:r>
      <w:r>
        <w:rPr>
          <w:sz w:val="24"/>
          <w:szCs w:val="24"/>
        </w:rPr>
        <w:t xml:space="preserve"> with disabilities</w:t>
      </w:r>
      <w:r w:rsidRPr="008B2CB8">
        <w:rPr>
          <w:sz w:val="24"/>
          <w:szCs w:val="24"/>
        </w:rPr>
        <w:t>.</w:t>
      </w:r>
    </w:p>
    <w:p w:rsidR="002B6091" w:rsidRPr="008B2CB8" w:rsidRDefault="002B6091" w:rsidP="002B6091">
      <w:pPr>
        <w:pStyle w:val="ListParagraph"/>
        <w:spacing w:after="0"/>
        <w:ind w:left="0"/>
        <w:rPr>
          <w:sz w:val="24"/>
          <w:szCs w:val="24"/>
        </w:rPr>
      </w:pPr>
    </w:p>
    <w:p w:rsidR="002B6091" w:rsidRPr="008B2CB8" w:rsidRDefault="002B6091" w:rsidP="002B6091">
      <w:pPr>
        <w:pStyle w:val="ListParagraph"/>
        <w:spacing w:after="0"/>
        <w:ind w:left="0"/>
        <w:rPr>
          <w:rFonts w:cs="Arial"/>
          <w:sz w:val="24"/>
          <w:szCs w:val="24"/>
        </w:rPr>
      </w:pPr>
      <w:r w:rsidRPr="008B2CB8">
        <w:rPr>
          <w:sz w:val="24"/>
          <w:szCs w:val="24"/>
        </w:rPr>
        <w:t>The UK is one of four EU member states regarded as operating good data collection, where a range of bias motivations, types of crimes and characteristics of incidents are recorded and published.</w:t>
      </w:r>
      <w:r w:rsidRPr="008B2CB8">
        <w:rPr>
          <w:rStyle w:val="FootnoteReference"/>
          <w:rFonts w:cs="Arial"/>
          <w:sz w:val="24"/>
          <w:szCs w:val="24"/>
        </w:rPr>
        <w:footnoteReference w:id="621"/>
      </w:r>
      <w:r w:rsidRPr="008B2CB8">
        <w:rPr>
          <w:rFonts w:cs="Arial"/>
          <w:sz w:val="24"/>
          <w:szCs w:val="24"/>
        </w:rPr>
        <w:t xml:space="preserve"> Despite these efforts, the EHRC has concerns about the reliability of the data collected. For example: </w:t>
      </w:r>
    </w:p>
    <w:p w:rsidR="002B6091" w:rsidRPr="008B2CB8" w:rsidRDefault="002B6091" w:rsidP="002B6091">
      <w:pPr>
        <w:pStyle w:val="ListParagraph"/>
        <w:numPr>
          <w:ilvl w:val="0"/>
          <w:numId w:val="82"/>
        </w:numPr>
        <w:spacing w:after="0"/>
        <w:rPr>
          <w:sz w:val="24"/>
          <w:szCs w:val="24"/>
        </w:rPr>
      </w:pPr>
      <w:r w:rsidRPr="008B2CB8">
        <w:rPr>
          <w:sz w:val="24"/>
          <w:szCs w:val="24"/>
        </w:rPr>
        <w:t>those who do report incidents of harassment or hate crime may not always be asked about their equality characteristics, so identity-based prejudice may not always be identified as a motivating factor;</w:t>
      </w:r>
      <w:r w:rsidRPr="008B2CB8">
        <w:rPr>
          <w:rStyle w:val="FootnoteReference"/>
          <w:sz w:val="24"/>
          <w:szCs w:val="24"/>
        </w:rPr>
        <w:t xml:space="preserve"> </w:t>
      </w:r>
      <w:r w:rsidRPr="008B2CB8">
        <w:rPr>
          <w:rStyle w:val="FootnoteReference"/>
          <w:sz w:val="24"/>
          <w:szCs w:val="24"/>
        </w:rPr>
        <w:footnoteReference w:id="622"/>
      </w:r>
      <w:r w:rsidRPr="008B2CB8">
        <w:rPr>
          <w:sz w:val="24"/>
          <w:szCs w:val="24"/>
        </w:rPr>
        <w:t xml:space="preserve"> and</w:t>
      </w:r>
    </w:p>
    <w:p w:rsidR="002B6091" w:rsidRPr="008B2CB8" w:rsidRDefault="002B6091" w:rsidP="002B6091">
      <w:pPr>
        <w:pStyle w:val="ListParagraph"/>
        <w:numPr>
          <w:ilvl w:val="0"/>
          <w:numId w:val="82"/>
        </w:numPr>
        <w:spacing w:after="0"/>
        <w:rPr>
          <w:sz w:val="24"/>
          <w:szCs w:val="24"/>
        </w:rPr>
      </w:pPr>
      <w:proofErr w:type="gramStart"/>
      <w:r w:rsidRPr="008B2CB8">
        <w:rPr>
          <w:sz w:val="24"/>
          <w:szCs w:val="24"/>
        </w:rPr>
        <w:t>many</w:t>
      </w:r>
      <w:proofErr w:type="gramEnd"/>
      <w:r w:rsidRPr="008B2CB8">
        <w:rPr>
          <w:sz w:val="24"/>
          <w:szCs w:val="24"/>
        </w:rPr>
        <w:t xml:space="preserve"> victims do not report hate crimes because they are unable or unwilling to seek redress against their perpetrators, so prevalence could be greatly underestimated.</w:t>
      </w:r>
      <w:r w:rsidRPr="008B2CB8">
        <w:rPr>
          <w:rStyle w:val="FootnoteReference"/>
          <w:sz w:val="24"/>
          <w:szCs w:val="24"/>
        </w:rPr>
        <w:footnoteReference w:id="623"/>
      </w:r>
    </w:p>
    <w:p w:rsidR="002B6091" w:rsidRPr="008B2CB8" w:rsidRDefault="002B6091" w:rsidP="002B6091">
      <w:pPr>
        <w:pStyle w:val="ListParagraph"/>
        <w:spacing w:after="0"/>
        <w:ind w:left="360"/>
        <w:rPr>
          <w:sz w:val="24"/>
          <w:szCs w:val="24"/>
        </w:rPr>
      </w:pPr>
    </w:p>
    <w:p w:rsidR="002B6091" w:rsidRPr="008B2CB8" w:rsidRDefault="002B6091" w:rsidP="002B6091">
      <w:pPr>
        <w:pStyle w:val="ListParagraph"/>
        <w:spacing w:after="0"/>
        <w:ind w:left="0"/>
        <w:rPr>
          <w:sz w:val="24"/>
          <w:szCs w:val="24"/>
        </w:rPr>
      </w:pPr>
      <w:r w:rsidRPr="008B2CB8">
        <w:rPr>
          <w:sz w:val="24"/>
          <w:szCs w:val="24"/>
        </w:rPr>
        <w:t xml:space="preserve">We share the UK Government’s own concerns about under-reporting in relation to </w:t>
      </w:r>
      <w:proofErr w:type="gramStart"/>
      <w:r w:rsidRPr="008B2CB8">
        <w:rPr>
          <w:sz w:val="24"/>
          <w:szCs w:val="24"/>
        </w:rPr>
        <w:t>individuals</w:t>
      </w:r>
      <w:proofErr w:type="gramEnd"/>
      <w:r w:rsidRPr="008B2CB8">
        <w:rPr>
          <w:sz w:val="24"/>
          <w:szCs w:val="24"/>
        </w:rPr>
        <w:t xml:space="preserve"> who are more isolated within UK society, including:</w:t>
      </w:r>
    </w:p>
    <w:p w:rsidR="002B6091" w:rsidRPr="008B2CB8" w:rsidRDefault="002B6091" w:rsidP="002B6091">
      <w:pPr>
        <w:pStyle w:val="ListParagraph"/>
        <w:numPr>
          <w:ilvl w:val="0"/>
          <w:numId w:val="86"/>
        </w:numPr>
        <w:spacing w:after="0"/>
        <w:rPr>
          <w:sz w:val="24"/>
          <w:szCs w:val="24"/>
        </w:rPr>
      </w:pPr>
      <w:r w:rsidRPr="008B2CB8">
        <w:rPr>
          <w:sz w:val="24"/>
          <w:szCs w:val="24"/>
        </w:rPr>
        <w:t>migrants and asylum seekers;</w:t>
      </w:r>
    </w:p>
    <w:p w:rsidR="002B6091" w:rsidRPr="008B2CB8" w:rsidRDefault="002B6091" w:rsidP="002B6091">
      <w:pPr>
        <w:pStyle w:val="ListParagraph"/>
        <w:numPr>
          <w:ilvl w:val="0"/>
          <w:numId w:val="86"/>
        </w:numPr>
        <w:spacing w:after="0"/>
        <w:rPr>
          <w:sz w:val="24"/>
          <w:szCs w:val="24"/>
        </w:rPr>
      </w:pPr>
      <w:r w:rsidRPr="008B2CB8">
        <w:rPr>
          <w:sz w:val="24"/>
          <w:szCs w:val="24"/>
        </w:rPr>
        <w:t>gypsy, Irish traveller and Roma communities;</w:t>
      </w:r>
    </w:p>
    <w:p w:rsidR="002B6091" w:rsidRPr="008B2CB8" w:rsidRDefault="002B6091" w:rsidP="002B6091">
      <w:pPr>
        <w:pStyle w:val="ListParagraph"/>
        <w:numPr>
          <w:ilvl w:val="0"/>
          <w:numId w:val="86"/>
        </w:numPr>
        <w:spacing w:after="0"/>
        <w:rPr>
          <w:sz w:val="24"/>
          <w:szCs w:val="24"/>
        </w:rPr>
      </w:pPr>
      <w:r w:rsidRPr="008B2CB8">
        <w:rPr>
          <w:sz w:val="24"/>
          <w:szCs w:val="24"/>
        </w:rPr>
        <w:t xml:space="preserve">transgender people; and </w:t>
      </w:r>
    </w:p>
    <w:p w:rsidR="002B6091" w:rsidRPr="008B2CB8" w:rsidRDefault="002B6091" w:rsidP="002B6091">
      <w:pPr>
        <w:pStyle w:val="ListParagraph"/>
        <w:numPr>
          <w:ilvl w:val="0"/>
          <w:numId w:val="86"/>
        </w:numPr>
        <w:spacing w:after="0"/>
        <w:rPr>
          <w:sz w:val="24"/>
          <w:szCs w:val="24"/>
        </w:rPr>
      </w:pPr>
      <w:proofErr w:type="gramStart"/>
      <w:r w:rsidRPr="008B2CB8">
        <w:rPr>
          <w:sz w:val="24"/>
          <w:szCs w:val="24"/>
        </w:rPr>
        <w:t>persons</w:t>
      </w:r>
      <w:proofErr w:type="gramEnd"/>
      <w:r w:rsidRPr="008B2CB8">
        <w:rPr>
          <w:sz w:val="24"/>
          <w:szCs w:val="24"/>
        </w:rPr>
        <w:t xml:space="preserve"> with disabilities.</w:t>
      </w:r>
      <w:r w:rsidRPr="008B2CB8">
        <w:rPr>
          <w:rStyle w:val="FootnoteReference"/>
          <w:sz w:val="24"/>
          <w:szCs w:val="24"/>
        </w:rPr>
        <w:footnoteReference w:id="624"/>
      </w:r>
    </w:p>
    <w:p w:rsidR="002B6091" w:rsidRPr="008B2CB8" w:rsidRDefault="002B6091" w:rsidP="002B6091">
      <w:pPr>
        <w:pStyle w:val="ListParagraph"/>
        <w:spacing w:after="0"/>
        <w:ind w:left="360"/>
        <w:rPr>
          <w:sz w:val="24"/>
          <w:szCs w:val="24"/>
        </w:rPr>
      </w:pPr>
    </w:p>
    <w:p w:rsidR="002B6091" w:rsidRPr="008B2CB8" w:rsidRDefault="002B6091" w:rsidP="002B6091">
      <w:pPr>
        <w:pStyle w:val="ListParagraph"/>
        <w:spacing w:after="0"/>
        <w:ind w:left="0"/>
        <w:rPr>
          <w:sz w:val="24"/>
          <w:szCs w:val="24"/>
        </w:rPr>
      </w:pPr>
      <w:r w:rsidRPr="008B2CB8">
        <w:rPr>
          <w:sz w:val="24"/>
          <w:szCs w:val="24"/>
        </w:rPr>
        <w:t xml:space="preserve">Even where hate crimes are reported, they are not always acted upon, for example half of </w:t>
      </w:r>
      <w:proofErr w:type="gramStart"/>
      <w:r w:rsidRPr="008B2CB8">
        <w:rPr>
          <w:sz w:val="24"/>
          <w:szCs w:val="24"/>
        </w:rPr>
        <w:t>those experiencing homophobic hate crime</w:t>
      </w:r>
      <w:proofErr w:type="gramEnd"/>
      <w:r w:rsidRPr="008B2CB8">
        <w:rPr>
          <w:sz w:val="24"/>
          <w:szCs w:val="24"/>
        </w:rPr>
        <w:t xml:space="preserve"> say their recorded incident was not acted upon.</w:t>
      </w:r>
      <w:r w:rsidRPr="008B2CB8">
        <w:rPr>
          <w:rStyle w:val="FootnoteReference"/>
          <w:sz w:val="24"/>
          <w:szCs w:val="24"/>
        </w:rPr>
        <w:footnoteReference w:id="625"/>
      </w:r>
    </w:p>
    <w:p w:rsidR="002B6091" w:rsidRPr="008B2CB8" w:rsidRDefault="002B6091" w:rsidP="002B6091">
      <w:pPr>
        <w:pStyle w:val="ListParagraph"/>
        <w:spacing w:after="0"/>
        <w:ind w:left="360"/>
        <w:rPr>
          <w:sz w:val="24"/>
          <w:szCs w:val="24"/>
        </w:rPr>
      </w:pPr>
    </w:p>
    <w:p w:rsidR="002B6091" w:rsidRPr="008B2CB8" w:rsidRDefault="002B6091" w:rsidP="002B6091">
      <w:pPr>
        <w:pStyle w:val="ListParagraph"/>
        <w:spacing w:after="0"/>
        <w:ind w:left="0"/>
        <w:rPr>
          <w:sz w:val="24"/>
          <w:szCs w:val="24"/>
        </w:rPr>
      </w:pPr>
      <w:r w:rsidRPr="008B2CB8">
        <w:rPr>
          <w:sz w:val="24"/>
          <w:szCs w:val="24"/>
        </w:rPr>
        <w:t>It has been suggested that the police in England and Wales have been under recording crime figures generally, which is a grave concern.</w:t>
      </w:r>
      <w:r w:rsidRPr="008B2CB8">
        <w:rPr>
          <w:rStyle w:val="FootnoteReference"/>
          <w:sz w:val="24"/>
          <w:szCs w:val="24"/>
        </w:rPr>
        <w:t xml:space="preserve"> </w:t>
      </w:r>
      <w:r w:rsidRPr="008B2CB8">
        <w:rPr>
          <w:rStyle w:val="FootnoteReference"/>
          <w:sz w:val="24"/>
          <w:szCs w:val="24"/>
        </w:rPr>
        <w:footnoteReference w:id="626"/>
      </w:r>
      <w:r w:rsidRPr="008B2CB8">
        <w:rPr>
          <w:sz w:val="24"/>
          <w:szCs w:val="24"/>
        </w:rPr>
        <w:t xml:space="preserve"> The EHRC welcomes that the UK Government is taking steps to investigate this.</w:t>
      </w:r>
      <w:r w:rsidRPr="008B2CB8">
        <w:rPr>
          <w:rStyle w:val="FootnoteReference"/>
          <w:sz w:val="24"/>
          <w:szCs w:val="24"/>
        </w:rPr>
        <w:footnoteReference w:id="627"/>
      </w:r>
      <w:r w:rsidRPr="008B2CB8">
        <w:rPr>
          <w:sz w:val="24"/>
          <w:szCs w:val="24"/>
        </w:rPr>
        <w:t xml:space="preserve"> We also welcome specific steps to tackle underreporting of hate crime, such as:</w:t>
      </w:r>
    </w:p>
    <w:p w:rsidR="002B6091" w:rsidRPr="008B2CB8" w:rsidRDefault="002B6091" w:rsidP="002B6091">
      <w:pPr>
        <w:pStyle w:val="ListParagraph"/>
        <w:numPr>
          <w:ilvl w:val="0"/>
          <w:numId w:val="83"/>
        </w:numPr>
        <w:spacing w:after="0"/>
        <w:rPr>
          <w:sz w:val="24"/>
          <w:szCs w:val="24"/>
        </w:rPr>
      </w:pPr>
      <w:r w:rsidRPr="008B2CB8">
        <w:rPr>
          <w:sz w:val="24"/>
          <w:szCs w:val="24"/>
        </w:rPr>
        <w:t>the “True Vision” mobile phone application, which provides a mechanism for those victims not wanting to engage the police, to report to a third party;</w:t>
      </w:r>
      <w:r w:rsidRPr="008B2CB8">
        <w:rPr>
          <w:rStyle w:val="FootnoteReference"/>
          <w:sz w:val="24"/>
          <w:szCs w:val="24"/>
        </w:rPr>
        <w:footnoteReference w:id="628"/>
      </w:r>
      <w:r w:rsidRPr="008B2CB8">
        <w:rPr>
          <w:sz w:val="24"/>
          <w:szCs w:val="24"/>
        </w:rPr>
        <w:t xml:space="preserve"> and </w:t>
      </w:r>
    </w:p>
    <w:p w:rsidR="002B6091" w:rsidRPr="00553F23" w:rsidRDefault="002B6091" w:rsidP="002B6091">
      <w:pPr>
        <w:pStyle w:val="ListParagraph"/>
        <w:numPr>
          <w:ilvl w:val="0"/>
          <w:numId w:val="83"/>
        </w:numPr>
        <w:spacing w:after="0"/>
        <w:rPr>
          <w:sz w:val="24"/>
          <w:szCs w:val="24"/>
        </w:rPr>
      </w:pPr>
      <w:proofErr w:type="gramStart"/>
      <w:r w:rsidRPr="008B2CB8">
        <w:rPr>
          <w:sz w:val="24"/>
          <w:szCs w:val="24"/>
        </w:rPr>
        <w:t>a</w:t>
      </w:r>
      <w:proofErr w:type="gramEnd"/>
      <w:r w:rsidRPr="008B2CB8">
        <w:rPr>
          <w:sz w:val="24"/>
          <w:szCs w:val="24"/>
        </w:rPr>
        <w:t xml:space="preserve"> survey to map third party reporting centres in England and review how they are operating.</w:t>
      </w:r>
      <w:r w:rsidRPr="008B2CB8">
        <w:rPr>
          <w:rStyle w:val="FootnoteReference"/>
          <w:sz w:val="24"/>
          <w:szCs w:val="24"/>
        </w:rPr>
        <w:footnoteReference w:id="629"/>
      </w:r>
    </w:p>
    <w:p w:rsidR="002B6091" w:rsidRPr="008B2CB8" w:rsidRDefault="002B6091" w:rsidP="002B6091">
      <w:pPr>
        <w:pStyle w:val="Heading2"/>
        <w:numPr>
          <w:ilvl w:val="0"/>
          <w:numId w:val="84"/>
        </w:numPr>
        <w:rPr>
          <w:sz w:val="24"/>
          <w:szCs w:val="24"/>
        </w:rPr>
      </w:pPr>
      <w:bookmarkStart w:id="153" w:name="_Toc420603255"/>
      <w:bookmarkStart w:id="154" w:name="_Toc420603346"/>
      <w:r w:rsidRPr="008B2CB8">
        <w:rPr>
          <w:sz w:val="24"/>
          <w:szCs w:val="24"/>
        </w:rPr>
        <w:t>Aggravated Offences</w:t>
      </w:r>
      <w:bookmarkEnd w:id="153"/>
      <w:bookmarkEnd w:id="154"/>
    </w:p>
    <w:p w:rsidR="002B6091" w:rsidRPr="008B2CB8" w:rsidRDefault="002B6091" w:rsidP="002B6091">
      <w:pPr>
        <w:spacing w:after="0"/>
        <w:rPr>
          <w:rFonts w:cs="Arial"/>
          <w:sz w:val="24"/>
          <w:szCs w:val="24"/>
        </w:rPr>
      </w:pPr>
    </w:p>
    <w:p w:rsidR="002B6091" w:rsidRPr="008B2CB8" w:rsidRDefault="002B6091" w:rsidP="002B6091">
      <w:pPr>
        <w:spacing w:after="0"/>
        <w:rPr>
          <w:rFonts w:cs="Arial"/>
          <w:sz w:val="24"/>
          <w:szCs w:val="24"/>
        </w:rPr>
      </w:pPr>
      <w:r w:rsidRPr="008B2CB8">
        <w:rPr>
          <w:rFonts w:cs="Arial"/>
          <w:sz w:val="24"/>
          <w:szCs w:val="24"/>
        </w:rPr>
        <w:t>The UK Government asked the Law Commission to consider whether to extend aggravated offences to include hostility towards people on the grounds of disability, sexual orientation or gender identity;</w:t>
      </w:r>
      <w:r w:rsidRPr="008B2CB8">
        <w:rPr>
          <w:sz w:val="24"/>
          <w:szCs w:val="24"/>
          <w:vertAlign w:val="superscript"/>
        </w:rPr>
        <w:footnoteReference w:id="630"/>
      </w:r>
      <w:r w:rsidRPr="008B2CB8">
        <w:rPr>
          <w:rFonts w:cs="Arial"/>
          <w:sz w:val="24"/>
          <w:szCs w:val="24"/>
        </w:rPr>
        <w:t xml:space="preserve"> and whether there was a case for extending the stirring up of hatred offences to include stirring up of hatred on the grounds of disability or gender identity.</w:t>
      </w:r>
      <w:r w:rsidRPr="008B2CB8">
        <w:rPr>
          <w:sz w:val="24"/>
          <w:szCs w:val="24"/>
          <w:vertAlign w:val="superscript"/>
        </w:rPr>
        <w:footnoteReference w:id="631"/>
      </w:r>
      <w:r w:rsidRPr="008B2CB8">
        <w:rPr>
          <w:rFonts w:cs="Arial"/>
          <w:sz w:val="24"/>
          <w:szCs w:val="24"/>
        </w:rPr>
        <w:t xml:space="preserve"> The Law Commission found strong support for extending aggravated offences, particularly in order to provide equal treatment for all groups.</w:t>
      </w:r>
      <w:r w:rsidRPr="008B2CB8">
        <w:rPr>
          <w:sz w:val="24"/>
          <w:szCs w:val="24"/>
          <w:vertAlign w:val="superscript"/>
        </w:rPr>
        <w:footnoteReference w:id="632"/>
      </w:r>
      <w:r w:rsidRPr="008B2CB8">
        <w:rPr>
          <w:rFonts w:cs="Arial"/>
          <w:sz w:val="24"/>
          <w:szCs w:val="24"/>
        </w:rPr>
        <w:t xml:space="preserve"> However, it also found that existing offences are unnecessarily complex and are not working well. Current enhanced sentencing powers are being under-used, in part because the hostility element of hate crime is often not investigated fully and the court is not given the evidence needed to enhance sentencing.</w:t>
      </w:r>
      <w:r w:rsidRPr="008B2CB8">
        <w:rPr>
          <w:sz w:val="24"/>
          <w:szCs w:val="24"/>
          <w:vertAlign w:val="superscript"/>
        </w:rPr>
        <w:footnoteReference w:id="633"/>
      </w:r>
    </w:p>
    <w:p w:rsidR="002B6091" w:rsidRPr="008B2CB8" w:rsidRDefault="002B6091" w:rsidP="002B6091">
      <w:pPr>
        <w:spacing w:after="0"/>
        <w:rPr>
          <w:rFonts w:cs="Arial"/>
          <w:sz w:val="24"/>
          <w:szCs w:val="24"/>
        </w:rPr>
      </w:pPr>
    </w:p>
    <w:p w:rsidR="002B6091" w:rsidRPr="008B2CB8" w:rsidRDefault="002B6091" w:rsidP="002B6091">
      <w:pPr>
        <w:spacing w:after="0"/>
        <w:rPr>
          <w:rFonts w:cs="Arial"/>
          <w:sz w:val="24"/>
          <w:szCs w:val="24"/>
        </w:rPr>
      </w:pPr>
      <w:r w:rsidRPr="008B2CB8">
        <w:rPr>
          <w:rFonts w:cs="Arial"/>
          <w:sz w:val="24"/>
          <w:szCs w:val="24"/>
        </w:rPr>
        <w:lastRenderedPageBreak/>
        <w:t xml:space="preserve">The Law Commission recommended the UK Government undertake a comprehensive review on: </w:t>
      </w:r>
    </w:p>
    <w:p w:rsidR="002B6091" w:rsidRPr="008B2CB8" w:rsidRDefault="002B6091" w:rsidP="002B6091">
      <w:pPr>
        <w:pStyle w:val="ListParagraph"/>
        <w:numPr>
          <w:ilvl w:val="0"/>
          <w:numId w:val="85"/>
        </w:numPr>
        <w:spacing w:after="0"/>
        <w:rPr>
          <w:rFonts w:cs="Arial"/>
          <w:sz w:val="24"/>
          <w:szCs w:val="24"/>
        </w:rPr>
      </w:pPr>
      <w:r w:rsidRPr="008B2CB8">
        <w:rPr>
          <w:rFonts w:cs="Arial"/>
          <w:sz w:val="24"/>
          <w:szCs w:val="24"/>
        </w:rPr>
        <w:t>how the criminal justice system should best protect victims of hate crime;</w:t>
      </w:r>
    </w:p>
    <w:p w:rsidR="002B6091" w:rsidRPr="008B2CB8" w:rsidRDefault="002B6091" w:rsidP="002B6091">
      <w:pPr>
        <w:pStyle w:val="ListParagraph"/>
        <w:numPr>
          <w:ilvl w:val="0"/>
          <w:numId w:val="85"/>
        </w:numPr>
        <w:spacing w:after="0"/>
        <w:rPr>
          <w:rFonts w:cs="Arial"/>
          <w:sz w:val="24"/>
          <w:szCs w:val="24"/>
        </w:rPr>
      </w:pPr>
      <w:r w:rsidRPr="008B2CB8">
        <w:rPr>
          <w:rFonts w:cs="Arial"/>
          <w:sz w:val="24"/>
          <w:szCs w:val="24"/>
        </w:rPr>
        <w:t xml:space="preserve">which characteristics should be protected by specific criminal offences; </w:t>
      </w:r>
    </w:p>
    <w:p w:rsidR="002B6091" w:rsidRPr="008B2CB8" w:rsidRDefault="002B6091" w:rsidP="002B6091">
      <w:pPr>
        <w:pStyle w:val="ListParagraph"/>
        <w:numPr>
          <w:ilvl w:val="0"/>
          <w:numId w:val="85"/>
        </w:numPr>
        <w:spacing w:after="0"/>
        <w:rPr>
          <w:rFonts w:cs="Arial"/>
          <w:sz w:val="24"/>
          <w:szCs w:val="24"/>
        </w:rPr>
      </w:pPr>
      <w:r w:rsidRPr="008B2CB8">
        <w:rPr>
          <w:rFonts w:cs="Arial"/>
          <w:sz w:val="24"/>
          <w:szCs w:val="24"/>
        </w:rPr>
        <w:t xml:space="preserve">how such characteristics should be identified; and </w:t>
      </w:r>
    </w:p>
    <w:p w:rsidR="002B6091" w:rsidRPr="008B2CB8" w:rsidRDefault="002B6091" w:rsidP="002B6091">
      <w:pPr>
        <w:pStyle w:val="ListParagraph"/>
        <w:numPr>
          <w:ilvl w:val="0"/>
          <w:numId w:val="85"/>
        </w:numPr>
        <w:spacing w:after="0"/>
        <w:rPr>
          <w:rFonts w:cs="Arial"/>
          <w:sz w:val="24"/>
          <w:szCs w:val="24"/>
        </w:rPr>
      </w:pPr>
      <w:proofErr w:type="gramStart"/>
      <w:r w:rsidRPr="008B2CB8">
        <w:rPr>
          <w:rFonts w:cs="Arial"/>
          <w:sz w:val="24"/>
          <w:szCs w:val="24"/>
        </w:rPr>
        <w:t>the</w:t>
      </w:r>
      <w:proofErr w:type="gramEnd"/>
      <w:r w:rsidRPr="008B2CB8">
        <w:rPr>
          <w:rFonts w:cs="Arial"/>
          <w:sz w:val="24"/>
          <w:szCs w:val="24"/>
        </w:rPr>
        <w:t xml:space="preserve"> role played by sentencing. </w:t>
      </w:r>
    </w:p>
    <w:p w:rsidR="002B6091" w:rsidRPr="008B2CB8" w:rsidRDefault="002B6091" w:rsidP="002B6091">
      <w:pPr>
        <w:spacing w:after="0"/>
        <w:rPr>
          <w:rFonts w:cs="Arial"/>
          <w:sz w:val="24"/>
          <w:szCs w:val="24"/>
        </w:rPr>
      </w:pPr>
    </w:p>
    <w:p w:rsidR="002B6091" w:rsidRPr="008B2CB8" w:rsidRDefault="002B6091" w:rsidP="002B6091">
      <w:pPr>
        <w:spacing w:after="0"/>
        <w:rPr>
          <w:rFonts w:cs="Arial"/>
          <w:sz w:val="24"/>
          <w:szCs w:val="24"/>
        </w:rPr>
      </w:pPr>
      <w:r w:rsidRPr="008B2CB8">
        <w:rPr>
          <w:rFonts w:cs="Arial"/>
          <w:sz w:val="24"/>
          <w:szCs w:val="24"/>
        </w:rPr>
        <w:t>The Law Commission also recommended that the Sentencing Council provide clear guidance to judges on sentencing for any crime with an element of hostility, and that the Police National Computer (PNC) record where any offence was aggravated by hostility.</w:t>
      </w:r>
      <w:r w:rsidRPr="008B2CB8">
        <w:rPr>
          <w:sz w:val="24"/>
          <w:szCs w:val="24"/>
          <w:vertAlign w:val="superscript"/>
        </w:rPr>
        <w:footnoteReference w:id="634"/>
      </w:r>
      <w:r w:rsidRPr="008B2CB8">
        <w:rPr>
          <w:rFonts w:cs="Arial"/>
          <w:sz w:val="24"/>
          <w:szCs w:val="24"/>
        </w:rPr>
        <w:t xml:space="preserve"> At present, only aggravated crimes are recorded on the PNC, meaning that criminal justice agencies not have access to data about any other hate crime offences. </w:t>
      </w:r>
      <w:r>
        <w:rPr>
          <w:rFonts w:cs="Arial"/>
          <w:sz w:val="24"/>
          <w:szCs w:val="24"/>
        </w:rPr>
        <w:t>Having access to this data</w:t>
      </w:r>
      <w:r w:rsidRPr="008B2CB8">
        <w:rPr>
          <w:rFonts w:cs="Arial"/>
          <w:sz w:val="24"/>
          <w:szCs w:val="24"/>
        </w:rPr>
        <w:t xml:space="preserve"> would be of benefit to prison or probation staff, who could seek to address the hostility element of the person’s offending.</w:t>
      </w:r>
      <w:r w:rsidRPr="008B2CB8">
        <w:rPr>
          <w:sz w:val="24"/>
          <w:szCs w:val="24"/>
          <w:vertAlign w:val="superscript"/>
        </w:rPr>
        <w:footnoteReference w:id="635"/>
      </w:r>
    </w:p>
    <w:p w:rsidR="002B6091" w:rsidRPr="008B2CB8" w:rsidRDefault="002B6091" w:rsidP="002B6091">
      <w:pPr>
        <w:spacing w:after="0"/>
        <w:rPr>
          <w:rFonts w:cs="Arial"/>
          <w:sz w:val="24"/>
          <w:szCs w:val="24"/>
        </w:rPr>
      </w:pPr>
    </w:p>
    <w:p w:rsidR="002B6091" w:rsidRPr="008B2CB8" w:rsidRDefault="002B6091" w:rsidP="002B6091">
      <w:pPr>
        <w:spacing w:after="0"/>
        <w:rPr>
          <w:rFonts w:cs="Arial"/>
          <w:sz w:val="24"/>
          <w:szCs w:val="24"/>
        </w:rPr>
      </w:pPr>
      <w:r w:rsidRPr="008B2CB8">
        <w:rPr>
          <w:rFonts w:cs="Arial"/>
          <w:sz w:val="24"/>
          <w:szCs w:val="24"/>
        </w:rPr>
        <w:t xml:space="preserve">If the UK Government is not minded to undertake such a review, the Law Commission suggested a less satisfactory alternative would be to extend aggravated offences to disability, sexual orientation and transgender identity. It did not recommend extending the stirring up of offences to </w:t>
      </w:r>
      <w:r>
        <w:rPr>
          <w:rFonts w:cs="Arial"/>
          <w:sz w:val="24"/>
          <w:szCs w:val="24"/>
        </w:rPr>
        <w:t xml:space="preserve">the grounds of </w:t>
      </w:r>
      <w:r w:rsidRPr="008B2CB8">
        <w:rPr>
          <w:rFonts w:cs="Arial"/>
          <w:sz w:val="24"/>
          <w:szCs w:val="24"/>
        </w:rPr>
        <w:t xml:space="preserve">disability or transgender </w:t>
      </w:r>
      <w:r>
        <w:rPr>
          <w:rFonts w:cs="Arial"/>
          <w:sz w:val="24"/>
          <w:szCs w:val="24"/>
        </w:rPr>
        <w:t xml:space="preserve">identity </w:t>
      </w:r>
      <w:r w:rsidRPr="008B2CB8">
        <w:rPr>
          <w:rFonts w:cs="Arial"/>
          <w:sz w:val="24"/>
          <w:szCs w:val="24"/>
        </w:rPr>
        <w:t>on the basis that there was no real practical need to do so.</w:t>
      </w:r>
      <w:r w:rsidRPr="008B2CB8">
        <w:rPr>
          <w:sz w:val="24"/>
          <w:szCs w:val="24"/>
          <w:vertAlign w:val="superscript"/>
        </w:rPr>
        <w:footnoteReference w:id="636"/>
      </w:r>
      <w:r w:rsidRPr="008B2CB8">
        <w:rPr>
          <w:rFonts w:cs="Arial"/>
          <w:sz w:val="24"/>
          <w:szCs w:val="24"/>
        </w:rPr>
        <w:t xml:space="preserve"> </w:t>
      </w:r>
    </w:p>
    <w:p w:rsidR="002B6091" w:rsidRPr="008B2CB8" w:rsidRDefault="002B6091" w:rsidP="002B6091">
      <w:pPr>
        <w:spacing w:after="0"/>
        <w:rPr>
          <w:rFonts w:cs="Arial"/>
          <w:sz w:val="24"/>
          <w:szCs w:val="24"/>
        </w:rPr>
      </w:pPr>
    </w:p>
    <w:p w:rsidR="002B6091" w:rsidRPr="008B2CB8" w:rsidRDefault="002B6091" w:rsidP="002B6091">
      <w:pPr>
        <w:spacing w:after="0"/>
        <w:rPr>
          <w:rFonts w:cs="Arial"/>
          <w:sz w:val="24"/>
          <w:szCs w:val="24"/>
        </w:rPr>
      </w:pPr>
      <w:r w:rsidRPr="008B2CB8">
        <w:rPr>
          <w:rFonts w:cs="Arial"/>
          <w:sz w:val="24"/>
          <w:szCs w:val="24"/>
        </w:rPr>
        <w:t>The UK’s interpretive declaration of Article 4 of CERD, for example, sets out the distinction in England and Wales between hate speech and incitement to hate crime. However, the EHRC does not underestimate the potential impact of hate speech on people’s safety</w:t>
      </w:r>
      <w:r w:rsidRPr="008B2CB8">
        <w:rPr>
          <w:rStyle w:val="FootnoteReference"/>
          <w:rFonts w:cs="Arial"/>
          <w:sz w:val="24"/>
          <w:szCs w:val="24"/>
        </w:rPr>
        <w:footnoteReference w:id="637"/>
      </w:r>
      <w:r w:rsidRPr="008B2CB8">
        <w:rPr>
          <w:rFonts w:cs="Arial"/>
          <w:sz w:val="24"/>
          <w:szCs w:val="24"/>
        </w:rPr>
        <w:t>, and therefore shares concerns raised by CERD</w:t>
      </w:r>
      <w:r w:rsidRPr="008B2CB8">
        <w:rPr>
          <w:rStyle w:val="FootnoteReference"/>
          <w:rFonts w:cs="Arial"/>
          <w:sz w:val="24"/>
          <w:szCs w:val="24"/>
        </w:rPr>
        <w:footnoteReference w:id="638"/>
      </w:r>
      <w:r w:rsidRPr="008B2CB8">
        <w:rPr>
          <w:rFonts w:cs="Arial"/>
          <w:sz w:val="24"/>
          <w:szCs w:val="24"/>
        </w:rPr>
        <w:t xml:space="preserve"> and the European Commission against Racism and Intolerance (ECRI)</w:t>
      </w:r>
      <w:r w:rsidRPr="008B2CB8">
        <w:rPr>
          <w:rStyle w:val="FootnoteReference"/>
          <w:rFonts w:cs="Arial"/>
          <w:sz w:val="24"/>
          <w:szCs w:val="24"/>
        </w:rPr>
        <w:footnoteReference w:id="639"/>
      </w:r>
      <w:r w:rsidRPr="008B2CB8">
        <w:rPr>
          <w:rFonts w:cs="Arial"/>
          <w:sz w:val="24"/>
          <w:szCs w:val="24"/>
        </w:rPr>
        <w:t xml:space="preserve"> about the negative media portrayal of s</w:t>
      </w:r>
      <w:r w:rsidRPr="008B2CB8">
        <w:rPr>
          <w:sz w:val="24"/>
          <w:szCs w:val="24"/>
        </w:rPr>
        <w:t xml:space="preserve">ome isolated groups, such as Muslims, Gypsy, Irish Traveller and Roma Communities, migrants and asylum seekers. We are also concerned that public regulators of the media have yet to take effective action to tackle this, </w:t>
      </w:r>
      <w:r>
        <w:rPr>
          <w:sz w:val="24"/>
          <w:szCs w:val="24"/>
        </w:rPr>
        <w:t>and demonstrate compliance</w:t>
      </w:r>
      <w:r w:rsidRPr="008B2CB8">
        <w:rPr>
          <w:sz w:val="24"/>
          <w:szCs w:val="24"/>
        </w:rPr>
        <w:t xml:space="preserve"> with their obligations under the PSED to promote good relations.</w:t>
      </w:r>
    </w:p>
    <w:p w:rsidR="002B6091" w:rsidRPr="008B2CB8" w:rsidRDefault="002B6091" w:rsidP="002B6091">
      <w:pPr>
        <w:pStyle w:val="Heading2"/>
        <w:numPr>
          <w:ilvl w:val="0"/>
          <w:numId w:val="84"/>
        </w:numPr>
        <w:rPr>
          <w:sz w:val="24"/>
          <w:szCs w:val="24"/>
        </w:rPr>
      </w:pPr>
      <w:bookmarkStart w:id="155" w:name="_Toc420603256"/>
      <w:bookmarkStart w:id="156" w:name="_Toc420603347"/>
      <w:r w:rsidRPr="008B2CB8">
        <w:rPr>
          <w:sz w:val="24"/>
          <w:szCs w:val="24"/>
        </w:rPr>
        <w:lastRenderedPageBreak/>
        <w:t>Motivations</w:t>
      </w:r>
      <w:bookmarkEnd w:id="155"/>
      <w:bookmarkEnd w:id="156"/>
    </w:p>
    <w:p w:rsidR="002B6091" w:rsidRPr="008B2CB8" w:rsidRDefault="002B6091" w:rsidP="002B6091">
      <w:pPr>
        <w:spacing w:after="0"/>
        <w:rPr>
          <w:rFonts w:cs="Arial"/>
          <w:sz w:val="24"/>
          <w:szCs w:val="24"/>
        </w:rPr>
      </w:pPr>
      <w:r w:rsidRPr="008B2CB8">
        <w:rPr>
          <w:rFonts w:cs="Arial"/>
          <w:sz w:val="24"/>
          <w:szCs w:val="24"/>
        </w:rPr>
        <w:t>The EHRC has recommended that police forces develop an in-depth understanding of the characteristics and motivations of perpetrators, design local prevention strategies accordingly and evidence their effectiveness.</w:t>
      </w:r>
      <w:r w:rsidRPr="008B2CB8">
        <w:rPr>
          <w:sz w:val="24"/>
          <w:szCs w:val="24"/>
          <w:vertAlign w:val="superscript"/>
        </w:rPr>
        <w:footnoteReference w:id="640"/>
      </w:r>
      <w:r w:rsidRPr="008B2CB8">
        <w:rPr>
          <w:rFonts w:cs="Arial"/>
          <w:sz w:val="24"/>
          <w:szCs w:val="24"/>
        </w:rPr>
        <w:t xml:space="preserve"> We believe data should be publicised on action undertaken to challenge harassment and the outcomes and consequences for perpetrators, which could act as a deterrent to perpetrators and help build the confidence of victims to report. The new Police and Crime </w:t>
      </w:r>
      <w:r>
        <w:rPr>
          <w:rFonts w:cs="Arial"/>
          <w:sz w:val="24"/>
          <w:szCs w:val="24"/>
        </w:rPr>
        <w:t>C</w:t>
      </w:r>
      <w:r w:rsidRPr="008B2CB8">
        <w:rPr>
          <w:rFonts w:cs="Arial"/>
          <w:sz w:val="24"/>
          <w:szCs w:val="24"/>
        </w:rPr>
        <w:t>ommissioners in England can play an important role here.</w:t>
      </w:r>
      <w:r w:rsidRPr="008B2CB8">
        <w:rPr>
          <w:sz w:val="24"/>
          <w:szCs w:val="24"/>
          <w:vertAlign w:val="superscript"/>
        </w:rPr>
        <w:footnoteReference w:id="641"/>
      </w:r>
    </w:p>
    <w:p w:rsidR="002B6091" w:rsidRPr="008B2CB8" w:rsidRDefault="002B6091" w:rsidP="002B6091">
      <w:pPr>
        <w:spacing w:after="0"/>
        <w:rPr>
          <w:rFonts w:cs="Arial"/>
          <w:sz w:val="24"/>
          <w:szCs w:val="24"/>
        </w:rPr>
      </w:pPr>
    </w:p>
    <w:p w:rsidR="002B6091" w:rsidRPr="008B2CB8" w:rsidRDefault="002B6091" w:rsidP="002B6091">
      <w:pPr>
        <w:spacing w:after="0"/>
        <w:rPr>
          <w:rFonts w:cs="Arial"/>
          <w:sz w:val="24"/>
          <w:szCs w:val="24"/>
        </w:rPr>
      </w:pPr>
      <w:r w:rsidRPr="008B2CB8">
        <w:rPr>
          <w:rFonts w:cs="Arial"/>
          <w:sz w:val="24"/>
          <w:szCs w:val="24"/>
        </w:rPr>
        <w:t>While there is no UK-wide strategy on this yet,</w:t>
      </w:r>
      <w:r w:rsidRPr="008B2CB8">
        <w:rPr>
          <w:rStyle w:val="FootnoteReference"/>
          <w:rFonts w:cs="Arial"/>
          <w:sz w:val="24"/>
          <w:szCs w:val="24"/>
        </w:rPr>
        <w:footnoteReference w:id="642"/>
      </w:r>
      <w:r w:rsidRPr="008B2CB8">
        <w:rPr>
          <w:rFonts w:cs="Arial"/>
          <w:sz w:val="24"/>
          <w:szCs w:val="24"/>
        </w:rPr>
        <w:t xml:space="preserve"> the Welsh Government commissioned research</w:t>
      </w:r>
      <w:r w:rsidRPr="008B2CB8">
        <w:rPr>
          <w:sz w:val="24"/>
          <w:szCs w:val="24"/>
          <w:vertAlign w:val="superscript"/>
        </w:rPr>
        <w:footnoteReference w:id="643"/>
      </w:r>
      <w:r w:rsidRPr="008B2CB8">
        <w:rPr>
          <w:rFonts w:cs="Arial"/>
          <w:sz w:val="24"/>
          <w:szCs w:val="24"/>
        </w:rPr>
        <w:t xml:space="preserve"> on understanding the motivations of perpetrators, setting out a robust knowledge base from which practitioners can develop their responses to tackling hate crime. The EHRC suggests that this work could be applied to England and Wales, where criminal justice agencies could share learning and implement better intervention and prevention strategies.</w:t>
      </w:r>
    </w:p>
    <w:p w:rsidR="002B6091" w:rsidRPr="008B2CB8" w:rsidRDefault="002B6091" w:rsidP="002B6091">
      <w:pPr>
        <w:spacing w:after="0"/>
        <w:rPr>
          <w:rFonts w:cs="Arial"/>
          <w:sz w:val="24"/>
          <w:szCs w:val="24"/>
        </w:rPr>
      </w:pPr>
    </w:p>
    <w:p w:rsidR="002B6091" w:rsidRPr="008B2CB8" w:rsidRDefault="002B6091" w:rsidP="002B6091">
      <w:pPr>
        <w:spacing w:after="0"/>
        <w:rPr>
          <w:rFonts w:cs="Arial"/>
          <w:b/>
          <w:sz w:val="24"/>
          <w:szCs w:val="24"/>
        </w:rPr>
      </w:pPr>
      <w:r w:rsidRPr="008B2CB8">
        <w:rPr>
          <w:rFonts w:cs="Arial"/>
          <w:b/>
          <w:sz w:val="24"/>
          <w:szCs w:val="24"/>
        </w:rPr>
        <w:t xml:space="preserve">Conclusion: while the EHRC acknowledges the UK Government is actively taking steps to address hate crime, we believe further </w:t>
      </w:r>
      <w:r>
        <w:rPr>
          <w:rFonts w:cs="Arial"/>
          <w:b/>
          <w:sz w:val="24"/>
          <w:szCs w:val="24"/>
        </w:rPr>
        <w:t xml:space="preserve">work </w:t>
      </w:r>
      <w:r w:rsidRPr="008B2CB8">
        <w:rPr>
          <w:rFonts w:cs="Arial"/>
          <w:b/>
          <w:sz w:val="24"/>
          <w:szCs w:val="24"/>
        </w:rPr>
        <w:t>could be done to prevent hate speech and hate crime, and to improve reporting and operational responses, including:</w:t>
      </w:r>
    </w:p>
    <w:p w:rsidR="002B6091" w:rsidRPr="008B2CB8" w:rsidRDefault="002B6091" w:rsidP="002B6091">
      <w:pPr>
        <w:pStyle w:val="ListParagraph"/>
        <w:numPr>
          <w:ilvl w:val="0"/>
          <w:numId w:val="32"/>
        </w:numPr>
        <w:spacing w:after="0"/>
        <w:rPr>
          <w:rFonts w:cs="Arial"/>
          <w:b/>
          <w:sz w:val="24"/>
          <w:szCs w:val="24"/>
        </w:rPr>
      </w:pPr>
      <w:r>
        <w:rPr>
          <w:rFonts w:cs="Arial"/>
          <w:b/>
          <w:sz w:val="24"/>
          <w:szCs w:val="24"/>
        </w:rPr>
        <w:t xml:space="preserve">collection of </w:t>
      </w:r>
      <w:r w:rsidRPr="008B2CB8">
        <w:rPr>
          <w:rFonts w:cs="Arial"/>
          <w:b/>
          <w:sz w:val="24"/>
          <w:szCs w:val="24"/>
        </w:rPr>
        <w:t>data on the number of hate crimes reported and prosecuted per force and prosecution area should be published annually to increase transparency and, perhaps, identify underreporting trends;</w:t>
      </w:r>
    </w:p>
    <w:p w:rsidR="002B6091" w:rsidRPr="008B2CB8" w:rsidRDefault="002B6091" w:rsidP="002B6091">
      <w:pPr>
        <w:pStyle w:val="ListParagraph"/>
        <w:numPr>
          <w:ilvl w:val="0"/>
          <w:numId w:val="32"/>
        </w:numPr>
        <w:spacing w:after="0"/>
        <w:rPr>
          <w:rFonts w:cs="Arial"/>
          <w:b/>
          <w:sz w:val="24"/>
          <w:szCs w:val="24"/>
        </w:rPr>
      </w:pPr>
      <w:r w:rsidRPr="008B2CB8">
        <w:rPr>
          <w:rFonts w:cs="Arial"/>
          <w:b/>
          <w:sz w:val="24"/>
          <w:szCs w:val="24"/>
        </w:rPr>
        <w:t xml:space="preserve">implementation of the Law Commission’s recommendation for a full scale review of the operation and effectiveness of enhanced and aggravated sentencing provisions; </w:t>
      </w:r>
    </w:p>
    <w:p w:rsidR="002B6091" w:rsidRPr="008B2CB8" w:rsidRDefault="002B6091" w:rsidP="002B6091">
      <w:pPr>
        <w:pStyle w:val="ListParagraph"/>
        <w:numPr>
          <w:ilvl w:val="0"/>
          <w:numId w:val="32"/>
        </w:numPr>
        <w:spacing w:after="0"/>
        <w:rPr>
          <w:rFonts w:cs="Arial"/>
          <w:b/>
          <w:sz w:val="24"/>
          <w:szCs w:val="24"/>
        </w:rPr>
      </w:pPr>
      <w:r w:rsidRPr="008B2CB8">
        <w:rPr>
          <w:rFonts w:cs="Arial"/>
          <w:b/>
          <w:sz w:val="24"/>
          <w:szCs w:val="24"/>
        </w:rPr>
        <w:t>criminal justice agencies should build on research into the motivations behind hate crime, and develop targeted prevention strategies; and</w:t>
      </w:r>
    </w:p>
    <w:p w:rsidR="002B6091" w:rsidRPr="008B2CB8" w:rsidRDefault="002B6091" w:rsidP="002B6091">
      <w:pPr>
        <w:pStyle w:val="ListParagraph"/>
        <w:numPr>
          <w:ilvl w:val="0"/>
          <w:numId w:val="32"/>
        </w:numPr>
        <w:spacing w:after="0"/>
        <w:rPr>
          <w:rFonts w:cs="Arial"/>
          <w:b/>
          <w:sz w:val="24"/>
          <w:szCs w:val="24"/>
        </w:rPr>
      </w:pPr>
      <w:proofErr w:type="gramStart"/>
      <w:r w:rsidRPr="008B2CB8">
        <w:rPr>
          <w:rFonts w:cs="Arial"/>
          <w:b/>
          <w:sz w:val="24"/>
          <w:szCs w:val="24"/>
        </w:rPr>
        <w:t>implementation</w:t>
      </w:r>
      <w:proofErr w:type="gramEnd"/>
      <w:r w:rsidRPr="008B2CB8">
        <w:rPr>
          <w:rFonts w:cs="Arial"/>
          <w:b/>
          <w:sz w:val="24"/>
          <w:szCs w:val="24"/>
        </w:rPr>
        <w:t xml:space="preserve"> of the CERD and ECRI recommendations to tackle the negative portrayal of particular groups by the media.</w:t>
      </w:r>
    </w:p>
    <w:p w:rsidR="002B6091" w:rsidRPr="008B2CB8" w:rsidRDefault="002B6091" w:rsidP="002B6091">
      <w:pPr>
        <w:spacing w:after="0"/>
        <w:rPr>
          <w:rFonts w:cs="Arial"/>
          <w:b/>
          <w:sz w:val="24"/>
          <w:szCs w:val="24"/>
        </w:rPr>
      </w:pPr>
    </w:p>
    <w:p w:rsidR="002B6091" w:rsidRPr="008B2CB8" w:rsidRDefault="002B6091" w:rsidP="002B6091">
      <w:pPr>
        <w:tabs>
          <w:tab w:val="left" w:pos="5715"/>
        </w:tabs>
        <w:spacing w:after="0"/>
        <w:rPr>
          <w:rFonts w:cs="Arial"/>
          <w:b/>
          <w:sz w:val="24"/>
          <w:szCs w:val="24"/>
        </w:rPr>
      </w:pPr>
      <w:r w:rsidRPr="00553F23">
        <w:rPr>
          <w:rFonts w:cs="Arial"/>
          <w:b/>
          <w:sz w:val="24"/>
          <w:szCs w:val="24"/>
        </w:rPr>
        <w:t>Question</w:t>
      </w:r>
      <w:r>
        <w:rPr>
          <w:rFonts w:cs="Arial"/>
          <w:b/>
          <w:sz w:val="24"/>
          <w:szCs w:val="24"/>
        </w:rPr>
        <w:t xml:space="preserve"> </w:t>
      </w:r>
      <w:r w:rsidRPr="00553F23">
        <w:rPr>
          <w:rFonts w:cs="Arial"/>
          <w:b/>
          <w:sz w:val="24"/>
          <w:szCs w:val="24"/>
        </w:rPr>
        <w:t xml:space="preserve">A: </w:t>
      </w:r>
      <w:r w:rsidRPr="008B2CB8">
        <w:rPr>
          <w:rFonts w:cs="Arial"/>
          <w:b/>
          <w:sz w:val="24"/>
          <w:szCs w:val="24"/>
        </w:rPr>
        <w:t>How does the UK Government plan to respond to the Law Commission’s recommendation for a comprehensive review of hate crime legislation?</w:t>
      </w:r>
    </w:p>
    <w:p w:rsidR="002B6091" w:rsidRPr="008B2CB8" w:rsidRDefault="002B6091" w:rsidP="002B6091">
      <w:pPr>
        <w:tabs>
          <w:tab w:val="left" w:pos="5715"/>
        </w:tabs>
        <w:spacing w:after="0"/>
        <w:rPr>
          <w:rFonts w:cs="Arial"/>
          <w:b/>
          <w:sz w:val="24"/>
          <w:szCs w:val="24"/>
        </w:rPr>
      </w:pPr>
    </w:p>
    <w:p w:rsidR="002B6091" w:rsidRPr="008B2CB8" w:rsidRDefault="002B6091" w:rsidP="002B6091">
      <w:pPr>
        <w:tabs>
          <w:tab w:val="left" w:pos="5715"/>
        </w:tabs>
        <w:spacing w:after="0"/>
        <w:rPr>
          <w:rFonts w:cs="Arial"/>
          <w:b/>
          <w:sz w:val="24"/>
          <w:szCs w:val="24"/>
        </w:rPr>
      </w:pPr>
      <w:r w:rsidRPr="008B2CB8">
        <w:rPr>
          <w:rFonts w:cs="Arial"/>
          <w:b/>
          <w:sz w:val="24"/>
          <w:szCs w:val="24"/>
        </w:rPr>
        <w:t xml:space="preserve">Question B: What steps has the UK Government taken to consider and implement the recommendations of CERD and ECRI to tackle the negative portrayal of particular groups by the media? </w:t>
      </w:r>
      <w:r w:rsidRPr="008B2CB8">
        <w:rPr>
          <w:rFonts w:cs="Arial"/>
          <w:b/>
          <w:sz w:val="24"/>
          <w:szCs w:val="24"/>
        </w:rPr>
        <w:tab/>
      </w:r>
    </w:p>
    <w:p w:rsidR="002B6091" w:rsidRPr="00553F23" w:rsidRDefault="002B6091" w:rsidP="002B6091">
      <w:pPr>
        <w:pStyle w:val="Heading2"/>
        <w:numPr>
          <w:ilvl w:val="0"/>
          <w:numId w:val="50"/>
        </w:numPr>
        <w:rPr>
          <w:sz w:val="24"/>
          <w:szCs w:val="24"/>
        </w:rPr>
      </w:pPr>
      <w:bookmarkStart w:id="157" w:name="_Toc420603257"/>
      <w:bookmarkStart w:id="158" w:name="_Toc420603348"/>
      <w:r w:rsidRPr="00553F23">
        <w:rPr>
          <w:sz w:val="24"/>
          <w:szCs w:val="24"/>
        </w:rPr>
        <w:lastRenderedPageBreak/>
        <w:t xml:space="preserve">Violence </w:t>
      </w:r>
      <w:proofErr w:type="gramStart"/>
      <w:r w:rsidRPr="00553F23">
        <w:rPr>
          <w:sz w:val="24"/>
          <w:szCs w:val="24"/>
        </w:rPr>
        <w:t>Against</w:t>
      </w:r>
      <w:proofErr w:type="gramEnd"/>
      <w:r w:rsidRPr="00553F23">
        <w:rPr>
          <w:sz w:val="24"/>
          <w:szCs w:val="24"/>
        </w:rPr>
        <w:t xml:space="preserve"> Women (Articles 3, 7, 9, and 26)</w:t>
      </w:r>
      <w:r w:rsidRPr="00553F23">
        <w:rPr>
          <w:rStyle w:val="FootnoteReference"/>
          <w:sz w:val="24"/>
          <w:szCs w:val="24"/>
        </w:rPr>
        <w:footnoteReference w:id="644"/>
      </w:r>
      <w:bookmarkEnd w:id="157"/>
      <w:bookmarkEnd w:id="158"/>
      <w:r w:rsidRPr="00553F23">
        <w:rPr>
          <w:sz w:val="24"/>
          <w:szCs w:val="24"/>
        </w:rPr>
        <w:t xml:space="preserve"> </w:t>
      </w:r>
    </w:p>
    <w:p w:rsidR="002B6091" w:rsidRPr="008B2CB8" w:rsidRDefault="002B6091" w:rsidP="002B6091">
      <w:pPr>
        <w:pStyle w:val="ListParagraph"/>
        <w:spacing w:after="0"/>
        <w:ind w:left="0"/>
        <w:rPr>
          <w:sz w:val="24"/>
          <w:szCs w:val="24"/>
        </w:rPr>
      </w:pPr>
      <w:r w:rsidRPr="008B2CB8">
        <w:rPr>
          <w:sz w:val="24"/>
          <w:szCs w:val="24"/>
        </w:rPr>
        <w:t>The EHRC welcomes that the UK Government has adopted a violence against women and girls (VAWG) strategy for England and Wales and is actively working towards ratification of the Council of Europe Convention on preventing and combatting violence against women and domestic violence (the Istanbul Convention)</w:t>
      </w:r>
      <w:r w:rsidRPr="008B2CB8">
        <w:rPr>
          <w:rStyle w:val="FootnoteReference"/>
          <w:sz w:val="24"/>
          <w:szCs w:val="24"/>
        </w:rPr>
        <w:footnoteReference w:id="645"/>
      </w:r>
      <w:r w:rsidRPr="008B2CB8">
        <w:rPr>
          <w:sz w:val="24"/>
          <w:szCs w:val="24"/>
        </w:rPr>
        <w:t xml:space="preserve">. The Welsh Government is also developing its own </w:t>
      </w:r>
      <w:r w:rsidRPr="008B2CB8">
        <w:rPr>
          <w:rFonts w:cs="Arial"/>
          <w:bCs/>
          <w:sz w:val="24"/>
          <w:szCs w:val="24"/>
        </w:rPr>
        <w:t>VAWG strategy, and intends to bring forward legislation to help tackle VAWG in Wales.</w:t>
      </w:r>
      <w:r w:rsidRPr="008B2CB8">
        <w:rPr>
          <w:rStyle w:val="FootnoteReference"/>
          <w:rFonts w:cs="Arial"/>
          <w:bCs/>
          <w:sz w:val="24"/>
          <w:szCs w:val="24"/>
        </w:rPr>
        <w:footnoteReference w:id="646"/>
      </w:r>
      <w:r w:rsidRPr="008B2CB8">
        <w:rPr>
          <w:rFonts w:cs="Arial"/>
          <w:bCs/>
          <w:sz w:val="24"/>
          <w:szCs w:val="24"/>
        </w:rPr>
        <w:t xml:space="preserve"> </w:t>
      </w:r>
      <w:r w:rsidRPr="008B2CB8">
        <w:rPr>
          <w:sz w:val="24"/>
          <w:szCs w:val="24"/>
        </w:rPr>
        <w:t>However, we are concerned that VAWG remains one of the most pervasive human rights issues in 2012-13, for example:</w:t>
      </w:r>
    </w:p>
    <w:p w:rsidR="002B6091" w:rsidRPr="008B2CB8" w:rsidRDefault="002B6091" w:rsidP="002B6091">
      <w:pPr>
        <w:pStyle w:val="ListParagraph"/>
        <w:numPr>
          <w:ilvl w:val="0"/>
          <w:numId w:val="90"/>
        </w:numPr>
        <w:spacing w:after="0"/>
        <w:rPr>
          <w:sz w:val="24"/>
          <w:szCs w:val="24"/>
        </w:rPr>
      </w:pPr>
      <w:r w:rsidRPr="008B2CB8">
        <w:rPr>
          <w:rFonts w:cs="Arial"/>
          <w:sz w:val="24"/>
          <w:szCs w:val="24"/>
          <w:u w:color="000000"/>
        </w:rPr>
        <w:t>1.2 million women experienced domestic abuse;</w:t>
      </w:r>
      <w:r w:rsidRPr="008B2CB8">
        <w:rPr>
          <w:rStyle w:val="FootnoteReference"/>
          <w:rFonts w:cs="Arial"/>
          <w:sz w:val="24"/>
          <w:szCs w:val="24"/>
          <w:u w:color="000000"/>
        </w:rPr>
        <w:footnoteReference w:id="647"/>
      </w:r>
    </w:p>
    <w:p w:rsidR="002B6091" w:rsidRPr="008B2CB8" w:rsidRDefault="002B6091" w:rsidP="002B6091">
      <w:pPr>
        <w:pStyle w:val="ListParagraph"/>
        <w:numPr>
          <w:ilvl w:val="0"/>
          <w:numId w:val="90"/>
        </w:numPr>
        <w:spacing w:after="0"/>
        <w:rPr>
          <w:sz w:val="24"/>
          <w:szCs w:val="24"/>
        </w:rPr>
      </w:pPr>
      <w:r w:rsidRPr="008B2CB8">
        <w:rPr>
          <w:rFonts w:cs="Arial"/>
          <w:sz w:val="24"/>
          <w:szCs w:val="24"/>
          <w:u w:color="000000"/>
        </w:rPr>
        <w:t>4.9 million (30% of the female population) had experienced some form of domestic abuse since the age of 16;</w:t>
      </w:r>
      <w:r w:rsidRPr="008B2CB8">
        <w:rPr>
          <w:rStyle w:val="FootnoteReference"/>
          <w:rFonts w:cs="Arial"/>
          <w:sz w:val="24"/>
          <w:szCs w:val="24"/>
          <w:u w:color="000000"/>
        </w:rPr>
        <w:footnoteReference w:id="648"/>
      </w:r>
      <w:r w:rsidRPr="008B2CB8">
        <w:rPr>
          <w:rFonts w:cs="Arial"/>
          <w:sz w:val="24"/>
          <w:szCs w:val="24"/>
          <w:u w:color="000000"/>
        </w:rPr>
        <w:t xml:space="preserve"> </w:t>
      </w:r>
    </w:p>
    <w:p w:rsidR="002B6091" w:rsidRPr="008B2CB8" w:rsidRDefault="002B6091" w:rsidP="002B6091">
      <w:pPr>
        <w:pStyle w:val="ListParagraph"/>
        <w:numPr>
          <w:ilvl w:val="0"/>
          <w:numId w:val="90"/>
        </w:numPr>
        <w:spacing w:after="0"/>
        <w:rPr>
          <w:sz w:val="24"/>
          <w:szCs w:val="24"/>
        </w:rPr>
      </w:pPr>
      <w:r w:rsidRPr="008B2CB8">
        <w:rPr>
          <w:rFonts w:cs="Arial"/>
          <w:sz w:val="24"/>
          <w:szCs w:val="24"/>
          <w:u w:color="000000"/>
        </w:rPr>
        <w:t>400,000 experienced sexual assault and of those, 70,000 were raped;</w:t>
      </w:r>
      <w:r w:rsidRPr="008B2CB8">
        <w:rPr>
          <w:rStyle w:val="FootnoteReference"/>
          <w:rFonts w:cs="Arial"/>
          <w:sz w:val="24"/>
          <w:szCs w:val="24"/>
          <w:u w:color="000000"/>
        </w:rPr>
        <w:footnoteReference w:id="649"/>
      </w:r>
      <w:r w:rsidRPr="008B2CB8">
        <w:rPr>
          <w:rFonts w:cs="Arial"/>
          <w:sz w:val="24"/>
          <w:szCs w:val="24"/>
          <w:u w:color="000000"/>
        </w:rPr>
        <w:t xml:space="preserve"> </w:t>
      </w:r>
    </w:p>
    <w:p w:rsidR="002B6091" w:rsidRPr="008B2CB8" w:rsidRDefault="002B6091" w:rsidP="002B6091">
      <w:pPr>
        <w:pStyle w:val="ListParagraph"/>
        <w:numPr>
          <w:ilvl w:val="0"/>
          <w:numId w:val="90"/>
        </w:numPr>
        <w:spacing w:after="0"/>
        <w:rPr>
          <w:sz w:val="24"/>
          <w:szCs w:val="24"/>
        </w:rPr>
      </w:pPr>
      <w:r w:rsidRPr="008B2CB8">
        <w:rPr>
          <w:rFonts w:cs="Arial"/>
          <w:sz w:val="24"/>
          <w:szCs w:val="24"/>
          <w:u w:color="000000"/>
        </w:rPr>
        <w:t>two women are killed by their partner or ex-partner each week;</w:t>
      </w:r>
      <w:r w:rsidRPr="008B2CB8">
        <w:rPr>
          <w:rStyle w:val="FootnoteReference"/>
          <w:rFonts w:cs="Arial"/>
          <w:sz w:val="24"/>
          <w:szCs w:val="24"/>
          <w:u w:color="000000"/>
        </w:rPr>
        <w:footnoteReference w:id="650"/>
      </w:r>
      <w:r w:rsidRPr="008B2CB8">
        <w:rPr>
          <w:rFonts w:cs="Arial"/>
          <w:sz w:val="24"/>
          <w:szCs w:val="24"/>
          <w:u w:color="000000"/>
        </w:rPr>
        <w:t xml:space="preserve"> </w:t>
      </w:r>
    </w:p>
    <w:p w:rsidR="002B6091" w:rsidRPr="008B2CB8" w:rsidRDefault="002B6091" w:rsidP="002B6091">
      <w:pPr>
        <w:pStyle w:val="ListParagraph"/>
        <w:numPr>
          <w:ilvl w:val="0"/>
          <w:numId w:val="90"/>
        </w:numPr>
        <w:spacing w:after="0"/>
        <w:rPr>
          <w:sz w:val="24"/>
          <w:szCs w:val="24"/>
        </w:rPr>
      </w:pPr>
      <w:r w:rsidRPr="008B2CB8">
        <w:rPr>
          <w:rFonts w:cs="Arial"/>
          <w:sz w:val="24"/>
          <w:szCs w:val="24"/>
          <w:u w:color="000000"/>
        </w:rPr>
        <w:t>66,000 women are living with the consequences of female genital mutilation (FGM) with an estimated 20,000 under 15s at risk of it;</w:t>
      </w:r>
      <w:r w:rsidRPr="008B2CB8">
        <w:rPr>
          <w:rStyle w:val="FootnoteReference"/>
          <w:rFonts w:cs="Arial"/>
          <w:sz w:val="24"/>
          <w:szCs w:val="24"/>
          <w:u w:color="000000"/>
        </w:rPr>
        <w:footnoteReference w:id="651"/>
      </w:r>
      <w:r w:rsidRPr="008B2CB8">
        <w:rPr>
          <w:rFonts w:cs="Arial"/>
          <w:sz w:val="24"/>
          <w:szCs w:val="24"/>
          <w:u w:color="000000"/>
        </w:rPr>
        <w:t xml:space="preserve"> and</w:t>
      </w:r>
    </w:p>
    <w:p w:rsidR="002B6091" w:rsidRPr="008B2CB8" w:rsidRDefault="002B6091" w:rsidP="002B6091">
      <w:pPr>
        <w:pStyle w:val="ListParagraph"/>
        <w:numPr>
          <w:ilvl w:val="0"/>
          <w:numId w:val="90"/>
        </w:numPr>
        <w:spacing w:after="0"/>
        <w:rPr>
          <w:sz w:val="24"/>
          <w:szCs w:val="24"/>
        </w:rPr>
      </w:pPr>
      <w:r w:rsidRPr="008B2CB8">
        <w:rPr>
          <w:rFonts w:cs="Arial"/>
          <w:color w:val="000000"/>
          <w:sz w:val="24"/>
          <w:szCs w:val="24"/>
          <w:lang w:eastAsia="en-GB"/>
        </w:rPr>
        <w:t>In 2011-12 there were 2,730 fixed term exclusions and 70 permanent exclusions from English schools for sexual misconduct.</w:t>
      </w:r>
      <w:r w:rsidRPr="008B2CB8">
        <w:rPr>
          <w:rStyle w:val="FootnoteReference"/>
          <w:rFonts w:cs="Arial"/>
          <w:color w:val="000000"/>
          <w:sz w:val="24"/>
          <w:szCs w:val="24"/>
          <w:lang w:eastAsia="en-GB"/>
        </w:rPr>
        <w:footnoteReference w:id="652"/>
      </w:r>
    </w:p>
    <w:p w:rsidR="002B6091" w:rsidRPr="008B2CB8" w:rsidRDefault="002B6091" w:rsidP="002B6091">
      <w:pPr>
        <w:spacing w:after="0"/>
        <w:rPr>
          <w:rFonts w:cs="Arial"/>
          <w:sz w:val="24"/>
          <w:szCs w:val="24"/>
          <w:u w:color="000000"/>
        </w:rPr>
      </w:pPr>
    </w:p>
    <w:p w:rsidR="002B6091" w:rsidRPr="008B2CB8" w:rsidRDefault="002B6091" w:rsidP="002B6091">
      <w:pPr>
        <w:spacing w:after="0"/>
        <w:rPr>
          <w:rFonts w:cs="Arial"/>
          <w:bCs/>
          <w:i/>
          <w:sz w:val="24"/>
          <w:szCs w:val="24"/>
        </w:rPr>
      </w:pPr>
      <w:r w:rsidRPr="008B2CB8">
        <w:rPr>
          <w:rFonts w:cs="Arial"/>
          <w:bCs/>
          <w:sz w:val="24"/>
          <w:szCs w:val="24"/>
        </w:rPr>
        <w:t xml:space="preserve">We note that the latest version of the UK Government’s VAWG Action Plan takes heed of CEDAW’s 2013 </w:t>
      </w:r>
      <w:r>
        <w:rPr>
          <w:rFonts w:cs="Arial"/>
          <w:bCs/>
          <w:sz w:val="24"/>
          <w:szCs w:val="24"/>
        </w:rPr>
        <w:t>C</w:t>
      </w:r>
      <w:r w:rsidRPr="008B2CB8">
        <w:rPr>
          <w:rFonts w:cs="Arial"/>
          <w:bCs/>
          <w:sz w:val="24"/>
          <w:szCs w:val="24"/>
        </w:rPr>
        <w:t xml:space="preserve">oncluding </w:t>
      </w:r>
      <w:r>
        <w:rPr>
          <w:rFonts w:cs="Arial"/>
          <w:bCs/>
          <w:sz w:val="24"/>
          <w:szCs w:val="24"/>
        </w:rPr>
        <w:t>O</w:t>
      </w:r>
      <w:r w:rsidRPr="008B2CB8">
        <w:rPr>
          <w:rFonts w:cs="Arial"/>
          <w:bCs/>
          <w:sz w:val="24"/>
          <w:szCs w:val="24"/>
        </w:rPr>
        <w:t xml:space="preserve">bservations. We consider that ratification and compliance of the Istanbul Convention would enable the UK to satisfy CEDAW’s </w:t>
      </w:r>
      <w:r w:rsidRPr="008B2CB8">
        <w:rPr>
          <w:rFonts w:cs="Arial"/>
          <w:bCs/>
          <w:sz w:val="24"/>
          <w:szCs w:val="24"/>
        </w:rPr>
        <w:lastRenderedPageBreak/>
        <w:t xml:space="preserve">outstanding concerns and </w:t>
      </w:r>
      <w:proofErr w:type="gramStart"/>
      <w:r w:rsidRPr="008B2CB8">
        <w:rPr>
          <w:rFonts w:cs="Arial"/>
          <w:bCs/>
          <w:sz w:val="24"/>
          <w:szCs w:val="24"/>
        </w:rPr>
        <w:t>its</w:t>
      </w:r>
      <w:proofErr w:type="gramEnd"/>
      <w:r w:rsidRPr="008B2CB8">
        <w:rPr>
          <w:rFonts w:cs="Arial"/>
          <w:bCs/>
          <w:sz w:val="24"/>
          <w:szCs w:val="24"/>
        </w:rPr>
        <w:t xml:space="preserve"> General Recommendation 19.</w:t>
      </w:r>
      <w:r w:rsidRPr="008B2CB8">
        <w:rPr>
          <w:rStyle w:val="FootnoteReference"/>
          <w:rFonts w:cs="Arial"/>
          <w:bCs/>
          <w:sz w:val="24"/>
          <w:szCs w:val="24"/>
        </w:rPr>
        <w:footnoteReference w:id="653"/>
      </w:r>
      <w:r w:rsidRPr="008B2CB8">
        <w:rPr>
          <w:rFonts w:cs="Arial"/>
          <w:bCs/>
          <w:sz w:val="24"/>
          <w:szCs w:val="24"/>
        </w:rPr>
        <w:t xml:space="preserve"> The EHRC has set out a detailed analysis of what the UK Government needs to do to comply with the Istanbul Convention.</w:t>
      </w:r>
      <w:r w:rsidRPr="008B2CB8">
        <w:rPr>
          <w:rStyle w:val="FootnoteReference"/>
          <w:rFonts w:cs="Arial"/>
          <w:bCs/>
          <w:sz w:val="24"/>
          <w:szCs w:val="24"/>
        </w:rPr>
        <w:footnoteReference w:id="654"/>
      </w:r>
      <w:r w:rsidRPr="008B2CB8">
        <w:rPr>
          <w:rFonts w:cs="Arial"/>
          <w:bCs/>
          <w:i/>
          <w:sz w:val="24"/>
          <w:szCs w:val="24"/>
        </w:rPr>
        <w:t xml:space="preserve"> </w:t>
      </w:r>
      <w:r w:rsidRPr="008B2CB8">
        <w:rPr>
          <w:rFonts w:cs="Arial"/>
          <w:bCs/>
          <w:sz w:val="24"/>
          <w:szCs w:val="24"/>
        </w:rPr>
        <w:t>Our analysis concludes that most obligations are, or will soon be, implemented through British legislation.</w:t>
      </w:r>
      <w:r w:rsidRPr="008B2CB8">
        <w:rPr>
          <w:rStyle w:val="FootnoteReference"/>
          <w:rFonts w:cs="Arial"/>
          <w:bCs/>
          <w:sz w:val="24"/>
          <w:szCs w:val="24"/>
        </w:rPr>
        <w:footnoteReference w:id="655"/>
      </w:r>
      <w:r w:rsidRPr="008B2CB8">
        <w:rPr>
          <w:rFonts w:cs="Arial"/>
          <w:bCs/>
          <w:sz w:val="24"/>
          <w:szCs w:val="24"/>
        </w:rPr>
        <w:t xml:space="preserve"> However further actions are required to avoid potential legislative non-compliance, including:</w:t>
      </w:r>
    </w:p>
    <w:p w:rsidR="002B6091" w:rsidRPr="008B2CB8" w:rsidRDefault="002B6091" w:rsidP="002B6091">
      <w:pPr>
        <w:numPr>
          <w:ilvl w:val="0"/>
          <w:numId w:val="87"/>
        </w:numPr>
        <w:spacing w:after="0"/>
        <w:rPr>
          <w:rFonts w:cs="Arial"/>
          <w:bCs/>
          <w:sz w:val="24"/>
          <w:szCs w:val="24"/>
        </w:rPr>
      </w:pPr>
      <w:r w:rsidRPr="008B2CB8">
        <w:rPr>
          <w:rFonts w:cs="Arial"/>
          <w:bCs/>
          <w:sz w:val="24"/>
          <w:szCs w:val="24"/>
        </w:rPr>
        <w:t>more robust requirements in relation to the display of highly-sexualised images of women in 'lads magazines' in shops (Article 14);</w:t>
      </w:r>
    </w:p>
    <w:p w:rsidR="002B6091" w:rsidRPr="008B2CB8" w:rsidRDefault="002B6091" w:rsidP="002B6091">
      <w:pPr>
        <w:numPr>
          <w:ilvl w:val="0"/>
          <w:numId w:val="87"/>
        </w:numPr>
        <w:spacing w:after="0"/>
        <w:rPr>
          <w:rFonts w:cs="Arial"/>
          <w:bCs/>
          <w:sz w:val="24"/>
          <w:szCs w:val="24"/>
        </w:rPr>
      </w:pPr>
      <w:r w:rsidRPr="008B2CB8">
        <w:rPr>
          <w:rFonts w:cs="Arial"/>
          <w:bCs/>
          <w:sz w:val="24"/>
          <w:szCs w:val="24"/>
        </w:rPr>
        <w:t>a criminal offence of intentionally seriously impairing a person’s psychological integrity through coercion or threats (Article 33);</w:t>
      </w:r>
    </w:p>
    <w:p w:rsidR="002B6091" w:rsidRPr="008B2CB8" w:rsidRDefault="002B6091" w:rsidP="002B6091">
      <w:pPr>
        <w:numPr>
          <w:ilvl w:val="0"/>
          <w:numId w:val="87"/>
        </w:numPr>
        <w:spacing w:after="0"/>
        <w:rPr>
          <w:rFonts w:cs="Arial"/>
          <w:bCs/>
          <w:sz w:val="24"/>
          <w:szCs w:val="24"/>
        </w:rPr>
      </w:pPr>
      <w:r w:rsidRPr="008B2CB8">
        <w:rPr>
          <w:rFonts w:cs="Arial"/>
          <w:bCs/>
          <w:sz w:val="24"/>
          <w:szCs w:val="24"/>
        </w:rPr>
        <w:t>the extension of extra-territorial criminal jurisdiction (Article 44);</w:t>
      </w:r>
    </w:p>
    <w:p w:rsidR="002B6091" w:rsidRPr="008B2CB8" w:rsidRDefault="002B6091" w:rsidP="002B6091">
      <w:pPr>
        <w:numPr>
          <w:ilvl w:val="0"/>
          <w:numId w:val="87"/>
        </w:numPr>
        <w:spacing w:after="0"/>
        <w:rPr>
          <w:rFonts w:cs="Arial"/>
          <w:bCs/>
          <w:sz w:val="24"/>
          <w:szCs w:val="24"/>
        </w:rPr>
      </w:pPr>
      <w:r w:rsidRPr="008B2CB8">
        <w:rPr>
          <w:rFonts w:cs="Arial"/>
          <w:bCs/>
          <w:sz w:val="24"/>
          <w:szCs w:val="24"/>
        </w:rPr>
        <w:t>the extension of Multi Agency Public Protection Arrangements (MAPPA) categories 1 and 2 to cover offences committed abroad (Article 51); and</w:t>
      </w:r>
    </w:p>
    <w:p w:rsidR="002B6091" w:rsidRPr="008B2CB8" w:rsidRDefault="002B6091" w:rsidP="002B6091">
      <w:pPr>
        <w:numPr>
          <w:ilvl w:val="0"/>
          <w:numId w:val="87"/>
        </w:numPr>
        <w:spacing w:after="0"/>
        <w:rPr>
          <w:rFonts w:cs="Arial"/>
          <w:bCs/>
          <w:sz w:val="24"/>
          <w:szCs w:val="24"/>
        </w:rPr>
      </w:pPr>
      <w:proofErr w:type="gramStart"/>
      <w:r w:rsidRPr="008B2CB8">
        <w:rPr>
          <w:rFonts w:cs="Arial"/>
          <w:bCs/>
          <w:sz w:val="24"/>
          <w:szCs w:val="24"/>
        </w:rPr>
        <w:t>an</w:t>
      </w:r>
      <w:proofErr w:type="gramEnd"/>
      <w:r w:rsidRPr="008B2CB8">
        <w:rPr>
          <w:rFonts w:cs="Arial"/>
          <w:bCs/>
          <w:sz w:val="24"/>
          <w:szCs w:val="24"/>
        </w:rPr>
        <w:t xml:space="preserve"> amendment to the Immigration Rules to reflect the relevance of non-domestic VAWG (Article 59).</w:t>
      </w:r>
    </w:p>
    <w:p w:rsidR="002B6091" w:rsidRPr="008B2CB8" w:rsidRDefault="002B6091" w:rsidP="002B6091">
      <w:pPr>
        <w:spacing w:after="0"/>
        <w:rPr>
          <w:rFonts w:cs="Arial"/>
          <w:bCs/>
          <w:sz w:val="24"/>
          <w:szCs w:val="24"/>
        </w:rPr>
      </w:pPr>
    </w:p>
    <w:p w:rsidR="002B6091" w:rsidRPr="008B2CB8" w:rsidRDefault="002B6091" w:rsidP="002B6091">
      <w:pPr>
        <w:spacing w:after="0"/>
        <w:rPr>
          <w:rFonts w:cs="Arial"/>
          <w:bCs/>
          <w:sz w:val="24"/>
          <w:szCs w:val="24"/>
        </w:rPr>
      </w:pPr>
      <w:r w:rsidRPr="008B2CB8">
        <w:rPr>
          <w:rFonts w:cs="Arial"/>
          <w:bCs/>
          <w:sz w:val="24"/>
          <w:szCs w:val="24"/>
        </w:rPr>
        <w:t>Moreover, issues primarily to do with implementation mean the UK may fall short of full compliance with other Istanbul Convention obligations, including:</w:t>
      </w:r>
    </w:p>
    <w:p w:rsidR="002B6091" w:rsidRPr="008B2CB8" w:rsidRDefault="002B6091" w:rsidP="002B6091">
      <w:pPr>
        <w:spacing w:after="0"/>
        <w:rPr>
          <w:rFonts w:cs="Arial"/>
          <w:bCs/>
          <w:sz w:val="24"/>
          <w:szCs w:val="24"/>
        </w:rPr>
      </w:pPr>
    </w:p>
    <w:p w:rsidR="002B6091" w:rsidRPr="008B2CB8" w:rsidRDefault="002B6091" w:rsidP="002B6091">
      <w:pPr>
        <w:pStyle w:val="ListParagraph"/>
        <w:numPr>
          <w:ilvl w:val="0"/>
          <w:numId w:val="89"/>
        </w:numPr>
        <w:spacing w:after="0"/>
        <w:rPr>
          <w:rFonts w:cs="Arial"/>
          <w:bCs/>
          <w:sz w:val="24"/>
          <w:szCs w:val="24"/>
        </w:rPr>
      </w:pPr>
      <w:r w:rsidRPr="008B2CB8">
        <w:rPr>
          <w:rFonts w:cs="Arial"/>
          <w:bCs/>
          <w:sz w:val="24"/>
          <w:szCs w:val="24"/>
        </w:rPr>
        <w:t xml:space="preserve">The establishment of an adequately resourced full time coordinating body with a UK wide strategy and action plan (Article 10). While </w:t>
      </w:r>
      <w:r>
        <w:rPr>
          <w:rFonts w:cs="Arial"/>
          <w:bCs/>
          <w:sz w:val="24"/>
          <w:szCs w:val="24"/>
        </w:rPr>
        <w:t>the EHRC</w:t>
      </w:r>
      <w:r w:rsidRPr="008B2CB8">
        <w:rPr>
          <w:rFonts w:cs="Arial"/>
          <w:bCs/>
          <w:sz w:val="24"/>
          <w:szCs w:val="24"/>
        </w:rPr>
        <w:t xml:space="preserve"> welcome</w:t>
      </w:r>
      <w:r>
        <w:rPr>
          <w:rFonts w:cs="Arial"/>
          <w:bCs/>
          <w:sz w:val="24"/>
          <w:szCs w:val="24"/>
        </w:rPr>
        <w:t>s</w:t>
      </w:r>
      <w:r w:rsidRPr="008B2CB8">
        <w:rPr>
          <w:rFonts w:cs="Arial"/>
          <w:bCs/>
          <w:sz w:val="24"/>
          <w:szCs w:val="24"/>
        </w:rPr>
        <w:t xml:space="preserve"> the UK Government’s VAWG strategy, we are concerned there are potential risks to effective implementation implied by the strategy's lack of a central budget and emphasis on local decision-making.</w:t>
      </w:r>
      <w:r w:rsidRPr="008B2CB8">
        <w:rPr>
          <w:rStyle w:val="FootnoteReference"/>
          <w:rFonts w:cs="Arial"/>
          <w:bCs/>
          <w:sz w:val="24"/>
          <w:szCs w:val="24"/>
        </w:rPr>
        <w:footnoteReference w:id="656"/>
      </w:r>
      <w:r w:rsidRPr="008B2CB8">
        <w:rPr>
          <w:rFonts w:cs="Arial"/>
          <w:bCs/>
          <w:sz w:val="24"/>
          <w:szCs w:val="24"/>
        </w:rPr>
        <w:t xml:space="preserve"> In this context, the EHRC questions the UK Government’s ability to demonstrate fulfilment of its obligation to secure the safety of women across Great Britain as a human right under CEDAW. </w:t>
      </w:r>
      <w:r w:rsidRPr="008B2CB8">
        <w:rPr>
          <w:rStyle w:val="FootnoteReference"/>
          <w:rFonts w:cs="Arial"/>
          <w:bCs/>
          <w:sz w:val="24"/>
          <w:szCs w:val="24"/>
        </w:rPr>
        <w:footnoteReference w:id="657"/>
      </w:r>
      <w:r w:rsidRPr="008B2CB8">
        <w:rPr>
          <w:rFonts w:cs="Arial"/>
          <w:bCs/>
          <w:sz w:val="24"/>
          <w:szCs w:val="24"/>
        </w:rPr>
        <w:t xml:space="preserve"> An early focus of such a body could be a comprehensive and co-ordinated UK-wide FGM strategy, adequately resourced with clear leadership, objectives and accountability.</w:t>
      </w:r>
      <w:r w:rsidRPr="008B2CB8">
        <w:rPr>
          <w:rStyle w:val="FootnoteReference"/>
          <w:rFonts w:cs="Arial"/>
          <w:bCs/>
          <w:sz w:val="24"/>
          <w:szCs w:val="24"/>
        </w:rPr>
        <w:footnoteReference w:id="658"/>
      </w:r>
      <w:r w:rsidRPr="008B2CB8">
        <w:rPr>
          <w:rFonts w:cs="Arial"/>
          <w:bCs/>
          <w:sz w:val="24"/>
          <w:szCs w:val="24"/>
        </w:rPr>
        <w:t xml:space="preserve"> </w:t>
      </w:r>
    </w:p>
    <w:p w:rsidR="002B6091" w:rsidRPr="008B2CB8" w:rsidRDefault="002B6091" w:rsidP="002B6091">
      <w:pPr>
        <w:pStyle w:val="ListParagraph"/>
        <w:numPr>
          <w:ilvl w:val="0"/>
          <w:numId w:val="89"/>
        </w:numPr>
        <w:spacing w:after="0"/>
        <w:rPr>
          <w:rFonts w:cs="Arial"/>
          <w:bCs/>
          <w:sz w:val="24"/>
          <w:szCs w:val="24"/>
        </w:rPr>
      </w:pPr>
      <w:r w:rsidRPr="008B2CB8">
        <w:rPr>
          <w:rFonts w:cs="Arial"/>
          <w:bCs/>
          <w:sz w:val="24"/>
          <w:szCs w:val="24"/>
        </w:rPr>
        <w:t>Improvements to data collection and analysis on all forms of VAWG alongside population surveys to determine the prevalence of such crimes (Article 11)</w:t>
      </w:r>
      <w:r>
        <w:rPr>
          <w:rFonts w:cs="Arial"/>
          <w:bCs/>
          <w:sz w:val="24"/>
          <w:szCs w:val="24"/>
        </w:rPr>
        <w:t>.</w:t>
      </w:r>
    </w:p>
    <w:p w:rsidR="002B6091" w:rsidRPr="008B2CB8" w:rsidRDefault="002B6091" w:rsidP="002B6091">
      <w:pPr>
        <w:pStyle w:val="ListParagraph"/>
        <w:numPr>
          <w:ilvl w:val="0"/>
          <w:numId w:val="89"/>
        </w:numPr>
        <w:spacing w:after="0"/>
        <w:rPr>
          <w:rFonts w:cs="Arial"/>
          <w:bCs/>
          <w:sz w:val="24"/>
          <w:szCs w:val="24"/>
        </w:rPr>
      </w:pPr>
      <w:r>
        <w:rPr>
          <w:rFonts w:cs="Arial"/>
          <w:sz w:val="24"/>
          <w:szCs w:val="24"/>
        </w:rPr>
        <w:t>The EHRC</w:t>
      </w:r>
      <w:r w:rsidRPr="008B2CB8">
        <w:rPr>
          <w:rFonts w:cs="Arial"/>
          <w:sz w:val="24"/>
          <w:szCs w:val="24"/>
        </w:rPr>
        <w:t xml:space="preserve"> welcome</w:t>
      </w:r>
      <w:r>
        <w:rPr>
          <w:rFonts w:cs="Arial"/>
          <w:sz w:val="24"/>
          <w:szCs w:val="24"/>
        </w:rPr>
        <w:t>s</w:t>
      </w:r>
      <w:r w:rsidRPr="008B2CB8">
        <w:rPr>
          <w:rFonts w:cs="Arial"/>
          <w:sz w:val="24"/>
          <w:szCs w:val="24"/>
        </w:rPr>
        <w:t xml:space="preserve"> the Welsh Government's propos</w:t>
      </w:r>
      <w:r>
        <w:rPr>
          <w:rFonts w:cs="Arial"/>
          <w:sz w:val="24"/>
          <w:szCs w:val="24"/>
        </w:rPr>
        <w:t>al</w:t>
      </w:r>
      <w:r w:rsidRPr="008B2CB8">
        <w:rPr>
          <w:rFonts w:cs="Arial"/>
          <w:sz w:val="24"/>
          <w:szCs w:val="24"/>
        </w:rPr>
        <w:t xml:space="preserve"> to make education on 'healthy relationships' compulsory in Welsh schools,</w:t>
      </w:r>
      <w:r w:rsidRPr="008B2CB8">
        <w:rPr>
          <w:rStyle w:val="FootnoteReference"/>
          <w:rFonts w:cs="Arial"/>
          <w:sz w:val="24"/>
          <w:szCs w:val="24"/>
        </w:rPr>
        <w:footnoteReference w:id="659"/>
      </w:r>
      <w:r w:rsidRPr="008B2CB8">
        <w:rPr>
          <w:rFonts w:cs="Arial"/>
          <w:sz w:val="24"/>
          <w:szCs w:val="24"/>
        </w:rPr>
        <w:t xml:space="preserve"> </w:t>
      </w:r>
      <w:r>
        <w:rPr>
          <w:rFonts w:cs="Arial"/>
          <w:sz w:val="24"/>
          <w:szCs w:val="24"/>
        </w:rPr>
        <w:t xml:space="preserve">as we </w:t>
      </w:r>
      <w:r w:rsidRPr="008B2CB8">
        <w:rPr>
          <w:rFonts w:cs="Arial"/>
          <w:sz w:val="24"/>
          <w:szCs w:val="24"/>
        </w:rPr>
        <w:t xml:space="preserve">believe </w:t>
      </w:r>
      <w:r w:rsidRPr="008B2CB8">
        <w:rPr>
          <w:rFonts w:cs="Arial"/>
          <w:bCs/>
          <w:sz w:val="24"/>
          <w:szCs w:val="24"/>
        </w:rPr>
        <w:lastRenderedPageBreak/>
        <w:t>personal, social and health education should be part of the national curriculum for all schoolchildren in Britain to support prevention of VAWG (Article 14).</w:t>
      </w:r>
    </w:p>
    <w:p w:rsidR="002B6091" w:rsidRPr="008B2CB8" w:rsidRDefault="002B6091" w:rsidP="002B6091">
      <w:pPr>
        <w:pStyle w:val="ListParagraph"/>
        <w:numPr>
          <w:ilvl w:val="0"/>
          <w:numId w:val="89"/>
        </w:numPr>
        <w:spacing w:after="0"/>
        <w:rPr>
          <w:rFonts w:cs="Arial"/>
          <w:bCs/>
          <w:sz w:val="24"/>
          <w:szCs w:val="24"/>
        </w:rPr>
      </w:pPr>
      <w:r w:rsidRPr="008B2CB8">
        <w:rPr>
          <w:rFonts w:cs="Arial"/>
          <w:bCs/>
          <w:sz w:val="24"/>
          <w:szCs w:val="24"/>
        </w:rPr>
        <w:t>Addressing systematic problems in the training of professionals who deal with VAWG cases (Article 15).</w:t>
      </w:r>
      <w:r w:rsidRPr="008B2CB8">
        <w:rPr>
          <w:sz w:val="24"/>
          <w:szCs w:val="24"/>
          <w:vertAlign w:val="superscript"/>
        </w:rPr>
        <w:footnoteReference w:id="660"/>
      </w:r>
      <w:r w:rsidRPr="008B2CB8">
        <w:rPr>
          <w:rFonts w:cs="Arial"/>
          <w:bCs/>
          <w:sz w:val="24"/>
          <w:szCs w:val="24"/>
        </w:rPr>
        <w:t xml:space="preserve"> This includes specific guidance and training for Crown Prosecution Service lawyers and advocates in England and Wales on the effective implementation on the law of consent in sexual offences committed in the context of domestic violence (Article 36)</w:t>
      </w:r>
      <w:r>
        <w:rPr>
          <w:rFonts w:cs="Arial"/>
          <w:bCs/>
          <w:sz w:val="24"/>
          <w:szCs w:val="24"/>
        </w:rPr>
        <w:t>.</w:t>
      </w:r>
      <w:r w:rsidRPr="008B2CB8">
        <w:rPr>
          <w:rStyle w:val="FootnoteReference"/>
          <w:rFonts w:cs="Arial"/>
          <w:bCs/>
          <w:sz w:val="24"/>
          <w:szCs w:val="24"/>
        </w:rPr>
        <w:footnoteReference w:id="661"/>
      </w:r>
    </w:p>
    <w:p w:rsidR="002B6091" w:rsidRPr="008B2CB8" w:rsidRDefault="002B6091" w:rsidP="002B6091">
      <w:pPr>
        <w:pStyle w:val="ListParagraph"/>
        <w:numPr>
          <w:ilvl w:val="0"/>
          <w:numId w:val="89"/>
        </w:numPr>
        <w:spacing w:after="0"/>
        <w:rPr>
          <w:rFonts w:cs="Arial"/>
          <w:bCs/>
          <w:sz w:val="24"/>
          <w:szCs w:val="24"/>
        </w:rPr>
      </w:pPr>
      <w:r w:rsidRPr="008B2CB8">
        <w:rPr>
          <w:rFonts w:cs="Arial"/>
          <w:bCs/>
          <w:sz w:val="24"/>
          <w:szCs w:val="24"/>
        </w:rPr>
        <w:t>Allowing third party complaints about press representation of women (Article 17). This would enable interested parties to seek redress through the Press Complaints Commission where there is not an identifiable “victim” prepared to give evidence on her own behalf</w:t>
      </w:r>
      <w:r>
        <w:rPr>
          <w:rFonts w:cs="Arial"/>
          <w:bCs/>
          <w:sz w:val="24"/>
          <w:szCs w:val="24"/>
        </w:rPr>
        <w:t>.</w:t>
      </w:r>
    </w:p>
    <w:p w:rsidR="002B6091" w:rsidRPr="008B2CB8" w:rsidRDefault="002B6091" w:rsidP="002B6091">
      <w:pPr>
        <w:pStyle w:val="ListParagraph"/>
        <w:numPr>
          <w:ilvl w:val="0"/>
          <w:numId w:val="89"/>
        </w:numPr>
        <w:spacing w:after="0"/>
        <w:rPr>
          <w:rFonts w:cs="Arial"/>
          <w:bCs/>
          <w:sz w:val="24"/>
          <w:szCs w:val="24"/>
        </w:rPr>
      </w:pPr>
      <w:r w:rsidRPr="008B2CB8">
        <w:rPr>
          <w:rFonts w:cs="Arial"/>
          <w:bCs/>
          <w:sz w:val="24"/>
          <w:szCs w:val="24"/>
        </w:rPr>
        <w:t>Addressing shortcomings in the gender sensitivity of the asylum system for victims of VAWG (Article 60), for example, the lack of access to psychological care.</w:t>
      </w:r>
      <w:r w:rsidRPr="008B2CB8">
        <w:rPr>
          <w:rStyle w:val="FootnoteReference"/>
          <w:rFonts w:cs="Arial"/>
          <w:bCs/>
          <w:sz w:val="24"/>
          <w:szCs w:val="24"/>
        </w:rPr>
        <w:footnoteReference w:id="662"/>
      </w:r>
    </w:p>
    <w:p w:rsidR="002B6091" w:rsidRPr="008B2CB8" w:rsidRDefault="002B6091" w:rsidP="002B6091">
      <w:pPr>
        <w:spacing w:after="0"/>
        <w:rPr>
          <w:rStyle w:val="Strong"/>
          <w:rFonts w:cs="Arial"/>
          <w:b w:val="0"/>
          <w:sz w:val="24"/>
          <w:szCs w:val="24"/>
        </w:rPr>
      </w:pPr>
    </w:p>
    <w:p w:rsidR="002B6091" w:rsidRPr="008B2CB8" w:rsidRDefault="002B6091" w:rsidP="002B6091">
      <w:pPr>
        <w:spacing w:after="0"/>
        <w:rPr>
          <w:rFonts w:cs="Arial"/>
          <w:bCs/>
          <w:sz w:val="24"/>
          <w:szCs w:val="24"/>
        </w:rPr>
      </w:pPr>
      <w:r w:rsidRPr="008B2CB8">
        <w:rPr>
          <w:rStyle w:val="Strong"/>
          <w:rFonts w:cs="Arial"/>
          <w:sz w:val="24"/>
          <w:szCs w:val="24"/>
        </w:rPr>
        <w:t xml:space="preserve">The EHRC considers the UK Government also needs to </w:t>
      </w:r>
      <w:r w:rsidRPr="008B2CB8">
        <w:rPr>
          <w:rFonts w:cs="Arial"/>
          <w:bCs/>
          <w:sz w:val="24"/>
          <w:szCs w:val="24"/>
        </w:rPr>
        <w:t>provide sufficient financial and legal support and refuge to victims of VAWG as required under Article 20. These include:</w:t>
      </w:r>
    </w:p>
    <w:p w:rsidR="002B6091" w:rsidRPr="008B2CB8" w:rsidRDefault="002B6091" w:rsidP="002B6091">
      <w:pPr>
        <w:pStyle w:val="ListParagraph"/>
        <w:numPr>
          <w:ilvl w:val="0"/>
          <w:numId w:val="88"/>
        </w:numPr>
        <w:spacing w:after="0"/>
        <w:ind w:left="357" w:hanging="357"/>
        <w:rPr>
          <w:rFonts w:cs="Arial"/>
          <w:bCs/>
          <w:sz w:val="24"/>
          <w:szCs w:val="24"/>
        </w:rPr>
      </w:pPr>
      <w:r w:rsidRPr="008B2CB8">
        <w:rPr>
          <w:rFonts w:cs="Arial"/>
          <w:bCs/>
          <w:sz w:val="24"/>
          <w:szCs w:val="24"/>
        </w:rPr>
        <w:t>ensuring there are sufficient numbers of adequately funded women's shelters to meet demand across the UK and conducting a full review of the Universal Credit system to support the UK Government's view that its impact has not negatively affected victims of VAWG</w:t>
      </w:r>
      <w:r>
        <w:rPr>
          <w:rFonts w:cs="Arial"/>
          <w:bCs/>
          <w:sz w:val="24"/>
          <w:szCs w:val="24"/>
        </w:rPr>
        <w:t>;</w:t>
      </w:r>
      <w:r w:rsidRPr="008B2CB8">
        <w:rPr>
          <w:rStyle w:val="FootnoteReference"/>
          <w:rFonts w:cs="Arial"/>
          <w:bCs/>
          <w:sz w:val="24"/>
          <w:szCs w:val="24"/>
        </w:rPr>
        <w:footnoteReference w:id="663"/>
      </w:r>
      <w:r w:rsidRPr="008B2CB8">
        <w:rPr>
          <w:rFonts w:cs="Arial"/>
          <w:bCs/>
          <w:sz w:val="24"/>
          <w:szCs w:val="24"/>
        </w:rPr>
        <w:t xml:space="preserve"> </w:t>
      </w:r>
      <w:r>
        <w:rPr>
          <w:rFonts w:cs="Arial"/>
          <w:bCs/>
          <w:sz w:val="24"/>
          <w:szCs w:val="24"/>
        </w:rPr>
        <w:t>and</w:t>
      </w:r>
    </w:p>
    <w:p w:rsidR="002B6091" w:rsidRPr="008B2CB8" w:rsidRDefault="002B6091" w:rsidP="002B6091">
      <w:pPr>
        <w:pStyle w:val="ListParagraph"/>
        <w:numPr>
          <w:ilvl w:val="0"/>
          <w:numId w:val="88"/>
        </w:numPr>
        <w:spacing w:after="0"/>
        <w:ind w:left="357" w:hanging="357"/>
        <w:rPr>
          <w:rFonts w:cs="Arial"/>
          <w:bCs/>
          <w:sz w:val="24"/>
          <w:szCs w:val="24"/>
        </w:rPr>
      </w:pPr>
      <w:proofErr w:type="gramStart"/>
      <w:r w:rsidRPr="008B2CB8">
        <w:rPr>
          <w:rFonts w:cs="Arial"/>
          <w:bCs/>
          <w:sz w:val="24"/>
          <w:szCs w:val="24"/>
        </w:rPr>
        <w:t>assessing</w:t>
      </w:r>
      <w:proofErr w:type="gramEnd"/>
      <w:r w:rsidRPr="008B2CB8">
        <w:rPr>
          <w:rFonts w:cs="Arial"/>
          <w:bCs/>
          <w:sz w:val="24"/>
          <w:szCs w:val="24"/>
        </w:rPr>
        <w:t xml:space="preserve"> the impact that changes introduced by the </w:t>
      </w:r>
      <w:r>
        <w:rPr>
          <w:rFonts w:cs="Arial"/>
          <w:bCs/>
          <w:sz w:val="24"/>
          <w:szCs w:val="24"/>
        </w:rPr>
        <w:t>LASPO Act</w:t>
      </w:r>
      <w:r w:rsidRPr="008B2CB8">
        <w:rPr>
          <w:rFonts w:cs="Arial"/>
          <w:bCs/>
          <w:sz w:val="24"/>
          <w:szCs w:val="24"/>
        </w:rPr>
        <w:t xml:space="preserve"> have had on victims of VAWG’s access to </w:t>
      </w:r>
      <w:r>
        <w:rPr>
          <w:rFonts w:cs="Arial"/>
          <w:bCs/>
          <w:sz w:val="24"/>
          <w:szCs w:val="24"/>
        </w:rPr>
        <w:t>legal advice and representation.</w:t>
      </w:r>
      <w:r w:rsidRPr="008B2CB8">
        <w:rPr>
          <w:rStyle w:val="FootnoteReference"/>
          <w:rFonts w:cs="Arial"/>
          <w:bCs/>
          <w:sz w:val="24"/>
          <w:szCs w:val="24"/>
        </w:rPr>
        <w:footnoteReference w:id="664"/>
      </w:r>
      <w:r w:rsidRPr="008B2CB8">
        <w:rPr>
          <w:rFonts w:cs="Arial"/>
          <w:bCs/>
          <w:sz w:val="24"/>
          <w:szCs w:val="24"/>
        </w:rPr>
        <w:t xml:space="preserve"> </w:t>
      </w:r>
    </w:p>
    <w:p w:rsidR="002B6091" w:rsidRPr="008B2CB8" w:rsidRDefault="002B6091" w:rsidP="002B6091">
      <w:pPr>
        <w:pStyle w:val="ListParagraph"/>
        <w:spacing w:after="0"/>
        <w:ind w:left="0"/>
        <w:rPr>
          <w:sz w:val="24"/>
          <w:szCs w:val="24"/>
        </w:rPr>
      </w:pPr>
    </w:p>
    <w:p w:rsidR="002B6091" w:rsidRPr="008B2CB8" w:rsidRDefault="002B6091" w:rsidP="002B6091">
      <w:pPr>
        <w:spacing w:after="0"/>
        <w:rPr>
          <w:rFonts w:cs="Arial"/>
          <w:b/>
          <w:bCs/>
          <w:sz w:val="24"/>
          <w:szCs w:val="24"/>
        </w:rPr>
      </w:pPr>
      <w:r w:rsidRPr="008B2CB8">
        <w:rPr>
          <w:rFonts w:cs="Arial"/>
          <w:b/>
          <w:bCs/>
          <w:sz w:val="24"/>
          <w:szCs w:val="24"/>
        </w:rPr>
        <w:t xml:space="preserve">Conclusion: The EHRC considers that the UK Government must continue to work towards ratification and implementation of the Istanbul Convention. This </w:t>
      </w:r>
      <w:r w:rsidRPr="008B2CB8">
        <w:rPr>
          <w:rFonts w:cs="Arial"/>
          <w:b/>
          <w:bCs/>
          <w:sz w:val="24"/>
          <w:szCs w:val="24"/>
        </w:rPr>
        <w:lastRenderedPageBreak/>
        <w:t xml:space="preserve">work should also enable it to implement CEDAW’s concluding observations in relation to VAWG, and General Recommendation 19. </w:t>
      </w:r>
    </w:p>
    <w:p w:rsidR="002B6091" w:rsidRPr="008B2CB8" w:rsidRDefault="002B6091" w:rsidP="002B6091">
      <w:pPr>
        <w:spacing w:after="0"/>
        <w:rPr>
          <w:rFonts w:cs="Arial"/>
          <w:b/>
          <w:bCs/>
          <w:sz w:val="24"/>
          <w:szCs w:val="24"/>
        </w:rPr>
      </w:pPr>
    </w:p>
    <w:p w:rsidR="002B6091" w:rsidRPr="008B2CB8" w:rsidRDefault="002B6091" w:rsidP="002B6091">
      <w:pPr>
        <w:spacing w:after="0"/>
        <w:rPr>
          <w:rFonts w:cs="Arial"/>
          <w:b/>
          <w:bCs/>
          <w:sz w:val="24"/>
          <w:szCs w:val="24"/>
        </w:rPr>
      </w:pPr>
      <w:r w:rsidRPr="008B2CB8">
        <w:rPr>
          <w:rFonts w:cs="Arial"/>
          <w:b/>
          <w:bCs/>
          <w:sz w:val="24"/>
          <w:szCs w:val="24"/>
        </w:rPr>
        <w:t xml:space="preserve">Question A: Could the UK Government describe how it monitors local public agencies in England and Wales’ delivery of VAWG strategies and services to ensure compliance with the UK’s international human rights obligations? </w:t>
      </w:r>
    </w:p>
    <w:p w:rsidR="002B6091" w:rsidRPr="008B2CB8" w:rsidRDefault="002B6091" w:rsidP="002B6091">
      <w:pPr>
        <w:spacing w:after="0"/>
        <w:rPr>
          <w:rFonts w:cs="Arial"/>
          <w:b/>
          <w:bCs/>
          <w:sz w:val="24"/>
          <w:szCs w:val="24"/>
        </w:rPr>
      </w:pPr>
    </w:p>
    <w:p w:rsidR="002B6091" w:rsidRPr="008B2CB8" w:rsidRDefault="002B6091" w:rsidP="002B6091">
      <w:pPr>
        <w:spacing w:after="0"/>
        <w:rPr>
          <w:rFonts w:cs="Arial"/>
          <w:b/>
          <w:bCs/>
          <w:sz w:val="24"/>
          <w:szCs w:val="24"/>
        </w:rPr>
      </w:pPr>
      <w:r w:rsidRPr="008B2CB8">
        <w:rPr>
          <w:rFonts w:cs="Arial"/>
          <w:b/>
          <w:bCs/>
          <w:sz w:val="24"/>
          <w:szCs w:val="24"/>
        </w:rPr>
        <w:t xml:space="preserve">Question B: Could the UK Government provide information about the financial and human resources local public agencies in England and Wales dedicate to VAWG strategies and services, as well as the total UK public expenditure on implementing the UK’s international human rights obligations in relation to VAWG? Could these resources be disaggregated to show expenditure on the following </w:t>
      </w:r>
      <w:proofErr w:type="gramStart"/>
      <w:r w:rsidRPr="008B2CB8">
        <w:rPr>
          <w:rFonts w:cs="Arial"/>
          <w:b/>
          <w:bCs/>
          <w:sz w:val="24"/>
          <w:szCs w:val="24"/>
        </w:rPr>
        <w:t>provision:</w:t>
      </w:r>
      <w:proofErr w:type="gramEnd"/>
    </w:p>
    <w:p w:rsidR="002B6091" w:rsidRPr="008B2CB8" w:rsidRDefault="002B6091" w:rsidP="002B6091">
      <w:pPr>
        <w:pStyle w:val="ListParagraph"/>
        <w:numPr>
          <w:ilvl w:val="0"/>
          <w:numId w:val="91"/>
        </w:numPr>
        <w:spacing w:after="0"/>
        <w:rPr>
          <w:rFonts w:cs="Arial"/>
          <w:b/>
          <w:bCs/>
          <w:sz w:val="24"/>
          <w:szCs w:val="24"/>
        </w:rPr>
      </w:pPr>
      <w:r w:rsidRPr="008B2CB8">
        <w:rPr>
          <w:rFonts w:cs="Arial"/>
          <w:b/>
          <w:bCs/>
          <w:sz w:val="24"/>
          <w:szCs w:val="24"/>
        </w:rPr>
        <w:t>assistance to victims of VAWG in accessing legal representation and advice;</w:t>
      </w:r>
    </w:p>
    <w:p w:rsidR="002B6091" w:rsidRPr="008B2CB8" w:rsidRDefault="002B6091" w:rsidP="002B6091">
      <w:pPr>
        <w:pStyle w:val="ListParagraph"/>
        <w:numPr>
          <w:ilvl w:val="0"/>
          <w:numId w:val="91"/>
        </w:numPr>
        <w:spacing w:after="0"/>
        <w:rPr>
          <w:rFonts w:cs="Arial"/>
          <w:b/>
          <w:bCs/>
          <w:sz w:val="24"/>
          <w:szCs w:val="24"/>
        </w:rPr>
      </w:pPr>
      <w:r w:rsidRPr="008B2CB8">
        <w:rPr>
          <w:rFonts w:cs="Arial"/>
          <w:b/>
          <w:bCs/>
          <w:sz w:val="24"/>
          <w:szCs w:val="24"/>
        </w:rPr>
        <w:t>refuge to victims of VAWG;</w:t>
      </w:r>
    </w:p>
    <w:p w:rsidR="002B6091" w:rsidRPr="008B2CB8" w:rsidRDefault="002B6091" w:rsidP="002B6091">
      <w:pPr>
        <w:pStyle w:val="ListParagraph"/>
        <w:numPr>
          <w:ilvl w:val="0"/>
          <w:numId w:val="91"/>
        </w:numPr>
        <w:spacing w:after="0"/>
        <w:rPr>
          <w:rFonts w:cs="Arial"/>
          <w:b/>
          <w:bCs/>
          <w:sz w:val="24"/>
          <w:szCs w:val="24"/>
        </w:rPr>
      </w:pPr>
      <w:proofErr w:type="gramStart"/>
      <w:r w:rsidRPr="008B2CB8">
        <w:rPr>
          <w:rFonts w:cs="Arial"/>
          <w:b/>
          <w:bCs/>
          <w:sz w:val="24"/>
          <w:szCs w:val="24"/>
        </w:rPr>
        <w:t>health</w:t>
      </w:r>
      <w:proofErr w:type="gramEnd"/>
      <w:r w:rsidRPr="008B2CB8">
        <w:rPr>
          <w:rFonts w:cs="Arial"/>
          <w:b/>
          <w:bCs/>
          <w:sz w:val="24"/>
          <w:szCs w:val="24"/>
        </w:rPr>
        <w:t xml:space="preserve"> services to victims of VAWG, including victims of FGM.</w:t>
      </w:r>
    </w:p>
    <w:p w:rsidR="00204465" w:rsidRDefault="00204465">
      <w:pPr>
        <w:spacing w:after="0"/>
        <w:rPr>
          <w:sz w:val="24"/>
          <w:szCs w:val="24"/>
        </w:rPr>
      </w:pPr>
      <w:r>
        <w:rPr>
          <w:sz w:val="24"/>
          <w:szCs w:val="24"/>
        </w:rPr>
        <w:br w:type="page"/>
      </w:r>
    </w:p>
    <w:p w:rsidR="00204465" w:rsidRPr="006C4507" w:rsidRDefault="00204465" w:rsidP="00204465">
      <w:pPr>
        <w:pStyle w:val="L1Headers"/>
        <w:spacing w:line="312" w:lineRule="auto"/>
      </w:pPr>
      <w:bookmarkStart w:id="159" w:name="_Toc412020068"/>
      <w:bookmarkStart w:id="160" w:name="_Toc420603349"/>
      <w:r w:rsidRPr="006C4507">
        <w:lastRenderedPageBreak/>
        <w:t>Contacts</w:t>
      </w:r>
      <w:bookmarkEnd w:id="159"/>
      <w:bookmarkEnd w:id="160"/>
    </w:p>
    <w:p w:rsidR="00204465" w:rsidRPr="00B80F4E" w:rsidRDefault="00204465" w:rsidP="00204465">
      <w:pPr>
        <w:pStyle w:val="Parabase"/>
        <w:rPr>
          <w:kern w:val="28"/>
        </w:rPr>
      </w:pPr>
      <w:r w:rsidRPr="00B80F4E">
        <w:rPr>
          <w:kern w:val="28"/>
        </w:rPr>
        <w:t>This publication and related equality and human rights resources are available from the Commission’s website: www.equalityhumanrights.com</w:t>
      </w:r>
    </w:p>
    <w:p w:rsidR="00204465" w:rsidRPr="00B80F4E" w:rsidRDefault="00204465" w:rsidP="00204465">
      <w:pPr>
        <w:pStyle w:val="Parass"/>
      </w:pPr>
      <w:r w:rsidRPr="00B80F4E">
        <w:t>For advice, information or guidance on equality, discrimination or human rights issues, please contact the Equality Advisory and Support Service, a free and independent service.</w:t>
      </w:r>
    </w:p>
    <w:p w:rsidR="00204465" w:rsidRPr="00B80F4E" w:rsidRDefault="00204465" w:rsidP="00204465">
      <w:pPr>
        <w:pStyle w:val="Parabase"/>
        <w:rPr>
          <w:color w:val="000000"/>
          <w:kern w:val="28"/>
        </w:rPr>
      </w:pPr>
      <w:r w:rsidRPr="00B80F4E">
        <w:rPr>
          <w:color w:val="000000"/>
          <w:kern w:val="28"/>
        </w:rPr>
        <w:t xml:space="preserve">Website </w:t>
      </w:r>
      <w:r w:rsidRPr="00B80F4E">
        <w:rPr>
          <w:color w:val="000000"/>
          <w:kern w:val="28"/>
        </w:rPr>
        <w:tab/>
        <w:t>www.equalityadvisoryservice.com</w:t>
      </w:r>
    </w:p>
    <w:p w:rsidR="00204465" w:rsidRPr="00B80F4E" w:rsidRDefault="00204465" w:rsidP="00204465">
      <w:pPr>
        <w:pStyle w:val="Parabase"/>
        <w:rPr>
          <w:color w:val="000000"/>
          <w:kern w:val="28"/>
        </w:rPr>
      </w:pPr>
      <w:r w:rsidRPr="00B80F4E">
        <w:rPr>
          <w:color w:val="000000"/>
          <w:kern w:val="28"/>
        </w:rPr>
        <w:t xml:space="preserve">Telephone </w:t>
      </w:r>
      <w:r w:rsidRPr="00B80F4E">
        <w:rPr>
          <w:color w:val="000000"/>
          <w:kern w:val="28"/>
        </w:rPr>
        <w:tab/>
        <w:t>0808 800 0082</w:t>
      </w:r>
    </w:p>
    <w:p w:rsidR="00204465" w:rsidRPr="00B80F4E" w:rsidRDefault="00204465" w:rsidP="00204465">
      <w:pPr>
        <w:pStyle w:val="Parabase"/>
        <w:rPr>
          <w:color w:val="000000"/>
          <w:kern w:val="28"/>
        </w:rPr>
      </w:pPr>
      <w:proofErr w:type="spellStart"/>
      <w:r w:rsidRPr="00B80F4E">
        <w:rPr>
          <w:color w:val="000000"/>
          <w:kern w:val="28"/>
        </w:rPr>
        <w:t>Textphone</w:t>
      </w:r>
      <w:proofErr w:type="spellEnd"/>
      <w:r w:rsidRPr="00B80F4E">
        <w:rPr>
          <w:color w:val="000000"/>
          <w:kern w:val="28"/>
        </w:rPr>
        <w:t xml:space="preserve"> </w:t>
      </w:r>
      <w:r w:rsidRPr="00B80F4E">
        <w:rPr>
          <w:color w:val="000000"/>
          <w:kern w:val="28"/>
        </w:rPr>
        <w:tab/>
        <w:t>0808 800 0084</w:t>
      </w:r>
    </w:p>
    <w:p w:rsidR="00204465" w:rsidRPr="00B80F4E" w:rsidRDefault="00204465" w:rsidP="00204465">
      <w:pPr>
        <w:pStyle w:val="Parabase"/>
        <w:spacing w:after="0"/>
        <w:rPr>
          <w:color w:val="000000"/>
          <w:kern w:val="28"/>
        </w:rPr>
      </w:pPr>
      <w:r w:rsidRPr="00B80F4E">
        <w:rPr>
          <w:color w:val="000000"/>
          <w:kern w:val="28"/>
        </w:rPr>
        <w:t xml:space="preserve">Hours </w:t>
      </w:r>
      <w:r w:rsidRPr="00B80F4E">
        <w:rPr>
          <w:color w:val="000000"/>
          <w:kern w:val="28"/>
        </w:rPr>
        <w:tab/>
      </w:r>
      <w:r w:rsidRPr="00B80F4E">
        <w:rPr>
          <w:color w:val="000000"/>
          <w:kern w:val="28"/>
        </w:rPr>
        <w:tab/>
        <w:t>09:00 to 20:00 (Monday to Friday)</w:t>
      </w:r>
    </w:p>
    <w:p w:rsidR="00204465" w:rsidRPr="00B80F4E" w:rsidRDefault="00204465" w:rsidP="00204465">
      <w:pPr>
        <w:pStyle w:val="Parabase"/>
        <w:rPr>
          <w:color w:val="000000"/>
          <w:kern w:val="28"/>
        </w:rPr>
      </w:pPr>
      <w:r w:rsidRPr="00B80F4E">
        <w:rPr>
          <w:color w:val="000000"/>
          <w:kern w:val="28"/>
        </w:rPr>
        <w:tab/>
      </w:r>
      <w:r w:rsidRPr="00B80F4E">
        <w:rPr>
          <w:color w:val="000000"/>
          <w:kern w:val="28"/>
        </w:rPr>
        <w:tab/>
        <w:t>10:00 to 14:00 (Saturday)</w:t>
      </w:r>
    </w:p>
    <w:p w:rsidR="00204465" w:rsidRPr="00B80F4E" w:rsidRDefault="00204465" w:rsidP="00204465">
      <w:pPr>
        <w:pStyle w:val="Parabase"/>
        <w:spacing w:after="240"/>
        <w:rPr>
          <w:color w:val="000000"/>
          <w:kern w:val="28"/>
        </w:rPr>
      </w:pPr>
      <w:r w:rsidRPr="00B80F4E">
        <w:rPr>
          <w:color w:val="000000"/>
          <w:kern w:val="28"/>
        </w:rPr>
        <w:t xml:space="preserve">Post </w:t>
      </w:r>
      <w:r w:rsidRPr="00B80F4E">
        <w:rPr>
          <w:color w:val="000000"/>
          <w:kern w:val="28"/>
        </w:rPr>
        <w:tab/>
      </w:r>
      <w:r w:rsidRPr="00B80F4E">
        <w:rPr>
          <w:color w:val="000000"/>
          <w:kern w:val="28"/>
        </w:rPr>
        <w:tab/>
        <w:t>FREEPOST Equality Advisory Support Service FPN4431</w:t>
      </w:r>
    </w:p>
    <w:p w:rsidR="00204465" w:rsidRPr="00B80F4E" w:rsidRDefault="00204465" w:rsidP="00204465">
      <w:pPr>
        <w:pStyle w:val="Parass"/>
      </w:pPr>
      <w:r w:rsidRPr="00B80F4E">
        <w:t>Questions and comments regarding this publication may be addressed to: correspondence@equalityhumanrights.com. The Commission welcomes your feedback</w:t>
      </w:r>
    </w:p>
    <w:p w:rsidR="00204465" w:rsidRPr="00B80F4E" w:rsidRDefault="00204465" w:rsidP="00204465">
      <w:pPr>
        <w:pStyle w:val="L4Headers"/>
        <w:rPr>
          <w:kern w:val="28"/>
        </w:rPr>
      </w:pPr>
      <w:r w:rsidRPr="00B80F4E">
        <w:rPr>
          <w:kern w:val="28"/>
        </w:rPr>
        <w:t>Alternative formats</w:t>
      </w:r>
    </w:p>
    <w:p w:rsidR="00204465" w:rsidRPr="00B80F4E" w:rsidRDefault="00204465" w:rsidP="00204465">
      <w:pPr>
        <w:pStyle w:val="Parasection"/>
        <w:spacing w:line="312" w:lineRule="auto"/>
        <w:rPr>
          <w:kern w:val="28"/>
        </w:rPr>
      </w:pPr>
      <w:r w:rsidRPr="00B80F4E">
        <w:rPr>
          <w:kern w:val="28"/>
        </w:rPr>
        <w:t xml:space="preserve">This guide is available as a PDF file and as a Microsoft Word file from </w:t>
      </w:r>
      <w:hyperlink r:id="rId9" w:history="1">
        <w:r w:rsidRPr="00B80F4E">
          <w:rPr>
            <w:rStyle w:val="Hyperlink"/>
            <w:b/>
            <w:kern w:val="28"/>
          </w:rPr>
          <w:t>www.equalityhumanrights.com</w:t>
        </w:r>
      </w:hyperlink>
      <w:r w:rsidRPr="00B80F4E">
        <w:rPr>
          <w:kern w:val="28"/>
        </w:rPr>
        <w:t xml:space="preserve">. For information on accessing a Commission publication in an alternative format, please contact: </w:t>
      </w:r>
      <w:hyperlink r:id="rId10" w:history="1">
        <w:r w:rsidRPr="00B80F4E">
          <w:rPr>
            <w:rStyle w:val="Hyperlink"/>
            <w:b/>
            <w:kern w:val="28"/>
          </w:rPr>
          <w:t>correspondence@equalityhumanrights.com</w:t>
        </w:r>
      </w:hyperlink>
    </w:p>
    <w:p w:rsidR="00204465" w:rsidRPr="006C4507" w:rsidRDefault="00204465" w:rsidP="00204465">
      <w:pPr>
        <w:pStyle w:val="Paraapres-box"/>
        <w:spacing w:after="40"/>
      </w:pPr>
      <w:r>
        <w:t>© 2015</w:t>
      </w:r>
      <w:r w:rsidRPr="006C4507">
        <w:t xml:space="preserve"> Equal</w:t>
      </w:r>
      <w:r>
        <w:t>ity and Human Rights Commission</w:t>
      </w:r>
    </w:p>
    <w:p w:rsidR="00224E05" w:rsidRPr="00224E05" w:rsidRDefault="00204465" w:rsidP="00224E05">
      <w:pPr>
        <w:rPr>
          <w:rFonts w:eastAsia="Times New Roman" w:cs="Arial"/>
          <w:color w:val="000000"/>
          <w:sz w:val="24"/>
          <w:szCs w:val="24"/>
          <w:lang w:eastAsia="en-GB"/>
        </w:rPr>
      </w:pPr>
      <w:r>
        <w:rPr>
          <w:sz w:val="24"/>
          <w:szCs w:val="24"/>
        </w:rPr>
        <w:t xml:space="preserve">ISBN: </w:t>
      </w:r>
      <w:r w:rsidR="00224E05" w:rsidRPr="00224E05">
        <w:rPr>
          <w:rFonts w:eastAsia="Times New Roman" w:cs="Arial"/>
          <w:color w:val="000000"/>
          <w:sz w:val="24"/>
          <w:szCs w:val="24"/>
          <w:lang w:eastAsia="en-GB"/>
        </w:rPr>
        <w:t>978-1-84206-611-9</w:t>
      </w:r>
    </w:p>
    <w:p w:rsidR="002B6091" w:rsidRPr="008B2CB8" w:rsidRDefault="002B6091" w:rsidP="002B6091">
      <w:pPr>
        <w:spacing w:after="0"/>
        <w:rPr>
          <w:sz w:val="24"/>
          <w:szCs w:val="24"/>
        </w:rPr>
      </w:pPr>
    </w:p>
    <w:sectPr w:rsidR="002B6091" w:rsidRPr="008B2CB8" w:rsidSect="00204465">
      <w:headerReference w:type="default" r:id="rId11"/>
      <w:footerReference w:type="default" r:id="rId12"/>
      <w:footerReference w:type="first" r:id="rId13"/>
      <w:pgSz w:w="11906" w:h="16838"/>
      <w:pgMar w:top="1134" w:right="1440" w:bottom="1134" w:left="1440"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68E" w:rsidRDefault="0016168E" w:rsidP="002C2771">
      <w:pPr>
        <w:spacing w:after="0"/>
      </w:pPr>
      <w:r>
        <w:separator/>
      </w:r>
    </w:p>
  </w:endnote>
  <w:endnote w:type="continuationSeparator" w:id="0">
    <w:p w:rsidR="0016168E" w:rsidRDefault="0016168E" w:rsidP="002C277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 w:name="Trade Gothic LT Std">
    <w:altName w:val="Trade Gothic LT St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Droid Sans">
    <w:altName w:val="Times New Roman"/>
    <w:charset w:val="00"/>
    <w:family w:val="auto"/>
    <w:pitch w:val="default"/>
  </w:font>
  <w:font w:name="MinionPro-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68E" w:rsidRDefault="0016168E">
    <w:pPr>
      <w:pStyle w:val="Footer"/>
      <w:jc w:val="right"/>
    </w:pPr>
  </w:p>
  <w:p w:rsidR="0016168E" w:rsidRPr="006E21C6" w:rsidRDefault="0016168E" w:rsidP="00204465">
    <w:pPr>
      <w:tabs>
        <w:tab w:val="right" w:pos="9498"/>
      </w:tabs>
      <w:spacing w:after="0" w:line="276" w:lineRule="auto"/>
      <w:ind w:left="-567" w:right="-472"/>
      <w:rPr>
        <w:rFonts w:cs="Arial"/>
        <w:noProof/>
        <w:sz w:val="16"/>
        <w:szCs w:val="16"/>
      </w:rPr>
    </w:pPr>
    <w:r w:rsidRPr="006E21C6">
      <w:rPr>
        <w:rFonts w:cs="Arial"/>
        <w:sz w:val="16"/>
        <w:szCs w:val="16"/>
      </w:rPr>
      <w:t>Equality and Human Rights Commission</w:t>
    </w:r>
    <w:r w:rsidRPr="006E21C6">
      <w:rPr>
        <w:rFonts w:cs="Arial"/>
        <w:noProof/>
        <w:sz w:val="16"/>
        <w:szCs w:val="16"/>
      </w:rPr>
      <w:t xml:space="preserve"> · www.equalityhumanrights.com</w:t>
    </w:r>
    <w:r w:rsidRPr="006E21C6">
      <w:rPr>
        <w:rFonts w:cs="Arial"/>
        <w:sz w:val="16"/>
        <w:szCs w:val="16"/>
      </w:rPr>
      <w:t xml:space="preserve"> </w:t>
    </w:r>
    <w:r w:rsidRPr="006E21C6">
      <w:rPr>
        <w:rFonts w:cs="Arial"/>
        <w:sz w:val="16"/>
        <w:szCs w:val="16"/>
      </w:rPr>
      <w:tab/>
    </w:r>
    <w:r w:rsidRPr="006E21C6">
      <w:rPr>
        <w:rFonts w:cs="Arial"/>
        <w:b/>
        <w:sz w:val="16"/>
        <w:szCs w:val="16"/>
      </w:rPr>
      <w:fldChar w:fldCharType="begin"/>
    </w:r>
    <w:r w:rsidRPr="006E21C6">
      <w:rPr>
        <w:rFonts w:cs="Arial"/>
        <w:b/>
        <w:sz w:val="16"/>
        <w:szCs w:val="16"/>
      </w:rPr>
      <w:instrText xml:space="preserve"> PAGE   \* MERGEFORMAT </w:instrText>
    </w:r>
    <w:r w:rsidRPr="006E21C6">
      <w:rPr>
        <w:rFonts w:cs="Arial"/>
        <w:b/>
        <w:sz w:val="16"/>
        <w:szCs w:val="16"/>
      </w:rPr>
      <w:fldChar w:fldCharType="separate"/>
    </w:r>
    <w:r w:rsidR="007F5A79">
      <w:rPr>
        <w:rFonts w:cs="Arial"/>
        <w:b/>
        <w:noProof/>
        <w:sz w:val="16"/>
        <w:szCs w:val="16"/>
      </w:rPr>
      <w:t>33</w:t>
    </w:r>
    <w:r w:rsidRPr="006E21C6">
      <w:rPr>
        <w:rFonts w:cs="Arial"/>
        <w:b/>
        <w:noProof/>
        <w:sz w:val="16"/>
        <w:szCs w:val="16"/>
      </w:rPr>
      <w:fldChar w:fldCharType="end"/>
    </w:r>
  </w:p>
  <w:p w:rsidR="0016168E" w:rsidRPr="006E21C6" w:rsidRDefault="0016168E" w:rsidP="00204465">
    <w:pPr>
      <w:tabs>
        <w:tab w:val="left" w:pos="2640"/>
      </w:tabs>
      <w:spacing w:after="0" w:line="276" w:lineRule="auto"/>
      <w:ind w:left="-567"/>
      <w:rPr>
        <w:rFonts w:cs="Arial"/>
        <w:sz w:val="16"/>
        <w:szCs w:val="16"/>
      </w:rPr>
    </w:pPr>
    <w:r w:rsidRPr="006E21C6">
      <w:rPr>
        <w:rFonts w:cs="Arial"/>
        <w:noProof/>
        <w:sz w:val="16"/>
        <w:szCs w:val="16"/>
      </w:rPr>
      <w:t>Published May 2015</w:t>
    </w:r>
  </w:p>
  <w:p w:rsidR="0016168E" w:rsidRDefault="001616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68E" w:rsidRPr="00C01B37" w:rsidRDefault="0016168E" w:rsidP="00204465">
    <w:pPr>
      <w:widowControl w:val="0"/>
      <w:spacing w:after="60" w:line="264" w:lineRule="auto"/>
      <w:ind w:right="-46"/>
      <w:jc w:val="right"/>
      <w:rPr>
        <w:rFonts w:cs="Arial"/>
        <w:color w:val="000000"/>
        <w:sz w:val="22"/>
      </w:rPr>
    </w:pPr>
    <w:r w:rsidRPr="00E914D2">
      <w:rPr>
        <w:rFonts w:cs="Arial"/>
        <w:noProof/>
        <w:sz w:val="22"/>
        <w:lang w:eastAsia="en-GB"/>
      </w:rPr>
      <w:drawing>
        <wp:anchor distT="0" distB="0" distL="114300" distR="114300" simplePos="0" relativeHeight="251659264" behindDoc="0" locked="0" layoutInCell="1" allowOverlap="1" wp14:anchorId="76A8CACC" wp14:editId="4478F536">
          <wp:simplePos x="0" y="0"/>
          <wp:positionH relativeFrom="column">
            <wp:posOffset>-47625</wp:posOffset>
          </wp:positionH>
          <wp:positionV relativeFrom="paragraph">
            <wp:posOffset>15240</wp:posOffset>
          </wp:positionV>
          <wp:extent cx="1846580" cy="449580"/>
          <wp:effectExtent l="0" t="0" r="1270" b="7620"/>
          <wp:wrapNone/>
          <wp:docPr id="2" name="Picture 2" descr="Logo - 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 GB"/>
                  <pic:cNvPicPr>
                    <a:picLocks noChangeAspect="1" noChangeArrowheads="1"/>
                  </pic:cNvPicPr>
                </pic:nvPicPr>
                <pic:blipFill>
                  <a:blip r:embed="rId1"/>
                  <a:srcRect/>
                  <a:stretch>
                    <a:fillRect/>
                  </a:stretch>
                </pic:blipFill>
                <pic:spPr bwMode="auto">
                  <a:xfrm>
                    <a:off x="0" y="0"/>
                    <a:ext cx="1846580" cy="449580"/>
                  </a:xfrm>
                  <a:prstGeom prst="rect">
                    <a:avLst/>
                  </a:prstGeom>
                  <a:noFill/>
                  <a:ln w="9525">
                    <a:noFill/>
                    <a:miter lim="800000"/>
                    <a:headEnd/>
                    <a:tailEnd/>
                  </a:ln>
                </pic:spPr>
              </pic:pic>
            </a:graphicData>
          </a:graphic>
        </wp:anchor>
      </w:drawing>
    </w:r>
    <w:r w:rsidRPr="00C01B37">
      <w:rPr>
        <w:rFonts w:cs="Arial"/>
        <w:sz w:val="40"/>
        <w:szCs w:val="40"/>
      </w:rPr>
      <w:tab/>
    </w:r>
    <w:r w:rsidRPr="00C01B37">
      <w:rPr>
        <w:rFonts w:cs="Arial"/>
        <w:noProof/>
        <w:sz w:val="22"/>
      </w:rPr>
      <w:t>Equality</w:t>
    </w:r>
    <w:r w:rsidRPr="00C01B37">
      <w:rPr>
        <w:rFonts w:cs="Arial"/>
        <w:color w:val="000000"/>
        <w:sz w:val="22"/>
      </w:rPr>
      <w:t xml:space="preserve"> and Human Rights Commission</w:t>
    </w:r>
  </w:p>
  <w:p w:rsidR="0016168E" w:rsidRDefault="007F5A79" w:rsidP="00204465">
    <w:pPr>
      <w:widowControl w:val="0"/>
      <w:spacing w:after="60" w:line="264" w:lineRule="auto"/>
      <w:ind w:left="-567" w:right="-46"/>
      <w:jc w:val="right"/>
      <w:rPr>
        <w:rFonts w:cs="Arial"/>
        <w:color w:val="000000"/>
        <w:sz w:val="22"/>
      </w:rPr>
    </w:pPr>
    <w:hyperlink r:id="rId2" w:history="1">
      <w:r w:rsidR="0016168E" w:rsidRPr="00C01B37">
        <w:rPr>
          <w:rStyle w:val="Hyperlink"/>
          <w:rFonts w:cs="Arial"/>
          <w:sz w:val="22"/>
        </w:rPr>
        <w:t>www.equalityhumanrights.com</w:t>
      </w:r>
    </w:hyperlink>
  </w:p>
  <w:p w:rsidR="0016168E" w:rsidRDefault="001616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68E" w:rsidRDefault="0016168E" w:rsidP="002C2771">
      <w:pPr>
        <w:spacing w:after="0"/>
      </w:pPr>
      <w:r>
        <w:separator/>
      </w:r>
    </w:p>
  </w:footnote>
  <w:footnote w:type="continuationSeparator" w:id="0">
    <w:p w:rsidR="0016168E" w:rsidRDefault="0016168E" w:rsidP="002C2771">
      <w:pPr>
        <w:spacing w:after="0"/>
      </w:pPr>
      <w:r>
        <w:continuationSeparator/>
      </w:r>
    </w:p>
  </w:footnote>
  <w:footnote w:id="1">
    <w:p w:rsidR="0016168E" w:rsidRPr="0049677A" w:rsidRDefault="0016168E" w:rsidP="00D4379C">
      <w:pPr>
        <w:pStyle w:val="FootnoteText"/>
      </w:pPr>
      <w:r w:rsidRPr="0049677A">
        <w:rPr>
          <w:rStyle w:val="FootnoteReference"/>
        </w:rPr>
        <w:footnoteRef/>
      </w:r>
      <w:r w:rsidRPr="0049677A">
        <w:t xml:space="preserve"> </w:t>
      </w:r>
      <w:r w:rsidRPr="0049677A">
        <w:rPr>
          <w:rFonts w:cs="Arial"/>
        </w:rPr>
        <w:t xml:space="preserve">Seventh periodic reports of States parties for the United Kingdom of Great Britain and Northern Ireland, 29 December 2012, para 192, available at: </w:t>
      </w:r>
      <w:hyperlink r:id="rId1" w:history="1">
        <w:r w:rsidRPr="0049677A">
          <w:rPr>
            <w:rStyle w:val="Hyperlink"/>
            <w:rFonts w:cs="Arial"/>
            <w:color w:val="auto"/>
            <w:u w:val="none"/>
          </w:rPr>
          <w:t>http://tbinternet.ohchr.org/_layouts/treatybodyexternal/Download.aspx?symbolno=CCPR%2fC%2fGBR%2f7&amp;Lang=en</w:t>
        </w:r>
      </w:hyperlink>
    </w:p>
  </w:footnote>
  <w:footnote w:id="2">
    <w:p w:rsidR="0016168E" w:rsidRPr="0049677A" w:rsidRDefault="0016168E" w:rsidP="00D4379C">
      <w:pPr>
        <w:pStyle w:val="FootnoteText"/>
      </w:pPr>
      <w:r w:rsidRPr="0049677A">
        <w:rPr>
          <w:rStyle w:val="FootnoteReference"/>
        </w:rPr>
        <w:footnoteRef/>
      </w:r>
      <w:r w:rsidRPr="0049677A">
        <w:t xml:space="preserve"> </w:t>
      </w:r>
      <w:r w:rsidRPr="0049677A">
        <w:rPr>
          <w:rFonts w:cs="Arial"/>
        </w:rPr>
        <w:t xml:space="preserve">Seventh periodic reports of States parties for the United Kingdom of Great Britain and Northern Ireland, 29 December 2012, p33-45, available at: </w:t>
      </w:r>
      <w:hyperlink r:id="rId2" w:history="1">
        <w:r w:rsidRPr="0049677A">
          <w:rPr>
            <w:rStyle w:val="Hyperlink"/>
            <w:rFonts w:cs="Arial"/>
            <w:color w:val="auto"/>
            <w:u w:val="none"/>
          </w:rPr>
          <w:t>http://tbinternet.ohchr.org/_layouts/treatybodyexternal/Download.aspx?symbolno=CCPR%2fC%2fGBR%2f7&amp;Lang=en</w:t>
        </w:r>
      </w:hyperlink>
    </w:p>
  </w:footnote>
  <w:footnote w:id="3">
    <w:p w:rsidR="0016168E" w:rsidRPr="0049677A" w:rsidRDefault="0016168E" w:rsidP="00D4379C">
      <w:pPr>
        <w:spacing w:after="0"/>
        <w:rPr>
          <w:rFonts w:cs="Arial"/>
          <w:sz w:val="20"/>
          <w:szCs w:val="20"/>
        </w:rPr>
      </w:pPr>
      <w:r w:rsidRPr="0049677A">
        <w:rPr>
          <w:rStyle w:val="FootnoteReference"/>
          <w:rFonts w:cs="Arial"/>
          <w:sz w:val="20"/>
          <w:szCs w:val="20"/>
        </w:rPr>
        <w:footnoteRef/>
      </w:r>
      <w:r w:rsidRPr="0049677A">
        <w:rPr>
          <w:rFonts w:cs="Arial"/>
          <w:sz w:val="20"/>
          <w:szCs w:val="20"/>
        </w:rPr>
        <w:t xml:space="preserve"> </w:t>
      </w:r>
      <w:proofErr w:type="gramStart"/>
      <w:r w:rsidRPr="0049677A">
        <w:rPr>
          <w:rFonts w:cs="Arial"/>
          <w:sz w:val="20"/>
          <w:szCs w:val="20"/>
        </w:rPr>
        <w:t>EHRC.</w:t>
      </w:r>
      <w:proofErr w:type="gramEnd"/>
      <w:r w:rsidRPr="0049677A">
        <w:rPr>
          <w:rFonts w:cs="Arial"/>
          <w:sz w:val="20"/>
          <w:szCs w:val="20"/>
        </w:rPr>
        <w:t xml:space="preserve"> July 2014. Submission to the United Nations Human Rights Committee Pre-Sessional Working Group on the United Kingdom’s Implementation of the International Covenant on Civil and Political Rights: www.equalityhumanrights.com/sites/default/files/uploads/documents/humanrights/EHRC%20Submission%20to%20UN%20Human%20Rights%20Committee%20Pre-Sessional%20Working%20Group%20on%20UK%20Implementation%20of%20the%20International%20Covenant%20on%20Civil%20and%20Political%20Rights.pdf</w:t>
      </w:r>
    </w:p>
  </w:footnote>
  <w:footnote w:id="4">
    <w:p w:rsidR="0016168E" w:rsidRPr="0049677A" w:rsidRDefault="0016168E" w:rsidP="00D4379C">
      <w:pPr>
        <w:pStyle w:val="FootnoteText"/>
        <w:rPr>
          <w:rFonts w:cs="Arial"/>
        </w:rPr>
      </w:pPr>
      <w:r w:rsidRPr="0049677A">
        <w:rPr>
          <w:rStyle w:val="FootnoteReference"/>
          <w:rFonts w:cs="Arial"/>
        </w:rPr>
        <w:footnoteRef/>
      </w:r>
      <w:r w:rsidRPr="0049677A">
        <w:rPr>
          <w:rFonts w:cs="Arial"/>
        </w:rPr>
        <w:t xml:space="preserve"> The EHRC’s Measurement Framework (MF) provides us with a structure to assess equality and human rights across a range of areas relevant to 21st century life. The MF, which covers England, Scotland and Wales, consists of a number of domains, indicators and measures. The measures are based on statistical information that allow the relative position of each protected group to be compared, and for progress over time to be monitored: </w:t>
      </w:r>
      <w:hyperlink r:id="rId3" w:history="1">
        <w:r w:rsidRPr="0049677A">
          <w:rPr>
            <w:rStyle w:val="Hyperlink"/>
            <w:rFonts w:cs="Arial"/>
            <w:color w:val="auto"/>
            <w:u w:val="none"/>
          </w:rPr>
          <w:t>www.equalityhumanrights.com/about-us/our-work/key-projects/our-measurement-framework/briefing-papers-and-data</w:t>
        </w:r>
      </w:hyperlink>
      <w:r w:rsidRPr="0049677A">
        <w:rPr>
          <w:rFonts w:cs="Arial"/>
        </w:rPr>
        <w:t xml:space="preserve"> </w:t>
      </w:r>
    </w:p>
  </w:footnote>
  <w:footnote w:id="5">
    <w:p w:rsidR="0016168E" w:rsidRPr="0049677A" w:rsidRDefault="0016168E" w:rsidP="00D4379C">
      <w:pPr>
        <w:pStyle w:val="FootnoteText"/>
        <w:rPr>
          <w:rFonts w:cs="Arial"/>
        </w:rPr>
      </w:pPr>
      <w:r w:rsidRPr="0049677A">
        <w:rPr>
          <w:rStyle w:val="FootnoteReference"/>
          <w:rFonts w:cs="Arial"/>
        </w:rPr>
        <w:footnoteRef/>
      </w:r>
      <w:r w:rsidRPr="0049677A">
        <w:rPr>
          <w:rFonts w:cs="Arial"/>
        </w:rPr>
        <w:t xml:space="preserve"> </w:t>
      </w:r>
      <w:proofErr w:type="gramStart"/>
      <w:r w:rsidRPr="0049677A">
        <w:rPr>
          <w:rFonts w:cs="Arial"/>
        </w:rPr>
        <w:t>HRC.</w:t>
      </w:r>
      <w:proofErr w:type="gramEnd"/>
      <w:r w:rsidRPr="0049677A">
        <w:rPr>
          <w:rFonts w:cs="Arial"/>
        </w:rPr>
        <w:t xml:space="preserve"> November 2014. List of issues in relation to the seventh periodic report of the</w:t>
      </w:r>
    </w:p>
    <w:p w:rsidR="0016168E" w:rsidRPr="0049677A" w:rsidRDefault="0016168E" w:rsidP="00D4379C">
      <w:pPr>
        <w:pStyle w:val="FootnoteText"/>
        <w:rPr>
          <w:rFonts w:cs="Arial"/>
        </w:rPr>
      </w:pPr>
      <w:r w:rsidRPr="0049677A">
        <w:rPr>
          <w:rFonts w:cs="Arial"/>
        </w:rPr>
        <w:t>United Kingdom of Great Britain and Northern Ireland: www.equalityhumanrights.com/sites/default/files/uploads/documents/humanrights/List%20of%20issues%20Nov%2014.pdf</w:t>
      </w:r>
    </w:p>
  </w:footnote>
  <w:footnote w:id="6">
    <w:p w:rsidR="0016168E" w:rsidRPr="0049677A" w:rsidRDefault="0016168E" w:rsidP="00D4379C">
      <w:pPr>
        <w:pStyle w:val="FootnoteText"/>
      </w:pPr>
      <w:r w:rsidRPr="0049677A">
        <w:rPr>
          <w:rStyle w:val="FootnoteReference"/>
        </w:rPr>
        <w:footnoteRef/>
      </w:r>
      <w:r w:rsidRPr="0049677A">
        <w:t xml:space="preserve"> </w:t>
      </w:r>
      <w:proofErr w:type="gramStart"/>
      <w:r w:rsidRPr="0049677A">
        <w:t>The Telegraph.</w:t>
      </w:r>
      <w:proofErr w:type="gramEnd"/>
      <w:r w:rsidRPr="0049677A">
        <w:t xml:space="preserve"> 12 May 2015: www.telegraph.co.uk/news/politics/david-cameron/11598798/David-Cameron-Cabinet-reshuffle-continues-live.html</w:t>
      </w:r>
    </w:p>
  </w:footnote>
  <w:footnote w:id="7">
    <w:p w:rsidR="0016168E" w:rsidRPr="0049677A" w:rsidRDefault="0016168E" w:rsidP="00D4379C">
      <w:pPr>
        <w:pStyle w:val="FootnoteText"/>
      </w:pPr>
      <w:r w:rsidRPr="0049677A">
        <w:rPr>
          <w:rStyle w:val="FootnoteReference"/>
        </w:rPr>
        <w:footnoteRef/>
      </w:r>
      <w:r w:rsidRPr="0049677A">
        <w:t xml:space="preserve"> </w:t>
      </w:r>
      <w:proofErr w:type="gramStart"/>
      <w:r w:rsidRPr="0049677A">
        <w:t>Ibid. P.31 and 58.</w:t>
      </w:r>
      <w:proofErr w:type="gramEnd"/>
    </w:p>
  </w:footnote>
  <w:footnote w:id="8">
    <w:p w:rsidR="0016168E" w:rsidRDefault="0016168E" w:rsidP="00D4379C">
      <w:pPr>
        <w:pStyle w:val="FootnoteText"/>
      </w:pPr>
      <w:r w:rsidRPr="0049677A">
        <w:rPr>
          <w:rStyle w:val="FootnoteReference"/>
        </w:rPr>
        <w:footnoteRef/>
      </w:r>
      <w:r w:rsidRPr="0049677A">
        <w:t xml:space="preserve"> </w:t>
      </w:r>
      <w:proofErr w:type="gramStart"/>
      <w:r w:rsidRPr="0049677A">
        <w:t>Conservative Manifesto.</w:t>
      </w:r>
      <w:proofErr w:type="gramEnd"/>
      <w:r w:rsidRPr="0049677A">
        <w:t xml:space="preserve"> 2015. P.59. https://s3-eu-west-1.amazonaws.com/manifesto2015/ConservativeManifesto2015.pdf</w:t>
      </w:r>
    </w:p>
  </w:footnote>
  <w:footnote w:id="9">
    <w:p w:rsidR="0016168E" w:rsidRDefault="0016168E" w:rsidP="00D4379C">
      <w:pPr>
        <w:pStyle w:val="FootnoteText"/>
      </w:pPr>
      <w:r>
        <w:rPr>
          <w:rStyle w:val="FootnoteReference"/>
        </w:rPr>
        <w:footnoteRef/>
      </w:r>
      <w:r>
        <w:t xml:space="preserve"> </w:t>
      </w:r>
      <w:proofErr w:type="gramStart"/>
      <w:r>
        <w:t>Ibid. pp61-63.</w:t>
      </w:r>
      <w:proofErr w:type="gramEnd"/>
    </w:p>
  </w:footnote>
  <w:footnote w:id="10">
    <w:p w:rsidR="0016168E" w:rsidRPr="0049677A" w:rsidRDefault="0016168E" w:rsidP="00D4379C">
      <w:pPr>
        <w:pStyle w:val="FootnoteText"/>
      </w:pPr>
      <w:r w:rsidRPr="0049677A">
        <w:rPr>
          <w:rStyle w:val="FootnoteReference"/>
        </w:rPr>
        <w:footnoteRef/>
      </w:r>
      <w:r w:rsidRPr="0049677A">
        <w:t xml:space="preserve"> </w:t>
      </w:r>
      <w:r w:rsidRPr="0049677A">
        <w:rPr>
          <w:rFonts w:cs="Arial"/>
        </w:rPr>
        <w:t>Human Rights Committee, Concluding Observations for the United Kingdom</w:t>
      </w:r>
      <w:r w:rsidR="008C67B4">
        <w:rPr>
          <w:rFonts w:cs="Arial"/>
        </w:rPr>
        <w:t xml:space="preserve"> </w:t>
      </w:r>
      <w:r w:rsidRPr="0049677A">
        <w:rPr>
          <w:rFonts w:cs="Arial"/>
        </w:rPr>
        <w:t xml:space="preserve">of Great Britain and Northern Ireland 2001 (para 7) and 2008 (para 7): </w:t>
      </w:r>
      <w:hyperlink r:id="rId4" w:history="1">
        <w:r w:rsidRPr="0049677A">
          <w:rPr>
            <w:rStyle w:val="Hyperlink"/>
            <w:rFonts w:cs="Arial"/>
            <w:color w:val="auto"/>
            <w:u w:val="none"/>
          </w:rPr>
          <w:t>http://tbinternet.ohchr.org/_layouts/treatybodyexternal/TBSearch.aspx?Lang=en&amp;TreatyID=8&amp;DocTypeID=5</w:t>
        </w:r>
      </w:hyperlink>
      <w:r w:rsidR="008C67B4">
        <w:rPr>
          <w:rFonts w:cs="Arial"/>
        </w:rPr>
        <w:t xml:space="preserve"> </w:t>
      </w:r>
    </w:p>
  </w:footnote>
  <w:footnote w:id="11">
    <w:p w:rsidR="0016168E" w:rsidRPr="0049677A" w:rsidRDefault="0016168E" w:rsidP="00D4379C">
      <w:pPr>
        <w:pStyle w:val="FootnoteText"/>
      </w:pPr>
      <w:r w:rsidRPr="0049677A">
        <w:rPr>
          <w:rStyle w:val="FootnoteReference"/>
        </w:rPr>
        <w:footnoteRef/>
      </w:r>
      <w:r w:rsidRPr="0049677A">
        <w:t xml:space="preserve"> Ibid. p73</w:t>
      </w:r>
    </w:p>
  </w:footnote>
  <w:footnote w:id="12">
    <w:p w:rsidR="0016168E" w:rsidRPr="0043180C" w:rsidRDefault="0016168E" w:rsidP="00F849EC">
      <w:pPr>
        <w:pStyle w:val="FootnoteText"/>
      </w:pPr>
      <w:r w:rsidRPr="0043180C">
        <w:rPr>
          <w:rStyle w:val="FootnoteReference"/>
        </w:rPr>
        <w:footnoteRef/>
      </w:r>
      <w:r w:rsidRPr="0043180C">
        <w:t xml:space="preserve"> </w:t>
      </w:r>
      <w:proofErr w:type="gramStart"/>
      <w:r w:rsidRPr="0043180C">
        <w:t>E</w:t>
      </w:r>
      <w:r>
        <w:t xml:space="preserve">quality and </w:t>
      </w:r>
      <w:r w:rsidRPr="0043180C">
        <w:t>H</w:t>
      </w:r>
      <w:r>
        <w:t xml:space="preserve">uman </w:t>
      </w:r>
      <w:r w:rsidRPr="0043180C">
        <w:t>R</w:t>
      </w:r>
      <w:r>
        <w:t xml:space="preserve">ights </w:t>
      </w:r>
      <w:r w:rsidRPr="0043180C">
        <w:t>C</w:t>
      </w:r>
      <w:r>
        <w:t>ommission</w:t>
      </w:r>
      <w:r w:rsidRPr="0043180C">
        <w:t>.</w:t>
      </w:r>
      <w:proofErr w:type="gramEnd"/>
      <w:r w:rsidRPr="0043180C">
        <w:t xml:space="preserve"> </w:t>
      </w:r>
      <w:r>
        <w:t xml:space="preserve">July 2014. </w:t>
      </w:r>
      <w:r w:rsidRPr="0043180C">
        <w:t>Submission to the United Nations Human Rights Committee Pre-Sessional Working Group on the United Kingdom’s Implementation of the International Covenant on Civil and Political Rights</w:t>
      </w:r>
      <w:r>
        <w:t>. P.2:</w:t>
      </w:r>
      <w:r w:rsidRPr="0043180C">
        <w:t xml:space="preserve"> </w:t>
      </w:r>
      <w:r w:rsidRPr="004C2B53">
        <w:t>www.equalityhumanrights.com/sites/default/files/uploads/documents/humanrights/EHRC%20Submission%20to%20UN%20Human%20Rights%20Committee%20Pre-Sessional%20Working%20Group%20on%20UK%20Implementation%20of%20the%20International%20Covenant%20on%20Civil%20and%20Political%20Rights.pdf</w:t>
      </w:r>
    </w:p>
  </w:footnote>
  <w:footnote w:id="13">
    <w:p w:rsidR="0016168E" w:rsidRDefault="0016168E">
      <w:pPr>
        <w:pStyle w:val="FootnoteText"/>
      </w:pPr>
      <w:r>
        <w:rPr>
          <w:rStyle w:val="FootnoteReference"/>
        </w:rPr>
        <w:footnoteRef/>
      </w:r>
      <w:r>
        <w:t xml:space="preserve"> Advisory Panel on Judicial Diversity, March 2010:www.judiciary.gov.uk/publications/advisory-panel-recommendations/</w:t>
      </w:r>
      <w:r w:rsidR="008C67B4">
        <w:t xml:space="preserve"> </w:t>
      </w:r>
      <w:r>
        <w:t xml:space="preserve"> </w:t>
      </w:r>
    </w:p>
  </w:footnote>
  <w:footnote w:id="14">
    <w:p w:rsidR="0016168E" w:rsidRDefault="0016168E">
      <w:pPr>
        <w:pStyle w:val="FootnoteText"/>
      </w:pPr>
      <w:r>
        <w:rPr>
          <w:rStyle w:val="FootnoteReference"/>
        </w:rPr>
        <w:footnoteRef/>
      </w:r>
      <w:r>
        <w:t xml:space="preserve"> Judicial Taskforce, Third Annual Report, 2013: www.gov.uk/government/uploads/system/uploads/attachment_data/file/244013/judicial-diversity-taskforce-annual-report-2013.pdf</w:t>
      </w:r>
      <w:r w:rsidR="008C67B4">
        <w:t xml:space="preserve"> </w:t>
      </w:r>
    </w:p>
  </w:footnote>
  <w:footnote w:id="15">
    <w:p w:rsidR="0016168E" w:rsidRDefault="0016168E">
      <w:pPr>
        <w:pStyle w:val="FootnoteText"/>
      </w:pPr>
      <w:r>
        <w:rPr>
          <w:rStyle w:val="FootnoteReference"/>
        </w:rPr>
        <w:footnoteRef/>
      </w:r>
      <w:r>
        <w:t xml:space="preserve"> </w:t>
      </w:r>
      <w:proofErr w:type="gramStart"/>
      <w:r>
        <w:t>Courts and Tribunals Judiciary.</w:t>
      </w:r>
      <w:proofErr w:type="gramEnd"/>
      <w:r>
        <w:t xml:space="preserve"> July 2014. Courts Diversity Statistics: </w:t>
      </w:r>
      <w:r w:rsidRPr="00B83CD8">
        <w:t>www.judiciary.gov.uk/publications/judicial-diversity-statistics-2014/</w:t>
      </w:r>
    </w:p>
  </w:footnote>
  <w:footnote w:id="16">
    <w:p w:rsidR="0016168E" w:rsidRDefault="0016168E">
      <w:pPr>
        <w:pStyle w:val="FootnoteText"/>
      </w:pPr>
      <w:r>
        <w:rPr>
          <w:rStyle w:val="FootnoteReference"/>
        </w:rPr>
        <w:footnoteRef/>
      </w:r>
      <w:r>
        <w:t xml:space="preserve"> </w:t>
      </w:r>
      <w:proofErr w:type="spellStart"/>
      <w:r w:rsidRPr="0043180C">
        <w:t>Bindman</w:t>
      </w:r>
      <w:proofErr w:type="spellEnd"/>
      <w:r w:rsidRPr="0043180C">
        <w:t>, G and Monaghan, K. November 2014. Judicial Diversity: Accelerating Change: https://jac.judiciary.gov.uk/sites/default/files/sync/news/accelerating_change_finalrev.pdf</w:t>
      </w:r>
    </w:p>
  </w:footnote>
  <w:footnote w:id="17">
    <w:p w:rsidR="0016168E" w:rsidRPr="0049677A" w:rsidRDefault="0016168E">
      <w:pPr>
        <w:pStyle w:val="FootnoteText"/>
      </w:pPr>
      <w:r w:rsidRPr="0049677A">
        <w:rPr>
          <w:rStyle w:val="FootnoteReference"/>
        </w:rPr>
        <w:footnoteRef/>
      </w:r>
      <w:r w:rsidRPr="0049677A">
        <w:t xml:space="preserve"> </w:t>
      </w:r>
      <w:proofErr w:type="gramStart"/>
      <w:r w:rsidRPr="0049677A">
        <w:t>Courts and Tribunals Judiciary.</w:t>
      </w:r>
      <w:proofErr w:type="gramEnd"/>
      <w:r w:rsidRPr="0049677A">
        <w:t xml:space="preserve"> July 2014. Courts Diversity Statistics: www.judiciary.gov.uk/publications/judicial-diversity-statistics-2014/</w:t>
      </w:r>
    </w:p>
  </w:footnote>
  <w:footnote w:id="18">
    <w:p w:rsidR="0016168E" w:rsidRPr="0049677A" w:rsidRDefault="0016168E">
      <w:pPr>
        <w:pStyle w:val="FootnoteText"/>
      </w:pPr>
      <w:r w:rsidRPr="0049677A">
        <w:rPr>
          <w:rStyle w:val="FootnoteReference"/>
        </w:rPr>
        <w:footnoteRef/>
      </w:r>
      <w:r w:rsidRPr="0049677A">
        <w:t xml:space="preserve"> </w:t>
      </w:r>
      <w:proofErr w:type="gramStart"/>
      <w:r w:rsidRPr="0049677A">
        <w:t>Courts and Tribunals Judiciary.</w:t>
      </w:r>
      <w:proofErr w:type="gramEnd"/>
      <w:r w:rsidRPr="0049677A">
        <w:t xml:space="preserve"> July 2013. Courts Diversity Statistics: www.judiciary.gov.uk/publications/diversity-statistics-and-general-overview-2013/</w:t>
      </w:r>
    </w:p>
  </w:footnote>
  <w:footnote w:id="19">
    <w:p w:rsidR="0016168E" w:rsidRPr="0049677A" w:rsidRDefault="0016168E">
      <w:pPr>
        <w:pStyle w:val="FootnoteText"/>
      </w:pPr>
      <w:r w:rsidRPr="0049677A">
        <w:rPr>
          <w:rStyle w:val="FootnoteReference"/>
        </w:rPr>
        <w:footnoteRef/>
      </w:r>
      <w:r w:rsidRPr="0049677A">
        <w:t xml:space="preserve"> </w:t>
      </w:r>
      <w:proofErr w:type="gramStart"/>
      <w:r w:rsidRPr="0049677A">
        <w:t>Courts and Tribunals Judiciary.</w:t>
      </w:r>
      <w:proofErr w:type="gramEnd"/>
      <w:r w:rsidRPr="0049677A">
        <w:t xml:space="preserve"> July 2014. Courts Diversity Statistics: www.judiciary.gov.uk/publications/judicial-diversity-statistics-2014/</w:t>
      </w:r>
    </w:p>
  </w:footnote>
  <w:footnote w:id="20">
    <w:p w:rsidR="0016168E" w:rsidRPr="0049677A" w:rsidRDefault="0016168E">
      <w:pPr>
        <w:pStyle w:val="FootnoteText"/>
      </w:pPr>
      <w:r w:rsidRPr="0049677A">
        <w:rPr>
          <w:rStyle w:val="FootnoteReference"/>
        </w:rPr>
        <w:footnoteRef/>
      </w:r>
      <w:r w:rsidRPr="0049677A">
        <w:t xml:space="preserve"> Judicial Appointments Commission, Equal Merit Provision Policy, July 2014: </w:t>
      </w:r>
      <w:hyperlink r:id="rId5" w:history="1">
        <w:r w:rsidRPr="0049677A">
          <w:rPr>
            <w:rStyle w:val="Hyperlink"/>
            <w:color w:val="auto"/>
            <w:u w:val="none"/>
          </w:rPr>
          <w:t>https://jac.judiciary.gov.uk/sites/default/files/sync/basic_page/emp_policy_0.pdf</w:t>
        </w:r>
      </w:hyperlink>
      <w:r w:rsidRPr="0049677A">
        <w:t xml:space="preserve"> </w:t>
      </w:r>
    </w:p>
  </w:footnote>
  <w:footnote w:id="21">
    <w:p w:rsidR="0016168E" w:rsidRPr="0049677A" w:rsidRDefault="0016168E" w:rsidP="00F849EC">
      <w:pPr>
        <w:pStyle w:val="FootnoteText"/>
      </w:pPr>
      <w:r w:rsidRPr="0049677A">
        <w:rPr>
          <w:rStyle w:val="FootnoteReference"/>
        </w:rPr>
        <w:footnoteRef/>
      </w:r>
      <w:r w:rsidRPr="0049677A">
        <w:t xml:space="preserve"> </w:t>
      </w:r>
      <w:proofErr w:type="gramStart"/>
      <w:r w:rsidRPr="0049677A">
        <w:t>JAC.</w:t>
      </w:r>
      <w:proofErr w:type="gramEnd"/>
      <w:r w:rsidRPr="0049677A">
        <w:t xml:space="preserve"> 2015. Response to</w:t>
      </w:r>
      <w:r w:rsidR="008C67B4">
        <w:t xml:space="preserve"> </w:t>
      </w:r>
      <w:r w:rsidRPr="0049677A">
        <w:t>judicial diversity report. https://jac.judiciary.gov.uk/news/jac-publishes-response-judicial-diversity-report</w:t>
      </w:r>
    </w:p>
  </w:footnote>
  <w:footnote w:id="22">
    <w:p w:rsidR="0016168E" w:rsidRPr="0049677A" w:rsidRDefault="0016168E" w:rsidP="00F849EC">
      <w:pPr>
        <w:pStyle w:val="FootnoteText"/>
      </w:pPr>
      <w:r w:rsidRPr="0049677A">
        <w:rPr>
          <w:rStyle w:val="FootnoteReference"/>
        </w:rPr>
        <w:footnoteRef/>
      </w:r>
      <w:r w:rsidRPr="0049677A">
        <w:t xml:space="preserve"> </w:t>
      </w:r>
      <w:proofErr w:type="spellStart"/>
      <w:r w:rsidRPr="0049677A">
        <w:t>Bindman</w:t>
      </w:r>
      <w:proofErr w:type="spellEnd"/>
      <w:r w:rsidRPr="0049677A">
        <w:t>, G and Monaghan, K. November 2014. Judicial Diversity: Accelerating Change: https://jac.judiciary.gov.uk/sites/default/files/sync/news/accelerating_change_finalrev.pdf</w:t>
      </w:r>
    </w:p>
  </w:footnote>
  <w:footnote w:id="23">
    <w:p w:rsidR="0016168E" w:rsidRPr="0043180C" w:rsidRDefault="0016168E" w:rsidP="00F849EC">
      <w:pPr>
        <w:pStyle w:val="FootnoteText"/>
      </w:pPr>
      <w:r w:rsidRPr="0049677A">
        <w:rPr>
          <w:rStyle w:val="FootnoteReference"/>
        </w:rPr>
        <w:footnoteRef/>
      </w:r>
      <w:r w:rsidRPr="0049677A">
        <w:t xml:space="preserve"> </w:t>
      </w:r>
      <w:r w:rsidRPr="0049677A">
        <w:rPr>
          <w:i/>
        </w:rPr>
        <w:t>Ibid.</w:t>
      </w:r>
    </w:p>
  </w:footnote>
  <w:footnote w:id="24">
    <w:p w:rsidR="0016168E" w:rsidRPr="0043180C" w:rsidRDefault="0016168E" w:rsidP="0065074F">
      <w:pPr>
        <w:pStyle w:val="FootnoteText"/>
      </w:pPr>
      <w:r w:rsidRPr="0043180C">
        <w:rPr>
          <w:rStyle w:val="FootnoteReference"/>
        </w:rPr>
        <w:footnoteRef/>
      </w:r>
      <w:r w:rsidRPr="0043180C">
        <w:t xml:space="preserve"> </w:t>
      </w:r>
      <w:proofErr w:type="gramStart"/>
      <w:r w:rsidRPr="0043180C">
        <w:t>JAC.</w:t>
      </w:r>
      <w:proofErr w:type="gramEnd"/>
      <w:r w:rsidRPr="0043180C">
        <w:t xml:space="preserve"> 2015. Response to judicial diversity report. https://jac.judiciary.gov.uk/news/jac-publishes-response-judicial-diversity-report</w:t>
      </w:r>
    </w:p>
  </w:footnote>
  <w:footnote w:id="25">
    <w:p w:rsidR="0016168E" w:rsidRPr="0043180C" w:rsidRDefault="0016168E" w:rsidP="0065074F">
      <w:pPr>
        <w:pStyle w:val="FootnoteText"/>
      </w:pPr>
      <w:r w:rsidRPr="0043180C">
        <w:rPr>
          <w:rStyle w:val="FootnoteReference"/>
          <w:i/>
        </w:rPr>
        <w:footnoteRef/>
      </w:r>
      <w:r w:rsidRPr="0043180C">
        <w:rPr>
          <w:i/>
        </w:rPr>
        <w:t xml:space="preserve"> Ibid.</w:t>
      </w:r>
    </w:p>
  </w:footnote>
  <w:footnote w:id="26">
    <w:p w:rsidR="0016168E" w:rsidRDefault="0016168E">
      <w:pPr>
        <w:pStyle w:val="FootnoteText"/>
      </w:pPr>
      <w:r>
        <w:rPr>
          <w:rStyle w:val="FootnoteReference"/>
        </w:rPr>
        <w:footnoteRef/>
      </w:r>
      <w:r>
        <w:t xml:space="preserve"> House of Lords, Select Committee on the Constitution, 25</w:t>
      </w:r>
      <w:r>
        <w:rPr>
          <w:sz w:val="13"/>
          <w:szCs w:val="13"/>
        </w:rPr>
        <w:t xml:space="preserve">th </w:t>
      </w:r>
      <w:r>
        <w:t>Report of Session 2010-12, Judicial Appointments, HL Paper 272: www.publications.parliament.uk/pa/ld201012/ldselect/ldconst/272/272.pdf</w:t>
      </w:r>
      <w:r w:rsidR="008C67B4">
        <w:t xml:space="preserve"> </w:t>
      </w:r>
    </w:p>
  </w:footnote>
  <w:footnote w:id="27">
    <w:p w:rsidR="0016168E" w:rsidRDefault="0016168E">
      <w:pPr>
        <w:pStyle w:val="FootnoteText"/>
      </w:pPr>
      <w:r>
        <w:rPr>
          <w:rStyle w:val="FootnoteReference"/>
        </w:rPr>
        <w:footnoteRef/>
      </w:r>
      <w:r>
        <w:t xml:space="preserve"> </w:t>
      </w:r>
      <w:proofErr w:type="gramStart"/>
      <w:r>
        <w:t>Courts and Tribunals Judiciary.</w:t>
      </w:r>
      <w:proofErr w:type="gramEnd"/>
      <w:r>
        <w:t xml:space="preserve"> April 2015: </w:t>
      </w:r>
      <w:r w:rsidRPr="00040EB4">
        <w:t>www.judiciary.gov.uk/about-the-judiciary/judges-career-paths/diversity-support-initiative/</w:t>
      </w:r>
    </w:p>
  </w:footnote>
  <w:footnote w:id="28">
    <w:p w:rsidR="0016168E" w:rsidRDefault="0016168E">
      <w:pPr>
        <w:pStyle w:val="FootnoteText"/>
      </w:pPr>
      <w:r>
        <w:rPr>
          <w:rStyle w:val="FootnoteReference"/>
        </w:rPr>
        <w:footnoteRef/>
      </w:r>
      <w:r>
        <w:t xml:space="preserve"> </w:t>
      </w:r>
      <w:r w:rsidRPr="00086F25">
        <w:rPr>
          <w:i/>
        </w:rPr>
        <w:t>Ibid.</w:t>
      </w:r>
    </w:p>
  </w:footnote>
  <w:footnote w:id="29">
    <w:p w:rsidR="0016168E" w:rsidRPr="0049677A" w:rsidRDefault="0016168E" w:rsidP="00F849EC">
      <w:pPr>
        <w:pStyle w:val="FootnoteText"/>
      </w:pPr>
      <w:r w:rsidRPr="0049677A">
        <w:rPr>
          <w:rStyle w:val="FootnoteReference"/>
        </w:rPr>
        <w:footnoteRef/>
      </w:r>
      <w:r w:rsidRPr="0049677A">
        <w:t xml:space="preserve"> This includes: recommendations: Accelerating Change. House of Lords, Select Committee on the Constitution, 25</w:t>
      </w:r>
      <w:r w:rsidRPr="0049677A">
        <w:rPr>
          <w:vertAlign w:val="superscript"/>
        </w:rPr>
        <w:t>th</w:t>
      </w:r>
      <w:r w:rsidRPr="0049677A">
        <w:t xml:space="preserve"> Report of Session 2010-12, Judicial Appointments, HL Paper 272: </w:t>
      </w:r>
      <w:hyperlink r:id="rId6" w:history="1">
        <w:r w:rsidRPr="0049677A">
          <w:rPr>
            <w:rStyle w:val="Hyperlink"/>
            <w:color w:val="auto"/>
            <w:u w:val="none"/>
          </w:rPr>
          <w:t>www.publications.parliament.uk/pa/ld201012/ldselect/ldconst/272/272.pdf</w:t>
        </w:r>
      </w:hyperlink>
      <w:r w:rsidRPr="0049677A">
        <w:t xml:space="preserve"> </w:t>
      </w:r>
    </w:p>
    <w:p w:rsidR="0016168E" w:rsidRPr="0049677A" w:rsidRDefault="0016168E" w:rsidP="00F849EC">
      <w:pPr>
        <w:pStyle w:val="FootnoteText"/>
      </w:pPr>
      <w:r w:rsidRPr="0049677A">
        <w:t xml:space="preserve">Recommendations of the Independent Panel on Judicial Diversity: at: </w:t>
      </w:r>
      <w:hyperlink r:id="rId7" w:history="1">
        <w:r w:rsidRPr="0049677A">
          <w:rPr>
            <w:rStyle w:val="Hyperlink"/>
            <w:color w:val="auto"/>
            <w:u w:val="none"/>
          </w:rPr>
          <w:t>www.judiciary.gov.uk/publications/advisory-panel-recommendations/</w:t>
        </w:r>
      </w:hyperlink>
      <w:r w:rsidR="008C67B4">
        <w:t xml:space="preserve"> </w:t>
      </w:r>
    </w:p>
    <w:p w:rsidR="0016168E" w:rsidRPr="0049677A" w:rsidRDefault="0016168E" w:rsidP="00F849EC">
      <w:pPr>
        <w:pStyle w:val="FootnoteText"/>
      </w:pPr>
      <w:proofErr w:type="spellStart"/>
      <w:r w:rsidRPr="0049677A">
        <w:t>Bindman</w:t>
      </w:r>
      <w:proofErr w:type="spellEnd"/>
      <w:r w:rsidRPr="0049677A">
        <w:t>, G and Monaghan, K. November 2014. Judicial Diversity: https://jac.judiciary.gov.uk/sites/default/files/sync/news/accelerating_change_finalrev.pdf</w:t>
      </w:r>
    </w:p>
  </w:footnote>
  <w:footnote w:id="30">
    <w:p w:rsidR="0016168E" w:rsidRPr="0049677A" w:rsidRDefault="0016168E" w:rsidP="00F849EC">
      <w:pPr>
        <w:pStyle w:val="FootnoteText"/>
      </w:pPr>
      <w:r w:rsidRPr="0049677A">
        <w:rPr>
          <w:rStyle w:val="FootnoteReference"/>
        </w:rPr>
        <w:footnoteRef/>
      </w:r>
      <w:r w:rsidRPr="0049677A">
        <w:t xml:space="preserve"> The recommended date proposed by House of Lords, Select Committee on the Constitution, 25</w:t>
      </w:r>
      <w:r w:rsidRPr="0049677A">
        <w:rPr>
          <w:vertAlign w:val="superscript"/>
        </w:rPr>
        <w:t>th</w:t>
      </w:r>
      <w:r w:rsidRPr="0049677A">
        <w:t xml:space="preserve"> Report of Session 2010-12, Judicial Appointments, HL Paper 272: </w:t>
      </w:r>
      <w:hyperlink r:id="rId8" w:history="1">
        <w:r w:rsidRPr="0049677A">
          <w:rPr>
            <w:rStyle w:val="Hyperlink"/>
            <w:color w:val="auto"/>
            <w:u w:val="none"/>
          </w:rPr>
          <w:t>www.publications.parliament.uk/pa/ld201012/ldselect/ldconst/272/272.pdf</w:t>
        </w:r>
      </w:hyperlink>
      <w:r w:rsidRPr="0049677A">
        <w:t xml:space="preserve"> </w:t>
      </w:r>
    </w:p>
  </w:footnote>
  <w:footnote w:id="31">
    <w:p w:rsidR="0016168E" w:rsidRPr="0049677A" w:rsidRDefault="0016168E" w:rsidP="003F09D9">
      <w:pPr>
        <w:pStyle w:val="FootnoteText"/>
        <w:rPr>
          <w:rFonts w:cs="Arial"/>
        </w:rPr>
      </w:pPr>
      <w:r w:rsidRPr="0049677A">
        <w:rPr>
          <w:rStyle w:val="FootnoteReference"/>
          <w:rFonts w:cs="Arial"/>
        </w:rPr>
        <w:footnoteRef/>
      </w:r>
      <w:r w:rsidRPr="0049677A">
        <w:rPr>
          <w:rFonts w:cs="Arial"/>
        </w:rPr>
        <w:t xml:space="preserve"> </w:t>
      </w:r>
      <w:proofErr w:type="gramStart"/>
      <w:r w:rsidRPr="0049677A">
        <w:rPr>
          <w:rFonts w:cs="Arial"/>
        </w:rPr>
        <w:t>HRC.</w:t>
      </w:r>
      <w:proofErr w:type="gramEnd"/>
      <w:r w:rsidRPr="0049677A">
        <w:rPr>
          <w:rFonts w:cs="Arial"/>
        </w:rPr>
        <w:t xml:space="preserve"> November 2014. List of issues in relation to the seventh periodic report of the</w:t>
      </w:r>
    </w:p>
    <w:p w:rsidR="0016168E" w:rsidRPr="0049677A" w:rsidRDefault="0016168E" w:rsidP="003F09D9">
      <w:pPr>
        <w:pStyle w:val="FootnoteText"/>
        <w:rPr>
          <w:rFonts w:cs="Arial"/>
        </w:rPr>
      </w:pPr>
      <w:r w:rsidRPr="0049677A">
        <w:rPr>
          <w:rFonts w:cs="Arial"/>
        </w:rPr>
        <w:t>United Kingdom of Great Britain and Northern Ireland: www.equalityhumanrights.com/sites/default/files/uploads/documents/humanrights/List%20of%20issues%20Nov%2014.pdf</w:t>
      </w:r>
    </w:p>
  </w:footnote>
  <w:footnote w:id="32">
    <w:p w:rsidR="0016168E" w:rsidRPr="0049677A" w:rsidRDefault="0016168E">
      <w:pPr>
        <w:pStyle w:val="FootnoteText"/>
      </w:pPr>
      <w:r w:rsidRPr="0049677A">
        <w:rPr>
          <w:rStyle w:val="FootnoteReference"/>
        </w:rPr>
        <w:footnoteRef/>
      </w:r>
      <w:r w:rsidRPr="0049677A">
        <w:t xml:space="preserve"> </w:t>
      </w:r>
      <w:proofErr w:type="gramStart"/>
      <w:r w:rsidRPr="0049677A">
        <w:rPr>
          <w:rFonts w:cs="Arial"/>
        </w:rPr>
        <w:t>EHRC.</w:t>
      </w:r>
      <w:proofErr w:type="gramEnd"/>
      <w:r w:rsidRPr="0049677A">
        <w:rPr>
          <w:rFonts w:cs="Arial"/>
        </w:rPr>
        <w:t xml:space="preserve"> July 2014. Submission to the United Nations Human Rights Committee Pre-Sessional Working Group on the United Kingdom’s Implementation of the International Covenant on Civil and Political Rights. P.4: www.equalityhumanrights.com/sites/default/files/uploads/documents/humanrights/EHRC%20Submission%20to%20UN%20Human%20Rights%20Committee%20Pre-Sessional%20Working%20Group%20on%20UK%20Implementation%20of%20the%20International%20Covenant%20on%20Civil%20and%20Political%20Rights.pdf </w:t>
      </w:r>
    </w:p>
  </w:footnote>
  <w:footnote w:id="33">
    <w:p w:rsidR="0016168E" w:rsidRPr="0049677A" w:rsidRDefault="0016168E" w:rsidP="00ED04CF">
      <w:pPr>
        <w:pStyle w:val="FootnoteText"/>
        <w:rPr>
          <w:rFonts w:cs="Arial"/>
        </w:rPr>
      </w:pPr>
      <w:r w:rsidRPr="0049677A">
        <w:rPr>
          <w:rStyle w:val="FootnoteReference"/>
          <w:rFonts w:cs="Arial"/>
        </w:rPr>
        <w:footnoteRef/>
      </w:r>
      <w:r w:rsidRPr="0049677A">
        <w:rPr>
          <w:rFonts w:cs="Arial"/>
        </w:rPr>
        <w:t xml:space="preserve"> </w:t>
      </w:r>
      <w:r w:rsidRPr="0049677A">
        <w:rPr>
          <w:rFonts w:cs="Arial"/>
          <w:bCs/>
        </w:rPr>
        <w:t>R (</w:t>
      </w:r>
      <w:proofErr w:type="spellStart"/>
      <w:r w:rsidRPr="0049677A">
        <w:rPr>
          <w:rFonts w:cs="Arial"/>
          <w:bCs/>
        </w:rPr>
        <w:t>Gudanaviciene</w:t>
      </w:r>
      <w:proofErr w:type="spellEnd"/>
      <w:r w:rsidRPr="0049677A">
        <w:rPr>
          <w:rFonts w:cs="Arial"/>
          <w:bCs/>
        </w:rPr>
        <w:t xml:space="preserve"> &amp; </w:t>
      </w:r>
      <w:proofErr w:type="spellStart"/>
      <w:r w:rsidRPr="0049677A">
        <w:rPr>
          <w:rFonts w:cs="Arial"/>
          <w:bCs/>
        </w:rPr>
        <w:t>Ors</w:t>
      </w:r>
      <w:proofErr w:type="spellEnd"/>
      <w:r w:rsidRPr="0049677A">
        <w:rPr>
          <w:rFonts w:cs="Arial"/>
          <w:bCs/>
        </w:rPr>
        <w:t xml:space="preserve">) v the Director of Legal Aid Casework &amp; the Lord Chancellor (British Red Cross Society intervening) [2014] EWCA </w:t>
      </w:r>
      <w:proofErr w:type="spellStart"/>
      <w:r w:rsidRPr="0049677A">
        <w:rPr>
          <w:rFonts w:cs="Arial"/>
          <w:bCs/>
        </w:rPr>
        <w:t>Civ</w:t>
      </w:r>
      <w:proofErr w:type="spellEnd"/>
      <w:r w:rsidRPr="0049677A">
        <w:rPr>
          <w:rFonts w:cs="Arial"/>
          <w:bCs/>
        </w:rPr>
        <w:t xml:space="preserve"> 1622</w:t>
      </w:r>
    </w:p>
  </w:footnote>
  <w:footnote w:id="34">
    <w:p w:rsidR="0016168E" w:rsidRPr="0049677A" w:rsidRDefault="0016168E" w:rsidP="00C4490E">
      <w:pPr>
        <w:pStyle w:val="FootnoteText"/>
      </w:pPr>
      <w:r w:rsidRPr="0049677A">
        <w:rPr>
          <w:rStyle w:val="FootnoteReference"/>
        </w:rPr>
        <w:footnoteRef/>
      </w:r>
      <w:r w:rsidRPr="0049677A">
        <w:t xml:space="preserve"> Ministry of Justice, Lord Chancellor’s Guidance on exceptional funding (inquests), June 2014: </w:t>
      </w:r>
      <w:hyperlink r:id="rId9" w:history="1">
        <w:r w:rsidRPr="0049677A">
          <w:rPr>
            <w:rStyle w:val="Hyperlink"/>
            <w:color w:val="auto"/>
            <w:u w:val="none"/>
          </w:rPr>
          <w:t>www.gov.uk/government/uploads/system/uploads/attachment_data/file/332857/legal-aid-chancellors-guide-exceptional-funding-inquests.pdf</w:t>
        </w:r>
      </w:hyperlink>
      <w:r w:rsidRPr="0049677A">
        <w:t xml:space="preserve"> </w:t>
      </w:r>
    </w:p>
  </w:footnote>
  <w:footnote w:id="35">
    <w:p w:rsidR="0016168E" w:rsidRPr="0043180C" w:rsidRDefault="0016168E" w:rsidP="00ED04CF">
      <w:pPr>
        <w:pStyle w:val="Default"/>
        <w:rPr>
          <w:rFonts w:ascii="Arial" w:hAnsi="Arial" w:cs="Arial"/>
          <w:color w:val="auto"/>
          <w:sz w:val="20"/>
          <w:szCs w:val="20"/>
        </w:rPr>
      </w:pPr>
      <w:r w:rsidRPr="0049677A">
        <w:rPr>
          <w:rStyle w:val="FootnoteReference"/>
          <w:rFonts w:ascii="Arial" w:hAnsi="Arial" w:cs="Arial"/>
          <w:color w:val="auto"/>
          <w:sz w:val="20"/>
          <w:szCs w:val="20"/>
        </w:rPr>
        <w:footnoteRef/>
      </w:r>
      <w:r w:rsidRPr="0049677A">
        <w:rPr>
          <w:rFonts w:ascii="Arial" w:hAnsi="Arial" w:cs="Arial"/>
          <w:color w:val="auto"/>
          <w:sz w:val="20"/>
          <w:szCs w:val="20"/>
        </w:rPr>
        <w:t xml:space="preserve"> R (Letts) v Lord Chancellor</w:t>
      </w:r>
      <w:r w:rsidR="008C67B4">
        <w:rPr>
          <w:rFonts w:ascii="Arial" w:hAnsi="Arial" w:cs="Arial"/>
          <w:color w:val="auto"/>
          <w:sz w:val="20"/>
          <w:szCs w:val="20"/>
        </w:rPr>
        <w:t xml:space="preserve"> </w:t>
      </w:r>
      <w:r w:rsidRPr="0049677A">
        <w:rPr>
          <w:rFonts w:ascii="Arial" w:hAnsi="Arial" w:cs="Arial"/>
          <w:color w:val="auto"/>
          <w:sz w:val="20"/>
          <w:szCs w:val="20"/>
        </w:rPr>
        <w:t>[2015] EWHC 402 (Admin), Equality and Human Rights Commission intervening</w:t>
      </w:r>
    </w:p>
  </w:footnote>
  <w:footnote w:id="36">
    <w:p w:rsidR="0016168E" w:rsidRPr="0049677A" w:rsidRDefault="0016168E" w:rsidP="00ED04CF">
      <w:pPr>
        <w:pStyle w:val="FootnoteText"/>
        <w:rPr>
          <w:rFonts w:cs="Arial"/>
        </w:rPr>
      </w:pPr>
      <w:r w:rsidRPr="0049677A">
        <w:rPr>
          <w:rStyle w:val="FootnoteReference"/>
          <w:rFonts w:cs="Arial"/>
        </w:rPr>
        <w:footnoteRef/>
      </w:r>
      <w:r w:rsidRPr="0049677A">
        <w:rPr>
          <w:rFonts w:cs="Arial"/>
        </w:rPr>
        <w:t xml:space="preserve"> </w:t>
      </w:r>
      <w:proofErr w:type="gramStart"/>
      <w:r w:rsidRPr="0049677A">
        <w:rPr>
          <w:rFonts w:cs="Arial"/>
        </w:rPr>
        <w:t>Low Commission.</w:t>
      </w:r>
      <w:proofErr w:type="gramEnd"/>
      <w:r w:rsidRPr="0049677A">
        <w:rPr>
          <w:rFonts w:cs="Arial"/>
        </w:rPr>
        <w:t xml:space="preserve"> March 2015. Getting it right in social welfare law: www.lowcommission.org.uk/dyn/1425469623929/Low-Commission-Report-Text-Proof-207050-.pdf</w:t>
      </w:r>
    </w:p>
  </w:footnote>
  <w:footnote w:id="37">
    <w:p w:rsidR="0016168E" w:rsidRPr="0049677A" w:rsidRDefault="0016168E">
      <w:pPr>
        <w:pStyle w:val="FootnoteText"/>
        <w:rPr>
          <w:rFonts w:cs="Arial"/>
        </w:rPr>
      </w:pPr>
      <w:r w:rsidRPr="0049677A">
        <w:rPr>
          <w:rStyle w:val="FootnoteReference"/>
          <w:rFonts w:cs="Arial"/>
        </w:rPr>
        <w:footnoteRef/>
      </w:r>
      <w:r w:rsidR="008C67B4">
        <w:rPr>
          <w:rFonts w:cs="Arial"/>
        </w:rPr>
        <w:t xml:space="preserve"> </w:t>
      </w:r>
      <w:r w:rsidRPr="0049677A">
        <w:rPr>
          <w:rFonts w:cs="Arial"/>
        </w:rPr>
        <w:t>www.lawcentres.org.uk/policy/news/news/financial-pressures-force-south-manchester-law-centre-to-close</w:t>
      </w:r>
    </w:p>
  </w:footnote>
  <w:footnote w:id="38">
    <w:p w:rsidR="0016168E" w:rsidRPr="0049677A" w:rsidRDefault="0016168E" w:rsidP="00ED04CF">
      <w:pPr>
        <w:pStyle w:val="FootnoteText"/>
        <w:rPr>
          <w:rFonts w:cs="Arial"/>
        </w:rPr>
      </w:pPr>
      <w:r w:rsidRPr="0049677A">
        <w:rPr>
          <w:rStyle w:val="FootnoteReference"/>
          <w:rFonts w:cs="Arial"/>
        </w:rPr>
        <w:footnoteRef/>
      </w:r>
      <w:r w:rsidRPr="0049677A">
        <w:rPr>
          <w:rFonts w:cs="Arial"/>
        </w:rPr>
        <w:t xml:space="preserve"> </w:t>
      </w:r>
      <w:hyperlink r:id="rId10" w:history="1">
        <w:r w:rsidRPr="0049677A">
          <w:rPr>
            <w:rStyle w:val="Hyperlink"/>
            <w:rFonts w:cs="Arial"/>
            <w:color w:val="auto"/>
            <w:u w:val="none"/>
          </w:rPr>
          <w:t>www.gov.uk/government/publications/civil-legal-advice-mandatory-gateway-research-findings</w:t>
        </w:r>
      </w:hyperlink>
      <w:r w:rsidRPr="0049677A">
        <w:rPr>
          <w:rFonts w:cs="Arial"/>
        </w:rPr>
        <w:t>. The mandatory gateway has been introduced, initially, for advice on debt, discrimination and special educational needs</w:t>
      </w:r>
    </w:p>
  </w:footnote>
  <w:footnote w:id="39">
    <w:p w:rsidR="0016168E" w:rsidRPr="0049677A" w:rsidRDefault="0016168E" w:rsidP="00ED04CF">
      <w:pPr>
        <w:pStyle w:val="FootnoteText"/>
        <w:rPr>
          <w:rFonts w:cs="Arial"/>
        </w:rPr>
      </w:pPr>
      <w:r w:rsidRPr="0049677A">
        <w:rPr>
          <w:rStyle w:val="FootnoteReference"/>
          <w:rFonts w:cs="Arial"/>
        </w:rPr>
        <w:footnoteRef/>
      </w:r>
      <w:r w:rsidRPr="0049677A">
        <w:rPr>
          <w:rFonts w:cs="Arial"/>
        </w:rPr>
        <w:t xml:space="preserve"> This finding should be considered alongside the recorded drop in Employment Tribunal claims following the introduction of fees in July 2013. Compared to 2012/13, the number of claims dropped by 45 per cent in 2013/14.</w:t>
      </w:r>
      <w:r w:rsidR="008C67B4">
        <w:rPr>
          <w:rFonts w:cs="Arial"/>
        </w:rPr>
        <w:t xml:space="preserve"> </w:t>
      </w:r>
      <w:r w:rsidRPr="0049677A">
        <w:rPr>
          <w:rFonts w:cs="Arial"/>
        </w:rPr>
        <w:t>Race discrimination claims fell by 59 per cent and sex discrimination claims by 81 per cent. A victim of workplace discrimination must now pay a total of £950 to bring a claim to a hearing.</w:t>
      </w:r>
    </w:p>
  </w:footnote>
  <w:footnote w:id="40">
    <w:p w:rsidR="0016168E" w:rsidRPr="0049677A" w:rsidRDefault="0016168E" w:rsidP="00BF618A">
      <w:pPr>
        <w:pStyle w:val="FootnoteText"/>
        <w:rPr>
          <w:rFonts w:cs="Arial"/>
        </w:rPr>
      </w:pPr>
      <w:r w:rsidRPr="0049677A">
        <w:rPr>
          <w:rStyle w:val="FootnoteReference"/>
          <w:rFonts w:cs="Arial"/>
        </w:rPr>
        <w:footnoteRef/>
      </w:r>
      <w:r w:rsidRPr="0049677A">
        <w:rPr>
          <w:rFonts w:cs="Arial"/>
        </w:rPr>
        <w:t xml:space="preserve"> Public Law Project, Keys to the gateway: an independent review of the mandatory civil legal advice gateway, March 2015.</w:t>
      </w:r>
    </w:p>
  </w:footnote>
  <w:footnote w:id="41">
    <w:p w:rsidR="0016168E" w:rsidRPr="0043180C" w:rsidRDefault="0016168E" w:rsidP="00ED04CF">
      <w:pPr>
        <w:pStyle w:val="FootnoteText"/>
        <w:rPr>
          <w:rFonts w:cs="Arial"/>
        </w:rPr>
      </w:pPr>
      <w:r w:rsidRPr="0049677A">
        <w:rPr>
          <w:rStyle w:val="FootnoteReference"/>
          <w:rFonts w:cs="Arial"/>
        </w:rPr>
        <w:footnoteRef/>
      </w:r>
      <w:r w:rsidRPr="0049677A">
        <w:rPr>
          <w:rFonts w:cs="Arial"/>
        </w:rPr>
        <w:t xml:space="preserve"> National Audit Office, Implementing reforms to civil legal aid, HC 784 Session 2014-15 November 2014: </w:t>
      </w:r>
      <w:hyperlink r:id="rId11" w:history="1">
        <w:r w:rsidRPr="0049677A">
          <w:rPr>
            <w:rStyle w:val="Hyperlink"/>
            <w:rFonts w:cs="Arial"/>
            <w:color w:val="auto"/>
            <w:u w:val="none"/>
          </w:rPr>
          <w:t>www.nao.org.uk/report/implementing-reforms-to-civil-legal-aid/</w:t>
        </w:r>
      </w:hyperlink>
      <w:r w:rsidRPr="0049677A">
        <w:rPr>
          <w:rFonts w:cs="Arial"/>
        </w:rPr>
        <w:t xml:space="preserve"> </w:t>
      </w:r>
    </w:p>
  </w:footnote>
  <w:footnote w:id="42">
    <w:p w:rsidR="0016168E" w:rsidRPr="0049677A" w:rsidRDefault="0016168E" w:rsidP="00ED04CF">
      <w:pPr>
        <w:pStyle w:val="FootnoteText"/>
        <w:rPr>
          <w:rFonts w:cs="Arial"/>
        </w:rPr>
      </w:pPr>
      <w:r w:rsidRPr="0049677A">
        <w:rPr>
          <w:rStyle w:val="FootnoteReference"/>
          <w:rFonts w:cs="Arial"/>
        </w:rPr>
        <w:footnoteRef/>
      </w:r>
      <w:r w:rsidRPr="0049677A">
        <w:rPr>
          <w:rFonts w:cs="Arial"/>
        </w:rPr>
        <w:t xml:space="preserve"> The NAO records a decrease of 56 per cent in family mediation assessments in 2013-14</w:t>
      </w:r>
    </w:p>
  </w:footnote>
  <w:footnote w:id="43">
    <w:p w:rsidR="0016168E" w:rsidRPr="0049677A" w:rsidRDefault="0016168E" w:rsidP="00ED04CF">
      <w:pPr>
        <w:pStyle w:val="FootnoteText"/>
        <w:rPr>
          <w:rFonts w:cs="Arial"/>
        </w:rPr>
      </w:pPr>
      <w:r w:rsidRPr="0049677A">
        <w:rPr>
          <w:rStyle w:val="FootnoteReference"/>
          <w:rFonts w:cs="Arial"/>
        </w:rPr>
        <w:footnoteRef/>
      </w:r>
      <w:r w:rsidRPr="0049677A">
        <w:rPr>
          <w:rFonts w:cs="Arial"/>
        </w:rPr>
        <w:t xml:space="preserve"> The NAO identified a 30 per cent increase in the number of cases starting in the family courts in 2013-14 in which neither party had legal representation</w:t>
      </w:r>
    </w:p>
  </w:footnote>
  <w:footnote w:id="44">
    <w:p w:rsidR="0016168E" w:rsidRPr="0049677A" w:rsidRDefault="0016168E" w:rsidP="001819E2">
      <w:pPr>
        <w:pStyle w:val="FootnoteText"/>
        <w:rPr>
          <w:rFonts w:cs="Arial"/>
        </w:rPr>
      </w:pPr>
      <w:r w:rsidRPr="0049677A">
        <w:rPr>
          <w:rStyle w:val="FootnoteReference"/>
          <w:rFonts w:cs="Arial"/>
        </w:rPr>
        <w:footnoteRef/>
      </w:r>
      <w:r w:rsidRPr="0049677A">
        <w:rPr>
          <w:rFonts w:cs="Arial"/>
        </w:rPr>
        <w:t xml:space="preserve"> Public Accounts Committee, Thirty-Sixth Report, session 2014/2015: Implementing reforms to civil legal aid: </w:t>
      </w:r>
      <w:hyperlink r:id="rId12" w:history="1">
        <w:r w:rsidRPr="0049677A">
          <w:rPr>
            <w:rStyle w:val="Hyperlink"/>
            <w:rFonts w:cs="Arial"/>
            <w:color w:val="auto"/>
            <w:u w:val="none"/>
          </w:rPr>
          <w:t>www.publications.parliament.uk/pa/cm201415/cmselect/cmpubacc/808/80802.htm</w:t>
        </w:r>
      </w:hyperlink>
      <w:r w:rsidRPr="0049677A">
        <w:rPr>
          <w:rFonts w:cs="Arial"/>
        </w:rPr>
        <w:t xml:space="preserve"> </w:t>
      </w:r>
    </w:p>
  </w:footnote>
  <w:footnote w:id="45">
    <w:p w:rsidR="0016168E" w:rsidRPr="0049677A" w:rsidRDefault="0016168E" w:rsidP="00ED04CF">
      <w:pPr>
        <w:pStyle w:val="FootnoteText"/>
        <w:rPr>
          <w:rFonts w:cs="Arial"/>
        </w:rPr>
      </w:pPr>
      <w:r w:rsidRPr="0049677A">
        <w:rPr>
          <w:rStyle w:val="FootnoteReference"/>
          <w:rFonts w:cs="Arial"/>
        </w:rPr>
        <w:footnoteRef/>
      </w:r>
      <w:r w:rsidRPr="0049677A">
        <w:rPr>
          <w:rFonts w:cs="Arial"/>
        </w:rPr>
        <w:t xml:space="preserve"> Criminal Justice and Courts Act 2015: www.legislation.gov.uk/ukpga/2015/2/contents/enacted</w:t>
      </w:r>
    </w:p>
  </w:footnote>
  <w:footnote w:id="46">
    <w:p w:rsidR="0016168E" w:rsidRPr="0043180C" w:rsidRDefault="0016168E" w:rsidP="00ED04CF">
      <w:pPr>
        <w:pStyle w:val="FootnoteText"/>
        <w:rPr>
          <w:rFonts w:cs="Arial"/>
        </w:rPr>
      </w:pPr>
      <w:r w:rsidRPr="0049677A">
        <w:rPr>
          <w:rStyle w:val="FootnoteReference"/>
          <w:rFonts w:cs="Arial"/>
        </w:rPr>
        <w:footnoteRef/>
      </w:r>
      <w:r w:rsidRPr="0049677A">
        <w:rPr>
          <w:rFonts w:cs="Arial"/>
        </w:rPr>
        <w:t xml:space="preserve"> Similar provisions apply to the Upper Tribunal</w:t>
      </w:r>
    </w:p>
  </w:footnote>
  <w:footnote w:id="47">
    <w:p w:rsidR="0016168E" w:rsidRPr="0043180C" w:rsidRDefault="0016168E" w:rsidP="00ED04CF">
      <w:pPr>
        <w:pStyle w:val="FootnoteText"/>
        <w:rPr>
          <w:rFonts w:cs="Arial"/>
        </w:rPr>
      </w:pPr>
      <w:r w:rsidRPr="0043180C">
        <w:rPr>
          <w:rStyle w:val="FootnoteReference"/>
          <w:rFonts w:cs="Arial"/>
        </w:rPr>
        <w:footnoteRef/>
      </w:r>
      <w:r w:rsidRPr="0043180C">
        <w:rPr>
          <w:rFonts w:cs="Arial"/>
        </w:rPr>
        <w:t xml:space="preserve"> This may constrain the EHRC’s use of its statutory power to apply to intervene to assist the court in cases involving equality and human rights issues – see footnote 2 above, for example</w:t>
      </w:r>
    </w:p>
  </w:footnote>
  <w:footnote w:id="48">
    <w:p w:rsidR="0016168E" w:rsidRDefault="0016168E">
      <w:pPr>
        <w:pStyle w:val="FootnoteText"/>
      </w:pPr>
      <w:r>
        <w:rPr>
          <w:rStyle w:val="FootnoteReference"/>
        </w:rPr>
        <w:footnoteRef/>
      </w:r>
      <w:r>
        <w:t xml:space="preserve"> </w:t>
      </w:r>
      <w:proofErr w:type="gramStart"/>
      <w:r w:rsidRPr="0043180C">
        <w:rPr>
          <w:rFonts w:cs="Arial"/>
        </w:rPr>
        <w:t>EHRC.</w:t>
      </w:r>
      <w:proofErr w:type="gramEnd"/>
      <w:r w:rsidRPr="0043180C">
        <w:rPr>
          <w:rFonts w:cs="Arial"/>
        </w:rPr>
        <w:t xml:space="preserve"> July 2014. Submission to the United Nations Human Rights Committee Pre-Sessional Working Group on the United Kingdom’s Implementation of the International Covenant on Civil and Political Rights</w:t>
      </w:r>
      <w:r>
        <w:rPr>
          <w:rFonts w:cs="Arial"/>
        </w:rPr>
        <w:t xml:space="preserve">. P. 6 </w:t>
      </w:r>
      <w:r w:rsidRPr="0043180C">
        <w:rPr>
          <w:rFonts w:cs="Arial"/>
        </w:rPr>
        <w:t xml:space="preserve">: </w:t>
      </w:r>
      <w:r w:rsidRPr="005452B1">
        <w:rPr>
          <w:rFonts w:cs="Arial"/>
        </w:rPr>
        <w:t>www.equalityhumanrights.com/sites/default/files/uploads/documents/humanrights/EHRC%20Submission%20to%20UN%20Human%20Rights%20Committee%20Pre-Sessional%20Working%20Group%20on%20UK%20Implementation%20of%20the%20International%20Covenant%20on%20Civil%20and%20Political%20Rights.pdf</w:t>
      </w:r>
    </w:p>
  </w:footnote>
  <w:footnote w:id="49">
    <w:p w:rsidR="0016168E" w:rsidRPr="0043180C" w:rsidRDefault="0016168E" w:rsidP="00ED04CF">
      <w:pPr>
        <w:pStyle w:val="FootnoteText"/>
        <w:rPr>
          <w:rFonts w:cs="Arial"/>
        </w:rPr>
      </w:pPr>
      <w:r w:rsidRPr="0043180C">
        <w:rPr>
          <w:rStyle w:val="FootnoteReference"/>
          <w:rFonts w:cs="Arial"/>
        </w:rPr>
        <w:footnoteRef/>
      </w:r>
      <w:r w:rsidRPr="0043180C">
        <w:rPr>
          <w:rFonts w:cs="Arial"/>
        </w:rPr>
        <w:t xml:space="preserve"> The Civil Legal Aid (Remuneration) (Amendment) No.3) Regulations 2014: </w:t>
      </w:r>
      <w:hyperlink r:id="rId13" w:history="1">
        <w:r w:rsidRPr="0049677A">
          <w:rPr>
            <w:rStyle w:val="Hyperlink"/>
            <w:rFonts w:cs="Arial"/>
            <w:color w:val="auto"/>
            <w:u w:val="none"/>
          </w:rPr>
          <w:t>www.legislation.gov.uk/uksi/2014/607/contents/made</w:t>
        </w:r>
      </w:hyperlink>
    </w:p>
  </w:footnote>
  <w:footnote w:id="50">
    <w:p w:rsidR="0016168E" w:rsidRPr="0043180C" w:rsidRDefault="0016168E" w:rsidP="00ED04CF">
      <w:pPr>
        <w:pStyle w:val="FootnoteText"/>
        <w:rPr>
          <w:rFonts w:cs="Arial"/>
        </w:rPr>
      </w:pPr>
      <w:r w:rsidRPr="0043180C">
        <w:rPr>
          <w:rStyle w:val="FootnoteReference"/>
          <w:rFonts w:cs="Arial"/>
        </w:rPr>
        <w:footnoteRef/>
      </w:r>
      <w:r w:rsidRPr="0043180C">
        <w:rPr>
          <w:rFonts w:cs="Arial"/>
        </w:rPr>
        <w:t xml:space="preserve"> R (Ben Hoare Bell and others) v Lord Chancellor</w:t>
      </w:r>
      <w:r w:rsidRPr="0043180C">
        <w:rPr>
          <w:rFonts w:cs="Arial"/>
          <w:bCs/>
        </w:rPr>
        <w:t xml:space="preserve"> [2015] EWHC 523 (Admin)</w:t>
      </w:r>
    </w:p>
  </w:footnote>
  <w:footnote w:id="51">
    <w:p w:rsidR="0016168E" w:rsidRPr="0043180C" w:rsidRDefault="0016168E" w:rsidP="003F09D9">
      <w:pPr>
        <w:pStyle w:val="FootnoteText"/>
        <w:rPr>
          <w:rFonts w:cs="Arial"/>
        </w:rPr>
      </w:pPr>
      <w:r w:rsidRPr="0043180C">
        <w:rPr>
          <w:rStyle w:val="FootnoteReference"/>
          <w:rFonts w:cs="Arial"/>
        </w:rPr>
        <w:footnoteRef/>
      </w:r>
      <w:r w:rsidRPr="0043180C">
        <w:rPr>
          <w:rFonts w:cs="Arial"/>
        </w:rPr>
        <w:t xml:space="preserve"> </w:t>
      </w:r>
      <w:proofErr w:type="gramStart"/>
      <w:r w:rsidRPr="0043180C">
        <w:rPr>
          <w:rFonts w:cs="Arial"/>
        </w:rPr>
        <w:t>HRC.</w:t>
      </w:r>
      <w:proofErr w:type="gramEnd"/>
      <w:r w:rsidRPr="0043180C">
        <w:rPr>
          <w:rFonts w:cs="Arial"/>
        </w:rPr>
        <w:t xml:space="preserve"> November 2014. List of issues in relation to the seventh periodic report of the</w:t>
      </w:r>
    </w:p>
    <w:p w:rsidR="0016168E" w:rsidRPr="0043180C" w:rsidRDefault="0016168E" w:rsidP="003F09D9">
      <w:pPr>
        <w:pStyle w:val="FootnoteText"/>
        <w:rPr>
          <w:rFonts w:cs="Arial"/>
        </w:rPr>
      </w:pPr>
      <w:r w:rsidRPr="0043180C">
        <w:rPr>
          <w:rFonts w:cs="Arial"/>
        </w:rPr>
        <w:t>United Kingdom of Great Britain and Northern Ireland: www.equalityhumanrights.com/sites/default/files/uploads/documents/humanrights/List%20of%20issues%20Nov%2014.pdf</w:t>
      </w:r>
    </w:p>
  </w:footnote>
  <w:footnote w:id="52">
    <w:p w:rsidR="0016168E" w:rsidRPr="0043180C" w:rsidRDefault="0016168E" w:rsidP="003F1473">
      <w:pPr>
        <w:pStyle w:val="FootnoteText"/>
        <w:rPr>
          <w:rFonts w:cs="Arial"/>
        </w:rPr>
      </w:pPr>
      <w:r w:rsidRPr="0043180C">
        <w:rPr>
          <w:rStyle w:val="FootnoteReference"/>
          <w:rFonts w:cs="Arial"/>
        </w:rPr>
        <w:footnoteRef/>
      </w:r>
      <w:r w:rsidRPr="0043180C">
        <w:rPr>
          <w:rFonts w:cs="Arial"/>
        </w:rPr>
        <w:t xml:space="preserve"> The full briefing is at www.equalityhumanrights.com/legal-and-policy/our-legal-work/parliamentary-briefings/counter-terrorism-bill-house-lords-second-reading-january-2015 </w:t>
      </w:r>
    </w:p>
  </w:footnote>
  <w:footnote w:id="53">
    <w:p w:rsidR="0016168E" w:rsidRDefault="0016168E">
      <w:pPr>
        <w:pStyle w:val="FootnoteText"/>
      </w:pPr>
      <w:r>
        <w:rPr>
          <w:rStyle w:val="FootnoteReference"/>
        </w:rPr>
        <w:footnoteRef/>
      </w:r>
      <w:r>
        <w:t xml:space="preserve"> </w:t>
      </w:r>
      <w:r w:rsidRPr="002378C6">
        <w:t>No one shall be arbitrarily deprived of the</w:t>
      </w:r>
      <w:r>
        <w:t xml:space="preserve"> right to enter his own country: </w:t>
      </w:r>
      <w:r w:rsidRPr="002378C6">
        <w:t>www.ohchr.org/EN/ProfessionalInterest/Pages/CCPR.aspx</w:t>
      </w:r>
    </w:p>
  </w:footnote>
  <w:footnote w:id="54">
    <w:p w:rsidR="0016168E" w:rsidRPr="0049677A" w:rsidRDefault="0016168E" w:rsidP="003F1473">
      <w:pPr>
        <w:pStyle w:val="FootnoteText"/>
        <w:rPr>
          <w:rFonts w:cs="Arial"/>
        </w:rPr>
      </w:pPr>
      <w:r w:rsidRPr="0049677A">
        <w:rPr>
          <w:rStyle w:val="FootnoteReference"/>
          <w:rFonts w:cs="Arial"/>
        </w:rPr>
        <w:footnoteRef/>
      </w:r>
      <w:r w:rsidRPr="0049677A">
        <w:rPr>
          <w:rFonts w:cs="Arial"/>
        </w:rPr>
        <w:t xml:space="preserve"> </w:t>
      </w:r>
      <w:proofErr w:type="gramStart"/>
      <w:r w:rsidRPr="0049677A">
        <w:rPr>
          <w:rFonts w:cs="Arial"/>
        </w:rPr>
        <w:t>EHRC.</w:t>
      </w:r>
      <w:proofErr w:type="gramEnd"/>
      <w:r w:rsidRPr="0049677A">
        <w:rPr>
          <w:rFonts w:cs="Arial"/>
        </w:rPr>
        <w:t xml:space="preserve"> July 2014: Submission to the United Nations Human Rights Committee Pre-Sessional Working Group on the United Kingdom’s Implementation of the International Covenant on Civil and Political Rights.P.8: www.equalityhumanrights.com/sites/default/files/uploads/documents/humanrights/EHRC%20Submission%20to%20UN%20Human%20Rights%20Committee%20Pre-Sessional%20Working%20Group%20on%20UK%20Implementation%20of%20the%20International%20Covenant%20on%20Civil%20and%20Political%20Rights.pdf</w:t>
      </w:r>
    </w:p>
  </w:footnote>
  <w:footnote w:id="55">
    <w:p w:rsidR="0016168E" w:rsidRPr="0049677A" w:rsidRDefault="0016168E" w:rsidP="003F1473">
      <w:pPr>
        <w:pStyle w:val="FootnoteText"/>
        <w:rPr>
          <w:rFonts w:cs="Arial"/>
        </w:rPr>
      </w:pPr>
      <w:r w:rsidRPr="0049677A">
        <w:rPr>
          <w:rStyle w:val="FootnoteReference"/>
          <w:rFonts w:cs="Arial"/>
        </w:rPr>
        <w:footnoteRef/>
      </w:r>
      <w:r w:rsidRPr="0049677A">
        <w:rPr>
          <w:rFonts w:cs="Arial"/>
        </w:rPr>
        <w:t xml:space="preserve"> Protection of Freedoms Act 2012, part 4, section 57: </w:t>
      </w:r>
      <w:hyperlink r:id="rId14" w:history="1">
        <w:r w:rsidRPr="0049677A">
          <w:rPr>
            <w:rStyle w:val="Hyperlink"/>
            <w:rFonts w:cs="Arial"/>
            <w:color w:val="auto"/>
            <w:u w:val="none"/>
          </w:rPr>
          <w:t>www.legislation.gov.uk/ukpga/2012/9/contents/enacted</w:t>
        </w:r>
      </w:hyperlink>
      <w:r w:rsidRPr="0049677A">
        <w:rPr>
          <w:rFonts w:cs="Arial"/>
        </w:rPr>
        <w:t xml:space="preserve"> </w:t>
      </w:r>
    </w:p>
  </w:footnote>
  <w:footnote w:id="56">
    <w:p w:rsidR="0016168E" w:rsidRPr="0049677A" w:rsidRDefault="0016168E" w:rsidP="003F1473">
      <w:pPr>
        <w:pStyle w:val="FootnoteText"/>
        <w:rPr>
          <w:rFonts w:cs="Arial"/>
        </w:rPr>
      </w:pPr>
      <w:r w:rsidRPr="0049677A">
        <w:rPr>
          <w:rStyle w:val="FootnoteReference"/>
          <w:rFonts w:cs="Arial"/>
        </w:rPr>
        <w:footnoteRef/>
      </w:r>
      <w:r w:rsidRPr="0049677A">
        <w:rPr>
          <w:rFonts w:cs="Arial"/>
        </w:rPr>
        <w:t xml:space="preserve"> Concluding Observations of the Human Rights Committee for the United Kingdom of Great Britain and Northern Ireland, 30 July 2008, paragraph 15: </w:t>
      </w:r>
      <w:hyperlink r:id="rId15" w:history="1">
        <w:r w:rsidRPr="0049677A">
          <w:rPr>
            <w:rStyle w:val="Hyperlink"/>
            <w:rFonts w:cs="Arial"/>
            <w:color w:val="auto"/>
            <w:u w:val="none"/>
          </w:rPr>
          <w:t>http://tbinternet.ohchr.org/_layouts/treatybodyexternal/Download.aspx?symbolno=CCPR%2fC%2fGBR%2fCO%2f6&amp;Lang=en</w:t>
        </w:r>
      </w:hyperlink>
      <w:r w:rsidRPr="0049677A">
        <w:rPr>
          <w:rStyle w:val="Hyperlink"/>
          <w:rFonts w:cs="Arial"/>
          <w:color w:val="auto"/>
          <w:u w:val="none"/>
        </w:rPr>
        <w:t xml:space="preserve"> </w:t>
      </w:r>
    </w:p>
  </w:footnote>
  <w:footnote w:id="57">
    <w:p w:rsidR="0016168E" w:rsidRPr="0049677A" w:rsidRDefault="0016168E" w:rsidP="003F1473">
      <w:pPr>
        <w:pStyle w:val="FootnoteText"/>
        <w:rPr>
          <w:rFonts w:cs="Arial"/>
        </w:rPr>
      </w:pPr>
      <w:r w:rsidRPr="0049677A">
        <w:rPr>
          <w:rStyle w:val="FootnoteReference"/>
          <w:rFonts w:cs="Arial"/>
        </w:rPr>
        <w:footnoteRef/>
      </w:r>
      <w:r w:rsidRPr="0049677A">
        <w:rPr>
          <w:rFonts w:cs="Arial"/>
        </w:rPr>
        <w:t xml:space="preserve"> Ministry of Justice, Memorandum to the Joint Committee on Human Rights on its Inquiry on the Justice and Security Bill, 2011: </w:t>
      </w:r>
      <w:hyperlink r:id="rId16" w:history="1">
        <w:r w:rsidRPr="0049677A">
          <w:rPr>
            <w:rStyle w:val="Hyperlink"/>
            <w:rFonts w:cs="Arial"/>
            <w:color w:val="auto"/>
            <w:u w:val="none"/>
          </w:rPr>
          <w:t>www.parliament.uk/documents/joint-committees/human-rights/Memo_to_JCHR_on_Justice_and_Security_Green_Paper.pdf</w:t>
        </w:r>
      </w:hyperlink>
      <w:r w:rsidRPr="0049677A">
        <w:rPr>
          <w:rFonts w:cs="Arial"/>
        </w:rPr>
        <w:t xml:space="preserve"> </w:t>
      </w:r>
    </w:p>
  </w:footnote>
  <w:footnote w:id="58">
    <w:p w:rsidR="0016168E" w:rsidRPr="0043180C" w:rsidRDefault="0016168E" w:rsidP="003F1473">
      <w:pPr>
        <w:pStyle w:val="FootnoteText"/>
        <w:rPr>
          <w:rFonts w:cs="Arial"/>
        </w:rPr>
      </w:pPr>
      <w:r w:rsidRPr="0049677A">
        <w:rPr>
          <w:rStyle w:val="FootnoteReference"/>
          <w:rFonts w:cs="Arial"/>
        </w:rPr>
        <w:footnoteRef/>
      </w:r>
      <w:r w:rsidRPr="0049677A">
        <w:rPr>
          <w:rFonts w:cs="Arial"/>
        </w:rPr>
        <w:t xml:space="preserve"> Ministry of Justice, Justice and Security Green Paper, para 2.7: </w:t>
      </w:r>
      <w:hyperlink r:id="rId17" w:history="1">
        <w:r w:rsidRPr="0049677A">
          <w:rPr>
            <w:rStyle w:val="Hyperlink"/>
            <w:rFonts w:cs="Arial"/>
            <w:color w:val="auto"/>
            <w:u w:val="none"/>
          </w:rPr>
          <w:t>www.gov.uk/government/uploads/system/uploads/attachment_data/file/228860/8194.pdf</w:t>
        </w:r>
      </w:hyperlink>
      <w:r w:rsidRPr="0049677A">
        <w:rPr>
          <w:rFonts w:cs="Arial"/>
        </w:rPr>
        <w:t xml:space="preserve"> The Justice</w:t>
      </w:r>
      <w:r w:rsidRPr="0043180C">
        <w:rPr>
          <w:rFonts w:cs="Arial"/>
        </w:rPr>
        <w:t xml:space="preserve"> Secretary’s decision would be reviewable by the trial judge on “judicial review principles” but any challenge to this decision would itself necessarily involve closed proceedings. See our full comments in our 2014 submission to the HRC: EHRC. July 2014: Submission to the United Nations Human Rights Committee Pre-Sessional Working Group on the United Kingdom’s Implementation of the International Covenant on Civil and Political Rights.</w:t>
      </w:r>
    </w:p>
  </w:footnote>
  <w:footnote w:id="59">
    <w:p w:rsidR="0016168E" w:rsidRPr="0046241E" w:rsidRDefault="0016168E" w:rsidP="0079007E">
      <w:pPr>
        <w:pStyle w:val="FootnoteText"/>
      </w:pPr>
      <w:r>
        <w:rPr>
          <w:rStyle w:val="FootnoteReference"/>
        </w:rPr>
        <w:footnoteRef/>
      </w:r>
      <w:r>
        <w:t xml:space="preserve"> </w:t>
      </w:r>
      <w:r w:rsidRPr="0046241E">
        <w:t xml:space="preserve">Schedule 7 of the Terrorism Act 2000 provides police officers across the UK with the power to </w:t>
      </w:r>
      <w:proofErr w:type="gramStart"/>
      <w:r w:rsidRPr="0046241E">
        <w:t>stop,</w:t>
      </w:r>
      <w:proofErr w:type="gramEnd"/>
      <w:r w:rsidRPr="0046241E">
        <w:t xml:space="preserve"> search and examine individuals at airports and ports, to determine whether they appear to be concerned in commissioning, preparing or instigating a terrorist act.</w:t>
      </w:r>
    </w:p>
  </w:footnote>
  <w:footnote w:id="60">
    <w:p w:rsidR="0016168E" w:rsidRPr="0049677A" w:rsidRDefault="0016168E" w:rsidP="0079007E">
      <w:pPr>
        <w:pStyle w:val="FootnoteText"/>
        <w:rPr>
          <w:rFonts w:cs="Arial"/>
        </w:rPr>
      </w:pPr>
      <w:r w:rsidRPr="0049677A">
        <w:rPr>
          <w:rStyle w:val="FootnoteReference"/>
          <w:rFonts w:cs="Arial"/>
        </w:rPr>
        <w:footnoteRef/>
      </w:r>
      <w:r w:rsidRPr="0049677A">
        <w:rPr>
          <w:rFonts w:cs="Arial"/>
        </w:rPr>
        <w:t xml:space="preserve"> For example, between April 2009 and March 2012, there were 230,236 examinations pursuant to Schedule 7. Home Office, Review of the Operation of Schedule 7: A Public Consultation, Annex A: Data on the use of Schedule 7: </w:t>
      </w:r>
      <w:hyperlink r:id="rId18" w:history="1">
        <w:r w:rsidRPr="0049677A">
          <w:rPr>
            <w:rStyle w:val="Hyperlink"/>
            <w:rFonts w:cs="Arial"/>
            <w:color w:val="auto"/>
            <w:u w:val="none"/>
          </w:rPr>
          <w:t>www.gov.uk/government/uploads/system/uploads/attachment_data/file/157896/consultation-document.pdf</w:t>
        </w:r>
      </w:hyperlink>
      <w:r w:rsidRPr="0049677A">
        <w:rPr>
          <w:rFonts w:cs="Arial"/>
        </w:rPr>
        <w:t xml:space="preserve"> </w:t>
      </w:r>
    </w:p>
  </w:footnote>
  <w:footnote w:id="61">
    <w:p w:rsidR="0016168E" w:rsidRPr="0049677A" w:rsidRDefault="0016168E" w:rsidP="0079007E">
      <w:pPr>
        <w:pStyle w:val="FootnoteText"/>
        <w:rPr>
          <w:rFonts w:cs="Arial"/>
        </w:rPr>
      </w:pPr>
      <w:r w:rsidRPr="0049677A">
        <w:rPr>
          <w:rStyle w:val="FootnoteReference"/>
          <w:rFonts w:cs="Arial"/>
        </w:rPr>
        <w:footnoteRef/>
      </w:r>
      <w:r w:rsidRPr="0049677A">
        <w:rPr>
          <w:rFonts w:cs="Arial"/>
        </w:rPr>
        <w:t xml:space="preserve"> EHRC, Briefing Paper 8: An Experimental Analysis of Examinations and Detentions under Schedule 7 of the Terrorism Act 2000, 2013:</w:t>
      </w:r>
      <w:hyperlink r:id="rId19" w:history="1">
        <w:r w:rsidRPr="0049677A">
          <w:rPr>
            <w:rStyle w:val="Hyperlink"/>
            <w:rFonts w:cs="Arial"/>
            <w:color w:val="auto"/>
            <w:u w:val="none"/>
          </w:rPr>
          <w:t>www.equalityhumanrights.com/publication/briefing-paper-8-experimental-analysis-examinations-and-detentions-under-schedule-7-terrorism-act</w:t>
        </w:r>
      </w:hyperlink>
      <w:r w:rsidRPr="0049677A">
        <w:rPr>
          <w:rFonts w:cs="Arial"/>
        </w:rPr>
        <w:t xml:space="preserve"> </w:t>
      </w:r>
    </w:p>
  </w:footnote>
  <w:footnote w:id="62">
    <w:p w:rsidR="0016168E" w:rsidRPr="0049677A" w:rsidRDefault="0016168E" w:rsidP="0079007E">
      <w:pPr>
        <w:pStyle w:val="CommentText"/>
        <w:spacing w:after="0"/>
        <w:rPr>
          <w:rFonts w:cs="Arial"/>
        </w:rPr>
      </w:pPr>
      <w:r w:rsidRPr="0049677A">
        <w:rPr>
          <w:rStyle w:val="FootnoteReference"/>
          <w:rFonts w:cs="Arial"/>
        </w:rPr>
        <w:footnoteRef/>
      </w:r>
      <w:r w:rsidRPr="0049677A">
        <w:rPr>
          <w:rFonts w:cs="Arial"/>
        </w:rPr>
        <w:t xml:space="preserve"> </w:t>
      </w:r>
      <w:r w:rsidRPr="0049677A">
        <w:rPr>
          <w:rFonts w:cs="Arial"/>
        </w:rPr>
        <w:t xml:space="preserve">Home Office, Draft Code of Practice Schedule 7, paragraph 18: </w:t>
      </w:r>
      <w:hyperlink r:id="rId20" w:history="1">
        <w:r w:rsidRPr="0049677A">
          <w:rPr>
            <w:rStyle w:val="Hyperlink"/>
            <w:rFonts w:cs="Arial"/>
            <w:color w:val="auto"/>
            <w:u w:val="none"/>
          </w:rPr>
          <w:t>www.gov.uk/government/uploads/system/uploads/attachment_data/file/304300/DraftCodeOfPracticeSch7.pdf</w:t>
        </w:r>
      </w:hyperlink>
    </w:p>
  </w:footnote>
  <w:footnote w:id="63">
    <w:p w:rsidR="0016168E" w:rsidRPr="0049677A" w:rsidRDefault="0016168E" w:rsidP="0079007E">
      <w:pPr>
        <w:pStyle w:val="FootnoteText"/>
        <w:rPr>
          <w:rFonts w:cs="Arial"/>
        </w:rPr>
      </w:pPr>
      <w:r w:rsidRPr="0049677A">
        <w:rPr>
          <w:rStyle w:val="FootnoteReference"/>
          <w:rFonts w:cs="Arial"/>
        </w:rPr>
        <w:footnoteRef/>
      </w:r>
      <w:r w:rsidRPr="0049677A">
        <w:rPr>
          <w:rFonts w:cs="Arial"/>
        </w:rPr>
        <w:t xml:space="preserve"> For example see: Independent Reviewer of Terrorism Legislation, Annual Report, July 2014, p.130: </w:t>
      </w:r>
      <w:hyperlink r:id="rId21" w:history="1">
        <w:r w:rsidRPr="0049677A">
          <w:rPr>
            <w:rStyle w:val="Hyperlink"/>
            <w:rFonts w:cs="Arial"/>
            <w:color w:val="auto"/>
            <w:u w:val="none"/>
          </w:rPr>
          <w:t>https://terrorismlegislationreviewer.independent.gov.uk/wp-content/uploads/2014/07/Independent-Review-of-Terrorism-Report-2014-print2.pdf</w:t>
        </w:r>
      </w:hyperlink>
      <w:r w:rsidRPr="0049677A">
        <w:rPr>
          <w:rFonts w:cs="Arial"/>
        </w:rPr>
        <w:t xml:space="preserve"> and</w:t>
      </w:r>
    </w:p>
    <w:p w:rsidR="0016168E" w:rsidRPr="0049677A" w:rsidRDefault="0016168E" w:rsidP="0079007E">
      <w:pPr>
        <w:pStyle w:val="FootnoteText"/>
        <w:rPr>
          <w:rFonts w:cs="Arial"/>
        </w:rPr>
      </w:pPr>
      <w:proofErr w:type="gramStart"/>
      <w:r w:rsidRPr="0049677A">
        <w:rPr>
          <w:rFonts w:cs="Arial"/>
        </w:rPr>
        <w:t>EHRC.</w:t>
      </w:r>
      <w:proofErr w:type="gramEnd"/>
      <w:r w:rsidRPr="0049677A">
        <w:rPr>
          <w:rFonts w:cs="Arial"/>
        </w:rPr>
        <w:t xml:space="preserve"> 2012. Response to Consultation on the Review of the Operation of Schedule 7: </w:t>
      </w:r>
      <w:hyperlink r:id="rId22" w:history="1">
        <w:r w:rsidRPr="0049677A">
          <w:rPr>
            <w:rStyle w:val="Hyperlink"/>
            <w:rFonts w:cs="Arial"/>
            <w:color w:val="auto"/>
            <w:u w:val="none"/>
          </w:rPr>
          <w:t>www.equalityhumanrights.com/sites/default/files/documents/Consultation_responses/ehrc_-_review_of_the_operation_of_schedule_7_consultation_response_6_dec_2012.pdf</w:t>
        </w:r>
      </w:hyperlink>
    </w:p>
  </w:footnote>
  <w:footnote w:id="64">
    <w:p w:rsidR="0016168E" w:rsidRPr="0049677A" w:rsidRDefault="0016168E" w:rsidP="0079007E">
      <w:pPr>
        <w:pStyle w:val="FootnoteText"/>
        <w:rPr>
          <w:rFonts w:cs="Arial"/>
        </w:rPr>
      </w:pPr>
      <w:r w:rsidRPr="0049677A">
        <w:rPr>
          <w:rStyle w:val="FootnoteReference"/>
          <w:rFonts w:cs="Arial"/>
        </w:rPr>
        <w:footnoteRef/>
      </w:r>
      <w:r w:rsidRPr="0049677A">
        <w:rPr>
          <w:rFonts w:cs="Arial"/>
        </w:rPr>
        <w:t xml:space="preserve"> Concluding Observations of the Human Rights Committee for the United Kingdom of Great Britain and Northern Ireland, 30 July 2008, para 29: </w:t>
      </w:r>
      <w:hyperlink r:id="rId23" w:history="1">
        <w:r w:rsidRPr="0049677A">
          <w:rPr>
            <w:rStyle w:val="Hyperlink"/>
            <w:rFonts w:cs="Arial"/>
            <w:color w:val="auto"/>
            <w:u w:val="none"/>
          </w:rPr>
          <w:t>http://tbinternet.ohchr.org/_layouts/treatybodyexternal/Download.aspx?symbolno=CCPR%2fC%2fGBR%2fCO%2f6&amp;Lang=en</w:t>
        </w:r>
      </w:hyperlink>
    </w:p>
  </w:footnote>
  <w:footnote w:id="65">
    <w:p w:rsidR="0016168E" w:rsidRPr="0049677A" w:rsidRDefault="0016168E" w:rsidP="0079007E">
      <w:pPr>
        <w:pStyle w:val="FootnoteText"/>
        <w:rPr>
          <w:rFonts w:cs="Arial"/>
        </w:rPr>
      </w:pPr>
      <w:r w:rsidRPr="0049677A">
        <w:rPr>
          <w:rStyle w:val="FootnoteReference"/>
          <w:rFonts w:cs="Arial"/>
        </w:rPr>
        <w:footnoteRef/>
      </w:r>
      <w:r w:rsidRPr="0049677A">
        <w:rPr>
          <w:rFonts w:cs="Arial"/>
        </w:rPr>
        <w:t xml:space="preserve"> EHRC, Anti-Social Behaviour, Crime and Policing Bill, Schedule 8, Lords Committee Stage Briefing, 2013: </w:t>
      </w:r>
      <w:hyperlink r:id="rId24" w:history="1">
        <w:r w:rsidRPr="0049677A">
          <w:rPr>
            <w:rStyle w:val="Hyperlink"/>
            <w:rFonts w:cs="Arial"/>
            <w:color w:val="auto"/>
            <w:u w:val="none"/>
          </w:rPr>
          <w:t>www.equalityhumanrights.com/legal-and-policy/our-legal-work/parliamentary-briefings/anti-social-behaviour-crime-and-policing-bill-schedule-8-lords-committee-stage-briefing</w:t>
        </w:r>
      </w:hyperlink>
      <w:r w:rsidRPr="0049677A">
        <w:rPr>
          <w:rFonts w:cs="Arial"/>
        </w:rPr>
        <w:t xml:space="preserve"> </w:t>
      </w:r>
    </w:p>
  </w:footnote>
  <w:footnote w:id="66">
    <w:p w:rsidR="0016168E" w:rsidRPr="0043180C" w:rsidRDefault="0016168E" w:rsidP="0079007E">
      <w:pPr>
        <w:pStyle w:val="FootnoteText"/>
        <w:rPr>
          <w:rFonts w:cs="Arial"/>
        </w:rPr>
      </w:pPr>
      <w:r w:rsidRPr="0049677A">
        <w:rPr>
          <w:rStyle w:val="FootnoteReference"/>
          <w:rFonts w:cs="Arial"/>
        </w:rPr>
        <w:footnoteRef/>
      </w:r>
      <w:r w:rsidRPr="0049677A">
        <w:rPr>
          <w:rFonts w:cs="Arial"/>
        </w:rPr>
        <w:t xml:space="preserve"> Independent Reviewer of Terrorism Legislation, Annual Report, July 2014, p.130: </w:t>
      </w:r>
      <w:hyperlink r:id="rId25" w:history="1">
        <w:r w:rsidRPr="0049677A">
          <w:rPr>
            <w:rStyle w:val="Hyperlink"/>
            <w:rFonts w:cs="Arial"/>
            <w:color w:val="auto"/>
            <w:u w:val="none"/>
          </w:rPr>
          <w:t>https://terrorismlegislationreviewer.independent.gov.uk/wp-content/uploads/2014/07/Independent-Review-of-Terrorism-Report-2014-print2.pdf</w:t>
        </w:r>
      </w:hyperlink>
    </w:p>
  </w:footnote>
  <w:footnote w:id="67">
    <w:p w:rsidR="0016168E" w:rsidRPr="0049677A" w:rsidRDefault="0016168E" w:rsidP="0079007E">
      <w:pPr>
        <w:pStyle w:val="FootnoteText"/>
      </w:pPr>
      <w:r w:rsidRPr="0049677A">
        <w:rPr>
          <w:rStyle w:val="FootnoteReference"/>
        </w:rPr>
        <w:footnoteRef/>
      </w:r>
      <w:r w:rsidRPr="0049677A">
        <w:rPr>
          <w:rFonts w:cs="Arial"/>
        </w:rPr>
        <w:t xml:space="preserve"> </w:t>
      </w:r>
      <w:proofErr w:type="gramStart"/>
      <w:r w:rsidRPr="0049677A">
        <w:rPr>
          <w:rFonts w:cs="Arial"/>
        </w:rPr>
        <w:t>EHRC.</w:t>
      </w:r>
      <w:proofErr w:type="gramEnd"/>
      <w:r w:rsidRPr="0049677A">
        <w:rPr>
          <w:rFonts w:cs="Arial"/>
        </w:rPr>
        <w:t xml:space="preserve"> July 2014. Submission to the United Nations Human Rights Committee Pre-Sessional Working Group on the United Kingdom’s Implementation of the International Covenant on Civil and Political Rights: </w:t>
      </w:r>
      <w:r w:rsidRPr="0049677A">
        <w:t>P.12</w:t>
      </w:r>
    </w:p>
    <w:p w:rsidR="0016168E" w:rsidRPr="0049677A" w:rsidRDefault="0016168E" w:rsidP="0079007E">
      <w:pPr>
        <w:pStyle w:val="FootnoteText"/>
      </w:pPr>
      <w:r w:rsidRPr="0049677A">
        <w:t>www.equalityhumanrights.com/sites/default/files/uploads/documents/humanrights/EHRC%20Submission%20to%20UN%20Human%20Rights%20Committee%20Pre-Sessional%20Working%20Group%20on%20UK%20Implementation%20of%20the%20International%20Covenant%20on%20Civil%20and%20Political%20Rights.pdf</w:t>
      </w:r>
    </w:p>
  </w:footnote>
  <w:footnote w:id="68">
    <w:p w:rsidR="0016168E" w:rsidRPr="0049677A" w:rsidRDefault="0016168E" w:rsidP="0079007E">
      <w:pPr>
        <w:pStyle w:val="FootnoteText"/>
      </w:pPr>
      <w:r w:rsidRPr="0049677A">
        <w:rPr>
          <w:rStyle w:val="FootnoteReference"/>
        </w:rPr>
        <w:footnoteRef/>
      </w:r>
      <w:r w:rsidRPr="0049677A">
        <w:t xml:space="preserve"> See, for example, Riots Communities and Victims Panel, After the Riots: The final report of the Riots Communities and Victims Panel, 2012: </w:t>
      </w:r>
      <w:hyperlink r:id="rId26" w:history="1">
        <w:r w:rsidRPr="0049677A">
          <w:rPr>
            <w:rStyle w:val="Hyperlink"/>
            <w:color w:val="auto"/>
            <w:u w:val="none"/>
          </w:rPr>
          <w:t>http://webarchive.nationalarchives.gov.uk/20121003195935/http:/riotspanel.independent.gov.uk/</w:t>
        </w:r>
      </w:hyperlink>
      <w:r w:rsidRPr="0049677A">
        <w:t xml:space="preserve"> </w:t>
      </w:r>
    </w:p>
  </w:footnote>
  <w:footnote w:id="69">
    <w:p w:rsidR="0016168E" w:rsidRPr="0049677A" w:rsidRDefault="0016168E" w:rsidP="0079007E">
      <w:pPr>
        <w:pStyle w:val="FootnoteText"/>
        <w:rPr>
          <w:b/>
          <w:bCs/>
        </w:rPr>
      </w:pPr>
      <w:r w:rsidRPr="0049677A">
        <w:rPr>
          <w:rStyle w:val="FootnoteReference"/>
        </w:rPr>
        <w:footnoteRef/>
      </w:r>
      <w:r w:rsidRPr="0049677A">
        <w:t xml:space="preserve"> </w:t>
      </w:r>
      <w:proofErr w:type="gramStart"/>
      <w:r w:rsidRPr="0049677A">
        <w:t>Home Office.</w:t>
      </w:r>
      <w:proofErr w:type="gramEnd"/>
      <w:r w:rsidRPr="0049677A">
        <w:t xml:space="preserve"> April 2015. </w:t>
      </w:r>
      <w:r w:rsidRPr="0049677A">
        <w:rPr>
          <w:bCs/>
        </w:rPr>
        <w:t>Police powers and procedures England and Wales year ending 31 March 2014: data tables: www.gov.uk/government/statistics/police-powers-and-procedures-england-and-wales-year-ending-31-march-2014-data-tables</w:t>
      </w:r>
    </w:p>
  </w:footnote>
  <w:footnote w:id="70">
    <w:p w:rsidR="0016168E" w:rsidRPr="0049677A" w:rsidRDefault="0016168E" w:rsidP="0079007E">
      <w:pPr>
        <w:pStyle w:val="FootnoteText"/>
      </w:pPr>
      <w:r w:rsidRPr="0049677A">
        <w:rPr>
          <w:rStyle w:val="FootnoteReference"/>
        </w:rPr>
        <w:footnoteRef/>
      </w:r>
      <w:r w:rsidRPr="0049677A">
        <w:t xml:space="preserve"> s.163, Road Traffic Act 1988</w:t>
      </w:r>
    </w:p>
  </w:footnote>
  <w:footnote w:id="71">
    <w:p w:rsidR="0016168E" w:rsidRPr="0049677A" w:rsidRDefault="0016168E" w:rsidP="0079007E">
      <w:pPr>
        <w:pStyle w:val="FootnoteText"/>
      </w:pPr>
      <w:r w:rsidRPr="0049677A">
        <w:rPr>
          <w:rStyle w:val="FootnoteReference"/>
        </w:rPr>
        <w:footnoteRef/>
      </w:r>
      <w:r w:rsidRPr="0049677A">
        <w:t xml:space="preserve"> </w:t>
      </w:r>
      <w:proofErr w:type="gramStart"/>
      <w:r w:rsidRPr="0049677A">
        <w:t>HMIC.</w:t>
      </w:r>
      <w:proofErr w:type="gramEnd"/>
      <w:r w:rsidRPr="0049677A">
        <w:t xml:space="preserve"> 2015. Stop and search powers 2: are the police using them effectively and fairly? www.justiceinspectorates.gov.uk/hmic/publication/stop-and-search-powers-2-are-the-police-using-them-effectively-and-fairly/</w:t>
      </w:r>
    </w:p>
  </w:footnote>
  <w:footnote w:id="72">
    <w:p w:rsidR="0016168E" w:rsidRPr="0049677A" w:rsidRDefault="0016168E" w:rsidP="0079007E">
      <w:pPr>
        <w:pStyle w:val="FootnoteText"/>
      </w:pPr>
      <w:r w:rsidRPr="0049677A">
        <w:rPr>
          <w:rStyle w:val="FootnoteReference"/>
        </w:rPr>
        <w:footnoteRef/>
      </w:r>
      <w:r w:rsidRPr="0049677A">
        <w:t xml:space="preserve"> </w:t>
      </w:r>
      <w:r w:rsidRPr="0049677A">
        <w:rPr>
          <w:i/>
        </w:rPr>
        <w:t>Ibid</w:t>
      </w:r>
      <w:r w:rsidRPr="0049677A">
        <w:t>. Page 57.</w:t>
      </w:r>
    </w:p>
  </w:footnote>
  <w:footnote w:id="73">
    <w:p w:rsidR="0016168E" w:rsidRDefault="0016168E" w:rsidP="0079007E">
      <w:pPr>
        <w:pStyle w:val="FootnoteText"/>
      </w:pPr>
      <w:r w:rsidRPr="0049677A">
        <w:rPr>
          <w:rStyle w:val="FootnoteReference"/>
        </w:rPr>
        <w:footnoteRef/>
      </w:r>
      <w:r w:rsidRPr="0049677A">
        <w:t xml:space="preserve"> </w:t>
      </w:r>
      <w:proofErr w:type="gramStart"/>
      <w:r w:rsidRPr="0049677A">
        <w:t>HMIC.</w:t>
      </w:r>
      <w:proofErr w:type="gramEnd"/>
      <w:r w:rsidRPr="0049677A">
        <w:t xml:space="preserve"> 2013. Stop and Search Powers: Are the police using them effectively and fairly? www.justiceinspectorates.gov.uk/hmic/publication/stop-and-search-powers-20130709/</w:t>
      </w:r>
    </w:p>
  </w:footnote>
  <w:footnote w:id="74">
    <w:p w:rsidR="0016168E" w:rsidRDefault="0016168E" w:rsidP="0079007E">
      <w:pPr>
        <w:pStyle w:val="FootnoteText"/>
      </w:pPr>
      <w:r>
        <w:rPr>
          <w:rStyle w:val="FootnoteReference"/>
        </w:rPr>
        <w:footnoteRef/>
      </w:r>
      <w:r>
        <w:t xml:space="preserve"> </w:t>
      </w:r>
      <w:proofErr w:type="gramStart"/>
      <w:r>
        <w:t>HMIC.</w:t>
      </w:r>
      <w:proofErr w:type="gramEnd"/>
      <w:r>
        <w:t xml:space="preserve"> 2015. </w:t>
      </w:r>
      <w:r w:rsidRPr="00751211">
        <w:t>Stop and search powers 2: are the police using them effectively and fairly?</w:t>
      </w:r>
      <w:r>
        <w:t xml:space="preserve"> </w:t>
      </w:r>
      <w:r w:rsidRPr="00751211">
        <w:t>www.justiceinspectorates.gov.uk/hmic/publication/stop-and-search-powers-2-are-the-police-using-them-effectively-and-fairly/</w:t>
      </w:r>
    </w:p>
  </w:footnote>
  <w:footnote w:id="75">
    <w:p w:rsidR="0016168E" w:rsidRDefault="0016168E" w:rsidP="0079007E">
      <w:pPr>
        <w:pStyle w:val="FootnoteText"/>
      </w:pPr>
      <w:r>
        <w:rPr>
          <w:rStyle w:val="FootnoteReference"/>
        </w:rPr>
        <w:footnoteRef/>
      </w:r>
      <w:r>
        <w:t xml:space="preserve"> </w:t>
      </w:r>
      <w:r w:rsidRPr="006C23F2">
        <w:rPr>
          <w:i/>
        </w:rPr>
        <w:t>Ibid.</w:t>
      </w:r>
    </w:p>
  </w:footnote>
  <w:footnote w:id="76">
    <w:p w:rsidR="0016168E" w:rsidRPr="0049677A" w:rsidRDefault="0016168E" w:rsidP="0079007E">
      <w:pPr>
        <w:pStyle w:val="FootnoteText"/>
        <w:rPr>
          <w:rFonts w:cs="Arial"/>
        </w:rPr>
      </w:pPr>
      <w:r w:rsidRPr="0049677A">
        <w:rPr>
          <w:rStyle w:val="FootnoteReference"/>
          <w:rFonts w:cs="Arial"/>
        </w:rPr>
        <w:footnoteRef/>
      </w:r>
      <w:r w:rsidRPr="0049677A">
        <w:rPr>
          <w:rFonts w:cs="Arial"/>
        </w:rPr>
        <w:t xml:space="preserve"> </w:t>
      </w:r>
      <w:hyperlink r:id="rId27" w:history="1">
        <w:r w:rsidRPr="0049677A">
          <w:rPr>
            <w:rStyle w:val="Hyperlink"/>
            <w:rFonts w:cs="Arial"/>
            <w:color w:val="auto"/>
            <w:u w:val="none"/>
          </w:rPr>
          <w:t>www.crae.org.uk/.../FINAL-</w:t>
        </w:r>
        <w:r w:rsidRPr="0049677A">
          <w:rPr>
            <w:rStyle w:val="Hyperlink"/>
            <w:rFonts w:cs="Arial"/>
            <w:b/>
            <w:bCs/>
            <w:color w:val="auto"/>
            <w:u w:val="none"/>
          </w:rPr>
          <w:t>Strip</w:t>
        </w:r>
        <w:r w:rsidRPr="0049677A">
          <w:rPr>
            <w:rStyle w:val="Hyperlink"/>
            <w:rFonts w:cs="Arial"/>
            <w:color w:val="auto"/>
            <w:u w:val="none"/>
          </w:rPr>
          <w:t>-</w:t>
        </w:r>
        <w:r w:rsidRPr="0049677A">
          <w:rPr>
            <w:rStyle w:val="Hyperlink"/>
            <w:rFonts w:cs="Arial"/>
            <w:b/>
            <w:bCs/>
            <w:color w:val="auto"/>
            <w:u w:val="none"/>
          </w:rPr>
          <w:t>Searching</w:t>
        </w:r>
        <w:r w:rsidRPr="0049677A">
          <w:rPr>
            <w:rStyle w:val="Hyperlink"/>
            <w:rFonts w:cs="Arial"/>
            <w:color w:val="auto"/>
            <w:u w:val="none"/>
          </w:rPr>
          <w:t>-at-Police-Station-Briefing.pdf</w:t>
        </w:r>
      </w:hyperlink>
    </w:p>
  </w:footnote>
  <w:footnote w:id="77">
    <w:p w:rsidR="0016168E" w:rsidRDefault="0016168E" w:rsidP="0079007E">
      <w:pPr>
        <w:pStyle w:val="FootnoteText"/>
      </w:pPr>
      <w:r>
        <w:rPr>
          <w:rStyle w:val="FootnoteReference"/>
        </w:rPr>
        <w:footnoteRef/>
      </w:r>
      <w:r>
        <w:t xml:space="preserve"> PACE Code C. 2012: </w:t>
      </w:r>
      <w:r w:rsidRPr="004074A9">
        <w:t>www.gov.uk/government/uploads/system/uploads/attachment_data/file/117589/pace-code-c-2012.pdf</w:t>
      </w:r>
    </w:p>
  </w:footnote>
  <w:footnote w:id="78">
    <w:p w:rsidR="0016168E" w:rsidRPr="00046061" w:rsidRDefault="0016168E" w:rsidP="00046061">
      <w:pPr>
        <w:pStyle w:val="FootnoteText"/>
      </w:pPr>
      <w:r>
        <w:rPr>
          <w:rStyle w:val="FootnoteReference"/>
        </w:rPr>
        <w:footnoteRef/>
      </w:r>
      <w:r>
        <w:t xml:space="preserve"> </w:t>
      </w:r>
      <w:proofErr w:type="gramStart"/>
      <w:r>
        <w:t>EHRC.</w:t>
      </w:r>
      <w:proofErr w:type="gramEnd"/>
      <w:r>
        <w:t xml:space="preserve"> March 2015. </w:t>
      </w:r>
      <w:r w:rsidRPr="00046061">
        <w:t>Commission to support Police with new Stop and Search training</w:t>
      </w:r>
      <w:r>
        <w:t xml:space="preserve">: </w:t>
      </w:r>
      <w:r w:rsidRPr="00046061">
        <w:t>www.equalityhumanrights.com/commission-support-police-new-stop-and-search-training</w:t>
      </w:r>
    </w:p>
    <w:p w:rsidR="0016168E" w:rsidRDefault="0016168E" w:rsidP="0079007E">
      <w:pPr>
        <w:pStyle w:val="FootnoteText"/>
      </w:pPr>
    </w:p>
  </w:footnote>
  <w:footnote w:id="79">
    <w:p w:rsidR="0016168E" w:rsidRPr="0049677A" w:rsidRDefault="0016168E" w:rsidP="0079007E">
      <w:pPr>
        <w:pStyle w:val="FootnoteText"/>
        <w:rPr>
          <w:rFonts w:cs="Arial"/>
        </w:rPr>
      </w:pPr>
      <w:r w:rsidRPr="0049677A">
        <w:rPr>
          <w:rStyle w:val="FootnoteReference"/>
          <w:rFonts w:cs="Arial"/>
        </w:rPr>
        <w:footnoteRef/>
      </w:r>
      <w:r w:rsidRPr="0049677A">
        <w:rPr>
          <w:rFonts w:cs="Arial"/>
        </w:rPr>
        <w:t xml:space="preserve"> The PEEL Assessment is the approach that Her Majesty's Inspectorate of Constabulary will use to assess the performance of each of the 43 geographic police forces in England and Wales. </w:t>
      </w:r>
      <w:hyperlink r:id="rId28" w:history="1">
        <w:r w:rsidRPr="0049677A">
          <w:rPr>
            <w:rStyle w:val="Hyperlink"/>
            <w:rFonts w:cs="Arial"/>
            <w:color w:val="auto"/>
            <w:u w:val="none"/>
          </w:rPr>
          <w:t>www.justiceinspectorates.gov.uk/hmic/our-work/peel-assessments/</w:t>
        </w:r>
      </w:hyperlink>
    </w:p>
  </w:footnote>
  <w:footnote w:id="80">
    <w:p w:rsidR="0016168E" w:rsidRPr="0043180C" w:rsidRDefault="0016168E" w:rsidP="008F272C">
      <w:pPr>
        <w:pStyle w:val="FootnoteText"/>
        <w:rPr>
          <w:rFonts w:cs="Arial"/>
        </w:rPr>
      </w:pPr>
      <w:r w:rsidRPr="0049677A">
        <w:rPr>
          <w:rStyle w:val="FootnoteReference"/>
          <w:rFonts w:cs="Arial"/>
        </w:rPr>
        <w:footnoteRef/>
      </w:r>
      <w:r w:rsidRPr="0049677A">
        <w:rPr>
          <w:rFonts w:cs="Arial"/>
        </w:rPr>
        <w:t xml:space="preserve"> </w:t>
      </w:r>
      <w:proofErr w:type="gramStart"/>
      <w:r w:rsidRPr="0049677A">
        <w:rPr>
          <w:rFonts w:cs="Arial"/>
        </w:rPr>
        <w:t>EHRC.</w:t>
      </w:r>
      <w:proofErr w:type="gramEnd"/>
      <w:r w:rsidRPr="0049677A">
        <w:rPr>
          <w:rFonts w:cs="Arial"/>
        </w:rPr>
        <w:t xml:space="preserve"> July 2014. </w:t>
      </w:r>
      <w:r w:rsidRPr="0049677A">
        <w:rPr>
          <w:bCs/>
        </w:rPr>
        <w:t>Submission to the United Nations Human Rights Committee Pre-Sessional Working Group on the United Kingdom’s Implementation of the International Covenant on Civil and Political Rights</w:t>
      </w:r>
      <w:r w:rsidRPr="0049677A">
        <w:rPr>
          <w:rFonts w:cs="Arial"/>
        </w:rPr>
        <w:t xml:space="preserve"> P.17: www.equalityhumanrights.com/sites/default/files/uploads/documents/humanrights/EHRC%20Submission%20to%20UN%20Human%20Rights%20Committee%20Pre-Sessional%20Working%20Group%20on%20UK%20Implementation%20of%20the%20International%20Covenant%20on%20Civil%20and%20Political%20Rights.pdf</w:t>
      </w:r>
    </w:p>
  </w:footnote>
  <w:footnote w:id="81">
    <w:p w:rsidR="0016168E" w:rsidRPr="0043180C" w:rsidRDefault="0016168E" w:rsidP="008F272C">
      <w:pPr>
        <w:pStyle w:val="FootnoteText"/>
        <w:rPr>
          <w:rFonts w:cs="Arial"/>
        </w:rPr>
      </w:pPr>
      <w:r w:rsidRPr="0043180C">
        <w:rPr>
          <w:rStyle w:val="FootnoteReference"/>
          <w:rFonts w:cs="Arial"/>
        </w:rPr>
        <w:footnoteRef/>
      </w:r>
      <w:r w:rsidRPr="0043180C">
        <w:rPr>
          <w:rFonts w:cs="Arial"/>
        </w:rPr>
        <w:t xml:space="preserve"> http://webarchive.nationalarchives.gov.uk/20141202113128/https://nrm.homeoffice.gov.uk/documents/2014/11/nrm-final-report.pdf</w:t>
      </w:r>
    </w:p>
  </w:footnote>
  <w:footnote w:id="82">
    <w:p w:rsidR="0016168E" w:rsidRPr="0049677A" w:rsidRDefault="0016168E" w:rsidP="00C84A62">
      <w:pPr>
        <w:pStyle w:val="FootnoteText"/>
        <w:rPr>
          <w:rFonts w:cs="Arial"/>
        </w:rPr>
      </w:pPr>
      <w:r w:rsidRPr="0049677A">
        <w:rPr>
          <w:rStyle w:val="FootnoteReference"/>
          <w:rFonts w:cs="Arial"/>
        </w:rPr>
        <w:footnoteRef/>
      </w:r>
      <w:r w:rsidRPr="0049677A">
        <w:rPr>
          <w:rFonts w:cs="Arial"/>
        </w:rPr>
        <w:t xml:space="preserve"> </w:t>
      </w:r>
      <w:proofErr w:type="gramStart"/>
      <w:r w:rsidRPr="0049677A">
        <w:t>Group of Experts on Action against Trafficking in Human Beings (GRETA), 2012.</w:t>
      </w:r>
      <w:proofErr w:type="gramEnd"/>
      <w:r w:rsidRPr="0049677A">
        <w:t xml:space="preserve"> </w:t>
      </w:r>
      <w:r w:rsidRPr="0049677A">
        <w:rPr>
          <w:i/>
          <w:iCs/>
        </w:rPr>
        <w:t xml:space="preserve">Report concerning the implementation of the Council of Europe Convention on Action against Trafficking in Human Beings by the United Kingdom </w:t>
      </w:r>
    </w:p>
  </w:footnote>
  <w:footnote w:id="83">
    <w:p w:rsidR="0016168E" w:rsidRPr="0049677A" w:rsidRDefault="0016168E" w:rsidP="00DC7DC1">
      <w:pPr>
        <w:pStyle w:val="FootnoteText"/>
        <w:rPr>
          <w:rFonts w:cs="Arial"/>
        </w:rPr>
      </w:pPr>
      <w:r w:rsidRPr="0049677A">
        <w:rPr>
          <w:rStyle w:val="FootnoteReference"/>
          <w:rFonts w:cs="Arial"/>
        </w:rPr>
        <w:footnoteRef/>
      </w:r>
      <w:r w:rsidRPr="0049677A">
        <w:rPr>
          <w:rFonts w:cs="Arial"/>
        </w:rPr>
        <w:t xml:space="preserve"> Article 4 ECHR, Freedom from Slavery and Enforced Labour. CN v UK Application no. 4239/08: </w:t>
      </w:r>
      <w:hyperlink r:id="rId29" w:anchor="{&quot;itemid&quot;:[&quot;001-114518&quot;]}" w:history="1">
        <w:r w:rsidRPr="0049677A">
          <w:rPr>
            <w:rStyle w:val="Hyperlink"/>
            <w:rFonts w:cs="Arial"/>
            <w:color w:val="auto"/>
            <w:u w:val="none"/>
          </w:rPr>
          <w:t>http://hudoc.echr.coe.int/sites/eng/pages/search.aspx?i=001-114518#{"itemid":["001-114518"]}</w:t>
        </w:r>
      </w:hyperlink>
      <w:r w:rsidR="008C67B4">
        <w:rPr>
          <w:rFonts w:cs="Arial"/>
        </w:rPr>
        <w:t xml:space="preserve"> </w:t>
      </w:r>
    </w:p>
  </w:footnote>
  <w:footnote w:id="84">
    <w:p w:rsidR="0016168E" w:rsidRPr="0049677A" w:rsidRDefault="0016168E" w:rsidP="008F272C">
      <w:pPr>
        <w:pStyle w:val="FootnoteText"/>
        <w:rPr>
          <w:rFonts w:cs="Arial"/>
        </w:rPr>
      </w:pPr>
      <w:r w:rsidRPr="0049677A">
        <w:rPr>
          <w:rStyle w:val="FootnoteReference"/>
          <w:rFonts w:cs="Arial"/>
        </w:rPr>
        <w:footnoteRef/>
      </w:r>
      <w:r w:rsidRPr="0049677A">
        <w:rPr>
          <w:rFonts w:cs="Arial"/>
        </w:rPr>
        <w:t xml:space="preserve"> www.equalityhumanrights.com/legal-and-policy/our-legal-work/parliamentary-briefings</w:t>
      </w:r>
    </w:p>
  </w:footnote>
  <w:footnote w:id="85">
    <w:p w:rsidR="0016168E" w:rsidRPr="0043180C" w:rsidRDefault="0016168E">
      <w:pPr>
        <w:pStyle w:val="FootnoteText"/>
      </w:pPr>
      <w:r w:rsidRPr="0049677A">
        <w:rPr>
          <w:rStyle w:val="FootnoteReference"/>
        </w:rPr>
        <w:footnoteRef/>
      </w:r>
      <w:r w:rsidRPr="0049677A">
        <w:t xml:space="preserve"> European Union Directive on preventing and combating trafficking in human beings and protecting its victims: </w:t>
      </w:r>
      <w:hyperlink r:id="rId30" w:history="1">
        <w:r w:rsidRPr="0049677A">
          <w:rPr>
            <w:rStyle w:val="Hyperlink"/>
            <w:color w:val="auto"/>
            <w:u w:val="none"/>
          </w:rPr>
          <w:t>http://eur-lex.europa.eu/LexUriServ/LexUriServ.do?uri=OJ:L:2011:101:0001:0011:EN:PDF</w:t>
        </w:r>
      </w:hyperlink>
      <w:r w:rsidRPr="0049677A">
        <w:t xml:space="preserve"> </w:t>
      </w:r>
    </w:p>
  </w:footnote>
  <w:footnote w:id="86">
    <w:p w:rsidR="0016168E" w:rsidRPr="0049677A" w:rsidRDefault="0016168E" w:rsidP="008F272C">
      <w:pPr>
        <w:pStyle w:val="FootnoteText"/>
        <w:rPr>
          <w:rFonts w:cs="Arial"/>
        </w:rPr>
      </w:pPr>
      <w:r w:rsidRPr="0049677A">
        <w:rPr>
          <w:rStyle w:val="FootnoteReference"/>
          <w:rFonts w:cs="Arial"/>
        </w:rPr>
        <w:footnoteRef/>
      </w:r>
      <w:r w:rsidRPr="0049677A">
        <w:rPr>
          <w:rFonts w:cs="Arial"/>
        </w:rPr>
        <w:t xml:space="preserve"> </w:t>
      </w:r>
      <w:proofErr w:type="spellStart"/>
      <w:r w:rsidRPr="0049677A">
        <w:rPr>
          <w:rFonts w:cs="Arial"/>
        </w:rPr>
        <w:t>Hounga</w:t>
      </w:r>
      <w:proofErr w:type="spellEnd"/>
      <w:r w:rsidRPr="0049677A">
        <w:rPr>
          <w:rFonts w:cs="Arial"/>
        </w:rPr>
        <w:t xml:space="preserve"> v Allen </w:t>
      </w:r>
      <w:r w:rsidRPr="0049677A">
        <w:rPr>
          <w:rFonts w:cs="Arial"/>
          <w:bCs/>
        </w:rPr>
        <w:t xml:space="preserve">[2012] EWCA </w:t>
      </w:r>
      <w:proofErr w:type="spellStart"/>
      <w:r w:rsidRPr="0049677A">
        <w:rPr>
          <w:rFonts w:cs="Arial"/>
          <w:bCs/>
        </w:rPr>
        <w:t>Civ</w:t>
      </w:r>
      <w:proofErr w:type="spellEnd"/>
      <w:r w:rsidRPr="0049677A">
        <w:rPr>
          <w:rFonts w:cs="Arial"/>
          <w:bCs/>
        </w:rPr>
        <w:t xml:space="preserve"> 609</w:t>
      </w:r>
      <w:r w:rsidRPr="0049677A">
        <w:rPr>
          <w:rFonts w:cs="Arial"/>
        </w:rPr>
        <w:t xml:space="preserve"> </w:t>
      </w:r>
      <w:r w:rsidRPr="0049677A">
        <w:rPr>
          <w:rFonts w:cs="Arial"/>
          <w:bCs/>
        </w:rPr>
        <w:t>www.bailii.org/</w:t>
      </w:r>
      <w:proofErr w:type="spellStart"/>
      <w:r w:rsidRPr="0049677A">
        <w:rPr>
          <w:rFonts w:cs="Arial"/>
          <w:bCs/>
        </w:rPr>
        <w:t>ew</w:t>
      </w:r>
      <w:proofErr w:type="spellEnd"/>
      <w:r w:rsidRPr="0049677A">
        <w:rPr>
          <w:rFonts w:cs="Arial"/>
          <w:bCs/>
        </w:rPr>
        <w:t>/cases/EWCA/</w:t>
      </w:r>
      <w:proofErr w:type="spellStart"/>
      <w:r w:rsidRPr="0049677A">
        <w:rPr>
          <w:rFonts w:cs="Arial"/>
          <w:bCs/>
        </w:rPr>
        <w:t>Civ</w:t>
      </w:r>
      <w:proofErr w:type="spellEnd"/>
      <w:r w:rsidRPr="0049677A">
        <w:rPr>
          <w:rFonts w:cs="Arial"/>
          <w:bCs/>
        </w:rPr>
        <w:t>/2012/609.html‎</w:t>
      </w:r>
    </w:p>
  </w:footnote>
  <w:footnote w:id="87">
    <w:p w:rsidR="0016168E" w:rsidRPr="0082251C" w:rsidRDefault="0016168E" w:rsidP="00C93288">
      <w:pPr>
        <w:pStyle w:val="FootnoteText"/>
        <w:rPr>
          <w:rFonts w:cs="Arial"/>
        </w:rPr>
      </w:pPr>
      <w:r w:rsidRPr="0049677A">
        <w:rPr>
          <w:rStyle w:val="FootnoteReference"/>
          <w:rFonts w:cs="Arial"/>
        </w:rPr>
        <w:footnoteRef/>
      </w:r>
      <w:hyperlink r:id="rId31" w:history="1">
        <w:r w:rsidRPr="0049677A">
          <w:rPr>
            <w:rStyle w:val="Hyperlink"/>
            <w:rFonts w:cs="Arial"/>
            <w:color w:val="auto"/>
            <w:u w:val="none"/>
          </w:rPr>
          <w:t>www.antislavery.org/includes/documents/cm_docs/2014/k/1_kalayaan_briefing_on_amendment_94.pdf</w:t>
        </w:r>
      </w:hyperlink>
    </w:p>
  </w:footnote>
  <w:footnote w:id="88">
    <w:p w:rsidR="0016168E" w:rsidRDefault="0016168E" w:rsidP="00C93288">
      <w:pPr>
        <w:pStyle w:val="FootnoteText"/>
      </w:pPr>
      <w:r>
        <w:rPr>
          <w:rStyle w:val="FootnoteReference"/>
        </w:rPr>
        <w:footnoteRef/>
      </w:r>
      <w:r>
        <w:t xml:space="preserve"> </w:t>
      </w:r>
      <w:r w:rsidRPr="00505610">
        <w:t>//www.publications.parliament.uk/pa/cm201415/cmhansrd/cm150209/debtext/150209-0001.htm#1502093000556</w:t>
      </w:r>
    </w:p>
  </w:footnote>
  <w:footnote w:id="89">
    <w:p w:rsidR="0016168E" w:rsidRDefault="0016168E">
      <w:pPr>
        <w:pStyle w:val="FootnoteText"/>
      </w:pPr>
      <w:r>
        <w:rPr>
          <w:rStyle w:val="FootnoteReference"/>
        </w:rPr>
        <w:footnoteRef/>
      </w:r>
      <w:r>
        <w:t xml:space="preserve"> </w:t>
      </w:r>
      <w:r w:rsidRPr="00C93288">
        <w:t>www.gov.uk/government/uploads/system/uploads/attachment_data/file/269012/employment-related-consultation.pdf and the response https://www.gov.uk/government/uploads/system/uploads/attachment_data/file/117954/employment-t5-overseas-responses.pdf</w:t>
      </w:r>
    </w:p>
  </w:footnote>
  <w:footnote w:id="90">
    <w:p w:rsidR="0016168E" w:rsidRPr="0082251C" w:rsidRDefault="0016168E" w:rsidP="00C93288">
      <w:pPr>
        <w:pStyle w:val="FootnoteText"/>
        <w:rPr>
          <w:rFonts w:cs="Arial"/>
        </w:rPr>
      </w:pPr>
      <w:r w:rsidRPr="0082251C">
        <w:rPr>
          <w:rStyle w:val="FootnoteReference"/>
          <w:rFonts w:cs="Arial"/>
        </w:rPr>
        <w:footnoteRef/>
      </w:r>
      <w:r>
        <w:rPr>
          <w:rFonts w:cs="Arial"/>
        </w:rPr>
        <w:t xml:space="preserve"> </w:t>
      </w:r>
      <w:proofErr w:type="gramStart"/>
      <w:r>
        <w:rPr>
          <w:rFonts w:cs="Arial"/>
        </w:rPr>
        <w:t>EHRC.</w:t>
      </w:r>
      <w:proofErr w:type="gramEnd"/>
      <w:r>
        <w:rPr>
          <w:rFonts w:cs="Arial"/>
        </w:rPr>
        <w:t xml:space="preserve"> July 2014. </w:t>
      </w:r>
      <w:r w:rsidRPr="00C93288">
        <w:rPr>
          <w:rFonts w:cs="Arial"/>
        </w:rPr>
        <w:t>Submission to the United Nations Human Rights Committee Pre-Sessional Working Group on the United Kingdom’s Implementation of the International Covenant on Civil and Political Right</w:t>
      </w:r>
      <w:r>
        <w:rPr>
          <w:rFonts w:cs="Arial"/>
        </w:rPr>
        <w:t xml:space="preserve">s: </w:t>
      </w:r>
      <w:r w:rsidRPr="00C93288">
        <w:rPr>
          <w:rFonts w:cs="Arial"/>
        </w:rPr>
        <w:t>www.equalityhumanrights.com/sites/default/files/uploads/documents/humanrights/EHRC%20Submission%20to%20UN%20Human%20Rights%20Committee%20Pre-Sessional%20Working%20Group%20on%20UK%20Implementation%20of%20the%20International%20Covenant%20on%20Civil%20and%20Political%20Rights.pdf</w:t>
      </w:r>
    </w:p>
  </w:footnote>
  <w:footnote w:id="91">
    <w:p w:rsidR="0016168E" w:rsidRPr="0043180C" w:rsidRDefault="0016168E" w:rsidP="003A2FF0">
      <w:pPr>
        <w:pStyle w:val="FootnoteText"/>
        <w:rPr>
          <w:rFonts w:cs="Arial"/>
        </w:rPr>
      </w:pPr>
      <w:r w:rsidRPr="0043180C">
        <w:rPr>
          <w:rStyle w:val="FootnoteReference"/>
          <w:rFonts w:cs="Arial"/>
        </w:rPr>
        <w:footnoteRef/>
      </w:r>
      <w:r w:rsidRPr="0043180C">
        <w:rPr>
          <w:rFonts w:cs="Arial"/>
        </w:rPr>
        <w:t xml:space="preserve"> </w:t>
      </w:r>
      <w:proofErr w:type="gramStart"/>
      <w:r w:rsidRPr="0043180C">
        <w:rPr>
          <w:rFonts w:cs="Arial"/>
        </w:rPr>
        <w:t>EHRC.</w:t>
      </w:r>
      <w:proofErr w:type="gramEnd"/>
      <w:r w:rsidRPr="0043180C">
        <w:rPr>
          <w:rFonts w:cs="Arial"/>
        </w:rPr>
        <w:t xml:space="preserve"> July 2014: </w:t>
      </w:r>
      <w:r w:rsidRPr="00B57AC5">
        <w:rPr>
          <w:rFonts w:cs="Arial"/>
        </w:rPr>
        <w:t>Submission to</w:t>
      </w:r>
      <w:r w:rsidRPr="0043180C">
        <w:rPr>
          <w:rFonts w:cs="Arial"/>
        </w:rPr>
        <w:t xml:space="preserve"> the United Nations Human Rights Committee Pre-Sessional Working Group on the United Kingdom’s Implementation of the International Covenan</w:t>
      </w:r>
      <w:r>
        <w:rPr>
          <w:rFonts w:cs="Arial"/>
        </w:rPr>
        <w:t xml:space="preserve">t on Civil and Political Rights: </w:t>
      </w:r>
      <w:r w:rsidRPr="00F666D3">
        <w:rPr>
          <w:rFonts w:cs="Arial"/>
        </w:rPr>
        <w:t>www.equalityhumanrights.com/sites/default/files/uploads/documents/humanrights/EHRC%20Submission%20to%20UN%20Human%20Rights%20Committee%20Pre-Sessional%20Working%20Group%20on%20UK%20Implementation%20of%20the%20International%20Covenant%20on%20Civil%20and%20Political%20Rights.pdf</w:t>
      </w:r>
    </w:p>
  </w:footnote>
  <w:footnote w:id="92">
    <w:p w:rsidR="0016168E" w:rsidRPr="0043180C" w:rsidRDefault="0016168E" w:rsidP="003A2FF0">
      <w:pPr>
        <w:pStyle w:val="FootnoteText"/>
        <w:rPr>
          <w:rFonts w:cs="Arial"/>
        </w:rPr>
      </w:pPr>
      <w:r w:rsidRPr="0043180C">
        <w:rPr>
          <w:rStyle w:val="FootnoteReference"/>
          <w:rFonts w:cs="Arial"/>
        </w:rPr>
        <w:footnoteRef/>
      </w:r>
      <w:proofErr w:type="gramStart"/>
      <w:r w:rsidRPr="0043180C">
        <w:rPr>
          <w:rFonts w:cs="Arial"/>
        </w:rPr>
        <w:t>EHRC.</w:t>
      </w:r>
      <w:proofErr w:type="gramEnd"/>
      <w:r w:rsidRPr="0043180C">
        <w:rPr>
          <w:rFonts w:cs="Arial"/>
        </w:rPr>
        <w:t xml:space="preserve"> 2014. Response to the Privacy and Sec</w:t>
      </w:r>
      <w:r>
        <w:rPr>
          <w:rFonts w:cs="Arial"/>
        </w:rPr>
        <w:t>urity Inquiry call for evidence</w:t>
      </w:r>
      <w:r w:rsidRPr="0043180C">
        <w:rPr>
          <w:rFonts w:cs="Arial"/>
        </w:rPr>
        <w:t>:</w:t>
      </w:r>
      <w:r w:rsidR="008C67B4">
        <w:rPr>
          <w:rFonts w:cs="Arial"/>
        </w:rPr>
        <w:t xml:space="preserve"> </w:t>
      </w:r>
      <w:r w:rsidRPr="0043180C">
        <w:rPr>
          <w:rFonts w:cs="Arial"/>
        </w:rPr>
        <w:t xml:space="preserve">www.equalityhumanrights.com/legal-and-policy/our-legal-work/consultation-responses/investigatory-powers-review-call-evidence </w:t>
      </w:r>
    </w:p>
  </w:footnote>
  <w:footnote w:id="93">
    <w:p w:rsidR="0016168E" w:rsidRDefault="0016168E" w:rsidP="003A2FF0">
      <w:pPr>
        <w:pStyle w:val="FootnoteText"/>
      </w:pPr>
      <w:r>
        <w:rPr>
          <w:rStyle w:val="FootnoteReference"/>
        </w:rPr>
        <w:footnoteRef/>
      </w:r>
      <w:r>
        <w:t xml:space="preserve"> </w:t>
      </w:r>
      <w:proofErr w:type="gramStart"/>
      <w:r w:rsidRPr="006B26C7">
        <w:t>EHRC.</w:t>
      </w:r>
      <w:proofErr w:type="gramEnd"/>
      <w:r w:rsidRPr="006B26C7">
        <w:t xml:space="preserve"> October 2014. </w:t>
      </w:r>
      <w:proofErr w:type="gramStart"/>
      <w:r w:rsidRPr="006B26C7">
        <w:rPr>
          <w:bCs/>
        </w:rPr>
        <w:t>Response of the Equality and Human Rights Commission to the Consultation.</w:t>
      </w:r>
      <w:proofErr w:type="gramEnd"/>
      <w:r w:rsidRPr="006B26C7">
        <w:rPr>
          <w:bCs/>
        </w:rPr>
        <w:t xml:space="preserve"> </w:t>
      </w:r>
      <w:proofErr w:type="gramStart"/>
      <w:r w:rsidRPr="006B26C7">
        <w:rPr>
          <w:bCs/>
        </w:rPr>
        <w:t>Investigatory Powers Review – Call for Evidence.</w:t>
      </w:r>
      <w:proofErr w:type="gramEnd"/>
    </w:p>
  </w:footnote>
  <w:footnote w:id="94">
    <w:p w:rsidR="0016168E" w:rsidRPr="0043180C" w:rsidRDefault="0016168E" w:rsidP="003A2FF0">
      <w:pPr>
        <w:pStyle w:val="FootnoteText"/>
        <w:rPr>
          <w:rFonts w:cs="Arial"/>
        </w:rPr>
      </w:pPr>
      <w:r w:rsidRPr="0043180C">
        <w:rPr>
          <w:rStyle w:val="FootnoteReference"/>
          <w:rFonts w:cs="Arial"/>
        </w:rPr>
        <w:footnoteRef/>
      </w:r>
      <w:r w:rsidRPr="0043180C">
        <w:rPr>
          <w:rFonts w:cs="Arial"/>
        </w:rPr>
        <w:t xml:space="preserve"> </w:t>
      </w:r>
      <w:proofErr w:type="gramStart"/>
      <w:r w:rsidRPr="0043180C">
        <w:rPr>
          <w:rFonts w:cs="Arial"/>
        </w:rPr>
        <w:t>EHRC.</w:t>
      </w:r>
      <w:proofErr w:type="gramEnd"/>
      <w:r w:rsidRPr="0043180C">
        <w:rPr>
          <w:rFonts w:cs="Arial"/>
        </w:rPr>
        <w:t xml:space="preserve"> 2014. Response to the Privacy and Securi</w:t>
      </w:r>
      <w:r>
        <w:rPr>
          <w:rFonts w:cs="Arial"/>
        </w:rPr>
        <w:t>ty Inquiry call for evidence:</w:t>
      </w:r>
      <w:r w:rsidR="008C67B4">
        <w:rPr>
          <w:rFonts w:cs="Arial"/>
        </w:rPr>
        <w:t xml:space="preserve"> </w:t>
      </w:r>
      <w:r w:rsidRPr="0043180C">
        <w:rPr>
          <w:rFonts w:cs="Arial"/>
        </w:rPr>
        <w:t>www.equalityhumanrights.com/legal-and-policy/our-legal-work/consultation-responses/investigatory-powers-review-call-evidence</w:t>
      </w:r>
    </w:p>
  </w:footnote>
  <w:footnote w:id="95">
    <w:p w:rsidR="0016168E" w:rsidRPr="005E0D96" w:rsidRDefault="0016168E" w:rsidP="005E0D96">
      <w:pPr>
        <w:pStyle w:val="FootnoteText"/>
        <w:rPr>
          <w:rFonts w:cs="Arial"/>
        </w:rPr>
      </w:pPr>
      <w:r w:rsidRPr="0043180C">
        <w:rPr>
          <w:rStyle w:val="FootnoteReference"/>
          <w:rFonts w:cs="Arial"/>
        </w:rPr>
        <w:footnoteRef/>
      </w:r>
      <w:r w:rsidRPr="0043180C">
        <w:rPr>
          <w:rFonts w:cs="Arial"/>
        </w:rPr>
        <w:t xml:space="preserve"> </w:t>
      </w:r>
      <w:r>
        <w:rPr>
          <w:rFonts w:cs="Arial"/>
        </w:rPr>
        <w:t>PT/13/77/H:</w:t>
      </w:r>
      <w:r w:rsidRPr="005E0D96">
        <w:rPr>
          <w:rFonts w:cs="Arial"/>
        </w:rPr>
        <w:t>www.ipt-uk.com/docs/IPT_13_168-173_H.pdf</w:t>
      </w:r>
    </w:p>
    <w:p w:rsidR="0016168E" w:rsidRPr="0043180C" w:rsidRDefault="0016168E" w:rsidP="003A2FF0">
      <w:pPr>
        <w:pStyle w:val="FootnoteText"/>
        <w:rPr>
          <w:rFonts w:cs="Arial"/>
        </w:rPr>
      </w:pPr>
    </w:p>
  </w:footnote>
  <w:footnote w:id="96">
    <w:p w:rsidR="0016168E" w:rsidRPr="0043180C" w:rsidRDefault="0016168E" w:rsidP="003A2FF0">
      <w:pPr>
        <w:pStyle w:val="FootnoteText"/>
        <w:rPr>
          <w:rFonts w:cs="Arial"/>
        </w:rPr>
      </w:pPr>
      <w:r w:rsidRPr="0043180C">
        <w:rPr>
          <w:rStyle w:val="FootnoteReference"/>
          <w:rFonts w:cs="Arial"/>
        </w:rPr>
        <w:footnoteRef/>
      </w:r>
      <w:r w:rsidRPr="0043180C">
        <w:rPr>
          <w:rFonts w:cs="Arial"/>
        </w:rPr>
        <w:t xml:space="preserve"> </w:t>
      </w:r>
      <w:r w:rsidRPr="004E720F">
        <w:rPr>
          <w:rFonts w:cs="Arial"/>
          <w:i/>
        </w:rPr>
        <w:t>Ibid</w:t>
      </w:r>
    </w:p>
  </w:footnote>
  <w:footnote w:id="97">
    <w:p w:rsidR="0016168E" w:rsidRPr="0043180C" w:rsidRDefault="0016168E" w:rsidP="003A2FF0">
      <w:pPr>
        <w:pStyle w:val="FootnoteText"/>
        <w:rPr>
          <w:rFonts w:cs="Arial"/>
        </w:rPr>
      </w:pPr>
      <w:r w:rsidRPr="0043180C">
        <w:rPr>
          <w:rStyle w:val="FootnoteReference"/>
          <w:rFonts w:cs="Arial"/>
        </w:rPr>
        <w:footnoteRef/>
      </w:r>
      <w:r w:rsidRPr="0043180C">
        <w:rPr>
          <w:rFonts w:cs="Arial"/>
        </w:rPr>
        <w:t xml:space="preserve"> </w:t>
      </w:r>
      <w:r w:rsidRPr="005E0D96">
        <w:rPr>
          <w:rFonts w:cs="Arial"/>
          <w:b/>
          <w:bCs/>
        </w:rPr>
        <w:t>[</w:t>
      </w:r>
      <w:r w:rsidRPr="005E0D96">
        <w:rPr>
          <w:rFonts w:cs="Arial"/>
          <w:bCs/>
        </w:rPr>
        <w:t xml:space="preserve">2015] </w:t>
      </w:r>
      <w:proofErr w:type="spellStart"/>
      <w:r w:rsidRPr="005E0D96">
        <w:rPr>
          <w:rFonts w:cs="Arial"/>
          <w:bCs/>
        </w:rPr>
        <w:t>UKIPTrib</w:t>
      </w:r>
      <w:proofErr w:type="spellEnd"/>
      <w:r w:rsidRPr="005E0D96">
        <w:rPr>
          <w:rFonts w:cs="Arial"/>
          <w:bCs/>
        </w:rPr>
        <w:t xml:space="preserve"> 13_77-H</w:t>
      </w:r>
      <w:r w:rsidRPr="005E0D96">
        <w:rPr>
          <w:rFonts w:cs="Arial"/>
        </w:rPr>
        <w:t>:</w:t>
      </w:r>
      <w:r>
        <w:rPr>
          <w:rFonts w:cs="Arial"/>
        </w:rPr>
        <w:t xml:space="preserve"> </w:t>
      </w:r>
      <w:r w:rsidRPr="005E0D96">
        <w:rPr>
          <w:rFonts w:cs="Arial"/>
        </w:rPr>
        <w:t>www.ipt-uk.com/docs/Liberty_Ors_Judgment_6Feb15.pdf; and http://www.ipt-uk.com/docs/Liberty-Order6Feb15.pdf</w:t>
      </w:r>
      <w:r w:rsidRPr="005E0D96" w:rsidDel="005E0D96">
        <w:rPr>
          <w:rFonts w:cs="Arial"/>
        </w:rPr>
        <w:t xml:space="preserve"> </w:t>
      </w:r>
    </w:p>
  </w:footnote>
  <w:footnote w:id="98">
    <w:p w:rsidR="0016168E" w:rsidRPr="0049677A" w:rsidRDefault="0016168E" w:rsidP="002D01E1">
      <w:pPr>
        <w:pStyle w:val="FootnoteText"/>
        <w:rPr>
          <w:rFonts w:cs="Arial"/>
        </w:rPr>
      </w:pPr>
      <w:r w:rsidRPr="0049677A">
        <w:rPr>
          <w:rStyle w:val="FootnoteReference"/>
          <w:rFonts w:cs="Arial"/>
        </w:rPr>
        <w:footnoteRef/>
      </w:r>
      <w:r w:rsidRPr="0049677A">
        <w:rPr>
          <w:rFonts w:cs="Arial"/>
        </w:rPr>
        <w:t xml:space="preserve"> Representation of the People Act 2000:</w:t>
      </w:r>
      <w:hyperlink w:history="1">
        <w:r w:rsidRPr="0049677A">
          <w:rPr>
            <w:rStyle w:val="Hyperlink"/>
            <w:rFonts w:cs="Arial"/>
            <w:color w:val="auto"/>
            <w:u w:val="none"/>
          </w:rPr>
          <w:t xml:space="preserve"> www.legislation.gov.uk/ukpga/2000/2/contents</w:t>
        </w:r>
      </w:hyperlink>
      <w:r w:rsidRPr="0049677A">
        <w:rPr>
          <w:rFonts w:cs="Arial"/>
        </w:rPr>
        <w:t xml:space="preserve"> </w:t>
      </w:r>
    </w:p>
  </w:footnote>
  <w:footnote w:id="99">
    <w:p w:rsidR="0016168E" w:rsidRPr="0049677A" w:rsidRDefault="0016168E">
      <w:pPr>
        <w:pStyle w:val="FootnoteText"/>
      </w:pPr>
      <w:r w:rsidRPr="0049677A">
        <w:rPr>
          <w:rStyle w:val="FootnoteReference"/>
        </w:rPr>
        <w:footnoteRef/>
      </w:r>
      <w:r w:rsidRPr="0049677A">
        <w:t xml:space="preserve"> </w:t>
      </w:r>
      <w:proofErr w:type="gramStart"/>
      <w:r w:rsidRPr="0049677A">
        <w:t>EHRC.</w:t>
      </w:r>
      <w:proofErr w:type="gramEnd"/>
      <w:r w:rsidRPr="0049677A">
        <w:t xml:space="preserve"> July 2014. Equality and Human Rights Commission Submission to the United Nations Human Rights Committee Pre-Sessional Working Group on the United Kingdom’s Implementation of the International Covenant on Civil and Political Rights. P.28: www.equalityhumanrights.com/sites/default/files/uploads/documents/humanrights/EHRC%20Submission%20to%20UN%20Human%20Rights%20Committee%20Pre-Sessional%20Working%20Group%20on%20UK%20Implementation%20of%20the%20International%20Covenant%20on%20Civil%20and%20Political%20Rights.pdf</w:t>
      </w:r>
    </w:p>
  </w:footnote>
  <w:footnote w:id="100">
    <w:p w:rsidR="0016168E" w:rsidRPr="0049677A" w:rsidRDefault="0016168E" w:rsidP="002D01E1">
      <w:pPr>
        <w:pStyle w:val="FootnoteText"/>
        <w:rPr>
          <w:rFonts w:cs="Arial"/>
        </w:rPr>
      </w:pPr>
      <w:r w:rsidRPr="0049677A">
        <w:rPr>
          <w:rStyle w:val="FootnoteReference"/>
          <w:rFonts w:cs="Arial"/>
        </w:rPr>
        <w:footnoteRef/>
      </w:r>
      <w:r w:rsidRPr="0049677A">
        <w:rPr>
          <w:rFonts w:cs="Arial"/>
        </w:rPr>
        <w:t xml:space="preserve"> </w:t>
      </w:r>
      <w:proofErr w:type="spellStart"/>
      <w:r w:rsidRPr="0049677A">
        <w:rPr>
          <w:rFonts w:cs="Arial"/>
        </w:rPr>
        <w:t>Scoppola</w:t>
      </w:r>
      <w:proofErr w:type="spellEnd"/>
      <w:r w:rsidRPr="0049677A">
        <w:rPr>
          <w:rFonts w:cs="Arial"/>
        </w:rPr>
        <w:t xml:space="preserve"> v Italy (No. 3): </w:t>
      </w:r>
      <w:hyperlink r:id="rId32" w:history="1">
        <w:r w:rsidRPr="0049677A">
          <w:rPr>
            <w:rStyle w:val="Hyperlink"/>
            <w:rFonts w:cs="Arial"/>
            <w:color w:val="auto"/>
            <w:u w:val="none"/>
          </w:rPr>
          <w:t>http://hudoc.echr.coe.int/sites/eng/pages/search.aspx?i=001-111044</w:t>
        </w:r>
      </w:hyperlink>
      <w:r w:rsidRPr="0049677A">
        <w:rPr>
          <w:rFonts w:cs="Arial"/>
        </w:rPr>
        <w:t xml:space="preserve"> </w:t>
      </w:r>
    </w:p>
  </w:footnote>
  <w:footnote w:id="101">
    <w:p w:rsidR="0016168E" w:rsidRPr="0049677A" w:rsidRDefault="0016168E" w:rsidP="00BA6118">
      <w:pPr>
        <w:spacing w:after="0"/>
        <w:rPr>
          <w:rFonts w:cs="Arial"/>
          <w:sz w:val="20"/>
          <w:szCs w:val="20"/>
        </w:rPr>
      </w:pPr>
      <w:r w:rsidRPr="0049677A">
        <w:rPr>
          <w:rStyle w:val="FootnoteReference"/>
          <w:rFonts w:cs="Arial"/>
          <w:sz w:val="20"/>
          <w:szCs w:val="20"/>
        </w:rPr>
        <w:footnoteRef/>
      </w:r>
      <w:r w:rsidRPr="0049677A">
        <w:rPr>
          <w:rFonts w:cs="Arial"/>
          <w:sz w:val="20"/>
          <w:szCs w:val="20"/>
        </w:rPr>
        <w:t xml:space="preserve"> Firth and Others v. United Kingdom, Application nos. 47784/09, August </w:t>
      </w:r>
      <w:proofErr w:type="gramStart"/>
      <w:r w:rsidRPr="0049677A">
        <w:rPr>
          <w:rFonts w:cs="Arial"/>
          <w:sz w:val="20"/>
          <w:szCs w:val="20"/>
        </w:rPr>
        <w:t>2014 ;</w:t>
      </w:r>
      <w:proofErr w:type="gramEnd"/>
      <w:r w:rsidRPr="0049677A">
        <w:rPr>
          <w:rFonts w:cs="Arial"/>
          <w:sz w:val="20"/>
          <w:szCs w:val="20"/>
        </w:rPr>
        <w:t xml:space="preserve"> McHugh and others v. UK Application no. 51987/08 and 1,014 others, February 2015.</w:t>
      </w:r>
    </w:p>
  </w:footnote>
  <w:footnote w:id="102">
    <w:p w:rsidR="0016168E" w:rsidRPr="0049677A" w:rsidRDefault="0016168E" w:rsidP="00BA6118">
      <w:pPr>
        <w:pStyle w:val="FootnoteText"/>
        <w:rPr>
          <w:rFonts w:cs="Arial"/>
        </w:rPr>
      </w:pPr>
      <w:r w:rsidRPr="0049677A">
        <w:rPr>
          <w:rStyle w:val="FootnoteReference"/>
          <w:rFonts w:cs="Arial"/>
        </w:rPr>
        <w:footnoteRef/>
      </w:r>
      <w:r w:rsidRPr="0049677A">
        <w:rPr>
          <w:rFonts w:cs="Arial"/>
        </w:rPr>
        <w:t xml:space="preserve"> Ibid.</w:t>
      </w:r>
    </w:p>
  </w:footnote>
  <w:footnote w:id="103">
    <w:p w:rsidR="0016168E" w:rsidRPr="0043180C" w:rsidRDefault="0016168E" w:rsidP="002D01E1">
      <w:pPr>
        <w:pStyle w:val="FootnoteText"/>
        <w:rPr>
          <w:rFonts w:cs="Arial"/>
        </w:rPr>
      </w:pPr>
      <w:r w:rsidRPr="0049677A">
        <w:rPr>
          <w:rStyle w:val="FootnoteReference"/>
          <w:rFonts w:cs="Arial"/>
        </w:rPr>
        <w:footnoteRef/>
      </w:r>
      <w:r w:rsidRPr="0049677A">
        <w:rPr>
          <w:rFonts w:cs="Arial"/>
        </w:rPr>
        <w:t xml:space="preserve"> Joint Committee on the Voting Eligibility (Prisoners) Draft Bill, 2013: </w:t>
      </w:r>
      <w:hyperlink r:id="rId33" w:history="1">
        <w:r w:rsidRPr="0049677A">
          <w:rPr>
            <w:rStyle w:val="Hyperlink"/>
            <w:rFonts w:cs="Arial"/>
            <w:color w:val="auto"/>
            <w:u w:val="none"/>
          </w:rPr>
          <w:t>www.publications.parliament.uk/pa/jt201314/jtselect/jtdraftvoting/103/10302.htm</w:t>
        </w:r>
      </w:hyperlink>
      <w:r w:rsidRPr="0049677A">
        <w:rPr>
          <w:rFonts w:cs="Arial"/>
        </w:rPr>
        <w:t xml:space="preserve"> </w:t>
      </w:r>
    </w:p>
  </w:footnote>
  <w:footnote w:id="104">
    <w:p w:rsidR="0016168E" w:rsidRPr="0049677A" w:rsidRDefault="0016168E" w:rsidP="002D01E1">
      <w:pPr>
        <w:pStyle w:val="FootnoteText"/>
        <w:rPr>
          <w:rFonts w:cs="Arial"/>
        </w:rPr>
      </w:pPr>
      <w:r w:rsidRPr="0049677A">
        <w:rPr>
          <w:rStyle w:val="FootnoteReference"/>
          <w:rFonts w:cs="Arial"/>
        </w:rPr>
        <w:footnoteRef/>
      </w:r>
      <w:r w:rsidRPr="0049677A">
        <w:rPr>
          <w:rFonts w:cs="Arial"/>
        </w:rPr>
        <w:t xml:space="preserve"> </w:t>
      </w:r>
      <w:proofErr w:type="spellStart"/>
      <w:proofErr w:type="gramStart"/>
      <w:r w:rsidRPr="0049677A">
        <w:rPr>
          <w:rFonts w:cs="Arial"/>
        </w:rPr>
        <w:t>MoJ</w:t>
      </w:r>
      <w:proofErr w:type="spellEnd"/>
      <w:r w:rsidRPr="0049677A">
        <w:rPr>
          <w:rFonts w:cs="Arial"/>
        </w:rPr>
        <w:t>.</w:t>
      </w:r>
      <w:proofErr w:type="gramEnd"/>
      <w:r w:rsidRPr="0049677A">
        <w:rPr>
          <w:rFonts w:cs="Arial"/>
        </w:rPr>
        <w:t xml:space="preserve"> December 2015. </w:t>
      </w:r>
      <w:proofErr w:type="gramStart"/>
      <w:r w:rsidRPr="0049677A">
        <w:rPr>
          <w:rFonts w:cs="Arial"/>
        </w:rPr>
        <w:t>Responding to human rights judgments.</w:t>
      </w:r>
      <w:proofErr w:type="gramEnd"/>
      <w:r w:rsidRPr="0049677A">
        <w:rPr>
          <w:rFonts w:cs="Arial"/>
        </w:rPr>
        <w:t xml:space="preserve"> Report to the Joint Committee on Human Rights on the Government response to human rights judgments 2013–14: www.gov.uk/government/uploads/system/uploads/attachment_data/file/389272/responding-to-human-rights-judgments-2013-2014.pdf</w:t>
      </w:r>
    </w:p>
  </w:footnote>
  <w:footnote w:id="105">
    <w:p w:rsidR="0016168E" w:rsidRPr="0049677A" w:rsidRDefault="0016168E" w:rsidP="002D01E1">
      <w:pPr>
        <w:pStyle w:val="FootnoteText"/>
        <w:rPr>
          <w:rFonts w:cs="Arial"/>
        </w:rPr>
      </w:pPr>
      <w:r w:rsidRPr="0049677A">
        <w:rPr>
          <w:rStyle w:val="FootnoteReference"/>
          <w:rFonts w:cs="Arial"/>
        </w:rPr>
        <w:footnoteRef/>
      </w:r>
      <w:r w:rsidRPr="0049677A">
        <w:rPr>
          <w:rFonts w:cs="Arial"/>
        </w:rPr>
        <w:t xml:space="preserve"> Concluding Observations of the Human Rights Committee for the United Kingdom of Great Britain and Northern Ireland, 30 July 2008, para 28: </w:t>
      </w:r>
      <w:hyperlink r:id="rId34" w:history="1">
        <w:r w:rsidRPr="0049677A">
          <w:rPr>
            <w:rStyle w:val="Hyperlink"/>
            <w:rFonts w:cs="Arial"/>
            <w:color w:val="auto"/>
            <w:u w:val="none"/>
          </w:rPr>
          <w:t>http://tbinternet.ohchr.org/_layouts/treatybodyexternal/Download.aspx?symbolno=CCPR%2fC%2fGBR%2fCO%2f6&amp;Lang=en</w:t>
        </w:r>
      </w:hyperlink>
      <w:r w:rsidRPr="0049677A">
        <w:rPr>
          <w:rFonts w:cs="Arial"/>
        </w:rPr>
        <w:t xml:space="preserve"> </w:t>
      </w:r>
    </w:p>
  </w:footnote>
  <w:footnote w:id="106">
    <w:p w:rsidR="0016168E" w:rsidRPr="0043180C" w:rsidRDefault="0016168E" w:rsidP="002D01E1">
      <w:pPr>
        <w:pStyle w:val="FootnoteText"/>
        <w:rPr>
          <w:rFonts w:cs="Arial"/>
        </w:rPr>
      </w:pPr>
      <w:r w:rsidRPr="0049677A">
        <w:rPr>
          <w:rStyle w:val="FootnoteReference"/>
          <w:rFonts w:cs="Arial"/>
        </w:rPr>
        <w:footnoteRef/>
      </w:r>
      <w:r w:rsidRPr="0049677A">
        <w:rPr>
          <w:rFonts w:cs="Arial"/>
        </w:rPr>
        <w:t xml:space="preserve"> http://www.equalityhumanrights.com/legal-and-policy/key-legislatures/equality-act-2010/commission-policy-statement-on-caste-discrimination</w:t>
      </w:r>
    </w:p>
  </w:footnote>
  <w:footnote w:id="107">
    <w:p w:rsidR="0016168E" w:rsidRPr="0043180C" w:rsidRDefault="0016168E" w:rsidP="002D01E1">
      <w:pPr>
        <w:pStyle w:val="FootnoteText"/>
        <w:rPr>
          <w:rFonts w:cs="Arial"/>
        </w:rPr>
      </w:pPr>
      <w:r w:rsidRPr="0043180C">
        <w:rPr>
          <w:rStyle w:val="FootnoteReference"/>
          <w:rFonts w:cs="Arial"/>
        </w:rPr>
        <w:footnoteRef/>
      </w:r>
      <w:r w:rsidRPr="0043180C">
        <w:rPr>
          <w:rFonts w:cs="Arial"/>
        </w:rPr>
        <w:t xml:space="preserve"> https://www.gov.uk/government/news/caste-discrimination-consultation-programme-timetable-announced</w:t>
      </w:r>
    </w:p>
  </w:footnote>
  <w:footnote w:id="108">
    <w:p w:rsidR="0016168E" w:rsidRPr="0043180C" w:rsidRDefault="0016168E" w:rsidP="002D01E1">
      <w:pPr>
        <w:pStyle w:val="FootnoteText"/>
        <w:rPr>
          <w:rFonts w:cs="Arial"/>
        </w:rPr>
      </w:pPr>
      <w:r w:rsidRPr="0043180C">
        <w:rPr>
          <w:rStyle w:val="FootnoteReference"/>
          <w:rFonts w:cs="Arial"/>
        </w:rPr>
        <w:footnoteRef/>
      </w:r>
      <w:r w:rsidRPr="0043180C">
        <w:rPr>
          <w:rFonts w:cs="Arial"/>
        </w:rPr>
        <w:t xml:space="preserve"> See the summary of the legislative process to date at http://www.lawandreligionuk.com/2014/04/12/caste-discrimination-the-governments-progress/ </w:t>
      </w:r>
    </w:p>
  </w:footnote>
  <w:footnote w:id="109">
    <w:p w:rsidR="0016168E" w:rsidRPr="0043180C" w:rsidRDefault="0016168E" w:rsidP="002D01E1">
      <w:pPr>
        <w:pStyle w:val="FootnoteText"/>
        <w:rPr>
          <w:rFonts w:cs="Arial"/>
        </w:rPr>
      </w:pPr>
      <w:r w:rsidRPr="0043180C">
        <w:rPr>
          <w:rStyle w:val="FootnoteReference"/>
          <w:rFonts w:cs="Arial"/>
        </w:rPr>
        <w:footnoteRef/>
      </w:r>
      <w:r w:rsidR="008C67B4">
        <w:rPr>
          <w:rFonts w:cs="Arial"/>
        </w:rPr>
        <w:t xml:space="preserve"> </w:t>
      </w:r>
      <w:r w:rsidRPr="0043180C">
        <w:rPr>
          <w:rFonts w:cs="Arial"/>
        </w:rPr>
        <w:t xml:space="preserve">[1983] ICR 385 </w:t>
      </w:r>
    </w:p>
  </w:footnote>
  <w:footnote w:id="110">
    <w:p w:rsidR="0016168E" w:rsidRPr="0043180C" w:rsidRDefault="0016168E" w:rsidP="002D01E1">
      <w:pPr>
        <w:autoSpaceDE w:val="0"/>
        <w:autoSpaceDN w:val="0"/>
        <w:adjustRightInd w:val="0"/>
        <w:spacing w:after="0"/>
        <w:rPr>
          <w:rFonts w:cs="Arial"/>
          <w:bCs/>
          <w:sz w:val="20"/>
          <w:szCs w:val="20"/>
          <w:lang w:eastAsia="en-GB"/>
        </w:rPr>
      </w:pPr>
      <w:r w:rsidRPr="0043180C">
        <w:rPr>
          <w:rStyle w:val="FootnoteReference"/>
          <w:rFonts w:cs="Arial"/>
          <w:sz w:val="20"/>
          <w:szCs w:val="20"/>
        </w:rPr>
        <w:footnoteRef/>
      </w:r>
      <w:r w:rsidRPr="0043180C">
        <w:rPr>
          <w:rFonts w:cs="Arial"/>
          <w:sz w:val="20"/>
          <w:szCs w:val="20"/>
        </w:rPr>
        <w:t xml:space="preserve"> </w:t>
      </w:r>
      <w:r w:rsidRPr="0043180C">
        <w:rPr>
          <w:rFonts w:cs="Arial"/>
          <w:bCs/>
          <w:sz w:val="20"/>
          <w:szCs w:val="20"/>
          <w:lang w:eastAsia="en-GB"/>
        </w:rPr>
        <w:t xml:space="preserve">R (on the application of E) (Respondent) </w:t>
      </w:r>
      <w:r w:rsidRPr="0043180C">
        <w:rPr>
          <w:rFonts w:cs="Arial"/>
          <w:bCs/>
          <w:i/>
          <w:iCs/>
          <w:sz w:val="20"/>
          <w:szCs w:val="20"/>
          <w:lang w:eastAsia="en-GB"/>
        </w:rPr>
        <w:t xml:space="preserve">v </w:t>
      </w:r>
      <w:r w:rsidRPr="0043180C">
        <w:rPr>
          <w:rFonts w:cs="Arial"/>
          <w:bCs/>
          <w:sz w:val="20"/>
          <w:szCs w:val="20"/>
          <w:lang w:eastAsia="en-GB"/>
        </w:rPr>
        <w:t xml:space="preserve">Governing Body of JFS and the Admissions Appeal Panel of JFS (Appellants)and others R (on the application of E) (Respondent) </w:t>
      </w:r>
      <w:r w:rsidRPr="0043180C">
        <w:rPr>
          <w:rFonts w:cs="Arial"/>
          <w:bCs/>
          <w:i/>
          <w:iCs/>
          <w:sz w:val="20"/>
          <w:szCs w:val="20"/>
          <w:lang w:eastAsia="en-GB"/>
        </w:rPr>
        <w:t xml:space="preserve">v </w:t>
      </w:r>
      <w:r w:rsidRPr="0043180C">
        <w:rPr>
          <w:rFonts w:cs="Arial"/>
          <w:bCs/>
          <w:sz w:val="20"/>
          <w:szCs w:val="20"/>
          <w:lang w:eastAsia="en-GB"/>
        </w:rPr>
        <w:t>Governing Body</w:t>
      </w:r>
    </w:p>
    <w:p w:rsidR="0016168E" w:rsidRPr="0043180C" w:rsidRDefault="0016168E" w:rsidP="002D01E1">
      <w:pPr>
        <w:autoSpaceDE w:val="0"/>
        <w:autoSpaceDN w:val="0"/>
        <w:adjustRightInd w:val="0"/>
        <w:spacing w:after="0"/>
        <w:rPr>
          <w:rFonts w:cs="Arial"/>
          <w:sz w:val="20"/>
          <w:szCs w:val="20"/>
        </w:rPr>
      </w:pPr>
      <w:r w:rsidRPr="0043180C">
        <w:rPr>
          <w:rFonts w:cs="Arial"/>
          <w:bCs/>
          <w:sz w:val="20"/>
          <w:szCs w:val="20"/>
          <w:lang w:eastAsia="en-GB"/>
        </w:rPr>
        <w:t>of JFS and the Admissions Appeal Panel of JFS and others (United Synagogue) (Appellants) [2009] UKSC 15</w:t>
      </w:r>
    </w:p>
  </w:footnote>
  <w:footnote w:id="111">
    <w:p w:rsidR="0016168E" w:rsidRPr="0049677A" w:rsidRDefault="0016168E">
      <w:pPr>
        <w:pStyle w:val="FootnoteText"/>
      </w:pPr>
      <w:r w:rsidRPr="0049677A">
        <w:rPr>
          <w:rStyle w:val="FootnoteReference"/>
        </w:rPr>
        <w:footnoteRef/>
      </w:r>
      <w:r w:rsidRPr="0049677A">
        <w:t xml:space="preserve"> </w:t>
      </w:r>
      <w:proofErr w:type="gramStart"/>
      <w:r w:rsidRPr="0049677A">
        <w:t>EHRC.</w:t>
      </w:r>
      <w:proofErr w:type="gramEnd"/>
      <w:r w:rsidRPr="0049677A">
        <w:t xml:space="preserve"> July 2014. Equality and Human Rights Commission Submission to the United Nations Human Rights Committee Pre-Sessional Working Group on the United Kingdom’s Implementation of the International Covenant on Civil and Political Rights. P.29: www.equalityhumanrights.com/sites/default/files/uploads/documents/humanrights/EHRC%20Submission%20to%20UN%20Human%20Rights%20Committee%20Pre-Sessional%20Working%20Group%20on%20UK%20Implementation%20of%20the%20International%20Covenant%20on%20Civil%20and%20Political%20Rights.pdf</w:t>
      </w:r>
    </w:p>
  </w:footnote>
  <w:footnote w:id="112">
    <w:p w:rsidR="0016168E" w:rsidRPr="0049677A" w:rsidRDefault="0016168E" w:rsidP="00505C5F">
      <w:pPr>
        <w:pStyle w:val="FootnoteText"/>
        <w:rPr>
          <w:rFonts w:cs="Arial"/>
        </w:rPr>
      </w:pPr>
      <w:r w:rsidRPr="0049677A">
        <w:rPr>
          <w:rStyle w:val="FootnoteReference"/>
          <w:rFonts w:cs="Arial"/>
        </w:rPr>
        <w:footnoteRef/>
      </w:r>
      <w:r w:rsidRPr="0049677A">
        <w:rPr>
          <w:rFonts w:cs="Arial"/>
        </w:rPr>
        <w:t xml:space="preserve"> Statement made by the Justice Secretary to the House of Commons, </w:t>
      </w:r>
      <w:proofErr w:type="spellStart"/>
      <w:r w:rsidRPr="0049677A">
        <w:rPr>
          <w:rFonts w:cs="Arial"/>
        </w:rPr>
        <w:t>Hansard</w:t>
      </w:r>
      <w:proofErr w:type="spellEnd"/>
      <w:r w:rsidRPr="0049677A">
        <w:rPr>
          <w:rFonts w:cs="Arial"/>
        </w:rPr>
        <w:t xml:space="preserve"> HC, col 752, 18 January 2012: </w:t>
      </w:r>
      <w:hyperlink r:id="rId35" w:history="1">
        <w:r w:rsidRPr="0049677A">
          <w:rPr>
            <w:rStyle w:val="Hyperlink"/>
            <w:rFonts w:cs="Arial"/>
            <w:color w:val="auto"/>
            <w:u w:val="none"/>
          </w:rPr>
          <w:t>www.publications.parliament.uk/pa/cm201212/cmhansrd/cm120118/debtext/120118-0001.htm</w:t>
        </w:r>
      </w:hyperlink>
      <w:r w:rsidRPr="0049677A">
        <w:rPr>
          <w:rFonts w:cs="Arial"/>
        </w:rPr>
        <w:t xml:space="preserve"> </w:t>
      </w:r>
    </w:p>
  </w:footnote>
  <w:footnote w:id="113">
    <w:p w:rsidR="0016168E" w:rsidRPr="0049677A" w:rsidRDefault="0016168E" w:rsidP="00505C5F">
      <w:pPr>
        <w:pStyle w:val="FootnoteText"/>
        <w:rPr>
          <w:rFonts w:cs="Arial"/>
        </w:rPr>
      </w:pPr>
      <w:r w:rsidRPr="0049677A">
        <w:rPr>
          <w:rStyle w:val="FootnoteReference"/>
          <w:rFonts w:cs="Arial"/>
        </w:rPr>
        <w:footnoteRef/>
      </w:r>
      <w:r w:rsidRPr="0049677A">
        <w:rPr>
          <w:rFonts w:cs="Arial"/>
        </w:rPr>
        <w:t xml:space="preserve"> Joint Statement by the Director of Public Prosecutions and the Metropolitan Police Service, 12 January 2012: </w:t>
      </w:r>
      <w:hyperlink r:id="rId36" w:history="1">
        <w:r w:rsidRPr="0049677A">
          <w:rPr>
            <w:rStyle w:val="Hyperlink"/>
            <w:rFonts w:cs="Arial"/>
            <w:color w:val="auto"/>
            <w:u w:val="none"/>
          </w:rPr>
          <w:t>http://content.met.police.uk/News/Joint-statement-by-MPS-and-DPP/1400005902978/1257246741786</w:t>
        </w:r>
      </w:hyperlink>
      <w:r w:rsidRPr="0049677A">
        <w:rPr>
          <w:rFonts w:cs="Arial"/>
        </w:rPr>
        <w:t xml:space="preserve"> </w:t>
      </w:r>
    </w:p>
  </w:footnote>
  <w:footnote w:id="114">
    <w:p w:rsidR="0016168E" w:rsidRPr="0049677A" w:rsidRDefault="0016168E" w:rsidP="00505C5F">
      <w:pPr>
        <w:pStyle w:val="FootnoteText"/>
        <w:rPr>
          <w:rFonts w:cs="Arial"/>
        </w:rPr>
      </w:pPr>
      <w:r w:rsidRPr="0049677A">
        <w:rPr>
          <w:rStyle w:val="FootnoteReference"/>
          <w:rFonts w:cs="Arial"/>
        </w:rPr>
        <w:footnoteRef/>
      </w:r>
      <w:r w:rsidRPr="0049677A">
        <w:rPr>
          <w:rFonts w:cs="Arial"/>
        </w:rPr>
        <w:t xml:space="preserve"> Report of the Detainee Inquiry, 19 December 2013: </w:t>
      </w:r>
      <w:hyperlink r:id="rId37" w:history="1">
        <w:r w:rsidRPr="0049677A">
          <w:rPr>
            <w:rStyle w:val="Hyperlink"/>
            <w:rFonts w:cs="Arial"/>
            <w:color w:val="auto"/>
            <w:u w:val="none"/>
          </w:rPr>
          <w:t>www.detaineeinquiry.org.uk/wp-content/uploads/2013/12/35100_Trafalgar-Text-accessible.pdf</w:t>
        </w:r>
      </w:hyperlink>
      <w:r w:rsidRPr="0049677A">
        <w:rPr>
          <w:rFonts w:cs="Arial"/>
        </w:rPr>
        <w:t xml:space="preserve"> </w:t>
      </w:r>
    </w:p>
  </w:footnote>
  <w:footnote w:id="115">
    <w:p w:rsidR="0016168E" w:rsidRPr="0043180C" w:rsidRDefault="0016168E" w:rsidP="00505C5F">
      <w:pPr>
        <w:pStyle w:val="FootnoteText"/>
        <w:rPr>
          <w:rFonts w:cs="Arial"/>
        </w:rPr>
      </w:pPr>
      <w:r w:rsidRPr="0049677A">
        <w:rPr>
          <w:rStyle w:val="FootnoteReference"/>
          <w:rFonts w:cs="Arial"/>
        </w:rPr>
        <w:footnoteRef/>
      </w:r>
      <w:r w:rsidRPr="0049677A">
        <w:rPr>
          <w:rFonts w:cs="Arial"/>
        </w:rPr>
        <w:t xml:space="preserve"> Statement to the House of Commons by the Minister without Portfolio, 13 December 2013: </w:t>
      </w:r>
      <w:hyperlink r:id="rId38" w:history="1">
        <w:r w:rsidRPr="0049677A">
          <w:rPr>
            <w:rStyle w:val="Hyperlink"/>
            <w:rFonts w:cs="Arial"/>
            <w:color w:val="auto"/>
            <w:u w:val="none"/>
          </w:rPr>
          <w:t>www.publications.parliament.uk/pa/cm201314/cmhansrd/cm131219/debtext/131219-0002.htm</w:t>
        </w:r>
      </w:hyperlink>
      <w:r w:rsidRPr="0049677A">
        <w:rPr>
          <w:rFonts w:cs="Arial"/>
        </w:rPr>
        <w:t xml:space="preserve"> </w:t>
      </w:r>
    </w:p>
  </w:footnote>
  <w:footnote w:id="116">
    <w:p w:rsidR="0016168E" w:rsidRPr="0043180C" w:rsidRDefault="0016168E" w:rsidP="00D7791F">
      <w:pPr>
        <w:pStyle w:val="FootnoteText"/>
      </w:pPr>
      <w:r w:rsidRPr="0043180C">
        <w:rPr>
          <w:rStyle w:val="FootnoteReference"/>
        </w:rPr>
        <w:footnoteRef/>
      </w:r>
      <w:r w:rsidRPr="0043180C">
        <w:t xml:space="preserve"> </w:t>
      </w:r>
      <w:proofErr w:type="gramStart"/>
      <w:r>
        <w:t>EHRC.</w:t>
      </w:r>
      <w:proofErr w:type="gramEnd"/>
      <w:r>
        <w:t xml:space="preserve"> October 2014.</w:t>
      </w:r>
      <w:r w:rsidRPr="0043180C">
        <w:t xml:space="preserve"> Further Inquiry into the role of the UK Government and Security and Intelligence Agencies in relation to detainee treatment and rendition – Call for Evidence</w:t>
      </w:r>
      <w:r>
        <w:t xml:space="preserve">: </w:t>
      </w:r>
      <w:r w:rsidRPr="0043180C">
        <w:t xml:space="preserve">Inquiry into the role of the UK Government and Security and Intelligence Agencies in relation to detainee treatment and rendition. </w:t>
      </w:r>
    </w:p>
  </w:footnote>
  <w:footnote w:id="117">
    <w:p w:rsidR="0016168E" w:rsidRPr="0043180C" w:rsidRDefault="0016168E" w:rsidP="00505C5F">
      <w:pPr>
        <w:pStyle w:val="FootnoteText"/>
        <w:rPr>
          <w:rFonts w:cs="Arial"/>
        </w:rPr>
      </w:pPr>
      <w:r w:rsidRPr="0043180C">
        <w:rPr>
          <w:rStyle w:val="FootnoteReference"/>
          <w:rFonts w:cs="Arial"/>
        </w:rPr>
        <w:footnoteRef/>
      </w:r>
      <w:r w:rsidRPr="0043180C">
        <w:rPr>
          <w:rFonts w:cs="Arial"/>
        </w:rPr>
        <w:t xml:space="preserve"> https://b1cba9b3-a-5e6631fd-s-sites.googlegroups.com/a/independent.gov.uk/isc/files/20141217_ISC_Press_Release_Senate_Report.pdf?attachauth=ANoY7cr1GRCuyEeHBocIztciwQ-kwWJofP0TD9epNond6KkWZI24t_GN9WloUnT8mwPJflzN84PmNg1CmrPTS6IQbVII88Z1NPE_DruKgsnLc8C16N-_S_H0I49L88AMk_kPKa4lFHFdUyfIn7MsjnhzpgOTiyrJGKEDffWgmtLGiJC5OSVf-g3HvV1FS2Xe1rSoRTffgBtHXmAtZI4XS4tP2Uc7icQNNDDbAChYcAnDxcyjutTOlhKFfRI2UlpEtMpXDFWmnReU&amp;attredirects=0 </w:t>
      </w:r>
    </w:p>
  </w:footnote>
  <w:footnote w:id="118">
    <w:p w:rsidR="0016168E" w:rsidRDefault="0016168E">
      <w:pPr>
        <w:pStyle w:val="FootnoteText"/>
      </w:pPr>
      <w:r>
        <w:rPr>
          <w:rStyle w:val="FootnoteReference"/>
        </w:rPr>
        <w:footnoteRef/>
      </w:r>
      <w:r>
        <w:t xml:space="preserve"> </w:t>
      </w:r>
      <w:proofErr w:type="gramStart"/>
      <w:r>
        <w:t>EHRC.</w:t>
      </w:r>
      <w:proofErr w:type="gramEnd"/>
      <w:r>
        <w:t xml:space="preserve"> July 2014. </w:t>
      </w:r>
      <w:r w:rsidRPr="00D73066">
        <w:rPr>
          <w:bCs/>
        </w:rPr>
        <w:t>Submission to the United Nations Human Rights Committee Pre-Sessional Working Group on the United Kingdom’s Implementation of the International Covenant on Civil and Political Rights</w:t>
      </w:r>
      <w:r>
        <w:rPr>
          <w:bCs/>
        </w:rPr>
        <w:t xml:space="preserve">. P.31: </w:t>
      </w:r>
      <w:r w:rsidRPr="00C75B98">
        <w:rPr>
          <w:bCs/>
        </w:rPr>
        <w:t>www.equalityhumanrights.com/sites/default/files/uploads/documents/humanrights/EHRC%20Submission%20to%20UN%20Human%20Rights%20Committee%20Pre-Sessional%20Working%20Group%20on%20UK%20Implementation%20of%20the%20International%20Covenant%20on%20Civil%20and%20Political%20Rights.pdf</w:t>
      </w:r>
    </w:p>
  </w:footnote>
  <w:footnote w:id="119">
    <w:p w:rsidR="0016168E" w:rsidRPr="0043180C" w:rsidRDefault="0016168E" w:rsidP="00505C5F">
      <w:pPr>
        <w:pStyle w:val="FootnoteText"/>
        <w:rPr>
          <w:rFonts w:cs="Arial"/>
        </w:rPr>
      </w:pPr>
      <w:r w:rsidRPr="0043180C">
        <w:rPr>
          <w:rStyle w:val="FootnoteReference"/>
          <w:rFonts w:cs="Arial"/>
        </w:rPr>
        <w:footnoteRef/>
      </w:r>
      <w:r w:rsidRPr="0043180C">
        <w:rPr>
          <w:rFonts w:cs="Arial"/>
        </w:rPr>
        <w:t xml:space="preserve"> More information about the Iraq Historic Allegations Team is available here: </w:t>
      </w:r>
      <w:hyperlink r:id="rId39" w:history="1">
        <w:r w:rsidRPr="0049677A">
          <w:rPr>
            <w:rStyle w:val="Hyperlink"/>
            <w:rFonts w:cs="Arial"/>
            <w:color w:val="auto"/>
            <w:u w:val="none"/>
          </w:rPr>
          <w:t>https://www.gov.uk/government/groups/iraq-historic-allegations-team-ihat</w:t>
        </w:r>
      </w:hyperlink>
      <w:r w:rsidRPr="0049677A">
        <w:rPr>
          <w:rFonts w:cs="Arial"/>
        </w:rPr>
        <w:t xml:space="preserve"> </w:t>
      </w:r>
    </w:p>
  </w:footnote>
  <w:footnote w:id="120">
    <w:p w:rsidR="0016168E" w:rsidRPr="0049677A" w:rsidRDefault="0016168E">
      <w:pPr>
        <w:pStyle w:val="FootnoteText"/>
      </w:pPr>
      <w:r w:rsidRPr="0049677A">
        <w:rPr>
          <w:rStyle w:val="FootnoteReference"/>
        </w:rPr>
        <w:footnoteRef/>
      </w:r>
      <w:r w:rsidRPr="0049677A">
        <w:t xml:space="preserve">Ministry of Defence, Iraq Historic Investigations Team, Table of Work Completed, January 2015: </w:t>
      </w:r>
      <w:hyperlink r:id="rId40" w:history="1">
        <w:r w:rsidRPr="0049677A">
          <w:rPr>
            <w:rStyle w:val="Hyperlink"/>
            <w:color w:val="auto"/>
            <w:u w:val="none"/>
          </w:rPr>
          <w:t>www.gov.uk/government/uploads/system/uploads/attachment_data/file/393634/20150106-IHAT_work_completed_table.pdf</w:t>
        </w:r>
      </w:hyperlink>
      <w:r w:rsidRPr="0049677A">
        <w:t xml:space="preserve"> </w:t>
      </w:r>
    </w:p>
  </w:footnote>
  <w:footnote w:id="121">
    <w:p w:rsidR="0016168E" w:rsidRPr="0049677A" w:rsidRDefault="0016168E" w:rsidP="00505C5F">
      <w:pPr>
        <w:pStyle w:val="FootnoteText"/>
        <w:rPr>
          <w:rFonts w:cs="Arial"/>
        </w:rPr>
      </w:pPr>
      <w:r w:rsidRPr="0049677A">
        <w:rPr>
          <w:rStyle w:val="FootnoteReference"/>
          <w:rFonts w:cs="Arial"/>
        </w:rPr>
        <w:footnoteRef/>
      </w:r>
      <w:r w:rsidRPr="0049677A">
        <w:rPr>
          <w:rFonts w:cs="Arial"/>
        </w:rPr>
        <w:t xml:space="preserve">Al </w:t>
      </w:r>
      <w:proofErr w:type="spellStart"/>
      <w:r w:rsidRPr="0049677A">
        <w:rPr>
          <w:rFonts w:cs="Arial"/>
        </w:rPr>
        <w:t>Skeini</w:t>
      </w:r>
      <w:proofErr w:type="spellEnd"/>
      <w:r w:rsidRPr="0049677A">
        <w:rPr>
          <w:rFonts w:cs="Arial"/>
        </w:rPr>
        <w:t xml:space="preserve"> v. United Kingdom: </w:t>
      </w:r>
      <w:hyperlink r:id="rId41" w:history="1">
        <w:r w:rsidRPr="0049677A">
          <w:rPr>
            <w:rStyle w:val="Hyperlink"/>
            <w:rFonts w:cs="Arial"/>
            <w:color w:val="auto"/>
            <w:u w:val="none"/>
          </w:rPr>
          <w:t>http://hudoc.echr.coe.int/sites/eng/pages/search.aspx?i=001-105606</w:t>
        </w:r>
      </w:hyperlink>
      <w:r w:rsidR="008C67B4">
        <w:rPr>
          <w:rFonts w:cs="Arial"/>
        </w:rPr>
        <w:t xml:space="preserve"> </w:t>
      </w:r>
    </w:p>
    <w:p w:rsidR="0016168E" w:rsidRPr="0049677A" w:rsidRDefault="0016168E" w:rsidP="00505C5F">
      <w:pPr>
        <w:pStyle w:val="FootnoteText"/>
        <w:rPr>
          <w:rFonts w:cs="Arial"/>
        </w:rPr>
      </w:pPr>
      <w:r w:rsidRPr="0049677A">
        <w:rPr>
          <w:rFonts w:cs="Arial"/>
        </w:rPr>
        <w:t xml:space="preserve">EHRC intervention in R(Ali </w:t>
      </w:r>
      <w:proofErr w:type="spellStart"/>
      <w:r w:rsidRPr="0049677A">
        <w:rPr>
          <w:rFonts w:cs="Arial"/>
        </w:rPr>
        <w:t>Zaki</w:t>
      </w:r>
      <w:proofErr w:type="spellEnd"/>
      <w:r w:rsidRPr="0049677A">
        <w:rPr>
          <w:rFonts w:cs="Arial"/>
        </w:rPr>
        <w:t xml:space="preserve"> </w:t>
      </w:r>
      <w:proofErr w:type="spellStart"/>
      <w:r w:rsidRPr="0049677A">
        <w:rPr>
          <w:rFonts w:cs="Arial"/>
        </w:rPr>
        <w:t>Mousa</w:t>
      </w:r>
      <w:proofErr w:type="spellEnd"/>
      <w:r w:rsidRPr="0049677A">
        <w:rPr>
          <w:rFonts w:cs="Arial"/>
        </w:rPr>
        <w:t xml:space="preserve"> and others v. Secretary of State for Defence [2010] EWHC 3304 (Admin): </w:t>
      </w:r>
      <w:hyperlink r:id="rId42" w:history="1">
        <w:r w:rsidRPr="0049677A">
          <w:rPr>
            <w:rStyle w:val="Hyperlink"/>
            <w:rFonts w:cs="Arial"/>
            <w:color w:val="auto"/>
            <w:u w:val="none"/>
          </w:rPr>
          <w:t>bailii.org/</w:t>
        </w:r>
        <w:proofErr w:type="spellStart"/>
        <w:r w:rsidRPr="0049677A">
          <w:rPr>
            <w:rStyle w:val="Hyperlink"/>
            <w:rFonts w:cs="Arial"/>
            <w:color w:val="auto"/>
            <w:u w:val="none"/>
          </w:rPr>
          <w:t>ew</w:t>
        </w:r>
        <w:proofErr w:type="spellEnd"/>
        <w:r w:rsidRPr="0049677A">
          <w:rPr>
            <w:rStyle w:val="Hyperlink"/>
            <w:rFonts w:cs="Arial"/>
            <w:color w:val="auto"/>
            <w:u w:val="none"/>
          </w:rPr>
          <w:t>/cases/EWHC/Admin/2010/3304.html</w:t>
        </w:r>
      </w:hyperlink>
      <w:r w:rsidRPr="0049677A">
        <w:rPr>
          <w:rFonts w:cs="Arial"/>
        </w:rPr>
        <w:t xml:space="preserve"> </w:t>
      </w:r>
    </w:p>
  </w:footnote>
  <w:footnote w:id="122">
    <w:p w:rsidR="0016168E" w:rsidRPr="0049677A" w:rsidRDefault="0016168E" w:rsidP="00505C5F">
      <w:pPr>
        <w:pStyle w:val="FootnoteText"/>
        <w:rPr>
          <w:rFonts w:cs="Arial"/>
        </w:rPr>
      </w:pPr>
      <w:r w:rsidRPr="0049677A">
        <w:rPr>
          <w:rStyle w:val="FootnoteReference"/>
          <w:rFonts w:cs="Arial"/>
        </w:rPr>
        <w:footnoteRef/>
      </w:r>
      <w:r w:rsidRPr="0049677A">
        <w:rPr>
          <w:rFonts w:cs="Arial"/>
        </w:rPr>
        <w:t xml:space="preserve"> R(Ali </w:t>
      </w:r>
      <w:proofErr w:type="spellStart"/>
      <w:r w:rsidRPr="0049677A">
        <w:rPr>
          <w:rFonts w:cs="Arial"/>
        </w:rPr>
        <w:t>Zaki</w:t>
      </w:r>
      <w:proofErr w:type="spellEnd"/>
      <w:r w:rsidRPr="0049677A">
        <w:rPr>
          <w:rFonts w:cs="Arial"/>
        </w:rPr>
        <w:t xml:space="preserve"> </w:t>
      </w:r>
      <w:proofErr w:type="spellStart"/>
      <w:r w:rsidRPr="0049677A">
        <w:rPr>
          <w:rFonts w:cs="Arial"/>
        </w:rPr>
        <w:t>Mousa</w:t>
      </w:r>
      <w:proofErr w:type="spellEnd"/>
      <w:r w:rsidRPr="0049677A">
        <w:rPr>
          <w:rFonts w:cs="Arial"/>
        </w:rPr>
        <w:t xml:space="preserve"> and others v. Secretary of State for Defence No. 2 [2013] EWHC 1412 (admin): </w:t>
      </w:r>
      <w:hyperlink r:id="rId43" w:history="1">
        <w:r w:rsidRPr="0049677A">
          <w:rPr>
            <w:rStyle w:val="Hyperlink"/>
            <w:rFonts w:cs="Arial"/>
            <w:color w:val="auto"/>
            <w:u w:val="none"/>
          </w:rPr>
          <w:t>www.judiciary.gov.uk/judgments/azm-others-v-sos-defence/</w:t>
        </w:r>
      </w:hyperlink>
      <w:r w:rsidRPr="0049677A">
        <w:rPr>
          <w:rFonts w:cs="Arial"/>
        </w:rPr>
        <w:t xml:space="preserve"> </w:t>
      </w:r>
    </w:p>
  </w:footnote>
  <w:footnote w:id="123">
    <w:p w:rsidR="0016168E" w:rsidRPr="0049677A" w:rsidRDefault="0016168E">
      <w:pPr>
        <w:pStyle w:val="FootnoteText"/>
      </w:pPr>
      <w:r w:rsidRPr="0049677A">
        <w:rPr>
          <w:rStyle w:val="FootnoteReference"/>
        </w:rPr>
        <w:footnoteRef/>
      </w:r>
      <w:r w:rsidRPr="0049677A">
        <w:t xml:space="preserve"> </w:t>
      </w:r>
      <w:r w:rsidRPr="0049677A">
        <w:rPr>
          <w:rFonts w:cs="Arial"/>
          <w:i/>
          <w:sz w:val="18"/>
          <w:szCs w:val="18"/>
        </w:rPr>
        <w:t xml:space="preserve">R. (Ali </w:t>
      </w:r>
      <w:proofErr w:type="spellStart"/>
      <w:r w:rsidRPr="0049677A">
        <w:rPr>
          <w:rFonts w:cs="Arial"/>
          <w:i/>
          <w:sz w:val="18"/>
          <w:szCs w:val="18"/>
        </w:rPr>
        <w:t>Zaki</w:t>
      </w:r>
      <w:proofErr w:type="spellEnd"/>
      <w:r w:rsidRPr="0049677A">
        <w:rPr>
          <w:rFonts w:cs="Arial"/>
          <w:i/>
          <w:sz w:val="18"/>
          <w:szCs w:val="18"/>
        </w:rPr>
        <w:t xml:space="preserve"> </w:t>
      </w:r>
      <w:proofErr w:type="spellStart"/>
      <w:r w:rsidRPr="0049677A">
        <w:rPr>
          <w:rFonts w:cs="Arial"/>
          <w:i/>
          <w:sz w:val="18"/>
          <w:szCs w:val="18"/>
        </w:rPr>
        <w:t>Mousa</w:t>
      </w:r>
      <w:proofErr w:type="spellEnd"/>
      <w:r w:rsidRPr="0049677A">
        <w:rPr>
          <w:rFonts w:cs="Arial"/>
          <w:i/>
          <w:sz w:val="18"/>
          <w:szCs w:val="18"/>
        </w:rPr>
        <w:t>) and others v Secretary of State for Defence</w:t>
      </w:r>
      <w:r w:rsidRPr="0049677A">
        <w:rPr>
          <w:rFonts w:cs="Arial"/>
          <w:sz w:val="18"/>
          <w:szCs w:val="18"/>
        </w:rPr>
        <w:t xml:space="preserve"> No. 2 [2013] EWHC 1412 (Admin): </w:t>
      </w:r>
      <w:hyperlink r:id="rId44" w:history="1">
        <w:r w:rsidRPr="0049677A">
          <w:rPr>
            <w:rStyle w:val="Hyperlink"/>
            <w:rFonts w:cs="Arial"/>
            <w:color w:val="auto"/>
            <w:sz w:val="18"/>
            <w:szCs w:val="18"/>
            <w:u w:val="none"/>
          </w:rPr>
          <w:t>www.judiciary.gov.uk/judgments/azm-others-v-sos-defence/</w:t>
        </w:r>
      </w:hyperlink>
    </w:p>
  </w:footnote>
  <w:footnote w:id="124">
    <w:p w:rsidR="0016168E" w:rsidRPr="0043180C" w:rsidRDefault="0016168E" w:rsidP="00505C5F">
      <w:pPr>
        <w:pStyle w:val="FootnoteText"/>
        <w:rPr>
          <w:rFonts w:cs="Arial"/>
        </w:rPr>
      </w:pPr>
      <w:r w:rsidRPr="0049677A">
        <w:rPr>
          <w:rStyle w:val="FootnoteReference"/>
          <w:rFonts w:cs="Arial"/>
        </w:rPr>
        <w:footnoteRef/>
      </w:r>
      <w:r w:rsidRPr="0049677A">
        <w:rPr>
          <w:rFonts w:cs="Arial"/>
        </w:rPr>
        <w:t xml:space="preserve"> The summary report: http://webarchive.nationalarchives.gov.uk/20150115114702/http://www.alsweadyinquiry.org/linkedfiles/alsweadyinquiry/inquiryreportexecutivesummary.pdf </w:t>
      </w:r>
    </w:p>
  </w:footnote>
  <w:footnote w:id="125">
    <w:p w:rsidR="0016168E" w:rsidRPr="0049677A" w:rsidRDefault="0016168E">
      <w:pPr>
        <w:pStyle w:val="FootnoteText"/>
      </w:pPr>
      <w:r w:rsidRPr="0049677A">
        <w:rPr>
          <w:rStyle w:val="FootnoteReference"/>
        </w:rPr>
        <w:footnoteRef/>
      </w:r>
      <w:r w:rsidRPr="0049677A">
        <w:t xml:space="preserve"> </w:t>
      </w:r>
      <w:proofErr w:type="gramStart"/>
      <w:r w:rsidRPr="0049677A">
        <w:t>The Al-</w:t>
      </w:r>
      <w:proofErr w:type="spellStart"/>
      <w:r w:rsidRPr="0049677A">
        <w:t>Sweady</w:t>
      </w:r>
      <w:proofErr w:type="spellEnd"/>
      <w:r w:rsidRPr="0049677A">
        <w:t xml:space="preserve"> Public Inquiry.</w:t>
      </w:r>
      <w:proofErr w:type="gramEnd"/>
      <w:r w:rsidRPr="0049677A">
        <w:t xml:space="preserve"> December 2014: www.gov.uk/government/uploads/system/uploads/attachment_data/file/388307/43358_16c_Part_5_Chapter_3.pdf</w:t>
      </w:r>
    </w:p>
  </w:footnote>
  <w:footnote w:id="126">
    <w:p w:rsidR="0016168E" w:rsidRPr="0043180C" w:rsidRDefault="0016168E" w:rsidP="00505C5F">
      <w:pPr>
        <w:pStyle w:val="FootnoteText"/>
        <w:rPr>
          <w:rFonts w:cs="Arial"/>
        </w:rPr>
      </w:pPr>
      <w:r w:rsidRPr="0049677A">
        <w:rPr>
          <w:rStyle w:val="FootnoteReference"/>
          <w:rFonts w:cs="Arial"/>
        </w:rPr>
        <w:footnoteRef/>
      </w:r>
      <w:r w:rsidRPr="0049677A">
        <w:rPr>
          <w:rFonts w:cs="Arial"/>
        </w:rPr>
        <w:t xml:space="preserve"> House of Commons Foreign Affairs Committee Third Report of Session 2012-13, the FCO’s human rights work in 2011, HC 116: </w:t>
      </w:r>
      <w:hyperlink r:id="rId45" w:history="1">
        <w:r w:rsidRPr="0049677A">
          <w:rPr>
            <w:rStyle w:val="Hyperlink"/>
            <w:rFonts w:cs="Arial"/>
            <w:color w:val="auto"/>
            <w:u w:val="none"/>
          </w:rPr>
          <w:t>http://www.publications.parliament.uk/pa/cm201213/cmselect/cmfaff/116/116.pdf</w:t>
        </w:r>
      </w:hyperlink>
      <w:r w:rsidRPr="0049677A">
        <w:rPr>
          <w:rFonts w:cs="Arial"/>
        </w:rPr>
        <w:t xml:space="preserve"> </w:t>
      </w:r>
    </w:p>
  </w:footnote>
  <w:footnote w:id="127">
    <w:p w:rsidR="0016168E" w:rsidRDefault="0016168E" w:rsidP="00DA0C6C">
      <w:pPr>
        <w:pStyle w:val="FootnoteText"/>
      </w:pPr>
      <w:r>
        <w:rPr>
          <w:rStyle w:val="FootnoteReference"/>
        </w:rPr>
        <w:footnoteRef/>
      </w:r>
      <w:r>
        <w:t xml:space="preserve"> </w:t>
      </w:r>
      <w:proofErr w:type="gramStart"/>
      <w:r>
        <w:t>UK Visas and Immigration.</w:t>
      </w:r>
      <w:proofErr w:type="gramEnd"/>
      <w:r>
        <w:t xml:space="preserve"> 2013.Enforcement Instructions and Guidance: </w:t>
      </w:r>
      <w:r w:rsidRPr="00907927">
        <w:t>www.gov.uk/government/uploads/system/uploads/attachment_data/file/400022/Chapter55_external_v19.pdf</w:t>
      </w:r>
    </w:p>
  </w:footnote>
  <w:footnote w:id="128">
    <w:p w:rsidR="0016168E" w:rsidRDefault="0016168E" w:rsidP="00DA0C6C">
      <w:pPr>
        <w:pStyle w:val="FootnoteText"/>
      </w:pPr>
      <w:r>
        <w:rPr>
          <w:rStyle w:val="FootnoteReference"/>
        </w:rPr>
        <w:footnoteRef/>
      </w:r>
      <w:r>
        <w:t xml:space="preserve"> </w:t>
      </w:r>
      <w:proofErr w:type="gramStart"/>
      <w:r>
        <w:t>Home Office.</w:t>
      </w:r>
      <w:proofErr w:type="gramEnd"/>
      <w:r>
        <w:t xml:space="preserve"> Immigration Statistics October to December 2014, Table dt_01: </w:t>
      </w:r>
      <w:r w:rsidRPr="00214784">
        <w:t>www.gov.uk/government/publications/immigration-statistics-october-to-december-2014/immigration-statistics-october-to-december-2014</w:t>
      </w:r>
    </w:p>
  </w:footnote>
  <w:footnote w:id="129">
    <w:p w:rsidR="0016168E" w:rsidRDefault="0016168E" w:rsidP="00DA0C6C">
      <w:pPr>
        <w:pStyle w:val="FootnoteText"/>
      </w:pPr>
      <w:r>
        <w:rPr>
          <w:rStyle w:val="FootnoteReference"/>
        </w:rPr>
        <w:footnoteRef/>
      </w:r>
      <w:r>
        <w:t xml:space="preserve"> </w:t>
      </w:r>
      <w:proofErr w:type="gramStart"/>
      <w:r>
        <w:t>Home Office.</w:t>
      </w:r>
      <w:proofErr w:type="gramEnd"/>
      <w:r w:rsidR="008C67B4">
        <w:t xml:space="preserve"> </w:t>
      </w:r>
      <w:proofErr w:type="gramStart"/>
      <w:r>
        <w:t>Immigration Statistics.</w:t>
      </w:r>
      <w:proofErr w:type="gramEnd"/>
      <w:r>
        <w:t xml:space="preserve"> October-December 2014: </w:t>
      </w:r>
      <w:r w:rsidRPr="00F25C09">
        <w:t>www.gov.uk/government/publications/immigration-statistics-october-to-december-2014/immigration-statistics-october-to-december-2014#detention-1</w:t>
      </w:r>
    </w:p>
  </w:footnote>
  <w:footnote w:id="130">
    <w:p w:rsidR="0016168E" w:rsidRDefault="0016168E" w:rsidP="00DA0C6C">
      <w:pPr>
        <w:pStyle w:val="FootnoteText"/>
      </w:pPr>
      <w:r>
        <w:rPr>
          <w:rStyle w:val="FootnoteReference"/>
        </w:rPr>
        <w:footnoteRef/>
      </w:r>
      <w:r>
        <w:t xml:space="preserve"> See for example, A Joint Inquiry by the All P</w:t>
      </w:r>
      <w:r w:rsidRPr="00237CF6">
        <w:t xml:space="preserve">arty Parliamentary Group on Refugees &amp; the All Party Parliamentary Group on Migration. 2015. The report of the inquiry into the Use of Immigration Detention </w:t>
      </w:r>
      <w:r>
        <w:t xml:space="preserve">in the United Kingdom. </w:t>
      </w:r>
      <w:r w:rsidRPr="0039718F">
        <w:t>https://detentioninquiry.files.wordpress.com/2015/03/immigration-detention-inquiry-report.pdf</w:t>
      </w:r>
    </w:p>
  </w:footnote>
  <w:footnote w:id="131">
    <w:p w:rsidR="0016168E" w:rsidRDefault="0016168E" w:rsidP="00DA0C6C">
      <w:pPr>
        <w:pStyle w:val="FootnoteText"/>
      </w:pPr>
      <w:r>
        <w:rPr>
          <w:rStyle w:val="FootnoteReference"/>
        </w:rPr>
        <w:footnoteRef/>
      </w:r>
      <w:r>
        <w:t xml:space="preserve"> </w:t>
      </w:r>
      <w:proofErr w:type="gramStart"/>
      <w:r>
        <w:t>EHRC.</w:t>
      </w:r>
      <w:proofErr w:type="gramEnd"/>
      <w:r>
        <w:t xml:space="preserve"> July 2014. Submission to the United Nations Human Rights Committee Pre-Sessional Working Group on the United Kingdom’s Implementation of the International Covenant on Civil and Political Rights. </w:t>
      </w:r>
      <w:proofErr w:type="gramStart"/>
      <w:r>
        <w:t>Page 35.</w:t>
      </w:r>
      <w:proofErr w:type="gramEnd"/>
    </w:p>
  </w:footnote>
  <w:footnote w:id="132">
    <w:p w:rsidR="0016168E" w:rsidRPr="0049677A" w:rsidRDefault="0016168E" w:rsidP="00DA0C6C">
      <w:pPr>
        <w:pStyle w:val="FootnoteText"/>
      </w:pPr>
      <w:r w:rsidRPr="0049677A">
        <w:rPr>
          <w:rStyle w:val="FootnoteReference"/>
        </w:rPr>
        <w:footnoteRef/>
      </w:r>
      <w:r w:rsidRPr="0049677A">
        <w:t xml:space="preserve"> Detention Action v Secretary of State for the Home Department [2014] EWHC 2245 (Admin) (09 July 2014), available at: </w:t>
      </w:r>
      <w:hyperlink r:id="rId46" w:history="1">
        <w:r w:rsidRPr="0049677A">
          <w:rPr>
            <w:rStyle w:val="Hyperlink"/>
            <w:color w:val="auto"/>
            <w:u w:val="none"/>
          </w:rPr>
          <w:t>www.bailii.org/ew/cases/EWHC/Admin/2014/2245.html</w:t>
        </w:r>
      </w:hyperlink>
      <w:r w:rsidRPr="0049677A">
        <w:t>;and</w:t>
      </w:r>
    </w:p>
    <w:p w:rsidR="0016168E" w:rsidRPr="0049677A" w:rsidRDefault="0016168E" w:rsidP="00DA0C6C">
      <w:pPr>
        <w:pStyle w:val="FootnoteText"/>
      </w:pPr>
      <w:r w:rsidRPr="0049677A">
        <w:t xml:space="preserve">Helen </w:t>
      </w:r>
      <w:proofErr w:type="spellStart"/>
      <w:r w:rsidRPr="0049677A">
        <w:t>Bamber</w:t>
      </w:r>
      <w:proofErr w:type="spellEnd"/>
      <w:r w:rsidRPr="0049677A">
        <w:t xml:space="preserve"> Foundation and Freedom from Torture letter to the Director of Asylum and Head of Asylum Detained Casework, Home Office. 28 November 2014. Court Bundle.</w:t>
      </w:r>
    </w:p>
  </w:footnote>
  <w:footnote w:id="133">
    <w:p w:rsidR="0016168E" w:rsidRPr="0049677A" w:rsidRDefault="0016168E" w:rsidP="00DA0C6C">
      <w:pPr>
        <w:pStyle w:val="FootnoteText"/>
      </w:pPr>
      <w:r w:rsidRPr="0049677A">
        <w:rPr>
          <w:rStyle w:val="FootnoteReference"/>
        </w:rPr>
        <w:footnoteRef/>
      </w:r>
      <w:r w:rsidRPr="0049677A">
        <w:t xml:space="preserve"> Helen </w:t>
      </w:r>
      <w:proofErr w:type="spellStart"/>
      <w:r w:rsidRPr="0049677A">
        <w:t>Bamber</w:t>
      </w:r>
      <w:proofErr w:type="spellEnd"/>
      <w:r w:rsidRPr="0049677A">
        <w:t xml:space="preserve"> Foundation and Freedom from Torture letter to the Director of Asylum and Head of Asylum Detained Casework, Home Office. 28 November 2014. Court Bundle</w:t>
      </w:r>
    </w:p>
  </w:footnote>
  <w:footnote w:id="134">
    <w:p w:rsidR="0016168E" w:rsidRPr="0049677A" w:rsidRDefault="0016168E" w:rsidP="00DA0C6C">
      <w:pPr>
        <w:pStyle w:val="FootnoteText"/>
      </w:pPr>
      <w:r w:rsidRPr="0049677A">
        <w:rPr>
          <w:rStyle w:val="FootnoteReference"/>
        </w:rPr>
        <w:footnoteRef/>
      </w:r>
      <w:r w:rsidRPr="0049677A">
        <w:t xml:space="preserve"> </w:t>
      </w:r>
      <w:hyperlink r:id="rId47" w:history="1">
        <w:r w:rsidRPr="0049677A">
          <w:rPr>
            <w:rStyle w:val="Hyperlink"/>
            <w:color w:val="auto"/>
            <w:u w:val="none"/>
          </w:rPr>
          <w:t>http://www.bailii.org/ew/cases/EWHC/Admin/2013/1236.html</w:t>
        </w:r>
      </w:hyperlink>
    </w:p>
  </w:footnote>
  <w:footnote w:id="135">
    <w:p w:rsidR="0016168E" w:rsidRPr="0049677A" w:rsidRDefault="0016168E" w:rsidP="00DA0C6C">
      <w:pPr>
        <w:pStyle w:val="FootnoteText"/>
      </w:pPr>
      <w:r w:rsidRPr="0049677A">
        <w:rPr>
          <w:rStyle w:val="FootnoteReference"/>
        </w:rPr>
        <w:footnoteRef/>
      </w:r>
      <w:r w:rsidRPr="0049677A">
        <w:t xml:space="preserve"> </w:t>
      </w:r>
      <w:proofErr w:type="gramStart"/>
      <w:r w:rsidRPr="0049677A">
        <w:t>Home Office.</w:t>
      </w:r>
      <w:proofErr w:type="gramEnd"/>
      <w:r w:rsidRPr="0049677A">
        <w:t xml:space="preserve"> Detention Services Order 17/2012: https://www.gov.uk/government/uploads/system/uploads/attachment_data/file/300366/17.2012_v2.0_-_Application_of_Detention_Centre_Rule_35_ext.pdf</w:t>
      </w:r>
    </w:p>
  </w:footnote>
  <w:footnote w:id="136">
    <w:p w:rsidR="0016168E" w:rsidRPr="0049677A" w:rsidRDefault="0016168E" w:rsidP="00DA0C6C">
      <w:pPr>
        <w:pStyle w:val="FootnoteText"/>
      </w:pPr>
      <w:r w:rsidRPr="0049677A">
        <w:rPr>
          <w:rStyle w:val="FootnoteReference"/>
        </w:rPr>
        <w:footnoteRef/>
      </w:r>
      <w:r w:rsidRPr="0049677A">
        <w:t xml:space="preserve"> </w:t>
      </w:r>
      <w:proofErr w:type="gramStart"/>
      <w:r w:rsidRPr="0049677A">
        <w:t>Home Office.</w:t>
      </w:r>
      <w:proofErr w:type="gramEnd"/>
      <w:r w:rsidRPr="0049677A">
        <w:t xml:space="preserve"> January 2014. Asylum Policy Instruction</w:t>
      </w:r>
    </w:p>
    <w:p w:rsidR="0016168E" w:rsidRDefault="0016168E" w:rsidP="00DA0C6C">
      <w:pPr>
        <w:pStyle w:val="FootnoteText"/>
      </w:pPr>
      <w:r>
        <w:t xml:space="preserve">Medico-Legal Reports from the Helen </w:t>
      </w:r>
      <w:proofErr w:type="spellStart"/>
      <w:r>
        <w:t>Bamber</w:t>
      </w:r>
      <w:proofErr w:type="spellEnd"/>
      <w:r>
        <w:t xml:space="preserve"> Foundation and the Medical Foundation Medico-Legal Report Service www.gov.uk/government/uploads/system/uploads/attachment_data/file/275522/medico-legal.pdf</w:t>
      </w:r>
    </w:p>
  </w:footnote>
  <w:footnote w:id="137">
    <w:p w:rsidR="0016168E" w:rsidRDefault="0016168E" w:rsidP="00DA0C6C">
      <w:pPr>
        <w:pStyle w:val="FootnoteText"/>
      </w:pPr>
      <w:r>
        <w:rPr>
          <w:rStyle w:val="FootnoteReference"/>
        </w:rPr>
        <w:footnoteRef/>
      </w:r>
      <w:r>
        <w:t xml:space="preserve"> Helen </w:t>
      </w:r>
      <w:proofErr w:type="spellStart"/>
      <w:r>
        <w:t>Bamber</w:t>
      </w:r>
      <w:proofErr w:type="spellEnd"/>
      <w:r>
        <w:t xml:space="preserve"> Foundation and Freedom from Torture letter to the Director of Asylum and Head of Asylum Detained Casework, Home Office. 28 November 2014. Court Bundle</w:t>
      </w:r>
    </w:p>
  </w:footnote>
  <w:footnote w:id="138">
    <w:p w:rsidR="0016168E" w:rsidRDefault="0016168E" w:rsidP="00DA0C6C">
      <w:pPr>
        <w:pStyle w:val="FootnoteText"/>
      </w:pPr>
      <w:r>
        <w:rPr>
          <w:rStyle w:val="FootnoteReference"/>
        </w:rPr>
        <w:footnoteRef/>
      </w:r>
      <w:r>
        <w:t xml:space="preserve"> </w:t>
      </w:r>
      <w:r w:rsidRPr="00684FFB">
        <w:rPr>
          <w:i/>
        </w:rPr>
        <w:t>Ibid.</w:t>
      </w:r>
    </w:p>
  </w:footnote>
  <w:footnote w:id="139">
    <w:p w:rsidR="0016168E" w:rsidRDefault="0016168E" w:rsidP="00DA0C6C">
      <w:pPr>
        <w:pStyle w:val="FootnoteText"/>
      </w:pPr>
      <w:r>
        <w:rPr>
          <w:rStyle w:val="FootnoteReference"/>
        </w:rPr>
        <w:footnoteRef/>
      </w:r>
      <w:r>
        <w:t xml:space="preserve"> </w:t>
      </w:r>
      <w:proofErr w:type="gramStart"/>
      <w:r>
        <w:t xml:space="preserve">Letter from Helen </w:t>
      </w:r>
      <w:proofErr w:type="spellStart"/>
      <w:r>
        <w:t>Bamber</w:t>
      </w:r>
      <w:proofErr w:type="spellEnd"/>
      <w:r>
        <w:t xml:space="preserve"> Foundation to the Director of Duncan Lewis Solicitors, 23 February 2015 (Legal Bundle).</w:t>
      </w:r>
      <w:proofErr w:type="gramEnd"/>
    </w:p>
  </w:footnote>
  <w:footnote w:id="140">
    <w:p w:rsidR="0016168E" w:rsidRDefault="0016168E" w:rsidP="00DA0C6C">
      <w:pPr>
        <w:pStyle w:val="FootnoteText"/>
      </w:pPr>
      <w:r>
        <w:rPr>
          <w:rStyle w:val="FootnoteReference"/>
        </w:rPr>
        <w:footnoteRef/>
      </w:r>
      <w:r>
        <w:t xml:space="preserve"> </w:t>
      </w:r>
      <w:r w:rsidRPr="00D41261">
        <w:rPr>
          <w:i/>
        </w:rPr>
        <w:t>Ibid</w:t>
      </w:r>
      <w:r>
        <w:rPr>
          <w:i/>
        </w:rPr>
        <w:t>.</w:t>
      </w:r>
    </w:p>
  </w:footnote>
  <w:footnote w:id="141">
    <w:p w:rsidR="0016168E" w:rsidRDefault="0016168E" w:rsidP="00DA0C6C">
      <w:pPr>
        <w:pStyle w:val="FootnoteText"/>
      </w:pPr>
      <w:r>
        <w:rPr>
          <w:rStyle w:val="FootnoteReference"/>
        </w:rPr>
        <w:footnoteRef/>
      </w:r>
      <w:r>
        <w:t xml:space="preserve"> Interim Relief Order, 26 March 2015. </w:t>
      </w:r>
      <w:proofErr w:type="gramStart"/>
      <w:r>
        <w:t>High Court.</w:t>
      </w:r>
      <w:proofErr w:type="gramEnd"/>
      <w:r>
        <w:t xml:space="preserve"> </w:t>
      </w:r>
    </w:p>
  </w:footnote>
  <w:footnote w:id="142">
    <w:p w:rsidR="0016168E" w:rsidRDefault="0016168E" w:rsidP="00DA0C6C">
      <w:pPr>
        <w:pStyle w:val="FootnoteText"/>
      </w:pPr>
      <w:r>
        <w:rPr>
          <w:rStyle w:val="FootnoteReference"/>
        </w:rPr>
        <w:footnoteRef/>
      </w:r>
      <w:r>
        <w:t xml:space="preserve"> </w:t>
      </w:r>
      <w:r w:rsidRPr="00237CF6">
        <w:t xml:space="preserve">A Joint Inquiry by the </w:t>
      </w:r>
      <w:proofErr w:type="spellStart"/>
      <w:proofErr w:type="gramStart"/>
      <w:r w:rsidRPr="00237CF6">
        <w:t>All</w:t>
      </w:r>
      <w:proofErr w:type="gramEnd"/>
      <w:r w:rsidRPr="00237CF6">
        <w:t xml:space="preserve"> party</w:t>
      </w:r>
      <w:proofErr w:type="spellEnd"/>
      <w:r w:rsidRPr="00237CF6">
        <w:t xml:space="preserve"> Parliamentary Group on Refugees &amp; the All Party Parliamentary Group on Migration. 2015. The report of the inquiry into the Use of Immigration Detention </w:t>
      </w:r>
      <w:r>
        <w:t xml:space="preserve">in the United Kingdom. P.39. </w:t>
      </w:r>
      <w:r w:rsidRPr="0039718F">
        <w:t>https://detentioninquiry.files.wordpress.com/2015/03/immigration-detention-inquiry-report.pdf</w:t>
      </w:r>
    </w:p>
  </w:footnote>
  <w:footnote w:id="143">
    <w:p w:rsidR="0016168E" w:rsidRDefault="0016168E" w:rsidP="00DA0C6C">
      <w:pPr>
        <w:pStyle w:val="FootnoteText"/>
      </w:pPr>
      <w:r>
        <w:rPr>
          <w:rStyle w:val="FootnoteReference"/>
        </w:rPr>
        <w:footnoteRef/>
      </w:r>
      <w:r>
        <w:t xml:space="preserve"> </w:t>
      </w:r>
      <w:proofErr w:type="gramStart"/>
      <w:r>
        <w:t xml:space="preserve">R (Detention Action) v UK [2014] EWCA </w:t>
      </w:r>
      <w:proofErr w:type="spellStart"/>
      <w:r>
        <w:t>Civ</w:t>
      </w:r>
      <w:proofErr w:type="spellEnd"/>
      <w:r>
        <w:t xml:space="preserve"> 1634.</w:t>
      </w:r>
      <w:proofErr w:type="gramEnd"/>
    </w:p>
  </w:footnote>
  <w:footnote w:id="144">
    <w:p w:rsidR="0016168E" w:rsidRDefault="0016168E" w:rsidP="00DA0C6C">
      <w:pPr>
        <w:pStyle w:val="FootnoteText"/>
      </w:pPr>
      <w:r>
        <w:rPr>
          <w:rStyle w:val="FootnoteReference"/>
        </w:rPr>
        <w:footnoteRef/>
      </w:r>
      <w:r>
        <w:t xml:space="preserve"> </w:t>
      </w:r>
      <w:r>
        <w:rPr>
          <w:i/>
        </w:rPr>
        <w:t>Ibid.</w:t>
      </w:r>
    </w:p>
  </w:footnote>
  <w:footnote w:id="145">
    <w:p w:rsidR="0016168E" w:rsidRDefault="0016168E" w:rsidP="00DA0C6C">
      <w:pPr>
        <w:pStyle w:val="FootnoteText"/>
      </w:pPr>
      <w:r>
        <w:rPr>
          <w:rStyle w:val="FootnoteReference"/>
        </w:rPr>
        <w:footnoteRef/>
      </w:r>
      <w:r>
        <w:t xml:space="preserve"> Equality and Human Rights Commission, Human Rights Review, 2011, available at: </w:t>
      </w:r>
      <w:hyperlink r:id="rId48" w:history="1">
        <w:r w:rsidRPr="0049677A">
          <w:rPr>
            <w:rStyle w:val="Hyperlink"/>
            <w:color w:val="auto"/>
            <w:u w:val="none"/>
          </w:rPr>
          <w:t>www.equalityhumanrights.com/about-us/our-work/human-rights/human-rights-review-2012/key-areas-improvement/immigration-procedures-and-detention</w:t>
        </w:r>
      </w:hyperlink>
      <w:r w:rsidRPr="0049677A">
        <w:t xml:space="preserve"> </w:t>
      </w:r>
    </w:p>
  </w:footnote>
  <w:footnote w:id="146">
    <w:p w:rsidR="0016168E" w:rsidRDefault="0016168E" w:rsidP="00DA0C6C">
      <w:pPr>
        <w:pStyle w:val="FootnoteText"/>
      </w:pPr>
      <w:r>
        <w:rPr>
          <w:rStyle w:val="FootnoteReference"/>
        </w:rPr>
        <w:footnoteRef/>
      </w:r>
      <w:r>
        <w:t xml:space="preserve"> </w:t>
      </w:r>
      <w:proofErr w:type="gramStart"/>
      <w:r w:rsidRPr="0039718F">
        <w:t>UNHCR</w:t>
      </w:r>
      <w:r>
        <w:t>.</w:t>
      </w:r>
      <w:proofErr w:type="gramEnd"/>
      <w:r>
        <w:t xml:space="preserve"> 2012).</w:t>
      </w:r>
      <w:r w:rsidRPr="0039718F">
        <w:t>Detention Guidelines: Guidelines on the Applicable Criteria and Standar</w:t>
      </w:r>
      <w:r>
        <w:t xml:space="preserve">ds relating to the Detention of </w:t>
      </w:r>
      <w:r w:rsidRPr="0039718F">
        <w:t>Asylum-Seekers and Alt</w:t>
      </w:r>
      <w:r>
        <w:t xml:space="preserve">ernatives to Detention: </w:t>
      </w:r>
      <w:r w:rsidRPr="0039718F">
        <w:t>www.unhcr.org/505b10ee9.html</w:t>
      </w:r>
    </w:p>
  </w:footnote>
  <w:footnote w:id="147">
    <w:p w:rsidR="0016168E" w:rsidRDefault="0016168E" w:rsidP="00DA0C6C">
      <w:pPr>
        <w:pStyle w:val="FootnoteText"/>
      </w:pPr>
      <w:r>
        <w:rPr>
          <w:rStyle w:val="FootnoteReference"/>
        </w:rPr>
        <w:footnoteRef/>
      </w:r>
      <w:r>
        <w:t xml:space="preserve"> European Returns Directive 2008. </w:t>
      </w:r>
      <w:r w:rsidRPr="00237CF6">
        <w:t>http://eur-lex.europa.eu/LexUriServ/LexUriServ.do?uri=OJ:L:2008:348:0098:0107:EN:PDF</w:t>
      </w:r>
    </w:p>
  </w:footnote>
  <w:footnote w:id="148">
    <w:p w:rsidR="0016168E" w:rsidRDefault="0016168E" w:rsidP="00DA0C6C">
      <w:pPr>
        <w:pStyle w:val="FootnoteText"/>
      </w:pPr>
      <w:r>
        <w:rPr>
          <w:rStyle w:val="FootnoteReference"/>
        </w:rPr>
        <w:footnoteRef/>
      </w:r>
      <w:r>
        <w:t xml:space="preserve"> </w:t>
      </w:r>
      <w:r w:rsidRPr="00237CF6">
        <w:t xml:space="preserve">A Joint Inquiry by the </w:t>
      </w:r>
      <w:proofErr w:type="spellStart"/>
      <w:proofErr w:type="gramStart"/>
      <w:r w:rsidRPr="00237CF6">
        <w:t>All</w:t>
      </w:r>
      <w:proofErr w:type="gramEnd"/>
      <w:r w:rsidRPr="00237CF6">
        <w:t xml:space="preserve"> party</w:t>
      </w:r>
      <w:proofErr w:type="spellEnd"/>
      <w:r w:rsidRPr="00237CF6">
        <w:t xml:space="preserve"> Parliamentary Group on Refugees &amp; the All Party Parliamentary Group on Migration. 2015. The report of the inquiry into the Use of Immigration Detention </w:t>
      </w:r>
      <w:r>
        <w:t xml:space="preserve">in the United Kingdom. </w:t>
      </w:r>
      <w:r w:rsidRPr="0039718F">
        <w:t>https://detentioninquiry.files.wordpress.com/2015/03/immigration-detention-inquiry-report.pdf</w:t>
      </w:r>
    </w:p>
  </w:footnote>
  <w:footnote w:id="149">
    <w:p w:rsidR="0016168E" w:rsidRDefault="0016168E" w:rsidP="00DA0C6C">
      <w:pPr>
        <w:pStyle w:val="FootnoteText"/>
        <w:rPr>
          <w:bCs/>
        </w:rPr>
      </w:pPr>
      <w:r>
        <w:rPr>
          <w:rStyle w:val="FootnoteReference"/>
        </w:rPr>
        <w:footnoteRef/>
      </w:r>
      <w:r>
        <w:t xml:space="preserve"> </w:t>
      </w:r>
      <w:proofErr w:type="gramStart"/>
      <w:r>
        <w:t>Government Statistics.</w:t>
      </w:r>
      <w:proofErr w:type="gramEnd"/>
      <w:r>
        <w:t xml:space="preserve"> November 2014. </w:t>
      </w:r>
      <w:proofErr w:type="gramStart"/>
      <w:r>
        <w:rPr>
          <w:bCs/>
        </w:rPr>
        <w:t>Immigration statistics, July to September 2014.</w:t>
      </w:r>
      <w:proofErr w:type="gramEnd"/>
      <w:r>
        <w:t xml:space="preserve"> </w:t>
      </w:r>
      <w:r>
        <w:rPr>
          <w:bCs/>
        </w:rPr>
        <w:t>www.gov.uk/government/publications/immigration-statistics-july-to-september-2014/immigration-statistics-july-to-september-2014</w:t>
      </w:r>
    </w:p>
  </w:footnote>
  <w:footnote w:id="150">
    <w:p w:rsidR="0016168E" w:rsidRDefault="0016168E" w:rsidP="00DA0C6C">
      <w:pPr>
        <w:pStyle w:val="FootnoteText"/>
      </w:pPr>
      <w:r>
        <w:rPr>
          <w:rStyle w:val="FootnoteReference"/>
        </w:rPr>
        <w:footnoteRef/>
      </w:r>
      <w:r>
        <w:t xml:space="preserve"> </w:t>
      </w:r>
      <w:proofErr w:type="gramStart"/>
      <w:r>
        <w:t>EHRC.</w:t>
      </w:r>
      <w:proofErr w:type="gramEnd"/>
      <w:r>
        <w:t xml:space="preserve"> 2012. Human Rights Review, Article 5: www.equalityhumanrights.com/sites/default/files/documents/humanrights/hrr_article_5.pdf</w:t>
      </w:r>
    </w:p>
  </w:footnote>
  <w:footnote w:id="151">
    <w:p w:rsidR="0016168E" w:rsidRDefault="0016168E" w:rsidP="00DA0C6C">
      <w:pPr>
        <w:pStyle w:val="FootnoteText"/>
      </w:pPr>
      <w:r>
        <w:rPr>
          <w:rStyle w:val="FootnoteReference"/>
        </w:rPr>
        <w:footnoteRef/>
      </w:r>
      <w:r>
        <w:t xml:space="preserve"> </w:t>
      </w:r>
      <w:proofErr w:type="gramStart"/>
      <w:r>
        <w:t>A Joint Inquiry by the All P</w:t>
      </w:r>
      <w:r w:rsidRPr="00237CF6">
        <w:t>arty Parliamentary Group on Refugees &amp; the All Party Parliamentary Group on Migration.</w:t>
      </w:r>
      <w:proofErr w:type="gramEnd"/>
      <w:r w:rsidRPr="00237CF6">
        <w:t xml:space="preserve"> 2015. The report of the inquiry into the Use of Immigration Detention </w:t>
      </w:r>
      <w:r>
        <w:t xml:space="preserve">in the United Kingdom. </w:t>
      </w:r>
      <w:r w:rsidRPr="0039718F">
        <w:t>https://detentioninquiry.files.wordpress.com/2015/03/immigration-detention-inquiry-report.pdf</w:t>
      </w:r>
    </w:p>
  </w:footnote>
  <w:footnote w:id="152">
    <w:p w:rsidR="0016168E" w:rsidRDefault="0016168E" w:rsidP="00DA0C6C">
      <w:pPr>
        <w:pStyle w:val="FootnoteText"/>
      </w:pPr>
      <w:r>
        <w:rPr>
          <w:rStyle w:val="FootnoteReference"/>
        </w:rPr>
        <w:footnoteRef/>
      </w:r>
      <w:r>
        <w:t xml:space="preserve"> </w:t>
      </w:r>
      <w:proofErr w:type="gramStart"/>
      <w:r>
        <w:t>HMIP.</w:t>
      </w:r>
      <w:proofErr w:type="gramEnd"/>
      <w:r>
        <w:t xml:space="preserve"> October 2014. </w:t>
      </w:r>
      <w:proofErr w:type="gramStart"/>
      <w:r>
        <w:t>Annual Report.2013-14.</w:t>
      </w:r>
      <w:proofErr w:type="gramEnd"/>
    </w:p>
  </w:footnote>
  <w:footnote w:id="153">
    <w:p w:rsidR="0016168E" w:rsidRDefault="0016168E" w:rsidP="00DA0C6C">
      <w:pPr>
        <w:pStyle w:val="FootnoteText"/>
      </w:pPr>
      <w:r>
        <w:rPr>
          <w:rStyle w:val="FootnoteReference"/>
        </w:rPr>
        <w:footnoteRef/>
      </w:r>
      <w:r>
        <w:t xml:space="preserve"> </w:t>
      </w:r>
      <w:proofErr w:type="gramStart"/>
      <w:r>
        <w:t>A Joint Inquiry by the All P</w:t>
      </w:r>
      <w:r w:rsidRPr="00237CF6">
        <w:t>arty Parliamentary Group on Refugees &amp; the All Party Parliamentary Group on Migration.</w:t>
      </w:r>
      <w:proofErr w:type="gramEnd"/>
      <w:r w:rsidRPr="00237CF6">
        <w:t xml:space="preserve"> 2015. The report of the inquiry into the Use of Immigration Detention </w:t>
      </w:r>
      <w:r>
        <w:t xml:space="preserve">in the United Kingdom. </w:t>
      </w:r>
      <w:r w:rsidRPr="0039718F">
        <w:t>https://detentioninquiry.files.wordpress.com/2015/03/immigration-detention-inquiry-report.pdf</w:t>
      </w:r>
    </w:p>
  </w:footnote>
  <w:footnote w:id="154">
    <w:p w:rsidR="0016168E" w:rsidRDefault="0016168E" w:rsidP="00DA0C6C">
      <w:pPr>
        <w:spacing w:after="0"/>
        <w:rPr>
          <w:rFonts w:cs="Arial"/>
          <w:sz w:val="20"/>
          <w:szCs w:val="20"/>
        </w:rPr>
      </w:pPr>
      <w:r>
        <w:rPr>
          <w:rStyle w:val="FootnoteReference"/>
          <w:rFonts w:cs="Arial"/>
          <w:sz w:val="20"/>
          <w:szCs w:val="20"/>
        </w:rPr>
        <w:footnoteRef/>
      </w:r>
      <w:r>
        <w:rPr>
          <w:rFonts w:cs="Arial"/>
          <w:sz w:val="20"/>
          <w:szCs w:val="20"/>
        </w:rPr>
        <w:t xml:space="preserve"> </w:t>
      </w:r>
      <w:proofErr w:type="gramStart"/>
      <w:r>
        <w:rPr>
          <w:rFonts w:cs="Arial"/>
          <w:sz w:val="20"/>
          <w:szCs w:val="20"/>
        </w:rPr>
        <w:t>Home Office.</w:t>
      </w:r>
      <w:proofErr w:type="gramEnd"/>
      <w:r>
        <w:rPr>
          <w:rFonts w:cs="Arial"/>
          <w:sz w:val="20"/>
          <w:szCs w:val="20"/>
        </w:rPr>
        <w:t xml:space="preserve"> February 2015. </w:t>
      </w:r>
      <w:r>
        <w:rPr>
          <w:rFonts w:cs="Arial"/>
          <w:bCs/>
          <w:sz w:val="20"/>
          <w:szCs w:val="20"/>
        </w:rPr>
        <w:t xml:space="preserve">Home Office Response to: </w:t>
      </w:r>
      <w:r>
        <w:rPr>
          <w:rFonts w:cs="Arial"/>
          <w:sz w:val="20"/>
          <w:szCs w:val="20"/>
        </w:rPr>
        <w:t>Tavistock Institute’s Review of Mental Health Issues in Immigration Removal Centres: www.gov.uk/government/uploads/system/uploads/attachment_data/file/402205/tavistock_response.pdf</w:t>
      </w:r>
    </w:p>
  </w:footnote>
  <w:footnote w:id="155">
    <w:p w:rsidR="0016168E" w:rsidRDefault="0016168E" w:rsidP="00DA0C6C">
      <w:pPr>
        <w:pStyle w:val="FootnoteText"/>
      </w:pPr>
      <w:r>
        <w:rPr>
          <w:rStyle w:val="FootnoteReference"/>
        </w:rPr>
        <w:footnoteRef/>
      </w:r>
      <w:r>
        <w:t xml:space="preserve"> </w:t>
      </w:r>
      <w:proofErr w:type="gramStart"/>
      <w:r>
        <w:t>Home Office press release.</w:t>
      </w:r>
      <w:proofErr w:type="gramEnd"/>
      <w:r>
        <w:t xml:space="preserve"> 9 February 2015:www.gov.uk/government/news/home-secretary-announces-independent-review-of-welfare-in-detention</w:t>
      </w:r>
    </w:p>
  </w:footnote>
  <w:footnote w:id="156">
    <w:p w:rsidR="0016168E" w:rsidRDefault="0016168E" w:rsidP="00DA0C6C">
      <w:pPr>
        <w:pStyle w:val="FootnoteText"/>
      </w:pPr>
      <w:r>
        <w:rPr>
          <w:rStyle w:val="FootnoteReference"/>
        </w:rPr>
        <w:footnoteRef/>
      </w:r>
      <w:r>
        <w:t xml:space="preserve"> Detention Action v Secretary of State for the Home Department [2014] EWHC 2245 (Admin) (09 July 2014), available at: </w:t>
      </w:r>
      <w:hyperlink r:id="rId49" w:history="1">
        <w:r w:rsidRPr="0049677A">
          <w:rPr>
            <w:rStyle w:val="Hyperlink"/>
            <w:color w:val="auto"/>
            <w:u w:val="none"/>
          </w:rPr>
          <w:t>www.bailii.org/ew/cases/EWHC/Admin/2014/2245.html</w:t>
        </w:r>
      </w:hyperlink>
      <w:r w:rsidRPr="0049677A">
        <w:t>;</w:t>
      </w:r>
    </w:p>
  </w:footnote>
  <w:footnote w:id="157">
    <w:p w:rsidR="0016168E" w:rsidRDefault="0016168E" w:rsidP="00DA0C6C">
      <w:pPr>
        <w:pStyle w:val="FootnoteText"/>
      </w:pPr>
      <w:r>
        <w:rPr>
          <w:rStyle w:val="FootnoteReference"/>
        </w:rPr>
        <w:footnoteRef/>
      </w:r>
      <w:r>
        <w:t xml:space="preserve"> </w:t>
      </w:r>
      <w:r w:rsidRPr="006078DF">
        <w:t>www.theguardian.com/uk-news/2014/dec/16/g4s-guards-found-not-guilty-manslaughter-jimmy-mubenga</w:t>
      </w:r>
    </w:p>
  </w:footnote>
  <w:footnote w:id="158">
    <w:p w:rsidR="0016168E" w:rsidRDefault="0016168E" w:rsidP="00DA0C6C">
      <w:pPr>
        <w:pStyle w:val="FootnoteText"/>
      </w:pPr>
      <w:r>
        <w:rPr>
          <w:rStyle w:val="FootnoteReference"/>
        </w:rPr>
        <w:footnoteRef/>
      </w:r>
      <w:r>
        <w:t xml:space="preserve"> </w:t>
      </w:r>
      <w:proofErr w:type="gramStart"/>
      <w:r>
        <w:t>Human Rights Committee.</w:t>
      </w:r>
      <w:proofErr w:type="gramEnd"/>
      <w:r>
        <w:t xml:space="preserve"> 2015. </w:t>
      </w:r>
      <w:r w:rsidRPr="00FA156C">
        <w:t xml:space="preserve">Replies of </w:t>
      </w:r>
      <w:r w:rsidRPr="000F1F53">
        <w:t>United Kingdo</w:t>
      </w:r>
      <w:r>
        <w:t>m, British Overseas Territories and</w:t>
      </w:r>
      <w:r w:rsidRPr="000F1F53">
        <w:t xml:space="preserve"> Crown Dependencies</w:t>
      </w:r>
      <w:r>
        <w:t xml:space="preserve"> </w:t>
      </w:r>
      <w:r w:rsidRPr="00FA156C">
        <w:t>to the list of issues</w:t>
      </w:r>
      <w:r>
        <w:t xml:space="preserve">. </w:t>
      </w:r>
      <w:r w:rsidRPr="009568C7">
        <w:t>29 June–24 July 2015</w:t>
      </w:r>
      <w:r>
        <w:t xml:space="preserve">: </w:t>
      </w:r>
      <w:r w:rsidRPr="002731B6">
        <w:rPr>
          <w:lang w:eastAsia="en-GB"/>
        </w:rPr>
        <w:t>www.gov.uk/government/uploads/system/uploads/attachment_data/file/406251/immigration-q4-2014snr.</w:t>
      </w:r>
      <w:r w:rsidRPr="005E6213">
        <w:rPr>
          <w:rFonts w:ascii="ArialMT" w:hAnsi="ArialMT" w:cs="ArialMT"/>
          <w:lang w:eastAsia="en-GB"/>
        </w:rPr>
        <w:t>pdf</w:t>
      </w:r>
    </w:p>
  </w:footnote>
  <w:footnote w:id="159">
    <w:p w:rsidR="0016168E" w:rsidRDefault="0016168E" w:rsidP="00DA0C6C">
      <w:pPr>
        <w:pStyle w:val="FootnoteText"/>
      </w:pPr>
      <w:r>
        <w:rPr>
          <w:rStyle w:val="FootnoteReference"/>
        </w:rPr>
        <w:footnoteRef/>
      </w:r>
      <w:r>
        <w:t xml:space="preserve"> </w:t>
      </w:r>
      <w:proofErr w:type="gramStart"/>
      <w:r>
        <w:t>Home Office Immigration Statistics.</w:t>
      </w:r>
      <w:proofErr w:type="gramEnd"/>
      <w:r>
        <w:t xml:space="preserve"> Table dt_13_q: </w:t>
      </w:r>
      <w:r w:rsidRPr="005E6213">
        <w:rPr>
          <w:rFonts w:ascii="ArialMT" w:hAnsi="ArialMT" w:cs="ArialMT"/>
          <w:lang w:eastAsia="en-GB"/>
        </w:rPr>
        <w:t>https://www.gov.uk/government/uploads/system/uploads/attachment_data/file/406251/immigration-q4-2014snr.pdf</w:t>
      </w:r>
    </w:p>
  </w:footnote>
  <w:footnote w:id="160">
    <w:p w:rsidR="0016168E" w:rsidRDefault="0016168E" w:rsidP="00DA0C6C">
      <w:pPr>
        <w:pStyle w:val="FootnoteText"/>
      </w:pPr>
      <w:r>
        <w:rPr>
          <w:rStyle w:val="FootnoteReference"/>
        </w:rPr>
        <w:footnoteRef/>
      </w:r>
      <w:r>
        <w:t xml:space="preserve"> </w:t>
      </w:r>
      <w:proofErr w:type="gramStart"/>
      <w:r>
        <w:t>Page 64.</w:t>
      </w:r>
      <w:proofErr w:type="gramEnd"/>
      <w:r>
        <w:t xml:space="preserve"> </w:t>
      </w:r>
      <w:r w:rsidRPr="00A42A86">
        <w:t>https://detentioninquiry.files.wordpress.com/2015/03/immigration-detention-inquiry-report.pdf</w:t>
      </w:r>
    </w:p>
  </w:footnote>
  <w:footnote w:id="161">
    <w:p w:rsidR="0016168E" w:rsidRDefault="0016168E" w:rsidP="00DA0C6C">
      <w:pPr>
        <w:pStyle w:val="FootnoteText"/>
      </w:pPr>
      <w:r>
        <w:rPr>
          <w:rStyle w:val="FootnoteReference"/>
        </w:rPr>
        <w:footnoteRef/>
      </w:r>
      <w:r>
        <w:t xml:space="preserve"> </w:t>
      </w:r>
      <w:proofErr w:type="gramStart"/>
      <w:r w:rsidRPr="00601535">
        <w:t>Enforcement Instructions and Guidance.</w:t>
      </w:r>
      <w:proofErr w:type="gramEnd"/>
      <w:r w:rsidRPr="00601535">
        <w:t xml:space="preserve"> 55.10: https://www.gov.uk/government/uploads/system/uploads/attachment_data/file/400022/Chapter55_external_v19.pdf</w:t>
      </w:r>
    </w:p>
  </w:footnote>
  <w:footnote w:id="162">
    <w:p w:rsidR="0016168E" w:rsidRDefault="0016168E" w:rsidP="00DA0C6C">
      <w:pPr>
        <w:pStyle w:val="FootnoteText"/>
      </w:pPr>
      <w:r>
        <w:rPr>
          <w:rStyle w:val="FootnoteReference"/>
        </w:rPr>
        <w:footnoteRef/>
      </w:r>
      <w:r>
        <w:t xml:space="preserve"> UNHCR (2012) Detention Guidelines: Guidelines on the Applicable Criteria and Standards relating to the Detention of Asylum-Seekers and Alternatives to Detention, p.33 - /www.unhcr.org/505b10ee9.htm</w:t>
      </w:r>
    </w:p>
  </w:footnote>
  <w:footnote w:id="163">
    <w:p w:rsidR="0016168E" w:rsidRDefault="0016168E" w:rsidP="00DA0C6C">
      <w:pPr>
        <w:pStyle w:val="FootnoteText"/>
      </w:pPr>
      <w:r>
        <w:rPr>
          <w:rStyle w:val="FootnoteReference"/>
        </w:rPr>
        <w:footnoteRef/>
      </w:r>
      <w:r>
        <w:t xml:space="preserve"> Article 60, Istanbul Convention of the Council of Europe on preventing and combating violence against women and domestic violence</w:t>
      </w:r>
    </w:p>
  </w:footnote>
  <w:footnote w:id="164">
    <w:p w:rsidR="0016168E" w:rsidRDefault="0016168E" w:rsidP="00DA0C6C">
      <w:pPr>
        <w:pStyle w:val="FootnoteText"/>
      </w:pPr>
      <w:r>
        <w:rPr>
          <w:rStyle w:val="FootnoteReference"/>
        </w:rPr>
        <w:footnoteRef/>
      </w:r>
      <w:r>
        <w:t xml:space="preserve"> </w:t>
      </w:r>
      <w:proofErr w:type="gramStart"/>
      <w:r>
        <w:t>HMIP.</w:t>
      </w:r>
      <w:proofErr w:type="gramEnd"/>
      <w:r>
        <w:t xml:space="preserve"> 2014. Annual Report.</w:t>
      </w:r>
      <w:r w:rsidRPr="005E314B">
        <w:t xml:space="preserve"> http://www.justiceinspectorates.gov.uk/hmiprisons/wp-content/uploads/sites/4/2014/10/HMIP-AR_2013-141.pdf</w:t>
      </w:r>
    </w:p>
  </w:footnote>
  <w:footnote w:id="165">
    <w:p w:rsidR="0016168E" w:rsidRDefault="0016168E" w:rsidP="00DA0C6C">
      <w:pPr>
        <w:pStyle w:val="FootnoteText"/>
      </w:pPr>
      <w:r>
        <w:rPr>
          <w:rStyle w:val="FootnoteReference"/>
        </w:rPr>
        <w:footnoteRef/>
      </w:r>
      <w:r>
        <w:t xml:space="preserve"> </w:t>
      </w:r>
      <w:proofErr w:type="gramStart"/>
      <w:r>
        <w:t>Evidence to the Inquiry into the Use of Immigration Detention in the United Kingdom.</w:t>
      </w:r>
      <w:proofErr w:type="gramEnd"/>
      <w:r>
        <w:t xml:space="preserve"> P.65.:</w:t>
      </w:r>
      <w:r w:rsidRPr="00954D5B">
        <w:t xml:space="preserve"> https://detentioninquiry.files.wordpress.com/2015/03/immigration-detention-inquiry-report.pdf</w:t>
      </w:r>
    </w:p>
  </w:footnote>
  <w:footnote w:id="166">
    <w:p w:rsidR="0016168E" w:rsidRDefault="0016168E" w:rsidP="00DA0C6C">
      <w:pPr>
        <w:pStyle w:val="FootnoteText"/>
      </w:pPr>
      <w:r>
        <w:rPr>
          <w:rStyle w:val="FootnoteReference"/>
        </w:rPr>
        <w:footnoteRef/>
      </w:r>
      <w:r>
        <w:t xml:space="preserve"> </w:t>
      </w:r>
      <w:proofErr w:type="gramStart"/>
      <w:r>
        <w:t>HMIP.</w:t>
      </w:r>
      <w:proofErr w:type="gramEnd"/>
      <w:r>
        <w:t xml:space="preserve"> 2014. Annual Report.</w:t>
      </w:r>
      <w:r w:rsidRPr="005E314B">
        <w:t xml:space="preserve"> www.justiceinspectorates.gov.uk/hmiprisons/wp-content/uploads/sites/4/2014/10/HMIP-AR_2013-141.pdf</w:t>
      </w:r>
    </w:p>
  </w:footnote>
  <w:footnote w:id="167">
    <w:p w:rsidR="0016168E" w:rsidRDefault="0016168E" w:rsidP="00DA0C6C">
      <w:pPr>
        <w:pStyle w:val="FootnoteText"/>
      </w:pPr>
      <w:r>
        <w:rPr>
          <w:rStyle w:val="FootnoteReference"/>
        </w:rPr>
        <w:footnoteRef/>
      </w:r>
      <w:r>
        <w:t xml:space="preserve"> </w:t>
      </w:r>
      <w:proofErr w:type="gramStart"/>
      <w:r>
        <w:t>Ibid and A Joint Inquiry by the All P</w:t>
      </w:r>
      <w:r w:rsidRPr="00237CF6">
        <w:t>arty Parliamentary Group on Refugees &amp; the All Party Parliamentary Group on Migration.</w:t>
      </w:r>
      <w:proofErr w:type="gramEnd"/>
      <w:r w:rsidRPr="00237CF6">
        <w:t xml:space="preserve"> 2015. The report of the inquiry into the Use of Immigration Detention </w:t>
      </w:r>
      <w:r>
        <w:t xml:space="preserve">in the United Kingdom. </w:t>
      </w:r>
      <w:r w:rsidRPr="0039718F">
        <w:t>https://detentioninquiry.files.wordpress.com/2015/03/immigration-detention-inquiry-report.pdf</w:t>
      </w:r>
    </w:p>
  </w:footnote>
  <w:footnote w:id="168">
    <w:p w:rsidR="0016168E" w:rsidRPr="00252D80" w:rsidRDefault="0016168E" w:rsidP="00DA0C6C">
      <w:pPr>
        <w:pStyle w:val="FootnoteText"/>
      </w:pPr>
      <w:r>
        <w:rPr>
          <w:rStyle w:val="FootnoteReference"/>
        </w:rPr>
        <w:footnoteRef/>
      </w:r>
      <w:r>
        <w:t xml:space="preserve"> </w:t>
      </w:r>
      <w:proofErr w:type="gramStart"/>
      <w:r>
        <w:t>HMIP.</w:t>
      </w:r>
      <w:proofErr w:type="gramEnd"/>
      <w:r>
        <w:t xml:space="preserve"> 2014. </w:t>
      </w:r>
      <w:r w:rsidRPr="00252D80">
        <w:t>Annual Report. www.justiceinspectorates.gov.uk/hmiprisons/wp-content/uploads/sites/4/2014/10/HMIP-AR_2013-141.pdf</w:t>
      </w:r>
    </w:p>
  </w:footnote>
  <w:footnote w:id="169">
    <w:p w:rsidR="0016168E" w:rsidRPr="00252D80" w:rsidRDefault="0016168E" w:rsidP="00DA0C6C">
      <w:pPr>
        <w:autoSpaceDE w:val="0"/>
        <w:autoSpaceDN w:val="0"/>
        <w:adjustRightInd w:val="0"/>
        <w:spacing w:after="0"/>
        <w:rPr>
          <w:rFonts w:cs="Arial"/>
          <w:sz w:val="20"/>
          <w:szCs w:val="20"/>
          <w:lang w:eastAsia="en-GB"/>
        </w:rPr>
      </w:pPr>
      <w:r w:rsidRPr="00252D80">
        <w:rPr>
          <w:rStyle w:val="FootnoteReference"/>
          <w:rFonts w:cs="Arial"/>
          <w:sz w:val="20"/>
          <w:szCs w:val="20"/>
        </w:rPr>
        <w:footnoteRef/>
      </w:r>
      <w:r w:rsidRPr="00252D80">
        <w:rPr>
          <w:rFonts w:cs="Arial"/>
          <w:sz w:val="20"/>
          <w:szCs w:val="20"/>
        </w:rPr>
        <w:t xml:space="preserve"> </w:t>
      </w:r>
      <w:proofErr w:type="gramStart"/>
      <w:r w:rsidRPr="00252D80">
        <w:rPr>
          <w:rFonts w:cs="Arial"/>
          <w:sz w:val="20"/>
          <w:szCs w:val="20"/>
        </w:rPr>
        <w:t>Human Rights Committee.</w:t>
      </w:r>
      <w:proofErr w:type="gramEnd"/>
      <w:r w:rsidRPr="00252D80">
        <w:rPr>
          <w:rFonts w:cs="Arial"/>
          <w:sz w:val="20"/>
          <w:szCs w:val="20"/>
        </w:rPr>
        <w:t xml:space="preserve"> 2015. Replies of United Kingdom, British Overseas Territories and Crown Dependencies to the list of issues. 29 June–24 July 2015: </w:t>
      </w:r>
      <w:r w:rsidRPr="00252D80">
        <w:rPr>
          <w:rFonts w:cs="Arial"/>
          <w:sz w:val="20"/>
          <w:szCs w:val="20"/>
          <w:lang w:eastAsia="en-GB"/>
        </w:rPr>
        <w:t>https://www.gov.uk/government/uploads/system/uploads/attachment_data/file/406251/immigration-q4-2014snr.pdf</w:t>
      </w:r>
    </w:p>
  </w:footnote>
  <w:footnote w:id="170">
    <w:p w:rsidR="0016168E" w:rsidRDefault="0016168E" w:rsidP="00DA0C6C">
      <w:pPr>
        <w:pStyle w:val="FootnoteText"/>
      </w:pPr>
      <w:r>
        <w:rPr>
          <w:rStyle w:val="FootnoteReference"/>
        </w:rPr>
        <w:footnoteRef/>
      </w:r>
      <w:r>
        <w:t xml:space="preserve"> </w:t>
      </w:r>
      <w:r w:rsidRPr="00326BD1">
        <w:t>http://www.channel4.com/news/yarls-wood-immigration-removal-detention-centre-investigation</w:t>
      </w:r>
    </w:p>
  </w:footnote>
  <w:footnote w:id="171">
    <w:p w:rsidR="0016168E" w:rsidRPr="007633BD" w:rsidRDefault="0016168E" w:rsidP="00DA0C6C">
      <w:pPr>
        <w:pStyle w:val="Default"/>
        <w:rPr>
          <w:rFonts w:ascii="Arial" w:hAnsi="Arial" w:cs="Arial"/>
          <w:sz w:val="20"/>
          <w:szCs w:val="20"/>
        </w:rPr>
      </w:pPr>
      <w:r w:rsidRPr="00252D80">
        <w:rPr>
          <w:rStyle w:val="FootnoteReference"/>
          <w:rFonts w:ascii="Arial" w:hAnsi="Arial" w:cs="Arial"/>
          <w:sz w:val="20"/>
          <w:szCs w:val="20"/>
        </w:rPr>
        <w:footnoteRef/>
      </w:r>
      <w:r>
        <w:rPr>
          <w:rFonts w:ascii="Arial" w:hAnsi="Arial" w:cs="Arial"/>
          <w:sz w:val="20"/>
          <w:szCs w:val="20"/>
        </w:rPr>
        <w:t>Home Office policy states that w</w:t>
      </w:r>
      <w:r w:rsidRPr="00326BD1">
        <w:rPr>
          <w:rFonts w:ascii="Arial" w:hAnsi="Arial" w:cs="Arial"/>
          <w:sz w:val="20"/>
          <w:szCs w:val="20"/>
        </w:rPr>
        <w:t>omen should not normally be detained other tha</w:t>
      </w:r>
      <w:r>
        <w:rPr>
          <w:rFonts w:ascii="Arial" w:hAnsi="Arial" w:cs="Arial"/>
          <w:sz w:val="20"/>
          <w:szCs w:val="20"/>
        </w:rPr>
        <w:t xml:space="preserve">n in two limited circumstances: 1. </w:t>
      </w:r>
      <w:r w:rsidRPr="00326BD1">
        <w:rPr>
          <w:rFonts w:ascii="Arial" w:hAnsi="Arial" w:cs="Arial"/>
          <w:sz w:val="20"/>
          <w:szCs w:val="20"/>
        </w:rPr>
        <w:t>Where removal is imminent and medical advice does not suggest confinement b</w:t>
      </w:r>
      <w:r>
        <w:rPr>
          <w:rFonts w:ascii="Arial" w:hAnsi="Arial" w:cs="Arial"/>
          <w:sz w:val="20"/>
          <w:szCs w:val="20"/>
        </w:rPr>
        <w:t>efore the due removal date; or</w:t>
      </w:r>
      <w:proofErr w:type="gramStart"/>
      <w:r>
        <w:rPr>
          <w:rFonts w:ascii="Arial" w:hAnsi="Arial" w:cs="Arial"/>
          <w:sz w:val="20"/>
          <w:szCs w:val="20"/>
        </w:rPr>
        <w:t>,2.</w:t>
      </w:r>
      <w:r w:rsidRPr="00326BD1">
        <w:rPr>
          <w:rFonts w:ascii="Arial" w:hAnsi="Arial" w:cs="Arial"/>
          <w:sz w:val="20"/>
          <w:szCs w:val="20"/>
        </w:rPr>
        <w:t>For</w:t>
      </w:r>
      <w:proofErr w:type="gramEnd"/>
      <w:r w:rsidRPr="00326BD1">
        <w:rPr>
          <w:rFonts w:ascii="Arial" w:hAnsi="Arial" w:cs="Arial"/>
          <w:sz w:val="20"/>
          <w:szCs w:val="20"/>
        </w:rPr>
        <w:t xml:space="preserve"> pregnant women of less than 24 weeks gestation, as part of a fast-track asylum process.</w:t>
      </w:r>
      <w:r w:rsidRPr="00252D80">
        <w:rPr>
          <w:rFonts w:ascii="Arial" w:hAnsi="Arial" w:cs="Arial"/>
          <w:sz w:val="20"/>
          <w:szCs w:val="20"/>
        </w:rPr>
        <w:t xml:space="preserve"> </w:t>
      </w:r>
      <w:proofErr w:type="gramStart"/>
      <w:r w:rsidRPr="00252D80">
        <w:rPr>
          <w:rFonts w:ascii="Arial" w:hAnsi="Arial" w:cs="Arial"/>
          <w:sz w:val="20"/>
          <w:szCs w:val="20"/>
        </w:rPr>
        <w:t>Home Office.</w:t>
      </w:r>
      <w:proofErr w:type="gramEnd"/>
      <w:r w:rsidRPr="00252D80">
        <w:rPr>
          <w:rFonts w:ascii="Arial" w:hAnsi="Arial" w:cs="Arial"/>
          <w:sz w:val="20"/>
          <w:szCs w:val="20"/>
        </w:rPr>
        <w:t xml:space="preserve"> 2013.</w:t>
      </w:r>
      <w:r w:rsidR="008C67B4">
        <w:rPr>
          <w:rFonts w:ascii="Arial" w:hAnsi="Arial" w:cs="Arial"/>
          <w:sz w:val="20"/>
          <w:szCs w:val="20"/>
        </w:rPr>
        <w:t xml:space="preserve"> </w:t>
      </w:r>
      <w:r w:rsidRPr="00252D80">
        <w:rPr>
          <w:rFonts w:ascii="Arial" w:hAnsi="Arial" w:cs="Arial"/>
          <w:bCs/>
          <w:sz w:val="20"/>
          <w:szCs w:val="20"/>
        </w:rPr>
        <w:t xml:space="preserve">Detention services order 02/2013. </w:t>
      </w:r>
      <w:proofErr w:type="gramStart"/>
      <w:r w:rsidRPr="00252D80">
        <w:rPr>
          <w:rFonts w:ascii="Arial" w:hAnsi="Arial" w:cs="Arial"/>
          <w:bCs/>
          <w:sz w:val="20"/>
          <w:szCs w:val="20"/>
        </w:rPr>
        <w:t>Pregnant women in detention.</w:t>
      </w:r>
      <w:proofErr w:type="gramEnd"/>
      <w:r w:rsidRPr="00252D80">
        <w:rPr>
          <w:rFonts w:ascii="Arial" w:hAnsi="Arial" w:cs="Arial"/>
          <w:bCs/>
          <w:sz w:val="20"/>
          <w:szCs w:val="20"/>
        </w:rPr>
        <w:t xml:space="preserve"> www.gov.uk/government/uploads/system/uploads/attachment_data/file/257750/pregnant-detention.pdf</w:t>
      </w:r>
    </w:p>
  </w:footnote>
  <w:footnote w:id="172">
    <w:p w:rsidR="0016168E" w:rsidRDefault="0016168E" w:rsidP="00DA0C6C">
      <w:pPr>
        <w:pStyle w:val="FootnoteText"/>
      </w:pPr>
      <w:r>
        <w:rPr>
          <w:rStyle w:val="FootnoteReference"/>
        </w:rPr>
        <w:footnoteRef/>
      </w:r>
      <w:r>
        <w:t xml:space="preserve"> </w:t>
      </w:r>
      <w:proofErr w:type="gramStart"/>
      <w:r>
        <w:t>A Joint Inquiry by the All P</w:t>
      </w:r>
      <w:r w:rsidRPr="00237CF6">
        <w:t>arty Parliamentary Group on Refugees &amp; the All Party Parliamentary Group on Migration.</w:t>
      </w:r>
      <w:proofErr w:type="gramEnd"/>
      <w:r w:rsidRPr="00237CF6">
        <w:t xml:space="preserve"> 2015. The report of the inquiry into the Use of Immigration Detention </w:t>
      </w:r>
      <w:r>
        <w:t>in the United Kingdom.P.67.</w:t>
      </w:r>
      <w:r w:rsidR="008C67B4">
        <w:t xml:space="preserve"> </w:t>
      </w:r>
      <w:r w:rsidRPr="0039718F">
        <w:t>https://detentioninquiry.files.wordpress.com/2015/03/immigration-detention-inquiry-report.pdf</w:t>
      </w:r>
    </w:p>
  </w:footnote>
  <w:footnote w:id="173">
    <w:p w:rsidR="0016168E" w:rsidRDefault="0016168E" w:rsidP="00DA0C6C">
      <w:pPr>
        <w:pStyle w:val="FootnoteText"/>
      </w:pPr>
      <w:r>
        <w:rPr>
          <w:rStyle w:val="FootnoteReference"/>
        </w:rPr>
        <w:footnoteRef/>
      </w:r>
      <w:r>
        <w:t xml:space="preserve"> Medical Justice. 2015. Expecting Change: The case for ending the detention of pregnant women.</w:t>
      </w:r>
      <w:r w:rsidRPr="00003742">
        <w:t>http://www.medicaljustice.org.uk/images/stories/reports/expectingchange.pdf</w:t>
      </w:r>
    </w:p>
  </w:footnote>
  <w:footnote w:id="174">
    <w:p w:rsidR="0016168E" w:rsidRDefault="0016168E" w:rsidP="00DA0C6C">
      <w:pPr>
        <w:pStyle w:val="FootnoteText"/>
      </w:pPr>
      <w:r>
        <w:rPr>
          <w:rStyle w:val="FootnoteReference"/>
        </w:rPr>
        <w:footnoteRef/>
      </w:r>
      <w:r>
        <w:t xml:space="preserve"> </w:t>
      </w:r>
      <w:r w:rsidRPr="00326BD1">
        <w:t>http://www.channel4.com/news/yarls-wood-immigration-removal-detention-centre-investigation</w:t>
      </w:r>
    </w:p>
  </w:footnote>
  <w:footnote w:id="175">
    <w:p w:rsidR="0016168E" w:rsidRDefault="0016168E" w:rsidP="00DA0C6C">
      <w:pPr>
        <w:pStyle w:val="FootnoteText"/>
      </w:pPr>
      <w:r>
        <w:rPr>
          <w:rStyle w:val="FootnoteReference"/>
        </w:rPr>
        <w:footnoteRef/>
      </w:r>
      <w:r>
        <w:t xml:space="preserve"> Serco media release 2 March 2015: </w:t>
      </w:r>
      <w:r w:rsidRPr="00326BD1">
        <w:t>www.serco.com/Images/013_Yarl's%20Wood%20Serco%20appoints%20Kate%20Lampard%20to%20carry%20out%20Independent%20Review)_tcm3-46380.pdf</w:t>
      </w:r>
    </w:p>
  </w:footnote>
  <w:footnote w:id="176">
    <w:p w:rsidR="0016168E" w:rsidRDefault="0016168E" w:rsidP="00DA0C6C">
      <w:pPr>
        <w:pStyle w:val="FootnoteText"/>
      </w:pPr>
      <w:r>
        <w:rPr>
          <w:rStyle w:val="FootnoteReference"/>
        </w:rPr>
        <w:footnoteRef/>
      </w:r>
      <w:r>
        <w:t xml:space="preserve"> </w:t>
      </w:r>
      <w:proofErr w:type="gramStart"/>
      <w:r w:rsidRPr="004E5BB9">
        <w:t>EGRC.</w:t>
      </w:r>
      <w:proofErr w:type="gramEnd"/>
      <w:r w:rsidRPr="004E5BB9">
        <w:t xml:space="preserve"> </w:t>
      </w:r>
      <w:r w:rsidRPr="004E5BB9">
        <w:rPr>
          <w:bCs/>
        </w:rPr>
        <w:t>Submission to the United Nations Human Rights Committee Pre-Sessional Working Group on the United Kingdom’s Implementation of the International Covenant on Civil and Political Rights. P.38</w:t>
      </w:r>
      <w:r>
        <w:rPr>
          <w:bCs/>
        </w:rPr>
        <w:t xml:space="preserve"> </w:t>
      </w:r>
      <w:r w:rsidRPr="004E5BB9">
        <w:rPr>
          <w:bCs/>
        </w:rPr>
        <w:t>www.equalityhumanrights.com/sites/default/files/uploads/documents/humanrights/EHRC%20Submission%20to%20UN%20Human%20Rights%20Committee%20Pre-Sessional%20Working%20Group%20on%20UK%20Implementation%20of%20the%20International%20Covenant%20on%20Civil%20and%20Political%20Rights.pdf</w:t>
      </w:r>
    </w:p>
  </w:footnote>
  <w:footnote w:id="177">
    <w:p w:rsidR="0016168E" w:rsidRDefault="0016168E" w:rsidP="00DA0C6C">
      <w:pPr>
        <w:pStyle w:val="FootnoteText"/>
      </w:pPr>
      <w:r>
        <w:rPr>
          <w:rStyle w:val="FootnoteReference"/>
        </w:rPr>
        <w:footnoteRef/>
      </w:r>
      <w:r>
        <w:t xml:space="preserve"> </w:t>
      </w:r>
      <w:proofErr w:type="gramStart"/>
      <w:r w:rsidRPr="00461251">
        <w:t>House of Commons Library.</w:t>
      </w:r>
      <w:proofErr w:type="gramEnd"/>
      <w:r w:rsidRPr="00461251">
        <w:t xml:space="preserve"> 2014. Standard Note. Ending Child Immigration Detention: www.parliament.uk/business/publications/research/briefing-papers/SN05591/ending-child-immigration-detention</w:t>
      </w:r>
    </w:p>
  </w:footnote>
  <w:footnote w:id="178">
    <w:p w:rsidR="0016168E" w:rsidRPr="00461251" w:rsidRDefault="0016168E" w:rsidP="00DA0C6C">
      <w:pPr>
        <w:pStyle w:val="FootnoteText"/>
      </w:pPr>
      <w:r w:rsidRPr="00461251">
        <w:rPr>
          <w:rStyle w:val="FootnoteReference"/>
        </w:rPr>
        <w:footnoteRef/>
      </w:r>
      <w:r w:rsidRPr="00461251">
        <w:t xml:space="preserve"> </w:t>
      </w:r>
      <w:proofErr w:type="gramStart"/>
      <w:r>
        <w:t>Home Office statistics, Feb 2015.</w:t>
      </w:r>
      <w:proofErr w:type="gramEnd"/>
      <w:r>
        <w:t xml:space="preserve"> Table dt_09: </w:t>
      </w:r>
      <w:r w:rsidRPr="00454AAA">
        <w:t>www.gov.uk/government/publications/immigration-statistics-october-to-december-2014/immigration-statistics-october-to-december-2014#detention-1</w:t>
      </w:r>
    </w:p>
  </w:footnote>
  <w:footnote w:id="179">
    <w:p w:rsidR="0016168E" w:rsidRPr="00461251" w:rsidRDefault="0016168E" w:rsidP="00DA0C6C">
      <w:pPr>
        <w:pStyle w:val="FootnoteText"/>
      </w:pPr>
      <w:r w:rsidRPr="00461251">
        <w:rPr>
          <w:rStyle w:val="FootnoteReference"/>
        </w:rPr>
        <w:footnoteRef/>
      </w:r>
      <w:r w:rsidRPr="00461251">
        <w:t xml:space="preserve"> HMCIP, </w:t>
      </w:r>
      <w:r w:rsidRPr="00461251">
        <w:rPr>
          <w:i/>
          <w:iCs/>
        </w:rPr>
        <w:t>Report on an unannounced inspection of Cedars Pre-Departure Accommodation 30 April - 25 May 2012</w:t>
      </w:r>
      <w:r w:rsidR="008C67B4">
        <w:rPr>
          <w:i/>
          <w:iCs/>
        </w:rPr>
        <w:t xml:space="preserve"> </w:t>
      </w:r>
      <w:r w:rsidRPr="00461251">
        <w:t xml:space="preserve"> and HMCIP, </w:t>
      </w:r>
      <w:r w:rsidRPr="00461251">
        <w:rPr>
          <w:i/>
          <w:iCs/>
        </w:rPr>
        <w:t>Report on an unannounced inspection of Cedars pre-departure accommodation and overseas family escort 6 – 27 January 2014</w:t>
      </w:r>
      <w:r w:rsidRPr="00461251">
        <w:t>,</w:t>
      </w:r>
      <w:r w:rsidR="008C67B4">
        <w:t xml:space="preserve"> </w:t>
      </w:r>
    </w:p>
  </w:footnote>
  <w:footnote w:id="180">
    <w:p w:rsidR="0016168E" w:rsidRPr="00461251" w:rsidRDefault="0016168E" w:rsidP="00DA0C6C">
      <w:pPr>
        <w:pStyle w:val="FootnoteText"/>
      </w:pPr>
      <w:r w:rsidRPr="00461251">
        <w:rPr>
          <w:rStyle w:val="FootnoteReference"/>
        </w:rPr>
        <w:footnoteRef/>
      </w:r>
      <w:r w:rsidRPr="00461251">
        <w:t xml:space="preserve"> </w:t>
      </w:r>
      <w:proofErr w:type="spellStart"/>
      <w:proofErr w:type="gramStart"/>
      <w:r w:rsidRPr="00461251">
        <w:t>Barnardo’s</w:t>
      </w:r>
      <w:proofErr w:type="spellEnd"/>
      <w:r w:rsidRPr="00461251">
        <w:t>.</w:t>
      </w:r>
      <w:proofErr w:type="gramEnd"/>
      <w:r w:rsidRPr="00461251">
        <w:t xml:space="preserve"> March 2015. </w:t>
      </w:r>
      <w:r w:rsidRPr="00461251">
        <w:rPr>
          <w:i/>
        </w:rPr>
        <w:t>Recommendations for a new government</w:t>
      </w:r>
      <w:r w:rsidRPr="00461251">
        <w:t>: www.barnardos.org.uk/cedars_report_2015.pdf</w:t>
      </w:r>
    </w:p>
  </w:footnote>
  <w:footnote w:id="181">
    <w:p w:rsidR="0016168E" w:rsidRPr="00461251" w:rsidRDefault="0016168E" w:rsidP="00DA0C6C">
      <w:pPr>
        <w:pStyle w:val="FootnoteText"/>
      </w:pPr>
      <w:r w:rsidRPr="00461251">
        <w:rPr>
          <w:rStyle w:val="FootnoteReference"/>
        </w:rPr>
        <w:footnoteRef/>
      </w:r>
      <w:r w:rsidRPr="00461251">
        <w:t xml:space="preserve"> </w:t>
      </w:r>
      <w:proofErr w:type="gramStart"/>
      <w:r w:rsidRPr="00461251">
        <w:t>UKBA.</w:t>
      </w:r>
      <w:proofErr w:type="gramEnd"/>
      <w:r w:rsidRPr="00461251">
        <w:t xml:space="preserve"> 2010. </w:t>
      </w:r>
      <w:r w:rsidRPr="00461251">
        <w:rPr>
          <w:i/>
          <w:iCs/>
        </w:rPr>
        <w:t>Review into ending the detention of children for immigration purposes</w:t>
      </w:r>
      <w:proofErr w:type="gramStart"/>
      <w:r w:rsidRPr="00461251">
        <w:t>,.</w:t>
      </w:r>
      <w:proofErr w:type="gramEnd"/>
      <w:r w:rsidRPr="00461251">
        <w:t xml:space="preserve"> www.gov.uk/government/publications/review-to-end-the-immigration-detention-of-children-consultation-conclusion</w:t>
      </w:r>
    </w:p>
  </w:footnote>
  <w:footnote w:id="182">
    <w:p w:rsidR="0016168E" w:rsidRPr="00461251" w:rsidRDefault="0016168E" w:rsidP="00DA0C6C">
      <w:pPr>
        <w:pStyle w:val="FootnoteText"/>
      </w:pPr>
      <w:r w:rsidRPr="00461251">
        <w:rPr>
          <w:rStyle w:val="FootnoteReference"/>
        </w:rPr>
        <w:footnoteRef/>
      </w:r>
      <w:r w:rsidRPr="00461251">
        <w:t xml:space="preserve"> </w:t>
      </w:r>
      <w:proofErr w:type="gramStart"/>
      <w:r w:rsidRPr="00461251">
        <w:t>House of Commons Library.</w:t>
      </w:r>
      <w:proofErr w:type="gramEnd"/>
      <w:r w:rsidRPr="00461251">
        <w:t xml:space="preserve"> 2014. Standard Note. Ending Child Immigration Detention: www.parliament.uk/business/publications/research/briefing-papers/SN05591/ending-child-immigration-detention</w:t>
      </w:r>
    </w:p>
  </w:footnote>
  <w:footnote w:id="183">
    <w:p w:rsidR="0016168E" w:rsidRPr="00461251" w:rsidRDefault="0016168E" w:rsidP="00DA0C6C">
      <w:pPr>
        <w:pStyle w:val="FootnoteText"/>
      </w:pPr>
      <w:r w:rsidRPr="00461251">
        <w:rPr>
          <w:rStyle w:val="FootnoteReference"/>
        </w:rPr>
        <w:footnoteRef/>
      </w:r>
      <w:r w:rsidRPr="00461251">
        <w:t xml:space="preserve"> </w:t>
      </w:r>
      <w:proofErr w:type="gramStart"/>
      <w:r>
        <w:t>Home Office statistics, Feb 2015.</w:t>
      </w:r>
      <w:proofErr w:type="gramEnd"/>
      <w:r>
        <w:t xml:space="preserve"> Table dt_09: </w:t>
      </w:r>
      <w:r w:rsidRPr="00454AAA">
        <w:t>www.gov.uk/government/publications/immigration-statistics-october-to-december-2014/immigration-statistics-october-to-december-2014#detention-1</w:t>
      </w:r>
    </w:p>
  </w:footnote>
  <w:footnote w:id="184">
    <w:p w:rsidR="0016168E" w:rsidRPr="00461251" w:rsidRDefault="0016168E" w:rsidP="00DA0C6C">
      <w:pPr>
        <w:pStyle w:val="FootnoteText"/>
      </w:pPr>
      <w:r w:rsidRPr="00461251">
        <w:rPr>
          <w:rStyle w:val="FootnoteReference"/>
        </w:rPr>
        <w:footnoteRef/>
      </w:r>
      <w:r w:rsidRPr="00461251">
        <w:t xml:space="preserve"> </w:t>
      </w:r>
      <w:r w:rsidRPr="00454AAA">
        <w:rPr>
          <w:i/>
        </w:rPr>
        <w:t>Ibid</w:t>
      </w:r>
    </w:p>
  </w:footnote>
  <w:footnote w:id="185">
    <w:p w:rsidR="0016168E" w:rsidRPr="00461251" w:rsidRDefault="0016168E" w:rsidP="00DA0C6C">
      <w:pPr>
        <w:pStyle w:val="FootnoteText"/>
      </w:pPr>
      <w:r w:rsidRPr="00461251">
        <w:rPr>
          <w:rStyle w:val="FootnoteReference"/>
        </w:rPr>
        <w:footnoteRef/>
      </w:r>
      <w:r w:rsidRPr="00461251">
        <w:t xml:space="preserve"> </w:t>
      </w:r>
      <w:proofErr w:type="gramStart"/>
      <w:r w:rsidRPr="00461251">
        <w:t>Refugee Council.</w:t>
      </w:r>
      <w:proofErr w:type="gramEnd"/>
      <w:r w:rsidRPr="00461251">
        <w:t xml:space="preserve"> January 2014. ‘Unlawful child detention must end’, 10 January 2014</w:t>
      </w:r>
      <w:r w:rsidR="008C67B4">
        <w:t xml:space="preserve"> </w:t>
      </w:r>
    </w:p>
  </w:footnote>
  <w:footnote w:id="186">
    <w:p w:rsidR="0016168E" w:rsidRPr="00461251" w:rsidRDefault="0016168E" w:rsidP="00DA0C6C">
      <w:pPr>
        <w:pStyle w:val="FootnoteText"/>
      </w:pPr>
      <w:r w:rsidRPr="00461251">
        <w:rPr>
          <w:rStyle w:val="FootnoteReference"/>
        </w:rPr>
        <w:footnoteRef/>
      </w:r>
      <w:r w:rsidRPr="00461251">
        <w:t xml:space="preserve"> </w:t>
      </w:r>
      <w:r w:rsidRPr="00461251">
        <w:rPr>
          <w:i/>
        </w:rPr>
        <w:t>Ibid.</w:t>
      </w:r>
    </w:p>
  </w:footnote>
  <w:footnote w:id="187">
    <w:p w:rsidR="0016168E" w:rsidRDefault="0016168E" w:rsidP="00DA0C6C">
      <w:pPr>
        <w:pStyle w:val="FootnoteText"/>
      </w:pPr>
      <w:r>
        <w:rPr>
          <w:rStyle w:val="FootnoteReference"/>
        </w:rPr>
        <w:footnoteRef/>
      </w:r>
      <w:r>
        <w:t xml:space="preserve"> See for example, A Joint Inquiry by the All P</w:t>
      </w:r>
      <w:r w:rsidRPr="00237CF6">
        <w:t xml:space="preserve">arty Parliamentary Group on Refugees &amp; the All Party Parliamentary Group on Migration. 2015. The report of the inquiry into the Use of Immigration Detention </w:t>
      </w:r>
      <w:r>
        <w:t xml:space="preserve">in the United Kingdom. </w:t>
      </w:r>
      <w:r w:rsidRPr="0039718F">
        <w:t>https://detentioninquiry.files.wordpress.com/2015/03/immigration-detention-inquiry-report.pdf</w:t>
      </w:r>
    </w:p>
  </w:footnote>
  <w:footnote w:id="188">
    <w:p w:rsidR="0016168E" w:rsidRPr="0043180C" w:rsidRDefault="0016168E" w:rsidP="00F34058">
      <w:pPr>
        <w:pStyle w:val="FootnoteText"/>
      </w:pPr>
      <w:r w:rsidRPr="0043180C">
        <w:rPr>
          <w:rStyle w:val="FootnoteReference"/>
        </w:rPr>
        <w:footnoteRef/>
      </w:r>
      <w:r w:rsidRPr="0043180C">
        <w:t xml:space="preserve"> </w:t>
      </w:r>
      <w:proofErr w:type="gramStart"/>
      <w:r w:rsidRPr="0043180C">
        <w:t>EHRC.</w:t>
      </w:r>
      <w:proofErr w:type="gramEnd"/>
      <w:r w:rsidRPr="0043180C">
        <w:t xml:space="preserve"> July 2014. Submission to the United Nations Human Rights Committee Pre-Sessional Working Group on the United Kingdom’s Implementation of the International Covenant on Civil and Political Rights.Subnhttp://www.equalityhumanrights.com/sites/default/files/uploads/documents/humanrights/EHRC%20Submission%20to%20UN%20Human%20Rights%20Committee%20Pre-Sessional%20Working%20Group%20on%20UK%20Implementation%20of%20the%20International%20Covenant%20on%20Civil%20and%20Political%20Rights.pdf</w:t>
      </w:r>
    </w:p>
  </w:footnote>
  <w:footnote w:id="189">
    <w:p w:rsidR="0016168E" w:rsidRPr="0043180C" w:rsidRDefault="0016168E" w:rsidP="00F34058">
      <w:pPr>
        <w:pStyle w:val="FootnoteText"/>
        <w:rPr>
          <w:rFonts w:cs="Arial"/>
        </w:rPr>
      </w:pPr>
      <w:r w:rsidRPr="0043180C">
        <w:rPr>
          <w:rStyle w:val="FootnoteReference"/>
          <w:rFonts w:cs="Arial"/>
        </w:rPr>
        <w:footnoteRef/>
      </w:r>
      <w:r w:rsidRPr="0043180C">
        <w:rPr>
          <w:rFonts w:cs="Arial"/>
        </w:rPr>
        <w:t xml:space="preserve"> </w:t>
      </w:r>
      <w:proofErr w:type="spellStart"/>
      <w:proofErr w:type="gramStart"/>
      <w:r w:rsidRPr="0043180C">
        <w:rPr>
          <w:rFonts w:cs="Arial"/>
        </w:rPr>
        <w:t>MoJ</w:t>
      </w:r>
      <w:proofErr w:type="spellEnd"/>
      <w:r w:rsidRPr="0043180C">
        <w:rPr>
          <w:rFonts w:cs="Arial"/>
        </w:rPr>
        <w:t>.</w:t>
      </w:r>
      <w:proofErr w:type="gramEnd"/>
      <w:r w:rsidRPr="0043180C">
        <w:rPr>
          <w:rFonts w:cs="Arial"/>
        </w:rPr>
        <w:t xml:space="preserve"> 29 January 2015. </w:t>
      </w:r>
      <w:proofErr w:type="gramStart"/>
      <w:r w:rsidRPr="0043180C">
        <w:rPr>
          <w:rFonts w:cs="Arial"/>
        </w:rPr>
        <w:t>Statistics Bulletin.</w:t>
      </w:r>
      <w:proofErr w:type="gramEnd"/>
      <w:r w:rsidRPr="0043180C">
        <w:rPr>
          <w:rFonts w:cs="Arial"/>
        </w:rPr>
        <w:t xml:space="preserve"> </w:t>
      </w:r>
      <w:proofErr w:type="gramStart"/>
      <w:r w:rsidRPr="0043180C">
        <w:rPr>
          <w:rFonts w:cs="Arial"/>
        </w:rPr>
        <w:t>Safety in Custody Statistics England and Wales.</w:t>
      </w:r>
      <w:proofErr w:type="gramEnd"/>
      <w:r w:rsidRPr="0043180C">
        <w:rPr>
          <w:rFonts w:cs="Arial"/>
        </w:rPr>
        <w:t xml:space="preserve"> </w:t>
      </w:r>
      <w:proofErr w:type="gramStart"/>
      <w:r w:rsidRPr="0043180C">
        <w:rPr>
          <w:rFonts w:cs="Arial"/>
        </w:rPr>
        <w:t>Deaths in prison custody to December 2014.</w:t>
      </w:r>
      <w:proofErr w:type="gramEnd"/>
      <w:r w:rsidRPr="0043180C">
        <w:rPr>
          <w:rFonts w:cs="Arial"/>
        </w:rPr>
        <w:t xml:space="preserve"> Assaults and Self-harm to September 2014:</w:t>
      </w:r>
    </w:p>
    <w:p w:rsidR="0016168E" w:rsidRPr="0043180C" w:rsidRDefault="0016168E" w:rsidP="00F34058">
      <w:pPr>
        <w:pStyle w:val="FootnoteText"/>
        <w:rPr>
          <w:rFonts w:cs="Arial"/>
        </w:rPr>
      </w:pPr>
      <w:r w:rsidRPr="0043180C">
        <w:rPr>
          <w:rFonts w:cs="Arial"/>
        </w:rPr>
        <w:t>www.gov.uk/government/uploads/system/uploads/attachment_data/file/399071/safety-in-custody-to-sept-2014.pdf</w:t>
      </w:r>
    </w:p>
  </w:footnote>
  <w:footnote w:id="190">
    <w:p w:rsidR="0016168E" w:rsidRPr="0043180C" w:rsidRDefault="0016168E" w:rsidP="00F34058">
      <w:pPr>
        <w:pStyle w:val="FootnoteText"/>
        <w:rPr>
          <w:rFonts w:cs="Arial"/>
        </w:rPr>
      </w:pPr>
      <w:r w:rsidRPr="0043180C">
        <w:rPr>
          <w:rStyle w:val="FootnoteReference"/>
          <w:rFonts w:cs="Arial"/>
        </w:rPr>
        <w:footnoteRef/>
      </w:r>
      <w:r w:rsidRPr="0043180C">
        <w:rPr>
          <w:rFonts w:cs="Arial"/>
        </w:rPr>
        <w:t xml:space="preserve"> </w:t>
      </w:r>
      <w:proofErr w:type="gramStart"/>
      <w:r w:rsidRPr="0043180C">
        <w:rPr>
          <w:rFonts w:cs="Arial"/>
        </w:rPr>
        <w:t>EHRC.</w:t>
      </w:r>
      <w:proofErr w:type="gramEnd"/>
      <w:r w:rsidR="008C67B4">
        <w:rPr>
          <w:rFonts w:cs="Arial"/>
        </w:rPr>
        <w:t xml:space="preserve"> </w:t>
      </w:r>
      <w:r w:rsidRPr="0043180C">
        <w:rPr>
          <w:rFonts w:cs="Arial"/>
        </w:rPr>
        <w:t xml:space="preserve">February 2015. </w:t>
      </w:r>
      <w:proofErr w:type="gramStart"/>
      <w:r w:rsidRPr="0043180C">
        <w:rPr>
          <w:rFonts w:cs="Arial"/>
        </w:rPr>
        <w:t>Preventing Deaths in Detention of Adults with Mental Health Conditions.</w:t>
      </w:r>
      <w:proofErr w:type="gramEnd"/>
      <w:r w:rsidRPr="0043180C">
        <w:rPr>
          <w:rFonts w:cs="Arial"/>
        </w:rPr>
        <w:t xml:space="preserve"> An Inquiry by the Equality and Human Rights Commission: www.equalityhumanrights.com/publication/preventing-deaths-detention-adults-mental-health-conditions</w:t>
      </w:r>
    </w:p>
  </w:footnote>
  <w:footnote w:id="191">
    <w:p w:rsidR="0016168E" w:rsidRPr="0043180C" w:rsidRDefault="0016168E" w:rsidP="00F34058">
      <w:pPr>
        <w:pStyle w:val="FootnoteText"/>
        <w:rPr>
          <w:rFonts w:cs="Arial"/>
        </w:rPr>
      </w:pPr>
      <w:r w:rsidRPr="0043180C">
        <w:rPr>
          <w:rStyle w:val="FootnoteReference"/>
          <w:rFonts w:cs="Arial"/>
        </w:rPr>
        <w:footnoteRef/>
      </w:r>
      <w:r w:rsidRPr="0043180C">
        <w:rPr>
          <w:rFonts w:cs="Arial"/>
        </w:rPr>
        <w:t xml:space="preserve"> Singleton N. et al (1998) </w:t>
      </w:r>
      <w:r w:rsidRPr="0043180C">
        <w:rPr>
          <w:rFonts w:cs="Arial"/>
          <w:i/>
        </w:rPr>
        <w:t xml:space="preserve">Psychiatric Morbidity </w:t>
      </w:r>
      <w:proofErr w:type="gramStart"/>
      <w:r w:rsidRPr="0043180C">
        <w:rPr>
          <w:rFonts w:cs="Arial"/>
          <w:i/>
        </w:rPr>
        <w:t>Among</w:t>
      </w:r>
      <w:proofErr w:type="gramEnd"/>
      <w:r w:rsidRPr="0043180C">
        <w:rPr>
          <w:rFonts w:cs="Arial"/>
          <w:i/>
        </w:rPr>
        <w:t xml:space="preserve"> Prisoners, 1997</w:t>
      </w:r>
      <w:r w:rsidRPr="0043180C">
        <w:rPr>
          <w:rFonts w:cs="Arial"/>
        </w:rPr>
        <w:t>. London: ONS.</w:t>
      </w:r>
    </w:p>
  </w:footnote>
  <w:footnote w:id="192">
    <w:p w:rsidR="0016168E" w:rsidRPr="0043180C" w:rsidRDefault="0016168E" w:rsidP="00F34058">
      <w:pPr>
        <w:pStyle w:val="FootnoteText"/>
        <w:rPr>
          <w:rFonts w:cs="Arial"/>
        </w:rPr>
      </w:pPr>
      <w:r w:rsidRPr="0043180C">
        <w:rPr>
          <w:rStyle w:val="FootnoteReference"/>
          <w:rFonts w:cs="Arial"/>
        </w:rPr>
        <w:footnoteRef/>
      </w:r>
      <w:r w:rsidRPr="0043180C">
        <w:rPr>
          <w:rFonts w:cs="Arial"/>
        </w:rPr>
        <w:t xml:space="preserve"> www.equalityhumanrights.com/sites/default/files/uploads/Pdfs/ADI/formatted/Recommendations.pdf</w:t>
      </w:r>
    </w:p>
  </w:footnote>
  <w:footnote w:id="193">
    <w:p w:rsidR="0016168E" w:rsidRPr="0043180C" w:rsidRDefault="0016168E" w:rsidP="00F34058">
      <w:pPr>
        <w:pStyle w:val="FootnoteText"/>
      </w:pPr>
      <w:r w:rsidRPr="0043180C">
        <w:rPr>
          <w:rStyle w:val="FootnoteReference"/>
        </w:rPr>
        <w:footnoteRef/>
      </w:r>
      <w:r w:rsidRPr="0043180C">
        <w:t xml:space="preserve"> See www.theguardian.com/society/2014/sep/16/chris-grayling-mental-health-prisons</w:t>
      </w:r>
    </w:p>
  </w:footnote>
  <w:footnote w:id="194">
    <w:p w:rsidR="0016168E" w:rsidRPr="0043180C" w:rsidRDefault="0016168E" w:rsidP="00F34058">
      <w:pPr>
        <w:pStyle w:val="FootnoteText"/>
      </w:pPr>
      <w:r w:rsidRPr="0043180C">
        <w:rPr>
          <w:rStyle w:val="FootnoteReference"/>
        </w:rPr>
        <w:footnoteRef/>
      </w:r>
      <w:r w:rsidRPr="0043180C">
        <w:t xml:space="preserve"> </w:t>
      </w:r>
      <w:r w:rsidRPr="0043180C">
        <w:rPr>
          <w:i/>
        </w:rPr>
        <w:t>Ibid</w:t>
      </w:r>
    </w:p>
  </w:footnote>
  <w:footnote w:id="195">
    <w:p w:rsidR="0016168E" w:rsidRPr="0043180C" w:rsidRDefault="0016168E" w:rsidP="00F34058">
      <w:pPr>
        <w:pStyle w:val="FootnoteText"/>
      </w:pPr>
      <w:r w:rsidRPr="0043180C">
        <w:rPr>
          <w:rStyle w:val="FootnoteReference"/>
        </w:rPr>
        <w:footnoteRef/>
      </w:r>
      <w:r w:rsidRPr="0043180C">
        <w:t xml:space="preserve"> Ibid.</w:t>
      </w:r>
    </w:p>
  </w:footnote>
  <w:footnote w:id="196">
    <w:p w:rsidR="0016168E" w:rsidRPr="0043180C" w:rsidRDefault="0016168E" w:rsidP="00F34058">
      <w:pPr>
        <w:pStyle w:val="FootnoteText"/>
        <w:rPr>
          <w:rFonts w:cs="Arial"/>
        </w:rPr>
      </w:pPr>
      <w:r w:rsidRPr="0043180C">
        <w:rPr>
          <w:rStyle w:val="FootnoteReference"/>
          <w:rFonts w:cs="Arial"/>
        </w:rPr>
        <w:footnoteRef/>
      </w:r>
      <w:r w:rsidRPr="0043180C">
        <w:rPr>
          <w:rFonts w:cs="Arial"/>
        </w:rPr>
        <w:t xml:space="preserve"> </w:t>
      </w:r>
      <w:proofErr w:type="gramStart"/>
      <w:r w:rsidRPr="0043180C">
        <w:rPr>
          <w:rFonts w:cs="Arial"/>
        </w:rPr>
        <w:t>EHRC.</w:t>
      </w:r>
      <w:proofErr w:type="gramEnd"/>
      <w:r w:rsidRPr="0043180C">
        <w:rPr>
          <w:rFonts w:cs="Arial"/>
        </w:rPr>
        <w:t xml:space="preserve"> July 2014: Submission to the United Nations Human Rights Committee Pre-Sessional Working Group on the United Kingdom’s Implementation of the International Covenant on Civil and Political Rights: http://www.equalityhumanrights.com/about-us/our-work/human-rights/international-framework/international-covenant-civil-and-political-rights</w:t>
      </w:r>
    </w:p>
  </w:footnote>
  <w:footnote w:id="197">
    <w:p w:rsidR="0016168E" w:rsidRPr="0043180C" w:rsidRDefault="0016168E" w:rsidP="00F34058">
      <w:pPr>
        <w:pStyle w:val="FootnoteText"/>
        <w:rPr>
          <w:rFonts w:cs="Arial"/>
        </w:rPr>
      </w:pPr>
      <w:r w:rsidRPr="0043180C">
        <w:rPr>
          <w:rStyle w:val="FootnoteReference"/>
          <w:rFonts w:cs="Arial"/>
        </w:rPr>
        <w:footnoteRef/>
      </w:r>
      <w:r w:rsidRPr="0043180C">
        <w:rPr>
          <w:rFonts w:cs="Arial"/>
        </w:rPr>
        <w:t xml:space="preserve"> </w:t>
      </w:r>
      <w:r w:rsidRPr="0043180C">
        <w:rPr>
          <w:rFonts w:cs="Arial"/>
          <w:i/>
        </w:rPr>
        <w:t>Ibid.</w:t>
      </w:r>
    </w:p>
  </w:footnote>
  <w:footnote w:id="198">
    <w:p w:rsidR="0016168E" w:rsidRPr="0043180C" w:rsidRDefault="0016168E" w:rsidP="00F34058">
      <w:pPr>
        <w:pStyle w:val="FootnoteText"/>
      </w:pPr>
      <w:r w:rsidRPr="0043180C">
        <w:rPr>
          <w:rStyle w:val="FootnoteReference"/>
        </w:rPr>
        <w:footnoteRef/>
      </w:r>
      <w:proofErr w:type="gramStart"/>
      <w:r w:rsidRPr="0043180C">
        <w:rPr>
          <w:rFonts w:cs="Arial"/>
        </w:rPr>
        <w:t>Chief Inspector of Prisons interview.</w:t>
      </w:r>
      <w:proofErr w:type="gramEnd"/>
      <w:r w:rsidRPr="0043180C">
        <w:rPr>
          <w:rFonts w:cs="Arial"/>
        </w:rPr>
        <w:t xml:space="preserve"> July 2014: </w:t>
      </w:r>
      <w:hyperlink r:id="rId50" w:history="1">
        <w:r w:rsidRPr="0043180C">
          <w:rPr>
            <w:rStyle w:val="Hyperlink"/>
            <w:rFonts w:cs="Arial"/>
            <w:color w:val="auto"/>
          </w:rPr>
          <w:t>www.bbc.co.uk/news/uk-28233294</w:t>
        </w:r>
      </w:hyperlink>
      <w:r w:rsidRPr="0043180C">
        <w:rPr>
          <w:rFonts w:cs="Arial"/>
        </w:rPr>
        <w:t>.</w:t>
      </w:r>
      <w:r w:rsidR="008C67B4">
        <w:rPr>
          <w:rFonts w:cs="Arial"/>
        </w:rPr>
        <w:t xml:space="preserve"> </w:t>
      </w:r>
      <w:r w:rsidRPr="0043180C">
        <w:rPr>
          <w:rFonts w:cs="Arial"/>
        </w:rPr>
        <w:t xml:space="preserve">See also. </w:t>
      </w:r>
      <w:proofErr w:type="gramStart"/>
      <w:r w:rsidRPr="0043180C">
        <w:rPr>
          <w:rFonts w:cs="Arial"/>
        </w:rPr>
        <w:t>HMIP.</w:t>
      </w:r>
      <w:proofErr w:type="gramEnd"/>
      <w:r w:rsidRPr="0043180C">
        <w:rPr>
          <w:rFonts w:cs="Arial"/>
        </w:rPr>
        <w:t xml:space="preserve"> October 2014. Annual Report: https://www.justiceinspectorates.gov.uk/hmiprisons/wp-content/uploads/sites/4/2014/10/HMIP-AR_2013-141.pdf</w:t>
      </w:r>
      <w:r w:rsidRPr="0043180C">
        <w:t xml:space="preserve"> </w:t>
      </w:r>
    </w:p>
  </w:footnote>
  <w:footnote w:id="199">
    <w:p w:rsidR="0016168E" w:rsidRPr="0043180C" w:rsidRDefault="0016168E" w:rsidP="00F34058">
      <w:pPr>
        <w:pStyle w:val="FootnoteText"/>
      </w:pPr>
      <w:r w:rsidRPr="0043180C">
        <w:rPr>
          <w:rStyle w:val="FootnoteReference"/>
        </w:rPr>
        <w:footnoteRef/>
      </w:r>
      <w:r w:rsidRPr="0043180C">
        <w:t xml:space="preserve"> </w:t>
      </w:r>
      <w:proofErr w:type="gramStart"/>
      <w:r w:rsidRPr="0043180C">
        <w:t>House of Commons Justice Committee.</w:t>
      </w:r>
      <w:proofErr w:type="gramEnd"/>
      <w:r w:rsidRPr="0043180C">
        <w:t xml:space="preserve"> 18 March 2015.</w:t>
      </w:r>
      <w:r w:rsidRPr="0043180C">
        <w:rPr>
          <w:rFonts w:eastAsiaTheme="minorHAnsi" w:cs="Arial"/>
          <w:bCs/>
        </w:rPr>
        <w:t xml:space="preserve"> </w:t>
      </w:r>
      <w:r w:rsidRPr="0043180C">
        <w:rPr>
          <w:bCs/>
        </w:rPr>
        <w:t xml:space="preserve">Prisons: planning and policies. </w:t>
      </w:r>
      <w:proofErr w:type="gramStart"/>
      <w:r w:rsidRPr="0043180C">
        <w:rPr>
          <w:bCs/>
        </w:rPr>
        <w:t>HC 309.</w:t>
      </w:r>
      <w:proofErr w:type="gramEnd"/>
      <w:r w:rsidRPr="0043180C">
        <w:rPr>
          <w:b/>
          <w:bCs/>
        </w:rPr>
        <w:t xml:space="preserve"> </w:t>
      </w:r>
      <w:r w:rsidRPr="0043180C">
        <w:t>www.publications.parliament.uk/pa/cm201415/cmselect/cmjust/309/309.pdf</w:t>
      </w:r>
    </w:p>
  </w:footnote>
  <w:footnote w:id="200">
    <w:p w:rsidR="0016168E" w:rsidRPr="0043180C" w:rsidRDefault="0016168E" w:rsidP="00F34058">
      <w:pPr>
        <w:pStyle w:val="FootnoteText"/>
      </w:pPr>
      <w:r w:rsidRPr="0043180C">
        <w:rPr>
          <w:rStyle w:val="FootnoteReference"/>
        </w:rPr>
        <w:footnoteRef/>
      </w:r>
      <w:r w:rsidRPr="0043180C">
        <w:t xml:space="preserve"> </w:t>
      </w:r>
      <w:r w:rsidRPr="0043180C">
        <w:rPr>
          <w:i/>
        </w:rPr>
        <w:t>Ibid.</w:t>
      </w:r>
    </w:p>
  </w:footnote>
  <w:footnote w:id="201">
    <w:p w:rsidR="0016168E" w:rsidRPr="0043180C" w:rsidRDefault="0016168E" w:rsidP="00F34058">
      <w:pPr>
        <w:pStyle w:val="FootnoteText"/>
      </w:pPr>
      <w:r w:rsidRPr="0043180C">
        <w:rPr>
          <w:rStyle w:val="FootnoteReference"/>
        </w:rPr>
        <w:footnoteRef/>
      </w:r>
      <w:r w:rsidRPr="0043180C">
        <w:t xml:space="preserve"> </w:t>
      </w:r>
      <w:r w:rsidRPr="0043180C">
        <w:rPr>
          <w:i/>
        </w:rPr>
        <w:t>Ibid.</w:t>
      </w:r>
    </w:p>
  </w:footnote>
  <w:footnote w:id="202">
    <w:p w:rsidR="0016168E" w:rsidRPr="0043180C" w:rsidRDefault="0016168E" w:rsidP="00F34058">
      <w:pPr>
        <w:pStyle w:val="FootnoteText"/>
      </w:pPr>
      <w:r w:rsidRPr="0043180C">
        <w:rPr>
          <w:rStyle w:val="FootnoteReference"/>
        </w:rPr>
        <w:footnoteRef/>
      </w:r>
      <w:r w:rsidRPr="0043180C">
        <w:t xml:space="preserve"> </w:t>
      </w:r>
      <w:r w:rsidRPr="0043180C">
        <w:rPr>
          <w:i/>
        </w:rPr>
        <w:t>Ibid.</w:t>
      </w:r>
    </w:p>
  </w:footnote>
  <w:footnote w:id="203">
    <w:p w:rsidR="0016168E" w:rsidRPr="0043180C" w:rsidRDefault="0016168E" w:rsidP="00F34058">
      <w:pPr>
        <w:pStyle w:val="FootnoteText"/>
        <w:rPr>
          <w:rFonts w:cs="Arial"/>
        </w:rPr>
      </w:pPr>
      <w:r w:rsidRPr="0043180C">
        <w:rPr>
          <w:rStyle w:val="FootnoteReference"/>
          <w:rFonts w:cs="Arial"/>
        </w:rPr>
        <w:footnoteRef/>
      </w:r>
      <w:r w:rsidRPr="0043180C">
        <w:rPr>
          <w:rFonts w:cs="Arial"/>
        </w:rPr>
        <w:t xml:space="preserve"> </w:t>
      </w:r>
      <w:proofErr w:type="spellStart"/>
      <w:proofErr w:type="gramStart"/>
      <w:r w:rsidRPr="0043180C">
        <w:rPr>
          <w:rFonts w:cs="Arial"/>
        </w:rPr>
        <w:t>MoJ.March</w:t>
      </w:r>
      <w:proofErr w:type="spellEnd"/>
      <w:r w:rsidRPr="0043180C">
        <w:rPr>
          <w:rFonts w:cs="Arial"/>
        </w:rPr>
        <w:t xml:space="preserve"> 2015.</w:t>
      </w:r>
      <w:proofErr w:type="gramEnd"/>
      <w:r w:rsidRPr="0043180C">
        <w:rPr>
          <w:rFonts w:cs="Arial"/>
        </w:rPr>
        <w:t xml:space="preserve"> Population and Capacity Briefing for Friday 06/03/2015: www.gov.uk/government/collections/prisons-and-probation-statistics</w:t>
      </w:r>
    </w:p>
  </w:footnote>
  <w:footnote w:id="204">
    <w:p w:rsidR="0016168E" w:rsidRPr="0043180C" w:rsidRDefault="0016168E" w:rsidP="00F34058">
      <w:pPr>
        <w:pStyle w:val="FootnoteText"/>
        <w:rPr>
          <w:rFonts w:cs="Arial"/>
        </w:rPr>
      </w:pPr>
      <w:r w:rsidRPr="0043180C">
        <w:rPr>
          <w:rStyle w:val="FootnoteReference"/>
          <w:rFonts w:cs="Arial"/>
        </w:rPr>
        <w:footnoteRef/>
      </w:r>
      <w:r w:rsidRPr="0043180C">
        <w:rPr>
          <w:rFonts w:cs="Arial"/>
        </w:rPr>
        <w:t xml:space="preserve"> </w:t>
      </w:r>
      <w:proofErr w:type="gramStart"/>
      <w:r w:rsidRPr="0043180C">
        <w:rPr>
          <w:rFonts w:cs="Arial"/>
        </w:rPr>
        <w:t xml:space="preserve">Prison Reform Trust and </w:t>
      </w:r>
      <w:proofErr w:type="spellStart"/>
      <w:r w:rsidRPr="0043180C">
        <w:rPr>
          <w:rFonts w:cs="Arial"/>
        </w:rPr>
        <w:t>Soroptimist</w:t>
      </w:r>
      <w:proofErr w:type="spellEnd"/>
      <w:r w:rsidRPr="0043180C">
        <w:rPr>
          <w:rFonts w:cs="Arial"/>
        </w:rPr>
        <w:t xml:space="preserve"> International.</w:t>
      </w:r>
      <w:proofErr w:type="gramEnd"/>
      <w:r w:rsidRPr="0043180C">
        <w:rPr>
          <w:rFonts w:cs="Arial"/>
        </w:rPr>
        <w:t xml:space="preserve"> 2014. Transforming Lives: Reducing women’s imprisonment: www.prisonreformtrust.org.uk/Portals/0/Documents/Transforming%20Lives.pdf</w:t>
      </w:r>
    </w:p>
  </w:footnote>
  <w:footnote w:id="205">
    <w:p w:rsidR="0016168E" w:rsidRPr="0043180C" w:rsidRDefault="0016168E" w:rsidP="00F34058">
      <w:pPr>
        <w:pStyle w:val="FootnoteText"/>
        <w:rPr>
          <w:rFonts w:cs="Arial"/>
        </w:rPr>
      </w:pPr>
      <w:r w:rsidRPr="0043180C">
        <w:rPr>
          <w:rStyle w:val="FootnoteReference"/>
          <w:rFonts w:cs="Arial"/>
        </w:rPr>
        <w:footnoteRef/>
      </w:r>
      <w:r w:rsidRPr="0043180C">
        <w:rPr>
          <w:rFonts w:cs="Arial"/>
        </w:rPr>
        <w:t xml:space="preserve"> </w:t>
      </w:r>
      <w:r w:rsidRPr="0043180C">
        <w:rPr>
          <w:rFonts w:cs="Arial"/>
          <w:i/>
        </w:rPr>
        <w:t>Ibid.</w:t>
      </w:r>
    </w:p>
  </w:footnote>
  <w:footnote w:id="206">
    <w:p w:rsidR="0016168E" w:rsidRPr="0043180C" w:rsidRDefault="0016168E" w:rsidP="00F34058">
      <w:pPr>
        <w:pStyle w:val="FootnoteText"/>
        <w:rPr>
          <w:rFonts w:cs="Arial"/>
        </w:rPr>
      </w:pPr>
      <w:r w:rsidRPr="0043180C">
        <w:rPr>
          <w:rStyle w:val="FootnoteReference"/>
          <w:rFonts w:cs="Arial"/>
        </w:rPr>
        <w:footnoteRef/>
      </w:r>
      <w:r w:rsidRPr="0043180C">
        <w:rPr>
          <w:rFonts w:cs="Arial"/>
        </w:rPr>
        <w:t xml:space="preserve"> </w:t>
      </w:r>
      <w:proofErr w:type="gramStart"/>
      <w:r w:rsidRPr="0043180C">
        <w:rPr>
          <w:rFonts w:cs="Arial"/>
        </w:rPr>
        <w:t xml:space="preserve">Prison Reform Trust and </w:t>
      </w:r>
      <w:proofErr w:type="spellStart"/>
      <w:r w:rsidRPr="0043180C">
        <w:rPr>
          <w:rFonts w:cs="Arial"/>
        </w:rPr>
        <w:t>Soroptimist</w:t>
      </w:r>
      <w:proofErr w:type="spellEnd"/>
      <w:r w:rsidRPr="0043180C">
        <w:rPr>
          <w:rFonts w:cs="Arial"/>
        </w:rPr>
        <w:t xml:space="preserve"> International.</w:t>
      </w:r>
      <w:proofErr w:type="gramEnd"/>
      <w:r w:rsidRPr="0043180C">
        <w:rPr>
          <w:rFonts w:cs="Arial"/>
        </w:rPr>
        <w:t xml:space="preserve"> 2014. Transforming Lives: Reducing women’s imprisonment: www.prisonreformtrust.org.uk/Portals/0/Documents/Transforming%20Lives.pdf</w:t>
      </w:r>
    </w:p>
  </w:footnote>
  <w:footnote w:id="207">
    <w:p w:rsidR="0016168E" w:rsidRPr="0043180C" w:rsidRDefault="0016168E" w:rsidP="00F34058">
      <w:pPr>
        <w:spacing w:after="0"/>
        <w:rPr>
          <w:rFonts w:cs="Arial"/>
          <w:sz w:val="20"/>
          <w:szCs w:val="20"/>
        </w:rPr>
      </w:pPr>
      <w:r w:rsidRPr="0043180C">
        <w:rPr>
          <w:rStyle w:val="FootnoteReference"/>
          <w:rFonts w:cs="Arial"/>
          <w:sz w:val="20"/>
          <w:szCs w:val="20"/>
        </w:rPr>
        <w:footnoteRef/>
      </w:r>
      <w:r w:rsidRPr="0043180C">
        <w:rPr>
          <w:rFonts w:cs="Arial"/>
          <w:sz w:val="20"/>
          <w:szCs w:val="20"/>
        </w:rPr>
        <w:t xml:space="preserve"> </w:t>
      </w:r>
      <w:proofErr w:type="gramStart"/>
      <w:r w:rsidRPr="0043180C">
        <w:rPr>
          <w:rFonts w:cs="Arial"/>
          <w:sz w:val="20"/>
          <w:szCs w:val="20"/>
        </w:rPr>
        <w:t>HMIP.</w:t>
      </w:r>
      <w:proofErr w:type="gramEnd"/>
      <w:r w:rsidRPr="0043180C">
        <w:rPr>
          <w:rFonts w:cs="Arial"/>
          <w:sz w:val="20"/>
          <w:szCs w:val="20"/>
        </w:rPr>
        <w:t xml:space="preserve"> October 2014. Annual Report:www.justiceinspectorates.gov.uk/hmiprisons/wp-content/uploads/sites/4/2014/10/HMIP-AR_2013-141.pdf</w:t>
      </w:r>
    </w:p>
  </w:footnote>
  <w:footnote w:id="208">
    <w:p w:rsidR="0016168E" w:rsidRPr="0049677A" w:rsidRDefault="0016168E" w:rsidP="00F34058">
      <w:pPr>
        <w:pStyle w:val="FootnoteText"/>
        <w:rPr>
          <w:rFonts w:cs="Arial"/>
        </w:rPr>
      </w:pPr>
      <w:r w:rsidRPr="0049677A">
        <w:rPr>
          <w:rStyle w:val="FootnoteReference"/>
          <w:rFonts w:cs="Arial"/>
        </w:rPr>
        <w:footnoteRef/>
      </w:r>
      <w:r w:rsidRPr="0049677A">
        <w:rPr>
          <w:rFonts w:cs="Arial"/>
        </w:rPr>
        <w:t xml:space="preserve"> Ibid</w:t>
      </w:r>
    </w:p>
  </w:footnote>
  <w:footnote w:id="209">
    <w:p w:rsidR="0016168E" w:rsidRPr="0049677A" w:rsidRDefault="0016168E" w:rsidP="00F34058">
      <w:pPr>
        <w:pStyle w:val="FootnoteText"/>
        <w:rPr>
          <w:rFonts w:cs="Arial"/>
        </w:rPr>
      </w:pPr>
      <w:r w:rsidRPr="0049677A">
        <w:rPr>
          <w:rStyle w:val="FootnoteReference"/>
          <w:rFonts w:cs="Arial"/>
        </w:rPr>
        <w:footnoteRef/>
      </w:r>
      <w:r w:rsidRPr="0049677A">
        <w:rPr>
          <w:rFonts w:cs="Arial"/>
        </w:rPr>
        <w:t xml:space="preserve"> </w:t>
      </w:r>
      <w:proofErr w:type="gramStart"/>
      <w:r w:rsidRPr="0049677A">
        <w:rPr>
          <w:rFonts w:cs="Arial"/>
        </w:rPr>
        <w:t>HM Chief Inspector of Prisons.</w:t>
      </w:r>
      <w:proofErr w:type="gramEnd"/>
      <w:r w:rsidRPr="0049677A">
        <w:rPr>
          <w:rFonts w:cs="Arial"/>
        </w:rPr>
        <w:t xml:space="preserve"> 2014. </w:t>
      </w:r>
      <w:r w:rsidRPr="0049677A">
        <w:rPr>
          <w:rFonts w:cs="Arial"/>
          <w:i/>
        </w:rPr>
        <w:t>Annual Report 2012-13.</w:t>
      </w:r>
      <w:r w:rsidRPr="0049677A">
        <w:rPr>
          <w:rFonts w:cs="Arial"/>
        </w:rPr>
        <w:t xml:space="preserve"> </w:t>
      </w:r>
      <w:hyperlink r:id="rId51" w:history="1">
        <w:r w:rsidRPr="0049677A">
          <w:rPr>
            <w:rStyle w:val="Hyperlink"/>
            <w:rFonts w:cs="Arial"/>
            <w:bCs/>
            <w:color w:val="auto"/>
            <w:u w:val="none"/>
          </w:rPr>
          <w:t>/www.justice.gov.uk/downloads/publications/corporate-reports/hmi-prisons/hm-inspectorate-prisons-annual-report-2012-13.pdf</w:t>
        </w:r>
      </w:hyperlink>
    </w:p>
  </w:footnote>
  <w:footnote w:id="210">
    <w:p w:rsidR="0016168E" w:rsidRPr="0043180C" w:rsidRDefault="0016168E" w:rsidP="00F34058">
      <w:pPr>
        <w:pStyle w:val="FootnoteText"/>
        <w:rPr>
          <w:rFonts w:cs="Arial"/>
        </w:rPr>
      </w:pPr>
      <w:r w:rsidRPr="0049677A">
        <w:rPr>
          <w:rStyle w:val="FootnoteReference"/>
          <w:rFonts w:cs="Arial"/>
        </w:rPr>
        <w:footnoteRef/>
      </w:r>
      <w:r w:rsidRPr="0049677A">
        <w:rPr>
          <w:rFonts w:cs="Arial"/>
        </w:rPr>
        <w:t xml:space="preserve"> </w:t>
      </w:r>
      <w:proofErr w:type="gramStart"/>
      <w:r w:rsidRPr="0049677A">
        <w:rPr>
          <w:rFonts w:cs="Arial"/>
        </w:rPr>
        <w:t>HM Chief Inspector of Prisons.</w:t>
      </w:r>
      <w:proofErr w:type="gramEnd"/>
      <w:r w:rsidRPr="0049677A">
        <w:rPr>
          <w:rFonts w:cs="Arial"/>
        </w:rPr>
        <w:t xml:space="preserve"> 2014. </w:t>
      </w:r>
      <w:r w:rsidRPr="0049677A">
        <w:rPr>
          <w:rFonts w:cs="Arial"/>
          <w:i/>
        </w:rPr>
        <w:t>Annual Report 2012-13.</w:t>
      </w:r>
      <w:r w:rsidRPr="0049677A">
        <w:rPr>
          <w:rFonts w:cs="Arial"/>
        </w:rPr>
        <w:t xml:space="preserve"> </w:t>
      </w:r>
      <w:hyperlink r:id="rId52" w:history="1">
        <w:r w:rsidRPr="0049677A">
          <w:rPr>
            <w:rStyle w:val="Hyperlink"/>
            <w:rFonts w:cs="Arial"/>
            <w:bCs/>
            <w:color w:val="auto"/>
            <w:u w:val="none"/>
          </w:rPr>
          <w:t>/www.justice.gov.uk/downloads/publications/corporate-reports/hmi-prisons/hm-inspectorate-prisons-annual-report-2012-13.pdf</w:t>
        </w:r>
      </w:hyperlink>
      <w:r w:rsidRPr="0049677A">
        <w:rPr>
          <w:rFonts w:cs="Arial"/>
          <w:bCs/>
        </w:rPr>
        <w:t xml:space="preserve"> </w:t>
      </w:r>
    </w:p>
  </w:footnote>
  <w:footnote w:id="211">
    <w:p w:rsidR="0016168E" w:rsidRPr="0049677A" w:rsidRDefault="0016168E" w:rsidP="005B700D">
      <w:pPr>
        <w:pStyle w:val="FootnoteText"/>
        <w:rPr>
          <w:rFonts w:cs="Arial"/>
        </w:rPr>
      </w:pPr>
      <w:r w:rsidRPr="0049677A">
        <w:rPr>
          <w:rStyle w:val="FootnoteReference"/>
          <w:rFonts w:cs="Arial"/>
        </w:rPr>
        <w:footnoteRef/>
      </w:r>
      <w:r w:rsidRPr="0049677A">
        <w:rPr>
          <w:rFonts w:cs="Arial"/>
        </w:rPr>
        <w:t xml:space="preserve"> </w:t>
      </w:r>
      <w:proofErr w:type="gramStart"/>
      <w:r w:rsidRPr="0049677A">
        <w:rPr>
          <w:rFonts w:cs="Arial"/>
        </w:rPr>
        <w:t>EHRC.</w:t>
      </w:r>
      <w:proofErr w:type="gramEnd"/>
      <w:r w:rsidRPr="0049677A">
        <w:rPr>
          <w:rFonts w:cs="Arial"/>
        </w:rPr>
        <w:t xml:space="preserve"> July 2014: Submission to the United Nations Human Rights Committee Pre-Sessional Working Group on the United Kingdom’s Implementation of the International Covenant on Civil and Political Rights. P.47: www.equalityhumanrights.com/about-us/our-work/human-rights/international-framework/international-covenant-civil-and-political-rights</w:t>
      </w:r>
    </w:p>
  </w:footnote>
  <w:footnote w:id="212">
    <w:p w:rsidR="0016168E" w:rsidRPr="0049677A" w:rsidRDefault="0016168E" w:rsidP="005B700D">
      <w:pPr>
        <w:pStyle w:val="FootnoteText"/>
        <w:contextualSpacing/>
        <w:rPr>
          <w:rFonts w:cs="Arial"/>
        </w:rPr>
      </w:pPr>
      <w:r w:rsidRPr="0049677A">
        <w:rPr>
          <w:rStyle w:val="FootnoteReference"/>
          <w:rFonts w:cs="Arial"/>
        </w:rPr>
        <w:footnoteRef/>
      </w:r>
      <w:r w:rsidRPr="0049677A">
        <w:rPr>
          <w:rFonts w:cs="Arial"/>
        </w:rPr>
        <w:t xml:space="preserve"> CRC Committee, </w:t>
      </w:r>
      <w:r w:rsidRPr="0049677A">
        <w:rPr>
          <w:rFonts w:cs="Arial"/>
          <w:i/>
          <w:iCs/>
        </w:rPr>
        <w:t>General Comment No. 10: children’s rights in juvenile justice</w:t>
      </w:r>
      <w:r w:rsidRPr="0049677A">
        <w:rPr>
          <w:rFonts w:cs="Arial"/>
        </w:rPr>
        <w:t xml:space="preserve">, 2007, Para 32, available at: </w:t>
      </w:r>
      <w:hyperlink r:id="rId53" w:history="1">
        <w:r w:rsidRPr="0049677A">
          <w:rPr>
            <w:rStyle w:val="Hyperlink"/>
            <w:rFonts w:cs="Arial"/>
            <w:color w:val="auto"/>
            <w:u w:val="none"/>
          </w:rPr>
          <w:t>http://www2.ohchr.org/english/bodies/crc/docs/CRC.C.GC.10.pdf</w:t>
        </w:r>
      </w:hyperlink>
      <w:r w:rsidRPr="0049677A">
        <w:rPr>
          <w:rFonts w:cs="Arial"/>
        </w:rPr>
        <w:t xml:space="preserve"> and UNCRC, October 2008. </w:t>
      </w:r>
      <w:proofErr w:type="gramStart"/>
      <w:r w:rsidRPr="0049677A">
        <w:rPr>
          <w:rFonts w:cs="Arial"/>
        </w:rPr>
        <w:t>Committee on the rights of the Child,</w:t>
      </w:r>
      <w:r w:rsidRPr="0049677A">
        <w:rPr>
          <w:rFonts w:cs="Arial"/>
          <w:b/>
          <w:bCs/>
        </w:rPr>
        <w:t xml:space="preserve"> </w:t>
      </w:r>
      <w:r w:rsidRPr="0049677A">
        <w:rPr>
          <w:rFonts w:cs="Arial"/>
          <w:bCs/>
        </w:rPr>
        <w:t>Concluding Observations, CRC/C/GBR/CO/420.</w:t>
      </w:r>
      <w:proofErr w:type="gramEnd"/>
      <w:r w:rsidRPr="0049677A">
        <w:rPr>
          <w:rFonts w:cs="Arial"/>
          <w:bCs/>
        </w:rPr>
        <w:t xml:space="preserve"> </w:t>
      </w:r>
      <w:proofErr w:type="gramStart"/>
      <w:r w:rsidRPr="0049677A">
        <w:rPr>
          <w:rFonts w:cs="Arial"/>
          <w:bCs/>
        </w:rPr>
        <w:t>Para 78.</w:t>
      </w:r>
      <w:proofErr w:type="gramEnd"/>
      <w:r w:rsidRPr="0049677A">
        <w:rPr>
          <w:rFonts w:cs="Arial"/>
          <w:bCs/>
        </w:rPr>
        <w:t xml:space="preserve"> Available at: </w:t>
      </w:r>
      <w:hyperlink r:id="rId54" w:history="1">
        <w:r w:rsidRPr="0049677A">
          <w:rPr>
            <w:rStyle w:val="Hyperlink"/>
            <w:rFonts w:cs="Arial"/>
            <w:bCs/>
            <w:color w:val="auto"/>
            <w:u w:val="none"/>
          </w:rPr>
          <w:t>http://www2.ohchr.org/english/bodies/crc/docs/AdvanceVersions/CRC.C.GBR.CO.4.pdf</w:t>
        </w:r>
      </w:hyperlink>
      <w:r w:rsidRPr="0049677A">
        <w:rPr>
          <w:rFonts w:cs="Arial"/>
          <w:bCs/>
        </w:rPr>
        <w:t xml:space="preserve"> </w:t>
      </w:r>
    </w:p>
  </w:footnote>
  <w:footnote w:id="213">
    <w:p w:rsidR="0016168E" w:rsidRPr="0049677A" w:rsidRDefault="0016168E" w:rsidP="005B700D">
      <w:pPr>
        <w:pStyle w:val="FootnoteText"/>
        <w:rPr>
          <w:rFonts w:cs="Arial"/>
        </w:rPr>
      </w:pPr>
      <w:r w:rsidRPr="0049677A">
        <w:rPr>
          <w:rStyle w:val="FootnoteReference"/>
          <w:rFonts w:cs="Arial"/>
        </w:rPr>
        <w:footnoteRef/>
      </w:r>
      <w:r w:rsidRPr="0049677A">
        <w:rPr>
          <w:rFonts w:cs="Arial"/>
        </w:rPr>
        <w:t xml:space="preserve"> Concluding observations on the fifth periodic report of the United Kingdom of Great Britain and Northern Ireland, adopted by the Committee at its fiftieth session (6-31 May 2013) para 27. Available at: </w:t>
      </w:r>
      <w:hyperlink r:id="rId55" w:history="1">
        <w:r w:rsidRPr="0049677A">
          <w:rPr>
            <w:rStyle w:val="Hyperlink"/>
            <w:rFonts w:cs="Arial"/>
            <w:color w:val="auto"/>
            <w:u w:val="none"/>
          </w:rPr>
          <w:t>http://tbinternet.ohchr.org/_layouts/treatybodyexternal/Download.aspx?symbolno=CAT%2fC%2fGBR%2fCO%2f5&amp;Lang=en</w:t>
        </w:r>
      </w:hyperlink>
      <w:r w:rsidRPr="0049677A">
        <w:rPr>
          <w:rFonts w:cs="Arial"/>
        </w:rPr>
        <w:t xml:space="preserve"> </w:t>
      </w:r>
    </w:p>
  </w:footnote>
  <w:footnote w:id="214">
    <w:p w:rsidR="0016168E" w:rsidRPr="0043180C" w:rsidRDefault="0016168E" w:rsidP="005B700D">
      <w:pPr>
        <w:pStyle w:val="FootnoteText"/>
        <w:rPr>
          <w:rFonts w:cs="Arial"/>
        </w:rPr>
      </w:pPr>
      <w:r w:rsidRPr="0049677A">
        <w:rPr>
          <w:rStyle w:val="FootnoteReference"/>
          <w:rFonts w:cs="Arial"/>
        </w:rPr>
        <w:footnoteRef/>
      </w:r>
      <w:r w:rsidRPr="0049677A">
        <w:rPr>
          <w:rFonts w:cs="Arial"/>
        </w:rPr>
        <w:t xml:space="preserve"> Memorandum by Thomas </w:t>
      </w:r>
      <w:proofErr w:type="spellStart"/>
      <w:r w:rsidRPr="0049677A">
        <w:rPr>
          <w:rFonts w:cs="Arial"/>
        </w:rPr>
        <w:t>Hammarberg</w:t>
      </w:r>
      <w:proofErr w:type="spellEnd"/>
      <w:r w:rsidRPr="0049677A">
        <w:rPr>
          <w:rFonts w:cs="Arial"/>
        </w:rPr>
        <w:t xml:space="preserve">, Commissioner for Human Rights of the Council of Europe, following his visits to the United Kingdom (5-8 February and 31 March-2 April 2008), </w:t>
      </w:r>
      <w:r w:rsidRPr="0049677A">
        <w:rPr>
          <w:rFonts w:cs="Arial"/>
          <w:iCs/>
        </w:rPr>
        <w:t>Rights of the child with focus on juvenile justice</w:t>
      </w:r>
      <w:r w:rsidRPr="0049677A">
        <w:rPr>
          <w:rFonts w:cs="Arial"/>
        </w:rPr>
        <w:t xml:space="preserve">, </w:t>
      </w:r>
      <w:proofErr w:type="spellStart"/>
      <w:r w:rsidRPr="0049677A">
        <w:rPr>
          <w:rFonts w:cs="Arial"/>
        </w:rPr>
        <w:t>CommDH</w:t>
      </w:r>
      <w:proofErr w:type="spellEnd"/>
      <w:r w:rsidRPr="0049677A">
        <w:rPr>
          <w:rFonts w:cs="Arial"/>
        </w:rPr>
        <w:t xml:space="preserve"> (2008) 27, Strasbourg, 17 October 2008.</w:t>
      </w:r>
    </w:p>
  </w:footnote>
  <w:footnote w:id="215">
    <w:p w:rsidR="0016168E" w:rsidRPr="00FB4DE1" w:rsidRDefault="0016168E" w:rsidP="0009223E">
      <w:pPr>
        <w:pStyle w:val="FootnoteText"/>
        <w:rPr>
          <w:rFonts w:cs="Arial"/>
          <w:b/>
        </w:rPr>
      </w:pPr>
      <w:r w:rsidRPr="00FB4DE1">
        <w:rPr>
          <w:rStyle w:val="FootnoteReference"/>
          <w:rFonts w:cs="Arial"/>
        </w:rPr>
        <w:footnoteRef/>
      </w:r>
      <w:r w:rsidRPr="00FB4DE1">
        <w:rPr>
          <w:rFonts w:cs="Arial"/>
        </w:rPr>
        <w:t xml:space="preserve"> </w:t>
      </w:r>
      <w:proofErr w:type="gramStart"/>
      <w:r w:rsidRPr="00FB4DE1">
        <w:rPr>
          <w:rFonts w:cs="Arial"/>
        </w:rPr>
        <w:t>Human Rights Committee.</w:t>
      </w:r>
      <w:proofErr w:type="gramEnd"/>
      <w:r w:rsidRPr="00FB4DE1">
        <w:rPr>
          <w:rFonts w:cs="Arial"/>
        </w:rPr>
        <w:t xml:space="preserve"> </w:t>
      </w:r>
      <w:proofErr w:type="gramStart"/>
      <w:r w:rsidRPr="00FB4DE1">
        <w:rPr>
          <w:rFonts w:cs="Arial"/>
        </w:rPr>
        <w:t>114th session.</w:t>
      </w:r>
      <w:proofErr w:type="gramEnd"/>
      <w:r w:rsidRPr="00FB4DE1">
        <w:rPr>
          <w:rFonts w:cs="Arial"/>
        </w:rPr>
        <w:t xml:space="preserve"> 25 March 2015. </w:t>
      </w:r>
      <w:proofErr w:type="gramStart"/>
      <w:r w:rsidRPr="00FB4DE1">
        <w:rPr>
          <w:rFonts w:cs="Arial"/>
        </w:rPr>
        <w:t>Replies of United Kingdom, British Overseas Territories and Crown Dependencies to the list of issues.</w:t>
      </w:r>
      <w:proofErr w:type="gramEnd"/>
      <w:r w:rsidRPr="00FB4DE1">
        <w:rPr>
          <w:rFonts w:cs="Arial"/>
        </w:rPr>
        <w:t xml:space="preserve"> </w:t>
      </w:r>
      <w:proofErr w:type="gramStart"/>
      <w:r w:rsidRPr="00FB4DE1">
        <w:rPr>
          <w:rFonts w:cs="Arial"/>
        </w:rPr>
        <w:t>Paragraph 205.</w:t>
      </w:r>
      <w:proofErr w:type="gramEnd"/>
    </w:p>
  </w:footnote>
  <w:footnote w:id="216">
    <w:p w:rsidR="0016168E" w:rsidRPr="00FB4DE1" w:rsidRDefault="0016168E" w:rsidP="0009223E">
      <w:pPr>
        <w:pStyle w:val="FootnoteText"/>
        <w:rPr>
          <w:rFonts w:cs="Arial"/>
        </w:rPr>
      </w:pPr>
      <w:r w:rsidRPr="00FB4DE1">
        <w:rPr>
          <w:rStyle w:val="FootnoteReference"/>
          <w:rFonts w:cs="Arial"/>
        </w:rPr>
        <w:footnoteRef/>
      </w:r>
      <w:r w:rsidRPr="00FB4DE1">
        <w:rPr>
          <w:rFonts w:cs="Arial"/>
        </w:rPr>
        <w:t xml:space="preserve"> See Report, 2014: Stage 1 Report on the Criminal Justice (Scotland) Bill: http://www.scottish.parliament.uk/parliamentarybusiness/CurrentCommittees/72893.aspx</w:t>
      </w:r>
    </w:p>
  </w:footnote>
  <w:footnote w:id="217">
    <w:p w:rsidR="0016168E" w:rsidRPr="0043180C" w:rsidRDefault="0016168E" w:rsidP="005B700D">
      <w:pPr>
        <w:pStyle w:val="FootnoteText"/>
        <w:rPr>
          <w:rFonts w:cs="Arial"/>
        </w:rPr>
      </w:pPr>
      <w:r w:rsidRPr="0043180C">
        <w:rPr>
          <w:rStyle w:val="FootnoteReference"/>
          <w:rFonts w:cs="Arial"/>
        </w:rPr>
        <w:footnoteRef/>
      </w:r>
      <w:r>
        <w:rPr>
          <w:rFonts w:cs="Arial"/>
        </w:rPr>
        <w:t xml:space="preserve"> </w:t>
      </w:r>
      <w:r w:rsidRPr="0043180C">
        <w:rPr>
          <w:rFonts w:cs="Arial"/>
        </w:rPr>
        <w:t>www.ncb.org.uk/media/1148432/independent_parliamentarians__inquiry_into_the_operation_and_effectiveness_of_the_youth_court.pdf</w:t>
      </w:r>
    </w:p>
  </w:footnote>
  <w:footnote w:id="218">
    <w:p w:rsidR="0016168E" w:rsidRPr="0043180C" w:rsidRDefault="0016168E" w:rsidP="005B700D">
      <w:pPr>
        <w:pStyle w:val="FootnoteText"/>
        <w:rPr>
          <w:rFonts w:cs="Arial"/>
        </w:rPr>
      </w:pPr>
      <w:r w:rsidRPr="0043180C">
        <w:rPr>
          <w:rStyle w:val="FootnoteReference"/>
          <w:rFonts w:cs="Arial"/>
        </w:rPr>
        <w:footnoteRef/>
      </w:r>
      <w:r w:rsidRPr="0043180C">
        <w:rPr>
          <w:rFonts w:cs="Arial"/>
        </w:rPr>
        <w:t xml:space="preserve"> Ibid.</w:t>
      </w:r>
    </w:p>
  </w:footnote>
  <w:footnote w:id="219">
    <w:p w:rsidR="0016168E" w:rsidRPr="0043180C" w:rsidRDefault="0016168E" w:rsidP="005B700D">
      <w:pPr>
        <w:rPr>
          <w:rFonts w:cs="Arial"/>
          <w:sz w:val="20"/>
          <w:szCs w:val="20"/>
        </w:rPr>
      </w:pPr>
      <w:r w:rsidRPr="0043180C">
        <w:rPr>
          <w:rStyle w:val="FootnoteReference"/>
          <w:rFonts w:cs="Arial"/>
          <w:sz w:val="20"/>
          <w:szCs w:val="20"/>
        </w:rPr>
        <w:footnoteRef/>
      </w:r>
      <w:r w:rsidRPr="0043180C">
        <w:rPr>
          <w:rFonts w:cs="Arial"/>
          <w:sz w:val="20"/>
          <w:szCs w:val="20"/>
        </w:rPr>
        <w:t xml:space="preserve"> </w:t>
      </w:r>
      <w:r w:rsidRPr="000243D8">
        <w:rPr>
          <w:sz w:val="20"/>
          <w:szCs w:val="20"/>
        </w:rPr>
        <w:t>Ministry of Justice, Youth Custody Data, January 2015, available at: https://www.gov.uk/government/statistics/youth-custody-data</w:t>
      </w:r>
    </w:p>
  </w:footnote>
  <w:footnote w:id="220">
    <w:p w:rsidR="0016168E" w:rsidRPr="00FB4DE1" w:rsidRDefault="0016168E" w:rsidP="0009223E">
      <w:pPr>
        <w:pStyle w:val="FootnoteText"/>
        <w:rPr>
          <w:rFonts w:cs="Arial"/>
        </w:rPr>
      </w:pPr>
      <w:r w:rsidRPr="00FB4DE1">
        <w:rPr>
          <w:rStyle w:val="FootnoteReference"/>
          <w:rFonts w:cs="Arial"/>
        </w:rPr>
        <w:footnoteRef/>
      </w:r>
      <w:r w:rsidRPr="00FB4DE1">
        <w:rPr>
          <w:rFonts w:cs="Arial"/>
        </w:rPr>
        <w:t xml:space="preserve"> 25 per cent of those are acquitted and over one third (37 per cent receive o</w:t>
      </w:r>
      <w:r>
        <w:rPr>
          <w:rFonts w:cs="Arial"/>
        </w:rPr>
        <w:t xml:space="preserve">ther court convictions. </w:t>
      </w:r>
      <w:r w:rsidRPr="00FB4DE1">
        <w:rPr>
          <w:rFonts w:cs="Arial"/>
        </w:rPr>
        <w:t>www.gov.uk/government/uploads/system/uploads/attachment_data/file/399379/youth-justice-annual-stats-13-14.pdf</w:t>
      </w:r>
    </w:p>
  </w:footnote>
  <w:footnote w:id="221">
    <w:p w:rsidR="0016168E" w:rsidRPr="0043180C" w:rsidRDefault="0016168E" w:rsidP="005B700D">
      <w:pPr>
        <w:pStyle w:val="FootnoteText"/>
        <w:rPr>
          <w:rFonts w:cs="Arial"/>
        </w:rPr>
      </w:pPr>
      <w:r w:rsidRPr="0043180C">
        <w:rPr>
          <w:rStyle w:val="FootnoteReference"/>
          <w:rFonts w:cs="Arial"/>
        </w:rPr>
        <w:footnoteRef/>
      </w:r>
      <w:r w:rsidRPr="0043180C">
        <w:rPr>
          <w:rFonts w:cs="Arial"/>
        </w:rPr>
        <w:t xml:space="preserve"> </w:t>
      </w:r>
      <w:proofErr w:type="gramStart"/>
      <w:r w:rsidRPr="0043180C">
        <w:rPr>
          <w:rFonts w:cs="Arial"/>
        </w:rPr>
        <w:t>HMIP.</w:t>
      </w:r>
      <w:proofErr w:type="gramEnd"/>
      <w:r w:rsidRPr="0043180C">
        <w:rPr>
          <w:rFonts w:cs="Arial"/>
        </w:rPr>
        <w:t xml:space="preserve"> October 2014. Annual Report 2013-14.</w:t>
      </w:r>
    </w:p>
  </w:footnote>
  <w:footnote w:id="222">
    <w:p w:rsidR="0016168E" w:rsidRPr="0049677A" w:rsidRDefault="0016168E" w:rsidP="005B700D">
      <w:pPr>
        <w:pStyle w:val="FootnoteText"/>
        <w:rPr>
          <w:rFonts w:cs="Arial"/>
        </w:rPr>
      </w:pPr>
      <w:r w:rsidRPr="0049677A">
        <w:rPr>
          <w:rStyle w:val="FootnoteReference"/>
          <w:rFonts w:cs="Arial"/>
        </w:rPr>
        <w:footnoteRef/>
      </w:r>
      <w:r w:rsidRPr="0049677A">
        <w:rPr>
          <w:rFonts w:cs="Arial"/>
        </w:rPr>
        <w:t xml:space="preserve"> Ibid.</w:t>
      </w:r>
    </w:p>
  </w:footnote>
  <w:footnote w:id="223">
    <w:p w:rsidR="0016168E" w:rsidRPr="0049677A" w:rsidRDefault="0016168E" w:rsidP="005B700D">
      <w:pPr>
        <w:pStyle w:val="FootnoteText"/>
        <w:rPr>
          <w:rFonts w:cs="Arial"/>
        </w:rPr>
      </w:pPr>
      <w:r w:rsidRPr="0049677A">
        <w:rPr>
          <w:rStyle w:val="FootnoteReference"/>
          <w:rFonts w:cs="Arial"/>
        </w:rPr>
        <w:footnoteRef/>
      </w:r>
      <w:r w:rsidRPr="0049677A">
        <w:rPr>
          <w:rFonts w:cs="Arial"/>
        </w:rPr>
        <w:t xml:space="preserve"> www.gov.uk/government/uploads/system/uploads/attachment_data/file/399379/youth-justice-annual-stats-13-14.pdf</w:t>
      </w:r>
    </w:p>
  </w:footnote>
  <w:footnote w:id="224">
    <w:p w:rsidR="0016168E" w:rsidRPr="0049677A" w:rsidRDefault="0016168E" w:rsidP="0043180C">
      <w:pPr>
        <w:pStyle w:val="FootnoteText"/>
        <w:rPr>
          <w:rFonts w:cs="Arial"/>
        </w:rPr>
      </w:pPr>
      <w:r w:rsidRPr="0049677A">
        <w:rPr>
          <w:rStyle w:val="FootnoteReference"/>
          <w:rFonts w:cs="Arial"/>
        </w:rPr>
        <w:footnoteRef/>
      </w:r>
      <w:r w:rsidRPr="0049677A">
        <w:rPr>
          <w:rFonts w:cs="Arial"/>
        </w:rPr>
        <w:t xml:space="preserve"> </w:t>
      </w:r>
      <w:proofErr w:type="gramStart"/>
      <w:r w:rsidRPr="0049677A">
        <w:rPr>
          <w:rFonts w:cs="Arial"/>
        </w:rPr>
        <w:t>HMIP.</w:t>
      </w:r>
      <w:proofErr w:type="gramEnd"/>
      <w:r w:rsidRPr="0049677A">
        <w:rPr>
          <w:rFonts w:cs="Arial"/>
        </w:rPr>
        <w:t xml:space="preserve"> October 2014. Annual Report 2013-14.</w:t>
      </w:r>
    </w:p>
  </w:footnote>
  <w:footnote w:id="225">
    <w:p w:rsidR="0016168E" w:rsidRPr="0049677A" w:rsidRDefault="0016168E">
      <w:pPr>
        <w:pStyle w:val="FootnoteText"/>
      </w:pPr>
      <w:r w:rsidRPr="0049677A">
        <w:rPr>
          <w:rStyle w:val="FootnoteReference"/>
        </w:rPr>
        <w:footnoteRef/>
      </w:r>
      <w:r w:rsidRPr="0049677A">
        <w:t xml:space="preserve"> </w:t>
      </w:r>
      <w:proofErr w:type="gramStart"/>
      <w:r w:rsidRPr="0049677A">
        <w:t>House of Commons Justice Committee.</w:t>
      </w:r>
      <w:proofErr w:type="gramEnd"/>
      <w:r w:rsidRPr="0049677A">
        <w:t xml:space="preserve"> 18 March 2015.</w:t>
      </w:r>
      <w:r w:rsidRPr="0049677A">
        <w:rPr>
          <w:rFonts w:eastAsiaTheme="minorHAnsi" w:cs="Arial"/>
          <w:bCs/>
        </w:rPr>
        <w:t xml:space="preserve"> </w:t>
      </w:r>
      <w:r w:rsidRPr="0049677A">
        <w:rPr>
          <w:bCs/>
        </w:rPr>
        <w:t xml:space="preserve">Prisons: planning and policies. </w:t>
      </w:r>
      <w:proofErr w:type="gramStart"/>
      <w:r w:rsidRPr="0049677A">
        <w:rPr>
          <w:bCs/>
        </w:rPr>
        <w:t>HC 309.</w:t>
      </w:r>
      <w:proofErr w:type="gramEnd"/>
      <w:r w:rsidRPr="0049677A">
        <w:rPr>
          <w:b/>
          <w:bCs/>
        </w:rPr>
        <w:t xml:space="preserve"> </w:t>
      </w:r>
      <w:r w:rsidRPr="0049677A">
        <w:t>www.publications.parliament.uk/pa/cm201415/cmselect/cmjust/309/309.pdf</w:t>
      </w:r>
    </w:p>
  </w:footnote>
  <w:footnote w:id="226">
    <w:p w:rsidR="0016168E" w:rsidRPr="0049677A" w:rsidRDefault="0016168E" w:rsidP="003D6979">
      <w:pPr>
        <w:pStyle w:val="FootnoteText"/>
      </w:pPr>
      <w:r w:rsidRPr="0049677A">
        <w:rPr>
          <w:rStyle w:val="FootnoteReference"/>
        </w:rPr>
        <w:footnoteRef/>
      </w:r>
      <w:r w:rsidRPr="0049677A">
        <w:t xml:space="preserve"> Equality and Human Rights Commission, Briefing in relation to the use of physical restraint in secure colleges, October 2014</w:t>
      </w:r>
      <w:hyperlink r:id="rId56" w:history="1">
        <w:r w:rsidRPr="0049677A">
          <w:rPr>
            <w:rStyle w:val="Hyperlink"/>
            <w:color w:val="auto"/>
            <w:u w:val="none"/>
          </w:rPr>
          <w:t>: /www.equalityhumanrights.com/legal-and-policy/our-legal-work/parliamentary-briefings/criminal-justice-and-courts-bill-2014-use-physical-restraint-secure-colleges</w:t>
        </w:r>
      </w:hyperlink>
      <w:r w:rsidRPr="0049677A">
        <w:t xml:space="preserve"> </w:t>
      </w:r>
    </w:p>
  </w:footnote>
  <w:footnote w:id="227">
    <w:p w:rsidR="0016168E" w:rsidRPr="0049677A" w:rsidRDefault="0016168E" w:rsidP="0009223E">
      <w:pPr>
        <w:pStyle w:val="FootnoteText"/>
        <w:rPr>
          <w:rFonts w:cs="Arial"/>
        </w:rPr>
      </w:pPr>
      <w:r w:rsidRPr="0049677A">
        <w:rPr>
          <w:rStyle w:val="FootnoteReference"/>
          <w:rFonts w:cs="Arial"/>
        </w:rPr>
        <w:footnoteRef/>
      </w:r>
      <w:r w:rsidRPr="0049677A">
        <w:rPr>
          <w:rFonts w:cs="Arial"/>
        </w:rPr>
        <w:t xml:space="preserve"> JCHR, Second Report of Session 2014–15, Legislative Scrutiny: (1) Serious Crime Bill, (2) Criminal Justice and Courts Bill (second Report)and (3) Armed Forces (Service Complaints and Financial Assistance) Bill, HL Paper 62/HC 779</w:t>
      </w:r>
    </w:p>
  </w:footnote>
  <w:footnote w:id="228">
    <w:p w:rsidR="0016168E" w:rsidRPr="00FB4DE1" w:rsidRDefault="0016168E" w:rsidP="0009223E">
      <w:pPr>
        <w:pStyle w:val="FootnoteText"/>
        <w:rPr>
          <w:rFonts w:cs="Arial"/>
        </w:rPr>
      </w:pPr>
      <w:r w:rsidRPr="0049677A">
        <w:rPr>
          <w:rStyle w:val="FootnoteReference"/>
          <w:rFonts w:cs="Arial"/>
        </w:rPr>
        <w:footnoteRef/>
      </w:r>
      <w:r w:rsidRPr="0049677A">
        <w:rPr>
          <w:rFonts w:cs="Arial"/>
        </w:rPr>
        <w:t xml:space="preserve"> www.gov.uk/government/uploads/system/uploads/attachment_data/file/399379/youth-justice-annual-stats-13-14.pdf</w:t>
      </w:r>
    </w:p>
  </w:footnote>
  <w:footnote w:id="229">
    <w:p w:rsidR="0016168E" w:rsidRPr="00C6618C" w:rsidRDefault="0016168E">
      <w:pPr>
        <w:pStyle w:val="FootnoteText"/>
        <w:rPr>
          <w:rFonts w:cs="Arial"/>
        </w:rPr>
      </w:pPr>
      <w:r>
        <w:rPr>
          <w:rStyle w:val="FootnoteReference"/>
        </w:rPr>
        <w:footnoteRef/>
      </w:r>
      <w:r>
        <w:t xml:space="preserve"> </w:t>
      </w:r>
      <w:r>
        <w:rPr>
          <w:rFonts w:cs="Arial"/>
        </w:rPr>
        <w:t>EHRC,</w:t>
      </w:r>
      <w:r w:rsidRPr="0043180C">
        <w:rPr>
          <w:rFonts w:cs="Arial"/>
        </w:rPr>
        <w:t xml:space="preserve"> July 2014: Submission to the United Nations Human Rights Committee Pre-Sessional Working Group on the United Kingdom’s Implementation of the International Covenan</w:t>
      </w:r>
      <w:r>
        <w:rPr>
          <w:rFonts w:cs="Arial"/>
        </w:rPr>
        <w:t xml:space="preserve">t on Civil and Political Rights p.50; </w:t>
      </w:r>
      <w:r w:rsidRPr="0043180C">
        <w:rPr>
          <w:rFonts w:cs="Arial"/>
        </w:rPr>
        <w:t>www.equalityhumanrights.com/about-us/our-work/human-rights/international-framework/international-covenant-civil-and-political-rights</w:t>
      </w:r>
    </w:p>
  </w:footnote>
  <w:footnote w:id="230">
    <w:p w:rsidR="0016168E" w:rsidRPr="0043180C" w:rsidRDefault="0016168E" w:rsidP="008F28F7">
      <w:pPr>
        <w:pStyle w:val="FootnoteText"/>
        <w:rPr>
          <w:rFonts w:cs="Arial"/>
        </w:rPr>
      </w:pPr>
      <w:r w:rsidRPr="0043180C">
        <w:rPr>
          <w:rStyle w:val="FootnoteReference"/>
          <w:rFonts w:cs="Arial"/>
        </w:rPr>
        <w:footnoteRef/>
      </w:r>
      <w:r w:rsidRPr="0043180C">
        <w:rPr>
          <w:rFonts w:cs="Arial"/>
        </w:rPr>
        <w:t xml:space="preserve"> Home Office, October 2014, Hate Crimes England and Wales, 2013/14: www.report-it.org.uk/files/home_office_hate_crime_data_201314.pdf</w:t>
      </w:r>
    </w:p>
  </w:footnote>
  <w:footnote w:id="231">
    <w:p w:rsidR="0016168E" w:rsidRPr="0043180C" w:rsidRDefault="0016168E" w:rsidP="007C394C">
      <w:pPr>
        <w:pStyle w:val="FootnoteText"/>
        <w:rPr>
          <w:rFonts w:cs="Arial"/>
        </w:rPr>
      </w:pPr>
      <w:r w:rsidRPr="0043180C">
        <w:rPr>
          <w:rStyle w:val="FootnoteReference"/>
          <w:rFonts w:cs="Arial"/>
        </w:rPr>
        <w:footnoteRef/>
      </w:r>
      <w:r w:rsidRPr="0043180C">
        <w:rPr>
          <w:rFonts w:cs="Arial"/>
        </w:rPr>
        <w:t xml:space="preserve"> Home Office, Ministry of Justice, Office for National Statistics, December 2013, An overview of Hate Crime in England and Wales: https://www.gov.uk/government/uploads/system/uploads/attachment_data/file/266358/hate-crime-2013.pdf</w:t>
      </w:r>
    </w:p>
  </w:footnote>
  <w:footnote w:id="232">
    <w:p w:rsidR="0016168E" w:rsidRPr="0043180C" w:rsidRDefault="0016168E" w:rsidP="008F28F7">
      <w:pPr>
        <w:pStyle w:val="FootnoteText"/>
        <w:rPr>
          <w:rFonts w:cs="Arial"/>
        </w:rPr>
      </w:pPr>
      <w:r w:rsidRPr="0043180C">
        <w:rPr>
          <w:rStyle w:val="FootnoteReference"/>
          <w:rFonts w:cs="Arial"/>
        </w:rPr>
        <w:footnoteRef/>
      </w:r>
      <w:r w:rsidRPr="0043180C">
        <w:rPr>
          <w:rFonts w:cs="Arial"/>
        </w:rPr>
        <w:t xml:space="preserve"> EHRC, December 2014, Commission launches new project to help tackle LGB and T h</w:t>
      </w:r>
      <w:r>
        <w:rPr>
          <w:rFonts w:cs="Arial"/>
        </w:rPr>
        <w:t xml:space="preserve">ate crime. </w:t>
      </w:r>
      <w:r w:rsidRPr="0043180C">
        <w:rPr>
          <w:rFonts w:cs="Arial"/>
        </w:rPr>
        <w:t>www.equalityhumanrights.com/commission-launches-new-project-help-tackle-lgb-and-t-hate-crime</w:t>
      </w:r>
    </w:p>
  </w:footnote>
  <w:footnote w:id="233">
    <w:p w:rsidR="0016168E" w:rsidRPr="0043180C" w:rsidRDefault="0016168E" w:rsidP="008F28F7">
      <w:pPr>
        <w:pStyle w:val="FootnoteText"/>
        <w:rPr>
          <w:rFonts w:cs="Arial"/>
        </w:rPr>
      </w:pPr>
      <w:r w:rsidRPr="0043180C">
        <w:rPr>
          <w:rStyle w:val="FootnoteReference"/>
          <w:rFonts w:cs="Arial"/>
        </w:rPr>
        <w:footnoteRef/>
      </w:r>
      <w:r w:rsidRPr="0043180C">
        <w:rPr>
          <w:rFonts w:cs="Arial"/>
        </w:rPr>
        <w:t xml:space="preserve"> Home Office, Ministry of Justice, Office for National Statistics, December 2013, An overview of Hate Crime in England and Wales available at: https://www.gov.uk/government/uploads/system/uploads/attachment_data/file/266358/hate-crime-2013.pdf</w:t>
      </w:r>
    </w:p>
  </w:footnote>
  <w:footnote w:id="234">
    <w:p w:rsidR="0016168E" w:rsidRPr="0043180C" w:rsidRDefault="0016168E" w:rsidP="008F28F7">
      <w:pPr>
        <w:pStyle w:val="FootnoteText"/>
        <w:rPr>
          <w:rFonts w:cs="Arial"/>
        </w:rPr>
      </w:pPr>
      <w:r w:rsidRPr="0043180C">
        <w:rPr>
          <w:rStyle w:val="FootnoteReference"/>
          <w:rFonts w:cs="Arial"/>
        </w:rPr>
        <w:footnoteRef/>
      </w:r>
      <w:r w:rsidRPr="0043180C">
        <w:rPr>
          <w:rFonts w:cs="Arial"/>
        </w:rPr>
        <w:t xml:space="preserve"> HM Government, Challenge it, report it, </w:t>
      </w:r>
      <w:proofErr w:type="gramStart"/>
      <w:r w:rsidRPr="0043180C">
        <w:rPr>
          <w:rFonts w:cs="Arial"/>
        </w:rPr>
        <w:t>stop</w:t>
      </w:r>
      <w:proofErr w:type="gramEnd"/>
      <w:r w:rsidRPr="0043180C">
        <w:rPr>
          <w:rFonts w:cs="Arial"/>
        </w:rPr>
        <w:t xml:space="preserve"> it. Delivering the Government’s hate crime action plan, 2014, available at:</w:t>
      </w:r>
    </w:p>
    <w:p w:rsidR="0016168E" w:rsidRPr="0049677A" w:rsidRDefault="007F5A79" w:rsidP="008F28F7">
      <w:pPr>
        <w:pStyle w:val="FootnoteText"/>
        <w:rPr>
          <w:rFonts w:cs="Arial"/>
        </w:rPr>
      </w:pPr>
      <w:hyperlink r:id="rId57" w:history="1">
        <w:r w:rsidR="0016168E" w:rsidRPr="0049677A">
          <w:rPr>
            <w:rStyle w:val="Hyperlink"/>
            <w:rFonts w:cs="Arial"/>
            <w:color w:val="auto"/>
            <w:u w:val="none"/>
          </w:rPr>
          <w:t>https://www.gov.uk/government/uploads/system/uploads/attachment_data/file/307624/HateCrimeActionPlanProgressReport.pdf</w:t>
        </w:r>
      </w:hyperlink>
    </w:p>
  </w:footnote>
  <w:footnote w:id="235">
    <w:p w:rsidR="0016168E" w:rsidRPr="0049677A" w:rsidRDefault="0016168E" w:rsidP="008F28F7">
      <w:pPr>
        <w:pStyle w:val="FootnoteText"/>
        <w:rPr>
          <w:rFonts w:cs="Arial"/>
        </w:rPr>
      </w:pPr>
      <w:r w:rsidRPr="0049677A">
        <w:rPr>
          <w:rStyle w:val="FootnoteReference"/>
          <w:rFonts w:cs="Arial"/>
        </w:rPr>
        <w:footnoteRef/>
      </w:r>
      <w:r w:rsidRPr="0049677A">
        <w:rPr>
          <w:rFonts w:cs="Arial"/>
        </w:rPr>
        <w:t xml:space="preserve"> HM Government, Challenge it, report it, </w:t>
      </w:r>
      <w:proofErr w:type="gramStart"/>
      <w:r w:rsidRPr="0049677A">
        <w:rPr>
          <w:rFonts w:cs="Arial"/>
        </w:rPr>
        <w:t>stop</w:t>
      </w:r>
      <w:proofErr w:type="gramEnd"/>
      <w:r w:rsidRPr="0049677A">
        <w:rPr>
          <w:rFonts w:cs="Arial"/>
        </w:rPr>
        <w:t xml:space="preserve"> it. Delivering the Government’s hate crime action plan, 2014, available at:</w:t>
      </w:r>
    </w:p>
    <w:p w:rsidR="0016168E" w:rsidRPr="0043180C" w:rsidRDefault="007F5A79" w:rsidP="008F28F7">
      <w:pPr>
        <w:pStyle w:val="FootnoteText"/>
        <w:rPr>
          <w:rFonts w:cs="Arial"/>
        </w:rPr>
      </w:pPr>
      <w:hyperlink r:id="rId58" w:history="1">
        <w:r w:rsidR="0016168E" w:rsidRPr="0049677A">
          <w:rPr>
            <w:rStyle w:val="Hyperlink"/>
            <w:rFonts w:cs="Arial"/>
            <w:color w:val="auto"/>
            <w:u w:val="none"/>
          </w:rPr>
          <w:t>https://www.gov.uk/government/uploads/system/uploads/attachment_data/file/307624/HateCrimeActionPlanProgressReport.pdf</w:t>
        </w:r>
      </w:hyperlink>
    </w:p>
  </w:footnote>
  <w:footnote w:id="236">
    <w:p w:rsidR="0016168E" w:rsidRPr="0049677A" w:rsidRDefault="0016168E" w:rsidP="001D5B68">
      <w:pPr>
        <w:pStyle w:val="FootnoteText"/>
        <w:rPr>
          <w:rFonts w:cs="Arial"/>
        </w:rPr>
      </w:pPr>
      <w:r w:rsidRPr="0049677A">
        <w:rPr>
          <w:rStyle w:val="FootnoteReference"/>
          <w:rFonts w:cs="Arial"/>
        </w:rPr>
        <w:footnoteRef/>
      </w:r>
      <w:r w:rsidRPr="0049677A">
        <w:rPr>
          <w:rFonts w:cs="Arial"/>
        </w:rPr>
        <w:t xml:space="preserve"> All Party Parliamentary Group Against Anti-Semitism, February 2015, Report of the All Party Parliamentary Inquiry into Anti-Semitism. Available at: </w:t>
      </w:r>
      <w:hyperlink r:id="rId59" w:history="1">
        <w:r w:rsidRPr="0049677A">
          <w:rPr>
            <w:rStyle w:val="Hyperlink"/>
            <w:rFonts w:cs="Arial"/>
            <w:color w:val="auto"/>
            <w:u w:val="none"/>
          </w:rPr>
          <w:t>www.antisemitism.org.uk/wp-content/themes/PCAA/images/4189_PCAA_Antisemitism%20Report_spreads_v9%20REPRO-DPS_FOR%20WEB_v3.pdf</w:t>
        </w:r>
      </w:hyperlink>
    </w:p>
  </w:footnote>
  <w:footnote w:id="237">
    <w:p w:rsidR="0016168E" w:rsidRPr="0049677A" w:rsidRDefault="0016168E">
      <w:pPr>
        <w:pStyle w:val="FootnoteText"/>
      </w:pPr>
      <w:r w:rsidRPr="0049677A">
        <w:rPr>
          <w:rStyle w:val="FootnoteReference"/>
        </w:rPr>
        <w:footnoteRef/>
      </w:r>
      <w:r w:rsidRPr="0049677A">
        <w:t xml:space="preserve"> www.equalityhumanrights.com/publication/equality-and-human-rights-law-during-election-period-guidance-local-authorities-candidates-and</w:t>
      </w:r>
    </w:p>
  </w:footnote>
  <w:footnote w:id="238">
    <w:p w:rsidR="0016168E" w:rsidRPr="0049677A" w:rsidRDefault="0016168E" w:rsidP="00664B95">
      <w:pPr>
        <w:spacing w:after="0"/>
        <w:rPr>
          <w:rFonts w:cs="Arial"/>
          <w:sz w:val="20"/>
          <w:szCs w:val="20"/>
        </w:rPr>
      </w:pPr>
      <w:r w:rsidRPr="0049677A">
        <w:rPr>
          <w:rStyle w:val="FootnoteReference"/>
          <w:rFonts w:cs="Arial"/>
          <w:sz w:val="20"/>
          <w:szCs w:val="20"/>
        </w:rPr>
        <w:footnoteRef/>
      </w:r>
      <w:r w:rsidRPr="0049677A">
        <w:rPr>
          <w:rFonts w:cs="Arial"/>
          <w:sz w:val="20"/>
          <w:szCs w:val="20"/>
        </w:rPr>
        <w:t xml:space="preserve"> </w:t>
      </w:r>
      <w:proofErr w:type="gramStart"/>
      <w:r w:rsidRPr="0049677A">
        <w:rPr>
          <w:rFonts w:cs="Arial"/>
          <w:sz w:val="20"/>
          <w:szCs w:val="20"/>
        </w:rPr>
        <w:t>EHRC.</w:t>
      </w:r>
      <w:proofErr w:type="gramEnd"/>
      <w:r w:rsidRPr="0049677A">
        <w:rPr>
          <w:rFonts w:cs="Arial"/>
          <w:sz w:val="20"/>
          <w:szCs w:val="20"/>
        </w:rPr>
        <w:t xml:space="preserve"> July 2014. Submission to the United Nations Human Rights Committee Pre-Sessional Working Group on the United Kingdom’s Implementation of the International Covenant on Civil and Political Rights. P.54: </w:t>
      </w:r>
      <w:hyperlink r:id="rId60" w:history="1">
        <w:r w:rsidRPr="0049677A">
          <w:rPr>
            <w:rStyle w:val="Hyperlink"/>
            <w:rFonts w:cs="Arial"/>
            <w:color w:val="auto"/>
            <w:sz w:val="20"/>
            <w:szCs w:val="20"/>
            <w:u w:val="none"/>
          </w:rPr>
          <w:t>www.equalityhumanrights.com/about-us/our-work/human-rights/international-framework/international-covenant-civil-and-political-rights</w:t>
        </w:r>
      </w:hyperlink>
    </w:p>
  </w:footnote>
  <w:footnote w:id="239">
    <w:p w:rsidR="0016168E" w:rsidRPr="0049677A" w:rsidRDefault="0016168E">
      <w:pPr>
        <w:pStyle w:val="FootnoteText"/>
      </w:pPr>
      <w:r w:rsidRPr="0049677A">
        <w:rPr>
          <w:rStyle w:val="FootnoteReference"/>
        </w:rPr>
        <w:footnoteRef/>
      </w:r>
      <w:r w:rsidRPr="0049677A">
        <w:t xml:space="preserve"> </w:t>
      </w:r>
      <w:proofErr w:type="gramStart"/>
      <w:r w:rsidRPr="0049677A">
        <w:t>Home Office.</w:t>
      </w:r>
      <w:proofErr w:type="gramEnd"/>
      <w:r w:rsidRPr="0049677A">
        <w:t xml:space="preserve"> 2014. Challenge it, Change it, Stop it: /www.gov.uk/government/uploads/system/uploads/attachment_data/file/307624/HateCrimeActionPlanProgressReport.pdf</w:t>
      </w:r>
    </w:p>
  </w:footnote>
  <w:footnote w:id="240">
    <w:p w:rsidR="0016168E" w:rsidRDefault="0016168E" w:rsidP="00C81308">
      <w:pPr>
        <w:pStyle w:val="FootnoteText"/>
      </w:pPr>
      <w:r w:rsidRPr="0049677A">
        <w:rPr>
          <w:rStyle w:val="FootnoteReference"/>
        </w:rPr>
        <w:footnoteRef/>
      </w:r>
      <w:r w:rsidRPr="0049677A">
        <w:t xml:space="preserve"> Committee on the Elimination of Racial Discrimination, Concluding observations of the Committee on the Elimination of Racial Discrimination for the United Kingdom and Northern Ireland, 2011, para 11, available at: </w:t>
      </w:r>
      <w:hyperlink r:id="rId61" w:history="1">
        <w:r w:rsidRPr="0049677A">
          <w:rPr>
            <w:rStyle w:val="Hyperlink"/>
            <w:color w:val="auto"/>
            <w:u w:val="none"/>
          </w:rPr>
          <w:t>www2.ohchr.org/english/bodies/cerd/docs/CERD.C.GBR.CO.18-20.pdf</w:t>
        </w:r>
      </w:hyperlink>
      <w:r w:rsidRPr="0049677A">
        <w:t xml:space="preserve"> </w:t>
      </w:r>
    </w:p>
  </w:footnote>
  <w:footnote w:id="241">
    <w:p w:rsidR="0016168E" w:rsidRPr="0049677A" w:rsidRDefault="0016168E" w:rsidP="00C81308">
      <w:pPr>
        <w:pStyle w:val="FootnoteText"/>
      </w:pPr>
      <w:r w:rsidRPr="0049677A">
        <w:rPr>
          <w:rStyle w:val="FootnoteReference"/>
        </w:rPr>
        <w:footnoteRef/>
      </w:r>
      <w:r w:rsidRPr="0049677A">
        <w:t xml:space="preserve"> European Commission on Racism and Intolerance, Report on the United Kingdom, 2010, p46, available at: </w:t>
      </w:r>
      <w:hyperlink r:id="rId62" w:history="1">
        <w:r w:rsidRPr="0049677A">
          <w:rPr>
            <w:rStyle w:val="Hyperlink"/>
            <w:color w:val="auto"/>
            <w:u w:val="none"/>
          </w:rPr>
          <w:t>www.coe.int/t/dghl/monitoring/ecri/country-by-country/united_kingdom/GBR-CbC-IV-2010-004-ENG.pdf</w:t>
        </w:r>
      </w:hyperlink>
      <w:r w:rsidRPr="0049677A">
        <w:t xml:space="preserve"> </w:t>
      </w:r>
    </w:p>
  </w:footnote>
  <w:footnote w:id="242">
    <w:p w:rsidR="0016168E" w:rsidRPr="0049677A" w:rsidRDefault="0016168E" w:rsidP="00C81308">
      <w:pPr>
        <w:pStyle w:val="FootnoteText"/>
      </w:pPr>
      <w:r w:rsidRPr="0049677A">
        <w:rPr>
          <w:rStyle w:val="FootnoteReference"/>
        </w:rPr>
        <w:footnoteRef/>
      </w:r>
      <w:r w:rsidRPr="0049677A">
        <w:t xml:space="preserve"> </w:t>
      </w:r>
      <w:r w:rsidRPr="0049677A">
        <w:rPr>
          <w:rFonts w:ascii="Verdana" w:hAnsi="Verdana" w:cs="Arial"/>
          <w:sz w:val="17"/>
          <w:szCs w:val="17"/>
        </w:rPr>
        <w:t xml:space="preserve">UN Human Rights Chief urges U.K. to tackle tabloid hate speech, after migrants called “cockroaches” </w:t>
      </w:r>
      <w:r w:rsidRPr="0049677A">
        <w:rPr>
          <w:rFonts w:ascii="Verdana" w:hAnsi="Verdana"/>
          <w:sz w:val="17"/>
          <w:szCs w:val="17"/>
        </w:rPr>
        <w:t>April 2015: http://www.ohchr.org/EN/NewsEvents/Pages/DisplayNews.aspx?NewsID=15885&amp;LangID=E</w:t>
      </w:r>
    </w:p>
  </w:footnote>
  <w:footnote w:id="243">
    <w:p w:rsidR="0016168E" w:rsidRPr="0049677A" w:rsidRDefault="0016168E">
      <w:pPr>
        <w:pStyle w:val="FootnoteText"/>
      </w:pPr>
      <w:r w:rsidRPr="0049677A">
        <w:rPr>
          <w:rStyle w:val="FootnoteReference"/>
        </w:rPr>
        <w:footnoteRef/>
      </w:r>
      <w:r w:rsidRPr="0049677A">
        <w:t xml:space="preserve"> EHRC, February 2015, http://www.equalityhumanrights.com/publication/freedom-expression-legal-framework</w:t>
      </w:r>
    </w:p>
  </w:footnote>
  <w:footnote w:id="244">
    <w:p w:rsidR="0016168E" w:rsidRPr="0043180C" w:rsidRDefault="0016168E" w:rsidP="00D66F60">
      <w:pPr>
        <w:pStyle w:val="FootnoteText"/>
        <w:rPr>
          <w:rFonts w:cs="Arial"/>
        </w:rPr>
      </w:pPr>
      <w:r w:rsidRPr="0049677A">
        <w:rPr>
          <w:rStyle w:val="FootnoteReference"/>
          <w:rFonts w:cs="Arial"/>
        </w:rPr>
        <w:footnoteRef/>
      </w:r>
      <w:r w:rsidRPr="0049677A">
        <w:rPr>
          <w:rFonts w:cs="Arial"/>
        </w:rPr>
        <w:t xml:space="preserve"> For further information on our submission see EHRC. 2014.</w:t>
      </w:r>
      <w:r w:rsidR="008C67B4">
        <w:rPr>
          <w:rFonts w:cs="Arial"/>
        </w:rPr>
        <w:t xml:space="preserve"> </w:t>
      </w:r>
      <w:r w:rsidRPr="0049677A">
        <w:rPr>
          <w:rFonts w:cs="Arial"/>
        </w:rPr>
        <w:t xml:space="preserve">Submission to the United Nations Committee Pre-Sessional Working Group on the United Kingdom’s Implementation of the International Covenant on Civil and Political Rights. P. 55-57: </w:t>
      </w:r>
      <w:hyperlink r:id="rId63" w:history="1">
        <w:r w:rsidRPr="0049677A">
          <w:rPr>
            <w:rStyle w:val="Hyperlink"/>
            <w:rFonts w:cs="Arial"/>
            <w:color w:val="auto"/>
            <w:u w:val="none"/>
          </w:rPr>
          <w:t>www.equalityhumanrights.com/about-us/our-work/human-rights/international-framework/international-covenant-civil-and-political-rights</w:t>
        </w:r>
      </w:hyperlink>
      <w:r w:rsidRPr="0043180C">
        <w:rPr>
          <w:rFonts w:cs="Arial"/>
        </w:rPr>
        <w:t xml:space="preserve"> </w:t>
      </w:r>
    </w:p>
  </w:footnote>
  <w:footnote w:id="245">
    <w:p w:rsidR="0016168E" w:rsidRPr="0049677A" w:rsidRDefault="0016168E" w:rsidP="00EB4FF5">
      <w:pPr>
        <w:pStyle w:val="FootnoteText"/>
      </w:pPr>
      <w:r w:rsidRPr="0049677A">
        <w:rPr>
          <w:rStyle w:val="FootnoteReference"/>
        </w:rPr>
        <w:footnoteRef/>
      </w:r>
      <w:r w:rsidRPr="0049677A">
        <w:t xml:space="preserve"> </w:t>
      </w:r>
      <w:proofErr w:type="gramStart"/>
      <w:r w:rsidRPr="0049677A">
        <w:t>ONS.</w:t>
      </w:r>
      <w:proofErr w:type="gramEnd"/>
      <w:r w:rsidRPr="0049677A">
        <w:t xml:space="preserve"> 2015. Chapter 4: Violent Crime and Sexual Offences - Intimate Personal Violence and</w:t>
      </w:r>
    </w:p>
    <w:p w:rsidR="0016168E" w:rsidRPr="0049677A" w:rsidRDefault="0016168E" w:rsidP="00EB4FF5">
      <w:pPr>
        <w:pStyle w:val="FootnoteText"/>
      </w:pPr>
      <w:r w:rsidRPr="0049677A">
        <w:t>Serious Sexual Assault: www.ons.gov.uk/ons/dcp171776_394500.pdf</w:t>
      </w:r>
    </w:p>
  </w:footnote>
  <w:footnote w:id="246">
    <w:p w:rsidR="0016168E" w:rsidRPr="00532AD5" w:rsidRDefault="0016168E" w:rsidP="00EB4FF5">
      <w:pPr>
        <w:spacing w:after="0"/>
        <w:rPr>
          <w:rFonts w:cs="Arial"/>
          <w:sz w:val="20"/>
          <w:szCs w:val="20"/>
        </w:rPr>
      </w:pPr>
      <w:r w:rsidRPr="00532AD5">
        <w:rPr>
          <w:rStyle w:val="FootnoteReference"/>
          <w:sz w:val="20"/>
          <w:szCs w:val="20"/>
        </w:rPr>
        <w:footnoteRef/>
      </w:r>
      <w:r w:rsidRPr="00532AD5">
        <w:rPr>
          <w:rFonts w:cs="Arial"/>
          <w:sz w:val="20"/>
          <w:szCs w:val="20"/>
        </w:rPr>
        <w:t xml:space="preserve"> This includes partner / ex-partner abuse (non-sexual), family abuse (non-sexual) and sexual assault or stalking carried out by a current or former partner or other family member). </w:t>
      </w:r>
    </w:p>
    <w:p w:rsidR="0016168E" w:rsidRPr="0049677A" w:rsidRDefault="0016168E" w:rsidP="00EB4FF5">
      <w:pPr>
        <w:pStyle w:val="FootnoteText"/>
      </w:pPr>
    </w:p>
  </w:footnote>
  <w:footnote w:id="247">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The Istanbul Convention, available at: </w:t>
      </w:r>
      <w:hyperlink r:id="rId64" w:history="1">
        <w:r w:rsidRPr="0049677A">
          <w:rPr>
            <w:rStyle w:val="Hyperlink"/>
            <w:rFonts w:cs="Arial"/>
            <w:color w:val="auto"/>
            <w:u w:val="none"/>
          </w:rPr>
          <w:t>http://www.coe.int/t/dghl/standardsetting/convention-violence/convention/Convention%20210%20English.pdf</w:t>
        </w:r>
      </w:hyperlink>
      <w:r w:rsidRPr="0049677A">
        <w:rPr>
          <w:rFonts w:cs="Arial"/>
        </w:rPr>
        <w:t xml:space="preserve"> </w:t>
      </w:r>
    </w:p>
  </w:footnote>
  <w:footnote w:id="248">
    <w:p w:rsidR="0016168E" w:rsidRPr="0049677A" w:rsidRDefault="0016168E">
      <w:pPr>
        <w:pStyle w:val="FootnoteText"/>
      </w:pPr>
      <w:r w:rsidRPr="0049677A">
        <w:rPr>
          <w:rStyle w:val="FootnoteReference"/>
        </w:rPr>
        <w:footnoteRef/>
      </w:r>
      <w:proofErr w:type="gramStart"/>
      <w:r w:rsidRPr="0049677A">
        <w:t>EHRC.</w:t>
      </w:r>
      <w:proofErr w:type="gramEnd"/>
      <w:r w:rsidRPr="0049677A">
        <w:t xml:space="preserve"> July 2014. </w:t>
      </w:r>
      <w:r w:rsidRPr="0049677A">
        <w:rPr>
          <w:rFonts w:cs="Arial"/>
        </w:rPr>
        <w:t xml:space="preserve">Submission to the United Nations Committee Pre-Sessional Working Group on the United Kingdom’s Implementation of the International Covenant on Civil and Political Rights </w:t>
      </w:r>
      <w:r w:rsidRPr="0049677A">
        <w:t>www.equalityhumanrights.com/sites/default/files/uploads/documents/humanrights/EHRC%20Submission%20to%20UN%20Human%20Rights%20Committee%20Pre-Sessional%20Working%20Group%20on%20UK%20Implementation%20of%20the%20International%20Covenant%20on%20Civil%20and%20Political%20Rights.pdf P.54.</w:t>
      </w:r>
    </w:p>
  </w:footnote>
  <w:footnote w:id="249">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Committee on the Elimination of Discrimination against Women, Concluding observations on the seventh periodic report of the United Kingdom of Great Britain and Northern Ireland, 30 July 2013, available at: </w:t>
      </w:r>
      <w:hyperlink r:id="rId65" w:history="1">
        <w:r w:rsidRPr="0049677A">
          <w:rPr>
            <w:rStyle w:val="Hyperlink"/>
            <w:rFonts w:cs="Arial"/>
            <w:color w:val="auto"/>
            <w:u w:val="none"/>
          </w:rPr>
          <w:t>http://tbinternet.ohchr.org/_layouts/treatybodyexternal/Download.aspx?symbolno=CEDAW%2fC%2fGBR%2fCO%2f7&amp;Lang=en</w:t>
        </w:r>
      </w:hyperlink>
      <w:r w:rsidRPr="0049677A">
        <w:rPr>
          <w:rFonts w:cs="Arial"/>
        </w:rPr>
        <w:t xml:space="preserve"> </w:t>
      </w:r>
    </w:p>
  </w:footnote>
  <w:footnote w:id="250">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This recommendation relates to VAWG: </w:t>
      </w:r>
      <w:hyperlink r:id="rId66" w:anchor="recom19" w:history="1">
        <w:r w:rsidRPr="0049677A">
          <w:rPr>
            <w:rStyle w:val="Hyperlink"/>
            <w:rFonts w:cs="Arial"/>
            <w:color w:val="auto"/>
            <w:u w:val="none"/>
          </w:rPr>
          <w:t>www.un.org/womenwatch/daw/cedaw/recommendations/recomm.htm#recom19</w:t>
        </w:r>
      </w:hyperlink>
      <w:r w:rsidRPr="0049677A">
        <w:rPr>
          <w:rFonts w:cs="Arial"/>
        </w:rPr>
        <w:t xml:space="preserve"> </w:t>
      </w:r>
    </w:p>
  </w:footnote>
  <w:footnote w:id="251">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See the EHRC's PSWG Submission pp 55-56. For a more detailed assessment of the EHRC’s analysis on what the UK Government needs to achieve to meet the Istanbul Convention, please see our submission to the Joint Committee of Human Rights Inquiry on Violence Against Women and Girls (March 2014): </w:t>
      </w:r>
      <w:hyperlink r:id="rId67" w:history="1">
        <w:r w:rsidRPr="0049677A">
          <w:rPr>
            <w:rStyle w:val="Hyperlink"/>
            <w:rFonts w:cs="Arial"/>
            <w:color w:val="auto"/>
            <w:u w:val="none"/>
          </w:rPr>
          <w:t>http://data.parliament.uk/writtenevidence/committeeevidence.svc/evidencedocument/human-rights-committee/violence-against-women-and-girls/written/7840.html</w:t>
        </w:r>
      </w:hyperlink>
      <w:r w:rsidR="008C67B4">
        <w:rPr>
          <w:rFonts w:cs="Arial"/>
        </w:rPr>
        <w:t xml:space="preserve"> </w:t>
      </w:r>
    </w:p>
  </w:footnote>
  <w:footnote w:id="252">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For example, </w:t>
      </w:r>
      <w:r w:rsidRPr="0049677A">
        <w:rPr>
          <w:rFonts w:cs="Arial"/>
          <w:bCs/>
        </w:rPr>
        <w:t>a prohibition on simulated rape pornography (Article 12) is now addressed through the Criminal Justice and Courts Act 2015 and the criminalisation of forced marriage (Article 37) is addressed through the Anti-Social Behaviour, Crime and Policing Act 2014.</w:t>
      </w:r>
    </w:p>
  </w:footnote>
  <w:footnote w:id="253">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w:t>
      </w:r>
      <w:proofErr w:type="gramStart"/>
      <w:r w:rsidRPr="0049677A">
        <w:rPr>
          <w:rFonts w:cs="Arial"/>
        </w:rPr>
        <w:t>EHRC's PSWG Submission p 55.</w:t>
      </w:r>
      <w:proofErr w:type="gramEnd"/>
    </w:p>
  </w:footnote>
  <w:footnote w:id="254">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Home Office, </w:t>
      </w:r>
      <w:r w:rsidRPr="0049677A">
        <w:rPr>
          <w:rFonts w:cs="Arial"/>
          <w:i/>
        </w:rPr>
        <w:t xml:space="preserve">Strengthening the Law on Domestic Abuse Consultation – Summary of Responses </w:t>
      </w:r>
      <w:r w:rsidRPr="0049677A">
        <w:rPr>
          <w:rFonts w:cs="Arial"/>
        </w:rPr>
        <w:t xml:space="preserve">(December 2014), p 11, available at: </w:t>
      </w:r>
      <w:hyperlink r:id="rId68" w:history="1">
        <w:r w:rsidRPr="0049677A">
          <w:rPr>
            <w:rStyle w:val="Hyperlink"/>
            <w:rFonts w:cs="Arial"/>
            <w:color w:val="auto"/>
            <w:u w:val="none"/>
          </w:rPr>
          <w:t>https://www.gov.uk/government/consultations/strengthening-the-law-on-domestic-abuse</w:t>
        </w:r>
      </w:hyperlink>
      <w:r w:rsidRPr="0049677A">
        <w:rPr>
          <w:rFonts w:cs="Arial"/>
        </w:rPr>
        <w:t xml:space="preserve">. In its Inquiry, the JCHR recommended an additional awareness-raising campaign and review of training for the criminal justice professions: </w:t>
      </w:r>
      <w:hyperlink r:id="rId69" w:history="1">
        <w:r w:rsidRPr="0049677A">
          <w:rPr>
            <w:rStyle w:val="Hyperlink"/>
            <w:rFonts w:cs="Arial"/>
            <w:color w:val="auto"/>
            <w:u w:val="none"/>
          </w:rPr>
          <w:t>http://www.parliament.uk/business/committees/committees-a-z/joint-select/human-rights-committee/news/violence-against-women-and-girls-report/</w:t>
        </w:r>
      </w:hyperlink>
      <w:r w:rsidRPr="0049677A">
        <w:rPr>
          <w:rFonts w:cs="Arial"/>
        </w:rPr>
        <w:t xml:space="preserve"> (para 140).</w:t>
      </w:r>
    </w:p>
  </w:footnote>
  <w:footnote w:id="255">
    <w:p w:rsidR="0016168E" w:rsidRPr="0049677A" w:rsidRDefault="0016168E">
      <w:pPr>
        <w:pStyle w:val="FootnoteText"/>
      </w:pPr>
      <w:r w:rsidRPr="0049677A">
        <w:rPr>
          <w:rStyle w:val="FootnoteReference"/>
        </w:rPr>
        <w:footnoteRef/>
      </w:r>
      <w:r w:rsidRPr="0049677A">
        <w:t xml:space="preserve"> </w:t>
      </w:r>
      <w:proofErr w:type="gramStart"/>
      <w:r w:rsidRPr="0049677A">
        <w:t>Welsh Government press release.</w:t>
      </w:r>
      <w:proofErr w:type="gramEnd"/>
      <w:r w:rsidRPr="0049677A">
        <w:t xml:space="preserve"> 10 March 2015: http://gov.wales/newsroom/people-and-communities/2015/assembly-passes-violence-against-women-domestic-abuse-sexual-violence-bill/?lang=en</w:t>
      </w:r>
    </w:p>
  </w:footnote>
  <w:footnote w:id="256">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Welsh Government, </w:t>
      </w:r>
      <w:r w:rsidRPr="0049677A">
        <w:rPr>
          <w:rFonts w:cs="Arial"/>
          <w:i/>
        </w:rPr>
        <w:t xml:space="preserve">Consultation: National Framework on gender-based violence, domestic abuse and sexual abuse, </w:t>
      </w:r>
      <w:r w:rsidRPr="0049677A">
        <w:rPr>
          <w:rFonts w:cs="Arial"/>
        </w:rPr>
        <w:t xml:space="preserve">available at: </w:t>
      </w:r>
      <w:hyperlink r:id="rId70" w:history="1">
        <w:r w:rsidRPr="0049677A">
          <w:rPr>
            <w:rStyle w:val="Hyperlink"/>
            <w:rFonts w:cs="Arial"/>
            <w:color w:val="auto"/>
            <w:u w:val="none"/>
          </w:rPr>
          <w:t>http://gov.wales/consultations/people-and-communities/national-training-framework-on-gender-based-violence/?status=open&amp;lang=en</w:t>
        </w:r>
      </w:hyperlink>
      <w:r w:rsidRPr="0049677A">
        <w:rPr>
          <w:rFonts w:cs="Arial"/>
        </w:rPr>
        <w:t xml:space="preserve"> </w:t>
      </w:r>
    </w:p>
  </w:footnote>
  <w:footnote w:id="257">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Joint Committee on Human Rights, </w:t>
      </w:r>
      <w:r w:rsidRPr="0049677A">
        <w:rPr>
          <w:rFonts w:cs="Arial"/>
          <w:i/>
        </w:rPr>
        <w:t xml:space="preserve">Violence against women and girls: Sixth Report of Session 2014-15 </w:t>
      </w:r>
      <w:r w:rsidRPr="0049677A">
        <w:rPr>
          <w:rFonts w:cs="Arial"/>
        </w:rPr>
        <w:t xml:space="preserve">(February 2015), available at: </w:t>
      </w:r>
      <w:hyperlink r:id="rId71" w:history="1">
        <w:r w:rsidRPr="0049677A">
          <w:rPr>
            <w:rStyle w:val="Hyperlink"/>
            <w:rFonts w:cs="Arial"/>
            <w:color w:val="auto"/>
            <w:u w:val="none"/>
          </w:rPr>
          <w:t>http://www.parliament.uk/business/committees/committees-a-z/joint-select/human-rights-committee/news/violence-against-women-and-girls-report/</w:t>
        </w:r>
      </w:hyperlink>
      <w:r w:rsidRPr="0049677A">
        <w:rPr>
          <w:rFonts w:cs="Arial"/>
        </w:rPr>
        <w:t xml:space="preserve"> </w:t>
      </w:r>
    </w:p>
  </w:footnote>
  <w:footnote w:id="258">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w:t>
      </w:r>
      <w:proofErr w:type="gramStart"/>
      <w:r w:rsidRPr="0049677A">
        <w:rPr>
          <w:rFonts w:cs="Arial"/>
        </w:rPr>
        <w:t>Ibid, p 4.</w:t>
      </w:r>
      <w:proofErr w:type="gramEnd"/>
    </w:p>
  </w:footnote>
  <w:footnote w:id="259">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Ibid, pp 61-62. Also see EHRC submission to the Joint Committee of Human Rights Inquiry on Violence Against Women and Girls (March 2014), para 6(c): </w:t>
      </w:r>
      <w:hyperlink r:id="rId72" w:history="1">
        <w:r w:rsidRPr="0049677A">
          <w:rPr>
            <w:rStyle w:val="Hyperlink"/>
            <w:rFonts w:cs="Arial"/>
            <w:color w:val="auto"/>
            <w:u w:val="none"/>
          </w:rPr>
          <w:t>http://data.parliament.uk/writtenevidence/committeeevidence.svc/evidencedocument/human-rights-committee/violence-against-women-and-girls/written/7840.html</w:t>
        </w:r>
      </w:hyperlink>
    </w:p>
  </w:footnote>
  <w:footnote w:id="260">
    <w:p w:rsidR="0016168E" w:rsidRPr="0049677A" w:rsidRDefault="0016168E">
      <w:pPr>
        <w:pStyle w:val="FootnoteText"/>
      </w:pPr>
      <w:r w:rsidRPr="0049677A">
        <w:rPr>
          <w:rStyle w:val="FootnoteReference"/>
        </w:rPr>
        <w:footnoteRef/>
      </w:r>
      <w:r w:rsidRPr="0049677A">
        <w:t xml:space="preserve"> </w:t>
      </w:r>
      <w:proofErr w:type="gramStart"/>
      <w:r w:rsidRPr="0049677A">
        <w:t>HM Government.</w:t>
      </w:r>
      <w:proofErr w:type="gramEnd"/>
      <w:r w:rsidRPr="0049677A">
        <w:t xml:space="preserve"> March 2015. A Call to End Violence against Women and Girls Progress Report 2010 – 15: www.gov.uk/government/uploads/system/uploads/attachment_data/file/409510/VAWG_Progress_Report_2010-2015.pdf</w:t>
      </w:r>
    </w:p>
  </w:footnote>
  <w:footnote w:id="261">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EHRC's PSWG submission</w:t>
      </w:r>
    </w:p>
  </w:footnote>
  <w:footnote w:id="262">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We also welcome £40million of ring-fenced stable funding from 2011-2015 for specialist local domestic and sexual violence support services and national helplines. Department for Communities and Local Government, Home Office, Government Equalities Office, </w:t>
      </w:r>
      <w:r w:rsidRPr="0049677A">
        <w:rPr>
          <w:rFonts w:cs="Arial"/>
          <w:i/>
        </w:rPr>
        <w:t xml:space="preserve">Government action to help eliminate violence against women and girls </w:t>
      </w:r>
      <w:r w:rsidRPr="0049677A">
        <w:rPr>
          <w:rFonts w:cs="Arial"/>
        </w:rPr>
        <w:t xml:space="preserve">(Media Release, 25 November 2014), available at: </w:t>
      </w:r>
      <w:hyperlink r:id="rId73" w:history="1">
        <w:r w:rsidRPr="0049677A">
          <w:rPr>
            <w:rStyle w:val="Hyperlink"/>
            <w:rFonts w:cs="Arial"/>
            <w:color w:val="auto"/>
            <w:u w:val="none"/>
          </w:rPr>
          <w:t>https://www.gov.uk/government/news/government-action-to-help-eliminate-violence-against-women-and-girls</w:t>
        </w:r>
      </w:hyperlink>
      <w:r w:rsidRPr="0049677A">
        <w:rPr>
          <w:rFonts w:cs="Arial"/>
        </w:rPr>
        <w:t xml:space="preserve"> </w:t>
      </w:r>
    </w:p>
  </w:footnote>
  <w:footnote w:id="263">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See Joint Committee on Human Rights, </w:t>
      </w:r>
      <w:r w:rsidRPr="0049677A">
        <w:rPr>
          <w:rFonts w:cs="Arial"/>
          <w:i/>
        </w:rPr>
        <w:t xml:space="preserve">Violence against women and girls: Sixth Report of Session 2014-15 </w:t>
      </w:r>
      <w:r w:rsidRPr="0049677A">
        <w:rPr>
          <w:rFonts w:cs="Arial"/>
        </w:rPr>
        <w:t xml:space="preserve">(February 2015), section 4, available at: </w:t>
      </w:r>
      <w:hyperlink r:id="rId74" w:history="1">
        <w:r w:rsidRPr="0049677A">
          <w:rPr>
            <w:rStyle w:val="Hyperlink"/>
            <w:rFonts w:cs="Arial"/>
            <w:color w:val="auto"/>
            <w:u w:val="none"/>
          </w:rPr>
          <w:t>http://www.parliament.uk/business/committees/committees-a-z/joint-select/human-rights-committee/news/violence-against-women-and-girls-report/</w:t>
        </w:r>
      </w:hyperlink>
    </w:p>
  </w:footnote>
  <w:footnote w:id="264">
    <w:p w:rsidR="0016168E" w:rsidRDefault="0016168E" w:rsidP="00D66F60">
      <w:pPr>
        <w:pStyle w:val="FootnoteText"/>
        <w:rPr>
          <w:rFonts w:cs="Arial"/>
        </w:rPr>
      </w:pPr>
      <w:r w:rsidRPr="0049677A">
        <w:rPr>
          <w:rStyle w:val="FootnoteReference"/>
          <w:rFonts w:cs="Arial"/>
        </w:rPr>
        <w:footnoteRef/>
      </w:r>
      <w:r w:rsidRPr="0049677A">
        <w:rPr>
          <w:rFonts w:cs="Arial"/>
        </w:rPr>
        <w:t xml:space="preserve"> Women’s Aid Annual Survey 2014, available at:</w:t>
      </w:r>
      <w:r w:rsidR="008C67B4">
        <w:rPr>
          <w:rFonts w:cs="Arial"/>
        </w:rPr>
        <w:t xml:space="preserve"> </w:t>
      </w:r>
      <w:hyperlink r:id="rId75" w:history="1">
        <w:r w:rsidRPr="0049677A">
          <w:rPr>
            <w:rStyle w:val="Hyperlink"/>
            <w:rFonts w:cs="Arial"/>
            <w:color w:val="auto"/>
            <w:u w:val="none"/>
          </w:rPr>
          <w:t>http://www.womensaid.org.uk/page.asp?section=00010001001400130005&amp;sectionTitle=Women's+Aid+Annual+Survey</w:t>
        </w:r>
      </w:hyperlink>
    </w:p>
    <w:p w:rsidR="0016168E" w:rsidRPr="0043180C" w:rsidRDefault="0016168E" w:rsidP="00D66F60">
      <w:pPr>
        <w:pStyle w:val="FootnoteText"/>
        <w:rPr>
          <w:rFonts w:cs="Arial"/>
        </w:rPr>
      </w:pPr>
      <w:r>
        <w:rPr>
          <w:rStyle w:val="FootnoteReference"/>
        </w:rPr>
        <w:t>265</w:t>
      </w:r>
      <w:r>
        <w:t xml:space="preserve"> Legal Aid, Sentencing and Punishment of Offenders Act 2012: </w:t>
      </w:r>
      <w:r w:rsidRPr="009B2DA8">
        <w:t>www.legislation.gov.uk/ukpga/2012/10/contents/enacted</w:t>
      </w:r>
    </w:p>
  </w:footnote>
  <w:footnote w:id="265">
    <w:p w:rsidR="0016168E" w:rsidRPr="0043180C" w:rsidRDefault="0016168E" w:rsidP="00D66F60">
      <w:pPr>
        <w:pStyle w:val="FootnoteText"/>
        <w:rPr>
          <w:rFonts w:cs="Arial"/>
        </w:rPr>
      </w:pPr>
    </w:p>
  </w:footnote>
  <w:footnote w:id="266">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See Welsh Women’s Aid, Rights of Women, Women’s Aid, </w:t>
      </w:r>
      <w:r w:rsidRPr="0049677A">
        <w:rPr>
          <w:rFonts w:cs="Arial"/>
          <w:i/>
        </w:rPr>
        <w:t xml:space="preserve">Evidencing domestic violence: reviewing the amended regulations </w:t>
      </w:r>
      <w:r w:rsidRPr="0049677A">
        <w:rPr>
          <w:rFonts w:cs="Arial"/>
        </w:rPr>
        <w:t xml:space="preserve">(2014), available at: </w:t>
      </w:r>
      <w:hyperlink r:id="rId76" w:history="1">
        <w:r w:rsidRPr="0049677A">
          <w:rPr>
            <w:rStyle w:val="Hyperlink"/>
            <w:rFonts w:cs="Arial"/>
            <w:color w:val="auto"/>
            <w:u w:val="none"/>
          </w:rPr>
          <w:t>http://rightsofwomen.org.uk/wp-content/uploads/2014/12/Evidencing-domestic-violence-IV.pdf</w:t>
        </w:r>
      </w:hyperlink>
      <w:r w:rsidRPr="0049677A">
        <w:rPr>
          <w:rFonts w:cs="Arial"/>
        </w:rPr>
        <w:t xml:space="preserve">. </w:t>
      </w:r>
    </w:p>
  </w:footnote>
  <w:footnote w:id="267">
    <w:p w:rsidR="0016168E" w:rsidRPr="0049677A" w:rsidRDefault="0016168E" w:rsidP="00D66F60">
      <w:pPr>
        <w:pStyle w:val="FootnoteText"/>
        <w:rPr>
          <w:rFonts w:cs="Arial"/>
        </w:rPr>
      </w:pPr>
      <w:r w:rsidRPr="0049677A">
        <w:rPr>
          <w:rStyle w:val="FootnoteReference"/>
          <w:rFonts w:cs="Arial"/>
        </w:rPr>
        <w:footnoteRef/>
      </w:r>
      <w:r w:rsidRPr="0049677A">
        <w:rPr>
          <w:rFonts w:cs="Arial"/>
        </w:rPr>
        <w:t xml:space="preserve"> </w:t>
      </w:r>
      <w:r w:rsidRPr="0049677A">
        <w:rPr>
          <w:rFonts w:cs="Arial"/>
          <w:i/>
          <w:iCs/>
        </w:rPr>
        <w:t>R (</w:t>
      </w:r>
      <w:proofErr w:type="spellStart"/>
      <w:r w:rsidRPr="0049677A">
        <w:rPr>
          <w:rFonts w:cs="Arial"/>
          <w:i/>
          <w:iCs/>
        </w:rPr>
        <w:t>oao</w:t>
      </w:r>
      <w:proofErr w:type="spellEnd"/>
      <w:r w:rsidRPr="0049677A">
        <w:rPr>
          <w:rFonts w:cs="Arial"/>
          <w:i/>
          <w:iCs/>
        </w:rPr>
        <w:t xml:space="preserve"> Rights of Women) v Lord Chancellor</w:t>
      </w:r>
      <w:r w:rsidRPr="0049677A">
        <w:rPr>
          <w:rFonts w:cs="Arial"/>
        </w:rPr>
        <w:t xml:space="preserve"> [2015] EWHC 35 (Admin)</w:t>
      </w:r>
    </w:p>
  </w:footnote>
  <w:footnote w:id="268">
    <w:p w:rsidR="0016168E" w:rsidRPr="0043180C" w:rsidRDefault="0016168E" w:rsidP="00D66F60">
      <w:pPr>
        <w:pStyle w:val="FootnoteText"/>
        <w:rPr>
          <w:rFonts w:cs="Arial"/>
        </w:rPr>
      </w:pPr>
      <w:r w:rsidRPr="0049677A">
        <w:rPr>
          <w:rStyle w:val="FootnoteReference"/>
          <w:rFonts w:cs="Arial"/>
        </w:rPr>
        <w:footnoteRef/>
      </w:r>
      <w:r w:rsidRPr="0049677A">
        <w:rPr>
          <w:rFonts w:cs="Arial"/>
        </w:rPr>
        <w:t xml:space="preserve"> </w:t>
      </w:r>
      <w:r w:rsidRPr="0049677A">
        <w:rPr>
          <w:rFonts w:cs="Arial"/>
          <w:i/>
          <w:iCs/>
        </w:rPr>
        <w:t>http://www.familylawweek.co.uk/site.aspx?i=ed143266</w:t>
      </w:r>
    </w:p>
  </w:footnote>
  <w:footnote w:id="269">
    <w:p w:rsidR="0016168E" w:rsidRPr="0049677A" w:rsidRDefault="0016168E" w:rsidP="00B3024E">
      <w:pPr>
        <w:pStyle w:val="FootnoteText"/>
        <w:rPr>
          <w:rFonts w:cs="Arial"/>
        </w:rPr>
      </w:pPr>
      <w:r w:rsidRPr="0049677A">
        <w:rPr>
          <w:rStyle w:val="FootnoteReference"/>
          <w:rFonts w:cs="Arial"/>
        </w:rPr>
        <w:footnoteRef/>
      </w:r>
      <w:r w:rsidRPr="0049677A">
        <w:rPr>
          <w:rFonts w:cs="Arial"/>
        </w:rPr>
        <w:t xml:space="preserve"> See the EHRC’s Mid-Term Universal Periodic Review Report (August 2014), p 36: </w:t>
      </w:r>
      <w:hyperlink r:id="rId77" w:history="1">
        <w:r w:rsidRPr="0049677A">
          <w:rPr>
            <w:rStyle w:val="Hyperlink"/>
            <w:rFonts w:cs="Arial"/>
            <w:color w:val="auto"/>
            <w:u w:val="none"/>
          </w:rPr>
          <w:t>http://www.equalityhumanrights.com/sites/default/files/publication_pdf/UPR%20Mid-Term%20Report%20EHRCfinal210814_Web.pdf</w:t>
        </w:r>
      </w:hyperlink>
      <w:r w:rsidRPr="0049677A">
        <w:rPr>
          <w:rFonts w:cs="Arial"/>
        </w:rPr>
        <w:t xml:space="preserve"> </w:t>
      </w:r>
    </w:p>
  </w:footnote>
  <w:footnote w:id="270">
    <w:p w:rsidR="0016168E" w:rsidRPr="0049677A" w:rsidRDefault="0016168E" w:rsidP="00B3024E">
      <w:pPr>
        <w:pStyle w:val="FootnoteText"/>
        <w:spacing w:line="288" w:lineRule="auto"/>
        <w:rPr>
          <w:rFonts w:cs="Arial"/>
        </w:rPr>
      </w:pPr>
      <w:r w:rsidRPr="0049677A">
        <w:rPr>
          <w:rStyle w:val="FootnoteReference"/>
          <w:rFonts w:cs="Arial"/>
        </w:rPr>
        <w:footnoteRef/>
      </w:r>
      <w:r w:rsidRPr="0049677A">
        <w:rPr>
          <w:rFonts w:cs="Arial"/>
        </w:rPr>
        <w:t xml:space="preserve"> The protected groups under the Equality Act 2010: race, age, disability, sex, gender reassignment, religion or belief and sexual orientation, marriage and civil partnership and pregnancy and maternity.</w:t>
      </w:r>
    </w:p>
  </w:footnote>
  <w:footnote w:id="271">
    <w:p w:rsidR="0016168E" w:rsidRPr="0049677A" w:rsidRDefault="0016168E" w:rsidP="00B3024E">
      <w:pPr>
        <w:spacing w:after="0" w:line="288" w:lineRule="auto"/>
        <w:rPr>
          <w:rStyle w:val="Hyperlink"/>
          <w:rFonts w:cs="Arial"/>
          <w:bCs/>
          <w:color w:val="auto"/>
          <w:sz w:val="20"/>
          <w:szCs w:val="20"/>
          <w:u w:val="none"/>
        </w:rPr>
      </w:pPr>
      <w:r w:rsidRPr="0049677A">
        <w:rPr>
          <w:rStyle w:val="FootnoteReference"/>
          <w:rFonts w:cs="Arial"/>
          <w:sz w:val="20"/>
          <w:szCs w:val="20"/>
        </w:rPr>
        <w:footnoteRef/>
      </w:r>
      <w:r w:rsidRPr="0049677A">
        <w:rPr>
          <w:rFonts w:cs="Arial"/>
          <w:sz w:val="20"/>
          <w:szCs w:val="20"/>
        </w:rPr>
        <w:t xml:space="preserve"> </w:t>
      </w:r>
      <w:proofErr w:type="gramStart"/>
      <w:r w:rsidRPr="0049677A">
        <w:rPr>
          <w:rFonts w:cs="Arial"/>
          <w:bCs/>
          <w:sz w:val="20"/>
          <w:szCs w:val="20"/>
        </w:rPr>
        <w:t>Office for National Statistics.</w:t>
      </w:r>
      <w:proofErr w:type="gramEnd"/>
      <w:r w:rsidRPr="0049677A">
        <w:rPr>
          <w:rFonts w:cs="Arial"/>
          <w:bCs/>
          <w:sz w:val="20"/>
          <w:szCs w:val="20"/>
        </w:rPr>
        <w:t xml:space="preserve"> </w:t>
      </w:r>
      <w:proofErr w:type="gramStart"/>
      <w:r w:rsidRPr="0049677A">
        <w:rPr>
          <w:rFonts w:cs="Arial"/>
          <w:bCs/>
          <w:i/>
          <w:sz w:val="20"/>
          <w:szCs w:val="20"/>
        </w:rPr>
        <w:t>Annual Survey of Hours and Earnings, 2014 Provisional Results.</w:t>
      </w:r>
      <w:proofErr w:type="gramEnd"/>
      <w:r w:rsidRPr="0049677A">
        <w:rPr>
          <w:rFonts w:cs="Arial"/>
          <w:bCs/>
          <w:i/>
          <w:sz w:val="20"/>
          <w:szCs w:val="20"/>
        </w:rPr>
        <w:t xml:space="preserve"> </w:t>
      </w:r>
      <w:r w:rsidRPr="0049677A">
        <w:rPr>
          <w:rFonts w:cs="Arial"/>
          <w:bCs/>
          <w:sz w:val="20"/>
          <w:szCs w:val="20"/>
        </w:rPr>
        <w:t xml:space="preserve">November 2014: </w:t>
      </w:r>
    </w:p>
    <w:p w:rsidR="0016168E" w:rsidRPr="0049677A" w:rsidRDefault="0016168E" w:rsidP="00B3024E">
      <w:pPr>
        <w:spacing w:after="0" w:line="288" w:lineRule="auto"/>
        <w:rPr>
          <w:rFonts w:cs="Arial"/>
          <w:bCs/>
          <w:i/>
          <w:sz w:val="20"/>
          <w:szCs w:val="20"/>
        </w:rPr>
      </w:pPr>
      <w:r w:rsidRPr="0049677A">
        <w:rPr>
          <w:rStyle w:val="Hyperlink"/>
          <w:rFonts w:cs="Arial"/>
          <w:bCs/>
          <w:color w:val="auto"/>
          <w:sz w:val="20"/>
          <w:szCs w:val="20"/>
          <w:u w:val="none"/>
        </w:rPr>
        <w:t xml:space="preserve"> </w:t>
      </w:r>
      <w:hyperlink r:id="rId78" w:history="1">
        <w:r w:rsidRPr="0049677A">
          <w:rPr>
            <w:rStyle w:val="Hyperlink"/>
            <w:rFonts w:cs="Arial"/>
            <w:bCs/>
            <w:color w:val="auto"/>
            <w:sz w:val="20"/>
            <w:szCs w:val="20"/>
            <w:u w:val="none"/>
          </w:rPr>
          <w:t>http://www.ons.gov.uk/ons/dcp171778_385428.pdf</w:t>
        </w:r>
      </w:hyperlink>
      <w:r w:rsidRPr="0049677A">
        <w:rPr>
          <w:rStyle w:val="Hyperlink"/>
          <w:rFonts w:cs="Arial"/>
          <w:bCs/>
          <w:color w:val="auto"/>
          <w:sz w:val="20"/>
          <w:szCs w:val="20"/>
          <w:u w:val="none"/>
        </w:rPr>
        <w:t>. This figure is based on median hourly earnings excluding overtime.</w:t>
      </w:r>
      <w:r w:rsidRPr="0049677A">
        <w:rPr>
          <w:rStyle w:val="Hyperlink"/>
          <w:rFonts w:cs="Arial"/>
          <w:bCs/>
          <w:i/>
          <w:color w:val="auto"/>
          <w:sz w:val="20"/>
          <w:szCs w:val="20"/>
          <w:u w:val="none"/>
        </w:rPr>
        <w:t xml:space="preserve"> </w:t>
      </w:r>
    </w:p>
  </w:footnote>
  <w:footnote w:id="272">
    <w:p w:rsidR="0016168E" w:rsidRPr="0049677A" w:rsidRDefault="0016168E" w:rsidP="00B3024E">
      <w:pPr>
        <w:pStyle w:val="FootnoteText"/>
        <w:rPr>
          <w:rFonts w:cs="Arial"/>
          <w:bCs/>
        </w:rPr>
      </w:pPr>
      <w:r w:rsidRPr="0049677A">
        <w:rPr>
          <w:rStyle w:val="FootnoteReference"/>
          <w:rFonts w:cs="Arial"/>
        </w:rPr>
        <w:footnoteRef/>
      </w:r>
      <w:r w:rsidRPr="0049677A">
        <w:rPr>
          <w:rFonts w:cs="Arial"/>
        </w:rPr>
        <w:t xml:space="preserve"> </w:t>
      </w:r>
      <w:proofErr w:type="gramStart"/>
      <w:r w:rsidRPr="0049677A">
        <w:rPr>
          <w:rFonts w:cs="Arial"/>
          <w:bCs/>
        </w:rPr>
        <w:t>Office for National Statistics.</w:t>
      </w:r>
      <w:proofErr w:type="gramEnd"/>
      <w:r w:rsidRPr="0049677A">
        <w:rPr>
          <w:rFonts w:cs="Arial"/>
          <w:bCs/>
        </w:rPr>
        <w:t xml:space="preserve"> </w:t>
      </w:r>
      <w:r w:rsidRPr="0049677A">
        <w:rPr>
          <w:rFonts w:cs="Arial"/>
          <w:bCs/>
          <w:i/>
        </w:rPr>
        <w:t xml:space="preserve">Annual Survey of Hours and Earnings, 2014 Provisional </w:t>
      </w:r>
      <w:proofErr w:type="spellStart"/>
      <w:r w:rsidRPr="0049677A">
        <w:rPr>
          <w:rFonts w:cs="Arial"/>
          <w:bCs/>
          <w:i/>
        </w:rPr>
        <w:t>Results.</w:t>
      </w:r>
      <w:r w:rsidRPr="0049677A">
        <w:rPr>
          <w:rFonts w:cs="Arial"/>
          <w:bCs/>
        </w:rPr>
        <w:t>p</w:t>
      </w:r>
      <w:proofErr w:type="spellEnd"/>
      <w:r w:rsidRPr="0049677A">
        <w:rPr>
          <w:rFonts w:cs="Arial"/>
          <w:bCs/>
        </w:rPr>
        <w:t xml:space="preserve"> 10,</w:t>
      </w:r>
      <w:r w:rsidR="008C67B4">
        <w:rPr>
          <w:rFonts w:cs="Arial"/>
          <w:bCs/>
        </w:rPr>
        <w:t xml:space="preserve"> </w:t>
      </w:r>
      <w:r w:rsidRPr="0049677A">
        <w:rPr>
          <w:rFonts w:cs="Arial"/>
          <w:bCs/>
        </w:rPr>
        <w:t xml:space="preserve">November 2014: </w:t>
      </w:r>
    </w:p>
    <w:p w:rsidR="0016168E" w:rsidRPr="0049677A" w:rsidRDefault="0016168E" w:rsidP="00B3024E">
      <w:pPr>
        <w:pStyle w:val="FootnoteText"/>
        <w:rPr>
          <w:rFonts w:cs="Arial"/>
        </w:rPr>
      </w:pPr>
      <w:r w:rsidRPr="0049677A">
        <w:rPr>
          <w:rFonts w:cs="Arial"/>
          <w:bCs/>
        </w:rPr>
        <w:t xml:space="preserve"> http://www.ons.gov.uk/ons/dcp171778_385428.pdf</w:t>
      </w:r>
    </w:p>
  </w:footnote>
  <w:footnote w:id="273">
    <w:p w:rsidR="0016168E" w:rsidRPr="0049677A" w:rsidRDefault="0016168E" w:rsidP="00B3024E">
      <w:pPr>
        <w:pStyle w:val="FootnoteText"/>
        <w:rPr>
          <w:rFonts w:cs="Arial"/>
          <w:bCs/>
        </w:rPr>
      </w:pPr>
      <w:r w:rsidRPr="0049677A">
        <w:rPr>
          <w:rStyle w:val="FootnoteReference"/>
          <w:rFonts w:cs="Arial"/>
        </w:rPr>
        <w:footnoteRef/>
      </w:r>
      <w:r w:rsidRPr="0049677A">
        <w:rPr>
          <w:rFonts w:cs="Arial"/>
        </w:rPr>
        <w:t xml:space="preserve"> With the exception of the 16-17 age </w:t>
      </w:r>
      <w:proofErr w:type="gramStart"/>
      <w:r w:rsidRPr="0049677A">
        <w:rPr>
          <w:rFonts w:cs="Arial"/>
        </w:rPr>
        <w:t>group</w:t>
      </w:r>
      <w:proofErr w:type="gramEnd"/>
      <w:r w:rsidRPr="0049677A">
        <w:rPr>
          <w:rFonts w:cs="Arial"/>
        </w:rPr>
        <w:t xml:space="preserve">: </w:t>
      </w:r>
      <w:r w:rsidRPr="0049677A">
        <w:rPr>
          <w:rFonts w:cs="Arial"/>
          <w:bCs/>
        </w:rPr>
        <w:t xml:space="preserve">Office for National Statistics. </w:t>
      </w:r>
      <w:proofErr w:type="gramStart"/>
      <w:r w:rsidRPr="0049677A">
        <w:rPr>
          <w:rFonts w:cs="Arial"/>
          <w:bCs/>
          <w:i/>
        </w:rPr>
        <w:t>Annual Survey of Hours and Earnings, 2014 Provisional Results.</w:t>
      </w:r>
      <w:proofErr w:type="gramEnd"/>
      <w:r w:rsidRPr="0049677A">
        <w:rPr>
          <w:rFonts w:cs="Arial"/>
          <w:bCs/>
          <w:i/>
        </w:rPr>
        <w:t xml:space="preserve"> </w:t>
      </w:r>
      <w:r w:rsidRPr="0049677A">
        <w:rPr>
          <w:rFonts w:cs="Arial"/>
          <w:bCs/>
        </w:rPr>
        <w:t xml:space="preserve">November 2014, Figure 9: </w:t>
      </w:r>
    </w:p>
    <w:p w:rsidR="0016168E" w:rsidRPr="0049677A" w:rsidRDefault="0016168E" w:rsidP="00B3024E">
      <w:pPr>
        <w:pStyle w:val="FootnoteText"/>
        <w:spacing w:line="288" w:lineRule="auto"/>
        <w:rPr>
          <w:rFonts w:cs="Arial"/>
        </w:rPr>
      </w:pPr>
      <w:r w:rsidRPr="0049677A">
        <w:rPr>
          <w:rFonts w:cs="Arial"/>
          <w:bCs/>
        </w:rPr>
        <w:t xml:space="preserve"> http://www.ons.gov.uk/ons/dcp171778_385428.pdf</w:t>
      </w:r>
      <w:r w:rsidR="008C67B4">
        <w:rPr>
          <w:rFonts w:cs="Arial"/>
        </w:rPr>
        <w:t xml:space="preserve"> </w:t>
      </w:r>
    </w:p>
  </w:footnote>
  <w:footnote w:id="274">
    <w:p w:rsidR="0016168E" w:rsidRPr="0049677A" w:rsidRDefault="0016168E" w:rsidP="00B3024E">
      <w:pPr>
        <w:pStyle w:val="FootnoteText"/>
        <w:spacing w:line="288" w:lineRule="auto"/>
        <w:rPr>
          <w:rFonts w:cs="Arial"/>
        </w:rPr>
      </w:pPr>
      <w:r w:rsidRPr="0049677A">
        <w:rPr>
          <w:rStyle w:val="FootnoteReference"/>
          <w:rFonts w:cs="Arial"/>
        </w:rPr>
        <w:footnoteRef/>
      </w:r>
      <w:r w:rsidRPr="0049677A">
        <w:rPr>
          <w:rFonts w:cs="Arial"/>
          <w:i/>
        </w:rPr>
        <w:t xml:space="preserve"> </w:t>
      </w:r>
      <w:proofErr w:type="gramStart"/>
      <w:r w:rsidRPr="0049677A">
        <w:rPr>
          <w:rFonts w:cs="Arial"/>
        </w:rPr>
        <w:t>EHRC.</w:t>
      </w:r>
      <w:proofErr w:type="gramEnd"/>
      <w:r w:rsidRPr="0049677A">
        <w:rPr>
          <w:rFonts w:cs="Arial"/>
        </w:rPr>
        <w:t xml:space="preserve"> </w:t>
      </w:r>
      <w:r w:rsidRPr="0049677A">
        <w:rPr>
          <w:rFonts w:cs="Arial"/>
          <w:i/>
        </w:rPr>
        <w:t>Work and Care: A Study of Modern Parents</w:t>
      </w:r>
      <w:r w:rsidRPr="0049677A">
        <w:rPr>
          <w:rFonts w:cs="Arial"/>
        </w:rPr>
        <w:t xml:space="preserve">, Research Report 15, Pp14-15: </w:t>
      </w:r>
      <w:hyperlink r:id="rId79" w:history="1">
        <w:r w:rsidRPr="0049677A">
          <w:rPr>
            <w:rStyle w:val="Hyperlink"/>
            <w:rFonts w:cs="Arial"/>
            <w:color w:val="auto"/>
            <w:u w:val="none"/>
          </w:rPr>
          <w:t>www.equalityhumanrights.com/sites/default/files/documents/research/15._work_and_care_modern_parents_15_</w:t>
        </w:r>
        <w:r w:rsidRPr="0049677A">
          <w:rPr>
            <w:rStyle w:val="Hyperlink"/>
            <w:rFonts w:cs="Arial"/>
            <w:color w:val="auto"/>
            <w:u w:val="none"/>
          </w:rPr>
          <w:br/>
          <w:t>report.pdf</w:t>
        </w:r>
      </w:hyperlink>
    </w:p>
  </w:footnote>
  <w:footnote w:id="275">
    <w:p w:rsidR="0016168E" w:rsidRPr="0043180C" w:rsidRDefault="0016168E" w:rsidP="00B3024E">
      <w:pPr>
        <w:pStyle w:val="FootnoteText"/>
        <w:spacing w:line="288" w:lineRule="auto"/>
        <w:rPr>
          <w:rFonts w:cs="Arial"/>
        </w:rPr>
      </w:pPr>
      <w:r w:rsidRPr="0049677A">
        <w:rPr>
          <w:rStyle w:val="FootnoteReference"/>
          <w:rFonts w:cs="Arial"/>
        </w:rPr>
        <w:footnoteRef/>
      </w:r>
      <w:r w:rsidRPr="0049677A">
        <w:rPr>
          <w:rFonts w:cs="Arial"/>
        </w:rPr>
        <w:t xml:space="preserve"> </w:t>
      </w:r>
      <w:proofErr w:type="gramStart"/>
      <w:r w:rsidRPr="0049677A">
        <w:rPr>
          <w:rFonts w:cs="Arial"/>
        </w:rPr>
        <w:t>The Resolution Foundation.</w:t>
      </w:r>
      <w:proofErr w:type="gramEnd"/>
      <w:r w:rsidRPr="0049677A">
        <w:rPr>
          <w:rFonts w:cs="Arial"/>
        </w:rPr>
        <w:t xml:space="preserve"> 2012. </w:t>
      </w:r>
      <w:r w:rsidRPr="0049677A">
        <w:rPr>
          <w:rFonts w:cs="Arial"/>
          <w:i/>
        </w:rPr>
        <w:t>The Price of Motherhood: Women and Part-Time Work</w:t>
      </w:r>
      <w:r w:rsidRPr="0049677A">
        <w:rPr>
          <w:rFonts w:cs="Arial"/>
        </w:rPr>
        <w:t xml:space="preserve">: </w:t>
      </w:r>
      <w:hyperlink r:id="rId80" w:history="1">
        <w:r w:rsidRPr="0049677A">
          <w:rPr>
            <w:rStyle w:val="Hyperlink"/>
            <w:rFonts w:cs="Arial"/>
            <w:color w:val="auto"/>
            <w:u w:val="none"/>
          </w:rPr>
          <w:t>www.resolutionfoundation.org/publications/price-motherhood-women-and-part-time-work/</w:t>
        </w:r>
      </w:hyperlink>
    </w:p>
  </w:footnote>
  <w:footnote w:id="276">
    <w:p w:rsidR="0016168E" w:rsidRPr="0049677A" w:rsidRDefault="0016168E" w:rsidP="00B3024E">
      <w:pPr>
        <w:pStyle w:val="FootnoteText"/>
        <w:spacing w:line="288" w:lineRule="auto"/>
        <w:rPr>
          <w:rFonts w:cs="Arial"/>
        </w:rPr>
      </w:pPr>
      <w:r w:rsidRPr="0049677A">
        <w:rPr>
          <w:rStyle w:val="FootnoteReference"/>
          <w:rFonts w:cs="Arial"/>
        </w:rPr>
        <w:footnoteRef/>
      </w:r>
      <w:r w:rsidRPr="0049677A">
        <w:rPr>
          <w:rFonts w:cs="Arial"/>
        </w:rPr>
        <w:t xml:space="preserve"> Joint work between Government and the EHRC is now underway on this issue: </w:t>
      </w:r>
      <w:hyperlink r:id="rId81" w:history="1">
        <w:r w:rsidRPr="0049677A">
          <w:rPr>
            <w:rStyle w:val="Hyperlink"/>
            <w:rFonts w:cs="Arial"/>
            <w:color w:val="auto"/>
            <w:u w:val="none"/>
          </w:rPr>
          <w:t>www.gov.uk/government/news/1m-million-to-help-tackle-pregnancy-discrimination-in-the-workplace</w:t>
        </w:r>
      </w:hyperlink>
    </w:p>
  </w:footnote>
  <w:footnote w:id="277">
    <w:p w:rsidR="0016168E" w:rsidRPr="0049677A" w:rsidRDefault="0016168E" w:rsidP="00B3024E">
      <w:pPr>
        <w:pStyle w:val="FootnoteText"/>
        <w:rPr>
          <w:rFonts w:cs="Arial"/>
        </w:rPr>
      </w:pPr>
      <w:r w:rsidRPr="0049677A">
        <w:rPr>
          <w:rStyle w:val="FootnoteReference"/>
          <w:rFonts w:cs="Arial"/>
        </w:rPr>
        <w:footnoteRef/>
      </w:r>
      <w:r w:rsidRPr="0049677A">
        <w:rPr>
          <w:rFonts w:cs="Arial"/>
        </w:rPr>
        <w:t xml:space="preserve"> H Metcalf, </w:t>
      </w:r>
      <w:r w:rsidRPr="0049677A">
        <w:rPr>
          <w:rFonts w:cs="Arial"/>
          <w:i/>
        </w:rPr>
        <w:t>Pay gaps across the equality strands: a review</w:t>
      </w:r>
      <w:r w:rsidRPr="0049677A">
        <w:rPr>
          <w:rFonts w:cs="Arial"/>
        </w:rPr>
        <w:t>, Equality and Human Rights Commission (2009), p 26: http://www.equalityhumanrights.com/sites/default/files/documents/research/14_pay_gaps_across_equalities_review.pdf</w:t>
      </w:r>
    </w:p>
  </w:footnote>
  <w:footnote w:id="278">
    <w:p w:rsidR="0016168E" w:rsidRPr="0049677A" w:rsidRDefault="0016168E" w:rsidP="00B3024E">
      <w:pPr>
        <w:pStyle w:val="FootnoteText"/>
        <w:spacing w:line="288" w:lineRule="auto"/>
        <w:rPr>
          <w:rFonts w:cs="Arial"/>
        </w:rPr>
      </w:pPr>
      <w:r w:rsidRPr="0049677A">
        <w:rPr>
          <w:rStyle w:val="FootnoteReference"/>
          <w:rFonts w:cs="Arial"/>
        </w:rPr>
        <w:footnoteRef/>
      </w:r>
      <w:r w:rsidRPr="0049677A">
        <w:rPr>
          <w:rFonts w:cs="Arial"/>
          <w:i/>
        </w:rPr>
        <w:t xml:space="preserve"> </w:t>
      </w:r>
      <w:proofErr w:type="gramStart"/>
      <w:r w:rsidRPr="0049677A">
        <w:rPr>
          <w:rFonts w:cs="Arial"/>
        </w:rPr>
        <w:t>The Resolution Foundation.</w:t>
      </w:r>
      <w:proofErr w:type="gramEnd"/>
      <w:r w:rsidRPr="0049677A">
        <w:rPr>
          <w:rFonts w:cs="Arial"/>
        </w:rPr>
        <w:t xml:space="preserve"> 2012. </w:t>
      </w:r>
      <w:r w:rsidRPr="0049677A">
        <w:rPr>
          <w:rFonts w:cs="Arial"/>
          <w:i/>
        </w:rPr>
        <w:t xml:space="preserve">The Price of Motherhood: Women and Part-Time Work. </w:t>
      </w:r>
      <w:r w:rsidRPr="0049677A">
        <w:rPr>
          <w:rFonts w:cs="Arial"/>
        </w:rPr>
        <w:t xml:space="preserve">P. 7: </w:t>
      </w:r>
      <w:hyperlink r:id="rId82" w:history="1">
        <w:r w:rsidRPr="0049677A">
          <w:rPr>
            <w:rStyle w:val="Hyperlink"/>
            <w:rFonts w:cs="Arial"/>
            <w:color w:val="auto"/>
            <w:u w:val="none"/>
          </w:rPr>
          <w:t>www.resolutionfoundation.org/publications/price-motherhood-women-and-part-time-work/</w:t>
        </w:r>
      </w:hyperlink>
    </w:p>
  </w:footnote>
  <w:footnote w:id="279">
    <w:p w:rsidR="0016168E" w:rsidRPr="0049677A" w:rsidRDefault="0016168E">
      <w:pPr>
        <w:pStyle w:val="FootnoteText"/>
      </w:pPr>
      <w:r w:rsidRPr="0049677A">
        <w:rPr>
          <w:rStyle w:val="FootnoteReference"/>
        </w:rPr>
        <w:footnoteRef/>
      </w:r>
      <w:r w:rsidRPr="0049677A">
        <w:t xml:space="preserve"> http://www.legislation.gov.uk/uksi/2014/2559/contents/made</w:t>
      </w:r>
    </w:p>
  </w:footnote>
  <w:footnote w:id="280">
    <w:p w:rsidR="0016168E" w:rsidRPr="0049677A" w:rsidRDefault="0016168E" w:rsidP="00B3024E">
      <w:pPr>
        <w:pStyle w:val="FootnoteText"/>
        <w:rPr>
          <w:rFonts w:cs="Arial"/>
        </w:rPr>
      </w:pPr>
      <w:r w:rsidRPr="0049677A">
        <w:rPr>
          <w:rStyle w:val="FootnoteReference"/>
          <w:rFonts w:cs="Arial"/>
        </w:rPr>
        <w:footnoteRef/>
      </w:r>
      <w:r w:rsidRPr="0049677A">
        <w:rPr>
          <w:rFonts w:cs="Arial"/>
        </w:rPr>
        <w:t xml:space="preserve"> S139A, Equality Act 2010; </w:t>
      </w:r>
      <w:proofErr w:type="gramStart"/>
      <w:r w:rsidRPr="0049677A">
        <w:rPr>
          <w:rFonts w:cs="Arial"/>
        </w:rPr>
        <w:t>The</w:t>
      </w:r>
      <w:proofErr w:type="gramEnd"/>
      <w:r w:rsidRPr="0049677A">
        <w:rPr>
          <w:rFonts w:cs="Arial"/>
        </w:rPr>
        <w:t xml:space="preserve"> Equality Act 2010 (Equal Pay Audit) Regulations 2014. Employment tribunals must order the audit subject to exceptions in regulations 3 and 4.</w:t>
      </w:r>
    </w:p>
  </w:footnote>
  <w:footnote w:id="281">
    <w:p w:rsidR="0016168E" w:rsidRPr="0049677A" w:rsidRDefault="0016168E" w:rsidP="00B3024E">
      <w:pPr>
        <w:pStyle w:val="FootnoteText"/>
        <w:rPr>
          <w:rFonts w:cs="Arial"/>
        </w:rPr>
      </w:pPr>
      <w:r w:rsidRPr="0049677A">
        <w:rPr>
          <w:rStyle w:val="FootnoteReference"/>
          <w:rFonts w:cs="Arial"/>
        </w:rPr>
        <w:footnoteRef/>
      </w:r>
      <w:r w:rsidRPr="0049677A">
        <w:rPr>
          <w:rFonts w:cs="Arial"/>
        </w:rPr>
        <w:t xml:space="preserve"> In order to inform the Commission’s future action and reporting the Commission has commissioned a literature review and stakeholder roundtables to fill an evidence gap on the potential and actual equality and human rights impacts of the recent changes that may have affected access to civil law justice.</w:t>
      </w:r>
    </w:p>
  </w:footnote>
  <w:footnote w:id="282">
    <w:p w:rsidR="0016168E" w:rsidRPr="0049677A" w:rsidRDefault="0016168E" w:rsidP="00B3024E">
      <w:pPr>
        <w:pStyle w:val="FootnoteText"/>
        <w:rPr>
          <w:rFonts w:cs="Arial"/>
        </w:rPr>
      </w:pPr>
      <w:r w:rsidRPr="0049677A">
        <w:rPr>
          <w:rStyle w:val="FootnoteReference"/>
          <w:rFonts w:cs="Arial"/>
        </w:rPr>
        <w:footnoteRef/>
      </w:r>
      <w:r w:rsidRPr="0049677A">
        <w:rPr>
          <w:rFonts w:cs="Arial"/>
        </w:rPr>
        <w:t xml:space="preserve"> </w:t>
      </w:r>
      <w:proofErr w:type="gramStart"/>
      <w:r w:rsidRPr="0049677A">
        <w:rPr>
          <w:rFonts w:cs="Arial"/>
        </w:rPr>
        <w:t>DCMS.</w:t>
      </w:r>
      <w:proofErr w:type="gramEnd"/>
      <w:r w:rsidRPr="0049677A">
        <w:rPr>
          <w:rFonts w:cs="Arial"/>
        </w:rPr>
        <w:t xml:space="preserve"> May 2014. </w:t>
      </w:r>
      <w:r w:rsidRPr="0049677A">
        <w:rPr>
          <w:rFonts w:cs="Arial"/>
          <w:i/>
        </w:rPr>
        <w:t>Think, Act, Report</w:t>
      </w:r>
      <w:r w:rsidRPr="0049677A">
        <w:rPr>
          <w:rFonts w:cs="Arial"/>
        </w:rPr>
        <w:t xml:space="preserve">: </w:t>
      </w:r>
      <w:hyperlink r:id="rId83" w:history="1">
        <w:r w:rsidRPr="0049677A">
          <w:rPr>
            <w:rStyle w:val="Hyperlink"/>
            <w:rFonts w:cs="Arial"/>
            <w:color w:val="auto"/>
            <w:u w:val="none"/>
          </w:rPr>
          <w:t>www.gov.uk/government/policies/creating-a-fairer-and-more-equal-society/supporting-pages/think-act-report</w:t>
        </w:r>
      </w:hyperlink>
    </w:p>
  </w:footnote>
  <w:footnote w:id="283">
    <w:p w:rsidR="0016168E" w:rsidRPr="0049677A" w:rsidRDefault="0016168E" w:rsidP="00B3024E">
      <w:pPr>
        <w:pStyle w:val="FootnoteText"/>
        <w:rPr>
          <w:rFonts w:cs="Arial"/>
        </w:rPr>
      </w:pPr>
      <w:r w:rsidRPr="0049677A">
        <w:rPr>
          <w:rStyle w:val="FootnoteReference"/>
          <w:rFonts w:cs="Arial"/>
        </w:rPr>
        <w:footnoteRef/>
      </w:r>
      <w:r w:rsidRPr="0049677A">
        <w:rPr>
          <w:rFonts w:cs="Arial"/>
        </w:rPr>
        <w:t xml:space="preserve"> Jo </w:t>
      </w:r>
      <w:proofErr w:type="spellStart"/>
      <w:r w:rsidRPr="0049677A">
        <w:rPr>
          <w:rFonts w:cs="Arial"/>
        </w:rPr>
        <w:t>Swinson</w:t>
      </w:r>
      <w:proofErr w:type="spellEnd"/>
      <w:r w:rsidRPr="0049677A">
        <w:rPr>
          <w:rFonts w:cs="Arial"/>
        </w:rPr>
        <w:t xml:space="preserve">, (Parliamentary Under-Secretary of State for Business, Innovation and Skills), House of Commons, Parliamentary Questions House of Commons, 26 February 2015: </w:t>
      </w:r>
      <w:hyperlink r:id="rId84" w:anchor="15022646000031" w:history="1">
        <w:r w:rsidRPr="0049677A">
          <w:rPr>
            <w:rStyle w:val="Hyperlink"/>
            <w:rFonts w:cs="Arial"/>
            <w:color w:val="auto"/>
            <w:u w:val="none"/>
          </w:rPr>
          <w:t>http://www.publications.parliament.uk/pa/cm201415/cmhansrd/cm150226/debtext/150226-0001.htm#15022646000031</w:t>
        </w:r>
      </w:hyperlink>
      <w:r w:rsidRPr="0049677A">
        <w:rPr>
          <w:rFonts w:cs="Arial"/>
        </w:rPr>
        <w:t xml:space="preserve"> </w:t>
      </w:r>
    </w:p>
  </w:footnote>
  <w:footnote w:id="284">
    <w:p w:rsidR="0016168E" w:rsidRPr="0049677A" w:rsidRDefault="0016168E" w:rsidP="00B3024E">
      <w:pPr>
        <w:pStyle w:val="FootnoteText"/>
        <w:rPr>
          <w:rFonts w:cs="Arial"/>
        </w:rPr>
      </w:pPr>
      <w:r w:rsidRPr="0049677A">
        <w:rPr>
          <w:rStyle w:val="FootnoteReference"/>
          <w:rFonts w:cs="Arial"/>
        </w:rPr>
        <w:footnoteRef/>
      </w:r>
      <w:r w:rsidRPr="0049677A">
        <w:rPr>
          <w:rFonts w:cs="Arial"/>
        </w:rPr>
        <w:t xml:space="preserve"> Department for Business Innovation and Skills, </w:t>
      </w:r>
      <w:r w:rsidRPr="0049677A">
        <w:rPr>
          <w:rFonts w:cs="Arial"/>
          <w:i/>
        </w:rPr>
        <w:t xml:space="preserve">Business Population Estimates for the UK and Regions 2014 </w:t>
      </w:r>
      <w:r w:rsidRPr="0049677A">
        <w:rPr>
          <w:rFonts w:cs="Arial"/>
        </w:rPr>
        <w:t xml:space="preserve">(26 November 2014): </w:t>
      </w:r>
      <w:hyperlink r:id="rId85" w:history="1">
        <w:r w:rsidRPr="0049677A">
          <w:rPr>
            <w:rStyle w:val="Hyperlink"/>
            <w:rFonts w:cs="Arial"/>
            <w:color w:val="auto"/>
            <w:u w:val="none"/>
          </w:rPr>
          <w:t>https://www.gov.uk/government/uploads/system/uploads/attachment_data/file/377934/bpe_2014_statistical_release.pdf</w:t>
        </w:r>
      </w:hyperlink>
      <w:r w:rsidRPr="0049677A">
        <w:rPr>
          <w:rFonts w:cs="Arial"/>
        </w:rPr>
        <w:t xml:space="preserve"> </w:t>
      </w:r>
    </w:p>
  </w:footnote>
  <w:footnote w:id="285">
    <w:p w:rsidR="0016168E" w:rsidRPr="0043180C" w:rsidRDefault="0016168E" w:rsidP="00B3024E">
      <w:pPr>
        <w:pStyle w:val="FootnoteText"/>
        <w:rPr>
          <w:rFonts w:cs="Arial"/>
        </w:rPr>
      </w:pPr>
      <w:r w:rsidRPr="0049677A">
        <w:rPr>
          <w:rStyle w:val="FootnoteReference"/>
          <w:rFonts w:cs="Arial"/>
        </w:rPr>
        <w:footnoteRef/>
      </w:r>
      <w:r w:rsidRPr="0049677A">
        <w:rPr>
          <w:rFonts w:cs="Arial"/>
        </w:rPr>
        <w:t xml:space="preserve"> </w:t>
      </w:r>
      <w:r w:rsidRPr="0049677A">
        <w:rPr>
          <w:rFonts w:eastAsiaTheme="minorEastAsia" w:cs="Arial"/>
          <w:lang w:eastAsia="en-GB"/>
        </w:rPr>
        <w:t xml:space="preserve">House of Commons </w:t>
      </w:r>
      <w:proofErr w:type="spellStart"/>
      <w:r w:rsidRPr="0049677A">
        <w:rPr>
          <w:rFonts w:eastAsiaTheme="minorEastAsia" w:cs="Arial"/>
          <w:lang w:eastAsia="en-GB"/>
        </w:rPr>
        <w:t>Hansard</w:t>
      </w:r>
      <w:proofErr w:type="spellEnd"/>
      <w:r w:rsidRPr="0049677A">
        <w:rPr>
          <w:rFonts w:eastAsiaTheme="minorEastAsia" w:cs="Arial"/>
          <w:lang w:eastAsia="en-GB"/>
        </w:rPr>
        <w:t xml:space="preserve"> Debates for 16</w:t>
      </w:r>
      <w:r w:rsidRPr="0049677A">
        <w:rPr>
          <w:rFonts w:eastAsiaTheme="minorEastAsia" w:cs="Arial"/>
          <w:vertAlign w:val="superscript"/>
          <w:lang w:eastAsia="en-GB"/>
        </w:rPr>
        <w:t>th</w:t>
      </w:r>
      <w:r w:rsidRPr="0049677A">
        <w:rPr>
          <w:rFonts w:eastAsiaTheme="minorEastAsia" w:cs="Arial"/>
          <w:lang w:eastAsia="en-GB"/>
        </w:rPr>
        <w:t xml:space="preserve"> Dec 2014 </w:t>
      </w:r>
      <w:hyperlink r:id="rId86" w:anchor="14121647000005" w:history="1">
        <w:r w:rsidRPr="0049677A">
          <w:rPr>
            <w:rFonts w:eastAsiaTheme="minorEastAsia" w:cs="Arial"/>
            <w:lang w:eastAsia="en-GB"/>
          </w:rPr>
          <w:t>http://www.publications.parliament.uk/pa/cm201415/cmhansrd/cm141216/debtext/141216-0002.htm#14121647000005</w:t>
        </w:r>
      </w:hyperlink>
    </w:p>
  </w:footnote>
  <w:footnote w:id="286">
    <w:p w:rsidR="0016168E" w:rsidRPr="0049677A" w:rsidRDefault="0016168E" w:rsidP="00B3024E">
      <w:pPr>
        <w:pStyle w:val="FootnoteText"/>
      </w:pPr>
      <w:r w:rsidRPr="0049677A">
        <w:rPr>
          <w:rStyle w:val="FootnoteReference"/>
        </w:rPr>
        <w:footnoteRef/>
      </w:r>
      <w:r w:rsidRPr="0049677A">
        <w:t xml:space="preserve"> </w:t>
      </w:r>
      <w:proofErr w:type="gramStart"/>
      <w:r w:rsidRPr="0049677A">
        <w:t>EHRC.</w:t>
      </w:r>
      <w:proofErr w:type="gramEnd"/>
      <w:r w:rsidRPr="0049677A">
        <w:t xml:space="preserve"> 11 March 2015: http://www.equalityhumanrights.com/commission-welcomes-moves-make-gender-pay-gap-reporting-law</w:t>
      </w:r>
    </w:p>
  </w:footnote>
  <w:footnote w:id="287">
    <w:p w:rsidR="0016168E" w:rsidRPr="0049677A" w:rsidRDefault="0016168E" w:rsidP="00B3024E">
      <w:pPr>
        <w:pStyle w:val="FootnoteText"/>
      </w:pPr>
      <w:r w:rsidRPr="0049677A">
        <w:rPr>
          <w:rStyle w:val="FootnoteReference"/>
        </w:rPr>
        <w:footnoteRef/>
      </w:r>
      <w:r w:rsidRPr="0049677A">
        <w:t xml:space="preserve"> </w:t>
      </w:r>
      <w:r w:rsidRPr="0049677A">
        <w:rPr>
          <w:i/>
        </w:rPr>
        <w:t>Ibid.</w:t>
      </w:r>
    </w:p>
  </w:footnote>
  <w:footnote w:id="288">
    <w:p w:rsidR="0016168E" w:rsidRPr="0049677A" w:rsidRDefault="0016168E">
      <w:pPr>
        <w:pStyle w:val="FootnoteText"/>
      </w:pPr>
      <w:r w:rsidRPr="0049677A">
        <w:rPr>
          <w:rStyle w:val="FootnoteReference"/>
        </w:rPr>
        <w:footnoteRef/>
      </w:r>
      <w:r w:rsidRPr="0049677A">
        <w:t xml:space="preserve"> </w:t>
      </w:r>
      <w:proofErr w:type="gramStart"/>
      <w:r w:rsidRPr="0049677A">
        <w:rPr>
          <w:rFonts w:cs="Arial"/>
        </w:rPr>
        <w:t>Equality Act 2010 (Statutory Duties) (Wales) Regulations 2011.</w:t>
      </w:r>
      <w:proofErr w:type="gramEnd"/>
    </w:p>
  </w:footnote>
  <w:footnote w:id="289">
    <w:p w:rsidR="0016168E" w:rsidRPr="0049677A" w:rsidRDefault="0016168E">
      <w:pPr>
        <w:pStyle w:val="FootnoteText"/>
      </w:pPr>
      <w:r w:rsidRPr="0049677A">
        <w:rPr>
          <w:rStyle w:val="FootnoteReference"/>
        </w:rPr>
        <w:footnoteRef/>
      </w:r>
      <w:r w:rsidRPr="0049677A">
        <w:t xml:space="preserve"> </w:t>
      </w:r>
      <w:proofErr w:type="gramStart"/>
      <w:r w:rsidRPr="0049677A">
        <w:rPr>
          <w:rFonts w:cs="Arial"/>
        </w:rPr>
        <w:t>Welsh Government.</w:t>
      </w:r>
      <w:proofErr w:type="gramEnd"/>
      <w:r w:rsidRPr="0049677A">
        <w:rPr>
          <w:rFonts w:cs="Arial"/>
        </w:rPr>
        <w:t xml:space="preserve"> 2014, Welsh Ministers Report on Equality. http://gov.wales/docs/dsjlg/publications/equality/141218-ministers-report-equality-2014-en-v1.pdf</w:t>
      </w:r>
    </w:p>
  </w:footnote>
  <w:footnote w:id="290">
    <w:p w:rsidR="0016168E" w:rsidRPr="0049677A" w:rsidRDefault="0016168E" w:rsidP="00B3024E">
      <w:pPr>
        <w:pStyle w:val="FootnoteText"/>
        <w:spacing w:line="288" w:lineRule="auto"/>
        <w:rPr>
          <w:rFonts w:cs="Arial"/>
        </w:rPr>
      </w:pPr>
      <w:r w:rsidRPr="0049677A">
        <w:rPr>
          <w:rStyle w:val="FootnoteReference"/>
          <w:rFonts w:cs="Arial"/>
        </w:rPr>
        <w:footnoteRef/>
      </w:r>
      <w:r w:rsidRPr="0049677A">
        <w:rPr>
          <w:rFonts w:cs="Arial"/>
        </w:rPr>
        <w:t xml:space="preserve"> The Welsh Government produces an Annual Equality Report that provides details of pay differences by gender, ethnicity and disability while the Scottish Government funds the ‘Close the Gap’ campaign.</w:t>
      </w:r>
    </w:p>
  </w:footnote>
  <w:footnote w:id="291">
    <w:p w:rsidR="0016168E" w:rsidRPr="0049677A" w:rsidRDefault="0016168E" w:rsidP="00B3024E">
      <w:pPr>
        <w:spacing w:after="0" w:line="288" w:lineRule="auto"/>
        <w:rPr>
          <w:rFonts w:cs="Arial"/>
          <w:sz w:val="20"/>
          <w:szCs w:val="20"/>
        </w:rPr>
      </w:pPr>
      <w:r w:rsidRPr="0049677A">
        <w:rPr>
          <w:rStyle w:val="FootnoteReference"/>
          <w:rFonts w:cs="Arial"/>
          <w:sz w:val="20"/>
          <w:szCs w:val="20"/>
        </w:rPr>
        <w:footnoteRef/>
      </w:r>
      <w:r w:rsidRPr="0049677A">
        <w:rPr>
          <w:rFonts w:cs="Arial"/>
          <w:sz w:val="20"/>
          <w:szCs w:val="20"/>
        </w:rPr>
        <w:t xml:space="preserve"> For example, see </w:t>
      </w:r>
      <w:r w:rsidRPr="0049677A">
        <w:rPr>
          <w:rFonts w:cs="Arial"/>
          <w:i/>
          <w:sz w:val="20"/>
          <w:szCs w:val="20"/>
        </w:rPr>
        <w:t>Barriers to Employment and Fair Treatment at Work: A Quantitative Analysis of Disabled Peoples Experiences</w:t>
      </w:r>
      <w:r w:rsidRPr="0049677A">
        <w:rPr>
          <w:rFonts w:cs="Arial"/>
          <w:sz w:val="20"/>
          <w:szCs w:val="20"/>
        </w:rPr>
        <w:t xml:space="preserve">: </w:t>
      </w:r>
      <w:hyperlink r:id="rId87" w:history="1">
        <w:r w:rsidRPr="0049677A">
          <w:rPr>
            <w:rStyle w:val="Hyperlink"/>
            <w:rFonts w:cs="Arial"/>
            <w:color w:val="auto"/>
            <w:sz w:val="20"/>
            <w:szCs w:val="20"/>
            <w:u w:val="none"/>
          </w:rPr>
          <w:t>www.equalityhumanrights.com/uploaded_files/barriers_and_unfair_treatment_final.pdf</w:t>
        </w:r>
      </w:hyperlink>
    </w:p>
  </w:footnote>
  <w:footnote w:id="292">
    <w:p w:rsidR="0016168E" w:rsidRPr="0043180C" w:rsidRDefault="0016168E" w:rsidP="00B3024E">
      <w:pPr>
        <w:pStyle w:val="FootnoteText"/>
        <w:spacing w:line="288" w:lineRule="auto"/>
        <w:rPr>
          <w:rFonts w:cs="Arial"/>
        </w:rPr>
      </w:pPr>
      <w:r w:rsidRPr="0049677A">
        <w:rPr>
          <w:rStyle w:val="FootnoteReference"/>
          <w:rFonts w:cs="Arial"/>
        </w:rPr>
        <w:footnoteRef/>
      </w:r>
      <w:r w:rsidRPr="0049677A">
        <w:rPr>
          <w:rFonts w:cs="Arial"/>
        </w:rPr>
        <w:t xml:space="preserve"> These issues are discussed in Platt, L. </w:t>
      </w:r>
      <w:r w:rsidRPr="0049677A">
        <w:rPr>
          <w:rFonts w:cs="Arial"/>
          <w:i/>
        </w:rPr>
        <w:t>Understanding Inequalities: Stratification and Difference</w:t>
      </w:r>
      <w:r w:rsidRPr="0049677A">
        <w:rPr>
          <w:rFonts w:cs="Arial"/>
        </w:rPr>
        <w:t xml:space="preserve">, 2011, chapters four, five and eight respectively: </w:t>
      </w:r>
      <w:hyperlink r:id="rId88" w:history="1">
        <w:r w:rsidRPr="0049677A">
          <w:rPr>
            <w:rStyle w:val="Hyperlink"/>
            <w:rFonts w:cs="Arial"/>
            <w:color w:val="auto"/>
            <w:u w:val="none"/>
          </w:rPr>
          <w:t>eu.wiley.com/</w:t>
        </w:r>
        <w:proofErr w:type="spellStart"/>
        <w:r w:rsidRPr="0049677A">
          <w:rPr>
            <w:rStyle w:val="Hyperlink"/>
            <w:rFonts w:cs="Arial"/>
            <w:color w:val="auto"/>
            <w:u w:val="none"/>
          </w:rPr>
          <w:t>WileyCDA</w:t>
        </w:r>
        <w:proofErr w:type="spellEnd"/>
        <w:r w:rsidRPr="0049677A">
          <w:rPr>
            <w:rStyle w:val="Hyperlink"/>
            <w:rFonts w:cs="Arial"/>
            <w:color w:val="auto"/>
            <w:u w:val="none"/>
          </w:rPr>
          <w:t>/</w:t>
        </w:r>
        <w:proofErr w:type="spellStart"/>
        <w:r w:rsidRPr="0049677A">
          <w:rPr>
            <w:rStyle w:val="Hyperlink"/>
            <w:rFonts w:cs="Arial"/>
            <w:color w:val="auto"/>
            <w:u w:val="none"/>
          </w:rPr>
          <w:t>WileyTitle</w:t>
        </w:r>
        <w:proofErr w:type="spellEnd"/>
        <w:r w:rsidRPr="0049677A">
          <w:rPr>
            <w:rStyle w:val="Hyperlink"/>
            <w:rFonts w:cs="Arial"/>
            <w:color w:val="auto"/>
            <w:u w:val="none"/>
          </w:rPr>
          <w:t>/productCd-0745641768.html</w:t>
        </w:r>
      </w:hyperlink>
    </w:p>
  </w:footnote>
  <w:footnote w:id="293">
    <w:p w:rsidR="0016168E" w:rsidRPr="0043180C" w:rsidRDefault="0016168E" w:rsidP="002B6091">
      <w:pPr>
        <w:pStyle w:val="FootnoteText"/>
        <w:rPr>
          <w:rFonts w:cs="Arial"/>
        </w:rPr>
      </w:pPr>
      <w:r w:rsidRPr="0043180C">
        <w:rPr>
          <w:rStyle w:val="FootnoteReference"/>
          <w:rFonts w:cs="Arial"/>
        </w:rPr>
        <w:footnoteRef/>
      </w:r>
      <w:r w:rsidRPr="0043180C">
        <w:rPr>
          <w:rFonts w:cs="Arial"/>
        </w:rPr>
        <w:t xml:space="preserve"> </w:t>
      </w:r>
      <w:proofErr w:type="gramStart"/>
      <w:r w:rsidRPr="0043180C">
        <w:rPr>
          <w:rFonts w:cs="Arial"/>
        </w:rPr>
        <w:t>HRC.</w:t>
      </w:r>
      <w:proofErr w:type="gramEnd"/>
      <w:r w:rsidRPr="0043180C">
        <w:rPr>
          <w:rFonts w:cs="Arial"/>
        </w:rPr>
        <w:t xml:space="preserve"> November 2014. List of issues in relation to the seventh periodic report of the</w:t>
      </w:r>
    </w:p>
    <w:p w:rsidR="0016168E" w:rsidRPr="0043180C" w:rsidRDefault="0016168E" w:rsidP="002B6091">
      <w:pPr>
        <w:pStyle w:val="FootnoteText"/>
        <w:rPr>
          <w:rFonts w:cs="Arial"/>
        </w:rPr>
      </w:pPr>
      <w:r w:rsidRPr="0043180C">
        <w:rPr>
          <w:rFonts w:cs="Arial"/>
        </w:rPr>
        <w:t>United Kingdom of Great Britain and Northern Ireland: www.equalityhumanrights.com/sites/default/files/uploads/documents/humanrights/List%20of%20issues%20Nov%2014.pdf</w:t>
      </w:r>
    </w:p>
  </w:footnote>
  <w:footnote w:id="294">
    <w:p w:rsidR="0016168E" w:rsidRPr="0043180C" w:rsidRDefault="0016168E" w:rsidP="002B6091">
      <w:pPr>
        <w:pStyle w:val="FootnoteText"/>
        <w:rPr>
          <w:rFonts w:cs="Arial"/>
        </w:rPr>
      </w:pPr>
      <w:r w:rsidRPr="0043180C">
        <w:rPr>
          <w:rStyle w:val="FootnoteReference"/>
          <w:rFonts w:cs="Arial"/>
        </w:rPr>
        <w:footnoteRef/>
      </w:r>
      <w:r w:rsidRPr="0043180C">
        <w:rPr>
          <w:rFonts w:cs="Arial"/>
        </w:rPr>
        <w:t xml:space="preserve"> </w:t>
      </w:r>
      <w:proofErr w:type="gramStart"/>
      <w:r w:rsidRPr="0043180C">
        <w:rPr>
          <w:rFonts w:cs="Arial"/>
        </w:rPr>
        <w:t>HRC.</w:t>
      </w:r>
      <w:proofErr w:type="gramEnd"/>
      <w:r w:rsidRPr="0043180C">
        <w:rPr>
          <w:rFonts w:cs="Arial"/>
        </w:rPr>
        <w:t xml:space="preserve"> November 2014. List of issues in relation to the seventh periodic report of the</w:t>
      </w:r>
    </w:p>
    <w:p w:rsidR="0016168E" w:rsidRPr="0043180C" w:rsidRDefault="0016168E" w:rsidP="002B6091">
      <w:pPr>
        <w:pStyle w:val="FootnoteText"/>
        <w:rPr>
          <w:rFonts w:cs="Arial"/>
        </w:rPr>
      </w:pPr>
      <w:r w:rsidRPr="0043180C">
        <w:rPr>
          <w:rFonts w:cs="Arial"/>
        </w:rPr>
        <w:t>United Kingdom of Great Britain and Northern Ireland: www.equalityhumanrights.com/sites/default/files/uploads/documents/humanrights/List%20of%20issues%20Nov%2014.pdf</w:t>
      </w:r>
    </w:p>
  </w:footnote>
  <w:footnote w:id="295">
    <w:p w:rsidR="0016168E" w:rsidRPr="0043180C" w:rsidRDefault="0016168E" w:rsidP="002B6091">
      <w:pPr>
        <w:pStyle w:val="FootnoteText"/>
        <w:rPr>
          <w:rFonts w:cs="Arial"/>
        </w:rPr>
      </w:pPr>
      <w:r w:rsidRPr="0043180C">
        <w:rPr>
          <w:rStyle w:val="FootnoteReference"/>
          <w:rFonts w:cs="Arial"/>
        </w:rPr>
        <w:footnoteRef/>
      </w:r>
      <w:r w:rsidRPr="0043180C">
        <w:rPr>
          <w:rFonts w:cs="Arial"/>
        </w:rPr>
        <w:t xml:space="preserve"> Concluding Observations of the Human Rights Committee for the United Kingdom of Great Britain and Northern Ireland, 30 July 2008, para 28: </w:t>
      </w:r>
      <w:hyperlink r:id="rId89" w:history="1">
        <w:r w:rsidRPr="0043180C">
          <w:rPr>
            <w:rStyle w:val="Hyperlink"/>
            <w:rFonts w:cs="Arial"/>
            <w:color w:val="auto"/>
          </w:rPr>
          <w:t>http://tbinternet.ohchr.org/_layouts/treatybodyexternal/Download.aspx?symbolno=CCPR%2fC%2fGBR%2fCO%2f6&amp;Lang=en</w:t>
        </w:r>
      </w:hyperlink>
      <w:r w:rsidRPr="0043180C">
        <w:rPr>
          <w:rFonts w:cs="Arial"/>
        </w:rPr>
        <w:t xml:space="preserve"> </w:t>
      </w:r>
    </w:p>
  </w:footnote>
  <w:footnote w:id="296">
    <w:p w:rsidR="0016168E" w:rsidRPr="0043180C" w:rsidRDefault="0016168E" w:rsidP="002B6091">
      <w:pPr>
        <w:pStyle w:val="FootnoteText"/>
      </w:pPr>
      <w:r w:rsidRPr="0043180C">
        <w:rPr>
          <w:rStyle w:val="FootnoteReference"/>
        </w:rPr>
        <w:footnoteRef/>
      </w:r>
      <w:r w:rsidRPr="0043180C">
        <w:t xml:space="preserve"> This includes: recommendations: Accelerating Change. House of Lords, Select Committee on the Constitution, 25</w:t>
      </w:r>
      <w:r w:rsidRPr="0043180C">
        <w:rPr>
          <w:vertAlign w:val="superscript"/>
        </w:rPr>
        <w:t>th</w:t>
      </w:r>
      <w:r w:rsidRPr="0043180C">
        <w:t xml:space="preserve"> Report of Session 2010-12, Judicial Appointments, HL Paper 272: </w:t>
      </w:r>
      <w:hyperlink r:id="rId90" w:history="1">
        <w:r w:rsidRPr="0043180C">
          <w:rPr>
            <w:rStyle w:val="Hyperlink"/>
            <w:color w:val="auto"/>
          </w:rPr>
          <w:t>www.publications.parliament.uk/pa/ld201012/ldselect/ldconst/272/272.pdf</w:t>
        </w:r>
      </w:hyperlink>
      <w:r w:rsidRPr="0043180C">
        <w:t xml:space="preserve"> </w:t>
      </w:r>
    </w:p>
    <w:p w:rsidR="0016168E" w:rsidRPr="0043180C" w:rsidRDefault="0016168E" w:rsidP="002B6091">
      <w:pPr>
        <w:pStyle w:val="FootnoteText"/>
      </w:pPr>
      <w:r w:rsidRPr="0043180C">
        <w:t xml:space="preserve">Recommendations of the Independent Panel on Judicial Diversity: at: </w:t>
      </w:r>
      <w:hyperlink r:id="rId91" w:history="1">
        <w:r w:rsidRPr="0043180C">
          <w:rPr>
            <w:rStyle w:val="Hyperlink"/>
            <w:color w:val="auto"/>
          </w:rPr>
          <w:t>www.judiciary.gov.uk/publications/advisory-panel-recommendations/</w:t>
        </w:r>
      </w:hyperlink>
      <w:r w:rsidR="008C67B4">
        <w:t xml:space="preserve"> </w:t>
      </w:r>
    </w:p>
    <w:p w:rsidR="0016168E" w:rsidRPr="0043180C" w:rsidRDefault="0016168E" w:rsidP="002B6091">
      <w:pPr>
        <w:pStyle w:val="FootnoteText"/>
      </w:pPr>
      <w:proofErr w:type="spellStart"/>
      <w:r w:rsidRPr="0043180C">
        <w:t>Bindman</w:t>
      </w:r>
      <w:proofErr w:type="spellEnd"/>
      <w:r w:rsidRPr="0043180C">
        <w:t>, G and Monaghan, K. November 2014. Judicial Diversity: https://jac.judiciary.gov.uk/sites/default/files/sync/news/a</w:t>
      </w:r>
      <w:r>
        <w:t>ccelerating_change_finalrev.pdf</w:t>
      </w:r>
    </w:p>
  </w:footnote>
  <w:footnote w:id="297">
    <w:p w:rsidR="0016168E" w:rsidRPr="0043180C" w:rsidRDefault="0016168E" w:rsidP="002B6091">
      <w:pPr>
        <w:pStyle w:val="FootnoteText"/>
      </w:pPr>
      <w:r w:rsidRPr="0043180C">
        <w:rPr>
          <w:rStyle w:val="FootnoteReference"/>
        </w:rPr>
        <w:footnoteRef/>
      </w:r>
      <w:r w:rsidRPr="0043180C">
        <w:t xml:space="preserve"> The recommended date proposed by House of Lords, Select Committee on the Constitution, 25</w:t>
      </w:r>
      <w:r w:rsidRPr="0043180C">
        <w:rPr>
          <w:vertAlign w:val="superscript"/>
        </w:rPr>
        <w:t>th</w:t>
      </w:r>
      <w:r w:rsidRPr="0043180C">
        <w:t xml:space="preserve"> Report of Session 2010-12, Judicial Appointments, HL Paper 272: </w:t>
      </w:r>
      <w:hyperlink r:id="rId92" w:history="1">
        <w:r w:rsidRPr="00BD11C0">
          <w:rPr>
            <w:rStyle w:val="Hyperlink"/>
          </w:rPr>
          <w:t>www.publications.parliament.uk/pa/ld201012/ldselect/ldconst/272/272.pdf</w:t>
        </w:r>
      </w:hyperlink>
      <w:r>
        <w:t xml:space="preserve"> </w:t>
      </w:r>
    </w:p>
  </w:footnote>
  <w:footnote w:id="298">
    <w:p w:rsidR="0016168E" w:rsidRPr="0043180C" w:rsidRDefault="0016168E" w:rsidP="002B6091">
      <w:pPr>
        <w:pStyle w:val="FootnoteText"/>
        <w:rPr>
          <w:rFonts w:cs="Arial"/>
        </w:rPr>
      </w:pPr>
      <w:r w:rsidRPr="0043180C">
        <w:rPr>
          <w:rStyle w:val="FootnoteReference"/>
          <w:rFonts w:cs="Arial"/>
        </w:rPr>
        <w:footnoteRef/>
      </w:r>
      <w:r w:rsidRPr="0043180C">
        <w:rPr>
          <w:rFonts w:cs="Arial"/>
        </w:rPr>
        <w:t xml:space="preserve"> </w:t>
      </w:r>
      <w:proofErr w:type="gramStart"/>
      <w:r w:rsidRPr="0043180C">
        <w:rPr>
          <w:rFonts w:cs="Arial"/>
        </w:rPr>
        <w:t>HRC.</w:t>
      </w:r>
      <w:proofErr w:type="gramEnd"/>
      <w:r w:rsidRPr="0043180C">
        <w:rPr>
          <w:rFonts w:cs="Arial"/>
        </w:rPr>
        <w:t xml:space="preserve"> November 2014. List of issues in relation to the seventh periodic report of the</w:t>
      </w:r>
    </w:p>
    <w:p w:rsidR="0016168E" w:rsidRPr="0043180C" w:rsidRDefault="0016168E" w:rsidP="002B6091">
      <w:pPr>
        <w:pStyle w:val="FootnoteText"/>
        <w:rPr>
          <w:rFonts w:cs="Arial"/>
        </w:rPr>
      </w:pPr>
      <w:r w:rsidRPr="0043180C">
        <w:rPr>
          <w:rFonts w:cs="Arial"/>
        </w:rPr>
        <w:t>United Kingdom of Great Britain and Northern Ireland: www.equalityhumanrights.com/sites/default/files/uploads/documents/humanrights/List%20of%20issues%20Nov%2014.pdf</w:t>
      </w:r>
    </w:p>
  </w:footnote>
  <w:footnote w:id="299">
    <w:p w:rsidR="0016168E" w:rsidRPr="0043180C" w:rsidRDefault="0016168E" w:rsidP="002B6091">
      <w:pPr>
        <w:pStyle w:val="FootnoteText"/>
        <w:rPr>
          <w:rFonts w:cs="Arial"/>
        </w:rPr>
      </w:pPr>
      <w:r w:rsidRPr="0043180C">
        <w:rPr>
          <w:rStyle w:val="FootnoteReference"/>
          <w:rFonts w:cs="Arial"/>
        </w:rPr>
        <w:footnoteRef/>
      </w:r>
      <w:r w:rsidRPr="0043180C">
        <w:rPr>
          <w:rFonts w:cs="Arial"/>
        </w:rPr>
        <w:t xml:space="preserve"> </w:t>
      </w:r>
      <w:proofErr w:type="gramStart"/>
      <w:r w:rsidRPr="0043180C">
        <w:rPr>
          <w:rFonts w:cs="Arial"/>
        </w:rPr>
        <w:t>HRC.</w:t>
      </w:r>
      <w:proofErr w:type="gramEnd"/>
      <w:r w:rsidRPr="0043180C">
        <w:rPr>
          <w:rFonts w:cs="Arial"/>
        </w:rPr>
        <w:t xml:space="preserve"> November 2014. List of issues in relation to the seventh periodic report of the</w:t>
      </w:r>
    </w:p>
    <w:p w:rsidR="0016168E" w:rsidRPr="0043180C" w:rsidRDefault="0016168E" w:rsidP="002B6091">
      <w:pPr>
        <w:pStyle w:val="FootnoteText"/>
        <w:rPr>
          <w:rFonts w:cs="Arial"/>
        </w:rPr>
      </w:pPr>
      <w:r w:rsidRPr="0043180C">
        <w:rPr>
          <w:rFonts w:cs="Arial"/>
        </w:rPr>
        <w:t>United Kingdom of Great Britain and Northern Ireland: www.equalityhumanrights.com/sites/default/files/uploads/documents/humanrights/List%20of%20issues%20Nov%2014.pdf</w:t>
      </w:r>
    </w:p>
  </w:footnote>
  <w:footnote w:id="300">
    <w:p w:rsidR="0016168E" w:rsidRPr="0043180C" w:rsidRDefault="0016168E" w:rsidP="002B6091">
      <w:pPr>
        <w:pStyle w:val="FootnoteText"/>
        <w:rPr>
          <w:rFonts w:cs="Arial"/>
        </w:rPr>
      </w:pPr>
      <w:r w:rsidRPr="0043180C">
        <w:rPr>
          <w:rStyle w:val="FootnoteReference"/>
          <w:rFonts w:cs="Arial"/>
        </w:rPr>
        <w:footnoteRef/>
      </w:r>
      <w:r w:rsidRPr="0043180C">
        <w:rPr>
          <w:rFonts w:cs="Arial"/>
        </w:rPr>
        <w:t xml:space="preserve"> The PEEL Assessment is the approach that Her Majesty's Inspectorate of Constabulary will use to assess the performance of each of the 43 geographic police forces in England and Wales.</w:t>
      </w:r>
      <w:r>
        <w:rPr>
          <w:rFonts w:cs="Arial"/>
        </w:rPr>
        <w:t xml:space="preserve"> </w:t>
      </w:r>
      <w:hyperlink r:id="rId93" w:history="1">
        <w:r w:rsidRPr="00BD11C0">
          <w:rPr>
            <w:rStyle w:val="Hyperlink"/>
            <w:rFonts w:cs="Arial"/>
          </w:rPr>
          <w:t>www.justiceinspectorates.gov.uk/hmic/our-work/peel-assessments/</w:t>
        </w:r>
      </w:hyperlink>
    </w:p>
  </w:footnote>
  <w:footnote w:id="301">
    <w:p w:rsidR="0016168E" w:rsidRDefault="0016168E" w:rsidP="002B6091">
      <w:pPr>
        <w:pStyle w:val="FootnoteText"/>
      </w:pPr>
      <w:r>
        <w:rPr>
          <w:rStyle w:val="FootnoteReference"/>
        </w:rPr>
        <w:footnoteRef/>
      </w:r>
      <w:r>
        <w:t xml:space="preserve"> See for example, A Joint Inquiry by the All P</w:t>
      </w:r>
      <w:r w:rsidRPr="00237CF6">
        <w:t xml:space="preserve">arty Parliamentary Group on Refugees &amp; the All Party Parliamentary Group on Migration. 2015. The report of the inquiry into the Use of Immigration Detention </w:t>
      </w:r>
      <w:r>
        <w:t xml:space="preserve">in the United Kingdom. </w:t>
      </w:r>
      <w:r w:rsidRPr="0039718F">
        <w:t>https://detentioninquiry.files.wordpress.com/2015/03/immigration-detention-inquiry-report.pdf</w:t>
      </w:r>
    </w:p>
  </w:footnote>
  <w:footnote w:id="302">
    <w:p w:rsidR="0016168E" w:rsidRDefault="0016168E" w:rsidP="002B6091">
      <w:pPr>
        <w:pStyle w:val="FootnoteText"/>
      </w:pPr>
      <w:r>
        <w:rPr>
          <w:rStyle w:val="FootnoteReference"/>
        </w:rPr>
        <w:footnoteRef/>
      </w:r>
      <w:r>
        <w:t xml:space="preserve"> Concluding Observations of the Human Rights Committee for the United Kingdom of Great Britain and Northern Ireland, 30 July 2008, available at: </w:t>
      </w:r>
      <w:hyperlink r:id="rId94" w:history="1">
        <w:r w:rsidRPr="00C04B66">
          <w:rPr>
            <w:rStyle w:val="Hyperlink"/>
          </w:rPr>
          <w:t>http://tbinternet.ohchr.org/_layouts/treatybodyexternal/Download.aspx?symbolno=CCPR%2fC%2fGBR%2fCO%2f6&amp;Lang=en</w:t>
        </w:r>
      </w:hyperlink>
      <w:r>
        <w:t xml:space="preserve"> </w:t>
      </w:r>
    </w:p>
  </w:footnote>
  <w:footnote w:id="303">
    <w:p w:rsidR="0016168E" w:rsidRDefault="0016168E" w:rsidP="002B6091">
      <w:pPr>
        <w:pStyle w:val="FootnoteText"/>
      </w:pPr>
      <w:r>
        <w:rPr>
          <w:rStyle w:val="FootnoteReference"/>
        </w:rPr>
        <w:footnoteRef/>
      </w:r>
      <w:r>
        <w:t xml:space="preserve"> Seventh periodic reports of States parties for the United Kingdom of Great Britain and Northern Ireland, 29 December 2012, available at: </w:t>
      </w:r>
      <w:hyperlink r:id="rId95" w:history="1">
        <w:r w:rsidRPr="00C04B66">
          <w:rPr>
            <w:rStyle w:val="Hyperlink"/>
          </w:rPr>
          <w:t>http://tbinternet.ohchr.org/_layouts/treatybodyexternal/Download.aspx?symbolno=CCPR%2fC%2fGBR%2f7&amp;Lang=en</w:t>
        </w:r>
      </w:hyperlink>
      <w:r>
        <w:t xml:space="preserve"> </w:t>
      </w:r>
    </w:p>
  </w:footnote>
  <w:footnote w:id="304">
    <w:p w:rsidR="0016168E" w:rsidRDefault="0016168E" w:rsidP="002B6091">
      <w:pPr>
        <w:pStyle w:val="FootnoteText"/>
      </w:pPr>
      <w:r>
        <w:rPr>
          <w:rStyle w:val="FootnoteReference"/>
        </w:rPr>
        <w:footnoteRef/>
      </w:r>
      <w:r>
        <w:t xml:space="preserve"> The EHRC’s Measurement Framework (MF) provides us with a structure to assess equality and human rights across a range of areas relevant to 21st century life. The MF, which covers England, Scotland and Wales, consists of a number of domains, indicators and measures. The measures are based on statistical information that </w:t>
      </w:r>
      <w:proofErr w:type="gramStart"/>
      <w:r>
        <w:t>allow</w:t>
      </w:r>
      <w:proofErr w:type="gramEnd"/>
      <w:r>
        <w:t xml:space="preserve"> the relative position of each main equality group to be compared, and for progress over time to be monitored. Available at: </w:t>
      </w:r>
      <w:hyperlink r:id="rId96" w:history="1">
        <w:r w:rsidRPr="00C04B66">
          <w:rPr>
            <w:rStyle w:val="Hyperlink"/>
          </w:rPr>
          <w:t>http://www.equalityhumanrights.com/about-us/our-work/key-projects/our-measurement-framework/briefing-papers-and-data</w:t>
        </w:r>
      </w:hyperlink>
      <w:r>
        <w:t xml:space="preserve"> </w:t>
      </w:r>
    </w:p>
  </w:footnote>
  <w:footnote w:id="305">
    <w:p w:rsidR="0016168E" w:rsidRDefault="0016168E" w:rsidP="002B6091">
      <w:pPr>
        <w:pStyle w:val="FootnoteText"/>
      </w:pPr>
      <w:r>
        <w:rPr>
          <w:rStyle w:val="FootnoteReference"/>
        </w:rPr>
        <w:footnoteRef/>
      </w:r>
      <w:r>
        <w:t xml:space="preserve"> Covered by paragraphs 330-333 of the Seventh periodic reports of States parties for the United Kingdom of Great Britain and Northern Ireland, 29 December 2012, available at: </w:t>
      </w:r>
      <w:hyperlink r:id="rId97" w:history="1">
        <w:r w:rsidRPr="00C04B66">
          <w:rPr>
            <w:rStyle w:val="Hyperlink"/>
          </w:rPr>
          <w:t>http://tbinternet.ohchr.org/_layouts/treatybodyexternal/Download.aspx?symbolno=CCPR%2fC%2fGBR%2f7&amp;Lang=en</w:t>
        </w:r>
      </w:hyperlink>
    </w:p>
  </w:footnote>
  <w:footnote w:id="306">
    <w:p w:rsidR="0016168E" w:rsidRDefault="0016168E" w:rsidP="002B6091">
      <w:pPr>
        <w:pStyle w:val="FootnoteText"/>
      </w:pPr>
      <w:r>
        <w:rPr>
          <w:rStyle w:val="FootnoteReference"/>
        </w:rPr>
        <w:footnoteRef/>
      </w:r>
      <w:r>
        <w:t xml:space="preserve"> Recommendations of the Independent Panel on Judicial Diversity are available at: </w:t>
      </w:r>
      <w:hyperlink r:id="rId98" w:history="1">
        <w:r w:rsidRPr="00C04B66">
          <w:rPr>
            <w:rStyle w:val="Hyperlink"/>
          </w:rPr>
          <w:t>http://www.judiciary.gov.uk/publications/advisory-panel-recommendations/</w:t>
        </w:r>
      </w:hyperlink>
      <w:r>
        <w:t xml:space="preserve"> </w:t>
      </w:r>
    </w:p>
  </w:footnote>
  <w:footnote w:id="307">
    <w:p w:rsidR="0016168E" w:rsidRDefault="0016168E" w:rsidP="002B6091">
      <w:pPr>
        <w:pStyle w:val="FootnoteText"/>
      </w:pPr>
      <w:r>
        <w:rPr>
          <w:rStyle w:val="FootnoteReference"/>
        </w:rPr>
        <w:footnoteRef/>
      </w:r>
      <w:r>
        <w:t xml:space="preserve"> Crime and Courts Act 2013, available at: </w:t>
      </w:r>
      <w:hyperlink r:id="rId99" w:history="1">
        <w:r w:rsidRPr="00C04B66">
          <w:rPr>
            <w:rStyle w:val="Hyperlink"/>
          </w:rPr>
          <w:t>http://www.legislation.gov.uk/ukpga/2013/22/contents/enacted</w:t>
        </w:r>
      </w:hyperlink>
      <w:r>
        <w:t xml:space="preserve"> </w:t>
      </w:r>
    </w:p>
  </w:footnote>
  <w:footnote w:id="308">
    <w:p w:rsidR="0016168E" w:rsidRDefault="0016168E" w:rsidP="002B6091">
      <w:pPr>
        <w:pStyle w:val="FootnoteText"/>
      </w:pPr>
      <w:r>
        <w:rPr>
          <w:rStyle w:val="FootnoteReference"/>
        </w:rPr>
        <w:footnoteRef/>
      </w:r>
      <w:r>
        <w:t xml:space="preserve"> Courts and Tribunals Judiciary, Diversity and General Statistics Overview 2013, available at: </w:t>
      </w:r>
      <w:hyperlink r:id="rId100" w:history="1">
        <w:r w:rsidRPr="00C04B66">
          <w:rPr>
            <w:rStyle w:val="Hyperlink"/>
          </w:rPr>
          <w:t>http://www.judiciary.gov.uk/subject/judicial-diversity/</w:t>
        </w:r>
      </w:hyperlink>
      <w:r>
        <w:t xml:space="preserve"> </w:t>
      </w:r>
    </w:p>
  </w:footnote>
  <w:footnote w:id="309">
    <w:p w:rsidR="0016168E" w:rsidRDefault="0016168E" w:rsidP="002B6091">
      <w:pPr>
        <w:pStyle w:val="FootnoteText"/>
      </w:pPr>
      <w:r>
        <w:rPr>
          <w:rStyle w:val="FootnoteReference"/>
        </w:rPr>
        <w:footnoteRef/>
      </w:r>
      <w:r>
        <w:t xml:space="preserve"> European Commission for the Efficiency of Justice, European Judicial Systems, Edition 2012, fig 11.30. - available at: </w:t>
      </w:r>
      <w:hyperlink r:id="rId101" w:history="1">
        <w:r w:rsidRPr="00C04B66">
          <w:rPr>
            <w:rStyle w:val="Hyperlink"/>
          </w:rPr>
          <w:t>http://www.coe.int/t/dghl/cooperation/cepej/evaluation/2012/Rapport_en.pdf</w:t>
        </w:r>
      </w:hyperlink>
      <w:r>
        <w:t xml:space="preserve"> </w:t>
      </w:r>
    </w:p>
  </w:footnote>
  <w:footnote w:id="310">
    <w:p w:rsidR="0016168E" w:rsidRDefault="0016168E" w:rsidP="002B6091">
      <w:pPr>
        <w:pStyle w:val="FootnoteText"/>
      </w:pPr>
      <w:r>
        <w:rPr>
          <w:rStyle w:val="FootnoteReference"/>
        </w:rPr>
        <w:footnoteRef/>
      </w:r>
      <w:r>
        <w:t xml:space="preserve"> Human Rights Committee, General Comment No. 25 paragraph 3, available at: </w:t>
      </w:r>
      <w:hyperlink r:id="rId102" w:history="1">
        <w:r w:rsidRPr="00375C76">
          <w:rPr>
            <w:rStyle w:val="Hyperlink"/>
          </w:rPr>
          <w:t>http://tbinternet.ohchr.org/_layouts/treatybodyexternal/Download.aspx?symbolno=CCPR%2fC%2f21%2fRev.1%2fAdd.7&amp;Lang=en</w:t>
        </w:r>
      </w:hyperlink>
      <w:r>
        <w:t xml:space="preserve"> </w:t>
      </w:r>
    </w:p>
  </w:footnote>
  <w:footnote w:id="311">
    <w:p w:rsidR="0016168E" w:rsidRDefault="0016168E" w:rsidP="002B6091">
      <w:pPr>
        <w:pStyle w:val="FootnoteText"/>
      </w:pPr>
      <w:r>
        <w:rPr>
          <w:rStyle w:val="FootnoteReference"/>
        </w:rPr>
        <w:footnoteRef/>
      </w:r>
      <w:r>
        <w:t xml:space="preserve"> Panel on Fair Access to the Professions, Unleashing Aspiration, 2009, available at: </w:t>
      </w:r>
      <w:hyperlink r:id="rId103" w:history="1">
        <w:r w:rsidRPr="00C04B66">
          <w:rPr>
            <w:rStyle w:val="Hyperlink"/>
          </w:rPr>
          <w:t>http://webarchive.nationalarchives.gov.uk/+/http:/www.cabinetoffice.gov.uk/media/227102/fair-access.pdf</w:t>
        </w:r>
      </w:hyperlink>
      <w:r>
        <w:t xml:space="preserve"> The Panel on Fair Access to the Professions and the Judicial Appointments Panel were welcomed by the Committee on Economic, Social and Cultural Rights, as “</w:t>
      </w:r>
      <w:r w:rsidRPr="00D740D5">
        <w:t>institutions to address equality issues</w:t>
      </w:r>
      <w:r>
        <w:t xml:space="preserve">” – Concluding Observations for the United Kingdom and Northern Ireland, 2009, available at: </w:t>
      </w:r>
      <w:hyperlink r:id="rId104" w:history="1">
        <w:r w:rsidRPr="00375C76">
          <w:rPr>
            <w:rStyle w:val="Hyperlink"/>
          </w:rPr>
          <w:t>http://tbinternet.ohchr.org/_layouts/treatybodyexternal/Download.aspx?symbolno=E%2fC.12%2fGBR%2fCO%2f5&amp;Lang=en</w:t>
        </w:r>
      </w:hyperlink>
      <w:r>
        <w:t xml:space="preserve"> </w:t>
      </w:r>
    </w:p>
  </w:footnote>
  <w:footnote w:id="312">
    <w:p w:rsidR="0016168E" w:rsidRDefault="0016168E" w:rsidP="002B6091">
      <w:pPr>
        <w:pStyle w:val="FootnoteText"/>
      </w:pPr>
      <w:r>
        <w:rPr>
          <w:rStyle w:val="FootnoteReference"/>
        </w:rPr>
        <w:footnoteRef/>
      </w:r>
      <w:r>
        <w:t xml:space="preserve"> Lady Hale, </w:t>
      </w:r>
      <w:proofErr w:type="spellStart"/>
      <w:r>
        <w:t>Kutton</w:t>
      </w:r>
      <w:proofErr w:type="spellEnd"/>
      <w:r>
        <w:t xml:space="preserve"> Menon Memorial Lecture, Equality in the Judiciary, 2013, available at: </w:t>
      </w:r>
      <w:hyperlink r:id="rId105" w:history="1">
        <w:r w:rsidRPr="00C04B66">
          <w:rPr>
            <w:rStyle w:val="Hyperlink"/>
          </w:rPr>
          <w:t>http://www.supremecourt.uk/docs/speech-130221.pdf</w:t>
        </w:r>
      </w:hyperlink>
      <w:r>
        <w:t xml:space="preserve"> </w:t>
      </w:r>
    </w:p>
  </w:footnote>
  <w:footnote w:id="313">
    <w:p w:rsidR="0016168E" w:rsidRDefault="0016168E" w:rsidP="002B6091">
      <w:pPr>
        <w:pStyle w:val="FootnoteText"/>
      </w:pPr>
      <w:r>
        <w:rPr>
          <w:rStyle w:val="FootnoteReference"/>
        </w:rPr>
        <w:footnoteRef/>
      </w:r>
      <w:r>
        <w:t xml:space="preserve"> Third Annual Report of the Judicial Taskforce, 2013, available at: </w:t>
      </w:r>
      <w:hyperlink r:id="rId106" w:history="1">
        <w:r w:rsidRPr="00C04B66">
          <w:rPr>
            <w:rStyle w:val="Hyperlink"/>
          </w:rPr>
          <w:t>https://www.gov.uk/government/uploads/system/uploads/attachment_data/file/244013/judicial-diversity-taskforce-annual-report-2013.pdf</w:t>
        </w:r>
      </w:hyperlink>
      <w:r>
        <w:t xml:space="preserve"> </w:t>
      </w:r>
    </w:p>
  </w:footnote>
  <w:footnote w:id="314">
    <w:p w:rsidR="0016168E" w:rsidRDefault="0016168E" w:rsidP="002B6091">
      <w:pPr>
        <w:pStyle w:val="FootnoteText"/>
      </w:pPr>
      <w:r>
        <w:rPr>
          <w:rStyle w:val="FootnoteReference"/>
        </w:rPr>
        <w:footnoteRef/>
      </w:r>
      <w:r>
        <w:t xml:space="preserve"> House of Lords, Select Committee on the Constitution, 25</w:t>
      </w:r>
      <w:r w:rsidRPr="0094457F">
        <w:rPr>
          <w:vertAlign w:val="superscript"/>
        </w:rPr>
        <w:t>th</w:t>
      </w:r>
      <w:r>
        <w:t xml:space="preserve"> Report of Session 2010-12, Judicial Appointments, HL Paper 272, available at: </w:t>
      </w:r>
      <w:hyperlink r:id="rId107" w:history="1">
        <w:r w:rsidRPr="00C04B66">
          <w:rPr>
            <w:rStyle w:val="Hyperlink"/>
          </w:rPr>
          <w:t>http://www.publications.parliament.uk/pa/ld201012/ldselect/ldconst/272/272.pdf</w:t>
        </w:r>
      </w:hyperlink>
      <w:r>
        <w:t xml:space="preserve"> </w:t>
      </w:r>
    </w:p>
  </w:footnote>
  <w:footnote w:id="315">
    <w:p w:rsidR="0016168E" w:rsidRDefault="0016168E" w:rsidP="002B6091">
      <w:pPr>
        <w:pStyle w:val="FootnoteText"/>
      </w:pPr>
      <w:r>
        <w:rPr>
          <w:rStyle w:val="FootnoteReference"/>
        </w:rPr>
        <w:footnoteRef/>
      </w:r>
      <w:r>
        <w:t xml:space="preserve"> Echoing recommendations of other UN treaty bodies, for example: Concluding Observations of the Committee on the Elimination of Race Discrimination (CERD) for the United Kingdom of Great Britain and Northern Ireland, 14 September 2011, paragraph 22, available at: </w:t>
      </w:r>
      <w:hyperlink r:id="rId108" w:history="1">
        <w:r w:rsidRPr="00C04B66">
          <w:rPr>
            <w:rStyle w:val="Hyperlink"/>
          </w:rPr>
          <w:t>http://www2.ohchr.org/english/bodies/cerd/docs/CERD.C.GBR.CO.18-20.pdf</w:t>
        </w:r>
      </w:hyperlink>
      <w:r>
        <w:t xml:space="preserve"> ; and Concluding Observations of the Committee on the Elimination of Discrimination Against Women (CEDAW) for the United Kingdom of Great Britain and Northern Ireland, 30 July 2013, paragraph 43, available at: </w:t>
      </w:r>
      <w:hyperlink r:id="rId109" w:history="1">
        <w:r w:rsidRPr="00C04B66">
          <w:rPr>
            <w:rStyle w:val="Hyperlink"/>
          </w:rPr>
          <w:t>http://tbinternet.ohchr.org/_layouts/treatybodyexternal/Download.aspx?symbolno=CEDAW%2fC%2fGBR%2fCO%2f7&amp;Lang=en</w:t>
        </w:r>
      </w:hyperlink>
      <w:r>
        <w:t xml:space="preserve"> </w:t>
      </w:r>
    </w:p>
  </w:footnote>
  <w:footnote w:id="316">
    <w:p w:rsidR="0016168E" w:rsidRDefault="0016168E" w:rsidP="002B6091">
      <w:pPr>
        <w:pStyle w:val="FootnoteText"/>
      </w:pPr>
      <w:r>
        <w:rPr>
          <w:rStyle w:val="FootnoteReference"/>
        </w:rPr>
        <w:footnoteRef/>
      </w:r>
      <w:r>
        <w:t xml:space="preserve"> Covered by paragraph 867 of the Seventh periodic reports of States parties for the United Kingdom of Great Britain and Northern Ireland, 29 December 2012, available at: </w:t>
      </w:r>
      <w:hyperlink r:id="rId110" w:history="1">
        <w:r w:rsidRPr="00C04B66">
          <w:rPr>
            <w:rStyle w:val="Hyperlink"/>
          </w:rPr>
          <w:t>http://tbinternet.ohchr.org/_layouts/treatybodyexternal/Download.aspx?symbolno=CCPR%2fC%2fGBR%2f7&amp;Lang=en</w:t>
        </w:r>
      </w:hyperlink>
    </w:p>
  </w:footnote>
  <w:footnote w:id="317">
    <w:p w:rsidR="0016168E" w:rsidRDefault="0016168E" w:rsidP="002B6091">
      <w:pPr>
        <w:pStyle w:val="FootnoteText"/>
      </w:pPr>
      <w:r>
        <w:rPr>
          <w:rStyle w:val="FootnoteReference"/>
        </w:rPr>
        <w:footnoteRef/>
      </w:r>
      <w:r>
        <w:t xml:space="preserve"> </w:t>
      </w:r>
      <w:r w:rsidRPr="00A41A6F">
        <w:t>Legal Aid, Sentencing and Punishment of Offenders (LASPO) Act 2012</w:t>
      </w:r>
      <w:r>
        <w:t xml:space="preserve">, available at: </w:t>
      </w:r>
      <w:hyperlink r:id="rId111" w:history="1">
        <w:r w:rsidRPr="00217858">
          <w:rPr>
            <w:rStyle w:val="Hyperlink"/>
          </w:rPr>
          <w:t>http://www.legislation.gov.uk/ukpga/2012/10/contents/enacted</w:t>
        </w:r>
      </w:hyperlink>
      <w:r>
        <w:t xml:space="preserve"> Excluded areas of law include: private law family cases, (except where there is evidence of domestic violence); housing and debt cases where the home is not at risk; immigration cases, other than challenges to detention; employment cases; and most welfare benefits cases.</w:t>
      </w:r>
    </w:p>
  </w:footnote>
  <w:footnote w:id="318">
    <w:p w:rsidR="0016168E" w:rsidRDefault="0016168E" w:rsidP="002B6091">
      <w:pPr>
        <w:pStyle w:val="FootnoteText"/>
      </w:pPr>
      <w:r>
        <w:rPr>
          <w:rStyle w:val="FootnoteReference"/>
        </w:rPr>
        <w:footnoteRef/>
      </w:r>
      <w:r>
        <w:t xml:space="preserve"> Equality and Human Rights Commission, Human Rights Review, 2012, p.253, available at: </w:t>
      </w:r>
      <w:hyperlink r:id="rId112" w:history="1">
        <w:r w:rsidRPr="00C04B66">
          <w:rPr>
            <w:rStyle w:val="Hyperlink"/>
          </w:rPr>
          <w:t>https://www.justice.gov.uk/downloads/publications/corporate-reports/lsc/lsc-annual-report-12-13.pdf</w:t>
        </w:r>
      </w:hyperlink>
      <w:r>
        <w:t xml:space="preserve"> </w:t>
      </w:r>
    </w:p>
  </w:footnote>
  <w:footnote w:id="319">
    <w:p w:rsidR="0016168E" w:rsidRDefault="0016168E" w:rsidP="002B6091">
      <w:pPr>
        <w:pStyle w:val="FootnoteText"/>
      </w:pPr>
      <w:r>
        <w:rPr>
          <w:rStyle w:val="FootnoteReference"/>
        </w:rPr>
        <w:footnoteRef/>
      </w:r>
      <w:r>
        <w:t xml:space="preserve"> Ministry of Justice, Legal aid statistics in England and Wales; Legal Aid Agency, 2013-2014, June 2014, available at: </w:t>
      </w:r>
      <w:hyperlink r:id="rId113" w:history="1">
        <w:r w:rsidRPr="00FE6F25">
          <w:rPr>
            <w:rStyle w:val="Hyperlink"/>
          </w:rPr>
          <w:t>https://www.gov.uk/government/uploads/system/uploads/attachment_data/file/325921/legal-aid-statistics-2013-14.pdf</w:t>
        </w:r>
      </w:hyperlink>
      <w:r>
        <w:t xml:space="preserve"> </w:t>
      </w:r>
    </w:p>
  </w:footnote>
  <w:footnote w:id="320">
    <w:p w:rsidR="0016168E" w:rsidRDefault="0016168E" w:rsidP="002B6091">
      <w:pPr>
        <w:pStyle w:val="FootnoteText"/>
      </w:pPr>
      <w:r>
        <w:rPr>
          <w:rStyle w:val="FootnoteReference"/>
        </w:rPr>
        <w:footnoteRef/>
      </w:r>
      <w:r>
        <w:t xml:space="preserve"> Joint Committee on Human Rights, The Implications on access to justice of the UK Government’s proposals to reform legal aid, Seventh Report of Session 2013-2014, para 140, available at: </w:t>
      </w:r>
      <w:hyperlink r:id="rId114" w:history="1">
        <w:r w:rsidRPr="00C04B66">
          <w:rPr>
            <w:rStyle w:val="Hyperlink"/>
          </w:rPr>
          <w:t>http://www.publications.parliament.uk/pa/jt201314/jtselect/jtrights/100/10002.htm</w:t>
        </w:r>
      </w:hyperlink>
      <w:r>
        <w:t xml:space="preserve"> . In 2013/14, 1,520 applications were made for exceptional funding; 69 of these were granted, of which 53 were for inquest cases: Legal aid statistics 2013-2014, , June 2014, available at: </w:t>
      </w:r>
      <w:hyperlink r:id="rId115" w:history="1">
        <w:r w:rsidRPr="00FE6F25">
          <w:rPr>
            <w:rStyle w:val="Hyperlink"/>
          </w:rPr>
          <w:t>https://www.gov.uk/government/uploads/system/uploads/attachment_data/file/325921/legal-aid-statistics-2013-14.pdf</w:t>
        </w:r>
      </w:hyperlink>
      <w:r>
        <w:t xml:space="preserve"> </w:t>
      </w:r>
    </w:p>
  </w:footnote>
  <w:footnote w:id="321">
    <w:p w:rsidR="0016168E" w:rsidRDefault="0016168E" w:rsidP="002B6091">
      <w:pPr>
        <w:pStyle w:val="FootnoteText"/>
      </w:pPr>
      <w:r>
        <w:rPr>
          <w:rStyle w:val="FootnoteReference"/>
        </w:rPr>
        <w:footnoteRef/>
      </w:r>
      <w:r>
        <w:t xml:space="preserve"> </w:t>
      </w:r>
      <w:proofErr w:type="gramStart"/>
      <w:r w:rsidRPr="00094CCD">
        <w:t>Low Commission (2014) Tackling the advice deficit – A strategy for advice and legal support on social welfare law in England and Wales Para 1.15.</w:t>
      </w:r>
      <w:proofErr w:type="gramEnd"/>
      <w:r w:rsidRPr="00094CCD">
        <w:t xml:space="preserve"> Available at: </w:t>
      </w:r>
      <w:hyperlink r:id="rId116" w:history="1">
        <w:r w:rsidRPr="000A77BC">
          <w:rPr>
            <w:rStyle w:val="Hyperlink"/>
          </w:rPr>
          <w:t>http://www.baringfoundation.org.uk/LowComReport.pdf</w:t>
        </w:r>
      </w:hyperlink>
    </w:p>
  </w:footnote>
  <w:footnote w:id="322">
    <w:p w:rsidR="0016168E" w:rsidRDefault="0016168E" w:rsidP="002B6091">
      <w:pPr>
        <w:pStyle w:val="FootnoteText"/>
      </w:pPr>
      <w:r>
        <w:rPr>
          <w:rStyle w:val="FootnoteReference"/>
        </w:rPr>
        <w:footnoteRef/>
      </w:r>
      <w:r>
        <w:t xml:space="preserve"> Ministry of Justice, Legal aid statistics in England and Wales; Legal Aid Agency, 2013-2014, June 2014, available at: </w:t>
      </w:r>
      <w:hyperlink r:id="rId117" w:history="1">
        <w:r w:rsidRPr="00FE6F25">
          <w:rPr>
            <w:rStyle w:val="Hyperlink"/>
          </w:rPr>
          <w:t>https://www.gov.uk/government/uploads/system/uploads/attachment_data/file/325921/legal-aid-statistics-2013-14.pdf</w:t>
        </w:r>
      </w:hyperlink>
    </w:p>
  </w:footnote>
  <w:footnote w:id="323">
    <w:p w:rsidR="0016168E" w:rsidRDefault="0016168E" w:rsidP="002B6091">
      <w:pPr>
        <w:pStyle w:val="FootnoteText"/>
      </w:pPr>
      <w:r>
        <w:rPr>
          <w:rStyle w:val="FootnoteReference"/>
        </w:rPr>
        <w:footnoteRef/>
      </w:r>
      <w:r>
        <w:t xml:space="preserve"> Written evidence of the Law Centres Network to the Justice Committee inquiry into the </w:t>
      </w:r>
      <w:proofErr w:type="spellStart"/>
      <w:r>
        <w:t>i</w:t>
      </w:r>
      <w:r>
        <w:rPr>
          <w:lang w:val="en"/>
        </w:rPr>
        <w:t>mpact</w:t>
      </w:r>
      <w:proofErr w:type="spellEnd"/>
      <w:r>
        <w:rPr>
          <w:lang w:val="en"/>
        </w:rPr>
        <w:t xml:space="preserve"> of changes to civil legal aid under the Legal Aid, Sentencing and Punishment of Offenders Act 2012, available at: </w:t>
      </w:r>
      <w:hyperlink r:id="rId118" w:anchor="pnlPublicationFilter" w:history="1">
        <w:r w:rsidRPr="00F00D84">
          <w:rPr>
            <w:rStyle w:val="Hyperlink"/>
            <w:lang w:val="en"/>
          </w:rPr>
          <w:t>http://www.parliament.uk/business/committees/committees-a-z/commons-select/justice-committee/inquiries//parliament-2010/laspo/?type=Written#pnlPublicationFilter</w:t>
        </w:r>
      </w:hyperlink>
      <w:r>
        <w:rPr>
          <w:lang w:val="en"/>
        </w:rPr>
        <w:t xml:space="preserve"> </w:t>
      </w:r>
    </w:p>
  </w:footnote>
  <w:footnote w:id="324">
    <w:p w:rsidR="0016168E" w:rsidRDefault="0016168E" w:rsidP="002B6091">
      <w:pPr>
        <w:pStyle w:val="FootnoteText"/>
      </w:pPr>
      <w:r>
        <w:rPr>
          <w:rStyle w:val="FootnoteReference"/>
        </w:rPr>
        <w:footnoteRef/>
      </w:r>
      <w:r>
        <w:t xml:space="preserve"> </w:t>
      </w:r>
      <w:proofErr w:type="gramStart"/>
      <w:r w:rsidRPr="00094CCD">
        <w:t>Third Sector Online (2013) Shelter to close nine housing advice centres because of cuts to legal aid.</w:t>
      </w:r>
      <w:proofErr w:type="gramEnd"/>
      <w:r w:rsidRPr="00094CCD">
        <w:t xml:space="preserve"> Available at: </w:t>
      </w:r>
      <w:hyperlink r:id="rId119" w:history="1">
        <w:r w:rsidRPr="00C04B66">
          <w:rPr>
            <w:rStyle w:val="Hyperlink"/>
          </w:rPr>
          <w:t>http://www.thirdsector.co.uk/Finance/article/1174095/Shelter-close-nine-housing-advice-centres-cuts-legal-aid/?HAYILC=RELATED</w:t>
        </w:r>
      </w:hyperlink>
    </w:p>
  </w:footnote>
  <w:footnote w:id="325">
    <w:p w:rsidR="0016168E" w:rsidRDefault="0016168E" w:rsidP="002B6091">
      <w:pPr>
        <w:pStyle w:val="FootnoteText"/>
      </w:pPr>
      <w:r>
        <w:rPr>
          <w:rStyle w:val="FootnoteReference"/>
        </w:rPr>
        <w:footnoteRef/>
      </w:r>
      <w:r>
        <w:t xml:space="preserve"> Legal Services Commission, Memorandum Submitted to the Public Bill Committee LA 46, 2011, available at: </w:t>
      </w:r>
      <w:hyperlink r:id="rId120" w:history="1">
        <w:r w:rsidRPr="00C04B66">
          <w:rPr>
            <w:rStyle w:val="Hyperlink"/>
          </w:rPr>
          <w:t>http://www.publications.parliament.uk/pa/cm201011/cmpublic/legalaid/memo/la46.htm</w:t>
        </w:r>
      </w:hyperlink>
      <w:r>
        <w:t xml:space="preserve"> </w:t>
      </w:r>
    </w:p>
  </w:footnote>
  <w:footnote w:id="326">
    <w:p w:rsidR="0016168E" w:rsidRDefault="0016168E" w:rsidP="002B6091">
      <w:pPr>
        <w:pStyle w:val="FootnoteText"/>
      </w:pPr>
      <w:r>
        <w:rPr>
          <w:rStyle w:val="FootnoteReference"/>
        </w:rPr>
        <w:footnoteRef/>
      </w:r>
      <w:r>
        <w:t xml:space="preserve"> Equality and Human Rights Commission, Human Rights Review, 2012, p.255, available at: </w:t>
      </w:r>
      <w:hyperlink r:id="rId121" w:history="1">
        <w:r w:rsidRPr="00C04B66">
          <w:rPr>
            <w:rStyle w:val="Hyperlink"/>
          </w:rPr>
          <w:t>https://www.justice.gov.uk/downloads/publications/corporate-reports/lsc/lsc-annual-report-12-13.pdf</w:t>
        </w:r>
      </w:hyperlink>
    </w:p>
  </w:footnote>
  <w:footnote w:id="327">
    <w:p w:rsidR="0016168E" w:rsidRDefault="0016168E" w:rsidP="002B6091">
      <w:pPr>
        <w:pStyle w:val="FootnoteText"/>
      </w:pPr>
      <w:r>
        <w:rPr>
          <w:rStyle w:val="FootnoteReference"/>
        </w:rPr>
        <w:footnoteRef/>
      </w:r>
      <w:r>
        <w:t xml:space="preserve"> </w:t>
      </w:r>
      <w:r w:rsidRPr="00CE0B7E">
        <w:t>http://www.natcen.ac.uk/taking-part/studies-in-field/civil-legal-aid-helpline/civil-legal-aid-helpline/</w:t>
      </w:r>
    </w:p>
  </w:footnote>
  <w:footnote w:id="328">
    <w:p w:rsidR="0016168E" w:rsidRDefault="0016168E" w:rsidP="002B6091">
      <w:pPr>
        <w:pStyle w:val="FootnoteText"/>
      </w:pPr>
      <w:r>
        <w:rPr>
          <w:rStyle w:val="FootnoteReference"/>
        </w:rPr>
        <w:footnoteRef/>
      </w:r>
      <w:r>
        <w:t xml:space="preserve"> The EHRC’s response to the Joint Committee on Human Rights Inquiry into the implications for access to justice of the government’s proposed judicial review reforms covers its analysis of the residence test, and is available here: </w:t>
      </w:r>
      <w:hyperlink r:id="rId122" w:history="1">
        <w:r w:rsidRPr="00DB2F8F">
          <w:rPr>
            <w:rStyle w:val="Hyperlink"/>
          </w:rPr>
          <w:t>http://www.equalityhumanrights.com/legal-and-policy/consultation-responses/inquiry-into-the-implications-for-access-to-justice-of-the-government-s-proposed-judicial-review-reforms/</w:t>
        </w:r>
      </w:hyperlink>
      <w:r>
        <w:rPr>
          <w:rStyle w:val="Hyperlink"/>
        </w:rPr>
        <w:t xml:space="preserve"> </w:t>
      </w:r>
    </w:p>
  </w:footnote>
  <w:footnote w:id="329">
    <w:p w:rsidR="0016168E" w:rsidRDefault="0016168E" w:rsidP="002B6091">
      <w:pPr>
        <w:pStyle w:val="FootnoteText"/>
      </w:pPr>
      <w:r>
        <w:rPr>
          <w:rStyle w:val="FootnoteReference"/>
        </w:rPr>
        <w:footnoteRef/>
      </w:r>
      <w:r>
        <w:t xml:space="preserve"> The UK Parliament’s Joint Committee on Human Rights has suggested the UK Government may not have given consideration to its obligations under Article 2 of the UNCRC – Joint Committee on Human Rights (2013). </w:t>
      </w:r>
      <w:proofErr w:type="gramStart"/>
      <w:r>
        <w:t>The implications for access to justice of the Government’s</w:t>
      </w:r>
      <w:proofErr w:type="gramEnd"/>
      <w:r>
        <w:t xml:space="preserve"> proposed legal aid reforms. Available at: </w:t>
      </w:r>
      <w:hyperlink r:id="rId123" w:history="1">
        <w:r w:rsidRPr="0097191A">
          <w:rPr>
            <w:rStyle w:val="Hyperlink"/>
          </w:rPr>
          <w:t>http://www.justice.org.uk/data/files/resources/349/JUSTICE-JCHR-Submission-FINAL-27-September-2013.pdf</w:t>
        </w:r>
      </w:hyperlink>
      <w:r>
        <w:rPr>
          <w:rStyle w:val="Hyperlink"/>
        </w:rPr>
        <w:t xml:space="preserve"> </w:t>
      </w:r>
    </w:p>
  </w:footnote>
  <w:footnote w:id="330">
    <w:p w:rsidR="0016168E" w:rsidRDefault="0016168E" w:rsidP="002B6091">
      <w:pPr>
        <w:pStyle w:val="FootnoteText"/>
      </w:pPr>
      <w:r>
        <w:rPr>
          <w:rStyle w:val="FootnoteReference"/>
        </w:rPr>
        <w:footnoteRef/>
      </w:r>
      <w:r>
        <w:t xml:space="preserve"> R(Public Law Project) v Secretary of State for Justice [2014] EWHC 2365 (Admin), available at: </w:t>
      </w:r>
      <w:hyperlink r:id="rId124" w:history="1">
        <w:r w:rsidRPr="00F00D84">
          <w:rPr>
            <w:rStyle w:val="Hyperlink"/>
          </w:rPr>
          <w:t>http://www.judiciary.gov.uk/wp-content/uploads/2014/07/plp-v-ssj-and-other.pdf</w:t>
        </w:r>
      </w:hyperlink>
      <w:r>
        <w:t xml:space="preserve"> </w:t>
      </w:r>
    </w:p>
  </w:footnote>
  <w:footnote w:id="331">
    <w:p w:rsidR="0016168E" w:rsidRDefault="0016168E" w:rsidP="002B6091">
      <w:pPr>
        <w:pStyle w:val="FootnoteText"/>
      </w:pPr>
      <w:r>
        <w:rPr>
          <w:rStyle w:val="FootnoteReference"/>
        </w:rPr>
        <w:footnoteRef/>
      </w:r>
      <w:r>
        <w:t xml:space="preserve"> Judicial Review enables judges to review the lawfulness of the decisions or actions of public bodies in England and Wales, providing an important check on their exercise of power. Judicial Review – proposals for further reform. Ministry of Justice (2014) Proposals for further reform: the Government response. Available at: </w:t>
      </w:r>
      <w:hyperlink r:id="rId125" w:history="1">
        <w:r w:rsidRPr="0097191A">
          <w:rPr>
            <w:rStyle w:val="Hyperlink"/>
          </w:rPr>
          <w:t>http://webcache.googleusercontent.com/search?q=cache:ldXpkbem3j4J:https://consult.justice.gov.uk/digital-communications/judicial-review/results/judicial-review---proposals-for-further-reform-government-response.pdf+&amp;cd=1&amp;hl=en&amp;ct=clnk&amp;gl=uk</w:t>
        </w:r>
      </w:hyperlink>
      <w:r>
        <w:tab/>
        <w:t xml:space="preserve"> </w:t>
      </w:r>
    </w:p>
  </w:footnote>
  <w:footnote w:id="332">
    <w:p w:rsidR="0016168E" w:rsidRDefault="0016168E" w:rsidP="002B6091">
      <w:pPr>
        <w:pStyle w:val="FootnoteText"/>
      </w:pPr>
      <w:r>
        <w:rPr>
          <w:rStyle w:val="FootnoteReference"/>
        </w:rPr>
        <w:footnoteRef/>
      </w:r>
      <w:r>
        <w:t xml:space="preserve"> Criminal Justice and Courts Bill 2014, Clauses 64-70, available at: </w:t>
      </w:r>
      <w:hyperlink r:id="rId126" w:history="1">
        <w:r w:rsidRPr="00C04B66">
          <w:rPr>
            <w:rStyle w:val="Hyperlink"/>
          </w:rPr>
          <w:t>http://services.parliament.uk/bills/2013-14/criminaljusticeandcourts.html</w:t>
        </w:r>
      </w:hyperlink>
      <w:r>
        <w:t xml:space="preserve"> </w:t>
      </w:r>
    </w:p>
  </w:footnote>
  <w:footnote w:id="333">
    <w:p w:rsidR="0016168E" w:rsidRDefault="0016168E" w:rsidP="002B6091">
      <w:pPr>
        <w:pStyle w:val="FootnoteText"/>
      </w:pPr>
      <w:r>
        <w:rPr>
          <w:rStyle w:val="FootnoteReference"/>
        </w:rPr>
        <w:footnoteRef/>
      </w:r>
      <w:r>
        <w:t xml:space="preserve"> This system has been evolved by the courts as a device for capping the claimant’s exposure to the risk of paying the defendant’s costs should the claim fail. The court takes into account the public interest in the case, whether the claimant has a personal interest in the outcome, and the financial means of the claimant. </w:t>
      </w:r>
    </w:p>
  </w:footnote>
  <w:footnote w:id="334">
    <w:p w:rsidR="0016168E" w:rsidRDefault="0016168E" w:rsidP="002B6091">
      <w:pPr>
        <w:pStyle w:val="FootnoteText"/>
      </w:pPr>
      <w:r>
        <w:rPr>
          <w:rStyle w:val="FootnoteReference"/>
        </w:rPr>
        <w:footnoteRef/>
      </w:r>
      <w:r>
        <w:t xml:space="preserve"> The role of the intervener is to assist the court with evidence, submissions of law, expertise or a perspective which has not already been provided by the parties (and so would not otherwise be available to the Court). An intervener does not become a party to the proceedings and can only intervene with the permission of the court. </w:t>
      </w:r>
    </w:p>
  </w:footnote>
  <w:footnote w:id="335">
    <w:p w:rsidR="0016168E" w:rsidRDefault="0016168E" w:rsidP="002B6091">
      <w:pPr>
        <w:pStyle w:val="FootnoteText"/>
      </w:pPr>
      <w:r>
        <w:rPr>
          <w:rStyle w:val="FootnoteReference"/>
        </w:rPr>
        <w:footnoteRef/>
      </w:r>
      <w:r>
        <w:t xml:space="preserve"> The Civil Legal Aid (Remuneration) (Amendment) No.3) Regulations 2014, available at: </w:t>
      </w:r>
      <w:hyperlink r:id="rId127" w:history="1">
        <w:r w:rsidRPr="00C04B66">
          <w:rPr>
            <w:rStyle w:val="Hyperlink"/>
          </w:rPr>
          <w:t>http://www.legislation.gov.uk/uksi/2014/607/contents/made</w:t>
        </w:r>
      </w:hyperlink>
      <w:r>
        <w:t xml:space="preserve"> </w:t>
      </w:r>
    </w:p>
  </w:footnote>
  <w:footnote w:id="336">
    <w:p w:rsidR="0016168E" w:rsidRDefault="0016168E" w:rsidP="002B6091">
      <w:pPr>
        <w:pStyle w:val="FootnoteText"/>
      </w:pPr>
      <w:r>
        <w:rPr>
          <w:rStyle w:val="FootnoteReference"/>
        </w:rPr>
        <w:footnoteRef/>
      </w:r>
      <w:r>
        <w:t xml:space="preserve"> Covered by paragraphs 652-675 of the Seventh periodic reports of States parties for the United Kingdom of Great Britain and Northern Ireland, 29 December 2012, available at: </w:t>
      </w:r>
      <w:hyperlink r:id="rId128" w:history="1">
        <w:r w:rsidRPr="00C04B66">
          <w:rPr>
            <w:rStyle w:val="Hyperlink"/>
          </w:rPr>
          <w:t>http://tbinternet.ohchr.org/_layouts/treatybodyexternal/Download.aspx?symbolno=CCPR%2fC%2fGBR%2f7&amp;Lang=en</w:t>
        </w:r>
      </w:hyperlink>
    </w:p>
  </w:footnote>
  <w:footnote w:id="337">
    <w:p w:rsidR="0016168E" w:rsidRDefault="0016168E" w:rsidP="002B6091">
      <w:pPr>
        <w:pStyle w:val="FootnoteText"/>
      </w:pPr>
      <w:r>
        <w:rPr>
          <w:rStyle w:val="FootnoteReference"/>
        </w:rPr>
        <w:footnoteRef/>
      </w:r>
      <w:r>
        <w:t xml:space="preserve"> Terrorism Act 2000, available at: </w:t>
      </w:r>
      <w:hyperlink r:id="rId129" w:history="1">
        <w:r w:rsidRPr="00C04B66">
          <w:rPr>
            <w:rStyle w:val="Hyperlink"/>
          </w:rPr>
          <w:t>http://www.legislation.gov.uk/ukpga/2000/11/contents</w:t>
        </w:r>
      </w:hyperlink>
      <w:r>
        <w:t xml:space="preserve"> </w:t>
      </w:r>
    </w:p>
  </w:footnote>
  <w:footnote w:id="338">
    <w:p w:rsidR="0016168E" w:rsidRDefault="0016168E" w:rsidP="002B6091">
      <w:pPr>
        <w:pStyle w:val="FootnoteText"/>
      </w:pPr>
      <w:r>
        <w:rPr>
          <w:rStyle w:val="FootnoteReference"/>
        </w:rPr>
        <w:footnoteRef/>
      </w:r>
      <w:r>
        <w:t xml:space="preserve"> Concluding Observations of the Human Rights Committee for the United Kingdom of Great Britain and Northern Ireland, 30 July 2008, paragraph 19, available at: </w:t>
      </w:r>
      <w:hyperlink r:id="rId130" w:history="1">
        <w:r w:rsidRPr="00C04B66">
          <w:rPr>
            <w:rStyle w:val="Hyperlink"/>
          </w:rPr>
          <w:t>http://tbinternet.ohchr.org/_layouts/treatybodyexternal/Download.aspx?symbolno=CCPR%2fC%2fGBR%2fCO%2f6&amp;Lang=en</w:t>
        </w:r>
      </w:hyperlink>
    </w:p>
  </w:footnote>
  <w:footnote w:id="339">
    <w:p w:rsidR="0016168E" w:rsidRDefault="0016168E" w:rsidP="002B6091">
      <w:pPr>
        <w:pStyle w:val="FootnoteText"/>
      </w:pPr>
      <w:r>
        <w:rPr>
          <w:rStyle w:val="FootnoteReference"/>
        </w:rPr>
        <w:footnoteRef/>
      </w:r>
      <w:r>
        <w:t xml:space="preserve"> Equality and Human Rights Commission, Briefing on Schedule 8 on </w:t>
      </w:r>
      <w:proofErr w:type="spellStart"/>
      <w:r>
        <w:t>Anti Social</w:t>
      </w:r>
      <w:proofErr w:type="spellEnd"/>
      <w:r>
        <w:t xml:space="preserve"> Behaviour and Crime Bill, 2013, available at: </w:t>
      </w:r>
      <w:hyperlink r:id="rId131" w:history="1">
        <w:r w:rsidRPr="00C34D36">
          <w:rPr>
            <w:rStyle w:val="Hyperlink"/>
          </w:rPr>
          <w:t>http://www.equalityhumanrights.com/legal-and-policy/our-legal-work/parliamentary-briefings/anti-social-behaviour-crime-and-policing-bill-schedule-8-lords-committee-stage-briefing</w:t>
        </w:r>
      </w:hyperlink>
      <w:r>
        <w:t xml:space="preserve"> </w:t>
      </w:r>
    </w:p>
  </w:footnote>
  <w:footnote w:id="340">
    <w:p w:rsidR="0016168E" w:rsidRDefault="0016168E" w:rsidP="002B6091">
      <w:pPr>
        <w:pStyle w:val="FootnoteText"/>
      </w:pPr>
      <w:r>
        <w:rPr>
          <w:rStyle w:val="FootnoteReference"/>
        </w:rPr>
        <w:footnoteRef/>
      </w:r>
      <w:r>
        <w:t xml:space="preserve"> Protection of Freedoms Act 2012, part 4, section 57, available at: </w:t>
      </w:r>
      <w:hyperlink r:id="rId132" w:history="1">
        <w:r w:rsidRPr="00BE571E">
          <w:rPr>
            <w:rStyle w:val="Hyperlink"/>
          </w:rPr>
          <w:t>http://www.legislation.gov.uk/ukpga/2012/9/contents/enacted</w:t>
        </w:r>
      </w:hyperlink>
      <w:r>
        <w:t xml:space="preserve"> </w:t>
      </w:r>
    </w:p>
  </w:footnote>
  <w:footnote w:id="341">
    <w:p w:rsidR="0016168E" w:rsidRDefault="0016168E" w:rsidP="002B6091">
      <w:pPr>
        <w:pStyle w:val="FootnoteText"/>
      </w:pPr>
      <w:r>
        <w:rPr>
          <w:rStyle w:val="FootnoteReference"/>
        </w:rPr>
        <w:footnoteRef/>
      </w:r>
      <w:r>
        <w:t xml:space="preserve"> Concluding Observations of the Human Rights Committee for the United Kingdom of Great Britain and Northern Ireland, 30 July 2008, paragraph 15, available at: </w:t>
      </w:r>
      <w:hyperlink r:id="rId133" w:history="1">
        <w:r w:rsidRPr="00C04B66">
          <w:rPr>
            <w:rStyle w:val="Hyperlink"/>
          </w:rPr>
          <w:t>http://tbinternet.ohchr.org/_layouts/treatybodyexternal/Download.aspx?symbolno=CCPR%2fC%2fGBR%2fCO%2f6&amp;Lang=en</w:t>
        </w:r>
      </w:hyperlink>
      <w:r>
        <w:rPr>
          <w:rStyle w:val="Hyperlink"/>
        </w:rPr>
        <w:t xml:space="preserve"> </w:t>
      </w:r>
    </w:p>
  </w:footnote>
  <w:footnote w:id="342">
    <w:p w:rsidR="0016168E" w:rsidRDefault="0016168E" w:rsidP="002B6091">
      <w:pPr>
        <w:pStyle w:val="FootnoteText"/>
      </w:pPr>
      <w:r>
        <w:rPr>
          <w:rStyle w:val="FootnoteReference"/>
        </w:rPr>
        <w:footnoteRef/>
      </w:r>
      <w:r>
        <w:t xml:space="preserve"> Liberty, Terrorism pre-charge detention comparative law study, 2010, available at: </w:t>
      </w:r>
      <w:hyperlink r:id="rId134" w:history="1">
        <w:r w:rsidRPr="00BE571E">
          <w:rPr>
            <w:rStyle w:val="Hyperlink"/>
          </w:rPr>
          <w:t>http://www.liberty-human-rights.org.uk/policy/reports/comparative-law-study-2010-pre-charge-detention.pdf</w:t>
        </w:r>
      </w:hyperlink>
      <w:r>
        <w:t xml:space="preserve"> </w:t>
      </w:r>
    </w:p>
  </w:footnote>
  <w:footnote w:id="343">
    <w:p w:rsidR="0016168E" w:rsidRDefault="0016168E" w:rsidP="002B6091">
      <w:pPr>
        <w:pStyle w:val="FootnoteText"/>
      </w:pPr>
      <w:r>
        <w:rPr>
          <w:rStyle w:val="FootnoteReference"/>
        </w:rPr>
        <w:footnoteRef/>
      </w:r>
      <w:r>
        <w:t xml:space="preserve"> Terrorism Act 2000, schedule 8, paragraph 38, as amended by the Protection of Freedoms Act 2012</w:t>
      </w:r>
    </w:p>
  </w:footnote>
  <w:footnote w:id="344">
    <w:p w:rsidR="0016168E" w:rsidRDefault="0016168E" w:rsidP="002B6091">
      <w:pPr>
        <w:pStyle w:val="FootnoteText"/>
      </w:pPr>
      <w:r>
        <w:rPr>
          <w:rStyle w:val="FootnoteReference"/>
        </w:rPr>
        <w:footnoteRef/>
      </w:r>
      <w:r>
        <w:t xml:space="preserve"> See also JUSTICE, Protection of Freedoms Bill, Briefing for the House of Lords Grand Committee Stage, 2011, available at: </w:t>
      </w:r>
      <w:hyperlink r:id="rId135" w:history="1">
        <w:r w:rsidRPr="00BE571E">
          <w:rPr>
            <w:rStyle w:val="Hyperlink"/>
          </w:rPr>
          <w:t>http://www.justice.org.uk/data/files/resources/137/JUSTICE-Brief-Lords-Grand-Committee-December-2011.pdf</w:t>
        </w:r>
      </w:hyperlink>
      <w:r>
        <w:t xml:space="preserve"> </w:t>
      </w:r>
    </w:p>
  </w:footnote>
  <w:footnote w:id="345">
    <w:p w:rsidR="0016168E" w:rsidRDefault="0016168E" w:rsidP="002B6091">
      <w:pPr>
        <w:pStyle w:val="FootnoteText"/>
      </w:pPr>
      <w:r>
        <w:rPr>
          <w:rStyle w:val="FootnoteReference"/>
        </w:rPr>
        <w:footnoteRef/>
      </w:r>
      <w:r>
        <w:t xml:space="preserve"> UN Human Rights Council, Universal Periodic Review, 2012, for example recommendations 119, 123, and 127, available at: </w:t>
      </w:r>
      <w:hyperlink r:id="rId136" w:history="1">
        <w:r w:rsidRPr="00BE571E">
          <w:rPr>
            <w:rStyle w:val="Hyperlink"/>
          </w:rPr>
          <w:t>http://www.ohchr.org/EN/HRBodies/UPR/Pages/gbsession1.aspx</w:t>
        </w:r>
      </w:hyperlink>
      <w:r w:rsidR="008C67B4">
        <w:t xml:space="preserve"> </w:t>
      </w:r>
    </w:p>
  </w:footnote>
  <w:footnote w:id="346">
    <w:p w:rsidR="0016168E" w:rsidRPr="0028228E" w:rsidRDefault="0016168E" w:rsidP="002B6091">
      <w:pPr>
        <w:pStyle w:val="FootnoteText"/>
        <w:rPr>
          <w:b/>
        </w:rPr>
      </w:pPr>
      <w:r>
        <w:rPr>
          <w:rStyle w:val="FootnoteReference"/>
        </w:rPr>
        <w:footnoteRef/>
      </w:r>
      <w:r>
        <w:t xml:space="preserve"> David Anderson QC, Report on the Operation of the Terrorism Act 2000 and Part 1 of the Terrorism Act 2006, 2012, available at: </w:t>
      </w:r>
      <w:hyperlink r:id="rId137" w:history="1">
        <w:r w:rsidRPr="00BE571E">
          <w:rPr>
            <w:rStyle w:val="Hyperlink"/>
          </w:rPr>
          <w:t>https://www.gov.uk/government/publications/report-on-the-operation-in-2010-of-the-terrorism-act-2000-and-of-part-1-of-the-terrorism-act-2006</w:t>
        </w:r>
      </w:hyperlink>
      <w:r>
        <w:t xml:space="preserve"> </w:t>
      </w:r>
    </w:p>
  </w:footnote>
  <w:footnote w:id="347">
    <w:p w:rsidR="0016168E" w:rsidRDefault="0016168E" w:rsidP="002B6091">
      <w:pPr>
        <w:pStyle w:val="FootnoteText"/>
      </w:pPr>
      <w:r>
        <w:rPr>
          <w:rStyle w:val="FootnoteReference"/>
        </w:rPr>
        <w:footnoteRef/>
      </w:r>
      <w:r>
        <w:t xml:space="preserve"> </w:t>
      </w:r>
      <w:r w:rsidRPr="00867A1C">
        <w:t>The Terrorism Prevention and Investigation Measures (TPIMs) Act 2011</w:t>
      </w:r>
      <w:r>
        <w:t xml:space="preserve">, available at: </w:t>
      </w:r>
      <w:hyperlink r:id="rId138" w:history="1">
        <w:r w:rsidRPr="00BE571E">
          <w:rPr>
            <w:rStyle w:val="Hyperlink"/>
          </w:rPr>
          <w:t>http://www.legislation.gov.uk/ukpga/2011/23/contents</w:t>
        </w:r>
      </w:hyperlink>
      <w:r>
        <w:t xml:space="preserve"> </w:t>
      </w:r>
    </w:p>
  </w:footnote>
  <w:footnote w:id="348">
    <w:p w:rsidR="0016168E" w:rsidRDefault="0016168E" w:rsidP="002B6091">
      <w:pPr>
        <w:pStyle w:val="FootnoteText"/>
      </w:pPr>
      <w:r>
        <w:rPr>
          <w:rStyle w:val="FootnoteReference"/>
        </w:rPr>
        <w:footnoteRef/>
      </w:r>
      <w:r>
        <w:t xml:space="preserve"> Equality and Human Rights Commission, Parliamentary Briefing on the Terrorism and Investigation Measures Bill 2011, 2011, available at: </w:t>
      </w:r>
      <w:hyperlink r:id="rId139" w:history="1">
        <w:r w:rsidRPr="00BE571E">
          <w:rPr>
            <w:rStyle w:val="Hyperlink"/>
          </w:rPr>
          <w:t>http://www.google.co.uk/url?sa=t&amp;rct=j&amp;q=&amp;esrc=s&amp;source=web&amp;cd=2&amp;ved=0CCUQFjAB&amp;url=http%3A%2F%2Fwww.equalityhumanrights.com%2Flegal-and-policy%2Four-legal-work%2Fparliamentary-briefings%2Fterrorism-prevention-and-investigation-measures-bill&amp;ei=5tGhU-m6CcTT7AbzuoCwAw&amp;usg=AFQjCNHsWY8fKNilSRG1JiLnzNHBNq_MuQ&amp;bvm=bv.69137298,d.ZWU</w:t>
        </w:r>
      </w:hyperlink>
      <w:r>
        <w:t xml:space="preserve"> </w:t>
      </w:r>
    </w:p>
  </w:footnote>
  <w:footnote w:id="349">
    <w:p w:rsidR="0016168E" w:rsidRDefault="0016168E" w:rsidP="002B6091">
      <w:pPr>
        <w:pStyle w:val="FootnoteText"/>
      </w:pPr>
      <w:r>
        <w:rPr>
          <w:rStyle w:val="FootnoteReference"/>
        </w:rPr>
        <w:footnoteRef/>
      </w:r>
      <w:r>
        <w:t xml:space="preserve"> Lord MacDonald QC, Review of Counter-terrorism and Security Powers, 2011, available at: </w:t>
      </w:r>
      <w:hyperlink r:id="rId140" w:history="1">
        <w:r w:rsidRPr="00BE571E">
          <w:rPr>
            <w:rStyle w:val="Hyperlink"/>
          </w:rPr>
          <w:t>https://www.gov.uk/government/publications/review-of-counter-terrorism-and-security-powers</w:t>
        </w:r>
      </w:hyperlink>
      <w:r>
        <w:t xml:space="preserve"> </w:t>
      </w:r>
    </w:p>
  </w:footnote>
  <w:footnote w:id="350">
    <w:p w:rsidR="0016168E" w:rsidRDefault="0016168E" w:rsidP="002B6091">
      <w:pPr>
        <w:pStyle w:val="FootnoteText"/>
      </w:pPr>
      <w:r>
        <w:rPr>
          <w:rStyle w:val="FootnoteReference"/>
        </w:rPr>
        <w:footnoteRef/>
      </w:r>
      <w:r>
        <w:t xml:space="preserve"> David Anderson QC, Annual Report of the Independent Reviewer of Terrorism Legislation, 2013, available at: </w:t>
      </w:r>
      <w:hyperlink r:id="rId141" w:history="1">
        <w:r w:rsidRPr="00BE571E">
          <w:rPr>
            <w:rStyle w:val="Hyperlink"/>
          </w:rPr>
          <w:t>https://www.gov.uk/government/uploads/system/uploads/attachment_data/file/298487/Un_Act_Independent_Review_print_ready.pdf</w:t>
        </w:r>
      </w:hyperlink>
      <w:r>
        <w:t>; and</w:t>
      </w:r>
    </w:p>
    <w:p w:rsidR="0016168E" w:rsidRDefault="0016168E" w:rsidP="002B6091">
      <w:pPr>
        <w:pStyle w:val="FootnoteText"/>
      </w:pPr>
      <w:r>
        <w:t xml:space="preserve">Joint Committee on Human Rights (JCHR), Post-Legislative Scrutiny of the Terrorism Prevention and Investigative Measures Act 2011, 2014, available at: </w:t>
      </w:r>
      <w:hyperlink r:id="rId142" w:history="1">
        <w:r w:rsidRPr="00BE571E">
          <w:rPr>
            <w:rStyle w:val="Hyperlink"/>
          </w:rPr>
          <w:t>http://www.publications.parliament.uk/pa/jt201314/jtselect/jtrights/113/113.pdf</w:t>
        </w:r>
      </w:hyperlink>
      <w:r>
        <w:t xml:space="preserve"> </w:t>
      </w:r>
    </w:p>
  </w:footnote>
  <w:footnote w:id="351">
    <w:p w:rsidR="0016168E" w:rsidRDefault="0016168E" w:rsidP="002B6091">
      <w:pPr>
        <w:pStyle w:val="FootnoteText"/>
      </w:pPr>
      <w:r>
        <w:rPr>
          <w:rStyle w:val="FootnoteReference"/>
        </w:rPr>
        <w:footnoteRef/>
      </w:r>
      <w:r>
        <w:t xml:space="preserve"> Equality and Human Rights Commission, Submission to the Review of Counter Terrorism and Security Powers, 2010, available at: </w:t>
      </w:r>
      <w:hyperlink r:id="rId143" w:history="1">
        <w:r w:rsidRPr="00BE571E">
          <w:rPr>
            <w:rStyle w:val="Hyperlink"/>
          </w:rPr>
          <w:t>http://www.equalityhumanrights.com/legal-and-policy/our-legal-work/consultation-responses/ehrc-submission-review-of-counter-terrorism-and-security-powers</w:t>
        </w:r>
      </w:hyperlink>
      <w:r>
        <w:t xml:space="preserve"> </w:t>
      </w:r>
    </w:p>
  </w:footnote>
  <w:footnote w:id="352">
    <w:p w:rsidR="0016168E" w:rsidRDefault="0016168E" w:rsidP="002B6091">
      <w:pPr>
        <w:pStyle w:val="FootnoteText"/>
      </w:pPr>
      <w:r>
        <w:rPr>
          <w:rStyle w:val="FootnoteReference"/>
        </w:rPr>
        <w:footnoteRef/>
      </w:r>
      <w:r>
        <w:t xml:space="preserve"> Ministry of Justice, Memorandum to the Joint Committee on Human Rights on its Inquiry on the Justice and Security Bill, 2011, available at: </w:t>
      </w:r>
      <w:hyperlink r:id="rId144" w:history="1">
        <w:r w:rsidRPr="00B55BBF">
          <w:rPr>
            <w:rStyle w:val="Hyperlink"/>
          </w:rPr>
          <w:t>http://www.parliament.uk/documents/joint-committees/human-rights/Memo_to_JCHR_on_Justice_and_Security_Green_Paper.pdf</w:t>
        </w:r>
      </w:hyperlink>
      <w:r>
        <w:t xml:space="preserve"> </w:t>
      </w:r>
    </w:p>
  </w:footnote>
  <w:footnote w:id="353">
    <w:p w:rsidR="0016168E" w:rsidRDefault="0016168E" w:rsidP="002B6091">
      <w:pPr>
        <w:pStyle w:val="FootnoteText"/>
      </w:pPr>
      <w:r>
        <w:rPr>
          <w:rStyle w:val="FootnoteReference"/>
        </w:rPr>
        <w:footnoteRef/>
      </w:r>
      <w:r>
        <w:t xml:space="preserve"> Ministry of Justice, Justice and Security Green Paper, para 2.7, available at: </w:t>
      </w:r>
      <w:hyperlink r:id="rId145" w:history="1">
        <w:r w:rsidRPr="00B55BBF">
          <w:rPr>
            <w:rStyle w:val="Hyperlink"/>
          </w:rPr>
          <w:t>https://www.gov.uk/government/uploads/system/uploads/attachment_data/file/228860/8194.pdf</w:t>
        </w:r>
      </w:hyperlink>
      <w:r>
        <w:t xml:space="preserve"> The Justice Secretary’s decision would be reviewable by the trial judge on “judicial review principles” but any challenge to this decision would itself necessarily involve closed proceedings.</w:t>
      </w:r>
    </w:p>
  </w:footnote>
  <w:footnote w:id="354">
    <w:p w:rsidR="0016168E" w:rsidRDefault="0016168E" w:rsidP="002B6091">
      <w:pPr>
        <w:pStyle w:val="FootnoteText"/>
      </w:pPr>
      <w:r>
        <w:rPr>
          <w:rStyle w:val="FootnoteReference"/>
        </w:rPr>
        <w:footnoteRef/>
      </w:r>
      <w:r>
        <w:t xml:space="preserve"> Special Advocates, Response to Justice and Security Green Paper Consultation, 2012, para 14(4) available at: </w:t>
      </w:r>
      <w:hyperlink r:id="rId146" w:history="1">
        <w:r w:rsidRPr="00B55BBF">
          <w:rPr>
            <w:rStyle w:val="Hyperlink"/>
          </w:rPr>
          <w:t>http://consultation.cabinetoffice.gov.uk/justiceandsecurity/wp-content/uploads/2012/09_Special%20Advocates.pdf</w:t>
        </w:r>
      </w:hyperlink>
    </w:p>
  </w:footnote>
  <w:footnote w:id="355">
    <w:p w:rsidR="0016168E" w:rsidRDefault="0016168E" w:rsidP="002B6091">
      <w:pPr>
        <w:pStyle w:val="FootnoteText"/>
      </w:pPr>
      <w:r>
        <w:rPr>
          <w:rStyle w:val="FootnoteReference"/>
        </w:rPr>
        <w:footnoteRef/>
      </w:r>
      <w:r>
        <w:t xml:space="preserve"> Lord Kerr has warned that “Evidence which has been insulated from challenge may positively mislead,” (</w:t>
      </w:r>
      <w:r w:rsidRPr="00895899">
        <w:t>Al-</w:t>
      </w:r>
      <w:proofErr w:type="spellStart"/>
      <w:r w:rsidRPr="00895899">
        <w:t>Rawi</w:t>
      </w:r>
      <w:proofErr w:type="spellEnd"/>
      <w:r w:rsidRPr="00895899">
        <w:t xml:space="preserve"> v Ministry of Defence, [2011] UKSC 34, 93.</w:t>
      </w:r>
      <w:r>
        <w:t>). The late Lord Bingham described the task of Special Advocates as “taking blind shots at a hidden target” (</w:t>
      </w:r>
      <w:r w:rsidRPr="00895899">
        <w:t xml:space="preserve">Roberts v Parole Board [2005] UKHL 45) </w:t>
      </w:r>
      <w:r>
        <w:t xml:space="preserve">because even though they are able to cross-examine witnesses in closed hearings; they are prohibited from discussing their questions with the person they are representing after service of the closed material. </w:t>
      </w:r>
    </w:p>
  </w:footnote>
  <w:footnote w:id="356">
    <w:p w:rsidR="0016168E" w:rsidRDefault="0016168E" w:rsidP="002B6091">
      <w:pPr>
        <w:pStyle w:val="FootnoteText"/>
      </w:pPr>
      <w:r>
        <w:rPr>
          <w:rStyle w:val="FootnoteReference"/>
        </w:rPr>
        <w:footnoteRef/>
      </w:r>
      <w:r>
        <w:t xml:space="preserve"> Special Advocates’ memorandum on the Justice and Security Bill submitted to the Joint Committee on Human Rights, available at: </w:t>
      </w:r>
      <w:hyperlink r:id="rId147" w:history="1">
        <w:r w:rsidRPr="00B55BBF">
          <w:rPr>
            <w:rStyle w:val="Hyperlink"/>
          </w:rPr>
          <w:t>https://adam1cor.files.wordpress.com/2012/06/js-bill-sa-response-final-final.pdf</w:t>
        </w:r>
      </w:hyperlink>
      <w:r>
        <w:t xml:space="preserve"> </w:t>
      </w:r>
    </w:p>
  </w:footnote>
  <w:footnote w:id="357">
    <w:p w:rsidR="0016168E" w:rsidRDefault="0016168E" w:rsidP="002B6091">
      <w:pPr>
        <w:pStyle w:val="FootnoteText"/>
      </w:pPr>
      <w:r>
        <w:rPr>
          <w:rStyle w:val="FootnoteReference"/>
        </w:rPr>
        <w:footnoteRef/>
      </w:r>
      <w:r>
        <w:t xml:space="preserve"> Equality and Human Rights Commission, Briefing on the Justice and Security Bill, 2012, available at: </w:t>
      </w:r>
      <w:hyperlink r:id="rId148" w:history="1">
        <w:r w:rsidRPr="00B55BBF">
          <w:rPr>
            <w:rStyle w:val="Hyperlink"/>
          </w:rPr>
          <w:t>http://www.equalityhumanrights.com/legal-and-policy/our-legal-work/parliamentary-briefings/justice-security-bill-with-advice</w:t>
        </w:r>
      </w:hyperlink>
      <w:r>
        <w:t xml:space="preserve"> . See also Dinah Rose QC, Memorandum submitted to the Joint Committee on Human Rights, 2012, available at: </w:t>
      </w:r>
      <w:hyperlink r:id="rId149" w:history="1">
        <w:r w:rsidRPr="00B55BBF">
          <w:rPr>
            <w:rStyle w:val="Hyperlink"/>
          </w:rPr>
          <w:t>http://www.parliament.uk/business/committees/committees-a-z/joint-select/human-rights-committee/inquiries/parliament-2010/justice-and-security-green-paper/</w:t>
        </w:r>
      </w:hyperlink>
      <w:r>
        <w:t xml:space="preserve"> ; and Special Advocates, Response to Justice and Security Green Paper Consultation, 2012, available at: </w:t>
      </w:r>
      <w:hyperlink r:id="rId150" w:history="1">
        <w:r w:rsidRPr="00B55BBF">
          <w:rPr>
            <w:rStyle w:val="Hyperlink"/>
          </w:rPr>
          <w:t>http://consultation.cabinetoffice.gov.uk/justiceandsecurity/wp-content/uploads/2012/09_Special%20Advocates.pdf</w:t>
        </w:r>
      </w:hyperlink>
      <w:r w:rsidR="008C67B4">
        <w:t xml:space="preserve"> </w:t>
      </w:r>
    </w:p>
  </w:footnote>
  <w:footnote w:id="358">
    <w:p w:rsidR="0016168E" w:rsidRDefault="0016168E" w:rsidP="002B6091">
      <w:pPr>
        <w:pStyle w:val="FootnoteText"/>
      </w:pPr>
      <w:r>
        <w:rPr>
          <w:rStyle w:val="FootnoteReference"/>
        </w:rPr>
        <w:footnoteRef/>
      </w:r>
      <w:r>
        <w:t xml:space="preserve"> Joint Committee on Human Rights, Report on the Justice and Security Bill, 2012, available at: </w:t>
      </w:r>
      <w:hyperlink r:id="rId151" w:history="1">
        <w:r w:rsidRPr="00B55BBF">
          <w:rPr>
            <w:rStyle w:val="Hyperlink"/>
          </w:rPr>
          <w:t>http://www.parliament.uk/business/committees/committees-a-z/joint-select/human-rights-committee/news/justice-and-security-green-paper-report/</w:t>
        </w:r>
      </w:hyperlink>
      <w:r>
        <w:t xml:space="preserve"> </w:t>
      </w:r>
    </w:p>
  </w:footnote>
  <w:footnote w:id="359">
    <w:p w:rsidR="0016168E" w:rsidRDefault="0016168E" w:rsidP="002B6091">
      <w:pPr>
        <w:pStyle w:val="FootnoteText"/>
      </w:pPr>
      <w:r>
        <w:rPr>
          <w:rStyle w:val="FootnoteReference"/>
        </w:rPr>
        <w:footnoteRef/>
      </w:r>
      <w:r>
        <w:t xml:space="preserve"> Lord Brown, </w:t>
      </w:r>
      <w:proofErr w:type="spellStart"/>
      <w:r>
        <w:t>Hansard</w:t>
      </w:r>
      <w:proofErr w:type="spellEnd"/>
      <w:r>
        <w:t xml:space="preserve">, 26 March 2013, available at: </w:t>
      </w:r>
      <w:hyperlink r:id="rId152" w:history="1">
        <w:r w:rsidRPr="00B55BBF">
          <w:rPr>
            <w:rStyle w:val="Hyperlink"/>
          </w:rPr>
          <w:t>http://www.publications.parliament.uk/pa/ld201213/ldhansrd/index/130326.html</w:t>
        </w:r>
      </w:hyperlink>
      <w:r>
        <w:t xml:space="preserve"> </w:t>
      </w:r>
    </w:p>
  </w:footnote>
  <w:footnote w:id="360">
    <w:p w:rsidR="0016168E" w:rsidRDefault="0016168E" w:rsidP="002B6091">
      <w:pPr>
        <w:pStyle w:val="FootnoteText"/>
      </w:pPr>
      <w:r>
        <w:rPr>
          <w:rStyle w:val="FootnoteReference"/>
        </w:rPr>
        <w:footnoteRef/>
      </w:r>
      <w:r>
        <w:t xml:space="preserve"> The state only covers the use of stop and search powers in relation to its counter-terrorism strategy, and not in relation to tackling crime, in its Seventh periodic reports of States parties for the United Kingdom of Great Britain and Northern Ireland, 29 December 2012, para 316-325, available at: </w:t>
      </w:r>
      <w:hyperlink r:id="rId153" w:history="1">
        <w:r w:rsidRPr="00C04B66">
          <w:rPr>
            <w:rStyle w:val="Hyperlink"/>
          </w:rPr>
          <w:t>http://tbinternet.ohchr.org/_layouts/treatybodyexternal/Download.aspx?symbolno=CCPR%2fC%2fGBR%2f7&amp;Lang=en</w:t>
        </w:r>
      </w:hyperlink>
    </w:p>
  </w:footnote>
  <w:footnote w:id="361">
    <w:p w:rsidR="0016168E" w:rsidRDefault="0016168E" w:rsidP="002B6091">
      <w:pPr>
        <w:pStyle w:val="FootnoteText"/>
      </w:pPr>
      <w:r>
        <w:rPr>
          <w:rStyle w:val="FootnoteReference"/>
        </w:rPr>
        <w:footnoteRef/>
      </w:r>
      <w:r>
        <w:t xml:space="preserve"> </w:t>
      </w:r>
      <w:r w:rsidRPr="00F132AB">
        <w:t>Police and Criminal Evidence Act (PACE)</w:t>
      </w:r>
      <w:r>
        <w:t xml:space="preserve">, 1984, available at: </w:t>
      </w:r>
      <w:hyperlink r:id="rId154" w:history="1">
        <w:r w:rsidRPr="0083788E">
          <w:rPr>
            <w:rStyle w:val="Hyperlink"/>
          </w:rPr>
          <w:t>http://www.legislation.gov.uk/ukpga/1984/60/contents</w:t>
        </w:r>
      </w:hyperlink>
      <w:r>
        <w:t xml:space="preserve"> </w:t>
      </w:r>
    </w:p>
  </w:footnote>
  <w:footnote w:id="362">
    <w:p w:rsidR="0016168E" w:rsidRDefault="0016168E" w:rsidP="002B6091">
      <w:pPr>
        <w:pStyle w:val="FootnoteText"/>
      </w:pPr>
      <w:r>
        <w:rPr>
          <w:rStyle w:val="FootnoteReference"/>
        </w:rPr>
        <w:footnoteRef/>
      </w:r>
      <w:r>
        <w:t xml:space="preserve"> For further operational detail, see Equality and Human Rights Commission, Stop and Think: A Critical Review of the use of Stop and Search powers in England and Wales, available at: </w:t>
      </w:r>
      <w:hyperlink r:id="rId155" w:history="1">
        <w:r w:rsidRPr="0083788E">
          <w:rPr>
            <w:rStyle w:val="Hyperlink"/>
          </w:rPr>
          <w:t>http://www.equalityhumanrights.com/sites/default/files/documents/raceinbritain/ehrc_stop_and_search_report.pdf</w:t>
        </w:r>
      </w:hyperlink>
      <w:r>
        <w:t xml:space="preserve"> </w:t>
      </w:r>
    </w:p>
  </w:footnote>
  <w:footnote w:id="363">
    <w:p w:rsidR="0016168E" w:rsidRDefault="0016168E" w:rsidP="002B6091">
      <w:pPr>
        <w:pStyle w:val="FootnoteText"/>
      </w:pPr>
      <w:r>
        <w:rPr>
          <w:rStyle w:val="FootnoteReference"/>
        </w:rPr>
        <w:footnoteRef/>
      </w:r>
      <w:r>
        <w:t xml:space="preserve"> </w:t>
      </w:r>
      <w:r w:rsidRPr="0004780D">
        <w:t>Criminal Justice and Public Order Act (CJPOA)</w:t>
      </w:r>
      <w:r>
        <w:t xml:space="preserve"> 1994, available at: </w:t>
      </w:r>
      <w:hyperlink r:id="rId156" w:history="1">
        <w:r w:rsidRPr="0083788E">
          <w:rPr>
            <w:rStyle w:val="Hyperlink"/>
          </w:rPr>
          <w:t>http://www.legislation.gov.uk/ukpga/1994/33/contents</w:t>
        </w:r>
      </w:hyperlink>
      <w:r>
        <w:t xml:space="preserve"> </w:t>
      </w:r>
    </w:p>
  </w:footnote>
  <w:footnote w:id="364">
    <w:p w:rsidR="0016168E" w:rsidRDefault="0016168E" w:rsidP="002B6091">
      <w:pPr>
        <w:pStyle w:val="FootnoteText"/>
      </w:pPr>
      <w:r>
        <w:rPr>
          <w:rStyle w:val="FootnoteReference"/>
        </w:rPr>
        <w:footnoteRef/>
      </w:r>
      <w:r>
        <w:t xml:space="preserve"> Equality and Human Rights Commission, Briefing Paper 7: Disproportionality in Stops and Searches and supporting data, 2011-12, available at: </w:t>
      </w:r>
      <w:hyperlink r:id="rId157" w:anchor="BP7" w:history="1">
        <w:r w:rsidRPr="0083788E">
          <w:rPr>
            <w:rStyle w:val="Hyperlink"/>
          </w:rPr>
          <w:t>http://www.equalityhumanrights.com/publications/our-research/briefing-papers#BP7</w:t>
        </w:r>
      </w:hyperlink>
      <w:r>
        <w:rPr>
          <w:rStyle w:val="Hyperlink"/>
        </w:rPr>
        <w:t xml:space="preserve"> </w:t>
      </w:r>
    </w:p>
  </w:footnote>
  <w:footnote w:id="365">
    <w:p w:rsidR="0016168E" w:rsidRDefault="0016168E" w:rsidP="002B6091">
      <w:pPr>
        <w:pStyle w:val="FootnoteText"/>
      </w:pPr>
      <w:r>
        <w:rPr>
          <w:rStyle w:val="FootnoteReference"/>
        </w:rPr>
        <w:footnoteRef/>
      </w:r>
      <w:r>
        <w:t xml:space="preserve"> See, for example, Riots Communities and Victims Panel, After the Riots: The final report of the Riots Communities and Victims Panel, 2012, available at: </w:t>
      </w:r>
      <w:hyperlink r:id="rId158" w:history="1">
        <w:r w:rsidRPr="0083788E">
          <w:rPr>
            <w:rStyle w:val="Hyperlink"/>
          </w:rPr>
          <w:t>http://webarchive.nationalarchives.gov.uk/20121003195935/http:/riotspanel.independent.gov.uk/</w:t>
        </w:r>
      </w:hyperlink>
      <w:r>
        <w:t xml:space="preserve"> </w:t>
      </w:r>
    </w:p>
  </w:footnote>
  <w:footnote w:id="366">
    <w:p w:rsidR="0016168E" w:rsidRDefault="0016168E" w:rsidP="002B6091">
      <w:pPr>
        <w:pStyle w:val="FootnoteText"/>
      </w:pPr>
      <w:r>
        <w:rPr>
          <w:rStyle w:val="FootnoteReference"/>
        </w:rPr>
        <w:footnoteRef/>
      </w:r>
      <w:r>
        <w:t xml:space="preserve"> Home Office Statistics, Police Powers and Procedures England and Wales, 2014, available at: </w:t>
      </w:r>
      <w:hyperlink r:id="rId159" w:history="1">
        <w:r w:rsidRPr="00D235CD">
          <w:rPr>
            <w:rStyle w:val="Hyperlink"/>
          </w:rPr>
          <w:t>https://www.gov.uk/government/publications/police-powers-and-procedures-england-and-wales-2012-to-2013/police-powers-and-procedures-england-and-wales-2012-to-2013</w:t>
        </w:r>
      </w:hyperlink>
    </w:p>
  </w:footnote>
  <w:footnote w:id="367">
    <w:p w:rsidR="0016168E" w:rsidRDefault="0016168E" w:rsidP="002B6091">
      <w:pPr>
        <w:pStyle w:val="FootnoteText"/>
      </w:pPr>
      <w:r>
        <w:rPr>
          <w:rStyle w:val="FootnoteReference"/>
        </w:rPr>
        <w:footnoteRef/>
      </w:r>
      <w:r>
        <w:t xml:space="preserve"> Equality and Human Rights Commission, Briefing Paper 7: Disproportionality in Stops and Searches and supporting data, 2011-12, available at: </w:t>
      </w:r>
      <w:hyperlink r:id="rId160" w:anchor="BP7" w:history="1">
        <w:r w:rsidRPr="0083788E">
          <w:rPr>
            <w:rStyle w:val="Hyperlink"/>
          </w:rPr>
          <w:t>http://www.equalityhumanrights.com/publications/our-research/briefing-papers#BP7</w:t>
        </w:r>
      </w:hyperlink>
      <w:r>
        <w:t xml:space="preserve"> </w:t>
      </w:r>
    </w:p>
  </w:footnote>
  <w:footnote w:id="368">
    <w:p w:rsidR="0016168E" w:rsidRDefault="0016168E" w:rsidP="002B6091">
      <w:pPr>
        <w:pStyle w:val="FootnoteText"/>
      </w:pPr>
      <w:r>
        <w:rPr>
          <w:rStyle w:val="FootnoteReference"/>
        </w:rPr>
        <w:footnoteRef/>
      </w:r>
      <w:r>
        <w:t xml:space="preserve"> Home Office Statistics, Police Powers and Procedures England and Wales, 2014, available at: </w:t>
      </w:r>
      <w:hyperlink r:id="rId161" w:history="1">
        <w:r w:rsidRPr="00D235CD">
          <w:rPr>
            <w:rStyle w:val="Hyperlink"/>
          </w:rPr>
          <w:t>https://www.gov.uk/government/publications/police-powers-and-procedures-england-and-wales-2012-to-2013/police-powers-and-procedures-england-and-wales-2012-to-2013</w:t>
        </w:r>
      </w:hyperlink>
    </w:p>
  </w:footnote>
  <w:footnote w:id="369">
    <w:p w:rsidR="0016168E" w:rsidRDefault="0016168E" w:rsidP="002B6091">
      <w:pPr>
        <w:pStyle w:val="FootnoteText"/>
      </w:pPr>
      <w:r>
        <w:rPr>
          <w:rStyle w:val="FootnoteReference"/>
        </w:rPr>
        <w:footnoteRef/>
      </w:r>
      <w:r>
        <w:t xml:space="preserve"> Equality and Human Rights Commission, Briefing Paper 7: Disproportionality in Stops and Searches and supporting data, 2011-12, available at: </w:t>
      </w:r>
      <w:hyperlink r:id="rId162" w:anchor="BP7" w:history="1">
        <w:r w:rsidRPr="0083788E">
          <w:rPr>
            <w:rStyle w:val="Hyperlink"/>
          </w:rPr>
          <w:t>http://www.equalityhumanrights.com/publications/our-research/briefing-papers#BP7</w:t>
        </w:r>
      </w:hyperlink>
      <w:r>
        <w:t xml:space="preserve"> </w:t>
      </w:r>
    </w:p>
  </w:footnote>
  <w:footnote w:id="370">
    <w:p w:rsidR="0016168E" w:rsidRDefault="0016168E" w:rsidP="002B6091">
      <w:pPr>
        <w:pStyle w:val="FootnoteText"/>
      </w:pPr>
      <w:r>
        <w:rPr>
          <w:rStyle w:val="FootnoteReference"/>
        </w:rPr>
        <w:footnoteRef/>
      </w:r>
      <w:r>
        <w:t xml:space="preserve"> Equality and Human Rights Commission, Response to the Home Office consultation on police powers of stop and search, available at: </w:t>
      </w:r>
      <w:hyperlink r:id="rId163" w:history="1">
        <w:r w:rsidRPr="0083788E">
          <w:rPr>
            <w:rStyle w:val="Hyperlink"/>
          </w:rPr>
          <w:t>http://www.equalityhumanrights.com/legal-and-policy/our-legal-work/consultation-responses</w:t>
        </w:r>
      </w:hyperlink>
    </w:p>
  </w:footnote>
  <w:footnote w:id="371">
    <w:p w:rsidR="0016168E" w:rsidRDefault="0016168E" w:rsidP="002B6091">
      <w:pPr>
        <w:pStyle w:val="FootnoteText"/>
      </w:pPr>
      <w:r>
        <w:rPr>
          <w:rStyle w:val="FootnoteReference"/>
        </w:rPr>
        <w:footnoteRef/>
      </w:r>
      <w:r>
        <w:t xml:space="preserve"> Equality and Human Rights Commission, Response to the Home Office consultation on police powers of stop and search, available at: </w:t>
      </w:r>
      <w:hyperlink r:id="rId164" w:history="1">
        <w:r w:rsidRPr="0083788E">
          <w:rPr>
            <w:rStyle w:val="Hyperlink"/>
          </w:rPr>
          <w:t>http://www.equalityhumanrights.com/legal-and-policy/our-legal-work/consultation-responses</w:t>
        </w:r>
      </w:hyperlink>
    </w:p>
  </w:footnote>
  <w:footnote w:id="372">
    <w:p w:rsidR="0016168E" w:rsidRDefault="0016168E" w:rsidP="002B6091">
      <w:pPr>
        <w:pStyle w:val="FootnoteText"/>
      </w:pPr>
      <w:r>
        <w:rPr>
          <w:rStyle w:val="FootnoteReference"/>
        </w:rPr>
        <w:footnoteRef/>
      </w:r>
      <w:r>
        <w:t xml:space="preserve"> Home Office, Police Powers of Stop and Search Summary of Consultation Responses and Conclusions, available at: </w:t>
      </w:r>
      <w:hyperlink r:id="rId165" w:history="1">
        <w:r w:rsidRPr="0083788E">
          <w:rPr>
            <w:rStyle w:val="Hyperlink"/>
          </w:rPr>
          <w:t>https://www.gov.uk/government/uploads/system/uploads/attachment_data/file/307545/StopSearchConsultationResponse.pdf</w:t>
        </w:r>
      </w:hyperlink>
    </w:p>
  </w:footnote>
  <w:footnote w:id="373">
    <w:p w:rsidR="0016168E" w:rsidRDefault="0016168E" w:rsidP="002B6091">
      <w:pPr>
        <w:pStyle w:val="FootnoteText"/>
      </w:pPr>
      <w:r>
        <w:rPr>
          <w:rStyle w:val="FootnoteReference"/>
        </w:rPr>
        <w:footnoteRef/>
      </w:r>
      <w:r>
        <w:t xml:space="preserve"> Equality and Human Rights Commission, Race disproportionality in stops and searches under Section 60 of the Criminal Justice and Public Order Act 1994, 2012, available at: </w:t>
      </w:r>
      <w:hyperlink r:id="rId166" w:history="1">
        <w:r w:rsidRPr="0083788E">
          <w:rPr>
            <w:rStyle w:val="Hyperlink"/>
          </w:rPr>
          <w:t>http://www.equalityhumanrights.com/sites/default/files/documents/research/bp_5_final.pdf</w:t>
        </w:r>
      </w:hyperlink>
      <w:r>
        <w:t xml:space="preserve"> </w:t>
      </w:r>
    </w:p>
  </w:footnote>
  <w:footnote w:id="374">
    <w:p w:rsidR="0016168E" w:rsidRDefault="0016168E" w:rsidP="002B6091">
      <w:pPr>
        <w:pStyle w:val="FootnoteText"/>
      </w:pPr>
      <w:r>
        <w:rPr>
          <w:rStyle w:val="FootnoteReference"/>
        </w:rPr>
        <w:footnoteRef/>
      </w:r>
      <w:r>
        <w:t xml:space="preserve"> Home Office, Police Powers and Procedures in England and Wales 2011/12, 2013, available at: </w:t>
      </w:r>
      <w:hyperlink r:id="rId167" w:history="1">
        <w:r w:rsidRPr="0083788E">
          <w:rPr>
            <w:rStyle w:val="Hyperlink"/>
          </w:rPr>
          <w:t>https://www.gov.uk/government/publications/police-powers-and-procedures-in-england-and-wales-201112</w:t>
        </w:r>
      </w:hyperlink>
      <w:r>
        <w:t xml:space="preserve"> </w:t>
      </w:r>
    </w:p>
  </w:footnote>
  <w:footnote w:id="375">
    <w:p w:rsidR="0016168E" w:rsidRDefault="0016168E" w:rsidP="002B6091">
      <w:pPr>
        <w:pStyle w:val="FootnoteText"/>
      </w:pPr>
      <w:r>
        <w:rPr>
          <w:rStyle w:val="FootnoteReference"/>
        </w:rPr>
        <w:footnoteRef/>
      </w:r>
      <w:r>
        <w:t xml:space="preserve"> Equality and Human Rights Commission, Response to the Home Office consultation on police powers of stop and search, available at: </w:t>
      </w:r>
      <w:hyperlink r:id="rId168" w:history="1">
        <w:r w:rsidRPr="0083788E">
          <w:rPr>
            <w:rStyle w:val="Hyperlink"/>
          </w:rPr>
          <w:t>http://www.equalityhumanrights.com/legal-and-policy/our-legal-work/consultation-responses</w:t>
        </w:r>
      </w:hyperlink>
    </w:p>
  </w:footnote>
  <w:footnote w:id="376">
    <w:p w:rsidR="0016168E" w:rsidRDefault="0016168E" w:rsidP="002B6091">
      <w:pPr>
        <w:pStyle w:val="FootnoteText"/>
      </w:pPr>
      <w:r>
        <w:rPr>
          <w:rStyle w:val="FootnoteReference"/>
        </w:rPr>
        <w:footnoteRef/>
      </w:r>
      <w:r>
        <w:t xml:space="preserve"> Equality and Human Rights Commission, Response to the Home Office consultation on police powers of stop and search, available at: </w:t>
      </w:r>
      <w:hyperlink r:id="rId169" w:history="1">
        <w:r w:rsidRPr="0083788E">
          <w:rPr>
            <w:rStyle w:val="Hyperlink"/>
          </w:rPr>
          <w:t>http://www.equalityhumanrights.com/legal-and-policy/our-legal-work/consultation-responses</w:t>
        </w:r>
      </w:hyperlink>
      <w:r>
        <w:t xml:space="preserve"> </w:t>
      </w:r>
    </w:p>
  </w:footnote>
  <w:footnote w:id="377">
    <w:p w:rsidR="0016168E" w:rsidRDefault="0016168E" w:rsidP="002B6091">
      <w:pPr>
        <w:pStyle w:val="FootnoteText"/>
      </w:pPr>
      <w:r>
        <w:rPr>
          <w:rStyle w:val="FootnoteReference"/>
        </w:rPr>
        <w:footnoteRef/>
      </w:r>
      <w:r>
        <w:t xml:space="preserve"> Her Majesty’s Inspectorate of Constabulary, Stop and Search Powers: Are the police using them effectively and fairly? 2013, available at: </w:t>
      </w:r>
      <w:hyperlink r:id="rId170" w:history="1">
        <w:r w:rsidRPr="0083788E">
          <w:rPr>
            <w:rStyle w:val="Hyperlink"/>
          </w:rPr>
          <w:t>http://www.hmic.gov.uk/publication/stop-and-search-powers-20130709/</w:t>
        </w:r>
      </w:hyperlink>
      <w:r>
        <w:t xml:space="preserve"> </w:t>
      </w:r>
    </w:p>
  </w:footnote>
  <w:footnote w:id="378">
    <w:p w:rsidR="0016168E" w:rsidRDefault="0016168E" w:rsidP="002B6091">
      <w:pPr>
        <w:pStyle w:val="FootnoteText"/>
      </w:pPr>
      <w:r>
        <w:rPr>
          <w:rStyle w:val="FootnoteReference"/>
        </w:rPr>
        <w:footnoteRef/>
      </w:r>
      <w:r>
        <w:t xml:space="preserve"> Equality and Human Rights Commission, Response to the Home Office consultation on police powers of stop and search, available at: </w:t>
      </w:r>
      <w:hyperlink r:id="rId171" w:history="1">
        <w:r w:rsidRPr="0083788E">
          <w:rPr>
            <w:rStyle w:val="Hyperlink"/>
          </w:rPr>
          <w:t>http://www.equalityhumanrights.com/legal-and-policy/our-legal-work/consultation-responses</w:t>
        </w:r>
      </w:hyperlink>
      <w:r>
        <w:t xml:space="preserve"> </w:t>
      </w:r>
    </w:p>
  </w:footnote>
  <w:footnote w:id="379">
    <w:p w:rsidR="0016168E" w:rsidRDefault="0016168E" w:rsidP="002B6091">
      <w:pPr>
        <w:pStyle w:val="FootnoteText"/>
      </w:pPr>
      <w:r>
        <w:rPr>
          <w:rStyle w:val="FootnoteReference"/>
        </w:rPr>
        <w:footnoteRef/>
      </w:r>
      <w:r>
        <w:t xml:space="preserve"> Home Office, Police Powers of Stop and Search Summary of Consultation Responses and Conclusions, available at: </w:t>
      </w:r>
      <w:hyperlink r:id="rId172" w:history="1">
        <w:r w:rsidRPr="0083788E">
          <w:rPr>
            <w:rStyle w:val="Hyperlink"/>
          </w:rPr>
          <w:t>https://www.gov.uk/government/uploads/system/uploads/attachment_data/file/307545/StopSearchConsultationResponse.pdf</w:t>
        </w:r>
      </w:hyperlink>
      <w:r>
        <w:t xml:space="preserve"> </w:t>
      </w:r>
    </w:p>
  </w:footnote>
  <w:footnote w:id="380">
    <w:p w:rsidR="0016168E" w:rsidRDefault="0016168E" w:rsidP="002B6091">
      <w:pPr>
        <w:pStyle w:val="FootnoteText"/>
      </w:pPr>
      <w:r>
        <w:rPr>
          <w:rStyle w:val="FootnoteReference"/>
        </w:rPr>
        <w:footnoteRef/>
      </w:r>
      <w:r>
        <w:t xml:space="preserve"> Home Office, Police Powers of Stop and Search Summary of Consultation Responses and Conclusions, available at: </w:t>
      </w:r>
      <w:hyperlink r:id="rId173" w:history="1">
        <w:r w:rsidRPr="0083788E">
          <w:rPr>
            <w:rStyle w:val="Hyperlink"/>
          </w:rPr>
          <w:t>https://www.gov.uk/government/uploads/system/uploads/attachment_data/file/307545/StopSearchConsultationResponse.pdf</w:t>
        </w:r>
      </w:hyperlink>
      <w:r>
        <w:t xml:space="preserve"> </w:t>
      </w:r>
    </w:p>
  </w:footnote>
  <w:footnote w:id="381">
    <w:p w:rsidR="0016168E" w:rsidRDefault="0016168E" w:rsidP="002B6091">
      <w:pPr>
        <w:pStyle w:val="FootnoteText"/>
      </w:pPr>
      <w:r>
        <w:rPr>
          <w:rStyle w:val="FootnoteReference"/>
        </w:rPr>
        <w:footnoteRef/>
      </w:r>
      <w:r>
        <w:t xml:space="preserve"> This is an unusually extensive power, and we are aware of no similar powers. We have previously suggested that this power should only be used if the person stopped under Schedule 7 is arrested pursuant to Section 41 of the Terrorism Act 2000. Equality and Human Rights Commission, Response to Consultation on the Review of the Operation of Schedule 7, 2012, available at: </w:t>
      </w:r>
      <w:hyperlink r:id="rId174" w:history="1">
        <w:r w:rsidRPr="0083788E">
          <w:rPr>
            <w:rStyle w:val="Hyperlink"/>
          </w:rPr>
          <w:t>http://www.equalityhumanrights.com/sites/default/files/documents/Consultation_responses/ehrc_-_review_of_the_operation_of_schedule_7_consultation_response_6_dec_2012.pdf</w:t>
        </w:r>
      </w:hyperlink>
      <w:r>
        <w:t xml:space="preserve"> </w:t>
      </w:r>
    </w:p>
  </w:footnote>
  <w:footnote w:id="382">
    <w:p w:rsidR="0016168E" w:rsidRDefault="0016168E" w:rsidP="002B6091">
      <w:pPr>
        <w:pStyle w:val="FootnoteText"/>
      </w:pPr>
      <w:r>
        <w:rPr>
          <w:rStyle w:val="FootnoteReference"/>
        </w:rPr>
        <w:footnoteRef/>
      </w:r>
      <w:r>
        <w:t xml:space="preserve"> For example, between April 2009 and March 2012, there were 230,236 examinations pursuant to Schedule 7. Home Office, Review of the Operation of Schedule 7: A Public Consultation, </w:t>
      </w:r>
      <w:r w:rsidRPr="00E53D60">
        <w:t>Annex A: Data on the use of Schedule 7</w:t>
      </w:r>
      <w:r>
        <w:t xml:space="preserve">, available at: </w:t>
      </w:r>
      <w:hyperlink r:id="rId175" w:history="1">
        <w:r w:rsidRPr="0083788E">
          <w:rPr>
            <w:rStyle w:val="Hyperlink"/>
          </w:rPr>
          <w:t>https://www.gov.uk/government/uploads/system/uploads/attachment_data/file/157896/consultation-document.pdf</w:t>
        </w:r>
      </w:hyperlink>
      <w:r>
        <w:t xml:space="preserve"> </w:t>
      </w:r>
    </w:p>
  </w:footnote>
  <w:footnote w:id="383">
    <w:p w:rsidR="0016168E" w:rsidRDefault="0016168E" w:rsidP="002B6091">
      <w:pPr>
        <w:pStyle w:val="FootnoteText"/>
      </w:pPr>
      <w:r>
        <w:rPr>
          <w:rStyle w:val="FootnoteReference"/>
        </w:rPr>
        <w:footnoteRef/>
      </w:r>
      <w:r>
        <w:t xml:space="preserve"> Equality and Human Rights Commission, Briefing Paper 8: An Experimental Analysis of Examinations and Detentions under Schedule 7 of the Terrorism Act 2000, 2013, available at: </w:t>
      </w:r>
      <w:hyperlink r:id="rId176" w:history="1">
        <w:r w:rsidRPr="0083788E">
          <w:rPr>
            <w:rStyle w:val="Hyperlink"/>
          </w:rPr>
          <w:t>http://www.equalityhumanrights.com/publication/briefing-paper-8-experimental-analysis-examinations-and-detentions-under-schedule-7-terrorism-act</w:t>
        </w:r>
      </w:hyperlink>
      <w:r>
        <w:t xml:space="preserve"> </w:t>
      </w:r>
    </w:p>
  </w:footnote>
  <w:footnote w:id="384">
    <w:p w:rsidR="0016168E" w:rsidRDefault="0016168E" w:rsidP="002B6091">
      <w:pPr>
        <w:pStyle w:val="CommentText"/>
        <w:spacing w:after="0"/>
      </w:pPr>
      <w:r>
        <w:rPr>
          <w:rStyle w:val="FootnoteReference"/>
        </w:rPr>
        <w:footnoteRef/>
      </w:r>
      <w:r>
        <w:t xml:space="preserve"> </w:t>
      </w:r>
      <w:r>
        <w:t xml:space="preserve">Home Office, Draft Code of Practice Schedule 7, paragraph 18, available at: </w:t>
      </w:r>
      <w:hyperlink r:id="rId177" w:history="1">
        <w:r w:rsidRPr="00F86A19">
          <w:rPr>
            <w:rStyle w:val="Hyperlink"/>
          </w:rPr>
          <w:t>https://www.gov.uk/government/uploads/system/uploads/attachment_data/file/304300/DraftCodeOfPracticeSch7.pdf</w:t>
        </w:r>
      </w:hyperlink>
    </w:p>
  </w:footnote>
  <w:footnote w:id="385">
    <w:p w:rsidR="0016168E" w:rsidRDefault="0016168E" w:rsidP="002B6091">
      <w:pPr>
        <w:pStyle w:val="FootnoteText"/>
      </w:pPr>
      <w:r>
        <w:rPr>
          <w:rStyle w:val="FootnoteReference"/>
        </w:rPr>
        <w:footnoteRef/>
      </w:r>
      <w:r>
        <w:t xml:space="preserve"> For example see: Independent Reviewer of Terrorism Legislation, Annual Report, July 2014, p.130. Available at: </w:t>
      </w:r>
      <w:hyperlink r:id="rId178" w:history="1">
        <w:r w:rsidRPr="00205A9F">
          <w:rPr>
            <w:rStyle w:val="Hyperlink"/>
          </w:rPr>
          <w:t>https://terrorismlegislationreviewer.independent.gov.uk/wp-content/uploads/2014/07/Independent-Review-of-Terrorism-Report-2014-print2.pdf</w:t>
        </w:r>
      </w:hyperlink>
      <w:r>
        <w:t xml:space="preserve"> and</w:t>
      </w:r>
    </w:p>
    <w:p w:rsidR="0016168E" w:rsidRDefault="0016168E" w:rsidP="002B6091">
      <w:pPr>
        <w:pStyle w:val="FootnoteText"/>
      </w:pPr>
      <w:r>
        <w:t xml:space="preserve">Equality and Human Rights Commission, Response to Consultation on the Review of the Operation of Schedule 7, 2012, available at: </w:t>
      </w:r>
      <w:hyperlink r:id="rId179" w:history="1">
        <w:r w:rsidRPr="0083788E">
          <w:rPr>
            <w:rStyle w:val="Hyperlink"/>
          </w:rPr>
          <w:t>http://www.equalityhumanrights.com/sites/default/files/documents/Consultation_responses/ehrc_-_review_of_the_operation_of_schedule_7_consultation_response_6_dec_2012.pdf</w:t>
        </w:r>
      </w:hyperlink>
    </w:p>
  </w:footnote>
  <w:footnote w:id="386">
    <w:p w:rsidR="0016168E" w:rsidRDefault="0016168E" w:rsidP="002B6091">
      <w:pPr>
        <w:pStyle w:val="FootnoteText"/>
      </w:pPr>
      <w:r>
        <w:rPr>
          <w:rStyle w:val="FootnoteReference"/>
        </w:rPr>
        <w:footnoteRef/>
      </w:r>
      <w:r>
        <w:t xml:space="preserve"> Concluding Observations of the Human Rights Committee for the United Kingdom of Great Britain and Northern Ireland, 30 July 2008, para 29, available at: </w:t>
      </w:r>
      <w:hyperlink r:id="rId180" w:history="1">
        <w:r w:rsidRPr="00C04B66">
          <w:rPr>
            <w:rStyle w:val="Hyperlink"/>
          </w:rPr>
          <w:t>http://tbinternet.ohchr.org/_layouts/treatybodyexternal/Download.aspx?symbolno=CCPR%2fC%2fGBR%2fCO%2f6&amp;Lang=en</w:t>
        </w:r>
      </w:hyperlink>
    </w:p>
  </w:footnote>
  <w:footnote w:id="387">
    <w:p w:rsidR="0016168E" w:rsidRDefault="0016168E" w:rsidP="002B6091">
      <w:pPr>
        <w:pStyle w:val="FootnoteText"/>
      </w:pPr>
      <w:r>
        <w:rPr>
          <w:rStyle w:val="FootnoteReference"/>
        </w:rPr>
        <w:footnoteRef/>
      </w:r>
      <w:r>
        <w:t xml:space="preserve"> </w:t>
      </w:r>
      <w:r w:rsidRPr="00F738F9">
        <w:t>The UK Government amended Schedule 7 and introduced restrictions to the broad power to question and detain, and extend certain safegu</w:t>
      </w:r>
      <w:r>
        <w:t xml:space="preserve">ards to those who are detained through Schedule 8 of the Anti-Social Behaviour, Crime and Policing Act 2014, available at: </w:t>
      </w:r>
      <w:hyperlink r:id="rId181" w:history="1">
        <w:r w:rsidRPr="0083788E">
          <w:rPr>
            <w:rStyle w:val="Hyperlink"/>
          </w:rPr>
          <w:t>http://www.legislation.gov.uk/ukpga/2014/12/contents/enacted</w:t>
        </w:r>
      </w:hyperlink>
      <w:r>
        <w:t xml:space="preserve"> </w:t>
      </w:r>
    </w:p>
  </w:footnote>
  <w:footnote w:id="388">
    <w:p w:rsidR="0016168E" w:rsidRDefault="0016168E" w:rsidP="002B6091">
      <w:pPr>
        <w:pStyle w:val="FootnoteText"/>
      </w:pPr>
      <w:r>
        <w:rPr>
          <w:rStyle w:val="FootnoteReference"/>
        </w:rPr>
        <w:footnoteRef/>
      </w:r>
      <w:r>
        <w:t xml:space="preserve"> Equality and Human Rights Commission, Anti-Social Behaviour, Crime and Policing Bill, Schedule 8, Lords Committee Stage Briefing, 2013, available at: </w:t>
      </w:r>
      <w:hyperlink r:id="rId182" w:history="1">
        <w:r w:rsidRPr="0083788E">
          <w:rPr>
            <w:rStyle w:val="Hyperlink"/>
          </w:rPr>
          <w:t>http://www.equalityhumanrights.com/legal-and-policy/our-legal-work/parliamentary-briefings/anti-social-behaviour-crime-and-policing-bill-schedule-8-lords-committee-stage-briefing</w:t>
        </w:r>
      </w:hyperlink>
      <w:r>
        <w:t xml:space="preserve"> </w:t>
      </w:r>
    </w:p>
  </w:footnote>
  <w:footnote w:id="389">
    <w:p w:rsidR="0016168E" w:rsidRDefault="0016168E" w:rsidP="002B6091">
      <w:pPr>
        <w:pStyle w:val="FootnoteText"/>
      </w:pPr>
      <w:r>
        <w:rPr>
          <w:rStyle w:val="FootnoteReference"/>
        </w:rPr>
        <w:footnoteRef/>
      </w:r>
      <w:r>
        <w:t xml:space="preserve"> </w:t>
      </w:r>
      <w:proofErr w:type="gramStart"/>
      <w:r>
        <w:t>Independent Reviewer of Terrorism Legislation, Annual Report, July 2014, p.130.</w:t>
      </w:r>
      <w:proofErr w:type="gramEnd"/>
      <w:r>
        <w:t xml:space="preserve"> Available at: </w:t>
      </w:r>
      <w:hyperlink r:id="rId183" w:history="1">
        <w:r w:rsidRPr="00205A9F">
          <w:rPr>
            <w:rStyle w:val="Hyperlink"/>
          </w:rPr>
          <w:t>https://terrorismlegislationreviewer.independent.gov.uk/wp-content/uploads/2014/07/Independent-Review-of-Terrorism-Report-2014-print2.pdf</w:t>
        </w:r>
      </w:hyperlink>
    </w:p>
  </w:footnote>
  <w:footnote w:id="390">
    <w:p w:rsidR="0016168E" w:rsidRDefault="0016168E" w:rsidP="002B6091">
      <w:pPr>
        <w:pStyle w:val="FootnoteText"/>
      </w:pPr>
      <w:r>
        <w:rPr>
          <w:rStyle w:val="FootnoteReference"/>
        </w:rPr>
        <w:footnoteRef/>
      </w:r>
      <w:r>
        <w:t xml:space="preserve"> Seventh periodic reports of States parties for the United Kingdom of Great Britain and Northern Ireland, 29 December 2012, para 604-621, available at: </w:t>
      </w:r>
      <w:hyperlink r:id="rId184" w:history="1">
        <w:r w:rsidRPr="00C04B66">
          <w:rPr>
            <w:rStyle w:val="Hyperlink"/>
          </w:rPr>
          <w:t>http://tbinternet.ohchr.org/_layouts/treatybodyexternal/Download.aspx?symbolno=CCPR%2fC%2fGBR%2f7&amp;Lang=en</w:t>
        </w:r>
      </w:hyperlink>
    </w:p>
  </w:footnote>
  <w:footnote w:id="391">
    <w:p w:rsidR="0016168E" w:rsidRDefault="0016168E" w:rsidP="002B6091">
      <w:pPr>
        <w:pStyle w:val="FootnoteText"/>
      </w:pPr>
      <w:r>
        <w:rPr>
          <w:rStyle w:val="FootnoteReference"/>
        </w:rPr>
        <w:footnoteRef/>
      </w:r>
      <w:r>
        <w:t xml:space="preserve"> National Crime Agency, United Kingdom Human Trafficking National Referral Mechanism Statistics 2013, page 2, available at: </w:t>
      </w:r>
      <w:hyperlink r:id="rId185" w:history="1">
        <w:r w:rsidRPr="007364CC">
          <w:rPr>
            <w:rStyle w:val="Hyperlink"/>
          </w:rPr>
          <w:t>http://www.nationalcrimeagency.gov.uk/publications/139-national-referral-mechanism-statistics-2013/file</w:t>
        </w:r>
      </w:hyperlink>
      <w:r>
        <w:t xml:space="preserve"> </w:t>
      </w:r>
    </w:p>
  </w:footnote>
  <w:footnote w:id="392">
    <w:p w:rsidR="0016168E" w:rsidRDefault="0016168E" w:rsidP="002B6091">
      <w:pPr>
        <w:pStyle w:val="FootnoteText"/>
      </w:pPr>
      <w:r>
        <w:rPr>
          <w:rStyle w:val="FootnoteReference"/>
        </w:rPr>
        <w:footnoteRef/>
      </w:r>
      <w:r>
        <w:t xml:space="preserve"> Home Office, Modern Slavery Bill Collection, June 2014, available at: </w:t>
      </w:r>
      <w:hyperlink r:id="rId186" w:history="1">
        <w:r w:rsidRPr="007364CC">
          <w:rPr>
            <w:rStyle w:val="Hyperlink"/>
          </w:rPr>
          <w:t>https://www.gov.uk/government/collections/modern-slavery-bill</w:t>
        </w:r>
      </w:hyperlink>
      <w:r>
        <w:t xml:space="preserve"> </w:t>
      </w:r>
    </w:p>
  </w:footnote>
  <w:footnote w:id="393">
    <w:p w:rsidR="0016168E" w:rsidRDefault="0016168E" w:rsidP="002B6091">
      <w:pPr>
        <w:pStyle w:val="FootnoteText"/>
        <w:rPr>
          <w:szCs w:val="28"/>
        </w:rPr>
      </w:pPr>
      <w:r>
        <w:rPr>
          <w:rStyle w:val="FootnoteReference"/>
        </w:rPr>
        <w:footnoteRef/>
      </w:r>
      <w:r>
        <w:t xml:space="preserve"> </w:t>
      </w:r>
      <w:r w:rsidRPr="009329CE">
        <w:rPr>
          <w:szCs w:val="28"/>
        </w:rPr>
        <w:t>s5</w:t>
      </w:r>
      <w:r>
        <w:rPr>
          <w:szCs w:val="28"/>
        </w:rPr>
        <w:t>9A Sexual Offences Act 2003, s4</w:t>
      </w:r>
      <w:r w:rsidRPr="009329CE">
        <w:rPr>
          <w:szCs w:val="28"/>
        </w:rPr>
        <w:t xml:space="preserve"> Asylum and Immigration (Treatment of Claimants, </w:t>
      </w:r>
      <w:proofErr w:type="spellStart"/>
      <w:r w:rsidRPr="009329CE">
        <w:rPr>
          <w:szCs w:val="28"/>
        </w:rPr>
        <w:t>etc</w:t>
      </w:r>
      <w:proofErr w:type="spellEnd"/>
      <w:r w:rsidRPr="009329CE">
        <w:rPr>
          <w:szCs w:val="28"/>
        </w:rPr>
        <w:t>) Act 2004 and s71 Coroners and Justice Act</w:t>
      </w:r>
      <w:r>
        <w:rPr>
          <w:szCs w:val="28"/>
        </w:rPr>
        <w:t xml:space="preserve"> </w:t>
      </w:r>
      <w:r w:rsidRPr="009329CE">
        <w:rPr>
          <w:szCs w:val="28"/>
        </w:rPr>
        <w:t>2009</w:t>
      </w:r>
    </w:p>
  </w:footnote>
  <w:footnote w:id="394">
    <w:p w:rsidR="0016168E" w:rsidRDefault="0016168E" w:rsidP="002B6091">
      <w:pPr>
        <w:pStyle w:val="FootnoteText"/>
      </w:pPr>
      <w:r>
        <w:rPr>
          <w:rStyle w:val="FootnoteReference"/>
        </w:rPr>
        <w:footnoteRef/>
      </w:r>
      <w:r>
        <w:t xml:space="preserve"> Equality and Human Rights Commission, Briefing on Modern Slavery Bill, Second Reading, July 2014, available at: </w:t>
      </w:r>
      <w:hyperlink r:id="rId187" w:history="1">
        <w:r w:rsidRPr="00217858">
          <w:rPr>
            <w:rStyle w:val="Hyperlink"/>
          </w:rPr>
          <w:t>http://www.equalityhumanrights.com/legal-and-policy/our-legal-work/parliamentary-briefings/modern-slavery-bill</w:t>
        </w:r>
      </w:hyperlink>
      <w:r w:rsidR="008C67B4">
        <w:t xml:space="preserve"> </w:t>
      </w:r>
    </w:p>
  </w:footnote>
  <w:footnote w:id="395">
    <w:p w:rsidR="0016168E" w:rsidRDefault="0016168E" w:rsidP="002B6091">
      <w:pPr>
        <w:pStyle w:val="FootnoteText"/>
      </w:pPr>
      <w:r>
        <w:rPr>
          <w:rStyle w:val="FootnoteReference"/>
        </w:rPr>
        <w:footnoteRef/>
      </w:r>
      <w:r>
        <w:t xml:space="preserve"> Committee on the Rights of the Child, Concluding observations on the report submitted by the United Kingdom of Great Britain and Northern Ireland under article 12, paragraph 1, of the Optional Protocol to the Convention on the Rights of the Child on the sale of children, child prostitution and child pornography, available at: </w:t>
      </w:r>
      <w:hyperlink r:id="rId188" w:history="1">
        <w:r w:rsidRPr="00217858">
          <w:rPr>
            <w:rStyle w:val="Hyperlink"/>
          </w:rPr>
          <w:t>http://www.equalityhumanrights.com/sites/default/files/uploads/UN%20Convention%20on%20rights%20of%20the%20child.pdf</w:t>
        </w:r>
      </w:hyperlink>
      <w:r>
        <w:t xml:space="preserve"> </w:t>
      </w:r>
    </w:p>
  </w:footnote>
  <w:footnote w:id="396">
    <w:p w:rsidR="0016168E" w:rsidRDefault="0016168E" w:rsidP="002B6091">
      <w:pPr>
        <w:pStyle w:val="FootnoteText"/>
      </w:pPr>
      <w:r>
        <w:rPr>
          <w:rStyle w:val="FootnoteReference"/>
        </w:rPr>
        <w:footnoteRef/>
      </w:r>
      <w:r>
        <w:t xml:space="preserve"> For more information about the EHRC’s concerns in relation to the trafficking of children, please see Equality and Human Rights Commission, submission to the Committee on the Rights of the Child on the Optional Protocol on the Sale of the Child, May 2014, available at: </w:t>
      </w:r>
      <w:hyperlink r:id="rId189" w:history="1">
        <w:r w:rsidRPr="007364CC">
          <w:rPr>
            <w:rStyle w:val="Hyperlink"/>
          </w:rPr>
          <w:t>http://www.equalityhumanrights.com/sites/default/files/uploads/Pdfs/uncrc-op_submission_28-04-14.pdf</w:t>
        </w:r>
      </w:hyperlink>
      <w:r>
        <w:t xml:space="preserve"> </w:t>
      </w:r>
    </w:p>
  </w:footnote>
  <w:footnote w:id="397">
    <w:p w:rsidR="0016168E" w:rsidRPr="00EB28E4" w:rsidRDefault="0016168E" w:rsidP="002B6091">
      <w:pPr>
        <w:pStyle w:val="FootnoteText"/>
      </w:pPr>
      <w:r>
        <w:rPr>
          <w:rStyle w:val="FootnoteReference"/>
        </w:rPr>
        <w:footnoteRef/>
      </w:r>
      <w:r>
        <w:t xml:space="preserve"> For example, Article 4 of the European Convention on Human Rights, and the European Directive on Trafficking in Human Beings, available at: </w:t>
      </w:r>
      <w:hyperlink r:id="rId190" w:history="1">
        <w:r w:rsidRPr="007364CC">
          <w:rPr>
            <w:rStyle w:val="Hyperlink"/>
          </w:rPr>
          <w:t>http://eur-lex.europa.eu/LexUriServ/LexUriServ.do?uri=OJ:L:2011:101:0001:0011:EN:PDF</w:t>
        </w:r>
      </w:hyperlink>
      <w:r>
        <w:t xml:space="preserve"> </w:t>
      </w:r>
    </w:p>
  </w:footnote>
  <w:footnote w:id="398">
    <w:p w:rsidR="0016168E" w:rsidRPr="006C21E6" w:rsidRDefault="0016168E" w:rsidP="002B6091">
      <w:pPr>
        <w:pStyle w:val="FootnoteText"/>
      </w:pPr>
      <w:r>
        <w:rPr>
          <w:rStyle w:val="FootnoteReference"/>
        </w:rPr>
        <w:footnoteRef/>
      </w:r>
      <w:r>
        <w:t xml:space="preserve"> T</w:t>
      </w:r>
      <w:r w:rsidRPr="006C21E6">
        <w:t>aking or sending a child outside the UK without appropriate consent</w:t>
      </w:r>
    </w:p>
  </w:footnote>
  <w:footnote w:id="399">
    <w:p w:rsidR="0016168E" w:rsidRPr="00574050" w:rsidRDefault="0016168E" w:rsidP="002B6091">
      <w:pPr>
        <w:pStyle w:val="Default"/>
        <w:rPr>
          <w:rFonts w:eastAsia="Times New Roman"/>
        </w:rPr>
      </w:pPr>
      <w:r>
        <w:rPr>
          <w:rStyle w:val="FootnoteReference"/>
        </w:rPr>
        <w:footnoteRef/>
      </w:r>
      <w:r>
        <w:t xml:space="preserve"> </w:t>
      </w:r>
      <w:r w:rsidRPr="004C08FD">
        <w:rPr>
          <w:rFonts w:ascii="Arial" w:hAnsi="Arial" w:cs="Arial"/>
          <w:sz w:val="20"/>
          <w:szCs w:val="20"/>
        </w:rPr>
        <w:t>Committee on the Rights of the Rights</w:t>
      </w:r>
      <w:r w:rsidRPr="004C08FD">
        <w:rPr>
          <w:rFonts w:ascii="Arial" w:hAnsi="Arial" w:cs="Arial"/>
        </w:rPr>
        <w:t xml:space="preserve">, </w:t>
      </w:r>
      <w:r w:rsidRPr="004C08FD">
        <w:rPr>
          <w:rFonts w:ascii="Arial" w:hAnsi="Arial" w:cs="Arial"/>
          <w:sz w:val="20"/>
          <w:szCs w:val="20"/>
        </w:rPr>
        <w:t xml:space="preserve">Concluding observations </w:t>
      </w:r>
      <w:r>
        <w:rPr>
          <w:rFonts w:ascii="Arial" w:hAnsi="Arial" w:cs="Arial"/>
          <w:sz w:val="20"/>
          <w:szCs w:val="20"/>
        </w:rPr>
        <w:t xml:space="preserve">for the United Kingdom of Great Britain and Northern Ireland on the </w:t>
      </w:r>
      <w:r>
        <w:rPr>
          <w:rFonts w:ascii="Arial" w:hAnsi="Arial" w:cs="Arial"/>
          <w:bCs/>
          <w:sz w:val="20"/>
          <w:szCs w:val="20"/>
        </w:rPr>
        <w:t xml:space="preserve">Optional Protocol </w:t>
      </w:r>
      <w:r w:rsidRPr="004C08FD">
        <w:rPr>
          <w:rFonts w:ascii="Arial" w:hAnsi="Arial" w:cs="Arial"/>
          <w:bCs/>
          <w:sz w:val="20"/>
          <w:szCs w:val="20"/>
        </w:rPr>
        <w:t xml:space="preserve">on the sale of children, child prostitution and child pornography para </w:t>
      </w:r>
      <w:r>
        <w:rPr>
          <w:rFonts w:ascii="Arial" w:hAnsi="Arial" w:cs="Arial"/>
          <w:bCs/>
          <w:sz w:val="20"/>
          <w:szCs w:val="20"/>
        </w:rPr>
        <w:t>–</w:t>
      </w:r>
      <w:r w:rsidRPr="004C08FD">
        <w:rPr>
          <w:rFonts w:ascii="Arial" w:hAnsi="Arial" w:cs="Arial"/>
          <w:bCs/>
          <w:sz w:val="20"/>
          <w:szCs w:val="20"/>
        </w:rPr>
        <w:t xml:space="preserve"> 29</w:t>
      </w:r>
      <w:r>
        <w:rPr>
          <w:rFonts w:ascii="Arial" w:hAnsi="Arial" w:cs="Arial"/>
          <w:bCs/>
          <w:sz w:val="20"/>
          <w:szCs w:val="20"/>
        </w:rPr>
        <w:t xml:space="preserve">, available at </w:t>
      </w:r>
      <w:hyperlink r:id="rId191" w:history="1">
        <w:r w:rsidRPr="00217858">
          <w:rPr>
            <w:rStyle w:val="Hyperlink"/>
            <w:rFonts w:ascii="Arial" w:hAnsi="Arial" w:cs="Arial"/>
            <w:bCs/>
            <w:sz w:val="20"/>
            <w:szCs w:val="20"/>
          </w:rPr>
          <w:t>http://www.equalityhumanrights.com/sites/default/files/uploads/UN%20Convention%20on%20rights%20of%20the%20child.pdf</w:t>
        </w:r>
      </w:hyperlink>
      <w:r>
        <w:rPr>
          <w:rFonts w:ascii="Arial" w:hAnsi="Arial" w:cs="Arial"/>
          <w:bCs/>
          <w:sz w:val="20"/>
          <w:szCs w:val="20"/>
        </w:rPr>
        <w:t xml:space="preserve"> </w:t>
      </w:r>
    </w:p>
  </w:footnote>
  <w:footnote w:id="400">
    <w:p w:rsidR="0016168E" w:rsidRPr="008E1130" w:rsidRDefault="0016168E" w:rsidP="002B6091">
      <w:pPr>
        <w:pStyle w:val="FootnoteText"/>
      </w:pPr>
      <w:r>
        <w:rPr>
          <w:rStyle w:val="FootnoteReference"/>
        </w:rPr>
        <w:footnoteRef/>
      </w:r>
      <w:r>
        <w:t xml:space="preserve"> </w:t>
      </w:r>
      <w:r>
        <w:rPr>
          <w:rFonts w:cs="Arial"/>
          <w:szCs w:val="28"/>
        </w:rPr>
        <w:t>A</w:t>
      </w:r>
      <w:r w:rsidRPr="00713C5D">
        <w:rPr>
          <w:rFonts w:cs="Arial"/>
          <w:szCs w:val="28"/>
        </w:rPr>
        <w:t>rticle 2(4)</w:t>
      </w:r>
    </w:p>
  </w:footnote>
  <w:footnote w:id="401">
    <w:p w:rsidR="0016168E" w:rsidRDefault="0016168E" w:rsidP="002B6091">
      <w:pPr>
        <w:pStyle w:val="FootnoteText"/>
      </w:pPr>
      <w:r>
        <w:rPr>
          <w:rStyle w:val="FootnoteReference"/>
        </w:rPr>
        <w:footnoteRef/>
      </w:r>
      <w:r>
        <w:t xml:space="preserve"> Council of Europe Directive on the trafficking of human beings, </w:t>
      </w:r>
      <w:r w:rsidRPr="00BD4132">
        <w:t>paragraph 12 o</w:t>
      </w:r>
      <w:r>
        <w:t>f the preamble: o</w:t>
      </w:r>
      <w:r w:rsidRPr="00BD4132">
        <w:t xml:space="preserve">ther factors relevant to assessing vulnerability include: gender, pregnancy, state of health and disability. </w:t>
      </w:r>
      <w:r>
        <w:t xml:space="preserve">Available at: </w:t>
      </w:r>
      <w:hyperlink r:id="rId192" w:history="1">
        <w:r w:rsidRPr="00205A9F">
          <w:rPr>
            <w:rStyle w:val="Hyperlink"/>
          </w:rPr>
          <w:t>http://eur-lex.europa.eu/LexUriServ/LexUriServ.do?uri=OJ:L:2011:101:0001:0011:EN:PDF</w:t>
        </w:r>
      </w:hyperlink>
      <w:r w:rsidR="008C67B4">
        <w:t xml:space="preserve"> </w:t>
      </w:r>
    </w:p>
    <w:p w:rsidR="0016168E" w:rsidRPr="00BD4132" w:rsidRDefault="0016168E" w:rsidP="002B6091">
      <w:pPr>
        <w:pStyle w:val="FootnoteText"/>
      </w:pPr>
      <w:r w:rsidRPr="00BD4132">
        <w:t>Explanatory report to Council of Europe Convention against the Trafficking of Human Beings 2005 para 83 “The vulnerability may be of any kind, whether physical, psychological, emotional, family related, social or economic. The situation might, for example, involve insecurity or illegality of the victim’s administrative status, economic dependence or fragile health....”</w:t>
      </w:r>
      <w:r>
        <w:t xml:space="preserve"> Available at: </w:t>
      </w:r>
      <w:hyperlink r:id="rId193" w:history="1">
        <w:r w:rsidRPr="00205A9F">
          <w:rPr>
            <w:rStyle w:val="Hyperlink"/>
          </w:rPr>
          <w:t>http://conventions.coe.int/Treaty/EN/Reports/Html/197.htm</w:t>
        </w:r>
      </w:hyperlink>
      <w:r>
        <w:t xml:space="preserve"> </w:t>
      </w:r>
    </w:p>
  </w:footnote>
  <w:footnote w:id="402">
    <w:p w:rsidR="0016168E" w:rsidRPr="00574050" w:rsidRDefault="0016168E" w:rsidP="002B6091">
      <w:pPr>
        <w:pStyle w:val="FootnoteText"/>
      </w:pPr>
      <w:r>
        <w:rPr>
          <w:rStyle w:val="FootnoteReference"/>
        </w:rPr>
        <w:footnoteRef/>
      </w:r>
      <w:r>
        <w:t xml:space="preserve"> </w:t>
      </w:r>
      <w:r w:rsidRPr="00574050">
        <w:t>Concluding observations of UNCRC on</w:t>
      </w:r>
      <w:r w:rsidR="008C67B4">
        <w:t xml:space="preserve"> </w:t>
      </w:r>
      <w:r w:rsidRPr="00574050">
        <w:rPr>
          <w:bCs/>
          <w:color w:val="000000"/>
          <w:lang w:eastAsia="en-GB"/>
        </w:rPr>
        <w:t>Optional Protocol to the Convention on the Rights of the Child on the sale of children, child prostitution and child pornography</w:t>
      </w:r>
      <w:r>
        <w:rPr>
          <w:bCs/>
          <w:color w:val="000000"/>
          <w:lang w:eastAsia="en-GB"/>
        </w:rPr>
        <w:t xml:space="preserve"> – paras 30 and 31, available at: </w:t>
      </w:r>
      <w:hyperlink r:id="rId194" w:history="1">
        <w:r w:rsidRPr="00217858">
          <w:rPr>
            <w:rStyle w:val="Hyperlink"/>
            <w:bCs/>
            <w:lang w:eastAsia="en-GB"/>
          </w:rPr>
          <w:t>http://www.equalityhumanrights.com/sites/default/files/uploads/UN%20Convention%20on%20rights%20of%20the%20child.pdf</w:t>
        </w:r>
      </w:hyperlink>
    </w:p>
  </w:footnote>
  <w:footnote w:id="403">
    <w:p w:rsidR="0016168E" w:rsidRPr="00C879AE" w:rsidRDefault="0016168E" w:rsidP="002B6091">
      <w:pPr>
        <w:pStyle w:val="FootnoteText"/>
      </w:pPr>
      <w:r>
        <w:rPr>
          <w:rStyle w:val="FootnoteReference"/>
        </w:rPr>
        <w:footnoteRef/>
      </w:r>
      <w:r>
        <w:t xml:space="preserve"> Joseph Rowntree Foundation “Forced Labour and UK Immigration Policy: Status matters,” 2011, available at: </w:t>
      </w:r>
      <w:hyperlink r:id="rId195" w:history="1">
        <w:r w:rsidRPr="00217858">
          <w:rPr>
            <w:rStyle w:val="Hyperlink"/>
          </w:rPr>
          <w:t>http://www.jrf.org.uk/sites/files/jrf/forced-labour-immigration-status-full.pdf</w:t>
        </w:r>
      </w:hyperlink>
      <w:r>
        <w:t xml:space="preserve"> </w:t>
      </w:r>
    </w:p>
  </w:footnote>
  <w:footnote w:id="404">
    <w:p w:rsidR="0016168E" w:rsidRPr="00AC7D21" w:rsidRDefault="0016168E" w:rsidP="002B6091">
      <w:pPr>
        <w:pStyle w:val="FootnoteText"/>
      </w:pPr>
      <w:r>
        <w:rPr>
          <w:rStyle w:val="FootnoteReference"/>
        </w:rPr>
        <w:footnoteRef/>
      </w:r>
      <w:r w:rsidR="008C67B4">
        <w:t xml:space="preserve"> </w:t>
      </w:r>
      <w:r>
        <w:t xml:space="preserve">As required by </w:t>
      </w:r>
      <w:r w:rsidRPr="00AC7D21">
        <w:t>Preamble 11 and article 2(5) – the Anti</w:t>
      </w:r>
      <w:r>
        <w:t>-</w:t>
      </w:r>
      <w:r w:rsidRPr="00AC7D21">
        <w:t>Trafficking Directive</w:t>
      </w:r>
      <w:r w:rsidRPr="00BD4132">
        <w:t xml:space="preserve"> </w:t>
      </w:r>
      <w:r>
        <w:t xml:space="preserve">and the </w:t>
      </w:r>
      <w:r w:rsidRPr="00BD4132">
        <w:t>Protocol to Prevent, Suppress and Punish Trafficking in Persons, especially Women and Children</w:t>
      </w:r>
    </w:p>
  </w:footnote>
  <w:footnote w:id="405">
    <w:p w:rsidR="0016168E" w:rsidRPr="00574050" w:rsidRDefault="0016168E" w:rsidP="002B6091">
      <w:pPr>
        <w:pStyle w:val="FootnoteText"/>
      </w:pPr>
      <w:r>
        <w:rPr>
          <w:rStyle w:val="FootnoteReference"/>
        </w:rPr>
        <w:footnoteRef/>
      </w:r>
      <w:r>
        <w:t xml:space="preserve"> </w:t>
      </w:r>
      <w:r w:rsidRPr="00574050">
        <w:t>Concluding observations of UNCRC on</w:t>
      </w:r>
      <w:r w:rsidR="008C67B4">
        <w:t xml:space="preserve"> </w:t>
      </w:r>
      <w:r w:rsidRPr="00574050">
        <w:rPr>
          <w:bCs/>
          <w:color w:val="000000"/>
          <w:lang w:eastAsia="en-GB"/>
        </w:rPr>
        <w:t xml:space="preserve">Optional Protocol to the Convention on the Rights of the Child on the sale of children, child prostitution </w:t>
      </w:r>
      <w:r w:rsidRPr="009B245A">
        <w:rPr>
          <w:bCs/>
          <w:color w:val="000000"/>
          <w:lang w:eastAsia="en-GB"/>
        </w:rPr>
        <w:t xml:space="preserve">and child </w:t>
      </w:r>
      <w:r w:rsidRPr="00323013">
        <w:rPr>
          <w:bCs/>
          <w:color w:val="000000"/>
          <w:lang w:eastAsia="en-GB"/>
        </w:rPr>
        <w:t>pornography; para</w:t>
      </w:r>
      <w:r w:rsidRPr="009B245A">
        <w:rPr>
          <w:bCs/>
          <w:color w:val="000000"/>
          <w:lang w:eastAsia="en-GB"/>
        </w:rPr>
        <w:t xml:space="preserve"> 29</w:t>
      </w:r>
      <w:r>
        <w:rPr>
          <w:bCs/>
          <w:color w:val="000000"/>
          <w:lang w:eastAsia="en-GB"/>
        </w:rPr>
        <w:t xml:space="preserve">, available at: </w:t>
      </w:r>
      <w:hyperlink r:id="rId196" w:history="1">
        <w:r w:rsidRPr="00217858">
          <w:rPr>
            <w:rStyle w:val="Hyperlink"/>
            <w:bCs/>
            <w:lang w:eastAsia="en-GB"/>
          </w:rPr>
          <w:t>http://www.equalityhumanrights.com/sites/default/files/uploads/UN%20Convention%20on%20rights%20of%20the%20child.pdf</w:t>
        </w:r>
      </w:hyperlink>
      <w:r>
        <w:rPr>
          <w:bCs/>
          <w:color w:val="000000"/>
          <w:lang w:eastAsia="en-GB"/>
        </w:rPr>
        <w:t xml:space="preserve"> </w:t>
      </w:r>
    </w:p>
  </w:footnote>
  <w:footnote w:id="406">
    <w:p w:rsidR="0016168E" w:rsidRPr="00602041" w:rsidRDefault="0016168E" w:rsidP="002B6091">
      <w:pPr>
        <w:pStyle w:val="FootnoteText"/>
      </w:pPr>
      <w:r>
        <w:rPr>
          <w:rStyle w:val="FootnoteReference"/>
        </w:rPr>
        <w:footnoteRef/>
      </w:r>
      <w:r>
        <w:t xml:space="preserve"> </w:t>
      </w:r>
      <w:r w:rsidRPr="00B6311B">
        <w:t xml:space="preserve">APPG </w:t>
      </w:r>
      <w:r>
        <w:t xml:space="preserve">for Runaway and Missing Children, and the APPG for Looked After Children, “Report into children who go missing from care” 2012, available at: </w:t>
      </w:r>
      <w:hyperlink r:id="rId197" w:history="1">
        <w:r w:rsidRPr="006959F2">
          <w:rPr>
            <w:rStyle w:val="Hyperlink"/>
          </w:rPr>
          <w:t>https://www.gov.uk/government/uploads/system/uploads/attachment_data/file/175563/Report_-_children_who_go_missing_from_care.pdf</w:t>
        </w:r>
      </w:hyperlink>
      <w:r>
        <w:t xml:space="preserve"> </w:t>
      </w:r>
    </w:p>
  </w:footnote>
  <w:footnote w:id="407">
    <w:p w:rsidR="0016168E" w:rsidRPr="00555DEA" w:rsidRDefault="0016168E" w:rsidP="002B6091">
      <w:pPr>
        <w:pStyle w:val="FootnoteText"/>
      </w:pPr>
      <w:r w:rsidRPr="00555DEA">
        <w:rPr>
          <w:rStyle w:val="FootnoteReference"/>
        </w:rPr>
        <w:footnoteRef/>
      </w:r>
      <w:r w:rsidRPr="00555DEA">
        <w:t xml:space="preserve"> Article 2(1) of </w:t>
      </w:r>
      <w:r>
        <w:t>Directive 2011/36/EU – the Anti-</w:t>
      </w:r>
      <w:r w:rsidRPr="00555DEA">
        <w:t>Trafficking Directive</w:t>
      </w:r>
    </w:p>
  </w:footnote>
  <w:footnote w:id="408">
    <w:p w:rsidR="0016168E" w:rsidRPr="00323013" w:rsidRDefault="0016168E" w:rsidP="002B6091">
      <w:pPr>
        <w:pStyle w:val="FootnoteText"/>
      </w:pPr>
      <w:r w:rsidRPr="009A5B09">
        <w:rPr>
          <w:rStyle w:val="FootnoteReference"/>
          <w:rFonts w:cs="Arial"/>
        </w:rPr>
        <w:footnoteRef/>
      </w:r>
      <w:r w:rsidR="008C67B4">
        <w:rPr>
          <w:rFonts w:cs="Arial"/>
        </w:rPr>
        <w:t xml:space="preserve"> </w:t>
      </w:r>
      <w:r w:rsidRPr="00323013">
        <w:t xml:space="preserve">CEOP (2010) Strategic threat Assessment Child Trafficking in UK paragraph 10.4. Available at: </w:t>
      </w:r>
      <w:hyperlink r:id="rId198" w:history="1">
        <w:r w:rsidRPr="00323013">
          <w:rPr>
            <w:rStyle w:val="Hyperlink"/>
          </w:rPr>
          <w:t>http://www.ceop.police.uk/Documents/ceopdocs/Child_Trafficking_Strategic_Threat_Assessment_2010_NPM_Final.pdf</w:t>
        </w:r>
      </w:hyperlink>
      <w:r w:rsidRPr="00323013">
        <w:tab/>
      </w:r>
    </w:p>
  </w:footnote>
  <w:footnote w:id="409">
    <w:p w:rsidR="0016168E" w:rsidRPr="00574050" w:rsidRDefault="0016168E" w:rsidP="002B6091">
      <w:pPr>
        <w:pStyle w:val="FootnoteText"/>
      </w:pPr>
      <w:r>
        <w:rPr>
          <w:rStyle w:val="FootnoteReference"/>
        </w:rPr>
        <w:footnoteRef/>
      </w:r>
      <w:r>
        <w:t xml:space="preserve"> </w:t>
      </w:r>
      <w:r w:rsidRPr="00574050">
        <w:t>Concluding observations of UNCRC on</w:t>
      </w:r>
      <w:r w:rsidR="008C67B4">
        <w:t xml:space="preserve"> </w:t>
      </w:r>
      <w:r w:rsidRPr="00574050">
        <w:rPr>
          <w:bCs/>
          <w:color w:val="000000"/>
          <w:lang w:eastAsia="en-GB"/>
        </w:rPr>
        <w:t>Optional Protocol on the sale of children, child prostitution and child pornography</w:t>
      </w:r>
      <w:r>
        <w:rPr>
          <w:bCs/>
          <w:color w:val="000000"/>
          <w:lang w:eastAsia="en-GB"/>
        </w:rPr>
        <w:t xml:space="preserve"> </w:t>
      </w:r>
      <w:r w:rsidRPr="00323013">
        <w:rPr>
          <w:bCs/>
          <w:color w:val="000000"/>
          <w:lang w:eastAsia="en-GB"/>
        </w:rPr>
        <w:t>paras 38 -41</w:t>
      </w:r>
      <w:r>
        <w:rPr>
          <w:bCs/>
          <w:color w:val="000000"/>
          <w:lang w:eastAsia="en-GB"/>
        </w:rPr>
        <w:t xml:space="preserve"> available at: </w:t>
      </w:r>
      <w:hyperlink r:id="rId199" w:history="1">
        <w:r w:rsidRPr="00217858">
          <w:rPr>
            <w:rStyle w:val="Hyperlink"/>
            <w:bCs/>
            <w:lang w:eastAsia="en-GB"/>
          </w:rPr>
          <w:t>http://www.equalityhumanrights.com/sites/default/files/uploads/UN%20Convention%20on%20rights%20of%20the%20child.pdf</w:t>
        </w:r>
      </w:hyperlink>
      <w:r>
        <w:rPr>
          <w:bCs/>
          <w:color w:val="000000"/>
          <w:lang w:eastAsia="en-GB"/>
        </w:rPr>
        <w:t xml:space="preserve"> </w:t>
      </w:r>
    </w:p>
  </w:footnote>
  <w:footnote w:id="410">
    <w:p w:rsidR="0016168E" w:rsidRPr="004922E0" w:rsidRDefault="0016168E" w:rsidP="002B6091">
      <w:pPr>
        <w:pStyle w:val="FootnoteText"/>
      </w:pPr>
      <w:r>
        <w:rPr>
          <w:rStyle w:val="FootnoteReference"/>
        </w:rPr>
        <w:footnoteRef/>
      </w:r>
      <w:r>
        <w:t xml:space="preserve"> </w:t>
      </w:r>
      <w:r w:rsidRPr="004922E0">
        <w:t>Concluding observations of UNCRC on</w:t>
      </w:r>
      <w:r w:rsidR="008C67B4">
        <w:t xml:space="preserve"> </w:t>
      </w:r>
      <w:r w:rsidRPr="004922E0">
        <w:t xml:space="preserve">Optional on the sale of children, child prostitution and child </w:t>
      </w:r>
      <w:r w:rsidRPr="00323013">
        <w:t>pornography paras 38-39</w:t>
      </w:r>
      <w:r>
        <w:t xml:space="preserve"> available at: </w:t>
      </w:r>
      <w:hyperlink r:id="rId200" w:history="1">
        <w:r w:rsidRPr="00217858">
          <w:rPr>
            <w:rStyle w:val="Hyperlink"/>
            <w:bCs/>
            <w:lang w:eastAsia="en-GB"/>
          </w:rPr>
          <w:t>http://www.equalityhumanrights.com/sites/default/files/uploads/UN%20Convention%20on%20rights%20of%20the%20child.pdf</w:t>
        </w:r>
      </w:hyperlink>
      <w:r>
        <w:rPr>
          <w:bCs/>
          <w:color w:val="000000"/>
          <w:lang w:eastAsia="en-GB"/>
        </w:rPr>
        <w:t xml:space="preserve"> </w:t>
      </w:r>
    </w:p>
  </w:footnote>
  <w:footnote w:id="411">
    <w:p w:rsidR="0016168E" w:rsidRPr="00C12125" w:rsidRDefault="0016168E" w:rsidP="002B6091">
      <w:pPr>
        <w:pStyle w:val="FootnoteText"/>
      </w:pPr>
      <w:r>
        <w:rPr>
          <w:rStyle w:val="FootnoteReference"/>
        </w:rPr>
        <w:footnoteRef/>
      </w:r>
      <w:r>
        <w:t xml:space="preserve"> Draft Modern Day Slavery Bill Joint Committee Report - </w:t>
      </w:r>
      <w:hyperlink r:id="rId201" w:history="1">
        <w:r w:rsidRPr="001178A1">
          <w:rPr>
            <w:rStyle w:val="Hyperlink"/>
          </w:rPr>
          <w:t>http://www.publications.parliament.uk/pa/jt201314/jtselect/jtslavery/166/16602.htm</w:t>
        </w:r>
      </w:hyperlink>
      <w:r>
        <w:t xml:space="preserve">; Modern Slavery Evidence Review </w:t>
      </w:r>
      <w:hyperlink r:id="rId202" w:history="1">
        <w:r w:rsidRPr="00217858">
          <w:rPr>
            <w:rStyle w:val="Hyperlink"/>
          </w:rPr>
          <w:t>http://www.frankfield.com/upload/docs/Modern%20Slavery%20Bill%20Evidence%20Review.pdf</w:t>
        </w:r>
      </w:hyperlink>
      <w:r>
        <w:t xml:space="preserve"> </w:t>
      </w:r>
    </w:p>
  </w:footnote>
  <w:footnote w:id="412">
    <w:p w:rsidR="0016168E" w:rsidRPr="00C12125" w:rsidRDefault="0016168E" w:rsidP="002B6091">
      <w:pPr>
        <w:pStyle w:val="FootnoteText"/>
      </w:pPr>
      <w:r>
        <w:rPr>
          <w:rStyle w:val="FootnoteReference"/>
        </w:rPr>
        <w:footnoteRef/>
      </w:r>
      <w:r>
        <w:t xml:space="preserve"> </w:t>
      </w:r>
      <w:r w:rsidRPr="004922E0">
        <w:t xml:space="preserve">CPS (2011) CPS Policy for Prosecuting Cases of Human Trafficking. Available at: </w:t>
      </w:r>
      <w:hyperlink r:id="rId203" w:history="1">
        <w:r w:rsidRPr="007364CC">
          <w:rPr>
            <w:rStyle w:val="Hyperlink"/>
          </w:rPr>
          <w:t>http://www.cps.gov.uk/publications/docs/policy_for_prosecuting_cases_of_human_trafficking.pdf</w:t>
        </w:r>
      </w:hyperlink>
      <w:r>
        <w:t xml:space="preserve"> </w:t>
      </w:r>
    </w:p>
  </w:footnote>
  <w:footnote w:id="413">
    <w:p w:rsidR="0016168E" w:rsidRDefault="0016168E" w:rsidP="002B6091">
      <w:pPr>
        <w:pStyle w:val="FootnoteText"/>
      </w:pPr>
      <w:r>
        <w:rPr>
          <w:rStyle w:val="FootnoteReference"/>
        </w:rPr>
        <w:footnoteRef/>
      </w:r>
      <w:r w:rsidR="008C67B4">
        <w:t xml:space="preserve"> </w:t>
      </w:r>
      <w:r>
        <w:t xml:space="preserve">Equality and Human Rights Commission and Northern Ireland Human Rights Commission, Joint Statement to the UN Human Rights Council on the Report of the UN Special Rapporteur on Trafficking, especially in Women and Children, June 2014, available at: </w:t>
      </w:r>
      <w:hyperlink r:id="rId204" w:history="1">
        <w:r w:rsidRPr="006959F2">
          <w:rPr>
            <w:rStyle w:val="Hyperlink"/>
          </w:rPr>
          <w:t>http://www.equalityhumanrights.com/about-us/our-work/human-rights/international-framework/international-news-updates/joint-statement-human-rights-council-trafficking</w:t>
        </w:r>
      </w:hyperlink>
      <w:r>
        <w:t xml:space="preserve"> </w:t>
      </w:r>
    </w:p>
  </w:footnote>
  <w:footnote w:id="414">
    <w:p w:rsidR="0016168E" w:rsidRPr="00FE27B8" w:rsidRDefault="0016168E" w:rsidP="002B6091">
      <w:pPr>
        <w:pStyle w:val="FootnoteText"/>
      </w:pPr>
      <w:r>
        <w:rPr>
          <w:rStyle w:val="FootnoteReference"/>
        </w:rPr>
        <w:footnoteRef/>
      </w:r>
      <w:r>
        <w:t xml:space="preserve"> Equality and Human Rights Commission (2011) 'Inquiry into Human Trafficking in Scotland, available at: </w:t>
      </w:r>
      <w:hyperlink r:id="rId205" w:history="1">
        <w:r>
          <w:rPr>
            <w:rStyle w:val="Hyperlink"/>
          </w:rPr>
          <w:t>http://www.equalityhumanrights.com/uploaded_files/Scotland/Human_Trafficking_in_Scotland_/inquiry_into_human_trafficking_in_scotland-exec-sum_pdf_.pdf</w:t>
        </w:r>
      </w:hyperlink>
      <w:r w:rsidR="008C67B4">
        <w:t xml:space="preserve">  </w:t>
      </w:r>
      <w:r>
        <w:t xml:space="preserve"> </w:t>
      </w:r>
    </w:p>
  </w:footnote>
  <w:footnote w:id="415">
    <w:p w:rsidR="0016168E" w:rsidRPr="00003998" w:rsidRDefault="0016168E" w:rsidP="002B6091">
      <w:pPr>
        <w:pStyle w:val="FootnoteText"/>
      </w:pPr>
      <w:r>
        <w:rPr>
          <w:rStyle w:val="FootnoteReference"/>
        </w:rPr>
        <w:footnoteRef/>
      </w:r>
      <w:r>
        <w:t xml:space="preserve"> credible suspicion being the trigger CN v UK Application no. 4239/08</w:t>
      </w:r>
    </w:p>
  </w:footnote>
  <w:footnote w:id="416">
    <w:p w:rsidR="0016168E" w:rsidRDefault="0016168E" w:rsidP="002B6091">
      <w:pPr>
        <w:pStyle w:val="FootnoteText"/>
      </w:pPr>
      <w:r>
        <w:rPr>
          <w:rStyle w:val="FootnoteReference"/>
        </w:rPr>
        <w:footnoteRef/>
      </w:r>
      <w:r>
        <w:t xml:space="preserve"> </w:t>
      </w:r>
      <w:r>
        <w:rPr>
          <w:rFonts w:cs="Arial"/>
          <w:color w:val="000000" w:themeColor="text1"/>
          <w:szCs w:val="28"/>
        </w:rPr>
        <w:t xml:space="preserve">Report of the Modern Slavery Bill Evidence Review, 2014, available at: </w:t>
      </w:r>
      <w:r w:rsidRPr="00EF0D3E">
        <w:rPr>
          <w:rFonts w:cs="Arial"/>
          <w:color w:val="000000" w:themeColor="text1"/>
          <w:szCs w:val="28"/>
        </w:rPr>
        <w:t>http://www.frankfield.com/upload/docs/Modern%20Slavery%20Bill%20Evidence%20Review.pdf</w:t>
      </w:r>
    </w:p>
  </w:footnote>
  <w:footnote w:id="417">
    <w:p w:rsidR="0016168E" w:rsidRDefault="0016168E" w:rsidP="002B6091">
      <w:pPr>
        <w:pStyle w:val="FootnoteText"/>
      </w:pPr>
      <w:r>
        <w:rPr>
          <w:rStyle w:val="FootnoteReference"/>
        </w:rPr>
        <w:footnoteRef/>
      </w:r>
      <w:r>
        <w:t xml:space="preserve"> The State touches on two aspects of the right to privacy – phone tapping and the retention of biometric information in its Seventh periodic reports of States parties for the United Kingdom of Great Britain and Northern Ireland, 29 December 2012, para 966-995, available at: </w:t>
      </w:r>
      <w:hyperlink r:id="rId206" w:history="1">
        <w:r w:rsidRPr="00C04B66">
          <w:rPr>
            <w:rStyle w:val="Hyperlink"/>
          </w:rPr>
          <w:t>http://tbinternet.ohchr.org/_layouts/treatybodyexternal/Download.aspx?symbolno=CCPR%2fC%2fGBR%2f7&amp;Lang=en</w:t>
        </w:r>
      </w:hyperlink>
    </w:p>
  </w:footnote>
  <w:footnote w:id="418">
    <w:p w:rsidR="0016168E" w:rsidRDefault="0016168E" w:rsidP="002B6091">
      <w:pPr>
        <w:pStyle w:val="FootnoteText"/>
      </w:pPr>
      <w:r>
        <w:rPr>
          <w:rStyle w:val="FootnoteReference"/>
        </w:rPr>
        <w:footnoteRef/>
      </w:r>
      <w:r>
        <w:t xml:space="preserve"> Set out in Article 8(2).</w:t>
      </w:r>
    </w:p>
  </w:footnote>
  <w:footnote w:id="419">
    <w:p w:rsidR="0016168E" w:rsidRDefault="0016168E" w:rsidP="002B6091">
      <w:pPr>
        <w:pStyle w:val="FootnoteText"/>
      </w:pPr>
      <w:r>
        <w:rPr>
          <w:rStyle w:val="FootnoteReference"/>
        </w:rPr>
        <w:footnoteRef/>
      </w:r>
      <w:r>
        <w:t xml:space="preserve"> Human Rights Committee, </w:t>
      </w:r>
      <w:r w:rsidRPr="005451D1">
        <w:t>Concluding observations o</w:t>
      </w:r>
      <w:r>
        <w:t>n</w:t>
      </w:r>
      <w:r w:rsidRPr="005451D1">
        <w:t xml:space="preserve"> the </w:t>
      </w:r>
      <w:r>
        <w:t xml:space="preserve">fourth periodic report of the United States of America, 2014, paragraph 22, available at: </w:t>
      </w:r>
      <w:hyperlink r:id="rId207" w:history="1">
        <w:r w:rsidRPr="0083788E">
          <w:rPr>
            <w:rStyle w:val="Hyperlink"/>
          </w:rPr>
          <w:t>http://tbinternet.ohchr.org/_layouts/treatybodyexternal/Download.aspx?symbolno=CCPR%2fC%2fUSA%2fCO%2f4&amp;Lang=en</w:t>
        </w:r>
      </w:hyperlink>
      <w:r>
        <w:t xml:space="preserve"> </w:t>
      </w:r>
    </w:p>
  </w:footnote>
  <w:footnote w:id="420">
    <w:p w:rsidR="0016168E" w:rsidRDefault="0016168E" w:rsidP="002B6091">
      <w:pPr>
        <w:pStyle w:val="FootnoteText"/>
      </w:pPr>
      <w:r>
        <w:rPr>
          <w:rStyle w:val="FootnoteReference"/>
        </w:rPr>
        <w:footnoteRef/>
      </w:r>
      <w:r>
        <w:t xml:space="preserve"> Equality and Human Rights Commission, Human Rights Review, Article 8, available at: </w:t>
      </w:r>
      <w:hyperlink r:id="rId208" w:history="1">
        <w:r w:rsidRPr="0083788E">
          <w:rPr>
            <w:rStyle w:val="Hyperlink"/>
          </w:rPr>
          <w:t>http://www.equalityhumanrights.com/sites/default/files/documents/humanrights/hrr_article_8.pdf</w:t>
        </w:r>
      </w:hyperlink>
      <w:r>
        <w:t xml:space="preserve"> </w:t>
      </w:r>
    </w:p>
  </w:footnote>
  <w:footnote w:id="421">
    <w:p w:rsidR="0016168E" w:rsidRDefault="0016168E" w:rsidP="002B6091">
      <w:pPr>
        <w:pStyle w:val="FootnoteText"/>
      </w:pPr>
      <w:r>
        <w:rPr>
          <w:rStyle w:val="FootnoteReference"/>
        </w:rPr>
        <w:footnoteRef/>
      </w:r>
      <w:r>
        <w:t xml:space="preserve"> Data Protection Act 1998, available at: </w:t>
      </w:r>
      <w:hyperlink r:id="rId209" w:history="1">
        <w:r w:rsidRPr="0083788E">
          <w:rPr>
            <w:rStyle w:val="Hyperlink"/>
          </w:rPr>
          <w:t>http://www.legislation.gov.uk/ukpga/1998/29/contents</w:t>
        </w:r>
      </w:hyperlink>
      <w:r>
        <w:t xml:space="preserve"> </w:t>
      </w:r>
    </w:p>
  </w:footnote>
  <w:footnote w:id="422">
    <w:p w:rsidR="0016168E" w:rsidRDefault="0016168E" w:rsidP="002B6091">
      <w:pPr>
        <w:pStyle w:val="FootnoteText"/>
      </w:pPr>
      <w:r>
        <w:rPr>
          <w:rStyle w:val="FootnoteReference"/>
        </w:rPr>
        <w:footnoteRef/>
      </w:r>
      <w:r>
        <w:t xml:space="preserve"> </w:t>
      </w:r>
      <w:r w:rsidRPr="00234984">
        <w:t>Regulation of Investigatory Powers Act 2000</w:t>
      </w:r>
      <w:r>
        <w:t xml:space="preserve">, available at: </w:t>
      </w:r>
      <w:hyperlink r:id="rId210" w:history="1">
        <w:r w:rsidRPr="0083788E">
          <w:rPr>
            <w:rStyle w:val="Hyperlink"/>
          </w:rPr>
          <w:t>http://www.legislation.gov.uk/ukpga/2000/23/contents</w:t>
        </w:r>
      </w:hyperlink>
      <w:r>
        <w:t xml:space="preserve"> </w:t>
      </w:r>
    </w:p>
  </w:footnote>
  <w:footnote w:id="423">
    <w:p w:rsidR="0016168E" w:rsidRDefault="0016168E" w:rsidP="002B6091">
      <w:pPr>
        <w:pStyle w:val="FootnoteText"/>
      </w:pPr>
      <w:r>
        <w:rPr>
          <w:rStyle w:val="FootnoteReference"/>
        </w:rPr>
        <w:footnoteRef/>
      </w:r>
      <w:r>
        <w:t xml:space="preserve"> Security Service Act 1989, available at: </w:t>
      </w:r>
      <w:hyperlink r:id="rId211" w:history="1">
        <w:r w:rsidRPr="0083788E">
          <w:rPr>
            <w:rStyle w:val="Hyperlink"/>
          </w:rPr>
          <w:t>http://www.legislation.gov.uk/ukpga/1989/5/contents</w:t>
        </w:r>
      </w:hyperlink>
      <w:r>
        <w:t xml:space="preserve"> </w:t>
      </w:r>
    </w:p>
  </w:footnote>
  <w:footnote w:id="424">
    <w:p w:rsidR="0016168E" w:rsidRDefault="0016168E" w:rsidP="002B6091">
      <w:pPr>
        <w:pStyle w:val="FootnoteText"/>
      </w:pPr>
      <w:r>
        <w:rPr>
          <w:rStyle w:val="FootnoteReference"/>
        </w:rPr>
        <w:footnoteRef/>
      </w:r>
      <w:r>
        <w:t xml:space="preserve"> Intelligence Service Act 1994, available at: </w:t>
      </w:r>
      <w:hyperlink r:id="rId212" w:history="1">
        <w:r w:rsidRPr="0083788E">
          <w:rPr>
            <w:rStyle w:val="Hyperlink"/>
          </w:rPr>
          <w:t>http://www.legislation.gov.uk/ukpga/1994/13/contents</w:t>
        </w:r>
      </w:hyperlink>
      <w:r>
        <w:t xml:space="preserve"> </w:t>
      </w:r>
    </w:p>
  </w:footnote>
  <w:footnote w:id="425">
    <w:p w:rsidR="0016168E" w:rsidRDefault="0016168E" w:rsidP="002B6091">
      <w:pPr>
        <w:pStyle w:val="FootnoteText"/>
      </w:pPr>
      <w:r>
        <w:rPr>
          <w:rStyle w:val="FootnoteReference"/>
        </w:rPr>
        <w:footnoteRef/>
      </w:r>
      <w:r>
        <w:t xml:space="preserve"> More information available at: </w:t>
      </w:r>
      <w:hyperlink r:id="rId213" w:history="1">
        <w:r w:rsidRPr="0083788E">
          <w:rPr>
            <w:rStyle w:val="Hyperlink"/>
          </w:rPr>
          <w:t>http://www.ipt-uk.com/</w:t>
        </w:r>
      </w:hyperlink>
      <w:r>
        <w:t xml:space="preserve"> </w:t>
      </w:r>
    </w:p>
  </w:footnote>
  <w:footnote w:id="426">
    <w:p w:rsidR="0016168E" w:rsidRDefault="0016168E" w:rsidP="002B6091">
      <w:pPr>
        <w:pStyle w:val="FootnoteText"/>
      </w:pPr>
      <w:r>
        <w:rPr>
          <w:rStyle w:val="FootnoteReference"/>
        </w:rPr>
        <w:footnoteRef/>
      </w:r>
      <w:r>
        <w:t xml:space="preserve"> Equality and Human Rights Commission, Submission to the Intelligence and Security Committee’s inquiry into Privacy and Security, 2014, available at: </w:t>
      </w:r>
      <w:hyperlink r:id="rId214" w:history="1">
        <w:r w:rsidRPr="001220A6">
          <w:rPr>
            <w:rStyle w:val="Hyperlink"/>
          </w:rPr>
          <w:t>http://www.equalityhumanrights.com/legal-and-policy/our-legal-work/consultation-responses/response-privacy-and-security-inquiry-call-evidence</w:t>
        </w:r>
      </w:hyperlink>
      <w:r>
        <w:t xml:space="preserve"> </w:t>
      </w:r>
    </w:p>
    <w:p w:rsidR="0016168E" w:rsidRDefault="0016168E" w:rsidP="002B6091">
      <w:pPr>
        <w:pStyle w:val="FootnoteText"/>
      </w:pPr>
      <w:r>
        <w:t xml:space="preserve">See also: Equality and Human Rights Commission, Protecting Information Privacy, 2011, p.3, available at: </w:t>
      </w:r>
      <w:hyperlink r:id="rId215" w:history="1">
        <w:r w:rsidRPr="0083788E">
          <w:rPr>
            <w:rStyle w:val="Hyperlink"/>
          </w:rPr>
          <w:t>http://www.equalityhumanrights.com/sites/default/files/documents/research/rr69.pdf</w:t>
        </w:r>
      </w:hyperlink>
    </w:p>
  </w:footnote>
  <w:footnote w:id="427">
    <w:p w:rsidR="0016168E" w:rsidRDefault="0016168E" w:rsidP="002B6091">
      <w:pPr>
        <w:pStyle w:val="FootnoteText"/>
      </w:pPr>
      <w:r>
        <w:rPr>
          <w:rStyle w:val="FootnoteReference"/>
        </w:rPr>
        <w:footnoteRef/>
      </w:r>
      <w:r>
        <w:t xml:space="preserve"> Equality and Human Rights Commission, Protecting Information Privacy, 2011, p.3, available at: </w:t>
      </w:r>
      <w:hyperlink r:id="rId216" w:history="1">
        <w:r w:rsidRPr="0083788E">
          <w:rPr>
            <w:rStyle w:val="Hyperlink"/>
          </w:rPr>
          <w:t>http://www.equalityhumanrights.com/sites/default/files/documents/research/rr69.pdf</w:t>
        </w:r>
      </w:hyperlink>
      <w:r>
        <w:rPr>
          <w:rStyle w:val="Hyperlink"/>
        </w:rPr>
        <w:t xml:space="preserve"> </w:t>
      </w:r>
    </w:p>
  </w:footnote>
  <w:footnote w:id="428">
    <w:p w:rsidR="0016168E" w:rsidRDefault="0016168E" w:rsidP="002B6091">
      <w:pPr>
        <w:pStyle w:val="FootnoteText"/>
      </w:pPr>
      <w:r>
        <w:rPr>
          <w:rStyle w:val="FootnoteReference"/>
        </w:rPr>
        <w:footnoteRef/>
      </w:r>
      <w:r>
        <w:t xml:space="preserve"> Cabinet Office, Prime Minister and Deputy Prime Minister Press Release, 10 July 2014, available at: </w:t>
      </w:r>
      <w:hyperlink r:id="rId217" w:history="1">
        <w:r w:rsidRPr="00375C76">
          <w:rPr>
            <w:rStyle w:val="Hyperlink"/>
          </w:rPr>
          <w:t>https://www.gov.uk/government/news/pm-and-deputy-pm-to-announce-emergency-security-legislation</w:t>
        </w:r>
      </w:hyperlink>
      <w:r>
        <w:t xml:space="preserve"> </w:t>
      </w:r>
    </w:p>
  </w:footnote>
  <w:footnote w:id="429">
    <w:p w:rsidR="0016168E" w:rsidRDefault="0016168E" w:rsidP="002B6091">
      <w:pPr>
        <w:pStyle w:val="FootnoteText"/>
      </w:pPr>
      <w:r>
        <w:rPr>
          <w:rStyle w:val="FootnoteReference"/>
        </w:rPr>
        <w:footnoteRef/>
      </w:r>
      <w:r>
        <w:t xml:space="preserve"> Terms of Reference of the review are available at: </w:t>
      </w:r>
      <w:hyperlink r:id="rId218" w:history="1">
        <w:r w:rsidRPr="00205A9F">
          <w:rPr>
            <w:rStyle w:val="Hyperlink"/>
          </w:rPr>
          <w:t>https://terrorismlegislationreviewer.independent.gov.uk/review-of-communications-data-and-interception-powers/</w:t>
        </w:r>
      </w:hyperlink>
      <w:r>
        <w:t xml:space="preserve"> </w:t>
      </w:r>
    </w:p>
  </w:footnote>
  <w:footnote w:id="430">
    <w:p w:rsidR="0016168E" w:rsidRDefault="0016168E" w:rsidP="002B6091">
      <w:pPr>
        <w:pStyle w:val="FootnoteText"/>
      </w:pPr>
      <w:r>
        <w:rPr>
          <w:rStyle w:val="FootnoteReference"/>
        </w:rPr>
        <w:footnoteRef/>
      </w:r>
      <w:r>
        <w:t xml:space="preserve"> Terms of Reference of the Independent Privacy and Civil Liberties Oversight Board are available at: </w:t>
      </w:r>
      <w:hyperlink r:id="rId219" w:history="1">
        <w:r w:rsidRPr="00205A9F">
          <w:rPr>
            <w:rStyle w:val="Hyperlink"/>
          </w:rPr>
          <w:t>https://www.gov.uk/government/uploads/system/uploads/attachment_data/file/330748/Independent_Privacy_and_Civil_Liberties_Board.pdf</w:t>
        </w:r>
      </w:hyperlink>
      <w:r>
        <w:t xml:space="preserve"> </w:t>
      </w:r>
    </w:p>
  </w:footnote>
  <w:footnote w:id="431">
    <w:p w:rsidR="0016168E" w:rsidRDefault="0016168E" w:rsidP="002B6091">
      <w:pPr>
        <w:pStyle w:val="FootnoteText"/>
      </w:pPr>
      <w:r>
        <w:rPr>
          <w:rStyle w:val="FootnoteReference"/>
        </w:rPr>
        <w:footnoteRef/>
      </w:r>
      <w:r>
        <w:t xml:space="preserve"> Data Retention and Investigatory Powers Act 2014, available at: </w:t>
      </w:r>
      <w:hyperlink r:id="rId220" w:history="1">
        <w:r w:rsidRPr="00205A9F">
          <w:rPr>
            <w:rStyle w:val="Hyperlink"/>
          </w:rPr>
          <w:t>http://www.legislation.gov.uk/ukpga/2014/27/contents/enacted/data.htm</w:t>
        </w:r>
      </w:hyperlink>
      <w:r>
        <w:t xml:space="preserve"> </w:t>
      </w:r>
    </w:p>
  </w:footnote>
  <w:footnote w:id="432">
    <w:p w:rsidR="0016168E" w:rsidRDefault="0016168E" w:rsidP="002B6091">
      <w:pPr>
        <w:pStyle w:val="FootnoteText"/>
      </w:pPr>
      <w:r>
        <w:rPr>
          <w:rStyle w:val="FootnoteReference"/>
        </w:rPr>
        <w:footnoteRef/>
      </w:r>
      <w:r>
        <w:t xml:space="preserve"> European Court of Justice, Press Release, 8 April 2014, available at: </w:t>
      </w:r>
      <w:hyperlink r:id="rId221" w:history="1">
        <w:r w:rsidRPr="00F00D84">
          <w:rPr>
            <w:rStyle w:val="Hyperlink"/>
          </w:rPr>
          <w:t>http://curia.europa.eu/jcms/upload/docs/application/pdf/2014-04/cp140054en.pdf</w:t>
        </w:r>
      </w:hyperlink>
      <w:r>
        <w:t xml:space="preserve"> </w:t>
      </w:r>
    </w:p>
  </w:footnote>
  <w:footnote w:id="433">
    <w:p w:rsidR="0016168E" w:rsidRDefault="0016168E" w:rsidP="002B6091">
      <w:pPr>
        <w:pStyle w:val="FootnoteText"/>
      </w:pPr>
      <w:r>
        <w:rPr>
          <w:rStyle w:val="FootnoteReference"/>
        </w:rPr>
        <w:footnoteRef/>
      </w:r>
      <w:r>
        <w:t xml:space="preserve"> Equality and Human Rights Commission, Protecting Information Privacy, 2011, available at: </w:t>
      </w:r>
      <w:hyperlink r:id="rId222" w:history="1">
        <w:r w:rsidRPr="0083788E">
          <w:rPr>
            <w:rStyle w:val="Hyperlink"/>
          </w:rPr>
          <w:t>http://www.equalityhumanrights.com/sites/default/files/documents/research/rr69.pdf</w:t>
        </w:r>
      </w:hyperlink>
      <w:r>
        <w:t xml:space="preserve"> </w:t>
      </w:r>
    </w:p>
  </w:footnote>
  <w:footnote w:id="434">
    <w:p w:rsidR="0016168E" w:rsidRDefault="0016168E" w:rsidP="002B6091">
      <w:pPr>
        <w:pStyle w:val="FootnoteText"/>
      </w:pPr>
      <w:r>
        <w:rPr>
          <w:rStyle w:val="FootnoteReference"/>
        </w:rPr>
        <w:footnoteRef/>
      </w:r>
      <w:r>
        <w:t xml:space="preserve"> JUSTICE, letter to the Intelligence and Security Committee, 2014, available at: </w:t>
      </w:r>
      <w:hyperlink r:id="rId223" w:history="1">
        <w:r w:rsidRPr="0083788E">
          <w:rPr>
            <w:rStyle w:val="Hyperlink"/>
          </w:rPr>
          <w:t>http://www.justice.org.uk/data/files/resources/366/JUSTICE-letter-to-Intelligence-Security-Committee-10-Feb-2014.pdf</w:t>
        </w:r>
      </w:hyperlink>
      <w:r>
        <w:t xml:space="preserve"> </w:t>
      </w:r>
    </w:p>
  </w:footnote>
  <w:footnote w:id="435">
    <w:p w:rsidR="0016168E" w:rsidRDefault="0016168E" w:rsidP="002B6091">
      <w:pPr>
        <w:pStyle w:val="FootnoteText"/>
      </w:pPr>
      <w:r>
        <w:rPr>
          <w:rStyle w:val="FootnoteReference"/>
        </w:rPr>
        <w:footnoteRef/>
      </w:r>
      <w:r>
        <w:t xml:space="preserve"> JUSTICE, Freedom from Suspicion: Surveillance Reform for a Digital Age, 2011, p.162, available at: </w:t>
      </w:r>
      <w:hyperlink r:id="rId224" w:history="1">
        <w:r w:rsidRPr="0083788E">
          <w:rPr>
            <w:rStyle w:val="Hyperlink"/>
          </w:rPr>
          <w:t>http://www.justice.org.uk/data/files/resources/305/JUSTICE-Freedom-from-Suspicion-Surveillance-Reform-for-a-Digital-Age.pdf</w:t>
        </w:r>
      </w:hyperlink>
      <w:r>
        <w:t xml:space="preserve"> </w:t>
      </w:r>
    </w:p>
  </w:footnote>
  <w:footnote w:id="436">
    <w:p w:rsidR="0016168E" w:rsidRDefault="0016168E" w:rsidP="002B6091">
      <w:pPr>
        <w:pStyle w:val="FootnoteText"/>
      </w:pPr>
      <w:r>
        <w:rPr>
          <w:rStyle w:val="FootnoteReference"/>
        </w:rPr>
        <w:footnoteRef/>
      </w:r>
      <w:r>
        <w:t xml:space="preserve"> Liberty, Evidence to the Intelligence and Security Committee’s Inquiry into Privacy and Security, 2014, p.17, </w:t>
      </w:r>
      <w:hyperlink r:id="rId225" w:history="1">
        <w:r w:rsidRPr="0083788E">
          <w:rPr>
            <w:rStyle w:val="Hyperlink"/>
          </w:rPr>
          <w:t>http://www.liberty-human-rights.org.uk/sites/default/files/Liberty's%20evidence%20to%20the%20ISC%20inquiry%20into%20privacy%20and%20security%20(Feb%202014).pdf</w:t>
        </w:r>
      </w:hyperlink>
    </w:p>
  </w:footnote>
  <w:footnote w:id="437">
    <w:p w:rsidR="0016168E" w:rsidRDefault="0016168E" w:rsidP="002B6091">
      <w:pPr>
        <w:pStyle w:val="FootnoteText"/>
      </w:pPr>
      <w:r>
        <w:rPr>
          <w:rStyle w:val="FootnoteReference"/>
        </w:rPr>
        <w:footnoteRef/>
      </w:r>
      <w:r>
        <w:t xml:space="preserve"> </w:t>
      </w:r>
      <w:r w:rsidRPr="00255514">
        <w:t>Seven separate Commissioners (Interception of Communications, Intelligence Services, Surveillance, Information, Biometrics, and Surveillance Cameras) oversee the implementation of RIPA.</w:t>
      </w:r>
    </w:p>
  </w:footnote>
  <w:footnote w:id="438">
    <w:p w:rsidR="0016168E" w:rsidRDefault="0016168E" w:rsidP="002B6091">
      <w:pPr>
        <w:pStyle w:val="FootnoteText"/>
      </w:pPr>
      <w:r>
        <w:rPr>
          <w:rStyle w:val="FootnoteReference"/>
        </w:rPr>
        <w:footnoteRef/>
      </w:r>
      <w:r>
        <w:t xml:space="preserve"> See, for example, JUSTICE, Freedom from Suspicion: Surveillance Reform for a Digital Age, 2011, paras 247, 397, 398, 399 and 400, available at: </w:t>
      </w:r>
      <w:hyperlink r:id="rId226" w:history="1">
        <w:r w:rsidRPr="0083788E">
          <w:rPr>
            <w:rStyle w:val="Hyperlink"/>
          </w:rPr>
          <w:t>http://www.justice.org.uk/data/files/resources/305/JUSTICE-Freedom-from-Suspicion-Surveillance-Reform-for-a-Digital-Age.pdf</w:t>
        </w:r>
      </w:hyperlink>
      <w:r>
        <w:rPr>
          <w:rStyle w:val="Hyperlink"/>
        </w:rPr>
        <w:t>;</w:t>
      </w:r>
      <w:r>
        <w:t xml:space="preserve"> and Liberty, Evidence to the Intelligence and Security Committee’s Inquiry into Privacy and Security, 2014, p.18, </w:t>
      </w:r>
      <w:hyperlink r:id="rId227" w:history="1">
        <w:r w:rsidRPr="0083788E">
          <w:rPr>
            <w:rStyle w:val="Hyperlink"/>
          </w:rPr>
          <w:t>http://www.liberty-human-rights.org.uk/sites/default/files/Liberty's%20evidence%20to%20the%20ISC%20inquiry%20into%20privacy%20and%20security%20(Feb%202014).pdf</w:t>
        </w:r>
      </w:hyperlink>
    </w:p>
  </w:footnote>
  <w:footnote w:id="439">
    <w:p w:rsidR="0016168E" w:rsidRDefault="0016168E" w:rsidP="002B6091">
      <w:pPr>
        <w:pStyle w:val="FootnoteText"/>
      </w:pPr>
      <w:r>
        <w:rPr>
          <w:rStyle w:val="FootnoteReference"/>
        </w:rPr>
        <w:footnoteRef/>
      </w:r>
      <w:r>
        <w:t xml:space="preserve"> Justice and Security Act 2013, available at: </w:t>
      </w:r>
      <w:hyperlink r:id="rId228" w:history="1">
        <w:r w:rsidRPr="0083788E">
          <w:rPr>
            <w:rStyle w:val="Hyperlink"/>
          </w:rPr>
          <w:t>http://www.legislation.gov.uk/ukpga/2013/18/contents/enacted</w:t>
        </w:r>
      </w:hyperlink>
      <w:r>
        <w:t xml:space="preserve"> </w:t>
      </w:r>
    </w:p>
  </w:footnote>
  <w:footnote w:id="440">
    <w:p w:rsidR="0016168E" w:rsidRDefault="0016168E" w:rsidP="002B6091">
      <w:pPr>
        <w:pStyle w:val="FootnoteText"/>
      </w:pPr>
      <w:r>
        <w:rPr>
          <w:rStyle w:val="FootnoteReference"/>
        </w:rPr>
        <w:footnoteRef/>
      </w:r>
      <w:r>
        <w:t xml:space="preserve"> Equality and Human Rights Commission, Briefing on the Justice and Security Bill with advice, 2012, available at: </w:t>
      </w:r>
      <w:hyperlink r:id="rId229" w:history="1">
        <w:r w:rsidRPr="0083788E">
          <w:rPr>
            <w:rStyle w:val="Hyperlink"/>
          </w:rPr>
          <w:t>http://www.equalityhumanrights.com/legal-and-policy/our-legal-work/parliamentary-briefings/justice-security-bill-with-advice</w:t>
        </w:r>
      </w:hyperlink>
      <w:r>
        <w:t xml:space="preserve"> </w:t>
      </w:r>
    </w:p>
  </w:footnote>
  <w:footnote w:id="441">
    <w:p w:rsidR="0016168E" w:rsidRDefault="0016168E" w:rsidP="002B6091">
      <w:pPr>
        <w:pStyle w:val="FootnoteText"/>
      </w:pPr>
      <w:r>
        <w:rPr>
          <w:rStyle w:val="FootnoteReference"/>
        </w:rPr>
        <w:footnoteRef/>
      </w:r>
      <w:r>
        <w:t xml:space="preserve"> JUSTICE has made a similar recommendation: Freedom from Suspicion: Surveillance Reform for a Digital Age, 2011, paras 397 available at: </w:t>
      </w:r>
      <w:hyperlink r:id="rId230" w:history="1">
        <w:r w:rsidRPr="0083788E">
          <w:rPr>
            <w:rStyle w:val="Hyperlink"/>
          </w:rPr>
          <w:t>http://www.justice.org.uk/data/files/resources/305/JUSTICE-Freedom-from-Suspicion-Surveillance-Reform-for-a-Digital-Age.pdf</w:t>
        </w:r>
      </w:hyperlink>
      <w:r>
        <w:rPr>
          <w:rStyle w:val="Hyperlink"/>
        </w:rPr>
        <w:t>;</w:t>
      </w:r>
    </w:p>
  </w:footnote>
  <w:footnote w:id="442">
    <w:p w:rsidR="0016168E" w:rsidRDefault="0016168E" w:rsidP="002B6091">
      <w:pPr>
        <w:pStyle w:val="FootnoteText"/>
      </w:pPr>
      <w:r>
        <w:rPr>
          <w:rStyle w:val="FootnoteReference"/>
        </w:rPr>
        <w:footnoteRef/>
      </w:r>
      <w:r>
        <w:t xml:space="preserve"> In Kennedy v UK (Application No 26839/05) the European Court of Human Rights noted that internal interception must specify the persons or premises targeted and that “indiscrimination capturing of vast amounts of communications is not permitted under the internal communications provisions of RIPA.” Available at: </w:t>
      </w:r>
      <w:hyperlink r:id="rId231" w:anchor="{&quot;itemid&quot;:[&quot;001-98473&quot;]}" w:history="1">
        <w:r w:rsidRPr="0083788E">
          <w:rPr>
            <w:rStyle w:val="Hyperlink"/>
          </w:rPr>
          <w:t>http://hudoc.echr.coe.int/sites/eng/pages/search.aspx?i=001-98473#{"itemid":["001-98473"]}</w:t>
        </w:r>
      </w:hyperlink>
      <w:r>
        <w:t xml:space="preserve"> </w:t>
      </w:r>
    </w:p>
  </w:footnote>
  <w:footnote w:id="443">
    <w:p w:rsidR="0016168E" w:rsidRDefault="0016168E" w:rsidP="002B6091">
      <w:pPr>
        <w:pStyle w:val="FootnoteText"/>
      </w:pPr>
      <w:r>
        <w:rPr>
          <w:rStyle w:val="FootnoteReference"/>
        </w:rPr>
        <w:footnoteRef/>
      </w:r>
      <w:r>
        <w:t xml:space="preserve"> Liberty, Evidence to the Intelligence and Security Committee’s Inquiry into Privacy and Security, 2014, p.9, </w:t>
      </w:r>
      <w:hyperlink r:id="rId232" w:history="1">
        <w:r w:rsidRPr="0083788E">
          <w:rPr>
            <w:rStyle w:val="Hyperlink"/>
          </w:rPr>
          <w:t>http://www.liberty-human-rights.org.uk/sites/default/files/Liberty's%20evidence%20to%20the%20ISC%20inquiry%20into%20privacy%20and%20security%20(Feb%202014).pdf</w:t>
        </w:r>
      </w:hyperlink>
      <w:r>
        <w:t xml:space="preserve"> </w:t>
      </w:r>
    </w:p>
  </w:footnote>
  <w:footnote w:id="444">
    <w:p w:rsidR="0016168E" w:rsidRDefault="0016168E" w:rsidP="002B6091">
      <w:pPr>
        <w:pStyle w:val="FootnoteText"/>
      </w:pPr>
      <w:r>
        <w:rPr>
          <w:rStyle w:val="FootnoteReference"/>
        </w:rPr>
        <w:footnoteRef/>
      </w:r>
      <w:r>
        <w:t xml:space="preserve"> Charles Farr, Witness Statement to Case No IPT/13/92/CH, 16 May 2014, paras 132-141, available at: </w:t>
      </w:r>
      <w:hyperlink r:id="rId233" w:history="1">
        <w:r w:rsidRPr="007364CC">
          <w:rPr>
            <w:rStyle w:val="Hyperlink"/>
          </w:rPr>
          <w:t>http://www.liberty-human-rights.org.uk/sites/default/files/Witness%20statement%20of%20Charles%20Farr%20on%20behalf%20of%20the%20Intelligence%20Services%2016th%20May%202014.pdf</w:t>
        </w:r>
      </w:hyperlink>
      <w:r>
        <w:t xml:space="preserve"> </w:t>
      </w:r>
    </w:p>
  </w:footnote>
  <w:footnote w:id="445">
    <w:p w:rsidR="0016168E" w:rsidRDefault="0016168E" w:rsidP="002B6091">
      <w:pPr>
        <w:pStyle w:val="FootnoteText"/>
      </w:pPr>
      <w:r>
        <w:rPr>
          <w:rStyle w:val="FootnoteReference"/>
        </w:rPr>
        <w:footnoteRef/>
      </w:r>
      <w:r>
        <w:t xml:space="preserve"> For Example, Westminster Hall Debate re Intelligence and Security Services, 31 October 2013, </w:t>
      </w:r>
      <w:proofErr w:type="spellStart"/>
      <w:r>
        <w:t>Hansard</w:t>
      </w:r>
      <w:proofErr w:type="spellEnd"/>
      <w:r>
        <w:t xml:space="preserve"> HC </w:t>
      </w:r>
      <w:r w:rsidRPr="00C76873">
        <w:t>Column 342WH</w:t>
      </w:r>
      <w:r>
        <w:t xml:space="preserve">, available at: </w:t>
      </w:r>
      <w:hyperlink r:id="rId234" w:history="1">
        <w:r w:rsidRPr="007364CC">
          <w:rPr>
            <w:rStyle w:val="Hyperlink"/>
          </w:rPr>
          <w:t>http://www.publications.parliament.uk/pa/cm201314/cmhansrd/cm131031/halltext/131031h0001.htm</w:t>
        </w:r>
      </w:hyperlink>
      <w:r>
        <w:t xml:space="preserve"> </w:t>
      </w:r>
    </w:p>
  </w:footnote>
  <w:footnote w:id="446">
    <w:p w:rsidR="0016168E" w:rsidRDefault="0016168E" w:rsidP="002B6091">
      <w:pPr>
        <w:pStyle w:val="FootnoteText"/>
      </w:pPr>
      <w:r>
        <w:rPr>
          <w:rStyle w:val="FootnoteReference"/>
        </w:rPr>
        <w:footnoteRef/>
      </w:r>
      <w:r>
        <w:t xml:space="preserve"> Charles Farr, Witness Statement to Case No IPT/13/92/CH, 16 May 2014, paras 35-48, available at: </w:t>
      </w:r>
      <w:hyperlink r:id="rId235" w:history="1">
        <w:r w:rsidRPr="007364CC">
          <w:rPr>
            <w:rStyle w:val="Hyperlink"/>
          </w:rPr>
          <w:t>http://www.liberty-human-rights.org.uk/sites/default/files/Witness%20statement%20of%20Charles%20Farr%20on%20behalf%20of%20the%20Intelligence%20Services%2016th%20May%202014.pdf</w:t>
        </w:r>
      </w:hyperlink>
    </w:p>
  </w:footnote>
  <w:footnote w:id="447">
    <w:p w:rsidR="0016168E" w:rsidRDefault="0016168E" w:rsidP="002B6091">
      <w:pPr>
        <w:pStyle w:val="FootnoteText"/>
      </w:pPr>
      <w:r>
        <w:rPr>
          <w:rStyle w:val="FootnoteReference"/>
        </w:rPr>
        <w:footnoteRef/>
      </w:r>
      <w:r>
        <w:t xml:space="preserve"> Jemima Stratford QC and Tim Johnston, Legal Opinion provided to the All Party Parliamentary Group on Drones, 2014, available at: </w:t>
      </w:r>
      <w:hyperlink r:id="rId236" w:history="1">
        <w:r w:rsidRPr="0083788E">
          <w:rPr>
            <w:rStyle w:val="Hyperlink"/>
          </w:rPr>
          <w:t>http://www.tom-watson.co.uk/wp-content/uploads/2014/01/APPG-Final.pdf</w:t>
        </w:r>
      </w:hyperlink>
      <w:r>
        <w:t xml:space="preserve"> </w:t>
      </w:r>
    </w:p>
  </w:footnote>
  <w:footnote w:id="448">
    <w:p w:rsidR="0016168E" w:rsidRDefault="0016168E" w:rsidP="002B6091">
      <w:pPr>
        <w:pStyle w:val="FootnoteText"/>
      </w:pPr>
      <w:r>
        <w:rPr>
          <w:rStyle w:val="FootnoteReference"/>
        </w:rPr>
        <w:footnoteRef/>
      </w:r>
      <w:r>
        <w:t xml:space="preserve"> Malone v UK (Application No 8691/79) available at: </w:t>
      </w:r>
      <w:hyperlink r:id="rId237" w:anchor="{&quot;itemid&quot;:[&quot;001-57533&quot;]}" w:history="1">
        <w:r w:rsidRPr="0083788E">
          <w:rPr>
            <w:rStyle w:val="Hyperlink"/>
          </w:rPr>
          <w:t>http://hudoc.echr.coe.int/sites/eng/pages/search.aspx?i=001-57533#{"itemid":["001-57533"]}</w:t>
        </w:r>
      </w:hyperlink>
      <w:r>
        <w:t xml:space="preserve"> </w:t>
      </w:r>
    </w:p>
  </w:footnote>
  <w:footnote w:id="449">
    <w:p w:rsidR="0016168E" w:rsidRDefault="0016168E" w:rsidP="002B6091">
      <w:pPr>
        <w:pStyle w:val="FootnoteText"/>
      </w:pPr>
      <w:r>
        <w:rPr>
          <w:rStyle w:val="FootnoteReference"/>
        </w:rPr>
        <w:footnoteRef/>
      </w:r>
      <w:r>
        <w:t xml:space="preserve"> Equality and Human Rights Commission, Protecting Information Privacy, 2011, p.3, available at: </w:t>
      </w:r>
      <w:hyperlink r:id="rId238" w:history="1">
        <w:r w:rsidRPr="0083788E">
          <w:rPr>
            <w:rStyle w:val="Hyperlink"/>
          </w:rPr>
          <w:t>http://www.equalityhumanrights.com/sites/default/files/documents/research/rr69.pdf</w:t>
        </w:r>
      </w:hyperlink>
    </w:p>
  </w:footnote>
  <w:footnote w:id="450">
    <w:p w:rsidR="0016168E" w:rsidRDefault="0016168E" w:rsidP="002B6091">
      <w:pPr>
        <w:pStyle w:val="FootnoteText"/>
      </w:pPr>
      <w:r>
        <w:rPr>
          <w:rStyle w:val="FootnoteReference"/>
        </w:rPr>
        <w:footnoteRef/>
      </w:r>
      <w:r>
        <w:t xml:space="preserve"> The state notes the need to consider the implications for the UK of the </w:t>
      </w:r>
      <w:proofErr w:type="spellStart"/>
      <w:r>
        <w:t>Scoppola</w:t>
      </w:r>
      <w:proofErr w:type="spellEnd"/>
      <w:r>
        <w:t xml:space="preserve"> v Italy (No 3) case in its Seventh periodic reports of States parties for the United Kingdom of Great Britain and Northern Ireland, 29 December 2012, para 212, available at: </w:t>
      </w:r>
      <w:hyperlink r:id="rId239" w:history="1">
        <w:r w:rsidRPr="00C04B66">
          <w:rPr>
            <w:rStyle w:val="Hyperlink"/>
          </w:rPr>
          <w:t>http://tbinternet.ohchr.org/_layouts/treatybodyexternal/Download.aspx?symbolno=CCPR%2fC%2fGBR%2f7&amp;Lang=en</w:t>
        </w:r>
      </w:hyperlink>
    </w:p>
  </w:footnote>
  <w:footnote w:id="451">
    <w:p w:rsidR="0016168E" w:rsidRDefault="0016168E" w:rsidP="002B6091">
      <w:pPr>
        <w:pStyle w:val="FootnoteText"/>
      </w:pPr>
      <w:r>
        <w:rPr>
          <w:rStyle w:val="FootnoteReference"/>
        </w:rPr>
        <w:footnoteRef/>
      </w:r>
      <w:r>
        <w:t xml:space="preserve"> Representation of the People Act 2000, available at: </w:t>
      </w:r>
      <w:hyperlink r:id="rId240" w:history="1">
        <w:r w:rsidRPr="00EC63E4">
          <w:rPr>
            <w:rStyle w:val="Hyperlink"/>
          </w:rPr>
          <w:t>http://www.legislation.gov.uk/ukpga/2000/2/contents</w:t>
        </w:r>
      </w:hyperlink>
      <w:r>
        <w:t xml:space="preserve"> </w:t>
      </w:r>
    </w:p>
  </w:footnote>
  <w:footnote w:id="452">
    <w:p w:rsidR="0016168E" w:rsidRDefault="0016168E" w:rsidP="002B6091">
      <w:pPr>
        <w:pStyle w:val="FootnoteText"/>
      </w:pPr>
      <w:r>
        <w:rPr>
          <w:rStyle w:val="FootnoteReference"/>
        </w:rPr>
        <w:footnoteRef/>
      </w:r>
      <w:r>
        <w:t xml:space="preserve"> </w:t>
      </w:r>
      <w:proofErr w:type="spellStart"/>
      <w:r>
        <w:t>Scoppola</w:t>
      </w:r>
      <w:proofErr w:type="spellEnd"/>
      <w:r>
        <w:t xml:space="preserve"> v Italy (No. 3) available at: </w:t>
      </w:r>
      <w:hyperlink r:id="rId241" w:history="1">
        <w:r w:rsidRPr="00EC63E4">
          <w:rPr>
            <w:rStyle w:val="Hyperlink"/>
          </w:rPr>
          <w:t>http://hudoc.echr.coe.int/sites/eng/pages/search.aspx?i=001-111044</w:t>
        </w:r>
      </w:hyperlink>
      <w:r>
        <w:t xml:space="preserve"> </w:t>
      </w:r>
    </w:p>
  </w:footnote>
  <w:footnote w:id="453">
    <w:p w:rsidR="0016168E" w:rsidRDefault="0016168E" w:rsidP="002B6091">
      <w:pPr>
        <w:pStyle w:val="FootnoteText"/>
      </w:pPr>
      <w:r>
        <w:rPr>
          <w:rStyle w:val="FootnoteReference"/>
        </w:rPr>
        <w:footnoteRef/>
      </w:r>
      <w:r>
        <w:t xml:space="preserve"> Hirst v United Kingdom (No. 2), available at: </w:t>
      </w:r>
      <w:hyperlink r:id="rId242" w:anchor="{&quot;itemid&quot;:[&quot;001-70442&quot;]}" w:history="1">
        <w:r w:rsidRPr="00EC63E4">
          <w:rPr>
            <w:rStyle w:val="Hyperlink"/>
          </w:rPr>
          <w:t>http://hudoc.echr.coe.int/sites/eng/pages/search.aspx?i=001-70442#{"itemid":["001-70442"]}</w:t>
        </w:r>
      </w:hyperlink>
      <w:r>
        <w:t xml:space="preserve"> </w:t>
      </w:r>
    </w:p>
  </w:footnote>
  <w:footnote w:id="454">
    <w:p w:rsidR="0016168E" w:rsidRDefault="0016168E" w:rsidP="002B6091">
      <w:pPr>
        <w:pStyle w:val="FootnoteText"/>
      </w:pPr>
      <w:r>
        <w:rPr>
          <w:rStyle w:val="FootnoteReference"/>
        </w:rPr>
        <w:footnoteRef/>
      </w:r>
      <w:r>
        <w:t xml:space="preserve"> Voting Eligibility (Prisoners) Draft Bill, available at: </w:t>
      </w:r>
      <w:hyperlink r:id="rId243" w:history="1">
        <w:r w:rsidRPr="00EC63E4">
          <w:rPr>
            <w:rStyle w:val="Hyperlink"/>
          </w:rPr>
          <w:t>http://www.justice.gov.uk/downloads/legislation/bills-acts/voting-eligibility-prisoners/voting-eligibility-prisoners-command-paper.pdf</w:t>
        </w:r>
      </w:hyperlink>
      <w:r>
        <w:t xml:space="preserve"> </w:t>
      </w:r>
    </w:p>
  </w:footnote>
  <w:footnote w:id="455">
    <w:p w:rsidR="0016168E" w:rsidRDefault="0016168E" w:rsidP="002B6091">
      <w:pPr>
        <w:pStyle w:val="FootnoteText"/>
      </w:pPr>
      <w:r>
        <w:rPr>
          <w:rStyle w:val="FootnoteReference"/>
        </w:rPr>
        <w:footnoteRef/>
      </w:r>
      <w:r>
        <w:t xml:space="preserve"> The EHRC intervened as a third party in </w:t>
      </w:r>
      <w:r w:rsidRPr="00960DF5">
        <w:t>Greens and M.T. v the United Kingdom [2011] ECHR 686</w:t>
      </w:r>
      <w:r>
        <w:t xml:space="preserve">, available at: </w:t>
      </w:r>
      <w:hyperlink r:id="rId244" w:history="1">
        <w:r w:rsidRPr="007364CC">
          <w:rPr>
            <w:rStyle w:val="Hyperlink"/>
          </w:rPr>
          <w:t>http://www.bailii.org/eu/cases/ECHR/2011/686.html</w:t>
        </w:r>
      </w:hyperlink>
      <w:r>
        <w:t xml:space="preserve"> </w:t>
      </w:r>
    </w:p>
  </w:footnote>
  <w:footnote w:id="456">
    <w:p w:rsidR="0016168E" w:rsidRDefault="0016168E" w:rsidP="002B6091">
      <w:pPr>
        <w:pStyle w:val="FootnoteText"/>
      </w:pPr>
      <w:r>
        <w:rPr>
          <w:rStyle w:val="FootnoteReference"/>
        </w:rPr>
        <w:footnoteRef/>
      </w:r>
      <w:r>
        <w:t xml:space="preserve"> EHRC Submission to the Joint Committee on </w:t>
      </w:r>
      <w:r w:rsidRPr="005952C2">
        <w:t>the Voting Eligibility (Prisoners) Draft Bill</w:t>
      </w:r>
      <w:r>
        <w:t xml:space="preserve">, 23 June 2013, available at </w:t>
      </w:r>
      <w:hyperlink r:id="rId245" w:history="1">
        <w:r w:rsidRPr="007364CC">
          <w:rPr>
            <w:rStyle w:val="Hyperlink"/>
          </w:rPr>
          <w:t>http://www.equalityhumanrights.com/legal-and-policy/our-legal-work/parliamentary-briefings/submission-to-the-joint-committee-on-the-draft-voting-eligibility-prisoners-bill-june-2013</w:t>
        </w:r>
      </w:hyperlink>
      <w:r>
        <w:t xml:space="preserve"> </w:t>
      </w:r>
    </w:p>
  </w:footnote>
  <w:footnote w:id="457">
    <w:p w:rsidR="0016168E" w:rsidRDefault="0016168E" w:rsidP="002B6091">
      <w:pPr>
        <w:pStyle w:val="FootnoteText"/>
      </w:pPr>
      <w:r>
        <w:rPr>
          <w:rStyle w:val="FootnoteReference"/>
        </w:rPr>
        <w:footnoteRef/>
      </w:r>
      <w:r>
        <w:t xml:space="preserve"> Joint Committee on the Voting Eligibility (Prisoners) Draft Bill, 2013, available at: </w:t>
      </w:r>
      <w:hyperlink r:id="rId246" w:history="1">
        <w:r w:rsidRPr="00EC63E4">
          <w:rPr>
            <w:rStyle w:val="Hyperlink"/>
          </w:rPr>
          <w:t>http://www.publications.parliament.uk/pa/jt201314/jtselect/jtdraftvoting/103/10302.htm</w:t>
        </w:r>
      </w:hyperlink>
      <w:r>
        <w:t xml:space="preserve"> </w:t>
      </w:r>
    </w:p>
  </w:footnote>
  <w:footnote w:id="458">
    <w:p w:rsidR="0016168E" w:rsidRDefault="0016168E" w:rsidP="002B6091">
      <w:pPr>
        <w:pStyle w:val="FootnoteText"/>
      </w:pPr>
      <w:r>
        <w:rPr>
          <w:rStyle w:val="FootnoteReference"/>
        </w:rPr>
        <w:footnoteRef/>
      </w:r>
      <w:r>
        <w:t xml:space="preserve"> Letter from Justice Secretary to Chair of the Joint Committee on the Voting Eligibility (Prisoners) Draft Bill, 2013, available at: </w:t>
      </w:r>
      <w:hyperlink r:id="rId247" w:history="1">
        <w:r w:rsidRPr="00EC63E4">
          <w:rPr>
            <w:rStyle w:val="Hyperlink"/>
          </w:rPr>
          <w:t>http://www.parliament.uk/documents/joint-committees/Draft%20Voting%20Eligibility%20(Prisoners)%20Bill/Grayling-letter-to-Chair.pdf</w:t>
        </w:r>
      </w:hyperlink>
      <w:r>
        <w:t xml:space="preserve"> </w:t>
      </w:r>
    </w:p>
  </w:footnote>
  <w:footnote w:id="459">
    <w:p w:rsidR="0016168E" w:rsidRDefault="0016168E" w:rsidP="002B6091">
      <w:pPr>
        <w:pStyle w:val="FootnoteText"/>
      </w:pPr>
      <w:r>
        <w:rPr>
          <w:rStyle w:val="FootnoteReference"/>
        </w:rPr>
        <w:footnoteRef/>
      </w:r>
      <w:r>
        <w:t xml:space="preserve"> Queen’s Speech 2014, available at: </w:t>
      </w:r>
      <w:hyperlink r:id="rId248" w:history="1">
        <w:r w:rsidRPr="00EC63E4">
          <w:rPr>
            <w:rStyle w:val="Hyperlink"/>
          </w:rPr>
          <w:t>https://www.gov.uk/government/topical-events/queens-speech-2014</w:t>
        </w:r>
      </w:hyperlink>
      <w:r>
        <w:t xml:space="preserve"> </w:t>
      </w:r>
    </w:p>
  </w:footnote>
  <w:footnote w:id="460">
    <w:p w:rsidR="0016168E" w:rsidRDefault="0016168E" w:rsidP="002B6091">
      <w:pPr>
        <w:pStyle w:val="FootnoteText"/>
      </w:pPr>
      <w:r>
        <w:rPr>
          <w:rStyle w:val="FootnoteReference"/>
        </w:rPr>
        <w:footnoteRef/>
      </w:r>
      <w:r>
        <w:t xml:space="preserve"> Concluding Observations of the Human Rights Committee for the United Kingdom of Great Britain and Northern Ireland, 30 July 2008, para 28, available at: </w:t>
      </w:r>
      <w:hyperlink r:id="rId249" w:history="1">
        <w:r w:rsidRPr="00C04B66">
          <w:rPr>
            <w:rStyle w:val="Hyperlink"/>
          </w:rPr>
          <w:t>http://tbinternet.ohchr.org/_layouts/treatybodyexternal/Download.aspx?symbolno=CCPR%2fC%2fGBR%2fCO%2f6&amp;Lang=en</w:t>
        </w:r>
      </w:hyperlink>
      <w:r>
        <w:t xml:space="preserve"> </w:t>
      </w:r>
    </w:p>
  </w:footnote>
  <w:footnote w:id="461">
    <w:p w:rsidR="0016168E" w:rsidRDefault="0016168E" w:rsidP="002B6091">
      <w:pPr>
        <w:pStyle w:val="FootnoteText"/>
      </w:pPr>
      <w:r>
        <w:rPr>
          <w:rStyle w:val="FootnoteReference"/>
        </w:rPr>
        <w:footnoteRef/>
      </w:r>
      <w:r>
        <w:t xml:space="preserve"> The State covers these points in its Seventh periodic reports of States parties for the United Kingdom of Great Britain and Northern Ireland, 29 December 2012, para 555-573, available at: </w:t>
      </w:r>
      <w:hyperlink r:id="rId250" w:history="1">
        <w:r w:rsidRPr="00C04B66">
          <w:rPr>
            <w:rStyle w:val="Hyperlink"/>
          </w:rPr>
          <w:t>http://tbinternet.ohchr.org/_layouts/treatybodyexternal/Download.aspx?symbolno=CCPR%2fC%2fGBR%2f7&amp;Lang=en</w:t>
        </w:r>
      </w:hyperlink>
    </w:p>
  </w:footnote>
  <w:footnote w:id="462">
    <w:p w:rsidR="0016168E" w:rsidRDefault="0016168E" w:rsidP="002B6091">
      <w:pPr>
        <w:pStyle w:val="FootnoteText"/>
        <w:rPr>
          <w:rStyle w:val="Hyperlink"/>
          <w:color w:val="auto"/>
          <w:u w:val="none"/>
        </w:rPr>
      </w:pPr>
      <w:r>
        <w:rPr>
          <w:rStyle w:val="FootnoteReference"/>
        </w:rPr>
        <w:footnoteRef/>
      </w:r>
      <w:r>
        <w:t xml:space="preserve"> For example, see: Concluding Observations of the Committee Against Torture for the United Kingdom of Great Britain and Northern Ireland, May 2013, paragraph 15, available at: </w:t>
      </w:r>
      <w:hyperlink r:id="rId251" w:history="1">
        <w:r w:rsidRPr="00B55BBF">
          <w:rPr>
            <w:rStyle w:val="Hyperlink"/>
          </w:rPr>
          <w:t>http://www.justice.gov.uk/downloads/human-rights/cat-concluding-observations-may-2013.pdf</w:t>
        </w:r>
      </w:hyperlink>
      <w:r>
        <w:rPr>
          <w:rStyle w:val="Hyperlink"/>
        </w:rPr>
        <w:t xml:space="preserve"> </w:t>
      </w:r>
      <w:r>
        <w:rPr>
          <w:rStyle w:val="Hyperlink"/>
          <w:color w:val="auto"/>
          <w:u w:val="none"/>
        </w:rPr>
        <w:t>and</w:t>
      </w:r>
    </w:p>
    <w:p w:rsidR="0016168E" w:rsidRDefault="0016168E" w:rsidP="002B6091">
      <w:pPr>
        <w:pStyle w:val="FootnoteText"/>
      </w:pPr>
      <w:r>
        <w:rPr>
          <w:rStyle w:val="Hyperlink"/>
          <w:color w:val="auto"/>
          <w:u w:val="none"/>
        </w:rPr>
        <w:t xml:space="preserve">Joint study on global practices in relation to secret detention in the context of countering terrorism of the Special Rapporteur on the promotion and protection of human rights and fundamental freedoms while countering terrorism, the Special Rapporteur on torture on torture and other cruel, inhuman or degrading treatment or punishment, the Working Group on Arbitrary Detention and the Working Group on Enforced or Involuntary Disappearance, available at: </w:t>
      </w:r>
      <w:hyperlink r:id="rId252" w:history="1">
        <w:r w:rsidRPr="00EC63E4">
          <w:rPr>
            <w:rStyle w:val="Hyperlink"/>
          </w:rPr>
          <w:t>http://www1.umn.edu/humanrts/wgad/2010report-secret_detention.pdf</w:t>
        </w:r>
      </w:hyperlink>
      <w:r>
        <w:rPr>
          <w:rStyle w:val="Hyperlink"/>
          <w:color w:val="auto"/>
          <w:u w:val="none"/>
        </w:rPr>
        <w:t xml:space="preserve"> </w:t>
      </w:r>
    </w:p>
  </w:footnote>
  <w:footnote w:id="463">
    <w:p w:rsidR="0016168E" w:rsidRDefault="0016168E" w:rsidP="002B6091">
      <w:pPr>
        <w:pStyle w:val="FootnoteText"/>
      </w:pPr>
      <w:r>
        <w:rPr>
          <w:rStyle w:val="FootnoteReference"/>
        </w:rPr>
        <w:footnoteRef/>
      </w:r>
      <w:r>
        <w:t xml:space="preserve"> Joint Committee on Human Rights, Allegations of UK Complicity in Torture, 2009, available at: </w:t>
      </w:r>
      <w:hyperlink r:id="rId253" w:history="1">
        <w:r w:rsidRPr="00EC63E4">
          <w:rPr>
            <w:rStyle w:val="Hyperlink"/>
          </w:rPr>
          <w:t>http://www.publications.parliament.uk/pa/jt200809/jtselect/jtrights/152/152.pdf</w:t>
        </w:r>
      </w:hyperlink>
      <w:r>
        <w:t xml:space="preserve"> </w:t>
      </w:r>
    </w:p>
  </w:footnote>
  <w:footnote w:id="464">
    <w:p w:rsidR="0016168E" w:rsidRDefault="0016168E" w:rsidP="002B6091">
      <w:pPr>
        <w:pStyle w:val="FootnoteText"/>
      </w:pPr>
      <w:r>
        <w:rPr>
          <w:rStyle w:val="FootnoteReference"/>
        </w:rPr>
        <w:footnoteRef/>
      </w:r>
      <w:r>
        <w:t xml:space="preserve"> Equality and Human Rights Commission, Submission to the UN Committee Against Torture: Response to the List of Issues on the UK’s 5</w:t>
      </w:r>
      <w:r w:rsidRPr="00DF7E68">
        <w:rPr>
          <w:vertAlign w:val="superscript"/>
        </w:rPr>
        <w:t>th</w:t>
      </w:r>
      <w:r>
        <w:t xml:space="preserve"> Periodic Report, 2013, available at: </w:t>
      </w:r>
      <w:hyperlink r:id="rId254" w:history="1">
        <w:r w:rsidRPr="00EC63E4">
          <w:rPr>
            <w:rStyle w:val="Hyperlink"/>
          </w:rPr>
          <w:t>http://www.equalityhumanrights.com/sites/default/files/documents/international/ehrc_report_to_cat_re_uk_5th_periodic_exam_april_2013.pdf</w:t>
        </w:r>
      </w:hyperlink>
      <w:r>
        <w:t xml:space="preserve"> </w:t>
      </w:r>
    </w:p>
  </w:footnote>
  <w:footnote w:id="465">
    <w:p w:rsidR="0016168E" w:rsidRDefault="0016168E" w:rsidP="002B6091">
      <w:pPr>
        <w:pStyle w:val="FootnoteText"/>
      </w:pPr>
      <w:r>
        <w:rPr>
          <w:rStyle w:val="FootnoteReference"/>
        </w:rPr>
        <w:footnoteRef/>
      </w:r>
      <w:r>
        <w:t xml:space="preserve"> </w:t>
      </w:r>
      <w:r>
        <w:rPr>
          <w:lang w:val="en"/>
        </w:rPr>
        <w:t xml:space="preserve">Statement given by the Prime Minister to the House of Commons on the treatment of terror suspects on 6 July 2010, available at: </w:t>
      </w:r>
      <w:hyperlink r:id="rId255" w:history="1">
        <w:r w:rsidRPr="00EC63E4">
          <w:rPr>
            <w:rStyle w:val="Hyperlink"/>
            <w:lang w:val="en"/>
          </w:rPr>
          <w:t>https://www.gov.uk/government/speeches/statement-on-detainees</w:t>
        </w:r>
      </w:hyperlink>
      <w:r>
        <w:rPr>
          <w:lang w:val="en"/>
        </w:rPr>
        <w:t xml:space="preserve"> </w:t>
      </w:r>
    </w:p>
  </w:footnote>
  <w:footnote w:id="466">
    <w:p w:rsidR="0016168E" w:rsidRDefault="0016168E" w:rsidP="002B6091">
      <w:pPr>
        <w:pStyle w:val="FootnoteText"/>
      </w:pPr>
      <w:r>
        <w:rPr>
          <w:rStyle w:val="FootnoteReference"/>
        </w:rPr>
        <w:footnoteRef/>
      </w:r>
      <w:r>
        <w:t xml:space="preserve"> Seventh periodic reports of States parties for the United Kingdom of Great Britain and Northern Ireland, 29 December 2012, para 555, available at: </w:t>
      </w:r>
      <w:hyperlink r:id="rId256" w:history="1">
        <w:r w:rsidRPr="00C04B66">
          <w:rPr>
            <w:rStyle w:val="Hyperlink"/>
          </w:rPr>
          <w:t>http://tbinternet.ohchr.org/_layouts/treatybodyexternal/Download.aspx?symbolno=CCPR%2fC%2fGBR%2f7&amp;Lang=en</w:t>
        </w:r>
      </w:hyperlink>
    </w:p>
  </w:footnote>
  <w:footnote w:id="467">
    <w:p w:rsidR="0016168E" w:rsidRDefault="0016168E" w:rsidP="002B6091">
      <w:pPr>
        <w:pStyle w:val="FootnoteText"/>
      </w:pPr>
      <w:r>
        <w:rPr>
          <w:rStyle w:val="FootnoteReference"/>
        </w:rPr>
        <w:footnoteRef/>
      </w:r>
      <w:r>
        <w:t xml:space="preserve"> The Detainee Inquiry Terms of Reference, 2010 are available at: </w:t>
      </w:r>
      <w:hyperlink r:id="rId257" w:history="1">
        <w:r w:rsidRPr="00EC63E4">
          <w:rPr>
            <w:rStyle w:val="Hyperlink"/>
          </w:rPr>
          <w:t>http://www.detaineeinquiry.org.uk/wp-content/uploads/2011/06/20110706-The-Detainee-Inquiry-and-HM-Government-Terms-of-reference.pdf</w:t>
        </w:r>
      </w:hyperlink>
      <w:r>
        <w:t xml:space="preserve"> </w:t>
      </w:r>
    </w:p>
  </w:footnote>
  <w:footnote w:id="468">
    <w:p w:rsidR="0016168E" w:rsidRPr="00A90CB6" w:rsidRDefault="0016168E" w:rsidP="002B6091">
      <w:pPr>
        <w:pStyle w:val="FootnoteText"/>
        <w:rPr>
          <w:b/>
        </w:rPr>
      </w:pPr>
      <w:r w:rsidRPr="00A102A6">
        <w:rPr>
          <w:rStyle w:val="FootnoteReference"/>
        </w:rPr>
        <w:footnoteRef/>
      </w:r>
      <w:r w:rsidRPr="00A102A6">
        <w:t xml:space="preserve"> Equality and Human Rights Commission Chief Executive letter to Justice Secretary, 21 February 2012. Available at: </w:t>
      </w:r>
      <w:hyperlink r:id="rId258" w:history="1">
        <w:r w:rsidRPr="00A102A6">
          <w:rPr>
            <w:rStyle w:val="Hyperlink"/>
          </w:rPr>
          <w:t>http://www.equalityhumanrights.com/about-us/our-work/human-rights/international-framework/un-convention-against-torture-and-other-cruel-inhuman-or-degrading-treatment-or-punishment</w:t>
        </w:r>
      </w:hyperlink>
      <w:r>
        <w:rPr>
          <w:b/>
        </w:rPr>
        <w:t xml:space="preserve"> </w:t>
      </w:r>
    </w:p>
  </w:footnote>
  <w:footnote w:id="469">
    <w:p w:rsidR="0016168E" w:rsidRDefault="0016168E" w:rsidP="002B6091">
      <w:pPr>
        <w:pStyle w:val="FootnoteText"/>
      </w:pPr>
      <w:r>
        <w:rPr>
          <w:rStyle w:val="FootnoteReference"/>
        </w:rPr>
        <w:footnoteRef/>
      </w:r>
      <w:r>
        <w:t xml:space="preserve"> </w:t>
      </w:r>
      <w:r w:rsidRPr="00D94FB0">
        <w:t>Equality and Human Rights Commission Chair to Sir Peter Gibson, 13 September 2010</w:t>
      </w:r>
      <w:r>
        <w:t xml:space="preserve"> available at: </w:t>
      </w:r>
      <w:hyperlink r:id="rId259" w:history="1">
        <w:r w:rsidRPr="00A102A6">
          <w:rPr>
            <w:rStyle w:val="Hyperlink"/>
          </w:rPr>
          <w:t>http://www.equalityhumanrights.com/about-us/our-work/human-rights/international-framework/un-convention-against-torture-and-other-cruel-inhuman-or-degrading-treatment-or-punishment</w:t>
        </w:r>
      </w:hyperlink>
    </w:p>
  </w:footnote>
  <w:footnote w:id="470">
    <w:p w:rsidR="0016168E" w:rsidRDefault="0016168E" w:rsidP="002B6091">
      <w:pPr>
        <w:pStyle w:val="FootnoteText"/>
      </w:pPr>
      <w:r>
        <w:rPr>
          <w:rStyle w:val="FootnoteReference"/>
        </w:rPr>
        <w:footnoteRef/>
      </w:r>
      <w:r>
        <w:t xml:space="preserve"> Letter to Sir Peter Gibson from Liberty, Redress, Amnesty International, </w:t>
      </w:r>
      <w:proofErr w:type="spellStart"/>
      <w:r>
        <w:t>Cageprisoners</w:t>
      </w:r>
      <w:proofErr w:type="spellEnd"/>
      <w:r>
        <w:t xml:space="preserve">, Address, the </w:t>
      </w:r>
      <w:proofErr w:type="spellStart"/>
      <w:r>
        <w:t>Aire</w:t>
      </w:r>
      <w:proofErr w:type="spellEnd"/>
      <w:r>
        <w:t xml:space="preserve"> centre, Freedom from Torture, Human Rights Watch, Justice, Reprieve and British Irish Watch, 14 September 2010, available at: </w:t>
      </w:r>
      <w:hyperlink r:id="rId260" w:history="1">
        <w:r w:rsidRPr="00EC63E4">
          <w:rPr>
            <w:rStyle w:val="Hyperlink"/>
          </w:rPr>
          <w:t>http://www.amnesty.org/en/library/info/EUR45/016/2010</w:t>
        </w:r>
      </w:hyperlink>
      <w:r>
        <w:t xml:space="preserve"> </w:t>
      </w:r>
    </w:p>
  </w:footnote>
  <w:footnote w:id="471">
    <w:p w:rsidR="0016168E" w:rsidRDefault="0016168E" w:rsidP="002B6091">
      <w:pPr>
        <w:pStyle w:val="FootnoteText"/>
      </w:pPr>
      <w:r>
        <w:rPr>
          <w:rStyle w:val="FootnoteReference"/>
        </w:rPr>
        <w:footnoteRef/>
      </w:r>
      <w:r>
        <w:t xml:space="preserve"> Statement made by the Justice Secretary to the House of Commons, </w:t>
      </w:r>
      <w:proofErr w:type="spellStart"/>
      <w:r>
        <w:t>Hansard</w:t>
      </w:r>
      <w:proofErr w:type="spellEnd"/>
      <w:r>
        <w:t xml:space="preserve"> HC, col 752, 18 January 2012, available at: </w:t>
      </w:r>
      <w:hyperlink r:id="rId261" w:history="1">
        <w:r w:rsidRPr="00EC63E4">
          <w:rPr>
            <w:rStyle w:val="Hyperlink"/>
          </w:rPr>
          <w:t>http://www.publications.parliament.uk/pa/cm201212/cmhansrd/cm120118/debtext/120118-0001.htm</w:t>
        </w:r>
      </w:hyperlink>
      <w:r>
        <w:t xml:space="preserve"> </w:t>
      </w:r>
    </w:p>
  </w:footnote>
  <w:footnote w:id="472">
    <w:p w:rsidR="0016168E" w:rsidRDefault="0016168E" w:rsidP="002B6091">
      <w:pPr>
        <w:pStyle w:val="FootnoteText"/>
      </w:pPr>
      <w:r>
        <w:rPr>
          <w:rStyle w:val="FootnoteReference"/>
        </w:rPr>
        <w:footnoteRef/>
      </w:r>
      <w:r>
        <w:t xml:space="preserve"> Joint Statement by the Director of Public Prosecutions and the Metropolitan Police Service, 12 January 2012, available at: </w:t>
      </w:r>
      <w:hyperlink r:id="rId262" w:history="1">
        <w:r w:rsidRPr="00EC63E4">
          <w:rPr>
            <w:rStyle w:val="Hyperlink"/>
          </w:rPr>
          <w:t>http://content.met.police.uk/News/Joint-statement-by-MPS-and-DPP/1400005902978/1257246741786</w:t>
        </w:r>
      </w:hyperlink>
      <w:r>
        <w:t xml:space="preserve"> </w:t>
      </w:r>
    </w:p>
  </w:footnote>
  <w:footnote w:id="473">
    <w:p w:rsidR="0016168E" w:rsidRDefault="0016168E" w:rsidP="002B6091">
      <w:pPr>
        <w:pStyle w:val="FootnoteText"/>
      </w:pPr>
      <w:r>
        <w:rPr>
          <w:rStyle w:val="FootnoteReference"/>
        </w:rPr>
        <w:footnoteRef/>
      </w:r>
      <w:r>
        <w:t xml:space="preserve"> Report of the Detainee Inquiry, 19 December 2013, available at: </w:t>
      </w:r>
      <w:hyperlink r:id="rId263" w:history="1">
        <w:r w:rsidRPr="00EC63E4">
          <w:rPr>
            <w:rStyle w:val="Hyperlink"/>
          </w:rPr>
          <w:t>http://www.detaineeinquiry.org.uk/wp-content/uploads/2013/12/35100_Trafalgar-Text-accessible.pdf</w:t>
        </w:r>
      </w:hyperlink>
      <w:r>
        <w:t xml:space="preserve"> </w:t>
      </w:r>
    </w:p>
  </w:footnote>
  <w:footnote w:id="474">
    <w:p w:rsidR="0016168E" w:rsidRDefault="0016168E" w:rsidP="002B6091">
      <w:pPr>
        <w:pStyle w:val="FootnoteText"/>
      </w:pPr>
      <w:r>
        <w:rPr>
          <w:rStyle w:val="FootnoteReference"/>
        </w:rPr>
        <w:footnoteRef/>
      </w:r>
      <w:r>
        <w:t xml:space="preserve"> Statement to the House of Commons by the Minister without Portfolio, 13 December 2013, available at: </w:t>
      </w:r>
      <w:hyperlink r:id="rId264" w:history="1">
        <w:r w:rsidRPr="00EC63E4">
          <w:rPr>
            <w:rStyle w:val="Hyperlink"/>
          </w:rPr>
          <w:t>http://www.publications.parliament.uk/pa/cm201314/cmhansrd/cm131219/debtext/131219-0002.htm</w:t>
        </w:r>
      </w:hyperlink>
      <w:r>
        <w:t xml:space="preserve"> </w:t>
      </w:r>
    </w:p>
  </w:footnote>
  <w:footnote w:id="475">
    <w:p w:rsidR="0016168E" w:rsidRDefault="0016168E" w:rsidP="002B6091">
      <w:pPr>
        <w:pStyle w:val="FootnoteText"/>
      </w:pPr>
      <w:r>
        <w:rPr>
          <w:rStyle w:val="FootnoteReference"/>
        </w:rPr>
        <w:footnoteRef/>
      </w:r>
      <w:r>
        <w:t xml:space="preserve"> Concluding Observations of the Committee Against Torture for the United Kingdom of Great Britain and Northern Ireland, May 2013, paragraph 15, available at: </w:t>
      </w:r>
      <w:hyperlink r:id="rId265" w:history="1">
        <w:r w:rsidRPr="00B55BBF">
          <w:rPr>
            <w:rStyle w:val="Hyperlink"/>
          </w:rPr>
          <w:t>http://www.justice.gov.uk/downloads/human-rights/cat-concluding-observations-may-2013.pdf</w:t>
        </w:r>
      </w:hyperlink>
      <w:r>
        <w:rPr>
          <w:rStyle w:val="Hyperlink"/>
        </w:rPr>
        <w:t xml:space="preserve"> </w:t>
      </w:r>
    </w:p>
  </w:footnote>
  <w:footnote w:id="476">
    <w:p w:rsidR="0016168E" w:rsidRDefault="0016168E" w:rsidP="002B6091">
      <w:pPr>
        <w:pStyle w:val="FootnoteText"/>
      </w:pPr>
      <w:r>
        <w:rPr>
          <w:rStyle w:val="FootnoteReference"/>
        </w:rPr>
        <w:footnoteRef/>
      </w:r>
      <w:r>
        <w:t xml:space="preserve"> Concluding Observations of the Human Rights Committee for the United Kingdom of Great Britain and Northern Ireland, 30 July 2008, para 13, available at: </w:t>
      </w:r>
      <w:hyperlink r:id="rId266" w:history="1">
        <w:r w:rsidRPr="00C04B66">
          <w:rPr>
            <w:rStyle w:val="Hyperlink"/>
          </w:rPr>
          <w:t>http://tbinternet.ohchr.org/_layouts/treatybodyexternal/Download.aspx?symbolno=CCPR%2fC%2fGBR%2fCO%2f6&amp;Lang=en</w:t>
        </w:r>
      </w:hyperlink>
    </w:p>
  </w:footnote>
  <w:footnote w:id="477">
    <w:p w:rsidR="0016168E" w:rsidRDefault="0016168E" w:rsidP="002B6091">
      <w:pPr>
        <w:pStyle w:val="FootnoteText"/>
      </w:pPr>
      <w:r>
        <w:rPr>
          <w:rStyle w:val="FootnoteReference"/>
        </w:rPr>
        <w:footnoteRef/>
      </w:r>
      <w:r>
        <w:t xml:space="preserve"> Statement made by the Foreign Secretary, 21 February 2008, </w:t>
      </w:r>
      <w:proofErr w:type="spellStart"/>
      <w:r>
        <w:t>Hansard</w:t>
      </w:r>
      <w:proofErr w:type="spellEnd"/>
      <w:r>
        <w:t xml:space="preserve"> HC col 547, available at: </w:t>
      </w:r>
      <w:hyperlink r:id="rId267" w:history="1">
        <w:r w:rsidRPr="00EC63E4">
          <w:rPr>
            <w:rStyle w:val="Hyperlink"/>
          </w:rPr>
          <w:t>http://www.publications.parliament.uk/pa/cm200708/cmhansrd/cm080221/debtext/80221-0008.htm</w:t>
        </w:r>
      </w:hyperlink>
      <w:r>
        <w:t xml:space="preserve"> ;</w:t>
      </w:r>
    </w:p>
    <w:p w:rsidR="0016168E" w:rsidRDefault="0016168E" w:rsidP="002B6091">
      <w:pPr>
        <w:pStyle w:val="FootnoteText"/>
      </w:pPr>
      <w:r>
        <w:t xml:space="preserve">Response to a Parliamentary Question by the Defence Secretary, 6 July 2009, </w:t>
      </w:r>
      <w:proofErr w:type="spellStart"/>
      <w:r>
        <w:t>Hansard</w:t>
      </w:r>
      <w:proofErr w:type="spellEnd"/>
      <w:r>
        <w:t xml:space="preserve"> HC col 549W, available at: </w:t>
      </w:r>
      <w:hyperlink r:id="rId268" w:history="1">
        <w:r w:rsidRPr="00EC63E4">
          <w:rPr>
            <w:rStyle w:val="Hyperlink"/>
          </w:rPr>
          <w:t>http://www.publications.parliament.uk/pa/cm200809/cmhansrd/cm090713/text/90713w0004.htm</w:t>
        </w:r>
      </w:hyperlink>
      <w:r>
        <w:t xml:space="preserve"> </w:t>
      </w:r>
    </w:p>
  </w:footnote>
  <w:footnote w:id="478">
    <w:p w:rsidR="0016168E" w:rsidRDefault="0016168E" w:rsidP="002B6091">
      <w:pPr>
        <w:pStyle w:val="FootnoteText"/>
      </w:pPr>
      <w:r>
        <w:rPr>
          <w:rStyle w:val="FootnoteReference"/>
        </w:rPr>
        <w:footnoteRef/>
      </w:r>
      <w:r>
        <w:t xml:space="preserve"> Statement made by Defence Secretary, 29 February 2009, </w:t>
      </w:r>
      <w:proofErr w:type="spellStart"/>
      <w:r>
        <w:t>Hansard</w:t>
      </w:r>
      <w:proofErr w:type="spellEnd"/>
      <w:r>
        <w:t xml:space="preserve"> HC col 394, available at: </w:t>
      </w:r>
      <w:hyperlink r:id="rId269" w:history="1">
        <w:r w:rsidRPr="00EC63E4">
          <w:rPr>
            <w:rStyle w:val="Hyperlink"/>
          </w:rPr>
          <w:t>http://www.publications.parliament.uk/pa/cm200809/cmhansrd/cm090226/debtext/90226-0008.htm</w:t>
        </w:r>
      </w:hyperlink>
      <w:r>
        <w:t xml:space="preserve"> </w:t>
      </w:r>
    </w:p>
  </w:footnote>
  <w:footnote w:id="479">
    <w:p w:rsidR="0016168E" w:rsidRDefault="0016168E" w:rsidP="002B6091">
      <w:pPr>
        <w:pStyle w:val="FootnoteText"/>
      </w:pPr>
      <w:r>
        <w:rPr>
          <w:rStyle w:val="FootnoteReference"/>
        </w:rPr>
        <w:footnoteRef/>
      </w:r>
      <w:r>
        <w:t xml:space="preserve"> Concluding Observations of the Human Rights Committee for the United Kingdom of Great Britain and Northern Ireland, 30 July 2008, paragraph 14, available at: </w:t>
      </w:r>
      <w:hyperlink r:id="rId270" w:history="1">
        <w:r w:rsidRPr="00C04B66">
          <w:rPr>
            <w:rStyle w:val="Hyperlink"/>
          </w:rPr>
          <w:t>http://tbinternet.ohchr.org/_layouts/treatybodyexternal/Download.aspx?symbolno=CCPR%2fC%2fGBR%2fCO%2f6&amp;Lang=en</w:t>
        </w:r>
      </w:hyperlink>
    </w:p>
  </w:footnote>
  <w:footnote w:id="480">
    <w:p w:rsidR="0016168E" w:rsidRDefault="0016168E" w:rsidP="002B6091">
      <w:pPr>
        <w:pStyle w:val="FootnoteText"/>
      </w:pPr>
      <w:r>
        <w:rPr>
          <w:rStyle w:val="FootnoteReference"/>
        </w:rPr>
        <w:footnoteRef/>
      </w:r>
      <w:r>
        <w:t xml:space="preserve"> Concluding Observations of the Committee Against Torture for the United Kingdom of Great Britain and Northern Ireland, May 2013, paragraph 16, available at: </w:t>
      </w:r>
      <w:hyperlink r:id="rId271" w:history="1">
        <w:r w:rsidRPr="00B55BBF">
          <w:rPr>
            <w:rStyle w:val="Hyperlink"/>
          </w:rPr>
          <w:t>http://www.justice.gov.uk/downloads/human-rights/cat-concluding-observations-may-2013.pdf</w:t>
        </w:r>
      </w:hyperlink>
      <w:r>
        <w:t xml:space="preserve"> </w:t>
      </w:r>
    </w:p>
  </w:footnote>
  <w:footnote w:id="481">
    <w:p w:rsidR="0016168E" w:rsidRDefault="0016168E" w:rsidP="002B6091">
      <w:pPr>
        <w:pStyle w:val="FootnoteText"/>
      </w:pPr>
      <w:r>
        <w:rPr>
          <w:rStyle w:val="FootnoteReference"/>
        </w:rPr>
        <w:footnoteRef/>
      </w:r>
      <w:r>
        <w:t xml:space="preserve"> More information about the Iraq Historic Allegations Team is available here: </w:t>
      </w:r>
      <w:hyperlink r:id="rId272" w:history="1">
        <w:r w:rsidRPr="00EC63E4">
          <w:rPr>
            <w:rStyle w:val="Hyperlink"/>
          </w:rPr>
          <w:t>https://www.gov.uk/government/groups/iraq-historic-allegations-team-ihat</w:t>
        </w:r>
      </w:hyperlink>
      <w:r>
        <w:t xml:space="preserve"> </w:t>
      </w:r>
    </w:p>
  </w:footnote>
  <w:footnote w:id="482">
    <w:p w:rsidR="0016168E" w:rsidRDefault="0016168E" w:rsidP="002B6091">
      <w:pPr>
        <w:pStyle w:val="FootnoteText"/>
      </w:pPr>
      <w:r>
        <w:rPr>
          <w:rStyle w:val="FootnoteReference"/>
        </w:rPr>
        <w:footnoteRef/>
      </w:r>
      <w:r>
        <w:t xml:space="preserve"> The President of the Queen’s Bench Division, Mr Justice Silber, R(Ali </w:t>
      </w:r>
      <w:proofErr w:type="spellStart"/>
      <w:r>
        <w:t>Zaki</w:t>
      </w:r>
      <w:proofErr w:type="spellEnd"/>
      <w:r>
        <w:t xml:space="preserve"> </w:t>
      </w:r>
      <w:proofErr w:type="spellStart"/>
      <w:r>
        <w:t>Mousa</w:t>
      </w:r>
      <w:proofErr w:type="spellEnd"/>
      <w:r>
        <w:t xml:space="preserve"> and others v. Secretary of State for Defence No. 2 [2013] EWHC 1412 (admin) available at: </w:t>
      </w:r>
      <w:hyperlink r:id="rId273" w:history="1">
        <w:r w:rsidRPr="00EC63E4">
          <w:rPr>
            <w:rStyle w:val="Hyperlink"/>
          </w:rPr>
          <w:t>http://www.judiciary.gov.uk/judgments/azm-others-v-sos-defence/</w:t>
        </w:r>
      </w:hyperlink>
      <w:r>
        <w:t xml:space="preserve"> </w:t>
      </w:r>
    </w:p>
  </w:footnote>
  <w:footnote w:id="483">
    <w:p w:rsidR="0016168E" w:rsidRDefault="0016168E" w:rsidP="002B6091">
      <w:pPr>
        <w:pStyle w:val="FootnoteText"/>
      </w:pPr>
      <w:r>
        <w:rPr>
          <w:rStyle w:val="FootnoteReference"/>
        </w:rPr>
        <w:footnoteRef/>
      </w:r>
      <w:r>
        <w:t xml:space="preserve"> Report of the Baha </w:t>
      </w:r>
      <w:proofErr w:type="spellStart"/>
      <w:r>
        <w:t>Mousa</w:t>
      </w:r>
      <w:proofErr w:type="spellEnd"/>
      <w:r>
        <w:t xml:space="preserve"> Inquiry, 2011, available at: </w:t>
      </w:r>
      <w:hyperlink r:id="rId274" w:history="1">
        <w:r w:rsidRPr="00EC63E4">
          <w:rPr>
            <w:rStyle w:val="Hyperlink"/>
          </w:rPr>
          <w:t>http://webarchive.nationalarchives.gov.uk/+/http://www.bahamousainquiry.org/report/index.htm</w:t>
        </w:r>
      </w:hyperlink>
      <w:r>
        <w:t xml:space="preserve"> </w:t>
      </w:r>
    </w:p>
  </w:footnote>
  <w:footnote w:id="484">
    <w:p w:rsidR="0016168E" w:rsidRDefault="0016168E" w:rsidP="002B6091">
      <w:pPr>
        <w:pStyle w:val="FootnoteText"/>
      </w:pPr>
      <w:r>
        <w:rPr>
          <w:rStyle w:val="FootnoteReference"/>
        </w:rPr>
        <w:footnoteRef/>
      </w:r>
      <w:r>
        <w:t xml:space="preserve"> See, for example, the Witness Statements of Liam Douglas Frederick Felton, available at: </w:t>
      </w:r>
      <w:hyperlink r:id="rId275" w:history="1">
        <w:r w:rsidRPr="00EC63E4">
          <w:rPr>
            <w:rStyle w:val="Hyperlink"/>
          </w:rPr>
          <w:t>http://webarchive.nationalarchives.gov.uk/+/http://www.bahamousainquiry.org/linkedfiles/baha_mousa/baha_mousa_inquiry_evidence/evidence_061009/bmi00830.pdf</w:t>
        </w:r>
      </w:hyperlink>
      <w:r w:rsidR="008C67B4">
        <w:t xml:space="preserve"> </w:t>
      </w:r>
      <w:r>
        <w:t xml:space="preserve"> </w:t>
      </w:r>
    </w:p>
    <w:p w:rsidR="0016168E" w:rsidRDefault="0016168E" w:rsidP="002B6091">
      <w:pPr>
        <w:pStyle w:val="FootnoteText"/>
      </w:pPr>
      <w:r>
        <w:t xml:space="preserve">and Lieutenant Colonel Gavin Davies available at: </w:t>
      </w:r>
      <w:hyperlink r:id="rId276" w:history="1">
        <w:r w:rsidRPr="00EC63E4">
          <w:rPr>
            <w:rStyle w:val="Hyperlink"/>
          </w:rPr>
          <w:t>http://webarchive.nationalarchives.gov.uk/+/http://www.bahamousainquiry.org/linkedfiles/baha_mousa/baha_mousa_inquiry_evidence/evidence_100610/witnessstatementofgavindavies.pdf</w:t>
        </w:r>
      </w:hyperlink>
      <w:r>
        <w:t xml:space="preserve"> </w:t>
      </w:r>
    </w:p>
  </w:footnote>
  <w:footnote w:id="485">
    <w:p w:rsidR="0016168E" w:rsidRDefault="0016168E" w:rsidP="002B6091">
      <w:pPr>
        <w:pStyle w:val="FootnoteText"/>
      </w:pPr>
      <w:r>
        <w:rPr>
          <w:rStyle w:val="FootnoteReference"/>
        </w:rPr>
        <w:footnoteRef/>
      </w:r>
      <w:r>
        <w:t xml:space="preserve"> Transcript of the sentencing of Corporal Donald Payne, 2007, available at: </w:t>
      </w:r>
      <w:hyperlink r:id="rId277" w:history="1">
        <w:r w:rsidRPr="00EC63E4">
          <w:rPr>
            <w:rStyle w:val="Hyperlink"/>
          </w:rPr>
          <w:t>http://www.publications.parliament.uk/pa/ld200607/ldlwa/070327wa1.pdf</w:t>
        </w:r>
      </w:hyperlink>
      <w:r>
        <w:t xml:space="preserve"> </w:t>
      </w:r>
    </w:p>
  </w:footnote>
  <w:footnote w:id="486">
    <w:p w:rsidR="0016168E" w:rsidRDefault="0016168E" w:rsidP="002B6091">
      <w:pPr>
        <w:pStyle w:val="FootnoteText"/>
      </w:pPr>
      <w:r>
        <w:rPr>
          <w:rStyle w:val="FootnoteReference"/>
        </w:rPr>
        <w:footnoteRef/>
      </w:r>
      <w:r>
        <w:t xml:space="preserve"> More information about the Al-</w:t>
      </w:r>
      <w:proofErr w:type="spellStart"/>
      <w:r>
        <w:t>Sweady</w:t>
      </w:r>
      <w:proofErr w:type="spellEnd"/>
      <w:r>
        <w:t xml:space="preserve"> Public Inquiry is available here: </w:t>
      </w:r>
      <w:hyperlink r:id="rId278" w:history="1">
        <w:r w:rsidRPr="00EC63E4">
          <w:rPr>
            <w:rStyle w:val="Hyperlink"/>
          </w:rPr>
          <w:t>http://www.alsweadyinquiry.org/</w:t>
        </w:r>
      </w:hyperlink>
      <w:r>
        <w:t xml:space="preserve"> </w:t>
      </w:r>
    </w:p>
  </w:footnote>
  <w:footnote w:id="487">
    <w:p w:rsidR="0016168E" w:rsidRDefault="0016168E" w:rsidP="002B6091">
      <w:pPr>
        <w:pStyle w:val="FootnoteText"/>
      </w:pPr>
      <w:r>
        <w:rPr>
          <w:rStyle w:val="FootnoteReference"/>
        </w:rPr>
        <w:footnoteRef/>
      </w:r>
      <w:r>
        <w:t xml:space="preserve"> </w:t>
      </w:r>
      <w:r w:rsidRPr="00C95498">
        <w:t>Iraq Historic Allegations Team: Work completed</w:t>
      </w:r>
      <w:r>
        <w:t xml:space="preserve">, as at May 2014, available at: </w:t>
      </w:r>
      <w:hyperlink r:id="rId279" w:history="1">
        <w:r w:rsidRPr="00EC63E4">
          <w:rPr>
            <w:rStyle w:val="Hyperlink"/>
          </w:rPr>
          <w:t>https://www.gov.uk/government/uploads/system/uploads/attachment_data/file/311985/20140513-ihat-work-completed.pdf</w:t>
        </w:r>
      </w:hyperlink>
      <w:r>
        <w:t xml:space="preserve"> </w:t>
      </w:r>
    </w:p>
  </w:footnote>
  <w:footnote w:id="488">
    <w:p w:rsidR="0016168E" w:rsidRDefault="0016168E" w:rsidP="002B6091">
      <w:pPr>
        <w:pStyle w:val="FootnoteText"/>
      </w:pPr>
      <w:r>
        <w:rPr>
          <w:rStyle w:val="FootnoteReference"/>
        </w:rPr>
        <w:footnoteRef/>
      </w:r>
      <w:r>
        <w:t xml:space="preserve"> Al </w:t>
      </w:r>
      <w:proofErr w:type="spellStart"/>
      <w:r>
        <w:t>Skeini</w:t>
      </w:r>
      <w:proofErr w:type="spellEnd"/>
      <w:r>
        <w:t xml:space="preserve"> v. United Kingdom, available at: </w:t>
      </w:r>
      <w:hyperlink r:id="rId280" w:history="1">
        <w:r w:rsidRPr="00EC63E4">
          <w:rPr>
            <w:rStyle w:val="Hyperlink"/>
          </w:rPr>
          <w:t>http://hudoc.echr.coe.int/sites/eng/pages/search.aspx?i=001-105606</w:t>
        </w:r>
      </w:hyperlink>
      <w:r>
        <w:t xml:space="preserve"> </w:t>
      </w:r>
    </w:p>
  </w:footnote>
  <w:footnote w:id="489">
    <w:p w:rsidR="0016168E" w:rsidRDefault="0016168E" w:rsidP="002B6091">
      <w:pPr>
        <w:pStyle w:val="FootnoteText"/>
      </w:pPr>
      <w:r>
        <w:rPr>
          <w:rStyle w:val="FootnoteReference"/>
        </w:rPr>
        <w:footnoteRef/>
      </w:r>
      <w:r>
        <w:t xml:space="preserve"> Equality and Human Rights intervention in R(Ali </w:t>
      </w:r>
      <w:proofErr w:type="spellStart"/>
      <w:r>
        <w:t>Zaki</w:t>
      </w:r>
      <w:proofErr w:type="spellEnd"/>
      <w:r>
        <w:t xml:space="preserve"> </w:t>
      </w:r>
      <w:proofErr w:type="spellStart"/>
      <w:r>
        <w:t>Mousa</w:t>
      </w:r>
      <w:proofErr w:type="spellEnd"/>
      <w:r>
        <w:t xml:space="preserve"> and others v. Secretary of State for Defence [2010] EWHC 3304 (Admin) available at: </w:t>
      </w:r>
      <w:hyperlink r:id="rId281" w:history="1">
        <w:r w:rsidRPr="00EC63E4">
          <w:rPr>
            <w:rStyle w:val="Hyperlink"/>
          </w:rPr>
          <w:t>http://www.bailii.org/ew/cases/EWHC/Admin/2010/3304.html</w:t>
        </w:r>
      </w:hyperlink>
      <w:r>
        <w:t xml:space="preserve"> </w:t>
      </w:r>
    </w:p>
  </w:footnote>
  <w:footnote w:id="490">
    <w:p w:rsidR="0016168E" w:rsidRDefault="0016168E" w:rsidP="002B6091">
      <w:pPr>
        <w:pStyle w:val="FootnoteText"/>
      </w:pPr>
      <w:r>
        <w:rPr>
          <w:rStyle w:val="FootnoteReference"/>
        </w:rPr>
        <w:footnoteRef/>
      </w:r>
      <w:r>
        <w:t xml:space="preserve"> R(Ali </w:t>
      </w:r>
      <w:proofErr w:type="spellStart"/>
      <w:r>
        <w:t>Zaki</w:t>
      </w:r>
      <w:proofErr w:type="spellEnd"/>
      <w:r>
        <w:t xml:space="preserve"> </w:t>
      </w:r>
      <w:proofErr w:type="spellStart"/>
      <w:r>
        <w:t>Mousa</w:t>
      </w:r>
      <w:proofErr w:type="spellEnd"/>
      <w:r>
        <w:t xml:space="preserve"> and others v. Secretary of State for Defence No. 2 [2013] EWHC 1412 (admin) available at: </w:t>
      </w:r>
      <w:hyperlink r:id="rId282" w:history="1">
        <w:r w:rsidRPr="00EC63E4">
          <w:rPr>
            <w:rStyle w:val="Hyperlink"/>
          </w:rPr>
          <w:t>http://www.judiciary.gov.uk/judgments/azm-others-v-sos-defence/</w:t>
        </w:r>
      </w:hyperlink>
      <w:r>
        <w:t xml:space="preserve"> </w:t>
      </w:r>
    </w:p>
  </w:footnote>
  <w:footnote w:id="491">
    <w:p w:rsidR="0016168E" w:rsidRDefault="0016168E" w:rsidP="002B6091">
      <w:pPr>
        <w:pStyle w:val="FootnoteText"/>
      </w:pPr>
      <w:r>
        <w:rPr>
          <w:rStyle w:val="FootnoteReference"/>
        </w:rPr>
        <w:footnoteRef/>
      </w:r>
      <w:r>
        <w:t xml:space="preserve"> Defence Secretary, Ministerial Written Statement, </w:t>
      </w:r>
      <w:proofErr w:type="spellStart"/>
      <w:r>
        <w:t>Hansard</w:t>
      </w:r>
      <w:proofErr w:type="spellEnd"/>
      <w:r>
        <w:t xml:space="preserve"> HC, Column 29WS 27 March 2014, available at: </w:t>
      </w:r>
      <w:hyperlink r:id="rId283" w:history="1">
        <w:r w:rsidRPr="007364CC">
          <w:rPr>
            <w:rStyle w:val="Hyperlink"/>
          </w:rPr>
          <w:t>http://www.publications.parliament.uk/pa/cm201314/cmhansrd/cm140327/wmstext/140327m0001.htm</w:t>
        </w:r>
      </w:hyperlink>
      <w:r>
        <w:t xml:space="preserve"> </w:t>
      </w:r>
    </w:p>
  </w:footnote>
  <w:footnote w:id="492">
    <w:p w:rsidR="0016168E" w:rsidRDefault="0016168E" w:rsidP="002B6091">
      <w:pPr>
        <w:pStyle w:val="FootnoteText"/>
      </w:pPr>
      <w:r>
        <w:rPr>
          <w:rStyle w:val="FootnoteReference"/>
        </w:rPr>
        <w:footnoteRef/>
      </w:r>
      <w:r>
        <w:t xml:space="preserve"> R(Ali </w:t>
      </w:r>
      <w:proofErr w:type="spellStart"/>
      <w:r>
        <w:t>Zaki</w:t>
      </w:r>
      <w:proofErr w:type="spellEnd"/>
      <w:r>
        <w:t xml:space="preserve"> </w:t>
      </w:r>
      <w:proofErr w:type="spellStart"/>
      <w:r>
        <w:t>Mousa</w:t>
      </w:r>
      <w:proofErr w:type="spellEnd"/>
      <w:r>
        <w:t xml:space="preserve"> and others v. Secretary of State for Defence No. 2 [2013] EWHC 1412 (admin) available at: </w:t>
      </w:r>
      <w:hyperlink r:id="rId284" w:history="1">
        <w:r w:rsidRPr="00EC63E4">
          <w:rPr>
            <w:rStyle w:val="Hyperlink"/>
          </w:rPr>
          <w:t>http://www.judiciary.gov.uk/judgments/azm-others-v-sos-defence/</w:t>
        </w:r>
      </w:hyperlink>
      <w:r>
        <w:t xml:space="preserve"> </w:t>
      </w:r>
    </w:p>
  </w:footnote>
  <w:footnote w:id="493">
    <w:p w:rsidR="0016168E" w:rsidRDefault="0016168E" w:rsidP="002B6091">
      <w:pPr>
        <w:pStyle w:val="FootnoteText"/>
      </w:pPr>
      <w:r>
        <w:rPr>
          <w:rStyle w:val="FootnoteReference"/>
        </w:rPr>
        <w:footnoteRef/>
      </w:r>
      <w:r>
        <w:t xml:space="preserve"> Concluding Observations of the Human Rights Committee for the United Kingdom of Great Britain and Northern Ireland, 30 July 2008, paragraph 12, available at: </w:t>
      </w:r>
      <w:hyperlink r:id="rId285" w:history="1">
        <w:r w:rsidRPr="00C04B66">
          <w:rPr>
            <w:rStyle w:val="Hyperlink"/>
          </w:rPr>
          <w:t>http://tbinternet.ohchr.org/_layouts/treatybodyexternal/Download.aspx?symbolno=CCPR%2fC%2fGBR%2fCO%2f6&amp;Lang=en</w:t>
        </w:r>
      </w:hyperlink>
    </w:p>
  </w:footnote>
  <w:footnote w:id="494">
    <w:p w:rsidR="0016168E" w:rsidRDefault="0016168E" w:rsidP="002B6091">
      <w:pPr>
        <w:pStyle w:val="FootnoteText"/>
      </w:pPr>
      <w:r>
        <w:rPr>
          <w:rStyle w:val="FootnoteReference"/>
        </w:rPr>
        <w:footnoteRef/>
      </w:r>
      <w:r>
        <w:t xml:space="preserve">Concluding Observations of the Committee Against Torture for the United Kingdom of Great Britain and Northern Ireland, May 2013, paragraph 18, available at: </w:t>
      </w:r>
      <w:hyperlink r:id="rId286" w:history="1">
        <w:r w:rsidRPr="00B55BBF">
          <w:rPr>
            <w:rStyle w:val="Hyperlink"/>
          </w:rPr>
          <w:t>http://www.justice.gov.uk/downloads/human-rights/cat-concluding-observations-may-2013.pdf</w:t>
        </w:r>
      </w:hyperlink>
      <w:r>
        <w:t xml:space="preserve"> </w:t>
      </w:r>
    </w:p>
  </w:footnote>
  <w:footnote w:id="495">
    <w:p w:rsidR="0016168E" w:rsidRDefault="0016168E" w:rsidP="002B6091">
      <w:pPr>
        <w:pStyle w:val="FootnoteText"/>
      </w:pPr>
      <w:r>
        <w:rPr>
          <w:rStyle w:val="FootnoteReference"/>
        </w:rPr>
        <w:footnoteRef/>
      </w:r>
      <w:r>
        <w:t xml:space="preserve"> Juan E Mendez and Ben Emmerson QC, Press Statement, December 2013, available at: </w:t>
      </w:r>
      <w:hyperlink r:id="rId287" w:history="1">
        <w:r w:rsidRPr="00B55BBF">
          <w:rPr>
            <w:rStyle w:val="Hyperlink"/>
          </w:rPr>
          <w:t>http://www.ohchr.org/EN/NewsEvents/Pages/DisplayNews.aspx?NewsID=14084&amp;LangID=E</w:t>
        </w:r>
      </w:hyperlink>
      <w:r>
        <w:t xml:space="preserve"> </w:t>
      </w:r>
    </w:p>
  </w:footnote>
  <w:footnote w:id="496">
    <w:p w:rsidR="0016168E" w:rsidRDefault="0016168E" w:rsidP="002B6091">
      <w:pPr>
        <w:pStyle w:val="FootnoteText"/>
      </w:pPr>
      <w:r>
        <w:rPr>
          <w:rStyle w:val="FootnoteReference"/>
        </w:rPr>
        <w:footnoteRef/>
      </w:r>
      <w:r>
        <w:t xml:space="preserve"> Othman (Abu Qatada) v. United Kingdom (Application no. 8139/09) 17 January 2012, available at: </w:t>
      </w:r>
      <w:hyperlink r:id="rId288" w:anchor="{&quot;itemid&quot;:[&quot;001-108629&quot;]}" w:history="1">
        <w:r w:rsidRPr="00B55BBF">
          <w:rPr>
            <w:rStyle w:val="Hyperlink"/>
          </w:rPr>
          <w:t>http://hudoc.echr.coe.int/sites/eng/pages/search.aspx?i=001-108629#{"itemid":["001-108629"]}</w:t>
        </w:r>
      </w:hyperlink>
      <w:r>
        <w:t xml:space="preserve"> </w:t>
      </w:r>
    </w:p>
  </w:footnote>
  <w:footnote w:id="497">
    <w:p w:rsidR="0016168E" w:rsidRDefault="0016168E" w:rsidP="002B6091">
      <w:pPr>
        <w:pStyle w:val="FootnoteText"/>
      </w:pPr>
      <w:r>
        <w:rPr>
          <w:rStyle w:val="FootnoteReference"/>
        </w:rPr>
        <w:footnoteRef/>
      </w:r>
      <w:r>
        <w:t xml:space="preserve"> House of Commons Foreign Affairs Committee Third Report of Session 2012-13, the FCO’s human rights work in 2011, HC 116, available at: </w:t>
      </w:r>
      <w:hyperlink r:id="rId289" w:history="1">
        <w:r w:rsidRPr="00B55BBF">
          <w:rPr>
            <w:rStyle w:val="Hyperlink"/>
          </w:rPr>
          <w:t>http://www.publications.parliament.uk/pa/cm201213/cmselect/cmfaff/116/116.pdf</w:t>
        </w:r>
      </w:hyperlink>
      <w:r>
        <w:t xml:space="preserve"> </w:t>
      </w:r>
    </w:p>
  </w:footnote>
  <w:footnote w:id="498">
    <w:p w:rsidR="0016168E" w:rsidRDefault="0016168E" w:rsidP="002B6091">
      <w:pPr>
        <w:pStyle w:val="FootnoteText"/>
      </w:pPr>
      <w:r>
        <w:rPr>
          <w:rStyle w:val="FootnoteReference"/>
        </w:rPr>
        <w:footnoteRef/>
      </w:r>
      <w:r>
        <w:t xml:space="preserve"> The State covers these points in its Seventh periodic reports of States parties for the United Kingdom of Great Britain and Northern Ireland, 29 December 2012, para 714-721, available at: </w:t>
      </w:r>
      <w:hyperlink r:id="rId290" w:history="1">
        <w:r w:rsidRPr="00C04B66">
          <w:rPr>
            <w:rStyle w:val="Hyperlink"/>
          </w:rPr>
          <w:t>http://tbinternet.ohchr.org/_layouts/treatybodyexternal/Download.aspx?symbolno=CCPR%2fC%2fGBR%2f7&amp;Lang=en</w:t>
        </w:r>
      </w:hyperlink>
    </w:p>
  </w:footnote>
  <w:footnote w:id="499">
    <w:p w:rsidR="0016168E" w:rsidRDefault="0016168E" w:rsidP="002B6091">
      <w:pPr>
        <w:pStyle w:val="FootnoteText"/>
      </w:pPr>
      <w:r>
        <w:rPr>
          <w:rStyle w:val="FootnoteReference"/>
        </w:rPr>
        <w:footnoteRef/>
      </w:r>
      <w:r>
        <w:t xml:space="preserve"> UN High Commissioner of Refugees, Statement, 2012, available at: </w:t>
      </w:r>
      <w:hyperlink r:id="rId291" w:history="1">
        <w:r w:rsidRPr="00666706">
          <w:rPr>
            <w:rStyle w:val="Hyperlink"/>
          </w:rPr>
          <w:t>http://www.unhcr.org.uk/fileadmin/user_upload/pdf/DFT_PressRelease.pdf</w:t>
        </w:r>
      </w:hyperlink>
      <w:r>
        <w:t xml:space="preserve"> </w:t>
      </w:r>
    </w:p>
    <w:p w:rsidR="0016168E" w:rsidRDefault="0016168E" w:rsidP="002B6091">
      <w:pPr>
        <w:pStyle w:val="FootnoteText"/>
      </w:pPr>
      <w:r>
        <w:t xml:space="preserve">Concluding Observations of the Committee Against Torture for the United Kingdom of Great Britain and Northern Ireland, May 2013, paragraph 30, available at: </w:t>
      </w:r>
      <w:hyperlink r:id="rId292" w:history="1">
        <w:r w:rsidRPr="007364CC">
          <w:rPr>
            <w:rStyle w:val="Hyperlink"/>
          </w:rPr>
          <w:t>http://tbinternet.ohchr.org/_layouts/treatybodyexternal/Download.aspx?symbolno=CAT%2fC%2fGBR%2fCO%2f5&amp;Lang=en</w:t>
        </w:r>
      </w:hyperlink>
      <w:r>
        <w:t xml:space="preserve"> </w:t>
      </w:r>
    </w:p>
  </w:footnote>
  <w:footnote w:id="500">
    <w:p w:rsidR="0016168E" w:rsidRDefault="0016168E" w:rsidP="002B6091">
      <w:pPr>
        <w:pStyle w:val="FootnoteText"/>
      </w:pPr>
      <w:r>
        <w:rPr>
          <w:rStyle w:val="FootnoteReference"/>
        </w:rPr>
        <w:footnoteRef/>
      </w:r>
      <w:r>
        <w:t xml:space="preserve"> Equality and Human Rights Commission, Human Rights Review, 2011, available at: </w:t>
      </w:r>
      <w:hyperlink r:id="rId293" w:history="1">
        <w:r w:rsidRPr="00666706">
          <w:rPr>
            <w:rStyle w:val="Hyperlink"/>
          </w:rPr>
          <w:t>http://www.equalityhumanrights.com/about-us/our-work/human-rights/human-rights-review-2012/key-areas-improvement/immigration-procedures-and-detention</w:t>
        </w:r>
      </w:hyperlink>
      <w:r>
        <w:t xml:space="preserve"> </w:t>
      </w:r>
    </w:p>
  </w:footnote>
  <w:footnote w:id="501">
    <w:p w:rsidR="0016168E" w:rsidRDefault="0016168E" w:rsidP="002B6091">
      <w:pPr>
        <w:pStyle w:val="FootnoteText"/>
        <w:rPr>
          <w:rStyle w:val="Hyperlink"/>
        </w:rPr>
      </w:pPr>
      <w:r>
        <w:rPr>
          <w:rStyle w:val="FootnoteReference"/>
        </w:rPr>
        <w:footnoteRef/>
      </w:r>
      <w:r>
        <w:t xml:space="preserve"> UN High Commissioner of Refugees, Statement, 2012, available at: </w:t>
      </w:r>
      <w:hyperlink r:id="rId294" w:history="1">
        <w:r w:rsidRPr="00666706">
          <w:rPr>
            <w:rStyle w:val="Hyperlink"/>
          </w:rPr>
          <w:t>http://www.unhcr.org.uk/fileadmin/user_upload/pdf/DFT_PressRelease.pdf</w:t>
        </w:r>
      </w:hyperlink>
    </w:p>
    <w:p w:rsidR="0016168E" w:rsidRDefault="0016168E" w:rsidP="002B6091">
      <w:pPr>
        <w:pStyle w:val="FootnoteText"/>
      </w:pPr>
      <w:r>
        <w:t xml:space="preserve">Concluding Observations of the Committee Against Torture for the United Kingdom of Great Britain and Northern Ireland, May 2013, paragraph 30, available at: </w:t>
      </w:r>
      <w:hyperlink r:id="rId295" w:history="1">
        <w:r w:rsidRPr="007364CC">
          <w:rPr>
            <w:rStyle w:val="Hyperlink"/>
          </w:rPr>
          <w:t>http://tbinternet.ohchr.org/_layouts/treatybodyexternal/Download.aspx?symbolno=CAT%2fC%2fGBR%2fCO%2f5&amp;Lang=en</w:t>
        </w:r>
      </w:hyperlink>
      <w:r>
        <w:t xml:space="preserve"> </w:t>
      </w:r>
    </w:p>
  </w:footnote>
  <w:footnote w:id="502">
    <w:p w:rsidR="0016168E" w:rsidRDefault="0016168E" w:rsidP="002B6091">
      <w:pPr>
        <w:pStyle w:val="FootnoteText"/>
      </w:pPr>
      <w:r>
        <w:rPr>
          <w:rStyle w:val="FootnoteReference"/>
        </w:rPr>
        <w:footnoteRef/>
      </w:r>
      <w:r>
        <w:t xml:space="preserve"> Enforcement Instructions and Guidance, Chapter 55, 2013, Section 10, available at: </w:t>
      </w:r>
      <w:hyperlink r:id="rId296" w:history="1">
        <w:r w:rsidRPr="00666706">
          <w:rPr>
            <w:rStyle w:val="Hyperlink"/>
          </w:rPr>
          <w:t>https://www.gov.uk/government/uploads/system/uploads/attachment_data/file/307995/Chapter55.pdf</w:t>
        </w:r>
      </w:hyperlink>
      <w:r>
        <w:t xml:space="preserve"> </w:t>
      </w:r>
    </w:p>
  </w:footnote>
  <w:footnote w:id="503">
    <w:p w:rsidR="0016168E" w:rsidRDefault="0016168E" w:rsidP="002B6091">
      <w:pPr>
        <w:pStyle w:val="FootnoteText"/>
      </w:pPr>
      <w:r>
        <w:rPr>
          <w:rStyle w:val="FootnoteReference"/>
        </w:rPr>
        <w:footnoteRef/>
      </w:r>
      <w:r>
        <w:t xml:space="preserve"> The Independent Chief Inspector of Borders and Immigration, A Thematic Inspection of the Detained Fast Track, 2012, available at: </w:t>
      </w:r>
      <w:hyperlink r:id="rId297" w:history="1">
        <w:r w:rsidRPr="00666706">
          <w:rPr>
            <w:rStyle w:val="Hyperlink"/>
          </w:rPr>
          <w:t>http://icinspector.independent.gov.uk/independent-chief-inspector-publishes-detained-fast-track-report/</w:t>
        </w:r>
      </w:hyperlink>
      <w:r>
        <w:t xml:space="preserve"> </w:t>
      </w:r>
    </w:p>
  </w:footnote>
  <w:footnote w:id="504">
    <w:p w:rsidR="0016168E" w:rsidRDefault="0016168E" w:rsidP="002B6091">
      <w:pPr>
        <w:pStyle w:val="FootnoteText"/>
      </w:pPr>
      <w:r>
        <w:rPr>
          <w:rStyle w:val="FootnoteReference"/>
        </w:rPr>
        <w:footnoteRef/>
      </w:r>
      <w:r>
        <w:t xml:space="preserve"> </w:t>
      </w:r>
      <w:r w:rsidRPr="008F0814">
        <w:t>Detention Action v Secretary of State for the Home Department [2014] E</w:t>
      </w:r>
      <w:r>
        <w:t xml:space="preserve">WHC 2245 (Admin) (09 July 2014), available at: </w:t>
      </w:r>
      <w:hyperlink r:id="rId298" w:history="1">
        <w:r w:rsidRPr="00012058">
          <w:rPr>
            <w:rStyle w:val="Hyperlink"/>
          </w:rPr>
          <w:t>http://www.bailii.org/ew/cases/EWHC/Admin/2014/2245.html</w:t>
        </w:r>
      </w:hyperlink>
      <w:r>
        <w:t xml:space="preserve"> </w:t>
      </w:r>
    </w:p>
  </w:footnote>
  <w:footnote w:id="505">
    <w:p w:rsidR="0016168E" w:rsidRDefault="0016168E" w:rsidP="002B6091">
      <w:pPr>
        <w:pStyle w:val="FootnoteText"/>
      </w:pPr>
      <w:r>
        <w:rPr>
          <w:rStyle w:val="FootnoteReference"/>
        </w:rPr>
        <w:footnoteRef/>
      </w:r>
      <w:r>
        <w:t xml:space="preserve"> Equality and Human Rights Commission, Human Rights Review, 2011, available at: </w:t>
      </w:r>
      <w:hyperlink r:id="rId299" w:history="1">
        <w:r w:rsidRPr="00666706">
          <w:rPr>
            <w:rStyle w:val="Hyperlink"/>
          </w:rPr>
          <w:t>http://www.equalityhumanrights.com/about-us/our-work/human-rights/human-rights-review-2012/key-areas-improvement/immigration-procedures-and-detention</w:t>
        </w:r>
      </w:hyperlink>
      <w:r>
        <w:t xml:space="preserve"> </w:t>
      </w:r>
    </w:p>
  </w:footnote>
  <w:footnote w:id="506">
    <w:p w:rsidR="0016168E" w:rsidRDefault="0016168E" w:rsidP="002B6091">
      <w:pPr>
        <w:pStyle w:val="FootnoteText"/>
      </w:pPr>
      <w:r>
        <w:rPr>
          <w:rStyle w:val="FootnoteReference"/>
        </w:rPr>
        <w:footnoteRef/>
      </w:r>
      <w:r>
        <w:t xml:space="preserve"> Such a presumption was included in the 2008 Enforcement Instructions and Guidance.</w:t>
      </w:r>
    </w:p>
  </w:footnote>
  <w:footnote w:id="507">
    <w:p w:rsidR="0016168E" w:rsidRDefault="0016168E" w:rsidP="002B6091">
      <w:pPr>
        <w:pStyle w:val="FootnoteText"/>
      </w:pPr>
      <w:r>
        <w:rPr>
          <w:rStyle w:val="FootnoteReference"/>
        </w:rPr>
        <w:footnoteRef/>
      </w:r>
      <w:r>
        <w:t xml:space="preserve"> Enforcement Instructions and Guidance, Chapter 55, 2013, Section 10, available at: </w:t>
      </w:r>
      <w:hyperlink r:id="rId300" w:history="1">
        <w:r w:rsidRPr="00666706">
          <w:rPr>
            <w:rStyle w:val="Hyperlink"/>
          </w:rPr>
          <w:t>https://www.gov.uk/government/uploads/system/uploads/attachment_data/file/307995/Chapter55.pdf</w:t>
        </w:r>
      </w:hyperlink>
      <w:r>
        <w:t xml:space="preserve"> </w:t>
      </w:r>
    </w:p>
  </w:footnote>
  <w:footnote w:id="508">
    <w:p w:rsidR="0016168E" w:rsidRDefault="0016168E" w:rsidP="002B6091">
      <w:pPr>
        <w:pStyle w:val="FootnoteText"/>
      </w:pPr>
      <w:r>
        <w:rPr>
          <w:rStyle w:val="FootnoteReference"/>
        </w:rPr>
        <w:footnoteRef/>
      </w:r>
      <w:r>
        <w:t xml:space="preserve"> See, for example, R(S) v SSHD [2011] available at </w:t>
      </w:r>
      <w:hyperlink r:id="rId301" w:history="1">
        <w:r w:rsidRPr="00666706">
          <w:rPr>
            <w:rStyle w:val="Hyperlink"/>
          </w:rPr>
          <w:t>http://www.bailii.org/ew/cases/EWHC/Admin/2011/2120.html</w:t>
        </w:r>
      </w:hyperlink>
      <w:r>
        <w:t xml:space="preserve"> and R(B.A.) v SSHD [2011] available at: </w:t>
      </w:r>
      <w:hyperlink r:id="rId302" w:history="1">
        <w:r w:rsidRPr="00666706">
          <w:rPr>
            <w:rStyle w:val="Hyperlink"/>
          </w:rPr>
          <w:t>http://www.bailii.org/ew/cases/EWHC/Admin/2011/2748.html</w:t>
        </w:r>
      </w:hyperlink>
      <w:r>
        <w:t xml:space="preserve"> </w:t>
      </w:r>
    </w:p>
  </w:footnote>
  <w:footnote w:id="509">
    <w:p w:rsidR="0016168E" w:rsidRDefault="0016168E" w:rsidP="002B6091">
      <w:pPr>
        <w:pStyle w:val="FootnoteText"/>
      </w:pPr>
      <w:r>
        <w:rPr>
          <w:rStyle w:val="FootnoteReference"/>
        </w:rPr>
        <w:footnoteRef/>
      </w:r>
      <w:r>
        <w:t xml:space="preserve"> R(HA (Nigeria)) v SSHD [2012] available at: </w:t>
      </w:r>
      <w:hyperlink r:id="rId303" w:history="1">
        <w:r w:rsidRPr="00666706">
          <w:rPr>
            <w:rStyle w:val="Hyperlink"/>
          </w:rPr>
          <w:t>http://www.bailii.org/ew/cases/EWHC/Admin/2012/979.html</w:t>
        </w:r>
      </w:hyperlink>
      <w:r>
        <w:t xml:space="preserve"> </w:t>
      </w:r>
    </w:p>
  </w:footnote>
  <w:footnote w:id="510">
    <w:p w:rsidR="0016168E" w:rsidRDefault="0016168E" w:rsidP="002B6091">
      <w:pPr>
        <w:pStyle w:val="FootnoteText"/>
      </w:pPr>
      <w:r>
        <w:rPr>
          <w:rStyle w:val="FootnoteReference"/>
        </w:rPr>
        <w:footnoteRef/>
      </w:r>
      <w:r>
        <w:t xml:space="preserve"> Her Majesty’s Chief Inspector of Prisons, Annual Report 2010-11, p.68, available at: </w:t>
      </w:r>
      <w:hyperlink r:id="rId304" w:history="1">
        <w:r w:rsidRPr="00666706">
          <w:rPr>
            <w:rStyle w:val="Hyperlink"/>
          </w:rPr>
          <w:t>http://www.justice.gov.uk/downloads/publications/corporate-reports/hmi-prisons/hmip-annual-report-2010-11.pdf</w:t>
        </w:r>
      </w:hyperlink>
      <w:r>
        <w:t xml:space="preserve"> </w:t>
      </w:r>
    </w:p>
  </w:footnote>
  <w:footnote w:id="511">
    <w:p w:rsidR="0016168E" w:rsidRDefault="0016168E" w:rsidP="002B6091">
      <w:pPr>
        <w:pStyle w:val="FootnoteText"/>
      </w:pPr>
      <w:r>
        <w:rPr>
          <w:rStyle w:val="FootnoteReference"/>
        </w:rPr>
        <w:footnoteRef/>
      </w:r>
      <w:r>
        <w:t xml:space="preserve"> Concluding Observations of the Committee Against Torture for the United Kingdom of Great Britain and Northern Ireland, May 2013, paragraph 30, available at: </w:t>
      </w:r>
      <w:hyperlink r:id="rId305" w:history="1">
        <w:r w:rsidRPr="007364CC">
          <w:rPr>
            <w:rStyle w:val="Hyperlink"/>
          </w:rPr>
          <w:t>http://tbinternet.ohchr.org/_layouts/treatybodyexternal/Download.aspx?symbolno=CAT%2fC%2fGBR%2fCO%2f5&amp;Lang=en</w:t>
        </w:r>
      </w:hyperlink>
      <w:r>
        <w:t xml:space="preserve"> </w:t>
      </w:r>
    </w:p>
  </w:footnote>
  <w:footnote w:id="512">
    <w:p w:rsidR="0016168E" w:rsidRDefault="0016168E" w:rsidP="002B6091">
      <w:pPr>
        <w:pStyle w:val="FootnoteText"/>
      </w:pPr>
      <w:r>
        <w:rPr>
          <w:rStyle w:val="FootnoteReference"/>
        </w:rPr>
        <w:footnoteRef/>
      </w:r>
      <w:r>
        <w:t xml:space="preserve"> Prison and Probation Ombudsman, Speech 14 May 2014, available at: </w:t>
      </w:r>
      <w:hyperlink r:id="rId306" w:history="1">
        <w:r w:rsidRPr="00666706">
          <w:rPr>
            <w:rStyle w:val="Hyperlink"/>
          </w:rPr>
          <w:t>http://www.ppo.gov.uk/docs/AVID_Annual_General_Meeting.pdf</w:t>
        </w:r>
      </w:hyperlink>
      <w:r>
        <w:t xml:space="preserve"> </w:t>
      </w:r>
    </w:p>
  </w:footnote>
  <w:footnote w:id="513">
    <w:p w:rsidR="0016168E" w:rsidRDefault="0016168E" w:rsidP="002B6091">
      <w:pPr>
        <w:pStyle w:val="FootnoteText"/>
      </w:pPr>
      <w:r>
        <w:rPr>
          <w:rStyle w:val="FootnoteReference"/>
        </w:rPr>
        <w:footnoteRef/>
      </w:r>
      <w:r>
        <w:t xml:space="preserve"> </w:t>
      </w:r>
      <w:r w:rsidRPr="000D719B">
        <w:t xml:space="preserve">Assistant Deputy Coroner, </w:t>
      </w:r>
      <w:proofErr w:type="spellStart"/>
      <w:r w:rsidRPr="000D719B">
        <w:t>Karon</w:t>
      </w:r>
      <w:proofErr w:type="spellEnd"/>
      <w:r w:rsidRPr="000D719B">
        <w:t xml:space="preserve"> Monaghan QC</w:t>
      </w:r>
      <w:r>
        <w:t xml:space="preserve">, </w:t>
      </w:r>
      <w:r w:rsidRPr="000D719B">
        <w:t xml:space="preserve">Inquest into the Death of Jimmy </w:t>
      </w:r>
      <w:proofErr w:type="spellStart"/>
      <w:r w:rsidRPr="000D719B">
        <w:t>Kelenda</w:t>
      </w:r>
      <w:proofErr w:type="spellEnd"/>
      <w:r w:rsidRPr="000D719B">
        <w:t xml:space="preserve"> </w:t>
      </w:r>
      <w:proofErr w:type="spellStart"/>
      <w:r w:rsidRPr="000D719B">
        <w:t>Mubenga</w:t>
      </w:r>
      <w:proofErr w:type="spellEnd"/>
      <w:r>
        <w:t xml:space="preserve">, 2013, p.5, available at: </w:t>
      </w:r>
      <w:hyperlink r:id="rId307" w:history="1">
        <w:r w:rsidRPr="00666706">
          <w:rPr>
            <w:rStyle w:val="Hyperlink"/>
          </w:rPr>
          <w:t>http://inquest.gn.apc.org/pdf/narratives/Mubenga_R43_Final_copy.pdf</w:t>
        </w:r>
      </w:hyperlink>
      <w:r>
        <w:t xml:space="preserve"> </w:t>
      </w:r>
    </w:p>
  </w:footnote>
  <w:footnote w:id="514">
    <w:p w:rsidR="0016168E" w:rsidRDefault="0016168E" w:rsidP="002B6091">
      <w:pPr>
        <w:pStyle w:val="FootnoteText"/>
      </w:pPr>
      <w:r>
        <w:rPr>
          <w:rStyle w:val="FootnoteReference"/>
        </w:rPr>
        <w:footnoteRef/>
      </w:r>
      <w:r>
        <w:t xml:space="preserve"> </w:t>
      </w:r>
      <w:r w:rsidRPr="000B625C">
        <w:t xml:space="preserve">This included ‘Control and Restraint’ (C&amp;R), for various holds, locks and pain control techniques which could be applied to subdue a detainee pending the application of restraint. </w:t>
      </w:r>
      <w:r>
        <w:t xml:space="preserve">Ministry of Justice, Use of Force Training Manual, 2006, available at: </w:t>
      </w:r>
      <w:hyperlink r:id="rId308" w:history="1">
        <w:r w:rsidRPr="00666706">
          <w:rPr>
            <w:rStyle w:val="Hyperlink"/>
          </w:rPr>
          <w:t>http://www.justice.gov.uk/downloads/information-access-rights/foi-disclosure-log/prison-probation/use-of-force-training-manual.pdf</w:t>
        </w:r>
      </w:hyperlink>
      <w:r>
        <w:t xml:space="preserve"> </w:t>
      </w:r>
    </w:p>
  </w:footnote>
  <w:footnote w:id="515">
    <w:p w:rsidR="0016168E" w:rsidRDefault="0016168E" w:rsidP="002B6091">
      <w:pPr>
        <w:pStyle w:val="FootnoteText"/>
      </w:pPr>
      <w:r>
        <w:rPr>
          <w:rStyle w:val="FootnoteReference"/>
        </w:rPr>
        <w:footnoteRef/>
      </w:r>
      <w:r>
        <w:t xml:space="preserve"> </w:t>
      </w:r>
      <w:r w:rsidRPr="000D719B">
        <w:t xml:space="preserve">Assistant Deputy Coroner, </w:t>
      </w:r>
      <w:proofErr w:type="spellStart"/>
      <w:r w:rsidRPr="000D719B">
        <w:t>Karon</w:t>
      </w:r>
      <w:proofErr w:type="spellEnd"/>
      <w:r w:rsidRPr="000D719B">
        <w:t xml:space="preserve"> Monaghan QC</w:t>
      </w:r>
      <w:r>
        <w:t xml:space="preserve">, </w:t>
      </w:r>
      <w:r w:rsidRPr="000D719B">
        <w:t xml:space="preserve">Inquest into the Death of Jimmy </w:t>
      </w:r>
      <w:proofErr w:type="spellStart"/>
      <w:r w:rsidRPr="000D719B">
        <w:t>Kelenda</w:t>
      </w:r>
      <w:proofErr w:type="spellEnd"/>
      <w:r w:rsidRPr="000D719B">
        <w:t xml:space="preserve"> </w:t>
      </w:r>
      <w:proofErr w:type="spellStart"/>
      <w:r w:rsidRPr="000D719B">
        <w:t>Mubenga</w:t>
      </w:r>
      <w:proofErr w:type="spellEnd"/>
      <w:r>
        <w:t xml:space="preserve">, 2013, p.6, available at: </w:t>
      </w:r>
      <w:hyperlink r:id="rId309" w:history="1">
        <w:r w:rsidRPr="00666706">
          <w:rPr>
            <w:rStyle w:val="Hyperlink"/>
          </w:rPr>
          <w:t>http://inquest.gn.apc.org/pdf/narratives/Mubenga_R43_Final_copy.pdf</w:t>
        </w:r>
      </w:hyperlink>
    </w:p>
  </w:footnote>
  <w:footnote w:id="516">
    <w:p w:rsidR="0016168E" w:rsidRDefault="0016168E" w:rsidP="002B6091">
      <w:pPr>
        <w:pStyle w:val="FootnoteText"/>
      </w:pPr>
      <w:r>
        <w:rPr>
          <w:rStyle w:val="FootnoteReference"/>
        </w:rPr>
        <w:footnoteRef/>
      </w:r>
      <w:r>
        <w:t xml:space="preserve"> Crown Prosecution Service Statement, 2014, available at: </w:t>
      </w:r>
      <w:hyperlink r:id="rId310" w:history="1">
        <w:r w:rsidRPr="00666706">
          <w:rPr>
            <w:rStyle w:val="Hyperlink"/>
          </w:rPr>
          <w:t>http://www.cps.gov.uk/news/latest_news/death_of_jimmy_mubenga/</w:t>
        </w:r>
      </w:hyperlink>
      <w:r>
        <w:t xml:space="preserve"> </w:t>
      </w:r>
    </w:p>
  </w:footnote>
  <w:footnote w:id="517">
    <w:p w:rsidR="0016168E" w:rsidRDefault="0016168E" w:rsidP="002B6091">
      <w:pPr>
        <w:pStyle w:val="FootnoteText"/>
      </w:pPr>
      <w:r>
        <w:rPr>
          <w:rStyle w:val="FootnoteReference"/>
        </w:rPr>
        <w:footnoteRef/>
      </w:r>
      <w:r>
        <w:t xml:space="preserve"> </w:t>
      </w:r>
      <w:r w:rsidRPr="000D719B">
        <w:t xml:space="preserve">Assistant Deputy Coroner, </w:t>
      </w:r>
      <w:proofErr w:type="spellStart"/>
      <w:r w:rsidRPr="000D719B">
        <w:t>Karon</w:t>
      </w:r>
      <w:proofErr w:type="spellEnd"/>
      <w:r w:rsidRPr="000D719B">
        <w:t xml:space="preserve"> Monaghan QC</w:t>
      </w:r>
      <w:r>
        <w:t xml:space="preserve">, </w:t>
      </w:r>
      <w:r w:rsidRPr="000D719B">
        <w:t xml:space="preserve">Inquest into the Death of Jimmy </w:t>
      </w:r>
      <w:proofErr w:type="spellStart"/>
      <w:r w:rsidRPr="000D719B">
        <w:t>Kelenda</w:t>
      </w:r>
      <w:proofErr w:type="spellEnd"/>
      <w:r w:rsidRPr="000D719B">
        <w:t xml:space="preserve"> </w:t>
      </w:r>
      <w:proofErr w:type="spellStart"/>
      <w:r w:rsidRPr="000D719B">
        <w:t>Mubenga</w:t>
      </w:r>
      <w:proofErr w:type="spellEnd"/>
      <w:r>
        <w:t xml:space="preserve">, 2013, p.16-19, available at: </w:t>
      </w:r>
      <w:hyperlink r:id="rId311" w:history="1">
        <w:r w:rsidRPr="00666706">
          <w:rPr>
            <w:rStyle w:val="Hyperlink"/>
          </w:rPr>
          <w:t>http://inquest.gn.apc.org/pdf/narratives/Mubenga_R43_Final_copy.pdf</w:t>
        </w:r>
      </w:hyperlink>
    </w:p>
  </w:footnote>
  <w:footnote w:id="518">
    <w:p w:rsidR="0016168E" w:rsidRDefault="0016168E" w:rsidP="002B6091">
      <w:pPr>
        <w:pStyle w:val="FootnoteText"/>
      </w:pPr>
      <w:r>
        <w:rPr>
          <w:rStyle w:val="FootnoteReference"/>
        </w:rPr>
        <w:footnoteRef/>
      </w:r>
      <w:r>
        <w:t xml:space="preserve"> </w:t>
      </w:r>
      <w:r w:rsidRPr="000D719B">
        <w:t xml:space="preserve">Assistant Deputy Coroner, </w:t>
      </w:r>
      <w:proofErr w:type="spellStart"/>
      <w:r w:rsidRPr="000D719B">
        <w:t>Karon</w:t>
      </w:r>
      <w:proofErr w:type="spellEnd"/>
      <w:r w:rsidRPr="000D719B">
        <w:t xml:space="preserve"> Monaghan QC</w:t>
      </w:r>
      <w:r>
        <w:t xml:space="preserve">, </w:t>
      </w:r>
      <w:r w:rsidRPr="000D719B">
        <w:t xml:space="preserve">Inquest into the Death of Jimmy </w:t>
      </w:r>
      <w:proofErr w:type="spellStart"/>
      <w:r w:rsidRPr="000D719B">
        <w:t>Kelenda</w:t>
      </w:r>
      <w:proofErr w:type="spellEnd"/>
      <w:r w:rsidRPr="000D719B">
        <w:t xml:space="preserve"> </w:t>
      </w:r>
      <w:proofErr w:type="spellStart"/>
      <w:r w:rsidRPr="000D719B">
        <w:t>Mubenga</w:t>
      </w:r>
      <w:proofErr w:type="spellEnd"/>
      <w:r>
        <w:t xml:space="preserve">, 2013, p.14-29, available at: </w:t>
      </w:r>
      <w:hyperlink r:id="rId312" w:history="1">
        <w:r w:rsidRPr="00666706">
          <w:rPr>
            <w:rStyle w:val="Hyperlink"/>
          </w:rPr>
          <w:t>http://inquest.gn.apc.org/pdf/narratives/Mubenga_R43_Final_copy.pdf</w:t>
        </w:r>
      </w:hyperlink>
    </w:p>
  </w:footnote>
  <w:footnote w:id="519">
    <w:p w:rsidR="0016168E" w:rsidRDefault="0016168E" w:rsidP="002B6091">
      <w:pPr>
        <w:pStyle w:val="FootnoteText"/>
      </w:pPr>
      <w:r>
        <w:rPr>
          <w:rStyle w:val="FootnoteReference"/>
        </w:rPr>
        <w:footnoteRef/>
      </w:r>
      <w:r>
        <w:t xml:space="preserve"> Her Majesty’s Chief Inspector of Prisons, Detainees under escort: Inspection of escort and removals to Pakistan, 2014, p6, available at: </w:t>
      </w:r>
      <w:hyperlink r:id="rId313" w:history="1">
        <w:r w:rsidRPr="00666706">
          <w:rPr>
            <w:rStyle w:val="Hyperlink"/>
          </w:rPr>
          <w:t>http://www.justiceinspectorates.gov.uk/hmiprisons/wp-content/uploads/sites/4/2014/05/2013-Pakistan-escort-web.pdf</w:t>
        </w:r>
      </w:hyperlink>
      <w:r>
        <w:t xml:space="preserve"> </w:t>
      </w:r>
    </w:p>
  </w:footnote>
  <w:footnote w:id="520">
    <w:p w:rsidR="0016168E" w:rsidRDefault="0016168E" w:rsidP="002B6091">
      <w:pPr>
        <w:pStyle w:val="FootnoteText"/>
      </w:pPr>
      <w:r>
        <w:rPr>
          <w:rStyle w:val="FootnoteReference"/>
        </w:rPr>
        <w:footnoteRef/>
      </w:r>
      <w:r>
        <w:t xml:space="preserve"> Her Majesty’s Chief Inspector of Prisons, Detainees under escort: Inspection of escort and removals to Pakistan, 2014, p5, available at: </w:t>
      </w:r>
      <w:hyperlink r:id="rId314" w:history="1">
        <w:r w:rsidRPr="00666706">
          <w:rPr>
            <w:rStyle w:val="Hyperlink"/>
          </w:rPr>
          <w:t>http://www.justiceinspectorates.gov.uk/hmiprisons/wp-content/uploads/sites/4/2014/05/2013-Pakistan-escort-web.pdf</w:t>
        </w:r>
      </w:hyperlink>
    </w:p>
  </w:footnote>
  <w:footnote w:id="521">
    <w:p w:rsidR="0016168E" w:rsidRDefault="0016168E" w:rsidP="002B6091">
      <w:pPr>
        <w:pStyle w:val="FootnoteText"/>
      </w:pPr>
      <w:r>
        <w:rPr>
          <w:rStyle w:val="FootnoteReference"/>
        </w:rPr>
        <w:footnoteRef/>
      </w:r>
      <w:r>
        <w:t xml:space="preserve"> Her Majesty’s Chief Inspector of Prisons, Detainees under escort: Inspection of escort and removals to Pakistan, 2014, p15, available at: </w:t>
      </w:r>
      <w:hyperlink r:id="rId315" w:history="1">
        <w:r w:rsidRPr="00666706">
          <w:rPr>
            <w:rStyle w:val="Hyperlink"/>
          </w:rPr>
          <w:t>http://www.justiceinspectorates.gov.uk/hmiprisons/wp-content/uploads/sites/4/2014/05/2013-Pakistan-escort-web.pdf</w:t>
        </w:r>
      </w:hyperlink>
    </w:p>
  </w:footnote>
  <w:footnote w:id="522">
    <w:p w:rsidR="0016168E" w:rsidRDefault="0016168E" w:rsidP="002B6091">
      <w:pPr>
        <w:pStyle w:val="FootnoteText"/>
      </w:pPr>
      <w:r>
        <w:rPr>
          <w:rStyle w:val="FootnoteReference"/>
        </w:rPr>
        <w:footnoteRef/>
      </w:r>
      <w:r>
        <w:t xml:space="preserve"> Her Majesty’s Chief Inspector of Prisons, Detainees under escort: Inspection of escort and removals to Pakistan, 2014, p10, available at: </w:t>
      </w:r>
      <w:hyperlink r:id="rId316" w:history="1">
        <w:r w:rsidRPr="00666706">
          <w:rPr>
            <w:rStyle w:val="Hyperlink"/>
          </w:rPr>
          <w:t>http://www.justiceinspectorates.gov.uk/hmiprisons/wp-content/uploads/sites/4/2014/05/2013-Pakistan-escort-web.pdf</w:t>
        </w:r>
      </w:hyperlink>
    </w:p>
  </w:footnote>
  <w:footnote w:id="523">
    <w:p w:rsidR="0016168E" w:rsidRDefault="0016168E" w:rsidP="002B6091">
      <w:pPr>
        <w:pStyle w:val="FootnoteText"/>
      </w:pPr>
      <w:r>
        <w:rPr>
          <w:rStyle w:val="FootnoteReference"/>
        </w:rPr>
        <w:footnoteRef/>
      </w:r>
      <w:r>
        <w:t xml:space="preserve"> Her Majesty’s Chief Inspector of Prisons, Detainees under escort: Inspection of escort and removals to Pakistan, 2014, p18-20, available at: </w:t>
      </w:r>
      <w:hyperlink r:id="rId317" w:history="1">
        <w:r w:rsidRPr="00666706">
          <w:rPr>
            <w:rStyle w:val="Hyperlink"/>
          </w:rPr>
          <w:t>http://www.justiceinspectorates.gov.uk/hmiprisons/wp-content/uploads/sites/4/2014/05/2013-Pakistan-escort-web.pdf</w:t>
        </w:r>
      </w:hyperlink>
    </w:p>
  </w:footnote>
  <w:footnote w:id="524">
    <w:p w:rsidR="0016168E" w:rsidRDefault="0016168E" w:rsidP="002B6091">
      <w:pPr>
        <w:pStyle w:val="FootnoteText"/>
      </w:pPr>
      <w:r>
        <w:rPr>
          <w:rStyle w:val="FootnoteReference"/>
        </w:rPr>
        <w:footnoteRef/>
      </w:r>
      <w:r>
        <w:t xml:space="preserve"> See, for example, the House of Commons Home Affairs Committee, Rules governing enforced removals from the UK, 2012, para 16, available at: </w:t>
      </w:r>
      <w:hyperlink r:id="rId318" w:history="1">
        <w:r w:rsidRPr="00666706">
          <w:rPr>
            <w:rStyle w:val="Hyperlink"/>
          </w:rPr>
          <w:t>http://www.publications.parliament.uk/pa/cm201012/cmselect/cmhaff/563/563.pdf</w:t>
        </w:r>
      </w:hyperlink>
      <w:r>
        <w:t xml:space="preserve"> </w:t>
      </w:r>
    </w:p>
  </w:footnote>
  <w:footnote w:id="525">
    <w:p w:rsidR="0016168E" w:rsidRDefault="0016168E" w:rsidP="002B6091">
      <w:pPr>
        <w:pStyle w:val="FootnoteText"/>
      </w:pPr>
      <w:r>
        <w:rPr>
          <w:rStyle w:val="FootnoteReference"/>
        </w:rPr>
        <w:footnoteRef/>
      </w:r>
      <w:r>
        <w:t xml:space="preserve"> Immigration and Security Minister, Written Statement to the House of Commons, 26 June 2014, available at: </w:t>
      </w:r>
      <w:hyperlink r:id="rId319" w:history="1">
        <w:r w:rsidRPr="00D235CD">
          <w:rPr>
            <w:rStyle w:val="Hyperlink"/>
          </w:rPr>
          <w:t>https://www.gov.uk/government/speeches/new-system-of-restraint-for-managing-people-safely-during-immigration-removals</w:t>
        </w:r>
      </w:hyperlink>
      <w:r>
        <w:t xml:space="preserve"> </w:t>
      </w:r>
    </w:p>
  </w:footnote>
  <w:footnote w:id="526">
    <w:p w:rsidR="0016168E" w:rsidRDefault="0016168E" w:rsidP="002B6091">
      <w:pPr>
        <w:pStyle w:val="FootnoteText"/>
      </w:pPr>
      <w:r>
        <w:rPr>
          <w:rStyle w:val="FootnoteReference"/>
        </w:rPr>
        <w:footnoteRef/>
      </w:r>
      <w:r>
        <w:t xml:space="preserve"> Dame </w:t>
      </w:r>
      <w:proofErr w:type="spellStart"/>
      <w:r>
        <w:t>Nuala</w:t>
      </w:r>
      <w:proofErr w:type="spellEnd"/>
      <w:r>
        <w:t xml:space="preserve"> </w:t>
      </w:r>
      <w:proofErr w:type="spellStart"/>
      <w:r>
        <w:t>O’Loan</w:t>
      </w:r>
      <w:proofErr w:type="spellEnd"/>
      <w:r>
        <w:t xml:space="preserve">, Report to the United Kingdom Border Agency on “Outsourcing Abuse” 2010, available at: </w:t>
      </w:r>
      <w:hyperlink r:id="rId320" w:history="1">
        <w:r w:rsidRPr="00666706">
          <w:rPr>
            <w:rStyle w:val="Hyperlink"/>
          </w:rPr>
          <w:t>http://www.medicaljustice.org.uk/images/stories/reports/reportonoutsourcingabuse.pdf</w:t>
        </w:r>
      </w:hyperlink>
      <w:r>
        <w:t xml:space="preserve"> </w:t>
      </w:r>
    </w:p>
  </w:footnote>
  <w:footnote w:id="527">
    <w:p w:rsidR="0016168E" w:rsidRDefault="0016168E" w:rsidP="002B6091">
      <w:pPr>
        <w:pStyle w:val="FootnoteText"/>
      </w:pPr>
      <w:r>
        <w:rPr>
          <w:rStyle w:val="FootnoteReference"/>
        </w:rPr>
        <w:footnoteRef/>
      </w:r>
      <w:r>
        <w:t xml:space="preserve"> Report of the Independent Panel for Non Compliance Management, 2014, available at: </w:t>
      </w:r>
      <w:hyperlink r:id="rId321" w:history="1">
        <w:r w:rsidRPr="00D235CD">
          <w:rPr>
            <w:rStyle w:val="Hyperlink"/>
          </w:rPr>
          <w:t>https://www.gov.uk/government/publications/use-of-force-when-removing-people-from-the-uk-a-restraint-system</w:t>
        </w:r>
      </w:hyperlink>
      <w:r>
        <w:t xml:space="preserve"> </w:t>
      </w:r>
    </w:p>
  </w:footnote>
  <w:footnote w:id="528">
    <w:p w:rsidR="0016168E" w:rsidRDefault="0016168E" w:rsidP="002B6091">
      <w:pPr>
        <w:pStyle w:val="FootnoteText"/>
      </w:pPr>
      <w:r>
        <w:rPr>
          <w:rStyle w:val="FootnoteReference"/>
        </w:rPr>
        <w:footnoteRef/>
      </w:r>
      <w:r>
        <w:t xml:space="preserve"> Deputy Prime Minister’s Speech, 17 June 2010, available at: </w:t>
      </w:r>
      <w:hyperlink r:id="rId322" w:history="1">
        <w:r w:rsidRPr="00D235CD">
          <w:rPr>
            <w:rStyle w:val="Hyperlink"/>
          </w:rPr>
          <w:t>https://www.gov.uk/government/speeches/deputy-pms-speech-on-children-and-families</w:t>
        </w:r>
      </w:hyperlink>
      <w:r>
        <w:t xml:space="preserve"> </w:t>
      </w:r>
    </w:p>
  </w:footnote>
  <w:footnote w:id="529">
    <w:p w:rsidR="0016168E" w:rsidRDefault="0016168E" w:rsidP="002B6091">
      <w:pPr>
        <w:pStyle w:val="FootnoteText"/>
      </w:pPr>
      <w:r>
        <w:rPr>
          <w:rStyle w:val="FootnoteReference"/>
        </w:rPr>
        <w:footnoteRef/>
      </w:r>
      <w:r>
        <w:t xml:space="preserve"> Home Office, Review into Ending the Detention of Children for Immigration Purposes, December 2010, available at: </w:t>
      </w:r>
      <w:hyperlink r:id="rId323" w:history="1">
        <w:r w:rsidRPr="00D235CD">
          <w:rPr>
            <w:rStyle w:val="Hyperlink"/>
          </w:rPr>
          <w:t>https://www.gov.uk/government/uploads/system/uploads/attachment_data/file/275349/child-detention-conclusions.pdf</w:t>
        </w:r>
      </w:hyperlink>
      <w:r>
        <w:t xml:space="preserve"> </w:t>
      </w:r>
    </w:p>
  </w:footnote>
  <w:footnote w:id="530">
    <w:p w:rsidR="0016168E" w:rsidRDefault="0016168E" w:rsidP="002B6091">
      <w:pPr>
        <w:pStyle w:val="FootnoteText"/>
      </w:pPr>
      <w:r>
        <w:rPr>
          <w:rStyle w:val="FootnoteReference"/>
        </w:rPr>
        <w:footnoteRef/>
      </w:r>
      <w:r>
        <w:t xml:space="preserve"> Home Office response to a Freedom of Information request by the Children’s Society, available at: </w:t>
      </w:r>
      <w:hyperlink r:id="rId324" w:history="1">
        <w:r w:rsidRPr="00D235CD">
          <w:rPr>
            <w:rStyle w:val="Hyperlink"/>
          </w:rPr>
          <w:t>http://www.childrenssociety.org.uk/news-views/press-release/almost-700-children-detained-four-months</w:t>
        </w:r>
      </w:hyperlink>
      <w:r>
        <w:t xml:space="preserve"> </w:t>
      </w:r>
    </w:p>
  </w:footnote>
  <w:footnote w:id="531">
    <w:p w:rsidR="0016168E" w:rsidRDefault="0016168E" w:rsidP="002B6091">
      <w:pPr>
        <w:pStyle w:val="FootnoteText"/>
      </w:pPr>
      <w:r>
        <w:rPr>
          <w:rStyle w:val="FootnoteReference"/>
        </w:rPr>
        <w:footnoteRef/>
      </w:r>
      <w:r>
        <w:t xml:space="preserve"> Office of the Children’s Commissioner, England, Landing in Dover, 2012, p.7 available at: </w:t>
      </w:r>
      <w:hyperlink r:id="rId325" w:history="1">
        <w:r w:rsidRPr="00D235CD">
          <w:rPr>
            <w:rStyle w:val="Hyperlink"/>
          </w:rPr>
          <w:t>http://www.childrenscommissioner.gov.uk/content/publications/content_556</w:t>
        </w:r>
      </w:hyperlink>
      <w:r>
        <w:t xml:space="preserve"> </w:t>
      </w:r>
    </w:p>
  </w:footnote>
  <w:footnote w:id="532">
    <w:p w:rsidR="0016168E" w:rsidRDefault="0016168E" w:rsidP="002B6091">
      <w:pPr>
        <w:pStyle w:val="FootnoteText"/>
      </w:pPr>
      <w:r>
        <w:rPr>
          <w:rStyle w:val="FootnoteReference"/>
        </w:rPr>
        <w:footnoteRef/>
      </w:r>
      <w:r>
        <w:t xml:space="preserve"> Home Office, Children Entering Detention for Immigration Purposes, 2014, available at: </w:t>
      </w:r>
      <w:hyperlink r:id="rId326" w:history="1">
        <w:r w:rsidRPr="00D235CD">
          <w:rPr>
            <w:rStyle w:val="Hyperlink"/>
          </w:rPr>
          <w:t>https://www.gov.uk/government/statistical-data-sets/children-entering-detention-under-immigration-act-powers</w:t>
        </w:r>
      </w:hyperlink>
      <w:r>
        <w:t xml:space="preserve"> </w:t>
      </w:r>
    </w:p>
  </w:footnote>
  <w:footnote w:id="533">
    <w:p w:rsidR="0016168E" w:rsidRDefault="0016168E" w:rsidP="002B6091">
      <w:pPr>
        <w:pStyle w:val="FootnoteText"/>
      </w:pPr>
      <w:r>
        <w:rPr>
          <w:rStyle w:val="FootnoteReference"/>
        </w:rPr>
        <w:footnoteRef/>
      </w:r>
      <w:r>
        <w:t xml:space="preserve"> </w:t>
      </w:r>
      <w:proofErr w:type="spellStart"/>
      <w:r>
        <w:t>Barnardo’s</w:t>
      </w:r>
      <w:proofErr w:type="spellEnd"/>
      <w:r>
        <w:t xml:space="preserve">, Cedar’s Two Years On, April 2014, available at: </w:t>
      </w:r>
      <w:hyperlink r:id="rId327" w:history="1">
        <w:r w:rsidRPr="00D235CD">
          <w:rPr>
            <w:rStyle w:val="Hyperlink"/>
          </w:rPr>
          <w:t>http://www.barnardos.org.uk/16120_cedars_report.pdf</w:t>
        </w:r>
      </w:hyperlink>
      <w:r>
        <w:t xml:space="preserve"> </w:t>
      </w:r>
    </w:p>
  </w:footnote>
  <w:footnote w:id="534">
    <w:p w:rsidR="0016168E" w:rsidRDefault="0016168E" w:rsidP="002B6091">
      <w:pPr>
        <w:pStyle w:val="FootnoteText"/>
      </w:pPr>
      <w:r>
        <w:rPr>
          <w:rStyle w:val="FootnoteReference"/>
        </w:rPr>
        <w:footnoteRef/>
      </w:r>
      <w:r>
        <w:t xml:space="preserve"> The State concentrates on the issue of deaths in custody in its Seventh periodic reports of States parties for the United Kingdom of Great Britain and Northern Ireland, 29 December 2012, para 519-536, available at: </w:t>
      </w:r>
      <w:hyperlink r:id="rId328" w:history="1">
        <w:r w:rsidRPr="00C04B66">
          <w:rPr>
            <w:rStyle w:val="Hyperlink"/>
          </w:rPr>
          <w:t>http://tbinternet.ohchr.org/_layouts/treatybodyexternal/Download.aspx?symbolno=CCPR%2fC%2fGBR%2f7&amp;Lang=en</w:t>
        </w:r>
      </w:hyperlink>
    </w:p>
  </w:footnote>
  <w:footnote w:id="535">
    <w:p w:rsidR="0016168E" w:rsidRPr="00707596" w:rsidRDefault="0016168E" w:rsidP="002B6091">
      <w:pPr>
        <w:pStyle w:val="FootnoteText"/>
        <w:rPr>
          <w:rFonts w:cs="Arial"/>
        </w:rPr>
      </w:pPr>
      <w:r w:rsidRPr="00707596">
        <w:rPr>
          <w:rStyle w:val="FootnoteReference"/>
          <w:rFonts w:cs="Arial"/>
        </w:rPr>
        <w:footnoteRef/>
      </w:r>
      <w:r w:rsidR="008C67B4">
        <w:rPr>
          <w:rFonts w:cs="Arial"/>
        </w:rPr>
        <w:t xml:space="preserve"> </w:t>
      </w:r>
      <w:r w:rsidRPr="00707596">
        <w:rPr>
          <w:rFonts w:cs="Arial"/>
        </w:rPr>
        <w:t>Ranking is based on figures taken from similar, but not identical periods of time and is based on population estimates. Scotland also has an imprisonment rate of 153 prisoners</w:t>
      </w:r>
      <w:r>
        <w:rPr>
          <w:rFonts w:cs="Arial"/>
        </w:rPr>
        <w:t xml:space="preserve">. Available at: </w:t>
      </w:r>
      <w:hyperlink r:id="rId329" w:history="1">
        <w:r w:rsidRPr="00D235CD">
          <w:rPr>
            <w:rStyle w:val="Hyperlink"/>
            <w:rFonts w:cs="Arial"/>
          </w:rPr>
          <w:t>http://www.idcr.org.uk/wp-content/uploads/2010/09/WPPL-9-22.pdf</w:t>
        </w:r>
      </w:hyperlink>
      <w:r w:rsidRPr="00707596">
        <w:rPr>
          <w:rFonts w:cs="Arial"/>
        </w:rPr>
        <w:t>.</w:t>
      </w:r>
      <w:r>
        <w:rPr>
          <w:rFonts w:cs="Arial"/>
        </w:rPr>
        <w:t xml:space="preserve"> </w:t>
      </w:r>
    </w:p>
  </w:footnote>
  <w:footnote w:id="536">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spellStart"/>
      <w:proofErr w:type="gramStart"/>
      <w:r w:rsidRPr="00707596">
        <w:rPr>
          <w:rFonts w:cs="Arial"/>
        </w:rPr>
        <w:t>MoJ</w:t>
      </w:r>
      <w:proofErr w:type="spellEnd"/>
      <w:r w:rsidRPr="00707596">
        <w:rPr>
          <w:rFonts w:cs="Arial"/>
        </w:rPr>
        <w:t>.</w:t>
      </w:r>
      <w:proofErr w:type="gramEnd"/>
      <w:r w:rsidRPr="00707596">
        <w:rPr>
          <w:rFonts w:cs="Arial"/>
        </w:rPr>
        <w:t xml:space="preserve"> 2014. Population Bulletin Weekly. 25 April 2014: </w:t>
      </w:r>
      <w:hyperlink r:id="rId330" w:history="1">
        <w:r w:rsidRPr="00707596">
          <w:rPr>
            <w:rStyle w:val="Hyperlink"/>
            <w:rFonts w:cs="Arial"/>
          </w:rPr>
          <w:t>https://www.gov.uk/government/publications/prison-population-figures-2014</w:t>
        </w:r>
      </w:hyperlink>
      <w:r w:rsidRPr="00707596">
        <w:rPr>
          <w:rFonts w:cs="Arial"/>
        </w:rPr>
        <w:t xml:space="preserve">. </w:t>
      </w:r>
    </w:p>
  </w:footnote>
  <w:footnote w:id="537">
    <w:p w:rsidR="0016168E" w:rsidRDefault="0016168E" w:rsidP="002B6091">
      <w:pPr>
        <w:pStyle w:val="FootnoteText"/>
      </w:pPr>
      <w:r>
        <w:rPr>
          <w:rStyle w:val="FootnoteReference"/>
        </w:rPr>
        <w:footnoteRef/>
      </w:r>
      <w:r>
        <w:t xml:space="preserve"> Ministry of Justice, Story of the Prison Population: 1992-2012, 2013, available at: </w:t>
      </w:r>
      <w:hyperlink r:id="rId331" w:history="1">
        <w:r w:rsidRPr="00217858">
          <w:rPr>
            <w:rStyle w:val="Hyperlink"/>
          </w:rPr>
          <w:t>https://www.gov.uk/government/publications/story-of-the-prison-population-1993-2012</w:t>
        </w:r>
      </w:hyperlink>
      <w:r>
        <w:t xml:space="preserve"> </w:t>
      </w:r>
    </w:p>
  </w:footnote>
  <w:footnote w:id="538">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r w:rsidRPr="00707596">
        <w:rPr>
          <w:rFonts w:cs="Arial"/>
          <w:bCs/>
        </w:rPr>
        <w:t>74 of 118 prisons were overcrowded based on these standards</w:t>
      </w:r>
      <w:r w:rsidRPr="00707596">
        <w:rPr>
          <w:rFonts w:cs="Arial"/>
        </w:rPr>
        <w:t xml:space="preserve"> </w:t>
      </w:r>
      <w:proofErr w:type="spellStart"/>
      <w:r w:rsidRPr="00707596">
        <w:rPr>
          <w:rFonts w:cs="Arial"/>
        </w:rPr>
        <w:t>MoJ</w:t>
      </w:r>
      <w:proofErr w:type="spellEnd"/>
      <w:r w:rsidRPr="00707596">
        <w:rPr>
          <w:rFonts w:cs="Arial"/>
        </w:rPr>
        <w:t xml:space="preserve">. Population Bulletin Monthly April 2014: </w:t>
      </w:r>
      <w:hyperlink r:id="rId332" w:history="1">
        <w:r w:rsidRPr="007364CC">
          <w:rPr>
            <w:rStyle w:val="Hyperlink"/>
            <w:rFonts w:cs="Arial"/>
          </w:rPr>
          <w:t>https://www.gov.uk/government/publications/prison-population-figures-2014</w:t>
        </w:r>
      </w:hyperlink>
      <w:r w:rsidR="008C67B4">
        <w:rPr>
          <w:rFonts w:cs="Arial"/>
        </w:rPr>
        <w:t xml:space="preserve"> </w:t>
      </w:r>
    </w:p>
  </w:footnote>
  <w:footnote w:id="539">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spellStart"/>
      <w:proofErr w:type="gramStart"/>
      <w:r w:rsidRPr="00707596">
        <w:rPr>
          <w:rFonts w:cs="Arial"/>
        </w:rPr>
        <w:t>MoJ</w:t>
      </w:r>
      <w:proofErr w:type="spellEnd"/>
      <w:r w:rsidRPr="00707596">
        <w:rPr>
          <w:rFonts w:cs="Arial"/>
        </w:rPr>
        <w:t>.</w:t>
      </w:r>
      <w:proofErr w:type="gramEnd"/>
      <w:r w:rsidRPr="00707596">
        <w:rPr>
          <w:rFonts w:cs="Arial"/>
        </w:rPr>
        <w:t xml:space="preserve"> 2</w:t>
      </w:r>
      <w:r>
        <w:rPr>
          <w:rFonts w:cs="Arial"/>
        </w:rPr>
        <w:t xml:space="preserve">013. NOMS Business Plan 2013-14, available at: </w:t>
      </w:r>
      <w:hyperlink r:id="rId333" w:history="1">
        <w:r w:rsidRPr="007364CC">
          <w:rPr>
            <w:rStyle w:val="Hyperlink"/>
            <w:rFonts w:cs="Arial"/>
          </w:rPr>
          <w:t>http://www.justice.gov.uk/downloads/publications/corporate-reports/noms/2013/noms-business-plan-2013-2014.pdf</w:t>
        </w:r>
      </w:hyperlink>
      <w:r>
        <w:rPr>
          <w:rFonts w:cs="Arial"/>
        </w:rPr>
        <w:t xml:space="preserve"> </w:t>
      </w:r>
    </w:p>
  </w:footnote>
  <w:footnote w:id="540">
    <w:p w:rsidR="0016168E" w:rsidRDefault="0016168E" w:rsidP="002B6091">
      <w:pPr>
        <w:pStyle w:val="FootnoteText"/>
      </w:pPr>
      <w:r>
        <w:rPr>
          <w:rStyle w:val="FootnoteReference"/>
        </w:rPr>
        <w:footnoteRef/>
      </w:r>
      <w:r>
        <w:t xml:space="preserve"> National Audit Office, Managing the Prison Estate, 2013, p.26, available at: </w:t>
      </w:r>
      <w:hyperlink r:id="rId334" w:history="1">
        <w:r w:rsidRPr="00205A9F">
          <w:rPr>
            <w:rStyle w:val="Hyperlink"/>
          </w:rPr>
          <w:t>http://www.nao.org.uk/report/managing-the-prison-estate/</w:t>
        </w:r>
      </w:hyperlink>
      <w:r>
        <w:t xml:space="preserve"> </w:t>
      </w:r>
    </w:p>
  </w:footnote>
  <w:footnote w:id="541">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sidRPr="00707596">
        <w:rPr>
          <w:rFonts w:cs="Arial"/>
        </w:rPr>
        <w:t>NOMS.</w:t>
      </w:r>
      <w:proofErr w:type="gramEnd"/>
      <w:r w:rsidRPr="00707596">
        <w:rPr>
          <w:rFonts w:cs="Arial"/>
        </w:rPr>
        <w:t xml:space="preserve"> Business Plan 2014-15: </w:t>
      </w:r>
      <w:hyperlink r:id="rId335" w:history="1">
        <w:r w:rsidRPr="007364CC">
          <w:rPr>
            <w:rStyle w:val="Hyperlink"/>
            <w:rFonts w:cs="Arial"/>
          </w:rPr>
          <w:t>https://www.gov.uk/government/uploads/system/uploads/attachment_data/file/302776/NOMS_Business_Plan_201415.pdf</w:t>
        </w:r>
      </w:hyperlink>
      <w:r>
        <w:rPr>
          <w:rFonts w:cs="Arial"/>
        </w:rPr>
        <w:t xml:space="preserve"> </w:t>
      </w:r>
    </w:p>
  </w:footnote>
  <w:footnote w:id="542">
    <w:p w:rsidR="0016168E" w:rsidRPr="00707596" w:rsidRDefault="0016168E" w:rsidP="002B6091">
      <w:pPr>
        <w:pStyle w:val="FootnoteText"/>
        <w:rPr>
          <w:rFonts w:cs="Arial"/>
        </w:rPr>
      </w:pPr>
      <w:r w:rsidRPr="00707596">
        <w:rPr>
          <w:rStyle w:val="FootnoteReference"/>
          <w:rFonts w:cs="Arial"/>
        </w:rPr>
        <w:footnoteRef/>
      </w:r>
      <w:proofErr w:type="gramStart"/>
      <w:r w:rsidRPr="00707596">
        <w:rPr>
          <w:rFonts w:cs="Arial"/>
        </w:rPr>
        <w:t>NOMS.</w:t>
      </w:r>
      <w:proofErr w:type="gramEnd"/>
      <w:r w:rsidRPr="00707596">
        <w:rPr>
          <w:rFonts w:cs="Arial"/>
        </w:rPr>
        <w:t xml:space="preserve"> Business Plan 2014-15: </w:t>
      </w:r>
      <w:hyperlink r:id="rId336" w:history="1">
        <w:r w:rsidRPr="007364CC">
          <w:rPr>
            <w:rStyle w:val="Hyperlink"/>
            <w:rFonts w:cs="Arial"/>
          </w:rPr>
          <w:t>https://www.gov.uk/government/uploads/system/uploads/attachment_data/file/302776/NOMS_Business_Plan_201415.pdf</w:t>
        </w:r>
      </w:hyperlink>
    </w:p>
  </w:footnote>
  <w:footnote w:id="543">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sidRPr="00707596">
        <w:rPr>
          <w:rFonts w:cs="Arial"/>
        </w:rPr>
        <w:t>HM Chief Inspector of Prisons.</w:t>
      </w:r>
      <w:proofErr w:type="gramEnd"/>
      <w:r w:rsidRPr="00707596">
        <w:rPr>
          <w:rFonts w:cs="Arial"/>
        </w:rPr>
        <w:t xml:space="preserve"> 2014. </w:t>
      </w:r>
      <w:r w:rsidRPr="00707596">
        <w:rPr>
          <w:rFonts w:cs="Arial"/>
          <w:i/>
        </w:rPr>
        <w:t>Annual Report 2012-13:</w:t>
      </w:r>
      <w:r w:rsidRPr="00707596">
        <w:rPr>
          <w:rFonts w:cs="Arial"/>
        </w:rPr>
        <w:t xml:space="preserve"> </w:t>
      </w:r>
      <w:hyperlink r:id="rId337" w:history="1">
        <w:r w:rsidRPr="007364CC">
          <w:rPr>
            <w:rStyle w:val="Hyperlink"/>
            <w:rFonts w:cs="Arial"/>
            <w:bCs/>
          </w:rPr>
          <w:t>http://www.justice.gov.uk/downloads/publications/corporate-reports/hmi-prisons/hm-inspectorate-prisons-annual-report-2012-13.pdf</w:t>
        </w:r>
      </w:hyperlink>
      <w:r>
        <w:rPr>
          <w:rFonts w:cs="Arial"/>
          <w:bCs/>
        </w:rPr>
        <w:t xml:space="preserve"> </w:t>
      </w:r>
    </w:p>
  </w:footnote>
  <w:footnote w:id="544">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sidRPr="00707596">
        <w:rPr>
          <w:rFonts w:cs="Arial"/>
        </w:rPr>
        <w:t>HM Chief Inspector of Prisons.</w:t>
      </w:r>
      <w:proofErr w:type="gramEnd"/>
      <w:r w:rsidRPr="00707596">
        <w:rPr>
          <w:rFonts w:cs="Arial"/>
        </w:rPr>
        <w:t xml:space="preserve"> 2014. </w:t>
      </w:r>
      <w:r w:rsidRPr="00707596">
        <w:rPr>
          <w:rFonts w:cs="Arial"/>
          <w:i/>
        </w:rPr>
        <w:t>Annual Report 2012-13.</w:t>
      </w:r>
      <w:r w:rsidRPr="00707596">
        <w:rPr>
          <w:rFonts w:cs="Arial"/>
        </w:rPr>
        <w:t>Table 1, page.8, page 10</w:t>
      </w:r>
      <w:r w:rsidRPr="00707596">
        <w:rPr>
          <w:rFonts w:cs="Arial"/>
          <w:i/>
        </w:rPr>
        <w:t>:</w:t>
      </w:r>
      <w:r w:rsidRPr="00707596">
        <w:rPr>
          <w:rFonts w:cs="Arial"/>
        </w:rPr>
        <w:t xml:space="preserve"> </w:t>
      </w:r>
      <w:hyperlink r:id="rId338" w:history="1">
        <w:r w:rsidRPr="007364CC">
          <w:rPr>
            <w:rStyle w:val="Hyperlink"/>
            <w:rFonts w:cs="Arial"/>
            <w:bCs/>
          </w:rPr>
          <w:t>http://www.justice.gov.uk/downloads/publications/corporate-reports/hmi-prisons/hm-inspectorate-prisons-annual-report-2012-13.pdf</w:t>
        </w:r>
      </w:hyperlink>
      <w:r>
        <w:rPr>
          <w:rFonts w:cs="Arial"/>
          <w:bCs/>
        </w:rPr>
        <w:t xml:space="preserve"> </w:t>
      </w:r>
    </w:p>
  </w:footnote>
  <w:footnote w:id="545">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sidRPr="00707596">
        <w:rPr>
          <w:rFonts w:cs="Arial"/>
        </w:rPr>
        <w:t>HM Chief Inspector of Prisons.</w:t>
      </w:r>
      <w:proofErr w:type="gramEnd"/>
      <w:r w:rsidRPr="00707596">
        <w:rPr>
          <w:rFonts w:cs="Arial"/>
        </w:rPr>
        <w:t xml:space="preserve"> 2014. </w:t>
      </w:r>
      <w:r w:rsidRPr="00707596">
        <w:rPr>
          <w:rFonts w:cs="Arial"/>
          <w:i/>
        </w:rPr>
        <w:t>Annual Report 2012-13.</w:t>
      </w:r>
      <w:r w:rsidRPr="00707596">
        <w:rPr>
          <w:rFonts w:cs="Arial"/>
        </w:rPr>
        <w:t>Table 1, page.8, page 10</w:t>
      </w:r>
      <w:r w:rsidRPr="00707596">
        <w:rPr>
          <w:rFonts w:cs="Arial"/>
          <w:i/>
        </w:rPr>
        <w:t>:</w:t>
      </w:r>
      <w:r w:rsidRPr="00707596">
        <w:rPr>
          <w:rFonts w:cs="Arial"/>
        </w:rPr>
        <w:t xml:space="preserve"> </w:t>
      </w:r>
      <w:hyperlink r:id="rId339" w:history="1">
        <w:r w:rsidRPr="007364CC">
          <w:rPr>
            <w:rStyle w:val="Hyperlink"/>
            <w:rFonts w:cs="Arial"/>
            <w:bCs/>
          </w:rPr>
          <w:t>http://www.justice.gov.uk/downloads/publications/corporate-reports/hmi-prisons/hm-inspectorate-prisons-annual-report-2012-13.pdf</w:t>
        </w:r>
      </w:hyperlink>
    </w:p>
  </w:footnote>
  <w:footnote w:id="546">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HM Chief Inspector of Prison</w:t>
      </w:r>
      <w:r>
        <w:rPr>
          <w:rFonts w:cs="Arial"/>
        </w:rPr>
        <w:t xml:space="preserve">s Annual Report 2011-12. Page 8, available at: </w:t>
      </w:r>
      <w:hyperlink r:id="rId340" w:history="1">
        <w:r w:rsidRPr="007364CC">
          <w:rPr>
            <w:rStyle w:val="Hyperlink"/>
            <w:rFonts w:cs="Arial"/>
          </w:rPr>
          <w:t>http://www.justice.gov.uk/downloads/publications/corporate-reports/hmi-prisons/hm-inspectorate-prisons-annual-report-2011-12.pdf</w:t>
        </w:r>
      </w:hyperlink>
      <w:r>
        <w:rPr>
          <w:rFonts w:cs="Arial"/>
        </w:rPr>
        <w:t xml:space="preserve"> </w:t>
      </w:r>
    </w:p>
  </w:footnote>
  <w:footnote w:id="547">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spellStart"/>
      <w:proofErr w:type="gramStart"/>
      <w:r w:rsidRPr="00707596">
        <w:rPr>
          <w:rFonts w:cs="Arial"/>
        </w:rPr>
        <w:t>MoJ</w:t>
      </w:r>
      <w:proofErr w:type="spellEnd"/>
      <w:r w:rsidRPr="00707596">
        <w:rPr>
          <w:rFonts w:cs="Arial"/>
        </w:rPr>
        <w:t>.</w:t>
      </w:r>
      <w:proofErr w:type="gramEnd"/>
      <w:r w:rsidRPr="00707596">
        <w:rPr>
          <w:rFonts w:cs="Arial"/>
        </w:rPr>
        <w:t xml:space="preserve"> 10 January 2013. </w:t>
      </w:r>
      <w:proofErr w:type="gramStart"/>
      <w:r w:rsidRPr="00707596">
        <w:rPr>
          <w:rFonts w:cs="Arial"/>
        </w:rPr>
        <w:t xml:space="preserve">Written Ministerial Statement: </w:t>
      </w:r>
      <w:r w:rsidRPr="00707596">
        <w:rPr>
          <w:rFonts w:cs="Arial"/>
          <w:i/>
        </w:rPr>
        <w:t>Prison Capacity Management.</w:t>
      </w:r>
      <w:proofErr w:type="gramEnd"/>
      <w:r w:rsidRPr="00707596">
        <w:rPr>
          <w:rFonts w:cs="Arial"/>
          <w:i/>
        </w:rPr>
        <w:t xml:space="preserve"> </w:t>
      </w:r>
      <w:r w:rsidRPr="00707596">
        <w:rPr>
          <w:rFonts w:cs="Arial"/>
        </w:rPr>
        <w:t xml:space="preserve">Available at: </w:t>
      </w:r>
      <w:hyperlink r:id="rId341" w:history="1">
        <w:r w:rsidRPr="00217858">
          <w:rPr>
            <w:rStyle w:val="Hyperlink"/>
            <w:rFonts w:cs="Arial"/>
          </w:rPr>
          <w:t>http://www.parliament.uk/documents/commons-vote-office/January_2013/10-1-13/3.Justice-PrisonCapacityMgt.pdf</w:t>
        </w:r>
      </w:hyperlink>
      <w:r>
        <w:rPr>
          <w:rFonts w:cs="Arial"/>
        </w:rPr>
        <w:t xml:space="preserve"> </w:t>
      </w:r>
    </w:p>
  </w:footnote>
  <w:footnote w:id="548">
    <w:p w:rsidR="0016168E" w:rsidRPr="00707596" w:rsidRDefault="0016168E" w:rsidP="002B6091">
      <w:pPr>
        <w:pStyle w:val="FootnoteText"/>
        <w:tabs>
          <w:tab w:val="left" w:pos="2835"/>
        </w:tabs>
        <w:rPr>
          <w:rFonts w:cs="Arial"/>
        </w:rPr>
      </w:pPr>
      <w:r w:rsidRPr="00707596">
        <w:rPr>
          <w:rStyle w:val="FootnoteReference"/>
          <w:rFonts w:cs="Arial"/>
        </w:rPr>
        <w:footnoteRef/>
      </w:r>
      <w:r w:rsidRPr="00707596">
        <w:rPr>
          <w:rFonts w:cs="Arial"/>
        </w:rPr>
        <w:t xml:space="preserve"> </w:t>
      </w:r>
      <w:proofErr w:type="gramStart"/>
      <w:r w:rsidRPr="00707596">
        <w:rPr>
          <w:rFonts w:cs="Arial"/>
        </w:rPr>
        <w:t>HM Chief Inspector of Prisons.</w:t>
      </w:r>
      <w:proofErr w:type="gramEnd"/>
      <w:r w:rsidRPr="00707596">
        <w:rPr>
          <w:rFonts w:cs="Arial"/>
        </w:rPr>
        <w:t xml:space="preserve"> 2013. </w:t>
      </w:r>
      <w:r w:rsidRPr="002D75FB">
        <w:rPr>
          <w:rFonts w:cs="Arial"/>
        </w:rPr>
        <w:t xml:space="preserve">Report on an unannounced inspection of </w:t>
      </w:r>
      <w:r w:rsidRPr="002D75FB">
        <w:rPr>
          <w:rFonts w:cs="Arial"/>
          <w:bCs/>
        </w:rPr>
        <w:t xml:space="preserve">HMP </w:t>
      </w:r>
      <w:proofErr w:type="spellStart"/>
      <w:r w:rsidRPr="002D75FB">
        <w:rPr>
          <w:rFonts w:cs="Arial"/>
          <w:bCs/>
        </w:rPr>
        <w:t>Thameside</w:t>
      </w:r>
      <w:proofErr w:type="spellEnd"/>
      <w:r w:rsidRPr="002D75FB">
        <w:rPr>
          <w:rFonts w:cs="Arial"/>
          <w:b/>
          <w:bCs/>
        </w:rPr>
        <w:t xml:space="preserve"> </w:t>
      </w:r>
      <w:r w:rsidRPr="002D75FB">
        <w:rPr>
          <w:rFonts w:cs="Arial"/>
        </w:rPr>
        <w:t xml:space="preserve">14–17 January 2013 available at: </w:t>
      </w:r>
      <w:hyperlink r:id="rId342" w:history="1">
        <w:r w:rsidRPr="00217858">
          <w:rPr>
            <w:rStyle w:val="Hyperlink"/>
            <w:rFonts w:cs="Arial"/>
          </w:rPr>
          <w:t>http://www.justice.gov.uk/downloads/publications/inspectorate-reports/hmipris/prison-and-yoi-inspections/thameside/thameside-2013.pdf</w:t>
        </w:r>
      </w:hyperlink>
      <w:r>
        <w:rPr>
          <w:rFonts w:cs="Arial"/>
        </w:rPr>
        <w:t xml:space="preserve"> </w:t>
      </w:r>
    </w:p>
  </w:footnote>
  <w:footnote w:id="549">
    <w:p w:rsidR="0016168E" w:rsidRDefault="0016168E" w:rsidP="002B6091">
      <w:pPr>
        <w:pStyle w:val="FootnoteText"/>
      </w:pPr>
      <w:r>
        <w:rPr>
          <w:rStyle w:val="FootnoteReference"/>
        </w:rPr>
        <w:footnoteRef/>
      </w:r>
      <w:r>
        <w:t xml:space="preserve"> Committee Against Torture, </w:t>
      </w:r>
      <w:r w:rsidRPr="00FF42C4">
        <w:t>Concluding observations on the fifth periodic report of the United Kingdom of Great Britain and Northern Ireland, adopted by the Committee at its fiftieth session (6-31 May 2013)</w:t>
      </w:r>
      <w:r>
        <w:t xml:space="preserve">, para 31, available at: </w:t>
      </w:r>
      <w:hyperlink r:id="rId343" w:history="1">
        <w:r w:rsidRPr="00D235CD">
          <w:rPr>
            <w:rStyle w:val="Hyperlink"/>
          </w:rPr>
          <w:t>http://tbinternet.ohchr.org/_layouts/treatybodyexternal/Download.aspx?symbolno=CAT%2fC%2fGBR%2fCO%2f5&amp;Lang=en</w:t>
        </w:r>
      </w:hyperlink>
      <w:r>
        <w:t xml:space="preserve"> </w:t>
      </w:r>
    </w:p>
  </w:footnote>
  <w:footnote w:id="550">
    <w:p w:rsidR="0016168E" w:rsidRDefault="0016168E" w:rsidP="002B6091">
      <w:pPr>
        <w:pStyle w:val="FootnoteText"/>
      </w:pPr>
      <w:r>
        <w:rPr>
          <w:rStyle w:val="FootnoteReference"/>
        </w:rPr>
        <w:footnoteRef/>
      </w:r>
      <w:r>
        <w:t xml:space="preserve"> </w:t>
      </w:r>
      <w:proofErr w:type="gramStart"/>
      <w:r w:rsidRPr="00FF42C4">
        <w:t>UN Standard Minimum Rules for Non-Custodial Measures</w:t>
      </w:r>
      <w:r>
        <w:t>.</w:t>
      </w:r>
      <w:proofErr w:type="gramEnd"/>
      <w:r>
        <w:t xml:space="preserve"> Available at: </w:t>
      </w:r>
      <w:hyperlink r:id="rId344" w:history="1">
        <w:r w:rsidRPr="00D235CD">
          <w:rPr>
            <w:rStyle w:val="Hyperlink"/>
          </w:rPr>
          <w:t>http://www.ohchr.org/Documents/ProfessionalInterest/tokyorules.pdf</w:t>
        </w:r>
      </w:hyperlink>
      <w:r>
        <w:t xml:space="preserve"> </w:t>
      </w:r>
    </w:p>
  </w:footnote>
  <w:footnote w:id="551">
    <w:p w:rsidR="0016168E" w:rsidRDefault="0016168E" w:rsidP="002B6091">
      <w:pPr>
        <w:pStyle w:val="FootnoteText"/>
      </w:pPr>
      <w:r>
        <w:rPr>
          <w:rStyle w:val="FootnoteReference"/>
        </w:rPr>
        <w:footnoteRef/>
      </w:r>
      <w:r>
        <w:t xml:space="preserve"> Ministry of Justice, Safer Custody Statistics, 2014, available at: </w:t>
      </w:r>
      <w:hyperlink r:id="rId345" w:history="1">
        <w:r w:rsidRPr="00C34D36">
          <w:rPr>
            <w:rStyle w:val="Hyperlink"/>
          </w:rPr>
          <w:t>https://www.gov.uk/government/collections/safety-in-custody-statistics</w:t>
        </w:r>
      </w:hyperlink>
      <w:r>
        <w:t xml:space="preserve"> </w:t>
      </w:r>
    </w:p>
  </w:footnote>
  <w:footnote w:id="552">
    <w:p w:rsidR="0016168E" w:rsidRDefault="0016168E" w:rsidP="002B6091">
      <w:pPr>
        <w:pStyle w:val="FootnoteText"/>
      </w:pPr>
      <w:r>
        <w:rPr>
          <w:rStyle w:val="FootnoteReference"/>
        </w:rPr>
        <w:footnoteRef/>
      </w:r>
      <w:r>
        <w:t xml:space="preserve"> Ministry of Justice, Safer Custody Statistics, 2014, available at: </w:t>
      </w:r>
      <w:hyperlink r:id="rId346" w:history="1">
        <w:r w:rsidRPr="00C34D36">
          <w:rPr>
            <w:rStyle w:val="Hyperlink"/>
          </w:rPr>
          <w:t>https://www.gov.uk/government/collections/safety-in-custody-statistics</w:t>
        </w:r>
      </w:hyperlink>
    </w:p>
  </w:footnote>
  <w:footnote w:id="553">
    <w:p w:rsidR="0016168E" w:rsidRDefault="0016168E" w:rsidP="002B6091">
      <w:pPr>
        <w:pStyle w:val="FootnoteText"/>
      </w:pPr>
      <w:r>
        <w:rPr>
          <w:rStyle w:val="FootnoteReference"/>
        </w:rPr>
        <w:footnoteRef/>
      </w:r>
      <w:r>
        <w:t xml:space="preserve"> Ministry of Justice, Safer Custody Statistics, 2014, available at: </w:t>
      </w:r>
      <w:hyperlink r:id="rId347" w:history="1">
        <w:r w:rsidRPr="00C34D36">
          <w:rPr>
            <w:rStyle w:val="Hyperlink"/>
          </w:rPr>
          <w:t>https://www.gov.uk/government/collections/safety-in-custody-statistics</w:t>
        </w:r>
      </w:hyperlink>
    </w:p>
  </w:footnote>
  <w:footnote w:id="554">
    <w:p w:rsidR="0016168E" w:rsidRDefault="0016168E" w:rsidP="002B6091">
      <w:pPr>
        <w:pStyle w:val="FootnoteText"/>
      </w:pPr>
      <w:r>
        <w:rPr>
          <w:rStyle w:val="FootnoteReference"/>
        </w:rPr>
        <w:footnoteRef/>
      </w:r>
      <w:r>
        <w:t xml:space="preserve"> Ministry of Justice, Safer Custody Statistics, 2014, available at: </w:t>
      </w:r>
      <w:hyperlink r:id="rId348" w:history="1">
        <w:r w:rsidRPr="00C34D36">
          <w:rPr>
            <w:rStyle w:val="Hyperlink"/>
          </w:rPr>
          <w:t>https://www.gov.uk/government/collections/safety-in-custody-statistics</w:t>
        </w:r>
      </w:hyperlink>
    </w:p>
  </w:footnote>
  <w:footnote w:id="555">
    <w:p w:rsidR="0016168E" w:rsidRDefault="0016168E" w:rsidP="002B6091">
      <w:pPr>
        <w:pStyle w:val="FootnoteText"/>
      </w:pPr>
      <w:r>
        <w:rPr>
          <w:rStyle w:val="FootnoteReference"/>
        </w:rPr>
        <w:footnoteRef/>
      </w:r>
      <w:r>
        <w:t xml:space="preserve"> Ministry of Justice, Terms of Reference of Independent Review into Deaths in Custody, 2014, available at: </w:t>
      </w:r>
      <w:hyperlink r:id="rId349" w:history="1">
        <w:r w:rsidRPr="00C34D36">
          <w:rPr>
            <w:rStyle w:val="Hyperlink"/>
          </w:rPr>
          <w:t>http://www.justice.gov.uk/about/deaths-in-custody-independent-review</w:t>
        </w:r>
      </w:hyperlink>
      <w:r>
        <w:t xml:space="preserve"> </w:t>
      </w:r>
    </w:p>
  </w:footnote>
  <w:footnote w:id="556">
    <w:p w:rsidR="0016168E" w:rsidRPr="00AD0281" w:rsidRDefault="0016168E" w:rsidP="002B6091">
      <w:pPr>
        <w:pStyle w:val="FootnoteText"/>
        <w:rPr>
          <w:rFonts w:cs="Arial"/>
        </w:rPr>
      </w:pPr>
      <w:r>
        <w:rPr>
          <w:rStyle w:val="FootnoteReference"/>
        </w:rPr>
        <w:footnoteRef/>
      </w:r>
      <w:r>
        <w:t xml:space="preserve"> </w:t>
      </w:r>
      <w:proofErr w:type="gramStart"/>
      <w:r w:rsidRPr="00707596">
        <w:rPr>
          <w:rFonts w:cs="Arial"/>
        </w:rPr>
        <w:t>HM Chief Inspector of Prisons.</w:t>
      </w:r>
      <w:proofErr w:type="gramEnd"/>
      <w:r w:rsidRPr="00707596">
        <w:rPr>
          <w:rFonts w:cs="Arial"/>
        </w:rPr>
        <w:t xml:space="preserve"> 2014. </w:t>
      </w:r>
      <w:r w:rsidRPr="00707596">
        <w:rPr>
          <w:rFonts w:cs="Arial"/>
          <w:i/>
        </w:rPr>
        <w:t>Annual Report 2012-13.</w:t>
      </w:r>
      <w:r w:rsidRPr="00707596">
        <w:rPr>
          <w:rFonts w:cs="Arial"/>
        </w:rPr>
        <w:t xml:space="preserve"> </w:t>
      </w:r>
      <w:hyperlink r:id="rId350" w:history="1">
        <w:r w:rsidRPr="00C34D36">
          <w:rPr>
            <w:rStyle w:val="Hyperlink"/>
            <w:rFonts w:cs="Arial"/>
            <w:bCs/>
          </w:rPr>
          <w:t>http://www.justice.gov.uk/downloads/publications/corporate-reports/hmi-prisons/hm-inspectorate-prisons-annual-report-2012-13.pdf</w:t>
        </w:r>
      </w:hyperlink>
      <w:r>
        <w:rPr>
          <w:rFonts w:cs="Arial"/>
          <w:bCs/>
        </w:rPr>
        <w:t xml:space="preserve"> </w:t>
      </w:r>
    </w:p>
  </w:footnote>
  <w:footnote w:id="557">
    <w:p w:rsidR="0016168E" w:rsidRDefault="0016168E" w:rsidP="002B6091">
      <w:pPr>
        <w:pStyle w:val="FootnoteText"/>
      </w:pPr>
      <w:r>
        <w:rPr>
          <w:rStyle w:val="FootnoteReference"/>
        </w:rPr>
        <w:footnoteRef/>
      </w:r>
      <w:r>
        <w:t xml:space="preserve"> Ministry of Justice, Safer Custody News, January/February 2010, page 6. available at: </w:t>
      </w:r>
      <w:hyperlink r:id="rId351" w:history="1">
        <w:r w:rsidRPr="00C34D36">
          <w:rPr>
            <w:rStyle w:val="Hyperlink"/>
          </w:rPr>
          <w:t>http://iapdeathsincustody.independent.gov.uk/wp-content/uploads/2011/07/NOMS-Safer-Custody-News-January-February-2010.pdf</w:t>
        </w:r>
      </w:hyperlink>
      <w:r>
        <w:t xml:space="preserve"> </w:t>
      </w:r>
    </w:p>
  </w:footnote>
  <w:footnote w:id="558">
    <w:p w:rsidR="0016168E" w:rsidRDefault="0016168E" w:rsidP="002B6091">
      <w:pPr>
        <w:pStyle w:val="FootnoteText"/>
      </w:pPr>
      <w:r>
        <w:rPr>
          <w:rStyle w:val="FootnoteReference"/>
        </w:rPr>
        <w:footnoteRef/>
      </w:r>
      <w:r>
        <w:t xml:space="preserve"> Ministry of Justice, Safer Custody News, January/February 2010, page 6. available at: </w:t>
      </w:r>
      <w:hyperlink r:id="rId352" w:history="1">
        <w:r w:rsidRPr="00C34D36">
          <w:rPr>
            <w:rStyle w:val="Hyperlink"/>
          </w:rPr>
          <w:t>http://iapdeathsincustody.independent.gov.uk/wp-content/uploads/2011/07/NOMS-Safer-Custody-News-January-February-2010.pdf</w:t>
        </w:r>
      </w:hyperlink>
      <w:r>
        <w:t xml:space="preserve"> and</w:t>
      </w:r>
    </w:p>
    <w:p w:rsidR="0016168E" w:rsidRDefault="0016168E" w:rsidP="002B6091">
      <w:pPr>
        <w:pStyle w:val="FootnoteText"/>
      </w:pPr>
      <w:r>
        <w:t xml:space="preserve">Prisons and Probation Ombudsman, Self-inflicted deaths of prisoners on ACCT, April 2014, available at: </w:t>
      </w:r>
      <w:hyperlink r:id="rId353" w:history="1">
        <w:r w:rsidRPr="00C34D36">
          <w:rPr>
            <w:rStyle w:val="Hyperlink"/>
          </w:rPr>
          <w:t>http://www.ppo.gov.uk/docs/ACCT_thematic_final_web.pdf</w:t>
        </w:r>
      </w:hyperlink>
      <w:r>
        <w:t xml:space="preserve"> </w:t>
      </w:r>
    </w:p>
  </w:footnote>
  <w:footnote w:id="559">
    <w:p w:rsidR="0016168E" w:rsidRDefault="0016168E" w:rsidP="002B6091">
      <w:pPr>
        <w:pStyle w:val="FootnoteText"/>
        <w:rPr>
          <w:rStyle w:val="Hyperlink"/>
        </w:rPr>
      </w:pPr>
      <w:r>
        <w:rPr>
          <w:rStyle w:val="FootnoteReference"/>
        </w:rPr>
        <w:footnoteRef/>
      </w:r>
      <w:r>
        <w:t xml:space="preserve"> Committee Against Torture, </w:t>
      </w:r>
      <w:r w:rsidRPr="00FF42C4">
        <w:t>Concluding observations on the fifth periodic report of the United Kingdom of Great Britain and Northern Ireland, adopted by the Committee at its fiftieth session (6-31 May 2013)</w:t>
      </w:r>
      <w:r>
        <w:t xml:space="preserve">, para 31, available at: </w:t>
      </w:r>
      <w:hyperlink r:id="rId354" w:history="1">
        <w:r w:rsidRPr="00D235CD">
          <w:rPr>
            <w:rStyle w:val="Hyperlink"/>
          </w:rPr>
          <w:t>http://tbinternet.ohchr.org/_layouts/treatybodyexternal/Download.aspx?symbolno=CAT%2fC%2fGBR%2fCO%2f5&amp;Lang=en</w:t>
        </w:r>
      </w:hyperlink>
    </w:p>
    <w:p w:rsidR="0016168E" w:rsidRDefault="0016168E" w:rsidP="002B6091">
      <w:pPr>
        <w:pStyle w:val="FootnoteText"/>
      </w:pPr>
      <w:r>
        <w:t xml:space="preserve">Department of Health, The Bradley Report, Lord Bradley’s report of people with mental health problems or learning disabilities in the criminal justice system, 2009, available at: </w:t>
      </w:r>
      <w:hyperlink r:id="rId355" w:history="1">
        <w:r w:rsidRPr="00C34D36">
          <w:rPr>
            <w:rStyle w:val="Hyperlink"/>
          </w:rPr>
          <w:t>http://www.centreformentalhealth.org.uk/pdfs/Bradley_report_2009.pdf</w:t>
        </w:r>
      </w:hyperlink>
      <w:r>
        <w:t xml:space="preserve"> </w:t>
      </w:r>
    </w:p>
  </w:footnote>
  <w:footnote w:id="560">
    <w:p w:rsidR="0016168E" w:rsidRDefault="0016168E" w:rsidP="002B6091">
      <w:pPr>
        <w:pStyle w:val="FootnoteText"/>
      </w:pPr>
      <w:r>
        <w:rPr>
          <w:rStyle w:val="FootnoteReference"/>
        </w:rPr>
        <w:footnoteRef/>
      </w:r>
      <w:r>
        <w:t xml:space="preserve"> The UK Government committed to invest £50 million in this diversion service by 2014. In January 2014, it committed £25 million investment by 2017.:</w:t>
      </w:r>
      <w:r w:rsidRPr="00B6311B">
        <w:t>Hansard HC, 15 February 2011, c793</w:t>
      </w:r>
      <w:r w:rsidRPr="006F32C1">
        <w:t>:</w:t>
      </w:r>
      <w:hyperlink r:id="rId356" w:history="1">
        <w:r w:rsidRPr="006F32C1">
          <w:rPr>
            <w:rStyle w:val="Hyperlink"/>
          </w:rPr>
          <w:t>http://www.publications.parliament.uk/pa/cm201011/cmhansrd/cm110215/debtext/110215-0001.htm</w:t>
        </w:r>
      </w:hyperlink>
      <w:r>
        <w:t xml:space="preserve"> and </w:t>
      </w:r>
      <w:hyperlink r:id="rId357" w:history="1">
        <w:r w:rsidRPr="00217858">
          <w:rPr>
            <w:rStyle w:val="Hyperlink"/>
          </w:rPr>
          <w:t>https://www.gov.uk/government/news/extra-funding-for-mental-health-nurses-to-be-based-at-police-stations-and-courts-across-the-country</w:t>
        </w:r>
      </w:hyperlink>
      <w:r>
        <w:t xml:space="preserve"> </w:t>
      </w:r>
    </w:p>
  </w:footnote>
  <w:footnote w:id="561">
    <w:p w:rsidR="0016168E" w:rsidRDefault="0016168E" w:rsidP="002B6091">
      <w:pPr>
        <w:pStyle w:val="FootnoteText"/>
      </w:pPr>
      <w:r>
        <w:rPr>
          <w:rStyle w:val="FootnoteReference"/>
        </w:rPr>
        <w:footnoteRef/>
      </w:r>
      <w:r>
        <w:t xml:space="preserve"> Equality and Human Rights Commission, press release, 10 June 2014, available at: </w:t>
      </w:r>
      <w:hyperlink r:id="rId358" w:history="1">
        <w:r w:rsidRPr="0078039B">
          <w:rPr>
            <w:rStyle w:val="Hyperlink"/>
          </w:rPr>
          <w:t>http://www.equalityhumanrights.com/commission-launches-inquiry-non-natural-deaths-people-mental-health-conditions-state-detention</w:t>
        </w:r>
      </w:hyperlink>
      <w:r>
        <w:t xml:space="preserve"> </w:t>
      </w:r>
    </w:p>
  </w:footnote>
  <w:footnote w:id="562">
    <w:p w:rsidR="0016168E" w:rsidRDefault="0016168E" w:rsidP="002B6091">
      <w:pPr>
        <w:pStyle w:val="FootnoteText"/>
      </w:pPr>
      <w:r>
        <w:rPr>
          <w:rStyle w:val="FootnoteReference"/>
        </w:rPr>
        <w:footnoteRef/>
      </w:r>
      <w:r>
        <w:t xml:space="preserve"> Ministry of Justice, Estimating the prevalence of disability amongst prisoners: results from the surveying prisoner crime survey, 2012, available at: </w:t>
      </w:r>
      <w:hyperlink r:id="rId359" w:history="1">
        <w:r w:rsidRPr="00C34D36">
          <w:rPr>
            <w:rStyle w:val="Hyperlink"/>
          </w:rPr>
          <w:t>https://www.gov.uk/government/publications/estimating-the-prevalence-of-disability-amongst-prisoners</w:t>
        </w:r>
      </w:hyperlink>
      <w:r>
        <w:t xml:space="preserve"> </w:t>
      </w:r>
    </w:p>
  </w:footnote>
  <w:footnote w:id="563">
    <w:p w:rsidR="0016168E" w:rsidRDefault="0016168E" w:rsidP="002B6091">
      <w:pPr>
        <w:pStyle w:val="FootnoteText"/>
      </w:pPr>
      <w:r>
        <w:rPr>
          <w:rStyle w:val="FootnoteReference"/>
        </w:rPr>
        <w:footnoteRef/>
      </w:r>
      <w:r>
        <w:t xml:space="preserve"> J. Talbot for the Prison Reform Trust, No One Knows: Prisoner Voices, 2008, available at: </w:t>
      </w:r>
      <w:hyperlink r:id="rId360" w:history="1">
        <w:r w:rsidRPr="00C34D36">
          <w:rPr>
            <w:rStyle w:val="Hyperlink"/>
          </w:rPr>
          <w:t>http://www.prisonreformtrust.org.uk/Portals/0/Documents/No%20One%20Knows%20report-2.pdf</w:t>
        </w:r>
      </w:hyperlink>
      <w:r>
        <w:t xml:space="preserve"> </w:t>
      </w:r>
    </w:p>
  </w:footnote>
  <w:footnote w:id="564">
    <w:p w:rsidR="0016168E" w:rsidRDefault="0016168E" w:rsidP="002B6091">
      <w:pPr>
        <w:pStyle w:val="FootnoteText"/>
      </w:pPr>
      <w:r>
        <w:rPr>
          <w:rStyle w:val="FootnoteReference"/>
        </w:rPr>
        <w:footnoteRef/>
      </w:r>
      <w:r>
        <w:t xml:space="preserve"> </w:t>
      </w:r>
      <w:r>
        <w:rPr>
          <w:rStyle w:val="FootnoteReference"/>
        </w:rPr>
        <w:footnoteRef/>
      </w:r>
      <w:r>
        <w:t xml:space="preserve"> </w:t>
      </w:r>
      <w:proofErr w:type="gramStart"/>
      <w:r w:rsidRPr="00707596">
        <w:rPr>
          <w:rFonts w:cs="Arial"/>
        </w:rPr>
        <w:t>HM Chief Inspector of Prisons.</w:t>
      </w:r>
      <w:proofErr w:type="gramEnd"/>
      <w:r w:rsidRPr="00707596">
        <w:rPr>
          <w:rFonts w:cs="Arial"/>
        </w:rPr>
        <w:t xml:space="preserve"> 2014. </w:t>
      </w:r>
      <w:r w:rsidRPr="00707596">
        <w:rPr>
          <w:rFonts w:cs="Arial"/>
          <w:i/>
        </w:rPr>
        <w:t>Annual Report 2012-13.</w:t>
      </w:r>
      <w:r w:rsidRPr="00707596">
        <w:rPr>
          <w:rFonts w:cs="Arial"/>
        </w:rPr>
        <w:t xml:space="preserve"> </w:t>
      </w:r>
      <w:hyperlink r:id="rId361" w:history="1">
        <w:r w:rsidRPr="00C34D36">
          <w:rPr>
            <w:rStyle w:val="Hyperlink"/>
            <w:rFonts w:cs="Arial"/>
            <w:bCs/>
          </w:rPr>
          <w:t>http://www.justice.gov.uk/downloads/publications/corporate-reports/hmi-prisons/hm-inspectorate-prisons-annual-report-2012-13.pdf</w:t>
        </w:r>
      </w:hyperlink>
      <w:r>
        <w:rPr>
          <w:rFonts w:cs="Arial"/>
          <w:bCs/>
        </w:rPr>
        <w:t xml:space="preserve"> </w:t>
      </w:r>
    </w:p>
  </w:footnote>
  <w:footnote w:id="565">
    <w:p w:rsidR="0016168E" w:rsidRDefault="0016168E" w:rsidP="002B6091">
      <w:pPr>
        <w:pStyle w:val="FootnoteText"/>
      </w:pPr>
      <w:r>
        <w:rPr>
          <w:rStyle w:val="FootnoteReference"/>
        </w:rPr>
        <w:footnoteRef/>
      </w:r>
      <w:r>
        <w:t xml:space="preserve"> HM Chief Inspector of Prisons, Annual Report 2011-12, 2012, page 45 available at: </w:t>
      </w:r>
      <w:hyperlink r:id="rId362" w:history="1">
        <w:r w:rsidRPr="00C34D36">
          <w:rPr>
            <w:rStyle w:val="Hyperlink"/>
          </w:rPr>
          <w:t>http://www.justice.gov.uk/downloads/publications/corporate-reports/hmi-prisons/hm-inspectorate-prisons-annual-report-2011-12.pdf</w:t>
        </w:r>
      </w:hyperlink>
      <w:r>
        <w:t xml:space="preserve"> </w:t>
      </w:r>
    </w:p>
  </w:footnote>
  <w:footnote w:id="566">
    <w:p w:rsidR="0016168E" w:rsidRDefault="0016168E" w:rsidP="002B6091">
      <w:pPr>
        <w:pStyle w:val="FootnoteText"/>
      </w:pPr>
      <w:r>
        <w:rPr>
          <w:rStyle w:val="FootnoteReference"/>
        </w:rPr>
        <w:footnoteRef/>
      </w:r>
      <w:r>
        <w:t xml:space="preserve"> Prisons and Probation Ombudsman, Annual Report 2011-12, 2012, pages 23-24 available at: </w:t>
      </w:r>
      <w:hyperlink r:id="rId363" w:history="1">
        <w:r w:rsidRPr="00C34D36">
          <w:rPr>
            <w:rStyle w:val="Hyperlink"/>
          </w:rPr>
          <w:t>https://www.gov.uk/government/uploads/system/uploads/attachment_data/file/236024/8429.pdf</w:t>
        </w:r>
      </w:hyperlink>
      <w:r>
        <w:t xml:space="preserve"> </w:t>
      </w:r>
    </w:p>
  </w:footnote>
  <w:footnote w:id="567">
    <w:p w:rsidR="0016168E" w:rsidRDefault="0016168E" w:rsidP="002B6091">
      <w:pPr>
        <w:pStyle w:val="FootnoteText"/>
      </w:pPr>
      <w:r>
        <w:rPr>
          <w:rStyle w:val="FootnoteReference"/>
        </w:rPr>
        <w:footnoteRef/>
      </w:r>
      <w:r>
        <w:t xml:space="preserve"> Ministry of Justice, Prisons Population figures, 2011, available at:</w:t>
      </w:r>
      <w:r w:rsidR="008C67B4">
        <w:t xml:space="preserve"> </w:t>
      </w:r>
      <w:hyperlink r:id="rId364" w:history="1">
        <w:r w:rsidRPr="00217858">
          <w:rPr>
            <w:rStyle w:val="Hyperlink"/>
          </w:rPr>
          <w:t>https://www.gov.uk/government/publications/prison-population-2011</w:t>
        </w:r>
      </w:hyperlink>
      <w:r>
        <w:t xml:space="preserve"> </w:t>
      </w:r>
    </w:p>
    <w:p w:rsidR="0016168E" w:rsidRDefault="0016168E" w:rsidP="002B6091">
      <w:pPr>
        <w:pStyle w:val="FootnoteText"/>
      </w:pPr>
      <w:r>
        <w:t xml:space="preserve">Ministry of Justice, Prisons Population figures, 2014, available at: </w:t>
      </w:r>
      <w:hyperlink r:id="rId365" w:history="1">
        <w:r w:rsidRPr="00217858">
          <w:rPr>
            <w:rStyle w:val="Hyperlink"/>
          </w:rPr>
          <w:t>https://www.gov.uk/government/publications/prison-population-figures-2014</w:t>
        </w:r>
      </w:hyperlink>
      <w:r>
        <w:t xml:space="preserve"> </w:t>
      </w:r>
    </w:p>
  </w:footnote>
  <w:footnote w:id="568">
    <w:p w:rsidR="0016168E" w:rsidRDefault="0016168E" w:rsidP="002B6091">
      <w:pPr>
        <w:pStyle w:val="FootnoteText"/>
      </w:pPr>
      <w:r>
        <w:rPr>
          <w:rStyle w:val="FootnoteReference"/>
        </w:rPr>
        <w:footnoteRef/>
      </w:r>
      <w:r>
        <w:t xml:space="preserve"> Justice Select Committee, Inquiry Report: Women Offenders: after the </w:t>
      </w:r>
      <w:proofErr w:type="spellStart"/>
      <w:r>
        <w:t>Corston</w:t>
      </w:r>
      <w:proofErr w:type="spellEnd"/>
      <w:r>
        <w:t xml:space="preserve"> Report, 2013, available at: </w:t>
      </w:r>
      <w:hyperlink r:id="rId366" w:history="1">
        <w:r w:rsidRPr="00C34D36">
          <w:rPr>
            <w:rStyle w:val="Hyperlink"/>
          </w:rPr>
          <w:t>http://www.parliament.uk/business/committees/committees-a-z/commons-select/justice-committee/inquiries/parliament-2010/women-offenders2/</w:t>
        </w:r>
      </w:hyperlink>
      <w:r>
        <w:t xml:space="preserve"> </w:t>
      </w:r>
    </w:p>
  </w:footnote>
  <w:footnote w:id="569">
    <w:p w:rsidR="0016168E" w:rsidRDefault="0016168E" w:rsidP="002B6091">
      <w:pPr>
        <w:pStyle w:val="FootnoteText"/>
      </w:pPr>
      <w:r>
        <w:rPr>
          <w:rStyle w:val="FootnoteReference"/>
        </w:rPr>
        <w:footnoteRef/>
      </w:r>
      <w:r>
        <w:t xml:space="preserve"> Ministry of Justice, Offender Management Statistics, 2013, available at: </w:t>
      </w:r>
      <w:hyperlink r:id="rId367" w:history="1">
        <w:r w:rsidRPr="00C34D36">
          <w:rPr>
            <w:rStyle w:val="Hyperlink"/>
          </w:rPr>
          <w:t>https://www.gov.uk/government/publications/offender-management-statistics-quarterly-july-september-2013</w:t>
        </w:r>
      </w:hyperlink>
      <w:r>
        <w:t xml:space="preserve"> </w:t>
      </w:r>
    </w:p>
  </w:footnote>
  <w:footnote w:id="570">
    <w:p w:rsidR="0016168E" w:rsidRPr="00FD5049" w:rsidRDefault="0016168E" w:rsidP="002B6091">
      <w:pPr>
        <w:pStyle w:val="FootnoteText"/>
        <w:rPr>
          <w:rFonts w:cs="Arial"/>
        </w:rPr>
      </w:pPr>
      <w:r w:rsidRPr="00FD5049">
        <w:rPr>
          <w:rStyle w:val="FootnoteReference"/>
          <w:rFonts w:cs="Arial"/>
        </w:rPr>
        <w:footnoteRef/>
      </w:r>
      <w:r w:rsidRPr="00FD5049">
        <w:rPr>
          <w:rFonts w:cs="Arial"/>
        </w:rPr>
        <w:t xml:space="preserve"> </w:t>
      </w:r>
      <w:proofErr w:type="gramStart"/>
      <w:r w:rsidRPr="00FD5049">
        <w:rPr>
          <w:rFonts w:cs="Arial"/>
        </w:rPr>
        <w:t>Prison Reform Trust.</w:t>
      </w:r>
      <w:proofErr w:type="gramEnd"/>
      <w:r w:rsidRPr="00FD5049">
        <w:rPr>
          <w:rFonts w:cs="Arial"/>
        </w:rPr>
        <w:t xml:space="preserve"> June 2014. Prison Reform Trust submission Theft offences guideline consultation: </w:t>
      </w:r>
      <w:hyperlink r:id="rId368" w:history="1">
        <w:r w:rsidRPr="00217858">
          <w:rPr>
            <w:rStyle w:val="Hyperlink"/>
            <w:rFonts w:cs="Arial"/>
          </w:rPr>
          <w:t>http://www.prisonreformtrust.org.uk/Portals/0/Documents/Prison%20Reform%20Trust%20submission%20-%20Theft%20Offences%20Guideline%20consultation.pdf</w:t>
        </w:r>
      </w:hyperlink>
      <w:r>
        <w:rPr>
          <w:rFonts w:cs="Arial"/>
        </w:rPr>
        <w:t xml:space="preserve"> </w:t>
      </w:r>
    </w:p>
  </w:footnote>
  <w:footnote w:id="571">
    <w:p w:rsidR="0016168E" w:rsidRPr="00FD5049" w:rsidRDefault="0016168E" w:rsidP="002B6091">
      <w:pPr>
        <w:pStyle w:val="FootnoteText"/>
        <w:rPr>
          <w:rFonts w:cs="Arial"/>
        </w:rPr>
      </w:pPr>
      <w:r w:rsidRPr="00FD5049">
        <w:rPr>
          <w:rStyle w:val="FootnoteReference"/>
          <w:rFonts w:cs="Arial"/>
        </w:rPr>
        <w:footnoteRef/>
      </w:r>
      <w:r w:rsidRPr="00FD5049">
        <w:rPr>
          <w:rFonts w:cs="Arial"/>
        </w:rPr>
        <w:t xml:space="preserve"> </w:t>
      </w:r>
      <w:proofErr w:type="gramStart"/>
      <w:r w:rsidRPr="00FD5049">
        <w:rPr>
          <w:rFonts w:cs="Arial"/>
        </w:rPr>
        <w:t>Prison Reform Trust.</w:t>
      </w:r>
      <w:proofErr w:type="gramEnd"/>
      <w:r w:rsidRPr="00FD5049">
        <w:rPr>
          <w:rFonts w:cs="Arial"/>
        </w:rPr>
        <w:t xml:space="preserve"> June 2014. Prison Reform Trust submission Theft offences guideline consultation: </w:t>
      </w:r>
      <w:hyperlink r:id="rId369" w:history="1">
        <w:r w:rsidRPr="00217858">
          <w:rPr>
            <w:rStyle w:val="Hyperlink"/>
            <w:rFonts w:cs="Arial"/>
          </w:rPr>
          <w:t>http://www.prisonreformtrust.org.uk/Portals/0/Documents/Prison%20Reform%20Trust%20submission%20-%20Theft%20Offences%20Guideline%20consultation.pdf</w:t>
        </w:r>
      </w:hyperlink>
    </w:p>
  </w:footnote>
  <w:footnote w:id="572">
    <w:p w:rsidR="0016168E" w:rsidRDefault="0016168E" w:rsidP="002B6091">
      <w:pPr>
        <w:pStyle w:val="FootnoteText"/>
      </w:pPr>
      <w:r>
        <w:rPr>
          <w:rStyle w:val="FootnoteReference"/>
        </w:rPr>
        <w:footnoteRef/>
      </w:r>
      <w:r>
        <w:t xml:space="preserve"> Home Office, </w:t>
      </w:r>
      <w:proofErr w:type="spellStart"/>
      <w:r>
        <w:t>Corston</w:t>
      </w:r>
      <w:proofErr w:type="spellEnd"/>
      <w:r>
        <w:t xml:space="preserve"> Report: A review of women with particular vulnerabilities within the criminal justice system, 2007, available at: </w:t>
      </w:r>
      <w:hyperlink r:id="rId370" w:history="1">
        <w:r w:rsidRPr="00C34D36">
          <w:rPr>
            <w:rStyle w:val="Hyperlink"/>
          </w:rPr>
          <w:t>http://www.justice.gov.uk/publications/docs/corston-report-march-2007.pdf</w:t>
        </w:r>
      </w:hyperlink>
      <w:r>
        <w:t xml:space="preserve"> </w:t>
      </w:r>
    </w:p>
  </w:footnote>
  <w:footnote w:id="573">
    <w:p w:rsidR="0016168E" w:rsidRDefault="0016168E" w:rsidP="002B6091">
      <w:pPr>
        <w:pStyle w:val="FootnoteText"/>
      </w:pPr>
      <w:r>
        <w:rPr>
          <w:rStyle w:val="FootnoteReference"/>
        </w:rPr>
        <w:footnoteRef/>
      </w:r>
      <w:r>
        <w:t xml:space="preserve"> Ministry of Justice, Prisoners’ Childhood and Family Backgrounds, 2012, available at: </w:t>
      </w:r>
      <w:hyperlink r:id="rId371" w:history="1">
        <w:r w:rsidRPr="00C34D36">
          <w:rPr>
            <w:rStyle w:val="Hyperlink"/>
          </w:rPr>
          <w:t>https://www.gov.uk/government/uploads/system/uploads/attachment_data/file/278837/prisoners-childhood-family-backgrounds.pdf</w:t>
        </w:r>
      </w:hyperlink>
      <w:r>
        <w:t xml:space="preserve"> </w:t>
      </w:r>
    </w:p>
  </w:footnote>
  <w:footnote w:id="574">
    <w:p w:rsidR="0016168E" w:rsidRDefault="0016168E" w:rsidP="002B6091">
      <w:pPr>
        <w:pStyle w:val="FootnoteText"/>
      </w:pPr>
      <w:r>
        <w:rPr>
          <w:rStyle w:val="FootnoteReference"/>
        </w:rPr>
        <w:footnoteRef/>
      </w:r>
      <w:r>
        <w:t xml:space="preserve"> Ministry of Justice, Gender differences in substance misuse and mental health problems amongst prisoners, 2013, available at: </w:t>
      </w:r>
      <w:hyperlink r:id="rId372" w:history="1">
        <w:r w:rsidRPr="00C34D36">
          <w:rPr>
            <w:rStyle w:val="Hyperlink"/>
          </w:rPr>
          <w:t>https://www.gov.uk/government/publications/gender-differences-in-substance-misuse-and-mental-health-amongst-prisoners--2</w:t>
        </w:r>
      </w:hyperlink>
      <w:r>
        <w:t xml:space="preserve"> </w:t>
      </w:r>
    </w:p>
  </w:footnote>
  <w:footnote w:id="575">
    <w:p w:rsidR="0016168E" w:rsidRDefault="0016168E" w:rsidP="002B6091">
      <w:pPr>
        <w:pStyle w:val="FootnoteText"/>
        <w:rPr>
          <w:rStyle w:val="Hyperlink"/>
        </w:rPr>
      </w:pPr>
      <w:r>
        <w:rPr>
          <w:rStyle w:val="FootnoteReference"/>
        </w:rPr>
        <w:footnoteRef/>
      </w:r>
      <w:r>
        <w:t xml:space="preserve"> Committee Against Torture, </w:t>
      </w:r>
      <w:r w:rsidRPr="00FF42C4">
        <w:t>Concluding observations on the fifth periodic report of the United Kingdom of Great Britain and Northern Ireland, adopted by the Committee at its fiftieth session (6-31 May 2013)</w:t>
      </w:r>
      <w:r>
        <w:t xml:space="preserve">, para 32, available at: </w:t>
      </w:r>
      <w:hyperlink r:id="rId373" w:history="1">
        <w:r w:rsidRPr="00D235CD">
          <w:rPr>
            <w:rStyle w:val="Hyperlink"/>
          </w:rPr>
          <w:t>http://tbinternet.ohchr.org/_layouts/treatybodyexternal/Download.aspx?symbolno=CAT%2fC%2fGBR%2fCO%2f5&amp;Lang=en</w:t>
        </w:r>
      </w:hyperlink>
      <w:r>
        <w:rPr>
          <w:rStyle w:val="Hyperlink"/>
        </w:rPr>
        <w:t xml:space="preserve"> </w:t>
      </w:r>
    </w:p>
    <w:p w:rsidR="0016168E" w:rsidRDefault="0016168E" w:rsidP="002B6091">
      <w:pPr>
        <w:pStyle w:val="FootnoteText"/>
      </w:pPr>
      <w:r>
        <w:t xml:space="preserve">Concluding Observations of the Committee on the Elimination of Discrimination Against Women for the United Kingdom of Great Britain and Northern Ireland, 30 July 2013, paragraph 55, available at: </w:t>
      </w:r>
      <w:hyperlink r:id="rId374" w:history="1">
        <w:r w:rsidRPr="00C04B66">
          <w:rPr>
            <w:rStyle w:val="Hyperlink"/>
          </w:rPr>
          <w:t>http://tbinternet.ohchr.org/_layouts/treatybodyexternal/Download.aspx?symbolno=CEDAW%2fC%2fGBR%2fCO%2f7&amp;Lang=en</w:t>
        </w:r>
      </w:hyperlink>
    </w:p>
  </w:footnote>
  <w:footnote w:id="576">
    <w:p w:rsidR="0016168E" w:rsidRDefault="0016168E" w:rsidP="002B6091">
      <w:pPr>
        <w:pStyle w:val="FootnoteText"/>
      </w:pPr>
      <w:r>
        <w:rPr>
          <w:rStyle w:val="FootnoteReference"/>
        </w:rPr>
        <w:footnoteRef/>
      </w:r>
      <w:r>
        <w:t xml:space="preserve"> Ministry of Justice, Government Response to Justice Committee’s Report on Female Offenders, March 2013, available at: </w:t>
      </w:r>
      <w:hyperlink r:id="rId375" w:history="1">
        <w:r w:rsidRPr="00C34D36">
          <w:rPr>
            <w:rStyle w:val="Hyperlink"/>
          </w:rPr>
          <w:t>https://www.gov.uk/government/uploads/system/uploads/attachment_data/file/252817/response-jsc-female-offenders.pdf</w:t>
        </w:r>
      </w:hyperlink>
      <w:r>
        <w:t xml:space="preserve"> </w:t>
      </w:r>
    </w:p>
  </w:footnote>
  <w:footnote w:id="577">
    <w:p w:rsidR="0016168E" w:rsidRDefault="0016168E" w:rsidP="002B6091">
      <w:pPr>
        <w:pStyle w:val="FootnoteText"/>
      </w:pPr>
      <w:r>
        <w:rPr>
          <w:rStyle w:val="FootnoteReference"/>
        </w:rPr>
        <w:footnoteRef/>
      </w:r>
      <w:r>
        <w:t xml:space="preserve"> Justice Secretary, Written Ministerial Statement to Parliament, 13 January 2013, available at: </w:t>
      </w:r>
      <w:hyperlink r:id="rId376" w:history="1">
        <w:r w:rsidRPr="00C34D36">
          <w:rPr>
            <w:rStyle w:val="Hyperlink"/>
          </w:rPr>
          <w:t>http://www.parliament.uk/documents/commons-vote-office/January_2013/10-1-13/3.Justice-PrisonCapacityMgt.pdf</w:t>
        </w:r>
      </w:hyperlink>
      <w:r>
        <w:t xml:space="preserve"> </w:t>
      </w:r>
    </w:p>
  </w:footnote>
  <w:footnote w:id="578">
    <w:p w:rsidR="0016168E" w:rsidRDefault="0016168E" w:rsidP="002B6091">
      <w:pPr>
        <w:pStyle w:val="FootnoteText"/>
      </w:pPr>
      <w:r>
        <w:rPr>
          <w:rStyle w:val="FootnoteReference"/>
        </w:rPr>
        <w:footnoteRef/>
      </w:r>
      <w:r>
        <w:t xml:space="preserve"> Ministry of Justice, Transforming Rehabilitation, A Strategy for Reform, 2014, available at: </w:t>
      </w:r>
      <w:hyperlink r:id="rId377" w:history="1">
        <w:r w:rsidRPr="00C34D36">
          <w:rPr>
            <w:rStyle w:val="Hyperlink"/>
          </w:rPr>
          <w:t>https://consult.justice.gov.uk/digital-communications/transforming-rehabilitation/results/transforming-rehabilitation-response.pdf</w:t>
        </w:r>
      </w:hyperlink>
      <w:r>
        <w:t xml:space="preserve"> </w:t>
      </w:r>
    </w:p>
  </w:footnote>
  <w:footnote w:id="579">
    <w:p w:rsidR="0016168E" w:rsidRPr="00FD5049" w:rsidRDefault="0016168E" w:rsidP="002B6091">
      <w:pPr>
        <w:pStyle w:val="FootnoteText"/>
        <w:rPr>
          <w:rFonts w:cs="Arial"/>
        </w:rPr>
      </w:pPr>
      <w:r w:rsidRPr="00FD5049">
        <w:rPr>
          <w:rStyle w:val="FootnoteReference"/>
          <w:rFonts w:cs="Arial"/>
        </w:rPr>
        <w:footnoteRef/>
      </w:r>
      <w:proofErr w:type="spellStart"/>
      <w:proofErr w:type="gramStart"/>
      <w:r w:rsidRPr="00FD5049">
        <w:rPr>
          <w:rFonts w:cs="Arial"/>
        </w:rPr>
        <w:t>Hansard</w:t>
      </w:r>
      <w:proofErr w:type="spellEnd"/>
      <w:r w:rsidRPr="00FD5049">
        <w:rPr>
          <w:rFonts w:cs="Arial"/>
        </w:rPr>
        <w:t>.</w:t>
      </w:r>
      <w:bookmarkStart w:id="140" w:name="column_GC133"/>
      <w:bookmarkEnd w:id="140"/>
      <w:proofErr w:type="gramEnd"/>
      <w:r w:rsidRPr="00FD5049">
        <w:rPr>
          <w:rFonts w:cs="Arial"/>
          <w:bCs/>
          <w:lang w:val="en"/>
        </w:rPr>
        <w:t xml:space="preserve"> 26 Jun 2014 : Column GC133</w:t>
      </w:r>
      <w:r w:rsidRPr="00FD5049">
        <w:rPr>
          <w:rFonts w:cs="Arial"/>
          <w:lang w:val="en"/>
        </w:rPr>
        <w:t xml:space="preserve"> </w:t>
      </w:r>
      <w:r w:rsidRPr="00FD5049">
        <w:rPr>
          <w:rFonts w:cs="Arial"/>
        </w:rPr>
        <w:t xml:space="preserve">House of Lords Debate: </w:t>
      </w:r>
      <w:hyperlink r:id="rId378" w:anchor="14062685000449" w:history="1">
        <w:r w:rsidRPr="00217858">
          <w:rPr>
            <w:rStyle w:val="Hyperlink"/>
            <w:rFonts w:cs="Arial"/>
          </w:rPr>
          <w:t>http://www.publications.parliament.uk/pa/ld201415/ldhansrd/text/140626-gc0001.htm#14062685000449</w:t>
        </w:r>
      </w:hyperlink>
      <w:r>
        <w:rPr>
          <w:rFonts w:cs="Arial"/>
        </w:rPr>
        <w:t xml:space="preserve"> </w:t>
      </w:r>
    </w:p>
  </w:footnote>
  <w:footnote w:id="580">
    <w:p w:rsidR="0016168E" w:rsidRPr="00FD5049" w:rsidRDefault="0016168E" w:rsidP="002B6091">
      <w:pPr>
        <w:pStyle w:val="FootnoteText"/>
        <w:rPr>
          <w:rFonts w:cs="Arial"/>
        </w:rPr>
      </w:pPr>
      <w:r w:rsidRPr="00FD5049">
        <w:rPr>
          <w:rStyle w:val="FootnoteReference"/>
          <w:rFonts w:cs="Arial"/>
        </w:rPr>
        <w:footnoteRef/>
      </w:r>
      <w:proofErr w:type="spellStart"/>
      <w:proofErr w:type="gramStart"/>
      <w:r w:rsidRPr="00FD5049">
        <w:rPr>
          <w:rFonts w:cs="Arial"/>
        </w:rPr>
        <w:t>MoJ</w:t>
      </w:r>
      <w:proofErr w:type="spellEnd"/>
      <w:r w:rsidRPr="00FD5049">
        <w:rPr>
          <w:rFonts w:cs="Arial"/>
        </w:rPr>
        <w:t>.</w:t>
      </w:r>
      <w:proofErr w:type="gramEnd"/>
      <w:r w:rsidRPr="00FD5049">
        <w:rPr>
          <w:rFonts w:cs="Arial"/>
        </w:rPr>
        <w:t xml:space="preserve"> </w:t>
      </w:r>
      <w:proofErr w:type="gramStart"/>
      <w:r w:rsidRPr="00FD5049">
        <w:rPr>
          <w:rFonts w:cs="Arial"/>
        </w:rPr>
        <w:t>Transforming Rehabilitation.</w:t>
      </w:r>
      <w:proofErr w:type="gramEnd"/>
      <w:r w:rsidRPr="00FD5049">
        <w:rPr>
          <w:rFonts w:cs="Arial"/>
        </w:rPr>
        <w:t xml:space="preserve"> 2013. A Strategy for Reform. https://consult.justice.gov.uk/digital-communications/transforming-rehabilitation/results/transforming-rehabilitation-response.pdf</w:t>
      </w:r>
    </w:p>
  </w:footnote>
  <w:footnote w:id="581">
    <w:p w:rsidR="0016168E" w:rsidRPr="00FD5049" w:rsidRDefault="0016168E" w:rsidP="002B6091">
      <w:pPr>
        <w:pStyle w:val="FootnoteText"/>
        <w:rPr>
          <w:rFonts w:cs="Arial"/>
        </w:rPr>
      </w:pPr>
      <w:r w:rsidRPr="00FD5049">
        <w:rPr>
          <w:rStyle w:val="FootnoteReference"/>
          <w:rFonts w:cs="Arial"/>
        </w:rPr>
        <w:footnoteRef/>
      </w:r>
      <w:r w:rsidRPr="00FD5049">
        <w:rPr>
          <w:rFonts w:cs="Arial"/>
        </w:rPr>
        <w:t xml:space="preserve"> </w:t>
      </w:r>
      <w:proofErr w:type="spellStart"/>
      <w:proofErr w:type="gramStart"/>
      <w:r w:rsidRPr="00FD5049">
        <w:rPr>
          <w:rFonts w:cs="Arial"/>
        </w:rPr>
        <w:t>Hansard</w:t>
      </w:r>
      <w:proofErr w:type="spellEnd"/>
      <w:r w:rsidRPr="00FD5049">
        <w:rPr>
          <w:rFonts w:cs="Arial"/>
        </w:rPr>
        <w:t>.</w:t>
      </w:r>
      <w:proofErr w:type="gramEnd"/>
      <w:r w:rsidRPr="00FD5049">
        <w:rPr>
          <w:rFonts w:cs="Arial"/>
          <w:bCs/>
          <w:lang w:val="en"/>
        </w:rPr>
        <w:t xml:space="preserve"> 26 Jun 2014 : Column GC133</w:t>
      </w:r>
      <w:r w:rsidRPr="00FD5049">
        <w:rPr>
          <w:rFonts w:cs="Arial"/>
          <w:lang w:val="en"/>
        </w:rPr>
        <w:t xml:space="preserve"> </w:t>
      </w:r>
      <w:r w:rsidRPr="00FD5049">
        <w:rPr>
          <w:rFonts w:cs="Arial"/>
        </w:rPr>
        <w:t xml:space="preserve">House of Lords Debate: </w:t>
      </w:r>
      <w:hyperlink r:id="rId379" w:anchor="14062685000449" w:history="1">
        <w:r w:rsidRPr="00217858">
          <w:rPr>
            <w:rStyle w:val="Hyperlink"/>
            <w:rFonts w:cs="Arial"/>
          </w:rPr>
          <w:t>http://www.publications.parliament.uk/pa/ld201415/ldhansrd/text/140626-gc0001.htm#14062685000449</w:t>
        </w:r>
      </w:hyperlink>
      <w:r>
        <w:rPr>
          <w:rFonts w:cs="Arial"/>
        </w:rPr>
        <w:t xml:space="preserve"> </w:t>
      </w:r>
    </w:p>
  </w:footnote>
  <w:footnote w:id="582">
    <w:p w:rsidR="0016168E" w:rsidRPr="00FD5049" w:rsidRDefault="0016168E" w:rsidP="002B6091">
      <w:pPr>
        <w:pStyle w:val="FootnoteText"/>
        <w:rPr>
          <w:rFonts w:cs="Arial"/>
        </w:rPr>
      </w:pPr>
      <w:r w:rsidRPr="00FD5049">
        <w:rPr>
          <w:rStyle w:val="FootnoteReference"/>
          <w:rFonts w:cs="Arial"/>
        </w:rPr>
        <w:footnoteRef/>
      </w:r>
      <w:r w:rsidRPr="00FD5049">
        <w:rPr>
          <w:rFonts w:cs="Arial"/>
        </w:rPr>
        <w:t xml:space="preserve"> </w:t>
      </w:r>
      <w:proofErr w:type="gramStart"/>
      <w:r w:rsidRPr="00FD5049">
        <w:rPr>
          <w:rFonts w:cs="Arial"/>
        </w:rPr>
        <w:t>House of Commons Justice Committee.</w:t>
      </w:r>
      <w:proofErr w:type="gramEnd"/>
      <w:r w:rsidRPr="00FD5049">
        <w:rPr>
          <w:rFonts w:cs="Arial"/>
        </w:rPr>
        <w:t xml:space="preserve"> 2013. Women offenders: after the </w:t>
      </w:r>
      <w:proofErr w:type="spellStart"/>
      <w:r w:rsidRPr="00FD5049">
        <w:rPr>
          <w:rFonts w:cs="Arial"/>
        </w:rPr>
        <w:t>Corston</w:t>
      </w:r>
      <w:proofErr w:type="spellEnd"/>
      <w:r w:rsidRPr="00FD5049">
        <w:rPr>
          <w:rFonts w:cs="Arial"/>
        </w:rPr>
        <w:t xml:space="preserve"> Report. </w:t>
      </w:r>
      <w:hyperlink r:id="rId380" w:history="1">
        <w:r w:rsidRPr="00217858">
          <w:rPr>
            <w:rStyle w:val="Hyperlink"/>
            <w:rFonts w:cs="Arial"/>
          </w:rPr>
          <w:t>http://www.publications.parliament.uk/pa/cm201314/cmselect/cmjust/92/92.pdf</w:t>
        </w:r>
      </w:hyperlink>
      <w:r>
        <w:rPr>
          <w:rFonts w:cs="Arial"/>
        </w:rPr>
        <w:t xml:space="preserve"> </w:t>
      </w:r>
    </w:p>
  </w:footnote>
  <w:footnote w:id="583">
    <w:p w:rsidR="0016168E" w:rsidRPr="00FD5049" w:rsidRDefault="0016168E" w:rsidP="002B6091">
      <w:pPr>
        <w:pStyle w:val="FootnoteText"/>
        <w:rPr>
          <w:rFonts w:cs="Arial"/>
        </w:rPr>
      </w:pPr>
      <w:r w:rsidRPr="00FD5049">
        <w:rPr>
          <w:rStyle w:val="FootnoteReference"/>
          <w:rFonts w:cs="Arial"/>
        </w:rPr>
        <w:footnoteRef/>
      </w:r>
      <w:r w:rsidRPr="00FD5049">
        <w:rPr>
          <w:rFonts w:cs="Arial"/>
        </w:rPr>
        <w:t xml:space="preserve"> </w:t>
      </w:r>
      <w:proofErr w:type="spellStart"/>
      <w:proofErr w:type="gramStart"/>
      <w:r w:rsidRPr="00FD5049">
        <w:rPr>
          <w:rFonts w:cs="Arial"/>
        </w:rPr>
        <w:t>Hansard</w:t>
      </w:r>
      <w:proofErr w:type="spellEnd"/>
      <w:r w:rsidRPr="00FD5049">
        <w:rPr>
          <w:rFonts w:cs="Arial"/>
        </w:rPr>
        <w:t>.</w:t>
      </w:r>
      <w:proofErr w:type="gramEnd"/>
      <w:r w:rsidRPr="00FD5049">
        <w:rPr>
          <w:rFonts w:cs="Arial"/>
          <w:bCs/>
          <w:lang w:val="en"/>
        </w:rPr>
        <w:t xml:space="preserve"> 26 Jun 2014 : Column GC133</w:t>
      </w:r>
      <w:r w:rsidRPr="00FD5049">
        <w:rPr>
          <w:rFonts w:cs="Arial"/>
          <w:lang w:val="en"/>
        </w:rPr>
        <w:t xml:space="preserve"> </w:t>
      </w:r>
      <w:r w:rsidRPr="00FD5049">
        <w:rPr>
          <w:rFonts w:cs="Arial"/>
        </w:rPr>
        <w:t xml:space="preserve">House of Lords Debate: </w:t>
      </w:r>
      <w:hyperlink r:id="rId381" w:anchor="14062685000449" w:history="1">
        <w:r w:rsidRPr="00217858">
          <w:rPr>
            <w:rStyle w:val="Hyperlink"/>
            <w:rFonts w:cs="Arial"/>
          </w:rPr>
          <w:t>http://www.publications.parliament.uk/pa/ld201415/ldhansrd/text/140626-gc0001.htm#14062685000449</w:t>
        </w:r>
      </w:hyperlink>
      <w:r>
        <w:rPr>
          <w:rFonts w:cs="Arial"/>
        </w:rPr>
        <w:t xml:space="preserve"> </w:t>
      </w:r>
    </w:p>
  </w:footnote>
  <w:footnote w:id="584">
    <w:p w:rsidR="0016168E" w:rsidRDefault="0016168E" w:rsidP="002B6091">
      <w:pPr>
        <w:pStyle w:val="FootnoteText"/>
      </w:pPr>
      <w:r>
        <w:rPr>
          <w:rStyle w:val="FootnoteReference"/>
        </w:rPr>
        <w:footnoteRef/>
      </w:r>
      <w:r>
        <w:t xml:space="preserve"> </w:t>
      </w:r>
      <w:proofErr w:type="gramStart"/>
      <w:r>
        <w:t>A Joint Inspection by HMI Probation, HM Crown Prosecution Service Inspectorate and HMI Prisons, Equal but different?</w:t>
      </w:r>
      <w:proofErr w:type="gramEnd"/>
      <w:r>
        <w:t xml:space="preserve"> An inspection of the use of alternatives to custody for woman offenders, 2011, available at </w:t>
      </w:r>
      <w:hyperlink r:id="rId382" w:history="1">
        <w:r w:rsidRPr="00C34D36">
          <w:rPr>
            <w:rStyle w:val="Hyperlink"/>
          </w:rPr>
          <w:t>http://www.justice.gov.uk/downloads/publications/inspectorate-reports/hmiprobation/joint-thematic/womens-thematic-alternatives-to-custody-2011.pdf</w:t>
        </w:r>
      </w:hyperlink>
      <w:r>
        <w:t xml:space="preserve"> </w:t>
      </w:r>
    </w:p>
  </w:footnote>
  <w:footnote w:id="585">
    <w:p w:rsidR="0016168E" w:rsidRDefault="0016168E" w:rsidP="002B6091">
      <w:pPr>
        <w:pStyle w:val="FootnoteText"/>
      </w:pPr>
      <w:r>
        <w:rPr>
          <w:rStyle w:val="FootnoteReference"/>
        </w:rPr>
        <w:footnoteRef/>
      </w:r>
      <w:r>
        <w:t xml:space="preserve"> Howard League for Penal Reform, Voice of a Child, London, 2011, available at: </w:t>
      </w:r>
      <w:hyperlink r:id="rId383" w:history="1">
        <w:r w:rsidRPr="00C34D36">
          <w:rPr>
            <w:rStyle w:val="Hyperlink"/>
          </w:rPr>
          <w:t>http://www.howardleague.org/publications-families/</w:t>
        </w:r>
      </w:hyperlink>
      <w:r>
        <w:t xml:space="preserve"> </w:t>
      </w:r>
    </w:p>
  </w:footnote>
  <w:footnote w:id="586">
    <w:p w:rsidR="0016168E" w:rsidRDefault="0016168E" w:rsidP="002B6091">
      <w:pPr>
        <w:pStyle w:val="FootnoteText"/>
      </w:pPr>
      <w:r>
        <w:rPr>
          <w:rStyle w:val="FootnoteReference"/>
        </w:rPr>
        <w:footnoteRef/>
      </w:r>
      <w:r>
        <w:t xml:space="preserve"> Home Office, </w:t>
      </w:r>
      <w:proofErr w:type="spellStart"/>
      <w:r>
        <w:t>Corston</w:t>
      </w:r>
      <w:proofErr w:type="spellEnd"/>
      <w:r>
        <w:t xml:space="preserve"> Report: A review of women with particular vulnerabilities within the criminal justice system, 2007, available at: </w:t>
      </w:r>
      <w:hyperlink r:id="rId384" w:history="1">
        <w:r w:rsidRPr="00C34D36">
          <w:rPr>
            <w:rStyle w:val="Hyperlink"/>
          </w:rPr>
          <w:t>http://www.justice.gov.uk/publications/docs/corston-report-march-2007.pdf</w:t>
        </w:r>
      </w:hyperlink>
      <w:r>
        <w:t xml:space="preserve"> </w:t>
      </w:r>
    </w:p>
  </w:footnote>
  <w:footnote w:id="587">
    <w:p w:rsidR="0016168E" w:rsidRDefault="0016168E" w:rsidP="002B6091">
      <w:pPr>
        <w:pStyle w:val="FootnoteText"/>
      </w:pPr>
      <w:r>
        <w:rPr>
          <w:rStyle w:val="FootnoteReference"/>
        </w:rPr>
        <w:footnoteRef/>
      </w:r>
      <w:r>
        <w:t xml:space="preserve"> Sentencing Council, Sentencing Guidelines, available at: </w:t>
      </w:r>
      <w:hyperlink r:id="rId385" w:history="1">
        <w:r w:rsidRPr="00C34D36">
          <w:rPr>
            <w:rStyle w:val="Hyperlink"/>
          </w:rPr>
          <w:t>http://sentencingcouncil.judiciary.gov.uk/sentencing-guidelines.htm</w:t>
        </w:r>
      </w:hyperlink>
      <w:r>
        <w:t xml:space="preserve"> </w:t>
      </w:r>
    </w:p>
  </w:footnote>
  <w:footnote w:id="588">
    <w:p w:rsidR="0016168E" w:rsidRDefault="0016168E" w:rsidP="002B6091">
      <w:pPr>
        <w:pStyle w:val="FootnoteText"/>
      </w:pPr>
      <w:r>
        <w:rPr>
          <w:rStyle w:val="FootnoteReference"/>
        </w:rPr>
        <w:footnoteRef/>
      </w:r>
      <w:r>
        <w:t xml:space="preserve"> The UK Government does not cover this topic in a substantive way in its Seventh periodic report.</w:t>
      </w:r>
    </w:p>
  </w:footnote>
  <w:footnote w:id="589">
    <w:p w:rsidR="0016168E" w:rsidRPr="00707596" w:rsidRDefault="0016168E" w:rsidP="002B6091">
      <w:pPr>
        <w:pStyle w:val="FootnoteText"/>
        <w:contextualSpacing/>
        <w:rPr>
          <w:rFonts w:cs="Arial"/>
        </w:rPr>
      </w:pPr>
      <w:r w:rsidRPr="00707596">
        <w:rPr>
          <w:rStyle w:val="FootnoteReference"/>
          <w:rFonts w:cs="Arial"/>
        </w:rPr>
        <w:footnoteRef/>
      </w:r>
      <w:r w:rsidRPr="00707596">
        <w:rPr>
          <w:rFonts w:cs="Arial"/>
        </w:rPr>
        <w:t xml:space="preserve"> </w:t>
      </w:r>
      <w:proofErr w:type="gramStart"/>
      <w:r w:rsidRPr="00707596">
        <w:rPr>
          <w:rFonts w:cs="Arial"/>
        </w:rPr>
        <w:t>Prison Reform Trust.</w:t>
      </w:r>
      <w:proofErr w:type="gramEnd"/>
      <w:r w:rsidRPr="00707596">
        <w:rPr>
          <w:rFonts w:cs="Arial"/>
        </w:rPr>
        <w:t xml:space="preserve"> June 2011. </w:t>
      </w:r>
      <w:proofErr w:type="gramStart"/>
      <w:r w:rsidRPr="002D75FB">
        <w:rPr>
          <w:rFonts w:cs="Arial"/>
        </w:rPr>
        <w:t xml:space="preserve">Bromley Briefings </w:t>
      </w:r>
      <w:proofErr w:type="spellStart"/>
      <w:r w:rsidRPr="002D75FB">
        <w:rPr>
          <w:rFonts w:cs="Arial"/>
        </w:rPr>
        <w:t>Factfile</w:t>
      </w:r>
      <w:proofErr w:type="spellEnd"/>
      <w:r>
        <w:rPr>
          <w:rFonts w:cs="Arial"/>
        </w:rPr>
        <w:t>.</w:t>
      </w:r>
      <w:proofErr w:type="gramEnd"/>
      <w:r>
        <w:rPr>
          <w:rFonts w:cs="Arial"/>
        </w:rPr>
        <w:t xml:space="preserve"> Page 34, available at: </w:t>
      </w:r>
      <w:hyperlink r:id="rId386" w:history="1">
        <w:r w:rsidRPr="007364CC">
          <w:rPr>
            <w:rStyle w:val="Hyperlink"/>
            <w:rFonts w:cs="Arial"/>
          </w:rPr>
          <w:t>http://www.prisonreformtrust.org.uk/Portals/0/Documents/Bromley%20Briefing%20December%202011.pdf</w:t>
        </w:r>
      </w:hyperlink>
      <w:r>
        <w:rPr>
          <w:rFonts w:cs="Arial"/>
        </w:rPr>
        <w:t xml:space="preserve"> </w:t>
      </w:r>
    </w:p>
  </w:footnote>
  <w:footnote w:id="590">
    <w:p w:rsidR="0016168E" w:rsidRPr="00707596" w:rsidRDefault="0016168E" w:rsidP="002B6091">
      <w:pPr>
        <w:pStyle w:val="FootnoteText"/>
        <w:contextualSpacing/>
        <w:rPr>
          <w:rFonts w:cs="Arial"/>
        </w:rPr>
      </w:pPr>
      <w:r w:rsidRPr="00707596">
        <w:rPr>
          <w:rStyle w:val="FootnoteReference"/>
          <w:rFonts w:cs="Arial"/>
        </w:rPr>
        <w:footnoteRef/>
      </w:r>
      <w:r>
        <w:rPr>
          <w:rFonts w:cs="Arial"/>
        </w:rPr>
        <w:t xml:space="preserve"> CRC Committee,</w:t>
      </w:r>
      <w:r w:rsidRPr="00707596">
        <w:rPr>
          <w:rFonts w:cs="Arial"/>
        </w:rPr>
        <w:t xml:space="preserve"> </w:t>
      </w:r>
      <w:r w:rsidRPr="00707596">
        <w:rPr>
          <w:rFonts w:cs="Arial"/>
          <w:i/>
          <w:iCs/>
        </w:rPr>
        <w:t>General Comment No. 10: children’s rights in juvenile justice</w:t>
      </w:r>
      <w:r>
        <w:rPr>
          <w:rFonts w:cs="Arial"/>
        </w:rPr>
        <w:t xml:space="preserve">, 2007, Para 32, available at: </w:t>
      </w:r>
      <w:hyperlink r:id="rId387" w:history="1">
        <w:r w:rsidRPr="007364CC">
          <w:rPr>
            <w:rStyle w:val="Hyperlink"/>
            <w:rFonts w:cs="Arial"/>
          </w:rPr>
          <w:t>http://www2.ohchr.org/english/bodies/crc/docs/CRC.C.GC.10.pdf</w:t>
        </w:r>
      </w:hyperlink>
      <w:r>
        <w:rPr>
          <w:rFonts w:cs="Arial"/>
        </w:rPr>
        <w:t xml:space="preserve"> </w:t>
      </w:r>
    </w:p>
  </w:footnote>
  <w:footnote w:id="591">
    <w:p w:rsidR="0016168E" w:rsidRPr="00707596" w:rsidRDefault="0016168E" w:rsidP="002B6091">
      <w:pPr>
        <w:pStyle w:val="FootnoteText"/>
        <w:contextualSpacing/>
        <w:rPr>
          <w:rFonts w:cs="Arial"/>
        </w:rPr>
      </w:pPr>
      <w:r w:rsidRPr="00707596">
        <w:rPr>
          <w:rStyle w:val="FootnoteReference"/>
          <w:rFonts w:cs="Arial"/>
        </w:rPr>
        <w:footnoteRef/>
      </w:r>
      <w:r w:rsidRPr="00707596">
        <w:rPr>
          <w:rFonts w:cs="Arial"/>
        </w:rPr>
        <w:t xml:space="preserve"> UNCRC, October 2008. </w:t>
      </w:r>
      <w:proofErr w:type="gramStart"/>
      <w:r w:rsidRPr="00707596">
        <w:rPr>
          <w:rFonts w:cs="Arial"/>
        </w:rPr>
        <w:t>Committee on the rights of the Child,</w:t>
      </w:r>
      <w:r w:rsidRPr="00707596">
        <w:rPr>
          <w:rFonts w:cs="Arial"/>
          <w:b/>
          <w:bCs/>
        </w:rPr>
        <w:t xml:space="preserve"> </w:t>
      </w:r>
      <w:r w:rsidRPr="00707596">
        <w:rPr>
          <w:rFonts w:cs="Arial"/>
          <w:bCs/>
        </w:rPr>
        <w:t>Concluding Observations, CRC/C/GBR/CO/420.</w:t>
      </w:r>
      <w:proofErr w:type="gramEnd"/>
      <w:r w:rsidRPr="00707596">
        <w:rPr>
          <w:rFonts w:cs="Arial"/>
          <w:bCs/>
        </w:rPr>
        <w:t xml:space="preserve"> </w:t>
      </w:r>
      <w:proofErr w:type="gramStart"/>
      <w:r w:rsidRPr="00707596">
        <w:rPr>
          <w:rFonts w:cs="Arial"/>
          <w:bCs/>
        </w:rPr>
        <w:t>Para 78.</w:t>
      </w:r>
      <w:proofErr w:type="gramEnd"/>
      <w:r w:rsidRPr="00707596">
        <w:rPr>
          <w:rFonts w:cs="Arial"/>
          <w:bCs/>
        </w:rPr>
        <w:t xml:space="preserve"> Available at: </w:t>
      </w:r>
      <w:hyperlink r:id="rId388" w:history="1">
        <w:r w:rsidRPr="00707596">
          <w:rPr>
            <w:rStyle w:val="Hyperlink"/>
            <w:rFonts w:cs="Arial"/>
            <w:bCs/>
          </w:rPr>
          <w:t>http://www2.ohchr.org/english/bodies/crc/docs/AdvanceVersions/CRC.C.GBR.CO.4.pdf</w:t>
        </w:r>
      </w:hyperlink>
      <w:r w:rsidRPr="00707596">
        <w:rPr>
          <w:rFonts w:cs="Arial"/>
          <w:bCs/>
        </w:rPr>
        <w:t xml:space="preserve"> </w:t>
      </w:r>
    </w:p>
  </w:footnote>
  <w:footnote w:id="592">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Concluding observations on the fifth periodic report of the United Kingdom of Great Britain and Northern Ireland, adopted by the Committee at its fiftieth session (6-31 May 2013) para 27. Available at: </w:t>
      </w:r>
      <w:hyperlink r:id="rId389" w:history="1">
        <w:r w:rsidRPr="007364CC">
          <w:rPr>
            <w:rStyle w:val="Hyperlink"/>
            <w:rFonts w:cs="Arial"/>
          </w:rPr>
          <w:t>http://tbinternet.ohchr.org/_layouts/treatybodyexternal/Download.aspx?symbolno=CAT%2fC%2fGBR%2fCO%2f5&amp;Lang=en</w:t>
        </w:r>
      </w:hyperlink>
      <w:r>
        <w:rPr>
          <w:rFonts w:cs="Arial"/>
        </w:rPr>
        <w:t xml:space="preserve"> </w:t>
      </w:r>
    </w:p>
  </w:footnote>
  <w:footnote w:id="593">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The United Nations Standard Minimum Rules for the Administration of Juvenile Justice, (General Assembly resolution 40/33, annex).</w:t>
      </w:r>
      <w:r w:rsidR="008C67B4">
        <w:rPr>
          <w:rFonts w:cs="Arial"/>
        </w:rPr>
        <w:t xml:space="preserve"> </w:t>
      </w:r>
    </w:p>
  </w:footnote>
  <w:footnote w:id="594">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The United Nations Guidelines for the Prevention of Juvenile Delinquency, (General Assembly resolution 45/112, annex).</w:t>
      </w:r>
    </w:p>
  </w:footnote>
  <w:footnote w:id="595">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Memorandum by Thomas </w:t>
      </w:r>
      <w:proofErr w:type="spellStart"/>
      <w:r w:rsidRPr="00707596">
        <w:rPr>
          <w:rFonts w:cs="Arial"/>
        </w:rPr>
        <w:t>Hammarberg</w:t>
      </w:r>
      <w:proofErr w:type="spellEnd"/>
      <w:r w:rsidRPr="00707596">
        <w:rPr>
          <w:rFonts w:cs="Arial"/>
        </w:rPr>
        <w:t xml:space="preserve">, Commissioner for Human Rights of the Council of Europe, following his visits to the United Kingdom (5-8 February and 31 March-2 April 2008), </w:t>
      </w:r>
      <w:r w:rsidRPr="002D75FB">
        <w:rPr>
          <w:rFonts w:cs="Arial"/>
          <w:iCs/>
        </w:rPr>
        <w:t>Rights of the child with focus on juvenile justice</w:t>
      </w:r>
      <w:r w:rsidRPr="00707596">
        <w:rPr>
          <w:rFonts w:cs="Arial"/>
        </w:rPr>
        <w:t xml:space="preserve">, </w:t>
      </w:r>
      <w:proofErr w:type="spellStart"/>
      <w:r w:rsidRPr="00707596">
        <w:rPr>
          <w:rFonts w:cs="Arial"/>
        </w:rPr>
        <w:t>CommDH</w:t>
      </w:r>
      <w:proofErr w:type="spellEnd"/>
      <w:r w:rsidRPr="00707596">
        <w:rPr>
          <w:rFonts w:cs="Arial"/>
        </w:rPr>
        <w:t xml:space="preserve"> (2008) 27, Strasbourg, 17 October 2008.</w:t>
      </w:r>
    </w:p>
  </w:footnote>
  <w:footnote w:id="596">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sidRPr="00707596">
        <w:rPr>
          <w:rFonts w:cs="Arial"/>
        </w:rPr>
        <w:t>Sentencing Guidelines Council.</w:t>
      </w:r>
      <w:proofErr w:type="gramEnd"/>
      <w:r w:rsidRPr="00707596">
        <w:rPr>
          <w:rFonts w:cs="Arial"/>
        </w:rPr>
        <w:t xml:space="preserve"> 2009. Overarching Principles – Sentencing Youths: http://sentencingcouncil.judiciary.gov.uk/docs/web_overarching_principles_sentencing_youths.pdf</w:t>
      </w:r>
    </w:p>
    <w:p w:rsidR="0016168E" w:rsidRPr="00707596" w:rsidRDefault="0016168E" w:rsidP="002B6091">
      <w:pPr>
        <w:pStyle w:val="FootnoteText"/>
        <w:rPr>
          <w:rFonts w:cs="Arial"/>
        </w:rPr>
      </w:pPr>
      <w:r w:rsidRPr="00707596">
        <w:rPr>
          <w:rFonts w:cs="Arial"/>
        </w:rPr>
        <w:t xml:space="preserve"> </w:t>
      </w:r>
      <w:proofErr w:type="gramStart"/>
      <w:r w:rsidRPr="00707596">
        <w:rPr>
          <w:rFonts w:cs="Arial"/>
        </w:rPr>
        <w:t>EHRC.</w:t>
      </w:r>
      <w:proofErr w:type="gramEnd"/>
      <w:r w:rsidRPr="00707596">
        <w:rPr>
          <w:rFonts w:cs="Arial"/>
        </w:rPr>
        <w:t xml:space="preserve"> </w:t>
      </w:r>
      <w:proofErr w:type="gramStart"/>
      <w:r w:rsidRPr="00707596">
        <w:rPr>
          <w:rFonts w:cs="Arial"/>
        </w:rPr>
        <w:t>Human Rights Review.</w:t>
      </w:r>
      <w:proofErr w:type="gramEnd"/>
      <w:r w:rsidRPr="00707596">
        <w:rPr>
          <w:rFonts w:cs="Arial"/>
        </w:rPr>
        <w:t xml:space="preserve"> </w:t>
      </w:r>
      <w:proofErr w:type="gramStart"/>
      <w:r w:rsidRPr="00707596">
        <w:rPr>
          <w:rFonts w:cs="Arial"/>
        </w:rPr>
        <w:t>Article 5.</w:t>
      </w:r>
      <w:proofErr w:type="gramEnd"/>
      <w:r w:rsidRPr="00707596">
        <w:rPr>
          <w:rFonts w:cs="Arial"/>
        </w:rPr>
        <w:t xml:space="preserve"> </w:t>
      </w:r>
      <w:hyperlink r:id="rId390" w:history="1">
        <w:r w:rsidRPr="00217858">
          <w:rPr>
            <w:rStyle w:val="Hyperlink"/>
            <w:rFonts w:cs="Arial"/>
          </w:rPr>
          <w:t>http://www.equalityhumanrights.com/human-rights/our-human-rights-work/human-rights-review/the-review/</w:t>
        </w:r>
      </w:hyperlink>
      <w:r>
        <w:rPr>
          <w:rFonts w:cs="Arial"/>
        </w:rPr>
        <w:t xml:space="preserve"> </w:t>
      </w:r>
    </w:p>
  </w:footnote>
  <w:footnote w:id="597">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UN Convention on the Rights of the Child, Article 13, entered into force September 1990.</w:t>
      </w:r>
    </w:p>
  </w:footnote>
  <w:footnote w:id="598">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UNCRC, October 2008. </w:t>
      </w:r>
      <w:proofErr w:type="gramStart"/>
      <w:r w:rsidRPr="00707596">
        <w:rPr>
          <w:rFonts w:cs="Arial"/>
        </w:rPr>
        <w:t>Committee on the rights of the Child,</w:t>
      </w:r>
      <w:r w:rsidRPr="00707596">
        <w:rPr>
          <w:rFonts w:cs="Arial"/>
          <w:b/>
          <w:bCs/>
        </w:rPr>
        <w:t xml:space="preserve"> </w:t>
      </w:r>
      <w:r w:rsidRPr="00707596">
        <w:rPr>
          <w:rFonts w:cs="Arial"/>
          <w:bCs/>
        </w:rPr>
        <w:t>Concluding Observations, CRC/C/GBR/CO/420 – para 78.</w:t>
      </w:r>
      <w:proofErr w:type="gramEnd"/>
      <w:r w:rsidRPr="00707596">
        <w:rPr>
          <w:rFonts w:cs="Arial"/>
          <w:bCs/>
        </w:rPr>
        <w:t xml:space="preserve"> Available at: </w:t>
      </w:r>
      <w:hyperlink r:id="rId391" w:history="1">
        <w:r w:rsidRPr="00707596">
          <w:rPr>
            <w:rStyle w:val="Hyperlink"/>
            <w:rFonts w:cs="Arial"/>
            <w:bCs/>
          </w:rPr>
          <w:t>http://www2.ohchr.org/english/bodies/crc/docs/AdvanceVersions/CRC.C.GBR.CO.4.pdf</w:t>
        </w:r>
      </w:hyperlink>
      <w:r w:rsidRPr="00707596">
        <w:rPr>
          <w:rFonts w:cs="Arial"/>
          <w:bCs/>
        </w:rPr>
        <w:t xml:space="preserve"> </w:t>
      </w:r>
    </w:p>
  </w:footnote>
  <w:footnote w:id="599">
    <w:p w:rsidR="0016168E" w:rsidRPr="00707596" w:rsidRDefault="0016168E" w:rsidP="002B6091">
      <w:pPr>
        <w:spacing w:after="0"/>
        <w:rPr>
          <w:rFonts w:cs="Arial"/>
          <w:sz w:val="20"/>
          <w:szCs w:val="20"/>
        </w:rPr>
      </w:pPr>
      <w:r w:rsidRPr="00707596">
        <w:rPr>
          <w:rStyle w:val="FootnoteReference"/>
          <w:rFonts w:cs="Arial"/>
          <w:sz w:val="20"/>
          <w:szCs w:val="20"/>
        </w:rPr>
        <w:footnoteRef/>
      </w:r>
      <w:r w:rsidRPr="00707596">
        <w:rPr>
          <w:rFonts w:cs="Arial"/>
          <w:sz w:val="20"/>
          <w:szCs w:val="20"/>
        </w:rPr>
        <w:t xml:space="preserve"> </w:t>
      </w:r>
      <w:proofErr w:type="spellStart"/>
      <w:proofErr w:type="gramStart"/>
      <w:r w:rsidRPr="00707596">
        <w:rPr>
          <w:rFonts w:cs="Arial"/>
          <w:sz w:val="20"/>
          <w:szCs w:val="20"/>
        </w:rPr>
        <w:t>MoJ</w:t>
      </w:r>
      <w:proofErr w:type="spellEnd"/>
      <w:r w:rsidRPr="00707596">
        <w:rPr>
          <w:rFonts w:cs="Arial"/>
          <w:sz w:val="20"/>
          <w:szCs w:val="20"/>
        </w:rPr>
        <w:t>.</w:t>
      </w:r>
      <w:proofErr w:type="gramEnd"/>
      <w:r w:rsidRPr="00707596">
        <w:rPr>
          <w:rFonts w:cs="Arial"/>
          <w:sz w:val="20"/>
          <w:szCs w:val="20"/>
        </w:rPr>
        <w:t xml:space="preserve"> 2013. Criminal Statistics, Supplementary Tables, Volume 2, Crown Court. Available at:</w:t>
      </w:r>
      <w:r w:rsidRPr="00707596">
        <w:rPr>
          <w:rFonts w:cs="Arial"/>
          <w:color w:val="0000FF"/>
          <w:sz w:val="20"/>
          <w:szCs w:val="20"/>
        </w:rPr>
        <w:t xml:space="preserve"> </w:t>
      </w:r>
      <w:hyperlink r:id="rId392" w:tooltip="https://www.gov.uk/government/publications/criminal-justice-statistics-quarterly-update-to-december-2012" w:history="1">
        <w:r w:rsidRPr="00707596">
          <w:rPr>
            <w:rStyle w:val="Hyperlink"/>
            <w:rFonts w:cs="Arial"/>
            <w:sz w:val="20"/>
            <w:szCs w:val="20"/>
          </w:rPr>
          <w:t>https://www.gov.uk/government/publications/criminal-justice-statistics-quarterly-update-to-december-2012</w:t>
        </w:r>
      </w:hyperlink>
    </w:p>
  </w:footnote>
  <w:footnote w:id="600">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sidRPr="00707596">
        <w:rPr>
          <w:rFonts w:cs="Arial"/>
        </w:rPr>
        <w:t>EHRC.</w:t>
      </w:r>
      <w:proofErr w:type="gramEnd"/>
      <w:r w:rsidRPr="00707596">
        <w:rPr>
          <w:rFonts w:cs="Arial"/>
        </w:rPr>
        <w:t xml:space="preserve"> 2012. </w:t>
      </w:r>
      <w:r w:rsidRPr="005F0C92">
        <w:rPr>
          <w:rFonts w:cs="Arial"/>
        </w:rPr>
        <w:t>Human Rights Review 2012: How fair is Britain? An assessment of how well public authorities protect human rights.</w:t>
      </w:r>
      <w:r w:rsidRPr="00707596">
        <w:rPr>
          <w:rFonts w:cs="Arial"/>
        </w:rPr>
        <w:t xml:space="preserve"> </w:t>
      </w:r>
      <w:proofErr w:type="gramStart"/>
      <w:r w:rsidRPr="00707596">
        <w:rPr>
          <w:rFonts w:cs="Arial"/>
        </w:rPr>
        <w:t>Pages 241-249.</w:t>
      </w:r>
      <w:proofErr w:type="gramEnd"/>
      <w:r>
        <w:rPr>
          <w:rFonts w:cs="Arial"/>
        </w:rPr>
        <w:t xml:space="preserve"> Available at: </w:t>
      </w:r>
      <w:hyperlink r:id="rId393" w:history="1">
        <w:r w:rsidRPr="00217858">
          <w:rPr>
            <w:rStyle w:val="Hyperlink"/>
            <w:rFonts w:cs="Arial"/>
          </w:rPr>
          <w:t>http://www.equalityhumanrights.com/about-us/our-work/human-rights/human-rights-review-2012/review</w:t>
        </w:r>
      </w:hyperlink>
      <w:r>
        <w:rPr>
          <w:rFonts w:cs="Arial"/>
        </w:rPr>
        <w:t xml:space="preserve"> </w:t>
      </w:r>
    </w:p>
  </w:footnote>
  <w:footnote w:id="601">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spellStart"/>
      <w:proofErr w:type="gramStart"/>
      <w:r w:rsidRPr="00707596">
        <w:rPr>
          <w:rFonts w:cs="Arial"/>
        </w:rPr>
        <w:t>MoJ</w:t>
      </w:r>
      <w:proofErr w:type="spellEnd"/>
      <w:r w:rsidRPr="00707596">
        <w:rPr>
          <w:rFonts w:cs="Arial"/>
        </w:rPr>
        <w:t>.</w:t>
      </w:r>
      <w:proofErr w:type="gramEnd"/>
      <w:r w:rsidRPr="00707596">
        <w:rPr>
          <w:rFonts w:cs="Arial"/>
        </w:rPr>
        <w:t xml:space="preserve"> February 2014. </w:t>
      </w:r>
      <w:proofErr w:type="gramStart"/>
      <w:r w:rsidRPr="00707596">
        <w:rPr>
          <w:rFonts w:cs="Arial"/>
        </w:rPr>
        <w:t>Criminal justice statistics quarterly - September 2013, sentencing table, Q5.7.</w:t>
      </w:r>
      <w:proofErr w:type="gramEnd"/>
      <w:r w:rsidRPr="00707596">
        <w:rPr>
          <w:rFonts w:cs="Arial"/>
        </w:rPr>
        <w:t xml:space="preserve"> Available at: </w:t>
      </w:r>
      <w:hyperlink r:id="rId394" w:history="1">
        <w:r w:rsidRPr="00217858">
          <w:rPr>
            <w:rStyle w:val="Hyperlink"/>
            <w:rFonts w:cs="Arial"/>
          </w:rPr>
          <w:t>https://www.gov.uk/government/publications/criminal-justice-statistics-quarterly-september-2013</w:t>
        </w:r>
      </w:hyperlink>
      <w:r w:rsidR="008C67B4">
        <w:rPr>
          <w:rFonts w:cs="Arial"/>
        </w:rPr>
        <w:t xml:space="preserve"> </w:t>
      </w:r>
      <w:r>
        <w:rPr>
          <w:rFonts w:cs="Arial"/>
        </w:rPr>
        <w:t xml:space="preserve"> </w:t>
      </w:r>
    </w:p>
  </w:footnote>
  <w:footnote w:id="602">
    <w:p w:rsidR="0016168E" w:rsidRPr="00707596" w:rsidRDefault="0016168E" w:rsidP="002B6091">
      <w:pPr>
        <w:spacing w:after="0"/>
        <w:rPr>
          <w:rFonts w:cs="Arial"/>
          <w:sz w:val="20"/>
          <w:szCs w:val="20"/>
        </w:rPr>
      </w:pPr>
      <w:r w:rsidRPr="00707596">
        <w:rPr>
          <w:rStyle w:val="FootnoteReference"/>
          <w:rFonts w:cs="Arial"/>
          <w:sz w:val="20"/>
          <w:szCs w:val="20"/>
        </w:rPr>
        <w:footnoteRef/>
      </w:r>
      <w:r w:rsidRPr="00707596">
        <w:rPr>
          <w:rFonts w:cs="Arial"/>
          <w:sz w:val="20"/>
          <w:szCs w:val="20"/>
        </w:rPr>
        <w:t xml:space="preserve"> </w:t>
      </w:r>
      <w:proofErr w:type="gramStart"/>
      <w:r w:rsidRPr="00707596">
        <w:rPr>
          <w:rFonts w:cs="Arial"/>
          <w:sz w:val="20"/>
          <w:szCs w:val="20"/>
        </w:rPr>
        <w:t>YJB.</w:t>
      </w:r>
      <w:proofErr w:type="gramEnd"/>
      <w:r w:rsidRPr="00707596">
        <w:rPr>
          <w:rFonts w:cs="Arial"/>
          <w:sz w:val="20"/>
          <w:szCs w:val="20"/>
        </w:rPr>
        <w:t xml:space="preserve"> Monthly Youth Custody Report, February 2014. Available at: </w:t>
      </w:r>
      <w:hyperlink r:id="rId395" w:history="1">
        <w:r w:rsidRPr="00707596">
          <w:rPr>
            <w:rStyle w:val="Hyperlink"/>
            <w:rFonts w:cs="Arial"/>
            <w:sz w:val="20"/>
            <w:szCs w:val="20"/>
          </w:rPr>
          <w:t>https://www.gov.uk/government/publications/youth-custody-data</w:t>
        </w:r>
      </w:hyperlink>
      <w:r w:rsidRPr="00707596">
        <w:rPr>
          <w:rFonts w:cs="Arial"/>
          <w:sz w:val="20"/>
          <w:szCs w:val="20"/>
        </w:rPr>
        <w:t xml:space="preserve">. Latest data </w:t>
      </w:r>
      <w:proofErr w:type="gramStart"/>
      <w:r w:rsidRPr="00707596">
        <w:rPr>
          <w:rFonts w:cs="Arial"/>
          <w:sz w:val="20"/>
          <w:szCs w:val="20"/>
        </w:rPr>
        <w:t>show 128 under 18s were</w:t>
      </w:r>
      <w:proofErr w:type="gramEnd"/>
      <w:r w:rsidRPr="00707596">
        <w:rPr>
          <w:rFonts w:cs="Arial"/>
          <w:sz w:val="20"/>
          <w:szCs w:val="20"/>
        </w:rPr>
        <w:t xml:space="preserve"> held in Scottish secure settings on 30 June 2011. </w:t>
      </w:r>
      <w:proofErr w:type="gramStart"/>
      <w:r w:rsidRPr="00707596">
        <w:rPr>
          <w:rFonts w:cs="Arial"/>
          <w:sz w:val="20"/>
          <w:szCs w:val="20"/>
        </w:rPr>
        <w:t>Scottish Government.</w:t>
      </w:r>
      <w:proofErr w:type="gramEnd"/>
      <w:r w:rsidRPr="00707596">
        <w:rPr>
          <w:rFonts w:cs="Arial"/>
          <w:sz w:val="20"/>
          <w:szCs w:val="20"/>
        </w:rPr>
        <w:t xml:space="preserve"> 2012. </w:t>
      </w:r>
      <w:r w:rsidRPr="005F0C92">
        <w:rPr>
          <w:rFonts w:cs="Arial"/>
          <w:sz w:val="20"/>
          <w:szCs w:val="20"/>
        </w:rPr>
        <w:t>Prison statistics and population projections Scotland: 2011-12.</w:t>
      </w:r>
      <w:r w:rsidRPr="00707596">
        <w:rPr>
          <w:rFonts w:cs="Arial"/>
          <w:sz w:val="20"/>
          <w:szCs w:val="20"/>
        </w:rPr>
        <w:t xml:space="preserve"> Table A4. Available at: </w:t>
      </w:r>
      <w:hyperlink r:id="rId396" w:history="1">
        <w:r w:rsidRPr="00217858">
          <w:rPr>
            <w:rStyle w:val="Hyperlink"/>
            <w:rFonts w:cs="Arial"/>
            <w:sz w:val="20"/>
            <w:szCs w:val="20"/>
          </w:rPr>
          <w:t>http://www.scotland.gov.uk/Publications/2011/03/01104348/7</w:t>
        </w:r>
      </w:hyperlink>
      <w:r>
        <w:rPr>
          <w:rFonts w:cs="Arial"/>
          <w:sz w:val="20"/>
          <w:szCs w:val="20"/>
        </w:rPr>
        <w:t xml:space="preserve"> </w:t>
      </w:r>
    </w:p>
  </w:footnote>
  <w:footnote w:id="603">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spellStart"/>
      <w:proofErr w:type="gramStart"/>
      <w:r w:rsidRPr="00707596">
        <w:rPr>
          <w:rFonts w:cs="Arial"/>
        </w:rPr>
        <w:t>MoJ</w:t>
      </w:r>
      <w:proofErr w:type="spellEnd"/>
      <w:r w:rsidRPr="00707596">
        <w:rPr>
          <w:rFonts w:cs="Arial"/>
        </w:rPr>
        <w:t>.</w:t>
      </w:r>
      <w:proofErr w:type="gramEnd"/>
      <w:r w:rsidRPr="00707596">
        <w:rPr>
          <w:rFonts w:cs="Arial"/>
        </w:rPr>
        <w:t xml:space="preserve"> 2013. </w:t>
      </w:r>
      <w:r w:rsidRPr="005F0C92">
        <w:rPr>
          <w:rFonts w:cs="Arial"/>
        </w:rPr>
        <w:t>Transforming Youth Custody.</w:t>
      </w:r>
      <w:r w:rsidRPr="00707596">
        <w:rPr>
          <w:rFonts w:cs="Arial"/>
        </w:rPr>
        <w:t xml:space="preserve"> </w:t>
      </w:r>
      <w:proofErr w:type="gramStart"/>
      <w:r w:rsidRPr="00707596">
        <w:rPr>
          <w:rFonts w:cs="Arial"/>
        </w:rPr>
        <w:t>Consultation Paper CP4/2013.</w:t>
      </w:r>
      <w:proofErr w:type="gramEnd"/>
      <w:r w:rsidRPr="00707596">
        <w:rPr>
          <w:rFonts w:cs="Arial"/>
        </w:rPr>
        <w:t xml:space="preserve"> </w:t>
      </w:r>
      <w:proofErr w:type="spellStart"/>
      <w:proofErr w:type="gramStart"/>
      <w:r w:rsidRPr="00707596">
        <w:rPr>
          <w:rFonts w:cs="Arial"/>
        </w:rPr>
        <w:t>MoJ</w:t>
      </w:r>
      <w:proofErr w:type="spellEnd"/>
      <w:r w:rsidRPr="00707596">
        <w:rPr>
          <w:rFonts w:cs="Arial"/>
        </w:rPr>
        <w:t xml:space="preserve"> 2014.</w:t>
      </w:r>
      <w:proofErr w:type="gramEnd"/>
      <w:r w:rsidRPr="00707596">
        <w:rPr>
          <w:rFonts w:cs="Arial"/>
        </w:rPr>
        <w:t xml:space="preserve"> </w:t>
      </w:r>
      <w:proofErr w:type="gramStart"/>
      <w:r w:rsidRPr="00707596">
        <w:rPr>
          <w:rFonts w:cs="Arial"/>
          <w:i/>
        </w:rPr>
        <w:t>Transforming Youth Custody.</w:t>
      </w:r>
      <w:proofErr w:type="gramEnd"/>
      <w:r w:rsidRPr="00707596">
        <w:rPr>
          <w:rFonts w:cs="Arial"/>
          <w:i/>
        </w:rPr>
        <w:t xml:space="preserve"> </w:t>
      </w:r>
      <w:proofErr w:type="gramStart"/>
      <w:r w:rsidRPr="00707596">
        <w:rPr>
          <w:rFonts w:cs="Arial"/>
          <w:i/>
        </w:rPr>
        <w:t>Government response to the consultation.</w:t>
      </w:r>
      <w:proofErr w:type="gramEnd"/>
      <w:r w:rsidRPr="00707596">
        <w:rPr>
          <w:rFonts w:cs="Arial"/>
        </w:rPr>
        <w:t xml:space="preserve"> </w:t>
      </w:r>
      <w:proofErr w:type="gramStart"/>
      <w:r w:rsidRPr="00707596">
        <w:rPr>
          <w:rFonts w:cs="Arial"/>
        </w:rPr>
        <w:t>Cm 8792.</w:t>
      </w:r>
      <w:proofErr w:type="gramEnd"/>
      <w:r>
        <w:rPr>
          <w:rFonts w:cs="Arial"/>
        </w:rPr>
        <w:t xml:space="preserve"> Available at: </w:t>
      </w:r>
      <w:hyperlink r:id="rId397" w:history="1">
        <w:r w:rsidRPr="00217858">
          <w:rPr>
            <w:rStyle w:val="Hyperlink"/>
            <w:rFonts w:cs="Arial"/>
          </w:rPr>
          <w:t>https://www.gov.uk/government/uploads/system/uploads/attachment_data/file/181588/transforming-youth-custody.pdf</w:t>
        </w:r>
      </w:hyperlink>
      <w:r w:rsidR="008C67B4">
        <w:rPr>
          <w:rFonts w:cs="Arial"/>
        </w:rPr>
        <w:t xml:space="preserve"> </w:t>
      </w:r>
    </w:p>
  </w:footnote>
  <w:footnote w:id="604">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spellStart"/>
      <w:proofErr w:type="gramStart"/>
      <w:r w:rsidRPr="00707596">
        <w:rPr>
          <w:rFonts w:cs="Arial"/>
        </w:rPr>
        <w:t>MoJ</w:t>
      </w:r>
      <w:proofErr w:type="spellEnd"/>
      <w:r w:rsidRPr="00707596">
        <w:rPr>
          <w:rFonts w:cs="Arial"/>
        </w:rPr>
        <w:t xml:space="preserve"> 2014.</w:t>
      </w:r>
      <w:proofErr w:type="gramEnd"/>
      <w:r w:rsidRPr="00707596">
        <w:rPr>
          <w:rFonts w:cs="Arial"/>
        </w:rPr>
        <w:t xml:space="preserve"> </w:t>
      </w:r>
      <w:proofErr w:type="gramStart"/>
      <w:r w:rsidRPr="005F0C92">
        <w:rPr>
          <w:rFonts w:cs="Arial"/>
        </w:rPr>
        <w:t>Transforming Youth Custody.</w:t>
      </w:r>
      <w:proofErr w:type="gramEnd"/>
      <w:r w:rsidRPr="00707596">
        <w:rPr>
          <w:rFonts w:cs="Arial"/>
          <w:i/>
        </w:rPr>
        <w:t xml:space="preserve"> </w:t>
      </w:r>
      <w:proofErr w:type="gramStart"/>
      <w:r w:rsidRPr="00707596">
        <w:rPr>
          <w:rFonts w:cs="Arial"/>
          <w:i/>
        </w:rPr>
        <w:t>Government response to the consultation.</w:t>
      </w:r>
      <w:proofErr w:type="gramEnd"/>
      <w:r w:rsidRPr="00707596">
        <w:rPr>
          <w:rFonts w:cs="Arial"/>
        </w:rPr>
        <w:t xml:space="preserve"> </w:t>
      </w:r>
      <w:proofErr w:type="gramStart"/>
      <w:r w:rsidRPr="00707596">
        <w:rPr>
          <w:rFonts w:cs="Arial"/>
        </w:rPr>
        <w:t>Cm 8792.</w:t>
      </w:r>
      <w:proofErr w:type="gramEnd"/>
      <w:r w:rsidRPr="00707596">
        <w:rPr>
          <w:rFonts w:cs="Arial"/>
        </w:rPr>
        <w:t xml:space="preserve"> </w:t>
      </w:r>
      <w:r>
        <w:rPr>
          <w:rFonts w:cs="Arial"/>
        </w:rPr>
        <w:t xml:space="preserve">Available at: </w:t>
      </w:r>
      <w:hyperlink r:id="rId398" w:history="1">
        <w:r w:rsidRPr="00217858">
          <w:rPr>
            <w:rStyle w:val="Hyperlink"/>
            <w:rFonts w:cs="Arial"/>
          </w:rPr>
          <w:t>https://www.gov.uk/government/uploads/system/uploads/attachment_data/file/273402/transforming-youth-custody-consultation-response.pdf</w:t>
        </w:r>
      </w:hyperlink>
      <w:r>
        <w:rPr>
          <w:rFonts w:cs="Arial"/>
        </w:rPr>
        <w:t xml:space="preserve"> </w:t>
      </w:r>
    </w:p>
  </w:footnote>
  <w:footnote w:id="605">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Criminal Justice and Courts Bill 2013-14. Available at: </w:t>
      </w:r>
      <w:hyperlink r:id="rId399" w:history="1">
        <w:r w:rsidRPr="00707596">
          <w:rPr>
            <w:rStyle w:val="Hyperlink"/>
            <w:rFonts w:cs="Arial"/>
          </w:rPr>
          <w:t>http://www.publications.parliament.uk/pa/bills/cbill/2013-2014/0192/cbill_2013-20140192_en_1.htm</w:t>
        </w:r>
      </w:hyperlink>
      <w:r w:rsidRPr="00707596">
        <w:rPr>
          <w:rFonts w:cs="Arial"/>
        </w:rPr>
        <w:t xml:space="preserve"> </w:t>
      </w:r>
    </w:p>
  </w:footnote>
  <w:footnote w:id="606">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Construction of a 320-bed “path finder” secure college will commence in 2015. It will house girls and boys aged 12 to 17 years of age.</w:t>
      </w:r>
    </w:p>
  </w:footnote>
  <w:footnote w:id="607">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Centre for Medical Health, Khan L (2010) Reaching out, reaching in: Promoting mental health and emotional well-being in secure settings – p.43. Available at: </w:t>
      </w:r>
      <w:hyperlink r:id="rId400" w:history="1">
        <w:r w:rsidRPr="00707596">
          <w:rPr>
            <w:rStyle w:val="Hyperlink"/>
            <w:rFonts w:cs="Arial"/>
          </w:rPr>
          <w:t>http://www.centreformentalhealth.org.uk/pdfs/Centre_for_MH_Promoting_mh_in_secure_settings.pdf</w:t>
        </w:r>
      </w:hyperlink>
      <w:r w:rsidRPr="00707596">
        <w:rPr>
          <w:rFonts w:cs="Arial"/>
        </w:rPr>
        <w:t xml:space="preserve"> </w:t>
      </w:r>
    </w:p>
  </w:footnote>
  <w:footnote w:id="608">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Ministry of Justice (2014) Transforming Youth Custody: Government Response to the Consultation. </w:t>
      </w:r>
      <w:proofErr w:type="gramStart"/>
      <w:r w:rsidRPr="00707596">
        <w:rPr>
          <w:rFonts w:cs="Arial"/>
        </w:rPr>
        <w:t>Para 34.</w:t>
      </w:r>
      <w:proofErr w:type="gramEnd"/>
      <w:r w:rsidRPr="00707596">
        <w:rPr>
          <w:rFonts w:cs="Arial"/>
        </w:rPr>
        <w:t xml:space="preserve"> </w:t>
      </w:r>
      <w:r>
        <w:rPr>
          <w:rFonts w:cs="Arial"/>
        </w:rPr>
        <w:t xml:space="preserve">Available at: </w:t>
      </w:r>
      <w:hyperlink r:id="rId401" w:history="1">
        <w:r w:rsidRPr="00217858">
          <w:rPr>
            <w:rStyle w:val="Hyperlink"/>
            <w:rFonts w:cs="Arial"/>
          </w:rPr>
          <w:t>https://www.gov.uk/government/uploads/system/uploads/attachment_data/file/273402/transforming-youth-custody-consultation-response.pdf</w:t>
        </w:r>
      </w:hyperlink>
      <w:r>
        <w:rPr>
          <w:rFonts w:cs="Arial"/>
        </w:rPr>
        <w:t xml:space="preserve"> </w:t>
      </w:r>
    </w:p>
  </w:footnote>
  <w:footnote w:id="609">
    <w:p w:rsidR="0016168E" w:rsidRPr="00707596" w:rsidRDefault="0016168E" w:rsidP="002B6091">
      <w:pPr>
        <w:pStyle w:val="FootnoteText"/>
        <w:rPr>
          <w:rFonts w:cs="Arial"/>
          <w:i/>
          <w:iCs/>
        </w:rPr>
      </w:pPr>
      <w:r w:rsidRPr="00707596">
        <w:rPr>
          <w:rStyle w:val="FootnoteReference"/>
          <w:rFonts w:cs="Arial"/>
        </w:rPr>
        <w:footnoteRef/>
      </w:r>
      <w:r w:rsidRPr="00707596">
        <w:rPr>
          <w:rFonts w:cs="Arial"/>
        </w:rPr>
        <w:t xml:space="preserve"> Criminal Justice and Courts Bill 2013-14. Available at: </w:t>
      </w:r>
      <w:hyperlink r:id="rId402" w:history="1">
        <w:r w:rsidRPr="00707596">
          <w:rPr>
            <w:rStyle w:val="Hyperlink"/>
            <w:rFonts w:cs="Arial"/>
          </w:rPr>
          <w:t>http://www.publications.parliament.uk/pa/bills/cbill/2013-2014/0192/cbill_2013-20140192_en_1.htm</w:t>
        </w:r>
      </w:hyperlink>
    </w:p>
  </w:footnote>
  <w:footnote w:id="610">
    <w:p w:rsidR="0016168E" w:rsidRPr="00707596" w:rsidRDefault="0016168E" w:rsidP="002B6091">
      <w:pPr>
        <w:pStyle w:val="FootnoteText"/>
        <w:rPr>
          <w:rFonts w:cs="Arial"/>
        </w:rPr>
      </w:pPr>
      <w:r w:rsidRPr="00707596">
        <w:rPr>
          <w:rStyle w:val="FootnoteReference"/>
          <w:rFonts w:cs="Arial"/>
        </w:rPr>
        <w:footnoteRef/>
      </w:r>
      <w:proofErr w:type="gramStart"/>
      <w:r w:rsidRPr="00707596">
        <w:rPr>
          <w:rFonts w:cs="Arial"/>
        </w:rPr>
        <w:t>JCHR.</w:t>
      </w:r>
      <w:proofErr w:type="gramEnd"/>
      <w:r w:rsidRPr="00707596">
        <w:rPr>
          <w:rFonts w:cs="Arial"/>
        </w:rPr>
        <w:t xml:space="preserve"> May 2014. </w:t>
      </w:r>
      <w:r w:rsidRPr="00707596">
        <w:rPr>
          <w:rFonts w:cs="Arial"/>
          <w:bCs/>
        </w:rPr>
        <w:t>Legislative Scrutiny: (1) Criminal Justice and Courts Bill and (2) Deregulation Bill</w:t>
      </w:r>
      <w:r>
        <w:rPr>
          <w:rFonts w:cs="Arial"/>
        </w:rPr>
        <w:t xml:space="preserve">, available at: </w:t>
      </w:r>
      <w:hyperlink r:id="rId403" w:history="1">
        <w:r w:rsidRPr="007364CC">
          <w:rPr>
            <w:rStyle w:val="Hyperlink"/>
            <w:rFonts w:cs="Arial"/>
          </w:rPr>
          <w:t>http://www.publications.parliament.uk/pa/jt201314/jtselect/jtrights/189/189.pdf</w:t>
        </w:r>
      </w:hyperlink>
      <w:r w:rsidR="008C67B4">
        <w:rPr>
          <w:rFonts w:cs="Arial"/>
        </w:rPr>
        <w:t xml:space="preserve"> </w:t>
      </w:r>
      <w:r>
        <w:rPr>
          <w:rFonts w:cs="Arial"/>
        </w:rPr>
        <w:t xml:space="preserve">The UNCRC </w:t>
      </w:r>
      <w:r w:rsidRPr="00707596">
        <w:rPr>
          <w:rFonts w:cs="Arial"/>
        </w:rPr>
        <w:t xml:space="preserve">has stressed that any restraint against children should be used only as a last resort and exclusively to prevent harm to the child and others around the child. </w:t>
      </w:r>
      <w:proofErr w:type="gramStart"/>
      <w:r w:rsidRPr="00707596">
        <w:rPr>
          <w:rFonts w:cs="Arial"/>
        </w:rPr>
        <w:t>UN Committee on the Rights of the Child, 2008.</w:t>
      </w:r>
      <w:proofErr w:type="gramEnd"/>
      <w:r w:rsidRPr="00707596">
        <w:rPr>
          <w:rFonts w:cs="Arial"/>
        </w:rPr>
        <w:t xml:space="preserve"> </w:t>
      </w:r>
      <w:r w:rsidRPr="00707596">
        <w:rPr>
          <w:rFonts w:cs="Arial"/>
          <w:i/>
          <w:iCs/>
        </w:rPr>
        <w:t>Concluding Observations</w:t>
      </w:r>
      <w:r>
        <w:rPr>
          <w:rFonts w:cs="Arial"/>
        </w:rPr>
        <w:t xml:space="preserve">, para 39, available at: </w:t>
      </w:r>
      <w:hyperlink r:id="rId404" w:history="1">
        <w:r w:rsidRPr="007364CC">
          <w:rPr>
            <w:rStyle w:val="Hyperlink"/>
            <w:rFonts w:cs="Arial"/>
          </w:rPr>
          <w:t>http://www2.ohchr.org/english/bodies/crc/docs/AdvanceVersions/CRC.C.GBR.CO.4.pdf</w:t>
        </w:r>
      </w:hyperlink>
      <w:r>
        <w:rPr>
          <w:rFonts w:cs="Arial"/>
        </w:rPr>
        <w:t xml:space="preserve"> </w:t>
      </w:r>
    </w:p>
  </w:footnote>
  <w:footnote w:id="611">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Pr>
          <w:rFonts w:cs="Arial"/>
        </w:rPr>
        <w:t>Equality and Human Rights Commission</w:t>
      </w:r>
      <w:r w:rsidRPr="00707596">
        <w:rPr>
          <w:rFonts w:cs="Arial"/>
        </w:rPr>
        <w:t>.</w:t>
      </w:r>
      <w:proofErr w:type="gramEnd"/>
      <w:r w:rsidRPr="00707596">
        <w:rPr>
          <w:rFonts w:cs="Arial"/>
        </w:rPr>
        <w:t xml:space="preserve"> 2012. Human Rights Review. </w:t>
      </w:r>
      <w:proofErr w:type="gramStart"/>
      <w:r w:rsidRPr="00707596">
        <w:rPr>
          <w:rFonts w:cs="Arial"/>
        </w:rPr>
        <w:t>Article 3.</w:t>
      </w:r>
      <w:proofErr w:type="gramEnd"/>
      <w:r w:rsidRPr="00707596">
        <w:rPr>
          <w:rFonts w:cs="Arial"/>
        </w:rPr>
        <w:t xml:space="preserve"> </w:t>
      </w:r>
      <w:hyperlink r:id="rId405" w:history="1">
        <w:r w:rsidRPr="00C34D36">
          <w:rPr>
            <w:rStyle w:val="Hyperlink"/>
            <w:rFonts w:cs="Arial"/>
          </w:rPr>
          <w:t>http://www.equalityhumanrights.com/sites/default/files/documents/humanrights/hrr_article_3.pdf</w:t>
        </w:r>
      </w:hyperlink>
      <w:r>
        <w:rPr>
          <w:rFonts w:cs="Arial"/>
        </w:rPr>
        <w:t xml:space="preserve"> </w:t>
      </w:r>
    </w:p>
  </w:footnote>
  <w:footnote w:id="612">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sidRPr="00707596">
        <w:rPr>
          <w:rFonts w:cs="Arial"/>
        </w:rPr>
        <w:t>JCHR.</w:t>
      </w:r>
      <w:proofErr w:type="gramEnd"/>
      <w:r w:rsidRPr="00707596">
        <w:rPr>
          <w:rFonts w:cs="Arial"/>
        </w:rPr>
        <w:t xml:space="preserve"> May 2014. </w:t>
      </w:r>
      <w:r w:rsidRPr="00707596">
        <w:rPr>
          <w:rFonts w:cs="Arial"/>
          <w:bCs/>
        </w:rPr>
        <w:t>Legislative Scrutiny: (1) Criminal Justice and Courts Bill and (2) Deregulation Bill</w:t>
      </w:r>
      <w:r w:rsidRPr="00707596">
        <w:rPr>
          <w:rFonts w:cs="Arial"/>
        </w:rPr>
        <w:t xml:space="preserve">. </w:t>
      </w:r>
      <w:r w:rsidRPr="00707596">
        <w:rPr>
          <w:rFonts w:cs="Arial"/>
          <w:bCs/>
        </w:rPr>
        <w:t>Fourteenth Report of Session 2013-14.</w:t>
      </w:r>
      <w:r w:rsidRPr="00707596">
        <w:rPr>
          <w:rFonts w:cs="Arial"/>
          <w:b/>
          <w:bCs/>
        </w:rPr>
        <w:t xml:space="preserve"> </w:t>
      </w:r>
      <w:hyperlink r:id="rId406" w:history="1">
        <w:r w:rsidRPr="00217858">
          <w:rPr>
            <w:rStyle w:val="Hyperlink"/>
            <w:rFonts w:cs="Arial"/>
          </w:rPr>
          <w:t>http://www.publications.parliament.uk/pa/jt201314/jtselect/jtrights/189/189.pdf</w:t>
        </w:r>
      </w:hyperlink>
      <w:r w:rsidRPr="00707596">
        <w:rPr>
          <w:rFonts w:cs="Arial"/>
        </w:rPr>
        <w:t>.</w:t>
      </w:r>
      <w:r>
        <w:rPr>
          <w:rFonts w:cs="Arial"/>
        </w:rPr>
        <w:t xml:space="preserve"> </w:t>
      </w:r>
    </w:p>
  </w:footnote>
  <w:footnote w:id="613">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sidRPr="00707596">
        <w:rPr>
          <w:rFonts w:cs="Arial"/>
        </w:rPr>
        <w:t>UN Convention on the Rights of the Child.</w:t>
      </w:r>
      <w:proofErr w:type="gramEnd"/>
      <w:r w:rsidRPr="00707596">
        <w:rPr>
          <w:rFonts w:cs="Arial"/>
        </w:rPr>
        <w:t xml:space="preserve"> Article 37(b).</w:t>
      </w:r>
    </w:p>
  </w:footnote>
  <w:footnote w:id="614">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sidRPr="00707596">
        <w:rPr>
          <w:rFonts w:cs="Arial"/>
        </w:rPr>
        <w:t>UN Convention on the Rights of the Child.</w:t>
      </w:r>
      <w:proofErr w:type="gramEnd"/>
      <w:r w:rsidRPr="00707596">
        <w:rPr>
          <w:rFonts w:cs="Arial"/>
        </w:rPr>
        <w:t xml:space="preserve"> </w:t>
      </w:r>
      <w:proofErr w:type="gramStart"/>
      <w:r w:rsidRPr="00707596">
        <w:rPr>
          <w:rFonts w:cs="Arial"/>
        </w:rPr>
        <w:t>Article 3.</w:t>
      </w:r>
      <w:proofErr w:type="gramEnd"/>
      <w:r w:rsidRPr="00707596">
        <w:rPr>
          <w:rFonts w:cs="Arial"/>
        </w:rPr>
        <w:t xml:space="preserve"> </w:t>
      </w:r>
    </w:p>
  </w:footnote>
  <w:footnote w:id="615">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MoJ.2013. Youth Justice Statistics, Supplementary Tables, chapter 7</w:t>
      </w:r>
      <w:r>
        <w:rPr>
          <w:rFonts w:cs="Arial"/>
        </w:rPr>
        <w:t xml:space="preserve">, </w:t>
      </w:r>
      <w:hyperlink r:id="rId407" w:history="1">
        <w:r w:rsidRPr="006959F2">
          <w:rPr>
            <w:rStyle w:val="Hyperlink"/>
            <w:rFonts w:cs="Arial"/>
          </w:rPr>
          <w:t>https://www.gov.uk/government/publications/youth-justice-statistics</w:t>
        </w:r>
      </w:hyperlink>
      <w:r>
        <w:rPr>
          <w:rFonts w:cs="Arial"/>
        </w:rPr>
        <w:t xml:space="preserve"> </w:t>
      </w:r>
    </w:p>
  </w:footnote>
  <w:footnote w:id="616">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sidRPr="00707596">
        <w:rPr>
          <w:rFonts w:cs="Arial"/>
        </w:rPr>
        <w:t xml:space="preserve">The Smith Institute, Sherman, L. and </w:t>
      </w:r>
      <w:proofErr w:type="spellStart"/>
      <w:r w:rsidRPr="00707596">
        <w:rPr>
          <w:rFonts w:cs="Arial"/>
        </w:rPr>
        <w:t>Strang</w:t>
      </w:r>
      <w:proofErr w:type="spellEnd"/>
      <w:r w:rsidRPr="00707596">
        <w:rPr>
          <w:rFonts w:cs="Arial"/>
        </w:rPr>
        <w:t>.</w:t>
      </w:r>
      <w:proofErr w:type="gramEnd"/>
      <w:r w:rsidRPr="00707596">
        <w:rPr>
          <w:rFonts w:cs="Arial"/>
        </w:rPr>
        <w:t xml:space="preserve"> H. (2007) Restorative Justice: The Evidence. Available at: </w:t>
      </w:r>
      <w:hyperlink r:id="rId408" w:history="1">
        <w:r w:rsidRPr="00707596">
          <w:rPr>
            <w:rStyle w:val="Hyperlink"/>
            <w:rFonts w:cs="Arial"/>
          </w:rPr>
          <w:t>http://www.smith-institute.org.uk/file/RestorativeJusticeTheEvidenceFullreport.pdf</w:t>
        </w:r>
      </w:hyperlink>
      <w:r w:rsidRPr="00707596">
        <w:rPr>
          <w:rFonts w:cs="Arial"/>
        </w:rPr>
        <w:t xml:space="preserve"> p.68</w:t>
      </w:r>
    </w:p>
  </w:footnote>
  <w:footnote w:id="617">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MoJ.2014. </w:t>
      </w:r>
      <w:r w:rsidRPr="00707596">
        <w:rPr>
          <w:rFonts w:cs="Arial"/>
          <w:i/>
        </w:rPr>
        <w:t>Transforming Youth Custody</w:t>
      </w:r>
      <w:r w:rsidRPr="00707596">
        <w:rPr>
          <w:rFonts w:cs="Arial"/>
        </w:rPr>
        <w:t xml:space="preserve">: </w:t>
      </w:r>
      <w:r w:rsidRPr="00707596">
        <w:rPr>
          <w:rFonts w:cs="Arial"/>
          <w:i/>
        </w:rPr>
        <w:t>Government Response to the Consultation</w:t>
      </w:r>
      <w:r w:rsidRPr="00707596">
        <w:rPr>
          <w:rFonts w:cs="Arial"/>
        </w:rPr>
        <w:t>.</w:t>
      </w:r>
    </w:p>
  </w:footnote>
  <w:footnote w:id="618">
    <w:p w:rsidR="0016168E" w:rsidRDefault="0016168E" w:rsidP="002B6091">
      <w:pPr>
        <w:pStyle w:val="FootnoteText"/>
      </w:pPr>
      <w:r>
        <w:rPr>
          <w:rStyle w:val="FootnoteReference"/>
        </w:rPr>
        <w:footnoteRef/>
      </w:r>
      <w:r>
        <w:t xml:space="preserve"> The State briefly touches on hate crime in the context of counter terrorism its Seventh periodic reports of States parties for the United Kingdom of Great Britain and Northern Ireland, 29 December 2012, para 1072-1074, available at: </w:t>
      </w:r>
      <w:hyperlink r:id="rId409" w:history="1">
        <w:r w:rsidRPr="00C04B66">
          <w:rPr>
            <w:rStyle w:val="Hyperlink"/>
          </w:rPr>
          <w:t>http://tbinternet.ohchr.org/_layouts/treatybodyexternal/Download.aspx?symbolno=CCPR%2fC%2fGBR%2f7&amp;Lang=en</w:t>
        </w:r>
      </w:hyperlink>
    </w:p>
  </w:footnote>
  <w:footnote w:id="619">
    <w:p w:rsidR="0016168E" w:rsidRDefault="0016168E" w:rsidP="002B6091">
      <w:pPr>
        <w:pStyle w:val="FootnoteText"/>
      </w:pPr>
      <w:r>
        <w:rPr>
          <w:rStyle w:val="FootnoteReference"/>
        </w:rPr>
        <w:footnoteRef/>
      </w:r>
      <w:r>
        <w:t xml:space="preserve"> Home Office, Challenge it, report it, </w:t>
      </w:r>
      <w:proofErr w:type="gramStart"/>
      <w:r>
        <w:t>stop</w:t>
      </w:r>
      <w:proofErr w:type="gramEnd"/>
      <w:r>
        <w:t xml:space="preserve"> it. Delivering the Government’s hate crime action plan, 2012, available at: </w:t>
      </w:r>
      <w:hyperlink r:id="rId410" w:history="1">
        <w:r w:rsidRPr="007364CC">
          <w:rPr>
            <w:rStyle w:val="Hyperlink"/>
          </w:rPr>
          <w:t>https://www.gov.uk/government/uploads/system/uploads/attachment_data/file/97849/action-plan.pdf</w:t>
        </w:r>
      </w:hyperlink>
      <w:r>
        <w:t xml:space="preserve"> </w:t>
      </w:r>
    </w:p>
  </w:footnote>
  <w:footnote w:id="620">
    <w:p w:rsidR="0016168E" w:rsidRDefault="0016168E" w:rsidP="002B6091">
      <w:pPr>
        <w:pStyle w:val="FootnoteText"/>
      </w:pPr>
      <w:r>
        <w:rPr>
          <w:rStyle w:val="FootnoteReference"/>
        </w:rPr>
        <w:footnoteRef/>
      </w:r>
      <w:r>
        <w:t xml:space="preserve"> Welsh Government, Tackling Hate Crimes and Incidents: A Framework for Action, 2014, available at: </w:t>
      </w:r>
      <w:hyperlink r:id="rId411" w:history="1">
        <w:r w:rsidRPr="007364CC">
          <w:rPr>
            <w:rStyle w:val="Hyperlink"/>
          </w:rPr>
          <w:t>http://wales.gov.uk/topics/equality/rightsequality/hate-crime/?lang=en</w:t>
        </w:r>
      </w:hyperlink>
      <w:r>
        <w:t xml:space="preserve"> </w:t>
      </w:r>
    </w:p>
  </w:footnote>
  <w:footnote w:id="621">
    <w:p w:rsidR="0016168E" w:rsidRDefault="0016168E" w:rsidP="002B6091">
      <w:pPr>
        <w:pStyle w:val="FootnoteText"/>
      </w:pPr>
      <w:r>
        <w:rPr>
          <w:rStyle w:val="FootnoteReference"/>
        </w:rPr>
        <w:footnoteRef/>
      </w:r>
      <w:r>
        <w:t xml:space="preserve"> EU Fundamental Rights Agency, Hate Crime in the European Union, 2012, available at: </w:t>
      </w:r>
      <w:hyperlink r:id="rId412" w:history="1">
        <w:r w:rsidRPr="007364CC">
          <w:rPr>
            <w:rStyle w:val="Hyperlink"/>
          </w:rPr>
          <w:t>http://fra.europa.eu/sites/default/files/fra-factsheet_hatecrime_en_final_0.pdf</w:t>
        </w:r>
      </w:hyperlink>
      <w:r>
        <w:t xml:space="preserve"> </w:t>
      </w:r>
    </w:p>
  </w:footnote>
  <w:footnote w:id="622">
    <w:p w:rsidR="0016168E" w:rsidRDefault="0016168E" w:rsidP="002B6091">
      <w:pPr>
        <w:pStyle w:val="FootnoteText"/>
      </w:pPr>
      <w:r>
        <w:rPr>
          <w:rStyle w:val="FootnoteReference"/>
        </w:rPr>
        <w:footnoteRef/>
      </w:r>
      <w:r>
        <w:t xml:space="preserve"> See, for example, Equality and Human Rights Commission, Hidden in Plain Sight, 2011, available at: </w:t>
      </w:r>
      <w:hyperlink r:id="rId413" w:history="1">
        <w:r w:rsidRPr="007364CC">
          <w:rPr>
            <w:rStyle w:val="Hyperlink"/>
          </w:rPr>
          <w:t>http://www.equalityhumanrights.com/sites/default/files/documents/disabilityfi/dhfimain.pdf</w:t>
        </w:r>
      </w:hyperlink>
      <w:r>
        <w:t xml:space="preserve"> and Stonewall, The Gay British Crime Survey, 2013, available at: </w:t>
      </w:r>
      <w:hyperlink r:id="rId414" w:history="1">
        <w:r w:rsidRPr="007364CC">
          <w:rPr>
            <w:rStyle w:val="Hyperlink"/>
          </w:rPr>
          <w:t>http://www.stonewall.org.uk/what_we_do/research_and_policy/9286.asp</w:t>
        </w:r>
      </w:hyperlink>
      <w:r>
        <w:t xml:space="preserve"> </w:t>
      </w:r>
    </w:p>
  </w:footnote>
  <w:footnote w:id="623">
    <w:p w:rsidR="0016168E" w:rsidRDefault="0016168E" w:rsidP="002B6091">
      <w:pPr>
        <w:pStyle w:val="FootnoteText"/>
      </w:pPr>
      <w:r>
        <w:rPr>
          <w:rStyle w:val="FootnoteReference"/>
        </w:rPr>
        <w:footnoteRef/>
      </w:r>
      <w:r>
        <w:t xml:space="preserve"> See, for example, Equality and Human Rights Commission, Hidden in Plain Sight, 2011, available at: </w:t>
      </w:r>
      <w:hyperlink r:id="rId415" w:history="1">
        <w:r w:rsidRPr="007364CC">
          <w:rPr>
            <w:rStyle w:val="Hyperlink"/>
          </w:rPr>
          <w:t>http://www.equalityhumanrights.com/sites/default/files/documents/disabilityfi/dhfimain.pdf</w:t>
        </w:r>
      </w:hyperlink>
      <w:r>
        <w:t xml:space="preserve"> and Stonewall, The Gay British Crime Survey, 2013, available at: </w:t>
      </w:r>
      <w:hyperlink r:id="rId416" w:history="1">
        <w:r w:rsidRPr="007364CC">
          <w:rPr>
            <w:rStyle w:val="Hyperlink"/>
          </w:rPr>
          <w:t>http://www.stonewall.org.uk/what_we_do/research_and_policy/9286.asp</w:t>
        </w:r>
      </w:hyperlink>
      <w:r>
        <w:t xml:space="preserve"> </w:t>
      </w:r>
    </w:p>
  </w:footnote>
  <w:footnote w:id="624">
    <w:p w:rsidR="0016168E" w:rsidRDefault="0016168E" w:rsidP="002B6091">
      <w:pPr>
        <w:pStyle w:val="FootnoteText"/>
      </w:pPr>
      <w:r>
        <w:rPr>
          <w:rStyle w:val="FootnoteReference"/>
        </w:rPr>
        <w:footnoteRef/>
      </w:r>
      <w:r>
        <w:t xml:space="preserve"> Home Office, Challenge it, report it, </w:t>
      </w:r>
      <w:proofErr w:type="gramStart"/>
      <w:r>
        <w:t>stop</w:t>
      </w:r>
      <w:proofErr w:type="gramEnd"/>
      <w:r>
        <w:t xml:space="preserve"> it. Delivering the Government’s hate crime action plan, 2012, available at: </w:t>
      </w:r>
      <w:hyperlink r:id="rId417" w:history="1">
        <w:r w:rsidRPr="007364CC">
          <w:rPr>
            <w:rStyle w:val="Hyperlink"/>
          </w:rPr>
          <w:t>https://www.gov.uk/government/uploads/system/uploads/attachment_data/file/97849/action-plan.pdf</w:t>
        </w:r>
      </w:hyperlink>
    </w:p>
  </w:footnote>
  <w:footnote w:id="625">
    <w:p w:rsidR="0016168E" w:rsidRDefault="0016168E" w:rsidP="002B6091">
      <w:pPr>
        <w:pStyle w:val="FootnoteText"/>
      </w:pPr>
      <w:r>
        <w:rPr>
          <w:rStyle w:val="FootnoteReference"/>
        </w:rPr>
        <w:footnoteRef/>
      </w:r>
      <w:r>
        <w:t xml:space="preserve"> Stonewall, The Gay British Crime Survey, 2013, available at: </w:t>
      </w:r>
      <w:hyperlink r:id="rId418" w:history="1">
        <w:r w:rsidRPr="007364CC">
          <w:rPr>
            <w:rStyle w:val="Hyperlink"/>
          </w:rPr>
          <w:t>http://www.stonewall.org.uk/what_we_do/research_and_policy/9286.asp</w:t>
        </w:r>
      </w:hyperlink>
    </w:p>
  </w:footnote>
  <w:footnote w:id="626">
    <w:p w:rsidR="0016168E" w:rsidRDefault="0016168E" w:rsidP="002B6091">
      <w:pPr>
        <w:pStyle w:val="FootnoteText"/>
      </w:pPr>
      <w:r>
        <w:rPr>
          <w:rStyle w:val="FootnoteReference"/>
        </w:rPr>
        <w:footnoteRef/>
      </w:r>
      <w:r>
        <w:t xml:space="preserve"> Home Affairs Select Committee, Evidence from Chief Inspector of Constabulary, 17 December 2013, available at: </w:t>
      </w:r>
      <w:hyperlink r:id="rId419" w:history="1">
        <w:r w:rsidRPr="007364CC">
          <w:rPr>
            <w:rStyle w:val="Hyperlink"/>
          </w:rPr>
          <w:t>http://www.publications.parliament.uk/pa/cm201314/cmselect/cmhaff/895-i/131217.htm</w:t>
        </w:r>
      </w:hyperlink>
      <w:r>
        <w:t xml:space="preserve"> </w:t>
      </w:r>
    </w:p>
  </w:footnote>
  <w:footnote w:id="627">
    <w:p w:rsidR="0016168E" w:rsidRDefault="0016168E" w:rsidP="002B6091">
      <w:pPr>
        <w:pStyle w:val="FootnoteText"/>
      </w:pPr>
      <w:r>
        <w:rPr>
          <w:rStyle w:val="FootnoteReference"/>
        </w:rPr>
        <w:footnoteRef/>
      </w:r>
      <w:r>
        <w:t xml:space="preserve"> Her Majesty’s Inspectorate of Constabulary, Crime Recording; A Matter of Matter – Interim Report, 2014, available at: </w:t>
      </w:r>
      <w:hyperlink r:id="rId420" w:history="1">
        <w:r w:rsidRPr="007364CC">
          <w:rPr>
            <w:rStyle w:val="Hyperlink"/>
          </w:rPr>
          <w:t>http://www.hmic.gov.uk/publication/crime-recording-a-matter-of-fact-interim-report/</w:t>
        </w:r>
      </w:hyperlink>
      <w:r>
        <w:t xml:space="preserve"> </w:t>
      </w:r>
    </w:p>
  </w:footnote>
  <w:footnote w:id="628">
    <w:p w:rsidR="0016168E" w:rsidRDefault="0016168E" w:rsidP="002B6091">
      <w:pPr>
        <w:pStyle w:val="FootnoteText"/>
      </w:pPr>
      <w:r>
        <w:rPr>
          <w:rStyle w:val="FootnoteReference"/>
        </w:rPr>
        <w:footnoteRef/>
      </w:r>
      <w:r>
        <w:t xml:space="preserve"> More information available at: </w:t>
      </w:r>
      <w:hyperlink r:id="rId421" w:history="1">
        <w:r w:rsidRPr="007364CC">
          <w:rPr>
            <w:rStyle w:val="Hyperlink"/>
          </w:rPr>
          <w:t>http://www.report-it.org.uk/home</w:t>
        </w:r>
      </w:hyperlink>
      <w:r>
        <w:t xml:space="preserve"> </w:t>
      </w:r>
    </w:p>
  </w:footnote>
  <w:footnote w:id="629">
    <w:p w:rsidR="0016168E" w:rsidRDefault="0016168E" w:rsidP="002B6091">
      <w:pPr>
        <w:pStyle w:val="FootnoteText"/>
      </w:pPr>
      <w:r>
        <w:rPr>
          <w:rStyle w:val="FootnoteReference"/>
        </w:rPr>
        <w:footnoteRef/>
      </w:r>
      <w:r>
        <w:t xml:space="preserve"> Home Office, Hate Crime – Third Party Reporting Survey, 2014, available at: </w:t>
      </w:r>
      <w:hyperlink r:id="rId422" w:history="1">
        <w:r w:rsidRPr="007364CC">
          <w:rPr>
            <w:rStyle w:val="Hyperlink"/>
          </w:rPr>
          <w:t>https://www.homeofficesurveys.homeoffice.gov.uk/s/77093OCNOQ</w:t>
        </w:r>
      </w:hyperlink>
      <w:r>
        <w:t xml:space="preserve"> </w:t>
      </w:r>
    </w:p>
  </w:footnote>
  <w:footnote w:id="630">
    <w:p w:rsidR="0016168E" w:rsidRPr="00707596" w:rsidRDefault="0016168E" w:rsidP="002B6091">
      <w:pPr>
        <w:spacing w:after="0"/>
        <w:rPr>
          <w:rFonts w:cs="Arial"/>
          <w:sz w:val="20"/>
          <w:szCs w:val="20"/>
        </w:rPr>
      </w:pPr>
      <w:r w:rsidRPr="00707596">
        <w:rPr>
          <w:rStyle w:val="FootnoteReference"/>
          <w:rFonts w:cs="Arial"/>
          <w:sz w:val="20"/>
          <w:szCs w:val="20"/>
        </w:rPr>
        <w:footnoteRef/>
      </w:r>
      <w:r w:rsidRPr="00707596">
        <w:rPr>
          <w:rFonts w:cs="Arial"/>
          <w:sz w:val="20"/>
          <w:szCs w:val="20"/>
        </w:rPr>
        <w:t xml:space="preserve"> Aggravated offences (Crime and Disorder Act 1998) are specific offences, such as common assault, malicious wounding / GBH and criminal damage, which have higher available maximum sentences available than the basic offence version if the offence is motivated by racial or religious hostility. Enhanced sentencing (CJA) applies to the sentencing of anyone convicted of an offence that demonstrates hostility /motivation of hostility based on race, religion, sexual orientation, disability transgender identity.</w:t>
      </w:r>
    </w:p>
  </w:footnote>
  <w:footnote w:id="631">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Under the Public Order Act 1986 it is a crime to engage in conduct that is intended to, or likely to, stir up hatred towards a group of people because of their race, religion or sexual orientation.</w:t>
      </w:r>
    </w:p>
  </w:footnote>
  <w:footnote w:id="632">
    <w:p w:rsidR="0016168E" w:rsidRPr="00707596" w:rsidRDefault="0016168E" w:rsidP="002B6091">
      <w:pPr>
        <w:pStyle w:val="FootnoteText"/>
        <w:rPr>
          <w:rFonts w:cs="Arial"/>
          <w:bCs/>
        </w:rPr>
      </w:pPr>
      <w:r w:rsidRPr="00707596">
        <w:rPr>
          <w:rStyle w:val="FootnoteReference"/>
          <w:rFonts w:cs="Arial"/>
        </w:rPr>
        <w:footnoteRef/>
      </w:r>
      <w:r w:rsidRPr="00707596">
        <w:rPr>
          <w:rFonts w:cs="Arial"/>
        </w:rPr>
        <w:t xml:space="preserve"> </w:t>
      </w:r>
      <w:proofErr w:type="gramStart"/>
      <w:r w:rsidRPr="00707596">
        <w:rPr>
          <w:rFonts w:cs="Arial"/>
        </w:rPr>
        <w:t>Law Commission.</w:t>
      </w:r>
      <w:proofErr w:type="gramEnd"/>
      <w:r w:rsidRPr="00707596">
        <w:rPr>
          <w:rFonts w:cs="Arial"/>
        </w:rPr>
        <w:t xml:space="preserve"> 2014. </w:t>
      </w:r>
      <w:r w:rsidRPr="00707596">
        <w:rPr>
          <w:rFonts w:cs="Arial"/>
          <w:bCs/>
        </w:rPr>
        <w:t xml:space="preserve">Hate Crime: </w:t>
      </w:r>
      <w:r w:rsidRPr="00707596">
        <w:rPr>
          <w:rFonts w:cs="Arial"/>
          <w:bCs/>
          <w:i/>
        </w:rPr>
        <w:t xml:space="preserve">Should the Current Offences be </w:t>
      </w:r>
      <w:proofErr w:type="gramStart"/>
      <w:r w:rsidRPr="00707596">
        <w:rPr>
          <w:rFonts w:cs="Arial"/>
          <w:bCs/>
          <w:i/>
        </w:rPr>
        <w:t>Extended</w:t>
      </w:r>
      <w:proofErr w:type="gramEnd"/>
      <w:r w:rsidRPr="00707596">
        <w:rPr>
          <w:rFonts w:cs="Arial"/>
          <w:bCs/>
          <w:i/>
        </w:rPr>
        <w:t>? Summary for non-Specialists</w:t>
      </w:r>
      <w:r w:rsidRPr="00707596">
        <w:rPr>
          <w:rFonts w:cs="Arial"/>
          <w:bCs/>
        </w:rPr>
        <w:t>: http://lawcommission.justice.gov.uk/docs/lc348_hate_crime_english_summary.pdf.</w:t>
      </w:r>
    </w:p>
  </w:footnote>
  <w:footnote w:id="633">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sidRPr="00707596">
        <w:rPr>
          <w:rFonts w:cs="Arial"/>
        </w:rPr>
        <w:t>The Law Society Gazette.</w:t>
      </w:r>
      <w:proofErr w:type="gramEnd"/>
      <w:r w:rsidRPr="00707596">
        <w:rPr>
          <w:rFonts w:cs="Arial"/>
        </w:rPr>
        <w:t xml:space="preserve"> May 2014. </w:t>
      </w:r>
      <w:hyperlink r:id="rId423" w:history="1">
        <w:r w:rsidRPr="007364CC">
          <w:rPr>
            <w:rStyle w:val="Hyperlink"/>
            <w:rFonts w:cs="Arial"/>
          </w:rPr>
          <w:t>http://www.lawgazette.co.uk/law/commission-calls-for-review-of-hate-crime/5041392.article</w:t>
        </w:r>
      </w:hyperlink>
      <w:r>
        <w:rPr>
          <w:rFonts w:cs="Arial"/>
        </w:rPr>
        <w:t xml:space="preserve"> </w:t>
      </w:r>
    </w:p>
  </w:footnote>
  <w:footnote w:id="634">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Currently, only aggravated crimes (race and religion) are recorded on this system whereas crimes which receive enhanced sentences (all protected groups) are not</w:t>
      </w:r>
    </w:p>
  </w:footnote>
  <w:footnote w:id="635">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The Police National Computer can also be searched by the agency conducting criminal records checks in order to see whether an offender is suitable for a particular job. </w:t>
      </w:r>
      <w:proofErr w:type="gramStart"/>
      <w:r w:rsidRPr="00707596">
        <w:rPr>
          <w:rFonts w:cs="Arial"/>
        </w:rPr>
        <w:t>Law Commission.</w:t>
      </w:r>
      <w:proofErr w:type="gramEnd"/>
      <w:r w:rsidRPr="00707596">
        <w:rPr>
          <w:rFonts w:cs="Arial"/>
        </w:rPr>
        <w:t xml:space="preserve"> 2014. </w:t>
      </w:r>
      <w:r w:rsidRPr="00707596">
        <w:rPr>
          <w:rFonts w:cs="Arial"/>
          <w:bCs/>
        </w:rPr>
        <w:t xml:space="preserve">Hate Crime: </w:t>
      </w:r>
      <w:r w:rsidRPr="00707596">
        <w:rPr>
          <w:rFonts w:cs="Arial"/>
          <w:bCs/>
          <w:i/>
        </w:rPr>
        <w:t xml:space="preserve">Should the Current Offences be </w:t>
      </w:r>
      <w:proofErr w:type="gramStart"/>
      <w:r w:rsidRPr="00707596">
        <w:rPr>
          <w:rFonts w:cs="Arial"/>
          <w:bCs/>
          <w:i/>
        </w:rPr>
        <w:t>Extended</w:t>
      </w:r>
      <w:proofErr w:type="gramEnd"/>
      <w:r w:rsidRPr="00707596">
        <w:rPr>
          <w:rFonts w:cs="Arial"/>
          <w:bCs/>
          <w:i/>
        </w:rPr>
        <w:t>? Summary for non-Specialists</w:t>
      </w:r>
      <w:r w:rsidRPr="00707596">
        <w:rPr>
          <w:rFonts w:cs="Arial"/>
          <w:bCs/>
        </w:rPr>
        <w:t xml:space="preserve">: </w:t>
      </w:r>
      <w:hyperlink r:id="rId424" w:history="1">
        <w:r w:rsidRPr="007364CC">
          <w:rPr>
            <w:rStyle w:val="Hyperlink"/>
            <w:rFonts w:cs="Arial"/>
            <w:bCs/>
          </w:rPr>
          <w:t>http://lawcommission.justice.gov.uk/docs/lc348_hate_crime_english_summary.pdf</w:t>
        </w:r>
      </w:hyperlink>
      <w:r>
        <w:rPr>
          <w:rFonts w:cs="Arial"/>
          <w:bCs/>
        </w:rPr>
        <w:t xml:space="preserve"> </w:t>
      </w:r>
    </w:p>
  </w:footnote>
  <w:footnote w:id="636">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The Law Commission notes that in examples cited to them, existing laws are already in place to tackle such offences.</w:t>
      </w:r>
      <w:r w:rsidR="008C67B4">
        <w:rPr>
          <w:rFonts w:cs="Arial"/>
        </w:rPr>
        <w:t xml:space="preserve"> </w:t>
      </w:r>
      <w:r w:rsidRPr="00707596">
        <w:rPr>
          <w:rFonts w:cs="Arial"/>
        </w:rPr>
        <w:t xml:space="preserve">Extending the law would lead to be very few successful prosecutions. </w:t>
      </w:r>
      <w:proofErr w:type="gramStart"/>
      <w:r w:rsidRPr="00707596">
        <w:rPr>
          <w:rFonts w:cs="Arial"/>
        </w:rPr>
        <w:t>Law Commission.</w:t>
      </w:r>
      <w:proofErr w:type="gramEnd"/>
      <w:r w:rsidRPr="00707596">
        <w:rPr>
          <w:rFonts w:cs="Arial"/>
        </w:rPr>
        <w:t xml:space="preserve"> 2014. </w:t>
      </w:r>
      <w:r w:rsidRPr="00707596">
        <w:rPr>
          <w:rFonts w:cs="Arial"/>
          <w:bCs/>
        </w:rPr>
        <w:t xml:space="preserve">Hate Crime: </w:t>
      </w:r>
      <w:r w:rsidRPr="00707596">
        <w:rPr>
          <w:rFonts w:cs="Arial"/>
          <w:bCs/>
          <w:i/>
        </w:rPr>
        <w:t xml:space="preserve">Should the Current Offences be </w:t>
      </w:r>
      <w:proofErr w:type="gramStart"/>
      <w:r w:rsidRPr="00707596">
        <w:rPr>
          <w:rFonts w:cs="Arial"/>
          <w:bCs/>
          <w:i/>
        </w:rPr>
        <w:t>Extended</w:t>
      </w:r>
      <w:proofErr w:type="gramEnd"/>
      <w:r w:rsidRPr="00707596">
        <w:rPr>
          <w:rFonts w:cs="Arial"/>
          <w:bCs/>
          <w:i/>
        </w:rPr>
        <w:t>? Summary for non-Specialists</w:t>
      </w:r>
      <w:r w:rsidRPr="00707596">
        <w:rPr>
          <w:rFonts w:cs="Arial"/>
          <w:bCs/>
        </w:rPr>
        <w:t xml:space="preserve">: </w:t>
      </w:r>
      <w:hyperlink r:id="rId425" w:history="1">
        <w:r w:rsidRPr="00205A9F">
          <w:rPr>
            <w:rStyle w:val="Hyperlink"/>
            <w:rFonts w:cs="Arial"/>
            <w:bCs/>
          </w:rPr>
          <w:t>http://lawcommission.justice.gov.uk/docs/lc348_hate_crime_english_summary.pdf</w:t>
        </w:r>
      </w:hyperlink>
      <w:r w:rsidRPr="00707596">
        <w:rPr>
          <w:rFonts w:cs="Arial"/>
          <w:bCs/>
        </w:rPr>
        <w:t>.</w:t>
      </w:r>
      <w:r>
        <w:rPr>
          <w:rFonts w:cs="Arial"/>
          <w:bCs/>
        </w:rPr>
        <w:t xml:space="preserve"> </w:t>
      </w:r>
    </w:p>
  </w:footnote>
  <w:footnote w:id="637">
    <w:p w:rsidR="0016168E" w:rsidRDefault="0016168E" w:rsidP="002B6091">
      <w:pPr>
        <w:pStyle w:val="FootnoteText"/>
      </w:pPr>
      <w:r>
        <w:rPr>
          <w:rStyle w:val="FootnoteReference"/>
        </w:rPr>
        <w:footnoteRef/>
      </w:r>
      <w:r>
        <w:t xml:space="preserve"> For example, it was verbal disability-based abuse that led to Fiona Pilkington taking her own life and the life of her daughter, </w:t>
      </w:r>
      <w:proofErr w:type="spellStart"/>
      <w:r>
        <w:t>Francecca</w:t>
      </w:r>
      <w:proofErr w:type="spellEnd"/>
      <w:r>
        <w:t xml:space="preserve"> Hardwick in 2007.</w:t>
      </w:r>
    </w:p>
  </w:footnote>
  <w:footnote w:id="638">
    <w:p w:rsidR="0016168E" w:rsidRDefault="0016168E" w:rsidP="002B6091">
      <w:pPr>
        <w:pStyle w:val="FootnoteText"/>
      </w:pPr>
      <w:r>
        <w:rPr>
          <w:rStyle w:val="FootnoteReference"/>
        </w:rPr>
        <w:footnoteRef/>
      </w:r>
      <w:r>
        <w:t xml:space="preserve"> Committee on the Elimination of Racial Discrimination, Concluding observations of the Committee on the Elimination of Racial Discrimination for the United Kingdom and Northern Ireland, 2011, para 11, available at: </w:t>
      </w:r>
      <w:hyperlink r:id="rId426" w:history="1">
        <w:r w:rsidRPr="007364CC">
          <w:rPr>
            <w:rStyle w:val="Hyperlink"/>
          </w:rPr>
          <w:t>http://www2.ohchr.org/english/bodies/cerd/docs/CERD.C.GBR.CO.18-20.pdf</w:t>
        </w:r>
      </w:hyperlink>
      <w:r>
        <w:t xml:space="preserve"> </w:t>
      </w:r>
    </w:p>
  </w:footnote>
  <w:footnote w:id="639">
    <w:p w:rsidR="0016168E" w:rsidRDefault="0016168E" w:rsidP="002B6091">
      <w:pPr>
        <w:pStyle w:val="FootnoteText"/>
      </w:pPr>
      <w:r>
        <w:rPr>
          <w:rStyle w:val="FootnoteReference"/>
        </w:rPr>
        <w:footnoteRef/>
      </w:r>
      <w:r>
        <w:t xml:space="preserve"> European Commission on Racism and Intolerance, Report on the United Kingdom, 2010, p46, available at: </w:t>
      </w:r>
      <w:hyperlink r:id="rId427" w:history="1">
        <w:r w:rsidRPr="007364CC">
          <w:rPr>
            <w:rStyle w:val="Hyperlink"/>
          </w:rPr>
          <w:t>http://www.coe.int/t/dghl/monitoring/ecri/country-by-country/united_kingdom/GBR-CbC-IV-2010-004-ENG.pdf</w:t>
        </w:r>
      </w:hyperlink>
      <w:r>
        <w:t xml:space="preserve"> </w:t>
      </w:r>
    </w:p>
  </w:footnote>
  <w:footnote w:id="640">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Pr>
          <w:rFonts w:cs="Arial"/>
        </w:rPr>
        <w:t>Equality and Human Rights Commission</w:t>
      </w:r>
      <w:r w:rsidRPr="00707596">
        <w:rPr>
          <w:rFonts w:cs="Arial"/>
        </w:rPr>
        <w:t>, 2011.</w:t>
      </w:r>
      <w:proofErr w:type="gramEnd"/>
      <w:r w:rsidRPr="00707596">
        <w:rPr>
          <w:rFonts w:cs="Arial"/>
        </w:rPr>
        <w:t xml:space="preserve"> </w:t>
      </w:r>
      <w:proofErr w:type="gramStart"/>
      <w:r w:rsidRPr="00707596">
        <w:rPr>
          <w:rFonts w:cs="Arial"/>
        </w:rPr>
        <w:t>Hidden in Plain Sight.</w:t>
      </w:r>
      <w:proofErr w:type="gramEnd"/>
      <w:r w:rsidRPr="00707596">
        <w:rPr>
          <w:rFonts w:cs="Arial"/>
        </w:rPr>
        <w:t xml:space="preserve"> Available at: </w:t>
      </w:r>
      <w:hyperlink r:id="rId428" w:history="1">
        <w:r w:rsidRPr="007364CC">
          <w:rPr>
            <w:rStyle w:val="Hyperlink"/>
            <w:rFonts w:cs="Arial"/>
          </w:rPr>
          <w:t>http://www.equalityhumanrights.com/legal-and-policy/inquiries-and-assessments/inquiry-into-disability-related-harassment/hidden-in-plain-sight-the-inquiry-final-report/</w:t>
        </w:r>
      </w:hyperlink>
      <w:r>
        <w:rPr>
          <w:rFonts w:cs="Arial"/>
        </w:rPr>
        <w:t xml:space="preserve"> </w:t>
      </w:r>
    </w:p>
  </w:footnote>
  <w:footnote w:id="641">
    <w:p w:rsidR="0016168E" w:rsidRPr="00707596" w:rsidRDefault="0016168E" w:rsidP="002B6091">
      <w:pPr>
        <w:pStyle w:val="FootnoteText"/>
        <w:rPr>
          <w:rFonts w:cs="Arial"/>
        </w:rPr>
      </w:pPr>
      <w:r w:rsidRPr="00707596">
        <w:rPr>
          <w:rStyle w:val="FootnoteReference"/>
          <w:rFonts w:cs="Arial"/>
        </w:rPr>
        <w:footnoteRef/>
      </w:r>
      <w:r>
        <w:rPr>
          <w:rFonts w:cs="Arial"/>
        </w:rPr>
        <w:t xml:space="preserve"> Equality and Human Rights Commission, Manifesto for Change, 2013,</w:t>
      </w:r>
      <w:r w:rsidRPr="00707596">
        <w:rPr>
          <w:rFonts w:cs="Arial"/>
        </w:rPr>
        <w:t xml:space="preserve"> </w:t>
      </w:r>
      <w:r>
        <w:rPr>
          <w:rFonts w:cs="Arial"/>
        </w:rPr>
        <w:t xml:space="preserve">available at: </w:t>
      </w:r>
      <w:hyperlink r:id="rId429" w:history="1">
        <w:r w:rsidRPr="007364CC">
          <w:rPr>
            <w:rStyle w:val="Hyperlink"/>
            <w:rFonts w:cs="Arial"/>
          </w:rPr>
          <w:t>http://www.equalityhumanrights.com/legal-and-policy/inquiries-and-assessments/inquiry-into-disability-related-harassment/out-in-the-open-manifesto-for-change/</w:t>
        </w:r>
      </w:hyperlink>
      <w:r>
        <w:rPr>
          <w:rFonts w:cs="Arial"/>
        </w:rPr>
        <w:t xml:space="preserve"> </w:t>
      </w:r>
    </w:p>
  </w:footnote>
  <w:footnote w:id="642">
    <w:p w:rsidR="0016168E" w:rsidRDefault="0016168E" w:rsidP="002B6091">
      <w:pPr>
        <w:pStyle w:val="FootnoteText"/>
      </w:pPr>
      <w:r>
        <w:rPr>
          <w:rStyle w:val="FootnoteReference"/>
        </w:rPr>
        <w:footnoteRef/>
      </w:r>
      <w:r>
        <w:t xml:space="preserve"> </w:t>
      </w:r>
      <w:r w:rsidRPr="00707596">
        <w:rPr>
          <w:rFonts w:cs="Arial"/>
        </w:rPr>
        <w:t>Th</w:t>
      </w:r>
      <w:r>
        <w:rPr>
          <w:rFonts w:cs="Arial"/>
        </w:rPr>
        <w:t>ough th</w:t>
      </w:r>
      <w:r w:rsidRPr="00707596">
        <w:rPr>
          <w:rFonts w:cs="Arial"/>
        </w:rPr>
        <w:t xml:space="preserve">e UK Government </w:t>
      </w:r>
      <w:r>
        <w:rPr>
          <w:rFonts w:cs="Arial"/>
        </w:rPr>
        <w:t>has commissioned</w:t>
      </w:r>
      <w:r w:rsidRPr="00707596">
        <w:rPr>
          <w:rFonts w:cs="Arial"/>
        </w:rPr>
        <w:t xml:space="preserve"> a study to examine offender m</w:t>
      </w:r>
      <w:r>
        <w:rPr>
          <w:rFonts w:cs="Arial"/>
        </w:rPr>
        <w:t xml:space="preserve">otivations, working with local criminal justice boards, Home Office, Hate Crime Action Plan Progress Report, page 46, available at: </w:t>
      </w:r>
      <w:hyperlink r:id="rId430" w:history="1">
        <w:r w:rsidRPr="007364CC">
          <w:rPr>
            <w:rStyle w:val="Hyperlink"/>
            <w:rFonts w:cs="Arial"/>
          </w:rPr>
          <w:t>https://www.gov.uk/government/uploads/system/uploads/attachment_data/file/307624/HateCrimeActionPlanProgressReport.pdf</w:t>
        </w:r>
      </w:hyperlink>
      <w:r>
        <w:rPr>
          <w:rFonts w:cs="Arial"/>
        </w:rPr>
        <w:t xml:space="preserve"> </w:t>
      </w:r>
    </w:p>
  </w:footnote>
  <w:footnote w:id="643">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Available at: </w:t>
      </w:r>
      <w:hyperlink r:id="rId431" w:history="1">
        <w:r w:rsidRPr="00707596">
          <w:rPr>
            <w:rStyle w:val="Hyperlink"/>
            <w:rFonts w:cs="Arial"/>
          </w:rPr>
          <w:t>http://www.senedd.assemblywales.org</w:t>
        </w:r>
      </w:hyperlink>
      <w:proofErr w:type="gramStart"/>
      <w:r w:rsidRPr="00707596">
        <w:rPr>
          <w:rFonts w:cs="Arial"/>
        </w:rPr>
        <w:t>.:</w:t>
      </w:r>
      <w:proofErr w:type="gramEnd"/>
      <w:r w:rsidRPr="00707596">
        <w:rPr>
          <w:rFonts w:cs="Arial"/>
        </w:rPr>
        <w:t xml:space="preserve"> </w:t>
      </w:r>
    </w:p>
  </w:footnote>
  <w:footnote w:id="644">
    <w:p w:rsidR="0016168E" w:rsidRDefault="0016168E" w:rsidP="002B6091">
      <w:pPr>
        <w:pStyle w:val="FootnoteText"/>
      </w:pPr>
      <w:r>
        <w:rPr>
          <w:rStyle w:val="FootnoteReference"/>
        </w:rPr>
        <w:footnoteRef/>
      </w:r>
      <w:r>
        <w:t xml:space="preserve"> Seventh periodic reports of States parties for the United Kingdom of Great Britain and Northern Ireland, 29 December 2012, para 424-434, available at: </w:t>
      </w:r>
      <w:hyperlink r:id="rId432" w:history="1">
        <w:r w:rsidRPr="00C04B66">
          <w:rPr>
            <w:rStyle w:val="Hyperlink"/>
          </w:rPr>
          <w:t>http://tbinternet.ohchr.org/_layouts/treatybodyexternal/Download.aspx?symbolno=CCPR%2fC%2fGBR%2f7&amp;Lang=en</w:t>
        </w:r>
      </w:hyperlink>
    </w:p>
  </w:footnote>
  <w:footnote w:id="645">
    <w:p w:rsidR="0016168E" w:rsidRDefault="0016168E" w:rsidP="002B6091">
      <w:pPr>
        <w:pStyle w:val="FootnoteText"/>
      </w:pPr>
      <w:r>
        <w:rPr>
          <w:rStyle w:val="FootnoteReference"/>
        </w:rPr>
        <w:footnoteRef/>
      </w:r>
      <w:r>
        <w:t xml:space="preserve"> </w:t>
      </w:r>
      <w:r>
        <w:rPr>
          <w:rFonts w:cs="Arial"/>
        </w:rPr>
        <w:t xml:space="preserve">The Istanbul Convention, available at: </w:t>
      </w:r>
      <w:hyperlink r:id="rId433" w:history="1">
        <w:r w:rsidRPr="007364CC">
          <w:rPr>
            <w:rStyle w:val="Hyperlink"/>
            <w:rFonts w:cs="Arial"/>
          </w:rPr>
          <w:t>http://www.coe.int/t/dghl/standardsetting/conventionviolence/convention/Convention%20210%20English.pdf</w:t>
        </w:r>
      </w:hyperlink>
      <w:r>
        <w:rPr>
          <w:rFonts w:cs="Arial"/>
        </w:rPr>
        <w:t xml:space="preserve"> </w:t>
      </w:r>
    </w:p>
  </w:footnote>
  <w:footnote w:id="646">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sidRPr="00707596">
        <w:rPr>
          <w:rFonts w:cs="Arial"/>
        </w:rPr>
        <w:t>Welsh Assembly Government.</w:t>
      </w:r>
      <w:proofErr w:type="gramEnd"/>
      <w:r w:rsidRPr="00707596">
        <w:rPr>
          <w:rFonts w:cs="Arial"/>
        </w:rPr>
        <w:t xml:space="preserve"> 2010. The Right to Be Safe: http://wales.gov.uk/topics/people-and-communities/safety/domestic-abuse/publications/right-to-be-safe-annual-report-12-13/?lang=en. In November 2012 the Welsh Government consulted on legislation to end VAWG - </w:t>
      </w:r>
      <w:hyperlink r:id="rId434" w:history="1">
        <w:r w:rsidRPr="00707596">
          <w:rPr>
            <w:rStyle w:val="Hyperlink"/>
            <w:rFonts w:cs="Arial"/>
          </w:rPr>
          <w:t>http://wales.gov.uk/consultations/people-and-communities/vawwhitepaper/?lang=en</w:t>
        </w:r>
      </w:hyperlink>
    </w:p>
  </w:footnote>
  <w:footnote w:id="647">
    <w:p w:rsidR="0016168E" w:rsidRDefault="0016168E" w:rsidP="002B6091">
      <w:pPr>
        <w:pStyle w:val="FootnoteText"/>
      </w:pPr>
      <w:r>
        <w:rPr>
          <w:rStyle w:val="FootnoteReference"/>
        </w:rPr>
        <w:footnoteRef/>
      </w:r>
      <w:r>
        <w:t xml:space="preserve"> </w:t>
      </w:r>
      <w:proofErr w:type="gramStart"/>
      <w:r w:rsidRPr="00707596">
        <w:rPr>
          <w:rFonts w:cs="Arial"/>
        </w:rPr>
        <w:t>ONS.</w:t>
      </w:r>
      <w:proofErr w:type="gramEnd"/>
      <w:r w:rsidRPr="00707596">
        <w:rPr>
          <w:rFonts w:cs="Arial"/>
        </w:rPr>
        <w:t xml:space="preserve"> 2014. Crime Statistics, Focus on Violent Crime and Sexual Offences, 2012/13: </w:t>
      </w:r>
      <w:hyperlink r:id="rId435" w:history="1">
        <w:r w:rsidRPr="007364CC">
          <w:rPr>
            <w:rStyle w:val="Hyperlink"/>
            <w:rFonts w:cs="Arial"/>
          </w:rPr>
          <w:t>http://www.ons.gov.uk/ons/rel/crime-stats/crime-statistics/focus-on-violent-crime-and-sexual-offences--2012-13/index.html</w:t>
        </w:r>
      </w:hyperlink>
    </w:p>
  </w:footnote>
  <w:footnote w:id="648">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proofErr w:type="gramStart"/>
      <w:r w:rsidRPr="00707596">
        <w:rPr>
          <w:rFonts w:cs="Arial"/>
        </w:rPr>
        <w:t>ONS.</w:t>
      </w:r>
      <w:proofErr w:type="gramEnd"/>
      <w:r w:rsidRPr="00707596">
        <w:rPr>
          <w:rFonts w:cs="Arial"/>
        </w:rPr>
        <w:t xml:space="preserve"> 2014. Crime Statistics, Focus on Violent Crime and Sexual Offences, 2012/13: </w:t>
      </w:r>
      <w:hyperlink r:id="rId436" w:history="1">
        <w:r w:rsidRPr="007364CC">
          <w:rPr>
            <w:rStyle w:val="Hyperlink"/>
            <w:rFonts w:cs="Arial"/>
          </w:rPr>
          <w:t>http://www.ons.gov.uk/ons/rel/crime-stats/crime-statistics/focus-on-violent-crime-and-sexual-offences--2012-13/index.html</w:t>
        </w:r>
      </w:hyperlink>
      <w:r>
        <w:rPr>
          <w:rFonts w:cs="Arial"/>
        </w:rPr>
        <w:t xml:space="preserve"> </w:t>
      </w:r>
    </w:p>
  </w:footnote>
  <w:footnote w:id="649">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The 70,000 figure includes attempted rapes.</w:t>
      </w:r>
      <w:r>
        <w:rPr>
          <w:rFonts w:cs="Arial"/>
        </w:rPr>
        <w:t xml:space="preserve"> </w:t>
      </w:r>
      <w:proofErr w:type="gramStart"/>
      <w:r w:rsidRPr="00707596">
        <w:rPr>
          <w:rFonts w:cs="Arial"/>
        </w:rPr>
        <w:t>Home Office.</w:t>
      </w:r>
      <w:proofErr w:type="gramEnd"/>
      <w:r w:rsidRPr="00707596">
        <w:rPr>
          <w:rFonts w:cs="Arial"/>
        </w:rPr>
        <w:t xml:space="preserve"> 2013. </w:t>
      </w:r>
      <w:r w:rsidRPr="00707596">
        <w:rPr>
          <w:rFonts w:cs="Arial"/>
          <w:i/>
        </w:rPr>
        <w:t>End Violence Against Women and Girls</w:t>
      </w:r>
      <w:r w:rsidRPr="00707596">
        <w:rPr>
          <w:rFonts w:cs="Arial"/>
        </w:rPr>
        <w:t>:</w:t>
      </w:r>
      <w:r>
        <w:rPr>
          <w:rFonts w:cs="Arial"/>
        </w:rPr>
        <w:t xml:space="preserve"> </w:t>
      </w:r>
      <w:hyperlink r:id="rId437" w:history="1">
        <w:r w:rsidRPr="007364CC">
          <w:rPr>
            <w:rStyle w:val="Hyperlink"/>
            <w:rFonts w:cs="Arial"/>
          </w:rPr>
          <w:t>https://www.gov.uk/government/uploads/system/uploads/attachment_data/file/229477/VAWG_Brief_v3.pdf</w:t>
        </w:r>
      </w:hyperlink>
      <w:r>
        <w:rPr>
          <w:rFonts w:cs="Arial"/>
        </w:rPr>
        <w:t xml:space="preserve"> </w:t>
      </w:r>
    </w:p>
  </w:footnote>
  <w:footnote w:id="650">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Home Office</w:t>
      </w:r>
      <w:r>
        <w:rPr>
          <w:rFonts w:cs="Arial"/>
        </w:rPr>
        <w:t>,</w:t>
      </w:r>
      <w:r w:rsidRPr="00707596">
        <w:rPr>
          <w:rFonts w:cs="Arial"/>
        </w:rPr>
        <w:t xml:space="preserve"> </w:t>
      </w:r>
      <w:r w:rsidRPr="00DF5478">
        <w:rPr>
          <w:rFonts w:cs="Arial"/>
        </w:rPr>
        <w:t>End Violence Against Women and Girls</w:t>
      </w:r>
      <w:r>
        <w:rPr>
          <w:rFonts w:cs="Arial"/>
        </w:rPr>
        <w:t xml:space="preserve">, 2013, available at: </w:t>
      </w:r>
      <w:hyperlink r:id="rId438" w:history="1">
        <w:r w:rsidRPr="007364CC">
          <w:rPr>
            <w:rStyle w:val="Hyperlink"/>
            <w:rFonts w:cs="Arial"/>
          </w:rPr>
          <w:t>https://www.gov.uk/government/uploads/system/uploads/attachment_data/file/229477/VAWG_Brief_v3.pdf</w:t>
        </w:r>
      </w:hyperlink>
      <w:r>
        <w:rPr>
          <w:rFonts w:cs="Arial"/>
        </w:rPr>
        <w:t xml:space="preserve"> </w:t>
      </w:r>
    </w:p>
  </w:footnote>
  <w:footnote w:id="651">
    <w:p w:rsidR="0016168E" w:rsidRDefault="0016168E" w:rsidP="002B6091">
      <w:pPr>
        <w:pStyle w:val="FootnoteText"/>
      </w:pPr>
      <w:r>
        <w:rPr>
          <w:rStyle w:val="FootnoteReference"/>
        </w:rPr>
        <w:footnoteRef/>
      </w:r>
      <w:r>
        <w:t xml:space="preserve"> </w:t>
      </w:r>
      <w:r w:rsidRPr="00707596">
        <w:rPr>
          <w:rFonts w:cs="Arial"/>
        </w:rPr>
        <w:t>See also</w:t>
      </w:r>
      <w:r w:rsidRPr="00707596">
        <w:rPr>
          <w:rFonts w:cs="Arial"/>
          <w:b/>
        </w:rPr>
        <w:t xml:space="preserve"> </w:t>
      </w:r>
      <w:r w:rsidRPr="00707596">
        <w:rPr>
          <w:rFonts w:cs="Arial"/>
        </w:rPr>
        <w:t xml:space="preserve">the </w:t>
      </w:r>
      <w:r>
        <w:rPr>
          <w:rFonts w:cs="Arial"/>
        </w:rPr>
        <w:t>EHRC’s</w:t>
      </w:r>
      <w:r w:rsidRPr="00707596">
        <w:rPr>
          <w:rFonts w:cs="Arial"/>
        </w:rPr>
        <w:t xml:space="preserve"> evidence to the Home Affairs Select Committee’s inquiry into Female Genital Mutilation, March 2014</w:t>
      </w:r>
      <w:r>
        <w:rPr>
          <w:rFonts w:cs="Arial"/>
        </w:rPr>
        <w:t>, p227, available at:</w:t>
      </w:r>
      <w:r w:rsidRPr="00707596">
        <w:rPr>
          <w:rFonts w:cs="Arial"/>
        </w:rPr>
        <w:t xml:space="preserve"> </w:t>
      </w:r>
      <w:hyperlink r:id="rId439" w:history="1">
        <w:r w:rsidRPr="007364CC">
          <w:rPr>
            <w:rStyle w:val="Hyperlink"/>
            <w:rFonts w:cs="Arial"/>
          </w:rPr>
          <w:t>http://www.parliament.uk/documents/commons-committees/home-affairs/FGM%20written%20evidence.pdf</w:t>
        </w:r>
      </w:hyperlink>
      <w:r w:rsidR="008C67B4">
        <w:rPr>
          <w:rFonts w:cs="Arial"/>
        </w:rPr>
        <w:t xml:space="preserve"> </w:t>
      </w:r>
    </w:p>
  </w:footnote>
  <w:footnote w:id="652">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r>
        <w:rPr>
          <w:rFonts w:cs="Arial"/>
        </w:rPr>
        <w:t xml:space="preserve">Department of Education, Behaviour and Attendance statistics, 2013, available at: </w:t>
      </w:r>
      <w:hyperlink r:id="rId440" w:history="1">
        <w:r w:rsidRPr="007364CC">
          <w:rPr>
            <w:rStyle w:val="Hyperlink"/>
            <w:rFonts w:cs="Arial"/>
          </w:rPr>
          <w:t>https://www.gov.uk/government/collections/statistics-exclusions</w:t>
        </w:r>
      </w:hyperlink>
      <w:r w:rsidR="008C67B4">
        <w:rPr>
          <w:rFonts w:cs="Arial"/>
        </w:rPr>
        <w:t xml:space="preserve"> </w:t>
      </w:r>
      <w:r w:rsidRPr="00707596">
        <w:rPr>
          <w:rFonts w:cs="Arial"/>
        </w:rPr>
        <w:t xml:space="preserve"> </w:t>
      </w:r>
    </w:p>
  </w:footnote>
  <w:footnote w:id="653">
    <w:p w:rsidR="0016168E" w:rsidRDefault="0016168E" w:rsidP="002B6091">
      <w:pPr>
        <w:pStyle w:val="FootnoteText"/>
      </w:pPr>
      <w:r>
        <w:rPr>
          <w:rStyle w:val="FootnoteReference"/>
        </w:rPr>
        <w:footnoteRef/>
      </w:r>
      <w:r>
        <w:t xml:space="preserve"> </w:t>
      </w:r>
      <w:r w:rsidRPr="00707596">
        <w:rPr>
          <w:rFonts w:cs="Arial"/>
        </w:rPr>
        <w:t>This recommendation relates to VAW</w:t>
      </w:r>
      <w:r>
        <w:rPr>
          <w:rFonts w:cs="Arial"/>
        </w:rPr>
        <w:t>G</w:t>
      </w:r>
      <w:r w:rsidRPr="00707596">
        <w:rPr>
          <w:rFonts w:cs="Arial"/>
        </w:rPr>
        <w:t xml:space="preserve">: </w:t>
      </w:r>
      <w:hyperlink r:id="rId441" w:anchor="recom19" w:history="1">
        <w:r w:rsidRPr="007364CC">
          <w:rPr>
            <w:rStyle w:val="Hyperlink"/>
            <w:rFonts w:cs="Arial"/>
          </w:rPr>
          <w:t>http://www.un.org/womenwatch/daw/cedaw/recommendations/recomm.htm#recom19</w:t>
        </w:r>
      </w:hyperlink>
      <w:r>
        <w:rPr>
          <w:rFonts w:cs="Arial"/>
        </w:rPr>
        <w:t xml:space="preserve"> </w:t>
      </w:r>
    </w:p>
  </w:footnote>
  <w:footnote w:id="654">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For a more detailed assessment of the EHRC’s analysis on what the UK Government needs to achieve to meet the Istanbul Convention, please see </w:t>
      </w:r>
      <w:r>
        <w:rPr>
          <w:rFonts w:cs="Arial"/>
        </w:rPr>
        <w:t>our</w:t>
      </w:r>
      <w:r w:rsidRPr="00707596">
        <w:rPr>
          <w:rFonts w:cs="Arial"/>
        </w:rPr>
        <w:t xml:space="preserve"> submission to the Joint Committee of Human Rights, March 2014: </w:t>
      </w:r>
      <w:hyperlink r:id="rId442" w:history="1">
        <w:r w:rsidRPr="007364CC">
          <w:rPr>
            <w:rStyle w:val="Hyperlink"/>
            <w:rFonts w:cs="Arial"/>
          </w:rPr>
          <w:t>http://data.parliament.uk/writtenevidence/committeeevidence.svc/evidencedocument/human-rights-committee/violence-against-women-and-girls/written/7840.html</w:t>
        </w:r>
      </w:hyperlink>
      <w:r w:rsidR="008C67B4">
        <w:rPr>
          <w:rFonts w:cs="Arial"/>
        </w:rPr>
        <w:t xml:space="preserve"> </w:t>
      </w:r>
    </w:p>
  </w:footnote>
  <w:footnote w:id="655">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For example,</w:t>
      </w:r>
      <w:r w:rsidR="008C67B4">
        <w:rPr>
          <w:rFonts w:cs="Arial"/>
        </w:rPr>
        <w:t xml:space="preserve"> </w:t>
      </w:r>
      <w:r w:rsidRPr="00707596">
        <w:rPr>
          <w:rFonts w:cs="Arial"/>
          <w:bCs/>
        </w:rPr>
        <w:t>a prohibition on simulated rape pornography (Article 12) will be addressed through the Criminal Justice and Courts Bill 2013-14 and the criminalisation of forced marriage (Article 37) will be addressed through the Anti-Social Behaviour, Crime and Policing Bill 2013-14</w:t>
      </w:r>
    </w:p>
  </w:footnote>
  <w:footnote w:id="656">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r>
        <w:rPr>
          <w:rFonts w:cs="Arial"/>
        </w:rPr>
        <w:t>Home Office,</w:t>
      </w:r>
      <w:r w:rsidRPr="00707596">
        <w:rPr>
          <w:rFonts w:cs="Arial"/>
        </w:rPr>
        <w:t xml:space="preserve"> A Call to End Violence again</w:t>
      </w:r>
      <w:r>
        <w:rPr>
          <w:rFonts w:cs="Arial"/>
        </w:rPr>
        <w:t xml:space="preserve">st Women and Girls, Action Plan, March 2013, available at </w:t>
      </w:r>
      <w:hyperlink r:id="rId443" w:history="1">
        <w:r w:rsidRPr="00707596">
          <w:rPr>
            <w:rStyle w:val="Hyperlink"/>
            <w:rFonts w:cs="Arial"/>
          </w:rPr>
          <w:t>https://www.gov.uk/government/uploads/system/uploads/attachment_data/file/181088/vawg-action-plan-2013.pdf</w:t>
        </w:r>
      </w:hyperlink>
      <w:r w:rsidRPr="00707596">
        <w:rPr>
          <w:rFonts w:cs="Arial"/>
        </w:rPr>
        <w:t xml:space="preserve"> </w:t>
      </w:r>
    </w:p>
  </w:footnote>
  <w:footnote w:id="657">
    <w:p w:rsidR="0016168E" w:rsidRPr="00707596" w:rsidRDefault="0016168E" w:rsidP="002B6091">
      <w:pPr>
        <w:pStyle w:val="FootnoteText"/>
        <w:rPr>
          <w:rFonts w:cs="Arial"/>
          <w:bCs/>
        </w:rPr>
      </w:pPr>
      <w:r w:rsidRPr="00707596">
        <w:rPr>
          <w:rStyle w:val="FootnoteReference"/>
          <w:rFonts w:cs="Arial"/>
        </w:rPr>
        <w:footnoteRef/>
      </w:r>
      <w:r w:rsidRPr="00707596">
        <w:rPr>
          <w:rFonts w:cs="Arial"/>
        </w:rPr>
        <w:t xml:space="preserve"> </w:t>
      </w:r>
      <w:r>
        <w:rPr>
          <w:rFonts w:cs="Arial"/>
          <w:bCs/>
        </w:rPr>
        <w:t>While the</w:t>
      </w:r>
      <w:r w:rsidRPr="00707596">
        <w:rPr>
          <w:rFonts w:cs="Arial"/>
          <w:bCs/>
        </w:rPr>
        <w:t xml:space="preserve"> Welsh and Scottish Governments are developing their own VAWG strate</w:t>
      </w:r>
      <w:r>
        <w:rPr>
          <w:rFonts w:cs="Arial"/>
          <w:bCs/>
        </w:rPr>
        <w:t xml:space="preserve">gies, </w:t>
      </w:r>
      <w:r w:rsidRPr="00707596">
        <w:rPr>
          <w:rFonts w:cs="Arial"/>
          <w:bCs/>
        </w:rPr>
        <w:t>strong argument</w:t>
      </w:r>
      <w:r>
        <w:rPr>
          <w:rFonts w:cs="Arial"/>
          <w:bCs/>
        </w:rPr>
        <w:t>s remain</w:t>
      </w:r>
      <w:r w:rsidRPr="00707596">
        <w:rPr>
          <w:rFonts w:cs="Arial"/>
          <w:bCs/>
        </w:rPr>
        <w:t xml:space="preserve"> for a UK-w</w:t>
      </w:r>
      <w:r>
        <w:rPr>
          <w:rFonts w:cs="Arial"/>
          <w:bCs/>
        </w:rPr>
        <w:t>ide, coordinating body to fulfi</w:t>
      </w:r>
      <w:r w:rsidRPr="00707596">
        <w:rPr>
          <w:rFonts w:cs="Arial"/>
          <w:bCs/>
        </w:rPr>
        <w:t xml:space="preserve">l the Article 10 functions. </w:t>
      </w:r>
    </w:p>
  </w:footnote>
  <w:footnote w:id="658">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See the EHRC’s full evidence to the Home Affairs Select Committee’s inquiry into Female Genital Mutilation: http://www.parliament.uk/documents/commons-committees/home-affairs/FGM%20written%20evidence.pdf – page 227</w:t>
      </w:r>
    </w:p>
  </w:footnote>
  <w:footnote w:id="659">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hyperlink r:id="rId444" w:history="1">
        <w:r w:rsidRPr="007364CC">
          <w:rPr>
            <w:rStyle w:val="Hyperlink"/>
            <w:rFonts w:cs="Arial"/>
          </w:rPr>
          <w:t>http://wales.gov.uk/docs/dsjlg/publications/commsafety/130823rtbsannreport1213en.pdf</w:t>
        </w:r>
      </w:hyperlink>
      <w:r>
        <w:rPr>
          <w:rFonts w:cs="Arial"/>
        </w:rPr>
        <w:t xml:space="preserve"> </w:t>
      </w:r>
    </w:p>
  </w:footnote>
  <w:footnote w:id="660">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See for example, HMIC, 2013 </w:t>
      </w:r>
      <w:hyperlink r:id="rId445" w:history="1">
        <w:r w:rsidRPr="00707596">
          <w:rPr>
            <w:rStyle w:val="Hyperlink"/>
            <w:rFonts w:cs="Arial"/>
          </w:rPr>
          <w:t>http://www.hmic.gov.uk/publication/essex-polices-approach-to-managing-cases-of-domestic-abuse/</w:t>
        </w:r>
      </w:hyperlink>
      <w:r w:rsidRPr="00707596">
        <w:rPr>
          <w:rFonts w:cs="Arial"/>
        </w:rPr>
        <w:t xml:space="preserve">; Baroness Stern’s Independent Review into how Rape Complaints are Handled by Public Authorities in England and Wales was published in March 2010 - </w:t>
      </w:r>
      <w:hyperlink r:id="rId446" w:history="1">
        <w:r w:rsidRPr="00707596">
          <w:rPr>
            <w:rStyle w:val="Hyperlink"/>
            <w:rFonts w:cs="Arial"/>
          </w:rPr>
          <w:t>http://webarchive.nationalarchives.gov.uk/20110608160754/http:/www.equalities.gov.uk/PDF/Stern_Review_acc_FINAL.pdf</w:t>
        </w:r>
      </w:hyperlink>
    </w:p>
  </w:footnote>
  <w:footnote w:id="661">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r w:rsidRPr="00707596">
        <w:rPr>
          <w:rFonts w:cs="Arial"/>
          <w:bCs/>
        </w:rPr>
        <w:t>Despite legislation and judicial interpretation consistent with Article 36, the implementation of the law on consent is not always satisfactory.</w:t>
      </w:r>
      <w:r>
        <w:rPr>
          <w:rFonts w:cs="Arial"/>
          <w:bCs/>
        </w:rPr>
        <w:t xml:space="preserve"> </w:t>
      </w:r>
      <w:r w:rsidRPr="00707596">
        <w:rPr>
          <w:rFonts w:cs="Arial"/>
        </w:rPr>
        <w:t>Baroness Stern’s</w:t>
      </w:r>
      <w:r>
        <w:rPr>
          <w:rFonts w:cs="Arial"/>
        </w:rPr>
        <w:t xml:space="preserve"> </w:t>
      </w:r>
      <w:r w:rsidRPr="00707596">
        <w:rPr>
          <w:rFonts w:cs="Arial"/>
        </w:rPr>
        <w:t xml:space="preserve">Independent Review into how Rape Complaints are Handled by Public Authorities in England and Wales was published in March 2010: </w:t>
      </w:r>
      <w:hyperlink r:id="rId447" w:history="1">
        <w:r w:rsidRPr="00707596">
          <w:rPr>
            <w:rStyle w:val="Hyperlink"/>
            <w:rFonts w:cs="Arial"/>
          </w:rPr>
          <w:t>http://webarchive.nationalarchives.gov.uk/20110608160754/http:/www.equalities.gov.uk/PDF/Stern_Review_acc_FINAL.pdf</w:t>
        </w:r>
      </w:hyperlink>
      <w:r w:rsidR="008C67B4">
        <w:rPr>
          <w:rFonts w:cs="Arial"/>
        </w:rPr>
        <w:t xml:space="preserve"> </w:t>
      </w:r>
      <w:r w:rsidRPr="00707596">
        <w:rPr>
          <w:rFonts w:cs="Arial"/>
        </w:rPr>
        <w:t>- p.115</w:t>
      </w:r>
    </w:p>
  </w:footnote>
  <w:footnote w:id="662">
    <w:p w:rsidR="0016168E" w:rsidRPr="00707596" w:rsidRDefault="0016168E" w:rsidP="002B6091">
      <w:pPr>
        <w:pStyle w:val="FootnoteText"/>
        <w:rPr>
          <w:rFonts w:cs="Arial"/>
        </w:rPr>
      </w:pPr>
      <w:r w:rsidRPr="00707596">
        <w:rPr>
          <w:rStyle w:val="FootnoteReference"/>
          <w:rFonts w:cs="Arial"/>
        </w:rPr>
        <w:footnoteRef/>
      </w:r>
      <w:r w:rsidR="008C67B4">
        <w:rPr>
          <w:rFonts w:cs="Arial"/>
        </w:rPr>
        <w:t xml:space="preserve"> </w:t>
      </w:r>
      <w:proofErr w:type="gramStart"/>
      <w:r w:rsidRPr="00707596">
        <w:rPr>
          <w:rFonts w:cs="Arial"/>
        </w:rPr>
        <w:t>CEDAW Concluding Observations on Great Britain and Northern Ireland.</w:t>
      </w:r>
      <w:proofErr w:type="gramEnd"/>
      <w:r w:rsidRPr="00707596">
        <w:rPr>
          <w:rFonts w:cs="Arial"/>
        </w:rPr>
        <w:t xml:space="preserve"> 30 July 2013. </w:t>
      </w:r>
      <w:proofErr w:type="gramStart"/>
      <w:r w:rsidRPr="00707596">
        <w:rPr>
          <w:rFonts w:cs="Arial"/>
        </w:rPr>
        <w:t>Paragraph 56 and 59.</w:t>
      </w:r>
      <w:proofErr w:type="gramEnd"/>
      <w:r w:rsidRPr="00707596">
        <w:rPr>
          <w:rFonts w:cs="Arial"/>
        </w:rPr>
        <w:t xml:space="preserve"> </w:t>
      </w:r>
      <w:hyperlink r:id="rId448" w:history="1">
        <w:r w:rsidRPr="00707596">
          <w:rPr>
            <w:rStyle w:val="Hyperlink"/>
            <w:rFonts w:cs="Arial"/>
          </w:rPr>
          <w:t>http://tbinternet.ohchr.org/_layouts/treatybodyexternal/Download.aspx?symbolno=CEDAW%2fC%2fGBR%2fCO%2f7&amp;Lang=en</w:t>
        </w:r>
      </w:hyperlink>
      <w:r w:rsidRPr="00707596">
        <w:rPr>
          <w:rFonts w:cs="Arial"/>
        </w:rPr>
        <w:t xml:space="preserve"> </w:t>
      </w:r>
    </w:p>
  </w:footnote>
  <w:footnote w:id="663">
    <w:p w:rsidR="0016168E" w:rsidRPr="00707596" w:rsidRDefault="0016168E" w:rsidP="002B6091">
      <w:pPr>
        <w:pStyle w:val="FootnoteText"/>
        <w:rPr>
          <w:rFonts w:cs="Arial"/>
        </w:rPr>
      </w:pPr>
      <w:r w:rsidRPr="00707596">
        <w:rPr>
          <w:rStyle w:val="FootnoteReference"/>
          <w:rFonts w:cs="Arial"/>
        </w:rPr>
        <w:footnoteRef/>
      </w:r>
      <w:r w:rsidRPr="00707596">
        <w:rPr>
          <w:rFonts w:cs="Arial"/>
        </w:rPr>
        <w:t xml:space="preserve"> </w:t>
      </w:r>
      <w:r w:rsidRPr="00707596">
        <w:rPr>
          <w:rFonts w:cs="Arial"/>
          <w:bCs/>
        </w:rPr>
        <w:t>For example, Women’s Aid Scotland reports it has to turn away one in three women.</w:t>
      </w:r>
      <w:r w:rsidRPr="00707596">
        <w:rPr>
          <w:rFonts w:cs="Arial"/>
        </w:rPr>
        <w:t xml:space="preserve"> </w:t>
      </w:r>
      <w:proofErr w:type="gramStart"/>
      <w:r w:rsidRPr="00707596">
        <w:rPr>
          <w:rFonts w:cs="Arial"/>
        </w:rPr>
        <w:t>Scottish Women’s Aid.</w:t>
      </w:r>
      <w:proofErr w:type="gramEnd"/>
      <w:r w:rsidRPr="00707596">
        <w:rPr>
          <w:rFonts w:cs="Arial"/>
        </w:rPr>
        <w:t xml:space="preserve"> 2012. Submission to the Scottish Parliament Equal Opportunities Committee: </w:t>
      </w:r>
      <w:hyperlink r:id="rId449" w:history="1">
        <w:r w:rsidRPr="00707596">
          <w:rPr>
            <w:rStyle w:val="Hyperlink"/>
            <w:rFonts w:cs="Arial"/>
          </w:rPr>
          <w:t>http://www.scottish.parliament.uk/S4_EqualOpportunitiesCommittee/Inquiries/Scottish_Womens_Aid_submission.pdf</w:t>
        </w:r>
      </w:hyperlink>
      <w:r w:rsidR="008C67B4">
        <w:rPr>
          <w:rFonts w:cs="Arial"/>
        </w:rPr>
        <w:t xml:space="preserve"> </w:t>
      </w:r>
    </w:p>
    <w:p w:rsidR="0016168E" w:rsidRPr="00707596" w:rsidRDefault="0016168E" w:rsidP="002B6091">
      <w:pPr>
        <w:pStyle w:val="FootnoteText"/>
        <w:rPr>
          <w:rFonts w:cs="Arial"/>
        </w:rPr>
      </w:pPr>
      <w:proofErr w:type="gramStart"/>
      <w:r w:rsidRPr="00707596">
        <w:rPr>
          <w:rFonts w:cs="Arial"/>
        </w:rPr>
        <w:t>HM Government.</w:t>
      </w:r>
      <w:proofErr w:type="gramEnd"/>
      <w:r w:rsidRPr="00707596">
        <w:rPr>
          <w:rFonts w:cs="Arial"/>
        </w:rPr>
        <w:t xml:space="preserve"> </w:t>
      </w:r>
      <w:proofErr w:type="gramStart"/>
      <w:r w:rsidRPr="00707596">
        <w:rPr>
          <w:rFonts w:cs="Arial"/>
        </w:rPr>
        <w:t>A Call to End Violence against Women and Girls.</w:t>
      </w:r>
      <w:proofErr w:type="gramEnd"/>
      <w:r w:rsidRPr="00707596">
        <w:rPr>
          <w:rFonts w:cs="Arial"/>
        </w:rPr>
        <w:t xml:space="preserve"> </w:t>
      </w:r>
      <w:proofErr w:type="gramStart"/>
      <w:r w:rsidRPr="00707596">
        <w:rPr>
          <w:rFonts w:cs="Arial"/>
        </w:rPr>
        <w:t>Action Plan.</w:t>
      </w:r>
      <w:proofErr w:type="gramEnd"/>
      <w:r w:rsidRPr="00707596">
        <w:rPr>
          <w:rFonts w:cs="Arial"/>
        </w:rPr>
        <w:t xml:space="preserve"> March 2013. Page 26: </w:t>
      </w:r>
      <w:hyperlink r:id="rId450" w:history="1">
        <w:r w:rsidRPr="00707596">
          <w:rPr>
            <w:rStyle w:val="Hyperlink"/>
            <w:rFonts w:cs="Arial"/>
          </w:rPr>
          <w:t>https://www.gov.uk/government/uploads/system/uploads/attachment_data/file/181088/vawg-action-plan-2013.pdf</w:t>
        </w:r>
      </w:hyperlink>
      <w:r w:rsidRPr="00707596">
        <w:rPr>
          <w:rFonts w:cs="Arial"/>
        </w:rPr>
        <w:t xml:space="preserve"> </w:t>
      </w:r>
    </w:p>
  </w:footnote>
  <w:footnote w:id="664">
    <w:p w:rsidR="0016168E" w:rsidRDefault="0016168E" w:rsidP="002B6091">
      <w:pPr>
        <w:pStyle w:val="FootnoteText"/>
      </w:pPr>
      <w:r>
        <w:rPr>
          <w:rStyle w:val="FootnoteReference"/>
        </w:rPr>
        <w:footnoteRef/>
      </w:r>
      <w:r>
        <w:t xml:space="preserve"> The UK is required to report back to the CEDAW committee by July 2015 on this. </w:t>
      </w:r>
      <w:proofErr w:type="gramStart"/>
      <w:r w:rsidRPr="00707596">
        <w:rPr>
          <w:rFonts w:cs="Arial"/>
        </w:rPr>
        <w:t>CEDAW Concluding Observations on Great Britain and Northern Ireland.</w:t>
      </w:r>
      <w:proofErr w:type="gramEnd"/>
      <w:r w:rsidRPr="00707596">
        <w:rPr>
          <w:rFonts w:cs="Arial"/>
        </w:rPr>
        <w:t xml:space="preserve"> 30 July 2013.</w:t>
      </w:r>
      <w:r>
        <w:rPr>
          <w:rFonts w:cs="Arial"/>
        </w:rPr>
        <w:t xml:space="preserve"> </w:t>
      </w:r>
      <w:proofErr w:type="gramStart"/>
      <w:r>
        <w:rPr>
          <w:rFonts w:cs="Arial"/>
        </w:rPr>
        <w:t>Paragraph 23 and 68</w:t>
      </w:r>
      <w:r w:rsidRPr="00707596">
        <w:rPr>
          <w:rFonts w:cs="Arial"/>
        </w:rPr>
        <w:t>.</w:t>
      </w:r>
      <w:proofErr w:type="gramEnd"/>
      <w:r w:rsidRPr="00707596">
        <w:rPr>
          <w:rFonts w:cs="Arial"/>
        </w:rPr>
        <w:t xml:space="preserve"> </w:t>
      </w:r>
      <w:hyperlink r:id="rId451" w:history="1">
        <w:r w:rsidRPr="00707596">
          <w:rPr>
            <w:rStyle w:val="Hyperlink"/>
            <w:rFonts w:cs="Arial"/>
          </w:rPr>
          <w:t>http://tbinternet.ohchr.org/_layouts/treatybodyexternal/Download.aspx?symbolno=CEDAW%2fC%2fGBR%2fCO%2f7&amp;Lang=en</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68E" w:rsidRPr="006E21C6" w:rsidRDefault="0016168E">
    <w:pPr>
      <w:pStyle w:val="Header"/>
      <w:rPr>
        <w:sz w:val="16"/>
        <w:szCs w:val="16"/>
      </w:rPr>
    </w:pPr>
    <w:r>
      <w:rPr>
        <w:sz w:val="16"/>
        <w:szCs w:val="16"/>
      </w:rPr>
      <w:t>Civil and Political Rights in the UK: EHRC’s Submission to the UNHRC on the UK’s Implementation of the ICCPR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640CE"/>
    <w:multiLevelType w:val="hybridMultilevel"/>
    <w:tmpl w:val="5136F53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3381DD7"/>
    <w:multiLevelType w:val="hybridMultilevel"/>
    <w:tmpl w:val="02E0A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4987D25"/>
    <w:multiLevelType w:val="hybridMultilevel"/>
    <w:tmpl w:val="97BA4A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7B27816"/>
    <w:multiLevelType w:val="hybridMultilevel"/>
    <w:tmpl w:val="5C905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3B195D"/>
    <w:multiLevelType w:val="hybridMultilevel"/>
    <w:tmpl w:val="5310F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3F5699"/>
    <w:multiLevelType w:val="hybridMultilevel"/>
    <w:tmpl w:val="00400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50612F"/>
    <w:multiLevelType w:val="hybridMultilevel"/>
    <w:tmpl w:val="162AB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866BDA"/>
    <w:multiLevelType w:val="hybridMultilevel"/>
    <w:tmpl w:val="D3BC5BA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nsid w:val="11EE1BB7"/>
    <w:multiLevelType w:val="hybridMultilevel"/>
    <w:tmpl w:val="89481474"/>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29E6FE1"/>
    <w:multiLevelType w:val="hybridMultilevel"/>
    <w:tmpl w:val="DAE86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4540302"/>
    <w:multiLevelType w:val="hybridMultilevel"/>
    <w:tmpl w:val="07280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45C36E7"/>
    <w:multiLevelType w:val="hybridMultilevel"/>
    <w:tmpl w:val="06FAF0A4"/>
    <w:lvl w:ilvl="0" w:tplc="7B4A5668">
      <w:start w:val="1"/>
      <w:numFmt w:val="decimal"/>
      <w:lvlText w:val="A.%1"/>
      <w:lvlJc w:val="left"/>
      <w:pPr>
        <w:ind w:left="360" w:hanging="360"/>
      </w:pPr>
      <w:rPr>
        <w:rFonts w:ascii="Arial Bold" w:hAnsi="Arial Bold"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4687AF7"/>
    <w:multiLevelType w:val="hybridMultilevel"/>
    <w:tmpl w:val="AFB68C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6CE066C"/>
    <w:multiLevelType w:val="hybridMultilevel"/>
    <w:tmpl w:val="22989D6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6F43821"/>
    <w:multiLevelType w:val="hybridMultilevel"/>
    <w:tmpl w:val="1228E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72632D0"/>
    <w:multiLevelType w:val="hybridMultilevel"/>
    <w:tmpl w:val="EA4E585E"/>
    <w:lvl w:ilvl="0" w:tplc="7B4A5668">
      <w:start w:val="1"/>
      <w:numFmt w:val="decimal"/>
      <w:lvlText w:val="A.%1"/>
      <w:lvlJc w:val="left"/>
      <w:pPr>
        <w:ind w:left="720" w:hanging="720"/>
      </w:pPr>
      <w:rPr>
        <w:rFonts w:ascii="Arial Bold" w:hAnsi="Arial Bold"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17B0705E"/>
    <w:multiLevelType w:val="hybridMultilevel"/>
    <w:tmpl w:val="353485C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7">
    <w:nsid w:val="196A2970"/>
    <w:multiLevelType w:val="hybridMultilevel"/>
    <w:tmpl w:val="CB8C6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98D76A2"/>
    <w:multiLevelType w:val="hybridMultilevel"/>
    <w:tmpl w:val="FF8C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AFD2469"/>
    <w:multiLevelType w:val="hybridMultilevel"/>
    <w:tmpl w:val="6298C770"/>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1BB068DA"/>
    <w:multiLevelType w:val="hybridMultilevel"/>
    <w:tmpl w:val="851ACDF8"/>
    <w:lvl w:ilvl="0" w:tplc="47EEFECE">
      <w:start w:val="1"/>
      <w:numFmt w:val="bullet"/>
      <w:pStyle w:val="Bulletsbase"/>
      <w:lvlText w:val=""/>
      <w:lvlJc w:val="left"/>
      <w:pPr>
        <w:ind w:left="720" w:hanging="360"/>
      </w:pPr>
      <w:rPr>
        <w:rFonts w:ascii="Symbol" w:hAnsi="Symbol" w:hint="default"/>
        <w:b w:val="0"/>
        <w:i w:val="0"/>
        <w:caps w:val="0"/>
        <w:strike w:val="0"/>
        <w:dstrike w:val="0"/>
        <w:vanish w:val="0"/>
        <w:color w:val="000000"/>
        <w:sz w:val="22"/>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D61418C"/>
    <w:multiLevelType w:val="hybridMultilevel"/>
    <w:tmpl w:val="34E2471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1DA74097"/>
    <w:multiLevelType w:val="hybridMultilevel"/>
    <w:tmpl w:val="5A3E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1E4455A4"/>
    <w:multiLevelType w:val="hybridMultilevel"/>
    <w:tmpl w:val="6ACEC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0093335"/>
    <w:multiLevelType w:val="hybridMultilevel"/>
    <w:tmpl w:val="57605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1451AFE"/>
    <w:multiLevelType w:val="hybridMultilevel"/>
    <w:tmpl w:val="7F1A908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nsid w:val="237A33C6"/>
    <w:multiLevelType w:val="hybridMultilevel"/>
    <w:tmpl w:val="05D61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44368F7"/>
    <w:multiLevelType w:val="hybridMultilevel"/>
    <w:tmpl w:val="58400FD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nsid w:val="24534444"/>
    <w:multiLevelType w:val="hybridMultilevel"/>
    <w:tmpl w:val="5D667FD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24AB7624"/>
    <w:multiLevelType w:val="hybridMultilevel"/>
    <w:tmpl w:val="B42A492C"/>
    <w:lvl w:ilvl="0" w:tplc="3CD2C726">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255E3DCA"/>
    <w:multiLevelType w:val="hybridMultilevel"/>
    <w:tmpl w:val="4770175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2682017C"/>
    <w:multiLevelType w:val="hybridMultilevel"/>
    <w:tmpl w:val="5A3C1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27EC3278"/>
    <w:multiLevelType w:val="hybridMultilevel"/>
    <w:tmpl w:val="A2FC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8C24BC0"/>
    <w:multiLevelType w:val="hybridMultilevel"/>
    <w:tmpl w:val="855A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2AD60754"/>
    <w:multiLevelType w:val="hybridMultilevel"/>
    <w:tmpl w:val="BD2A925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nsid w:val="2B144AFC"/>
    <w:multiLevelType w:val="hybridMultilevel"/>
    <w:tmpl w:val="50C898A4"/>
    <w:lvl w:ilvl="0" w:tplc="08090019">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2C980661"/>
    <w:multiLevelType w:val="hybridMultilevel"/>
    <w:tmpl w:val="B41888A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nsid w:val="2CF57827"/>
    <w:multiLevelType w:val="hybridMultilevel"/>
    <w:tmpl w:val="93141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2CF72A7C"/>
    <w:multiLevelType w:val="hybridMultilevel"/>
    <w:tmpl w:val="15968C9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2DFD77C3"/>
    <w:multiLevelType w:val="hybridMultilevel"/>
    <w:tmpl w:val="09B25E26"/>
    <w:lvl w:ilvl="0" w:tplc="7D8CD5AE">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2E82756E"/>
    <w:multiLevelType w:val="hybridMultilevel"/>
    <w:tmpl w:val="821E47A2"/>
    <w:lvl w:ilvl="0" w:tplc="7B4A5668">
      <w:start w:val="1"/>
      <w:numFmt w:val="decimal"/>
      <w:lvlText w:val="A.%1"/>
      <w:lvlJc w:val="left"/>
      <w:pPr>
        <w:ind w:left="360" w:hanging="360"/>
      </w:pPr>
      <w:rPr>
        <w:rFonts w:ascii="Arial Bold" w:hAnsi="Arial Bold"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2E896761"/>
    <w:multiLevelType w:val="hybridMultilevel"/>
    <w:tmpl w:val="A0D8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2F0E7311"/>
    <w:multiLevelType w:val="hybridMultilevel"/>
    <w:tmpl w:val="5DFCE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2F9A6458"/>
    <w:multiLevelType w:val="hybridMultilevel"/>
    <w:tmpl w:val="4CAAA3AE"/>
    <w:lvl w:ilvl="0" w:tplc="5F22F0CC">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30A02F71"/>
    <w:multiLevelType w:val="hybridMultilevel"/>
    <w:tmpl w:val="83FCF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325D4A6B"/>
    <w:multiLevelType w:val="hybridMultilevel"/>
    <w:tmpl w:val="4EFA4DF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334D4B42"/>
    <w:multiLevelType w:val="hybridMultilevel"/>
    <w:tmpl w:val="B3347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33700A3E"/>
    <w:multiLevelType w:val="hybridMultilevel"/>
    <w:tmpl w:val="2E780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33B32A6D"/>
    <w:multiLevelType w:val="hybridMultilevel"/>
    <w:tmpl w:val="AD6A43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34821C79"/>
    <w:multiLevelType w:val="hybridMultilevel"/>
    <w:tmpl w:val="849CBC38"/>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0">
    <w:nsid w:val="386E061D"/>
    <w:multiLevelType w:val="hybridMultilevel"/>
    <w:tmpl w:val="8FEE0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398305B6"/>
    <w:multiLevelType w:val="hybridMultilevel"/>
    <w:tmpl w:val="1A7C4F7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nsid w:val="39CE5B88"/>
    <w:multiLevelType w:val="hybridMultilevel"/>
    <w:tmpl w:val="5E08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39F07709"/>
    <w:multiLevelType w:val="hybridMultilevel"/>
    <w:tmpl w:val="7E4A80D0"/>
    <w:lvl w:ilvl="0" w:tplc="80000124">
      <w:start w:val="1"/>
      <w:numFmt w:val="bullet"/>
      <w:lvlText w:val=""/>
      <w:lvlJc w:val="left"/>
      <w:pPr>
        <w:ind w:left="720"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FC42180">
      <w:numFmt w:val="bullet"/>
      <w:pStyle w:val="Bullets-sub-bullets"/>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3A5F0DD8"/>
    <w:multiLevelType w:val="hybridMultilevel"/>
    <w:tmpl w:val="A6C6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3EB902CE"/>
    <w:multiLevelType w:val="hybridMultilevel"/>
    <w:tmpl w:val="DC5E8A48"/>
    <w:lvl w:ilvl="0" w:tplc="88D6E7CC">
      <w:start w:val="1"/>
      <w:numFmt w:val="decimal"/>
      <w:pStyle w:val="Numberedlistlastingroup"/>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6">
    <w:nsid w:val="40914169"/>
    <w:multiLevelType w:val="hybridMultilevel"/>
    <w:tmpl w:val="484C0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40E00D64"/>
    <w:multiLevelType w:val="hybridMultilevel"/>
    <w:tmpl w:val="E94E12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nsid w:val="41191992"/>
    <w:multiLevelType w:val="hybridMultilevel"/>
    <w:tmpl w:val="999466E6"/>
    <w:lvl w:ilvl="0" w:tplc="047436E0">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nsid w:val="42E3393A"/>
    <w:multiLevelType w:val="hybridMultilevel"/>
    <w:tmpl w:val="5CB27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43E90840"/>
    <w:multiLevelType w:val="hybridMultilevel"/>
    <w:tmpl w:val="54FA5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44872396"/>
    <w:multiLevelType w:val="hybridMultilevel"/>
    <w:tmpl w:val="DFDA6E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448D220E"/>
    <w:multiLevelType w:val="hybridMultilevel"/>
    <w:tmpl w:val="75026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44E831B0"/>
    <w:multiLevelType w:val="hybridMultilevel"/>
    <w:tmpl w:val="DA3244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4">
    <w:nsid w:val="455B047E"/>
    <w:multiLevelType w:val="hybridMultilevel"/>
    <w:tmpl w:val="DAA47E3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45C311CC"/>
    <w:multiLevelType w:val="hybridMultilevel"/>
    <w:tmpl w:val="706A0F3C"/>
    <w:lvl w:ilvl="0" w:tplc="E354CA4E">
      <w:start w:val="1"/>
      <w:numFmt w:val="lowerRoman"/>
      <w:lvlText w:val="%1."/>
      <w:lvlJc w:val="right"/>
      <w:pPr>
        <w:ind w:left="1140" w:hanging="360"/>
      </w:pPr>
      <w:rPr>
        <w:i/>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66">
    <w:nsid w:val="47426BA6"/>
    <w:multiLevelType w:val="hybridMultilevel"/>
    <w:tmpl w:val="5AAE54D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nsid w:val="48576AD9"/>
    <w:multiLevelType w:val="hybridMultilevel"/>
    <w:tmpl w:val="AC20EAD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8">
    <w:nsid w:val="4A9C7B64"/>
    <w:multiLevelType w:val="hybridMultilevel"/>
    <w:tmpl w:val="17625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4D2A7878"/>
    <w:multiLevelType w:val="hybridMultilevel"/>
    <w:tmpl w:val="56F09A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nsid w:val="50E06A59"/>
    <w:multiLevelType w:val="hybridMultilevel"/>
    <w:tmpl w:val="47644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56AD00C7"/>
    <w:multiLevelType w:val="hybridMultilevel"/>
    <w:tmpl w:val="25DCD8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56AE27BE"/>
    <w:multiLevelType w:val="hybridMultilevel"/>
    <w:tmpl w:val="E08261B6"/>
    <w:lvl w:ilvl="0" w:tplc="FFB696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573D150B"/>
    <w:multiLevelType w:val="hybridMultilevel"/>
    <w:tmpl w:val="D72C2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587968C2"/>
    <w:multiLevelType w:val="hybridMultilevel"/>
    <w:tmpl w:val="BA18AD22"/>
    <w:lvl w:ilvl="0" w:tplc="11D8F35C">
      <w:start w:val="5"/>
      <w:numFmt w:val="upperLetter"/>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5">
    <w:nsid w:val="58A16748"/>
    <w:multiLevelType w:val="hybridMultilevel"/>
    <w:tmpl w:val="1DB0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59415F65"/>
    <w:multiLevelType w:val="hybridMultilevel"/>
    <w:tmpl w:val="4C48C41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nsid w:val="5A134DBF"/>
    <w:multiLevelType w:val="hybridMultilevel"/>
    <w:tmpl w:val="BC943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5AFF2A91"/>
    <w:multiLevelType w:val="hybridMultilevel"/>
    <w:tmpl w:val="7D4A0EA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9">
    <w:nsid w:val="5D293E70"/>
    <w:multiLevelType w:val="hybridMultilevel"/>
    <w:tmpl w:val="3A2E5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5F9054BD"/>
    <w:multiLevelType w:val="hybridMultilevel"/>
    <w:tmpl w:val="33FC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60073C0F"/>
    <w:multiLevelType w:val="hybridMultilevel"/>
    <w:tmpl w:val="72BAE31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2">
    <w:nsid w:val="60B12EA5"/>
    <w:multiLevelType w:val="hybridMultilevel"/>
    <w:tmpl w:val="6F1AAD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3">
    <w:nsid w:val="616B1704"/>
    <w:multiLevelType w:val="hybridMultilevel"/>
    <w:tmpl w:val="44087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61F94B33"/>
    <w:multiLevelType w:val="hybridMultilevel"/>
    <w:tmpl w:val="309AD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62C03494"/>
    <w:multiLevelType w:val="hybridMultilevel"/>
    <w:tmpl w:val="B328A73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6">
    <w:nsid w:val="64F1382E"/>
    <w:multiLevelType w:val="hybridMultilevel"/>
    <w:tmpl w:val="0E065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nsid w:val="68DE69EC"/>
    <w:multiLevelType w:val="hybridMultilevel"/>
    <w:tmpl w:val="8144AD02"/>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88">
    <w:nsid w:val="6C9C6A25"/>
    <w:multiLevelType w:val="hybridMultilevel"/>
    <w:tmpl w:val="081469D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9">
    <w:nsid w:val="6CBC33B0"/>
    <w:multiLevelType w:val="hybridMultilevel"/>
    <w:tmpl w:val="F1FCEA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nsid w:val="6ED2461C"/>
    <w:multiLevelType w:val="hybridMultilevel"/>
    <w:tmpl w:val="08D2E20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1">
    <w:nsid w:val="6FF258C1"/>
    <w:multiLevelType w:val="hybridMultilevel"/>
    <w:tmpl w:val="4E186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71592FD1"/>
    <w:multiLevelType w:val="hybridMultilevel"/>
    <w:tmpl w:val="5EEC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719D55FA"/>
    <w:multiLevelType w:val="hybridMultilevel"/>
    <w:tmpl w:val="CFA6C9F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nsid w:val="71B21BA7"/>
    <w:multiLevelType w:val="hybridMultilevel"/>
    <w:tmpl w:val="C5C0D6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nsid w:val="7229587C"/>
    <w:multiLevelType w:val="hybridMultilevel"/>
    <w:tmpl w:val="C694D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nsid w:val="72FA2273"/>
    <w:multiLevelType w:val="hybridMultilevel"/>
    <w:tmpl w:val="8E04AD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7">
    <w:nsid w:val="735026D7"/>
    <w:multiLevelType w:val="hybridMultilevel"/>
    <w:tmpl w:val="5B261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nsid w:val="75202845"/>
    <w:multiLevelType w:val="hybridMultilevel"/>
    <w:tmpl w:val="1F44C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nsid w:val="75516A08"/>
    <w:multiLevelType w:val="hybridMultilevel"/>
    <w:tmpl w:val="E5B61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nsid w:val="755E6FA1"/>
    <w:multiLevelType w:val="hybridMultilevel"/>
    <w:tmpl w:val="66A8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nsid w:val="78151C94"/>
    <w:multiLevelType w:val="hybridMultilevel"/>
    <w:tmpl w:val="53DA28EE"/>
    <w:lvl w:ilvl="0" w:tplc="80000124">
      <w:start w:val="1"/>
      <w:numFmt w:val="bullet"/>
      <w:pStyle w:val="Bullet-followedbyothers"/>
      <w:lvlText w:val=""/>
      <w:lvlJc w:val="left"/>
      <w:pPr>
        <w:ind w:left="2080"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2800" w:hanging="360"/>
      </w:pPr>
      <w:rPr>
        <w:rFonts w:ascii="Courier New" w:hAnsi="Courier New" w:cs="Courier New" w:hint="default"/>
      </w:rPr>
    </w:lvl>
    <w:lvl w:ilvl="2" w:tplc="08090005" w:tentative="1">
      <w:start w:val="1"/>
      <w:numFmt w:val="bullet"/>
      <w:lvlText w:val=""/>
      <w:lvlJc w:val="left"/>
      <w:pPr>
        <w:ind w:left="3520" w:hanging="360"/>
      </w:pPr>
      <w:rPr>
        <w:rFonts w:ascii="Wingdings" w:hAnsi="Wingdings" w:hint="default"/>
      </w:rPr>
    </w:lvl>
    <w:lvl w:ilvl="3" w:tplc="08090001" w:tentative="1">
      <w:start w:val="1"/>
      <w:numFmt w:val="bullet"/>
      <w:lvlText w:val=""/>
      <w:lvlJc w:val="left"/>
      <w:pPr>
        <w:ind w:left="4240" w:hanging="360"/>
      </w:pPr>
      <w:rPr>
        <w:rFonts w:ascii="Symbol" w:hAnsi="Symbol" w:hint="default"/>
      </w:rPr>
    </w:lvl>
    <w:lvl w:ilvl="4" w:tplc="08090003" w:tentative="1">
      <w:start w:val="1"/>
      <w:numFmt w:val="bullet"/>
      <w:lvlText w:val="o"/>
      <w:lvlJc w:val="left"/>
      <w:pPr>
        <w:ind w:left="4960" w:hanging="360"/>
      </w:pPr>
      <w:rPr>
        <w:rFonts w:ascii="Courier New" w:hAnsi="Courier New" w:cs="Courier New" w:hint="default"/>
      </w:rPr>
    </w:lvl>
    <w:lvl w:ilvl="5" w:tplc="08090005" w:tentative="1">
      <w:start w:val="1"/>
      <w:numFmt w:val="bullet"/>
      <w:lvlText w:val=""/>
      <w:lvlJc w:val="left"/>
      <w:pPr>
        <w:ind w:left="5680" w:hanging="360"/>
      </w:pPr>
      <w:rPr>
        <w:rFonts w:ascii="Wingdings" w:hAnsi="Wingdings" w:hint="default"/>
      </w:rPr>
    </w:lvl>
    <w:lvl w:ilvl="6" w:tplc="08090001" w:tentative="1">
      <w:start w:val="1"/>
      <w:numFmt w:val="bullet"/>
      <w:lvlText w:val=""/>
      <w:lvlJc w:val="left"/>
      <w:pPr>
        <w:ind w:left="6400" w:hanging="360"/>
      </w:pPr>
      <w:rPr>
        <w:rFonts w:ascii="Symbol" w:hAnsi="Symbol" w:hint="default"/>
      </w:rPr>
    </w:lvl>
    <w:lvl w:ilvl="7" w:tplc="08090003" w:tentative="1">
      <w:start w:val="1"/>
      <w:numFmt w:val="bullet"/>
      <w:lvlText w:val="o"/>
      <w:lvlJc w:val="left"/>
      <w:pPr>
        <w:ind w:left="7120" w:hanging="360"/>
      </w:pPr>
      <w:rPr>
        <w:rFonts w:ascii="Courier New" w:hAnsi="Courier New" w:cs="Courier New" w:hint="default"/>
      </w:rPr>
    </w:lvl>
    <w:lvl w:ilvl="8" w:tplc="08090005" w:tentative="1">
      <w:start w:val="1"/>
      <w:numFmt w:val="bullet"/>
      <w:lvlText w:val=""/>
      <w:lvlJc w:val="left"/>
      <w:pPr>
        <w:ind w:left="7840" w:hanging="360"/>
      </w:pPr>
      <w:rPr>
        <w:rFonts w:ascii="Wingdings" w:hAnsi="Wingdings" w:hint="default"/>
      </w:rPr>
    </w:lvl>
  </w:abstractNum>
  <w:abstractNum w:abstractNumId="102">
    <w:nsid w:val="78327806"/>
    <w:multiLevelType w:val="hybridMultilevel"/>
    <w:tmpl w:val="52A4F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7A317AA0"/>
    <w:multiLevelType w:val="hybridMultilevel"/>
    <w:tmpl w:val="626EA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7CB1732A"/>
    <w:multiLevelType w:val="hybridMultilevel"/>
    <w:tmpl w:val="CC26724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nsid w:val="7CCC6A92"/>
    <w:multiLevelType w:val="hybridMultilevel"/>
    <w:tmpl w:val="AC2A6B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7D0500A2"/>
    <w:multiLevelType w:val="hybridMultilevel"/>
    <w:tmpl w:val="5C1037A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7">
    <w:nsid w:val="7E07249E"/>
    <w:multiLevelType w:val="hybridMultilevel"/>
    <w:tmpl w:val="E3B8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nsid w:val="7E1A099F"/>
    <w:multiLevelType w:val="hybridMultilevel"/>
    <w:tmpl w:val="F146A8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nsid w:val="7E474489"/>
    <w:multiLevelType w:val="hybridMultilevel"/>
    <w:tmpl w:val="F17A5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nsid w:val="7E8179EF"/>
    <w:multiLevelType w:val="hybridMultilevel"/>
    <w:tmpl w:val="0C3C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45"/>
  </w:num>
  <w:num w:numId="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1"/>
  </w:num>
  <w:num w:numId="5">
    <w:abstractNumId w:val="53"/>
  </w:num>
  <w:num w:numId="6">
    <w:abstractNumId w:val="55"/>
  </w:num>
  <w:num w:numId="7">
    <w:abstractNumId w:val="106"/>
  </w:num>
  <w:num w:numId="8">
    <w:abstractNumId w:val="21"/>
  </w:num>
  <w:num w:numId="9">
    <w:abstractNumId w:val="13"/>
  </w:num>
  <w:num w:numId="10">
    <w:abstractNumId w:val="93"/>
  </w:num>
  <w:num w:numId="11">
    <w:abstractNumId w:val="35"/>
  </w:num>
  <w:num w:numId="12">
    <w:abstractNumId w:val="64"/>
  </w:num>
  <w:num w:numId="13">
    <w:abstractNumId w:val="94"/>
  </w:num>
  <w:num w:numId="14">
    <w:abstractNumId w:val="30"/>
  </w:num>
  <w:num w:numId="15">
    <w:abstractNumId w:val="62"/>
  </w:num>
  <w:num w:numId="16">
    <w:abstractNumId w:val="89"/>
  </w:num>
  <w:num w:numId="17">
    <w:abstractNumId w:val="104"/>
  </w:num>
  <w:num w:numId="18">
    <w:abstractNumId w:val="12"/>
  </w:num>
  <w:num w:numId="19">
    <w:abstractNumId w:val="15"/>
  </w:num>
  <w:num w:numId="20">
    <w:abstractNumId w:val="74"/>
  </w:num>
  <w:num w:numId="21">
    <w:abstractNumId w:val="71"/>
  </w:num>
  <w:num w:numId="22">
    <w:abstractNumId w:val="52"/>
  </w:num>
  <w:num w:numId="23">
    <w:abstractNumId w:val="57"/>
  </w:num>
  <w:num w:numId="24">
    <w:abstractNumId w:val="17"/>
  </w:num>
  <w:num w:numId="25">
    <w:abstractNumId w:val="50"/>
  </w:num>
  <w:num w:numId="26">
    <w:abstractNumId w:val="23"/>
  </w:num>
  <w:num w:numId="27">
    <w:abstractNumId w:val="110"/>
  </w:num>
  <w:num w:numId="28">
    <w:abstractNumId w:val="108"/>
  </w:num>
  <w:num w:numId="29">
    <w:abstractNumId w:val="73"/>
  </w:num>
  <w:num w:numId="30">
    <w:abstractNumId w:val="70"/>
  </w:num>
  <w:num w:numId="31">
    <w:abstractNumId w:val="79"/>
  </w:num>
  <w:num w:numId="32">
    <w:abstractNumId w:val="99"/>
  </w:num>
  <w:num w:numId="33">
    <w:abstractNumId w:val="76"/>
  </w:num>
  <w:num w:numId="34">
    <w:abstractNumId w:val="67"/>
  </w:num>
  <w:num w:numId="35">
    <w:abstractNumId w:val="85"/>
  </w:num>
  <w:num w:numId="36">
    <w:abstractNumId w:val="27"/>
  </w:num>
  <w:num w:numId="37">
    <w:abstractNumId w:val="81"/>
  </w:num>
  <w:num w:numId="38">
    <w:abstractNumId w:val="36"/>
  </w:num>
  <w:num w:numId="39">
    <w:abstractNumId w:val="25"/>
  </w:num>
  <w:num w:numId="40">
    <w:abstractNumId w:val="34"/>
  </w:num>
  <w:num w:numId="41">
    <w:abstractNumId w:val="14"/>
  </w:num>
  <w:num w:numId="42">
    <w:abstractNumId w:val="48"/>
  </w:num>
  <w:num w:numId="43">
    <w:abstractNumId w:val="87"/>
  </w:num>
  <w:num w:numId="44">
    <w:abstractNumId w:val="61"/>
  </w:num>
  <w:num w:numId="45">
    <w:abstractNumId w:val="18"/>
  </w:num>
  <w:num w:numId="46">
    <w:abstractNumId w:val="86"/>
  </w:num>
  <w:num w:numId="47">
    <w:abstractNumId w:val="60"/>
  </w:num>
  <w:num w:numId="48">
    <w:abstractNumId w:val="9"/>
  </w:num>
  <w:num w:numId="49">
    <w:abstractNumId w:val="91"/>
  </w:num>
  <w:num w:numId="50">
    <w:abstractNumId w:val="69"/>
  </w:num>
  <w:num w:numId="51">
    <w:abstractNumId w:val="88"/>
  </w:num>
  <w:num w:numId="52">
    <w:abstractNumId w:val="109"/>
  </w:num>
  <w:num w:numId="53">
    <w:abstractNumId w:val="0"/>
  </w:num>
  <w:num w:numId="54">
    <w:abstractNumId w:val="92"/>
  </w:num>
  <w:num w:numId="55">
    <w:abstractNumId w:val="77"/>
  </w:num>
  <w:num w:numId="56">
    <w:abstractNumId w:val="39"/>
  </w:num>
  <w:num w:numId="57">
    <w:abstractNumId w:val="82"/>
  </w:num>
  <w:num w:numId="58">
    <w:abstractNumId w:val="42"/>
  </w:num>
  <w:num w:numId="59">
    <w:abstractNumId w:val="103"/>
  </w:num>
  <w:num w:numId="60">
    <w:abstractNumId w:val="78"/>
  </w:num>
  <w:num w:numId="61">
    <w:abstractNumId w:val="44"/>
  </w:num>
  <w:num w:numId="62">
    <w:abstractNumId w:val="38"/>
  </w:num>
  <w:num w:numId="63">
    <w:abstractNumId w:val="46"/>
  </w:num>
  <w:num w:numId="64">
    <w:abstractNumId w:val="75"/>
  </w:num>
  <w:num w:numId="65">
    <w:abstractNumId w:val="90"/>
  </w:num>
  <w:num w:numId="66">
    <w:abstractNumId w:val="8"/>
  </w:num>
  <w:num w:numId="67">
    <w:abstractNumId w:val="10"/>
  </w:num>
  <w:num w:numId="68">
    <w:abstractNumId w:val="100"/>
  </w:num>
  <w:num w:numId="69">
    <w:abstractNumId w:val="29"/>
  </w:num>
  <w:num w:numId="70">
    <w:abstractNumId w:val="84"/>
  </w:num>
  <w:num w:numId="71">
    <w:abstractNumId w:val="16"/>
  </w:num>
  <w:num w:numId="72">
    <w:abstractNumId w:val="33"/>
  </w:num>
  <w:num w:numId="73">
    <w:abstractNumId w:val="58"/>
  </w:num>
  <w:num w:numId="74">
    <w:abstractNumId w:val="22"/>
  </w:num>
  <w:num w:numId="75">
    <w:abstractNumId w:val="24"/>
  </w:num>
  <w:num w:numId="76">
    <w:abstractNumId w:val="6"/>
  </w:num>
  <w:num w:numId="77">
    <w:abstractNumId w:val="32"/>
  </w:num>
  <w:num w:numId="78">
    <w:abstractNumId w:val="31"/>
  </w:num>
  <w:num w:numId="79">
    <w:abstractNumId w:val="80"/>
  </w:num>
  <w:num w:numId="80">
    <w:abstractNumId w:val="72"/>
  </w:num>
  <w:num w:numId="81">
    <w:abstractNumId w:val="5"/>
  </w:num>
  <w:num w:numId="82">
    <w:abstractNumId w:val="54"/>
  </w:num>
  <w:num w:numId="83">
    <w:abstractNumId w:val="59"/>
  </w:num>
  <w:num w:numId="84">
    <w:abstractNumId w:val="43"/>
  </w:num>
  <w:num w:numId="85">
    <w:abstractNumId w:val="83"/>
  </w:num>
  <w:num w:numId="86">
    <w:abstractNumId w:val="26"/>
  </w:num>
  <w:num w:numId="87">
    <w:abstractNumId w:val="97"/>
  </w:num>
  <w:num w:numId="88">
    <w:abstractNumId w:val="2"/>
  </w:num>
  <w:num w:numId="89">
    <w:abstractNumId w:val="56"/>
  </w:num>
  <w:num w:numId="90">
    <w:abstractNumId w:val="37"/>
  </w:num>
  <w:num w:numId="91">
    <w:abstractNumId w:val="68"/>
  </w:num>
  <w:num w:numId="92">
    <w:abstractNumId w:val="107"/>
  </w:num>
  <w:num w:numId="93">
    <w:abstractNumId w:val="51"/>
  </w:num>
  <w:num w:numId="94">
    <w:abstractNumId w:val="49"/>
  </w:num>
  <w:num w:numId="95">
    <w:abstractNumId w:val="1"/>
  </w:num>
  <w:num w:numId="96">
    <w:abstractNumId w:val="95"/>
  </w:num>
  <w:num w:numId="97">
    <w:abstractNumId w:val="63"/>
  </w:num>
  <w:num w:numId="98">
    <w:abstractNumId w:val="105"/>
  </w:num>
  <w:num w:numId="99">
    <w:abstractNumId w:val="7"/>
  </w:num>
  <w:num w:numId="100">
    <w:abstractNumId w:val="102"/>
  </w:num>
  <w:num w:numId="101">
    <w:abstractNumId w:val="96"/>
  </w:num>
  <w:num w:numId="102">
    <w:abstractNumId w:val="4"/>
  </w:num>
  <w:num w:numId="103">
    <w:abstractNumId w:val="47"/>
  </w:num>
  <w:num w:numId="104">
    <w:abstractNumId w:val="19"/>
  </w:num>
  <w:num w:numId="105">
    <w:abstractNumId w:val="28"/>
  </w:num>
  <w:num w:numId="106">
    <w:abstractNumId w:val="66"/>
  </w:num>
  <w:num w:numId="107">
    <w:abstractNumId w:val="41"/>
  </w:num>
  <w:num w:numId="108">
    <w:abstractNumId w:val="3"/>
  </w:num>
  <w:num w:numId="109">
    <w:abstractNumId w:val="98"/>
  </w:num>
  <w:num w:numId="110">
    <w:abstractNumId w:val="40"/>
  </w:num>
  <w:num w:numId="111">
    <w:abstractNumId w:val="11"/>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2C5"/>
    <w:rsid w:val="00004E4D"/>
    <w:rsid w:val="00016560"/>
    <w:rsid w:val="00016F13"/>
    <w:rsid w:val="000175D2"/>
    <w:rsid w:val="00021D30"/>
    <w:rsid w:val="000243D8"/>
    <w:rsid w:val="0002698E"/>
    <w:rsid w:val="000271F2"/>
    <w:rsid w:val="0003157C"/>
    <w:rsid w:val="0003288C"/>
    <w:rsid w:val="00035238"/>
    <w:rsid w:val="00040EB4"/>
    <w:rsid w:val="0004200F"/>
    <w:rsid w:val="000446D8"/>
    <w:rsid w:val="00044CC9"/>
    <w:rsid w:val="00044CCE"/>
    <w:rsid w:val="00046061"/>
    <w:rsid w:val="000553A4"/>
    <w:rsid w:val="00073576"/>
    <w:rsid w:val="0008012F"/>
    <w:rsid w:val="00080A70"/>
    <w:rsid w:val="00086F25"/>
    <w:rsid w:val="0009223E"/>
    <w:rsid w:val="00093217"/>
    <w:rsid w:val="000B3BEF"/>
    <w:rsid w:val="000C2B25"/>
    <w:rsid w:val="000C2C6E"/>
    <w:rsid w:val="000C55D1"/>
    <w:rsid w:val="000C678C"/>
    <w:rsid w:val="000D5D88"/>
    <w:rsid w:val="000E4846"/>
    <w:rsid w:val="000F4D12"/>
    <w:rsid w:val="001006BD"/>
    <w:rsid w:val="00103BA5"/>
    <w:rsid w:val="00105992"/>
    <w:rsid w:val="00107240"/>
    <w:rsid w:val="00130C52"/>
    <w:rsid w:val="001402D3"/>
    <w:rsid w:val="001431D1"/>
    <w:rsid w:val="001530D7"/>
    <w:rsid w:val="00153F66"/>
    <w:rsid w:val="001549AB"/>
    <w:rsid w:val="00161212"/>
    <w:rsid w:val="0016168E"/>
    <w:rsid w:val="0017664E"/>
    <w:rsid w:val="00177849"/>
    <w:rsid w:val="001819E2"/>
    <w:rsid w:val="00186F99"/>
    <w:rsid w:val="00190569"/>
    <w:rsid w:val="00191427"/>
    <w:rsid w:val="001A39A4"/>
    <w:rsid w:val="001A71FD"/>
    <w:rsid w:val="001B3091"/>
    <w:rsid w:val="001B3166"/>
    <w:rsid w:val="001C14DF"/>
    <w:rsid w:val="001C26F9"/>
    <w:rsid w:val="001D5B68"/>
    <w:rsid w:val="001E1075"/>
    <w:rsid w:val="001E6B83"/>
    <w:rsid w:val="001F2427"/>
    <w:rsid w:val="001F2971"/>
    <w:rsid w:val="002009F1"/>
    <w:rsid w:val="00204465"/>
    <w:rsid w:val="00205958"/>
    <w:rsid w:val="002127A9"/>
    <w:rsid w:val="002142D9"/>
    <w:rsid w:val="00222F7B"/>
    <w:rsid w:val="00224E05"/>
    <w:rsid w:val="00225135"/>
    <w:rsid w:val="0023029F"/>
    <w:rsid w:val="00232409"/>
    <w:rsid w:val="002378C6"/>
    <w:rsid w:val="00243F41"/>
    <w:rsid w:val="0025142D"/>
    <w:rsid w:val="00261C04"/>
    <w:rsid w:val="0026396F"/>
    <w:rsid w:val="002668E2"/>
    <w:rsid w:val="00284C13"/>
    <w:rsid w:val="002951F3"/>
    <w:rsid w:val="002B6091"/>
    <w:rsid w:val="002B6D2E"/>
    <w:rsid w:val="002C15F1"/>
    <w:rsid w:val="002C2771"/>
    <w:rsid w:val="002C4F3E"/>
    <w:rsid w:val="002D01E1"/>
    <w:rsid w:val="002D0669"/>
    <w:rsid w:val="002D07CC"/>
    <w:rsid w:val="002D76E4"/>
    <w:rsid w:val="002D76F6"/>
    <w:rsid w:val="002F2799"/>
    <w:rsid w:val="002F3634"/>
    <w:rsid w:val="002F4172"/>
    <w:rsid w:val="002F6987"/>
    <w:rsid w:val="002F7580"/>
    <w:rsid w:val="002F7961"/>
    <w:rsid w:val="003042F2"/>
    <w:rsid w:val="003119C9"/>
    <w:rsid w:val="0031371D"/>
    <w:rsid w:val="003169C8"/>
    <w:rsid w:val="00321305"/>
    <w:rsid w:val="00323765"/>
    <w:rsid w:val="00323B78"/>
    <w:rsid w:val="00325554"/>
    <w:rsid w:val="003278E7"/>
    <w:rsid w:val="00330E1D"/>
    <w:rsid w:val="003405DF"/>
    <w:rsid w:val="003503AA"/>
    <w:rsid w:val="00364453"/>
    <w:rsid w:val="00364E33"/>
    <w:rsid w:val="00367FB5"/>
    <w:rsid w:val="00381586"/>
    <w:rsid w:val="00381B15"/>
    <w:rsid w:val="00390950"/>
    <w:rsid w:val="00390DA6"/>
    <w:rsid w:val="00390F83"/>
    <w:rsid w:val="0039278C"/>
    <w:rsid w:val="003A207C"/>
    <w:rsid w:val="003A2FF0"/>
    <w:rsid w:val="003A52E1"/>
    <w:rsid w:val="003B1986"/>
    <w:rsid w:val="003B228A"/>
    <w:rsid w:val="003B6F58"/>
    <w:rsid w:val="003C5B9B"/>
    <w:rsid w:val="003D6979"/>
    <w:rsid w:val="003E27F6"/>
    <w:rsid w:val="003E2B8A"/>
    <w:rsid w:val="003F09D9"/>
    <w:rsid w:val="003F1473"/>
    <w:rsid w:val="003F1F9D"/>
    <w:rsid w:val="003F3786"/>
    <w:rsid w:val="003F78A7"/>
    <w:rsid w:val="004003B7"/>
    <w:rsid w:val="00401800"/>
    <w:rsid w:val="004018C5"/>
    <w:rsid w:val="00404420"/>
    <w:rsid w:val="00406FED"/>
    <w:rsid w:val="004074A9"/>
    <w:rsid w:val="00415BB7"/>
    <w:rsid w:val="004270EC"/>
    <w:rsid w:val="0043180C"/>
    <w:rsid w:val="00432494"/>
    <w:rsid w:val="004338E2"/>
    <w:rsid w:val="00451448"/>
    <w:rsid w:val="004618DD"/>
    <w:rsid w:val="0046467C"/>
    <w:rsid w:val="004724A0"/>
    <w:rsid w:val="004850ED"/>
    <w:rsid w:val="00486CB2"/>
    <w:rsid w:val="00491722"/>
    <w:rsid w:val="00495703"/>
    <w:rsid w:val="00495B99"/>
    <w:rsid w:val="0049677A"/>
    <w:rsid w:val="004A012A"/>
    <w:rsid w:val="004A059C"/>
    <w:rsid w:val="004A103F"/>
    <w:rsid w:val="004A145F"/>
    <w:rsid w:val="004A46D8"/>
    <w:rsid w:val="004C2B53"/>
    <w:rsid w:val="004C4524"/>
    <w:rsid w:val="004D37C0"/>
    <w:rsid w:val="004D7C13"/>
    <w:rsid w:val="004E2A33"/>
    <w:rsid w:val="004E720F"/>
    <w:rsid w:val="004F46AC"/>
    <w:rsid w:val="004F6858"/>
    <w:rsid w:val="00503970"/>
    <w:rsid w:val="00505C5F"/>
    <w:rsid w:val="00506265"/>
    <w:rsid w:val="00507CB7"/>
    <w:rsid w:val="00511FC9"/>
    <w:rsid w:val="005150BC"/>
    <w:rsid w:val="00521752"/>
    <w:rsid w:val="00522870"/>
    <w:rsid w:val="00525311"/>
    <w:rsid w:val="00532AD5"/>
    <w:rsid w:val="005409D4"/>
    <w:rsid w:val="00542951"/>
    <w:rsid w:val="00543EFA"/>
    <w:rsid w:val="005452B1"/>
    <w:rsid w:val="00547FA0"/>
    <w:rsid w:val="00551D6E"/>
    <w:rsid w:val="005539A4"/>
    <w:rsid w:val="00572C1A"/>
    <w:rsid w:val="00586348"/>
    <w:rsid w:val="00594C7A"/>
    <w:rsid w:val="00597120"/>
    <w:rsid w:val="005A5EB6"/>
    <w:rsid w:val="005A72C5"/>
    <w:rsid w:val="005B700D"/>
    <w:rsid w:val="005C09E1"/>
    <w:rsid w:val="005C28BB"/>
    <w:rsid w:val="005C5A35"/>
    <w:rsid w:val="005E0D96"/>
    <w:rsid w:val="005E3514"/>
    <w:rsid w:val="005E584E"/>
    <w:rsid w:val="005E7E37"/>
    <w:rsid w:val="005F7762"/>
    <w:rsid w:val="00604183"/>
    <w:rsid w:val="0060553D"/>
    <w:rsid w:val="00611EFE"/>
    <w:rsid w:val="0061348F"/>
    <w:rsid w:val="00613DE2"/>
    <w:rsid w:val="00624443"/>
    <w:rsid w:val="00626E65"/>
    <w:rsid w:val="00627A82"/>
    <w:rsid w:val="006328DD"/>
    <w:rsid w:val="006337BD"/>
    <w:rsid w:val="00636366"/>
    <w:rsid w:val="0065074F"/>
    <w:rsid w:val="006523F1"/>
    <w:rsid w:val="00664B95"/>
    <w:rsid w:val="00667D3F"/>
    <w:rsid w:val="00690805"/>
    <w:rsid w:val="00691940"/>
    <w:rsid w:val="006923B8"/>
    <w:rsid w:val="006A0A76"/>
    <w:rsid w:val="006B0182"/>
    <w:rsid w:val="006B1709"/>
    <w:rsid w:val="006B61D8"/>
    <w:rsid w:val="006B62B2"/>
    <w:rsid w:val="006C23F2"/>
    <w:rsid w:val="006D12ED"/>
    <w:rsid w:val="006D6C9F"/>
    <w:rsid w:val="006E0811"/>
    <w:rsid w:val="006E21C6"/>
    <w:rsid w:val="006E3A94"/>
    <w:rsid w:val="006E65D1"/>
    <w:rsid w:val="00707872"/>
    <w:rsid w:val="00707CE7"/>
    <w:rsid w:val="00722676"/>
    <w:rsid w:val="007254C1"/>
    <w:rsid w:val="007261A3"/>
    <w:rsid w:val="007343E5"/>
    <w:rsid w:val="00743A4E"/>
    <w:rsid w:val="00756D9A"/>
    <w:rsid w:val="00764301"/>
    <w:rsid w:val="00764A9C"/>
    <w:rsid w:val="007660C0"/>
    <w:rsid w:val="007720F2"/>
    <w:rsid w:val="00775436"/>
    <w:rsid w:val="0079007E"/>
    <w:rsid w:val="0079457E"/>
    <w:rsid w:val="007965FC"/>
    <w:rsid w:val="007A0B64"/>
    <w:rsid w:val="007A43F0"/>
    <w:rsid w:val="007A459A"/>
    <w:rsid w:val="007B4B87"/>
    <w:rsid w:val="007B6569"/>
    <w:rsid w:val="007C394C"/>
    <w:rsid w:val="007C55FA"/>
    <w:rsid w:val="007C5797"/>
    <w:rsid w:val="007E1888"/>
    <w:rsid w:val="007E5A32"/>
    <w:rsid w:val="007F198C"/>
    <w:rsid w:val="007F1BB4"/>
    <w:rsid w:val="007F5A79"/>
    <w:rsid w:val="007F72EF"/>
    <w:rsid w:val="008006FE"/>
    <w:rsid w:val="00803917"/>
    <w:rsid w:val="008122F0"/>
    <w:rsid w:val="00812593"/>
    <w:rsid w:val="0082251C"/>
    <w:rsid w:val="00836DF3"/>
    <w:rsid w:val="00836EBF"/>
    <w:rsid w:val="00841B56"/>
    <w:rsid w:val="00843B3C"/>
    <w:rsid w:val="008630ED"/>
    <w:rsid w:val="00864B66"/>
    <w:rsid w:val="00872B60"/>
    <w:rsid w:val="00876A17"/>
    <w:rsid w:val="00883EB3"/>
    <w:rsid w:val="008967AB"/>
    <w:rsid w:val="008A7EB7"/>
    <w:rsid w:val="008B0A14"/>
    <w:rsid w:val="008C67B4"/>
    <w:rsid w:val="008C6979"/>
    <w:rsid w:val="008E0929"/>
    <w:rsid w:val="008E1233"/>
    <w:rsid w:val="008F272C"/>
    <w:rsid w:val="008F28F7"/>
    <w:rsid w:val="008F3D18"/>
    <w:rsid w:val="008F69CA"/>
    <w:rsid w:val="00921DD5"/>
    <w:rsid w:val="00922939"/>
    <w:rsid w:val="00924D27"/>
    <w:rsid w:val="00941F13"/>
    <w:rsid w:val="00942DC0"/>
    <w:rsid w:val="009434E3"/>
    <w:rsid w:val="00957DDD"/>
    <w:rsid w:val="00963673"/>
    <w:rsid w:val="009650B0"/>
    <w:rsid w:val="00973E34"/>
    <w:rsid w:val="0097441D"/>
    <w:rsid w:val="0097650D"/>
    <w:rsid w:val="00980B52"/>
    <w:rsid w:val="00991A1D"/>
    <w:rsid w:val="00991FBA"/>
    <w:rsid w:val="0099792E"/>
    <w:rsid w:val="009A086E"/>
    <w:rsid w:val="009A7ADB"/>
    <w:rsid w:val="009B5835"/>
    <w:rsid w:val="009C492D"/>
    <w:rsid w:val="009D0BA5"/>
    <w:rsid w:val="009D2C18"/>
    <w:rsid w:val="009D3AC5"/>
    <w:rsid w:val="009D48F8"/>
    <w:rsid w:val="009D4FD9"/>
    <w:rsid w:val="009D502D"/>
    <w:rsid w:val="009D6430"/>
    <w:rsid w:val="009E26B2"/>
    <w:rsid w:val="009F0DF5"/>
    <w:rsid w:val="009F2108"/>
    <w:rsid w:val="00A01AC4"/>
    <w:rsid w:val="00A0401B"/>
    <w:rsid w:val="00A100BE"/>
    <w:rsid w:val="00A14055"/>
    <w:rsid w:val="00A22E37"/>
    <w:rsid w:val="00A32EE0"/>
    <w:rsid w:val="00A37EB7"/>
    <w:rsid w:val="00A421D9"/>
    <w:rsid w:val="00A46AB4"/>
    <w:rsid w:val="00A555EF"/>
    <w:rsid w:val="00A819B2"/>
    <w:rsid w:val="00A85CC6"/>
    <w:rsid w:val="00A95CE9"/>
    <w:rsid w:val="00AA1A53"/>
    <w:rsid w:val="00AA4AEF"/>
    <w:rsid w:val="00AA658C"/>
    <w:rsid w:val="00AB40BC"/>
    <w:rsid w:val="00AB5406"/>
    <w:rsid w:val="00AC05D8"/>
    <w:rsid w:val="00AC0A4A"/>
    <w:rsid w:val="00AD626F"/>
    <w:rsid w:val="00AE7455"/>
    <w:rsid w:val="00AE7612"/>
    <w:rsid w:val="00B0113E"/>
    <w:rsid w:val="00B03E76"/>
    <w:rsid w:val="00B0674B"/>
    <w:rsid w:val="00B06917"/>
    <w:rsid w:val="00B2487C"/>
    <w:rsid w:val="00B3024E"/>
    <w:rsid w:val="00B4130D"/>
    <w:rsid w:val="00B43DDB"/>
    <w:rsid w:val="00B464DE"/>
    <w:rsid w:val="00B505B7"/>
    <w:rsid w:val="00B57AC5"/>
    <w:rsid w:val="00B715F1"/>
    <w:rsid w:val="00B83CD8"/>
    <w:rsid w:val="00B929D4"/>
    <w:rsid w:val="00B92A19"/>
    <w:rsid w:val="00B95724"/>
    <w:rsid w:val="00BA17F1"/>
    <w:rsid w:val="00BA410E"/>
    <w:rsid w:val="00BA6118"/>
    <w:rsid w:val="00BB0825"/>
    <w:rsid w:val="00BB2049"/>
    <w:rsid w:val="00BB7C4C"/>
    <w:rsid w:val="00BC10CD"/>
    <w:rsid w:val="00BC4520"/>
    <w:rsid w:val="00BF0286"/>
    <w:rsid w:val="00BF1A09"/>
    <w:rsid w:val="00BF618A"/>
    <w:rsid w:val="00C03263"/>
    <w:rsid w:val="00C06AC8"/>
    <w:rsid w:val="00C1063B"/>
    <w:rsid w:val="00C131CF"/>
    <w:rsid w:val="00C20930"/>
    <w:rsid w:val="00C31480"/>
    <w:rsid w:val="00C330D8"/>
    <w:rsid w:val="00C33F9B"/>
    <w:rsid w:val="00C371B2"/>
    <w:rsid w:val="00C42E0C"/>
    <w:rsid w:val="00C4490E"/>
    <w:rsid w:val="00C46B5C"/>
    <w:rsid w:val="00C6618C"/>
    <w:rsid w:val="00C7003C"/>
    <w:rsid w:val="00C71BC5"/>
    <w:rsid w:val="00C72A0F"/>
    <w:rsid w:val="00C73365"/>
    <w:rsid w:val="00C75B98"/>
    <w:rsid w:val="00C81308"/>
    <w:rsid w:val="00C83B02"/>
    <w:rsid w:val="00C84A62"/>
    <w:rsid w:val="00C93288"/>
    <w:rsid w:val="00CA0AF0"/>
    <w:rsid w:val="00CA0DC5"/>
    <w:rsid w:val="00CA7E37"/>
    <w:rsid w:val="00CB0759"/>
    <w:rsid w:val="00CB5F09"/>
    <w:rsid w:val="00CB7316"/>
    <w:rsid w:val="00CB7AA2"/>
    <w:rsid w:val="00CC3FB0"/>
    <w:rsid w:val="00CC52B3"/>
    <w:rsid w:val="00CD21D3"/>
    <w:rsid w:val="00CD5209"/>
    <w:rsid w:val="00D03B7D"/>
    <w:rsid w:val="00D03BB9"/>
    <w:rsid w:val="00D06FFA"/>
    <w:rsid w:val="00D24870"/>
    <w:rsid w:val="00D251BB"/>
    <w:rsid w:val="00D26F2E"/>
    <w:rsid w:val="00D30248"/>
    <w:rsid w:val="00D3316C"/>
    <w:rsid w:val="00D4379C"/>
    <w:rsid w:val="00D52542"/>
    <w:rsid w:val="00D54A41"/>
    <w:rsid w:val="00D61D2D"/>
    <w:rsid w:val="00D66F60"/>
    <w:rsid w:val="00D758BC"/>
    <w:rsid w:val="00D76B62"/>
    <w:rsid w:val="00D7791F"/>
    <w:rsid w:val="00D82EB3"/>
    <w:rsid w:val="00DA0C6C"/>
    <w:rsid w:val="00DA73EA"/>
    <w:rsid w:val="00DB0E05"/>
    <w:rsid w:val="00DB5F37"/>
    <w:rsid w:val="00DB7424"/>
    <w:rsid w:val="00DC01F5"/>
    <w:rsid w:val="00DC7840"/>
    <w:rsid w:val="00DC7DC1"/>
    <w:rsid w:val="00DD5C14"/>
    <w:rsid w:val="00DE7E13"/>
    <w:rsid w:val="00DF1E31"/>
    <w:rsid w:val="00DF36A9"/>
    <w:rsid w:val="00E00B7A"/>
    <w:rsid w:val="00E02B82"/>
    <w:rsid w:val="00E0518E"/>
    <w:rsid w:val="00E11071"/>
    <w:rsid w:val="00E15DF2"/>
    <w:rsid w:val="00E31A2F"/>
    <w:rsid w:val="00E403DD"/>
    <w:rsid w:val="00E422DC"/>
    <w:rsid w:val="00E4780C"/>
    <w:rsid w:val="00E50B8D"/>
    <w:rsid w:val="00E60A36"/>
    <w:rsid w:val="00E60EC5"/>
    <w:rsid w:val="00E6373A"/>
    <w:rsid w:val="00E646F6"/>
    <w:rsid w:val="00E76D96"/>
    <w:rsid w:val="00E83038"/>
    <w:rsid w:val="00E860BC"/>
    <w:rsid w:val="00E9398B"/>
    <w:rsid w:val="00E97E55"/>
    <w:rsid w:val="00EA26CB"/>
    <w:rsid w:val="00EA30FF"/>
    <w:rsid w:val="00EA76AA"/>
    <w:rsid w:val="00EB081A"/>
    <w:rsid w:val="00EB27C4"/>
    <w:rsid w:val="00EB4FF5"/>
    <w:rsid w:val="00EC0387"/>
    <w:rsid w:val="00EC0BA2"/>
    <w:rsid w:val="00EC235A"/>
    <w:rsid w:val="00ED04CF"/>
    <w:rsid w:val="00EE77CC"/>
    <w:rsid w:val="00F1121F"/>
    <w:rsid w:val="00F25B97"/>
    <w:rsid w:val="00F262B6"/>
    <w:rsid w:val="00F34058"/>
    <w:rsid w:val="00F349AE"/>
    <w:rsid w:val="00F413B3"/>
    <w:rsid w:val="00F45738"/>
    <w:rsid w:val="00F528B6"/>
    <w:rsid w:val="00F560D2"/>
    <w:rsid w:val="00F666D3"/>
    <w:rsid w:val="00F80C55"/>
    <w:rsid w:val="00F82411"/>
    <w:rsid w:val="00F849EC"/>
    <w:rsid w:val="00FA090E"/>
    <w:rsid w:val="00FA55D9"/>
    <w:rsid w:val="00FB4F95"/>
    <w:rsid w:val="00FF1FB8"/>
    <w:rsid w:val="00FF4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lsdException w:name="Strong" w:semiHidden="0" w:uiPriority="0"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371B2"/>
    <w:pPr>
      <w:spacing w:after="200"/>
    </w:pPr>
    <w:rPr>
      <w:rFonts w:ascii="Arial" w:hAnsi="Arial"/>
      <w:sz w:val="28"/>
      <w:szCs w:val="22"/>
      <w:lang w:eastAsia="en-US"/>
    </w:rPr>
  </w:style>
  <w:style w:type="paragraph" w:styleId="Heading1">
    <w:name w:val="heading 1"/>
    <w:basedOn w:val="Normal"/>
    <w:next w:val="Normal"/>
    <w:link w:val="Heading1Char"/>
    <w:uiPriority w:val="9"/>
    <w:qFormat/>
    <w:rsid w:val="00C371B2"/>
    <w:pPr>
      <w:keepNext/>
      <w:keepLines/>
      <w:spacing w:before="480" w:after="120"/>
      <w:outlineLvl w:val="0"/>
    </w:pPr>
    <w:rPr>
      <w:rFonts w:eastAsia="Times New Roman"/>
      <w:b/>
      <w:bCs/>
      <w:sz w:val="36"/>
      <w:szCs w:val="28"/>
    </w:rPr>
  </w:style>
  <w:style w:type="paragraph" w:styleId="Heading2">
    <w:name w:val="heading 2"/>
    <w:basedOn w:val="Normal"/>
    <w:next w:val="Normal"/>
    <w:link w:val="Heading2Char"/>
    <w:uiPriority w:val="9"/>
    <w:unhideWhenUsed/>
    <w:qFormat/>
    <w:rsid w:val="00C371B2"/>
    <w:pPr>
      <w:keepNext/>
      <w:keepLines/>
      <w:spacing w:before="200" w:after="12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6B61D8"/>
    <w:rPr>
      <w:rFonts w:ascii="Arial" w:hAnsi="Arial"/>
      <w:sz w:val="24"/>
      <w:szCs w:val="22"/>
      <w:lang w:eastAsia="en-US"/>
    </w:rPr>
  </w:style>
  <w:style w:type="character" w:customStyle="1" w:styleId="Heading1Char">
    <w:name w:val="Heading 1 Char"/>
    <w:basedOn w:val="DefaultParagraphFont"/>
    <w:link w:val="Heading1"/>
    <w:uiPriority w:val="9"/>
    <w:rsid w:val="00C371B2"/>
    <w:rPr>
      <w:rFonts w:ascii="Arial" w:eastAsia="Times New Roman" w:hAnsi="Arial" w:cs="Times New Roman"/>
      <w:b/>
      <w:bCs/>
      <w:sz w:val="36"/>
      <w:szCs w:val="28"/>
    </w:rPr>
  </w:style>
  <w:style w:type="paragraph" w:styleId="Title">
    <w:name w:val="Title"/>
    <w:basedOn w:val="Normal"/>
    <w:next w:val="Normal"/>
    <w:link w:val="TitleChar"/>
    <w:uiPriority w:val="10"/>
    <w:qFormat/>
    <w:rsid w:val="00C371B2"/>
    <w:pPr>
      <w:spacing w:after="300"/>
      <w:contextualSpacing/>
    </w:pPr>
    <w:rPr>
      <w:rFonts w:eastAsia="Times New Roman"/>
      <w:b/>
      <w:spacing w:val="5"/>
      <w:kern w:val="28"/>
      <w:sz w:val="52"/>
      <w:szCs w:val="52"/>
    </w:rPr>
  </w:style>
  <w:style w:type="character" w:customStyle="1" w:styleId="TitleChar">
    <w:name w:val="Title Char"/>
    <w:basedOn w:val="DefaultParagraphFont"/>
    <w:link w:val="Title"/>
    <w:uiPriority w:val="10"/>
    <w:rsid w:val="00C371B2"/>
    <w:rPr>
      <w:rFonts w:ascii="Arial" w:eastAsia="Times New Roman" w:hAnsi="Arial" w:cs="Times New Roman"/>
      <w:b/>
      <w:spacing w:val="5"/>
      <w:kern w:val="28"/>
      <w:sz w:val="52"/>
      <w:szCs w:val="52"/>
    </w:rPr>
  </w:style>
  <w:style w:type="character" w:customStyle="1" w:styleId="Heading2Char">
    <w:name w:val="Heading 2 Char"/>
    <w:basedOn w:val="DefaultParagraphFont"/>
    <w:link w:val="Heading2"/>
    <w:uiPriority w:val="9"/>
    <w:rsid w:val="00C371B2"/>
    <w:rPr>
      <w:rFonts w:ascii="Arial" w:eastAsia="Times New Roman" w:hAnsi="Arial" w:cs="Times New Roman"/>
      <w:b/>
      <w:bCs/>
      <w:sz w:val="28"/>
      <w:szCs w:val="26"/>
    </w:rPr>
  </w:style>
  <w:style w:type="paragraph" w:styleId="ListParagraph">
    <w:name w:val="List Paragraph"/>
    <w:aliases w:val="F5 List Paragraph,Dot pt,No Spacing1,List Paragraph Char Char Char,Indicator Text,List Paragraph1,Numbered Para 1,Bullet 1,List Paragraph12,Bullet Points,MAIN CONTENT,List Paragraph2,Normal numbered,List Paragraph11,OBC Bullet,Bullet Styl"/>
    <w:basedOn w:val="Normal"/>
    <w:link w:val="ListParagraphChar"/>
    <w:uiPriority w:val="34"/>
    <w:qFormat/>
    <w:rsid w:val="00691940"/>
    <w:pPr>
      <w:ind w:left="720"/>
      <w:contextualSpacing/>
    </w:pPr>
  </w:style>
  <w:style w:type="character" w:styleId="Hyperlink">
    <w:name w:val="Hyperlink"/>
    <w:basedOn w:val="DefaultParagraphFont"/>
    <w:uiPriority w:val="99"/>
    <w:unhideWhenUsed/>
    <w:rsid w:val="004724A0"/>
    <w:rPr>
      <w:color w:val="0000FF"/>
      <w:u w:val="single"/>
    </w:rPr>
  </w:style>
  <w:style w:type="paragraph" w:customStyle="1" w:styleId="Body1">
    <w:name w:val="Body 1"/>
    <w:rsid w:val="002C2771"/>
    <w:rPr>
      <w:rFonts w:ascii="Helvetica" w:eastAsia="ヒラギノ角ゴ Pro W3" w:hAnsi="Helvetica"/>
      <w:color w:val="000000"/>
      <w:sz w:val="24"/>
      <w:lang w:val="en-US"/>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 Char,Char,fn"/>
    <w:basedOn w:val="Normal"/>
    <w:link w:val="FootnoteTextChar"/>
    <w:unhideWhenUsed/>
    <w:rsid w:val="002C2771"/>
    <w:pPr>
      <w:spacing w:after="0"/>
    </w:pPr>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 Char Char,Char Char"/>
    <w:basedOn w:val="DefaultParagraphFont"/>
    <w:link w:val="FootnoteText"/>
    <w:rsid w:val="002C2771"/>
    <w:rPr>
      <w:rFonts w:ascii="Arial" w:hAnsi="Arial"/>
      <w:lang w:eastAsia="en-US"/>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unhideWhenUsed/>
    <w:qFormat/>
    <w:rsid w:val="002C2771"/>
    <w:rPr>
      <w:vertAlign w:val="superscript"/>
    </w:rPr>
  </w:style>
  <w:style w:type="character" w:customStyle="1" w:styleId="ListParagraphChar">
    <w:name w:val="List Paragraph Char"/>
    <w:aliases w:val="F5 List Paragraph Char,Dot pt Char,No Spacing1 Char,List Paragraph Char Char Char Char,Indicator Text Char,List Paragraph1 Char,Numbered Para 1 Char,Bullet 1 Char,List Paragraph12 Char,Bullet Points Char,MAIN CONTENT Char"/>
    <w:link w:val="ListParagraph"/>
    <w:uiPriority w:val="34"/>
    <w:qFormat/>
    <w:locked/>
    <w:rsid w:val="002C2771"/>
    <w:rPr>
      <w:rFonts w:ascii="Arial" w:hAnsi="Arial"/>
      <w:sz w:val="28"/>
      <w:szCs w:val="22"/>
      <w:lang w:eastAsia="en-US"/>
    </w:rPr>
  </w:style>
  <w:style w:type="paragraph" w:customStyle="1" w:styleId="Quote3">
    <w:name w:val="Quote3"/>
    <w:basedOn w:val="Normal"/>
    <w:rsid w:val="008F272C"/>
    <w:pPr>
      <w:spacing w:before="100" w:beforeAutospacing="1" w:after="100" w:afterAutospacing="1"/>
    </w:pPr>
    <w:rPr>
      <w:rFonts w:ascii="Times New Roman" w:eastAsia="Times New Roman" w:hAnsi="Times New Roman"/>
      <w:sz w:val="24"/>
      <w:szCs w:val="24"/>
      <w:lang w:eastAsia="en-GB"/>
    </w:rPr>
  </w:style>
  <w:style w:type="paragraph" w:customStyle="1" w:styleId="quote2withindent2">
    <w:name w:val="quote2withindent2"/>
    <w:basedOn w:val="Normal"/>
    <w:rsid w:val="008F272C"/>
    <w:pPr>
      <w:spacing w:before="100" w:beforeAutospacing="1" w:after="100" w:afterAutospacing="1"/>
    </w:pPr>
    <w:rPr>
      <w:rFonts w:ascii="Times New Roman" w:eastAsia="Times New Roman" w:hAnsi="Times New Roman"/>
      <w:sz w:val="24"/>
      <w:szCs w:val="24"/>
      <w:lang w:eastAsia="en-GB"/>
    </w:rPr>
  </w:style>
  <w:style w:type="paragraph" w:customStyle="1" w:styleId="quote1withbracewithquo">
    <w:name w:val="quote1withbracewithquo"/>
    <w:basedOn w:val="Normal"/>
    <w:rsid w:val="008F272C"/>
    <w:pPr>
      <w:spacing w:before="100" w:beforeAutospacing="1" w:after="100" w:afterAutospacing="1"/>
    </w:pPr>
    <w:rPr>
      <w:rFonts w:ascii="Times New Roman" w:eastAsia="Times New Roman" w:hAnsi="Times New Roman"/>
      <w:sz w:val="24"/>
      <w:szCs w:val="24"/>
      <w:lang w:eastAsia="en-GB"/>
    </w:rPr>
  </w:style>
  <w:style w:type="character" w:styleId="CommentReference">
    <w:name w:val="annotation reference"/>
    <w:uiPriority w:val="99"/>
    <w:semiHidden/>
    <w:unhideWhenUsed/>
    <w:rsid w:val="008F272C"/>
    <w:rPr>
      <w:sz w:val="16"/>
      <w:szCs w:val="16"/>
    </w:rPr>
  </w:style>
  <w:style w:type="paragraph" w:styleId="CommentText">
    <w:name w:val="annotation text"/>
    <w:basedOn w:val="Normal"/>
    <w:link w:val="CommentTextChar"/>
    <w:uiPriority w:val="99"/>
    <w:unhideWhenUsed/>
    <w:rsid w:val="008F272C"/>
    <w:rPr>
      <w:sz w:val="20"/>
      <w:szCs w:val="20"/>
      <w:lang w:val="x-none"/>
    </w:rPr>
  </w:style>
  <w:style w:type="character" w:customStyle="1" w:styleId="CommentTextChar">
    <w:name w:val="Comment Text Char"/>
    <w:basedOn w:val="DefaultParagraphFont"/>
    <w:link w:val="CommentText"/>
    <w:uiPriority w:val="99"/>
    <w:rsid w:val="008F272C"/>
    <w:rPr>
      <w:rFonts w:ascii="Arial" w:hAnsi="Arial"/>
      <w:lang w:val="x-none" w:eastAsia="en-US"/>
    </w:rPr>
  </w:style>
  <w:style w:type="paragraph" w:styleId="NormalWeb">
    <w:name w:val="Normal (Web)"/>
    <w:basedOn w:val="Normal"/>
    <w:uiPriority w:val="99"/>
    <w:unhideWhenUsed/>
    <w:rsid w:val="008F272C"/>
    <w:pPr>
      <w:spacing w:before="100" w:beforeAutospacing="1" w:after="100" w:afterAutospacing="1"/>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8F27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272C"/>
    <w:rPr>
      <w:rFonts w:ascii="Tahoma" w:hAnsi="Tahoma" w:cs="Tahoma"/>
      <w:sz w:val="16"/>
      <w:szCs w:val="16"/>
      <w:lang w:eastAsia="en-US"/>
    </w:rPr>
  </w:style>
  <w:style w:type="paragraph" w:styleId="Header">
    <w:name w:val="header"/>
    <w:basedOn w:val="Normal"/>
    <w:link w:val="HeaderChar"/>
    <w:uiPriority w:val="99"/>
    <w:unhideWhenUsed/>
    <w:rsid w:val="00DB7424"/>
    <w:pPr>
      <w:tabs>
        <w:tab w:val="center" w:pos="4513"/>
        <w:tab w:val="right" w:pos="9026"/>
      </w:tabs>
      <w:spacing w:after="0"/>
    </w:pPr>
  </w:style>
  <w:style w:type="character" w:customStyle="1" w:styleId="HeaderChar">
    <w:name w:val="Header Char"/>
    <w:basedOn w:val="DefaultParagraphFont"/>
    <w:link w:val="Header"/>
    <w:uiPriority w:val="99"/>
    <w:rsid w:val="00DB7424"/>
    <w:rPr>
      <w:rFonts w:ascii="Arial" w:hAnsi="Arial"/>
      <w:sz w:val="28"/>
      <w:szCs w:val="22"/>
      <w:lang w:eastAsia="en-US"/>
    </w:rPr>
  </w:style>
  <w:style w:type="paragraph" w:styleId="Footer">
    <w:name w:val="footer"/>
    <w:basedOn w:val="Normal"/>
    <w:link w:val="FooterChar"/>
    <w:uiPriority w:val="99"/>
    <w:unhideWhenUsed/>
    <w:rsid w:val="00DB7424"/>
    <w:pPr>
      <w:tabs>
        <w:tab w:val="center" w:pos="4513"/>
        <w:tab w:val="right" w:pos="9026"/>
      </w:tabs>
      <w:spacing w:after="0"/>
    </w:pPr>
  </w:style>
  <w:style w:type="character" w:customStyle="1" w:styleId="FooterChar">
    <w:name w:val="Footer Char"/>
    <w:basedOn w:val="DefaultParagraphFont"/>
    <w:link w:val="Footer"/>
    <w:uiPriority w:val="99"/>
    <w:rsid w:val="00DB7424"/>
    <w:rPr>
      <w:rFonts w:ascii="Arial" w:hAnsi="Arial"/>
      <w:sz w:val="28"/>
      <w:szCs w:val="22"/>
      <w:lang w:eastAsia="en-US"/>
    </w:rPr>
  </w:style>
  <w:style w:type="character" w:styleId="Strong">
    <w:name w:val="Strong"/>
    <w:basedOn w:val="DefaultParagraphFont"/>
    <w:qFormat/>
    <w:rsid w:val="00E76D96"/>
    <w:rPr>
      <w:b/>
      <w:bCs/>
    </w:rPr>
  </w:style>
  <w:style w:type="paragraph" w:customStyle="1" w:styleId="Default">
    <w:name w:val="Default"/>
    <w:rsid w:val="00E76D96"/>
    <w:pPr>
      <w:autoSpaceDE w:val="0"/>
      <w:autoSpaceDN w:val="0"/>
      <w:adjustRightInd w:val="0"/>
    </w:pPr>
    <w:rPr>
      <w:rFonts w:ascii="Times New Roman" w:hAnsi="Times New Roman"/>
      <w:color w:val="000000"/>
      <w:sz w:val="24"/>
      <w:szCs w:val="24"/>
    </w:rPr>
  </w:style>
  <w:style w:type="paragraph" w:customStyle="1" w:styleId="Parabase">
    <w:name w:val="&gt; Para (base)"/>
    <w:basedOn w:val="Normal"/>
    <w:qFormat/>
    <w:rsid w:val="00E76D96"/>
    <w:pPr>
      <w:spacing w:after="120" w:line="312" w:lineRule="auto"/>
    </w:pPr>
    <w:rPr>
      <w:rFonts w:cs="Arial"/>
      <w:sz w:val="24"/>
      <w:szCs w:val="24"/>
    </w:rPr>
  </w:style>
  <w:style w:type="paragraph" w:customStyle="1" w:styleId="Bulletsbase">
    <w:name w:val="&gt; Bullets (base)"/>
    <w:basedOn w:val="Normal"/>
    <w:qFormat/>
    <w:rsid w:val="00E76D96"/>
    <w:pPr>
      <w:numPr>
        <w:numId w:val="1"/>
      </w:numPr>
      <w:spacing w:after="40" w:line="312" w:lineRule="auto"/>
      <w:ind w:left="340" w:hanging="340"/>
    </w:pPr>
    <w:rPr>
      <w:rFonts w:cs="Arial"/>
      <w:color w:val="000000"/>
      <w:sz w:val="24"/>
      <w:szCs w:val="24"/>
      <w:lang w:eastAsia="en-GB"/>
    </w:rPr>
  </w:style>
  <w:style w:type="paragraph" w:customStyle="1" w:styleId="Parapre-bullets">
    <w:name w:val="&gt; Para (pre-bullets)"/>
    <w:basedOn w:val="Parabase"/>
    <w:qFormat/>
    <w:rsid w:val="00E76D96"/>
    <w:pPr>
      <w:spacing w:after="60"/>
    </w:pPr>
    <w:rPr>
      <w:color w:val="000000"/>
      <w:lang w:eastAsia="en-GB"/>
    </w:rPr>
  </w:style>
  <w:style w:type="paragraph" w:customStyle="1" w:styleId="Bulletsgroupend">
    <w:name w:val="&gt; Bullets (group end)"/>
    <w:basedOn w:val="Bulletsbase"/>
    <w:qFormat/>
    <w:rsid w:val="00E76D96"/>
    <w:pPr>
      <w:spacing w:after="180"/>
    </w:pPr>
  </w:style>
  <w:style w:type="character" w:styleId="HTMLCite">
    <w:name w:val="HTML Cite"/>
    <w:uiPriority w:val="99"/>
    <w:semiHidden/>
    <w:unhideWhenUsed/>
    <w:rsid w:val="004F46AC"/>
    <w:rPr>
      <w:i w:val="0"/>
      <w:iCs w:val="0"/>
      <w:color w:val="006621"/>
    </w:rPr>
  </w:style>
  <w:style w:type="paragraph" w:customStyle="1" w:styleId="Parass">
    <w:name w:val="&gt; Para (ss)"/>
    <w:basedOn w:val="Normal"/>
    <w:qFormat/>
    <w:rsid w:val="00505C5F"/>
    <w:pPr>
      <w:spacing w:after="360" w:line="312" w:lineRule="auto"/>
    </w:pPr>
    <w:rPr>
      <w:sz w:val="24"/>
      <w:szCs w:val="24"/>
    </w:rPr>
  </w:style>
  <w:style w:type="paragraph" w:styleId="CommentSubject">
    <w:name w:val="annotation subject"/>
    <w:basedOn w:val="CommentText"/>
    <w:next w:val="CommentText"/>
    <w:link w:val="CommentSubjectChar"/>
    <w:uiPriority w:val="99"/>
    <w:semiHidden/>
    <w:unhideWhenUsed/>
    <w:rsid w:val="00330E1D"/>
    <w:rPr>
      <w:b/>
      <w:bCs/>
    </w:rPr>
  </w:style>
  <w:style w:type="character" w:customStyle="1" w:styleId="CommentSubjectChar">
    <w:name w:val="Comment Subject Char"/>
    <w:basedOn w:val="CommentTextChar"/>
    <w:link w:val="CommentSubject"/>
    <w:uiPriority w:val="99"/>
    <w:semiHidden/>
    <w:rsid w:val="00330E1D"/>
    <w:rPr>
      <w:rFonts w:ascii="Arial" w:hAnsi="Arial"/>
      <w:b/>
      <w:bCs/>
      <w:lang w:val="x-none" w:eastAsia="en-US"/>
    </w:rPr>
  </w:style>
  <w:style w:type="paragraph" w:styleId="Revision">
    <w:name w:val="Revision"/>
    <w:hidden/>
    <w:uiPriority w:val="99"/>
    <w:semiHidden/>
    <w:rsid w:val="004F6858"/>
    <w:rPr>
      <w:rFonts w:ascii="Arial" w:hAnsi="Arial"/>
      <w:sz w:val="28"/>
      <w:szCs w:val="22"/>
      <w:lang w:eastAsia="en-US"/>
    </w:rPr>
  </w:style>
  <w:style w:type="paragraph" w:styleId="EndnoteText">
    <w:name w:val="endnote text"/>
    <w:basedOn w:val="Normal"/>
    <w:link w:val="EndnoteTextChar"/>
    <w:uiPriority w:val="99"/>
    <w:semiHidden/>
    <w:unhideWhenUsed/>
    <w:rsid w:val="006E0811"/>
    <w:pPr>
      <w:spacing w:after="0"/>
    </w:pPr>
    <w:rPr>
      <w:sz w:val="20"/>
      <w:szCs w:val="20"/>
    </w:rPr>
  </w:style>
  <w:style w:type="character" w:customStyle="1" w:styleId="EndnoteTextChar">
    <w:name w:val="Endnote Text Char"/>
    <w:basedOn w:val="DefaultParagraphFont"/>
    <w:link w:val="EndnoteText"/>
    <w:uiPriority w:val="99"/>
    <w:semiHidden/>
    <w:rsid w:val="006E0811"/>
    <w:rPr>
      <w:rFonts w:ascii="Arial" w:hAnsi="Arial"/>
      <w:lang w:eastAsia="en-US"/>
    </w:rPr>
  </w:style>
  <w:style w:type="character" w:styleId="EndnoteReference">
    <w:name w:val="endnote reference"/>
    <w:basedOn w:val="DefaultParagraphFont"/>
    <w:uiPriority w:val="99"/>
    <w:semiHidden/>
    <w:unhideWhenUsed/>
    <w:rsid w:val="006E0811"/>
    <w:rPr>
      <w:vertAlign w:val="superscript"/>
    </w:rPr>
  </w:style>
  <w:style w:type="character" w:styleId="FollowedHyperlink">
    <w:name w:val="FollowedHyperlink"/>
    <w:basedOn w:val="DefaultParagraphFont"/>
    <w:uiPriority w:val="99"/>
    <w:semiHidden/>
    <w:unhideWhenUsed/>
    <w:rsid w:val="006D12ED"/>
    <w:rPr>
      <w:color w:val="800080" w:themeColor="followedHyperlink"/>
      <w:u w:val="single"/>
    </w:rPr>
  </w:style>
  <w:style w:type="character" w:customStyle="1" w:styleId="apple-converted-space">
    <w:name w:val="apple-converted-space"/>
    <w:basedOn w:val="DefaultParagraphFont"/>
    <w:rsid w:val="00DA0C6C"/>
  </w:style>
  <w:style w:type="paragraph" w:customStyle="1" w:styleId="Parabeforeanother">
    <w:name w:val="&gt; Para before another"/>
    <w:basedOn w:val="Normal"/>
    <w:qFormat/>
    <w:rsid w:val="00491722"/>
    <w:pPr>
      <w:spacing w:after="160" w:line="312" w:lineRule="auto"/>
    </w:pPr>
    <w:rPr>
      <w:rFonts w:cs="Arial"/>
      <w:sz w:val="24"/>
      <w:szCs w:val="24"/>
    </w:rPr>
  </w:style>
  <w:style w:type="paragraph" w:customStyle="1" w:styleId="Heading-subsections">
    <w:name w:val="&gt; Heading - subsections"/>
    <w:basedOn w:val="Parabeforeanother"/>
    <w:qFormat/>
    <w:rsid w:val="00491722"/>
    <w:pPr>
      <w:spacing w:after="100"/>
    </w:pPr>
    <w:rPr>
      <w:b/>
    </w:rPr>
  </w:style>
  <w:style w:type="paragraph" w:customStyle="1" w:styleId="Parabeforenewsection">
    <w:name w:val="&gt; Para before new section"/>
    <w:basedOn w:val="Parabeforeanother"/>
    <w:qFormat/>
    <w:rsid w:val="00491722"/>
    <w:pPr>
      <w:spacing w:after="680"/>
    </w:pPr>
    <w:rPr>
      <w:rFonts w:cs="Times New Roman"/>
    </w:rPr>
  </w:style>
  <w:style w:type="paragraph" w:customStyle="1" w:styleId="Heading-chapter">
    <w:name w:val="&gt; Heading - chapter"/>
    <w:basedOn w:val="Heading1"/>
    <w:qFormat/>
    <w:rsid w:val="009D0BA5"/>
    <w:pPr>
      <w:spacing w:before="0" w:after="1920" w:line="288" w:lineRule="auto"/>
    </w:pPr>
    <w:rPr>
      <w:rFonts w:ascii="Georgia" w:hAnsi="Georgia"/>
      <w:b w:val="0"/>
      <w:sz w:val="48"/>
      <w:szCs w:val="48"/>
    </w:rPr>
  </w:style>
  <w:style w:type="paragraph" w:customStyle="1" w:styleId="Parabeforetable">
    <w:name w:val="&gt; Para before table"/>
    <w:basedOn w:val="Parabeforenewsection"/>
    <w:qFormat/>
    <w:rsid w:val="00491722"/>
    <w:pPr>
      <w:spacing w:after="420"/>
    </w:pPr>
  </w:style>
  <w:style w:type="paragraph" w:customStyle="1" w:styleId="Parabeforebulletss">
    <w:name w:val="&gt; Para before bullets/#s"/>
    <w:basedOn w:val="Normal"/>
    <w:qFormat/>
    <w:rsid w:val="00491722"/>
    <w:pPr>
      <w:spacing w:after="60" w:line="312" w:lineRule="auto"/>
    </w:pPr>
    <w:rPr>
      <w:sz w:val="24"/>
      <w:szCs w:val="24"/>
    </w:rPr>
  </w:style>
  <w:style w:type="paragraph" w:customStyle="1" w:styleId="Bullet-followedbyothers">
    <w:name w:val="&gt; Bullet - followed by others"/>
    <w:basedOn w:val="Normal"/>
    <w:qFormat/>
    <w:rsid w:val="00491722"/>
    <w:pPr>
      <w:numPr>
        <w:numId w:val="4"/>
      </w:numPr>
      <w:spacing w:after="40" w:line="312" w:lineRule="auto"/>
      <w:ind w:left="340" w:hanging="340"/>
    </w:pPr>
    <w:rPr>
      <w:sz w:val="24"/>
      <w:szCs w:val="24"/>
    </w:rPr>
  </w:style>
  <w:style w:type="paragraph" w:customStyle="1" w:styleId="Bullet-lastingroup">
    <w:name w:val="&gt; Bullet - last in group"/>
    <w:basedOn w:val="Bullet-followedbyothers"/>
    <w:qFormat/>
    <w:rsid w:val="00491722"/>
    <w:pPr>
      <w:spacing w:after="240"/>
    </w:pPr>
  </w:style>
  <w:style w:type="paragraph" w:customStyle="1" w:styleId="Heading-sections">
    <w:name w:val="&gt; Heading - sections"/>
    <w:basedOn w:val="Heading2"/>
    <w:qFormat/>
    <w:rsid w:val="009D0BA5"/>
    <w:pPr>
      <w:pBdr>
        <w:bottom w:val="dotted" w:sz="4" w:space="1" w:color="auto"/>
      </w:pBdr>
      <w:spacing w:before="0" w:after="320" w:line="312" w:lineRule="auto"/>
    </w:pPr>
  </w:style>
  <w:style w:type="paragraph" w:customStyle="1" w:styleId="Bullets-sub-bullets">
    <w:name w:val="&gt; Bullets - sub-bullets"/>
    <w:basedOn w:val="Bullet-followedbyothers"/>
    <w:qFormat/>
    <w:rsid w:val="00491722"/>
    <w:pPr>
      <w:numPr>
        <w:ilvl w:val="1"/>
        <w:numId w:val="5"/>
      </w:numPr>
      <w:ind w:left="737" w:hanging="340"/>
    </w:pPr>
    <w:rPr>
      <w:rFonts w:cs="Arial"/>
      <w:szCs w:val="28"/>
    </w:rPr>
  </w:style>
  <w:style w:type="paragraph" w:customStyle="1" w:styleId="Heading-tables">
    <w:name w:val="&gt; Heading - tables"/>
    <w:basedOn w:val="Parabeforeanother"/>
    <w:qFormat/>
    <w:rsid w:val="00491722"/>
    <w:pPr>
      <w:spacing w:after="80"/>
      <w:ind w:left="1276" w:hanging="1276"/>
      <w:outlineLvl w:val="2"/>
    </w:pPr>
    <w:rPr>
      <w:b/>
      <w:color w:val="E36C0A" w:themeColor="accent6" w:themeShade="BF"/>
      <w:lang w:eastAsia="en-GB"/>
    </w:rPr>
  </w:style>
  <w:style w:type="paragraph" w:customStyle="1" w:styleId="Parabeforetextbox">
    <w:name w:val="&gt; Para before text box"/>
    <w:basedOn w:val="Parabeforeanother"/>
    <w:qFormat/>
    <w:rsid w:val="00491722"/>
    <w:pPr>
      <w:spacing w:after="260"/>
    </w:pPr>
    <w:rPr>
      <w:lang w:eastAsia="en-GB"/>
    </w:rPr>
  </w:style>
  <w:style w:type="paragraph" w:customStyle="1" w:styleId="Tablenotes">
    <w:name w:val="&gt; Table notes"/>
    <w:basedOn w:val="Normal"/>
    <w:qFormat/>
    <w:rsid w:val="00491722"/>
    <w:pPr>
      <w:autoSpaceDE w:val="0"/>
      <w:autoSpaceDN w:val="0"/>
      <w:adjustRightInd w:val="0"/>
      <w:spacing w:after="0"/>
    </w:pPr>
    <w:rPr>
      <w:rFonts w:cs="Arial"/>
      <w:color w:val="000000"/>
      <w:sz w:val="22"/>
      <w:lang w:eastAsia="en-GB"/>
    </w:rPr>
  </w:style>
  <w:style w:type="paragraph" w:customStyle="1" w:styleId="Parabeforenewsubsection">
    <w:name w:val="&gt; Para before new subsection"/>
    <w:basedOn w:val="Parabeforenewsection"/>
    <w:qFormat/>
    <w:rsid w:val="00491722"/>
    <w:pPr>
      <w:spacing w:after="420"/>
    </w:pPr>
    <w:rPr>
      <w:rFonts w:cs="Arial"/>
    </w:rPr>
  </w:style>
  <w:style w:type="paragraph" w:customStyle="1" w:styleId="Paraintextboxlast">
    <w:name w:val="&gt; Para in text box (last)"/>
    <w:basedOn w:val="Parabeforeanother"/>
    <w:qFormat/>
    <w:rsid w:val="00491722"/>
    <w:pPr>
      <w:spacing w:after="0"/>
    </w:pPr>
  </w:style>
  <w:style w:type="paragraph" w:customStyle="1" w:styleId="Parabetwtextboxandnewpara">
    <w:name w:val="&gt; Para betw. text box and new para"/>
    <w:basedOn w:val="Parabeforetextbox"/>
    <w:qFormat/>
    <w:rsid w:val="00491722"/>
    <w:pPr>
      <w:spacing w:after="0"/>
    </w:pPr>
  </w:style>
  <w:style w:type="paragraph" w:customStyle="1" w:styleId="Numberedlist">
    <w:name w:val="&gt; Numbered list"/>
    <w:basedOn w:val="Bullet-followedbyothers"/>
    <w:qFormat/>
    <w:rsid w:val="00491722"/>
    <w:pPr>
      <w:numPr>
        <w:numId w:val="0"/>
      </w:numPr>
      <w:tabs>
        <w:tab w:val="num" w:pos="360"/>
      </w:tabs>
      <w:ind w:left="425" w:hanging="425"/>
    </w:pPr>
  </w:style>
  <w:style w:type="paragraph" w:customStyle="1" w:styleId="Numberedlistlastingroup">
    <w:name w:val="&gt; Numbered list (last in group)"/>
    <w:basedOn w:val="Bullet-followedbyothers"/>
    <w:qFormat/>
    <w:rsid w:val="00491722"/>
    <w:pPr>
      <w:numPr>
        <w:numId w:val="6"/>
      </w:numPr>
      <w:spacing w:after="160"/>
      <w:ind w:left="425" w:hanging="425"/>
    </w:pPr>
  </w:style>
  <w:style w:type="paragraph" w:customStyle="1" w:styleId="Parabold">
    <w:name w:val="&gt; Para bold"/>
    <w:basedOn w:val="Parabeforeanother"/>
    <w:qFormat/>
    <w:rsid w:val="00C72A0F"/>
    <w:rPr>
      <w:b/>
    </w:rPr>
  </w:style>
  <w:style w:type="paragraph" w:customStyle="1" w:styleId="ecxmsonormal">
    <w:name w:val="ecxmsonormal"/>
    <w:basedOn w:val="Normal"/>
    <w:rsid w:val="002B6091"/>
    <w:pPr>
      <w:spacing w:before="100" w:beforeAutospacing="1" w:after="100" w:afterAutospacing="1"/>
    </w:pPr>
    <w:rPr>
      <w:rFonts w:ascii="Times New Roman" w:eastAsia="Times New Roman" w:hAnsi="Times New Roman"/>
      <w:sz w:val="24"/>
      <w:szCs w:val="24"/>
      <w:lang w:eastAsia="en-GB"/>
    </w:rPr>
  </w:style>
  <w:style w:type="paragraph" w:customStyle="1" w:styleId="Parasection">
    <w:name w:val="&gt; Para (section)"/>
    <w:basedOn w:val="Parabase"/>
    <w:qFormat/>
    <w:rsid w:val="00204465"/>
    <w:pPr>
      <w:spacing w:after="600" w:line="300" w:lineRule="auto"/>
    </w:pPr>
    <w:rPr>
      <w:rFonts w:cs="Times New Roman"/>
    </w:rPr>
  </w:style>
  <w:style w:type="paragraph" w:customStyle="1" w:styleId="L1Headers">
    <w:name w:val="&gt; L1 Headers"/>
    <w:basedOn w:val="Heading1"/>
    <w:qFormat/>
    <w:rsid w:val="00204465"/>
    <w:pPr>
      <w:spacing w:before="0" w:after="1280" w:line="300" w:lineRule="auto"/>
    </w:pPr>
    <w:rPr>
      <w:rFonts w:ascii="Georgia" w:hAnsi="Georgia"/>
      <w:b w:val="0"/>
      <w:sz w:val="56"/>
      <w:szCs w:val="56"/>
    </w:rPr>
  </w:style>
  <w:style w:type="paragraph" w:customStyle="1" w:styleId="L4Headers">
    <w:name w:val="&gt; L4 Headers"/>
    <w:basedOn w:val="Parabase"/>
    <w:qFormat/>
    <w:rsid w:val="00204465"/>
    <w:pPr>
      <w:spacing w:after="100"/>
    </w:pPr>
    <w:rPr>
      <w:b/>
    </w:rPr>
  </w:style>
  <w:style w:type="paragraph" w:customStyle="1" w:styleId="Paraapres-box">
    <w:name w:val="&gt; Para (apres-box)"/>
    <w:basedOn w:val="Parabase"/>
    <w:uiPriority w:val="1"/>
    <w:qFormat/>
    <w:rsid w:val="00204465"/>
    <w:pPr>
      <w:spacing w:after="0"/>
    </w:pPr>
  </w:style>
  <w:style w:type="paragraph" w:styleId="TOC1">
    <w:name w:val="toc 1"/>
    <w:basedOn w:val="Normal"/>
    <w:next w:val="Normal"/>
    <w:autoRedefine/>
    <w:uiPriority w:val="39"/>
    <w:unhideWhenUsed/>
    <w:rsid w:val="00367FB5"/>
    <w:pPr>
      <w:spacing w:after="100"/>
    </w:pPr>
  </w:style>
  <w:style w:type="paragraph" w:styleId="TOC2">
    <w:name w:val="toc 2"/>
    <w:basedOn w:val="Normal"/>
    <w:next w:val="Normal"/>
    <w:autoRedefine/>
    <w:uiPriority w:val="39"/>
    <w:unhideWhenUsed/>
    <w:rsid w:val="00367FB5"/>
    <w:pPr>
      <w:spacing w:after="100"/>
      <w:ind w:left="280"/>
    </w:pPr>
  </w:style>
  <w:style w:type="paragraph" w:styleId="TOC3">
    <w:name w:val="toc 3"/>
    <w:basedOn w:val="Normal"/>
    <w:next w:val="Normal"/>
    <w:autoRedefine/>
    <w:uiPriority w:val="39"/>
    <w:unhideWhenUsed/>
    <w:rsid w:val="00367FB5"/>
    <w:pPr>
      <w:spacing w:after="100" w:line="276" w:lineRule="auto"/>
      <w:ind w:left="440"/>
    </w:pPr>
    <w:rPr>
      <w:rFonts w:asciiTheme="minorHAnsi" w:eastAsiaTheme="minorEastAsia" w:hAnsiTheme="minorHAnsi" w:cstheme="minorBidi"/>
      <w:sz w:val="22"/>
      <w:lang w:eastAsia="en-GB"/>
    </w:rPr>
  </w:style>
  <w:style w:type="paragraph" w:styleId="TOC4">
    <w:name w:val="toc 4"/>
    <w:basedOn w:val="Normal"/>
    <w:next w:val="Normal"/>
    <w:autoRedefine/>
    <w:uiPriority w:val="39"/>
    <w:unhideWhenUsed/>
    <w:rsid w:val="00367FB5"/>
    <w:pPr>
      <w:spacing w:after="100" w:line="276" w:lineRule="auto"/>
      <w:ind w:left="660"/>
    </w:pPr>
    <w:rPr>
      <w:rFonts w:asciiTheme="minorHAnsi" w:eastAsiaTheme="minorEastAsia" w:hAnsiTheme="minorHAnsi" w:cstheme="minorBidi"/>
      <w:sz w:val="22"/>
      <w:lang w:eastAsia="en-GB"/>
    </w:rPr>
  </w:style>
  <w:style w:type="paragraph" w:styleId="TOC5">
    <w:name w:val="toc 5"/>
    <w:basedOn w:val="Normal"/>
    <w:next w:val="Normal"/>
    <w:autoRedefine/>
    <w:uiPriority w:val="39"/>
    <w:unhideWhenUsed/>
    <w:rsid w:val="00367FB5"/>
    <w:pPr>
      <w:spacing w:after="100" w:line="276" w:lineRule="auto"/>
      <w:ind w:left="880"/>
    </w:pPr>
    <w:rPr>
      <w:rFonts w:asciiTheme="minorHAnsi" w:eastAsiaTheme="minorEastAsia" w:hAnsiTheme="minorHAnsi" w:cstheme="minorBidi"/>
      <w:sz w:val="22"/>
      <w:lang w:eastAsia="en-GB"/>
    </w:rPr>
  </w:style>
  <w:style w:type="paragraph" w:styleId="TOC6">
    <w:name w:val="toc 6"/>
    <w:basedOn w:val="Normal"/>
    <w:next w:val="Normal"/>
    <w:autoRedefine/>
    <w:uiPriority w:val="39"/>
    <w:unhideWhenUsed/>
    <w:rsid w:val="00367FB5"/>
    <w:pPr>
      <w:spacing w:after="100" w:line="276" w:lineRule="auto"/>
      <w:ind w:left="1100"/>
    </w:pPr>
    <w:rPr>
      <w:rFonts w:asciiTheme="minorHAnsi" w:eastAsiaTheme="minorEastAsia" w:hAnsiTheme="minorHAnsi" w:cstheme="minorBidi"/>
      <w:sz w:val="22"/>
      <w:lang w:eastAsia="en-GB"/>
    </w:rPr>
  </w:style>
  <w:style w:type="paragraph" w:styleId="TOC7">
    <w:name w:val="toc 7"/>
    <w:basedOn w:val="Normal"/>
    <w:next w:val="Normal"/>
    <w:autoRedefine/>
    <w:uiPriority w:val="39"/>
    <w:unhideWhenUsed/>
    <w:rsid w:val="00367FB5"/>
    <w:pPr>
      <w:spacing w:after="100" w:line="276" w:lineRule="auto"/>
      <w:ind w:left="1320"/>
    </w:pPr>
    <w:rPr>
      <w:rFonts w:asciiTheme="minorHAnsi" w:eastAsiaTheme="minorEastAsia" w:hAnsiTheme="minorHAnsi" w:cstheme="minorBidi"/>
      <w:sz w:val="22"/>
      <w:lang w:eastAsia="en-GB"/>
    </w:rPr>
  </w:style>
  <w:style w:type="paragraph" w:styleId="TOC8">
    <w:name w:val="toc 8"/>
    <w:basedOn w:val="Normal"/>
    <w:next w:val="Normal"/>
    <w:autoRedefine/>
    <w:uiPriority w:val="39"/>
    <w:unhideWhenUsed/>
    <w:rsid w:val="00367FB5"/>
    <w:pPr>
      <w:spacing w:after="100" w:line="276" w:lineRule="auto"/>
      <w:ind w:left="1540"/>
    </w:pPr>
    <w:rPr>
      <w:rFonts w:asciiTheme="minorHAnsi" w:eastAsiaTheme="minorEastAsia" w:hAnsiTheme="minorHAnsi" w:cstheme="minorBidi"/>
      <w:sz w:val="22"/>
      <w:lang w:eastAsia="en-GB"/>
    </w:rPr>
  </w:style>
  <w:style w:type="paragraph" w:styleId="TOC9">
    <w:name w:val="toc 9"/>
    <w:basedOn w:val="Normal"/>
    <w:next w:val="Normal"/>
    <w:autoRedefine/>
    <w:uiPriority w:val="39"/>
    <w:unhideWhenUsed/>
    <w:rsid w:val="00367FB5"/>
    <w:pPr>
      <w:spacing w:after="100" w:line="276" w:lineRule="auto"/>
      <w:ind w:left="1760"/>
    </w:pPr>
    <w:rPr>
      <w:rFonts w:asciiTheme="minorHAnsi" w:eastAsiaTheme="minorEastAsia" w:hAnsiTheme="minorHAnsi" w:cstheme="minorBidi"/>
      <w:sz w:val="22"/>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lsdException w:name="Strong" w:semiHidden="0" w:uiPriority="0"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371B2"/>
    <w:pPr>
      <w:spacing w:after="200"/>
    </w:pPr>
    <w:rPr>
      <w:rFonts w:ascii="Arial" w:hAnsi="Arial"/>
      <w:sz w:val="28"/>
      <w:szCs w:val="22"/>
      <w:lang w:eastAsia="en-US"/>
    </w:rPr>
  </w:style>
  <w:style w:type="paragraph" w:styleId="Heading1">
    <w:name w:val="heading 1"/>
    <w:basedOn w:val="Normal"/>
    <w:next w:val="Normal"/>
    <w:link w:val="Heading1Char"/>
    <w:uiPriority w:val="9"/>
    <w:qFormat/>
    <w:rsid w:val="00C371B2"/>
    <w:pPr>
      <w:keepNext/>
      <w:keepLines/>
      <w:spacing w:before="480" w:after="120"/>
      <w:outlineLvl w:val="0"/>
    </w:pPr>
    <w:rPr>
      <w:rFonts w:eastAsia="Times New Roman"/>
      <w:b/>
      <w:bCs/>
      <w:sz w:val="36"/>
      <w:szCs w:val="28"/>
    </w:rPr>
  </w:style>
  <w:style w:type="paragraph" w:styleId="Heading2">
    <w:name w:val="heading 2"/>
    <w:basedOn w:val="Normal"/>
    <w:next w:val="Normal"/>
    <w:link w:val="Heading2Char"/>
    <w:uiPriority w:val="9"/>
    <w:unhideWhenUsed/>
    <w:qFormat/>
    <w:rsid w:val="00C371B2"/>
    <w:pPr>
      <w:keepNext/>
      <w:keepLines/>
      <w:spacing w:before="200" w:after="12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6B61D8"/>
    <w:rPr>
      <w:rFonts w:ascii="Arial" w:hAnsi="Arial"/>
      <w:sz w:val="24"/>
      <w:szCs w:val="22"/>
      <w:lang w:eastAsia="en-US"/>
    </w:rPr>
  </w:style>
  <w:style w:type="character" w:customStyle="1" w:styleId="Heading1Char">
    <w:name w:val="Heading 1 Char"/>
    <w:basedOn w:val="DefaultParagraphFont"/>
    <w:link w:val="Heading1"/>
    <w:uiPriority w:val="9"/>
    <w:rsid w:val="00C371B2"/>
    <w:rPr>
      <w:rFonts w:ascii="Arial" w:eastAsia="Times New Roman" w:hAnsi="Arial" w:cs="Times New Roman"/>
      <w:b/>
      <w:bCs/>
      <w:sz w:val="36"/>
      <w:szCs w:val="28"/>
    </w:rPr>
  </w:style>
  <w:style w:type="paragraph" w:styleId="Title">
    <w:name w:val="Title"/>
    <w:basedOn w:val="Normal"/>
    <w:next w:val="Normal"/>
    <w:link w:val="TitleChar"/>
    <w:uiPriority w:val="10"/>
    <w:qFormat/>
    <w:rsid w:val="00C371B2"/>
    <w:pPr>
      <w:spacing w:after="300"/>
      <w:contextualSpacing/>
    </w:pPr>
    <w:rPr>
      <w:rFonts w:eastAsia="Times New Roman"/>
      <w:b/>
      <w:spacing w:val="5"/>
      <w:kern w:val="28"/>
      <w:sz w:val="52"/>
      <w:szCs w:val="52"/>
    </w:rPr>
  </w:style>
  <w:style w:type="character" w:customStyle="1" w:styleId="TitleChar">
    <w:name w:val="Title Char"/>
    <w:basedOn w:val="DefaultParagraphFont"/>
    <w:link w:val="Title"/>
    <w:uiPriority w:val="10"/>
    <w:rsid w:val="00C371B2"/>
    <w:rPr>
      <w:rFonts w:ascii="Arial" w:eastAsia="Times New Roman" w:hAnsi="Arial" w:cs="Times New Roman"/>
      <w:b/>
      <w:spacing w:val="5"/>
      <w:kern w:val="28"/>
      <w:sz w:val="52"/>
      <w:szCs w:val="52"/>
    </w:rPr>
  </w:style>
  <w:style w:type="character" w:customStyle="1" w:styleId="Heading2Char">
    <w:name w:val="Heading 2 Char"/>
    <w:basedOn w:val="DefaultParagraphFont"/>
    <w:link w:val="Heading2"/>
    <w:uiPriority w:val="9"/>
    <w:rsid w:val="00C371B2"/>
    <w:rPr>
      <w:rFonts w:ascii="Arial" w:eastAsia="Times New Roman" w:hAnsi="Arial" w:cs="Times New Roman"/>
      <w:b/>
      <w:bCs/>
      <w:sz w:val="28"/>
      <w:szCs w:val="26"/>
    </w:rPr>
  </w:style>
  <w:style w:type="paragraph" w:styleId="ListParagraph">
    <w:name w:val="List Paragraph"/>
    <w:aliases w:val="F5 List Paragraph,Dot pt,No Spacing1,List Paragraph Char Char Char,Indicator Text,List Paragraph1,Numbered Para 1,Bullet 1,List Paragraph12,Bullet Points,MAIN CONTENT,List Paragraph2,Normal numbered,List Paragraph11,OBC Bullet,Bullet Styl"/>
    <w:basedOn w:val="Normal"/>
    <w:link w:val="ListParagraphChar"/>
    <w:uiPriority w:val="34"/>
    <w:qFormat/>
    <w:rsid w:val="00691940"/>
    <w:pPr>
      <w:ind w:left="720"/>
      <w:contextualSpacing/>
    </w:pPr>
  </w:style>
  <w:style w:type="character" w:styleId="Hyperlink">
    <w:name w:val="Hyperlink"/>
    <w:basedOn w:val="DefaultParagraphFont"/>
    <w:uiPriority w:val="99"/>
    <w:unhideWhenUsed/>
    <w:rsid w:val="004724A0"/>
    <w:rPr>
      <w:color w:val="0000FF"/>
      <w:u w:val="single"/>
    </w:rPr>
  </w:style>
  <w:style w:type="paragraph" w:customStyle="1" w:styleId="Body1">
    <w:name w:val="Body 1"/>
    <w:rsid w:val="002C2771"/>
    <w:rPr>
      <w:rFonts w:ascii="Helvetica" w:eastAsia="ヒラギノ角ゴ Pro W3" w:hAnsi="Helvetica"/>
      <w:color w:val="000000"/>
      <w:sz w:val="24"/>
      <w:lang w:val="en-US"/>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 Char,Char,fn"/>
    <w:basedOn w:val="Normal"/>
    <w:link w:val="FootnoteTextChar"/>
    <w:unhideWhenUsed/>
    <w:rsid w:val="002C2771"/>
    <w:pPr>
      <w:spacing w:after="0"/>
    </w:pPr>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 Char Char,Char Char"/>
    <w:basedOn w:val="DefaultParagraphFont"/>
    <w:link w:val="FootnoteText"/>
    <w:rsid w:val="002C2771"/>
    <w:rPr>
      <w:rFonts w:ascii="Arial" w:hAnsi="Arial"/>
      <w:lang w:eastAsia="en-US"/>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unhideWhenUsed/>
    <w:qFormat/>
    <w:rsid w:val="002C2771"/>
    <w:rPr>
      <w:vertAlign w:val="superscript"/>
    </w:rPr>
  </w:style>
  <w:style w:type="character" w:customStyle="1" w:styleId="ListParagraphChar">
    <w:name w:val="List Paragraph Char"/>
    <w:aliases w:val="F5 List Paragraph Char,Dot pt Char,No Spacing1 Char,List Paragraph Char Char Char Char,Indicator Text Char,List Paragraph1 Char,Numbered Para 1 Char,Bullet 1 Char,List Paragraph12 Char,Bullet Points Char,MAIN CONTENT Char"/>
    <w:link w:val="ListParagraph"/>
    <w:uiPriority w:val="34"/>
    <w:qFormat/>
    <w:locked/>
    <w:rsid w:val="002C2771"/>
    <w:rPr>
      <w:rFonts w:ascii="Arial" w:hAnsi="Arial"/>
      <w:sz w:val="28"/>
      <w:szCs w:val="22"/>
      <w:lang w:eastAsia="en-US"/>
    </w:rPr>
  </w:style>
  <w:style w:type="paragraph" w:customStyle="1" w:styleId="Quote3">
    <w:name w:val="Quote3"/>
    <w:basedOn w:val="Normal"/>
    <w:rsid w:val="008F272C"/>
    <w:pPr>
      <w:spacing w:before="100" w:beforeAutospacing="1" w:after="100" w:afterAutospacing="1"/>
    </w:pPr>
    <w:rPr>
      <w:rFonts w:ascii="Times New Roman" w:eastAsia="Times New Roman" w:hAnsi="Times New Roman"/>
      <w:sz w:val="24"/>
      <w:szCs w:val="24"/>
      <w:lang w:eastAsia="en-GB"/>
    </w:rPr>
  </w:style>
  <w:style w:type="paragraph" w:customStyle="1" w:styleId="quote2withindent2">
    <w:name w:val="quote2withindent2"/>
    <w:basedOn w:val="Normal"/>
    <w:rsid w:val="008F272C"/>
    <w:pPr>
      <w:spacing w:before="100" w:beforeAutospacing="1" w:after="100" w:afterAutospacing="1"/>
    </w:pPr>
    <w:rPr>
      <w:rFonts w:ascii="Times New Roman" w:eastAsia="Times New Roman" w:hAnsi="Times New Roman"/>
      <w:sz w:val="24"/>
      <w:szCs w:val="24"/>
      <w:lang w:eastAsia="en-GB"/>
    </w:rPr>
  </w:style>
  <w:style w:type="paragraph" w:customStyle="1" w:styleId="quote1withbracewithquo">
    <w:name w:val="quote1withbracewithquo"/>
    <w:basedOn w:val="Normal"/>
    <w:rsid w:val="008F272C"/>
    <w:pPr>
      <w:spacing w:before="100" w:beforeAutospacing="1" w:after="100" w:afterAutospacing="1"/>
    </w:pPr>
    <w:rPr>
      <w:rFonts w:ascii="Times New Roman" w:eastAsia="Times New Roman" w:hAnsi="Times New Roman"/>
      <w:sz w:val="24"/>
      <w:szCs w:val="24"/>
      <w:lang w:eastAsia="en-GB"/>
    </w:rPr>
  </w:style>
  <w:style w:type="character" w:styleId="CommentReference">
    <w:name w:val="annotation reference"/>
    <w:uiPriority w:val="99"/>
    <w:semiHidden/>
    <w:unhideWhenUsed/>
    <w:rsid w:val="008F272C"/>
    <w:rPr>
      <w:sz w:val="16"/>
      <w:szCs w:val="16"/>
    </w:rPr>
  </w:style>
  <w:style w:type="paragraph" w:styleId="CommentText">
    <w:name w:val="annotation text"/>
    <w:basedOn w:val="Normal"/>
    <w:link w:val="CommentTextChar"/>
    <w:uiPriority w:val="99"/>
    <w:unhideWhenUsed/>
    <w:rsid w:val="008F272C"/>
    <w:rPr>
      <w:sz w:val="20"/>
      <w:szCs w:val="20"/>
      <w:lang w:val="x-none"/>
    </w:rPr>
  </w:style>
  <w:style w:type="character" w:customStyle="1" w:styleId="CommentTextChar">
    <w:name w:val="Comment Text Char"/>
    <w:basedOn w:val="DefaultParagraphFont"/>
    <w:link w:val="CommentText"/>
    <w:uiPriority w:val="99"/>
    <w:rsid w:val="008F272C"/>
    <w:rPr>
      <w:rFonts w:ascii="Arial" w:hAnsi="Arial"/>
      <w:lang w:val="x-none" w:eastAsia="en-US"/>
    </w:rPr>
  </w:style>
  <w:style w:type="paragraph" w:styleId="NormalWeb">
    <w:name w:val="Normal (Web)"/>
    <w:basedOn w:val="Normal"/>
    <w:uiPriority w:val="99"/>
    <w:unhideWhenUsed/>
    <w:rsid w:val="008F272C"/>
    <w:pPr>
      <w:spacing w:before="100" w:beforeAutospacing="1" w:after="100" w:afterAutospacing="1"/>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8F27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272C"/>
    <w:rPr>
      <w:rFonts w:ascii="Tahoma" w:hAnsi="Tahoma" w:cs="Tahoma"/>
      <w:sz w:val="16"/>
      <w:szCs w:val="16"/>
      <w:lang w:eastAsia="en-US"/>
    </w:rPr>
  </w:style>
  <w:style w:type="paragraph" w:styleId="Header">
    <w:name w:val="header"/>
    <w:basedOn w:val="Normal"/>
    <w:link w:val="HeaderChar"/>
    <w:uiPriority w:val="99"/>
    <w:unhideWhenUsed/>
    <w:rsid w:val="00DB7424"/>
    <w:pPr>
      <w:tabs>
        <w:tab w:val="center" w:pos="4513"/>
        <w:tab w:val="right" w:pos="9026"/>
      </w:tabs>
      <w:spacing w:after="0"/>
    </w:pPr>
  </w:style>
  <w:style w:type="character" w:customStyle="1" w:styleId="HeaderChar">
    <w:name w:val="Header Char"/>
    <w:basedOn w:val="DefaultParagraphFont"/>
    <w:link w:val="Header"/>
    <w:uiPriority w:val="99"/>
    <w:rsid w:val="00DB7424"/>
    <w:rPr>
      <w:rFonts w:ascii="Arial" w:hAnsi="Arial"/>
      <w:sz w:val="28"/>
      <w:szCs w:val="22"/>
      <w:lang w:eastAsia="en-US"/>
    </w:rPr>
  </w:style>
  <w:style w:type="paragraph" w:styleId="Footer">
    <w:name w:val="footer"/>
    <w:basedOn w:val="Normal"/>
    <w:link w:val="FooterChar"/>
    <w:uiPriority w:val="99"/>
    <w:unhideWhenUsed/>
    <w:rsid w:val="00DB7424"/>
    <w:pPr>
      <w:tabs>
        <w:tab w:val="center" w:pos="4513"/>
        <w:tab w:val="right" w:pos="9026"/>
      </w:tabs>
      <w:spacing w:after="0"/>
    </w:pPr>
  </w:style>
  <w:style w:type="character" w:customStyle="1" w:styleId="FooterChar">
    <w:name w:val="Footer Char"/>
    <w:basedOn w:val="DefaultParagraphFont"/>
    <w:link w:val="Footer"/>
    <w:uiPriority w:val="99"/>
    <w:rsid w:val="00DB7424"/>
    <w:rPr>
      <w:rFonts w:ascii="Arial" w:hAnsi="Arial"/>
      <w:sz w:val="28"/>
      <w:szCs w:val="22"/>
      <w:lang w:eastAsia="en-US"/>
    </w:rPr>
  </w:style>
  <w:style w:type="character" w:styleId="Strong">
    <w:name w:val="Strong"/>
    <w:basedOn w:val="DefaultParagraphFont"/>
    <w:qFormat/>
    <w:rsid w:val="00E76D96"/>
    <w:rPr>
      <w:b/>
      <w:bCs/>
    </w:rPr>
  </w:style>
  <w:style w:type="paragraph" w:customStyle="1" w:styleId="Default">
    <w:name w:val="Default"/>
    <w:rsid w:val="00E76D96"/>
    <w:pPr>
      <w:autoSpaceDE w:val="0"/>
      <w:autoSpaceDN w:val="0"/>
      <w:adjustRightInd w:val="0"/>
    </w:pPr>
    <w:rPr>
      <w:rFonts w:ascii="Times New Roman" w:hAnsi="Times New Roman"/>
      <w:color w:val="000000"/>
      <w:sz w:val="24"/>
      <w:szCs w:val="24"/>
    </w:rPr>
  </w:style>
  <w:style w:type="paragraph" w:customStyle="1" w:styleId="Parabase">
    <w:name w:val="&gt; Para (base)"/>
    <w:basedOn w:val="Normal"/>
    <w:qFormat/>
    <w:rsid w:val="00E76D96"/>
    <w:pPr>
      <w:spacing w:after="120" w:line="312" w:lineRule="auto"/>
    </w:pPr>
    <w:rPr>
      <w:rFonts w:cs="Arial"/>
      <w:sz w:val="24"/>
      <w:szCs w:val="24"/>
    </w:rPr>
  </w:style>
  <w:style w:type="paragraph" w:customStyle="1" w:styleId="Bulletsbase">
    <w:name w:val="&gt; Bullets (base)"/>
    <w:basedOn w:val="Normal"/>
    <w:qFormat/>
    <w:rsid w:val="00E76D96"/>
    <w:pPr>
      <w:numPr>
        <w:numId w:val="1"/>
      </w:numPr>
      <w:spacing w:after="40" w:line="312" w:lineRule="auto"/>
      <w:ind w:left="340" w:hanging="340"/>
    </w:pPr>
    <w:rPr>
      <w:rFonts w:cs="Arial"/>
      <w:color w:val="000000"/>
      <w:sz w:val="24"/>
      <w:szCs w:val="24"/>
      <w:lang w:eastAsia="en-GB"/>
    </w:rPr>
  </w:style>
  <w:style w:type="paragraph" w:customStyle="1" w:styleId="Parapre-bullets">
    <w:name w:val="&gt; Para (pre-bullets)"/>
    <w:basedOn w:val="Parabase"/>
    <w:qFormat/>
    <w:rsid w:val="00E76D96"/>
    <w:pPr>
      <w:spacing w:after="60"/>
    </w:pPr>
    <w:rPr>
      <w:color w:val="000000"/>
      <w:lang w:eastAsia="en-GB"/>
    </w:rPr>
  </w:style>
  <w:style w:type="paragraph" w:customStyle="1" w:styleId="Bulletsgroupend">
    <w:name w:val="&gt; Bullets (group end)"/>
    <w:basedOn w:val="Bulletsbase"/>
    <w:qFormat/>
    <w:rsid w:val="00E76D96"/>
    <w:pPr>
      <w:spacing w:after="180"/>
    </w:pPr>
  </w:style>
  <w:style w:type="character" w:styleId="HTMLCite">
    <w:name w:val="HTML Cite"/>
    <w:uiPriority w:val="99"/>
    <w:semiHidden/>
    <w:unhideWhenUsed/>
    <w:rsid w:val="004F46AC"/>
    <w:rPr>
      <w:i w:val="0"/>
      <w:iCs w:val="0"/>
      <w:color w:val="006621"/>
    </w:rPr>
  </w:style>
  <w:style w:type="paragraph" w:customStyle="1" w:styleId="Parass">
    <w:name w:val="&gt; Para (ss)"/>
    <w:basedOn w:val="Normal"/>
    <w:qFormat/>
    <w:rsid w:val="00505C5F"/>
    <w:pPr>
      <w:spacing w:after="360" w:line="312" w:lineRule="auto"/>
    </w:pPr>
    <w:rPr>
      <w:sz w:val="24"/>
      <w:szCs w:val="24"/>
    </w:rPr>
  </w:style>
  <w:style w:type="paragraph" w:styleId="CommentSubject">
    <w:name w:val="annotation subject"/>
    <w:basedOn w:val="CommentText"/>
    <w:next w:val="CommentText"/>
    <w:link w:val="CommentSubjectChar"/>
    <w:uiPriority w:val="99"/>
    <w:semiHidden/>
    <w:unhideWhenUsed/>
    <w:rsid w:val="00330E1D"/>
    <w:rPr>
      <w:b/>
      <w:bCs/>
    </w:rPr>
  </w:style>
  <w:style w:type="character" w:customStyle="1" w:styleId="CommentSubjectChar">
    <w:name w:val="Comment Subject Char"/>
    <w:basedOn w:val="CommentTextChar"/>
    <w:link w:val="CommentSubject"/>
    <w:uiPriority w:val="99"/>
    <w:semiHidden/>
    <w:rsid w:val="00330E1D"/>
    <w:rPr>
      <w:rFonts w:ascii="Arial" w:hAnsi="Arial"/>
      <w:b/>
      <w:bCs/>
      <w:lang w:val="x-none" w:eastAsia="en-US"/>
    </w:rPr>
  </w:style>
  <w:style w:type="paragraph" w:styleId="Revision">
    <w:name w:val="Revision"/>
    <w:hidden/>
    <w:uiPriority w:val="99"/>
    <w:semiHidden/>
    <w:rsid w:val="004F6858"/>
    <w:rPr>
      <w:rFonts w:ascii="Arial" w:hAnsi="Arial"/>
      <w:sz w:val="28"/>
      <w:szCs w:val="22"/>
      <w:lang w:eastAsia="en-US"/>
    </w:rPr>
  </w:style>
  <w:style w:type="paragraph" w:styleId="EndnoteText">
    <w:name w:val="endnote text"/>
    <w:basedOn w:val="Normal"/>
    <w:link w:val="EndnoteTextChar"/>
    <w:uiPriority w:val="99"/>
    <w:semiHidden/>
    <w:unhideWhenUsed/>
    <w:rsid w:val="006E0811"/>
    <w:pPr>
      <w:spacing w:after="0"/>
    </w:pPr>
    <w:rPr>
      <w:sz w:val="20"/>
      <w:szCs w:val="20"/>
    </w:rPr>
  </w:style>
  <w:style w:type="character" w:customStyle="1" w:styleId="EndnoteTextChar">
    <w:name w:val="Endnote Text Char"/>
    <w:basedOn w:val="DefaultParagraphFont"/>
    <w:link w:val="EndnoteText"/>
    <w:uiPriority w:val="99"/>
    <w:semiHidden/>
    <w:rsid w:val="006E0811"/>
    <w:rPr>
      <w:rFonts w:ascii="Arial" w:hAnsi="Arial"/>
      <w:lang w:eastAsia="en-US"/>
    </w:rPr>
  </w:style>
  <w:style w:type="character" w:styleId="EndnoteReference">
    <w:name w:val="endnote reference"/>
    <w:basedOn w:val="DefaultParagraphFont"/>
    <w:uiPriority w:val="99"/>
    <w:semiHidden/>
    <w:unhideWhenUsed/>
    <w:rsid w:val="006E0811"/>
    <w:rPr>
      <w:vertAlign w:val="superscript"/>
    </w:rPr>
  </w:style>
  <w:style w:type="character" w:styleId="FollowedHyperlink">
    <w:name w:val="FollowedHyperlink"/>
    <w:basedOn w:val="DefaultParagraphFont"/>
    <w:uiPriority w:val="99"/>
    <w:semiHidden/>
    <w:unhideWhenUsed/>
    <w:rsid w:val="006D12ED"/>
    <w:rPr>
      <w:color w:val="800080" w:themeColor="followedHyperlink"/>
      <w:u w:val="single"/>
    </w:rPr>
  </w:style>
  <w:style w:type="character" w:customStyle="1" w:styleId="apple-converted-space">
    <w:name w:val="apple-converted-space"/>
    <w:basedOn w:val="DefaultParagraphFont"/>
    <w:rsid w:val="00DA0C6C"/>
  </w:style>
  <w:style w:type="paragraph" w:customStyle="1" w:styleId="Parabeforeanother">
    <w:name w:val="&gt; Para before another"/>
    <w:basedOn w:val="Normal"/>
    <w:qFormat/>
    <w:rsid w:val="00491722"/>
    <w:pPr>
      <w:spacing w:after="160" w:line="312" w:lineRule="auto"/>
    </w:pPr>
    <w:rPr>
      <w:rFonts w:cs="Arial"/>
      <w:sz w:val="24"/>
      <w:szCs w:val="24"/>
    </w:rPr>
  </w:style>
  <w:style w:type="paragraph" w:customStyle="1" w:styleId="Heading-subsections">
    <w:name w:val="&gt; Heading - subsections"/>
    <w:basedOn w:val="Parabeforeanother"/>
    <w:qFormat/>
    <w:rsid w:val="00491722"/>
    <w:pPr>
      <w:spacing w:after="100"/>
    </w:pPr>
    <w:rPr>
      <w:b/>
    </w:rPr>
  </w:style>
  <w:style w:type="paragraph" w:customStyle="1" w:styleId="Parabeforenewsection">
    <w:name w:val="&gt; Para before new section"/>
    <w:basedOn w:val="Parabeforeanother"/>
    <w:qFormat/>
    <w:rsid w:val="00491722"/>
    <w:pPr>
      <w:spacing w:after="680"/>
    </w:pPr>
    <w:rPr>
      <w:rFonts w:cs="Times New Roman"/>
    </w:rPr>
  </w:style>
  <w:style w:type="paragraph" w:customStyle="1" w:styleId="Heading-chapter">
    <w:name w:val="&gt; Heading - chapter"/>
    <w:basedOn w:val="Heading1"/>
    <w:qFormat/>
    <w:rsid w:val="009D0BA5"/>
    <w:pPr>
      <w:spacing w:before="0" w:after="1920" w:line="288" w:lineRule="auto"/>
    </w:pPr>
    <w:rPr>
      <w:rFonts w:ascii="Georgia" w:hAnsi="Georgia"/>
      <w:b w:val="0"/>
      <w:sz w:val="48"/>
      <w:szCs w:val="48"/>
    </w:rPr>
  </w:style>
  <w:style w:type="paragraph" w:customStyle="1" w:styleId="Parabeforetable">
    <w:name w:val="&gt; Para before table"/>
    <w:basedOn w:val="Parabeforenewsection"/>
    <w:qFormat/>
    <w:rsid w:val="00491722"/>
    <w:pPr>
      <w:spacing w:after="420"/>
    </w:pPr>
  </w:style>
  <w:style w:type="paragraph" w:customStyle="1" w:styleId="Parabeforebulletss">
    <w:name w:val="&gt; Para before bullets/#s"/>
    <w:basedOn w:val="Normal"/>
    <w:qFormat/>
    <w:rsid w:val="00491722"/>
    <w:pPr>
      <w:spacing w:after="60" w:line="312" w:lineRule="auto"/>
    </w:pPr>
    <w:rPr>
      <w:sz w:val="24"/>
      <w:szCs w:val="24"/>
    </w:rPr>
  </w:style>
  <w:style w:type="paragraph" w:customStyle="1" w:styleId="Bullet-followedbyothers">
    <w:name w:val="&gt; Bullet - followed by others"/>
    <w:basedOn w:val="Normal"/>
    <w:qFormat/>
    <w:rsid w:val="00491722"/>
    <w:pPr>
      <w:numPr>
        <w:numId w:val="4"/>
      </w:numPr>
      <w:spacing w:after="40" w:line="312" w:lineRule="auto"/>
      <w:ind w:left="340" w:hanging="340"/>
    </w:pPr>
    <w:rPr>
      <w:sz w:val="24"/>
      <w:szCs w:val="24"/>
    </w:rPr>
  </w:style>
  <w:style w:type="paragraph" w:customStyle="1" w:styleId="Bullet-lastingroup">
    <w:name w:val="&gt; Bullet - last in group"/>
    <w:basedOn w:val="Bullet-followedbyothers"/>
    <w:qFormat/>
    <w:rsid w:val="00491722"/>
    <w:pPr>
      <w:spacing w:after="240"/>
    </w:pPr>
  </w:style>
  <w:style w:type="paragraph" w:customStyle="1" w:styleId="Heading-sections">
    <w:name w:val="&gt; Heading - sections"/>
    <w:basedOn w:val="Heading2"/>
    <w:qFormat/>
    <w:rsid w:val="009D0BA5"/>
    <w:pPr>
      <w:pBdr>
        <w:bottom w:val="dotted" w:sz="4" w:space="1" w:color="auto"/>
      </w:pBdr>
      <w:spacing w:before="0" w:after="320" w:line="312" w:lineRule="auto"/>
    </w:pPr>
  </w:style>
  <w:style w:type="paragraph" w:customStyle="1" w:styleId="Bullets-sub-bullets">
    <w:name w:val="&gt; Bullets - sub-bullets"/>
    <w:basedOn w:val="Bullet-followedbyothers"/>
    <w:qFormat/>
    <w:rsid w:val="00491722"/>
    <w:pPr>
      <w:numPr>
        <w:ilvl w:val="1"/>
        <w:numId w:val="5"/>
      </w:numPr>
      <w:ind w:left="737" w:hanging="340"/>
    </w:pPr>
    <w:rPr>
      <w:rFonts w:cs="Arial"/>
      <w:szCs w:val="28"/>
    </w:rPr>
  </w:style>
  <w:style w:type="paragraph" w:customStyle="1" w:styleId="Heading-tables">
    <w:name w:val="&gt; Heading - tables"/>
    <w:basedOn w:val="Parabeforeanother"/>
    <w:qFormat/>
    <w:rsid w:val="00491722"/>
    <w:pPr>
      <w:spacing w:after="80"/>
      <w:ind w:left="1276" w:hanging="1276"/>
      <w:outlineLvl w:val="2"/>
    </w:pPr>
    <w:rPr>
      <w:b/>
      <w:color w:val="E36C0A" w:themeColor="accent6" w:themeShade="BF"/>
      <w:lang w:eastAsia="en-GB"/>
    </w:rPr>
  </w:style>
  <w:style w:type="paragraph" w:customStyle="1" w:styleId="Parabeforetextbox">
    <w:name w:val="&gt; Para before text box"/>
    <w:basedOn w:val="Parabeforeanother"/>
    <w:qFormat/>
    <w:rsid w:val="00491722"/>
    <w:pPr>
      <w:spacing w:after="260"/>
    </w:pPr>
    <w:rPr>
      <w:lang w:eastAsia="en-GB"/>
    </w:rPr>
  </w:style>
  <w:style w:type="paragraph" w:customStyle="1" w:styleId="Tablenotes">
    <w:name w:val="&gt; Table notes"/>
    <w:basedOn w:val="Normal"/>
    <w:qFormat/>
    <w:rsid w:val="00491722"/>
    <w:pPr>
      <w:autoSpaceDE w:val="0"/>
      <w:autoSpaceDN w:val="0"/>
      <w:adjustRightInd w:val="0"/>
      <w:spacing w:after="0"/>
    </w:pPr>
    <w:rPr>
      <w:rFonts w:cs="Arial"/>
      <w:color w:val="000000"/>
      <w:sz w:val="22"/>
      <w:lang w:eastAsia="en-GB"/>
    </w:rPr>
  </w:style>
  <w:style w:type="paragraph" w:customStyle="1" w:styleId="Parabeforenewsubsection">
    <w:name w:val="&gt; Para before new subsection"/>
    <w:basedOn w:val="Parabeforenewsection"/>
    <w:qFormat/>
    <w:rsid w:val="00491722"/>
    <w:pPr>
      <w:spacing w:after="420"/>
    </w:pPr>
    <w:rPr>
      <w:rFonts w:cs="Arial"/>
    </w:rPr>
  </w:style>
  <w:style w:type="paragraph" w:customStyle="1" w:styleId="Paraintextboxlast">
    <w:name w:val="&gt; Para in text box (last)"/>
    <w:basedOn w:val="Parabeforeanother"/>
    <w:qFormat/>
    <w:rsid w:val="00491722"/>
    <w:pPr>
      <w:spacing w:after="0"/>
    </w:pPr>
  </w:style>
  <w:style w:type="paragraph" w:customStyle="1" w:styleId="Parabetwtextboxandnewpara">
    <w:name w:val="&gt; Para betw. text box and new para"/>
    <w:basedOn w:val="Parabeforetextbox"/>
    <w:qFormat/>
    <w:rsid w:val="00491722"/>
    <w:pPr>
      <w:spacing w:after="0"/>
    </w:pPr>
  </w:style>
  <w:style w:type="paragraph" w:customStyle="1" w:styleId="Numberedlist">
    <w:name w:val="&gt; Numbered list"/>
    <w:basedOn w:val="Bullet-followedbyothers"/>
    <w:qFormat/>
    <w:rsid w:val="00491722"/>
    <w:pPr>
      <w:numPr>
        <w:numId w:val="0"/>
      </w:numPr>
      <w:tabs>
        <w:tab w:val="num" w:pos="360"/>
      </w:tabs>
      <w:ind w:left="425" w:hanging="425"/>
    </w:pPr>
  </w:style>
  <w:style w:type="paragraph" w:customStyle="1" w:styleId="Numberedlistlastingroup">
    <w:name w:val="&gt; Numbered list (last in group)"/>
    <w:basedOn w:val="Bullet-followedbyothers"/>
    <w:qFormat/>
    <w:rsid w:val="00491722"/>
    <w:pPr>
      <w:numPr>
        <w:numId w:val="6"/>
      </w:numPr>
      <w:spacing w:after="160"/>
      <w:ind w:left="425" w:hanging="425"/>
    </w:pPr>
  </w:style>
  <w:style w:type="paragraph" w:customStyle="1" w:styleId="Parabold">
    <w:name w:val="&gt; Para bold"/>
    <w:basedOn w:val="Parabeforeanother"/>
    <w:qFormat/>
    <w:rsid w:val="00C72A0F"/>
    <w:rPr>
      <w:b/>
    </w:rPr>
  </w:style>
  <w:style w:type="paragraph" w:customStyle="1" w:styleId="ecxmsonormal">
    <w:name w:val="ecxmsonormal"/>
    <w:basedOn w:val="Normal"/>
    <w:rsid w:val="002B6091"/>
    <w:pPr>
      <w:spacing w:before="100" w:beforeAutospacing="1" w:after="100" w:afterAutospacing="1"/>
    </w:pPr>
    <w:rPr>
      <w:rFonts w:ascii="Times New Roman" w:eastAsia="Times New Roman" w:hAnsi="Times New Roman"/>
      <w:sz w:val="24"/>
      <w:szCs w:val="24"/>
      <w:lang w:eastAsia="en-GB"/>
    </w:rPr>
  </w:style>
  <w:style w:type="paragraph" w:customStyle="1" w:styleId="Parasection">
    <w:name w:val="&gt; Para (section)"/>
    <w:basedOn w:val="Parabase"/>
    <w:qFormat/>
    <w:rsid w:val="00204465"/>
    <w:pPr>
      <w:spacing w:after="600" w:line="300" w:lineRule="auto"/>
    </w:pPr>
    <w:rPr>
      <w:rFonts w:cs="Times New Roman"/>
    </w:rPr>
  </w:style>
  <w:style w:type="paragraph" w:customStyle="1" w:styleId="L1Headers">
    <w:name w:val="&gt; L1 Headers"/>
    <w:basedOn w:val="Heading1"/>
    <w:qFormat/>
    <w:rsid w:val="00204465"/>
    <w:pPr>
      <w:spacing w:before="0" w:after="1280" w:line="300" w:lineRule="auto"/>
    </w:pPr>
    <w:rPr>
      <w:rFonts w:ascii="Georgia" w:hAnsi="Georgia"/>
      <w:b w:val="0"/>
      <w:sz w:val="56"/>
      <w:szCs w:val="56"/>
    </w:rPr>
  </w:style>
  <w:style w:type="paragraph" w:customStyle="1" w:styleId="L4Headers">
    <w:name w:val="&gt; L4 Headers"/>
    <w:basedOn w:val="Parabase"/>
    <w:qFormat/>
    <w:rsid w:val="00204465"/>
    <w:pPr>
      <w:spacing w:after="100"/>
    </w:pPr>
    <w:rPr>
      <w:b/>
    </w:rPr>
  </w:style>
  <w:style w:type="paragraph" w:customStyle="1" w:styleId="Paraapres-box">
    <w:name w:val="&gt; Para (apres-box)"/>
    <w:basedOn w:val="Parabase"/>
    <w:uiPriority w:val="1"/>
    <w:qFormat/>
    <w:rsid w:val="00204465"/>
    <w:pPr>
      <w:spacing w:after="0"/>
    </w:pPr>
  </w:style>
  <w:style w:type="paragraph" w:styleId="TOC1">
    <w:name w:val="toc 1"/>
    <w:basedOn w:val="Normal"/>
    <w:next w:val="Normal"/>
    <w:autoRedefine/>
    <w:uiPriority w:val="39"/>
    <w:unhideWhenUsed/>
    <w:rsid w:val="00367FB5"/>
    <w:pPr>
      <w:spacing w:after="100"/>
    </w:pPr>
  </w:style>
  <w:style w:type="paragraph" w:styleId="TOC2">
    <w:name w:val="toc 2"/>
    <w:basedOn w:val="Normal"/>
    <w:next w:val="Normal"/>
    <w:autoRedefine/>
    <w:uiPriority w:val="39"/>
    <w:unhideWhenUsed/>
    <w:rsid w:val="00367FB5"/>
    <w:pPr>
      <w:spacing w:after="100"/>
      <w:ind w:left="280"/>
    </w:pPr>
  </w:style>
  <w:style w:type="paragraph" w:styleId="TOC3">
    <w:name w:val="toc 3"/>
    <w:basedOn w:val="Normal"/>
    <w:next w:val="Normal"/>
    <w:autoRedefine/>
    <w:uiPriority w:val="39"/>
    <w:unhideWhenUsed/>
    <w:rsid w:val="00367FB5"/>
    <w:pPr>
      <w:spacing w:after="100" w:line="276" w:lineRule="auto"/>
      <w:ind w:left="440"/>
    </w:pPr>
    <w:rPr>
      <w:rFonts w:asciiTheme="minorHAnsi" w:eastAsiaTheme="minorEastAsia" w:hAnsiTheme="minorHAnsi" w:cstheme="minorBidi"/>
      <w:sz w:val="22"/>
      <w:lang w:eastAsia="en-GB"/>
    </w:rPr>
  </w:style>
  <w:style w:type="paragraph" w:styleId="TOC4">
    <w:name w:val="toc 4"/>
    <w:basedOn w:val="Normal"/>
    <w:next w:val="Normal"/>
    <w:autoRedefine/>
    <w:uiPriority w:val="39"/>
    <w:unhideWhenUsed/>
    <w:rsid w:val="00367FB5"/>
    <w:pPr>
      <w:spacing w:after="100" w:line="276" w:lineRule="auto"/>
      <w:ind w:left="660"/>
    </w:pPr>
    <w:rPr>
      <w:rFonts w:asciiTheme="minorHAnsi" w:eastAsiaTheme="minorEastAsia" w:hAnsiTheme="minorHAnsi" w:cstheme="minorBidi"/>
      <w:sz w:val="22"/>
      <w:lang w:eastAsia="en-GB"/>
    </w:rPr>
  </w:style>
  <w:style w:type="paragraph" w:styleId="TOC5">
    <w:name w:val="toc 5"/>
    <w:basedOn w:val="Normal"/>
    <w:next w:val="Normal"/>
    <w:autoRedefine/>
    <w:uiPriority w:val="39"/>
    <w:unhideWhenUsed/>
    <w:rsid w:val="00367FB5"/>
    <w:pPr>
      <w:spacing w:after="100" w:line="276" w:lineRule="auto"/>
      <w:ind w:left="880"/>
    </w:pPr>
    <w:rPr>
      <w:rFonts w:asciiTheme="minorHAnsi" w:eastAsiaTheme="minorEastAsia" w:hAnsiTheme="minorHAnsi" w:cstheme="minorBidi"/>
      <w:sz w:val="22"/>
      <w:lang w:eastAsia="en-GB"/>
    </w:rPr>
  </w:style>
  <w:style w:type="paragraph" w:styleId="TOC6">
    <w:name w:val="toc 6"/>
    <w:basedOn w:val="Normal"/>
    <w:next w:val="Normal"/>
    <w:autoRedefine/>
    <w:uiPriority w:val="39"/>
    <w:unhideWhenUsed/>
    <w:rsid w:val="00367FB5"/>
    <w:pPr>
      <w:spacing w:after="100" w:line="276" w:lineRule="auto"/>
      <w:ind w:left="1100"/>
    </w:pPr>
    <w:rPr>
      <w:rFonts w:asciiTheme="minorHAnsi" w:eastAsiaTheme="minorEastAsia" w:hAnsiTheme="minorHAnsi" w:cstheme="minorBidi"/>
      <w:sz w:val="22"/>
      <w:lang w:eastAsia="en-GB"/>
    </w:rPr>
  </w:style>
  <w:style w:type="paragraph" w:styleId="TOC7">
    <w:name w:val="toc 7"/>
    <w:basedOn w:val="Normal"/>
    <w:next w:val="Normal"/>
    <w:autoRedefine/>
    <w:uiPriority w:val="39"/>
    <w:unhideWhenUsed/>
    <w:rsid w:val="00367FB5"/>
    <w:pPr>
      <w:spacing w:after="100" w:line="276" w:lineRule="auto"/>
      <w:ind w:left="1320"/>
    </w:pPr>
    <w:rPr>
      <w:rFonts w:asciiTheme="minorHAnsi" w:eastAsiaTheme="minorEastAsia" w:hAnsiTheme="minorHAnsi" w:cstheme="minorBidi"/>
      <w:sz w:val="22"/>
      <w:lang w:eastAsia="en-GB"/>
    </w:rPr>
  </w:style>
  <w:style w:type="paragraph" w:styleId="TOC8">
    <w:name w:val="toc 8"/>
    <w:basedOn w:val="Normal"/>
    <w:next w:val="Normal"/>
    <w:autoRedefine/>
    <w:uiPriority w:val="39"/>
    <w:unhideWhenUsed/>
    <w:rsid w:val="00367FB5"/>
    <w:pPr>
      <w:spacing w:after="100" w:line="276" w:lineRule="auto"/>
      <w:ind w:left="1540"/>
    </w:pPr>
    <w:rPr>
      <w:rFonts w:asciiTheme="minorHAnsi" w:eastAsiaTheme="minorEastAsia" w:hAnsiTheme="minorHAnsi" w:cstheme="minorBidi"/>
      <w:sz w:val="22"/>
      <w:lang w:eastAsia="en-GB"/>
    </w:rPr>
  </w:style>
  <w:style w:type="paragraph" w:styleId="TOC9">
    <w:name w:val="toc 9"/>
    <w:basedOn w:val="Normal"/>
    <w:next w:val="Normal"/>
    <w:autoRedefine/>
    <w:uiPriority w:val="39"/>
    <w:unhideWhenUsed/>
    <w:rsid w:val="00367FB5"/>
    <w:pPr>
      <w:spacing w:after="100" w:line="276" w:lineRule="auto"/>
      <w:ind w:left="1760"/>
    </w:pPr>
    <w:rPr>
      <w:rFonts w:asciiTheme="minorHAnsi" w:eastAsiaTheme="minorEastAsia" w:hAnsiTheme="minorHAnsi" w:cstheme="minorBidi"/>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41712">
      <w:bodyDiv w:val="1"/>
      <w:marLeft w:val="0"/>
      <w:marRight w:val="0"/>
      <w:marTop w:val="0"/>
      <w:marBottom w:val="0"/>
      <w:divBdr>
        <w:top w:val="none" w:sz="0" w:space="0" w:color="auto"/>
        <w:left w:val="none" w:sz="0" w:space="0" w:color="auto"/>
        <w:bottom w:val="none" w:sz="0" w:space="0" w:color="auto"/>
        <w:right w:val="none" w:sz="0" w:space="0" w:color="auto"/>
      </w:divBdr>
    </w:div>
    <w:div w:id="93982730">
      <w:bodyDiv w:val="1"/>
      <w:marLeft w:val="0"/>
      <w:marRight w:val="0"/>
      <w:marTop w:val="0"/>
      <w:marBottom w:val="0"/>
      <w:divBdr>
        <w:top w:val="none" w:sz="0" w:space="0" w:color="auto"/>
        <w:left w:val="none" w:sz="0" w:space="0" w:color="auto"/>
        <w:bottom w:val="none" w:sz="0" w:space="0" w:color="auto"/>
        <w:right w:val="none" w:sz="0" w:space="0" w:color="auto"/>
      </w:divBdr>
    </w:div>
    <w:div w:id="289871044">
      <w:bodyDiv w:val="1"/>
      <w:marLeft w:val="0"/>
      <w:marRight w:val="0"/>
      <w:marTop w:val="0"/>
      <w:marBottom w:val="0"/>
      <w:divBdr>
        <w:top w:val="none" w:sz="0" w:space="0" w:color="auto"/>
        <w:left w:val="none" w:sz="0" w:space="0" w:color="auto"/>
        <w:bottom w:val="none" w:sz="0" w:space="0" w:color="auto"/>
        <w:right w:val="none" w:sz="0" w:space="0" w:color="auto"/>
      </w:divBdr>
    </w:div>
    <w:div w:id="636035598">
      <w:bodyDiv w:val="1"/>
      <w:marLeft w:val="0"/>
      <w:marRight w:val="0"/>
      <w:marTop w:val="0"/>
      <w:marBottom w:val="0"/>
      <w:divBdr>
        <w:top w:val="none" w:sz="0" w:space="0" w:color="auto"/>
        <w:left w:val="none" w:sz="0" w:space="0" w:color="auto"/>
        <w:bottom w:val="none" w:sz="0" w:space="0" w:color="auto"/>
        <w:right w:val="none" w:sz="0" w:space="0" w:color="auto"/>
      </w:divBdr>
      <w:divsChild>
        <w:div w:id="2005280435">
          <w:marLeft w:val="0"/>
          <w:marRight w:val="0"/>
          <w:marTop w:val="0"/>
          <w:marBottom w:val="0"/>
          <w:divBdr>
            <w:top w:val="none" w:sz="0" w:space="0" w:color="auto"/>
            <w:left w:val="none" w:sz="0" w:space="0" w:color="auto"/>
            <w:bottom w:val="none" w:sz="0" w:space="0" w:color="auto"/>
            <w:right w:val="none" w:sz="0" w:space="0" w:color="auto"/>
          </w:divBdr>
          <w:divsChild>
            <w:div w:id="633607676">
              <w:marLeft w:val="0"/>
              <w:marRight w:val="0"/>
              <w:marTop w:val="0"/>
              <w:marBottom w:val="0"/>
              <w:divBdr>
                <w:top w:val="none" w:sz="0" w:space="0" w:color="auto"/>
                <w:left w:val="none" w:sz="0" w:space="0" w:color="auto"/>
                <w:bottom w:val="none" w:sz="0" w:space="0" w:color="auto"/>
                <w:right w:val="none" w:sz="0" w:space="0" w:color="auto"/>
              </w:divBdr>
              <w:divsChild>
                <w:div w:id="814418405">
                  <w:marLeft w:val="0"/>
                  <w:marRight w:val="0"/>
                  <w:marTop w:val="0"/>
                  <w:marBottom w:val="0"/>
                  <w:divBdr>
                    <w:top w:val="none" w:sz="0" w:space="0" w:color="auto"/>
                    <w:left w:val="none" w:sz="0" w:space="0" w:color="auto"/>
                    <w:bottom w:val="none" w:sz="0" w:space="0" w:color="auto"/>
                    <w:right w:val="none" w:sz="0" w:space="0" w:color="auto"/>
                  </w:divBdr>
                  <w:divsChild>
                    <w:div w:id="209049880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 w:id="683017761">
      <w:bodyDiv w:val="1"/>
      <w:marLeft w:val="0"/>
      <w:marRight w:val="0"/>
      <w:marTop w:val="0"/>
      <w:marBottom w:val="0"/>
      <w:divBdr>
        <w:top w:val="none" w:sz="0" w:space="0" w:color="auto"/>
        <w:left w:val="none" w:sz="0" w:space="0" w:color="auto"/>
        <w:bottom w:val="none" w:sz="0" w:space="0" w:color="auto"/>
        <w:right w:val="none" w:sz="0" w:space="0" w:color="auto"/>
      </w:divBdr>
      <w:divsChild>
        <w:div w:id="233123891">
          <w:marLeft w:val="0"/>
          <w:marRight w:val="0"/>
          <w:marTop w:val="0"/>
          <w:marBottom w:val="0"/>
          <w:divBdr>
            <w:top w:val="none" w:sz="0" w:space="0" w:color="auto"/>
            <w:left w:val="none" w:sz="0" w:space="0" w:color="auto"/>
            <w:bottom w:val="none" w:sz="0" w:space="0" w:color="auto"/>
            <w:right w:val="none" w:sz="0" w:space="0" w:color="auto"/>
          </w:divBdr>
          <w:divsChild>
            <w:div w:id="1445029178">
              <w:marLeft w:val="0"/>
              <w:marRight w:val="0"/>
              <w:marTop w:val="0"/>
              <w:marBottom w:val="0"/>
              <w:divBdr>
                <w:top w:val="none" w:sz="0" w:space="0" w:color="auto"/>
                <w:left w:val="none" w:sz="0" w:space="0" w:color="auto"/>
                <w:bottom w:val="none" w:sz="0" w:space="0" w:color="auto"/>
                <w:right w:val="none" w:sz="0" w:space="0" w:color="auto"/>
              </w:divBdr>
              <w:divsChild>
                <w:div w:id="1997831606">
                  <w:marLeft w:val="0"/>
                  <w:marRight w:val="0"/>
                  <w:marTop w:val="0"/>
                  <w:marBottom w:val="0"/>
                  <w:divBdr>
                    <w:top w:val="none" w:sz="0" w:space="0" w:color="auto"/>
                    <w:left w:val="none" w:sz="0" w:space="0" w:color="auto"/>
                    <w:bottom w:val="none" w:sz="0" w:space="0" w:color="auto"/>
                    <w:right w:val="none" w:sz="0" w:space="0" w:color="auto"/>
                  </w:divBdr>
                  <w:divsChild>
                    <w:div w:id="258877419">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 w:id="692610139">
      <w:bodyDiv w:val="1"/>
      <w:marLeft w:val="0"/>
      <w:marRight w:val="0"/>
      <w:marTop w:val="0"/>
      <w:marBottom w:val="0"/>
      <w:divBdr>
        <w:top w:val="none" w:sz="0" w:space="0" w:color="auto"/>
        <w:left w:val="none" w:sz="0" w:space="0" w:color="auto"/>
        <w:bottom w:val="none" w:sz="0" w:space="0" w:color="auto"/>
        <w:right w:val="none" w:sz="0" w:space="0" w:color="auto"/>
      </w:divBdr>
    </w:div>
    <w:div w:id="697656334">
      <w:bodyDiv w:val="1"/>
      <w:marLeft w:val="0"/>
      <w:marRight w:val="0"/>
      <w:marTop w:val="0"/>
      <w:marBottom w:val="0"/>
      <w:divBdr>
        <w:top w:val="none" w:sz="0" w:space="0" w:color="auto"/>
        <w:left w:val="none" w:sz="0" w:space="0" w:color="auto"/>
        <w:bottom w:val="none" w:sz="0" w:space="0" w:color="auto"/>
        <w:right w:val="none" w:sz="0" w:space="0" w:color="auto"/>
      </w:divBdr>
    </w:div>
    <w:div w:id="778453319">
      <w:bodyDiv w:val="1"/>
      <w:marLeft w:val="0"/>
      <w:marRight w:val="0"/>
      <w:marTop w:val="0"/>
      <w:marBottom w:val="0"/>
      <w:divBdr>
        <w:top w:val="none" w:sz="0" w:space="0" w:color="auto"/>
        <w:left w:val="none" w:sz="0" w:space="0" w:color="auto"/>
        <w:bottom w:val="none" w:sz="0" w:space="0" w:color="auto"/>
        <w:right w:val="none" w:sz="0" w:space="0" w:color="auto"/>
      </w:divBdr>
      <w:divsChild>
        <w:div w:id="1964730600">
          <w:marLeft w:val="0"/>
          <w:marRight w:val="0"/>
          <w:marTop w:val="0"/>
          <w:marBottom w:val="0"/>
          <w:divBdr>
            <w:top w:val="none" w:sz="0" w:space="0" w:color="auto"/>
            <w:left w:val="none" w:sz="0" w:space="0" w:color="auto"/>
            <w:bottom w:val="none" w:sz="0" w:space="0" w:color="auto"/>
            <w:right w:val="none" w:sz="0" w:space="0" w:color="auto"/>
          </w:divBdr>
          <w:divsChild>
            <w:div w:id="258561233">
              <w:marLeft w:val="0"/>
              <w:marRight w:val="0"/>
              <w:marTop w:val="0"/>
              <w:marBottom w:val="0"/>
              <w:divBdr>
                <w:top w:val="none" w:sz="0" w:space="0" w:color="auto"/>
                <w:left w:val="none" w:sz="0" w:space="0" w:color="auto"/>
                <w:bottom w:val="none" w:sz="0" w:space="0" w:color="auto"/>
                <w:right w:val="none" w:sz="0" w:space="0" w:color="auto"/>
              </w:divBdr>
              <w:divsChild>
                <w:div w:id="1670713986">
                  <w:marLeft w:val="0"/>
                  <w:marRight w:val="0"/>
                  <w:marTop w:val="0"/>
                  <w:marBottom w:val="0"/>
                  <w:divBdr>
                    <w:top w:val="none" w:sz="0" w:space="0" w:color="auto"/>
                    <w:left w:val="none" w:sz="0" w:space="0" w:color="auto"/>
                    <w:bottom w:val="none" w:sz="0" w:space="0" w:color="auto"/>
                    <w:right w:val="none" w:sz="0" w:space="0" w:color="auto"/>
                  </w:divBdr>
                  <w:divsChild>
                    <w:div w:id="1756242819">
                      <w:marLeft w:val="0"/>
                      <w:marRight w:val="0"/>
                      <w:marTop w:val="0"/>
                      <w:marBottom w:val="600"/>
                      <w:divBdr>
                        <w:top w:val="none" w:sz="0" w:space="0" w:color="auto"/>
                        <w:left w:val="none" w:sz="0" w:space="0" w:color="auto"/>
                        <w:bottom w:val="none" w:sz="0" w:space="0" w:color="auto"/>
                        <w:right w:val="none" w:sz="0" w:space="0" w:color="auto"/>
                      </w:divBdr>
                      <w:divsChild>
                        <w:div w:id="1614826601">
                          <w:marLeft w:val="0"/>
                          <w:marRight w:val="0"/>
                          <w:marTop w:val="0"/>
                          <w:marBottom w:val="0"/>
                          <w:divBdr>
                            <w:top w:val="none" w:sz="0" w:space="0" w:color="auto"/>
                            <w:left w:val="none" w:sz="0" w:space="0" w:color="auto"/>
                            <w:bottom w:val="none" w:sz="0" w:space="0" w:color="auto"/>
                            <w:right w:val="none" w:sz="0" w:space="0" w:color="auto"/>
                          </w:divBdr>
                          <w:divsChild>
                            <w:div w:id="27934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8328053">
      <w:bodyDiv w:val="1"/>
      <w:marLeft w:val="0"/>
      <w:marRight w:val="0"/>
      <w:marTop w:val="0"/>
      <w:marBottom w:val="0"/>
      <w:divBdr>
        <w:top w:val="none" w:sz="0" w:space="0" w:color="auto"/>
        <w:left w:val="none" w:sz="0" w:space="0" w:color="auto"/>
        <w:bottom w:val="none" w:sz="0" w:space="0" w:color="auto"/>
        <w:right w:val="none" w:sz="0" w:space="0" w:color="auto"/>
      </w:divBdr>
    </w:div>
    <w:div w:id="1160003341">
      <w:bodyDiv w:val="1"/>
      <w:marLeft w:val="0"/>
      <w:marRight w:val="0"/>
      <w:marTop w:val="0"/>
      <w:marBottom w:val="0"/>
      <w:divBdr>
        <w:top w:val="none" w:sz="0" w:space="0" w:color="auto"/>
        <w:left w:val="none" w:sz="0" w:space="0" w:color="auto"/>
        <w:bottom w:val="none" w:sz="0" w:space="0" w:color="auto"/>
        <w:right w:val="none" w:sz="0" w:space="0" w:color="auto"/>
      </w:divBdr>
    </w:div>
    <w:div w:id="1213077682">
      <w:bodyDiv w:val="1"/>
      <w:marLeft w:val="0"/>
      <w:marRight w:val="0"/>
      <w:marTop w:val="0"/>
      <w:marBottom w:val="0"/>
      <w:divBdr>
        <w:top w:val="none" w:sz="0" w:space="0" w:color="auto"/>
        <w:left w:val="none" w:sz="0" w:space="0" w:color="auto"/>
        <w:bottom w:val="none" w:sz="0" w:space="0" w:color="auto"/>
        <w:right w:val="none" w:sz="0" w:space="0" w:color="auto"/>
      </w:divBdr>
      <w:divsChild>
        <w:div w:id="1566183173">
          <w:marLeft w:val="0"/>
          <w:marRight w:val="0"/>
          <w:marTop w:val="0"/>
          <w:marBottom w:val="0"/>
          <w:divBdr>
            <w:top w:val="none" w:sz="0" w:space="0" w:color="auto"/>
            <w:left w:val="none" w:sz="0" w:space="0" w:color="auto"/>
            <w:bottom w:val="none" w:sz="0" w:space="0" w:color="auto"/>
            <w:right w:val="none" w:sz="0" w:space="0" w:color="auto"/>
          </w:divBdr>
          <w:divsChild>
            <w:div w:id="675570891">
              <w:marLeft w:val="0"/>
              <w:marRight w:val="0"/>
              <w:marTop w:val="0"/>
              <w:marBottom w:val="0"/>
              <w:divBdr>
                <w:top w:val="none" w:sz="0" w:space="0" w:color="auto"/>
                <w:left w:val="none" w:sz="0" w:space="0" w:color="auto"/>
                <w:bottom w:val="none" w:sz="0" w:space="0" w:color="auto"/>
                <w:right w:val="none" w:sz="0" w:space="0" w:color="auto"/>
              </w:divBdr>
              <w:divsChild>
                <w:div w:id="154225720">
                  <w:marLeft w:val="0"/>
                  <w:marRight w:val="0"/>
                  <w:marTop w:val="0"/>
                  <w:marBottom w:val="0"/>
                  <w:divBdr>
                    <w:top w:val="none" w:sz="0" w:space="0" w:color="auto"/>
                    <w:left w:val="none" w:sz="0" w:space="0" w:color="auto"/>
                    <w:bottom w:val="none" w:sz="0" w:space="0" w:color="auto"/>
                    <w:right w:val="none" w:sz="0" w:space="0" w:color="auto"/>
                  </w:divBdr>
                  <w:divsChild>
                    <w:div w:id="708070392">
                      <w:marLeft w:val="0"/>
                      <w:marRight w:val="0"/>
                      <w:marTop w:val="0"/>
                      <w:marBottom w:val="600"/>
                      <w:divBdr>
                        <w:top w:val="none" w:sz="0" w:space="0" w:color="auto"/>
                        <w:left w:val="none" w:sz="0" w:space="0" w:color="auto"/>
                        <w:bottom w:val="none" w:sz="0" w:space="0" w:color="auto"/>
                        <w:right w:val="none" w:sz="0" w:space="0" w:color="auto"/>
                      </w:divBdr>
                      <w:divsChild>
                        <w:div w:id="947741327">
                          <w:marLeft w:val="0"/>
                          <w:marRight w:val="0"/>
                          <w:marTop w:val="0"/>
                          <w:marBottom w:val="0"/>
                          <w:divBdr>
                            <w:top w:val="none" w:sz="0" w:space="0" w:color="auto"/>
                            <w:left w:val="none" w:sz="0" w:space="0" w:color="auto"/>
                            <w:bottom w:val="none" w:sz="0" w:space="0" w:color="auto"/>
                            <w:right w:val="none" w:sz="0" w:space="0" w:color="auto"/>
                          </w:divBdr>
                          <w:divsChild>
                            <w:div w:id="3685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38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orrespondence@equalityhumanrights.com" TargetMode="External"/><Relationship Id="rId4" Type="http://schemas.microsoft.com/office/2007/relationships/stylesWithEffects" Target="stylesWithEffects.xml"/><Relationship Id="rId9" Type="http://schemas.openxmlformats.org/officeDocument/2006/relationships/hyperlink" Target="http://www.equalityhumanrights.com"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equalityhumanrights.com" TargetMode="External"/><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17" Type="http://schemas.openxmlformats.org/officeDocument/2006/relationships/hyperlink" Target="https://www.gov.uk/government/uploads/system/uploads/attachment_data/file/325921/legal-aid-statistics-2013-14.pdf" TargetMode="External"/><Relationship Id="rId299" Type="http://schemas.openxmlformats.org/officeDocument/2006/relationships/hyperlink" Target="http://www.equalityhumanrights.com/about-us/our-work/human-rights/human-rights-review-2012/key-areas-improvement/immigration-procedures-and-detention" TargetMode="External"/><Relationship Id="rId21" Type="http://schemas.openxmlformats.org/officeDocument/2006/relationships/hyperlink" Target="https://terrorismlegislationreviewer.independent.gov.uk/wp-content/uploads/2014/07/Independent-Review-of-Terrorism-Report-2014-print2.pdf" TargetMode="External"/><Relationship Id="rId63" Type="http://schemas.openxmlformats.org/officeDocument/2006/relationships/hyperlink" Target="http://www.equalityhumanrights.com/about-us/our-work/human-rights/international-framework/international-covenant-civil-and-political-rights" TargetMode="External"/><Relationship Id="rId159" Type="http://schemas.openxmlformats.org/officeDocument/2006/relationships/hyperlink" Target="https://www.gov.uk/government/publications/police-powers-and-procedures-england-and-wales-2012-to-2013/police-powers-and-procedures-england-and-wales-2012-to-2013" TargetMode="External"/><Relationship Id="rId324" Type="http://schemas.openxmlformats.org/officeDocument/2006/relationships/hyperlink" Target="http://www.childrenssociety.org.uk/news-views/press-release/almost-700-children-detained-four-months" TargetMode="External"/><Relationship Id="rId366" Type="http://schemas.openxmlformats.org/officeDocument/2006/relationships/hyperlink" Target="http://www.parliament.uk/business/committees/committees-a-z/commons-select/justice-committee/inquiries/parliament-2010/women-offenders2/" TargetMode="External"/><Relationship Id="rId170" Type="http://schemas.openxmlformats.org/officeDocument/2006/relationships/hyperlink" Target="http://www.hmic.gov.uk/publication/stop-and-search-powers-20130709/" TargetMode="External"/><Relationship Id="rId226" Type="http://schemas.openxmlformats.org/officeDocument/2006/relationships/hyperlink" Target="http://www.justice.org.uk/data/files/resources/305/JUSTICE-Freedom-from-Suspicion-Surveillance-Reform-for-a-Digital-Age.pdf" TargetMode="External"/><Relationship Id="rId433" Type="http://schemas.openxmlformats.org/officeDocument/2006/relationships/hyperlink" Target="http://www.coe.int/t/dghl/standardsetting/conventionviolence/convention/Convention%20210%20English.pdf" TargetMode="External"/><Relationship Id="rId268" Type="http://schemas.openxmlformats.org/officeDocument/2006/relationships/hyperlink" Target="http://www.publications.parliament.uk/pa/cm200809/cmhansrd/cm090713/text/90713w0004.htm" TargetMode="External"/><Relationship Id="rId32" Type="http://schemas.openxmlformats.org/officeDocument/2006/relationships/hyperlink" Target="http://hudoc.echr.coe.int/sites/eng/pages/search.aspx?i=001-111044" TargetMode="External"/><Relationship Id="rId74" Type="http://schemas.openxmlformats.org/officeDocument/2006/relationships/hyperlink" Target="http://www.parliament.uk/business/committees/committees-a-z/joint-select/human-rights-committee/news/violence-against-women-and-girls-report/" TargetMode="External"/><Relationship Id="rId128" Type="http://schemas.openxmlformats.org/officeDocument/2006/relationships/hyperlink" Target="http://tbinternet.ohchr.org/_layouts/treatybodyexternal/Download.aspx?symbolno=CCPR%2fC%2fGBR%2f7&amp;Lang=en" TargetMode="External"/><Relationship Id="rId335" Type="http://schemas.openxmlformats.org/officeDocument/2006/relationships/hyperlink" Target="https://www.gov.uk/government/uploads/system/uploads/attachment_data/file/302776/NOMS_Business_Plan_201415.pdf" TargetMode="External"/><Relationship Id="rId377" Type="http://schemas.openxmlformats.org/officeDocument/2006/relationships/hyperlink" Target="https://consult.justice.gov.uk/digital-communications/transforming-rehabilitation/results/transforming-rehabilitation-response.pdf" TargetMode="External"/><Relationship Id="rId5" Type="http://schemas.openxmlformats.org/officeDocument/2006/relationships/hyperlink" Target="https://jac.judiciary.gov.uk/sites/default/files/sync/basic_page/emp_policy_0.pdf" TargetMode="External"/><Relationship Id="rId181" Type="http://schemas.openxmlformats.org/officeDocument/2006/relationships/hyperlink" Target="http://www.legislation.gov.uk/ukpga/2014/12/contents/enacted" TargetMode="External"/><Relationship Id="rId237" Type="http://schemas.openxmlformats.org/officeDocument/2006/relationships/hyperlink" Target="http://hudoc.echr.coe.int/sites/eng/pages/search.aspx?i=001-57533" TargetMode="External"/><Relationship Id="rId402" Type="http://schemas.openxmlformats.org/officeDocument/2006/relationships/hyperlink" Target="http://www.publications.parliament.uk/pa/bills/cbill/2013-2014/0192/cbill_2013-20140192_en_1.htm" TargetMode="External"/><Relationship Id="rId279" Type="http://schemas.openxmlformats.org/officeDocument/2006/relationships/hyperlink" Target="https://www.gov.uk/government/uploads/system/uploads/attachment_data/file/311985/20140513-ihat-work-completed.pdf" TargetMode="External"/><Relationship Id="rId444" Type="http://schemas.openxmlformats.org/officeDocument/2006/relationships/hyperlink" Target="http://wales.gov.uk/docs/dsjlg/publications/commsafety/130823rtbsannreport1213en.pdf" TargetMode="External"/><Relationship Id="rId43" Type="http://schemas.openxmlformats.org/officeDocument/2006/relationships/hyperlink" Target="http://www.judiciary.gov.uk/judgments/azm-others-v-sos-defence/" TargetMode="External"/><Relationship Id="rId139" Type="http://schemas.openxmlformats.org/officeDocument/2006/relationships/hyperlink" Target="http://www.google.co.uk/url?sa=t&amp;rct=j&amp;q=&amp;esrc=s&amp;source=web&amp;cd=2&amp;ved=0CCUQFjAB&amp;url=http%3A%2F%2Fwww.equalityhumanrights.com%2Flegal-and-policy%2Four-legal-work%2Fparliamentary-briefings%2Fterrorism-prevention-and-investigation-measures-bill&amp;ei=5tGhU-m6CcTT7AbzuoCwAw&amp;usg=AFQjCNHsWY8fKNilSRG1JiLnzNHBNq_MuQ&amp;bvm=bv.69137298,d.ZWU" TargetMode="External"/><Relationship Id="rId290" Type="http://schemas.openxmlformats.org/officeDocument/2006/relationships/hyperlink" Target="http://tbinternet.ohchr.org/_layouts/treatybodyexternal/Download.aspx?symbolno=CCPR%2fC%2fGBR%2f7&amp;Lang=en" TargetMode="External"/><Relationship Id="rId304" Type="http://schemas.openxmlformats.org/officeDocument/2006/relationships/hyperlink" Target="http://www.justice.gov.uk/downloads/publications/corporate-reports/hmi-prisons/hmip-annual-report-2010-11.pdf" TargetMode="External"/><Relationship Id="rId346" Type="http://schemas.openxmlformats.org/officeDocument/2006/relationships/hyperlink" Target="https://www.gov.uk/government/collections/safety-in-custody-statistics" TargetMode="External"/><Relationship Id="rId388" Type="http://schemas.openxmlformats.org/officeDocument/2006/relationships/hyperlink" Target="http://www2.ohchr.org/english/bodies/crc/docs/AdvanceVersions/CRC.C.GBR.CO.4.pdf" TargetMode="External"/><Relationship Id="rId85" Type="http://schemas.openxmlformats.org/officeDocument/2006/relationships/hyperlink" Target="https://www.gov.uk/government/uploads/system/uploads/attachment_data/file/377934/bpe_2014_statistical_release.pdf" TargetMode="External"/><Relationship Id="rId150" Type="http://schemas.openxmlformats.org/officeDocument/2006/relationships/hyperlink" Target="http://consultation.cabinetoffice.gov.uk/justiceandsecurity/wp-content/uploads/2012/09_Special%20Advocates.pdf" TargetMode="External"/><Relationship Id="rId192" Type="http://schemas.openxmlformats.org/officeDocument/2006/relationships/hyperlink" Target="http://eur-lex.europa.eu/LexUriServ/LexUriServ.do?uri=OJ:L:2011:101:0001:0011:EN:PDF" TargetMode="External"/><Relationship Id="rId206" Type="http://schemas.openxmlformats.org/officeDocument/2006/relationships/hyperlink" Target="http://tbinternet.ohchr.org/_layouts/treatybodyexternal/Download.aspx?symbolno=CCPR%2fC%2fGBR%2f7&amp;Lang=en" TargetMode="External"/><Relationship Id="rId413" Type="http://schemas.openxmlformats.org/officeDocument/2006/relationships/hyperlink" Target="http://www.equalityhumanrights.com/sites/default/files/documents/disabilityfi/dhfimain.pdf" TargetMode="External"/><Relationship Id="rId248" Type="http://schemas.openxmlformats.org/officeDocument/2006/relationships/hyperlink" Target="https://www.gov.uk/government/topical-events/queens-speech-2014" TargetMode="External"/><Relationship Id="rId12" Type="http://schemas.openxmlformats.org/officeDocument/2006/relationships/hyperlink" Target="http://www.publications.parliament.uk/pa/cm201415/cmselect/cmpubacc/808/80802.htm" TargetMode="External"/><Relationship Id="rId108" Type="http://schemas.openxmlformats.org/officeDocument/2006/relationships/hyperlink" Target="http://www2.ohchr.org/english/bodies/cerd/docs/CERD.C.GBR.CO.18-20.pdf" TargetMode="External"/><Relationship Id="rId315" Type="http://schemas.openxmlformats.org/officeDocument/2006/relationships/hyperlink" Target="http://www.justiceinspectorates.gov.uk/hmiprisons/wp-content/uploads/sites/4/2014/05/2013-Pakistan-escort-web.pdf" TargetMode="External"/><Relationship Id="rId357" Type="http://schemas.openxmlformats.org/officeDocument/2006/relationships/hyperlink" Target="https://www.gov.uk/government/news/extra-funding-for-mental-health-nurses-to-be-based-at-police-stations-and-courts-across-the-country" TargetMode="External"/><Relationship Id="rId54" Type="http://schemas.openxmlformats.org/officeDocument/2006/relationships/hyperlink" Target="http://www2.ohchr.org/english/bodies/crc/docs/AdvanceVersions/CRC.C.GBR.CO.4.pdf" TargetMode="External"/><Relationship Id="rId96" Type="http://schemas.openxmlformats.org/officeDocument/2006/relationships/hyperlink" Target="http://www.equalityhumanrights.com/about-us/our-work/key-projects/our-measurement-framework/briefing-papers-and-data" TargetMode="External"/><Relationship Id="rId161" Type="http://schemas.openxmlformats.org/officeDocument/2006/relationships/hyperlink" Target="https://www.gov.uk/government/publications/police-powers-and-procedures-england-and-wales-2012-to-2013/police-powers-and-procedures-england-and-wales-2012-to-2013" TargetMode="External"/><Relationship Id="rId217" Type="http://schemas.openxmlformats.org/officeDocument/2006/relationships/hyperlink" Target="https://www.gov.uk/government/news/pm-and-deputy-pm-to-announce-emergency-security-legislation" TargetMode="External"/><Relationship Id="rId399" Type="http://schemas.openxmlformats.org/officeDocument/2006/relationships/hyperlink" Target="http://www.publications.parliament.uk/pa/bills/cbill/2013-2014/0192/cbill_2013-20140192_en_1.htm" TargetMode="External"/><Relationship Id="rId6" Type="http://schemas.openxmlformats.org/officeDocument/2006/relationships/hyperlink" Target="http://www.publications.parliament.uk/pa/ld201012/ldselect/ldconst/272/272.pdf" TargetMode="External"/><Relationship Id="rId238" Type="http://schemas.openxmlformats.org/officeDocument/2006/relationships/hyperlink" Target="http://www.equalityhumanrights.com/sites/default/files/documents/research/rr69.pdf" TargetMode="External"/><Relationship Id="rId259" Type="http://schemas.openxmlformats.org/officeDocument/2006/relationships/hyperlink" Target="http://www.equalityhumanrights.com/about-us/our-work/human-rights/international-framework/un-convention-against-torture-and-other-cruel-inhuman-or-degrading-treatment-or-punishment" TargetMode="External"/><Relationship Id="rId424" Type="http://schemas.openxmlformats.org/officeDocument/2006/relationships/hyperlink" Target="http://lawcommission.justice.gov.uk/docs/lc348_hate_crime_english_summary.pdf" TargetMode="External"/><Relationship Id="rId445" Type="http://schemas.openxmlformats.org/officeDocument/2006/relationships/hyperlink" Target="http://www.hmic.gov.uk/publication/essex-polices-approach-to-managing-cases-of-domestic-abuse/" TargetMode="External"/><Relationship Id="rId23" Type="http://schemas.openxmlformats.org/officeDocument/2006/relationships/hyperlink" Target="http://tbinternet.ohchr.org/_layouts/treatybodyexternal/Download.aspx?symbolno=CCPR%2fC%2fGBR%2fCO%2f6&amp;Lang=en" TargetMode="External"/><Relationship Id="rId119" Type="http://schemas.openxmlformats.org/officeDocument/2006/relationships/hyperlink" Target="http://www.thirdsector.co.uk/Finance/article/1174095/Shelter-close-nine-housing-advice-centres-cuts-legal-aid/?HAYILC=RELATED" TargetMode="External"/><Relationship Id="rId270" Type="http://schemas.openxmlformats.org/officeDocument/2006/relationships/hyperlink" Target="http://tbinternet.ohchr.org/_layouts/treatybodyexternal/Download.aspx?symbolno=CCPR%2fC%2fGBR%2fCO%2f6&amp;Lang=en" TargetMode="External"/><Relationship Id="rId291" Type="http://schemas.openxmlformats.org/officeDocument/2006/relationships/hyperlink" Target="http://www.unhcr.org.uk/fileadmin/user_upload/pdf/DFT_PressRelease.pdf" TargetMode="External"/><Relationship Id="rId305" Type="http://schemas.openxmlformats.org/officeDocument/2006/relationships/hyperlink" Target="http://tbinternet.ohchr.org/_layouts/treatybodyexternal/Download.aspx?symbolno=CAT%2fC%2fGBR%2fCO%2f5&amp;Lang=en" TargetMode="External"/><Relationship Id="rId326" Type="http://schemas.openxmlformats.org/officeDocument/2006/relationships/hyperlink" Target="https://www.gov.uk/government/statistical-data-sets/children-entering-detention-under-immigration-act-powers" TargetMode="External"/><Relationship Id="rId347" Type="http://schemas.openxmlformats.org/officeDocument/2006/relationships/hyperlink" Target="https://www.gov.uk/government/collections/safety-in-custody-statistics" TargetMode="External"/><Relationship Id="rId44" Type="http://schemas.openxmlformats.org/officeDocument/2006/relationships/hyperlink" Target="http://www.judiciary.gov.uk/judgments/azm-others-v-sos-defence/" TargetMode="External"/><Relationship Id="rId65" Type="http://schemas.openxmlformats.org/officeDocument/2006/relationships/hyperlink" Target="http://tbinternet.ohchr.org/_layouts/treatybodyexternal/Download.aspx?symbolno=CEDAW%2fC%2fGBR%2fCO%2f7&amp;Lang=en" TargetMode="External"/><Relationship Id="rId86" Type="http://schemas.openxmlformats.org/officeDocument/2006/relationships/hyperlink" Target="http://www.publications.parliament.uk/pa/cm201415/cmhansrd/cm141216/debtext/141216-0002.htm" TargetMode="External"/><Relationship Id="rId130" Type="http://schemas.openxmlformats.org/officeDocument/2006/relationships/hyperlink" Target="http://tbinternet.ohchr.org/_layouts/treatybodyexternal/Download.aspx?symbolno=CCPR%2fC%2fGBR%2fCO%2f6&amp;Lang=en" TargetMode="External"/><Relationship Id="rId151" Type="http://schemas.openxmlformats.org/officeDocument/2006/relationships/hyperlink" Target="http://www.parliament.uk/business/committees/committees-a-z/joint-select/human-rights-committee/news/justice-and-security-green-paper-report/" TargetMode="External"/><Relationship Id="rId368" Type="http://schemas.openxmlformats.org/officeDocument/2006/relationships/hyperlink" Target="http://www.prisonreformtrust.org.uk/Portals/0/Documents/Prison%20Reform%20Trust%20submission%20-%20Theft%20Offences%20Guideline%20consultation.pdf" TargetMode="External"/><Relationship Id="rId389" Type="http://schemas.openxmlformats.org/officeDocument/2006/relationships/hyperlink" Target="http://tbinternet.ohchr.org/_layouts/treatybodyexternal/Download.aspx?symbolno=CAT%2fC%2fGBR%2fCO%2f5&amp;Lang=en" TargetMode="External"/><Relationship Id="rId172" Type="http://schemas.openxmlformats.org/officeDocument/2006/relationships/hyperlink" Target="https://www.gov.uk/government/uploads/system/uploads/attachment_data/file/307545/StopSearchConsultationResponse.pdf" TargetMode="External"/><Relationship Id="rId193" Type="http://schemas.openxmlformats.org/officeDocument/2006/relationships/hyperlink" Target="http://conventions.coe.int/Treaty/EN/Reports/Html/197.htm" TargetMode="External"/><Relationship Id="rId207" Type="http://schemas.openxmlformats.org/officeDocument/2006/relationships/hyperlink" Target="http://tbinternet.ohchr.org/_layouts/treatybodyexternal/Download.aspx?symbolno=CCPR%2fC%2fUSA%2fCO%2f4&amp;Lang=en" TargetMode="External"/><Relationship Id="rId228" Type="http://schemas.openxmlformats.org/officeDocument/2006/relationships/hyperlink" Target="http://www.legislation.gov.uk/ukpga/2013/18/contents/enacted" TargetMode="External"/><Relationship Id="rId249" Type="http://schemas.openxmlformats.org/officeDocument/2006/relationships/hyperlink" Target="http://tbinternet.ohchr.org/_layouts/treatybodyexternal/Download.aspx?symbolno=CCPR%2fC%2fGBR%2fCO%2f6&amp;Lang=en" TargetMode="External"/><Relationship Id="rId414" Type="http://schemas.openxmlformats.org/officeDocument/2006/relationships/hyperlink" Target="http://www.stonewall.org.uk/what_we_do/research_and_policy/9286.asp" TargetMode="External"/><Relationship Id="rId435" Type="http://schemas.openxmlformats.org/officeDocument/2006/relationships/hyperlink" Target="http://www.ons.gov.uk/ons/rel/crime-stats/crime-statistics/focus-on-violent-crime-and-sexual-offences--2012-13/index.html" TargetMode="External"/><Relationship Id="rId13" Type="http://schemas.openxmlformats.org/officeDocument/2006/relationships/hyperlink" Target="http://www.legislation.gov.uk/uksi/2014/607/contents/made" TargetMode="External"/><Relationship Id="rId109" Type="http://schemas.openxmlformats.org/officeDocument/2006/relationships/hyperlink" Target="http://tbinternet.ohchr.org/_layouts/treatybodyexternal/Download.aspx?symbolno=CEDAW%2fC%2fGBR%2fCO%2f7&amp;Lang=en" TargetMode="External"/><Relationship Id="rId260" Type="http://schemas.openxmlformats.org/officeDocument/2006/relationships/hyperlink" Target="http://www.amnesty.org/en/library/info/EUR45/016/2010" TargetMode="External"/><Relationship Id="rId281" Type="http://schemas.openxmlformats.org/officeDocument/2006/relationships/hyperlink" Target="http://www.bailii.org/ew/cases/EWHC/Admin/2010/3304.html" TargetMode="External"/><Relationship Id="rId316" Type="http://schemas.openxmlformats.org/officeDocument/2006/relationships/hyperlink" Target="http://www.justiceinspectorates.gov.uk/hmiprisons/wp-content/uploads/sites/4/2014/05/2013-Pakistan-escort-web.pdf" TargetMode="External"/><Relationship Id="rId337" Type="http://schemas.openxmlformats.org/officeDocument/2006/relationships/hyperlink" Target="http://www.justice.gov.uk/downloads/publications/corporate-reports/hmi-prisons/hm-inspectorate-prisons-annual-report-2012-13.pdf" TargetMode="External"/><Relationship Id="rId34" Type="http://schemas.openxmlformats.org/officeDocument/2006/relationships/hyperlink" Target="http://tbinternet.ohchr.org/_layouts/treatybodyexternal/Download.aspx?symbolno=CCPR%2fC%2fGBR%2fCO%2f6&amp;Lang=en" TargetMode="External"/><Relationship Id="rId55" Type="http://schemas.openxmlformats.org/officeDocument/2006/relationships/hyperlink" Target="http://tbinternet.ohchr.org/_layouts/treatybodyexternal/Download.aspx?symbolno=CAT%2fC%2fGBR%2fCO%2f5&amp;Lang=en" TargetMode="External"/><Relationship Id="rId76" Type="http://schemas.openxmlformats.org/officeDocument/2006/relationships/hyperlink" Target="http://rightsofwomen.org.uk/wp-content/uploads/2014/12/Evidencing-domestic-violence-IV.pdf" TargetMode="External"/><Relationship Id="rId97" Type="http://schemas.openxmlformats.org/officeDocument/2006/relationships/hyperlink" Target="http://tbinternet.ohchr.org/_layouts/treatybodyexternal/Download.aspx?symbolno=CCPR%2fC%2fGBR%2f7&amp;Lang=en" TargetMode="External"/><Relationship Id="rId120" Type="http://schemas.openxmlformats.org/officeDocument/2006/relationships/hyperlink" Target="http://www.publications.parliament.uk/pa/cm201011/cmpublic/legalaid/memo/la46.htm" TargetMode="External"/><Relationship Id="rId141" Type="http://schemas.openxmlformats.org/officeDocument/2006/relationships/hyperlink" Target="https://www.gov.uk/government/uploads/system/uploads/attachment_data/file/298487/Un_Act_Independent_Review_print_ready.pdf" TargetMode="External"/><Relationship Id="rId358" Type="http://schemas.openxmlformats.org/officeDocument/2006/relationships/hyperlink" Target="http://www.equalityhumanrights.com/commission-launches-inquiry-non-natural-deaths-people-mental-health-conditions-state-detention" TargetMode="External"/><Relationship Id="rId379" Type="http://schemas.openxmlformats.org/officeDocument/2006/relationships/hyperlink" Target="http://www.publications.parliament.uk/pa/ld201415/ldhansrd/text/140626-gc0001.htm" TargetMode="External"/><Relationship Id="rId7" Type="http://schemas.openxmlformats.org/officeDocument/2006/relationships/hyperlink" Target="http://www.judiciary.gov.uk/publications/advisory-panel-recommendations/" TargetMode="External"/><Relationship Id="rId162" Type="http://schemas.openxmlformats.org/officeDocument/2006/relationships/hyperlink" Target="http://www.equalityhumanrights.com/publications/our-research/briefing-papers" TargetMode="External"/><Relationship Id="rId183" Type="http://schemas.openxmlformats.org/officeDocument/2006/relationships/hyperlink" Target="https://terrorismlegislationreviewer.independent.gov.uk/wp-content/uploads/2014/07/Independent-Review-of-Terrorism-Report-2014-print2.pdf" TargetMode="External"/><Relationship Id="rId218" Type="http://schemas.openxmlformats.org/officeDocument/2006/relationships/hyperlink" Target="https://terrorismlegislationreviewer.independent.gov.uk/review-of-communications-data-and-interception-powers/" TargetMode="External"/><Relationship Id="rId239" Type="http://schemas.openxmlformats.org/officeDocument/2006/relationships/hyperlink" Target="http://tbinternet.ohchr.org/_layouts/treatybodyexternal/Download.aspx?symbolno=CCPR%2fC%2fGBR%2f7&amp;Lang=en" TargetMode="External"/><Relationship Id="rId390" Type="http://schemas.openxmlformats.org/officeDocument/2006/relationships/hyperlink" Target="http://www.equalityhumanrights.com/human-rights/our-human-rights-work/human-rights-review/the-review/" TargetMode="External"/><Relationship Id="rId404" Type="http://schemas.openxmlformats.org/officeDocument/2006/relationships/hyperlink" Target="http://www2.ohchr.org/english/bodies/crc/docs/AdvanceVersions/CRC.C.GBR.CO.4.pdf" TargetMode="External"/><Relationship Id="rId425" Type="http://schemas.openxmlformats.org/officeDocument/2006/relationships/hyperlink" Target="http://lawcommission.justice.gov.uk/docs/lc348_hate_crime_english_summary.pdf" TargetMode="External"/><Relationship Id="rId446" Type="http://schemas.openxmlformats.org/officeDocument/2006/relationships/hyperlink" Target="http://webarchive.nationalarchives.gov.uk/20110608160754/http:/www.equalities.gov.uk/PDF/Stern_Review_acc_FINAL.pdf" TargetMode="External"/><Relationship Id="rId250" Type="http://schemas.openxmlformats.org/officeDocument/2006/relationships/hyperlink" Target="http://tbinternet.ohchr.org/_layouts/treatybodyexternal/Download.aspx?symbolno=CCPR%2fC%2fGBR%2f7&amp;Lang=en" TargetMode="External"/><Relationship Id="rId271" Type="http://schemas.openxmlformats.org/officeDocument/2006/relationships/hyperlink" Target="http://www.justice.gov.uk/downloads/human-rights/cat-concluding-observations-may-2013.pdf" TargetMode="External"/><Relationship Id="rId292" Type="http://schemas.openxmlformats.org/officeDocument/2006/relationships/hyperlink" Target="http://tbinternet.ohchr.org/_layouts/treatybodyexternal/Download.aspx?symbolno=CAT%2fC%2fGBR%2fCO%2f5&amp;Lang=en" TargetMode="External"/><Relationship Id="rId306" Type="http://schemas.openxmlformats.org/officeDocument/2006/relationships/hyperlink" Target="http://www.ppo.gov.uk/docs/AVID_Annual_General_Meeting.pdf" TargetMode="External"/><Relationship Id="rId24" Type="http://schemas.openxmlformats.org/officeDocument/2006/relationships/hyperlink" Target="http://www.equalityhumanrights.com/legal-and-policy/our-legal-work/parliamentary-briefings/anti-social-behaviour-crime-and-policing-bill-schedule-8-lords-committee-stage-briefing" TargetMode="External"/><Relationship Id="rId45" Type="http://schemas.openxmlformats.org/officeDocument/2006/relationships/hyperlink" Target="http://www.publications.parliament.uk/pa/cm201213/cmselect/cmfaff/116/116.pdf" TargetMode="External"/><Relationship Id="rId66" Type="http://schemas.openxmlformats.org/officeDocument/2006/relationships/hyperlink" Target="http://www.un.org/womenwatch/daw/cedaw/recommendations/recomm.htm" TargetMode="External"/><Relationship Id="rId87" Type="http://schemas.openxmlformats.org/officeDocument/2006/relationships/hyperlink" Target="http://www.equalityhumanrights.com/uploaded_files/barriers_and_unfair_treatment_final.pdf" TargetMode="External"/><Relationship Id="rId110" Type="http://schemas.openxmlformats.org/officeDocument/2006/relationships/hyperlink" Target="http://tbinternet.ohchr.org/_layouts/treatybodyexternal/Download.aspx?symbolno=CCPR%2fC%2fGBR%2f7&amp;Lang=en" TargetMode="External"/><Relationship Id="rId131" Type="http://schemas.openxmlformats.org/officeDocument/2006/relationships/hyperlink" Target="http://www.equalityhumanrights.com/legal-and-policy/our-legal-work/parliamentary-briefings/anti-social-behaviour-crime-and-policing-bill-schedule-8-lords-committee-stage-briefing" TargetMode="External"/><Relationship Id="rId327" Type="http://schemas.openxmlformats.org/officeDocument/2006/relationships/hyperlink" Target="http://www.barnardos.org.uk/16120_cedars_report.pdf" TargetMode="External"/><Relationship Id="rId348" Type="http://schemas.openxmlformats.org/officeDocument/2006/relationships/hyperlink" Target="https://www.gov.uk/government/collections/safety-in-custody-statistics" TargetMode="External"/><Relationship Id="rId369" Type="http://schemas.openxmlformats.org/officeDocument/2006/relationships/hyperlink" Target="http://www.prisonreformtrust.org.uk/Portals/0/Documents/Prison%20Reform%20Trust%20submission%20-%20Theft%20Offences%20Guideline%20consultation.pdf" TargetMode="External"/><Relationship Id="rId152" Type="http://schemas.openxmlformats.org/officeDocument/2006/relationships/hyperlink" Target="http://www.publications.parliament.uk/pa/ld201213/ldhansrd/index/130326.html" TargetMode="External"/><Relationship Id="rId173" Type="http://schemas.openxmlformats.org/officeDocument/2006/relationships/hyperlink" Target="https://www.gov.uk/government/uploads/system/uploads/attachment_data/file/307545/StopSearchConsultationResponse.pdf" TargetMode="External"/><Relationship Id="rId194" Type="http://schemas.openxmlformats.org/officeDocument/2006/relationships/hyperlink" Target="http://www.equalityhumanrights.com/sites/default/files/uploads/UN%20Convention%20on%20rights%20of%20the%20child.pdf" TargetMode="External"/><Relationship Id="rId208" Type="http://schemas.openxmlformats.org/officeDocument/2006/relationships/hyperlink" Target="http://www.equalityhumanrights.com/sites/default/files/documents/humanrights/hrr_article_8.pdf" TargetMode="External"/><Relationship Id="rId229" Type="http://schemas.openxmlformats.org/officeDocument/2006/relationships/hyperlink" Target="http://www.equalityhumanrights.com/legal-and-policy/our-legal-work/parliamentary-briefings/justice-security-bill-with-advice" TargetMode="External"/><Relationship Id="rId380" Type="http://schemas.openxmlformats.org/officeDocument/2006/relationships/hyperlink" Target="http://www.publications.parliament.uk/pa/cm201314/cmselect/cmjust/92/92.pdf" TargetMode="External"/><Relationship Id="rId415" Type="http://schemas.openxmlformats.org/officeDocument/2006/relationships/hyperlink" Target="http://www.equalityhumanrights.com/sites/default/files/documents/disabilityfi/dhfimain.pdf" TargetMode="External"/><Relationship Id="rId436" Type="http://schemas.openxmlformats.org/officeDocument/2006/relationships/hyperlink" Target="http://www.ons.gov.uk/ons/rel/crime-stats/crime-statistics/focus-on-violent-crime-and-sexual-offences--2012-13/index.html" TargetMode="External"/><Relationship Id="rId240" Type="http://schemas.openxmlformats.org/officeDocument/2006/relationships/hyperlink" Target="http://www.legislation.gov.uk/ukpga/2000/2/contents" TargetMode="External"/><Relationship Id="rId261" Type="http://schemas.openxmlformats.org/officeDocument/2006/relationships/hyperlink" Target="http://www.publications.parliament.uk/pa/cm201212/cmhansrd/cm120118/debtext/120118-0001.htm" TargetMode="External"/><Relationship Id="rId14" Type="http://schemas.openxmlformats.org/officeDocument/2006/relationships/hyperlink" Target="http://www.legislation.gov.uk/ukpga/2012/9/contents/enacted" TargetMode="External"/><Relationship Id="rId35" Type="http://schemas.openxmlformats.org/officeDocument/2006/relationships/hyperlink" Target="http://www.publications.parliament.uk/pa/cm201212/cmhansrd/cm120118/debtext/120118-0001.htm" TargetMode="External"/><Relationship Id="rId56" Type="http://schemas.openxmlformats.org/officeDocument/2006/relationships/hyperlink" Target="http://www.equalityhumanrights.com/legal-and-policy/our-legal-work/parliamentary-briefings/criminal-justice-and-courts-bill-2014-use-physical-restraint-secure-colleges" TargetMode="External"/><Relationship Id="rId77" Type="http://schemas.openxmlformats.org/officeDocument/2006/relationships/hyperlink" Target="http://www.equalityhumanrights.com/sites/default/files/publication_pdf/UPR%20Mid-Term%20Report%20EHRCfinal210814_Web.pdf" TargetMode="External"/><Relationship Id="rId100" Type="http://schemas.openxmlformats.org/officeDocument/2006/relationships/hyperlink" Target="http://www.judiciary.gov.uk/subject/judicial-diversity/" TargetMode="External"/><Relationship Id="rId282" Type="http://schemas.openxmlformats.org/officeDocument/2006/relationships/hyperlink" Target="http://www.judiciary.gov.uk/judgments/azm-others-v-sos-defence/" TargetMode="External"/><Relationship Id="rId317" Type="http://schemas.openxmlformats.org/officeDocument/2006/relationships/hyperlink" Target="http://www.justiceinspectorates.gov.uk/hmiprisons/wp-content/uploads/sites/4/2014/05/2013-Pakistan-escort-web.pdf" TargetMode="External"/><Relationship Id="rId338" Type="http://schemas.openxmlformats.org/officeDocument/2006/relationships/hyperlink" Target="http://www.justice.gov.uk/downloads/publications/corporate-reports/hmi-prisons/hm-inspectorate-prisons-annual-report-2012-13.pdf" TargetMode="External"/><Relationship Id="rId359" Type="http://schemas.openxmlformats.org/officeDocument/2006/relationships/hyperlink" Target="https://www.gov.uk/government/publications/estimating-the-prevalence-of-disability-amongst-prisoners" TargetMode="External"/><Relationship Id="rId8" Type="http://schemas.openxmlformats.org/officeDocument/2006/relationships/hyperlink" Target="http://www.publications.parliament.uk/pa/ld201012/ldselect/ldconst/272/272.pdf" TargetMode="External"/><Relationship Id="rId98" Type="http://schemas.openxmlformats.org/officeDocument/2006/relationships/hyperlink" Target="http://www.judiciary.gov.uk/publications/advisory-panel-recommendations/" TargetMode="External"/><Relationship Id="rId121" Type="http://schemas.openxmlformats.org/officeDocument/2006/relationships/hyperlink" Target="https://www.justice.gov.uk/downloads/publications/corporate-reports/lsc/lsc-annual-report-12-13.pdf" TargetMode="External"/><Relationship Id="rId142" Type="http://schemas.openxmlformats.org/officeDocument/2006/relationships/hyperlink" Target="http://www.publications.parliament.uk/pa/jt201314/jtselect/jtrights/113/113.pdf" TargetMode="External"/><Relationship Id="rId163" Type="http://schemas.openxmlformats.org/officeDocument/2006/relationships/hyperlink" Target="http://www.equalityhumanrights.com/legal-and-policy/our-legal-work/consultation-responses" TargetMode="External"/><Relationship Id="rId184" Type="http://schemas.openxmlformats.org/officeDocument/2006/relationships/hyperlink" Target="http://tbinternet.ohchr.org/_layouts/treatybodyexternal/Download.aspx?symbolno=CCPR%2fC%2fGBR%2f7&amp;Lang=en" TargetMode="External"/><Relationship Id="rId219" Type="http://schemas.openxmlformats.org/officeDocument/2006/relationships/hyperlink" Target="https://www.gov.uk/government/uploads/system/uploads/attachment_data/file/330748/Independent_Privacy_and_Civil_Liberties_Board.pdf" TargetMode="External"/><Relationship Id="rId370" Type="http://schemas.openxmlformats.org/officeDocument/2006/relationships/hyperlink" Target="http://www.justice.gov.uk/publications/docs/corston-report-march-2007.pdf" TargetMode="External"/><Relationship Id="rId391" Type="http://schemas.openxmlformats.org/officeDocument/2006/relationships/hyperlink" Target="http://www2.ohchr.org/english/bodies/crc/docs/AdvanceVersions/CRC.C.GBR.CO.4.pdf" TargetMode="External"/><Relationship Id="rId405" Type="http://schemas.openxmlformats.org/officeDocument/2006/relationships/hyperlink" Target="http://www.equalityhumanrights.com/sites/default/files/documents/humanrights/hrr_article_3.pdf" TargetMode="External"/><Relationship Id="rId426" Type="http://schemas.openxmlformats.org/officeDocument/2006/relationships/hyperlink" Target="http://www2.ohchr.org/english/bodies/cerd/docs/CERD.C.GBR.CO.18-20.pdf" TargetMode="External"/><Relationship Id="rId447" Type="http://schemas.openxmlformats.org/officeDocument/2006/relationships/hyperlink" Target="http://webarchive.nationalarchives.gov.uk/20110608160754/http:/www.equalities.gov.uk/PDF/Stern_Review_acc_FINAL.pdf" TargetMode="External"/><Relationship Id="rId230" Type="http://schemas.openxmlformats.org/officeDocument/2006/relationships/hyperlink" Target="http://www.justice.org.uk/data/files/resources/305/JUSTICE-Freedom-from-Suspicion-Surveillance-Reform-for-a-Digital-Age.pdf" TargetMode="External"/><Relationship Id="rId251" Type="http://schemas.openxmlformats.org/officeDocument/2006/relationships/hyperlink" Target="http://www.justice.gov.uk/downloads/human-rights/cat-concluding-observations-may-2013.pdf" TargetMode="External"/><Relationship Id="rId25" Type="http://schemas.openxmlformats.org/officeDocument/2006/relationships/hyperlink" Target="https://terrorismlegislationreviewer.independent.gov.uk/wp-content/uploads/2014/07/Independent-Review-of-Terrorism-Report-2014-print2.pdf" TargetMode="External"/><Relationship Id="rId46" Type="http://schemas.openxmlformats.org/officeDocument/2006/relationships/hyperlink" Target="http://www.bailii.org/ew/cases/EWHC/Admin/2014/2245.html" TargetMode="External"/><Relationship Id="rId67" Type="http://schemas.openxmlformats.org/officeDocument/2006/relationships/hyperlink" Target="http://data.parliament.uk/writtenevidence/committeeevidence.svc/evidencedocument/human-rights-committee/violence-against-women-and-girls/written/7840.html" TargetMode="External"/><Relationship Id="rId272" Type="http://schemas.openxmlformats.org/officeDocument/2006/relationships/hyperlink" Target="https://www.gov.uk/government/groups/iraq-historic-allegations-team-ihat" TargetMode="External"/><Relationship Id="rId293" Type="http://schemas.openxmlformats.org/officeDocument/2006/relationships/hyperlink" Target="http://www.equalityhumanrights.com/about-us/our-work/human-rights/human-rights-review-2012/key-areas-improvement/immigration-procedures-and-detention" TargetMode="External"/><Relationship Id="rId307" Type="http://schemas.openxmlformats.org/officeDocument/2006/relationships/hyperlink" Target="http://inquest.gn.apc.org/pdf/narratives/Mubenga_R43_Final_copy.pdf" TargetMode="External"/><Relationship Id="rId328" Type="http://schemas.openxmlformats.org/officeDocument/2006/relationships/hyperlink" Target="http://tbinternet.ohchr.org/_layouts/treatybodyexternal/Download.aspx?symbolno=CCPR%2fC%2fGBR%2f7&amp;Lang=en" TargetMode="External"/><Relationship Id="rId349" Type="http://schemas.openxmlformats.org/officeDocument/2006/relationships/hyperlink" Target="http://www.justice.gov.uk/about/deaths-in-custody-independent-review" TargetMode="External"/><Relationship Id="rId88" Type="http://schemas.openxmlformats.org/officeDocument/2006/relationships/hyperlink" Target="http://eu.wiley.com/WileyCDA/WileyTitle/productCd-0745641768.html" TargetMode="External"/><Relationship Id="rId111" Type="http://schemas.openxmlformats.org/officeDocument/2006/relationships/hyperlink" Target="http://www.legislation.gov.uk/ukpga/2012/10/contents/enacted" TargetMode="External"/><Relationship Id="rId132" Type="http://schemas.openxmlformats.org/officeDocument/2006/relationships/hyperlink" Target="http://www.legislation.gov.uk/ukpga/2012/9/contents/enacted" TargetMode="External"/><Relationship Id="rId153" Type="http://schemas.openxmlformats.org/officeDocument/2006/relationships/hyperlink" Target="http://tbinternet.ohchr.org/_layouts/treatybodyexternal/Download.aspx?symbolno=CCPR%2fC%2fGBR%2f7&amp;Lang=en" TargetMode="External"/><Relationship Id="rId174" Type="http://schemas.openxmlformats.org/officeDocument/2006/relationships/hyperlink" Target="http://www.equalityhumanrights.com/sites/default/files/documents/Consultation_responses/ehrc_-_review_of_the_operation_of_schedule_7_consultation_response_6_dec_2012.pdf" TargetMode="External"/><Relationship Id="rId195" Type="http://schemas.openxmlformats.org/officeDocument/2006/relationships/hyperlink" Target="http://www.jrf.org.uk/sites/files/jrf/forced-labour-immigration-status-full.pdf" TargetMode="External"/><Relationship Id="rId209" Type="http://schemas.openxmlformats.org/officeDocument/2006/relationships/hyperlink" Target="http://www.legislation.gov.uk/ukpga/1998/29/contents" TargetMode="External"/><Relationship Id="rId360" Type="http://schemas.openxmlformats.org/officeDocument/2006/relationships/hyperlink" Target="http://www.prisonreformtrust.org.uk/Portals/0/Documents/No%20One%20Knows%20report-2.pdf" TargetMode="External"/><Relationship Id="rId381" Type="http://schemas.openxmlformats.org/officeDocument/2006/relationships/hyperlink" Target="http://www.publications.parliament.uk/pa/ld201415/ldhansrd/text/140626-gc0001.htm" TargetMode="External"/><Relationship Id="rId416" Type="http://schemas.openxmlformats.org/officeDocument/2006/relationships/hyperlink" Target="http://www.stonewall.org.uk/what_we_do/research_and_policy/9286.asp" TargetMode="External"/><Relationship Id="rId220" Type="http://schemas.openxmlformats.org/officeDocument/2006/relationships/hyperlink" Target="http://www.legislation.gov.uk/ukpga/2014/27/contents/enacted/data.htm" TargetMode="External"/><Relationship Id="rId241" Type="http://schemas.openxmlformats.org/officeDocument/2006/relationships/hyperlink" Target="http://hudoc.echr.coe.int/sites/eng/pages/search.aspx?i=001-111044" TargetMode="External"/><Relationship Id="rId437" Type="http://schemas.openxmlformats.org/officeDocument/2006/relationships/hyperlink" Target="https://www.gov.uk/government/uploads/system/uploads/attachment_data/file/229477/VAWG_Brief_v3.pdf" TargetMode="External"/><Relationship Id="rId15" Type="http://schemas.openxmlformats.org/officeDocument/2006/relationships/hyperlink" Target="http://tbinternet.ohchr.org/_layouts/treatybodyexternal/Download.aspx?symbolno=CCPR%2fC%2fGBR%2fCO%2f6&amp;Lang=en" TargetMode="External"/><Relationship Id="rId36" Type="http://schemas.openxmlformats.org/officeDocument/2006/relationships/hyperlink" Target="http://content.met.police.uk/News/Joint-statement-by-MPS-and-DPP/1400005902978/1257246741786" TargetMode="External"/><Relationship Id="rId57" Type="http://schemas.openxmlformats.org/officeDocument/2006/relationships/hyperlink" Target="https://www.gov.uk/government/uploads/system/uploads/attachment_data/file/307624/HateCrimeActionPlanProgressReport.pdf" TargetMode="External"/><Relationship Id="rId262" Type="http://schemas.openxmlformats.org/officeDocument/2006/relationships/hyperlink" Target="http://content.met.police.uk/News/Joint-statement-by-MPS-and-DPP/1400005902978/1257246741786" TargetMode="External"/><Relationship Id="rId283" Type="http://schemas.openxmlformats.org/officeDocument/2006/relationships/hyperlink" Target="http://www.publications.parliament.uk/pa/cm201314/cmhansrd/cm140327/wmstext/140327m0001.htm" TargetMode="External"/><Relationship Id="rId318" Type="http://schemas.openxmlformats.org/officeDocument/2006/relationships/hyperlink" Target="http://www.publications.parliament.uk/pa/cm201012/cmselect/cmhaff/563/563.pdf" TargetMode="External"/><Relationship Id="rId339" Type="http://schemas.openxmlformats.org/officeDocument/2006/relationships/hyperlink" Target="http://www.justice.gov.uk/downloads/publications/corporate-reports/hmi-prisons/hm-inspectorate-prisons-annual-report-2012-13.pdf" TargetMode="External"/><Relationship Id="rId78" Type="http://schemas.openxmlformats.org/officeDocument/2006/relationships/hyperlink" Target="http://www.ons.gov.uk/ons/dcp171778_385428.pdf" TargetMode="External"/><Relationship Id="rId99" Type="http://schemas.openxmlformats.org/officeDocument/2006/relationships/hyperlink" Target="http://www.legislation.gov.uk/ukpga/2013/22/contents/enacted" TargetMode="External"/><Relationship Id="rId101" Type="http://schemas.openxmlformats.org/officeDocument/2006/relationships/hyperlink" Target="http://www.coe.int/t/dghl/cooperation/cepej/evaluation/2012/Rapport_en.pdf" TargetMode="External"/><Relationship Id="rId122" Type="http://schemas.openxmlformats.org/officeDocument/2006/relationships/hyperlink" Target="http://www.equalityhumanrights.com/legal-and-policy/consultation-responses/inquiry-into-the-implications-for-access-to-justice-of-the-government-s-proposed-judicial-review-reforms/" TargetMode="External"/><Relationship Id="rId143" Type="http://schemas.openxmlformats.org/officeDocument/2006/relationships/hyperlink" Target="http://www.equalityhumanrights.com/legal-and-policy/our-legal-work/consultation-responses/ehrc-submission-review-of-counter-terrorism-and-security-powers" TargetMode="External"/><Relationship Id="rId164" Type="http://schemas.openxmlformats.org/officeDocument/2006/relationships/hyperlink" Target="http://www.equalityhumanrights.com/legal-and-policy/our-legal-work/consultation-responses" TargetMode="External"/><Relationship Id="rId185" Type="http://schemas.openxmlformats.org/officeDocument/2006/relationships/hyperlink" Target="http://www.nationalcrimeagency.gov.uk/publications/139-national-referral-mechanism-statistics-2013/file" TargetMode="External"/><Relationship Id="rId350" Type="http://schemas.openxmlformats.org/officeDocument/2006/relationships/hyperlink" Target="http://www.justice.gov.uk/downloads/publications/corporate-reports/hmi-prisons/hm-inspectorate-prisons-annual-report-2012-13.pdf" TargetMode="External"/><Relationship Id="rId371" Type="http://schemas.openxmlformats.org/officeDocument/2006/relationships/hyperlink" Target="https://www.gov.uk/government/uploads/system/uploads/attachment_data/file/278837/prisoners-childhood-family-backgrounds.pdf" TargetMode="External"/><Relationship Id="rId406" Type="http://schemas.openxmlformats.org/officeDocument/2006/relationships/hyperlink" Target="http://www.publications.parliament.uk/pa/jt201314/jtselect/jtrights/189/189.pdf" TargetMode="External"/><Relationship Id="rId9" Type="http://schemas.openxmlformats.org/officeDocument/2006/relationships/hyperlink" Target="https://www.gov.uk/government/uploads/system/uploads/attachment_data/file/332857/legal-aid-chancellors-guide-exceptional-funding-inquests.pdf" TargetMode="External"/><Relationship Id="rId210" Type="http://schemas.openxmlformats.org/officeDocument/2006/relationships/hyperlink" Target="http://www.legislation.gov.uk/ukpga/2000/23/contents" TargetMode="External"/><Relationship Id="rId392" Type="http://schemas.openxmlformats.org/officeDocument/2006/relationships/hyperlink" Target="https://www.gov.uk/government/publications/criminal-justice-statistics-quarterly-update-to-december-2012" TargetMode="External"/><Relationship Id="rId427" Type="http://schemas.openxmlformats.org/officeDocument/2006/relationships/hyperlink" Target="http://www.coe.int/t/dghl/monitoring/ecri/country-by-country/united_kingdom/GBR-CbC-IV-2010-004-ENG.pdf" TargetMode="External"/><Relationship Id="rId448" Type="http://schemas.openxmlformats.org/officeDocument/2006/relationships/hyperlink" Target="http://tbinternet.ohchr.org/_layouts/treatybodyexternal/Download.aspx?symbolno=CEDAW%2fC%2fGBR%2fCO%2f7&amp;Lang=en" TargetMode="External"/><Relationship Id="rId26" Type="http://schemas.openxmlformats.org/officeDocument/2006/relationships/hyperlink" Target="http://webarchive.nationalarchives.gov.uk/20121003195935/http:/riotspanel.independent.gov.uk/" TargetMode="External"/><Relationship Id="rId231" Type="http://schemas.openxmlformats.org/officeDocument/2006/relationships/hyperlink" Target="http://hudoc.echr.coe.int/sites/eng/pages/search.aspx?i=001-98473" TargetMode="External"/><Relationship Id="rId252" Type="http://schemas.openxmlformats.org/officeDocument/2006/relationships/hyperlink" Target="http://www1.umn.edu/humanrts/wgad/2010report-secret_detention.pdf" TargetMode="External"/><Relationship Id="rId273" Type="http://schemas.openxmlformats.org/officeDocument/2006/relationships/hyperlink" Target="http://www.judiciary.gov.uk/judgments/azm-others-v-sos-defence/" TargetMode="External"/><Relationship Id="rId294" Type="http://schemas.openxmlformats.org/officeDocument/2006/relationships/hyperlink" Target="http://www.unhcr.org.uk/fileadmin/user_upload/pdf/DFT_PressRelease.pdf" TargetMode="External"/><Relationship Id="rId308" Type="http://schemas.openxmlformats.org/officeDocument/2006/relationships/hyperlink" Target="http://www.justice.gov.uk/downloads/information-access-rights/foi-disclosure-log/prison-probation/use-of-force-training-manual.pdf" TargetMode="External"/><Relationship Id="rId329" Type="http://schemas.openxmlformats.org/officeDocument/2006/relationships/hyperlink" Target="http://www.idcr.org.uk/wp-content/uploads/2010/09/WPPL-9-22.pdf" TargetMode="External"/><Relationship Id="rId47" Type="http://schemas.openxmlformats.org/officeDocument/2006/relationships/hyperlink" Target="http://www.bailii.org/ew/cases/EWHC/Admin/2013/1236.html" TargetMode="External"/><Relationship Id="rId68" Type="http://schemas.openxmlformats.org/officeDocument/2006/relationships/hyperlink" Target="https://www.gov.uk/government/consultations/strengthening-the-law-on-domestic-abuse" TargetMode="External"/><Relationship Id="rId89" Type="http://schemas.openxmlformats.org/officeDocument/2006/relationships/hyperlink" Target="http://tbinternet.ohchr.org/_layouts/treatybodyexternal/Download.aspx?symbolno=CCPR%2fC%2fGBR%2fCO%2f6&amp;Lang=en" TargetMode="External"/><Relationship Id="rId112" Type="http://schemas.openxmlformats.org/officeDocument/2006/relationships/hyperlink" Target="https://www.justice.gov.uk/downloads/publications/corporate-reports/lsc/lsc-annual-report-12-13.pdf" TargetMode="External"/><Relationship Id="rId133" Type="http://schemas.openxmlformats.org/officeDocument/2006/relationships/hyperlink" Target="http://tbinternet.ohchr.org/_layouts/treatybodyexternal/Download.aspx?symbolno=CCPR%2fC%2fGBR%2fCO%2f6&amp;Lang=en" TargetMode="External"/><Relationship Id="rId154" Type="http://schemas.openxmlformats.org/officeDocument/2006/relationships/hyperlink" Target="http://www.legislation.gov.uk/ukpga/1984/60/contents" TargetMode="External"/><Relationship Id="rId175" Type="http://schemas.openxmlformats.org/officeDocument/2006/relationships/hyperlink" Target="https://www.gov.uk/government/uploads/system/uploads/attachment_data/file/157896/consultation-document.pdf" TargetMode="External"/><Relationship Id="rId340" Type="http://schemas.openxmlformats.org/officeDocument/2006/relationships/hyperlink" Target="http://www.justice.gov.uk/downloads/publications/corporate-reports/hmi-prisons/hm-inspectorate-prisons-annual-report-2011-12.pdf" TargetMode="External"/><Relationship Id="rId361" Type="http://schemas.openxmlformats.org/officeDocument/2006/relationships/hyperlink" Target="http://www.justice.gov.uk/downloads/publications/corporate-reports/hmi-prisons/hm-inspectorate-prisons-annual-report-2012-13.pdf" TargetMode="External"/><Relationship Id="rId196" Type="http://schemas.openxmlformats.org/officeDocument/2006/relationships/hyperlink" Target="http://www.equalityhumanrights.com/sites/default/files/uploads/UN%20Convention%20on%20rights%20of%20the%20child.pdf" TargetMode="External"/><Relationship Id="rId200" Type="http://schemas.openxmlformats.org/officeDocument/2006/relationships/hyperlink" Target="http://www.equalityhumanrights.com/sites/default/files/uploads/UN%20Convention%20on%20rights%20of%20the%20child.pdf" TargetMode="External"/><Relationship Id="rId382" Type="http://schemas.openxmlformats.org/officeDocument/2006/relationships/hyperlink" Target="http://www.justice.gov.uk/downloads/publications/inspectorate-reports/hmiprobation/joint-thematic/womens-thematic-alternatives-to-custody-2011.pdf" TargetMode="External"/><Relationship Id="rId417" Type="http://schemas.openxmlformats.org/officeDocument/2006/relationships/hyperlink" Target="https://www.gov.uk/government/uploads/system/uploads/attachment_data/file/97849/action-plan.pdf" TargetMode="External"/><Relationship Id="rId438" Type="http://schemas.openxmlformats.org/officeDocument/2006/relationships/hyperlink" Target="https://www.gov.uk/government/uploads/system/uploads/attachment_data/file/229477/VAWG_Brief_v3.pdf" TargetMode="External"/><Relationship Id="rId16" Type="http://schemas.openxmlformats.org/officeDocument/2006/relationships/hyperlink" Target="http://www.parliament.uk/documents/joint-committees/human-rights/Memo_to_JCHR_on_Justice_and_Security_Green_Paper.pdf" TargetMode="External"/><Relationship Id="rId221" Type="http://schemas.openxmlformats.org/officeDocument/2006/relationships/hyperlink" Target="http://curia.europa.eu/jcms/upload/docs/application/pdf/2014-04/cp140054en.pdf" TargetMode="External"/><Relationship Id="rId242" Type="http://schemas.openxmlformats.org/officeDocument/2006/relationships/hyperlink" Target="http://hudoc.echr.coe.int/sites/eng/pages/search.aspx?i=001-70442" TargetMode="External"/><Relationship Id="rId263" Type="http://schemas.openxmlformats.org/officeDocument/2006/relationships/hyperlink" Target="http://www.detaineeinquiry.org.uk/wp-content/uploads/2013/12/35100_Trafalgar-Text-accessible.pdf" TargetMode="External"/><Relationship Id="rId284" Type="http://schemas.openxmlformats.org/officeDocument/2006/relationships/hyperlink" Target="http://www.judiciary.gov.uk/judgments/azm-others-v-sos-defence/" TargetMode="External"/><Relationship Id="rId319" Type="http://schemas.openxmlformats.org/officeDocument/2006/relationships/hyperlink" Target="https://www.gov.uk/government/speeches/new-system-of-restraint-for-managing-people-safely-during-immigration-removals" TargetMode="External"/><Relationship Id="rId37" Type="http://schemas.openxmlformats.org/officeDocument/2006/relationships/hyperlink" Target="http://www.detaineeinquiry.org.uk/wp-content/uploads/2013/12/35100_Trafalgar-Text-accessible.pdf" TargetMode="External"/><Relationship Id="rId58" Type="http://schemas.openxmlformats.org/officeDocument/2006/relationships/hyperlink" Target="https://www.gov.uk/government/uploads/system/uploads/attachment_data/file/307624/HateCrimeActionPlanProgressReport.pdf" TargetMode="External"/><Relationship Id="rId79" Type="http://schemas.openxmlformats.org/officeDocument/2006/relationships/hyperlink" Target="http://www.equalityhumanrights.com/sites/default/files/documents/research/15._work_and_care_modern_parents_15_report.pdf" TargetMode="External"/><Relationship Id="rId102" Type="http://schemas.openxmlformats.org/officeDocument/2006/relationships/hyperlink" Target="http://tbinternet.ohchr.org/_layouts/treatybodyexternal/Download.aspx?symbolno=CCPR%2fC%2f21%2fRev.1%2fAdd.7&amp;Lang=en" TargetMode="External"/><Relationship Id="rId123" Type="http://schemas.openxmlformats.org/officeDocument/2006/relationships/hyperlink" Target="http://www.justice.org.uk/data/files/resources/349/JUSTICE-JCHR-Submission-FINAL-27-September-2013.pdf" TargetMode="External"/><Relationship Id="rId144" Type="http://schemas.openxmlformats.org/officeDocument/2006/relationships/hyperlink" Target="http://www.parliament.uk/documents/joint-committees/human-rights/Memo_to_JCHR_on_Justice_and_Security_Green_Paper.pdf" TargetMode="External"/><Relationship Id="rId330" Type="http://schemas.openxmlformats.org/officeDocument/2006/relationships/hyperlink" Target="https://www.gov.uk/government/publications/prison-population-figures-2014" TargetMode="External"/><Relationship Id="rId90" Type="http://schemas.openxmlformats.org/officeDocument/2006/relationships/hyperlink" Target="http://www.publications.parliament.uk/pa/ld201012/ldselect/ldconst/272/272.pdf" TargetMode="External"/><Relationship Id="rId165" Type="http://schemas.openxmlformats.org/officeDocument/2006/relationships/hyperlink" Target="https://www.gov.uk/government/uploads/system/uploads/attachment_data/file/307545/StopSearchConsultationResponse.pdf" TargetMode="External"/><Relationship Id="rId186" Type="http://schemas.openxmlformats.org/officeDocument/2006/relationships/hyperlink" Target="https://www.gov.uk/government/collections/modern-slavery-bill" TargetMode="External"/><Relationship Id="rId351" Type="http://schemas.openxmlformats.org/officeDocument/2006/relationships/hyperlink" Target="http://iapdeathsincustody.independent.gov.uk/wp-content/uploads/2011/07/NOMS-Safer-Custody-News-January-February-2010.pdf" TargetMode="External"/><Relationship Id="rId372" Type="http://schemas.openxmlformats.org/officeDocument/2006/relationships/hyperlink" Target="https://www.gov.uk/government/publications/gender-differences-in-substance-misuse-and-mental-health-amongst-prisoners--2" TargetMode="External"/><Relationship Id="rId393" Type="http://schemas.openxmlformats.org/officeDocument/2006/relationships/hyperlink" Target="http://www.equalityhumanrights.com/about-us/our-work/human-rights/human-rights-review-2012/review" TargetMode="External"/><Relationship Id="rId407" Type="http://schemas.openxmlformats.org/officeDocument/2006/relationships/hyperlink" Target="https://www.gov.uk/government/publications/youth-justice-statistics" TargetMode="External"/><Relationship Id="rId428" Type="http://schemas.openxmlformats.org/officeDocument/2006/relationships/hyperlink" Target="http://www.equalityhumanrights.com/legal-and-policy/inquiries-and-assessments/inquiry-into-disability-related-harassment/hidden-in-plain-sight-the-inquiry-final-report/" TargetMode="External"/><Relationship Id="rId449" Type="http://schemas.openxmlformats.org/officeDocument/2006/relationships/hyperlink" Target="http://www.scottish.parliament.uk/S4_EqualOpportunitiesCommittee/Inquiries/Scottish_Womens_Aid_submission.pdf" TargetMode="External"/><Relationship Id="rId211" Type="http://schemas.openxmlformats.org/officeDocument/2006/relationships/hyperlink" Target="http://www.legislation.gov.uk/ukpga/1989/5/contents" TargetMode="External"/><Relationship Id="rId232" Type="http://schemas.openxmlformats.org/officeDocument/2006/relationships/hyperlink" Target="http://www.liberty-human-rights.org.uk/sites/default/files/Liberty's%20evidence%20to%20the%20ISC%20inquiry%20into%20privacy%20and%20security%20(Feb%202014).pdf" TargetMode="External"/><Relationship Id="rId253" Type="http://schemas.openxmlformats.org/officeDocument/2006/relationships/hyperlink" Target="http://www.publications.parliament.uk/pa/jt200809/jtselect/jtrights/152/152.pdf" TargetMode="External"/><Relationship Id="rId274" Type="http://schemas.openxmlformats.org/officeDocument/2006/relationships/hyperlink" Target="http://webarchive.nationalarchives.gov.uk/+/http://www.bahamousainquiry.org/report/index.htm" TargetMode="External"/><Relationship Id="rId295" Type="http://schemas.openxmlformats.org/officeDocument/2006/relationships/hyperlink" Target="http://tbinternet.ohchr.org/_layouts/treatybodyexternal/Download.aspx?symbolno=CAT%2fC%2fGBR%2fCO%2f5&amp;Lang=en" TargetMode="External"/><Relationship Id="rId309" Type="http://schemas.openxmlformats.org/officeDocument/2006/relationships/hyperlink" Target="http://inquest.gn.apc.org/pdf/narratives/Mubenga_R43_Final_copy.pdf" TargetMode="External"/><Relationship Id="rId27" Type="http://schemas.openxmlformats.org/officeDocument/2006/relationships/hyperlink" Target="file:///\\filestore\Corporate\EHRC%20General\Human%20Rights%20Programme%202013-14\Team%20Access\ICCPR\Work%20in%20Progress\ICCPR%2015-16%20planning\Drafts\Merged%20Drafts\www.crae.org.uk\...\FINAL-Strip-Searching-at-Police-Station-Briefing.pdf" TargetMode="External"/><Relationship Id="rId48" Type="http://schemas.openxmlformats.org/officeDocument/2006/relationships/hyperlink" Target="http://www.equalityhumanrights.com/about-us/our-work/human-rights/human-rights-review-2012/key-areas-improvement/immigration-procedures-and-detention" TargetMode="External"/><Relationship Id="rId69" Type="http://schemas.openxmlformats.org/officeDocument/2006/relationships/hyperlink" Target="http://www.parliament.uk/business/committees/committees-a-z/joint-select/human-rights-committee/news/violence-against-women-and-girls-report/" TargetMode="External"/><Relationship Id="rId113" Type="http://schemas.openxmlformats.org/officeDocument/2006/relationships/hyperlink" Target="https://www.gov.uk/government/uploads/system/uploads/attachment_data/file/325921/legal-aid-statistics-2013-14.pdf" TargetMode="External"/><Relationship Id="rId134" Type="http://schemas.openxmlformats.org/officeDocument/2006/relationships/hyperlink" Target="http://www.liberty-human-rights.org.uk/policy/reports/comparative-law-study-2010-pre-charge-detention.pdf" TargetMode="External"/><Relationship Id="rId320" Type="http://schemas.openxmlformats.org/officeDocument/2006/relationships/hyperlink" Target="http://www.medicaljustice.org.uk/images/stories/reports/reportonoutsourcingabuse.pdf" TargetMode="External"/><Relationship Id="rId80" Type="http://schemas.openxmlformats.org/officeDocument/2006/relationships/hyperlink" Target="http://www.resolutionfoundation.org/publications/price-motherhood-women-and-part-time-work/" TargetMode="External"/><Relationship Id="rId155" Type="http://schemas.openxmlformats.org/officeDocument/2006/relationships/hyperlink" Target="http://www.equalityhumanrights.com/sites/default/files/documents/raceinbritain/ehrc_stop_and_search_report.pdf" TargetMode="External"/><Relationship Id="rId176" Type="http://schemas.openxmlformats.org/officeDocument/2006/relationships/hyperlink" Target="http://www.equalityhumanrights.com/publication/briefing-paper-8-experimental-analysis-examinations-and-detentions-under-schedule-7-terrorism-act" TargetMode="External"/><Relationship Id="rId197" Type="http://schemas.openxmlformats.org/officeDocument/2006/relationships/hyperlink" Target="https://www.gov.uk/government/uploads/system/uploads/attachment_data/file/175563/Report_-_children_who_go_missing_from_care.pdf" TargetMode="External"/><Relationship Id="rId341" Type="http://schemas.openxmlformats.org/officeDocument/2006/relationships/hyperlink" Target="http://www.parliament.uk/documents/commons-vote-office/January_2013/10-1-13/3.Justice-PrisonCapacityMgt.pdf" TargetMode="External"/><Relationship Id="rId362" Type="http://schemas.openxmlformats.org/officeDocument/2006/relationships/hyperlink" Target="http://www.justice.gov.uk/downloads/publications/corporate-reports/hmi-prisons/hm-inspectorate-prisons-annual-report-2011-12.pdf" TargetMode="External"/><Relationship Id="rId383" Type="http://schemas.openxmlformats.org/officeDocument/2006/relationships/hyperlink" Target="http://www.howardleague.org/publications-families/" TargetMode="External"/><Relationship Id="rId418" Type="http://schemas.openxmlformats.org/officeDocument/2006/relationships/hyperlink" Target="http://www.stonewall.org.uk/what_we_do/research_and_policy/9286.asp" TargetMode="External"/><Relationship Id="rId439" Type="http://schemas.openxmlformats.org/officeDocument/2006/relationships/hyperlink" Target="http://www.parliament.uk/documents/commons-committees/home-affairs/FGM%20written%20evidence.pdf" TargetMode="External"/><Relationship Id="rId201" Type="http://schemas.openxmlformats.org/officeDocument/2006/relationships/hyperlink" Target="http://www.publications.parliament.uk/pa/jt201314/jtselect/jtslavery/166/16602.htm" TargetMode="External"/><Relationship Id="rId222" Type="http://schemas.openxmlformats.org/officeDocument/2006/relationships/hyperlink" Target="http://www.equalityhumanrights.com/sites/default/files/documents/research/rr69.pdf" TargetMode="External"/><Relationship Id="rId243" Type="http://schemas.openxmlformats.org/officeDocument/2006/relationships/hyperlink" Target="http://www.justice.gov.uk/downloads/legislation/bills-acts/voting-eligibility-prisoners/voting-eligibility-prisoners-command-paper.pdf" TargetMode="External"/><Relationship Id="rId264" Type="http://schemas.openxmlformats.org/officeDocument/2006/relationships/hyperlink" Target="http://www.publications.parliament.uk/pa/cm201314/cmhansrd/cm131219/debtext/131219-0002.htm" TargetMode="External"/><Relationship Id="rId285" Type="http://schemas.openxmlformats.org/officeDocument/2006/relationships/hyperlink" Target="http://tbinternet.ohchr.org/_layouts/treatybodyexternal/Download.aspx?symbolno=CCPR%2fC%2fGBR%2fCO%2f6&amp;Lang=en" TargetMode="External"/><Relationship Id="rId450" Type="http://schemas.openxmlformats.org/officeDocument/2006/relationships/hyperlink" Target="https://www.gov.uk/government/uploads/system/uploads/attachment_data/file/181088/vawg-action-plan-2013.pdf" TargetMode="External"/><Relationship Id="rId17" Type="http://schemas.openxmlformats.org/officeDocument/2006/relationships/hyperlink" Target="http://www.gov.uk/government/uploads/system/uploads/attachment_data/file/228860/8194.pdf" TargetMode="External"/><Relationship Id="rId38" Type="http://schemas.openxmlformats.org/officeDocument/2006/relationships/hyperlink" Target="http://www.publications.parliament.uk/pa/cm201314/cmhansrd/cm131219/debtext/131219-0002.htm" TargetMode="External"/><Relationship Id="rId59" Type="http://schemas.openxmlformats.org/officeDocument/2006/relationships/hyperlink" Target="http://www.antisemitism.org.uk/wp-content/themes/PCAA/images/4189_PCAA_Antisemitism%20Report_spreads_v9%20REPRO-DPS_FOR%20WEB_v3.pdf" TargetMode="External"/><Relationship Id="rId103" Type="http://schemas.openxmlformats.org/officeDocument/2006/relationships/hyperlink" Target="http://webarchive.nationalarchives.gov.uk/+/http:/www.cabinetoffice.gov.uk/media/227102/fair-access.pdf" TargetMode="External"/><Relationship Id="rId124" Type="http://schemas.openxmlformats.org/officeDocument/2006/relationships/hyperlink" Target="http://www.judiciary.gov.uk/wp-content/uploads/2014/07/plp-v-ssj-and-other.pdf" TargetMode="External"/><Relationship Id="rId310" Type="http://schemas.openxmlformats.org/officeDocument/2006/relationships/hyperlink" Target="http://www.cps.gov.uk/news/latest_news/death_of_jimmy_mubenga/" TargetMode="External"/><Relationship Id="rId70" Type="http://schemas.openxmlformats.org/officeDocument/2006/relationships/hyperlink" Target="http://gov.wales/consultations/people-and-communities/national-training-framework-on-gender-based-violence/?status=open&amp;lang=en" TargetMode="External"/><Relationship Id="rId91" Type="http://schemas.openxmlformats.org/officeDocument/2006/relationships/hyperlink" Target="http://www.judiciary.gov.uk/publications/advisory-panel-recommendations/" TargetMode="External"/><Relationship Id="rId145" Type="http://schemas.openxmlformats.org/officeDocument/2006/relationships/hyperlink" Target="https://www.gov.uk/government/uploads/system/uploads/attachment_data/file/228860/8194.pdf" TargetMode="External"/><Relationship Id="rId166" Type="http://schemas.openxmlformats.org/officeDocument/2006/relationships/hyperlink" Target="http://www.equalityhumanrights.com/sites/default/files/documents/research/bp_5_final.pdf" TargetMode="External"/><Relationship Id="rId187" Type="http://schemas.openxmlformats.org/officeDocument/2006/relationships/hyperlink" Target="http://www.equalityhumanrights.com/legal-and-policy/our-legal-work/parliamentary-briefings/modern-slavery-bill" TargetMode="External"/><Relationship Id="rId331" Type="http://schemas.openxmlformats.org/officeDocument/2006/relationships/hyperlink" Target="https://www.gov.uk/government/publications/story-of-the-prison-population-1993-2012" TargetMode="External"/><Relationship Id="rId352" Type="http://schemas.openxmlformats.org/officeDocument/2006/relationships/hyperlink" Target="http://iapdeathsincustody.independent.gov.uk/wp-content/uploads/2011/07/NOMS-Safer-Custody-News-January-February-2010.pdf" TargetMode="External"/><Relationship Id="rId373" Type="http://schemas.openxmlformats.org/officeDocument/2006/relationships/hyperlink" Target="http://tbinternet.ohchr.org/_layouts/treatybodyexternal/Download.aspx?symbolno=CAT%2fC%2fGBR%2fCO%2f5&amp;Lang=en" TargetMode="External"/><Relationship Id="rId394" Type="http://schemas.openxmlformats.org/officeDocument/2006/relationships/hyperlink" Target="https://www.gov.uk/government/publications/criminal-justice-statistics-quarterly-september-2013" TargetMode="External"/><Relationship Id="rId408" Type="http://schemas.openxmlformats.org/officeDocument/2006/relationships/hyperlink" Target="http://www.smith-institute.org.uk/file/RestorativeJusticeTheEvidenceFullreport.pdf" TargetMode="External"/><Relationship Id="rId429" Type="http://schemas.openxmlformats.org/officeDocument/2006/relationships/hyperlink" Target="http://www.equalityhumanrights.com/legal-and-policy/inquiries-and-assessments/inquiry-into-disability-related-harassment/out-in-the-open-manifesto-for-change/" TargetMode="External"/><Relationship Id="rId1" Type="http://schemas.openxmlformats.org/officeDocument/2006/relationships/hyperlink" Target="http://tbinternet.ohchr.org/_layouts/treatybodyexternal/Download.aspx?symbolno=CCPR%2fC%2fGBR%2f7&amp;Lang=en" TargetMode="External"/><Relationship Id="rId212" Type="http://schemas.openxmlformats.org/officeDocument/2006/relationships/hyperlink" Target="http://www.legislation.gov.uk/ukpga/1994/13/contents" TargetMode="External"/><Relationship Id="rId233" Type="http://schemas.openxmlformats.org/officeDocument/2006/relationships/hyperlink" Target="http://www.liberty-human-rights.org.uk/sites/default/files/Witness%20statement%20of%20Charles%20Farr%20on%20behalf%20of%20the%20Intelligence%20Services%2016th%20May%202014.pdf" TargetMode="External"/><Relationship Id="rId254" Type="http://schemas.openxmlformats.org/officeDocument/2006/relationships/hyperlink" Target="http://www.equalityhumanrights.com/sites/default/files/documents/international/ehrc_report_to_cat_re_uk_5th_periodic_exam_april_2013.pdf" TargetMode="External"/><Relationship Id="rId440" Type="http://schemas.openxmlformats.org/officeDocument/2006/relationships/hyperlink" Target="https://www.gov.uk/government/collections/statistics-exclusions" TargetMode="External"/><Relationship Id="rId28" Type="http://schemas.openxmlformats.org/officeDocument/2006/relationships/hyperlink" Target="http://www.justiceinspectorates.gov.uk/hmic/our-work/peel-assessments/" TargetMode="External"/><Relationship Id="rId49" Type="http://schemas.openxmlformats.org/officeDocument/2006/relationships/hyperlink" Target="http://www.bailii.org/ew/cases/EWHC/Admin/2014/2245.html" TargetMode="External"/><Relationship Id="rId114" Type="http://schemas.openxmlformats.org/officeDocument/2006/relationships/hyperlink" Target="http://www.publications.parliament.uk/pa/jt201314/jtselect/jtrights/100/10002.htm" TargetMode="External"/><Relationship Id="rId275" Type="http://schemas.openxmlformats.org/officeDocument/2006/relationships/hyperlink" Target="http://webarchive.nationalarchives.gov.uk/+/http://www.bahamousainquiry.org/linkedfiles/baha_mousa/baha_mousa_inquiry_evidence/evidence_061009/bmi00830.pdf" TargetMode="External"/><Relationship Id="rId296" Type="http://schemas.openxmlformats.org/officeDocument/2006/relationships/hyperlink" Target="https://www.gov.uk/government/uploads/system/uploads/attachment_data/file/307995/Chapter55.pdf" TargetMode="External"/><Relationship Id="rId300" Type="http://schemas.openxmlformats.org/officeDocument/2006/relationships/hyperlink" Target="https://www.gov.uk/government/uploads/system/uploads/attachment_data/file/307995/Chapter55.pdf" TargetMode="External"/><Relationship Id="rId60" Type="http://schemas.openxmlformats.org/officeDocument/2006/relationships/hyperlink" Target="http://www.equalityhumanrights.com/about-us/our-work/human-rights/international-framework/international-covenant-civil-and-political-rights" TargetMode="External"/><Relationship Id="rId81" Type="http://schemas.openxmlformats.org/officeDocument/2006/relationships/hyperlink" Target="https://www.gov.uk/government/news/1m-million-to-help-tackle-pregnancy-discrimination-in-the-workplace" TargetMode="External"/><Relationship Id="rId135" Type="http://schemas.openxmlformats.org/officeDocument/2006/relationships/hyperlink" Target="http://www.justice.org.uk/data/files/resources/137/JUSTICE-Brief-Lords-Grand-Committee-December-2011.pdf" TargetMode="External"/><Relationship Id="rId156" Type="http://schemas.openxmlformats.org/officeDocument/2006/relationships/hyperlink" Target="http://www.legislation.gov.uk/ukpga/1994/33/contents" TargetMode="External"/><Relationship Id="rId177" Type="http://schemas.openxmlformats.org/officeDocument/2006/relationships/hyperlink" Target="https://www.gov.uk/government/uploads/system/uploads/attachment_data/file/304300/DraftCodeOfPracticeSch7.pdf" TargetMode="External"/><Relationship Id="rId198" Type="http://schemas.openxmlformats.org/officeDocument/2006/relationships/hyperlink" Target="http://www.ceop.police.uk/Documents/ceopdocs/Child_Trafficking_Strategic_Threat_Assessment_2010_NPM_Final.pdf" TargetMode="External"/><Relationship Id="rId321" Type="http://schemas.openxmlformats.org/officeDocument/2006/relationships/hyperlink" Target="https://www.gov.uk/government/publications/use-of-force-when-removing-people-from-the-uk-a-restraint-system" TargetMode="External"/><Relationship Id="rId342" Type="http://schemas.openxmlformats.org/officeDocument/2006/relationships/hyperlink" Target="http://www.justice.gov.uk/downloads/publications/inspectorate-reports/hmipris/prison-and-yoi-inspections/thameside/thameside-2013.pdf" TargetMode="External"/><Relationship Id="rId363" Type="http://schemas.openxmlformats.org/officeDocument/2006/relationships/hyperlink" Target="https://www.gov.uk/government/uploads/system/uploads/attachment_data/file/236024/8429.pdf" TargetMode="External"/><Relationship Id="rId384" Type="http://schemas.openxmlformats.org/officeDocument/2006/relationships/hyperlink" Target="http://www.justice.gov.uk/publications/docs/corston-report-march-2007.pdf" TargetMode="External"/><Relationship Id="rId419" Type="http://schemas.openxmlformats.org/officeDocument/2006/relationships/hyperlink" Target="http://www.publications.parliament.uk/pa/cm201314/cmselect/cmhaff/895-i/131217.htm" TargetMode="External"/><Relationship Id="rId202" Type="http://schemas.openxmlformats.org/officeDocument/2006/relationships/hyperlink" Target="http://www.frankfield.com/upload/docs/Modern%20Slavery%20Bill%20Evidence%20Review.pdf" TargetMode="External"/><Relationship Id="rId223" Type="http://schemas.openxmlformats.org/officeDocument/2006/relationships/hyperlink" Target="http://www.justice.org.uk/data/files/resources/366/JUSTICE-letter-to-Intelligence-Security-Committee-10-Feb-2014.pdf" TargetMode="External"/><Relationship Id="rId244" Type="http://schemas.openxmlformats.org/officeDocument/2006/relationships/hyperlink" Target="http://www.bailii.org/eu/cases/ECHR/2011/686.html" TargetMode="External"/><Relationship Id="rId430" Type="http://schemas.openxmlformats.org/officeDocument/2006/relationships/hyperlink" Target="https://www.gov.uk/government/uploads/system/uploads/attachment_data/file/307624/HateCrimeActionPlanProgressReport.pdf" TargetMode="External"/><Relationship Id="rId18" Type="http://schemas.openxmlformats.org/officeDocument/2006/relationships/hyperlink" Target="http://www.gov.uk/government/uploads/system/uploads/attachment_data/file/157896/consultation-document.pdf" TargetMode="External"/><Relationship Id="rId39" Type="http://schemas.openxmlformats.org/officeDocument/2006/relationships/hyperlink" Target="https://www.gov.uk/government/groups/iraq-historic-allegations-team-ihat" TargetMode="External"/><Relationship Id="rId265" Type="http://schemas.openxmlformats.org/officeDocument/2006/relationships/hyperlink" Target="http://www.justice.gov.uk/downloads/human-rights/cat-concluding-observations-may-2013.pdf" TargetMode="External"/><Relationship Id="rId286" Type="http://schemas.openxmlformats.org/officeDocument/2006/relationships/hyperlink" Target="http://www.justice.gov.uk/downloads/human-rights/cat-concluding-observations-may-2013.pdf" TargetMode="External"/><Relationship Id="rId451" Type="http://schemas.openxmlformats.org/officeDocument/2006/relationships/hyperlink" Target="http://tbinternet.ohchr.org/_layouts/treatybodyexternal/Download.aspx?symbolno=CEDAW%2fC%2fGBR%2fCO%2f7&amp;Lang=en" TargetMode="External"/><Relationship Id="rId50" Type="http://schemas.openxmlformats.org/officeDocument/2006/relationships/hyperlink" Target="http://www.bbc.co.uk/news/uk-28233294" TargetMode="External"/><Relationship Id="rId104" Type="http://schemas.openxmlformats.org/officeDocument/2006/relationships/hyperlink" Target="http://tbinternet.ohchr.org/_layouts/treatybodyexternal/Download.aspx?symbolno=E%2fC.12%2fGBR%2fCO%2f5&amp;Lang=en" TargetMode="External"/><Relationship Id="rId125" Type="http://schemas.openxmlformats.org/officeDocument/2006/relationships/hyperlink" Target="http://webcache.googleusercontent.com/search?q=cache:ldXpkbem3j4J:https://consult.justice.gov.uk/digital-communications/judicial-review/results/judicial-review---proposals-for-further-reform-government-response.pdf+&amp;cd=1&amp;hl=en&amp;ct=clnk&amp;gl=uk" TargetMode="External"/><Relationship Id="rId146" Type="http://schemas.openxmlformats.org/officeDocument/2006/relationships/hyperlink" Target="http://consultation.cabinetoffice.gov.uk/justiceandsecurity/wp-content/uploads/2012/09_Special%20Advocates.pdf" TargetMode="External"/><Relationship Id="rId167" Type="http://schemas.openxmlformats.org/officeDocument/2006/relationships/hyperlink" Target="https://www.gov.uk/government/publications/police-powers-and-procedures-in-england-and-wales-201112" TargetMode="External"/><Relationship Id="rId188" Type="http://schemas.openxmlformats.org/officeDocument/2006/relationships/hyperlink" Target="http://www.equalityhumanrights.com/sites/default/files/uploads/UN%20Convention%20on%20rights%20of%20the%20child.pdf" TargetMode="External"/><Relationship Id="rId311" Type="http://schemas.openxmlformats.org/officeDocument/2006/relationships/hyperlink" Target="http://inquest.gn.apc.org/pdf/narratives/Mubenga_R43_Final_copy.pdf" TargetMode="External"/><Relationship Id="rId332" Type="http://schemas.openxmlformats.org/officeDocument/2006/relationships/hyperlink" Target="https://www.gov.uk/government/publications/prison-population-figures-2014" TargetMode="External"/><Relationship Id="rId353" Type="http://schemas.openxmlformats.org/officeDocument/2006/relationships/hyperlink" Target="http://www.ppo.gov.uk/docs/ACCT_thematic_final_web.pdf" TargetMode="External"/><Relationship Id="rId374" Type="http://schemas.openxmlformats.org/officeDocument/2006/relationships/hyperlink" Target="http://tbinternet.ohchr.org/_layouts/treatybodyexternal/Download.aspx?symbolno=CEDAW%2fC%2fGBR%2fCO%2f7&amp;Lang=en" TargetMode="External"/><Relationship Id="rId395" Type="http://schemas.openxmlformats.org/officeDocument/2006/relationships/hyperlink" Target="https://www.gov.uk/government/publications/youth-custody-data" TargetMode="External"/><Relationship Id="rId409" Type="http://schemas.openxmlformats.org/officeDocument/2006/relationships/hyperlink" Target="http://tbinternet.ohchr.org/_layouts/treatybodyexternal/Download.aspx?symbolno=CCPR%2fC%2fGBR%2f7&amp;Lang=en" TargetMode="External"/><Relationship Id="rId71" Type="http://schemas.openxmlformats.org/officeDocument/2006/relationships/hyperlink" Target="http://www.parliament.uk/business/committees/committees-a-z/joint-select/human-rights-committee/news/violence-against-women-and-girls-report/" TargetMode="External"/><Relationship Id="rId92" Type="http://schemas.openxmlformats.org/officeDocument/2006/relationships/hyperlink" Target="http://www.publications.parliament.uk/pa/ld201012/ldselect/ldconst/272/272.pdf" TargetMode="External"/><Relationship Id="rId213" Type="http://schemas.openxmlformats.org/officeDocument/2006/relationships/hyperlink" Target="http://www.ipt-uk.com/" TargetMode="External"/><Relationship Id="rId234" Type="http://schemas.openxmlformats.org/officeDocument/2006/relationships/hyperlink" Target="http://www.publications.parliament.uk/pa/cm201314/cmhansrd/cm131031/halltext/131031h0001.htm" TargetMode="External"/><Relationship Id="rId420" Type="http://schemas.openxmlformats.org/officeDocument/2006/relationships/hyperlink" Target="http://www.hmic.gov.uk/publication/crime-recording-a-matter-of-fact-interim-report/" TargetMode="External"/><Relationship Id="rId2" Type="http://schemas.openxmlformats.org/officeDocument/2006/relationships/hyperlink" Target="http://tbinternet.ohchr.org/_layouts/treatybodyexternal/Download.aspx?symbolno=CCPR%2fC%2fGBR%2f7&amp;Lang=en" TargetMode="External"/><Relationship Id="rId29" Type="http://schemas.openxmlformats.org/officeDocument/2006/relationships/hyperlink" Target="http://hudoc.echr.coe.int/sites/eng/pages/search.aspx?i=001-114518" TargetMode="External"/><Relationship Id="rId255" Type="http://schemas.openxmlformats.org/officeDocument/2006/relationships/hyperlink" Target="https://www.gov.uk/government/speeches/statement-on-detainees" TargetMode="External"/><Relationship Id="rId276" Type="http://schemas.openxmlformats.org/officeDocument/2006/relationships/hyperlink" Target="http://webarchive.nationalarchives.gov.uk/+/http://www.bahamousainquiry.org/linkedfiles/baha_mousa/baha_mousa_inquiry_evidence/evidence_100610/witnessstatementofgavindavies.pdf" TargetMode="External"/><Relationship Id="rId297" Type="http://schemas.openxmlformats.org/officeDocument/2006/relationships/hyperlink" Target="http://icinspector.independent.gov.uk/independent-chief-inspector-publishes-detained-fast-track-report/" TargetMode="External"/><Relationship Id="rId441" Type="http://schemas.openxmlformats.org/officeDocument/2006/relationships/hyperlink" Target="http://www.un.org/womenwatch/daw/cedaw/recommendations/recomm.htm" TargetMode="External"/><Relationship Id="rId40" Type="http://schemas.openxmlformats.org/officeDocument/2006/relationships/hyperlink" Target="http://www.gov.uk/government/uploads/system/uploads/attachment_data/file/393634/20150106-IHAT_work_completed_table.pdf" TargetMode="External"/><Relationship Id="rId115" Type="http://schemas.openxmlformats.org/officeDocument/2006/relationships/hyperlink" Target="https://www.gov.uk/government/uploads/system/uploads/attachment_data/file/325921/legal-aid-statistics-2013-14.pdf" TargetMode="External"/><Relationship Id="rId136" Type="http://schemas.openxmlformats.org/officeDocument/2006/relationships/hyperlink" Target="http://www.ohchr.org/EN/HRBodies/UPR/Pages/gbsession1.aspx" TargetMode="External"/><Relationship Id="rId157" Type="http://schemas.openxmlformats.org/officeDocument/2006/relationships/hyperlink" Target="http://www.equalityhumanrights.com/publications/our-research/briefing-papers" TargetMode="External"/><Relationship Id="rId178" Type="http://schemas.openxmlformats.org/officeDocument/2006/relationships/hyperlink" Target="https://terrorismlegislationreviewer.independent.gov.uk/wp-content/uploads/2014/07/Independent-Review-of-Terrorism-Report-2014-print2.pdf" TargetMode="External"/><Relationship Id="rId301" Type="http://schemas.openxmlformats.org/officeDocument/2006/relationships/hyperlink" Target="http://www.bailii.org/ew/cases/EWHC/Admin/2011/2120.html" TargetMode="External"/><Relationship Id="rId322" Type="http://schemas.openxmlformats.org/officeDocument/2006/relationships/hyperlink" Target="https://www.gov.uk/government/speeches/deputy-pms-speech-on-children-and-families" TargetMode="External"/><Relationship Id="rId343" Type="http://schemas.openxmlformats.org/officeDocument/2006/relationships/hyperlink" Target="http://tbinternet.ohchr.org/_layouts/treatybodyexternal/Download.aspx?symbolno=CAT%2fC%2fGBR%2fCO%2f5&amp;Lang=en" TargetMode="External"/><Relationship Id="rId364" Type="http://schemas.openxmlformats.org/officeDocument/2006/relationships/hyperlink" Target="https://www.gov.uk/government/publications/prison-population-2011" TargetMode="External"/><Relationship Id="rId61" Type="http://schemas.openxmlformats.org/officeDocument/2006/relationships/hyperlink" Target="http://www2.ohchr.org/english/bodies/cerd/docs/CERD.C.GBR.CO.18-20.pdf" TargetMode="External"/><Relationship Id="rId82" Type="http://schemas.openxmlformats.org/officeDocument/2006/relationships/hyperlink" Target="http://www.resolutionfoundation.org/publications/price-motherhood-women-and-part-time-work/" TargetMode="External"/><Relationship Id="rId199" Type="http://schemas.openxmlformats.org/officeDocument/2006/relationships/hyperlink" Target="http://www.equalityhumanrights.com/sites/default/files/uploads/UN%20Convention%20on%20rights%20of%20the%20child.pdf" TargetMode="External"/><Relationship Id="rId203" Type="http://schemas.openxmlformats.org/officeDocument/2006/relationships/hyperlink" Target="http://www.cps.gov.uk/publications/docs/policy_for_prosecuting_cases_of_human_trafficking.pdf" TargetMode="External"/><Relationship Id="rId385" Type="http://schemas.openxmlformats.org/officeDocument/2006/relationships/hyperlink" Target="http://sentencingcouncil.judiciary.gov.uk/sentencing-guidelines.htm" TargetMode="External"/><Relationship Id="rId19" Type="http://schemas.openxmlformats.org/officeDocument/2006/relationships/hyperlink" Target="http://www.equalityhumanrights.com/publication/briefing-paper-8-experimental-analysis-examinations-and-detentions-under-schedule-7-terrorism-act" TargetMode="External"/><Relationship Id="rId224" Type="http://schemas.openxmlformats.org/officeDocument/2006/relationships/hyperlink" Target="http://www.justice.org.uk/data/files/resources/305/JUSTICE-Freedom-from-Suspicion-Surveillance-Reform-for-a-Digital-Age.pdf" TargetMode="External"/><Relationship Id="rId245" Type="http://schemas.openxmlformats.org/officeDocument/2006/relationships/hyperlink" Target="http://www.equalityhumanrights.com/legal-and-policy/our-legal-work/parliamentary-briefings/submission-to-the-joint-committee-on-the-draft-voting-eligibility-prisoners-bill-june-2013" TargetMode="External"/><Relationship Id="rId266" Type="http://schemas.openxmlformats.org/officeDocument/2006/relationships/hyperlink" Target="http://tbinternet.ohchr.org/_layouts/treatybodyexternal/Download.aspx?symbolno=CCPR%2fC%2fGBR%2fCO%2f6&amp;Lang=en" TargetMode="External"/><Relationship Id="rId287" Type="http://schemas.openxmlformats.org/officeDocument/2006/relationships/hyperlink" Target="http://www.ohchr.org/EN/NewsEvents/Pages/DisplayNews.aspx?NewsID=14084&amp;LangID=E" TargetMode="External"/><Relationship Id="rId410" Type="http://schemas.openxmlformats.org/officeDocument/2006/relationships/hyperlink" Target="https://www.gov.uk/government/uploads/system/uploads/attachment_data/file/97849/action-plan.pdf" TargetMode="External"/><Relationship Id="rId431" Type="http://schemas.openxmlformats.org/officeDocument/2006/relationships/hyperlink" Target="http://www.senedd.assemblywales.org" TargetMode="External"/><Relationship Id="rId30" Type="http://schemas.openxmlformats.org/officeDocument/2006/relationships/hyperlink" Target="http://eur-lex.europa.eu/LexUriServ/LexUriServ.do?uri=OJ:L:2011:101:0001:0011:EN:PDF" TargetMode="External"/><Relationship Id="rId105" Type="http://schemas.openxmlformats.org/officeDocument/2006/relationships/hyperlink" Target="http://www.supremecourt.uk/docs/speech-130221.pdf" TargetMode="External"/><Relationship Id="rId126" Type="http://schemas.openxmlformats.org/officeDocument/2006/relationships/hyperlink" Target="http://services.parliament.uk/bills/2013-14/criminaljusticeandcourts.html" TargetMode="External"/><Relationship Id="rId147" Type="http://schemas.openxmlformats.org/officeDocument/2006/relationships/hyperlink" Target="https://adam1cor.files.wordpress.com/2012/06/js-bill-sa-response-final-final.pdf" TargetMode="External"/><Relationship Id="rId168" Type="http://schemas.openxmlformats.org/officeDocument/2006/relationships/hyperlink" Target="http://www.equalityhumanrights.com/legal-and-policy/our-legal-work/consultation-responses" TargetMode="External"/><Relationship Id="rId312" Type="http://schemas.openxmlformats.org/officeDocument/2006/relationships/hyperlink" Target="http://inquest.gn.apc.org/pdf/narratives/Mubenga_R43_Final_copy.pdf" TargetMode="External"/><Relationship Id="rId333" Type="http://schemas.openxmlformats.org/officeDocument/2006/relationships/hyperlink" Target="http://www.justice.gov.uk/downloads/publications/corporate-reports/noms/2013/noms-business-plan-2013-2014.pdf" TargetMode="External"/><Relationship Id="rId354" Type="http://schemas.openxmlformats.org/officeDocument/2006/relationships/hyperlink" Target="http://tbinternet.ohchr.org/_layouts/treatybodyexternal/Download.aspx?symbolno=CAT%2fC%2fGBR%2fCO%2f5&amp;Lang=en" TargetMode="External"/><Relationship Id="rId51" Type="http://schemas.openxmlformats.org/officeDocument/2006/relationships/hyperlink" Target="http://www.justice.gov.uk/downloads/publications/corporate-reports/hmi-prisons/hm-inspectorate-prisons-annual-report-2012-13.pdf" TargetMode="External"/><Relationship Id="rId72" Type="http://schemas.openxmlformats.org/officeDocument/2006/relationships/hyperlink" Target="http://data.parliament.uk/writtenevidence/committeeevidence.svc/evidencedocument/human-rights-committee/violence-against-women-and-girls/written/7840.html" TargetMode="External"/><Relationship Id="rId93" Type="http://schemas.openxmlformats.org/officeDocument/2006/relationships/hyperlink" Target="http://www.justiceinspectorates.gov.uk/hmic/our-work/peel-assessments/" TargetMode="External"/><Relationship Id="rId189" Type="http://schemas.openxmlformats.org/officeDocument/2006/relationships/hyperlink" Target="http://www.equalityhumanrights.com/sites/default/files/uploads/Pdfs/uncrc-op_submission_28-04-14.pdf" TargetMode="External"/><Relationship Id="rId375" Type="http://schemas.openxmlformats.org/officeDocument/2006/relationships/hyperlink" Target="https://www.gov.uk/government/uploads/system/uploads/attachment_data/file/252817/response-jsc-female-offenders.pdf" TargetMode="External"/><Relationship Id="rId396" Type="http://schemas.openxmlformats.org/officeDocument/2006/relationships/hyperlink" Target="http://www.scotland.gov.uk/Publications/2011/03/01104348/7" TargetMode="External"/><Relationship Id="rId3" Type="http://schemas.openxmlformats.org/officeDocument/2006/relationships/hyperlink" Target="http://www.equalityhumanrights.com/about-us/our-work/key-projects/our-measurement-framework/briefing-papers-and-data" TargetMode="External"/><Relationship Id="rId214" Type="http://schemas.openxmlformats.org/officeDocument/2006/relationships/hyperlink" Target="http://www.equalityhumanrights.com/legal-and-policy/our-legal-work/consultation-responses/response-privacy-and-security-inquiry-call-evidence" TargetMode="External"/><Relationship Id="rId235" Type="http://schemas.openxmlformats.org/officeDocument/2006/relationships/hyperlink" Target="http://www.liberty-human-rights.org.uk/sites/default/files/Witness%20statement%20of%20Charles%20Farr%20on%20behalf%20of%20the%20Intelligence%20Services%2016th%20May%202014.pdf" TargetMode="External"/><Relationship Id="rId256" Type="http://schemas.openxmlformats.org/officeDocument/2006/relationships/hyperlink" Target="http://tbinternet.ohchr.org/_layouts/treatybodyexternal/Download.aspx?symbolno=CCPR%2fC%2fGBR%2f7&amp;Lang=en" TargetMode="External"/><Relationship Id="rId277" Type="http://schemas.openxmlformats.org/officeDocument/2006/relationships/hyperlink" Target="http://www.publications.parliament.uk/pa/ld200607/ldlwa/070327wa1.pdf" TargetMode="External"/><Relationship Id="rId298" Type="http://schemas.openxmlformats.org/officeDocument/2006/relationships/hyperlink" Target="http://www.bailii.org/ew/cases/EWHC/Admin/2014/2245.html" TargetMode="External"/><Relationship Id="rId400" Type="http://schemas.openxmlformats.org/officeDocument/2006/relationships/hyperlink" Target="http://www.centreformentalhealth.org.uk/pdfs/Centre_for_MH_Promoting_mh_in_secure_settings.pdf" TargetMode="External"/><Relationship Id="rId421" Type="http://schemas.openxmlformats.org/officeDocument/2006/relationships/hyperlink" Target="http://www.report-it.org.uk/home" TargetMode="External"/><Relationship Id="rId442" Type="http://schemas.openxmlformats.org/officeDocument/2006/relationships/hyperlink" Target="http://data.parliament.uk/writtenevidence/committeeevidence.svc/evidencedocument/human-rights-committee/violence-against-women-and-girls/written/7840.html" TargetMode="External"/><Relationship Id="rId116" Type="http://schemas.openxmlformats.org/officeDocument/2006/relationships/hyperlink" Target="http://www.baringfoundation.org.uk/LowComReport.pdf" TargetMode="External"/><Relationship Id="rId137" Type="http://schemas.openxmlformats.org/officeDocument/2006/relationships/hyperlink" Target="https://www.gov.uk/government/publications/report-on-the-operation-in-2010-of-the-terrorism-act-2000-and-of-part-1-of-the-terrorism-act-2006" TargetMode="External"/><Relationship Id="rId158" Type="http://schemas.openxmlformats.org/officeDocument/2006/relationships/hyperlink" Target="http://webarchive.nationalarchives.gov.uk/20121003195935/http:/riotspanel.independent.gov.uk/" TargetMode="External"/><Relationship Id="rId302" Type="http://schemas.openxmlformats.org/officeDocument/2006/relationships/hyperlink" Target="http://www.bailii.org/ew/cases/EWHC/Admin/2011/2748.html" TargetMode="External"/><Relationship Id="rId323" Type="http://schemas.openxmlformats.org/officeDocument/2006/relationships/hyperlink" Target="https://www.gov.uk/government/uploads/system/uploads/attachment_data/file/275349/child-detention-conclusions.pdf" TargetMode="External"/><Relationship Id="rId344" Type="http://schemas.openxmlformats.org/officeDocument/2006/relationships/hyperlink" Target="http://www.ohchr.org/Documents/ProfessionalInterest/tokyorules.pdf" TargetMode="External"/><Relationship Id="rId20" Type="http://schemas.openxmlformats.org/officeDocument/2006/relationships/hyperlink" Target="http://www.gov.uk/government/uploads/system/uploads/attachment_data/file/304300/DraftCodeOfPracticeSch7.pdf" TargetMode="External"/><Relationship Id="rId41" Type="http://schemas.openxmlformats.org/officeDocument/2006/relationships/hyperlink" Target="http://hudoc.echr.coe.int/sites/eng/pages/search.aspx?i=001-105606" TargetMode="External"/><Relationship Id="rId62" Type="http://schemas.openxmlformats.org/officeDocument/2006/relationships/hyperlink" Target="http://www.coe.int/t/dghl/monitoring/ecri/country-by-country/united_kingdom/GBR-CbC-IV-2010-004-ENG.pdf" TargetMode="External"/><Relationship Id="rId83" Type="http://schemas.openxmlformats.org/officeDocument/2006/relationships/hyperlink" Target="https://www.gov.uk/government/policies/creating-a-fairer-and-more-equal-society/supporting-pages/think-act-report" TargetMode="External"/><Relationship Id="rId179" Type="http://schemas.openxmlformats.org/officeDocument/2006/relationships/hyperlink" Target="http://www.equalityhumanrights.com/sites/default/files/documents/Consultation_responses/ehrc_-_review_of_the_operation_of_schedule_7_consultation_response_6_dec_2012.pdf" TargetMode="External"/><Relationship Id="rId365" Type="http://schemas.openxmlformats.org/officeDocument/2006/relationships/hyperlink" Target="https://www.gov.uk/government/publications/prison-population-figures-2014" TargetMode="External"/><Relationship Id="rId386" Type="http://schemas.openxmlformats.org/officeDocument/2006/relationships/hyperlink" Target="http://www.prisonreformtrust.org.uk/Portals/0/Documents/Bromley%20Briefing%20December%202011.pdf" TargetMode="External"/><Relationship Id="rId190" Type="http://schemas.openxmlformats.org/officeDocument/2006/relationships/hyperlink" Target="http://eur-lex.europa.eu/LexUriServ/LexUriServ.do?uri=OJ:L:2011:101:0001:0011:EN:PDF" TargetMode="External"/><Relationship Id="rId204" Type="http://schemas.openxmlformats.org/officeDocument/2006/relationships/hyperlink" Target="http://www.equalityhumanrights.com/about-us/our-work/human-rights/international-framework/international-news-updates/joint-statement-human-rights-council-trafficking" TargetMode="External"/><Relationship Id="rId225" Type="http://schemas.openxmlformats.org/officeDocument/2006/relationships/hyperlink" Target="http://www.liberty-human-rights.org.uk/sites/default/files/Liberty's%20evidence%20to%20the%20ISC%20inquiry%20into%20privacy%20and%20security%20(Feb%202014).pdf" TargetMode="External"/><Relationship Id="rId246" Type="http://schemas.openxmlformats.org/officeDocument/2006/relationships/hyperlink" Target="http://www.publications.parliament.uk/pa/jt201314/jtselect/jtdraftvoting/103/10302.htm" TargetMode="External"/><Relationship Id="rId267" Type="http://schemas.openxmlformats.org/officeDocument/2006/relationships/hyperlink" Target="http://www.publications.parliament.uk/pa/cm200708/cmhansrd/cm080221/debtext/80221-0008.htm" TargetMode="External"/><Relationship Id="rId288" Type="http://schemas.openxmlformats.org/officeDocument/2006/relationships/hyperlink" Target="http://hudoc.echr.coe.int/sites/eng/pages/search.aspx?i=001-108629" TargetMode="External"/><Relationship Id="rId411" Type="http://schemas.openxmlformats.org/officeDocument/2006/relationships/hyperlink" Target="http://wales.gov.uk/topics/equality/rightsequality/hate-crime/?lang=en" TargetMode="External"/><Relationship Id="rId432" Type="http://schemas.openxmlformats.org/officeDocument/2006/relationships/hyperlink" Target="http://tbinternet.ohchr.org/_layouts/treatybodyexternal/Download.aspx?symbolno=CCPR%2fC%2fGBR%2f7&amp;Lang=en" TargetMode="External"/><Relationship Id="rId106" Type="http://schemas.openxmlformats.org/officeDocument/2006/relationships/hyperlink" Target="https://www.gov.uk/government/uploads/system/uploads/attachment_data/file/244013/judicial-diversity-taskforce-annual-report-2013.pdf" TargetMode="External"/><Relationship Id="rId127" Type="http://schemas.openxmlformats.org/officeDocument/2006/relationships/hyperlink" Target="http://www.legislation.gov.uk/uksi/2014/607/contents/made" TargetMode="External"/><Relationship Id="rId313" Type="http://schemas.openxmlformats.org/officeDocument/2006/relationships/hyperlink" Target="http://www.justiceinspectorates.gov.uk/hmiprisons/wp-content/uploads/sites/4/2014/05/2013-Pakistan-escort-web.pdf" TargetMode="External"/><Relationship Id="rId10" Type="http://schemas.openxmlformats.org/officeDocument/2006/relationships/hyperlink" Target="https://www.gov.uk/government/publications/civil-legal-advice-mandatory-gateway-research-findings" TargetMode="External"/><Relationship Id="rId31" Type="http://schemas.openxmlformats.org/officeDocument/2006/relationships/hyperlink" Target="http://www.antislavery.org/includes/documents/cm_docs/2014/k/1_kalayaan_briefing_on_amendment_94.pdf" TargetMode="External"/><Relationship Id="rId52" Type="http://schemas.openxmlformats.org/officeDocument/2006/relationships/hyperlink" Target="http://www.justice.gov.uk/downloads/publications/corporate-reports/hmi-prisons/hm-inspectorate-prisons-annual-report-2012-13.pdf" TargetMode="External"/><Relationship Id="rId73" Type="http://schemas.openxmlformats.org/officeDocument/2006/relationships/hyperlink" Target="https://www.gov.uk/government/news/government-action-to-help-eliminate-violence-against-women-and-girls" TargetMode="External"/><Relationship Id="rId94" Type="http://schemas.openxmlformats.org/officeDocument/2006/relationships/hyperlink" Target="http://tbinternet.ohchr.org/_layouts/treatybodyexternal/Download.aspx?symbolno=CCPR%2fC%2fGBR%2fCO%2f6&amp;Lang=en" TargetMode="External"/><Relationship Id="rId148" Type="http://schemas.openxmlformats.org/officeDocument/2006/relationships/hyperlink" Target="http://www.equalityhumanrights.com/legal-and-policy/our-legal-work/parliamentary-briefings/justice-security-bill-with-advice" TargetMode="External"/><Relationship Id="rId169" Type="http://schemas.openxmlformats.org/officeDocument/2006/relationships/hyperlink" Target="http://www.equalityhumanrights.com/legal-and-policy/our-legal-work/consultation-responses" TargetMode="External"/><Relationship Id="rId334" Type="http://schemas.openxmlformats.org/officeDocument/2006/relationships/hyperlink" Target="http://www.nao.org.uk/report/managing-the-prison-estate/" TargetMode="External"/><Relationship Id="rId355" Type="http://schemas.openxmlformats.org/officeDocument/2006/relationships/hyperlink" Target="http://www.centreformentalhealth.org.uk/pdfs/Bradley_report_2009.pdf" TargetMode="External"/><Relationship Id="rId376" Type="http://schemas.openxmlformats.org/officeDocument/2006/relationships/hyperlink" Target="http://www.parliament.uk/documents/commons-vote-office/January_2013/10-1-13/3.Justice-PrisonCapacityMgt.pdf" TargetMode="External"/><Relationship Id="rId397" Type="http://schemas.openxmlformats.org/officeDocument/2006/relationships/hyperlink" Target="https://www.gov.uk/government/uploads/system/uploads/attachment_data/file/181588/transforming-youth-custody.pdf" TargetMode="External"/><Relationship Id="rId4" Type="http://schemas.openxmlformats.org/officeDocument/2006/relationships/hyperlink" Target="http://tbinternet.ohchr.org/_layouts/treatybodyexternal/TBSearch.aspx?Lang=en&amp;TreatyID=8&amp;DocTypeID=5" TargetMode="External"/><Relationship Id="rId180" Type="http://schemas.openxmlformats.org/officeDocument/2006/relationships/hyperlink" Target="http://tbinternet.ohchr.org/_layouts/treatybodyexternal/Download.aspx?symbolno=CCPR%2fC%2fGBR%2fCO%2f6&amp;Lang=en" TargetMode="External"/><Relationship Id="rId215" Type="http://schemas.openxmlformats.org/officeDocument/2006/relationships/hyperlink" Target="http://www.equalityhumanrights.com/sites/default/files/documents/research/rr69.pdf" TargetMode="External"/><Relationship Id="rId236" Type="http://schemas.openxmlformats.org/officeDocument/2006/relationships/hyperlink" Target="http://www.tom-watson.co.uk/wp-content/uploads/2014/01/APPG-Final.pdf" TargetMode="External"/><Relationship Id="rId257" Type="http://schemas.openxmlformats.org/officeDocument/2006/relationships/hyperlink" Target="http://www.detaineeinquiry.org.uk/wp-content/uploads/2011/06/20110706-The-Detainee-Inquiry-and-HM-Government-Terms-of-reference.pdf" TargetMode="External"/><Relationship Id="rId278" Type="http://schemas.openxmlformats.org/officeDocument/2006/relationships/hyperlink" Target="http://www.alsweadyinquiry.org/" TargetMode="External"/><Relationship Id="rId401" Type="http://schemas.openxmlformats.org/officeDocument/2006/relationships/hyperlink" Target="https://www.gov.uk/government/uploads/system/uploads/attachment_data/file/273402/transforming-youth-custody-consultation-response.pdf" TargetMode="External"/><Relationship Id="rId422" Type="http://schemas.openxmlformats.org/officeDocument/2006/relationships/hyperlink" Target="https://www.homeofficesurveys.homeoffice.gov.uk/s/77093OCNOQ" TargetMode="External"/><Relationship Id="rId443" Type="http://schemas.openxmlformats.org/officeDocument/2006/relationships/hyperlink" Target="https://www.gov.uk/government/uploads/system/uploads/attachment_data/file/181088/vawg-action-plan-2013.pdf" TargetMode="External"/><Relationship Id="rId303" Type="http://schemas.openxmlformats.org/officeDocument/2006/relationships/hyperlink" Target="http://www.bailii.org/ew/cases/EWHC/Admin/2012/979.html" TargetMode="External"/><Relationship Id="rId42" Type="http://schemas.openxmlformats.org/officeDocument/2006/relationships/hyperlink" Target="http://www.bailii.org/ew/cases/EWHC/Admin/2010/3304.html" TargetMode="External"/><Relationship Id="rId84" Type="http://schemas.openxmlformats.org/officeDocument/2006/relationships/hyperlink" Target="http://www.publications.parliament.uk/pa/cm201415/cmhansrd/cm150226/debtext/150226-0001.htm" TargetMode="External"/><Relationship Id="rId138" Type="http://schemas.openxmlformats.org/officeDocument/2006/relationships/hyperlink" Target="http://www.legislation.gov.uk/ukpga/2011/23/contents" TargetMode="External"/><Relationship Id="rId345" Type="http://schemas.openxmlformats.org/officeDocument/2006/relationships/hyperlink" Target="https://www.gov.uk/government/collections/safety-in-custody-statistics" TargetMode="External"/><Relationship Id="rId387" Type="http://schemas.openxmlformats.org/officeDocument/2006/relationships/hyperlink" Target="http://www2.ohchr.org/english/bodies/crc/docs/CRC.C.GC.10.pdf" TargetMode="External"/><Relationship Id="rId191" Type="http://schemas.openxmlformats.org/officeDocument/2006/relationships/hyperlink" Target="http://www.equalityhumanrights.com/sites/default/files/uploads/UN%20Convention%20on%20rights%20of%20the%20child.pdf" TargetMode="External"/><Relationship Id="rId205" Type="http://schemas.openxmlformats.org/officeDocument/2006/relationships/hyperlink" Target="http://www.equalityhumanrights.com/uploaded_files/Scotland/Human_Trafficking_in_Scotland_/inquiry_into_human_trafficking_in_scotland-exec-sum_pdf_.pdf" TargetMode="External"/><Relationship Id="rId247" Type="http://schemas.openxmlformats.org/officeDocument/2006/relationships/hyperlink" Target="http://www.parliament.uk/documents/joint-committees/Draft%20Voting%20Eligibility%20(Prisoners)%20Bill/Grayling-letter-to-Chair.pdf" TargetMode="External"/><Relationship Id="rId412" Type="http://schemas.openxmlformats.org/officeDocument/2006/relationships/hyperlink" Target="http://fra.europa.eu/sites/default/files/fra-factsheet_hatecrime_en_final_0.pdf" TargetMode="External"/><Relationship Id="rId107" Type="http://schemas.openxmlformats.org/officeDocument/2006/relationships/hyperlink" Target="http://www.publications.parliament.uk/pa/ld201012/ldselect/ldconst/272/272.pdf" TargetMode="External"/><Relationship Id="rId289" Type="http://schemas.openxmlformats.org/officeDocument/2006/relationships/hyperlink" Target="http://www.publications.parliament.uk/pa/cm201213/cmselect/cmfaff/116/116.pdf" TargetMode="External"/><Relationship Id="rId11" Type="http://schemas.openxmlformats.org/officeDocument/2006/relationships/hyperlink" Target="http://www.nao.org.uk/report/implementing-reforms-to-civil-legal-aid/" TargetMode="External"/><Relationship Id="rId53" Type="http://schemas.openxmlformats.org/officeDocument/2006/relationships/hyperlink" Target="http://www2.ohchr.org/english/bodies/crc/docs/CRC.C.GC.10.pdf" TargetMode="External"/><Relationship Id="rId149" Type="http://schemas.openxmlformats.org/officeDocument/2006/relationships/hyperlink" Target="http://www.parliament.uk/business/committees/committees-a-z/joint-select/human-rights-committee/inquiries/parliament-2010/justice-and-security-green-paper/" TargetMode="External"/><Relationship Id="rId314" Type="http://schemas.openxmlformats.org/officeDocument/2006/relationships/hyperlink" Target="http://www.justiceinspectorates.gov.uk/hmiprisons/wp-content/uploads/sites/4/2014/05/2013-Pakistan-escort-web.pdf" TargetMode="External"/><Relationship Id="rId356" Type="http://schemas.openxmlformats.org/officeDocument/2006/relationships/hyperlink" Target="http://www.publications.parliament.uk/pa/cm201011/cmhansrd/cm110215/debtext/110215-0001.htm" TargetMode="External"/><Relationship Id="rId398" Type="http://schemas.openxmlformats.org/officeDocument/2006/relationships/hyperlink" Target="https://www.gov.uk/government/uploads/system/uploads/attachment_data/file/273402/transforming-youth-custody-consultation-response.pdf" TargetMode="External"/><Relationship Id="rId95" Type="http://schemas.openxmlformats.org/officeDocument/2006/relationships/hyperlink" Target="http://tbinternet.ohchr.org/_layouts/treatybodyexternal/Download.aspx?symbolno=CCPR%2fC%2fGBR%2f7&amp;Lang=en" TargetMode="External"/><Relationship Id="rId160" Type="http://schemas.openxmlformats.org/officeDocument/2006/relationships/hyperlink" Target="http://www.equalityhumanrights.com/publications/our-research/briefing-papers" TargetMode="External"/><Relationship Id="rId216" Type="http://schemas.openxmlformats.org/officeDocument/2006/relationships/hyperlink" Target="http://www.equalityhumanrights.com/sites/default/files/documents/research/rr69.pdf" TargetMode="External"/><Relationship Id="rId423" Type="http://schemas.openxmlformats.org/officeDocument/2006/relationships/hyperlink" Target="http://www.lawgazette.co.uk/law/commission-calls-for-review-of-hate-crime/5041392.article" TargetMode="External"/><Relationship Id="rId258" Type="http://schemas.openxmlformats.org/officeDocument/2006/relationships/hyperlink" Target="http://www.equalityhumanrights.com/about-us/our-work/human-rights/international-framework/un-convention-against-torture-and-other-cruel-inhuman-or-degrading-treatment-or-punishment" TargetMode="External"/><Relationship Id="rId22" Type="http://schemas.openxmlformats.org/officeDocument/2006/relationships/hyperlink" Target="http://www.equalityhumanrights.com/sites/default/files/documents/Consultation_responses/ehrc_-_review_of_the_operation_of_schedule_7_consultation_response_6_dec_2012.pdf" TargetMode="External"/><Relationship Id="rId64" Type="http://schemas.openxmlformats.org/officeDocument/2006/relationships/hyperlink" Target="http://www.coe.int/t/dghl/standardsetting/convention-violence/convention/Convention%20210%20English.pdf" TargetMode="External"/><Relationship Id="rId118" Type="http://schemas.openxmlformats.org/officeDocument/2006/relationships/hyperlink" Target="http://www.parliament.uk/business/committees/committees-a-z/commons-select/justice-committee/inquiries//parliament-2010/laspo/?type=Written" TargetMode="External"/><Relationship Id="rId325" Type="http://schemas.openxmlformats.org/officeDocument/2006/relationships/hyperlink" Target="http://www.childrenscommissioner.gov.uk/content/publications/content_556" TargetMode="External"/><Relationship Id="rId367" Type="http://schemas.openxmlformats.org/officeDocument/2006/relationships/hyperlink" Target="https://www.gov.uk/government/publications/offender-management-statistics-quarterly-july-september-2013" TargetMode="External"/><Relationship Id="rId171" Type="http://schemas.openxmlformats.org/officeDocument/2006/relationships/hyperlink" Target="http://www.equalityhumanrights.com/legal-and-policy/our-legal-work/consultation-responses" TargetMode="External"/><Relationship Id="rId227" Type="http://schemas.openxmlformats.org/officeDocument/2006/relationships/hyperlink" Target="http://www.liberty-human-rights.org.uk/sites/default/files/Liberty's%20evidence%20to%20the%20ISC%20inquiry%20into%20privacy%20and%20security%20(Feb%202014).pdf" TargetMode="External"/><Relationship Id="rId269" Type="http://schemas.openxmlformats.org/officeDocument/2006/relationships/hyperlink" Target="http://www.publications.parliament.uk/pa/cm200809/cmhansrd/cm090226/debtext/90226-0008.htm" TargetMode="External"/><Relationship Id="rId434" Type="http://schemas.openxmlformats.org/officeDocument/2006/relationships/hyperlink" Target="http://wales.gov.uk/consultations/people-and-communities/vawwhitepaper/?lang=en" TargetMode="External"/><Relationship Id="rId33" Type="http://schemas.openxmlformats.org/officeDocument/2006/relationships/hyperlink" Target="http://www.publications.parliament.uk/pa/jt201314/jtselect/jtdraftvoting/103/10302.htm" TargetMode="External"/><Relationship Id="rId129" Type="http://schemas.openxmlformats.org/officeDocument/2006/relationships/hyperlink" Target="http://www.legislation.gov.uk/ukpga/2000/11/contents" TargetMode="External"/><Relationship Id="rId280" Type="http://schemas.openxmlformats.org/officeDocument/2006/relationships/hyperlink" Target="http://hudoc.echr.coe.int/sites/eng/pages/search.aspx?i=001-105606" TargetMode="External"/><Relationship Id="rId336" Type="http://schemas.openxmlformats.org/officeDocument/2006/relationships/hyperlink" Target="https://www.gov.uk/government/uploads/system/uploads/attachment_data/file/302776/NOMS_Business_Plan_201415.pdf" TargetMode="External"/><Relationship Id="rId75" Type="http://schemas.openxmlformats.org/officeDocument/2006/relationships/hyperlink" Target="http://www.womensaid.org.uk/page.asp?section=00010001001400130005&amp;sectionTitle=Women's+Aid+Annual+Survey" TargetMode="External"/><Relationship Id="rId140" Type="http://schemas.openxmlformats.org/officeDocument/2006/relationships/hyperlink" Target="https://www.gov.uk/government/publications/review-of-counter-terrorism-and-security-powers" TargetMode="External"/><Relationship Id="rId182" Type="http://schemas.openxmlformats.org/officeDocument/2006/relationships/hyperlink" Target="http://www.equalityhumanrights.com/legal-and-policy/our-legal-work/parliamentary-briefings/anti-social-behaviour-crime-and-policing-bill-schedule-8-lords-committee-stage-briefing" TargetMode="External"/><Relationship Id="rId378" Type="http://schemas.openxmlformats.org/officeDocument/2006/relationships/hyperlink" Target="http://www.publications.parliament.uk/pa/ld201415/ldhansrd/text/140626-gc0001.htm" TargetMode="External"/><Relationship Id="rId403" Type="http://schemas.openxmlformats.org/officeDocument/2006/relationships/hyperlink" Target="http://www.publications.parliament.uk/pa/jt201314/jtselect/jtrights/189/18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0CBD82-68F4-47A1-BEA9-ABF47443ED69}"/>
</file>

<file path=customXml/itemProps2.xml><?xml version="1.0" encoding="utf-8"?>
<ds:datastoreItem xmlns:ds="http://schemas.openxmlformats.org/officeDocument/2006/customXml" ds:itemID="{DB80D8B6-EC58-4B8E-95E0-67A717B6338B}"/>
</file>

<file path=customXml/itemProps3.xml><?xml version="1.0" encoding="utf-8"?>
<ds:datastoreItem xmlns:ds="http://schemas.openxmlformats.org/officeDocument/2006/customXml" ds:itemID="{5358069D-8267-449F-8D1D-20A94FBC20FE}"/>
</file>

<file path=customXml/itemProps4.xml><?xml version="1.0" encoding="utf-8"?>
<ds:datastoreItem xmlns:ds="http://schemas.openxmlformats.org/officeDocument/2006/customXml" ds:itemID="{44DBAD1E-A43A-41D3-9164-BFAF9C8E31C4}"/>
</file>

<file path=docProps/app.xml><?xml version="1.0" encoding="utf-8"?>
<Properties xmlns="http://schemas.openxmlformats.org/officeDocument/2006/extended-properties" xmlns:vt="http://schemas.openxmlformats.org/officeDocument/2006/docPropsVTypes">
  <Template>Normal</Template>
  <TotalTime>2</TotalTime>
  <Pages>145</Pages>
  <Words>39085</Words>
  <Characters>222786</Characters>
  <Application>Microsoft Office Word</Application>
  <DocSecurity>0</DocSecurity>
  <Lines>1856</Lines>
  <Paragraphs>522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Bowles</dc:creator>
  <cp:lastModifiedBy>Elizabeth Bowles</cp:lastModifiedBy>
  <cp:revision>3</cp:revision>
  <cp:lastPrinted>2015-03-23T17:12:00Z</cp:lastPrinted>
  <dcterms:created xsi:type="dcterms:W3CDTF">2015-06-03T13:40:00Z</dcterms:created>
  <dcterms:modified xsi:type="dcterms:W3CDTF">2015-06-03T13:55:00Z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