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634C8" w:rsidRDefault="00000000">
      <w:pPr>
        <w:pBdr>
          <w:top w:val="nil"/>
          <w:left w:val="nil"/>
          <w:bottom w:val="nil"/>
          <w:right w:val="nil"/>
          <w:between w:val="nil"/>
        </w:pBdr>
        <w:spacing w:after="0"/>
        <w:jc w:val="both"/>
        <w:rPr>
          <w:color w:val="000000"/>
        </w:rPr>
      </w:pPr>
      <w:r>
        <w:rPr>
          <w:noProof/>
          <w:color w:val="000000"/>
        </w:rPr>
        <w:drawing>
          <wp:inline distT="0" distB="0" distL="0" distR="0" wp14:anchorId="30F257EA" wp14:editId="7C191BF5">
            <wp:extent cx="1295862" cy="1241108"/>
            <wp:effectExtent l="0" t="0" r="0" b="6350"/>
            <wp:docPr id="22" name="image5.png" descr="C:\Users\Deepa_2\Google Drive\AAM Operations\Administration\AAM_profile pic (1).png"/>
            <wp:cNvGraphicFramePr/>
            <a:graphic xmlns:a="http://schemas.openxmlformats.org/drawingml/2006/main">
              <a:graphicData uri="http://schemas.openxmlformats.org/drawingml/2006/picture">
                <pic:pic xmlns:pic="http://schemas.openxmlformats.org/drawingml/2006/picture">
                  <pic:nvPicPr>
                    <pic:cNvPr id="0" name="image5.png" descr="C:\Users\Deepa_2\Google Drive\AAM Operations\Administration\AAM_profile pic (1).png"/>
                    <pic:cNvPicPr preferRelativeResize="0"/>
                  </pic:nvPicPr>
                  <pic:blipFill>
                    <a:blip r:embed="rId9"/>
                    <a:srcRect/>
                    <a:stretch>
                      <a:fillRect/>
                    </a:stretch>
                  </pic:blipFill>
                  <pic:spPr>
                    <a:xfrm>
                      <a:off x="0" y="0"/>
                      <a:ext cx="1295862" cy="1241108"/>
                    </a:xfrm>
                    <a:prstGeom prst="rect">
                      <a:avLst/>
                    </a:prstGeom>
                    <a:ln/>
                  </pic:spPr>
                </pic:pic>
              </a:graphicData>
            </a:graphic>
          </wp:inline>
        </w:drawing>
      </w:r>
    </w:p>
    <w:p w14:paraId="00000002" w14:textId="77777777" w:rsidR="00B634C8" w:rsidRDefault="00B634C8">
      <w:pPr>
        <w:pBdr>
          <w:top w:val="nil"/>
          <w:left w:val="nil"/>
          <w:bottom w:val="nil"/>
          <w:right w:val="nil"/>
          <w:between w:val="nil"/>
        </w:pBdr>
        <w:spacing w:after="0"/>
        <w:jc w:val="both"/>
        <w:rPr>
          <w:color w:val="000000"/>
        </w:rPr>
      </w:pPr>
    </w:p>
    <w:p w14:paraId="00000003" w14:textId="77777777" w:rsidR="00B634C8" w:rsidRDefault="00000000">
      <w:pPr>
        <w:pBdr>
          <w:top w:val="nil"/>
          <w:left w:val="nil"/>
          <w:bottom w:val="nil"/>
          <w:right w:val="nil"/>
          <w:between w:val="nil"/>
        </w:pBdr>
        <w:tabs>
          <w:tab w:val="left" w:pos="3300"/>
        </w:tabs>
        <w:spacing w:after="0"/>
        <w:jc w:val="both"/>
        <w:rPr>
          <w:color w:val="000000"/>
          <w:sz w:val="32"/>
          <w:szCs w:val="32"/>
        </w:rPr>
      </w:pPr>
      <w:r>
        <w:rPr>
          <w:color w:val="000000"/>
        </w:rPr>
        <w:tab/>
      </w:r>
    </w:p>
    <w:p w14:paraId="00000004" w14:textId="77777777" w:rsidR="00B634C8" w:rsidRDefault="00000000">
      <w:pPr>
        <w:pBdr>
          <w:top w:val="nil"/>
          <w:left w:val="nil"/>
          <w:bottom w:val="nil"/>
          <w:right w:val="nil"/>
          <w:between w:val="nil"/>
        </w:pBdr>
        <w:spacing w:after="0"/>
        <w:jc w:val="center"/>
        <w:rPr>
          <w:b/>
          <w:color w:val="000000"/>
          <w:sz w:val="28"/>
          <w:szCs w:val="28"/>
        </w:rPr>
      </w:pPr>
      <w:sdt>
        <w:sdtPr>
          <w:tag w:val="goog_rdk_0"/>
          <w:id w:val="-1805151632"/>
        </w:sdtPr>
        <w:sdtContent/>
      </w:sdt>
      <w:r>
        <w:rPr>
          <w:b/>
          <w:color w:val="000000"/>
          <w:sz w:val="32"/>
          <w:szCs w:val="32"/>
        </w:rPr>
        <w:t>ASYLUM ACCESS MALAYSIA</w:t>
      </w:r>
    </w:p>
    <w:p w14:paraId="00000005" w14:textId="77777777" w:rsidR="00B634C8" w:rsidRDefault="00B634C8">
      <w:pPr>
        <w:pBdr>
          <w:top w:val="nil"/>
          <w:left w:val="nil"/>
          <w:bottom w:val="nil"/>
          <w:right w:val="nil"/>
          <w:between w:val="nil"/>
        </w:pBdr>
        <w:spacing w:after="0"/>
        <w:jc w:val="center"/>
        <w:rPr>
          <w:b/>
          <w:color w:val="000000"/>
          <w:sz w:val="28"/>
          <w:szCs w:val="28"/>
        </w:rPr>
      </w:pPr>
    </w:p>
    <w:p w14:paraId="00000006" w14:textId="77777777" w:rsidR="00B634C8" w:rsidRDefault="00000000">
      <w:pPr>
        <w:pBdr>
          <w:top w:val="nil"/>
          <w:left w:val="nil"/>
          <w:bottom w:val="nil"/>
          <w:right w:val="nil"/>
          <w:between w:val="nil"/>
        </w:pBdr>
        <w:spacing w:after="0"/>
        <w:jc w:val="center"/>
        <w:rPr>
          <w:b/>
          <w:color w:val="000000"/>
          <w:sz w:val="28"/>
          <w:szCs w:val="28"/>
        </w:rPr>
      </w:pPr>
      <w:r>
        <w:rPr>
          <w:b/>
          <w:color w:val="000000"/>
          <w:sz w:val="28"/>
          <w:szCs w:val="28"/>
        </w:rPr>
        <w:t>CONTRIBUTION TO THE LIST OF ISSUES TO BE COMPILED BY THE COMMITTEE ON THE CONVENTION ON THE ELIMINATION OF DISCRIMINATION AGAINST ALL WOMEN (CEDAW)</w:t>
      </w:r>
    </w:p>
    <w:p w14:paraId="00000007" w14:textId="77777777" w:rsidR="00B634C8" w:rsidRDefault="00B634C8">
      <w:pPr>
        <w:pBdr>
          <w:top w:val="nil"/>
          <w:left w:val="nil"/>
          <w:bottom w:val="nil"/>
          <w:right w:val="nil"/>
          <w:between w:val="nil"/>
        </w:pBdr>
        <w:spacing w:after="160" w:line="259" w:lineRule="auto"/>
        <w:jc w:val="both"/>
        <w:rPr>
          <w:i/>
          <w:color w:val="000000"/>
          <w:sz w:val="28"/>
          <w:szCs w:val="28"/>
        </w:rPr>
      </w:pPr>
    </w:p>
    <w:p w14:paraId="00000008" w14:textId="77777777" w:rsidR="00B634C8" w:rsidRDefault="00000000">
      <w:pPr>
        <w:pBdr>
          <w:top w:val="nil"/>
          <w:left w:val="nil"/>
          <w:bottom w:val="nil"/>
          <w:right w:val="nil"/>
          <w:between w:val="nil"/>
        </w:pBdr>
        <w:spacing w:after="160" w:line="259" w:lineRule="auto"/>
        <w:jc w:val="center"/>
        <w:rPr>
          <w:b/>
          <w:color w:val="000000"/>
          <w:sz w:val="28"/>
          <w:szCs w:val="28"/>
        </w:rPr>
      </w:pPr>
      <w:r>
        <w:rPr>
          <w:b/>
          <w:color w:val="000000"/>
          <w:sz w:val="28"/>
          <w:szCs w:val="28"/>
        </w:rPr>
        <w:t>REFUGEE AND ASYLUM-SEEKER WOMEN</w:t>
      </w:r>
    </w:p>
    <w:p w14:paraId="00000009" w14:textId="77777777" w:rsidR="00B634C8" w:rsidRDefault="00B634C8">
      <w:pPr>
        <w:pBdr>
          <w:top w:val="nil"/>
          <w:left w:val="nil"/>
          <w:bottom w:val="nil"/>
          <w:right w:val="nil"/>
          <w:between w:val="nil"/>
        </w:pBdr>
        <w:spacing w:after="0"/>
        <w:jc w:val="center"/>
        <w:rPr>
          <w:b/>
          <w:color w:val="000000"/>
          <w:sz w:val="28"/>
          <w:szCs w:val="28"/>
        </w:rPr>
      </w:pPr>
    </w:p>
    <w:p w14:paraId="0000000A" w14:textId="77777777" w:rsidR="00B634C8" w:rsidRDefault="00000000">
      <w:pPr>
        <w:pBdr>
          <w:top w:val="nil"/>
          <w:left w:val="nil"/>
          <w:bottom w:val="nil"/>
          <w:right w:val="nil"/>
          <w:between w:val="nil"/>
        </w:pBdr>
        <w:spacing w:after="0"/>
        <w:jc w:val="center"/>
        <w:rPr>
          <w:b/>
          <w:color w:val="000000"/>
          <w:sz w:val="28"/>
          <w:szCs w:val="28"/>
        </w:rPr>
      </w:pPr>
      <w:r>
        <w:rPr>
          <w:b/>
          <w:color w:val="000000"/>
          <w:sz w:val="28"/>
          <w:szCs w:val="28"/>
        </w:rPr>
        <w:t xml:space="preserve">STATE PARTY: </w:t>
      </w:r>
    </w:p>
    <w:p w14:paraId="0000000B" w14:textId="77777777" w:rsidR="00B634C8" w:rsidRDefault="00000000">
      <w:pPr>
        <w:pBdr>
          <w:top w:val="nil"/>
          <w:left w:val="nil"/>
          <w:bottom w:val="nil"/>
          <w:right w:val="nil"/>
          <w:between w:val="nil"/>
        </w:pBdr>
        <w:spacing w:after="0"/>
        <w:jc w:val="center"/>
        <w:rPr>
          <w:b/>
          <w:color w:val="000000"/>
          <w:sz w:val="28"/>
          <w:szCs w:val="28"/>
        </w:rPr>
      </w:pPr>
      <w:r>
        <w:rPr>
          <w:b/>
          <w:color w:val="000000"/>
          <w:sz w:val="28"/>
          <w:szCs w:val="28"/>
        </w:rPr>
        <w:t>MALAYSIA</w:t>
      </w:r>
    </w:p>
    <w:p w14:paraId="0000000C" w14:textId="77777777" w:rsidR="00B634C8" w:rsidRDefault="00B634C8">
      <w:pPr>
        <w:pBdr>
          <w:top w:val="nil"/>
          <w:left w:val="nil"/>
          <w:bottom w:val="nil"/>
          <w:right w:val="nil"/>
          <w:between w:val="nil"/>
        </w:pBdr>
        <w:spacing w:after="0"/>
        <w:jc w:val="both"/>
        <w:rPr>
          <w:color w:val="000000"/>
        </w:rPr>
      </w:pPr>
    </w:p>
    <w:p w14:paraId="0000000D" w14:textId="77777777" w:rsidR="00B634C8" w:rsidRDefault="00B634C8">
      <w:pPr>
        <w:pBdr>
          <w:top w:val="nil"/>
          <w:left w:val="nil"/>
          <w:bottom w:val="nil"/>
          <w:right w:val="nil"/>
          <w:between w:val="nil"/>
        </w:pBdr>
        <w:spacing w:after="0"/>
        <w:jc w:val="both"/>
        <w:rPr>
          <w:b/>
          <w:color w:val="000000"/>
        </w:rPr>
      </w:pPr>
    </w:p>
    <w:p w14:paraId="0000000E" w14:textId="77777777" w:rsidR="00B634C8" w:rsidRDefault="00000000">
      <w:pPr>
        <w:pBdr>
          <w:top w:val="nil"/>
          <w:left w:val="nil"/>
          <w:bottom w:val="nil"/>
          <w:right w:val="nil"/>
          <w:between w:val="nil"/>
        </w:pBdr>
        <w:spacing w:after="0"/>
        <w:jc w:val="center"/>
        <w:rPr>
          <w:b/>
          <w:color w:val="000000"/>
          <w:sz w:val="26"/>
          <w:szCs w:val="26"/>
        </w:rPr>
      </w:pPr>
      <w:r>
        <w:rPr>
          <w:b/>
          <w:sz w:val="26"/>
          <w:szCs w:val="26"/>
        </w:rPr>
        <w:t>JANUARY 2023</w:t>
      </w:r>
    </w:p>
    <w:p w14:paraId="0000000F" w14:textId="77777777" w:rsidR="00B634C8" w:rsidRDefault="00B634C8">
      <w:pPr>
        <w:pBdr>
          <w:top w:val="nil"/>
          <w:left w:val="nil"/>
          <w:bottom w:val="nil"/>
          <w:right w:val="nil"/>
          <w:between w:val="nil"/>
        </w:pBdr>
        <w:spacing w:after="0"/>
        <w:jc w:val="both"/>
        <w:rPr>
          <w:b/>
          <w:color w:val="000000"/>
        </w:rPr>
      </w:pPr>
    </w:p>
    <w:p w14:paraId="00000010" w14:textId="77777777" w:rsidR="00B634C8" w:rsidRDefault="00B634C8">
      <w:pPr>
        <w:pBdr>
          <w:top w:val="nil"/>
          <w:left w:val="nil"/>
          <w:bottom w:val="nil"/>
          <w:right w:val="nil"/>
          <w:between w:val="nil"/>
        </w:pBdr>
        <w:spacing w:after="0"/>
        <w:ind w:left="720"/>
        <w:jc w:val="both"/>
        <w:rPr>
          <w:color w:val="000000"/>
        </w:rPr>
      </w:pPr>
    </w:p>
    <w:p w14:paraId="00000011" w14:textId="77777777" w:rsidR="00B634C8" w:rsidRDefault="00B634C8">
      <w:pPr>
        <w:pBdr>
          <w:top w:val="nil"/>
          <w:left w:val="nil"/>
          <w:bottom w:val="nil"/>
          <w:right w:val="nil"/>
          <w:between w:val="nil"/>
        </w:pBdr>
        <w:spacing w:after="0"/>
        <w:jc w:val="both"/>
        <w:rPr>
          <w:color w:val="000000"/>
        </w:rPr>
      </w:pPr>
    </w:p>
    <w:p w14:paraId="00000016" w14:textId="2B84BD5F" w:rsidR="00B634C8" w:rsidRDefault="00000000">
      <w:pPr>
        <w:pBdr>
          <w:top w:val="nil"/>
          <w:left w:val="nil"/>
          <w:bottom w:val="nil"/>
          <w:right w:val="nil"/>
          <w:between w:val="nil"/>
        </w:pBdr>
        <w:spacing w:after="0"/>
        <w:jc w:val="center"/>
        <w:rPr>
          <w:b/>
          <w:color w:val="000000"/>
        </w:rPr>
      </w:pPr>
      <w:hyperlink r:id="rId10">
        <w:r>
          <w:rPr>
            <w:b/>
            <w:color w:val="000000"/>
          </w:rPr>
          <w:t>www.asylumaccess.com</w:t>
        </w:r>
      </w:hyperlink>
    </w:p>
    <w:p w14:paraId="00000017" w14:textId="77777777" w:rsidR="00B634C8" w:rsidRDefault="00B634C8">
      <w:pPr>
        <w:pBdr>
          <w:top w:val="nil"/>
          <w:left w:val="nil"/>
          <w:bottom w:val="nil"/>
          <w:right w:val="nil"/>
          <w:between w:val="nil"/>
        </w:pBdr>
        <w:spacing w:after="0"/>
        <w:jc w:val="both"/>
        <w:rPr>
          <w:b/>
          <w:color w:val="000000"/>
        </w:rPr>
      </w:pPr>
    </w:p>
    <w:p w14:paraId="6F119040"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670293E4"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6D3C4FD0"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41F1D1A5"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4A17DB75"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2402E6B2"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5A466C9A"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437D66E0"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0B2C7DEE"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0D17DC39"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2158280F"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477137EB" w14:textId="77777777" w:rsidR="00D44BEA" w:rsidRDefault="00D44BEA" w:rsidP="00D44BEA">
      <w:pPr>
        <w:pStyle w:val="NormalWeb"/>
        <w:shd w:val="clear" w:color="auto" w:fill="FFFFFF"/>
        <w:spacing w:before="0" w:beforeAutospacing="0" w:after="0" w:afterAutospacing="0"/>
        <w:jc w:val="both"/>
        <w:rPr>
          <w:rFonts w:ascii="Arial" w:hAnsi="Arial" w:cs="Arial"/>
          <w:i/>
          <w:iCs/>
          <w:color w:val="000000"/>
          <w:sz w:val="20"/>
          <w:szCs w:val="20"/>
        </w:rPr>
      </w:pPr>
    </w:p>
    <w:p w14:paraId="0DF8BEDD" w14:textId="5CCC754C" w:rsidR="00D44BEA" w:rsidRDefault="00D44BEA" w:rsidP="00D44BEA">
      <w:pPr>
        <w:pStyle w:val="NormalWeb"/>
        <w:shd w:val="clear" w:color="auto" w:fill="FFFFFF"/>
        <w:spacing w:before="0" w:beforeAutospacing="0" w:after="0" w:afterAutospacing="0"/>
        <w:jc w:val="both"/>
      </w:pPr>
      <w:r>
        <w:rPr>
          <w:rFonts w:ascii="Arial" w:hAnsi="Arial" w:cs="Arial"/>
          <w:i/>
          <w:iCs/>
          <w:color w:val="000000"/>
          <w:sz w:val="20"/>
          <w:szCs w:val="20"/>
        </w:rPr>
        <w:t xml:space="preserve">This </w:t>
      </w:r>
      <w:r>
        <w:rPr>
          <w:rFonts w:ascii="Arial" w:hAnsi="Arial" w:cs="Arial"/>
          <w:i/>
          <w:iCs/>
          <w:color w:val="000000"/>
          <w:sz w:val="20"/>
          <w:szCs w:val="20"/>
        </w:rPr>
        <w:t>submission</w:t>
      </w:r>
      <w:r>
        <w:rPr>
          <w:rFonts w:ascii="Arial" w:hAnsi="Arial" w:cs="Arial"/>
          <w:i/>
          <w:iCs/>
          <w:color w:val="000000"/>
          <w:sz w:val="20"/>
          <w:szCs w:val="20"/>
        </w:rPr>
        <w:t xml:space="preserve"> was prepared by Asylum Access Malaysia a </w:t>
      </w:r>
      <w:r>
        <w:rPr>
          <w:rFonts w:ascii="Arial" w:hAnsi="Arial" w:cs="Arial"/>
          <w:i/>
          <w:iCs/>
          <w:color w:val="000000"/>
          <w:sz w:val="20"/>
          <w:szCs w:val="20"/>
        </w:rPr>
        <w:t xml:space="preserve">refugee legal empowerment organisation seeking to make refugee rights a reality in </w:t>
      </w:r>
      <w:r>
        <w:rPr>
          <w:rFonts w:ascii="Arial" w:hAnsi="Arial" w:cs="Arial"/>
          <w:i/>
          <w:iCs/>
          <w:color w:val="000000"/>
          <w:sz w:val="20"/>
          <w:szCs w:val="20"/>
        </w:rPr>
        <w:t xml:space="preserve">Malaysia. For more </w:t>
      </w:r>
      <w:proofErr w:type="gramStart"/>
      <w:r>
        <w:rPr>
          <w:rFonts w:ascii="Arial" w:hAnsi="Arial" w:cs="Arial"/>
          <w:i/>
          <w:iCs/>
          <w:color w:val="000000"/>
          <w:sz w:val="20"/>
          <w:szCs w:val="20"/>
        </w:rPr>
        <w:t>information</w:t>
      </w:r>
      <w:proofErr w:type="gramEnd"/>
      <w:r>
        <w:rPr>
          <w:rFonts w:ascii="Arial" w:hAnsi="Arial" w:cs="Arial"/>
          <w:i/>
          <w:iCs/>
          <w:color w:val="000000"/>
          <w:sz w:val="20"/>
          <w:szCs w:val="20"/>
        </w:rPr>
        <w:t xml:space="preserve"> please contact Hui Ying</w:t>
      </w:r>
      <w:r w:rsidR="006C09BE">
        <w:rPr>
          <w:rFonts w:ascii="Arial" w:hAnsi="Arial" w:cs="Arial"/>
          <w:i/>
          <w:iCs/>
          <w:color w:val="000000"/>
          <w:sz w:val="20"/>
          <w:szCs w:val="20"/>
        </w:rPr>
        <w:t xml:space="preserve"> Tham</w:t>
      </w:r>
      <w:r>
        <w:rPr>
          <w:rFonts w:ascii="Arial" w:hAnsi="Arial" w:cs="Arial"/>
          <w:i/>
          <w:iCs/>
          <w:color w:val="000000"/>
          <w:sz w:val="20"/>
          <w:szCs w:val="20"/>
        </w:rPr>
        <w:t xml:space="preserve"> at </w:t>
      </w:r>
      <w:r>
        <w:rPr>
          <w:rFonts w:ascii="Arial" w:hAnsi="Arial" w:cs="Arial"/>
          <w:i/>
          <w:iCs/>
          <w:color w:val="000000"/>
          <w:sz w:val="20"/>
          <w:szCs w:val="20"/>
          <w:u w:val="single"/>
        </w:rPr>
        <w:t>huiying.tham@asylumaccess.org.</w:t>
      </w:r>
    </w:p>
    <w:p w14:paraId="74228FD6" w14:textId="1ABED571" w:rsidR="00D44BEA" w:rsidRPr="00D44BEA" w:rsidRDefault="00D44BEA">
      <w:pPr>
        <w:pBdr>
          <w:top w:val="nil"/>
          <w:left w:val="nil"/>
          <w:bottom w:val="nil"/>
          <w:right w:val="nil"/>
          <w:between w:val="nil"/>
        </w:pBdr>
        <w:spacing w:after="160" w:line="259" w:lineRule="auto"/>
      </w:pPr>
    </w:p>
    <w:p w14:paraId="0000001A" w14:textId="27DA4BB7" w:rsidR="00B634C8" w:rsidRPr="00D44BEA" w:rsidRDefault="00000000" w:rsidP="00D44BEA">
      <w:pPr>
        <w:rPr>
          <w:b/>
          <w:color w:val="2F5496"/>
          <w:sz w:val="26"/>
          <w:szCs w:val="26"/>
        </w:rPr>
      </w:pPr>
      <w:r>
        <w:rPr>
          <w:b/>
          <w:color w:val="2F5496"/>
          <w:sz w:val="26"/>
          <w:szCs w:val="26"/>
        </w:rPr>
        <w:t>INTRODUCTION</w:t>
      </w:r>
    </w:p>
    <w:p w14:paraId="0000001B"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This submission is a summary of relevant issues for consideration by the CEDAW Committee in their compilation of a formal List of Issues to be put to the Malaysian Government ahead of their periodic review under CEDAW. This report is submitted on behalf of Asylum Access Malaysia.</w:t>
      </w:r>
    </w:p>
    <w:p w14:paraId="0000001C" w14:textId="77777777" w:rsidR="00B634C8" w:rsidRDefault="00B634C8">
      <w:pPr>
        <w:pBdr>
          <w:top w:val="nil"/>
          <w:left w:val="nil"/>
          <w:bottom w:val="nil"/>
          <w:right w:val="nil"/>
          <w:between w:val="nil"/>
        </w:pBdr>
        <w:spacing w:after="0"/>
        <w:ind w:left="720"/>
        <w:jc w:val="both"/>
        <w:rPr>
          <w:color w:val="000000"/>
        </w:rPr>
      </w:pPr>
    </w:p>
    <w:p w14:paraId="0000001D"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This report is intended for consideration by the CEDAW Committee working group during the pre-session in February 2023.</w:t>
      </w:r>
    </w:p>
    <w:p w14:paraId="0000001E" w14:textId="77777777" w:rsidR="00B634C8" w:rsidRDefault="00B634C8">
      <w:pPr>
        <w:pBdr>
          <w:top w:val="nil"/>
          <w:left w:val="nil"/>
          <w:bottom w:val="nil"/>
          <w:right w:val="nil"/>
          <w:between w:val="nil"/>
        </w:pBdr>
        <w:spacing w:after="0"/>
        <w:jc w:val="both"/>
        <w:rPr>
          <w:color w:val="000000"/>
        </w:rPr>
      </w:pPr>
    </w:p>
    <w:p w14:paraId="0000001F" w14:textId="77777777" w:rsidR="00B634C8" w:rsidRDefault="00000000">
      <w:pPr>
        <w:keepNext/>
        <w:keepLines/>
        <w:pBdr>
          <w:top w:val="nil"/>
          <w:left w:val="nil"/>
          <w:bottom w:val="nil"/>
          <w:right w:val="nil"/>
          <w:between w:val="nil"/>
        </w:pBdr>
        <w:spacing w:before="120" w:after="120"/>
        <w:jc w:val="both"/>
        <w:rPr>
          <w:b/>
          <w:color w:val="2F5496"/>
          <w:sz w:val="26"/>
          <w:szCs w:val="26"/>
        </w:rPr>
      </w:pPr>
      <w:r>
        <w:rPr>
          <w:b/>
          <w:color w:val="2F5496"/>
          <w:sz w:val="26"/>
          <w:szCs w:val="26"/>
        </w:rPr>
        <w:t>OVERVIEW: ASYLUM SEEKER AND REFUGEE WOMEN AND GIRLS IN MALAYSIA</w:t>
      </w:r>
    </w:p>
    <w:p w14:paraId="00000020"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This report focuses on </w:t>
      </w:r>
      <w:r>
        <w:rPr>
          <w:b/>
          <w:color w:val="000000"/>
        </w:rPr>
        <w:t>refugee and asylum seeker women</w:t>
      </w:r>
      <w:r>
        <w:rPr>
          <w:color w:val="000000"/>
        </w:rPr>
        <w:t xml:space="preserve"> in Malaysia.</w:t>
      </w:r>
      <w:r>
        <w:rPr>
          <w:color w:val="000000"/>
          <w:vertAlign w:val="superscript"/>
        </w:rPr>
        <w:footnoteReference w:id="1"/>
      </w:r>
      <w:r>
        <w:rPr>
          <w:color w:val="000000"/>
        </w:rPr>
        <w:t xml:space="preserve"> Asylum Access Malaysia welcomes the recommendations of the CEDAW Committee in its Concluding Observations in 2018</w:t>
      </w:r>
      <w:r>
        <w:rPr>
          <w:color w:val="000000"/>
          <w:vertAlign w:val="superscript"/>
        </w:rPr>
        <w:footnoteReference w:id="2"/>
      </w:r>
      <w:r>
        <w:rPr>
          <w:color w:val="000000"/>
        </w:rPr>
        <w:t xml:space="preserve"> to the Malaysian government that: </w:t>
      </w:r>
    </w:p>
    <w:p w14:paraId="00000021" w14:textId="77777777" w:rsidR="00B634C8" w:rsidRDefault="00B634C8">
      <w:pPr>
        <w:pBdr>
          <w:top w:val="nil"/>
          <w:left w:val="nil"/>
          <w:bottom w:val="nil"/>
          <w:right w:val="nil"/>
          <w:between w:val="nil"/>
        </w:pBdr>
        <w:spacing w:after="0"/>
        <w:ind w:left="720"/>
        <w:jc w:val="both"/>
        <w:rPr>
          <w:color w:val="000000"/>
        </w:rPr>
      </w:pPr>
    </w:p>
    <w:p w14:paraId="00000022"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t>The Convention relating to the Status of Refugees and the Protocol should be ratified without further delay;</w:t>
      </w:r>
      <w:r>
        <w:rPr>
          <w:vertAlign w:val="superscript"/>
        </w:rPr>
        <w:footnoteReference w:id="3"/>
      </w:r>
    </w:p>
    <w:p w14:paraId="00000023"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rPr>
          <w:color w:val="000000"/>
        </w:rPr>
        <w:t>the Malaysian government should adopt laws and regulations relating to the status of asylum seekers and refugees in Malaysia in line with international standards, including codifying the principle of non-refoulement;</w:t>
      </w:r>
      <w:r>
        <w:rPr>
          <w:color w:val="000000"/>
          <w:vertAlign w:val="superscript"/>
        </w:rPr>
        <w:footnoteReference w:id="4"/>
      </w:r>
    </w:p>
    <w:p w14:paraId="00000024"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rPr>
          <w:color w:val="000000"/>
        </w:rPr>
        <w:t>the principle of non-refoulement is fully respected and that no person registered with the Office of the United Nations High Commissioner for Refugees (“UNHCR”) is deported;</w:t>
      </w:r>
      <w:r>
        <w:rPr>
          <w:color w:val="000000"/>
          <w:vertAlign w:val="superscript"/>
        </w:rPr>
        <w:footnoteReference w:id="5"/>
      </w:r>
    </w:p>
    <w:p w14:paraId="00000025"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rPr>
          <w:color w:val="000000"/>
        </w:rPr>
        <w:t>full access to asylum procedures in the country is provided to asylum seeker women and girls;</w:t>
      </w:r>
      <w:r>
        <w:rPr>
          <w:color w:val="000000"/>
          <w:vertAlign w:val="superscript"/>
        </w:rPr>
        <w:footnoteReference w:id="6"/>
      </w:r>
      <w:r>
        <w:rPr>
          <w:color w:val="000000"/>
        </w:rPr>
        <w:t xml:space="preserve"> </w:t>
      </w:r>
    </w:p>
    <w:p w14:paraId="00000026"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rPr>
          <w:color w:val="000000"/>
        </w:rPr>
        <w:t>alternatives to detention are established for women and girls, and in the interim concrete measures taken to ensure women and girls in places of detention have access to adequate hygiene facilities and protected from all forms of gender-based violence;</w:t>
      </w:r>
      <w:r>
        <w:rPr>
          <w:color w:val="000000"/>
          <w:vertAlign w:val="superscript"/>
        </w:rPr>
        <w:footnoteReference w:id="7"/>
      </w:r>
      <w:r>
        <w:rPr>
          <w:color w:val="000000"/>
        </w:rPr>
        <w:t xml:space="preserve"> and</w:t>
      </w:r>
    </w:p>
    <w:p w14:paraId="00000027" w14:textId="77777777" w:rsidR="00B634C8" w:rsidRDefault="00000000">
      <w:pPr>
        <w:numPr>
          <w:ilvl w:val="1"/>
          <w:numId w:val="1"/>
        </w:numPr>
        <w:pBdr>
          <w:top w:val="nil"/>
          <w:left w:val="nil"/>
          <w:bottom w:val="nil"/>
          <w:right w:val="nil"/>
          <w:between w:val="nil"/>
        </w:pBdr>
        <w:spacing w:after="0" w:line="259" w:lineRule="auto"/>
        <w:ind w:hanging="360"/>
        <w:jc w:val="both"/>
        <w:rPr>
          <w:color w:val="000000"/>
        </w:rPr>
      </w:pPr>
      <w:r>
        <w:rPr>
          <w:color w:val="000000"/>
        </w:rPr>
        <w:t xml:space="preserve">refugee women and girls </w:t>
      </w:r>
      <w:r>
        <w:t>are provided</w:t>
      </w:r>
      <w:r>
        <w:rPr>
          <w:color w:val="000000"/>
        </w:rPr>
        <w:t xml:space="preserve"> access to livelihoods, education, healthcare, legal assistance, and other basic social services as appropriate.</w:t>
      </w:r>
      <w:r>
        <w:rPr>
          <w:color w:val="000000"/>
          <w:vertAlign w:val="superscript"/>
        </w:rPr>
        <w:footnoteReference w:id="8"/>
      </w:r>
      <w:r>
        <w:rPr>
          <w:color w:val="000000"/>
        </w:rPr>
        <w:t xml:space="preserve"> </w:t>
      </w:r>
    </w:p>
    <w:p w14:paraId="00000028" w14:textId="77777777" w:rsidR="00B634C8" w:rsidRDefault="00B634C8">
      <w:pPr>
        <w:pBdr>
          <w:top w:val="nil"/>
          <w:left w:val="nil"/>
          <w:bottom w:val="nil"/>
          <w:right w:val="nil"/>
          <w:between w:val="nil"/>
        </w:pBdr>
        <w:spacing w:after="0"/>
        <w:ind w:left="720"/>
        <w:jc w:val="both"/>
        <w:rPr>
          <w:color w:val="000000"/>
        </w:rPr>
      </w:pPr>
    </w:p>
    <w:p w14:paraId="00000029"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lastRenderedPageBreak/>
        <w:t>As of the end of October 2022, there are approximately 182, 780 refugees and asylum seekers registered with UNHCR in Malaysia, of which approximately 34% are women and 26% are children below the age of 18.</w:t>
      </w:r>
      <w:r>
        <w:rPr>
          <w:color w:val="000000"/>
          <w:vertAlign w:val="superscript"/>
        </w:rPr>
        <w:footnoteReference w:id="9"/>
      </w:r>
    </w:p>
    <w:p w14:paraId="0000002A" w14:textId="77777777" w:rsidR="00B634C8" w:rsidRDefault="00B634C8">
      <w:pPr>
        <w:pBdr>
          <w:top w:val="nil"/>
          <w:left w:val="nil"/>
          <w:bottom w:val="nil"/>
          <w:right w:val="nil"/>
          <w:between w:val="nil"/>
        </w:pBdr>
        <w:spacing w:after="0" w:line="259" w:lineRule="auto"/>
        <w:ind w:left="720"/>
        <w:jc w:val="both"/>
        <w:rPr>
          <w:color w:val="000000"/>
        </w:rPr>
      </w:pPr>
    </w:p>
    <w:p w14:paraId="0000002B"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At the time of writing, Malaysia has not signed the 1951 Refugee Convention nor its 1967 Protocol and does not have a legislative or administrative framework to protect refugees and asylum seekers within its jurisdiction. This makes refugees and asylum seekers vulnerable to arrest, detention and </w:t>
      </w:r>
      <w:r>
        <w:rPr>
          <w:i/>
          <w:color w:val="000000"/>
        </w:rPr>
        <w:t>refoulement.</w:t>
      </w:r>
      <w:r>
        <w:rPr>
          <w:color w:val="000000"/>
        </w:rPr>
        <w:t xml:space="preserve"> It also leaves them without adequate access to justice, lawful employment, healthcare, and education. Refugee and asylum seeker women in Malaysia face unique additional violations of their rights including forms of sexual and gender-based violence (SGBV), discrimination, exploitation, and xenophobic attacks.</w:t>
      </w:r>
      <w:r>
        <w:rPr>
          <w:color w:val="000000"/>
          <w:vertAlign w:val="superscript"/>
        </w:rPr>
        <w:footnoteReference w:id="10"/>
      </w:r>
    </w:p>
    <w:p w14:paraId="0000002C" w14:textId="77777777" w:rsidR="00B634C8" w:rsidRDefault="00B634C8">
      <w:pPr>
        <w:pBdr>
          <w:top w:val="nil"/>
          <w:left w:val="nil"/>
          <w:bottom w:val="nil"/>
          <w:right w:val="nil"/>
          <w:between w:val="nil"/>
        </w:pBdr>
        <w:spacing w:after="0" w:line="259" w:lineRule="auto"/>
        <w:ind w:left="720"/>
        <w:jc w:val="both"/>
        <w:rPr>
          <w:color w:val="000000"/>
        </w:rPr>
      </w:pPr>
    </w:p>
    <w:p w14:paraId="0000002D"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The COVID-19 pandemic has exacerbated the already precarious situation of refugees and asylum-</w:t>
      </w:r>
      <w:proofErr w:type="gramStart"/>
      <w:r>
        <w:rPr>
          <w:color w:val="000000"/>
        </w:rPr>
        <w:t>seekers  in</w:t>
      </w:r>
      <w:proofErr w:type="gramEnd"/>
      <w:r>
        <w:rPr>
          <w:color w:val="000000"/>
        </w:rPr>
        <w:t xml:space="preserve"> Malaysia. In particular, the government’s response and increased xenophobic attacks of the refugee and migrant population in Malaysia has led to gross violations of their basic rights. </w:t>
      </w:r>
    </w:p>
    <w:p w14:paraId="0000002E" w14:textId="77777777" w:rsidR="00B634C8" w:rsidRDefault="00B634C8">
      <w:pPr>
        <w:pBdr>
          <w:top w:val="nil"/>
          <w:left w:val="nil"/>
          <w:bottom w:val="nil"/>
          <w:right w:val="nil"/>
          <w:between w:val="nil"/>
        </w:pBdr>
        <w:spacing w:after="0"/>
        <w:jc w:val="both"/>
        <w:rPr>
          <w:color w:val="000000"/>
        </w:rPr>
      </w:pPr>
    </w:p>
    <w:p w14:paraId="0000002F"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While there </w:t>
      </w:r>
      <w:proofErr w:type="gramStart"/>
      <w:r>
        <w:rPr>
          <w:color w:val="000000"/>
        </w:rPr>
        <w:t>has</w:t>
      </w:r>
      <w:proofErr w:type="gramEnd"/>
      <w:r>
        <w:rPr>
          <w:color w:val="000000"/>
        </w:rPr>
        <w:t xml:space="preserve"> been some piecemeal efforts to improve conditions for refugees and asylum seekers, in the absence of any laws and enforceable policies, the Malaysian government continues to fail to act upon CEDAW Committee General Recommendation 32</w:t>
      </w:r>
      <w:r>
        <w:rPr>
          <w:color w:val="000000"/>
          <w:vertAlign w:val="superscript"/>
        </w:rPr>
        <w:footnoteReference w:id="11"/>
      </w:r>
      <w:r>
        <w:rPr>
          <w:color w:val="000000"/>
        </w:rPr>
        <w:t xml:space="preserve"> which places an onus on state parties to CEDAW to ensure that refugee and asylum seeker women within their effective control or jurisdiction are not exposed to violations of their rights under CEDAW.</w:t>
      </w:r>
      <w:r>
        <w:rPr>
          <w:color w:val="000000"/>
          <w:vertAlign w:val="superscript"/>
        </w:rPr>
        <w:footnoteReference w:id="12"/>
      </w:r>
    </w:p>
    <w:p w14:paraId="00000030" w14:textId="77777777" w:rsidR="00B634C8" w:rsidRDefault="00B634C8"/>
    <w:p w14:paraId="00000031" w14:textId="77777777" w:rsidR="00B634C8" w:rsidRDefault="00000000">
      <w:pPr>
        <w:keepNext/>
        <w:keepLines/>
        <w:pBdr>
          <w:top w:val="nil"/>
          <w:left w:val="nil"/>
          <w:bottom w:val="nil"/>
          <w:right w:val="nil"/>
          <w:between w:val="nil"/>
        </w:pBdr>
        <w:spacing w:before="120" w:after="120"/>
        <w:jc w:val="both"/>
        <w:rPr>
          <w:b/>
          <w:color w:val="2F5496"/>
          <w:sz w:val="26"/>
          <w:szCs w:val="26"/>
        </w:rPr>
      </w:pPr>
      <w:r>
        <w:rPr>
          <w:b/>
          <w:color w:val="2F5496"/>
          <w:sz w:val="26"/>
          <w:szCs w:val="26"/>
        </w:rPr>
        <w:t>ISSUES AND QUESTIONS FOR CONSIDERATION</w:t>
      </w:r>
    </w:p>
    <w:p w14:paraId="00000032" w14:textId="6E1C5FEE" w:rsidR="00B634C8" w:rsidRDefault="00000000">
      <w:pPr>
        <w:keepNext/>
        <w:keepLines/>
        <w:pBdr>
          <w:top w:val="nil"/>
          <w:left w:val="nil"/>
          <w:bottom w:val="nil"/>
          <w:right w:val="nil"/>
          <w:between w:val="nil"/>
        </w:pBdr>
        <w:spacing w:before="40" w:after="240"/>
        <w:jc w:val="both"/>
        <w:rPr>
          <w:b/>
          <w:i/>
          <w:color w:val="000000"/>
          <w:highlight w:val="yellow"/>
        </w:rPr>
      </w:pPr>
      <w:r>
        <w:rPr>
          <w:b/>
          <w:i/>
          <w:color w:val="000000"/>
        </w:rPr>
        <w:t xml:space="preserve">Issue 1: Laws and regulations relating to the status of refugees </w:t>
      </w:r>
      <w:r w:rsidRPr="00BC7717">
        <w:rPr>
          <w:b/>
          <w:i/>
          <w:color w:val="000000"/>
        </w:rPr>
        <w:t>(</w:t>
      </w:r>
      <w:r w:rsidR="00BC7717" w:rsidRPr="00BC7717">
        <w:rPr>
          <w:b/>
          <w:i/>
          <w:color w:val="000000"/>
        </w:rPr>
        <w:t>General Recommendation 32</w:t>
      </w:r>
      <w:r w:rsidRPr="00BC7717">
        <w:rPr>
          <w:b/>
          <w:i/>
          <w:color w:val="000000"/>
        </w:rPr>
        <w:t>)</w:t>
      </w:r>
    </w:p>
    <w:p w14:paraId="00000033"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Following Malaysia’s 2018 review, the CEDAW Committee identified adopting a legal framework for refugee management as a key priority area to be responded to within two years.</w:t>
      </w:r>
      <w:r>
        <w:rPr>
          <w:color w:val="000000"/>
          <w:vertAlign w:val="superscript"/>
        </w:rPr>
        <w:footnoteReference w:id="13"/>
      </w:r>
      <w:r>
        <w:rPr>
          <w:color w:val="000000"/>
        </w:rPr>
        <w:t xml:space="preserve"> In response to this</w:t>
      </w:r>
      <w:r>
        <w:rPr>
          <w:color w:val="000000"/>
          <w:vertAlign w:val="superscript"/>
        </w:rPr>
        <w:footnoteReference w:id="14"/>
      </w:r>
      <w:r>
        <w:rPr>
          <w:color w:val="000000"/>
        </w:rPr>
        <w:t xml:space="preserve"> and in Malaysia’s sixth periodic report,</w:t>
      </w:r>
      <w:r>
        <w:rPr>
          <w:color w:val="000000"/>
          <w:vertAlign w:val="superscript"/>
        </w:rPr>
        <w:footnoteReference w:id="15"/>
      </w:r>
      <w:r>
        <w:t xml:space="preserve"> </w:t>
      </w:r>
      <w:r>
        <w:rPr>
          <w:color w:val="000000"/>
        </w:rPr>
        <w:t xml:space="preserve">the government of Malaysia highlighted that a </w:t>
      </w:r>
      <w:r>
        <w:rPr>
          <w:color w:val="000000"/>
        </w:rPr>
        <w:lastRenderedPageBreak/>
        <w:t>feasibility study is being conducted and a comprehensive mechanism in managing refugees is being developed.</w:t>
      </w:r>
      <w:r>
        <w:rPr>
          <w:color w:val="000000"/>
          <w:vertAlign w:val="superscript"/>
        </w:rPr>
        <w:footnoteReference w:id="16"/>
      </w:r>
      <w:r>
        <w:rPr>
          <w:color w:val="000000"/>
        </w:rPr>
        <w:t xml:space="preserve"> Currently, there has been no findings shared from the feasibility study nor any indication of a comprehensive mechanism developed; indicating very little progress towards implementing the same since March 2018.</w:t>
      </w:r>
    </w:p>
    <w:p w14:paraId="00000034" w14:textId="77777777" w:rsidR="00B634C8" w:rsidRDefault="00B634C8">
      <w:pPr>
        <w:pBdr>
          <w:top w:val="nil"/>
          <w:left w:val="nil"/>
          <w:bottom w:val="nil"/>
          <w:right w:val="nil"/>
          <w:between w:val="nil"/>
        </w:pBdr>
        <w:spacing w:after="0" w:line="259" w:lineRule="auto"/>
        <w:ind w:left="720"/>
        <w:jc w:val="both"/>
        <w:rPr>
          <w:color w:val="000000"/>
        </w:rPr>
      </w:pPr>
    </w:p>
    <w:p w14:paraId="00000035"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In a parliamentary reply, the Prime Minister’s Department of the previous administration indicated that structural reforms </w:t>
      </w:r>
      <w:r>
        <w:t>emphasising</w:t>
      </w:r>
      <w:r>
        <w:rPr>
          <w:color w:val="000000"/>
        </w:rPr>
        <w:t xml:space="preserve"> the “strengthening of the refugee status determination process that will be implemented by the government, the establishment of a special committee, and the coordination of a social support system for refugees and asylum seekers” are being put in place.</w:t>
      </w:r>
      <w:r>
        <w:rPr>
          <w:color w:val="000000"/>
          <w:vertAlign w:val="superscript"/>
        </w:rPr>
        <w:footnoteReference w:id="17"/>
      </w:r>
      <w:r>
        <w:rPr>
          <w:color w:val="000000"/>
        </w:rPr>
        <w:t xml:space="preserve"> In the same reply however, it was highlighted that the presence of UNHCR offices in Malaysia is a pull factor and that parties are working towards a “clear, consistent, systematic policy and legislation without being bound to any international instrument”.</w:t>
      </w:r>
      <w:r>
        <w:rPr>
          <w:color w:val="000000"/>
          <w:vertAlign w:val="superscript"/>
        </w:rPr>
        <w:footnoteReference w:id="18"/>
      </w:r>
    </w:p>
    <w:p w14:paraId="00000036" w14:textId="77777777" w:rsidR="00B634C8" w:rsidRDefault="00B634C8">
      <w:pPr>
        <w:pBdr>
          <w:top w:val="nil"/>
          <w:left w:val="nil"/>
          <w:bottom w:val="nil"/>
          <w:right w:val="nil"/>
          <w:between w:val="nil"/>
        </w:pBdr>
        <w:spacing w:after="0" w:line="259" w:lineRule="auto"/>
        <w:jc w:val="both"/>
        <w:rPr>
          <w:color w:val="000000"/>
        </w:rPr>
      </w:pPr>
    </w:p>
    <w:p w14:paraId="00000037"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While the move to develop clear policies and legislation on refugee management is welcomed, concerns are raised as to whether the government understands the holistic protection needs of refugees, and the importance of guidance from international instruments. It is also important that any mechanism created is not merely used as a surveillance tool as indicated in the use of the Tracking Refugees Information System (TRIS).</w:t>
      </w:r>
      <w:r>
        <w:rPr>
          <w:color w:val="000000"/>
          <w:vertAlign w:val="superscript"/>
        </w:rPr>
        <w:footnoteReference w:id="19"/>
      </w:r>
      <w:r>
        <w:rPr>
          <w:color w:val="000000"/>
        </w:rPr>
        <w:t xml:space="preserve"> Throughout the development of these policies and systems, there has been no engagement and consultation with civil society groups or refugee led </w:t>
      </w:r>
      <w:r>
        <w:t>organisations</w:t>
      </w:r>
      <w:r>
        <w:rPr>
          <w:color w:val="000000"/>
        </w:rPr>
        <w:t>, and a general lack of transparency in the process.</w:t>
      </w:r>
    </w:p>
    <w:p w14:paraId="00000038" w14:textId="77777777" w:rsidR="00B634C8" w:rsidRDefault="00B634C8">
      <w:pPr>
        <w:pBdr>
          <w:top w:val="nil"/>
          <w:left w:val="nil"/>
          <w:bottom w:val="nil"/>
          <w:right w:val="nil"/>
          <w:between w:val="nil"/>
        </w:pBdr>
        <w:spacing w:after="0" w:line="259" w:lineRule="auto"/>
        <w:jc w:val="both"/>
        <w:rPr>
          <w:color w:val="000000"/>
        </w:rPr>
      </w:pPr>
    </w:p>
    <w:p w14:paraId="00000039"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These concerns are further amplified when the previous Home Minister stated that refugees and asylum seekers have “no status, rights, or basis to present any demands to the government.”</w:t>
      </w:r>
      <w:r>
        <w:rPr>
          <w:color w:val="000000"/>
          <w:vertAlign w:val="superscript"/>
        </w:rPr>
        <w:footnoteReference w:id="20"/>
      </w:r>
      <w:r>
        <w:rPr>
          <w:color w:val="000000"/>
        </w:rPr>
        <w:t xml:space="preserve"> Following the new administration taking office in December 2022, indication of a commitment to implementing the concluding observations remains to be seen.</w:t>
      </w:r>
    </w:p>
    <w:p w14:paraId="0000003A" w14:textId="77777777" w:rsidR="00B634C8" w:rsidRDefault="00B634C8">
      <w:pPr>
        <w:pBdr>
          <w:top w:val="nil"/>
          <w:left w:val="nil"/>
          <w:bottom w:val="nil"/>
          <w:right w:val="nil"/>
          <w:between w:val="nil"/>
        </w:pBdr>
        <w:spacing w:after="0" w:line="259" w:lineRule="auto"/>
        <w:jc w:val="both"/>
        <w:rPr>
          <w:color w:val="000000"/>
        </w:rPr>
      </w:pPr>
    </w:p>
    <w:p w14:paraId="0000003B" w14:textId="2442F734" w:rsidR="00B634C8" w:rsidRDefault="00000000" w:rsidP="004C28D9">
      <w:pPr>
        <w:pBdr>
          <w:top w:val="nil"/>
          <w:left w:val="nil"/>
          <w:bottom w:val="nil"/>
          <w:right w:val="nil"/>
          <w:between w:val="nil"/>
        </w:pBdr>
        <w:spacing w:after="0" w:line="259" w:lineRule="auto"/>
        <w:jc w:val="both"/>
        <w:rPr>
          <w:b/>
          <w:color w:val="000000"/>
          <w:u w:val="single"/>
        </w:rPr>
      </w:pPr>
      <w:r>
        <w:rPr>
          <w:b/>
          <w:color w:val="000000"/>
          <w:u w:val="single"/>
        </w:rPr>
        <w:t>Critical questions on a legal framework for refugee management:</w:t>
      </w:r>
    </w:p>
    <w:p w14:paraId="0000003C" w14:textId="77777777" w:rsidR="00B634C8" w:rsidRDefault="00000000">
      <w:pPr>
        <w:pBdr>
          <w:top w:val="nil"/>
          <w:left w:val="nil"/>
          <w:bottom w:val="nil"/>
          <w:right w:val="nil"/>
          <w:between w:val="nil"/>
        </w:pBdr>
        <w:spacing w:after="0" w:line="259" w:lineRule="auto"/>
        <w:jc w:val="both"/>
        <w:rPr>
          <w:b/>
          <w:color w:val="000000"/>
          <w:u w:val="single"/>
        </w:rPr>
      </w:pPr>
      <w:r>
        <w:rPr>
          <w:noProof/>
        </w:rPr>
        <w:lastRenderedPageBreak/>
        <mc:AlternateContent>
          <mc:Choice Requires="wps">
            <w:drawing>
              <wp:anchor distT="0" distB="0" distL="114300" distR="114300" simplePos="0" relativeHeight="251658240" behindDoc="0" locked="0" layoutInCell="1" hidden="0" allowOverlap="1" wp14:anchorId="554F1B7E" wp14:editId="56DE9135">
                <wp:simplePos x="0" y="0"/>
                <wp:positionH relativeFrom="column">
                  <wp:posOffset>482600</wp:posOffset>
                </wp:positionH>
                <wp:positionV relativeFrom="paragraph">
                  <wp:posOffset>114300</wp:posOffset>
                </wp:positionV>
                <wp:extent cx="5459730" cy="913765"/>
                <wp:effectExtent l="0" t="0" r="0" b="0"/>
                <wp:wrapSquare wrapText="bothSides" distT="0" distB="0" distL="114300" distR="114300"/>
                <wp:docPr id="21" name="Rectangle 21"/>
                <wp:cNvGraphicFramePr/>
                <a:graphic xmlns:a="http://schemas.openxmlformats.org/drawingml/2006/main">
                  <a:graphicData uri="http://schemas.microsoft.com/office/word/2010/wordprocessingShape">
                    <wps:wsp>
                      <wps:cNvSpPr/>
                      <wps:spPr>
                        <a:xfrm>
                          <a:off x="2625660" y="3332643"/>
                          <a:ext cx="5440680" cy="894715"/>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0FB1A797" w14:textId="77777777" w:rsidR="00B634C8" w:rsidRDefault="00000000">
                            <w:pPr>
                              <w:spacing w:after="0" w:line="275" w:lineRule="auto"/>
                              <w:jc w:val="both"/>
                              <w:textDirection w:val="btLr"/>
                            </w:pPr>
                            <w:r>
                              <w:rPr>
                                <w:color w:val="000000"/>
                              </w:rPr>
                              <w:t>Given the CEDAW Committee recommendations to adopt a legal framework as a priority, what has been the findings of the feasibility study that was conducted by the National Security Council, and what steps are being made to ensure that any law, policy, or mechanism developed is consistent and in compliance with CEDAW?</w:t>
                            </w:r>
                          </w:p>
                        </w:txbxContent>
                      </wps:txbx>
                      <wps:bodyPr spcFirstLastPara="1" wrap="square" lIns="91425" tIns="45700" rIns="91425" bIns="45700" anchor="t" anchorCtr="0">
                        <a:noAutofit/>
                      </wps:bodyPr>
                    </wps:wsp>
                  </a:graphicData>
                </a:graphic>
              </wp:anchor>
            </w:drawing>
          </mc:Choice>
          <mc:Fallback>
            <w:pict>
              <v:rect w14:anchorId="554F1B7E" id="Rectangle 21" o:spid="_x0000_s1026" style="position:absolute;left:0;text-align:left;margin-left:38pt;margin-top:9pt;width:429.9pt;height:71.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" fillcolor="#bdd6ee" strokecolor="#1f4d78" strokeweight="1.5pt">
                <v:stroke startarrowwidth="narrow" startarrowlength="short" endarrowwidth="narrow" endarrowlength="short"/>
                <v:textbox inset="2.53958mm,1.2694mm,2.53958mm,1.2694mm">
                  <w:txbxContent>
                    <w:p w14:paraId="0FB1A797" w14:textId="77777777" w:rsidR="00B634C8" w:rsidRDefault="00000000">
                      <w:pPr>
                        <w:spacing w:after="0" w:line="275" w:lineRule="auto"/>
                        <w:jc w:val="both"/>
                        <w:textDirection w:val="btLr"/>
                      </w:pPr>
                      <w:r>
                        <w:rPr>
                          <w:color w:val="000000"/>
                        </w:rPr>
                        <w:t>Given the CEDAW Committee recommendations to adopt a legal framework as a priority, what has been the findings of the feasibility study that was conducted by the National Security Council, and what steps are being made to ensure that any law, policy, or mechanism developed is consistent and in compliance with CEDAW?</w:t>
                      </w:r>
                    </w:p>
                  </w:txbxContent>
                </v:textbox>
                <w10:wrap type="square"/>
              </v:rect>
            </w:pict>
          </mc:Fallback>
        </mc:AlternateContent>
      </w:r>
    </w:p>
    <w:p w14:paraId="0000003D" w14:textId="75ACE87B" w:rsidR="00B634C8" w:rsidRDefault="00B634C8">
      <w:pPr>
        <w:keepNext/>
        <w:keepLines/>
        <w:pBdr>
          <w:top w:val="nil"/>
          <w:left w:val="nil"/>
          <w:bottom w:val="nil"/>
          <w:right w:val="nil"/>
          <w:between w:val="nil"/>
        </w:pBdr>
        <w:spacing w:before="40" w:after="240"/>
        <w:jc w:val="both"/>
        <w:rPr>
          <w:b/>
          <w:i/>
          <w:color w:val="000000"/>
        </w:rPr>
      </w:pPr>
    </w:p>
    <w:p w14:paraId="0000003E" w14:textId="6A277BBA" w:rsidR="00B634C8" w:rsidRDefault="00B634C8">
      <w:pPr>
        <w:keepNext/>
        <w:keepLines/>
        <w:pBdr>
          <w:top w:val="nil"/>
          <w:left w:val="nil"/>
          <w:bottom w:val="nil"/>
          <w:right w:val="nil"/>
          <w:between w:val="nil"/>
        </w:pBdr>
        <w:spacing w:before="40" w:after="240"/>
        <w:jc w:val="both"/>
        <w:rPr>
          <w:b/>
          <w:i/>
          <w:color w:val="000000"/>
        </w:rPr>
      </w:pPr>
    </w:p>
    <w:p w14:paraId="0000003F" w14:textId="4497CBC0" w:rsidR="00B634C8" w:rsidRDefault="00B634C8">
      <w:pPr>
        <w:keepNext/>
        <w:keepLines/>
        <w:pBdr>
          <w:top w:val="nil"/>
          <w:left w:val="nil"/>
          <w:bottom w:val="nil"/>
          <w:right w:val="nil"/>
          <w:between w:val="nil"/>
        </w:pBdr>
        <w:spacing w:before="40" w:after="240"/>
        <w:jc w:val="both"/>
        <w:rPr>
          <w:b/>
          <w:i/>
          <w:color w:val="000000"/>
        </w:rPr>
      </w:pPr>
    </w:p>
    <w:p w14:paraId="00000040" w14:textId="055FAA3A" w:rsidR="00B634C8" w:rsidRDefault="004C28D9">
      <w:pPr>
        <w:keepNext/>
        <w:keepLines/>
        <w:pBdr>
          <w:top w:val="nil"/>
          <w:left w:val="nil"/>
          <w:bottom w:val="nil"/>
          <w:right w:val="nil"/>
          <w:between w:val="nil"/>
        </w:pBdr>
        <w:spacing w:before="40" w:after="240"/>
        <w:jc w:val="both"/>
        <w:rPr>
          <w:b/>
          <w:i/>
          <w:color w:val="000000"/>
        </w:rPr>
      </w:pPr>
      <w:r>
        <w:rPr>
          <w:noProof/>
        </w:rPr>
        <mc:AlternateContent>
          <mc:Choice Requires="wps">
            <w:drawing>
              <wp:anchor distT="0" distB="0" distL="114300" distR="114300" simplePos="0" relativeHeight="251659264" behindDoc="0" locked="0" layoutInCell="1" hidden="0" allowOverlap="1" wp14:anchorId="33756F54" wp14:editId="4ECCA50A">
                <wp:simplePos x="0" y="0"/>
                <wp:positionH relativeFrom="column">
                  <wp:posOffset>465455</wp:posOffset>
                </wp:positionH>
                <wp:positionV relativeFrom="paragraph">
                  <wp:posOffset>46990</wp:posOffset>
                </wp:positionV>
                <wp:extent cx="5476875" cy="1057275"/>
                <wp:effectExtent l="0" t="0" r="0" b="0"/>
                <wp:wrapSquare wrapText="bothSides" distT="0" distB="0" distL="114300" distR="114300"/>
                <wp:docPr id="13" name="Rectangle 13"/>
                <wp:cNvGraphicFramePr/>
                <a:graphic xmlns:a="http://schemas.openxmlformats.org/drawingml/2006/main">
                  <a:graphicData uri="http://schemas.microsoft.com/office/word/2010/wordprocessingShape">
                    <wps:wsp>
                      <wps:cNvSpPr/>
                      <wps:spPr>
                        <a:xfrm>
                          <a:off x="0" y="0"/>
                          <a:ext cx="5476875" cy="1057275"/>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29EE47A4" w14:textId="77777777" w:rsidR="00B634C8" w:rsidRDefault="00000000">
                            <w:pPr>
                              <w:spacing w:after="0" w:line="275" w:lineRule="auto"/>
                              <w:jc w:val="both"/>
                              <w:textDirection w:val="btLr"/>
                            </w:pPr>
                            <w:r>
                              <w:rPr>
                                <w:color w:val="000000"/>
                              </w:rPr>
                              <w:t>Given that any law and policy enacted must take into consideration the protection needs of refugees and asylum seekers and the need for multi-agency coordination in implementation, what measures will the Malaysian government take to ensure civil society groups and refugee representatives, particularly refugee women and girls, are meaningfully consulted in the process?</w:t>
                            </w:r>
                          </w:p>
                        </w:txbxContent>
                      </wps:txbx>
                      <wps:bodyPr spcFirstLastPara="1" wrap="square" lIns="91425" tIns="45700" rIns="91425" bIns="45700" anchor="t" anchorCtr="0">
                        <a:noAutofit/>
                      </wps:bodyPr>
                    </wps:wsp>
                  </a:graphicData>
                </a:graphic>
              </wp:anchor>
            </w:drawing>
          </mc:Choice>
          <mc:Fallback>
            <w:pict>
              <v:rect w14:anchorId="33756F54" id="Rectangle 13" o:spid="_x0000_s1027" style="position:absolute;left:0;text-align:left;margin-left:36.65pt;margin-top:3.7pt;width:431.25pt;height:8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" fillcolor="#bdd6ee" strokecolor="#1f4d78" strokeweight="1.5pt">
                <v:stroke startarrowwidth="narrow" startarrowlength="short" endarrowwidth="narrow" endarrowlength="short"/>
                <v:textbox inset="2.53958mm,1.2694mm,2.53958mm,1.2694mm">
                  <w:txbxContent>
                    <w:p w14:paraId="29EE47A4" w14:textId="77777777" w:rsidR="00B634C8" w:rsidRDefault="00000000">
                      <w:pPr>
                        <w:spacing w:after="0" w:line="275" w:lineRule="auto"/>
                        <w:jc w:val="both"/>
                        <w:textDirection w:val="btLr"/>
                      </w:pPr>
                      <w:r>
                        <w:rPr>
                          <w:color w:val="000000"/>
                        </w:rPr>
                        <w:t>Given that any law and policy enacted must take into consideration the protection needs of refugees and asylum seekers and the need for multi-agency coordination in implementation, what measures will the Malaysian government take to ensure civil society groups and refugee representatives, particularly refugee women and girls, are meaningfully consulted in the process?</w:t>
                      </w:r>
                    </w:p>
                  </w:txbxContent>
                </v:textbox>
                <w10:wrap type="square"/>
              </v:rect>
            </w:pict>
          </mc:Fallback>
        </mc:AlternateContent>
      </w:r>
    </w:p>
    <w:p w14:paraId="00000041" w14:textId="181F067F" w:rsidR="00B634C8" w:rsidRDefault="00B634C8">
      <w:pPr>
        <w:keepNext/>
        <w:keepLines/>
        <w:pBdr>
          <w:top w:val="nil"/>
          <w:left w:val="nil"/>
          <w:bottom w:val="nil"/>
          <w:right w:val="nil"/>
          <w:between w:val="nil"/>
        </w:pBdr>
        <w:spacing w:before="40" w:after="0"/>
        <w:jc w:val="both"/>
        <w:rPr>
          <w:b/>
          <w:i/>
        </w:rPr>
      </w:pPr>
    </w:p>
    <w:p w14:paraId="536087C8" w14:textId="5D15FE28" w:rsidR="004C28D9" w:rsidRDefault="004C28D9">
      <w:pPr>
        <w:keepNext/>
        <w:keepLines/>
        <w:pBdr>
          <w:top w:val="nil"/>
          <w:left w:val="nil"/>
          <w:bottom w:val="nil"/>
          <w:right w:val="nil"/>
          <w:between w:val="nil"/>
        </w:pBdr>
        <w:spacing w:before="40" w:after="240"/>
        <w:jc w:val="both"/>
        <w:rPr>
          <w:b/>
          <w:i/>
          <w:color w:val="000000"/>
        </w:rPr>
      </w:pPr>
    </w:p>
    <w:p w14:paraId="016CAE8F" w14:textId="4F05A9FF" w:rsidR="004C28D9" w:rsidRDefault="004C28D9">
      <w:pPr>
        <w:keepNext/>
        <w:keepLines/>
        <w:pBdr>
          <w:top w:val="nil"/>
          <w:left w:val="nil"/>
          <w:bottom w:val="nil"/>
          <w:right w:val="nil"/>
          <w:between w:val="nil"/>
        </w:pBdr>
        <w:spacing w:before="40" w:after="240"/>
        <w:jc w:val="both"/>
        <w:rPr>
          <w:b/>
          <w:i/>
          <w:color w:val="000000"/>
        </w:rPr>
      </w:pPr>
    </w:p>
    <w:p w14:paraId="2757684A" w14:textId="77777777" w:rsidR="00581C5B" w:rsidRDefault="00581C5B">
      <w:pPr>
        <w:keepNext/>
        <w:keepLines/>
        <w:pBdr>
          <w:top w:val="nil"/>
          <w:left w:val="nil"/>
          <w:bottom w:val="nil"/>
          <w:right w:val="nil"/>
          <w:between w:val="nil"/>
        </w:pBdr>
        <w:spacing w:before="40" w:after="240"/>
        <w:jc w:val="both"/>
        <w:rPr>
          <w:b/>
          <w:i/>
          <w:color w:val="000000"/>
        </w:rPr>
      </w:pPr>
    </w:p>
    <w:p w14:paraId="00000042" w14:textId="2C449EBF" w:rsidR="00B634C8" w:rsidRDefault="00000000">
      <w:pPr>
        <w:keepNext/>
        <w:keepLines/>
        <w:pBdr>
          <w:top w:val="nil"/>
          <w:left w:val="nil"/>
          <w:bottom w:val="nil"/>
          <w:right w:val="nil"/>
          <w:between w:val="nil"/>
        </w:pBdr>
        <w:spacing w:before="40" w:after="240"/>
        <w:jc w:val="both"/>
        <w:rPr>
          <w:b/>
          <w:i/>
          <w:color w:val="000000"/>
        </w:rPr>
      </w:pPr>
      <w:r>
        <w:rPr>
          <w:b/>
          <w:i/>
          <w:color w:val="000000"/>
        </w:rPr>
        <w:t>Issue 2: Detention and non-refoulement (CEDAW articles 1, 2, 5(a), 12)</w:t>
      </w:r>
    </w:p>
    <w:p w14:paraId="00000043"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In Malaysia’s response to the CEDAW Committee’s concluding observations</w:t>
      </w:r>
      <w:r>
        <w:rPr>
          <w:color w:val="000000"/>
          <w:vertAlign w:val="superscript"/>
        </w:rPr>
        <w:footnoteReference w:id="21"/>
      </w:r>
      <w:r>
        <w:rPr>
          <w:color w:val="000000"/>
        </w:rPr>
        <w:t xml:space="preserve"> and the sixth periodic report, the government remarked that </w:t>
      </w:r>
      <w:r>
        <w:t xml:space="preserve">refugees and asylum seekers who had obtained the UNHCR card or Person of Interest Letter are not detained </w:t>
      </w:r>
      <w:r>
        <w:rPr>
          <w:color w:val="000000"/>
        </w:rPr>
        <w:t>and  enjoy freedom of movement within Malaysia.</w:t>
      </w:r>
      <w:r>
        <w:rPr>
          <w:color w:val="000000"/>
          <w:vertAlign w:val="superscript"/>
        </w:rPr>
        <w:footnoteReference w:id="22"/>
      </w:r>
      <w:r>
        <w:rPr>
          <w:color w:val="000000"/>
        </w:rPr>
        <w:t xml:space="preserve"> However, the absence of laws or enforceable policy against mandatory detention of refugees and asylum seekers in Malaysia means that there is no legal certainty as to how the government’s policy on detention is applied, or the precise period of detention of refugees and asylum seekers.</w:t>
      </w:r>
    </w:p>
    <w:p w14:paraId="00000044" w14:textId="77777777" w:rsidR="00B634C8" w:rsidRDefault="00B634C8">
      <w:pPr>
        <w:pBdr>
          <w:top w:val="nil"/>
          <w:left w:val="nil"/>
          <w:bottom w:val="nil"/>
          <w:right w:val="nil"/>
          <w:between w:val="nil"/>
        </w:pBdr>
        <w:spacing w:after="0" w:line="259" w:lineRule="auto"/>
        <w:ind w:left="720"/>
        <w:jc w:val="both"/>
        <w:rPr>
          <w:color w:val="000000"/>
        </w:rPr>
      </w:pPr>
    </w:p>
    <w:p w14:paraId="00000045"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While female UNHCR document holders usually have limited informal protection from arrest, they continue to be harassed and extorted (including by the police) and even arrested and detained at times.</w:t>
      </w:r>
      <w:r>
        <w:rPr>
          <w:color w:val="000000"/>
          <w:vertAlign w:val="superscript"/>
        </w:rPr>
        <w:footnoteReference w:id="23"/>
      </w:r>
      <w:r>
        <w:rPr>
          <w:color w:val="000000"/>
        </w:rPr>
        <w:t xml:space="preserve"> The government continues to detain other refugee and </w:t>
      </w:r>
      <w:proofErr w:type="gramStart"/>
      <w:r>
        <w:rPr>
          <w:color w:val="000000"/>
        </w:rPr>
        <w:t>asylum seeking</w:t>
      </w:r>
      <w:proofErr w:type="gramEnd"/>
      <w:r>
        <w:rPr>
          <w:color w:val="000000"/>
        </w:rPr>
        <w:t xml:space="preserve"> women who are not yet registered with the UNHCR. This is of particular concern given the heightened vulnerability of refugee and asylum seeker women in detention, and the long processing time of registration by the </w:t>
      </w:r>
      <w:r>
        <w:t>UNHCR</w:t>
      </w:r>
      <w:r>
        <w:rPr>
          <w:color w:val="000000"/>
        </w:rPr>
        <w:t xml:space="preserve">. As of April 2022, the Director General of Immigration reported that there were </w:t>
      </w:r>
      <w:r>
        <w:rPr>
          <w:color w:val="000000"/>
        </w:rPr>
        <w:lastRenderedPageBreak/>
        <w:t xml:space="preserve">about 17,000 persons </w:t>
      </w:r>
      <w:r>
        <w:t>detained in immigration detention centres, with 3,211 of them being women and 677 girls.</w:t>
      </w:r>
      <w:r>
        <w:rPr>
          <w:vertAlign w:val="superscript"/>
        </w:rPr>
        <w:footnoteReference w:id="24"/>
      </w:r>
      <w:r>
        <w:rPr>
          <w:color w:val="000000"/>
        </w:rPr>
        <w:t xml:space="preserve"> </w:t>
      </w:r>
    </w:p>
    <w:p w14:paraId="00000046" w14:textId="77777777" w:rsidR="00B634C8" w:rsidRDefault="00B634C8">
      <w:pPr>
        <w:pBdr>
          <w:top w:val="nil"/>
          <w:left w:val="nil"/>
          <w:bottom w:val="nil"/>
          <w:right w:val="nil"/>
          <w:between w:val="nil"/>
        </w:pBdr>
        <w:spacing w:after="0"/>
        <w:ind w:left="720"/>
        <w:jc w:val="both"/>
        <w:rPr>
          <w:rFonts w:ascii="Arial" w:eastAsia="Arial" w:hAnsi="Arial" w:cs="Arial"/>
          <w:color w:val="000000"/>
        </w:rPr>
      </w:pPr>
    </w:p>
    <w:p w14:paraId="00000047"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As of August 2019, the government of Malaysia continues to deny UNHCR access to verify and assess asylum claims of persons in immigration detention.</w:t>
      </w:r>
      <w:r>
        <w:rPr>
          <w:vertAlign w:val="superscript"/>
        </w:rPr>
        <w:footnoteReference w:id="25"/>
      </w:r>
      <w:r>
        <w:rPr>
          <w:color w:val="000000"/>
        </w:rPr>
        <w:t xml:space="preserve"> There has also been no State run asylum process for persons in detention. This denial of access has resulted in refugees and asylum seekers languishing in detention for an indefinite period and most consenting under duress to return home for fear of death in detention.</w:t>
      </w:r>
      <w:r>
        <w:rPr>
          <w:color w:val="000000"/>
          <w:vertAlign w:val="superscript"/>
        </w:rPr>
        <w:footnoteReference w:id="26"/>
      </w:r>
      <w:r>
        <w:rPr>
          <w:color w:val="000000"/>
        </w:rPr>
        <w:t xml:space="preserve"> In April 2022, over 5</w:t>
      </w:r>
      <w:r>
        <w:t>28</w:t>
      </w:r>
      <w:r>
        <w:rPr>
          <w:color w:val="000000"/>
        </w:rPr>
        <w:t xml:space="preserve"> </w:t>
      </w:r>
      <w:r>
        <w:t>Rohingya refugees fled from an immigration detention centre after experiencing prolonged detention for over two years, resulting in six detainees being killed when they fled, including two women and 1 girl child.</w:t>
      </w:r>
      <w:r>
        <w:rPr>
          <w:vertAlign w:val="superscript"/>
        </w:rPr>
        <w:footnoteReference w:id="27"/>
      </w:r>
    </w:p>
    <w:p w14:paraId="00000048" w14:textId="77777777" w:rsidR="00B634C8" w:rsidRDefault="00B634C8">
      <w:pPr>
        <w:pBdr>
          <w:top w:val="nil"/>
          <w:left w:val="nil"/>
          <w:bottom w:val="nil"/>
          <w:right w:val="nil"/>
          <w:between w:val="nil"/>
        </w:pBdr>
        <w:spacing w:after="0" w:line="259" w:lineRule="auto"/>
        <w:jc w:val="both"/>
        <w:rPr>
          <w:color w:val="000000"/>
        </w:rPr>
      </w:pPr>
    </w:p>
    <w:p w14:paraId="00000049"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t>Throughout the COVID-19 pandemic, the government has used COVID-19 to crackdown on migrants, refugees and asylum seekers.</w:t>
      </w:r>
      <w:r>
        <w:rPr>
          <w:rFonts w:ascii="Arial" w:eastAsia="Arial" w:hAnsi="Arial" w:cs="Arial"/>
          <w:vertAlign w:val="superscript"/>
        </w:rPr>
        <w:footnoteReference w:id="28"/>
      </w:r>
      <w:r>
        <w:t xml:space="preserve"> In a particularly grievous act of persecution, mass raids and arrests were conducted in May 2020 during a countrywide lockdown where raids were conducted in places under enhanced lockdown.</w:t>
      </w:r>
      <w:r>
        <w:rPr>
          <w:rFonts w:ascii="Arial" w:eastAsia="Arial" w:hAnsi="Arial" w:cs="Arial"/>
          <w:vertAlign w:val="superscript"/>
        </w:rPr>
        <w:footnoteReference w:id="29"/>
      </w:r>
      <w:r>
        <w:t xml:space="preserve"> Refugees and asylum seekers, including women, children, and </w:t>
      </w:r>
      <w:proofErr w:type="spellStart"/>
      <w:r>
        <w:t>newborns</w:t>
      </w:r>
      <w:proofErr w:type="spellEnd"/>
      <w:r>
        <w:t xml:space="preserve"> were arrested, placed in crowded trucks, and subsequently detained in centres under overcrowded, unsanitary and appalling conditions.</w:t>
      </w:r>
      <w:r>
        <w:rPr>
          <w:vertAlign w:val="superscript"/>
        </w:rPr>
        <w:footnoteReference w:id="30"/>
      </w:r>
      <w:r>
        <w:t xml:space="preserve"> </w:t>
      </w:r>
    </w:p>
    <w:p w14:paraId="0000004A" w14:textId="77777777" w:rsidR="00B634C8" w:rsidRDefault="00B634C8">
      <w:pPr>
        <w:pBdr>
          <w:top w:val="nil"/>
          <w:left w:val="nil"/>
          <w:bottom w:val="nil"/>
          <w:right w:val="nil"/>
          <w:between w:val="nil"/>
        </w:pBdr>
        <w:spacing w:after="0" w:line="259" w:lineRule="auto"/>
        <w:jc w:val="both"/>
      </w:pPr>
    </w:p>
    <w:p w14:paraId="0000004B"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t>Many of those who were detained were subsequently exposed to COVID-19 (having tested negative for COVID-19 prior to their arrest) which led to detention centres being hotspots for COVID-19 transmission. In May and June, 776 cases were reported from these clusters</w:t>
      </w:r>
      <w:r>
        <w:rPr>
          <w:rFonts w:ascii="Arial" w:eastAsia="Arial" w:hAnsi="Arial" w:cs="Arial"/>
          <w:vertAlign w:val="superscript"/>
        </w:rPr>
        <w:footnoteReference w:id="31"/>
      </w:r>
      <w:r>
        <w:t xml:space="preserve"> and by 3 June 2020, 4,908 COVID-19 cases were recorded in four immigration detention centres.</w:t>
      </w:r>
      <w:r>
        <w:rPr>
          <w:rFonts w:ascii="Arial" w:eastAsia="Arial" w:hAnsi="Arial" w:cs="Arial"/>
          <w:vertAlign w:val="superscript"/>
        </w:rPr>
        <w:footnoteReference w:id="32"/>
      </w:r>
      <w:r>
        <w:t xml:space="preserve"> The then Deputy Home Minister admitted to crowded prisons and detention centres because of an </w:t>
      </w:r>
      <w:r>
        <w:lastRenderedPageBreak/>
        <w:t>increased number of imprisonment of foreigners, including refugees, with 60,983 people imprisoned as of July 2020.</w:t>
      </w:r>
      <w:r>
        <w:rPr>
          <w:rFonts w:ascii="Arial" w:eastAsia="Arial" w:hAnsi="Arial" w:cs="Arial"/>
          <w:vertAlign w:val="superscript"/>
        </w:rPr>
        <w:footnoteReference w:id="33"/>
      </w:r>
      <w:r>
        <w:t xml:space="preserve"> </w:t>
      </w:r>
    </w:p>
    <w:p w14:paraId="0000004C" w14:textId="77777777" w:rsidR="00B634C8" w:rsidRDefault="00B634C8">
      <w:pPr>
        <w:pBdr>
          <w:top w:val="nil"/>
          <w:left w:val="nil"/>
          <w:bottom w:val="nil"/>
          <w:right w:val="nil"/>
          <w:between w:val="nil"/>
        </w:pBdr>
        <w:spacing w:after="0" w:line="259" w:lineRule="auto"/>
        <w:ind w:left="720"/>
        <w:jc w:val="both"/>
      </w:pPr>
    </w:p>
    <w:p w14:paraId="0000004D"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The Malaysian government in the sixth periodic reporting also highlighted discussions around alternatives to detention for unaccompanied children, including girls.</w:t>
      </w:r>
      <w:r>
        <w:rPr>
          <w:color w:val="000000"/>
          <w:vertAlign w:val="superscript"/>
        </w:rPr>
        <w:footnoteReference w:id="34"/>
      </w:r>
      <w:r>
        <w:rPr>
          <w:color w:val="000000"/>
        </w:rPr>
        <w:t xml:space="preserve"> These discussions have been ongoing since 201</w:t>
      </w:r>
      <w:r>
        <w:t>3</w:t>
      </w:r>
      <w:r>
        <w:rPr>
          <w:color w:val="000000"/>
        </w:rPr>
        <w:t xml:space="preserve"> </w:t>
      </w:r>
      <w:r>
        <w:t xml:space="preserve">but </w:t>
      </w:r>
      <w:r>
        <w:rPr>
          <w:color w:val="000000"/>
        </w:rPr>
        <w:t xml:space="preserve">to date there </w:t>
      </w:r>
      <w:r>
        <w:t>have</w:t>
      </w:r>
      <w:r>
        <w:rPr>
          <w:color w:val="000000"/>
        </w:rPr>
        <w:t xml:space="preserve"> been no children released from immigration detention.</w:t>
      </w:r>
      <w:r>
        <w:rPr>
          <w:color w:val="000000"/>
          <w:vertAlign w:val="superscript"/>
        </w:rPr>
        <w:footnoteReference w:id="35"/>
      </w:r>
      <w:r>
        <w:rPr>
          <w:color w:val="000000"/>
        </w:rPr>
        <w:t xml:space="preserve"> The </w:t>
      </w:r>
      <w:r>
        <w:t xml:space="preserve">previous </w:t>
      </w:r>
      <w:r>
        <w:rPr>
          <w:color w:val="000000"/>
        </w:rPr>
        <w:t>Home Minister in a Parliament sitting disclosed that as of October 2020, 756 children were in immigration detention, with 405 of them being unaccompanied.</w:t>
      </w:r>
      <w:r>
        <w:rPr>
          <w:color w:val="000000"/>
          <w:vertAlign w:val="superscript"/>
        </w:rPr>
        <w:footnoteReference w:id="36"/>
      </w:r>
      <w:r>
        <w:rPr>
          <w:color w:val="000000"/>
        </w:rPr>
        <w:t xml:space="preserve"> As of 12 July 2022, 1764 </w:t>
      </w:r>
      <w:r>
        <w:t>c</w:t>
      </w:r>
      <w:r>
        <w:rPr>
          <w:color w:val="000000"/>
        </w:rPr>
        <w:t xml:space="preserve">hildren </w:t>
      </w:r>
      <w:r>
        <w:t>remain detained in immigration detention,</w:t>
      </w:r>
      <w:r>
        <w:rPr>
          <w:color w:val="000000"/>
        </w:rPr>
        <w:t xml:space="preserve"> including 768 girls.</w:t>
      </w:r>
      <w:r>
        <w:rPr>
          <w:color w:val="000000"/>
          <w:vertAlign w:val="superscript"/>
        </w:rPr>
        <w:footnoteReference w:id="37"/>
      </w:r>
      <w:r>
        <w:rPr>
          <w:color w:val="000000"/>
        </w:rPr>
        <w:t xml:space="preserve"> The government continues to violate principles under CEDAW, other international obligations, and the Malaysian Child Act (Act 611), and </w:t>
      </w:r>
      <w:r>
        <w:t>has demonstrated a lack of commitment in ensuring children are not detained for immigration purposes.</w:t>
      </w:r>
      <w:r>
        <w:rPr>
          <w:color w:val="000000"/>
        </w:rPr>
        <w:t xml:space="preserve"> </w:t>
      </w:r>
    </w:p>
    <w:p w14:paraId="0000004E" w14:textId="77777777" w:rsidR="00B634C8" w:rsidRDefault="00B634C8">
      <w:pPr>
        <w:pBdr>
          <w:top w:val="nil"/>
          <w:left w:val="nil"/>
          <w:bottom w:val="nil"/>
          <w:right w:val="nil"/>
          <w:between w:val="nil"/>
        </w:pBdr>
        <w:spacing w:after="0" w:line="259" w:lineRule="auto"/>
        <w:jc w:val="both"/>
        <w:rPr>
          <w:color w:val="000000"/>
        </w:rPr>
      </w:pPr>
    </w:p>
    <w:p w14:paraId="2B040009" w14:textId="00D8BAF9" w:rsidR="00D44BEA" w:rsidRPr="00D44BEA" w:rsidRDefault="00000000" w:rsidP="00D44BEA">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The Malaysian government made commitments to upholding the principle of </w:t>
      </w:r>
      <w:r>
        <w:rPr>
          <w:i/>
          <w:color w:val="000000"/>
        </w:rPr>
        <w:t>non-refoulement</w:t>
      </w:r>
      <w:r>
        <w:rPr>
          <w:color w:val="000000"/>
        </w:rPr>
        <w:t xml:space="preserve"> in their Responses to the CEDAW Committee’s Concluding Observations and in the sixth periodic reporting.</w:t>
      </w:r>
      <w:r>
        <w:rPr>
          <w:color w:val="000000"/>
          <w:vertAlign w:val="superscript"/>
        </w:rPr>
        <w:footnoteReference w:id="38"/>
      </w:r>
      <w:r>
        <w:rPr>
          <w:color w:val="000000"/>
        </w:rPr>
        <w:t xml:space="preserve"> However, contrary to the government’s assertions, refugee and asylum seekers continue to be deported. </w:t>
      </w:r>
      <w:r>
        <w:t xml:space="preserve">There have been multiple instances (both reported and </w:t>
      </w:r>
      <w:proofErr w:type="gramStart"/>
      <w:r>
        <w:t>anecdotal)  of</w:t>
      </w:r>
      <w:proofErr w:type="gramEnd"/>
      <w:r w:rsidR="00D44BEA">
        <w:t xml:space="preserve"> </w:t>
      </w:r>
      <w:r>
        <w:t>deportation of refugees and asylum seekers,</w:t>
      </w:r>
      <w:r>
        <w:rPr>
          <w:vertAlign w:val="superscript"/>
        </w:rPr>
        <w:footnoteReference w:id="39"/>
      </w:r>
      <w:r>
        <w:t xml:space="preserve"> pushback of boats carrying </w:t>
      </w:r>
      <w:proofErr w:type="spellStart"/>
      <w:r>
        <w:t>rohingya</w:t>
      </w:r>
      <w:proofErr w:type="spellEnd"/>
      <w:r>
        <w:t xml:space="preserve"> refugees</w:t>
      </w:r>
      <w:r>
        <w:rPr>
          <w:vertAlign w:val="superscript"/>
        </w:rPr>
        <w:footnoteReference w:id="40"/>
      </w:r>
      <w:r>
        <w:t xml:space="preserve"> </w:t>
      </w:r>
    </w:p>
    <w:p w14:paraId="538231E9" w14:textId="77777777" w:rsidR="00D44BEA" w:rsidRDefault="00D44BEA" w:rsidP="00D44BEA">
      <w:pPr>
        <w:pStyle w:val="ListParagraph"/>
      </w:pPr>
    </w:p>
    <w:p w14:paraId="398616E9" w14:textId="6829CB53" w:rsidR="00D44BEA" w:rsidRPr="00D44BEA" w:rsidRDefault="00000000" w:rsidP="00D44BEA">
      <w:pPr>
        <w:pBdr>
          <w:top w:val="nil"/>
          <w:left w:val="nil"/>
          <w:bottom w:val="nil"/>
          <w:right w:val="nil"/>
          <w:between w:val="nil"/>
        </w:pBdr>
        <w:spacing w:after="0" w:line="259" w:lineRule="auto"/>
        <w:ind w:left="720"/>
        <w:jc w:val="both"/>
      </w:pPr>
      <w:r>
        <w:t>and persecution and caning of asylum seekers who have been allowed to disembark.</w:t>
      </w:r>
      <w:r>
        <w:rPr>
          <w:vertAlign w:val="superscript"/>
        </w:rPr>
        <w:footnoteReference w:id="41"/>
      </w:r>
      <w:r>
        <w:t xml:space="preserve"> </w:t>
      </w:r>
    </w:p>
    <w:p w14:paraId="00000050" w14:textId="77777777" w:rsidR="00B634C8" w:rsidRDefault="00B634C8">
      <w:pPr>
        <w:pBdr>
          <w:top w:val="nil"/>
          <w:left w:val="nil"/>
          <w:bottom w:val="nil"/>
          <w:right w:val="nil"/>
          <w:between w:val="nil"/>
        </w:pBdr>
        <w:spacing w:after="0"/>
        <w:jc w:val="both"/>
        <w:rPr>
          <w:color w:val="000000"/>
        </w:rPr>
      </w:pPr>
    </w:p>
    <w:p w14:paraId="00000051"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Malaysia has failed to consider the particular needs of refugee and asylum seeker women in accordance with CEDAW Articles 1, 2, 5(a) and 12. There is poor sanitation and a lack of adequate food, water and medical care in detention, exposing them to risk of infectious disease and even death.</w:t>
      </w:r>
      <w:r>
        <w:rPr>
          <w:color w:val="000000"/>
          <w:vertAlign w:val="superscript"/>
        </w:rPr>
        <w:footnoteReference w:id="42"/>
      </w:r>
      <w:r>
        <w:rPr>
          <w:color w:val="000000"/>
        </w:rPr>
        <w:t xml:space="preserve"> Pregnant and lactating women are denied adequate access to facilities and services to meet their specific needs.</w:t>
      </w:r>
      <w:r>
        <w:rPr>
          <w:color w:val="000000"/>
          <w:vertAlign w:val="superscript"/>
        </w:rPr>
        <w:footnoteReference w:id="43"/>
      </w:r>
      <w:r>
        <w:rPr>
          <w:color w:val="000000"/>
        </w:rPr>
        <w:t xml:space="preserve"> Moreover, female detainees are subjected to SGBV and other abusive treatment while in custody and detention.</w:t>
      </w:r>
      <w:r>
        <w:rPr>
          <w:color w:val="000000"/>
          <w:vertAlign w:val="superscript"/>
        </w:rPr>
        <w:footnoteReference w:id="44"/>
      </w:r>
    </w:p>
    <w:p w14:paraId="00000052" w14:textId="77777777" w:rsidR="00B634C8" w:rsidRDefault="00B634C8">
      <w:pPr>
        <w:pBdr>
          <w:top w:val="nil"/>
          <w:left w:val="nil"/>
          <w:bottom w:val="nil"/>
          <w:right w:val="nil"/>
          <w:between w:val="nil"/>
        </w:pBdr>
        <w:spacing w:after="0"/>
        <w:ind w:left="720"/>
        <w:jc w:val="both"/>
        <w:rPr>
          <w:color w:val="000000"/>
        </w:rPr>
      </w:pPr>
    </w:p>
    <w:p w14:paraId="00000053"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t>According to statistics revealed by the Immigration Department, between 2017 to October 2019, there were 93 deaths in Immigration detention centres, 13 of which were women;</w:t>
      </w:r>
      <w:r>
        <w:rPr>
          <w:vertAlign w:val="superscript"/>
        </w:rPr>
        <w:footnoteReference w:id="45"/>
      </w:r>
      <w:r>
        <w:t xml:space="preserve"> and between 2021 to July 2022, there were 246 deaths, 26 of whom were women.</w:t>
      </w:r>
      <w:r>
        <w:rPr>
          <w:vertAlign w:val="superscript"/>
        </w:rPr>
        <w:footnoteReference w:id="46"/>
      </w:r>
      <w:r>
        <w:t xml:space="preserve"> It is unclear how many of these were refugees.</w:t>
      </w:r>
    </w:p>
    <w:p w14:paraId="00000054" w14:textId="77777777" w:rsidR="00B634C8" w:rsidRDefault="00B634C8">
      <w:pPr>
        <w:pBdr>
          <w:top w:val="nil"/>
          <w:left w:val="nil"/>
          <w:bottom w:val="nil"/>
          <w:right w:val="nil"/>
          <w:between w:val="nil"/>
        </w:pBdr>
        <w:spacing w:after="0" w:line="259" w:lineRule="auto"/>
        <w:ind w:left="720"/>
        <w:jc w:val="both"/>
        <w:rPr>
          <w:sz w:val="20"/>
          <w:szCs w:val="20"/>
          <w:highlight w:val="magenta"/>
        </w:rPr>
      </w:pPr>
    </w:p>
    <w:p w14:paraId="00000055" w14:textId="77777777" w:rsidR="00B634C8" w:rsidRDefault="00B634C8">
      <w:pPr>
        <w:pBdr>
          <w:top w:val="nil"/>
          <w:left w:val="nil"/>
          <w:bottom w:val="nil"/>
          <w:right w:val="nil"/>
          <w:between w:val="nil"/>
        </w:pBdr>
        <w:spacing w:after="0" w:line="259" w:lineRule="auto"/>
        <w:ind w:left="720"/>
        <w:jc w:val="both"/>
        <w:rPr>
          <w:color w:val="000000"/>
        </w:rPr>
      </w:pPr>
    </w:p>
    <w:p w14:paraId="00000056" w14:textId="77777777" w:rsidR="00B634C8" w:rsidRDefault="00000000" w:rsidP="004C28D9">
      <w:pPr>
        <w:pBdr>
          <w:top w:val="nil"/>
          <w:left w:val="nil"/>
          <w:bottom w:val="nil"/>
          <w:right w:val="nil"/>
          <w:between w:val="nil"/>
        </w:pBdr>
        <w:spacing w:after="0" w:line="259" w:lineRule="auto"/>
        <w:jc w:val="both"/>
        <w:rPr>
          <w:color w:val="000000"/>
        </w:rPr>
      </w:pPr>
      <w:r>
        <w:rPr>
          <w:b/>
          <w:color w:val="000000"/>
          <w:u w:val="single"/>
        </w:rPr>
        <w:t xml:space="preserve">Critical questions on detention and </w:t>
      </w:r>
      <w:r>
        <w:rPr>
          <w:b/>
          <w:i/>
          <w:color w:val="000000"/>
          <w:u w:val="single"/>
        </w:rPr>
        <w:t>non-refoulement</w:t>
      </w:r>
    </w:p>
    <w:p w14:paraId="00000057" w14:textId="77777777" w:rsidR="00B634C8" w:rsidRDefault="00B634C8">
      <w:pPr>
        <w:pBdr>
          <w:top w:val="nil"/>
          <w:left w:val="nil"/>
          <w:bottom w:val="nil"/>
          <w:right w:val="nil"/>
          <w:between w:val="nil"/>
        </w:pBdr>
        <w:spacing w:after="0"/>
        <w:jc w:val="both"/>
        <w:rPr>
          <w:color w:val="000000"/>
        </w:rPr>
      </w:pPr>
    </w:p>
    <w:p w14:paraId="00000058" w14:textId="77777777" w:rsidR="00B634C8" w:rsidRDefault="00000000">
      <w:pPr>
        <w:pBdr>
          <w:top w:val="nil"/>
          <w:left w:val="nil"/>
          <w:bottom w:val="nil"/>
          <w:right w:val="nil"/>
          <w:between w:val="nil"/>
        </w:pBdr>
        <w:tabs>
          <w:tab w:val="left" w:pos="9270"/>
        </w:tabs>
        <w:spacing w:after="0"/>
        <w:ind w:left="720"/>
        <w:jc w:val="both"/>
        <w:rPr>
          <w:color w:val="000000"/>
        </w:rPr>
      </w:pPr>
      <w:r>
        <w:rPr>
          <w:noProof/>
          <w:color w:val="000000"/>
        </w:rPr>
        <mc:AlternateContent>
          <mc:Choice Requires="wps">
            <w:drawing>
              <wp:inline distT="0" distB="0" distL="0" distR="0" wp14:anchorId="3B3CB186" wp14:editId="22732A83">
                <wp:extent cx="5462270" cy="913765"/>
                <wp:effectExtent l="0" t="0" r="0" b="0"/>
                <wp:docPr id="16" name="Rectangle 16"/>
                <wp:cNvGraphicFramePr/>
                <a:graphic xmlns:a="http://schemas.openxmlformats.org/drawingml/2006/main">
                  <a:graphicData uri="http://schemas.microsoft.com/office/word/2010/wordprocessingShape">
                    <wps:wsp>
                      <wps:cNvSpPr/>
                      <wps:spPr>
                        <a:xfrm>
                          <a:off x="2624390" y="3332643"/>
                          <a:ext cx="5443220" cy="894715"/>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5AF5F680" w14:textId="77777777" w:rsidR="00B634C8" w:rsidRDefault="00000000">
                            <w:pPr>
                              <w:spacing w:after="0" w:line="275" w:lineRule="auto"/>
                              <w:jc w:val="both"/>
                              <w:textDirection w:val="btLr"/>
                            </w:pPr>
                            <w:r>
                              <w:rPr>
                                <w:color w:val="000000"/>
                              </w:rPr>
                              <w:t xml:space="preserve">Given the vulnerability of refugee and asylum seeker women to arrest, detention, and even </w:t>
                            </w:r>
                            <w:r>
                              <w:rPr>
                                <w:i/>
                                <w:color w:val="000000"/>
                              </w:rPr>
                              <w:t>refoulement</w:t>
                            </w:r>
                            <w:r>
                              <w:rPr>
                                <w:color w:val="000000"/>
                              </w:rPr>
                              <w:t xml:space="preserve">, </w:t>
                            </w:r>
                            <w:proofErr w:type="gramStart"/>
                            <w:r>
                              <w:rPr>
                                <w:color w:val="000000"/>
                              </w:rPr>
                              <w:t>in spite of</w:t>
                            </w:r>
                            <w:proofErr w:type="gramEnd"/>
                            <w:r>
                              <w:rPr>
                                <w:color w:val="000000"/>
                              </w:rPr>
                              <w:t xml:space="preserve"> the government’s representations to the contrary, will the government enact clear laws against mandatory detention of refugees and asylum seekers in order to ensure consistent and fair application of such laws and compliance with CEDAW?</w:t>
                            </w:r>
                          </w:p>
                        </w:txbxContent>
                      </wps:txbx>
                      <wps:bodyPr spcFirstLastPara="1" wrap="square" lIns="91425" tIns="45700" rIns="91425" bIns="45700" anchor="t" anchorCtr="0">
                        <a:noAutofit/>
                      </wps:bodyPr>
                    </wps:wsp>
                  </a:graphicData>
                </a:graphic>
              </wp:inline>
            </w:drawing>
          </mc:Choice>
          <mc:Fallback>
            <w:pict>
              <v:rect w14:anchorId="3B3CB186" id="Rectangle 16" o:spid="_x0000_s1028" style="width:430.1pt;height:7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" fillcolor="#bdd6ee" strokecolor="#1f4d78" strokeweight="1.5pt">
                <v:stroke startarrowwidth="narrow" startarrowlength="short" endarrowwidth="narrow" endarrowlength="short"/>
                <v:textbox inset="2.53958mm,1.2694mm,2.53958mm,1.2694mm">
                  <w:txbxContent>
                    <w:p w14:paraId="5AF5F680" w14:textId="77777777" w:rsidR="00B634C8" w:rsidRDefault="00000000">
                      <w:pPr>
                        <w:spacing w:after="0" w:line="275" w:lineRule="auto"/>
                        <w:jc w:val="both"/>
                        <w:textDirection w:val="btLr"/>
                      </w:pPr>
                      <w:r>
                        <w:rPr>
                          <w:color w:val="000000"/>
                        </w:rPr>
                        <w:t xml:space="preserve">Given the vulnerability of refugee and asylum seeker women to arrest, detention, and even </w:t>
                      </w:r>
                      <w:r>
                        <w:rPr>
                          <w:i/>
                          <w:color w:val="000000"/>
                        </w:rPr>
                        <w:t>refoulement</w:t>
                      </w:r>
                      <w:r>
                        <w:rPr>
                          <w:color w:val="000000"/>
                        </w:rPr>
                        <w:t xml:space="preserve">, </w:t>
                      </w:r>
                      <w:proofErr w:type="gramStart"/>
                      <w:r>
                        <w:rPr>
                          <w:color w:val="000000"/>
                        </w:rPr>
                        <w:t>in spite of</w:t>
                      </w:r>
                      <w:proofErr w:type="gramEnd"/>
                      <w:r>
                        <w:rPr>
                          <w:color w:val="000000"/>
                        </w:rPr>
                        <w:t xml:space="preserve"> the government’s representations to the contrary, will the government enact clear laws against mandatory detention of refugees and asylum seekers in order to ensure consistent and fair application of such laws and compliance with CEDAW?</w:t>
                      </w:r>
                    </w:p>
                  </w:txbxContent>
                </v:textbox>
                <w10:anchorlock/>
              </v:rect>
            </w:pict>
          </mc:Fallback>
        </mc:AlternateContent>
      </w:r>
    </w:p>
    <w:p w14:paraId="00000059" w14:textId="26CEFF2C" w:rsidR="00B634C8" w:rsidRDefault="00000000">
      <w:pPr>
        <w:pBdr>
          <w:top w:val="nil"/>
          <w:left w:val="nil"/>
          <w:bottom w:val="nil"/>
          <w:right w:val="nil"/>
          <w:between w:val="nil"/>
        </w:pBdr>
        <w:tabs>
          <w:tab w:val="left" w:pos="9270"/>
        </w:tabs>
        <w:spacing w:after="0"/>
        <w:ind w:left="720"/>
        <w:jc w:val="both"/>
        <w:rPr>
          <w:color w:val="000000"/>
        </w:rPr>
      </w:pPr>
      <w:r>
        <w:rPr>
          <w:noProof/>
          <w:color w:val="000000"/>
        </w:rPr>
        <w:lastRenderedPageBreak/>
        <mc:AlternateContent>
          <mc:Choice Requires="wps">
            <w:drawing>
              <wp:inline distT="0" distB="0" distL="0" distR="0" wp14:anchorId="3732AC59" wp14:editId="63F41B7A">
                <wp:extent cx="5485765" cy="2216100"/>
                <wp:effectExtent l="0" t="0" r="19685" b="13335"/>
                <wp:docPr id="15" name="Rectangle 15"/>
                <wp:cNvGraphicFramePr/>
                <a:graphic xmlns:a="http://schemas.openxmlformats.org/drawingml/2006/main">
                  <a:graphicData uri="http://schemas.microsoft.com/office/word/2010/wordprocessingShape">
                    <wps:wsp>
                      <wps:cNvSpPr/>
                      <wps:spPr>
                        <a:xfrm>
                          <a:off x="0" y="0"/>
                          <a:ext cx="5485765" cy="221610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7AB09D86" w14:textId="3D216233" w:rsidR="00B634C8" w:rsidRDefault="00000000">
                            <w:pPr>
                              <w:spacing w:after="0" w:line="275" w:lineRule="auto"/>
                              <w:textDirection w:val="btLr"/>
                            </w:pPr>
                            <w:r>
                              <w:rPr>
                                <w:color w:val="000000"/>
                              </w:rPr>
                              <w:t>Where detention of vulnerable refugees and asylum seekers (including refugee and asylum seeker women) is unavoidable, will the government, in accordance with CEDAW articles 1, 2, 5(a) and 12 and General Recommendation 32</w:t>
                            </w:r>
                            <w:r w:rsidR="004C28D9">
                              <w:rPr>
                                <w:color w:val="000000"/>
                              </w:rPr>
                              <w:t>:</w:t>
                            </w:r>
                          </w:p>
                          <w:p w14:paraId="64981484" w14:textId="77777777" w:rsidR="00B634C8" w:rsidRPr="004C28D9" w:rsidRDefault="00000000" w:rsidP="004C28D9">
                            <w:pPr>
                              <w:pStyle w:val="ListParagraph"/>
                              <w:numPr>
                                <w:ilvl w:val="0"/>
                                <w:numId w:val="2"/>
                              </w:numPr>
                              <w:spacing w:after="0" w:line="258" w:lineRule="auto"/>
                              <w:ind w:left="567" w:hanging="425"/>
                              <w:textDirection w:val="btLr"/>
                              <w:rPr>
                                <w:rFonts w:asciiTheme="minorHAnsi" w:hAnsiTheme="minorHAnsi" w:cstheme="minorHAnsi"/>
                              </w:rPr>
                            </w:pPr>
                            <w:r w:rsidRPr="004C28D9">
                              <w:rPr>
                                <w:rFonts w:asciiTheme="minorHAnsi" w:hAnsiTheme="minorHAnsi" w:cstheme="minorHAnsi"/>
                              </w:rPr>
                              <w:t xml:space="preserve">ensure that adequate facilities and services which meet their specific needs are provided, including by ensuring that there is effective screening for vulnerabilities among detainees and that staff at detention centres are provided with robust training relating to the specific needs and rights of women; and </w:t>
                            </w:r>
                          </w:p>
                          <w:p w14:paraId="3957E917" w14:textId="77777777" w:rsidR="00B634C8" w:rsidRPr="004C28D9" w:rsidRDefault="00000000" w:rsidP="004C28D9">
                            <w:pPr>
                              <w:pStyle w:val="ListParagraph"/>
                              <w:numPr>
                                <w:ilvl w:val="0"/>
                                <w:numId w:val="2"/>
                              </w:numPr>
                              <w:spacing w:after="0" w:line="258" w:lineRule="auto"/>
                              <w:ind w:left="567" w:hanging="425"/>
                              <w:textDirection w:val="btLr"/>
                              <w:rPr>
                                <w:rFonts w:asciiTheme="minorHAnsi" w:hAnsiTheme="minorHAnsi" w:cstheme="minorHAnsi"/>
                              </w:rPr>
                            </w:pPr>
                            <w:r w:rsidRPr="004C28D9">
                              <w:rPr>
                                <w:rFonts w:asciiTheme="minorHAnsi" w:hAnsiTheme="minorHAnsi" w:cstheme="minorHAnsi"/>
                              </w:rPr>
                              <w:t>take active measures to eradicate SGBV and other abuse of refugee and asylum seeker women in detention, including by investigating allegations of such abuse and collecting and making publicly available gender-disaggregated data on detained female refugees and asylum-seekers and their treatment while in detention?</w:t>
                            </w:r>
                          </w:p>
                        </w:txbxContent>
                      </wps:txbx>
                      <wps:bodyPr spcFirstLastPara="1" wrap="square" lIns="91425" tIns="45700" rIns="91425" bIns="45700" anchor="t" anchorCtr="0">
                        <a:noAutofit/>
                      </wps:bodyPr>
                    </wps:wsp>
                  </a:graphicData>
                </a:graphic>
              </wp:inline>
            </w:drawing>
          </mc:Choice>
          <mc:Fallback>
            <w:pict>
              <v:rect w14:anchorId="3732AC59" id="Rectangle 15" o:spid="_x0000_s1029" style="width:431.95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" fillcolor="#bdd6ee" strokecolor="#1f4d78" strokeweight="1.5pt">
                <v:stroke startarrowwidth="narrow" startarrowlength="short" endarrowwidth="narrow" endarrowlength="short"/>
                <v:textbox inset="2.53958mm,1.2694mm,2.53958mm,1.2694mm">
                  <w:txbxContent>
                    <w:p w14:paraId="7AB09D86" w14:textId="3D216233" w:rsidR="00B634C8" w:rsidRDefault="00000000">
                      <w:pPr>
                        <w:spacing w:after="0" w:line="275" w:lineRule="auto"/>
                        <w:textDirection w:val="btLr"/>
                      </w:pPr>
                      <w:r>
                        <w:rPr>
                          <w:color w:val="000000"/>
                        </w:rPr>
                        <w:t>Where detention of vulnerable refugees and asylum seekers (including refugee and asylum seeker women) is unavoidable, will the government, in accordance with CEDAW articles 1, 2, 5(a) and 12 and General Recommendation 32</w:t>
                      </w:r>
                      <w:r w:rsidR="004C28D9">
                        <w:rPr>
                          <w:color w:val="000000"/>
                        </w:rPr>
                        <w:t>:</w:t>
                      </w:r>
                    </w:p>
                    <w:p w14:paraId="64981484" w14:textId="77777777" w:rsidR="00B634C8" w:rsidRPr="004C28D9" w:rsidRDefault="00000000" w:rsidP="004C28D9">
                      <w:pPr>
                        <w:pStyle w:val="ListParagraph"/>
                        <w:numPr>
                          <w:ilvl w:val="0"/>
                          <w:numId w:val="2"/>
                        </w:numPr>
                        <w:spacing w:after="0" w:line="258" w:lineRule="auto"/>
                        <w:ind w:left="567" w:hanging="425"/>
                        <w:textDirection w:val="btLr"/>
                        <w:rPr>
                          <w:rFonts w:asciiTheme="minorHAnsi" w:hAnsiTheme="minorHAnsi" w:cstheme="minorHAnsi"/>
                        </w:rPr>
                      </w:pPr>
                      <w:r w:rsidRPr="004C28D9">
                        <w:rPr>
                          <w:rFonts w:asciiTheme="minorHAnsi" w:hAnsiTheme="minorHAnsi" w:cstheme="minorHAnsi"/>
                        </w:rPr>
                        <w:t xml:space="preserve">ensure that adequate facilities and services which meet their specific needs are provided, including by ensuring that there is effective screening for vulnerabilities among detainees and that staff at detention centres are provided with robust training relating to the specific needs and rights of women; and </w:t>
                      </w:r>
                    </w:p>
                    <w:p w14:paraId="3957E917" w14:textId="77777777" w:rsidR="00B634C8" w:rsidRPr="004C28D9" w:rsidRDefault="00000000" w:rsidP="004C28D9">
                      <w:pPr>
                        <w:pStyle w:val="ListParagraph"/>
                        <w:numPr>
                          <w:ilvl w:val="0"/>
                          <w:numId w:val="2"/>
                        </w:numPr>
                        <w:spacing w:after="0" w:line="258" w:lineRule="auto"/>
                        <w:ind w:left="567" w:hanging="425"/>
                        <w:textDirection w:val="btLr"/>
                        <w:rPr>
                          <w:rFonts w:asciiTheme="minorHAnsi" w:hAnsiTheme="minorHAnsi" w:cstheme="minorHAnsi"/>
                        </w:rPr>
                      </w:pPr>
                      <w:r w:rsidRPr="004C28D9">
                        <w:rPr>
                          <w:rFonts w:asciiTheme="minorHAnsi" w:hAnsiTheme="minorHAnsi" w:cstheme="minorHAnsi"/>
                        </w:rPr>
                        <w:t>take active measures to eradicate SGBV and other abuse of refugee and asylum seeker women in detention, including by investigating allegations of such abuse and collecting and making publicly available gender-disaggregated data on detained female refugees and asylum-seekers and their treatment while in detention?</w:t>
                      </w:r>
                    </w:p>
                  </w:txbxContent>
                </v:textbox>
                <w10:anchorlock/>
              </v:rect>
            </w:pict>
          </mc:Fallback>
        </mc:AlternateContent>
      </w:r>
    </w:p>
    <w:p w14:paraId="6E200B61" w14:textId="77777777" w:rsidR="00D44BEA" w:rsidRDefault="00D44BEA">
      <w:pPr>
        <w:pBdr>
          <w:top w:val="nil"/>
          <w:left w:val="nil"/>
          <w:bottom w:val="nil"/>
          <w:right w:val="nil"/>
          <w:between w:val="nil"/>
        </w:pBdr>
        <w:tabs>
          <w:tab w:val="left" w:pos="9270"/>
        </w:tabs>
        <w:spacing w:after="0"/>
        <w:ind w:left="720"/>
        <w:jc w:val="both"/>
        <w:rPr>
          <w:color w:val="000000"/>
        </w:rPr>
      </w:pPr>
    </w:p>
    <w:p w14:paraId="0000005A" w14:textId="5E61849E" w:rsidR="00B634C8" w:rsidRDefault="00000000">
      <w:pPr>
        <w:pBdr>
          <w:top w:val="nil"/>
          <w:left w:val="nil"/>
          <w:bottom w:val="nil"/>
          <w:right w:val="nil"/>
          <w:between w:val="nil"/>
        </w:pBdr>
        <w:spacing w:after="0"/>
        <w:ind w:left="720"/>
        <w:jc w:val="both"/>
        <w:rPr>
          <w:color w:val="000000"/>
        </w:rPr>
      </w:pPr>
      <w:r>
        <w:rPr>
          <w:noProof/>
          <w:color w:val="000000"/>
        </w:rPr>
        <mc:AlternateContent>
          <mc:Choice Requires="wps">
            <w:drawing>
              <wp:inline distT="0" distB="0" distL="0" distR="0" wp14:anchorId="66E12F2B" wp14:editId="67DB7084">
                <wp:extent cx="5485765" cy="1502410"/>
                <wp:effectExtent l="0" t="0" r="0" b="0"/>
                <wp:docPr id="18" name="Rectangle 18"/>
                <wp:cNvGraphicFramePr/>
                <a:graphic xmlns:a="http://schemas.openxmlformats.org/drawingml/2006/main">
                  <a:graphicData uri="http://schemas.microsoft.com/office/word/2010/wordprocessingShape">
                    <wps:wsp>
                      <wps:cNvSpPr/>
                      <wps:spPr>
                        <a:xfrm>
                          <a:off x="2612643" y="3038320"/>
                          <a:ext cx="5466715" cy="148336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1BDA1990" w14:textId="77777777" w:rsidR="00B634C8" w:rsidRDefault="00000000">
                            <w:pPr>
                              <w:spacing w:after="0" w:line="275" w:lineRule="auto"/>
                              <w:jc w:val="both"/>
                              <w:textDirection w:val="btLr"/>
                            </w:pPr>
                            <w:r>
                              <w:rPr>
                                <w:color w:val="000000"/>
                              </w:rPr>
                              <w:t xml:space="preserve">Given that current Malaysian law provides no statutory basis for assessing the likelihood of harm an individual faces upon removal from Malaysia to a third country; and further given that the use of discretion by Malaysian officials with regards to the removal of refugees and asylum seekers (including those who have not yet registered with the UNHCR) has resulted in breaches of the international obligation of </w:t>
                            </w:r>
                            <w:r>
                              <w:rPr>
                                <w:i/>
                                <w:color w:val="000000"/>
                              </w:rPr>
                              <w:t>non-refoulement</w:t>
                            </w:r>
                            <w:r>
                              <w:rPr>
                                <w:color w:val="000000"/>
                              </w:rPr>
                              <w:t>, what measures will Malaysia put in place to ensure individualized assessments pertaining to the risk an individual faces upon removal to a third country before such individuals are removed?</w:t>
                            </w:r>
                          </w:p>
                        </w:txbxContent>
                      </wps:txbx>
                      <wps:bodyPr spcFirstLastPara="1" wrap="square" lIns="91425" tIns="45700" rIns="91425" bIns="45700" anchor="t" anchorCtr="0">
                        <a:noAutofit/>
                      </wps:bodyPr>
                    </wps:wsp>
                  </a:graphicData>
                </a:graphic>
              </wp:inline>
            </w:drawing>
          </mc:Choice>
          <mc:Fallback>
            <w:pict>
              <v:rect w14:anchorId="66E12F2B" id="Rectangle 18" o:spid="_x0000_s1030" style="width:431.95pt;height:1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" fillcolor="#bdd6ee" strokecolor="#1f4d78" strokeweight="1.5pt">
                <v:stroke startarrowwidth="narrow" startarrowlength="short" endarrowwidth="narrow" endarrowlength="short"/>
                <v:textbox inset="2.53958mm,1.2694mm,2.53958mm,1.2694mm">
                  <w:txbxContent>
                    <w:p w14:paraId="1BDA1990" w14:textId="77777777" w:rsidR="00B634C8" w:rsidRDefault="00000000">
                      <w:pPr>
                        <w:spacing w:after="0" w:line="275" w:lineRule="auto"/>
                        <w:jc w:val="both"/>
                        <w:textDirection w:val="btLr"/>
                      </w:pPr>
                      <w:r>
                        <w:rPr>
                          <w:color w:val="000000"/>
                        </w:rPr>
                        <w:t xml:space="preserve">Given that current Malaysian law provides no statutory basis for assessing the likelihood of harm an individual faces upon removal from Malaysia to a third country; and further given that the use of discretion by Malaysian officials with regards to the removal of refugees and asylum seekers (including those who have not yet registered with the UNHCR) has resulted in breaches of the international obligation of </w:t>
                      </w:r>
                      <w:r>
                        <w:rPr>
                          <w:i/>
                          <w:color w:val="000000"/>
                        </w:rPr>
                        <w:t>non-refoulement</w:t>
                      </w:r>
                      <w:r>
                        <w:rPr>
                          <w:color w:val="000000"/>
                        </w:rPr>
                        <w:t>, what measures will Malaysia put in place to ensure individualized assessments pertaining to the risk an individual faces upon removal to a third country before such individuals are removed?</w:t>
                      </w:r>
                    </w:p>
                  </w:txbxContent>
                </v:textbox>
                <w10:anchorlock/>
              </v:rect>
            </w:pict>
          </mc:Fallback>
        </mc:AlternateContent>
      </w:r>
    </w:p>
    <w:p w14:paraId="5E298F51" w14:textId="77777777" w:rsidR="00D44BEA" w:rsidRDefault="00D44BEA">
      <w:pPr>
        <w:pBdr>
          <w:top w:val="nil"/>
          <w:left w:val="nil"/>
          <w:bottom w:val="nil"/>
          <w:right w:val="nil"/>
          <w:between w:val="nil"/>
        </w:pBdr>
        <w:spacing w:after="0"/>
        <w:ind w:left="720"/>
        <w:jc w:val="both"/>
        <w:rPr>
          <w:color w:val="000000"/>
        </w:rPr>
      </w:pPr>
    </w:p>
    <w:p w14:paraId="0000005B" w14:textId="77777777" w:rsidR="00B634C8" w:rsidRDefault="00000000">
      <w:pPr>
        <w:pBdr>
          <w:top w:val="nil"/>
          <w:left w:val="nil"/>
          <w:bottom w:val="nil"/>
          <w:right w:val="nil"/>
          <w:between w:val="nil"/>
        </w:pBdr>
        <w:spacing w:after="0"/>
        <w:ind w:left="720"/>
        <w:jc w:val="both"/>
        <w:rPr>
          <w:color w:val="000000"/>
        </w:rPr>
      </w:pPr>
      <w:r>
        <w:rPr>
          <w:noProof/>
          <w:color w:val="000000"/>
        </w:rPr>
        <mc:AlternateContent>
          <mc:Choice Requires="wps">
            <w:drawing>
              <wp:inline distT="0" distB="0" distL="0" distR="0" wp14:anchorId="6878675F" wp14:editId="6E22852B">
                <wp:extent cx="5485765" cy="990485"/>
                <wp:effectExtent l="0" t="0" r="0" b="0"/>
                <wp:docPr id="17" name="Rectangle 17"/>
                <wp:cNvGraphicFramePr/>
                <a:graphic xmlns:a="http://schemas.openxmlformats.org/drawingml/2006/main">
                  <a:graphicData uri="http://schemas.microsoft.com/office/word/2010/wordprocessingShape">
                    <wps:wsp>
                      <wps:cNvSpPr/>
                      <wps:spPr>
                        <a:xfrm>
                          <a:off x="2612650" y="3038323"/>
                          <a:ext cx="5466600" cy="97470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0171C013" w14:textId="7967294F" w:rsidR="00B634C8" w:rsidRPr="004C28D9" w:rsidRDefault="00000000">
                            <w:pPr>
                              <w:spacing w:after="0" w:line="275" w:lineRule="auto"/>
                              <w:jc w:val="both"/>
                              <w:textDirection w:val="btLr"/>
                              <w:rPr>
                                <w:rFonts w:asciiTheme="minorHAnsi" w:hAnsiTheme="minorHAnsi" w:cstheme="minorHAnsi"/>
                              </w:rPr>
                            </w:pPr>
                            <w:r w:rsidRPr="004C28D9">
                              <w:rPr>
                                <w:rFonts w:asciiTheme="minorHAnsi" w:eastAsia="Arial" w:hAnsiTheme="minorHAnsi" w:cstheme="minorHAnsi"/>
                                <w:color w:val="000000"/>
                              </w:rPr>
                              <w:t>Given the vulnerabilities of asylum-seeker and refugee girls</w:t>
                            </w:r>
                            <w:r w:rsidR="00581C5B">
                              <w:rPr>
                                <w:rFonts w:asciiTheme="minorHAnsi" w:eastAsia="Arial" w:hAnsiTheme="minorHAnsi" w:cstheme="minorHAnsi"/>
                                <w:color w:val="000000"/>
                              </w:rPr>
                              <w:t>,</w:t>
                            </w:r>
                            <w:r w:rsidRPr="004C28D9">
                              <w:rPr>
                                <w:rFonts w:asciiTheme="minorHAnsi" w:eastAsia="Arial" w:hAnsiTheme="minorHAnsi" w:cstheme="minorHAnsi"/>
                                <w:color w:val="000000"/>
                              </w:rPr>
                              <w:t xml:space="preserve"> pregnant and lactating women, why has the government not yet adopted or implemented a policy to allow for an alternative to immigration detention for these groups and what is the government’s concrete plan to do so in line with CEDAW obligations?</w:t>
                            </w:r>
                          </w:p>
                        </w:txbxContent>
                      </wps:txbx>
                      <wps:bodyPr spcFirstLastPara="1" wrap="square" lIns="91425" tIns="45700" rIns="91425" bIns="45700" anchor="t" anchorCtr="0">
                        <a:noAutofit/>
                      </wps:bodyPr>
                    </wps:wsp>
                  </a:graphicData>
                </a:graphic>
              </wp:inline>
            </w:drawing>
          </mc:Choice>
          <mc:Fallback>
            <w:pict>
              <v:rect w14:anchorId="6878675F" id="Rectangle 17" o:spid="_x0000_s1031" style="width:431.95pt;height: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" fillcolor="#bdd6ee" strokecolor="#1f4d78" strokeweight="1.5pt">
                <v:stroke startarrowwidth="narrow" startarrowlength="short" endarrowwidth="narrow" endarrowlength="short"/>
                <v:textbox inset="2.53958mm,1.2694mm,2.53958mm,1.2694mm">
                  <w:txbxContent>
                    <w:p w14:paraId="0171C013" w14:textId="7967294F" w:rsidR="00B634C8" w:rsidRPr="004C28D9" w:rsidRDefault="00000000">
                      <w:pPr>
                        <w:spacing w:after="0" w:line="275" w:lineRule="auto"/>
                        <w:jc w:val="both"/>
                        <w:textDirection w:val="btLr"/>
                        <w:rPr>
                          <w:rFonts w:asciiTheme="minorHAnsi" w:hAnsiTheme="minorHAnsi" w:cstheme="minorHAnsi"/>
                        </w:rPr>
                      </w:pPr>
                      <w:r w:rsidRPr="004C28D9">
                        <w:rPr>
                          <w:rFonts w:asciiTheme="minorHAnsi" w:eastAsia="Arial" w:hAnsiTheme="minorHAnsi" w:cstheme="minorHAnsi"/>
                          <w:color w:val="000000"/>
                        </w:rPr>
                        <w:t>Given the vulnerabilities of asylum-seeker and refugee girls</w:t>
                      </w:r>
                      <w:r w:rsidR="00581C5B">
                        <w:rPr>
                          <w:rFonts w:asciiTheme="minorHAnsi" w:eastAsia="Arial" w:hAnsiTheme="minorHAnsi" w:cstheme="minorHAnsi"/>
                          <w:color w:val="000000"/>
                        </w:rPr>
                        <w:t>,</w:t>
                      </w:r>
                      <w:r w:rsidRPr="004C28D9">
                        <w:rPr>
                          <w:rFonts w:asciiTheme="minorHAnsi" w:eastAsia="Arial" w:hAnsiTheme="minorHAnsi" w:cstheme="minorHAnsi"/>
                          <w:color w:val="000000"/>
                        </w:rPr>
                        <w:t xml:space="preserve"> pregnant and lactating women, why has the government not yet adopted or implemented a policy to allow for an alternative to immigration detention for these groups and what is the government’s concrete plan to do so in line with CEDAW obligations?</w:t>
                      </w:r>
                    </w:p>
                  </w:txbxContent>
                </v:textbox>
                <w10:anchorlock/>
              </v:rect>
            </w:pict>
          </mc:Fallback>
        </mc:AlternateContent>
      </w:r>
    </w:p>
    <w:p w14:paraId="0000005C" w14:textId="77777777" w:rsidR="00B634C8" w:rsidRDefault="00B634C8">
      <w:pPr>
        <w:keepNext/>
        <w:keepLines/>
        <w:pBdr>
          <w:top w:val="nil"/>
          <w:left w:val="nil"/>
          <w:bottom w:val="nil"/>
          <w:right w:val="nil"/>
          <w:between w:val="nil"/>
        </w:pBdr>
        <w:spacing w:before="40" w:after="0"/>
        <w:jc w:val="both"/>
        <w:rPr>
          <w:b/>
          <w:i/>
        </w:rPr>
      </w:pPr>
    </w:p>
    <w:p w14:paraId="0000005D" w14:textId="77777777" w:rsidR="00B634C8" w:rsidRDefault="00000000">
      <w:pPr>
        <w:keepNext/>
        <w:keepLines/>
        <w:pBdr>
          <w:top w:val="nil"/>
          <w:left w:val="nil"/>
          <w:bottom w:val="nil"/>
          <w:right w:val="nil"/>
          <w:between w:val="nil"/>
        </w:pBdr>
        <w:spacing w:before="40" w:after="0"/>
        <w:jc w:val="both"/>
        <w:rPr>
          <w:b/>
          <w:i/>
          <w:color w:val="000000"/>
        </w:rPr>
      </w:pPr>
      <w:r>
        <w:rPr>
          <w:b/>
          <w:i/>
          <w:color w:val="000000"/>
        </w:rPr>
        <w:t xml:space="preserve">Issue 3: No Formal Access to Employment (CEDAW Article 11) </w:t>
      </w:r>
    </w:p>
    <w:p w14:paraId="0000005E" w14:textId="77777777" w:rsidR="00B634C8" w:rsidRDefault="00B634C8">
      <w:pPr>
        <w:pBdr>
          <w:top w:val="nil"/>
          <w:left w:val="nil"/>
          <w:bottom w:val="nil"/>
          <w:right w:val="nil"/>
          <w:between w:val="nil"/>
        </w:pBdr>
        <w:spacing w:after="0"/>
        <w:jc w:val="both"/>
        <w:rPr>
          <w:color w:val="000000"/>
        </w:rPr>
      </w:pPr>
    </w:p>
    <w:p w14:paraId="0000005F"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Refugees and asylum seekers in Malaysia have no legal permission to work, forcing refugee and asylum seeker women to seek sources of income from the informal labour market. Although the previous Human Resource </w:t>
      </w:r>
      <w:r>
        <w:t>Minister</w:t>
      </w:r>
      <w:r>
        <w:rPr>
          <w:color w:val="000000"/>
        </w:rPr>
        <w:t xml:space="preserve"> in a parliamentary reply asserted that the government is looking into developing a guideline on permission for refugees to work formally,</w:t>
      </w:r>
      <w:r>
        <w:rPr>
          <w:color w:val="000000"/>
          <w:vertAlign w:val="superscript"/>
        </w:rPr>
        <w:footnoteReference w:id="47"/>
      </w:r>
      <w:r>
        <w:rPr>
          <w:color w:val="000000"/>
        </w:rPr>
        <w:t xml:space="preserve"> the</w:t>
      </w:r>
      <w:r>
        <w:t xml:space="preserve"> </w:t>
      </w:r>
      <w:r>
        <w:rPr>
          <w:color w:val="000000"/>
        </w:rPr>
        <w:t>current administration has backtracked saying there is no decision yet on granting refugees the right to work.</w:t>
      </w:r>
      <w:r>
        <w:rPr>
          <w:color w:val="000000"/>
          <w:vertAlign w:val="superscript"/>
        </w:rPr>
        <w:footnoteReference w:id="48"/>
      </w:r>
    </w:p>
    <w:p w14:paraId="00000060" w14:textId="77777777" w:rsidR="00B634C8" w:rsidRDefault="00B634C8">
      <w:pPr>
        <w:pBdr>
          <w:top w:val="nil"/>
          <w:left w:val="nil"/>
          <w:bottom w:val="nil"/>
          <w:right w:val="nil"/>
          <w:between w:val="nil"/>
        </w:pBdr>
        <w:spacing w:after="0" w:line="259" w:lineRule="auto"/>
        <w:ind w:left="720"/>
        <w:jc w:val="both"/>
        <w:rPr>
          <w:color w:val="000000"/>
        </w:rPr>
      </w:pPr>
    </w:p>
    <w:p w14:paraId="00000061"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lastRenderedPageBreak/>
        <w:t>The lack of access to safe work exacerbates vulnerabilities as refugees face unacceptable risks when travelling to and from work, and within the workplace.</w:t>
      </w:r>
      <w:r>
        <w:rPr>
          <w:color w:val="000000"/>
          <w:vertAlign w:val="superscript"/>
        </w:rPr>
        <w:footnoteReference w:id="49"/>
      </w:r>
      <w:r>
        <w:rPr>
          <w:color w:val="000000"/>
        </w:rPr>
        <w:t xml:space="preserve"> For women who are unable to access jobs within the informal sector, lack of income increases the risk of exploitation, contributes to marginalisation, and can lead to negative coping mechanisms, such as survival sex or early marriage.</w:t>
      </w:r>
      <w:r>
        <w:rPr>
          <w:color w:val="000000"/>
          <w:sz w:val="21"/>
          <w:szCs w:val="21"/>
          <w:vertAlign w:val="superscript"/>
        </w:rPr>
        <w:footnoteReference w:id="50"/>
      </w:r>
    </w:p>
    <w:p w14:paraId="00000062" w14:textId="77777777" w:rsidR="00B634C8" w:rsidRDefault="00B634C8">
      <w:pPr>
        <w:pBdr>
          <w:top w:val="nil"/>
          <w:left w:val="nil"/>
          <w:bottom w:val="nil"/>
          <w:right w:val="nil"/>
          <w:between w:val="nil"/>
        </w:pBdr>
        <w:spacing w:after="0" w:line="259" w:lineRule="auto"/>
        <w:ind w:left="720"/>
        <w:jc w:val="both"/>
        <w:rPr>
          <w:color w:val="000000"/>
        </w:rPr>
      </w:pPr>
    </w:p>
    <w:p w14:paraId="00000063"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The COVID-19 pandemic brought about unprecedented challenges and a sharp increase in reported incidences of labour violations against refugees - including unpaid salaries, termination without notice, and occupational safety and health hazards - all compounded on existing perilous working conditions.</w:t>
      </w:r>
      <w:r>
        <w:rPr>
          <w:color w:val="000000"/>
          <w:vertAlign w:val="superscript"/>
        </w:rPr>
        <w:footnoteReference w:id="51"/>
      </w:r>
      <w:r>
        <w:rPr>
          <w:color w:val="000000"/>
        </w:rPr>
        <w:t xml:space="preserve"> Discriminatory prohibition notices in several </w:t>
      </w:r>
      <w:r>
        <w:t>locations</w:t>
      </w:r>
      <w:r>
        <w:rPr>
          <w:color w:val="000000"/>
        </w:rPr>
        <w:t xml:space="preserve"> were also issued restricting refugees from obtaining work in certain sectors.</w:t>
      </w:r>
      <w:r>
        <w:rPr>
          <w:color w:val="000000"/>
          <w:vertAlign w:val="superscript"/>
        </w:rPr>
        <w:footnoteReference w:id="52"/>
      </w:r>
      <w:r>
        <w:rPr>
          <w:color w:val="000000"/>
        </w:rPr>
        <w:t xml:space="preserve"> Amidst the rising xenophobia and anti-refugee sentiment fuelled by the then government, refugees without the formal right to work faced significant threats to their livelihoods and shelter throughout the pandemic.</w:t>
      </w:r>
      <w:r>
        <w:rPr>
          <w:color w:val="000000"/>
          <w:vertAlign w:val="superscript"/>
        </w:rPr>
        <w:footnoteReference w:id="53"/>
      </w:r>
    </w:p>
    <w:p w14:paraId="00000064" w14:textId="77777777" w:rsidR="00B634C8" w:rsidRDefault="00B634C8">
      <w:pPr>
        <w:pBdr>
          <w:top w:val="nil"/>
          <w:left w:val="nil"/>
          <w:bottom w:val="nil"/>
          <w:right w:val="nil"/>
          <w:between w:val="nil"/>
        </w:pBdr>
        <w:spacing w:after="0" w:line="259" w:lineRule="auto"/>
        <w:jc w:val="both"/>
        <w:rPr>
          <w:color w:val="000000"/>
        </w:rPr>
      </w:pPr>
    </w:p>
    <w:p w14:paraId="00000065"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In a recent consultation with refugee women from various communities, women who have no legal rights to work are unable to afford necessities to survive or send their children to school. Those who can find some informal work receive a lower pay, face harassment, and various labour violations due to their lack of status.</w:t>
      </w:r>
      <w:r>
        <w:rPr>
          <w:color w:val="000000"/>
          <w:vertAlign w:val="superscript"/>
        </w:rPr>
        <w:footnoteReference w:id="54"/>
      </w:r>
      <w:r>
        <w:rPr>
          <w:color w:val="000000"/>
        </w:rPr>
        <w:t xml:space="preserve"> </w:t>
      </w:r>
    </w:p>
    <w:p w14:paraId="00000066" w14:textId="77777777" w:rsidR="00B634C8" w:rsidRDefault="00B634C8">
      <w:pPr>
        <w:pBdr>
          <w:top w:val="nil"/>
          <w:left w:val="nil"/>
          <w:bottom w:val="nil"/>
          <w:right w:val="nil"/>
          <w:between w:val="nil"/>
        </w:pBdr>
        <w:spacing w:after="0" w:line="259" w:lineRule="auto"/>
        <w:jc w:val="both"/>
        <w:rPr>
          <w:color w:val="000000"/>
        </w:rPr>
      </w:pPr>
    </w:p>
    <w:p w14:paraId="00000067"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Although the government has initiated pilot projects for UNHCR card holders to work in the past,</w:t>
      </w:r>
      <w:r>
        <w:rPr>
          <w:color w:val="000000"/>
          <w:vertAlign w:val="superscript"/>
        </w:rPr>
        <w:footnoteReference w:id="55"/>
      </w:r>
      <w:r>
        <w:rPr>
          <w:color w:val="000000"/>
          <w:vertAlign w:val="superscript"/>
        </w:rPr>
        <w:t xml:space="preserve"> </w:t>
      </w:r>
      <w:r>
        <w:t xml:space="preserve">only a </w:t>
      </w:r>
      <w:r>
        <w:rPr>
          <w:color w:val="000000"/>
        </w:rPr>
        <w:t xml:space="preserve">handful of refugee men were allowed to be a part of this program and there has been no published evaluation of these pilot projects. Pursuant to CEDAW Article 11, failure to take appropriate measures to eliminate discrimination against women in the field of employment </w:t>
      </w:r>
      <w:r>
        <w:rPr>
          <w:color w:val="000000"/>
        </w:rPr>
        <w:lastRenderedPageBreak/>
        <w:t>could constitute discrimination. General Recommendation 32 further provides that refugee and asylum seeker women should be offered sources of livelihood and employment opportunities.</w:t>
      </w:r>
      <w:r>
        <w:rPr>
          <w:color w:val="000000"/>
          <w:vertAlign w:val="superscript"/>
        </w:rPr>
        <w:footnoteReference w:id="56"/>
      </w:r>
    </w:p>
    <w:p w14:paraId="00000068" w14:textId="77777777" w:rsidR="00B634C8" w:rsidRDefault="00B634C8">
      <w:pPr>
        <w:pBdr>
          <w:top w:val="nil"/>
          <w:left w:val="nil"/>
          <w:bottom w:val="nil"/>
          <w:right w:val="nil"/>
          <w:between w:val="nil"/>
        </w:pBdr>
        <w:spacing w:after="0" w:line="259" w:lineRule="auto"/>
        <w:ind w:left="720"/>
        <w:jc w:val="both"/>
        <w:rPr>
          <w:color w:val="000000"/>
        </w:rPr>
      </w:pPr>
    </w:p>
    <w:p w14:paraId="00000069" w14:textId="77777777" w:rsidR="00B634C8" w:rsidRDefault="00000000" w:rsidP="00581C5B">
      <w:pPr>
        <w:pBdr>
          <w:top w:val="nil"/>
          <w:left w:val="nil"/>
          <w:bottom w:val="nil"/>
          <w:right w:val="nil"/>
          <w:between w:val="nil"/>
        </w:pBdr>
        <w:spacing w:after="0" w:line="259" w:lineRule="auto"/>
        <w:jc w:val="both"/>
        <w:rPr>
          <w:color w:val="000000"/>
        </w:rPr>
      </w:pPr>
      <w:r>
        <w:rPr>
          <w:b/>
          <w:color w:val="000000"/>
          <w:u w:val="single"/>
        </w:rPr>
        <w:t>Critical question on formal access to employment</w:t>
      </w:r>
      <w:r>
        <w:rPr>
          <w:b/>
          <w:color w:val="000000"/>
        </w:rPr>
        <w:t xml:space="preserve"> </w:t>
      </w:r>
    </w:p>
    <w:p w14:paraId="0000006A" w14:textId="77777777" w:rsidR="00B634C8" w:rsidRDefault="00B634C8">
      <w:pPr>
        <w:pBdr>
          <w:top w:val="nil"/>
          <w:left w:val="nil"/>
          <w:bottom w:val="nil"/>
          <w:right w:val="nil"/>
          <w:between w:val="nil"/>
        </w:pBdr>
        <w:spacing w:after="0" w:line="259" w:lineRule="auto"/>
        <w:ind w:left="720"/>
        <w:jc w:val="both"/>
        <w:rPr>
          <w:color w:val="000000"/>
        </w:rPr>
      </w:pPr>
    </w:p>
    <w:p w14:paraId="0000006B" w14:textId="77777777" w:rsidR="00B634C8" w:rsidRDefault="00000000">
      <w:pPr>
        <w:pBdr>
          <w:top w:val="nil"/>
          <w:left w:val="nil"/>
          <w:bottom w:val="nil"/>
          <w:right w:val="nil"/>
          <w:between w:val="nil"/>
        </w:pBdr>
        <w:spacing w:after="0" w:line="259" w:lineRule="auto"/>
        <w:ind w:left="720"/>
        <w:jc w:val="both"/>
        <w:rPr>
          <w:color w:val="000000"/>
        </w:rPr>
      </w:pPr>
      <w:r>
        <w:rPr>
          <w:noProof/>
          <w:color w:val="000000"/>
        </w:rPr>
        <mc:AlternateContent>
          <mc:Choice Requires="wps">
            <w:drawing>
              <wp:inline distT="0" distB="0" distL="0" distR="0" wp14:anchorId="3D5BC4C6" wp14:editId="0498A70A">
                <wp:extent cx="5485765" cy="949960"/>
                <wp:effectExtent l="0" t="0" r="0" b="0"/>
                <wp:docPr id="20" name="Rectangle 20"/>
                <wp:cNvGraphicFramePr/>
                <a:graphic xmlns:a="http://schemas.openxmlformats.org/drawingml/2006/main">
                  <a:graphicData uri="http://schemas.microsoft.com/office/word/2010/wordprocessingShape">
                    <wps:wsp>
                      <wps:cNvSpPr/>
                      <wps:spPr>
                        <a:xfrm>
                          <a:off x="2612643" y="3314545"/>
                          <a:ext cx="5466715" cy="93091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0B2FDFF7" w14:textId="77777777" w:rsidR="00B634C8" w:rsidRDefault="00000000">
                            <w:pPr>
                              <w:spacing w:line="275" w:lineRule="auto"/>
                              <w:jc w:val="both"/>
                              <w:textDirection w:val="btLr"/>
                            </w:pPr>
                            <w:r>
                              <w:rPr>
                                <w:color w:val="000000"/>
                              </w:rPr>
                              <w:t xml:space="preserve">Given its obligations under CEDAW Article 11 and General Recommendation 32, will the government commit to implementing the right to access formal employment to all refugees without restrictions to gender and sectors, </w:t>
                            </w:r>
                            <w:proofErr w:type="gramStart"/>
                            <w:r>
                              <w:rPr>
                                <w:color w:val="000000"/>
                              </w:rPr>
                              <w:t>in order to</w:t>
                            </w:r>
                            <w:proofErr w:type="gramEnd"/>
                            <w:r>
                              <w:rPr>
                                <w:color w:val="000000"/>
                              </w:rPr>
                              <w:t xml:space="preserve"> reduce the levels of vulnerability and risks of exploitation refugees and asylum seekers face, particularly women?</w:t>
                            </w:r>
                          </w:p>
                        </w:txbxContent>
                      </wps:txbx>
                      <wps:bodyPr spcFirstLastPara="1" wrap="square" lIns="91425" tIns="45700" rIns="91425" bIns="45700" anchor="t" anchorCtr="0">
                        <a:noAutofit/>
                      </wps:bodyPr>
                    </wps:wsp>
                  </a:graphicData>
                </a:graphic>
              </wp:inline>
            </w:drawing>
          </mc:Choice>
          <mc:Fallback>
            <w:pict>
              <v:rect w14:anchorId="3D5BC4C6" id="Rectangle 20" o:spid="_x0000_s1032" style="width:431.95pt;height:7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" fillcolor="#bdd6ee" strokecolor="#1f4d78" strokeweight="1.5pt">
                <v:stroke startarrowwidth="narrow" startarrowlength="short" endarrowwidth="narrow" endarrowlength="short"/>
                <v:textbox inset="2.53958mm,1.2694mm,2.53958mm,1.2694mm">
                  <w:txbxContent>
                    <w:p w14:paraId="0B2FDFF7" w14:textId="77777777" w:rsidR="00B634C8" w:rsidRDefault="00000000">
                      <w:pPr>
                        <w:spacing w:line="275" w:lineRule="auto"/>
                        <w:jc w:val="both"/>
                        <w:textDirection w:val="btLr"/>
                      </w:pPr>
                      <w:r>
                        <w:rPr>
                          <w:color w:val="000000"/>
                        </w:rPr>
                        <w:t xml:space="preserve">Given its obligations under CEDAW Article 11 and General Recommendation 32, will the government commit to implementing the right to access formal employment to all refugees without restrictions to gender and sectors, </w:t>
                      </w:r>
                      <w:proofErr w:type="gramStart"/>
                      <w:r>
                        <w:rPr>
                          <w:color w:val="000000"/>
                        </w:rPr>
                        <w:t>in order to</w:t>
                      </w:r>
                      <w:proofErr w:type="gramEnd"/>
                      <w:r>
                        <w:rPr>
                          <w:color w:val="000000"/>
                        </w:rPr>
                        <w:t xml:space="preserve"> reduce the levels of vulnerability and risks of exploitation refugees and asylum seekers face, particularly women?</w:t>
                      </w:r>
                    </w:p>
                  </w:txbxContent>
                </v:textbox>
                <w10:anchorlock/>
              </v:rect>
            </w:pict>
          </mc:Fallback>
        </mc:AlternateContent>
      </w:r>
    </w:p>
    <w:p w14:paraId="0000006C" w14:textId="77777777" w:rsidR="00B634C8" w:rsidRDefault="00B634C8">
      <w:pPr>
        <w:pBdr>
          <w:top w:val="nil"/>
          <w:left w:val="nil"/>
          <w:bottom w:val="nil"/>
          <w:right w:val="nil"/>
          <w:between w:val="nil"/>
        </w:pBdr>
        <w:spacing w:after="0"/>
        <w:jc w:val="both"/>
        <w:rPr>
          <w:color w:val="000000"/>
        </w:rPr>
      </w:pPr>
    </w:p>
    <w:p w14:paraId="0000006D" w14:textId="77777777" w:rsidR="00B634C8" w:rsidRDefault="00000000">
      <w:pPr>
        <w:keepNext/>
        <w:keepLines/>
        <w:pBdr>
          <w:top w:val="nil"/>
          <w:left w:val="nil"/>
          <w:bottom w:val="nil"/>
          <w:right w:val="nil"/>
          <w:between w:val="nil"/>
        </w:pBdr>
        <w:spacing w:before="40" w:after="0"/>
        <w:jc w:val="both"/>
        <w:rPr>
          <w:b/>
          <w:i/>
          <w:color w:val="000000"/>
          <w:highlight w:val="yellow"/>
        </w:rPr>
      </w:pPr>
      <w:r>
        <w:rPr>
          <w:b/>
          <w:i/>
          <w:color w:val="000000"/>
        </w:rPr>
        <w:t>Issue 4: Lack of Access to Affordable and Appropriate Healthcare (CEDAW Article 12)</w:t>
      </w:r>
    </w:p>
    <w:p w14:paraId="0000006E" w14:textId="77777777" w:rsidR="00B634C8" w:rsidRDefault="00B634C8">
      <w:pPr>
        <w:pBdr>
          <w:top w:val="nil"/>
          <w:left w:val="nil"/>
          <w:bottom w:val="nil"/>
          <w:right w:val="nil"/>
          <w:between w:val="nil"/>
        </w:pBdr>
        <w:spacing w:after="0"/>
        <w:jc w:val="both"/>
        <w:rPr>
          <w:color w:val="000000"/>
        </w:rPr>
      </w:pPr>
      <w:bookmarkStart w:id="0" w:name="_heading=h.gjdgxs" w:colFirst="0" w:colLast="0"/>
      <w:bookmarkEnd w:id="0"/>
    </w:p>
    <w:p w14:paraId="0000006F"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In accordance with CEDAW Article 12 and General Recommendation 32, the Malaysian government is responsible for ensuring that refugee and asylum seeker women have adequate access to healthcare.</w:t>
      </w:r>
      <w:r>
        <w:rPr>
          <w:color w:val="000000"/>
          <w:vertAlign w:val="superscript"/>
        </w:rPr>
        <w:footnoteReference w:id="57"/>
      </w:r>
      <w:r>
        <w:rPr>
          <w:color w:val="000000"/>
        </w:rPr>
        <w:t xml:space="preserve"> </w:t>
      </w:r>
    </w:p>
    <w:p w14:paraId="00000070" w14:textId="77777777" w:rsidR="00B634C8" w:rsidRDefault="00B634C8">
      <w:pPr>
        <w:pBdr>
          <w:top w:val="nil"/>
          <w:left w:val="nil"/>
          <w:bottom w:val="nil"/>
          <w:right w:val="nil"/>
          <w:between w:val="nil"/>
        </w:pBdr>
        <w:spacing w:after="0" w:line="259" w:lineRule="auto"/>
        <w:ind w:left="720"/>
        <w:jc w:val="both"/>
        <w:rPr>
          <w:color w:val="000000"/>
        </w:rPr>
      </w:pPr>
    </w:p>
    <w:p w14:paraId="00000071"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In Malaysia’s response to the Concluding Observations and sixth periodic report, it is highlighted that refugees with UNHCR documentation are given a 50% discount on fees.</w:t>
      </w:r>
      <w:r>
        <w:rPr>
          <w:color w:val="000000"/>
          <w:vertAlign w:val="superscript"/>
        </w:rPr>
        <w:footnoteReference w:id="58"/>
      </w:r>
      <w:r>
        <w:rPr>
          <w:color w:val="000000"/>
        </w:rPr>
        <w:t xml:space="preserve"> However, with the doubling of the overall fees for foreigners in 2016,</w:t>
      </w:r>
      <w:r>
        <w:rPr>
          <w:color w:val="000000"/>
          <w:vertAlign w:val="superscript"/>
        </w:rPr>
        <w:footnoteReference w:id="59"/>
      </w:r>
      <w:r>
        <w:rPr>
          <w:color w:val="000000"/>
        </w:rPr>
        <w:t xml:space="preserve"> the cost of healthcare services is still inaccessible to most, even with the discount. Refugee women in particular face significant challenges with the exorbitant costs related to delivery.</w:t>
      </w:r>
      <w:r>
        <w:rPr>
          <w:color w:val="000000"/>
          <w:vertAlign w:val="superscript"/>
        </w:rPr>
        <w:footnoteReference w:id="60"/>
      </w:r>
      <w:r>
        <w:rPr>
          <w:color w:val="000000"/>
        </w:rPr>
        <w:t xml:space="preserve"> The discount also does not extend to undocumented asylum-seeker women pending registration with UNHCR. </w:t>
      </w:r>
      <w:r>
        <w:t>Refugees</w:t>
      </w:r>
      <w:r>
        <w:rPr>
          <w:color w:val="000000"/>
        </w:rPr>
        <w:t xml:space="preserve"> and asylum seeker</w:t>
      </w:r>
      <w:r>
        <w:t>s are also unable to access medical insurance.</w:t>
      </w:r>
      <w:r>
        <w:rPr>
          <w:color w:val="000000"/>
        </w:rPr>
        <w:t xml:space="preserve">   </w:t>
      </w:r>
    </w:p>
    <w:p w14:paraId="00000072" w14:textId="77777777" w:rsidR="00B634C8" w:rsidRDefault="00B634C8">
      <w:pPr>
        <w:pBdr>
          <w:top w:val="nil"/>
          <w:left w:val="nil"/>
          <w:bottom w:val="nil"/>
          <w:right w:val="nil"/>
          <w:between w:val="nil"/>
        </w:pBdr>
        <w:spacing w:after="0" w:line="259" w:lineRule="auto"/>
        <w:ind w:left="720"/>
        <w:jc w:val="both"/>
        <w:rPr>
          <w:color w:val="000000"/>
        </w:rPr>
      </w:pPr>
    </w:p>
    <w:p w14:paraId="00000073"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In Malaysia’s </w:t>
      </w:r>
      <w:r>
        <w:t xml:space="preserve">response to the Concluding Observations, </w:t>
      </w:r>
      <w:r>
        <w:rPr>
          <w:color w:val="000000"/>
        </w:rPr>
        <w:t xml:space="preserve">it is also highlighted that efforts have been undertaken with NGO partners to set up clinics through the </w:t>
      </w:r>
      <w:r>
        <w:t>Qatar Fund for Development (QFFD), particularly improving access to primary care services and vaccination for children.</w:t>
      </w:r>
      <w:r>
        <w:rPr>
          <w:vertAlign w:val="superscript"/>
        </w:rPr>
        <w:footnoteReference w:id="61"/>
      </w:r>
      <w:r>
        <w:t xml:space="preserve"> While these efforts are commendable, it is important to note that there are only a handful of such clinics </w:t>
      </w:r>
      <w:r>
        <w:lastRenderedPageBreak/>
        <w:t xml:space="preserve">serving the entire refugee population, which is insufficient and not feasible in the long term. These clinics also do not provide important access to secondary and emergency care which remains inaccessible to most refugees because of the high cost. </w:t>
      </w:r>
      <w:r>
        <w:rPr>
          <w:color w:val="000000"/>
        </w:rPr>
        <w:t xml:space="preserve">  </w:t>
      </w:r>
    </w:p>
    <w:p w14:paraId="00000074" w14:textId="77777777" w:rsidR="00B634C8" w:rsidRDefault="00B634C8">
      <w:pPr>
        <w:pBdr>
          <w:top w:val="nil"/>
          <w:left w:val="nil"/>
          <w:bottom w:val="nil"/>
          <w:right w:val="nil"/>
          <w:between w:val="nil"/>
        </w:pBdr>
        <w:spacing w:after="0" w:line="259" w:lineRule="auto"/>
        <w:jc w:val="both"/>
        <w:rPr>
          <w:color w:val="000000"/>
        </w:rPr>
      </w:pPr>
    </w:p>
    <w:p w14:paraId="00000075" w14:textId="7E14DB91" w:rsidR="00B634C8" w:rsidRDefault="00000000">
      <w:pPr>
        <w:numPr>
          <w:ilvl w:val="0"/>
          <w:numId w:val="1"/>
        </w:numPr>
        <w:pBdr>
          <w:top w:val="nil"/>
          <w:left w:val="nil"/>
          <w:bottom w:val="nil"/>
          <w:right w:val="nil"/>
          <w:between w:val="nil"/>
        </w:pBdr>
        <w:spacing w:after="0" w:line="259" w:lineRule="auto"/>
        <w:ind w:hanging="360"/>
        <w:jc w:val="both"/>
        <w:rPr>
          <w:color w:val="000000"/>
        </w:rPr>
      </w:pPr>
      <w:r>
        <w:rPr>
          <w:color w:val="000000"/>
        </w:rPr>
        <w:t xml:space="preserve">Refugee and asylum seeker women and girls also face challenges related to fears of arrest and detention due to a lack of legal status and </w:t>
      </w:r>
      <w:r>
        <w:t>the</w:t>
      </w:r>
      <w:r>
        <w:rPr>
          <w:color w:val="000000"/>
        </w:rPr>
        <w:t xml:space="preserve"> current Ministry of Health directive (Circ</w:t>
      </w:r>
      <w:r>
        <w:t>ular 10)</w:t>
      </w:r>
      <w:r>
        <w:rPr>
          <w:color w:val="000000"/>
        </w:rPr>
        <w:t xml:space="preserve"> on reporting undocumented persons.</w:t>
      </w:r>
      <w:r>
        <w:rPr>
          <w:color w:val="000000"/>
          <w:vertAlign w:val="superscript"/>
        </w:rPr>
        <w:footnoteReference w:id="62"/>
      </w:r>
      <w:r>
        <w:rPr>
          <w:color w:val="000000"/>
        </w:rPr>
        <w:t xml:space="preserve"> T</w:t>
      </w:r>
      <w:r>
        <w:t>his reporting of undocumented persons was further expressly highlighted in Malaysia’s sixth periodic report to the CEDAW committee as action being in line with related domestic  laws of the country.</w:t>
      </w:r>
      <w:r>
        <w:rPr>
          <w:vertAlign w:val="superscript"/>
        </w:rPr>
        <w:footnoteReference w:id="63"/>
      </w:r>
      <w:r>
        <w:t xml:space="preserve"> </w:t>
      </w:r>
      <w:r>
        <w:rPr>
          <w:color w:val="000000"/>
        </w:rPr>
        <w:t>This lack of separat</w:t>
      </w:r>
      <w:r>
        <w:t xml:space="preserve">ion between public health and immigration </w:t>
      </w:r>
      <w:r>
        <w:rPr>
          <w:color w:val="000000"/>
        </w:rPr>
        <w:t xml:space="preserve"> has caused many to avoid seeking treatment.</w:t>
      </w:r>
      <w:r>
        <w:rPr>
          <w:color w:val="000000"/>
          <w:vertAlign w:val="superscript"/>
        </w:rPr>
        <w:footnoteReference w:id="64"/>
      </w:r>
      <w:r>
        <w:rPr>
          <w:color w:val="000000"/>
        </w:rPr>
        <w:t xml:space="preserve"> T</w:t>
      </w:r>
      <w:r>
        <w:t>his additionally poses a public health concern and</w:t>
      </w:r>
      <w:r>
        <w:rPr>
          <w:color w:val="000000"/>
        </w:rPr>
        <w:t xml:space="preserve"> additional barriers for pregnant refugee women who delay seeking prenatal care as a result.</w:t>
      </w:r>
      <w:r>
        <w:rPr>
          <w:color w:val="000000"/>
          <w:vertAlign w:val="superscript"/>
        </w:rPr>
        <w:footnoteReference w:id="65"/>
      </w:r>
      <w:r>
        <w:rPr>
          <w:color w:val="000000"/>
        </w:rPr>
        <w:t xml:space="preserve"> </w:t>
      </w:r>
      <w:r w:rsidR="00167A6C" w:rsidRPr="003A292E">
        <w:rPr>
          <w:color w:val="000000"/>
        </w:rPr>
        <w:t>Survivors of SGBV similarly face challenges in accessing specialist care, legal support and welfare services in One Stop Crisis Centres.</w:t>
      </w:r>
      <w:r w:rsidR="003A292E">
        <w:rPr>
          <w:rStyle w:val="FootnoteReference"/>
          <w:color w:val="000000"/>
        </w:rPr>
        <w:footnoteReference w:id="66"/>
      </w:r>
      <w:r w:rsidR="00167A6C">
        <w:rPr>
          <w:color w:val="000000"/>
        </w:rPr>
        <w:t xml:space="preserve"> </w:t>
      </w:r>
      <w:r>
        <w:rPr>
          <w:color w:val="000000"/>
        </w:rPr>
        <w:t>During the COVID-19 pandemic, the Malaysian government continued to arrest and detain undocumented persons (which include refugees and asylum seekers) who had come forward for COVID-19 testing and treatment.</w:t>
      </w:r>
      <w:r>
        <w:rPr>
          <w:color w:val="000000"/>
          <w:vertAlign w:val="superscript"/>
        </w:rPr>
        <w:footnoteReference w:id="67"/>
      </w:r>
      <w:r>
        <w:rPr>
          <w:color w:val="000000"/>
        </w:rPr>
        <w:t xml:space="preserve"> </w:t>
      </w:r>
    </w:p>
    <w:p w14:paraId="00000076" w14:textId="77777777" w:rsidR="00B634C8" w:rsidRDefault="00B634C8">
      <w:pPr>
        <w:pBdr>
          <w:top w:val="nil"/>
          <w:left w:val="nil"/>
          <w:bottom w:val="nil"/>
          <w:right w:val="nil"/>
          <w:between w:val="nil"/>
        </w:pBdr>
        <w:spacing w:after="0" w:line="259" w:lineRule="auto"/>
        <w:ind w:left="720"/>
        <w:jc w:val="both"/>
        <w:rPr>
          <w:color w:val="000000"/>
        </w:rPr>
      </w:pPr>
    </w:p>
    <w:p w14:paraId="00000077" w14:textId="77777777" w:rsidR="00B634C8" w:rsidRDefault="00000000">
      <w:pPr>
        <w:numPr>
          <w:ilvl w:val="0"/>
          <w:numId w:val="1"/>
        </w:numPr>
        <w:pBdr>
          <w:top w:val="nil"/>
          <w:left w:val="nil"/>
          <w:bottom w:val="nil"/>
          <w:right w:val="nil"/>
          <w:between w:val="nil"/>
        </w:pBdr>
        <w:spacing w:after="0" w:line="259" w:lineRule="auto"/>
        <w:ind w:hanging="360"/>
        <w:jc w:val="both"/>
        <w:rPr>
          <w:color w:val="000000"/>
        </w:rPr>
      </w:pPr>
      <w:r>
        <w:t>Although it is asserted in Malaysia’s sixth periodic report that maternity,  family  planning  and  reproductive  health-care is provided to all regardless of nationality and income level, most r</w:t>
      </w:r>
      <w:r>
        <w:rPr>
          <w:color w:val="000000"/>
        </w:rPr>
        <w:t xml:space="preserve">efugee and asylum seeker women and girls still face major practical obstacles to accessing </w:t>
      </w:r>
      <w:r>
        <w:t>these services</w:t>
      </w:r>
      <w:r>
        <w:rPr>
          <w:color w:val="000000"/>
        </w:rPr>
        <w:t xml:space="preserve"> due to </w:t>
      </w:r>
      <w:r>
        <w:t>lack of interpretation, high</w:t>
      </w:r>
      <w:r>
        <w:rPr>
          <w:color w:val="000000"/>
        </w:rPr>
        <w:t xml:space="preserve"> cost, and security.</w:t>
      </w:r>
      <w:r>
        <w:rPr>
          <w:color w:val="000000"/>
          <w:vertAlign w:val="superscript"/>
        </w:rPr>
        <w:footnoteReference w:id="68"/>
      </w:r>
      <w:r>
        <w:rPr>
          <w:color w:val="000000"/>
        </w:rPr>
        <w:t xml:space="preserve"> Other barriers also include discrimination and a lack of empathy among healthcare workers, and the lack of State support for child protection issues particularly related to child marriages and teenage pregnancy.</w:t>
      </w:r>
      <w:r>
        <w:rPr>
          <w:color w:val="000000"/>
          <w:vertAlign w:val="superscript"/>
        </w:rPr>
        <w:footnoteReference w:id="69"/>
      </w:r>
      <w:r>
        <w:rPr>
          <w:color w:val="000000"/>
        </w:rPr>
        <w:t xml:space="preserve"> There is </w:t>
      </w:r>
      <w:r>
        <w:rPr>
          <w:color w:val="000000"/>
        </w:rPr>
        <w:lastRenderedPageBreak/>
        <w:t>also limited disaggregated data available on the prevalence of access to treatment, maternal mortality rates, and child vaccination rates for asylum seeker and refugee women and girls in Malaysia.</w:t>
      </w:r>
    </w:p>
    <w:p w14:paraId="00000078" w14:textId="77777777" w:rsidR="00B634C8" w:rsidRDefault="00B634C8">
      <w:pPr>
        <w:pBdr>
          <w:top w:val="nil"/>
          <w:left w:val="nil"/>
          <w:bottom w:val="nil"/>
          <w:right w:val="nil"/>
          <w:between w:val="nil"/>
        </w:pBdr>
        <w:spacing w:after="0" w:line="259" w:lineRule="auto"/>
        <w:jc w:val="both"/>
        <w:rPr>
          <w:color w:val="000000"/>
        </w:rPr>
      </w:pPr>
    </w:p>
    <w:p w14:paraId="00000079" w14:textId="77777777" w:rsidR="00B634C8" w:rsidRDefault="00000000" w:rsidP="00581C5B">
      <w:pPr>
        <w:pBdr>
          <w:top w:val="nil"/>
          <w:left w:val="nil"/>
          <w:bottom w:val="nil"/>
          <w:right w:val="nil"/>
          <w:between w:val="nil"/>
        </w:pBdr>
        <w:spacing w:after="0" w:line="259" w:lineRule="auto"/>
        <w:jc w:val="both"/>
        <w:rPr>
          <w:color w:val="000000"/>
        </w:rPr>
      </w:pPr>
      <w:r>
        <w:rPr>
          <w:b/>
          <w:color w:val="000000"/>
          <w:u w:val="single"/>
        </w:rPr>
        <w:t>Critical question on access to appropriate and affordable healthcare</w:t>
      </w:r>
    </w:p>
    <w:p w14:paraId="0000007A" w14:textId="77777777" w:rsidR="00B634C8" w:rsidRDefault="00B634C8">
      <w:pPr>
        <w:pBdr>
          <w:top w:val="nil"/>
          <w:left w:val="nil"/>
          <w:bottom w:val="nil"/>
          <w:right w:val="nil"/>
          <w:between w:val="nil"/>
        </w:pBdr>
        <w:spacing w:after="0" w:line="259" w:lineRule="auto"/>
        <w:ind w:left="720"/>
        <w:jc w:val="both"/>
        <w:rPr>
          <w:color w:val="000000"/>
        </w:rPr>
      </w:pPr>
    </w:p>
    <w:p w14:paraId="0000007B" w14:textId="09CD6B97" w:rsidR="00B634C8" w:rsidRDefault="00000000">
      <w:pPr>
        <w:pBdr>
          <w:top w:val="nil"/>
          <w:left w:val="nil"/>
          <w:bottom w:val="nil"/>
          <w:right w:val="nil"/>
          <w:between w:val="nil"/>
        </w:pBdr>
        <w:spacing w:after="0"/>
        <w:ind w:left="720"/>
        <w:jc w:val="both"/>
        <w:rPr>
          <w:color w:val="000000"/>
        </w:rPr>
      </w:pPr>
      <w:r>
        <w:rPr>
          <w:noProof/>
          <w:color w:val="000000"/>
        </w:rPr>
        <mc:AlternateContent>
          <mc:Choice Requires="wps">
            <w:drawing>
              <wp:inline distT="0" distB="0" distL="0" distR="0" wp14:anchorId="6F4CEC91" wp14:editId="751C70E2">
                <wp:extent cx="5486400" cy="1278261"/>
                <wp:effectExtent l="0" t="0" r="0" b="0"/>
                <wp:docPr id="19" name="Rectangle 19"/>
                <wp:cNvGraphicFramePr/>
                <a:graphic xmlns:a="http://schemas.openxmlformats.org/drawingml/2006/main">
                  <a:graphicData uri="http://schemas.microsoft.com/office/word/2010/wordprocessingShape">
                    <wps:wsp>
                      <wps:cNvSpPr/>
                      <wps:spPr>
                        <a:xfrm>
                          <a:off x="2612650" y="3072925"/>
                          <a:ext cx="5466600" cy="125220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5AAAD783" w14:textId="77777777" w:rsidR="00B634C8" w:rsidRDefault="00000000">
                            <w:pPr>
                              <w:spacing w:line="275" w:lineRule="auto"/>
                              <w:jc w:val="both"/>
                              <w:textDirection w:val="btLr"/>
                            </w:pPr>
                            <w:r>
                              <w:rPr>
                                <w:color w:val="000000"/>
                              </w:rPr>
                              <w:t xml:space="preserve">Given obligations under Article 12, what concrete measures will the Government take to ensure that firewalls are put in place, delinking the access to healthcare from enforcement of immigration rules, to ensure all refugee and asylum seeker women are able to safely access affordable public health care without fear of arrest and detention, </w:t>
                            </w:r>
                            <w:proofErr w:type="gramStart"/>
                            <w:r>
                              <w:rPr>
                                <w:color w:val="000000"/>
                              </w:rPr>
                              <w:t>in particular critically</w:t>
                            </w:r>
                            <w:proofErr w:type="gramEnd"/>
                            <w:r>
                              <w:rPr>
                                <w:color w:val="000000"/>
                              </w:rPr>
                              <w:t xml:space="preserve"> important family planning and reproductive health services, especially in situations of emergency?</w:t>
                            </w:r>
                          </w:p>
                        </w:txbxContent>
                      </wps:txbx>
                      <wps:bodyPr spcFirstLastPara="1" wrap="square" lIns="91425" tIns="45700" rIns="91425" bIns="45700" anchor="t" anchorCtr="0">
                        <a:noAutofit/>
                      </wps:bodyPr>
                    </wps:wsp>
                  </a:graphicData>
                </a:graphic>
              </wp:inline>
            </w:drawing>
          </mc:Choice>
          <mc:Fallback>
            <w:pict>
              <v:rect w14:anchorId="6F4CEC91" id="Rectangle 19" o:spid="_x0000_s1033" style="width:6in;height:10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" fillcolor="#bdd6ee" strokecolor="#1f4d78" strokeweight="1.5pt">
                <v:stroke startarrowwidth="narrow" startarrowlength="short" endarrowwidth="narrow" endarrowlength="short"/>
                <v:textbox inset="2.53958mm,1.2694mm,2.53958mm,1.2694mm">
                  <w:txbxContent>
                    <w:p w14:paraId="5AAAD783" w14:textId="77777777" w:rsidR="00B634C8" w:rsidRDefault="00000000">
                      <w:pPr>
                        <w:spacing w:line="275" w:lineRule="auto"/>
                        <w:jc w:val="both"/>
                        <w:textDirection w:val="btLr"/>
                      </w:pPr>
                      <w:r>
                        <w:rPr>
                          <w:color w:val="000000"/>
                        </w:rPr>
                        <w:t xml:space="preserve">Given obligations under Article 12, what concrete measures will the Government take to ensure that firewalls are put in place, delinking the access to healthcare from enforcement of immigration rules, to ensure all refugee and asylum seeker women are able to safely access affordable public health care without fear of arrest and detention, </w:t>
                      </w:r>
                      <w:proofErr w:type="gramStart"/>
                      <w:r>
                        <w:rPr>
                          <w:color w:val="000000"/>
                        </w:rPr>
                        <w:t>in particular critically</w:t>
                      </w:r>
                      <w:proofErr w:type="gramEnd"/>
                      <w:r>
                        <w:rPr>
                          <w:color w:val="000000"/>
                        </w:rPr>
                        <w:t xml:space="preserve"> important family planning and reproductive health services, especially in situations of emergency?</w:t>
                      </w:r>
                    </w:p>
                  </w:txbxContent>
                </v:textbox>
                <w10:anchorlock/>
              </v:rect>
            </w:pict>
          </mc:Fallback>
        </mc:AlternateContent>
      </w:r>
    </w:p>
    <w:p w14:paraId="28A53E6C" w14:textId="77777777" w:rsidR="00581C5B" w:rsidRDefault="00581C5B">
      <w:pPr>
        <w:pBdr>
          <w:top w:val="nil"/>
          <w:left w:val="nil"/>
          <w:bottom w:val="nil"/>
          <w:right w:val="nil"/>
          <w:between w:val="nil"/>
        </w:pBdr>
        <w:spacing w:after="0"/>
        <w:ind w:left="720"/>
        <w:jc w:val="both"/>
        <w:rPr>
          <w:color w:val="000000"/>
        </w:rPr>
      </w:pPr>
    </w:p>
    <w:p w14:paraId="540D9E06" w14:textId="597A5378" w:rsidR="00581C5B" w:rsidRPr="00D44BEA" w:rsidRDefault="00167A6C" w:rsidP="00D44BEA">
      <w:pPr>
        <w:pBdr>
          <w:top w:val="nil"/>
          <w:left w:val="nil"/>
          <w:bottom w:val="nil"/>
          <w:right w:val="nil"/>
          <w:between w:val="nil"/>
        </w:pBdr>
        <w:spacing w:after="0"/>
        <w:ind w:left="720"/>
        <w:jc w:val="both"/>
        <w:rPr>
          <w:color w:val="000000"/>
        </w:rPr>
      </w:pPr>
      <w:r>
        <w:rPr>
          <w:noProof/>
        </w:rPr>
        <mc:AlternateContent>
          <mc:Choice Requires="wps">
            <w:drawing>
              <wp:inline distT="0" distB="0" distL="0" distR="0" wp14:anchorId="6C70009A" wp14:editId="1FD416C6">
                <wp:extent cx="5486400" cy="1126419"/>
                <wp:effectExtent l="0" t="0" r="0" b="0"/>
                <wp:docPr id="1" name="Rectangle 1"/>
                <wp:cNvGraphicFramePr/>
                <a:graphic xmlns:a="http://schemas.openxmlformats.org/drawingml/2006/main">
                  <a:graphicData uri="http://schemas.microsoft.com/office/word/2010/wordprocessingShape">
                    <wps:wsp>
                      <wps:cNvSpPr/>
                      <wps:spPr>
                        <a:xfrm>
                          <a:off x="2612650" y="3072925"/>
                          <a:ext cx="5466600" cy="1161600"/>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6D94F15B" w14:textId="77777777" w:rsidR="00167A6C" w:rsidRDefault="00167A6C" w:rsidP="00167A6C">
                            <w:pPr>
                              <w:spacing w:after="0" w:line="273" w:lineRule="auto"/>
                              <w:jc w:val="both"/>
                              <w:textDirection w:val="btLr"/>
                            </w:pPr>
                            <w:r>
                              <w:rPr>
                                <w:color w:val="000000"/>
                              </w:rPr>
                              <w:t xml:space="preserve">Given the practical obstacles refugee and asylum seeker women face in accessing maternal healthcare, what is the current maternal mortality rates and child vaccination rates specifically for refugee and asylum seeker women and children, and what efforts are being undertaken to ensure women have access to safer and affordable antenatal, delivery, and postnatal care in line with CEDAW Article 12(2)? </w:t>
                            </w:r>
                          </w:p>
                          <w:p w14:paraId="05FC2B05" w14:textId="77777777" w:rsidR="00167A6C" w:rsidRDefault="00167A6C" w:rsidP="00167A6C">
                            <w:pPr>
                              <w:spacing w:after="240" w:line="273" w:lineRule="auto"/>
                              <w:jc w:val="both"/>
                              <w:textDirection w:val="btLr"/>
                            </w:pPr>
                          </w:p>
                          <w:p w14:paraId="360B1524" w14:textId="77777777" w:rsidR="00167A6C" w:rsidRDefault="00167A6C" w:rsidP="00167A6C">
                            <w:pPr>
                              <w:spacing w:after="0" w:line="275" w:lineRule="auto"/>
                              <w:jc w:val="both"/>
                              <w:textDirection w:val="btLr"/>
                            </w:pPr>
                          </w:p>
                        </w:txbxContent>
                      </wps:txbx>
                      <wps:bodyPr spcFirstLastPara="1" wrap="square" lIns="91425" tIns="45700" rIns="91425" bIns="45700" anchor="t" anchorCtr="0">
                        <a:noAutofit/>
                      </wps:bodyPr>
                    </wps:wsp>
                  </a:graphicData>
                </a:graphic>
              </wp:inline>
            </w:drawing>
          </mc:Choice>
          <mc:Fallback>
            <w:pict>
              <v:rect w14:anchorId="6C70009A" id="Rectangle 1" o:spid="_x0000_s1034" style="width:6in;height:8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" fillcolor="#bdd6ee" strokecolor="#1f4d78" strokeweight="1.5pt">
                <v:stroke startarrowwidth="narrow" startarrowlength="short" endarrowwidth="narrow" endarrowlength="short"/>
                <v:textbox inset="2.53958mm,1.2694mm,2.53958mm,1.2694mm">
                  <w:txbxContent>
                    <w:p w14:paraId="6D94F15B" w14:textId="77777777" w:rsidR="00167A6C" w:rsidRDefault="00167A6C" w:rsidP="00167A6C">
                      <w:pPr>
                        <w:spacing w:after="0" w:line="273" w:lineRule="auto"/>
                        <w:jc w:val="both"/>
                        <w:textDirection w:val="btLr"/>
                      </w:pPr>
                      <w:r>
                        <w:rPr>
                          <w:color w:val="000000"/>
                        </w:rPr>
                        <w:t xml:space="preserve">Given the practical obstacles refugee and asylum seeker women face in accessing maternal healthcare, what is the current maternal mortality rates and child vaccination rates specifically for refugee and asylum seeker women and children, and what efforts are being undertaken to ensure women have access to safer and affordable antenatal, delivery, and postnatal care in line with CEDAW Article 12(2)? </w:t>
                      </w:r>
                    </w:p>
                    <w:p w14:paraId="05FC2B05" w14:textId="77777777" w:rsidR="00167A6C" w:rsidRDefault="00167A6C" w:rsidP="00167A6C">
                      <w:pPr>
                        <w:spacing w:after="240" w:line="273" w:lineRule="auto"/>
                        <w:jc w:val="both"/>
                        <w:textDirection w:val="btLr"/>
                      </w:pPr>
                    </w:p>
                    <w:p w14:paraId="360B1524" w14:textId="77777777" w:rsidR="00167A6C" w:rsidRDefault="00167A6C" w:rsidP="00167A6C">
                      <w:pPr>
                        <w:spacing w:after="0" w:line="275" w:lineRule="auto"/>
                        <w:jc w:val="both"/>
                        <w:textDirection w:val="btLr"/>
                      </w:pPr>
                    </w:p>
                  </w:txbxContent>
                </v:textbox>
                <w10:anchorlock/>
              </v:rect>
            </w:pict>
          </mc:Fallback>
        </mc:AlternateContent>
      </w:r>
    </w:p>
    <w:p w14:paraId="6A1F65C0" w14:textId="77777777" w:rsidR="00581C5B" w:rsidRDefault="00581C5B">
      <w:pPr>
        <w:spacing w:after="0"/>
        <w:ind w:left="720"/>
        <w:jc w:val="both"/>
      </w:pPr>
    </w:p>
    <w:p w14:paraId="598F5558" w14:textId="77777777" w:rsidR="00581C5B" w:rsidRDefault="00167A6C">
      <w:pPr>
        <w:spacing w:after="0"/>
        <w:ind w:left="720"/>
        <w:jc w:val="both"/>
      </w:pPr>
      <w:r>
        <w:rPr>
          <w:noProof/>
        </w:rPr>
        <mc:AlternateContent>
          <mc:Choice Requires="wps">
            <w:drawing>
              <wp:inline distT="0" distB="0" distL="0" distR="0" wp14:anchorId="5EEEB882" wp14:editId="07293769">
                <wp:extent cx="5528733" cy="668867"/>
                <wp:effectExtent l="0" t="0" r="15240" b="17145"/>
                <wp:docPr id="3" name="Rectangle 3"/>
                <wp:cNvGraphicFramePr/>
                <a:graphic xmlns:a="http://schemas.openxmlformats.org/drawingml/2006/main">
                  <a:graphicData uri="http://schemas.microsoft.com/office/word/2010/wordprocessingShape">
                    <wps:wsp>
                      <wps:cNvSpPr/>
                      <wps:spPr>
                        <a:xfrm>
                          <a:off x="0" y="0"/>
                          <a:ext cx="5528733" cy="668867"/>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778E9527" w14:textId="780BF722" w:rsidR="00167A6C" w:rsidRDefault="003A292E" w:rsidP="00167A6C">
                            <w:pPr>
                              <w:spacing w:after="0" w:line="275" w:lineRule="auto"/>
                              <w:jc w:val="both"/>
                              <w:textDirection w:val="btLr"/>
                            </w:pPr>
                            <w:r w:rsidRPr="003A292E">
                              <w:rPr>
                                <w:rFonts w:asciiTheme="minorHAnsi" w:hAnsiTheme="minorHAnsi" w:cstheme="minorHAnsi"/>
                                <w:color w:val="000000"/>
                              </w:rPr>
                              <w:t xml:space="preserve">What concrete steps will the government take to address barriers that prevent refugee women and girls from accessing specialist care, legal support and welfare services in One Stop Crisis </w:t>
                            </w:r>
                            <w:proofErr w:type="gramStart"/>
                            <w:r w:rsidRPr="003A292E">
                              <w:rPr>
                                <w:rFonts w:asciiTheme="minorHAnsi" w:hAnsiTheme="minorHAnsi" w:cstheme="minorHAnsi"/>
                                <w:color w:val="000000"/>
                              </w:rPr>
                              <w:t>Centres ?</w:t>
                            </w:r>
                            <w:proofErr w:type="gramEnd"/>
                          </w:p>
                        </w:txbxContent>
                      </wps:txbx>
                      <wps:bodyPr spcFirstLastPara="1" wrap="square" lIns="91425" tIns="45700" rIns="91425" bIns="45700" anchor="t" anchorCtr="0">
                        <a:noAutofit/>
                      </wps:bodyPr>
                    </wps:wsp>
                  </a:graphicData>
                </a:graphic>
              </wp:inline>
            </w:drawing>
          </mc:Choice>
          <mc:Fallback>
            <w:pict>
              <v:rect w14:anchorId="5EEEB882" id="Rectangle 3" o:spid="_x0000_s1035" style="width:435.35pt;height:5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" fillcolor="#bdd6ee" strokecolor="#1f4d78" strokeweight="1.5pt">
                <v:stroke startarrowwidth="narrow" startarrowlength="short" endarrowwidth="narrow" endarrowlength="short"/>
                <v:textbox inset="2.53958mm,1.2694mm,2.53958mm,1.2694mm">
                  <w:txbxContent>
                    <w:p w14:paraId="778E9527" w14:textId="780BF722" w:rsidR="00167A6C" w:rsidRDefault="003A292E" w:rsidP="00167A6C">
                      <w:pPr>
                        <w:spacing w:after="0" w:line="275" w:lineRule="auto"/>
                        <w:jc w:val="both"/>
                        <w:textDirection w:val="btLr"/>
                      </w:pPr>
                      <w:r w:rsidRPr="003A292E">
                        <w:rPr>
                          <w:rFonts w:asciiTheme="minorHAnsi" w:hAnsiTheme="minorHAnsi" w:cstheme="minorHAnsi"/>
                          <w:color w:val="000000"/>
                        </w:rPr>
                        <w:t xml:space="preserve">What concrete steps will the government take to address barriers that prevent refugee women and girls from accessing specialist care, legal support and welfare services in One Stop Crisis </w:t>
                      </w:r>
                      <w:proofErr w:type="gramStart"/>
                      <w:r w:rsidRPr="003A292E">
                        <w:rPr>
                          <w:rFonts w:asciiTheme="minorHAnsi" w:hAnsiTheme="minorHAnsi" w:cstheme="minorHAnsi"/>
                          <w:color w:val="000000"/>
                        </w:rPr>
                        <w:t>Centres ?</w:t>
                      </w:r>
                      <w:proofErr w:type="gramEnd"/>
                    </w:p>
                  </w:txbxContent>
                </v:textbox>
                <w10:anchorlock/>
              </v:rect>
            </w:pict>
          </mc:Fallback>
        </mc:AlternateContent>
      </w:r>
    </w:p>
    <w:p w14:paraId="4B2A4DAA" w14:textId="77777777" w:rsidR="00581C5B" w:rsidRDefault="00581C5B" w:rsidP="00D44BEA">
      <w:pPr>
        <w:spacing w:after="0"/>
        <w:jc w:val="both"/>
      </w:pPr>
    </w:p>
    <w:p w14:paraId="368AE14C" w14:textId="0A8E47D9" w:rsidR="00581C5B" w:rsidRDefault="00581C5B">
      <w:pPr>
        <w:spacing w:after="0"/>
        <w:ind w:left="720"/>
        <w:jc w:val="both"/>
      </w:pPr>
      <w:r>
        <w:rPr>
          <w:noProof/>
        </w:rPr>
        <mc:AlternateContent>
          <mc:Choice Requires="wps">
            <w:drawing>
              <wp:inline distT="0" distB="0" distL="0" distR="0" wp14:anchorId="0F670269" wp14:editId="7E93E057">
                <wp:extent cx="5528733" cy="795867"/>
                <wp:effectExtent l="0" t="0" r="15240" b="23495"/>
                <wp:docPr id="6" name="Rectangle 6"/>
                <wp:cNvGraphicFramePr/>
                <a:graphic xmlns:a="http://schemas.openxmlformats.org/drawingml/2006/main">
                  <a:graphicData uri="http://schemas.microsoft.com/office/word/2010/wordprocessingShape">
                    <wps:wsp>
                      <wps:cNvSpPr/>
                      <wps:spPr>
                        <a:xfrm>
                          <a:off x="0" y="0"/>
                          <a:ext cx="5528733" cy="795867"/>
                        </a:xfrm>
                        <a:prstGeom prst="rect">
                          <a:avLst/>
                        </a:prstGeom>
                        <a:solidFill>
                          <a:srgbClr val="BDD6EE"/>
                        </a:solidFill>
                        <a:ln w="19050" cap="flat" cmpd="sng">
                          <a:solidFill>
                            <a:srgbClr val="1F4D78"/>
                          </a:solidFill>
                          <a:prstDash val="solid"/>
                          <a:miter lim="800000"/>
                          <a:headEnd type="none" w="sm" len="sm"/>
                          <a:tailEnd type="none" w="sm" len="sm"/>
                        </a:ln>
                      </wps:spPr>
                      <wps:txbx>
                        <w:txbxContent>
                          <w:p w14:paraId="08F20445" w14:textId="05BE6824" w:rsidR="00581C5B" w:rsidRPr="00581C5B" w:rsidRDefault="003A292E" w:rsidP="00581C5B">
                            <w:pPr>
                              <w:spacing w:after="0" w:line="275" w:lineRule="auto"/>
                              <w:jc w:val="both"/>
                              <w:textDirection w:val="btLr"/>
                              <w:rPr>
                                <w:rFonts w:asciiTheme="minorHAnsi" w:hAnsiTheme="minorHAnsi" w:cstheme="minorHAnsi"/>
                              </w:rPr>
                            </w:pPr>
                            <w:r w:rsidRPr="003A292E">
                              <w:rPr>
                                <w:rFonts w:asciiTheme="minorHAnsi" w:hAnsiTheme="minorHAnsi" w:cstheme="minorHAnsi"/>
                                <w:color w:val="000000"/>
                              </w:rPr>
                              <w:t>Given the limited reach of QFFD clinics providing vaccination for refugee children, what concrete steps will the government take to increase access to free vaccinations in accordance with the national immunisation schedule and the public health system?</w:t>
                            </w:r>
                          </w:p>
                        </w:txbxContent>
                      </wps:txbx>
                      <wps:bodyPr spcFirstLastPara="1" wrap="square" lIns="91425" tIns="45700" rIns="91425" bIns="45700" anchor="t" anchorCtr="0">
                        <a:noAutofit/>
                      </wps:bodyPr>
                    </wps:wsp>
                  </a:graphicData>
                </a:graphic>
              </wp:inline>
            </w:drawing>
          </mc:Choice>
          <mc:Fallback>
            <w:pict>
              <v:rect w14:anchorId="0F670269" id="Rectangle 6" o:spid="_x0000_s1036" style="width:435.35pt;height:6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" fillcolor="#bdd6ee" strokecolor="#1f4d78" strokeweight="1.5pt">
                <v:stroke startarrowwidth="narrow" startarrowlength="short" endarrowwidth="narrow" endarrowlength="short"/>
                <v:textbox inset="2.53958mm,1.2694mm,2.53958mm,1.2694mm">
                  <w:txbxContent>
                    <w:p w14:paraId="08F20445" w14:textId="05BE6824" w:rsidR="00581C5B" w:rsidRPr="00581C5B" w:rsidRDefault="003A292E" w:rsidP="00581C5B">
                      <w:pPr>
                        <w:spacing w:after="0" w:line="275" w:lineRule="auto"/>
                        <w:jc w:val="both"/>
                        <w:textDirection w:val="btLr"/>
                        <w:rPr>
                          <w:rFonts w:asciiTheme="minorHAnsi" w:hAnsiTheme="minorHAnsi" w:cstheme="minorHAnsi"/>
                        </w:rPr>
                      </w:pPr>
                      <w:r w:rsidRPr="003A292E">
                        <w:rPr>
                          <w:rFonts w:asciiTheme="minorHAnsi" w:hAnsiTheme="minorHAnsi" w:cstheme="minorHAnsi"/>
                          <w:color w:val="000000"/>
                        </w:rPr>
                        <w:t>Given the limited reach of QFFD clinics providing vaccination for refugee children, what concrete steps will the government take to increase access to free vaccinations in accordance with the national immunisation schedule and the public health system?</w:t>
                      </w:r>
                    </w:p>
                  </w:txbxContent>
                </v:textbox>
                <w10:anchorlock/>
              </v:rect>
            </w:pict>
          </mc:Fallback>
        </mc:AlternateContent>
      </w:r>
    </w:p>
    <w:sectPr w:rsidR="00581C5B">
      <w:headerReference w:type="default" r:id="rId11"/>
      <w:footerReference w:type="default" r:id="rId12"/>
      <w:pgSz w:w="12240" w:h="15840"/>
      <w:pgMar w:top="993" w:right="1440" w:bottom="1008"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E062F" w14:textId="77777777" w:rsidR="00652481" w:rsidRDefault="00652481">
      <w:pPr>
        <w:spacing w:after="0" w:line="240" w:lineRule="auto"/>
      </w:pPr>
      <w:r>
        <w:separator/>
      </w:r>
    </w:p>
  </w:endnote>
  <w:endnote w:type="continuationSeparator" w:id="0">
    <w:p w14:paraId="3C910E40" w14:textId="77777777" w:rsidR="00652481" w:rsidRDefault="00652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B" w14:textId="77777777" w:rsidR="00B634C8" w:rsidRDefault="00B634C8">
    <w:pPr>
      <w:spacing w:after="0"/>
      <w:jc w:val="center"/>
      <w:rPr>
        <w:sz w:val="18"/>
        <w:szCs w:val="18"/>
      </w:rPr>
    </w:pPr>
  </w:p>
  <w:p w14:paraId="000000AC" w14:textId="316EED28" w:rsidR="00B634C8" w:rsidRDefault="00000000">
    <w:pPr>
      <w:spacing w:after="0"/>
      <w:jc w:val="center"/>
      <w:rPr>
        <w:b/>
        <w:sz w:val="18"/>
        <w:szCs w:val="18"/>
      </w:rPr>
    </w:pPr>
    <w:r>
      <w:rPr>
        <w:b/>
        <w:sz w:val="18"/>
        <w:szCs w:val="18"/>
      </w:rPr>
      <w:t xml:space="preserve">Page </w:t>
    </w:r>
    <w:r>
      <w:rPr>
        <w:b/>
        <w:sz w:val="18"/>
        <w:szCs w:val="18"/>
      </w:rPr>
      <w:fldChar w:fldCharType="begin"/>
    </w:r>
    <w:r>
      <w:rPr>
        <w:b/>
        <w:sz w:val="18"/>
        <w:szCs w:val="18"/>
      </w:rPr>
      <w:instrText>PAGE</w:instrText>
    </w:r>
    <w:r>
      <w:rPr>
        <w:b/>
        <w:sz w:val="18"/>
        <w:szCs w:val="18"/>
      </w:rPr>
      <w:fldChar w:fldCharType="separate"/>
    </w:r>
    <w:r w:rsidR="00BC7717">
      <w:rPr>
        <w:b/>
        <w:noProof/>
        <w:sz w:val="18"/>
        <w:szCs w:val="18"/>
      </w:rPr>
      <w:t>1</w:t>
    </w:r>
    <w:r>
      <w:rPr>
        <w:b/>
        <w:sz w:val="18"/>
        <w:szCs w:val="18"/>
      </w:rPr>
      <w:fldChar w:fldCharType="end"/>
    </w:r>
    <w:r>
      <w:rPr>
        <w:b/>
        <w:sz w:val="18"/>
        <w:szCs w:val="18"/>
      </w:rPr>
      <w:t xml:space="preserve"> of </w:t>
    </w:r>
    <w:r>
      <w:rPr>
        <w:b/>
        <w:sz w:val="18"/>
        <w:szCs w:val="18"/>
      </w:rPr>
      <w:fldChar w:fldCharType="begin"/>
    </w:r>
    <w:r>
      <w:rPr>
        <w:b/>
        <w:sz w:val="18"/>
        <w:szCs w:val="18"/>
      </w:rPr>
      <w:instrText>NUMPAGES</w:instrText>
    </w:r>
    <w:r>
      <w:rPr>
        <w:b/>
        <w:sz w:val="18"/>
        <w:szCs w:val="18"/>
      </w:rPr>
      <w:fldChar w:fldCharType="separate"/>
    </w:r>
    <w:r w:rsidR="00BC7717">
      <w:rPr>
        <w:b/>
        <w:noProof/>
        <w:sz w:val="18"/>
        <w:szCs w:val="18"/>
      </w:rPr>
      <w:t>2</w:t>
    </w:r>
    <w:r>
      <w:rPr>
        <w:b/>
        <w:sz w:val="18"/>
        <w:szCs w:val="18"/>
      </w:rPr>
      <w:fldChar w:fldCharType="end"/>
    </w:r>
  </w:p>
  <w:p w14:paraId="000000AD" w14:textId="77777777" w:rsidR="00B634C8" w:rsidRDefault="00B634C8">
    <w:pPr>
      <w:jc w:val="center"/>
      <w:rPr>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B44AD" w14:textId="77777777" w:rsidR="00652481" w:rsidRDefault="00652481">
      <w:pPr>
        <w:spacing w:after="0" w:line="240" w:lineRule="auto"/>
      </w:pPr>
      <w:r>
        <w:separator/>
      </w:r>
    </w:p>
  </w:footnote>
  <w:footnote w:type="continuationSeparator" w:id="0">
    <w:p w14:paraId="3BB2A7C4" w14:textId="77777777" w:rsidR="00652481" w:rsidRDefault="00652481">
      <w:pPr>
        <w:spacing w:after="0" w:line="240" w:lineRule="auto"/>
      </w:pPr>
      <w:r>
        <w:continuationSeparator/>
      </w:r>
    </w:p>
  </w:footnote>
  <w:footnote w:id="1">
    <w:p w14:paraId="0000007E" w14:textId="77777777" w:rsidR="00B634C8" w:rsidRDefault="00000000">
      <w:pPr>
        <w:spacing w:after="0" w:line="252" w:lineRule="auto"/>
        <w:rPr>
          <w:sz w:val="18"/>
          <w:szCs w:val="18"/>
        </w:rPr>
      </w:pPr>
      <w:r>
        <w:rPr>
          <w:rStyle w:val="FootnoteReference"/>
        </w:rPr>
        <w:footnoteRef/>
      </w:r>
      <w:r>
        <w:rPr>
          <w:sz w:val="18"/>
          <w:szCs w:val="18"/>
        </w:rPr>
        <w:t xml:space="preserve"> Since refugee status is declaratory and not dependent on adjudication, any person who satisfies the definition under the Convention Relating to the Status of Refugees 1951 (‘Refugee Convention’) is a refugee. </w:t>
      </w:r>
      <w:proofErr w:type="gramStart"/>
      <w:r>
        <w:rPr>
          <w:sz w:val="18"/>
          <w:szCs w:val="18"/>
        </w:rPr>
        <w:t>For the purpose of</w:t>
      </w:r>
      <w:proofErr w:type="gramEnd"/>
      <w:r>
        <w:rPr>
          <w:sz w:val="18"/>
          <w:szCs w:val="18"/>
        </w:rPr>
        <w:t xml:space="preserve"> this submission, however, the term ‘refugee’ will be used to refer to any person whose refugee claim has been recognised by the UN High Commissioner for Refugees (UNCHR). The term ‘asylum seeker’ will be used to refer to any person seeking refugee status who is yet to be recognised by the UNHCR.</w:t>
      </w:r>
    </w:p>
  </w:footnote>
  <w:footnote w:id="2">
    <w:p w14:paraId="0000007F" w14:textId="77777777" w:rsidR="00B634C8" w:rsidRDefault="00000000">
      <w:pPr>
        <w:spacing w:after="0" w:line="252" w:lineRule="auto"/>
        <w:rPr>
          <w:sz w:val="18"/>
          <w:szCs w:val="18"/>
        </w:rPr>
      </w:pPr>
      <w:r>
        <w:rPr>
          <w:rStyle w:val="FootnoteReference"/>
        </w:rPr>
        <w:footnoteRef/>
      </w:r>
      <w:r>
        <w:rPr>
          <w:sz w:val="18"/>
          <w:szCs w:val="18"/>
        </w:rPr>
        <w:t xml:space="preserve"> Committee on the Elimination of Discrimination against Women, </w:t>
      </w:r>
      <w:r>
        <w:rPr>
          <w:i/>
          <w:sz w:val="18"/>
          <w:szCs w:val="18"/>
        </w:rPr>
        <w:t>Concluding observations on the combined third to fifth periodic reports of Malaysia</w:t>
      </w:r>
      <w:r>
        <w:rPr>
          <w:sz w:val="18"/>
          <w:szCs w:val="18"/>
        </w:rPr>
        <w:t>, 69</w:t>
      </w:r>
      <w:r>
        <w:rPr>
          <w:sz w:val="18"/>
          <w:szCs w:val="18"/>
          <w:vertAlign w:val="superscript"/>
        </w:rPr>
        <w:t>th</w:t>
      </w:r>
      <w:r>
        <w:rPr>
          <w:sz w:val="18"/>
          <w:szCs w:val="18"/>
        </w:rPr>
        <w:t xml:space="preserve"> session, 19 February – 9 March 2018, available at </w:t>
      </w:r>
      <w:hyperlink r:id="rId1">
        <w:r>
          <w:rPr>
            <w:color w:val="0000FF"/>
            <w:sz w:val="18"/>
            <w:szCs w:val="18"/>
            <w:u w:val="single"/>
          </w:rPr>
          <w:t>https://documents-dds-ny.un.org/doc/UNDOC/GEN/N18/070/50/PDF/N1807050.pdf?OpenElement</w:t>
        </w:r>
      </w:hyperlink>
    </w:p>
  </w:footnote>
  <w:footnote w:id="3">
    <w:p w14:paraId="00000080"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46(a)</w:t>
      </w:r>
    </w:p>
  </w:footnote>
  <w:footnote w:id="4">
    <w:p w14:paraId="00000081"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46(b)</w:t>
      </w:r>
    </w:p>
  </w:footnote>
  <w:footnote w:id="5">
    <w:p w14:paraId="00000082"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46(c)</w:t>
      </w:r>
    </w:p>
  </w:footnote>
  <w:footnote w:id="6">
    <w:p w14:paraId="00000083"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46(d)</w:t>
      </w:r>
    </w:p>
  </w:footnote>
  <w:footnote w:id="7">
    <w:p w14:paraId="00000084"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46(e)</w:t>
      </w:r>
    </w:p>
  </w:footnote>
  <w:footnote w:id="8">
    <w:p w14:paraId="00000085"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color w:val="000000"/>
          <w:sz w:val="18"/>
          <w:szCs w:val="18"/>
        </w:rPr>
        <w:t>ibid paragraph 46(f)</w:t>
      </w:r>
    </w:p>
  </w:footnote>
  <w:footnote w:id="9">
    <w:p w14:paraId="00000086"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rFonts w:ascii="Arial" w:eastAsia="Arial" w:hAnsi="Arial" w:cs="Arial"/>
          <w:color w:val="000000"/>
          <w:sz w:val="16"/>
          <w:szCs w:val="16"/>
        </w:rPr>
        <w:t> </w:t>
      </w:r>
      <w:r>
        <w:rPr>
          <w:color w:val="000000"/>
          <w:sz w:val="18"/>
          <w:szCs w:val="18"/>
        </w:rPr>
        <w:t xml:space="preserve">UNHCR, </w:t>
      </w:r>
      <w:r>
        <w:rPr>
          <w:i/>
          <w:color w:val="000000"/>
          <w:sz w:val="18"/>
          <w:szCs w:val="18"/>
        </w:rPr>
        <w:t xml:space="preserve">Malaysia Figures </w:t>
      </w:r>
      <w:proofErr w:type="gramStart"/>
      <w:r>
        <w:rPr>
          <w:i/>
          <w:color w:val="000000"/>
          <w:sz w:val="18"/>
          <w:szCs w:val="18"/>
        </w:rPr>
        <w:t>at a Glance</w:t>
      </w:r>
      <w:proofErr w:type="gramEnd"/>
      <w:r>
        <w:rPr>
          <w:i/>
          <w:color w:val="000000"/>
          <w:sz w:val="18"/>
          <w:szCs w:val="18"/>
        </w:rPr>
        <w:t xml:space="preserve">. </w:t>
      </w:r>
      <w:r>
        <w:rPr>
          <w:color w:val="000000"/>
          <w:sz w:val="18"/>
          <w:szCs w:val="18"/>
        </w:rPr>
        <w:t xml:space="preserve">Available at </w:t>
      </w:r>
      <w:hyperlink r:id="rId2">
        <w:r>
          <w:rPr>
            <w:color w:val="1155CC"/>
            <w:sz w:val="18"/>
            <w:szCs w:val="18"/>
            <w:u w:val="single"/>
          </w:rPr>
          <w:t>https://www.unhcr.org/en-my/figures-at-a-glance-in-malaysia.html</w:t>
        </w:r>
      </w:hyperlink>
    </w:p>
  </w:footnote>
  <w:footnote w:id="10">
    <w:p w14:paraId="00000087" w14:textId="77777777" w:rsidR="00B634C8" w:rsidRDefault="00000000">
      <w:pPr>
        <w:spacing w:after="0" w:line="252" w:lineRule="auto"/>
      </w:pPr>
      <w:r>
        <w:rPr>
          <w:rStyle w:val="FootnoteReference"/>
        </w:rPr>
        <w:footnoteRef/>
      </w:r>
      <w:r>
        <w:rPr>
          <w:sz w:val="18"/>
          <w:szCs w:val="18"/>
        </w:rPr>
        <w:t xml:space="preserve"> Women’s Aid Organization, </w:t>
      </w:r>
      <w:r>
        <w:rPr>
          <w:i/>
          <w:sz w:val="18"/>
          <w:szCs w:val="18"/>
        </w:rPr>
        <w:t xml:space="preserve">Sexual and Gender Based Violence Among Refugee communities in Malaysia: A policy brief by Women’s Aid Organization, </w:t>
      </w:r>
      <w:r>
        <w:rPr>
          <w:sz w:val="18"/>
          <w:szCs w:val="18"/>
        </w:rPr>
        <w:t>January 2021,</w:t>
      </w:r>
      <w:r>
        <w:rPr>
          <w:i/>
          <w:sz w:val="18"/>
          <w:szCs w:val="18"/>
        </w:rPr>
        <w:t xml:space="preserve"> </w:t>
      </w:r>
      <w:r>
        <w:rPr>
          <w:sz w:val="18"/>
          <w:szCs w:val="18"/>
        </w:rPr>
        <w:t xml:space="preserve"> available at </w:t>
      </w:r>
      <w:hyperlink r:id="rId3">
        <w:r>
          <w:rPr>
            <w:color w:val="0000FF"/>
            <w:sz w:val="18"/>
            <w:szCs w:val="18"/>
            <w:u w:val="single"/>
          </w:rPr>
          <w:t>https://documents-dds-ny.un.org/doc/UNDOC/GEN/N18/070/50/PDF/N1807050.pdf?OpenElement</w:t>
        </w:r>
      </w:hyperlink>
      <w:r>
        <w:rPr>
          <w:sz w:val="14"/>
          <w:szCs w:val="14"/>
        </w:rPr>
        <w:t xml:space="preserve"> </w:t>
      </w:r>
    </w:p>
  </w:footnote>
  <w:footnote w:id="11">
    <w:p w14:paraId="00000088" w14:textId="77777777" w:rsidR="00B634C8" w:rsidRDefault="00000000">
      <w:pPr>
        <w:spacing w:after="0" w:line="252" w:lineRule="auto"/>
        <w:rPr>
          <w:sz w:val="18"/>
          <w:szCs w:val="18"/>
        </w:rPr>
      </w:pPr>
      <w:r>
        <w:rPr>
          <w:rStyle w:val="FootnoteReference"/>
        </w:rPr>
        <w:footnoteRef/>
      </w:r>
      <w:r>
        <w:rPr>
          <w:sz w:val="18"/>
          <w:szCs w:val="18"/>
        </w:rPr>
        <w:t xml:space="preserve"> UN Committee on the Elimination of Discrimination Against Women (CEDAW), </w:t>
      </w:r>
      <w:r>
        <w:rPr>
          <w:i/>
          <w:sz w:val="18"/>
          <w:szCs w:val="18"/>
        </w:rPr>
        <w:t>General recommendation No. 32 on the gender-related dimensions of refugee status, asylum, nationality and statelessness of women</w:t>
      </w:r>
      <w:r>
        <w:rPr>
          <w:sz w:val="18"/>
          <w:szCs w:val="18"/>
        </w:rPr>
        <w:t xml:space="preserve">, 14 November 2014, CEDAW/C/GC/32, available at: </w:t>
      </w:r>
      <w:hyperlink r:id="rId4">
        <w:r>
          <w:rPr>
            <w:color w:val="0563C1"/>
            <w:sz w:val="18"/>
            <w:szCs w:val="18"/>
            <w:u w:val="single"/>
          </w:rPr>
          <w:t>http://www.refworld.org/docid/54620fb54.html</w:t>
        </w:r>
      </w:hyperlink>
      <w:r>
        <w:rPr>
          <w:sz w:val="18"/>
          <w:szCs w:val="18"/>
        </w:rPr>
        <w:t xml:space="preserve"> (‘</w:t>
      </w:r>
      <w:r>
        <w:rPr>
          <w:b/>
          <w:sz w:val="18"/>
          <w:szCs w:val="18"/>
        </w:rPr>
        <w:t>General Recommendation 32</w:t>
      </w:r>
      <w:r>
        <w:rPr>
          <w:sz w:val="18"/>
          <w:szCs w:val="18"/>
        </w:rPr>
        <w:t>’)</w:t>
      </w:r>
    </w:p>
  </w:footnote>
  <w:footnote w:id="12">
    <w:p w14:paraId="00000089" w14:textId="77777777" w:rsidR="00B634C8" w:rsidRDefault="00000000">
      <w:pPr>
        <w:spacing w:after="0" w:line="252" w:lineRule="auto"/>
        <w:rPr>
          <w:sz w:val="18"/>
          <w:szCs w:val="18"/>
        </w:rPr>
      </w:pPr>
      <w:r>
        <w:rPr>
          <w:rStyle w:val="FootnoteReference"/>
        </w:rPr>
        <w:footnoteRef/>
      </w:r>
      <w:r>
        <w:rPr>
          <w:sz w:val="18"/>
          <w:szCs w:val="18"/>
        </w:rPr>
        <w:t xml:space="preserve"> ibid paragraph 7</w:t>
      </w:r>
    </w:p>
  </w:footnote>
  <w:footnote w:id="13">
    <w:p w14:paraId="000000BA" w14:textId="77777777" w:rsidR="00B634C8"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UN Committee on the Elimination of Discrimination Against Women (CEDAW), </w:t>
      </w:r>
      <w:r>
        <w:rPr>
          <w:i/>
          <w:sz w:val="18"/>
          <w:szCs w:val="18"/>
        </w:rPr>
        <w:t>Concluding observations on the combined third to fifth periodic reports of Malaysia</w:t>
      </w:r>
      <w:r>
        <w:rPr>
          <w:sz w:val="18"/>
          <w:szCs w:val="18"/>
        </w:rPr>
        <w:t>, 69</w:t>
      </w:r>
      <w:r>
        <w:rPr>
          <w:sz w:val="18"/>
          <w:szCs w:val="18"/>
          <w:vertAlign w:val="superscript"/>
        </w:rPr>
        <w:t>th</w:t>
      </w:r>
      <w:r>
        <w:rPr>
          <w:sz w:val="18"/>
          <w:szCs w:val="18"/>
        </w:rPr>
        <w:t xml:space="preserve"> session, 19 February – 9 March 2018, Para 60, available at </w:t>
      </w:r>
      <w:hyperlink r:id="rId5">
        <w:r>
          <w:rPr>
            <w:color w:val="0000FF"/>
            <w:sz w:val="18"/>
            <w:szCs w:val="18"/>
            <w:u w:val="single"/>
          </w:rPr>
          <w:t>https://documents-dds-ny.un.org/doc/UNDOC/GEN/N18/070/50/PDF/N1807050.pdf?OpenElement</w:t>
        </w:r>
      </w:hyperlink>
    </w:p>
  </w:footnote>
  <w:footnote w:id="14">
    <w:p w14:paraId="000000BB"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UN Committee on the Elimination of Discrimination Against Women (CEDAW), </w:t>
      </w:r>
      <w:r>
        <w:rPr>
          <w:i/>
          <w:sz w:val="18"/>
          <w:szCs w:val="18"/>
        </w:rPr>
        <w:t>Information received from Malaysia on follow-up to the concluding observations on its combined 3rd to 5th periodic reports</w:t>
      </w:r>
      <w:r>
        <w:rPr>
          <w:sz w:val="18"/>
          <w:szCs w:val="18"/>
        </w:rPr>
        <w:t xml:space="preserve">, 16 February 2021, CEDAW/C/MYS/FCO/3-5, available at: </w:t>
      </w:r>
      <w:hyperlink r:id="rId6">
        <w:r>
          <w:rPr>
            <w:color w:val="1155CC"/>
            <w:sz w:val="18"/>
            <w:szCs w:val="18"/>
            <w:u w:val="single"/>
          </w:rPr>
          <w:t>https://digitallibrary.un.org/record/3904297?ln=en</w:t>
        </w:r>
      </w:hyperlink>
    </w:p>
  </w:footnote>
  <w:footnote w:id="15">
    <w:p w14:paraId="000000BC"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CEDAW/C/MYS/6, available at: </w:t>
      </w:r>
      <w:hyperlink r:id="rId7">
        <w:r>
          <w:rPr>
            <w:color w:val="1155CC"/>
            <w:sz w:val="18"/>
            <w:szCs w:val="18"/>
            <w:u w:val="single"/>
          </w:rPr>
          <w:t>https://digitallibrary.un.org/record/3978685?ln=en</w:t>
        </w:r>
      </w:hyperlink>
    </w:p>
  </w:footnote>
  <w:footnote w:id="16">
    <w:p w14:paraId="0000008A" w14:textId="77777777" w:rsidR="00B634C8"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rFonts w:ascii="Arial" w:eastAsia="Arial" w:hAnsi="Arial" w:cs="Arial"/>
          <w:color w:val="000000"/>
          <w:sz w:val="20"/>
          <w:szCs w:val="20"/>
        </w:rPr>
        <w:t xml:space="preserve"> </w:t>
      </w:r>
      <w:r>
        <w:rPr>
          <w:color w:val="000000"/>
          <w:sz w:val="18"/>
          <w:szCs w:val="18"/>
        </w:rPr>
        <w:t xml:space="preserve">ibid paragraph 109 </w:t>
      </w:r>
    </w:p>
  </w:footnote>
  <w:footnote w:id="17">
    <w:p w14:paraId="000000BE"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Malaysia House of Representatives, </w:t>
      </w:r>
      <w:r>
        <w:rPr>
          <w:i/>
          <w:sz w:val="18"/>
          <w:szCs w:val="18"/>
        </w:rPr>
        <w:t>Notification of Oral Questions</w:t>
      </w:r>
      <w:r>
        <w:rPr>
          <w:sz w:val="18"/>
          <w:szCs w:val="18"/>
        </w:rPr>
        <w:t xml:space="preserve">, 14th Parliament Sitting, 5th term, 3rd Meeting, 6 October 2022, Question number 14, available </w:t>
      </w:r>
      <w:proofErr w:type="spellStart"/>
      <w:r>
        <w:rPr>
          <w:sz w:val="18"/>
          <w:szCs w:val="18"/>
        </w:rPr>
        <w:t>at:</w:t>
      </w:r>
      <w:hyperlink r:id="rId8">
        <w:r>
          <w:rPr>
            <w:color w:val="1155CC"/>
            <w:sz w:val="18"/>
            <w:szCs w:val="18"/>
            <w:u w:val="single"/>
          </w:rPr>
          <w:t>https</w:t>
        </w:r>
        <w:proofErr w:type="spellEnd"/>
        <w:r>
          <w:rPr>
            <w:color w:val="1155CC"/>
            <w:sz w:val="18"/>
            <w:szCs w:val="18"/>
            <w:u w:val="single"/>
          </w:rPr>
          <w:t>://www.parlimen.gov.my/files/jindex/pdf/JDR06102022.pdf</w:t>
        </w:r>
      </w:hyperlink>
      <w:r>
        <w:rPr>
          <w:sz w:val="18"/>
          <w:szCs w:val="18"/>
        </w:rPr>
        <w:t xml:space="preserve"> </w:t>
      </w:r>
    </w:p>
  </w:footnote>
  <w:footnote w:id="18">
    <w:p w14:paraId="0000008B" w14:textId="77777777" w:rsidR="00B634C8"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Ibid</w:t>
      </w:r>
    </w:p>
  </w:footnote>
  <w:footnote w:id="19">
    <w:p w14:paraId="0000008C" w14:textId="39B4D6D2" w:rsidR="00B634C8" w:rsidRPr="00BC7717"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rFonts w:ascii="Arial" w:eastAsia="Arial" w:hAnsi="Arial" w:cs="Arial"/>
          <w:color w:val="000000"/>
          <w:sz w:val="20"/>
          <w:szCs w:val="20"/>
        </w:rPr>
        <w:t xml:space="preserve"> </w:t>
      </w:r>
      <w:r w:rsidRPr="006C09BE">
        <w:rPr>
          <w:color w:val="000000"/>
          <w:sz w:val="18"/>
          <w:szCs w:val="18"/>
        </w:rPr>
        <w:t>TRIS</w:t>
      </w:r>
      <w:r w:rsidR="00BC7717" w:rsidRPr="006C09BE">
        <w:rPr>
          <w:color w:val="000000"/>
          <w:sz w:val="18"/>
          <w:szCs w:val="18"/>
        </w:rPr>
        <w:t xml:space="preserve"> is a registration scheme initiated by the government</w:t>
      </w:r>
      <w:r w:rsidR="004C28D9" w:rsidRPr="006C09BE">
        <w:rPr>
          <w:color w:val="000000"/>
          <w:sz w:val="18"/>
          <w:szCs w:val="18"/>
        </w:rPr>
        <w:t xml:space="preserve"> in 2017</w:t>
      </w:r>
      <w:r w:rsidR="00BC7717" w:rsidRPr="006C09BE">
        <w:rPr>
          <w:color w:val="000000"/>
          <w:sz w:val="18"/>
          <w:szCs w:val="18"/>
        </w:rPr>
        <w:t xml:space="preserve"> </w:t>
      </w:r>
      <w:r w:rsidR="004C28D9" w:rsidRPr="006C09BE">
        <w:rPr>
          <w:color w:val="000000"/>
          <w:sz w:val="18"/>
          <w:szCs w:val="18"/>
        </w:rPr>
        <w:t>purely for</w:t>
      </w:r>
      <w:r w:rsidR="00BC7717" w:rsidRPr="006C09BE">
        <w:rPr>
          <w:color w:val="000000"/>
          <w:sz w:val="18"/>
          <w:szCs w:val="18"/>
        </w:rPr>
        <w:t xml:space="preserve"> the purposes of monitoring and tracking refugees and asylum seekers in Malaysia. This scheme is being run and implemented through a private company and refugees and asylum </w:t>
      </w:r>
      <w:proofErr w:type="gramStart"/>
      <w:r w:rsidR="00BC7717" w:rsidRPr="006C09BE">
        <w:rPr>
          <w:color w:val="000000"/>
          <w:sz w:val="18"/>
          <w:szCs w:val="18"/>
        </w:rPr>
        <w:t xml:space="preserve">seekers </w:t>
      </w:r>
      <w:r w:rsidR="004C28D9" w:rsidRPr="006C09BE">
        <w:rPr>
          <w:color w:val="000000"/>
          <w:sz w:val="18"/>
          <w:szCs w:val="18"/>
        </w:rPr>
        <w:t xml:space="preserve"> have</w:t>
      </w:r>
      <w:proofErr w:type="gramEnd"/>
      <w:r w:rsidR="004C28D9" w:rsidRPr="006C09BE">
        <w:rPr>
          <w:color w:val="000000"/>
          <w:sz w:val="18"/>
          <w:szCs w:val="18"/>
        </w:rPr>
        <w:t xml:space="preserve"> to pay RM500 (USD$112) for a card that is renewable yearly that provides no benefits or protection to cardholders. The launch of this scheme has been heavily criticised for lack of </w:t>
      </w:r>
      <w:proofErr w:type="gramStart"/>
      <w:r w:rsidR="004C28D9" w:rsidRPr="006C09BE">
        <w:rPr>
          <w:color w:val="000000"/>
          <w:sz w:val="18"/>
          <w:szCs w:val="18"/>
        </w:rPr>
        <w:t>transparency,  data</w:t>
      </w:r>
      <w:proofErr w:type="gramEnd"/>
      <w:r w:rsidR="004C28D9" w:rsidRPr="006C09BE">
        <w:rPr>
          <w:color w:val="000000"/>
          <w:sz w:val="18"/>
          <w:szCs w:val="18"/>
        </w:rPr>
        <w:t xml:space="preserve"> security and  the exorbitant cost. </w:t>
      </w:r>
      <w:r w:rsidR="00BC7717" w:rsidRPr="006C09BE">
        <w:rPr>
          <w:color w:val="000000"/>
          <w:sz w:val="18"/>
          <w:szCs w:val="18"/>
        </w:rPr>
        <w:t xml:space="preserve">Also see articles raising concerns about TRIS, </w:t>
      </w:r>
      <w:proofErr w:type="spellStart"/>
      <w:r w:rsidR="00BC7717" w:rsidRPr="006C09BE">
        <w:rPr>
          <w:color w:val="000000"/>
          <w:sz w:val="18"/>
          <w:szCs w:val="18"/>
        </w:rPr>
        <w:t>Qarssifi</w:t>
      </w:r>
      <w:proofErr w:type="spellEnd"/>
      <w:r w:rsidR="00BC7717" w:rsidRPr="006C09BE">
        <w:rPr>
          <w:color w:val="000000"/>
          <w:sz w:val="18"/>
          <w:szCs w:val="18"/>
        </w:rPr>
        <w:t xml:space="preserve">, W., </w:t>
      </w:r>
      <w:r w:rsidR="00BC7717" w:rsidRPr="006C09BE">
        <w:rPr>
          <w:i/>
          <w:iCs/>
          <w:color w:val="000000"/>
          <w:sz w:val="18"/>
          <w:szCs w:val="18"/>
        </w:rPr>
        <w:t>Refugees in Malaysia worry government tracking system a ‘trap’</w:t>
      </w:r>
      <w:r w:rsidR="00BC7717" w:rsidRPr="006C09BE">
        <w:rPr>
          <w:color w:val="000000"/>
          <w:sz w:val="18"/>
          <w:szCs w:val="18"/>
        </w:rPr>
        <w:t>, Al-Jazeera, 11 Aug 2022, available at:</w:t>
      </w:r>
      <w:r w:rsidR="00BC7717">
        <w:rPr>
          <w:color w:val="000000"/>
          <w:sz w:val="18"/>
          <w:szCs w:val="18"/>
        </w:rPr>
        <w:t xml:space="preserve"> </w:t>
      </w:r>
      <w:r w:rsidR="00BC7717" w:rsidRPr="00BC7717">
        <w:rPr>
          <w:color w:val="000000"/>
          <w:sz w:val="18"/>
          <w:szCs w:val="18"/>
        </w:rPr>
        <w:t>https://www.aljazeera.com/news/2022/8/11/refugees-in-malaysia-worry-refugee-tracking-system-a-trap</w:t>
      </w:r>
      <w:r w:rsidR="00BC7717" w:rsidRPr="00BC7717">
        <w:rPr>
          <w:i/>
          <w:iCs/>
          <w:color w:val="000000"/>
          <w:sz w:val="20"/>
          <w:szCs w:val="20"/>
          <w:highlight w:val="yellow"/>
        </w:rPr>
        <w:t xml:space="preserve"> </w:t>
      </w:r>
    </w:p>
  </w:footnote>
  <w:footnote w:id="20">
    <w:p w14:paraId="000000BF"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Anis, M.N., </w:t>
      </w:r>
      <w:r>
        <w:rPr>
          <w:i/>
          <w:sz w:val="18"/>
          <w:szCs w:val="18"/>
        </w:rPr>
        <w:t xml:space="preserve">Hamzah: Refugees have no rights to state demands from Malaysian government, </w:t>
      </w:r>
      <w:r>
        <w:rPr>
          <w:sz w:val="18"/>
          <w:szCs w:val="18"/>
        </w:rPr>
        <w:t xml:space="preserve">The Star, 01 May 2021, available at: </w:t>
      </w:r>
      <w:hyperlink r:id="rId9">
        <w:r>
          <w:rPr>
            <w:color w:val="1155CC"/>
            <w:sz w:val="18"/>
            <w:szCs w:val="18"/>
            <w:u w:val="single"/>
          </w:rPr>
          <w:t>https://www.thestar.com.my/news/nation/2020/05/01/hamzah-refugees-have-no-rights-to-state-demands-from-malaysian-government</w:t>
        </w:r>
      </w:hyperlink>
    </w:p>
  </w:footnote>
  <w:footnote w:id="21">
    <w:p w14:paraId="0000008D" w14:textId="77777777" w:rsidR="00B634C8" w:rsidRDefault="00000000">
      <w:pPr>
        <w:spacing w:after="0" w:line="252" w:lineRule="auto"/>
        <w:rPr>
          <w:sz w:val="18"/>
          <w:szCs w:val="18"/>
        </w:rPr>
      </w:pPr>
      <w:r>
        <w:rPr>
          <w:rStyle w:val="FootnoteReference"/>
        </w:rPr>
        <w:footnoteRef/>
      </w:r>
      <w:r>
        <w:rPr>
          <w:sz w:val="18"/>
          <w:szCs w:val="18"/>
        </w:rPr>
        <w:t xml:space="preserve"> UN Committee on the Elimination of Discrimination Against Women (CEDAW), </w:t>
      </w:r>
      <w:r>
        <w:rPr>
          <w:i/>
          <w:sz w:val="18"/>
          <w:szCs w:val="18"/>
        </w:rPr>
        <w:t>Information received from Malaysia on follow-up to the concluding observations on its combined 3rd to 5th periodic reports</w:t>
      </w:r>
      <w:r>
        <w:rPr>
          <w:sz w:val="18"/>
          <w:szCs w:val="18"/>
        </w:rPr>
        <w:t xml:space="preserve">, 16 February 2021, CEDAW/C/MYS/FCO/3-5, available at: </w:t>
      </w:r>
      <w:hyperlink r:id="rId10">
        <w:r>
          <w:rPr>
            <w:color w:val="1155CC"/>
            <w:sz w:val="18"/>
            <w:szCs w:val="18"/>
            <w:u w:val="single"/>
          </w:rPr>
          <w:t>https://digitallibrary.un.org/record/3904297?ln=en</w:t>
        </w:r>
      </w:hyperlink>
    </w:p>
  </w:footnote>
  <w:footnote w:id="22">
    <w:p w14:paraId="0000008E" w14:textId="77777777" w:rsidR="00B634C8" w:rsidRDefault="00000000">
      <w:pPr>
        <w:spacing w:after="0" w:line="252" w:lineRule="auto"/>
        <w:rPr>
          <w:sz w:val="18"/>
          <w:szCs w:val="18"/>
        </w:rPr>
      </w:pPr>
      <w:r>
        <w:rPr>
          <w:rStyle w:val="FootnoteReference"/>
        </w:rPr>
        <w:footnoteRef/>
      </w:r>
      <w:r>
        <w:rPr>
          <w:sz w:val="18"/>
          <w:szCs w:val="18"/>
        </w:rPr>
        <w:t xml:space="preserve"> 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CEDAW/C/MYS/6, available at: </w:t>
      </w:r>
      <w:hyperlink r:id="rId11">
        <w:r>
          <w:rPr>
            <w:color w:val="1155CC"/>
            <w:sz w:val="18"/>
            <w:szCs w:val="18"/>
            <w:u w:val="single"/>
          </w:rPr>
          <w:t>https://digitallibrary.un.org/record/3978685?ln=en</w:t>
        </w:r>
      </w:hyperlink>
    </w:p>
  </w:footnote>
  <w:footnote w:id="23">
    <w:p w14:paraId="0000008F" w14:textId="77777777" w:rsidR="00B634C8" w:rsidRDefault="00000000">
      <w:pPr>
        <w:spacing w:after="0" w:line="252" w:lineRule="auto"/>
        <w:rPr>
          <w:sz w:val="18"/>
          <w:szCs w:val="18"/>
        </w:rPr>
      </w:pPr>
      <w:r>
        <w:rPr>
          <w:rStyle w:val="FootnoteReference"/>
        </w:rPr>
        <w:footnoteRef/>
      </w:r>
      <w:r>
        <w:rPr>
          <w:sz w:val="18"/>
          <w:szCs w:val="18"/>
        </w:rPr>
        <w:t xml:space="preserve"> Protection from arrest is provided for in a written directive issued by the Attorney General’s Chambers (AGC) in 2005, which is not </w:t>
      </w:r>
      <w:proofErr w:type="spellStart"/>
      <w:r>
        <w:rPr>
          <w:sz w:val="18"/>
          <w:szCs w:val="18"/>
        </w:rPr>
        <w:t>publically</w:t>
      </w:r>
      <w:proofErr w:type="spellEnd"/>
      <w:r>
        <w:rPr>
          <w:sz w:val="18"/>
          <w:szCs w:val="18"/>
        </w:rPr>
        <w:t xml:space="preserve"> available; International Federation for Human Rights (FIDH) and SUARAM, </w:t>
      </w:r>
      <w:r>
        <w:rPr>
          <w:i/>
          <w:sz w:val="18"/>
          <w:szCs w:val="18"/>
        </w:rPr>
        <w:t xml:space="preserve">Undocumented migrants and refugees in Malaysia: Raids, Detention and Discrimination, </w:t>
      </w:r>
      <w:r>
        <w:rPr>
          <w:sz w:val="18"/>
          <w:szCs w:val="18"/>
        </w:rPr>
        <w:t>March</w:t>
      </w:r>
      <w:r>
        <w:rPr>
          <w:i/>
          <w:sz w:val="18"/>
          <w:szCs w:val="18"/>
        </w:rPr>
        <w:t xml:space="preserve"> </w:t>
      </w:r>
      <w:r>
        <w:rPr>
          <w:sz w:val="18"/>
          <w:szCs w:val="18"/>
        </w:rPr>
        <w:t xml:space="preserve">2008, p. 9; Equal Rights Trust, </w:t>
      </w:r>
      <w:r>
        <w:rPr>
          <w:i/>
          <w:sz w:val="18"/>
          <w:szCs w:val="18"/>
        </w:rPr>
        <w:t xml:space="preserve">Equal Only in Name: The Human Rights of Stateless Rohingya in Malaysia, </w:t>
      </w:r>
      <w:r>
        <w:rPr>
          <w:sz w:val="18"/>
          <w:szCs w:val="18"/>
        </w:rPr>
        <w:t xml:space="preserve">2014, available at </w:t>
      </w:r>
      <w:hyperlink r:id="rId12">
        <w:r>
          <w:rPr>
            <w:color w:val="0563C1"/>
            <w:sz w:val="18"/>
            <w:szCs w:val="18"/>
            <w:u w:val="single"/>
          </w:rPr>
          <w:t>http://www.equalrightstrust.org/ertdocumentbank/Equal%20Only%20in%20Name%20-%20Malaysia%20-%20Full%20Report.pdf</w:t>
        </w:r>
      </w:hyperlink>
    </w:p>
  </w:footnote>
  <w:footnote w:id="24">
    <w:p w14:paraId="000000B3" w14:textId="77777777" w:rsidR="00B634C8" w:rsidRDefault="00000000">
      <w:pPr>
        <w:spacing w:after="0" w:line="252" w:lineRule="auto"/>
        <w:rPr>
          <w:sz w:val="18"/>
          <w:szCs w:val="18"/>
        </w:rPr>
      </w:pPr>
      <w:r>
        <w:rPr>
          <w:rStyle w:val="FootnoteReference"/>
        </w:rPr>
        <w:footnoteRef/>
      </w:r>
      <w:r>
        <w:rPr>
          <w:sz w:val="18"/>
          <w:szCs w:val="18"/>
        </w:rPr>
        <w:t xml:space="preserve"> </w:t>
      </w:r>
      <w:r>
        <w:rPr>
          <w:i/>
          <w:sz w:val="18"/>
          <w:szCs w:val="18"/>
        </w:rPr>
        <w:t xml:space="preserve">Immigration Dept denies allegations depots overcrowded, understaffed, </w:t>
      </w:r>
      <w:r>
        <w:rPr>
          <w:sz w:val="18"/>
          <w:szCs w:val="18"/>
        </w:rPr>
        <w:t xml:space="preserve">The Star, 26 April 2022, available at: </w:t>
      </w:r>
      <w:hyperlink r:id="rId13">
        <w:r>
          <w:rPr>
            <w:color w:val="1155CC"/>
            <w:sz w:val="18"/>
            <w:szCs w:val="18"/>
            <w:u w:val="single"/>
          </w:rPr>
          <w:t>https://www.thestar.com.my/news/nation/2022/04/26/immigration-dept-denies-allegations-depots-overcrowded-understaffed</w:t>
        </w:r>
      </w:hyperlink>
      <w:r>
        <w:rPr>
          <w:sz w:val="18"/>
          <w:szCs w:val="18"/>
        </w:rPr>
        <w:t xml:space="preserve">; </w:t>
      </w:r>
      <w:proofErr w:type="spellStart"/>
      <w:r>
        <w:rPr>
          <w:i/>
          <w:sz w:val="18"/>
          <w:szCs w:val="18"/>
        </w:rPr>
        <w:t>Suhakam</w:t>
      </w:r>
      <w:proofErr w:type="spellEnd"/>
      <w:r>
        <w:rPr>
          <w:i/>
          <w:sz w:val="18"/>
          <w:szCs w:val="18"/>
        </w:rPr>
        <w:t xml:space="preserve"> commissioner wrong about immigration depots capacity, says DG, </w:t>
      </w:r>
      <w:r>
        <w:rPr>
          <w:sz w:val="18"/>
          <w:szCs w:val="18"/>
        </w:rPr>
        <w:t>Free Malaysia Today,  26 April 2022, available at:</w:t>
      </w:r>
      <w:hyperlink r:id="rId14">
        <w:r>
          <w:rPr>
            <w:color w:val="1155CC"/>
            <w:sz w:val="18"/>
            <w:szCs w:val="18"/>
            <w:u w:val="single"/>
          </w:rPr>
          <w:t>https://www.freemalaysiatoday.com/category/nation/2022/04/26/suhakam-commissioner-wrong-about-immigration-depots-capacity-says-dg/</w:t>
        </w:r>
      </w:hyperlink>
    </w:p>
  </w:footnote>
  <w:footnote w:id="25">
    <w:p w14:paraId="000000B2" w14:textId="77777777" w:rsidR="00B634C8" w:rsidRDefault="00000000">
      <w:pPr>
        <w:spacing w:after="0" w:line="252" w:lineRule="auto"/>
        <w:rPr>
          <w:sz w:val="18"/>
          <w:szCs w:val="18"/>
        </w:rPr>
      </w:pPr>
      <w:r>
        <w:rPr>
          <w:rStyle w:val="FootnoteReference"/>
        </w:rPr>
        <w:footnoteRef/>
      </w:r>
      <w:r>
        <w:rPr>
          <w:sz w:val="18"/>
          <w:szCs w:val="18"/>
        </w:rPr>
        <w:t xml:space="preserve"> Ananthalakshmi, A., &amp; Chu, M.M., </w:t>
      </w:r>
      <w:r>
        <w:rPr>
          <w:i/>
          <w:sz w:val="18"/>
          <w:szCs w:val="18"/>
        </w:rPr>
        <w:t xml:space="preserve">Malaysia denying U.N. access to detained asylum seekers, agency says, </w:t>
      </w:r>
      <w:r>
        <w:rPr>
          <w:sz w:val="18"/>
          <w:szCs w:val="18"/>
        </w:rPr>
        <w:t xml:space="preserve">Reuters, 11 November 2020, available at: </w:t>
      </w:r>
      <w:hyperlink r:id="rId15">
        <w:r>
          <w:rPr>
            <w:color w:val="1155CC"/>
            <w:sz w:val="18"/>
            <w:szCs w:val="18"/>
            <w:u w:val="single"/>
          </w:rPr>
          <w:t>https://www.reuters.com/article/malaysia-migrants-idUSKBN27R13P</w:t>
        </w:r>
      </w:hyperlink>
    </w:p>
  </w:footnote>
  <w:footnote w:id="26">
    <w:p w14:paraId="000000C0"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Ibid</w:t>
      </w:r>
    </w:p>
  </w:footnote>
  <w:footnote w:id="27">
    <w:p w14:paraId="000000C3" w14:textId="77777777" w:rsidR="00B634C8" w:rsidRDefault="00000000">
      <w:pPr>
        <w:spacing w:after="0" w:line="240" w:lineRule="auto"/>
        <w:rPr>
          <w:i/>
          <w:sz w:val="18"/>
          <w:szCs w:val="18"/>
        </w:rPr>
      </w:pPr>
      <w:r>
        <w:rPr>
          <w:rStyle w:val="FootnoteReference"/>
        </w:rPr>
        <w:footnoteRef/>
      </w:r>
      <w:r>
        <w:rPr>
          <w:sz w:val="20"/>
          <w:szCs w:val="20"/>
        </w:rPr>
        <w:t xml:space="preserve"> </w:t>
      </w:r>
      <w:r>
        <w:rPr>
          <w:i/>
          <w:sz w:val="18"/>
          <w:szCs w:val="18"/>
        </w:rPr>
        <w:t xml:space="preserve">Six killed as hundreds of Rohingya flee Malaysia detention, </w:t>
      </w:r>
      <w:proofErr w:type="spellStart"/>
      <w:r>
        <w:rPr>
          <w:sz w:val="18"/>
          <w:szCs w:val="18"/>
        </w:rPr>
        <w:t>AlJazeera</w:t>
      </w:r>
      <w:proofErr w:type="spellEnd"/>
      <w:r>
        <w:rPr>
          <w:sz w:val="18"/>
          <w:szCs w:val="18"/>
        </w:rPr>
        <w:t xml:space="preserve">, </w:t>
      </w:r>
      <w:r>
        <w:rPr>
          <w:i/>
          <w:sz w:val="18"/>
          <w:szCs w:val="18"/>
        </w:rPr>
        <w:t>20 April 2022, available at: https://www.aljazeera.com/news/2022/4/20/six-killed-as-hundreds-of-rohingya-flee-malaysia-detention</w:t>
      </w:r>
    </w:p>
  </w:footnote>
  <w:footnote w:id="28">
    <w:p w14:paraId="000000B6"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The exact number of refugee and asylum seekers currently in detention cannot be verified, as there are no available statistics and UNHCR has not had access </w:t>
      </w:r>
    </w:p>
  </w:footnote>
  <w:footnote w:id="29">
    <w:p w14:paraId="000000B5" w14:textId="77777777" w:rsidR="00B634C8" w:rsidRDefault="00000000">
      <w:pPr>
        <w:spacing w:after="0" w:line="240" w:lineRule="auto"/>
        <w:rPr>
          <w:sz w:val="16"/>
          <w:szCs w:val="16"/>
        </w:rPr>
      </w:pPr>
      <w:r>
        <w:rPr>
          <w:rStyle w:val="FootnoteReference"/>
        </w:rPr>
        <w:footnoteRef/>
      </w:r>
      <w:r>
        <w:rPr>
          <w:sz w:val="18"/>
          <w:szCs w:val="18"/>
        </w:rPr>
        <w:t>https://www.amnesty.my/2020/05/01/crackdown-on-migrants-and-refugees-an-appalling-violation-of-human-rights/;</w:t>
      </w:r>
      <w:hyperlink r:id="rId16">
        <w:r>
          <w:rPr>
            <w:color w:val="1155CC"/>
            <w:sz w:val="18"/>
            <w:szCs w:val="18"/>
            <w:u w:val="single"/>
          </w:rPr>
          <w:t>https://www.bbc.co.uk/news/world-asia-52515000</w:t>
        </w:r>
      </w:hyperlink>
      <w:r>
        <w:rPr>
          <w:sz w:val="18"/>
          <w:szCs w:val="18"/>
        </w:rPr>
        <w:t xml:space="preserve">; </w:t>
      </w:r>
      <w:hyperlink r:id="rId17">
        <w:r>
          <w:rPr>
            <w:color w:val="1155CC"/>
            <w:sz w:val="18"/>
            <w:szCs w:val="18"/>
            <w:u w:val="single"/>
          </w:rPr>
          <w:t>https://www.freemalaysiatoday.com/category/nation/2020/05/02/top-cop-says-arrests-of-undocumented-migrants-part-of-covid-19-measures/</w:t>
        </w:r>
      </w:hyperlink>
    </w:p>
  </w:footnote>
  <w:footnote w:id="30">
    <w:p w14:paraId="000000C1"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Ibid</w:t>
      </w:r>
    </w:p>
  </w:footnote>
  <w:footnote w:id="31">
    <w:p w14:paraId="000000B7" w14:textId="77777777" w:rsidR="00B634C8" w:rsidRDefault="00000000">
      <w:pPr>
        <w:spacing w:after="0" w:line="240" w:lineRule="auto"/>
        <w:rPr>
          <w:sz w:val="18"/>
          <w:szCs w:val="18"/>
        </w:rPr>
      </w:pPr>
      <w:r>
        <w:rPr>
          <w:rStyle w:val="FootnoteReference"/>
        </w:rPr>
        <w:footnoteRef/>
      </w:r>
      <w:r>
        <w:rPr>
          <w:sz w:val="18"/>
          <w:szCs w:val="18"/>
        </w:rPr>
        <w:t xml:space="preserve"> Wahab, A,  </w:t>
      </w:r>
      <w:r>
        <w:rPr>
          <w:i/>
          <w:sz w:val="18"/>
          <w:szCs w:val="18"/>
        </w:rPr>
        <w:t>The outbreak of Covid-19 in Malaysia: Pushing migrant workers at the margin,</w:t>
      </w:r>
      <w:r>
        <w:rPr>
          <w:sz w:val="18"/>
          <w:szCs w:val="18"/>
        </w:rPr>
        <w:t xml:space="preserve"> Social Sciences &amp; Humanities Open, 2, 9, 2020, doi:10.1016/j.ssaho.2020.100073, available at:  </w:t>
      </w:r>
      <w:hyperlink r:id="rId18">
        <w:r>
          <w:rPr>
            <w:color w:val="1155CC"/>
            <w:sz w:val="18"/>
            <w:szCs w:val="18"/>
            <w:u w:val="single"/>
          </w:rPr>
          <w:t>https://www.researchgate.net/publication/345543572_The_outbreak_of_Covid-19_in_Malaysia_Pushing_migrant_workers_at_the_margin/citation/download</w:t>
        </w:r>
      </w:hyperlink>
    </w:p>
  </w:footnote>
  <w:footnote w:id="32">
    <w:p w14:paraId="000000B8" w14:textId="77777777" w:rsidR="00B634C8" w:rsidRDefault="00000000">
      <w:pPr>
        <w:spacing w:after="0" w:line="240" w:lineRule="auto"/>
        <w:rPr>
          <w:sz w:val="20"/>
          <w:szCs w:val="20"/>
        </w:rPr>
      </w:pPr>
      <w:r>
        <w:rPr>
          <w:rStyle w:val="FootnoteReference"/>
        </w:rPr>
        <w:footnoteRef/>
      </w:r>
      <w:r>
        <w:rPr>
          <w:sz w:val="20"/>
          <w:szCs w:val="20"/>
        </w:rPr>
        <w:t xml:space="preserve"> </w:t>
      </w:r>
      <w:r>
        <w:rPr>
          <w:sz w:val="18"/>
          <w:szCs w:val="18"/>
        </w:rPr>
        <w:t>Ibid</w:t>
      </w:r>
      <w:r>
        <w:rPr>
          <w:sz w:val="20"/>
          <w:szCs w:val="20"/>
        </w:rPr>
        <w:t xml:space="preserve"> </w:t>
      </w:r>
    </w:p>
  </w:footnote>
  <w:footnote w:id="33">
    <w:p w14:paraId="000000B9" w14:textId="77777777" w:rsidR="00B634C8" w:rsidRDefault="00000000">
      <w:pPr>
        <w:spacing w:after="0" w:line="240" w:lineRule="auto"/>
        <w:rPr>
          <w:i/>
          <w:sz w:val="18"/>
          <w:szCs w:val="18"/>
        </w:rPr>
      </w:pPr>
      <w:r>
        <w:rPr>
          <w:rStyle w:val="FootnoteReference"/>
        </w:rPr>
        <w:footnoteRef/>
      </w:r>
      <w:r>
        <w:rPr>
          <w:rFonts w:ascii="Arial" w:eastAsia="Arial" w:hAnsi="Arial" w:cs="Arial"/>
          <w:sz w:val="20"/>
          <w:szCs w:val="20"/>
        </w:rPr>
        <w:t xml:space="preserve"> </w:t>
      </w:r>
      <w:r>
        <w:rPr>
          <w:sz w:val="18"/>
          <w:szCs w:val="18"/>
        </w:rPr>
        <w:t xml:space="preserve">Malaysia House of Representatives, </w:t>
      </w:r>
      <w:r>
        <w:rPr>
          <w:i/>
          <w:sz w:val="18"/>
          <w:szCs w:val="18"/>
        </w:rPr>
        <w:t xml:space="preserve">Parliamentary Debates, Special Chambers, </w:t>
      </w:r>
      <w:r>
        <w:rPr>
          <w:sz w:val="18"/>
          <w:szCs w:val="18"/>
        </w:rPr>
        <w:t xml:space="preserve">14the Parliament, 3rd Term, 2nd Meeting, 21 July 2020, </w:t>
      </w:r>
      <w:r>
        <w:rPr>
          <w:i/>
          <w:sz w:val="18"/>
          <w:szCs w:val="18"/>
        </w:rPr>
        <w:t xml:space="preserve">available at: </w:t>
      </w:r>
      <w:hyperlink r:id="rId19">
        <w:r>
          <w:rPr>
            <w:i/>
            <w:color w:val="1155CC"/>
            <w:sz w:val="18"/>
            <w:szCs w:val="18"/>
            <w:u w:val="single"/>
          </w:rPr>
          <w:t>https://www.parlimen.gov.my/files/hindex/pdf/KKDR-20072020.pdf</w:t>
        </w:r>
      </w:hyperlink>
    </w:p>
  </w:footnote>
  <w:footnote w:id="34">
    <w:p w14:paraId="00000090"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sz w:val="18"/>
          <w:szCs w:val="18"/>
        </w:rPr>
        <w:t xml:space="preserve">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CEDAW/C/MYS/6, paragraph 111, available at: </w:t>
      </w:r>
      <w:hyperlink r:id="rId20">
        <w:r>
          <w:rPr>
            <w:color w:val="1155CC"/>
            <w:sz w:val="18"/>
            <w:szCs w:val="18"/>
            <w:u w:val="single"/>
          </w:rPr>
          <w:t>https://digitallibrary.un.org/record/3978685?ln=en</w:t>
        </w:r>
      </w:hyperlink>
      <w:r>
        <w:rPr>
          <w:rFonts w:ascii="Arial" w:eastAsia="Arial" w:hAnsi="Arial" w:cs="Arial"/>
          <w:sz w:val="20"/>
          <w:szCs w:val="20"/>
        </w:rPr>
        <w:t xml:space="preserve"> </w:t>
      </w:r>
    </w:p>
  </w:footnote>
  <w:footnote w:id="35">
    <w:p w14:paraId="00000091" w14:textId="77777777" w:rsidR="00B634C8" w:rsidRDefault="00000000">
      <w:pPr>
        <w:pBdr>
          <w:top w:val="nil"/>
          <w:left w:val="nil"/>
          <w:bottom w:val="nil"/>
          <w:right w:val="nil"/>
          <w:between w:val="nil"/>
        </w:pBdr>
        <w:spacing w:after="0" w:line="240" w:lineRule="auto"/>
        <w:jc w:val="both"/>
        <w:rPr>
          <w:i/>
          <w:sz w:val="18"/>
          <w:szCs w:val="18"/>
        </w:rPr>
      </w:pPr>
      <w:r>
        <w:rPr>
          <w:rStyle w:val="FootnoteReference"/>
        </w:rPr>
        <w:footnoteRef/>
      </w:r>
      <w:r>
        <w:rPr>
          <w:sz w:val="18"/>
          <w:szCs w:val="18"/>
        </w:rPr>
        <w:t xml:space="preserve"> </w:t>
      </w:r>
      <w:r>
        <w:rPr>
          <w:color w:val="000000"/>
          <w:sz w:val="18"/>
          <w:szCs w:val="18"/>
        </w:rPr>
        <w:t xml:space="preserve">SUHAKAM, </w:t>
      </w:r>
      <w:r>
        <w:rPr>
          <w:i/>
          <w:color w:val="000000"/>
          <w:sz w:val="18"/>
          <w:szCs w:val="18"/>
        </w:rPr>
        <w:t xml:space="preserve">Roundtable on Alternatives to Immigration Detention, November 2013, available at: </w:t>
      </w:r>
      <w:hyperlink r:id="rId21">
        <w:r>
          <w:rPr>
            <w:i/>
            <w:color w:val="1155CC"/>
            <w:sz w:val="18"/>
            <w:szCs w:val="18"/>
            <w:u w:val="single"/>
          </w:rPr>
          <w:t>http://www.suhakam.org.my/wp-content/uploads/2013/12/Report-on-Roundtable-on-ATD-Malaysia.pdf</w:t>
        </w:r>
      </w:hyperlink>
    </w:p>
  </w:footnote>
  <w:footnote w:id="36">
    <w:p w14:paraId="00000092"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sz w:val="18"/>
          <w:szCs w:val="18"/>
        </w:rPr>
        <w:t xml:space="preserve">Malaysia House of Representatives, </w:t>
      </w:r>
      <w:r>
        <w:rPr>
          <w:i/>
          <w:sz w:val="18"/>
          <w:szCs w:val="18"/>
        </w:rPr>
        <w:t>Notification of Oral Questions</w:t>
      </w:r>
      <w:r>
        <w:rPr>
          <w:sz w:val="18"/>
          <w:szCs w:val="18"/>
        </w:rPr>
        <w:t xml:space="preserve">, 14th Parliament Sitting, 3rd term, 3rd Meeting, 3 November 2020, Question number 45, available </w:t>
      </w:r>
      <w:proofErr w:type="spellStart"/>
      <w:r>
        <w:rPr>
          <w:sz w:val="18"/>
          <w:szCs w:val="18"/>
        </w:rPr>
        <w:t>at:</w:t>
      </w:r>
      <w:hyperlink r:id="rId22">
        <w:r>
          <w:rPr>
            <w:color w:val="1155CC"/>
            <w:sz w:val="18"/>
            <w:szCs w:val="18"/>
            <w:u w:val="single"/>
          </w:rPr>
          <w:t>https</w:t>
        </w:r>
        <w:proofErr w:type="spellEnd"/>
        <w:r>
          <w:rPr>
            <w:color w:val="1155CC"/>
            <w:sz w:val="18"/>
            <w:szCs w:val="18"/>
            <w:u w:val="single"/>
          </w:rPr>
          <w:t>://www.parlimen.gov.my/files/jindex/pdf/JDR03112020.pdf</w:t>
        </w:r>
      </w:hyperlink>
    </w:p>
  </w:footnote>
  <w:footnote w:id="37">
    <w:p w14:paraId="000000C2" w14:textId="77777777" w:rsidR="00B634C8" w:rsidRDefault="00000000">
      <w:pPr>
        <w:spacing w:after="0" w:line="240" w:lineRule="auto"/>
        <w:rPr>
          <w:sz w:val="18"/>
          <w:szCs w:val="18"/>
        </w:rPr>
      </w:pPr>
      <w:r>
        <w:rPr>
          <w:rStyle w:val="FootnoteReference"/>
        </w:rPr>
        <w:footnoteRef/>
      </w:r>
      <w:r>
        <w:rPr>
          <w:sz w:val="20"/>
          <w:szCs w:val="20"/>
        </w:rPr>
        <w:t xml:space="preserve"> </w:t>
      </w:r>
      <w:r>
        <w:rPr>
          <w:i/>
          <w:sz w:val="18"/>
          <w:szCs w:val="18"/>
        </w:rPr>
        <w:t>Immigration Dept denies allegations depots overcrowded, understaffed</w:t>
      </w:r>
      <w:r>
        <w:rPr>
          <w:sz w:val="18"/>
          <w:szCs w:val="18"/>
        </w:rPr>
        <w:t xml:space="preserve">, The Star, 26 April 2022, available at: </w:t>
      </w:r>
      <w:hyperlink r:id="rId23">
        <w:r>
          <w:rPr>
            <w:color w:val="1155CC"/>
            <w:sz w:val="18"/>
            <w:szCs w:val="18"/>
            <w:u w:val="single"/>
          </w:rPr>
          <w:t>https://www.thestar.com.my/news/nation/2022/04/26/immigration-dept-denies-allegations-depots-overcrowded-understaffed</w:t>
        </w:r>
      </w:hyperlink>
    </w:p>
  </w:footnote>
  <w:footnote w:id="38">
    <w:p w14:paraId="02D80EE9" w14:textId="35C0B34C" w:rsidR="00581C5B" w:rsidRPr="00581C5B" w:rsidRDefault="00000000">
      <w:pPr>
        <w:pBdr>
          <w:top w:val="nil"/>
          <w:left w:val="nil"/>
          <w:bottom w:val="nil"/>
          <w:right w:val="nil"/>
          <w:between w:val="nil"/>
        </w:pBdr>
        <w:spacing w:after="0" w:line="252" w:lineRule="auto"/>
        <w:rPr>
          <w:color w:val="1155CC"/>
          <w:sz w:val="18"/>
          <w:szCs w:val="18"/>
          <w:u w:val="single"/>
        </w:rPr>
      </w:pPr>
      <w:r>
        <w:rPr>
          <w:rStyle w:val="FootnoteReference"/>
        </w:rPr>
        <w:footnoteRef/>
      </w:r>
      <w:r>
        <w:rPr>
          <w:sz w:val="18"/>
          <w:szCs w:val="18"/>
        </w:rPr>
        <w:t xml:space="preserve"> UN Committee on the Elimination of Discrimination Against Women (CEDAW), </w:t>
      </w:r>
      <w:r>
        <w:rPr>
          <w:i/>
          <w:sz w:val="18"/>
          <w:szCs w:val="18"/>
        </w:rPr>
        <w:t>Information received from Malaysia on follow-up to the concluding observations on its combined 3rd to 5th periodic reports</w:t>
      </w:r>
      <w:r>
        <w:rPr>
          <w:sz w:val="18"/>
          <w:szCs w:val="18"/>
        </w:rPr>
        <w:t xml:space="preserve">, 16 February 2021, CEDAW/C/MYS/FCO/3-5, available at: </w:t>
      </w:r>
      <w:hyperlink r:id="rId24">
        <w:r>
          <w:rPr>
            <w:color w:val="1155CC"/>
            <w:sz w:val="18"/>
            <w:szCs w:val="18"/>
            <w:u w:val="single"/>
          </w:rPr>
          <w:t>https://digitallibrary.un.org/record/3904297?ln=en</w:t>
        </w:r>
      </w:hyperlink>
      <w:r>
        <w:rPr>
          <w:sz w:val="18"/>
          <w:szCs w:val="18"/>
        </w:rPr>
        <w:t xml:space="preserve">; 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CEDAW/C/MYS/6, available at: </w:t>
      </w:r>
      <w:hyperlink r:id="rId25">
        <w:r>
          <w:rPr>
            <w:color w:val="1155CC"/>
            <w:sz w:val="18"/>
            <w:szCs w:val="18"/>
            <w:u w:val="single"/>
          </w:rPr>
          <w:t>https://digitallibrary.un.org/record/3978685?ln=en</w:t>
        </w:r>
      </w:hyperlink>
    </w:p>
  </w:footnote>
  <w:footnote w:id="39">
    <w:p w14:paraId="1037666C" w14:textId="3860FE46" w:rsidR="00581C5B" w:rsidRDefault="00000000">
      <w:pPr>
        <w:spacing w:after="0" w:line="240" w:lineRule="auto"/>
        <w:rPr>
          <w:sz w:val="18"/>
          <w:szCs w:val="18"/>
        </w:rPr>
      </w:pPr>
      <w:r>
        <w:rPr>
          <w:rStyle w:val="FootnoteReference"/>
        </w:rPr>
        <w:footnoteRef/>
      </w:r>
      <w:r>
        <w:rPr>
          <w:rFonts w:ascii="Arial" w:eastAsia="Arial" w:hAnsi="Arial" w:cs="Arial"/>
          <w:sz w:val="20"/>
          <w:szCs w:val="20"/>
        </w:rPr>
        <w:t xml:space="preserve"> </w:t>
      </w:r>
      <w:r>
        <w:rPr>
          <w:i/>
          <w:sz w:val="18"/>
          <w:szCs w:val="18"/>
        </w:rPr>
        <w:t>The Malaysian Government must uphold the customary international law of non-refoulement</w:t>
      </w:r>
      <w:r>
        <w:rPr>
          <w:sz w:val="18"/>
          <w:szCs w:val="18"/>
        </w:rPr>
        <w:t xml:space="preserve">, Malay Mail, 17 May 2019, Available at: https://www.malaymail.com/news/what-you-think/2019/05/17/the-malaysian-government-must-uphold-the-customary-international-law-of-non/1754015; </w:t>
      </w:r>
      <w:r>
        <w:rPr>
          <w:i/>
          <w:sz w:val="18"/>
          <w:szCs w:val="18"/>
        </w:rPr>
        <w:t>Malaysia wrong in deporting Turkish family under UN protection,</w:t>
      </w:r>
      <w:r>
        <w:rPr>
          <w:sz w:val="18"/>
          <w:szCs w:val="18"/>
        </w:rPr>
        <w:t xml:space="preserve"> Malay Mail, 12 September 2019, Available at: </w:t>
      </w:r>
      <w:hyperlink r:id="rId26">
        <w:r>
          <w:rPr>
            <w:color w:val="0000FF"/>
            <w:sz w:val="18"/>
            <w:szCs w:val="18"/>
            <w:u w:val="single"/>
          </w:rPr>
          <w:t>https://www.malaymail.com/news/malaysia/2019/08/30/malaysia-wrong-in-deporting-turkish-family-under-un-protection-says-ngo/1785885</w:t>
        </w:r>
      </w:hyperlink>
      <w:r>
        <w:rPr>
          <w:sz w:val="18"/>
          <w:szCs w:val="18"/>
        </w:rPr>
        <w:t xml:space="preserve">; </w:t>
      </w:r>
      <w:r>
        <w:rPr>
          <w:i/>
          <w:sz w:val="18"/>
          <w:szCs w:val="18"/>
        </w:rPr>
        <w:t>Malaysia has disregarded UN protection: Arif Komis has been sent to Turkey</w:t>
      </w:r>
      <w:r>
        <w:rPr>
          <w:sz w:val="18"/>
          <w:szCs w:val="18"/>
        </w:rPr>
        <w:t xml:space="preserve">, 12 September 2019, available at: https://boldmedya.com/en/2019/09/12/malaysia-has-disregarded-un-protection-arif-komis-has-been-sent-to-turkey/; </w:t>
      </w:r>
      <w:r>
        <w:rPr>
          <w:i/>
          <w:sz w:val="18"/>
          <w:szCs w:val="18"/>
        </w:rPr>
        <w:t>Defying court order, Malaysia deports more than 1,000 Myanmar nationals,</w:t>
      </w:r>
      <w:r>
        <w:rPr>
          <w:sz w:val="18"/>
          <w:szCs w:val="18"/>
        </w:rPr>
        <w:t xml:space="preserve"> Reuters, February2020, available at:</w:t>
      </w:r>
      <w:r>
        <w:rPr>
          <w:color w:val="3F3F40"/>
          <w:sz w:val="18"/>
          <w:szCs w:val="18"/>
        </w:rPr>
        <w:t xml:space="preserve"> </w:t>
      </w:r>
      <w:hyperlink r:id="rId27">
        <w:r>
          <w:rPr>
            <w:color w:val="1155CC"/>
            <w:sz w:val="18"/>
            <w:szCs w:val="18"/>
            <w:u w:val="single"/>
          </w:rPr>
          <w:t>https://www.reuters.com/article/us-myanmar-politics-malaysia/defying-court-order-malaysia-deports-more-than-1000-myanmar-nationals-idUSKBN2AN09M</w:t>
        </w:r>
      </w:hyperlink>
      <w:r>
        <w:rPr>
          <w:sz w:val="18"/>
          <w:szCs w:val="18"/>
        </w:rPr>
        <w:t xml:space="preserve"> </w:t>
      </w:r>
    </w:p>
  </w:footnote>
  <w:footnote w:id="40">
    <w:p w14:paraId="000000AF" w14:textId="77777777" w:rsidR="00B634C8" w:rsidRDefault="00000000">
      <w:pPr>
        <w:spacing w:after="0" w:line="240" w:lineRule="auto"/>
        <w:rPr>
          <w:sz w:val="18"/>
          <w:szCs w:val="18"/>
        </w:rPr>
      </w:pPr>
      <w:r>
        <w:rPr>
          <w:rStyle w:val="FootnoteReference"/>
        </w:rPr>
        <w:footnoteRef/>
      </w:r>
      <w:r>
        <w:rPr>
          <w:color w:val="2E3436"/>
          <w:sz w:val="18"/>
          <w:szCs w:val="18"/>
        </w:rPr>
        <w:t xml:space="preserve"> Human Rights Watch, </w:t>
      </w:r>
      <w:r>
        <w:rPr>
          <w:i/>
          <w:color w:val="2E3436"/>
          <w:sz w:val="18"/>
          <w:szCs w:val="18"/>
        </w:rPr>
        <w:t>Malaysia: Allow Rohingya Refugees Ashore - Covid-19 No Basis for Pushing Back Boats,</w:t>
      </w:r>
      <w:r>
        <w:rPr>
          <w:color w:val="2E3436"/>
          <w:sz w:val="18"/>
          <w:szCs w:val="18"/>
        </w:rPr>
        <w:t xml:space="preserve"> 18 April 2020, available at: </w:t>
      </w:r>
      <w:hyperlink r:id="rId28">
        <w:r>
          <w:rPr>
            <w:color w:val="1155CC"/>
            <w:sz w:val="18"/>
            <w:szCs w:val="18"/>
            <w:u w:val="single"/>
          </w:rPr>
          <w:t>https://reliefweb.int/report/malaysia/malaysia-allow-rohingya-refugees-ashore-covid-19-no-basis-pushing-back-boats</w:t>
        </w:r>
      </w:hyperlink>
      <w:r>
        <w:rPr>
          <w:sz w:val="18"/>
          <w:szCs w:val="18"/>
        </w:rPr>
        <w:t xml:space="preserve">; Ellis-Petersen, H., &amp; Rahman, S.A., </w:t>
      </w:r>
      <w:r>
        <w:rPr>
          <w:i/>
          <w:sz w:val="18"/>
          <w:szCs w:val="18"/>
        </w:rPr>
        <w:t xml:space="preserve">Bangladesh rescues hundreds of Rohingya drifting at sea for nearly two months, </w:t>
      </w:r>
      <w:r>
        <w:rPr>
          <w:sz w:val="18"/>
          <w:szCs w:val="18"/>
        </w:rPr>
        <w:t xml:space="preserve">April 2020, available at: </w:t>
      </w:r>
      <w:hyperlink r:id="rId29">
        <w:r>
          <w:rPr>
            <w:color w:val="1155CC"/>
            <w:sz w:val="18"/>
            <w:szCs w:val="18"/>
            <w:u w:val="single"/>
          </w:rPr>
          <w:t>https://www.theguardian.com/world/2020/apr/16/bangladesh-rescues-hundreds-of-rohingya-drifting-at-sea-for-nearly-two-months</w:t>
        </w:r>
      </w:hyperlink>
      <w:r>
        <w:rPr>
          <w:sz w:val="18"/>
          <w:szCs w:val="18"/>
        </w:rPr>
        <w:t xml:space="preserve">; Andrews, T., Special Rapporteur on the situation of Human </w:t>
      </w:r>
      <w:proofErr w:type="spellStart"/>
      <w:r>
        <w:rPr>
          <w:sz w:val="18"/>
          <w:szCs w:val="18"/>
        </w:rPr>
        <w:t>RIghts</w:t>
      </w:r>
      <w:proofErr w:type="spellEnd"/>
      <w:r>
        <w:rPr>
          <w:sz w:val="18"/>
          <w:szCs w:val="18"/>
        </w:rPr>
        <w:t xml:space="preserve"> in Myanmar, </w:t>
      </w:r>
      <w:r>
        <w:rPr>
          <w:i/>
          <w:sz w:val="18"/>
          <w:szCs w:val="18"/>
        </w:rPr>
        <w:t>Coordinated regional action urged to stop Rohingya deaths at sea: UN exper</w:t>
      </w:r>
      <w:r>
        <w:rPr>
          <w:sz w:val="18"/>
          <w:szCs w:val="18"/>
        </w:rPr>
        <w:t xml:space="preserve">t, OHCHR Press Release, 22 December 2022, available at: </w:t>
      </w:r>
      <w:hyperlink r:id="rId30">
        <w:r>
          <w:rPr>
            <w:color w:val="1155CC"/>
            <w:sz w:val="18"/>
            <w:szCs w:val="18"/>
            <w:u w:val="single"/>
          </w:rPr>
          <w:t>https://www.ohchr.org/en/press-releases/2022/12/coordinated-regional-action-urged-stop-rohingya-deaths-sea-un-expert</w:t>
        </w:r>
      </w:hyperlink>
    </w:p>
  </w:footnote>
  <w:footnote w:id="41">
    <w:p w14:paraId="000000B0" w14:textId="77777777" w:rsidR="00B634C8" w:rsidRDefault="00000000">
      <w:pPr>
        <w:spacing w:after="0" w:line="240" w:lineRule="auto"/>
        <w:rPr>
          <w:sz w:val="20"/>
          <w:szCs w:val="20"/>
        </w:rPr>
      </w:pPr>
      <w:r>
        <w:rPr>
          <w:rStyle w:val="FootnoteReference"/>
        </w:rPr>
        <w:footnoteRef/>
      </w:r>
      <w:r>
        <w:rPr>
          <w:rFonts w:ascii="Arial" w:eastAsia="Arial" w:hAnsi="Arial" w:cs="Arial"/>
          <w:sz w:val="20"/>
          <w:szCs w:val="20"/>
        </w:rPr>
        <w:t xml:space="preserve"> </w:t>
      </w:r>
      <w:r>
        <w:rPr>
          <w:sz w:val="18"/>
          <w:szCs w:val="18"/>
        </w:rPr>
        <w:t>Amnesty International</w:t>
      </w:r>
      <w:r>
        <w:rPr>
          <w:sz w:val="20"/>
          <w:szCs w:val="20"/>
        </w:rPr>
        <w:t>,</w:t>
      </w:r>
      <w:r>
        <w:rPr>
          <w:rFonts w:ascii="Arial" w:eastAsia="Arial" w:hAnsi="Arial" w:cs="Arial"/>
          <w:sz w:val="20"/>
          <w:szCs w:val="20"/>
        </w:rPr>
        <w:t xml:space="preserve"> </w:t>
      </w:r>
      <w:r>
        <w:rPr>
          <w:i/>
          <w:sz w:val="18"/>
          <w:szCs w:val="18"/>
        </w:rPr>
        <w:t>Malaysia: Stop plans to cane Rohingya refugees and release those already imprisoned</w:t>
      </w:r>
      <w:r>
        <w:rPr>
          <w:sz w:val="18"/>
          <w:szCs w:val="18"/>
        </w:rPr>
        <w:t xml:space="preserve">, 20 July 2020, available at: </w:t>
      </w:r>
      <w:hyperlink r:id="rId31">
        <w:r>
          <w:rPr>
            <w:color w:val="1155CC"/>
            <w:sz w:val="18"/>
            <w:szCs w:val="18"/>
            <w:u w:val="single"/>
          </w:rPr>
          <w:t>https://www.amnesty.org/en/latest/news/2020/07/malaysia-stop-plans-to-cane-rohingya-refugees-and-release-those-already-imprisoned/</w:t>
        </w:r>
      </w:hyperlink>
      <w:r>
        <w:rPr>
          <w:sz w:val="18"/>
          <w:szCs w:val="18"/>
        </w:rPr>
        <w:t xml:space="preserve">; Joint Action Group for Gender Equality and the Child Rights Coalition Malaysia, </w:t>
      </w:r>
      <w:r>
        <w:rPr>
          <w:i/>
          <w:color w:val="333333"/>
          <w:sz w:val="18"/>
          <w:szCs w:val="18"/>
        </w:rPr>
        <w:t xml:space="preserve">Malaysia not fulfilling legal obligations in treatment of refugees, </w:t>
      </w:r>
      <w:r>
        <w:rPr>
          <w:color w:val="333333"/>
          <w:sz w:val="18"/>
          <w:szCs w:val="18"/>
        </w:rPr>
        <w:t xml:space="preserve">14 June 2020, available at: </w:t>
      </w:r>
      <w:hyperlink r:id="rId32">
        <w:r>
          <w:rPr>
            <w:color w:val="1155CC"/>
            <w:sz w:val="18"/>
            <w:szCs w:val="18"/>
            <w:u w:val="single"/>
          </w:rPr>
          <w:t>https://www.thestar.com.my/opinion/letters/2020/06/14/malaysia-not-fulfilling-legal-obligations-in-treatment-of-refugees</w:t>
        </w:r>
      </w:hyperlink>
      <w:r>
        <w:rPr>
          <w:sz w:val="18"/>
          <w:szCs w:val="18"/>
        </w:rPr>
        <w:t xml:space="preserve"> </w:t>
      </w:r>
    </w:p>
  </w:footnote>
  <w:footnote w:id="42">
    <w:p w14:paraId="3B6C13BD" w14:textId="3C3E1479" w:rsidR="00581C5B" w:rsidRDefault="00000000">
      <w:pPr>
        <w:pBdr>
          <w:top w:val="nil"/>
          <w:left w:val="nil"/>
          <w:bottom w:val="nil"/>
          <w:right w:val="nil"/>
          <w:between w:val="nil"/>
        </w:pBdr>
        <w:spacing w:after="0" w:line="252" w:lineRule="auto"/>
        <w:rPr>
          <w:sz w:val="18"/>
          <w:szCs w:val="18"/>
        </w:rPr>
      </w:pPr>
      <w:r>
        <w:rPr>
          <w:rStyle w:val="FootnoteReference"/>
        </w:rPr>
        <w:footnoteRef/>
      </w:r>
      <w:r>
        <w:rPr>
          <w:color w:val="000000"/>
          <w:sz w:val="18"/>
          <w:szCs w:val="18"/>
        </w:rPr>
        <w:t xml:space="preserve"> </w:t>
      </w:r>
      <w:proofErr w:type="spellStart"/>
      <w:r>
        <w:rPr>
          <w:color w:val="000000"/>
          <w:sz w:val="18"/>
          <w:szCs w:val="18"/>
        </w:rPr>
        <w:t>Migrante</w:t>
      </w:r>
      <w:proofErr w:type="spellEnd"/>
      <w:r>
        <w:rPr>
          <w:color w:val="000000"/>
          <w:sz w:val="18"/>
          <w:szCs w:val="18"/>
        </w:rPr>
        <w:t xml:space="preserve"> International,</w:t>
      </w:r>
      <w:r>
        <w:rPr>
          <w:i/>
          <w:color w:val="000000"/>
          <w:sz w:val="18"/>
          <w:szCs w:val="18"/>
        </w:rPr>
        <w:t xml:space="preserve"> Sigh of relief after mothers and toddlers detained in Malaysia arrived back in PH, </w:t>
      </w:r>
      <w:r>
        <w:rPr>
          <w:color w:val="000000"/>
          <w:sz w:val="18"/>
          <w:szCs w:val="18"/>
        </w:rPr>
        <w:t xml:space="preserve">4 July 2019, available at: </w:t>
      </w:r>
      <w:hyperlink r:id="rId33">
        <w:r>
          <w:rPr>
            <w:color w:val="1155CC"/>
            <w:sz w:val="18"/>
            <w:szCs w:val="18"/>
            <w:u w:val="single"/>
          </w:rPr>
          <w:t>https://migranteinternational.org/sigh-of-relief-after-mothers-and-toddlers-detained-in-malaysia-arrived-back-in-ph-migrante-international/</w:t>
        </w:r>
      </w:hyperlink>
      <w:r>
        <w:rPr>
          <w:color w:val="000000"/>
          <w:sz w:val="18"/>
          <w:szCs w:val="18"/>
        </w:rPr>
        <w:t xml:space="preserve">; </w:t>
      </w:r>
      <w:proofErr w:type="spellStart"/>
      <w:r>
        <w:rPr>
          <w:color w:val="000000"/>
          <w:sz w:val="18"/>
          <w:szCs w:val="18"/>
        </w:rPr>
        <w:t>Koalisi</w:t>
      </w:r>
      <w:proofErr w:type="spellEnd"/>
      <w:r>
        <w:rPr>
          <w:color w:val="000000"/>
          <w:sz w:val="18"/>
          <w:szCs w:val="18"/>
        </w:rPr>
        <w:t xml:space="preserve"> </w:t>
      </w:r>
      <w:proofErr w:type="spellStart"/>
      <w:r>
        <w:rPr>
          <w:color w:val="000000"/>
          <w:sz w:val="18"/>
          <w:szCs w:val="18"/>
        </w:rPr>
        <w:t>Buruh</w:t>
      </w:r>
      <w:proofErr w:type="spellEnd"/>
      <w:r>
        <w:rPr>
          <w:color w:val="000000"/>
          <w:sz w:val="18"/>
          <w:szCs w:val="18"/>
        </w:rPr>
        <w:t xml:space="preserve"> Migrant </w:t>
      </w:r>
      <w:proofErr w:type="spellStart"/>
      <w:r>
        <w:rPr>
          <w:color w:val="000000"/>
          <w:sz w:val="18"/>
          <w:szCs w:val="18"/>
        </w:rPr>
        <w:t>Berdaulat</w:t>
      </w:r>
      <w:proofErr w:type="spellEnd"/>
      <w:r>
        <w:rPr>
          <w:color w:val="000000"/>
          <w:sz w:val="18"/>
          <w:szCs w:val="18"/>
        </w:rPr>
        <w:t xml:space="preserve">, </w:t>
      </w:r>
      <w:r>
        <w:rPr>
          <w:i/>
          <w:color w:val="000000"/>
          <w:sz w:val="18"/>
          <w:szCs w:val="18"/>
        </w:rPr>
        <w:t>The C</w:t>
      </w:r>
      <w:r>
        <w:rPr>
          <w:i/>
          <w:sz w:val="18"/>
          <w:szCs w:val="18"/>
        </w:rPr>
        <w:t>ondition of Deported Indonesian Migrants during the period of Covid-19 from Sabah, Malaysia to Indonesia in July 2019- September 2020</w:t>
      </w:r>
      <w:r>
        <w:rPr>
          <w:sz w:val="18"/>
          <w:szCs w:val="18"/>
        </w:rPr>
        <w:t xml:space="preserve">, October 2020, available at: </w:t>
      </w:r>
      <w:hyperlink r:id="rId34">
        <w:r>
          <w:rPr>
            <w:color w:val="1155CC"/>
            <w:sz w:val="18"/>
            <w:szCs w:val="18"/>
            <w:u w:val="single"/>
          </w:rPr>
          <w:t>https://www.solidaritasperempuan.org/sub/wp-content/uploads/2021/01/Report-Koalisi-Buruh-Migran-Berdaulat.pdf</w:t>
        </w:r>
      </w:hyperlink>
      <w:r>
        <w:rPr>
          <w:sz w:val="18"/>
          <w:szCs w:val="18"/>
        </w:rPr>
        <w:t xml:space="preserve">; Human Rights Commission of Malaysia (SUHAKAM), Annual Report 2019, 2020, available at: </w:t>
      </w:r>
      <w:hyperlink r:id="rId35">
        <w:r w:rsidRPr="006C09BE">
          <w:rPr>
            <w:color w:val="1155CC"/>
            <w:sz w:val="18"/>
            <w:szCs w:val="18"/>
            <w:u w:val="single"/>
          </w:rPr>
          <w:t>https://suhakam.org.my/publications/annual-reports/</w:t>
        </w:r>
      </w:hyperlink>
      <w:r w:rsidRPr="006C09BE">
        <w:rPr>
          <w:sz w:val="18"/>
          <w:szCs w:val="18"/>
        </w:rPr>
        <w:t>;</w:t>
      </w:r>
      <w:r w:rsidR="004C28D9" w:rsidRPr="006C09BE">
        <w:rPr>
          <w:sz w:val="18"/>
          <w:szCs w:val="18"/>
        </w:rPr>
        <w:t xml:space="preserve"> Consultation with Refugee Women conducted by </w:t>
      </w:r>
      <w:r w:rsidRPr="006C09BE">
        <w:rPr>
          <w:sz w:val="18"/>
          <w:szCs w:val="18"/>
        </w:rPr>
        <w:t xml:space="preserve"> Asylum Access </w:t>
      </w:r>
      <w:r w:rsidR="004C28D9" w:rsidRPr="006C09BE">
        <w:rPr>
          <w:sz w:val="18"/>
          <w:szCs w:val="18"/>
        </w:rPr>
        <w:t>Malaysia on 18 December 2022</w:t>
      </w:r>
    </w:p>
  </w:footnote>
  <w:footnote w:id="43">
    <w:p w14:paraId="00000095" w14:textId="77777777" w:rsidR="00B634C8" w:rsidRDefault="00000000">
      <w:pPr>
        <w:spacing w:after="0" w:line="252" w:lineRule="auto"/>
        <w:rPr>
          <w:sz w:val="18"/>
          <w:szCs w:val="18"/>
        </w:rPr>
      </w:pPr>
      <w:r>
        <w:rPr>
          <w:rStyle w:val="FootnoteReference"/>
        </w:rPr>
        <w:footnoteRef/>
      </w:r>
      <w:r>
        <w:rPr>
          <w:sz w:val="18"/>
          <w:szCs w:val="18"/>
        </w:rPr>
        <w:t xml:space="preserve"> Women’s Aid Organization, </w:t>
      </w:r>
      <w:r>
        <w:rPr>
          <w:i/>
          <w:sz w:val="18"/>
          <w:szCs w:val="18"/>
        </w:rPr>
        <w:t xml:space="preserve">Sexual and Gender Based Violence Among Refugee communities in Malaysia: A policy brief by Women’s Aid Organization, </w:t>
      </w:r>
      <w:r>
        <w:rPr>
          <w:sz w:val="18"/>
          <w:szCs w:val="18"/>
        </w:rPr>
        <w:t>January 2021,</w:t>
      </w:r>
      <w:r>
        <w:rPr>
          <w:i/>
          <w:sz w:val="18"/>
          <w:szCs w:val="18"/>
        </w:rPr>
        <w:t xml:space="preserve"> </w:t>
      </w:r>
      <w:r>
        <w:rPr>
          <w:sz w:val="18"/>
          <w:szCs w:val="18"/>
        </w:rPr>
        <w:t xml:space="preserve"> available at </w:t>
      </w:r>
      <w:hyperlink r:id="rId36">
        <w:r>
          <w:rPr>
            <w:color w:val="0000FF"/>
            <w:sz w:val="18"/>
            <w:szCs w:val="18"/>
            <w:u w:val="single"/>
          </w:rPr>
          <w:t>https://documents-dds-ny.un.org/doc/UNDOC/GEN/N18/070/50/PDF/N1807050.pdf?OpenElement</w:t>
        </w:r>
      </w:hyperlink>
      <w:r>
        <w:rPr>
          <w:sz w:val="14"/>
          <w:szCs w:val="14"/>
        </w:rPr>
        <w:t xml:space="preserve"> </w:t>
      </w:r>
    </w:p>
  </w:footnote>
  <w:footnote w:id="44">
    <w:p w14:paraId="00000096" w14:textId="77777777" w:rsidR="00B634C8" w:rsidRDefault="00000000">
      <w:pPr>
        <w:spacing w:after="0" w:line="252" w:lineRule="auto"/>
        <w:rPr>
          <w:sz w:val="18"/>
          <w:szCs w:val="18"/>
        </w:rPr>
      </w:pPr>
      <w:r>
        <w:rPr>
          <w:rStyle w:val="FootnoteReference"/>
        </w:rPr>
        <w:footnoteRef/>
      </w:r>
      <w:r>
        <w:rPr>
          <w:sz w:val="18"/>
          <w:szCs w:val="18"/>
        </w:rPr>
        <w:t xml:space="preserve"> </w:t>
      </w:r>
      <w:proofErr w:type="gramStart"/>
      <w:r>
        <w:rPr>
          <w:sz w:val="18"/>
          <w:szCs w:val="18"/>
        </w:rPr>
        <w:t>Ibid;</w:t>
      </w:r>
      <w:proofErr w:type="gramEnd"/>
      <w:r>
        <w:rPr>
          <w:sz w:val="18"/>
          <w:szCs w:val="18"/>
        </w:rPr>
        <w:t xml:space="preserve"> Women’s Aid Organization, </w:t>
      </w:r>
      <w:r>
        <w:rPr>
          <w:i/>
          <w:sz w:val="18"/>
          <w:szCs w:val="18"/>
        </w:rPr>
        <w:t xml:space="preserve">Lack of UNHCR Access to Detention Centres and Violations of Children’s and Women’s Rights Underscores Need for Overhaul of Malaysia’s Refugee, </w:t>
      </w:r>
      <w:r>
        <w:rPr>
          <w:sz w:val="18"/>
          <w:szCs w:val="18"/>
        </w:rPr>
        <w:t>December 2020, available at:</w:t>
      </w:r>
      <w:r>
        <w:rPr>
          <w:i/>
          <w:sz w:val="18"/>
          <w:szCs w:val="18"/>
        </w:rPr>
        <w:t xml:space="preserve"> </w:t>
      </w:r>
      <w:r>
        <w:rPr>
          <w:sz w:val="18"/>
          <w:szCs w:val="18"/>
        </w:rPr>
        <w:t>Frameworkhttps://wao.org.my/lack-of-unhcr-access-to-detention-centres-and-violations-of-childrens-and-womens-rights-underscores-need-for-overhaul-of-malaysias-refugee-framework/</w:t>
      </w:r>
    </w:p>
  </w:footnote>
  <w:footnote w:id="45">
    <w:p w14:paraId="000000B1" w14:textId="77777777" w:rsidR="00B634C8" w:rsidRDefault="00000000">
      <w:pPr>
        <w:spacing w:after="0" w:line="240" w:lineRule="auto"/>
        <w:rPr>
          <w:sz w:val="18"/>
          <w:szCs w:val="18"/>
        </w:rPr>
      </w:pPr>
      <w:r>
        <w:rPr>
          <w:rStyle w:val="FootnoteReference"/>
        </w:rPr>
        <w:footnoteRef/>
      </w:r>
      <w:r>
        <w:rPr>
          <w:rFonts w:ascii="Arial" w:eastAsia="Arial" w:hAnsi="Arial" w:cs="Arial"/>
          <w:i/>
          <w:sz w:val="20"/>
          <w:szCs w:val="20"/>
        </w:rPr>
        <w:t xml:space="preserve"> </w:t>
      </w:r>
      <w:r>
        <w:rPr>
          <w:i/>
          <w:sz w:val="18"/>
          <w:szCs w:val="18"/>
        </w:rPr>
        <w:t>Enhancing Healthcare in Detention Centres</w:t>
      </w:r>
      <w:r>
        <w:rPr>
          <w:sz w:val="18"/>
          <w:szCs w:val="18"/>
        </w:rPr>
        <w:t xml:space="preserve">, Forensic Seminar 2019, 19 November 2019 </w:t>
      </w:r>
    </w:p>
  </w:footnote>
  <w:footnote w:id="46">
    <w:p w14:paraId="000000B4" w14:textId="77777777" w:rsidR="00B634C8" w:rsidRDefault="00000000">
      <w:pPr>
        <w:spacing w:after="0" w:line="240" w:lineRule="auto"/>
        <w:rPr>
          <w:sz w:val="18"/>
          <w:szCs w:val="18"/>
        </w:rPr>
      </w:pPr>
      <w:r>
        <w:rPr>
          <w:rStyle w:val="FootnoteReference"/>
        </w:rPr>
        <w:footnoteRef/>
      </w:r>
      <w:r>
        <w:rPr>
          <w:rFonts w:ascii="Arial" w:eastAsia="Arial" w:hAnsi="Arial" w:cs="Arial"/>
          <w:sz w:val="20"/>
          <w:szCs w:val="20"/>
        </w:rPr>
        <w:t xml:space="preserve"> </w:t>
      </w:r>
      <w:r>
        <w:rPr>
          <w:sz w:val="18"/>
          <w:szCs w:val="18"/>
        </w:rPr>
        <w:t xml:space="preserve">Malaysia House of Representatives, </w:t>
      </w:r>
      <w:r>
        <w:rPr>
          <w:i/>
          <w:sz w:val="18"/>
          <w:szCs w:val="18"/>
        </w:rPr>
        <w:t>Notification of Oral Questions</w:t>
      </w:r>
      <w:r>
        <w:rPr>
          <w:sz w:val="18"/>
          <w:szCs w:val="18"/>
        </w:rPr>
        <w:t xml:space="preserve">, 14th Parliament Sitting, 5th term, 2nd Meeting, 28 July 2022, Question number 22, available </w:t>
      </w:r>
      <w:proofErr w:type="spellStart"/>
      <w:r>
        <w:rPr>
          <w:sz w:val="18"/>
          <w:szCs w:val="18"/>
        </w:rPr>
        <w:t>at:</w:t>
      </w:r>
      <w:hyperlink r:id="rId37">
        <w:r>
          <w:rPr>
            <w:color w:val="1155CC"/>
            <w:sz w:val="18"/>
            <w:szCs w:val="18"/>
            <w:u w:val="single"/>
          </w:rPr>
          <w:t>https</w:t>
        </w:r>
        <w:proofErr w:type="spellEnd"/>
        <w:r>
          <w:rPr>
            <w:color w:val="1155CC"/>
            <w:sz w:val="18"/>
            <w:szCs w:val="18"/>
            <w:u w:val="single"/>
          </w:rPr>
          <w:t>://www.parlimen.gov.my/files/jindex/pdf/JDR28072022.pdf</w:t>
        </w:r>
      </w:hyperlink>
    </w:p>
  </w:footnote>
  <w:footnote w:id="47">
    <w:p w14:paraId="000000C4" w14:textId="77777777" w:rsidR="00B634C8"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Malaysia House of Representatives, </w:t>
      </w:r>
      <w:r>
        <w:rPr>
          <w:i/>
          <w:sz w:val="18"/>
          <w:szCs w:val="18"/>
        </w:rPr>
        <w:t>Notification of Oral Questions</w:t>
      </w:r>
      <w:r>
        <w:rPr>
          <w:sz w:val="18"/>
          <w:szCs w:val="18"/>
        </w:rPr>
        <w:t xml:space="preserve">, 14th Parliament Sitting, 5th term, 1st Meeting, 23 March 2022, Question number 17, available at: </w:t>
      </w:r>
      <w:hyperlink r:id="rId38">
        <w:r>
          <w:rPr>
            <w:color w:val="1155CC"/>
            <w:sz w:val="18"/>
            <w:szCs w:val="18"/>
            <w:u w:val="single"/>
          </w:rPr>
          <w:t>https://www.parlimen.gov.my/files/jindex/pdf/JDR23032022.pdf</w:t>
        </w:r>
      </w:hyperlink>
    </w:p>
  </w:footnote>
  <w:footnote w:id="48">
    <w:p w14:paraId="00000097"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color w:val="000000"/>
          <w:sz w:val="18"/>
          <w:szCs w:val="18"/>
        </w:rPr>
        <w:t>Radh</w:t>
      </w:r>
      <w:r>
        <w:rPr>
          <w:sz w:val="18"/>
          <w:szCs w:val="18"/>
        </w:rPr>
        <w:t xml:space="preserve">i, N.A.M., No decision yet to allow refugees to work in Malaysia, 21 December 2022, available at: </w:t>
      </w:r>
      <w:hyperlink r:id="rId39">
        <w:r>
          <w:rPr>
            <w:color w:val="1155CC"/>
            <w:sz w:val="18"/>
            <w:szCs w:val="18"/>
            <w:u w:val="single"/>
          </w:rPr>
          <w:t>https://www.nst.com.my/news/nation/2022/12/863125/no-decision-yet-allow-refugees-work-malaysia</w:t>
        </w:r>
      </w:hyperlink>
    </w:p>
  </w:footnote>
  <w:footnote w:id="49">
    <w:p w14:paraId="00000098" w14:textId="0CDA4320" w:rsidR="00B634C8" w:rsidRPr="003A292E" w:rsidRDefault="00000000">
      <w:pPr>
        <w:spacing w:after="0" w:line="252" w:lineRule="auto"/>
        <w:rPr>
          <w:sz w:val="18"/>
          <w:szCs w:val="18"/>
        </w:rPr>
      </w:pPr>
      <w:r w:rsidRPr="003A292E">
        <w:rPr>
          <w:rStyle w:val="FootnoteReference"/>
        </w:rPr>
        <w:footnoteRef/>
      </w:r>
      <w:r w:rsidRPr="003A292E">
        <w:rPr>
          <w:sz w:val="18"/>
          <w:szCs w:val="18"/>
        </w:rPr>
        <w:t xml:space="preserve"> </w:t>
      </w:r>
      <w:proofErr w:type="spellStart"/>
      <w:r w:rsidRPr="003A292E">
        <w:rPr>
          <w:sz w:val="18"/>
          <w:szCs w:val="18"/>
        </w:rPr>
        <w:t>Qarssifi</w:t>
      </w:r>
      <w:proofErr w:type="spellEnd"/>
      <w:r w:rsidRPr="003A292E">
        <w:rPr>
          <w:sz w:val="18"/>
          <w:szCs w:val="18"/>
        </w:rPr>
        <w:t xml:space="preserve">, W., Refugees risk exploitation, abuse in Malaysia food industry, June 2022, available at: </w:t>
      </w:r>
      <w:hyperlink r:id="rId40">
        <w:r w:rsidRPr="003A292E">
          <w:rPr>
            <w:color w:val="1155CC"/>
            <w:sz w:val="18"/>
            <w:szCs w:val="18"/>
            <w:u w:val="single"/>
          </w:rPr>
          <w:t>https://www.aljazeera.com/news/2022/6/8/malaysia-refugee-food-industry-exploitation</w:t>
        </w:r>
      </w:hyperlink>
      <w:r w:rsidRPr="003A292E">
        <w:rPr>
          <w:sz w:val="18"/>
          <w:szCs w:val="18"/>
        </w:rPr>
        <w:t xml:space="preserve">; </w:t>
      </w:r>
      <w:r w:rsidR="00167A6C" w:rsidRPr="003A292E">
        <w:rPr>
          <w:i/>
          <w:iCs/>
          <w:sz w:val="18"/>
          <w:szCs w:val="18"/>
        </w:rPr>
        <w:t>Multistakeholder Consultation on Realising Work Rights: Strengthening Labour Protections and Addressing Workplace Exploitation of Refugees in Malaysia</w:t>
      </w:r>
      <w:r w:rsidR="00167A6C" w:rsidRPr="003A292E">
        <w:rPr>
          <w:sz w:val="18"/>
          <w:szCs w:val="18"/>
        </w:rPr>
        <w:t>, Asylum Access Malaysia, 24 Aug 2022</w:t>
      </w:r>
      <w:r w:rsidR="00167A6C" w:rsidRPr="003A292E">
        <w:rPr>
          <w:rFonts w:ascii="Roboto" w:hAnsi="Roboto"/>
          <w:color w:val="1F1F1F"/>
          <w:sz w:val="33"/>
          <w:szCs w:val="33"/>
          <w:shd w:val="clear" w:color="auto" w:fill="FFFFFF"/>
        </w:rPr>
        <w:t xml:space="preserve"> </w:t>
      </w:r>
    </w:p>
  </w:footnote>
  <w:footnote w:id="50">
    <w:p w14:paraId="00000099" w14:textId="4A536B1B" w:rsidR="00B634C8" w:rsidRPr="003A292E" w:rsidRDefault="00000000">
      <w:pPr>
        <w:spacing w:after="0" w:line="252" w:lineRule="auto"/>
        <w:rPr>
          <w:sz w:val="18"/>
          <w:szCs w:val="18"/>
        </w:rPr>
      </w:pPr>
      <w:r w:rsidRPr="003A292E">
        <w:rPr>
          <w:rStyle w:val="FootnoteReference"/>
        </w:rPr>
        <w:footnoteRef/>
      </w:r>
      <w:r w:rsidRPr="003A292E">
        <w:rPr>
          <w:sz w:val="18"/>
          <w:szCs w:val="18"/>
        </w:rPr>
        <w:t xml:space="preserve"> Women’s Aid Organization, </w:t>
      </w:r>
      <w:r w:rsidRPr="003A292E">
        <w:rPr>
          <w:i/>
          <w:sz w:val="18"/>
          <w:szCs w:val="18"/>
        </w:rPr>
        <w:t xml:space="preserve">Sexual and Gender Based Violence Among Refugee communities in Malaysia: A policy brief by Women’s Aid Organization, </w:t>
      </w:r>
      <w:r w:rsidRPr="003A292E">
        <w:rPr>
          <w:sz w:val="18"/>
          <w:szCs w:val="18"/>
        </w:rPr>
        <w:t>January 2021,</w:t>
      </w:r>
      <w:r w:rsidRPr="003A292E">
        <w:rPr>
          <w:i/>
          <w:sz w:val="18"/>
          <w:szCs w:val="18"/>
        </w:rPr>
        <w:t xml:space="preserve"> </w:t>
      </w:r>
      <w:r w:rsidRPr="003A292E">
        <w:rPr>
          <w:sz w:val="18"/>
          <w:szCs w:val="18"/>
        </w:rPr>
        <w:t xml:space="preserve"> available at </w:t>
      </w:r>
      <w:hyperlink r:id="rId41">
        <w:r w:rsidRPr="003A292E">
          <w:rPr>
            <w:color w:val="0000FF"/>
            <w:sz w:val="18"/>
            <w:szCs w:val="18"/>
            <w:u w:val="single"/>
          </w:rPr>
          <w:t>https://documents-dds-ny.un.org/doc/UNDOC/GEN/N18/070/50/PDF/N1807050.pdf?OpenElement</w:t>
        </w:r>
      </w:hyperlink>
      <w:r w:rsidRPr="003A292E">
        <w:rPr>
          <w:sz w:val="18"/>
          <w:szCs w:val="18"/>
        </w:rPr>
        <w:t>;</w:t>
      </w:r>
      <w:r w:rsidR="00167A6C" w:rsidRPr="003A292E">
        <w:rPr>
          <w:i/>
          <w:iCs/>
          <w:sz w:val="18"/>
          <w:szCs w:val="18"/>
        </w:rPr>
        <w:t xml:space="preserve"> </w:t>
      </w:r>
      <w:r w:rsidR="00167A6C" w:rsidRPr="003A292E">
        <w:rPr>
          <w:i/>
          <w:iCs/>
          <w:sz w:val="18"/>
          <w:szCs w:val="18"/>
        </w:rPr>
        <w:t>Multistakeholder Consultation on Realising Work Rights: Strengthening Labour Protections and Addressing Workplace Exploitation of Refugees in Malaysia</w:t>
      </w:r>
      <w:r w:rsidR="00167A6C" w:rsidRPr="003A292E">
        <w:rPr>
          <w:sz w:val="18"/>
          <w:szCs w:val="18"/>
        </w:rPr>
        <w:t>, Asylum Access Malaysia, 24 Aug 2022</w:t>
      </w:r>
      <w:r w:rsidR="00167A6C" w:rsidRPr="003A292E">
        <w:rPr>
          <w:rFonts w:ascii="Roboto" w:hAnsi="Roboto"/>
          <w:color w:val="1F1F1F"/>
          <w:sz w:val="33"/>
          <w:szCs w:val="33"/>
          <w:shd w:val="clear" w:color="auto" w:fill="FFFFFF"/>
        </w:rPr>
        <w:t xml:space="preserve"> </w:t>
      </w:r>
      <w:r w:rsidRPr="003A292E">
        <w:rPr>
          <w:sz w:val="18"/>
          <w:szCs w:val="18"/>
        </w:rPr>
        <w:t xml:space="preserve">and </w:t>
      </w:r>
      <w:r w:rsidR="004C28D9" w:rsidRPr="003A292E">
        <w:rPr>
          <w:sz w:val="18"/>
          <w:szCs w:val="18"/>
        </w:rPr>
        <w:t>Consultation with Refugee Women conducted by  Asylum Access Malaysia on 18 December 2022</w:t>
      </w:r>
    </w:p>
  </w:footnote>
  <w:footnote w:id="51">
    <w:p w14:paraId="0000009A" w14:textId="7D40C1CC" w:rsidR="00B634C8" w:rsidRPr="003A292E"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3A292E">
        <w:rPr>
          <w:rStyle w:val="FootnoteReference"/>
        </w:rPr>
        <w:footnoteRef/>
      </w:r>
      <w:r w:rsidRPr="003A292E">
        <w:rPr>
          <w:rFonts w:ascii="Arial" w:eastAsia="Arial" w:hAnsi="Arial" w:cs="Arial"/>
          <w:color w:val="000000"/>
          <w:sz w:val="20"/>
          <w:szCs w:val="20"/>
        </w:rPr>
        <w:t xml:space="preserve"> </w:t>
      </w:r>
      <w:r w:rsidRPr="003A292E">
        <w:rPr>
          <w:rFonts w:ascii="Arial" w:eastAsia="Arial" w:hAnsi="Arial" w:cs="Arial"/>
          <w:color w:val="000000"/>
          <w:sz w:val="16"/>
          <w:szCs w:val="16"/>
        </w:rPr>
        <w:t>According to AAM work rights programme statistics between 2019 - 2021</w:t>
      </w:r>
    </w:p>
  </w:footnote>
  <w:footnote w:id="52">
    <w:p w14:paraId="0000009B" w14:textId="77777777" w:rsidR="00B634C8" w:rsidRPr="003A292E" w:rsidRDefault="00000000">
      <w:pPr>
        <w:pBdr>
          <w:top w:val="nil"/>
          <w:left w:val="nil"/>
          <w:bottom w:val="nil"/>
          <w:right w:val="nil"/>
          <w:between w:val="nil"/>
        </w:pBdr>
        <w:spacing w:after="0" w:line="240" w:lineRule="auto"/>
        <w:jc w:val="both"/>
        <w:rPr>
          <w:sz w:val="18"/>
          <w:szCs w:val="18"/>
        </w:rPr>
      </w:pPr>
      <w:r w:rsidRPr="003A292E">
        <w:rPr>
          <w:rStyle w:val="FootnoteReference"/>
        </w:rPr>
        <w:footnoteRef/>
      </w:r>
      <w:r w:rsidRPr="003A292E">
        <w:rPr>
          <w:rFonts w:ascii="Arial" w:eastAsia="Arial" w:hAnsi="Arial" w:cs="Arial"/>
          <w:color w:val="000000"/>
          <w:sz w:val="20"/>
          <w:szCs w:val="20"/>
        </w:rPr>
        <w:t xml:space="preserve"> </w:t>
      </w:r>
      <w:proofErr w:type="spellStart"/>
      <w:r w:rsidRPr="003A292E">
        <w:rPr>
          <w:color w:val="000000"/>
          <w:sz w:val="18"/>
          <w:szCs w:val="18"/>
        </w:rPr>
        <w:t>Alhadiri</w:t>
      </w:r>
      <w:proofErr w:type="spellEnd"/>
      <w:r w:rsidRPr="003A292E">
        <w:rPr>
          <w:color w:val="000000"/>
          <w:sz w:val="18"/>
          <w:szCs w:val="18"/>
        </w:rPr>
        <w:t xml:space="preserve">, A., </w:t>
      </w:r>
      <w:r w:rsidRPr="003A292E">
        <w:rPr>
          <w:i/>
          <w:sz w:val="18"/>
          <w:szCs w:val="18"/>
        </w:rPr>
        <w:t>DBKL: No need for migrants to enter KL wholesale market</w:t>
      </w:r>
      <w:r w:rsidRPr="003A292E">
        <w:rPr>
          <w:sz w:val="18"/>
          <w:szCs w:val="18"/>
        </w:rPr>
        <w:t>, Malaysiakini, 23 June 2020, available at:</w:t>
      </w:r>
    </w:p>
    <w:p w14:paraId="0000009C" w14:textId="77777777" w:rsidR="00B634C8" w:rsidRPr="003A292E" w:rsidRDefault="00000000">
      <w:pPr>
        <w:spacing w:after="0" w:line="240" w:lineRule="auto"/>
        <w:rPr>
          <w:sz w:val="18"/>
          <w:szCs w:val="18"/>
        </w:rPr>
      </w:pPr>
      <w:hyperlink r:id="rId42">
        <w:r w:rsidRPr="003A292E">
          <w:rPr>
            <w:color w:val="1155CC"/>
            <w:sz w:val="18"/>
            <w:szCs w:val="18"/>
            <w:u w:val="single"/>
          </w:rPr>
          <w:t>https://www.malaysiakini.com/news/531434</w:t>
        </w:r>
      </w:hyperlink>
      <w:r w:rsidRPr="003A292E">
        <w:rPr>
          <w:sz w:val="18"/>
          <w:szCs w:val="18"/>
        </w:rPr>
        <w:t xml:space="preserve">; Survey Analysis &amp; Findings on </w:t>
      </w:r>
      <w:proofErr w:type="spellStart"/>
      <w:r w:rsidRPr="003A292E">
        <w:rPr>
          <w:sz w:val="18"/>
          <w:szCs w:val="18"/>
        </w:rPr>
        <w:t>Kompleks</w:t>
      </w:r>
      <w:proofErr w:type="spellEnd"/>
      <w:r w:rsidRPr="003A292E">
        <w:rPr>
          <w:sz w:val="18"/>
          <w:szCs w:val="18"/>
        </w:rPr>
        <w:t xml:space="preserve"> Pasar Besar Jalan Meru, Internal Report by Asylum Access Malaysia; </w:t>
      </w:r>
      <w:proofErr w:type="spellStart"/>
      <w:r w:rsidRPr="003A292E">
        <w:rPr>
          <w:sz w:val="18"/>
          <w:szCs w:val="18"/>
        </w:rPr>
        <w:t>Annuar</w:t>
      </w:r>
      <w:proofErr w:type="spellEnd"/>
      <w:r w:rsidRPr="003A292E">
        <w:rPr>
          <w:sz w:val="18"/>
          <w:szCs w:val="18"/>
        </w:rPr>
        <w:t xml:space="preserve">, A., </w:t>
      </w:r>
      <w:r w:rsidRPr="003A292E">
        <w:rPr>
          <w:i/>
          <w:sz w:val="18"/>
          <w:szCs w:val="18"/>
        </w:rPr>
        <w:t xml:space="preserve">DBKL bans refugees, unaccompanied foreigners from Selayang wholesale market, </w:t>
      </w:r>
      <w:r w:rsidRPr="003A292E">
        <w:rPr>
          <w:sz w:val="18"/>
          <w:szCs w:val="18"/>
        </w:rPr>
        <w:t>Malay Mail,</w:t>
      </w:r>
      <w:r w:rsidRPr="003A292E">
        <w:rPr>
          <w:i/>
          <w:sz w:val="18"/>
          <w:szCs w:val="18"/>
        </w:rPr>
        <w:t xml:space="preserve"> </w:t>
      </w:r>
      <w:r w:rsidRPr="003A292E">
        <w:rPr>
          <w:sz w:val="18"/>
          <w:szCs w:val="18"/>
        </w:rPr>
        <w:t xml:space="preserve">21 June 2020, available at: </w:t>
      </w:r>
      <w:hyperlink r:id="rId43">
        <w:r w:rsidRPr="003A292E">
          <w:rPr>
            <w:color w:val="1155CC"/>
            <w:sz w:val="18"/>
            <w:szCs w:val="18"/>
            <w:u w:val="single"/>
          </w:rPr>
          <w:t>https://www.malaymail.com/news/malaysia/2020/06/21/dbkl-bans-refugees-unaccompanied-foreigners-from-selayang-wholesale-market/1877544</w:t>
        </w:r>
      </w:hyperlink>
      <w:r w:rsidRPr="003A292E">
        <w:rPr>
          <w:sz w:val="18"/>
          <w:szCs w:val="18"/>
        </w:rPr>
        <w:t xml:space="preserve">; Foreign workers in PJ market ponder their fate in Malaysia, Malay Mail, July 2020, available at: </w:t>
      </w:r>
      <w:hyperlink r:id="rId44">
        <w:r w:rsidRPr="003A292E">
          <w:rPr>
            <w:color w:val="1155CC"/>
            <w:sz w:val="18"/>
            <w:szCs w:val="18"/>
            <w:u w:val="single"/>
          </w:rPr>
          <w:t>https://www.malaymail.com/news/malaysia/2020/07/05/foreign-workers-in-pj-market-ponder-their-fate-in-malaysia/1881589</w:t>
        </w:r>
      </w:hyperlink>
    </w:p>
  </w:footnote>
  <w:footnote w:id="53">
    <w:p w14:paraId="0000009D" w14:textId="77777777" w:rsidR="00B634C8" w:rsidRPr="003A292E" w:rsidRDefault="00000000">
      <w:pPr>
        <w:pBdr>
          <w:top w:val="nil"/>
          <w:left w:val="nil"/>
          <w:bottom w:val="nil"/>
          <w:right w:val="nil"/>
          <w:between w:val="nil"/>
        </w:pBdr>
        <w:spacing w:after="0" w:line="240" w:lineRule="auto"/>
        <w:rPr>
          <w:sz w:val="18"/>
          <w:szCs w:val="18"/>
        </w:rPr>
      </w:pPr>
      <w:r w:rsidRPr="003A292E">
        <w:rPr>
          <w:rStyle w:val="FootnoteReference"/>
        </w:rPr>
        <w:footnoteRef/>
      </w:r>
      <w:r w:rsidRPr="003A292E">
        <w:rPr>
          <w:rFonts w:ascii="Arial" w:eastAsia="Arial" w:hAnsi="Arial" w:cs="Arial"/>
          <w:color w:val="000000"/>
          <w:sz w:val="20"/>
          <w:szCs w:val="20"/>
        </w:rPr>
        <w:t xml:space="preserve"> </w:t>
      </w:r>
      <w:proofErr w:type="spellStart"/>
      <w:r w:rsidRPr="003A292E">
        <w:rPr>
          <w:color w:val="000000"/>
          <w:sz w:val="18"/>
          <w:szCs w:val="18"/>
        </w:rPr>
        <w:t>Hisamudin</w:t>
      </w:r>
      <w:proofErr w:type="spellEnd"/>
      <w:r w:rsidRPr="003A292E">
        <w:rPr>
          <w:color w:val="000000"/>
          <w:sz w:val="18"/>
          <w:szCs w:val="18"/>
        </w:rPr>
        <w:t>, H</w:t>
      </w:r>
      <w:r w:rsidRPr="003A292E">
        <w:rPr>
          <w:sz w:val="18"/>
          <w:szCs w:val="18"/>
        </w:rPr>
        <w:t xml:space="preserve">.A., </w:t>
      </w:r>
      <w:r w:rsidRPr="003A292E">
        <w:rPr>
          <w:i/>
          <w:color w:val="000000"/>
          <w:sz w:val="18"/>
          <w:szCs w:val="18"/>
        </w:rPr>
        <w:t>Don’t rent your property to illegal migrants, DBKL tells homeowners</w:t>
      </w:r>
      <w:r w:rsidRPr="003A292E">
        <w:rPr>
          <w:color w:val="000000"/>
          <w:sz w:val="18"/>
          <w:szCs w:val="18"/>
        </w:rPr>
        <w:t xml:space="preserve">, </w:t>
      </w:r>
      <w:proofErr w:type="spellStart"/>
      <w:r w:rsidRPr="003A292E">
        <w:rPr>
          <w:color w:val="000000"/>
          <w:sz w:val="18"/>
          <w:szCs w:val="18"/>
        </w:rPr>
        <w:t>Fr</w:t>
      </w:r>
      <w:r w:rsidRPr="003A292E">
        <w:rPr>
          <w:sz w:val="18"/>
          <w:szCs w:val="18"/>
        </w:rPr>
        <w:t>eeMalaysiaToday</w:t>
      </w:r>
      <w:proofErr w:type="spellEnd"/>
      <w:r w:rsidRPr="003A292E">
        <w:rPr>
          <w:sz w:val="18"/>
          <w:szCs w:val="18"/>
        </w:rPr>
        <w:t xml:space="preserve">, </w:t>
      </w:r>
      <w:r w:rsidRPr="003A292E">
        <w:rPr>
          <w:color w:val="000000"/>
          <w:sz w:val="18"/>
          <w:szCs w:val="18"/>
        </w:rPr>
        <w:t>27 May 2020, available</w:t>
      </w:r>
      <w:r w:rsidRPr="003A292E">
        <w:rPr>
          <w:sz w:val="18"/>
          <w:szCs w:val="18"/>
        </w:rPr>
        <w:t xml:space="preserve"> </w:t>
      </w:r>
      <w:r w:rsidRPr="003A292E">
        <w:rPr>
          <w:color w:val="000000"/>
          <w:sz w:val="18"/>
          <w:szCs w:val="18"/>
        </w:rPr>
        <w:t xml:space="preserve">at: </w:t>
      </w:r>
      <w:hyperlink r:id="rId45">
        <w:r w:rsidRPr="003A292E">
          <w:rPr>
            <w:color w:val="1155CC"/>
            <w:sz w:val="18"/>
            <w:szCs w:val="18"/>
            <w:u w:val="single"/>
          </w:rPr>
          <w:t>https://www.freemalaysiatoday.com/category/nation/2020/05/27/dont-rent-your-property-to-illegal-migrants-dbkl-tells-homeowners/</w:t>
        </w:r>
      </w:hyperlink>
      <w:r w:rsidRPr="003A292E">
        <w:rPr>
          <w:sz w:val="18"/>
          <w:szCs w:val="18"/>
        </w:rPr>
        <w:t xml:space="preserve">; Razak, R., </w:t>
      </w:r>
      <w:r w:rsidRPr="003A292E">
        <w:rPr>
          <w:i/>
          <w:sz w:val="18"/>
          <w:szCs w:val="18"/>
        </w:rPr>
        <w:t>Over 100 UN cardholder refugees in KL facing eviction amid Immigration crackdown on undocumented migrant</w:t>
      </w:r>
      <w:r w:rsidRPr="003A292E">
        <w:rPr>
          <w:sz w:val="18"/>
          <w:szCs w:val="18"/>
        </w:rPr>
        <w:t xml:space="preserve">s, Malay Mail,11 July 2020, available at: </w:t>
      </w:r>
      <w:hyperlink r:id="rId46">
        <w:r w:rsidRPr="003A292E">
          <w:rPr>
            <w:color w:val="1155CC"/>
            <w:sz w:val="18"/>
            <w:szCs w:val="18"/>
            <w:u w:val="single"/>
          </w:rPr>
          <w:t>https://www.malaymail.com/news/malaysia/2020/07/11/over-100-un-cardholder-refugees-in-kl-facing-eviction-amid-immigration-crac/1883580</w:t>
        </w:r>
      </w:hyperlink>
    </w:p>
  </w:footnote>
  <w:footnote w:id="54">
    <w:p w14:paraId="0000009E" w14:textId="3857AAE4" w:rsidR="00B634C8" w:rsidRPr="00167A6C" w:rsidRDefault="00000000" w:rsidP="00167A6C">
      <w:pPr>
        <w:pBdr>
          <w:top w:val="nil"/>
          <w:left w:val="nil"/>
          <w:bottom w:val="nil"/>
          <w:right w:val="nil"/>
          <w:between w:val="nil"/>
        </w:pBdr>
        <w:spacing w:after="0" w:line="252" w:lineRule="auto"/>
        <w:rPr>
          <w:sz w:val="18"/>
          <w:szCs w:val="18"/>
        </w:rPr>
      </w:pPr>
      <w:r w:rsidRPr="003A292E">
        <w:rPr>
          <w:rStyle w:val="FootnoteReference"/>
        </w:rPr>
        <w:footnoteRef/>
      </w:r>
      <w:r w:rsidRPr="003A292E">
        <w:rPr>
          <w:rFonts w:ascii="Arial" w:eastAsia="Arial" w:hAnsi="Arial" w:cs="Arial"/>
          <w:color w:val="000000"/>
          <w:sz w:val="20"/>
          <w:szCs w:val="20"/>
        </w:rPr>
        <w:t xml:space="preserve"> </w:t>
      </w:r>
      <w:r w:rsidR="004C28D9" w:rsidRPr="003A292E">
        <w:rPr>
          <w:sz w:val="18"/>
          <w:szCs w:val="18"/>
        </w:rPr>
        <w:t xml:space="preserve">Consultation with Refugee Women conducted </w:t>
      </w:r>
      <w:proofErr w:type="gramStart"/>
      <w:r w:rsidR="004C28D9" w:rsidRPr="003A292E">
        <w:rPr>
          <w:sz w:val="18"/>
          <w:szCs w:val="18"/>
        </w:rPr>
        <w:t>by  Asylum</w:t>
      </w:r>
      <w:proofErr w:type="gramEnd"/>
      <w:r w:rsidR="004C28D9" w:rsidRPr="003A292E">
        <w:rPr>
          <w:sz w:val="18"/>
          <w:szCs w:val="18"/>
        </w:rPr>
        <w:t xml:space="preserve"> Access Malaysia on 18 December 2022</w:t>
      </w:r>
    </w:p>
  </w:footnote>
  <w:footnote w:id="55">
    <w:p w14:paraId="0000009F"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18"/>
          <w:szCs w:val="18"/>
        </w:rPr>
      </w:pPr>
      <w:r>
        <w:rPr>
          <w:rStyle w:val="FootnoteReference"/>
        </w:rPr>
        <w:footnoteRef/>
      </w:r>
      <w:r>
        <w:rPr>
          <w:rFonts w:ascii="Arial" w:eastAsia="Arial" w:hAnsi="Arial" w:cs="Arial"/>
          <w:color w:val="000000"/>
          <w:sz w:val="20"/>
          <w:szCs w:val="20"/>
        </w:rPr>
        <w:t xml:space="preserve"> </w:t>
      </w:r>
      <w:r>
        <w:rPr>
          <w:color w:val="000000"/>
          <w:sz w:val="18"/>
          <w:szCs w:val="18"/>
        </w:rPr>
        <w:t xml:space="preserve">In March 2017, the government began a pilot program to allow 300 Rohingya UNHCR </w:t>
      </w:r>
      <w:proofErr w:type="gramStart"/>
      <w:r>
        <w:rPr>
          <w:color w:val="000000"/>
          <w:sz w:val="18"/>
          <w:szCs w:val="18"/>
        </w:rPr>
        <w:t>card-holders</w:t>
      </w:r>
      <w:proofErr w:type="gramEnd"/>
      <w:r>
        <w:rPr>
          <w:color w:val="000000"/>
          <w:sz w:val="18"/>
          <w:szCs w:val="18"/>
        </w:rPr>
        <w:t xml:space="preserve"> to work in the plantation sector, The Sun Daily, 2 February 2017 (n 6); Malaysiakini 4 April 2017 (n 6)</w:t>
      </w:r>
    </w:p>
  </w:footnote>
  <w:footnote w:id="56">
    <w:p w14:paraId="000000A0" w14:textId="77777777" w:rsidR="00B634C8" w:rsidRDefault="00000000">
      <w:pPr>
        <w:spacing w:after="0" w:line="252" w:lineRule="auto"/>
        <w:rPr>
          <w:sz w:val="18"/>
          <w:szCs w:val="18"/>
        </w:rPr>
      </w:pPr>
      <w:r>
        <w:rPr>
          <w:rStyle w:val="FootnoteReference"/>
        </w:rPr>
        <w:footnoteRef/>
      </w:r>
      <w:r>
        <w:rPr>
          <w:sz w:val="18"/>
          <w:szCs w:val="18"/>
        </w:rPr>
        <w:t xml:space="preserve"> General Recommendation 32 (n 9) paragraph 33</w:t>
      </w:r>
    </w:p>
  </w:footnote>
  <w:footnote w:id="57">
    <w:p w14:paraId="000000A1" w14:textId="77777777" w:rsidR="00B634C8" w:rsidRDefault="00000000">
      <w:pPr>
        <w:spacing w:after="0" w:line="252" w:lineRule="auto"/>
        <w:rPr>
          <w:sz w:val="18"/>
          <w:szCs w:val="18"/>
        </w:rPr>
      </w:pPr>
      <w:r>
        <w:rPr>
          <w:rStyle w:val="FootnoteReference"/>
        </w:rPr>
        <w:footnoteRef/>
      </w:r>
      <w:r>
        <w:rPr>
          <w:sz w:val="18"/>
          <w:szCs w:val="18"/>
        </w:rPr>
        <w:t xml:space="preserve"> ibid</w:t>
      </w:r>
    </w:p>
  </w:footnote>
  <w:footnote w:id="58">
    <w:p w14:paraId="000000C5" w14:textId="77777777" w:rsidR="00B634C8"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UN Committee on the Elimination of Discrimination Against Women (CEDAW), </w:t>
      </w:r>
      <w:r>
        <w:rPr>
          <w:i/>
          <w:sz w:val="18"/>
          <w:szCs w:val="18"/>
        </w:rPr>
        <w:t>Information received from Malaysia on follow-up to the concluding observations on its combined 3rd to 5th periodic reports</w:t>
      </w:r>
      <w:r>
        <w:rPr>
          <w:sz w:val="18"/>
          <w:szCs w:val="18"/>
        </w:rPr>
        <w:t xml:space="preserve">, 16 February 2021, para 111, CEDAW/C/MYS/FCO/3-5, available at: </w:t>
      </w:r>
      <w:hyperlink r:id="rId47">
        <w:r>
          <w:rPr>
            <w:color w:val="1155CC"/>
            <w:sz w:val="18"/>
            <w:szCs w:val="18"/>
            <w:u w:val="single"/>
          </w:rPr>
          <w:t>https://digitallibrary.un.org/record/3904297?ln=en</w:t>
        </w:r>
      </w:hyperlink>
      <w:r>
        <w:rPr>
          <w:sz w:val="18"/>
          <w:szCs w:val="18"/>
        </w:rPr>
        <w:t xml:space="preserve">; 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para 93, CEDAW/C/MYS/6, available at: </w:t>
      </w:r>
      <w:hyperlink r:id="rId48">
        <w:r>
          <w:rPr>
            <w:color w:val="1155CC"/>
            <w:sz w:val="18"/>
            <w:szCs w:val="18"/>
            <w:u w:val="single"/>
          </w:rPr>
          <w:t>https://digitallibrary.un.org/record/3978685?ln=en</w:t>
        </w:r>
      </w:hyperlink>
    </w:p>
  </w:footnote>
  <w:footnote w:id="59">
    <w:p w14:paraId="000000A2"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sz w:val="18"/>
          <w:szCs w:val="18"/>
        </w:rPr>
        <w:t xml:space="preserve">Foreigners seeking admission to third class wards in public hospitals will be required to pay RM1,400 for medical admission, and RM2,800 for surgical admission or obstetrics and gynaecology. Ministry of Health, Guidelines on Fee collection for Foreigners, 2014, available at: </w:t>
      </w:r>
      <w:hyperlink r:id="rId49">
        <w:r>
          <w:rPr>
            <w:color w:val="1155CC"/>
            <w:sz w:val="18"/>
            <w:szCs w:val="18"/>
            <w:u w:val="single"/>
          </w:rPr>
          <w:t>https://stg.moh.gov.my/index.php/database_stores/store_view_page/10/354</w:t>
        </w:r>
      </w:hyperlink>
    </w:p>
  </w:footnote>
  <w:footnote w:id="60">
    <w:p w14:paraId="000000A3"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sz w:val="18"/>
          <w:szCs w:val="18"/>
        </w:rPr>
        <w:t xml:space="preserve">Foreign women seeking delivery at public hospitals will be required to pay minimally RM 2,800 deposit prior to admission. Estimated costs for the first antenatal visit will minimally be around RM553 and the subsequent antenatal care minimally RM108. Estimated costs for normal delivery is around RM4,800 and caesarean around RM10,000 (UNHCR Malaysia, Health Services: </w:t>
      </w:r>
      <w:proofErr w:type="gramStart"/>
      <w:r>
        <w:rPr>
          <w:sz w:val="18"/>
          <w:szCs w:val="18"/>
        </w:rPr>
        <w:t>Child Birth</w:t>
      </w:r>
      <w:proofErr w:type="gramEnd"/>
      <w:r>
        <w:rPr>
          <w:sz w:val="18"/>
          <w:szCs w:val="18"/>
        </w:rPr>
        <w:t xml:space="preserve"> in Malaysia, available at: </w:t>
      </w:r>
      <w:hyperlink r:id="rId50">
        <w:r>
          <w:rPr>
            <w:color w:val="1155CC"/>
            <w:sz w:val="18"/>
            <w:szCs w:val="18"/>
            <w:u w:val="single"/>
          </w:rPr>
          <w:t>https://refugeemalaysia.org/support/health-services/</w:t>
        </w:r>
      </w:hyperlink>
      <w:r>
        <w:rPr>
          <w:sz w:val="18"/>
          <w:szCs w:val="18"/>
        </w:rPr>
        <w:t>)</w:t>
      </w:r>
    </w:p>
  </w:footnote>
  <w:footnote w:id="61">
    <w:p w14:paraId="000000A4" w14:textId="77777777" w:rsidR="00B634C8"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r>
        <w:rPr>
          <w:sz w:val="18"/>
          <w:szCs w:val="18"/>
        </w:rPr>
        <w:t xml:space="preserve">UN Committee on the Elimination of Discrimination Against Women (CEDAW), </w:t>
      </w:r>
      <w:r>
        <w:rPr>
          <w:i/>
          <w:sz w:val="18"/>
          <w:szCs w:val="18"/>
        </w:rPr>
        <w:t>Information received from Malaysia on follow-up to the concluding observations on its combined 3rd to 5th periodic reports</w:t>
      </w:r>
      <w:r>
        <w:rPr>
          <w:sz w:val="18"/>
          <w:szCs w:val="18"/>
        </w:rPr>
        <w:t xml:space="preserve">, 16 February 2021, para 112, CEDAW/C/MYS/FCO/3-5, available at: </w:t>
      </w:r>
      <w:hyperlink r:id="rId51">
        <w:r>
          <w:rPr>
            <w:color w:val="1155CC"/>
            <w:sz w:val="18"/>
            <w:szCs w:val="18"/>
            <w:u w:val="single"/>
          </w:rPr>
          <w:t>https://digitallibrary.un.org/record/3904297?ln=en</w:t>
        </w:r>
      </w:hyperlink>
    </w:p>
  </w:footnote>
  <w:footnote w:id="62">
    <w:p w14:paraId="000000A5"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sz w:val="18"/>
          <w:szCs w:val="18"/>
        </w:rPr>
        <w:t xml:space="preserve">Ministry of Health, Guidelines on Reporting Illegal Immigrants seeking Treatment at Government Hospitals and Clinics, Circular 10/2001, available at: </w:t>
      </w:r>
      <w:hyperlink r:id="rId52">
        <w:r>
          <w:rPr>
            <w:color w:val="1155CC"/>
            <w:sz w:val="18"/>
            <w:szCs w:val="18"/>
            <w:u w:val="single"/>
          </w:rPr>
          <w:t>https://stg.moh.gov.my/index.php/database_stores/store_view_page/10/127</w:t>
        </w:r>
      </w:hyperlink>
    </w:p>
  </w:footnote>
  <w:footnote w:id="63">
    <w:p w14:paraId="000000BD" w14:textId="77777777" w:rsidR="00B634C8"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UN Committee on the Elimination of Discrimination Against Women (CEDAW), </w:t>
      </w:r>
      <w:r>
        <w:rPr>
          <w:i/>
          <w:sz w:val="18"/>
          <w:szCs w:val="18"/>
        </w:rPr>
        <w:t>Sixth periodic report submitted by Malaysia under article 18 of the Convention, due in 2022</w:t>
      </w:r>
      <w:r>
        <w:rPr>
          <w:sz w:val="18"/>
          <w:szCs w:val="18"/>
        </w:rPr>
        <w:t xml:space="preserve">, 16 May 2022, para 95, CEDAW/C/MYS/6, available at: </w:t>
      </w:r>
      <w:hyperlink r:id="rId53">
        <w:r>
          <w:rPr>
            <w:color w:val="1155CC"/>
            <w:sz w:val="18"/>
            <w:szCs w:val="18"/>
            <w:u w:val="single"/>
          </w:rPr>
          <w:t>https://digitallibrary.un.org/record/3978685?ln=en</w:t>
        </w:r>
      </w:hyperlink>
    </w:p>
  </w:footnote>
  <w:footnote w:id="64">
    <w:p w14:paraId="000000C7" w14:textId="77777777" w:rsidR="00B634C8" w:rsidRDefault="00000000">
      <w:pPr>
        <w:spacing w:after="0" w:line="240" w:lineRule="auto"/>
        <w:rPr>
          <w:i/>
          <w:sz w:val="18"/>
          <w:szCs w:val="18"/>
        </w:rPr>
      </w:pPr>
      <w:r>
        <w:rPr>
          <w:rStyle w:val="FootnoteReference"/>
        </w:rPr>
        <w:footnoteRef/>
      </w:r>
      <w:r>
        <w:rPr>
          <w:sz w:val="20"/>
          <w:szCs w:val="20"/>
        </w:rPr>
        <w:t xml:space="preserve"> </w:t>
      </w:r>
      <w:r>
        <w:rPr>
          <w:sz w:val="18"/>
          <w:szCs w:val="18"/>
        </w:rPr>
        <w:t xml:space="preserve">Médecins Sans </w:t>
      </w:r>
      <w:proofErr w:type="spellStart"/>
      <w:r>
        <w:rPr>
          <w:sz w:val="18"/>
          <w:szCs w:val="18"/>
        </w:rPr>
        <w:t>Frontiéres</w:t>
      </w:r>
      <w:proofErr w:type="spellEnd"/>
      <w:r>
        <w:rPr>
          <w:sz w:val="18"/>
          <w:szCs w:val="18"/>
        </w:rPr>
        <w:t xml:space="preserve">, </w:t>
      </w:r>
      <w:r>
        <w:rPr>
          <w:i/>
          <w:sz w:val="18"/>
          <w:szCs w:val="18"/>
        </w:rPr>
        <w:t xml:space="preserve">COVID-19 demonstrates the harm of exclusion to healthcare; Malaysia should repeal Health Circular 10/2001, 24 March 2020, available at: </w:t>
      </w:r>
      <w:hyperlink r:id="rId54">
        <w:r>
          <w:rPr>
            <w:i/>
            <w:color w:val="1155CC"/>
            <w:sz w:val="18"/>
            <w:szCs w:val="18"/>
            <w:u w:val="single"/>
          </w:rPr>
          <w:t>https://msf-seasia.org/blogs/18851</w:t>
        </w:r>
      </w:hyperlink>
      <w:r>
        <w:rPr>
          <w:i/>
          <w:sz w:val="18"/>
          <w:szCs w:val="18"/>
        </w:rPr>
        <w:t xml:space="preserve">; </w:t>
      </w:r>
      <w:r>
        <w:rPr>
          <w:rFonts w:ascii="Arial" w:eastAsia="Arial" w:hAnsi="Arial" w:cs="Arial"/>
          <w:sz w:val="16"/>
          <w:szCs w:val="16"/>
        </w:rPr>
        <w:t xml:space="preserve">Loganathan T, Rui D, Ng CW, Pocock NS (2019) </w:t>
      </w:r>
      <w:r>
        <w:rPr>
          <w:rFonts w:ascii="Arial" w:eastAsia="Arial" w:hAnsi="Arial" w:cs="Arial"/>
          <w:i/>
          <w:sz w:val="16"/>
          <w:szCs w:val="16"/>
        </w:rPr>
        <w:t>Breaking down the barriers: Understanding migrant workers’ access to healthcare in Malaysia</w:t>
      </w:r>
      <w:r>
        <w:rPr>
          <w:rFonts w:ascii="Arial" w:eastAsia="Arial" w:hAnsi="Arial" w:cs="Arial"/>
          <w:sz w:val="16"/>
          <w:szCs w:val="16"/>
        </w:rPr>
        <w:t>. PLOS ONE 14(7): e0218669. https://doi.org/10.1371/journal.pone.0218669</w:t>
      </w:r>
    </w:p>
  </w:footnote>
  <w:footnote w:id="65">
    <w:p w14:paraId="000000C6" w14:textId="77777777" w:rsidR="00B634C8" w:rsidRDefault="00000000">
      <w:pPr>
        <w:spacing w:after="0" w:line="240" w:lineRule="auto"/>
        <w:rPr>
          <w:sz w:val="18"/>
          <w:szCs w:val="18"/>
        </w:rPr>
      </w:pPr>
      <w:r>
        <w:rPr>
          <w:rStyle w:val="FootnoteReference"/>
        </w:rPr>
        <w:footnoteRef/>
      </w:r>
      <w:r>
        <w:rPr>
          <w:sz w:val="20"/>
          <w:szCs w:val="20"/>
        </w:rPr>
        <w:t xml:space="preserve"> </w:t>
      </w:r>
      <w:proofErr w:type="spellStart"/>
      <w:r>
        <w:rPr>
          <w:sz w:val="18"/>
          <w:szCs w:val="18"/>
        </w:rPr>
        <w:t>Hkawng</w:t>
      </w:r>
      <w:proofErr w:type="spellEnd"/>
      <w:r>
        <w:rPr>
          <w:sz w:val="18"/>
          <w:szCs w:val="18"/>
        </w:rPr>
        <w:t xml:space="preserve">, J.T. &amp; Fishbein, E., </w:t>
      </w:r>
      <w:r>
        <w:rPr>
          <w:i/>
          <w:sz w:val="18"/>
          <w:szCs w:val="18"/>
        </w:rPr>
        <w:t xml:space="preserve">In Malaysia undocumented women fear arrest during pregnancy, </w:t>
      </w:r>
      <w:proofErr w:type="spellStart"/>
      <w:r>
        <w:rPr>
          <w:sz w:val="18"/>
          <w:szCs w:val="18"/>
        </w:rPr>
        <w:t>NewNaratif</w:t>
      </w:r>
      <w:proofErr w:type="spellEnd"/>
      <w:r>
        <w:rPr>
          <w:sz w:val="18"/>
          <w:szCs w:val="18"/>
        </w:rPr>
        <w:t xml:space="preserve">, 22 February 2021, available at: </w:t>
      </w:r>
      <w:hyperlink r:id="rId55">
        <w:r>
          <w:rPr>
            <w:color w:val="1155CC"/>
            <w:sz w:val="18"/>
            <w:szCs w:val="18"/>
            <w:u w:val="single"/>
          </w:rPr>
          <w:t>https://newnaratif.com/in-malaysia-undocumented-women-fear-arrest-during-pregnancy/</w:t>
        </w:r>
      </w:hyperlink>
    </w:p>
  </w:footnote>
  <w:footnote w:id="66">
    <w:p w14:paraId="01385293" w14:textId="2AFD2FD4" w:rsidR="003A292E" w:rsidRPr="003A292E" w:rsidRDefault="003A292E" w:rsidP="003A292E">
      <w:pPr>
        <w:pStyle w:val="FootnoteText"/>
      </w:pPr>
      <w:r>
        <w:rPr>
          <w:rStyle w:val="FootnoteReference"/>
        </w:rPr>
        <w:footnoteRef/>
      </w:r>
      <w:r>
        <w:t xml:space="preserve"> </w:t>
      </w:r>
      <w:r w:rsidRPr="003A292E">
        <w:rPr>
          <w:rFonts w:asciiTheme="minorHAnsi" w:hAnsiTheme="minorHAnsi" w:cstheme="minorHAnsi"/>
          <w:sz w:val="18"/>
          <w:szCs w:val="18"/>
        </w:rPr>
        <w:t xml:space="preserve">Loganathan, T., Chan, Z. X., de </w:t>
      </w:r>
      <w:proofErr w:type="spellStart"/>
      <w:r w:rsidRPr="003A292E">
        <w:rPr>
          <w:rFonts w:asciiTheme="minorHAnsi" w:hAnsiTheme="minorHAnsi" w:cstheme="minorHAnsi"/>
          <w:sz w:val="18"/>
          <w:szCs w:val="18"/>
        </w:rPr>
        <w:t>Smalen</w:t>
      </w:r>
      <w:proofErr w:type="spellEnd"/>
      <w:r w:rsidRPr="003A292E">
        <w:rPr>
          <w:rFonts w:asciiTheme="minorHAnsi" w:hAnsiTheme="minorHAnsi" w:cstheme="minorHAnsi"/>
          <w:sz w:val="18"/>
          <w:szCs w:val="18"/>
        </w:rPr>
        <w:t xml:space="preserve">, A. W., &amp; Pocock, N. S. (2020). Migrant women’s access to sexual and reproductive health services in Malaysia: A qualitative study. International Journal of Environmental Research and Public Health, 17(15), 5376. </w:t>
      </w:r>
      <w:proofErr w:type="gramStart"/>
      <w:r w:rsidRPr="003A292E">
        <w:rPr>
          <w:rFonts w:asciiTheme="minorHAnsi" w:hAnsiTheme="minorHAnsi" w:cstheme="minorHAnsi"/>
          <w:sz w:val="18"/>
          <w:szCs w:val="18"/>
        </w:rPr>
        <w:t xml:space="preserve">https://doi.org/10.3390/ijerph17155376 </w:t>
      </w:r>
      <w:r w:rsidRPr="003A292E">
        <w:rPr>
          <w:rFonts w:asciiTheme="minorHAnsi" w:hAnsiTheme="minorHAnsi" w:cstheme="minorHAnsi"/>
          <w:sz w:val="18"/>
          <w:szCs w:val="18"/>
        </w:rPr>
        <w:t>;</w:t>
      </w:r>
      <w:proofErr w:type="gramEnd"/>
      <w:r w:rsidRPr="003A292E">
        <w:rPr>
          <w:rFonts w:asciiTheme="minorHAnsi" w:hAnsiTheme="minorHAnsi" w:cstheme="minorHAnsi"/>
          <w:sz w:val="18"/>
          <w:szCs w:val="18"/>
        </w:rPr>
        <w:t xml:space="preserve"> </w:t>
      </w:r>
      <w:r w:rsidRPr="003A292E">
        <w:rPr>
          <w:rFonts w:asciiTheme="minorHAnsi" w:hAnsiTheme="minorHAnsi" w:cstheme="minorHAnsi"/>
          <w:sz w:val="18"/>
          <w:szCs w:val="18"/>
        </w:rPr>
        <w:t>Women’s Aid Organization (WAO). (2021). Sexual and Gender-based violence among refugee communities in Malaysia: A policy brief by Women’s Aid Organization</w:t>
      </w:r>
      <w:r>
        <w:t>.</w:t>
      </w:r>
    </w:p>
  </w:footnote>
  <w:footnote w:id="67">
    <w:p w14:paraId="000000A6" w14:textId="77777777" w:rsidR="00B634C8" w:rsidRDefault="00000000">
      <w:pPr>
        <w:pBdr>
          <w:top w:val="nil"/>
          <w:left w:val="nil"/>
          <w:bottom w:val="nil"/>
          <w:right w:val="nil"/>
          <w:between w:val="nil"/>
        </w:pBdr>
        <w:spacing w:after="0" w:line="240" w:lineRule="auto"/>
        <w:jc w:val="both"/>
        <w:rPr>
          <w:rFonts w:ascii="Arial" w:eastAsia="Arial" w:hAnsi="Arial" w:cs="Arial"/>
          <w:sz w:val="16"/>
          <w:szCs w:val="16"/>
        </w:rPr>
      </w:pPr>
      <w:r>
        <w:rPr>
          <w:rStyle w:val="FootnoteReference"/>
        </w:rPr>
        <w:footnoteRef/>
      </w:r>
      <w:r>
        <w:rPr>
          <w:color w:val="000000"/>
          <w:sz w:val="18"/>
          <w:szCs w:val="18"/>
        </w:rPr>
        <w:t xml:space="preserve"> Zack, J., Immigration Dept continuing operations, arrests despite MCO, says DG, The Star, 28 April 2020, available at:  </w:t>
      </w:r>
      <w:hyperlink r:id="rId56">
        <w:r>
          <w:rPr>
            <w:color w:val="1155CC"/>
            <w:sz w:val="18"/>
            <w:szCs w:val="18"/>
            <w:u w:val="single"/>
          </w:rPr>
          <w:t>https://www.thestar.com.my/news/nation/2020/04/28/immigration-dept-continuing-operations-arrests-despite-mco-says-dg</w:t>
        </w:r>
      </w:hyperlink>
      <w:r>
        <w:rPr>
          <w:sz w:val="18"/>
          <w:szCs w:val="18"/>
        </w:rPr>
        <w:t xml:space="preserve">; </w:t>
      </w:r>
      <w:r>
        <w:rPr>
          <w:i/>
          <w:sz w:val="18"/>
          <w:szCs w:val="18"/>
        </w:rPr>
        <w:t>Govt to send illegal immigrants identified in areas under EMCO to immigration facilities,</w:t>
      </w:r>
      <w:r>
        <w:rPr>
          <w:sz w:val="18"/>
          <w:szCs w:val="18"/>
        </w:rPr>
        <w:t xml:space="preserve"> The Sun Daily, 29 April 2020, available at: </w:t>
      </w:r>
      <w:hyperlink r:id="rId57">
        <w:r>
          <w:rPr>
            <w:color w:val="1155CC"/>
            <w:sz w:val="18"/>
            <w:szCs w:val="18"/>
            <w:u w:val="single"/>
          </w:rPr>
          <w:t>https://www.thesundaily.my/local/govt-to-send-illegal-immigrants-identified-in-areas-under-emco-to-immigration-facilities-EM2349240</w:t>
        </w:r>
      </w:hyperlink>
      <w:r>
        <w:rPr>
          <w:sz w:val="18"/>
          <w:szCs w:val="18"/>
        </w:rPr>
        <w:t xml:space="preserve">; </w:t>
      </w:r>
      <w:r>
        <w:rPr>
          <w:sz w:val="20"/>
          <w:szCs w:val="20"/>
        </w:rPr>
        <w:t>V</w:t>
      </w:r>
      <w:r>
        <w:rPr>
          <w:rFonts w:ascii="Arial" w:eastAsia="Arial" w:hAnsi="Arial" w:cs="Arial"/>
          <w:sz w:val="16"/>
          <w:szCs w:val="16"/>
        </w:rPr>
        <w:t>erghis S, Pereira X, Kumar AG, Koh A, Singh-Lim A.</w:t>
      </w:r>
      <w:r>
        <w:rPr>
          <w:rFonts w:ascii="Arial" w:eastAsia="Arial" w:hAnsi="Arial" w:cs="Arial"/>
          <w:i/>
          <w:sz w:val="16"/>
          <w:szCs w:val="16"/>
        </w:rPr>
        <w:t xml:space="preserve"> COVID-19 and Refugees in Malaysia: An NGO Response. Intervention </w:t>
      </w:r>
      <w:proofErr w:type="gramStart"/>
      <w:r>
        <w:rPr>
          <w:rFonts w:ascii="Arial" w:eastAsia="Arial" w:hAnsi="Arial" w:cs="Arial"/>
          <w:i/>
          <w:sz w:val="16"/>
          <w:szCs w:val="16"/>
        </w:rPr>
        <w:t>2021</w:t>
      </w:r>
      <w:r>
        <w:rPr>
          <w:rFonts w:ascii="Arial" w:eastAsia="Arial" w:hAnsi="Arial" w:cs="Arial"/>
          <w:sz w:val="16"/>
          <w:szCs w:val="16"/>
        </w:rPr>
        <w:t>;19:15</w:t>
      </w:r>
      <w:proofErr w:type="gramEnd"/>
      <w:r>
        <w:rPr>
          <w:rFonts w:ascii="Arial" w:eastAsia="Arial" w:hAnsi="Arial" w:cs="Arial"/>
          <w:sz w:val="16"/>
          <w:szCs w:val="16"/>
        </w:rPr>
        <w:t xml:space="preserve">-20, Available at: </w:t>
      </w:r>
      <w:hyperlink r:id="rId58">
        <w:r>
          <w:rPr>
            <w:rFonts w:ascii="Arial" w:eastAsia="Arial" w:hAnsi="Arial" w:cs="Arial"/>
            <w:color w:val="1155CC"/>
            <w:sz w:val="16"/>
            <w:szCs w:val="16"/>
            <w:u w:val="single"/>
          </w:rPr>
          <w:t>https://www.interventionjournal.org/text.asp?2021/19/1/15/312713</w:t>
        </w:r>
      </w:hyperlink>
    </w:p>
  </w:footnote>
  <w:footnote w:id="68">
    <w:p w14:paraId="000000C8" w14:textId="7261FC3D" w:rsidR="00B634C8" w:rsidRPr="003A292E" w:rsidRDefault="00000000">
      <w:pPr>
        <w:spacing w:after="0" w:line="240" w:lineRule="auto"/>
        <w:rPr>
          <w:sz w:val="18"/>
          <w:szCs w:val="18"/>
        </w:rPr>
      </w:pPr>
      <w:r w:rsidRPr="003A292E">
        <w:rPr>
          <w:rStyle w:val="FootnoteReference"/>
        </w:rPr>
        <w:footnoteRef/>
      </w:r>
      <w:r w:rsidRPr="003A292E">
        <w:rPr>
          <w:sz w:val="20"/>
          <w:szCs w:val="20"/>
        </w:rPr>
        <w:t xml:space="preserve"> </w:t>
      </w:r>
      <w:r w:rsidR="00167A6C" w:rsidRPr="003A292E">
        <w:rPr>
          <w:sz w:val="18"/>
          <w:szCs w:val="18"/>
        </w:rPr>
        <w:t xml:space="preserve">Consultation with Refugee Women conducted </w:t>
      </w:r>
      <w:proofErr w:type="gramStart"/>
      <w:r w:rsidR="00167A6C" w:rsidRPr="003A292E">
        <w:rPr>
          <w:sz w:val="18"/>
          <w:szCs w:val="18"/>
        </w:rPr>
        <w:t>by  Asylum</w:t>
      </w:r>
      <w:proofErr w:type="gramEnd"/>
      <w:r w:rsidR="00167A6C" w:rsidRPr="003A292E">
        <w:rPr>
          <w:sz w:val="18"/>
          <w:szCs w:val="18"/>
        </w:rPr>
        <w:t xml:space="preserve"> Access Malaysia on 18 December 2022</w:t>
      </w:r>
    </w:p>
  </w:footnote>
  <w:footnote w:id="69">
    <w:p w14:paraId="000000A7" w14:textId="77777777" w:rsidR="00B634C8" w:rsidRDefault="00000000">
      <w:pPr>
        <w:pBdr>
          <w:top w:val="nil"/>
          <w:left w:val="nil"/>
          <w:bottom w:val="nil"/>
          <w:right w:val="nil"/>
          <w:between w:val="nil"/>
        </w:pBdr>
        <w:spacing w:after="0" w:line="240" w:lineRule="auto"/>
        <w:jc w:val="both"/>
        <w:rPr>
          <w:sz w:val="18"/>
          <w:szCs w:val="18"/>
        </w:rPr>
      </w:pPr>
      <w:r>
        <w:rPr>
          <w:rStyle w:val="FootnoteReference"/>
        </w:rPr>
        <w:footnoteRef/>
      </w:r>
      <w:r>
        <w:rPr>
          <w:rFonts w:ascii="Arial" w:eastAsia="Arial" w:hAnsi="Arial" w:cs="Arial"/>
          <w:color w:val="000000"/>
          <w:sz w:val="20"/>
          <w:szCs w:val="20"/>
        </w:rPr>
        <w:t xml:space="preserve"> </w:t>
      </w:r>
      <w:r>
        <w:rPr>
          <w:color w:val="000000"/>
          <w:sz w:val="18"/>
          <w:szCs w:val="18"/>
        </w:rPr>
        <w:t>Chuah, F.L.H., Tan, S.</w:t>
      </w:r>
      <w:r>
        <w:rPr>
          <w:sz w:val="18"/>
          <w:szCs w:val="18"/>
        </w:rPr>
        <w:t>T.,</w:t>
      </w:r>
      <w:r>
        <w:rPr>
          <w:color w:val="000000"/>
          <w:sz w:val="18"/>
          <w:szCs w:val="18"/>
        </w:rPr>
        <w:t xml:space="preserve"> YEO, J.,</w:t>
      </w:r>
      <w:r>
        <w:rPr>
          <w:sz w:val="18"/>
          <w:szCs w:val="18"/>
        </w:rPr>
        <w:t xml:space="preserve"> </w:t>
      </w:r>
      <w:proofErr w:type="spellStart"/>
      <w:r>
        <w:rPr>
          <w:color w:val="000000"/>
          <w:sz w:val="18"/>
          <w:szCs w:val="18"/>
        </w:rPr>
        <w:t>Legido</w:t>
      </w:r>
      <w:proofErr w:type="spellEnd"/>
      <w:r>
        <w:rPr>
          <w:color w:val="000000"/>
          <w:sz w:val="18"/>
          <w:szCs w:val="18"/>
        </w:rPr>
        <w:t>-Quigley, H.,</w:t>
      </w:r>
      <w:r>
        <w:rPr>
          <w:i/>
          <w:color w:val="000000"/>
          <w:sz w:val="18"/>
          <w:szCs w:val="18"/>
        </w:rPr>
        <w:t xml:space="preserve"> The health needs and access barriers among refugees and asylum-seekers in Malaysia: a qualitative study</w:t>
      </w:r>
      <w:r>
        <w:rPr>
          <w:sz w:val="18"/>
          <w:szCs w:val="18"/>
        </w:rPr>
        <w:t xml:space="preserve">, 2019, </w:t>
      </w:r>
      <w:r>
        <w:rPr>
          <w:color w:val="000000"/>
          <w:sz w:val="18"/>
          <w:szCs w:val="18"/>
        </w:rPr>
        <w:t>International Journal for Equity in Health</w:t>
      </w:r>
      <w:r>
        <w:rPr>
          <w:sz w:val="18"/>
          <w:szCs w:val="18"/>
        </w:rPr>
        <w:t xml:space="preserve">, available at: </w:t>
      </w:r>
      <w:hyperlink r:id="rId59">
        <w:r>
          <w:rPr>
            <w:color w:val="1155CC"/>
            <w:sz w:val="18"/>
            <w:szCs w:val="18"/>
            <w:u w:val="single"/>
          </w:rPr>
          <w:t>https://equityhealthj.biomedcentral.com/articles/10.1186/s12939-018-0833-x</w:t>
        </w:r>
      </w:hyperlink>
      <w:r>
        <w:rPr>
          <w:sz w:val="18"/>
          <w:szCs w:val="18"/>
        </w:rPr>
        <w:t xml:space="preserve">; </w:t>
      </w:r>
      <w:r>
        <w:rPr>
          <w:color w:val="000000"/>
          <w:sz w:val="18"/>
          <w:szCs w:val="18"/>
        </w:rPr>
        <w:t xml:space="preserve"> Rajaratnam, S.,</w:t>
      </w:r>
      <w:r>
        <w:rPr>
          <w:sz w:val="18"/>
          <w:szCs w:val="18"/>
        </w:rPr>
        <w:t xml:space="preserve"> &amp;</w:t>
      </w:r>
      <w:r>
        <w:rPr>
          <w:color w:val="000000"/>
          <w:sz w:val="18"/>
          <w:szCs w:val="18"/>
        </w:rPr>
        <w:t xml:space="preserve"> Azman, A.</w:t>
      </w:r>
      <w:r>
        <w:rPr>
          <w:sz w:val="18"/>
          <w:szCs w:val="18"/>
        </w:rPr>
        <w:t>,</w:t>
      </w:r>
      <w:r>
        <w:rPr>
          <w:color w:val="000000"/>
          <w:sz w:val="18"/>
          <w:szCs w:val="18"/>
        </w:rPr>
        <w:t xml:space="preserve"> </w:t>
      </w:r>
      <w:r>
        <w:rPr>
          <w:i/>
          <w:color w:val="000000"/>
          <w:sz w:val="18"/>
          <w:szCs w:val="18"/>
        </w:rPr>
        <w:t>Refugee and Asylum Seeker Women's Experiences with Healthcare and Social Environment in Malaysia</w:t>
      </w:r>
      <w:r>
        <w:rPr>
          <w:sz w:val="18"/>
          <w:szCs w:val="18"/>
        </w:rPr>
        <w:t>,</w:t>
      </w:r>
      <w:r>
        <w:rPr>
          <w:color w:val="000000"/>
          <w:sz w:val="18"/>
          <w:szCs w:val="18"/>
        </w:rPr>
        <w:t xml:space="preserve"> Int J Environ Res Public Health</w:t>
      </w:r>
      <w:r>
        <w:rPr>
          <w:sz w:val="18"/>
          <w:szCs w:val="18"/>
        </w:rPr>
        <w:t xml:space="preserve">, 27 May </w:t>
      </w:r>
      <w:r>
        <w:rPr>
          <w:color w:val="000000"/>
          <w:sz w:val="18"/>
          <w:szCs w:val="18"/>
        </w:rPr>
        <w:t>2022</w:t>
      </w:r>
      <w:r>
        <w:rPr>
          <w:sz w:val="18"/>
          <w:szCs w:val="18"/>
        </w:rPr>
        <w:t xml:space="preserve">, </w:t>
      </w:r>
      <w:r>
        <w:rPr>
          <w:color w:val="000000"/>
          <w:sz w:val="18"/>
          <w:szCs w:val="18"/>
        </w:rPr>
        <w:t xml:space="preserve">19(11):6542. </w:t>
      </w:r>
      <w:proofErr w:type="spellStart"/>
      <w:r>
        <w:rPr>
          <w:color w:val="000000"/>
          <w:sz w:val="18"/>
          <w:szCs w:val="18"/>
        </w:rPr>
        <w:t>doi</w:t>
      </w:r>
      <w:proofErr w:type="spellEnd"/>
      <w:r>
        <w:rPr>
          <w:color w:val="000000"/>
          <w:sz w:val="18"/>
          <w:szCs w:val="18"/>
        </w:rPr>
        <w:t>: 10.3390/ijerph19116542. PMID: 35682126; PMCID: PMC9180691</w:t>
      </w:r>
      <w:r>
        <w:rPr>
          <w:sz w:val="18"/>
          <w:szCs w:val="18"/>
        </w:rPr>
        <w:t xml:space="preserve">, available at: </w:t>
      </w:r>
      <w:hyperlink r:id="rId60">
        <w:r>
          <w:rPr>
            <w:color w:val="1155CC"/>
            <w:sz w:val="18"/>
            <w:szCs w:val="18"/>
            <w:u w:val="single"/>
          </w:rPr>
          <w:t>https://www.ncbi.nlm.nih.gov/pmc/articles/PMC9180691/</w:t>
        </w:r>
      </w:hyperlink>
    </w:p>
    <w:p w14:paraId="000000A8" w14:textId="77777777" w:rsidR="00B634C8" w:rsidRDefault="00B634C8">
      <w:pPr>
        <w:pBdr>
          <w:top w:val="nil"/>
          <w:left w:val="nil"/>
          <w:bottom w:val="nil"/>
          <w:right w:val="nil"/>
          <w:between w:val="nil"/>
        </w:pBdr>
        <w:spacing w:after="0" w:line="240" w:lineRule="auto"/>
        <w:jc w:val="both"/>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77777777" w:rsidR="00B634C8" w:rsidRDefault="00B634C8">
    <w:pPr>
      <w:pBdr>
        <w:top w:val="nil"/>
        <w:left w:val="nil"/>
        <w:bottom w:val="nil"/>
        <w:right w:val="nil"/>
        <w:between w:val="nil"/>
      </w:pBdr>
      <w:tabs>
        <w:tab w:val="center" w:pos="4680"/>
        <w:tab w:val="right" w:pos="9360"/>
      </w:tabs>
      <w:spacing w:after="0" w:line="240" w:lineRule="auto"/>
      <w:rPr>
        <w:color w:val="000000"/>
        <w:sz w:val="20"/>
        <w:szCs w:val="20"/>
      </w:rPr>
    </w:pPr>
  </w:p>
  <w:p w14:paraId="000000AA" w14:textId="77777777" w:rsidR="00B634C8" w:rsidRDefault="00B634C8">
    <w:pPr>
      <w:pBdr>
        <w:top w:val="nil"/>
        <w:left w:val="nil"/>
        <w:bottom w:val="nil"/>
        <w:right w:val="nil"/>
        <w:between w:val="nil"/>
      </w:pBdr>
      <w:tabs>
        <w:tab w:val="center" w:pos="4680"/>
        <w:tab w:val="right" w:pos="9360"/>
      </w:tabs>
      <w:spacing w:after="0" w:line="240"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97F47"/>
    <w:multiLevelType w:val="hybridMultilevel"/>
    <w:tmpl w:val="3E02514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4CB46D47"/>
    <w:multiLevelType w:val="multilevel"/>
    <w:tmpl w:val="1EBA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D93172"/>
    <w:multiLevelType w:val="multilevel"/>
    <w:tmpl w:val="4588D854"/>
    <w:lvl w:ilvl="0">
      <w:start w:val="1"/>
      <w:numFmt w:val="decimal"/>
      <w:lvlText w:val="%1."/>
      <w:lvlJc w:val="left"/>
      <w:pPr>
        <w:ind w:left="720" w:firstLine="360"/>
      </w:pPr>
      <w:rPr>
        <w:b w:val="0"/>
        <w:i w:val="0"/>
      </w:rPr>
    </w:lvl>
    <w:lvl w:ilvl="1">
      <w:start w:val="1"/>
      <w:numFmt w:val="lowerLetter"/>
      <w:lvlText w:val="%2."/>
      <w:lvlJc w:val="left"/>
      <w:pPr>
        <w:ind w:left="1440" w:firstLine="1080"/>
      </w:pPr>
      <w:rPr>
        <w:i w:val="0"/>
      </w:r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16cid:durableId="696392024">
    <w:abstractNumId w:val="2"/>
  </w:num>
  <w:num w:numId="2" w16cid:durableId="1795056741">
    <w:abstractNumId w:val="0"/>
  </w:num>
  <w:num w:numId="3" w16cid:durableId="199865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4C8"/>
    <w:rsid w:val="00167A6C"/>
    <w:rsid w:val="003A292E"/>
    <w:rsid w:val="004C28D9"/>
    <w:rsid w:val="00581C5B"/>
    <w:rsid w:val="005E0F6C"/>
    <w:rsid w:val="00652481"/>
    <w:rsid w:val="006C09BE"/>
    <w:rsid w:val="00B634C8"/>
    <w:rsid w:val="00BC7717"/>
    <w:rsid w:val="00D44BE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87FB3D"/>
  <w15:docId w15:val="{48DF7632-16F9-479B-AFE5-46ADB376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MY"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A2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semiHidden/>
    <w:unhideWhenUsed/>
    <w:rsid w:val="009A1B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1B79"/>
    <w:rPr>
      <w:lang w:val="en-GB"/>
    </w:rPr>
  </w:style>
  <w:style w:type="paragraph" w:styleId="ListParagraph">
    <w:name w:val="List Paragraph"/>
    <w:basedOn w:val="Normal"/>
    <w:uiPriority w:val="34"/>
    <w:qFormat/>
    <w:rsid w:val="009A1B79"/>
    <w:pPr>
      <w:pBdr>
        <w:top w:val="nil"/>
        <w:left w:val="nil"/>
        <w:bottom w:val="nil"/>
        <w:right w:val="nil"/>
        <w:between w:val="nil"/>
      </w:pBdr>
      <w:spacing w:after="160" w:line="259" w:lineRule="auto"/>
      <w:ind w:left="720"/>
      <w:contextualSpacing/>
      <w:jc w:val="both"/>
    </w:pPr>
    <w:rPr>
      <w:rFonts w:ascii="Arial" w:eastAsia="Arial" w:hAnsi="Arial" w:cs="Arial"/>
      <w:color w:val="000000"/>
      <w:lang w:eastAsia="en-GB"/>
    </w:rPr>
  </w:style>
  <w:style w:type="paragraph" w:styleId="FootnoteText">
    <w:name w:val="footnote text"/>
    <w:basedOn w:val="Normal"/>
    <w:link w:val="FootnoteTextChar"/>
    <w:uiPriority w:val="99"/>
    <w:unhideWhenUsed/>
    <w:rsid w:val="009A1B79"/>
    <w:pPr>
      <w:pBdr>
        <w:top w:val="nil"/>
        <w:left w:val="nil"/>
        <w:bottom w:val="nil"/>
        <w:right w:val="nil"/>
        <w:between w:val="nil"/>
      </w:pBdr>
      <w:spacing w:after="0" w:line="240" w:lineRule="auto"/>
      <w:jc w:val="both"/>
    </w:pPr>
    <w:rPr>
      <w:rFonts w:ascii="Arial" w:eastAsia="Arial" w:hAnsi="Arial" w:cs="Arial"/>
      <w:color w:val="000000"/>
      <w:sz w:val="20"/>
      <w:szCs w:val="20"/>
      <w:lang w:eastAsia="en-GB"/>
    </w:rPr>
  </w:style>
  <w:style w:type="character" w:customStyle="1" w:styleId="FootnoteTextChar">
    <w:name w:val="Footnote Text Char"/>
    <w:basedOn w:val="DefaultParagraphFont"/>
    <w:link w:val="FootnoteText"/>
    <w:uiPriority w:val="99"/>
    <w:rsid w:val="009A1B79"/>
    <w:rPr>
      <w:rFonts w:ascii="Arial" w:eastAsia="Arial" w:hAnsi="Arial" w:cs="Arial"/>
      <w:color w:val="000000"/>
      <w:sz w:val="20"/>
      <w:szCs w:val="20"/>
      <w:lang w:val="en-GB" w:eastAsia="en-GB"/>
    </w:rPr>
  </w:style>
  <w:style w:type="character" w:styleId="FootnoteReference">
    <w:name w:val="footnote reference"/>
    <w:basedOn w:val="DefaultParagraphFont"/>
    <w:uiPriority w:val="99"/>
    <w:semiHidden/>
    <w:unhideWhenUsed/>
    <w:rsid w:val="009A1B79"/>
    <w:rPr>
      <w:vertAlign w:val="superscript"/>
    </w:rPr>
  </w:style>
  <w:style w:type="character" w:customStyle="1" w:styleId="Hyperlink1">
    <w:name w:val="Hyperlink1"/>
    <w:basedOn w:val="DefaultParagraphFont"/>
    <w:uiPriority w:val="99"/>
    <w:unhideWhenUsed/>
    <w:rsid w:val="009A1B79"/>
    <w:rPr>
      <w:color w:val="0563C1"/>
      <w:u w:val="single"/>
    </w:rPr>
  </w:style>
  <w:style w:type="character" w:styleId="Hyperlink">
    <w:name w:val="Hyperlink"/>
    <w:basedOn w:val="DefaultParagraphFont"/>
    <w:uiPriority w:val="99"/>
    <w:unhideWhenUsed/>
    <w:rsid w:val="009A1B79"/>
    <w:rPr>
      <w:color w:val="0000FF" w:themeColor="hyperlink"/>
      <w:u w:val="single"/>
    </w:rPr>
  </w:style>
  <w:style w:type="paragraph" w:styleId="BalloonText">
    <w:name w:val="Balloon Text"/>
    <w:basedOn w:val="Normal"/>
    <w:link w:val="BalloonTextChar"/>
    <w:uiPriority w:val="99"/>
    <w:semiHidden/>
    <w:unhideWhenUsed/>
    <w:rsid w:val="009A1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B79"/>
    <w:rPr>
      <w:rFonts w:ascii="Tahoma" w:hAnsi="Tahoma" w:cs="Tahoma"/>
      <w:sz w:val="16"/>
      <w:szCs w:val="16"/>
      <w:lang w:val="en-GB"/>
    </w:rPr>
  </w:style>
  <w:style w:type="paragraph" w:styleId="Footer">
    <w:name w:val="footer"/>
    <w:basedOn w:val="Normal"/>
    <w:link w:val="FooterChar"/>
    <w:uiPriority w:val="99"/>
    <w:semiHidden/>
    <w:unhideWhenUsed/>
    <w:rsid w:val="00B7203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2037"/>
    <w:rPr>
      <w:lang w:val="en-GB"/>
    </w:rPr>
  </w:style>
  <w:style w:type="character" w:styleId="UnresolvedMention">
    <w:name w:val="Unresolved Mention"/>
    <w:basedOn w:val="DefaultParagraphFont"/>
    <w:uiPriority w:val="99"/>
    <w:semiHidden/>
    <w:unhideWhenUsed/>
    <w:rsid w:val="00B6019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167A6C"/>
    <w:pPr>
      <w:spacing w:before="100" w:beforeAutospacing="1" w:after="100" w:afterAutospacing="1" w:line="240" w:lineRule="auto"/>
    </w:pPr>
    <w:rPr>
      <w:rFonts w:ascii="Times New Roman" w:eastAsia="Times New Roman" w:hAnsi="Times New Roman" w:cs="Times New Roman"/>
      <w:sz w:val="24"/>
      <w:szCs w:val="24"/>
      <w:lang w:val="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61458">
      <w:bodyDiv w:val="1"/>
      <w:marLeft w:val="0"/>
      <w:marRight w:val="0"/>
      <w:marTop w:val="0"/>
      <w:marBottom w:val="0"/>
      <w:divBdr>
        <w:top w:val="none" w:sz="0" w:space="0" w:color="auto"/>
        <w:left w:val="none" w:sz="0" w:space="0" w:color="auto"/>
        <w:bottom w:val="none" w:sz="0" w:space="0" w:color="auto"/>
        <w:right w:val="none" w:sz="0" w:space="0" w:color="auto"/>
      </w:divBdr>
    </w:div>
    <w:div w:id="2087339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deepa.namibar@asylumaccess.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thestar.com.my/news/nation/2022/04/26/immigration-dept-denies-allegations-depots-overcrowded-understaffed" TargetMode="External"/><Relationship Id="rId18" Type="http://schemas.openxmlformats.org/officeDocument/2006/relationships/hyperlink" Target="https://www.researchgate.net/publication/345543572_The_outbreak_of_Covid-19_in_Malaysia_Pushing_migrant_workers_at_the_margin/citation/download" TargetMode="External"/><Relationship Id="rId26" Type="http://schemas.openxmlformats.org/officeDocument/2006/relationships/hyperlink" Target="https://www.malaymail.com/news/malaysia/2019/08/30/malaysia-wrong-in-deporting-turkish-family-under-un-protection-says-ngo/1785885" TargetMode="External"/><Relationship Id="rId39" Type="http://schemas.openxmlformats.org/officeDocument/2006/relationships/hyperlink" Target="https://www.nst.com.my/news/nation/2022/12/863125/no-decision-yet-allow-refugees-work-malaysia" TargetMode="External"/><Relationship Id="rId21" Type="http://schemas.openxmlformats.org/officeDocument/2006/relationships/hyperlink" Target="http://www.suhakam.org.my/wp-content/uploads/2013/12/Report-on-Roundtable-on-ATD-Malaysia.pdf" TargetMode="External"/><Relationship Id="rId34" Type="http://schemas.openxmlformats.org/officeDocument/2006/relationships/hyperlink" Target="https://www.solidaritasperempuan.org/sub/wp-content/uploads/2021/01/Report-Koalisi-Buruh-Migran-Berdaulat.pdf" TargetMode="External"/><Relationship Id="rId42" Type="http://schemas.openxmlformats.org/officeDocument/2006/relationships/hyperlink" Target="https://www.malaysiakini.com/news/531434" TargetMode="External"/><Relationship Id="rId47" Type="http://schemas.openxmlformats.org/officeDocument/2006/relationships/hyperlink" Target="https://digitallibrary.un.org/record/3904297?ln=en" TargetMode="External"/><Relationship Id="rId50" Type="http://schemas.openxmlformats.org/officeDocument/2006/relationships/hyperlink" Target="https://refugeemalaysia.org/support/health-services/" TargetMode="External"/><Relationship Id="rId55" Type="http://schemas.openxmlformats.org/officeDocument/2006/relationships/hyperlink" Target="https://newnaratif.com/in-malaysia-undocumented-women-fear-arrest-during-pregnancy/" TargetMode="External"/><Relationship Id="rId7" Type="http://schemas.openxmlformats.org/officeDocument/2006/relationships/hyperlink" Target="https://digitallibrary.un.org/record/3978685?ln=en" TargetMode="External"/><Relationship Id="rId2" Type="http://schemas.openxmlformats.org/officeDocument/2006/relationships/hyperlink" Target="https://www.unhcr.org/en-my/figures-at-a-glance-in-malaysia.html" TargetMode="External"/><Relationship Id="rId16" Type="http://schemas.openxmlformats.org/officeDocument/2006/relationships/hyperlink" Target="https://www.bbc.co.uk/news/world-asia-52515000" TargetMode="External"/><Relationship Id="rId29" Type="http://schemas.openxmlformats.org/officeDocument/2006/relationships/hyperlink" Target="https://www.theguardian.com/world/2020/apr/16/bangladesh-rescues-hundreds-of-rohingya-drifting-at-sea-for-nearly-two-months" TargetMode="External"/><Relationship Id="rId11" Type="http://schemas.openxmlformats.org/officeDocument/2006/relationships/hyperlink" Target="https://digitallibrary.un.org/record/3978685?ln=en" TargetMode="External"/><Relationship Id="rId24" Type="http://schemas.openxmlformats.org/officeDocument/2006/relationships/hyperlink" Target="https://digitallibrary.un.org/record/3904297?ln=en" TargetMode="External"/><Relationship Id="rId32" Type="http://schemas.openxmlformats.org/officeDocument/2006/relationships/hyperlink" Target="https://www.thestar.com.my/opinion/letters/2020/06/14/malaysia-not-fulfilling-legal-obligations-in-treatment-of-refugees" TargetMode="External"/><Relationship Id="rId37" Type="http://schemas.openxmlformats.org/officeDocument/2006/relationships/hyperlink" Target="https://www.parlimen.gov.my/files/jindex/pdf/JDR28072022.pdf" TargetMode="External"/><Relationship Id="rId40" Type="http://schemas.openxmlformats.org/officeDocument/2006/relationships/hyperlink" Target="https://www.aljazeera.com/news/2022/6/8/malaysia-refugee-food-industry-exploitation" TargetMode="External"/><Relationship Id="rId45" Type="http://schemas.openxmlformats.org/officeDocument/2006/relationships/hyperlink" Target="https://www.freemalaysiatoday.com/category/nation/2020/05/27/dont-rent-your-property-to-illegal-migrants-dbkl-tells-homeowners/" TargetMode="External"/><Relationship Id="rId53" Type="http://schemas.openxmlformats.org/officeDocument/2006/relationships/hyperlink" Target="https://digitallibrary.un.org/record/3978685?ln=en" TargetMode="External"/><Relationship Id="rId58" Type="http://schemas.openxmlformats.org/officeDocument/2006/relationships/hyperlink" Target="https://www.interventionjournal.org/text.asp?2021/19/1/15/312713" TargetMode="External"/><Relationship Id="rId5" Type="http://schemas.openxmlformats.org/officeDocument/2006/relationships/hyperlink" Target="https://documents-dds-ny.un.org/doc/UNDOC/GEN/N18/070/50/PDF/N1807050.pdf?OpenElement" TargetMode="External"/><Relationship Id="rId19" Type="http://schemas.openxmlformats.org/officeDocument/2006/relationships/hyperlink" Target="https://www.parlimen.gov.my/files/hindex/pdf/KKDR-20072020.pdf" TargetMode="External"/><Relationship Id="rId4" Type="http://schemas.openxmlformats.org/officeDocument/2006/relationships/hyperlink" Target="http://www.refworld.org/docid/54620fb54.html" TargetMode="External"/><Relationship Id="rId9" Type="http://schemas.openxmlformats.org/officeDocument/2006/relationships/hyperlink" Target="https://www.thestar.com.my/news/nation/2020/05/01/hamzah-refugees-have-no-rights-to-state-demands-from-malaysian-government" TargetMode="External"/><Relationship Id="rId14" Type="http://schemas.openxmlformats.org/officeDocument/2006/relationships/hyperlink" Target="https://www.freemalaysiatoday.com/category/nation/2022/04/26/suhakam-commissioner-wrong-about-immigration-depots-capacity-says-dg/" TargetMode="External"/><Relationship Id="rId22" Type="http://schemas.openxmlformats.org/officeDocument/2006/relationships/hyperlink" Target="https://www.parlimen.gov.my/files/jindex/pdf/JDR03112020.pdf" TargetMode="External"/><Relationship Id="rId27" Type="http://schemas.openxmlformats.org/officeDocument/2006/relationships/hyperlink" Target="https://www.reuters.com/article/us-myanmar-politics-malaysia/defying-court-order-malaysia-deports-more-than-1000-myanmar-nationals-idUSKBN2AN09M" TargetMode="External"/><Relationship Id="rId30" Type="http://schemas.openxmlformats.org/officeDocument/2006/relationships/hyperlink" Target="https://www.ohchr.org/en/press-releases/2022/12/coordinated-regional-action-urged-stop-rohingya-deaths-sea-un-expert" TargetMode="External"/><Relationship Id="rId35" Type="http://schemas.openxmlformats.org/officeDocument/2006/relationships/hyperlink" Target="https://suhakam.org.my/publications/annual-reports/" TargetMode="External"/><Relationship Id="rId43" Type="http://schemas.openxmlformats.org/officeDocument/2006/relationships/hyperlink" Target="https://www.malaymail.com/news/malaysia/2020/06/21/dbkl-bans-refugees-unaccompanied-foreigners-from-selayang-wholesale-market/1877544" TargetMode="External"/><Relationship Id="rId48" Type="http://schemas.openxmlformats.org/officeDocument/2006/relationships/hyperlink" Target="https://digitallibrary.un.org/record/3978685?ln=en" TargetMode="External"/><Relationship Id="rId56" Type="http://schemas.openxmlformats.org/officeDocument/2006/relationships/hyperlink" Target="https://www.thestar.com.my/news/nation/2020/04/28/immigration-dept-continuing-operations-arrests-despite-mco-says-dg" TargetMode="External"/><Relationship Id="rId8" Type="http://schemas.openxmlformats.org/officeDocument/2006/relationships/hyperlink" Target="https://www.parlimen.gov.my/files/jindex/pdf/JDR06102022.pdf" TargetMode="External"/><Relationship Id="rId51" Type="http://schemas.openxmlformats.org/officeDocument/2006/relationships/hyperlink" Target="https://digitallibrary.un.org/record/3904297?ln=en" TargetMode="External"/><Relationship Id="rId3" Type="http://schemas.openxmlformats.org/officeDocument/2006/relationships/hyperlink" Target="https://documents-dds-ny.un.org/doc/UNDOC/GEN/N18/070/50/PDF/N1807050.pdf?OpenElement" TargetMode="External"/><Relationship Id="rId12" Type="http://schemas.openxmlformats.org/officeDocument/2006/relationships/hyperlink" Target="http://www.equalrightstrust.org/ertdocumentbank/Equal%20Only%20in%20Name%20-%20Malaysia%20-%20Full%20Report.pdf" TargetMode="External"/><Relationship Id="rId17" Type="http://schemas.openxmlformats.org/officeDocument/2006/relationships/hyperlink" Target="https://www.freemalaysiatoday.com/category/nation/2020/05/02/top-cop-says-arrests-of-undocumented-migrants-part-of-covid-19-measures/" TargetMode="External"/><Relationship Id="rId25" Type="http://schemas.openxmlformats.org/officeDocument/2006/relationships/hyperlink" Target="https://digitallibrary.un.org/record/3978685?ln=en" TargetMode="External"/><Relationship Id="rId33" Type="http://schemas.openxmlformats.org/officeDocument/2006/relationships/hyperlink" Target="https://migranteinternational.org/sigh-of-relief-after-mothers-and-toddlers-detained-in-malaysia-arrived-back-in-ph-migrante-international/" TargetMode="External"/><Relationship Id="rId38" Type="http://schemas.openxmlformats.org/officeDocument/2006/relationships/hyperlink" Target="https://www.parlimen.gov.my/files/jindex/pdf/JDR23032022.pdf" TargetMode="External"/><Relationship Id="rId46" Type="http://schemas.openxmlformats.org/officeDocument/2006/relationships/hyperlink" Target="https://www.malaymail.com/news/malaysia/2020/07/11/over-100-un-cardholder-refugees-in-kl-facing-eviction-amid-immigration-crac/1883580" TargetMode="External"/><Relationship Id="rId59" Type="http://schemas.openxmlformats.org/officeDocument/2006/relationships/hyperlink" Target="https://equityhealthj.biomedcentral.com/articles/10.1186/s12939-018-0833-x" TargetMode="External"/><Relationship Id="rId20" Type="http://schemas.openxmlformats.org/officeDocument/2006/relationships/hyperlink" Target="https://digitallibrary.un.org/record/3978685?ln=en" TargetMode="External"/><Relationship Id="rId41" Type="http://schemas.openxmlformats.org/officeDocument/2006/relationships/hyperlink" Target="https://documents-dds-ny.un.org/doc/UNDOC/GEN/N18/070/50/PDF/N1807050.pdf?OpenElement" TargetMode="External"/><Relationship Id="rId54" Type="http://schemas.openxmlformats.org/officeDocument/2006/relationships/hyperlink" Target="https://msf-seasia.org/blogs/18851" TargetMode="External"/><Relationship Id="rId1" Type="http://schemas.openxmlformats.org/officeDocument/2006/relationships/hyperlink" Target="https://documents-dds-ny.un.org/doc/UNDOC/GEN/N18/070/50/PDF/N1807050.pdf?OpenElement" TargetMode="External"/><Relationship Id="rId6" Type="http://schemas.openxmlformats.org/officeDocument/2006/relationships/hyperlink" Target="https://digitallibrary.un.org/record/3904297?ln=en" TargetMode="External"/><Relationship Id="rId15" Type="http://schemas.openxmlformats.org/officeDocument/2006/relationships/hyperlink" Target="https://www.reuters.com/article/malaysia-migrants-idUSKBN27R13P" TargetMode="External"/><Relationship Id="rId23" Type="http://schemas.openxmlformats.org/officeDocument/2006/relationships/hyperlink" Target="https://www.thestar.com.my/news/nation/2022/04/26/immigration-dept-denies-allegations-depots-overcrowded-understaffed" TargetMode="External"/><Relationship Id="rId28" Type="http://schemas.openxmlformats.org/officeDocument/2006/relationships/hyperlink" Target="https://reliefweb.int/report/malaysia/malaysia-allow-rohingya-refugees-ashore-covid-19-no-basis-pushing-back-boats" TargetMode="External"/><Relationship Id="rId36" Type="http://schemas.openxmlformats.org/officeDocument/2006/relationships/hyperlink" Target="https://documents-dds-ny.un.org/doc/UNDOC/GEN/N18/070/50/PDF/N1807050.pdf?OpenElement" TargetMode="External"/><Relationship Id="rId49" Type="http://schemas.openxmlformats.org/officeDocument/2006/relationships/hyperlink" Target="https://stg.moh.gov.my/index.php/database_stores/store_view_page/10/354" TargetMode="External"/><Relationship Id="rId57" Type="http://schemas.openxmlformats.org/officeDocument/2006/relationships/hyperlink" Target="https://www.thesundaily.my/local/govt-to-send-illegal-immigrants-identified-in-areas-under-emco-to-immigration-facilities-EM2349240" TargetMode="External"/><Relationship Id="rId10" Type="http://schemas.openxmlformats.org/officeDocument/2006/relationships/hyperlink" Target="https://digitallibrary.un.org/record/3904297?ln=en" TargetMode="External"/><Relationship Id="rId31" Type="http://schemas.openxmlformats.org/officeDocument/2006/relationships/hyperlink" Target="https://www.amnesty.org/en/latest/news/2020/07/malaysia-stop-plans-to-cane-rohingya-refugees-and-release-those-already-imprisoned/" TargetMode="External"/><Relationship Id="rId44" Type="http://schemas.openxmlformats.org/officeDocument/2006/relationships/hyperlink" Target="https://www.malaymail.com/news/malaysia/2020/07/05/foreign-workers-in-pj-market-ponder-their-fate-in-malaysia/1881589" TargetMode="External"/><Relationship Id="rId52" Type="http://schemas.openxmlformats.org/officeDocument/2006/relationships/hyperlink" Target="https://stg.moh.gov.my/index.php/database_stores/store_view_page/10/127" TargetMode="External"/><Relationship Id="rId60" Type="http://schemas.openxmlformats.org/officeDocument/2006/relationships/hyperlink" Target="https://www.ncbi.nlm.nih.gov/pmc/articles/PMC9180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4OiKeCF8lipyGNLioFgiXdSVZpA==">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0A0B5D-F1D8-43C1-83AC-443BF17A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Jaipreet AAM</dc:creator>
  <cp:lastModifiedBy>Hui Ying Tham</cp:lastModifiedBy>
  <cp:revision>2</cp:revision>
  <cp:lastPrinted>2023-01-30T11:46:00Z</cp:lastPrinted>
  <dcterms:created xsi:type="dcterms:W3CDTF">2023-01-30T11:57:00Z</dcterms:created>
  <dcterms:modified xsi:type="dcterms:W3CDTF">2023-01-30T11:57:00Z</dcterms:modified>
</cp:coreProperties>
</file>