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75"/>
        <w:gridCol w:w="5310"/>
      </w:tblGrid>
      <w:tr w:rsidR="007965D1" w14:paraId="6A9B6A1F" w14:textId="77777777" w:rsidTr="007965D1">
        <w:tc>
          <w:tcPr>
            <w:tcW w:w="3775" w:type="dxa"/>
          </w:tcPr>
          <w:p w14:paraId="7D13386A" w14:textId="0397637B" w:rsidR="007965D1" w:rsidRDefault="00A43AB9" w:rsidP="007965D1">
            <w:pPr>
              <w:rPr>
                <w:rFonts w:ascii="Garamond" w:eastAsia="Garamond" w:hAnsi="Garamond" w:cs="Garamond"/>
                <w:b/>
                <w:sz w:val="24"/>
                <w:szCs w:val="24"/>
              </w:rPr>
            </w:pPr>
            <w:r>
              <w:rPr>
                <w:rFonts w:ascii="Garamond" w:eastAsia="Garamond" w:hAnsi="Garamond" w:cs="Garamond"/>
                <w:b/>
                <w:noProof/>
                <w:sz w:val="24"/>
                <w:szCs w:val="24"/>
              </w:rPr>
              <w:drawing>
                <wp:inline distT="0" distB="0" distL="0" distR="0" wp14:anchorId="61D0237F" wp14:editId="08EEB9B9">
                  <wp:extent cx="828675" cy="828675"/>
                  <wp:effectExtent l="0" t="0" r="9525" b="9525"/>
                  <wp:docPr id="41"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n 41"/>
                          <pic:cNvPicPr/>
                        </pic:nvPicPr>
                        <pic:blipFill>
                          <a:blip r:embed="rId9" cstate="print">
                            <a:extLst>
                              <a:ext uri="{28A0092B-C50C-407E-A947-70E740481C1C}">
                                <a14:useLocalDpi xmlns:a14="http://schemas.microsoft.com/office/drawing/2010/main" val="0"/>
                              </a:ext>
                            </a:extLst>
                          </a:blip>
                          <a:stretch>
                            <a:fillRect/>
                          </a:stretch>
                        </pic:blipFill>
                        <pic:spPr>
                          <a:xfrm>
                            <a:off x="0" y="0"/>
                            <a:ext cx="830437" cy="830437"/>
                          </a:xfrm>
                          <a:prstGeom prst="rect">
                            <a:avLst/>
                          </a:prstGeom>
                        </pic:spPr>
                      </pic:pic>
                    </a:graphicData>
                  </a:graphic>
                </wp:inline>
              </w:drawing>
            </w:r>
          </w:p>
        </w:tc>
        <w:tc>
          <w:tcPr>
            <w:tcW w:w="5310" w:type="dxa"/>
          </w:tcPr>
          <w:p w14:paraId="462DAF30" w14:textId="77777777" w:rsidR="007965D1" w:rsidRDefault="007965D1" w:rsidP="007965D1">
            <w:pPr>
              <w:jc w:val="right"/>
              <w:rPr>
                <w:rFonts w:ascii="Garamond" w:eastAsia="Garamond" w:hAnsi="Garamond" w:cs="Garamond"/>
                <w:b/>
                <w:sz w:val="24"/>
                <w:szCs w:val="24"/>
              </w:rPr>
            </w:pPr>
          </w:p>
          <w:p w14:paraId="4E41306A" w14:textId="77777777" w:rsidR="007965D1" w:rsidRDefault="007965D1" w:rsidP="007965D1">
            <w:pPr>
              <w:jc w:val="right"/>
              <w:rPr>
                <w:rFonts w:ascii="Garamond" w:eastAsia="Garamond" w:hAnsi="Garamond" w:cs="Garamond"/>
                <w:b/>
                <w:sz w:val="24"/>
                <w:szCs w:val="24"/>
              </w:rPr>
            </w:pPr>
          </w:p>
          <w:p w14:paraId="70F6CD2D" w14:textId="61A69223" w:rsidR="007965D1" w:rsidRPr="007965D1" w:rsidRDefault="007965D1" w:rsidP="007965D1">
            <w:pPr>
              <w:jc w:val="right"/>
              <w:rPr>
                <w:rFonts w:ascii="Garamond" w:eastAsia="Garamond" w:hAnsi="Garamond" w:cs="Garamond"/>
                <w:b/>
                <w:sz w:val="26"/>
                <w:szCs w:val="26"/>
              </w:rPr>
            </w:pPr>
            <w:r w:rsidRPr="007965D1">
              <w:rPr>
                <w:rFonts w:ascii="Garamond" w:eastAsia="Garamond" w:hAnsi="Garamond" w:cs="Garamond"/>
                <w:b/>
                <w:sz w:val="26"/>
                <w:szCs w:val="26"/>
              </w:rPr>
              <w:t>Colectivo LOS PACIENTES IMPORTAN</w:t>
            </w:r>
          </w:p>
          <w:p w14:paraId="472A1994" w14:textId="77777777" w:rsidR="007965D1" w:rsidRDefault="007965D1" w:rsidP="007965D1">
            <w:pPr>
              <w:jc w:val="both"/>
              <w:rPr>
                <w:rFonts w:ascii="Garamond" w:eastAsia="Garamond" w:hAnsi="Garamond" w:cs="Garamond"/>
                <w:b/>
                <w:sz w:val="24"/>
                <w:szCs w:val="24"/>
              </w:rPr>
            </w:pPr>
          </w:p>
          <w:p w14:paraId="65683A8F" w14:textId="77777777" w:rsidR="007965D1" w:rsidRDefault="007965D1" w:rsidP="007965D1">
            <w:pPr>
              <w:rPr>
                <w:rFonts w:ascii="Garamond" w:eastAsia="Garamond" w:hAnsi="Garamond" w:cs="Garamond"/>
                <w:b/>
                <w:sz w:val="24"/>
                <w:szCs w:val="24"/>
              </w:rPr>
            </w:pPr>
          </w:p>
        </w:tc>
      </w:tr>
    </w:tbl>
    <w:p w14:paraId="00000002" w14:textId="4BC21D9C" w:rsidR="0080721E" w:rsidRDefault="008B284A" w:rsidP="007965D1">
      <w:pPr>
        <w:spacing w:after="0" w:line="240" w:lineRule="auto"/>
        <w:jc w:val="right"/>
        <w:rPr>
          <w:rFonts w:ascii="Garamond" w:eastAsia="Garamond" w:hAnsi="Garamond" w:cs="Garamond"/>
          <w:b/>
          <w:sz w:val="24"/>
          <w:szCs w:val="24"/>
        </w:rPr>
      </w:pPr>
      <w:r>
        <w:rPr>
          <w:rFonts w:ascii="Garamond" w:eastAsia="Garamond" w:hAnsi="Garamond" w:cs="Garamond"/>
          <w:b/>
          <w:sz w:val="24"/>
          <w:szCs w:val="24"/>
        </w:rPr>
        <w:t xml:space="preserve"> </w:t>
      </w:r>
      <w:r w:rsidR="007965D1">
        <w:rPr>
          <w:rFonts w:ascii="Garamond" w:eastAsia="Garamond" w:hAnsi="Garamond" w:cs="Garamond"/>
          <w:b/>
          <w:sz w:val="24"/>
          <w:szCs w:val="24"/>
        </w:rPr>
        <w:t xml:space="preserve">                                                     </w:t>
      </w:r>
    </w:p>
    <w:p w14:paraId="324F9359" w14:textId="77777777" w:rsidR="006A2AA4" w:rsidRDefault="006A2AA4" w:rsidP="00920A7B">
      <w:pPr>
        <w:spacing w:after="0" w:line="240" w:lineRule="auto"/>
        <w:ind w:firstLine="698"/>
        <w:jc w:val="both"/>
        <w:rPr>
          <w:rFonts w:ascii="Garamond" w:eastAsia="Times New Roman" w:hAnsi="Garamond" w:cs="Arial"/>
        </w:rPr>
      </w:pPr>
    </w:p>
    <w:p w14:paraId="695AC49D" w14:textId="2BE95ADD" w:rsidR="00101436" w:rsidRPr="000D314E" w:rsidRDefault="00115CEA" w:rsidP="00920A7B">
      <w:pPr>
        <w:spacing w:after="0" w:line="240" w:lineRule="auto"/>
        <w:ind w:firstLine="698"/>
        <w:jc w:val="both"/>
        <w:rPr>
          <w:rFonts w:ascii="Garamond" w:eastAsia="Times New Roman" w:hAnsi="Garamond" w:cs="Arial"/>
        </w:rPr>
      </w:pPr>
      <w:r w:rsidRPr="000D314E">
        <w:rPr>
          <w:rFonts w:ascii="Garamond" w:eastAsia="Times New Roman" w:hAnsi="Garamond" w:cs="Arial"/>
        </w:rPr>
        <w:t>E</w:t>
      </w:r>
      <w:r w:rsidR="00101436" w:rsidRPr="000D314E">
        <w:rPr>
          <w:rFonts w:ascii="Garamond" w:eastAsia="Times New Roman" w:hAnsi="Garamond" w:cs="Arial"/>
        </w:rPr>
        <w:t xml:space="preserve">l </w:t>
      </w:r>
      <w:r w:rsidR="00101436" w:rsidRPr="000D314E">
        <w:rPr>
          <w:rFonts w:ascii="Garamond" w:eastAsia="Times New Roman" w:hAnsi="Garamond" w:cs="Arial"/>
          <w:b/>
          <w:bCs/>
        </w:rPr>
        <w:t>Colectivo</w:t>
      </w:r>
      <w:r w:rsidR="00101436" w:rsidRPr="000D314E">
        <w:rPr>
          <w:rFonts w:ascii="Garamond" w:eastAsia="Times New Roman" w:hAnsi="Garamond" w:cs="Arial"/>
        </w:rPr>
        <w:t xml:space="preserve"> </w:t>
      </w:r>
      <w:r w:rsidR="00101436" w:rsidRPr="000D314E">
        <w:rPr>
          <w:rFonts w:ascii="Garamond" w:eastAsia="Times New Roman" w:hAnsi="Garamond" w:cs="Arial"/>
          <w:b/>
        </w:rPr>
        <w:t>Los Pacientes Importan</w:t>
      </w:r>
      <w:r w:rsidRPr="000D314E">
        <w:rPr>
          <w:rFonts w:ascii="Garamond" w:eastAsia="Times New Roman" w:hAnsi="Garamond" w:cs="Arial"/>
          <w:b/>
        </w:rPr>
        <w:t>,</w:t>
      </w:r>
      <w:r w:rsidR="00101436" w:rsidRPr="000D314E">
        <w:rPr>
          <w:rFonts w:ascii="Garamond" w:eastAsia="Times New Roman" w:hAnsi="Garamond" w:cs="Arial"/>
        </w:rPr>
        <w:t xml:space="preserve"> está integrado por 33 organizaciones </w:t>
      </w:r>
      <w:r w:rsidRPr="000D314E">
        <w:rPr>
          <w:rFonts w:ascii="Garamond" w:eastAsia="Garamond" w:hAnsi="Garamond" w:cs="Garamond"/>
        </w:rPr>
        <w:t>personas que velan por los derechos humanos</w:t>
      </w:r>
      <w:r w:rsidR="00101436" w:rsidRPr="000D314E">
        <w:rPr>
          <w:rFonts w:ascii="Garamond" w:eastAsia="Times New Roman" w:hAnsi="Garamond" w:cs="Arial"/>
        </w:rPr>
        <w:t xml:space="preserve"> </w:t>
      </w:r>
      <w:r w:rsidRPr="000D314E">
        <w:rPr>
          <w:rFonts w:ascii="Garamond" w:eastAsia="Times New Roman" w:hAnsi="Garamond" w:cs="Arial"/>
        </w:rPr>
        <w:t>de las p</w:t>
      </w:r>
      <w:r w:rsidR="00101436" w:rsidRPr="000D314E">
        <w:rPr>
          <w:rFonts w:ascii="Garamond" w:eastAsia="Times New Roman" w:hAnsi="Garamond" w:cs="Arial"/>
        </w:rPr>
        <w:t xml:space="preserve">ersonas </w:t>
      </w:r>
      <w:r w:rsidRPr="000D314E">
        <w:rPr>
          <w:rFonts w:ascii="Garamond" w:eastAsia="Times New Roman" w:hAnsi="Garamond" w:cs="Arial"/>
        </w:rPr>
        <w:t xml:space="preserve">afectadas con </w:t>
      </w:r>
      <w:r w:rsidR="00101436" w:rsidRPr="000D314E">
        <w:rPr>
          <w:rFonts w:ascii="Garamond" w:eastAsia="Times New Roman" w:hAnsi="Garamond" w:cs="Arial"/>
        </w:rPr>
        <w:t>enfermedades raras, huérfanas, autoinmunes, crónicas y cáncer</w:t>
      </w:r>
      <w:r w:rsidR="00101436" w:rsidRPr="000D314E">
        <w:rPr>
          <w:rStyle w:val="Refdenotaalpie"/>
          <w:rFonts w:ascii="Garamond" w:eastAsia="Times New Roman" w:hAnsi="Garamond" w:cs="Arial"/>
        </w:rPr>
        <w:footnoteReference w:id="1"/>
      </w:r>
      <w:r w:rsidRPr="000D314E">
        <w:rPr>
          <w:rFonts w:ascii="Garamond" w:eastAsia="Times New Roman" w:hAnsi="Garamond" w:cs="Arial"/>
        </w:rPr>
        <w:t xml:space="preserve"> </w:t>
      </w:r>
      <w:r w:rsidR="00101436" w:rsidRPr="000D314E">
        <w:rPr>
          <w:rFonts w:ascii="Garamond" w:eastAsia="Times New Roman" w:hAnsi="Garamond" w:cs="Arial"/>
        </w:rPr>
        <w:t>en el país.</w:t>
      </w:r>
    </w:p>
    <w:p w14:paraId="5A35983F" w14:textId="77777777" w:rsidR="00101436" w:rsidRPr="000D314E" w:rsidRDefault="00101436" w:rsidP="00101436">
      <w:pPr>
        <w:spacing w:after="0" w:line="240" w:lineRule="auto"/>
        <w:ind w:firstLine="698"/>
        <w:rPr>
          <w:rFonts w:ascii="Garamond" w:eastAsia="Times New Roman" w:hAnsi="Garamond" w:cs="Arial"/>
        </w:rPr>
      </w:pPr>
    </w:p>
    <w:p w14:paraId="7AC7A5EA" w14:textId="1BA0DA3B" w:rsidR="00717408" w:rsidRPr="000D314E" w:rsidRDefault="00101436" w:rsidP="00115CEA">
      <w:pPr>
        <w:spacing w:after="0" w:line="240" w:lineRule="auto"/>
        <w:ind w:firstLine="698"/>
        <w:jc w:val="both"/>
        <w:rPr>
          <w:rFonts w:ascii="Garamond" w:eastAsia="Times New Roman" w:hAnsi="Garamond" w:cs="Arial"/>
        </w:rPr>
      </w:pPr>
      <w:r w:rsidRPr="000D314E">
        <w:rPr>
          <w:rFonts w:ascii="Garamond" w:eastAsia="Times New Roman" w:hAnsi="Garamond" w:cs="Arial"/>
        </w:rPr>
        <w:t>De acuerdo a la Organización Mundial de la Salud de la ONU, en el Perú, existen más de dos millones de personas viviendo con una enfermedad rara o huérfana (ERH). El 72% de las enfermedades raras son de causa genética y el 70% de las enfermedades genéticas raras comienzan en la infancia. A</w:t>
      </w:r>
      <w:r w:rsidR="00717408" w:rsidRPr="000D314E">
        <w:rPr>
          <w:rFonts w:ascii="Garamond" w:eastAsia="Times New Roman" w:hAnsi="Garamond" w:cs="Arial"/>
        </w:rPr>
        <w:t>demás</w:t>
      </w:r>
      <w:r w:rsidRPr="000D314E">
        <w:rPr>
          <w:rFonts w:ascii="Garamond" w:eastAsia="Times New Roman" w:hAnsi="Garamond" w:cs="Arial"/>
        </w:rPr>
        <w:t xml:space="preserve">, </w:t>
      </w:r>
      <w:r w:rsidRPr="000D314E">
        <w:rPr>
          <w:rFonts w:ascii="Garamond" w:eastAsia="Times New Roman" w:hAnsi="Garamond" w:cs="Arial"/>
          <w:b/>
          <w:bCs/>
        </w:rPr>
        <w:t>las enfermedades raras son progresivas, degenerativas, discapacitantes y mortales si no son detectadas y tratadas a tiempo</w:t>
      </w:r>
      <w:r w:rsidR="00717408" w:rsidRPr="000D314E">
        <w:rPr>
          <w:rFonts w:ascii="Garamond" w:eastAsia="Times New Roman" w:hAnsi="Garamond" w:cs="Arial"/>
        </w:rPr>
        <w:t>.</w:t>
      </w:r>
    </w:p>
    <w:p w14:paraId="02977AE8" w14:textId="77777777" w:rsidR="00717408" w:rsidRPr="000D314E" w:rsidRDefault="00717408" w:rsidP="00115CEA">
      <w:pPr>
        <w:spacing w:after="0" w:line="240" w:lineRule="auto"/>
        <w:ind w:firstLine="698"/>
        <w:jc w:val="both"/>
        <w:rPr>
          <w:rFonts w:ascii="Garamond" w:eastAsia="Times New Roman" w:hAnsi="Garamond" w:cs="Arial"/>
        </w:rPr>
      </w:pPr>
    </w:p>
    <w:p w14:paraId="62A8E450" w14:textId="3CBA0805" w:rsidR="000D314E" w:rsidRPr="000D314E" w:rsidRDefault="00A43AB9" w:rsidP="00115CEA">
      <w:pPr>
        <w:spacing w:after="0" w:line="240" w:lineRule="auto"/>
        <w:ind w:firstLine="698"/>
        <w:jc w:val="both"/>
        <w:rPr>
          <w:rFonts w:ascii="Garamond" w:eastAsia="Times New Roman" w:hAnsi="Garamond" w:cs="Arial"/>
        </w:rPr>
      </w:pPr>
      <w:r w:rsidRPr="000D314E">
        <w:rPr>
          <w:rFonts w:ascii="Garamond" w:eastAsia="Times New Roman" w:hAnsi="Garamond" w:cs="Arial"/>
        </w:rPr>
        <w:t>En el Perú, e</w:t>
      </w:r>
      <w:r w:rsidR="00717408" w:rsidRPr="000D314E">
        <w:rPr>
          <w:rFonts w:ascii="Garamond" w:eastAsia="Times New Roman" w:hAnsi="Garamond" w:cs="Arial"/>
        </w:rPr>
        <w:t>l</w:t>
      </w:r>
      <w:r w:rsidR="00717408" w:rsidRPr="000D314E">
        <w:rPr>
          <w:rFonts w:ascii="Garamond" w:eastAsia="Times New Roman" w:hAnsi="Garamond" w:cs="Arial"/>
        </w:rPr>
        <w:t xml:space="preserve"> 91% de los peruanos tiene seguro</w:t>
      </w:r>
      <w:r w:rsidR="00717408" w:rsidRPr="000D314E">
        <w:rPr>
          <w:rFonts w:ascii="Garamond" w:eastAsia="Times New Roman" w:hAnsi="Garamond" w:cs="Arial"/>
        </w:rPr>
        <w:t xml:space="preserve"> de salud</w:t>
      </w:r>
      <w:r w:rsidR="00717408" w:rsidRPr="000D314E">
        <w:rPr>
          <w:rFonts w:ascii="Garamond" w:eastAsia="Times New Roman" w:hAnsi="Garamond" w:cs="Arial"/>
        </w:rPr>
        <w:t xml:space="preserve"> (60.6% tiene SIS; 28.8% tiene EsSalud; 1.8% tiene FFAA y PNP; y, sólo un 9% tiene seguro privado)</w:t>
      </w:r>
      <w:r w:rsidRPr="000D314E">
        <w:rPr>
          <w:rStyle w:val="Refdenotaalpie"/>
          <w:rFonts w:ascii="Garamond" w:eastAsia="Times New Roman" w:hAnsi="Garamond" w:cs="Arial"/>
        </w:rPr>
        <w:footnoteReference w:id="2"/>
      </w:r>
      <w:r w:rsidR="00717408" w:rsidRPr="000D314E">
        <w:rPr>
          <w:rFonts w:ascii="Garamond" w:eastAsia="Times New Roman" w:hAnsi="Garamond" w:cs="Arial"/>
        </w:rPr>
        <w:t xml:space="preserve">, </w:t>
      </w:r>
      <w:r w:rsidRPr="000D314E">
        <w:rPr>
          <w:rFonts w:ascii="Garamond" w:eastAsia="Times New Roman" w:hAnsi="Garamond" w:cs="Arial"/>
        </w:rPr>
        <w:t xml:space="preserve">sin embargo, </w:t>
      </w:r>
      <w:r w:rsidR="00717408" w:rsidRPr="000D314E">
        <w:rPr>
          <w:rFonts w:ascii="Garamond" w:eastAsia="Times New Roman" w:hAnsi="Garamond" w:cs="Arial"/>
        </w:rPr>
        <w:t xml:space="preserve">ello no significa que las personas accedan </w:t>
      </w:r>
      <w:r w:rsidRPr="000D314E">
        <w:rPr>
          <w:rFonts w:ascii="Garamond" w:eastAsia="Times New Roman" w:hAnsi="Garamond" w:cs="Arial"/>
        </w:rPr>
        <w:t>al derecho a la salud</w:t>
      </w:r>
      <w:r w:rsidR="000D314E">
        <w:rPr>
          <w:rFonts w:ascii="Garamond" w:eastAsia="Times New Roman" w:hAnsi="Garamond" w:cs="Arial"/>
        </w:rPr>
        <w:t>, ay que, l</w:t>
      </w:r>
      <w:r w:rsidR="00717408" w:rsidRPr="000D314E">
        <w:rPr>
          <w:rFonts w:ascii="Garamond" w:eastAsia="Times New Roman" w:hAnsi="Garamond" w:cs="Arial"/>
        </w:rPr>
        <w:t xml:space="preserve">as personas que padecen alguna de estas enfermedades no tienen acceso </w:t>
      </w:r>
      <w:r w:rsidRPr="000D314E">
        <w:rPr>
          <w:rFonts w:ascii="Garamond" w:eastAsia="Times New Roman" w:hAnsi="Garamond" w:cs="Arial"/>
        </w:rPr>
        <w:t>equitativo</w:t>
      </w:r>
      <w:r w:rsidR="00717408" w:rsidRPr="000D314E">
        <w:rPr>
          <w:rFonts w:ascii="Garamond" w:eastAsia="Times New Roman" w:hAnsi="Garamond" w:cs="Arial"/>
        </w:rPr>
        <w:t xml:space="preserve"> a los servicios de salud</w:t>
      </w:r>
      <w:r w:rsidRPr="000D314E">
        <w:rPr>
          <w:rFonts w:ascii="Garamond" w:eastAsia="Times New Roman" w:hAnsi="Garamond" w:cs="Arial"/>
        </w:rPr>
        <w:t>, citas, exámenes</w:t>
      </w:r>
      <w:r w:rsidR="000D314E">
        <w:rPr>
          <w:rFonts w:ascii="Garamond" w:eastAsia="Times New Roman" w:hAnsi="Garamond" w:cs="Arial"/>
        </w:rPr>
        <w:t>,</w:t>
      </w:r>
      <w:r w:rsidR="00717408" w:rsidRPr="000D314E">
        <w:rPr>
          <w:rFonts w:ascii="Garamond" w:eastAsia="Times New Roman" w:hAnsi="Garamond" w:cs="Arial"/>
        </w:rPr>
        <w:t xml:space="preserve"> tratamientos, </w:t>
      </w:r>
      <w:r w:rsidR="000D314E">
        <w:rPr>
          <w:rFonts w:ascii="Garamond" w:eastAsia="Times New Roman" w:hAnsi="Garamond" w:cs="Arial"/>
        </w:rPr>
        <w:t>rehabilitación</w:t>
      </w:r>
      <w:r w:rsidR="00717408" w:rsidRPr="000D314E">
        <w:rPr>
          <w:rFonts w:ascii="Garamond" w:eastAsia="Times New Roman" w:hAnsi="Garamond" w:cs="Arial"/>
        </w:rPr>
        <w:t xml:space="preserve">, </w:t>
      </w:r>
      <w:r w:rsidR="000D314E">
        <w:rPr>
          <w:rFonts w:ascii="Garamond" w:eastAsia="Times New Roman" w:hAnsi="Garamond" w:cs="Arial"/>
        </w:rPr>
        <w:t>u otros.</w:t>
      </w:r>
    </w:p>
    <w:p w14:paraId="6AF89743" w14:textId="77777777" w:rsidR="000D314E" w:rsidRPr="000D314E" w:rsidRDefault="000D314E" w:rsidP="00115CEA">
      <w:pPr>
        <w:spacing w:after="0" w:line="240" w:lineRule="auto"/>
        <w:ind w:firstLine="698"/>
        <w:jc w:val="both"/>
        <w:rPr>
          <w:rFonts w:ascii="Garamond" w:eastAsia="Times New Roman" w:hAnsi="Garamond" w:cs="Arial"/>
        </w:rPr>
      </w:pPr>
    </w:p>
    <w:p w14:paraId="5DCFD3EF" w14:textId="77777777" w:rsidR="000D314E" w:rsidRPr="000D314E" w:rsidRDefault="000D314E" w:rsidP="006A2AA4">
      <w:pPr>
        <w:spacing w:after="0" w:line="240" w:lineRule="auto"/>
        <w:ind w:firstLine="698"/>
        <w:jc w:val="both"/>
        <w:rPr>
          <w:rFonts w:ascii="Garamond" w:eastAsia="Courier New" w:hAnsi="Garamond" w:cs="Calibri Light"/>
        </w:rPr>
      </w:pPr>
      <w:r w:rsidRPr="000D314E">
        <w:rPr>
          <w:rFonts w:ascii="Garamond" w:eastAsia="Courier New" w:hAnsi="Garamond" w:cs="Calibri Light"/>
        </w:rPr>
        <w:t xml:space="preserve">En agosto del 2023, la </w:t>
      </w:r>
      <w:r w:rsidRPr="000D314E">
        <w:rPr>
          <w:rFonts w:ascii="Garamond" w:eastAsia="Courier New" w:hAnsi="Garamond" w:cs="Calibri Light"/>
          <w:b/>
          <w:bCs/>
        </w:rPr>
        <w:t>Comisión Interamericana de Derechos Humanos</w:t>
      </w:r>
      <w:r w:rsidRPr="000D314E">
        <w:rPr>
          <w:rFonts w:ascii="Garamond" w:eastAsia="Courier New" w:hAnsi="Garamond" w:cs="Calibri Light"/>
        </w:rPr>
        <w:t xml:space="preserve"> junto a la </w:t>
      </w:r>
      <w:r w:rsidRPr="000D314E">
        <w:rPr>
          <w:rFonts w:ascii="Garamond" w:eastAsia="Courier New" w:hAnsi="Garamond" w:cs="Calibri Light"/>
          <w:b/>
          <w:bCs/>
        </w:rPr>
        <w:t>REDESCA</w:t>
      </w:r>
      <w:r w:rsidRPr="000D314E">
        <w:rPr>
          <w:rFonts w:ascii="Garamond" w:eastAsia="Courier New" w:hAnsi="Garamond" w:cs="Calibri Light"/>
        </w:rPr>
        <w:t xml:space="preserve"> emitieron el informe “</w:t>
      </w:r>
      <w:r w:rsidRPr="000D314E">
        <w:rPr>
          <w:rFonts w:ascii="Garamond" w:eastAsia="Courier New" w:hAnsi="Garamond" w:cs="Calibri Light"/>
          <w:i/>
          <w:iCs/>
        </w:rPr>
        <w:t>Las enfermedades no transmisibles y los Derechos Humanos en las Américas</w:t>
      </w:r>
      <w:r w:rsidRPr="000D314E">
        <w:rPr>
          <w:rFonts w:ascii="Garamond" w:eastAsia="Courier New" w:hAnsi="Garamond" w:cs="Calibri Light"/>
        </w:rPr>
        <w:t xml:space="preserve">”, señalando su preocupación sobre la situación de los pacientes con ERH en el Perú: </w:t>
      </w:r>
    </w:p>
    <w:p w14:paraId="09025590" w14:textId="77777777" w:rsidR="000D314E" w:rsidRPr="000D314E" w:rsidRDefault="000D314E" w:rsidP="000D314E">
      <w:pPr>
        <w:spacing w:after="0" w:line="240" w:lineRule="auto"/>
        <w:jc w:val="both"/>
        <w:rPr>
          <w:rFonts w:ascii="Garamond" w:eastAsia="Courier New" w:hAnsi="Garamond" w:cs="Calibri Light"/>
        </w:rPr>
      </w:pPr>
    </w:p>
    <w:p w14:paraId="551E813A" w14:textId="41CE040A" w:rsidR="00101436" w:rsidRPr="006A2AA4" w:rsidRDefault="000D314E" w:rsidP="006A2AA4">
      <w:pPr>
        <w:spacing w:after="0" w:line="240" w:lineRule="auto"/>
        <w:ind w:left="284"/>
        <w:jc w:val="both"/>
        <w:rPr>
          <w:rFonts w:ascii="Garamond" w:eastAsia="Courier New" w:hAnsi="Garamond" w:cs="Calibri Light"/>
        </w:rPr>
      </w:pPr>
      <w:r w:rsidRPr="000D314E">
        <w:rPr>
          <w:rFonts w:ascii="Garamond" w:eastAsia="Courier New" w:hAnsi="Garamond" w:cs="Calibri Light"/>
        </w:rPr>
        <w:t>“</w:t>
      </w:r>
      <w:r w:rsidRPr="000D314E">
        <w:rPr>
          <w:rFonts w:ascii="Garamond" w:eastAsia="Courier New" w:hAnsi="Garamond" w:cs="Calibri Light"/>
          <w:i/>
          <w:iCs/>
        </w:rPr>
        <w:t>En el contexto de la recolección de información sobre el abordaje de las ENT en la región, la Relatoría Especial ha recibido la denuncia de organizaciones de la sociedad civil del Perú en relación a la violación al derecho a la salud y el acceso a tratamiento que padecen las personas viviendo con enfermedades huérfanas en el Perú, lo cual afecta de manera particular a niños, niñas y adolescentes. La Comisión y su REDESCA recuerda a los Estados que el derecho a la salud incluye la atención de salud oportuna y apropiada, así como los elementos esenciales e interrelacionados de disponibilidad, accesibilidad, aceptabilidad y calidad de los servicios, bienes e instalaciones de salud, incluyendo los medicamentos y los beneficios del progreso científico en esta área, en condiciones de igualdad y no discriminación</w:t>
      </w:r>
      <w:r w:rsidRPr="000D314E">
        <w:rPr>
          <w:rFonts w:ascii="Garamond" w:eastAsia="Courier New" w:hAnsi="Garamond" w:cs="Calibri Light"/>
        </w:rPr>
        <w:t>”</w:t>
      </w:r>
      <w:r w:rsidRPr="000D314E">
        <w:rPr>
          <w:rStyle w:val="Refdenotaalpie"/>
          <w:rFonts w:ascii="Garamond" w:eastAsia="Courier New" w:hAnsi="Garamond" w:cs="Calibri Light"/>
        </w:rPr>
        <w:footnoteReference w:id="3"/>
      </w:r>
      <w:r w:rsidRPr="000D314E">
        <w:rPr>
          <w:rFonts w:ascii="Garamond" w:eastAsia="Courier New" w:hAnsi="Garamond" w:cs="Calibri Light"/>
        </w:rPr>
        <w:t>.</w:t>
      </w:r>
    </w:p>
    <w:p w14:paraId="0E506DD5" w14:textId="77777777" w:rsidR="00101436" w:rsidRPr="000D314E" w:rsidRDefault="00101436" w:rsidP="00101436">
      <w:pPr>
        <w:spacing w:after="0" w:line="240" w:lineRule="auto"/>
        <w:ind w:firstLine="698"/>
        <w:rPr>
          <w:rFonts w:ascii="Garamond" w:eastAsia="Times New Roman" w:hAnsi="Garamond" w:cs="Arial"/>
        </w:rPr>
      </w:pPr>
    </w:p>
    <w:p w14:paraId="0000000A" w14:textId="3FDF0467" w:rsidR="0080721E" w:rsidRPr="000D314E" w:rsidRDefault="00A43AB9" w:rsidP="00DA73DA">
      <w:pPr>
        <w:spacing w:after="0" w:line="240" w:lineRule="auto"/>
        <w:ind w:firstLine="698"/>
        <w:jc w:val="both"/>
        <w:rPr>
          <w:rFonts w:ascii="Garamond" w:eastAsia="Times New Roman" w:hAnsi="Garamond" w:cs="Arial"/>
        </w:rPr>
      </w:pPr>
      <w:r w:rsidRPr="000D314E">
        <w:rPr>
          <w:rFonts w:ascii="Garamond" w:eastAsia="Times New Roman" w:hAnsi="Garamond" w:cs="Arial"/>
        </w:rPr>
        <w:t>Por</w:t>
      </w:r>
      <w:r w:rsidR="00101436" w:rsidRPr="000D314E">
        <w:rPr>
          <w:rFonts w:ascii="Garamond" w:eastAsia="Times New Roman" w:hAnsi="Garamond" w:cs="Arial"/>
        </w:rPr>
        <w:t xml:space="preserve"> ello, el </w:t>
      </w:r>
      <w:r w:rsidR="00101436" w:rsidRPr="006A2AA4">
        <w:rPr>
          <w:rFonts w:ascii="Garamond" w:eastAsia="Times New Roman" w:hAnsi="Garamond" w:cs="Arial"/>
          <w:b/>
          <w:bCs/>
        </w:rPr>
        <w:t>Colectivo Los Pacientes Importan</w:t>
      </w:r>
      <w:r w:rsidR="00101436" w:rsidRPr="000D314E">
        <w:rPr>
          <w:rFonts w:ascii="Garamond" w:eastAsia="Times New Roman" w:hAnsi="Garamond" w:cs="Arial"/>
        </w:rPr>
        <w:t xml:space="preserve"> realiza diversas actividades con el objetivo de concientizar y visibilizar la problemática de millones de personas con enfermedades raras, huérfanas, autoinmunes, crónicas y cáncer que no tienen acceso al derecho a la salud</w:t>
      </w:r>
      <w:r w:rsidR="00DA73DA" w:rsidRPr="000D314E">
        <w:rPr>
          <w:rFonts w:ascii="Garamond" w:eastAsia="Times New Roman" w:hAnsi="Garamond" w:cs="Arial"/>
        </w:rPr>
        <w:t xml:space="preserve">, es decir, a </w:t>
      </w:r>
      <w:r w:rsidR="00DA73DA" w:rsidRPr="000D314E">
        <w:rPr>
          <w:rFonts w:ascii="Garamond" w:eastAsia="Garamond" w:hAnsi="Garamond" w:cs="Garamond"/>
        </w:rPr>
        <w:t>un diagnóstico y tratamiento de calidad, oportuno y continuo que le permita mejorar su calidad de vida</w:t>
      </w:r>
      <w:r w:rsidR="00101436" w:rsidRPr="000D314E">
        <w:rPr>
          <w:rFonts w:ascii="Garamond" w:eastAsia="Times New Roman" w:hAnsi="Garamond" w:cs="Arial"/>
        </w:rPr>
        <w:t>.</w:t>
      </w:r>
    </w:p>
    <w:p w14:paraId="0000000B" w14:textId="13A497FF" w:rsidR="0080721E" w:rsidRPr="000D314E" w:rsidRDefault="0080721E">
      <w:pPr>
        <w:spacing w:after="0" w:line="240" w:lineRule="auto"/>
        <w:jc w:val="both"/>
        <w:rPr>
          <w:rFonts w:ascii="Garamond" w:eastAsia="Garamond" w:hAnsi="Garamond" w:cs="Garamond"/>
          <w:b/>
        </w:rPr>
      </w:pPr>
    </w:p>
    <w:p w14:paraId="2C67C3B1" w14:textId="77777777" w:rsidR="00D93786" w:rsidRPr="000D314E" w:rsidRDefault="00D93786">
      <w:pPr>
        <w:spacing w:after="0" w:line="240" w:lineRule="auto"/>
        <w:jc w:val="both"/>
        <w:rPr>
          <w:rFonts w:ascii="Garamond" w:eastAsia="Garamond" w:hAnsi="Garamond" w:cs="Garamond"/>
          <w:b/>
        </w:rPr>
      </w:pPr>
    </w:p>
    <w:p w14:paraId="00000022" w14:textId="67A80317" w:rsidR="0080721E" w:rsidRDefault="00E70E36">
      <w:pPr>
        <w:spacing w:after="0" w:line="240" w:lineRule="auto"/>
        <w:jc w:val="center"/>
        <w:rPr>
          <w:rFonts w:ascii="Garamond" w:eastAsia="Garamond" w:hAnsi="Garamond" w:cs="Garamond"/>
          <w:b/>
          <w:sz w:val="28"/>
          <w:szCs w:val="28"/>
        </w:rPr>
      </w:pPr>
      <w:r>
        <w:rPr>
          <w:rFonts w:ascii="Garamond" w:eastAsia="Garamond" w:hAnsi="Garamond" w:cs="Garamond"/>
          <w:b/>
          <w:sz w:val="28"/>
          <w:szCs w:val="28"/>
        </w:rPr>
        <w:lastRenderedPageBreak/>
        <w:t xml:space="preserve">INFORME DEL COLECTIVO LOS PACIENTES IMPORTAN AL </w:t>
      </w:r>
      <w:r w:rsidR="00A65B65">
        <w:rPr>
          <w:rFonts w:ascii="Garamond" w:eastAsia="Garamond" w:hAnsi="Garamond" w:cs="Garamond"/>
          <w:b/>
          <w:sz w:val="28"/>
          <w:szCs w:val="28"/>
        </w:rPr>
        <w:t>COMITÉ DE DERECHOS ECONÓMICOS SOCIA</w:t>
      </w:r>
      <w:r w:rsidR="00D43B90">
        <w:rPr>
          <w:rFonts w:ascii="Garamond" w:eastAsia="Garamond" w:hAnsi="Garamond" w:cs="Garamond"/>
          <w:b/>
          <w:sz w:val="28"/>
          <w:szCs w:val="28"/>
        </w:rPr>
        <w:t>LES Y CULTURALES – DESC DE LAS NACIONES UNIDAS</w:t>
      </w:r>
    </w:p>
    <w:p w14:paraId="00000023" w14:textId="77777777" w:rsidR="0080721E" w:rsidRDefault="0080721E">
      <w:pPr>
        <w:spacing w:after="0" w:line="240" w:lineRule="auto"/>
        <w:jc w:val="center"/>
        <w:rPr>
          <w:rFonts w:ascii="Garamond" w:eastAsia="Garamond" w:hAnsi="Garamond" w:cs="Garamond"/>
          <w:b/>
          <w:sz w:val="28"/>
          <w:szCs w:val="28"/>
        </w:rPr>
      </w:pPr>
    </w:p>
    <w:p w14:paraId="00000024" w14:textId="77777777" w:rsidR="0080721E" w:rsidRPr="00A43AB9" w:rsidRDefault="00E70E36">
      <w:pPr>
        <w:spacing w:after="0" w:line="240" w:lineRule="auto"/>
        <w:jc w:val="center"/>
        <w:rPr>
          <w:rFonts w:ascii="Garamond" w:eastAsia="Garamond" w:hAnsi="Garamond" w:cs="Garamond"/>
          <w:b/>
          <w:sz w:val="24"/>
          <w:szCs w:val="24"/>
        </w:rPr>
      </w:pPr>
      <w:r w:rsidRPr="00A43AB9">
        <w:rPr>
          <w:rFonts w:ascii="Garamond" w:eastAsia="Garamond" w:hAnsi="Garamond" w:cs="Garamond"/>
          <w:b/>
          <w:sz w:val="24"/>
          <w:szCs w:val="24"/>
        </w:rPr>
        <w:t>Situación de los derechos humanos de los pacientes con enfermedades raras, huérfanas, crónicas, autoinmunes y cáncer en el Perú</w:t>
      </w:r>
    </w:p>
    <w:p w14:paraId="00000025" w14:textId="77777777" w:rsidR="0080721E" w:rsidRDefault="0080721E">
      <w:pPr>
        <w:spacing w:after="0" w:line="240" w:lineRule="auto"/>
        <w:jc w:val="both"/>
        <w:rPr>
          <w:rFonts w:ascii="Garamond" w:eastAsia="Garamond" w:hAnsi="Garamond" w:cs="Garamond"/>
          <w:b/>
        </w:rPr>
      </w:pPr>
    </w:p>
    <w:p w14:paraId="00000026" w14:textId="77777777" w:rsidR="0080721E" w:rsidRDefault="0080721E">
      <w:pPr>
        <w:spacing w:after="0" w:line="240" w:lineRule="auto"/>
        <w:jc w:val="both"/>
        <w:rPr>
          <w:rFonts w:ascii="Garamond" w:eastAsia="Garamond" w:hAnsi="Garamond" w:cs="Garamond"/>
          <w:b/>
        </w:rPr>
      </w:pPr>
    </w:p>
    <w:p w14:paraId="00000027" w14:textId="77777777" w:rsidR="0080721E" w:rsidRDefault="00E70E36">
      <w:pPr>
        <w:spacing w:after="0" w:line="240" w:lineRule="auto"/>
        <w:jc w:val="both"/>
        <w:rPr>
          <w:rFonts w:ascii="Garamond" w:eastAsia="Garamond" w:hAnsi="Garamond" w:cs="Garamond"/>
          <w:b/>
        </w:rPr>
      </w:pPr>
      <w:r>
        <w:rPr>
          <w:rFonts w:ascii="Garamond" w:eastAsia="Garamond" w:hAnsi="Garamond" w:cs="Garamond"/>
          <w:b/>
        </w:rPr>
        <w:t>INTRODUCCIÓN</w:t>
      </w:r>
    </w:p>
    <w:p w14:paraId="00000028" w14:textId="77777777" w:rsidR="0080721E" w:rsidRDefault="0080721E">
      <w:pPr>
        <w:spacing w:after="0" w:line="240" w:lineRule="auto"/>
        <w:jc w:val="both"/>
        <w:rPr>
          <w:rFonts w:ascii="Garamond" w:eastAsia="Garamond" w:hAnsi="Garamond" w:cs="Garamond"/>
          <w:b/>
        </w:rPr>
      </w:pPr>
    </w:p>
    <w:p w14:paraId="00000029" w14:textId="16952A58" w:rsidR="0080721E" w:rsidRDefault="00E70E36" w:rsidP="004163D0">
      <w:pPr>
        <w:spacing w:after="0" w:line="240" w:lineRule="auto"/>
        <w:jc w:val="both"/>
        <w:rPr>
          <w:rFonts w:ascii="Garamond" w:eastAsia="Garamond" w:hAnsi="Garamond" w:cs="Garamond"/>
        </w:rPr>
      </w:pPr>
      <w:r>
        <w:rPr>
          <w:rFonts w:ascii="Garamond" w:eastAsia="Garamond" w:hAnsi="Garamond" w:cs="Garamond"/>
        </w:rPr>
        <w:t>Las enfermedades raras o huérfanas afectan a unos 2</w:t>
      </w:r>
      <w:r w:rsidR="002D3ACB">
        <w:rPr>
          <w:rFonts w:ascii="Garamond" w:eastAsia="Garamond" w:hAnsi="Garamond" w:cs="Garamond"/>
        </w:rPr>
        <w:t>.5</w:t>
      </w:r>
      <w:r>
        <w:rPr>
          <w:rFonts w:ascii="Garamond" w:eastAsia="Garamond" w:hAnsi="Garamond" w:cs="Garamond"/>
        </w:rPr>
        <w:t xml:space="preserve"> millones de peruanos</w:t>
      </w:r>
      <w:r w:rsidR="002D3ACB">
        <w:rPr>
          <w:rStyle w:val="Refdenotaalpie"/>
          <w:rFonts w:ascii="Garamond" w:eastAsia="Garamond" w:hAnsi="Garamond" w:cs="Garamond"/>
        </w:rPr>
        <w:footnoteReference w:id="4"/>
      </w:r>
      <w:r>
        <w:rPr>
          <w:rFonts w:ascii="Garamond" w:eastAsia="Garamond" w:hAnsi="Garamond" w:cs="Garamond"/>
        </w:rPr>
        <w:t>. Las enfermedades raras comprenden un grupo de entre 6000 a 8000 enfermedades reconocidas a nivel mundial. Sin embargo, en el Perú, sólo se reconoce un listado de 546 códigos, lo que representa más de 546 enfermedades. La mayoría de ellas son de causa genética. Por ello, es importante un diagnóstico temprano, deben ser detectadas a tiempo para poder recibir un tratamiento de calidad y oportuno, pues la consecuencia de no hacerlo podría influir en</w:t>
      </w:r>
      <w:r w:rsidR="004A0DAB">
        <w:rPr>
          <w:rFonts w:ascii="Garamond" w:eastAsia="Garamond" w:hAnsi="Garamond" w:cs="Garamond"/>
        </w:rPr>
        <w:t xml:space="preserve"> </w:t>
      </w:r>
      <w:r>
        <w:rPr>
          <w:rFonts w:ascii="Garamond" w:eastAsia="Garamond" w:hAnsi="Garamond" w:cs="Garamond"/>
        </w:rPr>
        <w:t>la condición de salud física y mental del paciente: discapacidad física, discapacidad mental o muerte prematura.</w:t>
      </w:r>
    </w:p>
    <w:p w14:paraId="0000002A" w14:textId="77777777" w:rsidR="0080721E" w:rsidRDefault="0080721E" w:rsidP="004163D0">
      <w:pPr>
        <w:spacing w:after="0" w:line="240" w:lineRule="auto"/>
        <w:jc w:val="both"/>
        <w:rPr>
          <w:rFonts w:ascii="Garamond" w:eastAsia="Garamond" w:hAnsi="Garamond" w:cs="Garamond"/>
        </w:rPr>
      </w:pPr>
    </w:p>
    <w:p w14:paraId="0000002B" w14:textId="404FD17E" w:rsidR="0080721E" w:rsidRDefault="00E70E36" w:rsidP="004163D0">
      <w:pPr>
        <w:spacing w:after="0" w:line="240" w:lineRule="auto"/>
        <w:jc w:val="both"/>
        <w:rPr>
          <w:rFonts w:ascii="Garamond" w:eastAsia="Garamond" w:hAnsi="Garamond" w:cs="Garamond"/>
        </w:rPr>
      </w:pPr>
      <w:r>
        <w:rPr>
          <w:rFonts w:ascii="Garamond" w:eastAsia="Garamond" w:hAnsi="Garamond" w:cs="Garamond"/>
        </w:rPr>
        <w:t>Durante la pandemia por la Covid-19, el sistema de salud en el Perú colapsó debido a la crisis sanitaria</w:t>
      </w:r>
      <w:r w:rsidR="00820AF8">
        <w:rPr>
          <w:rFonts w:ascii="Garamond" w:eastAsia="Garamond" w:hAnsi="Garamond" w:cs="Garamond"/>
        </w:rPr>
        <w:t xml:space="preserve"> y reveló las falencias que ya existían. E</w:t>
      </w:r>
      <w:r>
        <w:rPr>
          <w:rFonts w:ascii="Garamond" w:eastAsia="Garamond" w:hAnsi="Garamond" w:cs="Garamond"/>
        </w:rPr>
        <w:t>llo significó un retraso en la atención de pacientes</w:t>
      </w:r>
      <w:r w:rsidR="002D3ACB">
        <w:rPr>
          <w:rFonts w:ascii="Garamond" w:eastAsia="Garamond" w:hAnsi="Garamond" w:cs="Garamond"/>
        </w:rPr>
        <w:t xml:space="preserve"> </w:t>
      </w:r>
      <w:r w:rsidR="004163D0">
        <w:rPr>
          <w:rFonts w:ascii="Garamond" w:eastAsia="Garamond" w:hAnsi="Garamond" w:cs="Garamond"/>
        </w:rPr>
        <w:t>–las brechas de atención inciden en la alta tasa de mortalidad, hasta 14 veces mayor que otros países</w:t>
      </w:r>
      <w:r w:rsidR="004163D0">
        <w:rPr>
          <w:rStyle w:val="Refdenotaalpie"/>
          <w:rFonts w:ascii="Garamond" w:eastAsia="Garamond" w:hAnsi="Garamond" w:cs="Garamond"/>
        </w:rPr>
        <w:footnoteReference w:id="5"/>
      </w:r>
      <w:r w:rsidR="004163D0">
        <w:rPr>
          <w:rFonts w:ascii="Garamond" w:eastAsia="Garamond" w:hAnsi="Garamond" w:cs="Garamond"/>
        </w:rPr>
        <w:t>-</w:t>
      </w:r>
      <w:r>
        <w:rPr>
          <w:rFonts w:ascii="Garamond" w:eastAsia="Garamond" w:hAnsi="Garamond" w:cs="Garamond"/>
        </w:rPr>
        <w:t xml:space="preserve">, así como en la dación de citas y de tratamientos, afectando en la salud de las y los peruanos, pero en especial de los pacientes en situación de vulnerabilidad como las personas con enfermedades raras, huérfanas, crónicas, autoinmunes y cáncer, afectando gravemente su salud. Por lo que ahora, tenemos una pandemia de pacientes crónicos debido </w:t>
      </w:r>
      <w:r w:rsidR="00A43AB9">
        <w:rPr>
          <w:rFonts w:ascii="Garamond" w:eastAsia="Garamond" w:hAnsi="Garamond" w:cs="Garamond"/>
        </w:rPr>
        <w:t>la</w:t>
      </w:r>
      <w:r>
        <w:rPr>
          <w:rFonts w:ascii="Garamond" w:eastAsia="Garamond" w:hAnsi="Garamond" w:cs="Garamond"/>
        </w:rPr>
        <w:t xml:space="preserve"> falta de atención.</w:t>
      </w:r>
    </w:p>
    <w:p w14:paraId="0000002C" w14:textId="77777777" w:rsidR="0080721E" w:rsidRDefault="0080721E" w:rsidP="004163D0">
      <w:pPr>
        <w:spacing w:after="0" w:line="240" w:lineRule="auto"/>
        <w:jc w:val="both"/>
        <w:rPr>
          <w:rFonts w:ascii="Garamond" w:eastAsia="Garamond" w:hAnsi="Garamond" w:cs="Garamond"/>
        </w:rPr>
      </w:pPr>
    </w:p>
    <w:p w14:paraId="6E57106E" w14:textId="0639043F" w:rsidR="00E93C23" w:rsidRDefault="006D35D8" w:rsidP="004163D0">
      <w:pPr>
        <w:spacing w:after="0" w:line="240" w:lineRule="auto"/>
        <w:jc w:val="both"/>
        <w:rPr>
          <w:rFonts w:ascii="Garamond" w:eastAsia="Garamond" w:hAnsi="Garamond" w:cs="Garamond"/>
        </w:rPr>
      </w:pPr>
      <w:r>
        <w:rPr>
          <w:rFonts w:ascii="Garamond" w:eastAsia="Garamond" w:hAnsi="Garamond" w:cs="Garamond"/>
        </w:rPr>
        <w:t>En</w:t>
      </w:r>
      <w:r w:rsidR="00E70E36" w:rsidRPr="006D35D8">
        <w:rPr>
          <w:rFonts w:ascii="Garamond" w:eastAsia="Garamond" w:hAnsi="Garamond" w:cs="Garamond"/>
        </w:rPr>
        <w:t xml:space="preserve"> el Perú, las personas que padecen alguna de estas enfermedades no tienen acceso por igual a servicios de salud y tratamientos de calidad y oportunos debido a que el sistema de salud está segmentado y fragmentado</w:t>
      </w:r>
      <w:r w:rsidR="00820AF8" w:rsidRPr="006D35D8">
        <w:rPr>
          <w:rStyle w:val="Refdenotaalpie"/>
          <w:rFonts w:ascii="Garamond" w:eastAsia="Garamond" w:hAnsi="Garamond" w:cs="Garamond"/>
        </w:rPr>
        <w:footnoteReference w:id="6"/>
      </w:r>
      <w:r w:rsidR="00E70E36" w:rsidRPr="006D35D8">
        <w:rPr>
          <w:rFonts w:ascii="Garamond" w:eastAsia="Garamond" w:hAnsi="Garamond" w:cs="Garamond"/>
        </w:rPr>
        <w:t xml:space="preserve">. </w:t>
      </w:r>
      <w:r>
        <w:rPr>
          <w:rFonts w:ascii="Garamond" w:eastAsia="Garamond" w:hAnsi="Garamond" w:cs="Garamond"/>
        </w:rPr>
        <w:t>El Ministerio de Salud es el ente rector en la materia, pero el sistema de salud está d</w:t>
      </w:r>
      <w:r w:rsidR="00E70E36" w:rsidRPr="006D35D8">
        <w:rPr>
          <w:rFonts w:ascii="Garamond" w:eastAsia="Garamond" w:hAnsi="Garamond" w:cs="Garamond"/>
        </w:rPr>
        <w:t>ividido</w:t>
      </w:r>
      <w:r>
        <w:rPr>
          <w:rFonts w:ascii="Garamond" w:eastAsia="Garamond" w:hAnsi="Garamond" w:cs="Garamond"/>
        </w:rPr>
        <w:t xml:space="preserve"> en instituciones que no dialogan entre sí; dividido en </w:t>
      </w:r>
      <w:r w:rsidR="00E70E36" w:rsidRPr="006D35D8">
        <w:rPr>
          <w:rFonts w:ascii="Garamond" w:eastAsia="Garamond" w:hAnsi="Garamond" w:cs="Garamond"/>
        </w:rPr>
        <w:t>Instituciones Prestadoras de Servicio de Salud (IPRESS) que ofrecen distintos servicios de salud a las personas dependiendo de su estructura y fin</w:t>
      </w:r>
      <w:r w:rsidR="00670C8E">
        <w:rPr>
          <w:rFonts w:ascii="Garamond" w:eastAsia="Garamond" w:hAnsi="Garamond" w:cs="Garamond"/>
        </w:rPr>
        <w:t>anciamiento.</w:t>
      </w:r>
      <w:r w:rsidR="004A0DAB">
        <w:rPr>
          <w:rFonts w:ascii="Garamond" w:eastAsia="Garamond" w:hAnsi="Garamond" w:cs="Garamond"/>
        </w:rPr>
        <w:t xml:space="preserve"> </w:t>
      </w:r>
    </w:p>
    <w:p w14:paraId="2C968D71" w14:textId="77777777" w:rsidR="00E93C23" w:rsidRDefault="00E93C23" w:rsidP="004163D0">
      <w:pPr>
        <w:spacing w:after="0" w:line="240" w:lineRule="auto"/>
        <w:jc w:val="both"/>
        <w:rPr>
          <w:rFonts w:ascii="Garamond" w:eastAsia="Garamond" w:hAnsi="Garamond" w:cs="Garamond"/>
        </w:rPr>
      </w:pPr>
    </w:p>
    <w:p w14:paraId="18AE273F" w14:textId="01CB0A55" w:rsidR="00E93C23" w:rsidRDefault="00D43B90" w:rsidP="004163D0">
      <w:pPr>
        <w:spacing w:after="0" w:line="240" w:lineRule="auto"/>
        <w:jc w:val="both"/>
        <w:rPr>
          <w:rFonts w:ascii="Garamond" w:eastAsia="Garamond" w:hAnsi="Garamond" w:cs="Garamond"/>
        </w:rPr>
      </w:pPr>
      <w:r>
        <w:rPr>
          <w:rFonts w:ascii="Garamond" w:eastAsia="Garamond" w:hAnsi="Garamond" w:cs="Garamond"/>
        </w:rPr>
        <w:t>Asimismo</w:t>
      </w:r>
      <w:r w:rsidR="00E93C23">
        <w:rPr>
          <w:rFonts w:ascii="Garamond" w:eastAsia="Garamond" w:hAnsi="Garamond" w:cs="Garamond"/>
        </w:rPr>
        <w:t>, cada peruano cuenta con distinto seguro de salud dependiendo de</w:t>
      </w:r>
      <w:r w:rsidR="004A0DAB">
        <w:rPr>
          <w:rFonts w:ascii="Garamond" w:eastAsia="Garamond" w:hAnsi="Garamond" w:cs="Garamond"/>
        </w:rPr>
        <w:t xml:space="preserve"> su situación económica y de</w:t>
      </w:r>
      <w:r>
        <w:rPr>
          <w:rFonts w:ascii="Garamond" w:eastAsia="Garamond" w:hAnsi="Garamond" w:cs="Garamond"/>
        </w:rPr>
        <w:t>l trabajo que realice</w:t>
      </w:r>
      <w:r w:rsidR="004A0DAB">
        <w:rPr>
          <w:rFonts w:ascii="Garamond" w:eastAsia="Garamond" w:hAnsi="Garamond" w:cs="Garamond"/>
        </w:rPr>
        <w:t>, más del 70% de la población peruana es informal</w:t>
      </w:r>
      <w:r w:rsidR="00452710">
        <w:rPr>
          <w:rFonts w:ascii="Garamond" w:eastAsia="Garamond" w:hAnsi="Garamond" w:cs="Garamond"/>
        </w:rPr>
        <w:t xml:space="preserve"> por lo que no tiene un seguro</w:t>
      </w:r>
      <w:r>
        <w:rPr>
          <w:rStyle w:val="Refdenotaalpie"/>
          <w:rFonts w:ascii="Garamond" w:eastAsia="Garamond" w:hAnsi="Garamond" w:cs="Garamond"/>
        </w:rPr>
        <w:footnoteReference w:id="7"/>
      </w:r>
      <w:r w:rsidR="004A0DAB">
        <w:rPr>
          <w:rFonts w:ascii="Garamond" w:eastAsia="Garamond" w:hAnsi="Garamond" w:cs="Garamond"/>
        </w:rPr>
        <w:t>.</w:t>
      </w:r>
      <w:r w:rsidR="00452710">
        <w:rPr>
          <w:rFonts w:ascii="Garamond" w:eastAsia="Garamond" w:hAnsi="Garamond" w:cs="Garamond"/>
        </w:rPr>
        <w:t xml:space="preserve"> El Estado ofrece el SIS, Seguro Integral de Salud, que no cubre todos los servicios que los pacientes requieren afectando su </w:t>
      </w:r>
      <w:r w:rsidR="00A727EB">
        <w:rPr>
          <w:rFonts w:ascii="Garamond" w:eastAsia="Garamond" w:hAnsi="Garamond" w:cs="Garamond"/>
        </w:rPr>
        <w:t>presupuesto de bolsillo, incluso el familiar.</w:t>
      </w:r>
      <w:r>
        <w:rPr>
          <w:rFonts w:ascii="Garamond" w:eastAsia="Garamond" w:hAnsi="Garamond" w:cs="Garamond"/>
        </w:rPr>
        <w:t xml:space="preserve"> </w:t>
      </w:r>
    </w:p>
    <w:p w14:paraId="0000002F" w14:textId="77777777" w:rsidR="0080721E" w:rsidRDefault="0080721E" w:rsidP="004163D0">
      <w:pPr>
        <w:spacing w:after="0" w:line="240" w:lineRule="auto"/>
        <w:jc w:val="both"/>
        <w:rPr>
          <w:rFonts w:ascii="Garamond" w:eastAsia="Garamond" w:hAnsi="Garamond" w:cs="Garamond"/>
        </w:rPr>
      </w:pPr>
    </w:p>
    <w:p w14:paraId="00000030" w14:textId="6935A4B6" w:rsidR="0080721E" w:rsidRDefault="00E70E36" w:rsidP="004163D0">
      <w:pPr>
        <w:spacing w:after="0" w:line="240" w:lineRule="auto"/>
        <w:jc w:val="both"/>
        <w:rPr>
          <w:rFonts w:ascii="Garamond" w:eastAsia="Garamond" w:hAnsi="Garamond" w:cs="Garamond"/>
        </w:rPr>
      </w:pPr>
      <w:r>
        <w:rPr>
          <w:rFonts w:ascii="Garamond" w:eastAsia="Garamond" w:hAnsi="Garamond" w:cs="Garamond"/>
        </w:rPr>
        <w:t>Debido a ello, hemos identificado los siguientes problemas generales que los pacientes enfrentan para acceder al derecho a la salud: i) implementación del marco normativo para ERH</w:t>
      </w:r>
      <w:r>
        <w:rPr>
          <w:rFonts w:ascii="Garamond" w:eastAsia="Garamond" w:hAnsi="Garamond" w:cs="Garamond"/>
          <w:vertAlign w:val="superscript"/>
        </w:rPr>
        <w:footnoteReference w:id="8"/>
      </w:r>
      <w:r w:rsidR="00C42096">
        <w:rPr>
          <w:rFonts w:ascii="Garamond" w:eastAsia="Garamond" w:hAnsi="Garamond" w:cs="Garamond"/>
        </w:rPr>
        <w:t xml:space="preserve"> (registro, </w:t>
      </w:r>
      <w:r w:rsidR="00015B6F">
        <w:rPr>
          <w:rFonts w:ascii="Garamond" w:eastAsia="Garamond" w:hAnsi="Garamond" w:cs="Garamond"/>
        </w:rPr>
        <w:t xml:space="preserve">falta de data </w:t>
      </w:r>
      <w:r>
        <w:rPr>
          <w:rFonts w:ascii="Garamond" w:eastAsia="Garamond" w:hAnsi="Garamond" w:cs="Garamond"/>
        </w:rPr>
        <w:t>completa, unificada y desagregada de las personas que padecen de una ERH</w:t>
      </w:r>
      <w:r>
        <w:rPr>
          <w:rFonts w:ascii="Garamond" w:eastAsia="Garamond" w:hAnsi="Garamond" w:cs="Garamond"/>
          <w:vertAlign w:val="superscript"/>
        </w:rPr>
        <w:footnoteReference w:id="9"/>
      </w:r>
      <w:r w:rsidR="00C42096">
        <w:rPr>
          <w:rFonts w:ascii="Garamond" w:eastAsia="Garamond" w:hAnsi="Garamond" w:cs="Garamond"/>
        </w:rPr>
        <w:t xml:space="preserve">; </w:t>
      </w:r>
      <w:r w:rsidR="00C42096">
        <w:rPr>
          <w:rFonts w:ascii="Garamond" w:eastAsia="Garamond" w:hAnsi="Garamond" w:cs="Garamond"/>
        </w:rPr>
        <w:t>pacientes con discapacidad derecho al cuidado y presupuesto); ii) Acceso a diagnóstico: sistema de salud fragmentado e inequitativo; iii)</w:t>
      </w:r>
      <w:r w:rsidR="00C42096">
        <w:rPr>
          <w:rFonts w:ascii="Garamond" w:eastAsia="Garamond" w:hAnsi="Garamond" w:cs="Garamond"/>
        </w:rPr>
        <w:t xml:space="preserve"> Derecho a la participación de los pacientes.</w:t>
      </w:r>
    </w:p>
    <w:p w14:paraId="00000031" w14:textId="77777777" w:rsidR="0080721E" w:rsidRDefault="0080721E" w:rsidP="004163D0">
      <w:pPr>
        <w:spacing w:after="0" w:line="240" w:lineRule="auto"/>
        <w:jc w:val="both"/>
        <w:rPr>
          <w:rFonts w:ascii="Garamond" w:eastAsia="Garamond" w:hAnsi="Garamond" w:cs="Garamond"/>
        </w:rPr>
      </w:pPr>
    </w:p>
    <w:p w14:paraId="00000032" w14:textId="559C2F48" w:rsidR="0080721E" w:rsidRDefault="00E70E36" w:rsidP="004163D0">
      <w:pPr>
        <w:spacing w:after="0" w:line="240" w:lineRule="auto"/>
        <w:jc w:val="both"/>
        <w:rPr>
          <w:rFonts w:ascii="Garamond" w:eastAsia="Garamond" w:hAnsi="Garamond" w:cs="Garamond"/>
        </w:rPr>
      </w:pPr>
      <w:r>
        <w:rPr>
          <w:rFonts w:ascii="Garamond" w:eastAsia="Garamond" w:hAnsi="Garamond" w:cs="Garamond"/>
        </w:rPr>
        <w:t xml:space="preserve">Por estas y otras razones que presentaremos, es que solicitamos se incluya en el </w:t>
      </w:r>
      <w:r w:rsidR="00394D53">
        <w:rPr>
          <w:rFonts w:ascii="Garamond" w:eastAsia="Garamond" w:hAnsi="Garamond" w:cs="Garamond"/>
        </w:rPr>
        <w:t>Informe del Comité DESC</w:t>
      </w:r>
      <w:r>
        <w:rPr>
          <w:rFonts w:ascii="Garamond" w:eastAsia="Garamond" w:hAnsi="Garamond" w:cs="Garamond"/>
        </w:rPr>
        <w:t xml:space="preserve"> del Estado peruano las recomendaciones que le hacemos llegar en pro de los derechos humanos a la salud de esta población vulnerable.</w:t>
      </w:r>
    </w:p>
    <w:p w14:paraId="00000033" w14:textId="77777777" w:rsidR="0080721E" w:rsidRDefault="0080721E" w:rsidP="002D3ACB">
      <w:pPr>
        <w:spacing w:after="120" w:line="240" w:lineRule="auto"/>
        <w:jc w:val="both"/>
        <w:rPr>
          <w:rFonts w:ascii="Garamond" w:eastAsia="Garamond" w:hAnsi="Garamond" w:cs="Garamond"/>
        </w:rPr>
      </w:pPr>
    </w:p>
    <w:p w14:paraId="00000036" w14:textId="77777777" w:rsidR="0080721E" w:rsidRDefault="00E70E36" w:rsidP="002D3ACB">
      <w:pPr>
        <w:numPr>
          <w:ilvl w:val="0"/>
          <w:numId w:val="5"/>
        </w:numPr>
        <w:pBdr>
          <w:top w:val="nil"/>
          <w:left w:val="nil"/>
          <w:bottom w:val="nil"/>
          <w:right w:val="nil"/>
          <w:between w:val="nil"/>
        </w:pBdr>
        <w:spacing w:after="120" w:line="240" w:lineRule="auto"/>
        <w:jc w:val="both"/>
        <w:rPr>
          <w:rFonts w:ascii="Garamond" w:eastAsia="Garamond" w:hAnsi="Garamond" w:cs="Garamond"/>
          <w:b/>
          <w:color w:val="000000"/>
        </w:rPr>
      </w:pPr>
      <w:r>
        <w:rPr>
          <w:rFonts w:ascii="Garamond" w:eastAsia="Garamond" w:hAnsi="Garamond" w:cs="Garamond"/>
          <w:b/>
          <w:color w:val="000000"/>
        </w:rPr>
        <w:t xml:space="preserve">Implementación del Marco Normativo: </w:t>
      </w:r>
    </w:p>
    <w:p w14:paraId="00000038" w14:textId="77777777" w:rsidR="0080721E" w:rsidRDefault="00E70E36" w:rsidP="002D3ACB">
      <w:pPr>
        <w:pBdr>
          <w:top w:val="nil"/>
          <w:left w:val="nil"/>
          <w:bottom w:val="nil"/>
          <w:right w:val="nil"/>
          <w:between w:val="nil"/>
        </w:pBdr>
        <w:spacing w:after="120" w:line="240" w:lineRule="auto"/>
        <w:ind w:left="720"/>
        <w:jc w:val="both"/>
        <w:rPr>
          <w:rFonts w:ascii="Garamond" w:eastAsia="Garamond" w:hAnsi="Garamond" w:cs="Garamond"/>
          <w:b/>
          <w:color w:val="ED7D31"/>
          <w:highlight w:val="white"/>
        </w:rPr>
      </w:pPr>
      <w:r>
        <w:rPr>
          <w:rFonts w:ascii="Garamond" w:eastAsia="Garamond" w:hAnsi="Garamond" w:cs="Garamond"/>
          <w:b/>
          <w:color w:val="ED7D31"/>
          <w:highlight w:val="white"/>
        </w:rPr>
        <w:t>Aplicado parcialmente</w:t>
      </w:r>
    </w:p>
    <w:p w14:paraId="0000003A" w14:textId="24AF9C96" w:rsidR="0080721E" w:rsidRDefault="00E70E36" w:rsidP="004163D0">
      <w:pPr>
        <w:spacing w:after="0" w:line="240" w:lineRule="auto"/>
        <w:jc w:val="both"/>
        <w:rPr>
          <w:rFonts w:ascii="Garamond" w:eastAsia="Garamond" w:hAnsi="Garamond" w:cs="Garamond"/>
          <w:highlight w:val="yellow"/>
        </w:rPr>
      </w:pPr>
      <w:r>
        <w:rPr>
          <w:rFonts w:ascii="Garamond" w:eastAsia="Garamond" w:hAnsi="Garamond" w:cs="Garamond"/>
        </w:rPr>
        <w:t>En el año 2011 se aprobó la Ley N° 29698, Ley que declara de Interés Nacional y Preferente Atención el Tratamiento de Personas que padecen Enfermedades Raras o Huérfanas</w:t>
      </w:r>
      <w:r>
        <w:rPr>
          <w:rFonts w:ascii="Garamond" w:eastAsia="Garamond" w:hAnsi="Garamond" w:cs="Garamond"/>
          <w:vertAlign w:val="superscript"/>
        </w:rPr>
        <w:footnoteReference w:id="10"/>
      </w:r>
      <w:r>
        <w:rPr>
          <w:rFonts w:ascii="Garamond" w:eastAsia="Garamond" w:hAnsi="Garamond" w:cs="Garamond"/>
        </w:rPr>
        <w:t>, que establece disposiciones orientadas a la prevención, el diagnóstico, la atención integral de salud y la rehabilitación de las personas que padecen enfermedades raras o huérfanas. Y, mediante Decreto Su</w:t>
      </w:r>
      <w:r w:rsidR="00015B6F">
        <w:rPr>
          <w:rFonts w:ascii="Garamond" w:eastAsia="Garamond" w:hAnsi="Garamond" w:cs="Garamond"/>
        </w:rPr>
        <w:t>premo N° 004-2019-SA, casi nueve</w:t>
      </w:r>
      <w:r>
        <w:rPr>
          <w:rFonts w:ascii="Garamond" w:eastAsia="Garamond" w:hAnsi="Garamond" w:cs="Garamond"/>
        </w:rPr>
        <w:t xml:space="preserve"> años después, se aprobó el Reglamento de la Ley N° 29698</w:t>
      </w:r>
      <w:r w:rsidR="00A727EB">
        <w:rPr>
          <w:rFonts w:ascii="Garamond" w:eastAsia="Garamond" w:hAnsi="Garamond" w:cs="Garamond"/>
        </w:rPr>
        <w:t>.</w:t>
      </w:r>
      <w:r>
        <w:rPr>
          <w:rFonts w:ascii="Garamond" w:eastAsia="Garamond" w:hAnsi="Garamond" w:cs="Garamond"/>
          <w:vertAlign w:val="superscript"/>
        </w:rPr>
        <w:footnoteReference w:id="11"/>
      </w:r>
      <w:r>
        <w:rPr>
          <w:rFonts w:ascii="Garamond" w:eastAsia="Garamond" w:hAnsi="Garamond" w:cs="Garamond"/>
        </w:rPr>
        <w:t xml:space="preserve"> </w:t>
      </w:r>
      <w:r w:rsidRPr="00015B6F">
        <w:rPr>
          <w:rFonts w:ascii="Garamond" w:eastAsia="Garamond" w:hAnsi="Garamond" w:cs="Garamond"/>
        </w:rPr>
        <w:t>Si bien es cierto ya contamos con un marco normativo que debería proteger y priorizar a esta población, éste</w:t>
      </w:r>
      <w:r w:rsidR="00015B6F" w:rsidRPr="00015B6F">
        <w:rPr>
          <w:rFonts w:ascii="Garamond" w:eastAsia="Garamond" w:hAnsi="Garamond" w:cs="Garamond"/>
        </w:rPr>
        <w:t xml:space="preserve"> no ha sido implementado; y, </w:t>
      </w:r>
      <w:r w:rsidRPr="00015B6F">
        <w:rPr>
          <w:rFonts w:ascii="Garamond" w:eastAsia="Garamond" w:hAnsi="Garamond" w:cs="Garamond"/>
        </w:rPr>
        <w:t>el Reglamento</w:t>
      </w:r>
      <w:r w:rsidR="00015B6F">
        <w:rPr>
          <w:rFonts w:ascii="Garamond" w:eastAsia="Garamond" w:hAnsi="Garamond" w:cs="Garamond"/>
        </w:rPr>
        <w:t xml:space="preserve"> a</w:t>
      </w:r>
      <w:r w:rsidR="00015B6F" w:rsidRPr="007834BE">
        <w:rPr>
          <w:rFonts w:ascii="Garamond" w:eastAsia="Garamond" w:hAnsi="Garamond" w:cs="Garamond"/>
        </w:rPr>
        <w:t>probado no resuelve los problemas de acceso a servicios</w:t>
      </w:r>
      <w:r w:rsidR="00A727EB">
        <w:rPr>
          <w:rFonts w:ascii="Garamond" w:eastAsia="Garamond" w:hAnsi="Garamond" w:cs="Garamond"/>
        </w:rPr>
        <w:t xml:space="preserve">, </w:t>
      </w:r>
      <w:r w:rsidR="00015B6F" w:rsidRPr="007834BE">
        <w:rPr>
          <w:rFonts w:ascii="Garamond" w:eastAsia="Garamond" w:hAnsi="Garamond" w:cs="Garamond"/>
        </w:rPr>
        <w:t>diagnóstico</w:t>
      </w:r>
      <w:r w:rsidR="00A727EB">
        <w:rPr>
          <w:rFonts w:ascii="Garamond" w:eastAsia="Garamond" w:hAnsi="Garamond" w:cs="Garamond"/>
        </w:rPr>
        <w:t xml:space="preserve"> temprano</w:t>
      </w:r>
      <w:r w:rsidR="00015B6F" w:rsidRPr="007834BE">
        <w:rPr>
          <w:rFonts w:ascii="Garamond" w:eastAsia="Garamond" w:hAnsi="Garamond" w:cs="Garamond"/>
        </w:rPr>
        <w:t xml:space="preserve"> y tratamiento oportuno.</w:t>
      </w:r>
    </w:p>
    <w:p w14:paraId="0000003B" w14:textId="77777777" w:rsidR="0080721E" w:rsidRDefault="0080721E" w:rsidP="004163D0">
      <w:pPr>
        <w:spacing w:after="0" w:line="240" w:lineRule="auto"/>
        <w:jc w:val="both"/>
        <w:rPr>
          <w:rFonts w:ascii="Garamond" w:eastAsia="Garamond" w:hAnsi="Garamond" w:cs="Garamond"/>
        </w:rPr>
      </w:pPr>
    </w:p>
    <w:p w14:paraId="0000003C" w14:textId="4F1212F5" w:rsidR="0080721E" w:rsidRDefault="00E70E36" w:rsidP="004163D0">
      <w:pPr>
        <w:spacing w:after="0" w:line="240" w:lineRule="auto"/>
        <w:jc w:val="both"/>
        <w:rPr>
          <w:rFonts w:ascii="Garamond" w:eastAsia="Garamond" w:hAnsi="Garamond" w:cs="Garamond"/>
        </w:rPr>
      </w:pPr>
      <w:r>
        <w:rPr>
          <w:rFonts w:ascii="Garamond" w:eastAsia="Garamond" w:hAnsi="Garamond" w:cs="Garamond"/>
        </w:rPr>
        <w:t>En el 2020, a través de la Resolución Ministerial N° 1059-2020/MINSA, se aprobó el Plan Nacional de Prevención, Diagnóstico, Atención Integral de Salud, Tratamiento, Rehabilitación y Monitoreo de las Enfermedades Raras o Huérfanas (en adelante ERH) 2021-2024</w:t>
      </w:r>
      <w:r>
        <w:rPr>
          <w:rFonts w:ascii="Garamond" w:eastAsia="Garamond" w:hAnsi="Garamond" w:cs="Garamond"/>
          <w:vertAlign w:val="superscript"/>
        </w:rPr>
        <w:footnoteReference w:id="12"/>
      </w:r>
      <w:r>
        <w:rPr>
          <w:rFonts w:ascii="Garamond" w:eastAsia="Garamond" w:hAnsi="Garamond" w:cs="Garamond"/>
        </w:rPr>
        <w:t>, que tiene por finalidad establecer las estrategias a nivel nacional para mejorar la calidad de vida de estos pacientes. El Plan Nacional busca implementar un sistema de información epidemiológica y de gestión, a través del registro de pacientes, impulsar la formación y capacitación de profesionales de salud en ERH y promover el desarrollo de las investiga</w:t>
      </w:r>
      <w:r w:rsidR="00F5245A">
        <w:rPr>
          <w:rFonts w:ascii="Garamond" w:eastAsia="Garamond" w:hAnsi="Garamond" w:cs="Garamond"/>
        </w:rPr>
        <w:t>ciones en lo relacionado a ERH. Sin embargo, tampoco ha sido implementado.</w:t>
      </w:r>
    </w:p>
    <w:p w14:paraId="0E7B33E0" w14:textId="2781C4A9" w:rsidR="00C005C8" w:rsidRDefault="00C005C8" w:rsidP="004163D0">
      <w:pPr>
        <w:spacing w:after="0" w:line="240" w:lineRule="auto"/>
        <w:jc w:val="both"/>
        <w:rPr>
          <w:rFonts w:ascii="Garamond" w:eastAsia="Garamond" w:hAnsi="Garamond" w:cs="Garamond"/>
        </w:rPr>
      </w:pPr>
    </w:p>
    <w:p w14:paraId="38624849" w14:textId="31FA59CB" w:rsidR="00C005C8" w:rsidRDefault="00C005C8" w:rsidP="00C005C8">
      <w:pPr>
        <w:spacing w:after="0" w:line="240" w:lineRule="auto"/>
        <w:jc w:val="both"/>
        <w:rPr>
          <w:rFonts w:ascii="Garamond" w:eastAsia="Garamond" w:hAnsi="Garamond" w:cs="Garamond"/>
        </w:rPr>
      </w:pPr>
      <w:r>
        <w:rPr>
          <w:rFonts w:ascii="Garamond" w:eastAsia="Garamond" w:hAnsi="Garamond" w:cs="Garamond"/>
        </w:rPr>
        <w:t>En mayo del 2023, se aprobó la Ley N° 31738, Le</w:t>
      </w:r>
      <w:r w:rsidRPr="00C005C8">
        <w:rPr>
          <w:rFonts w:ascii="Garamond" w:eastAsia="Garamond" w:hAnsi="Garamond" w:cs="Garamond"/>
        </w:rPr>
        <w:t xml:space="preserve">y que modifica la </w:t>
      </w:r>
      <w:r>
        <w:rPr>
          <w:rFonts w:ascii="Garamond" w:eastAsia="Garamond" w:hAnsi="Garamond" w:cs="Garamond"/>
        </w:rPr>
        <w:t>L</w:t>
      </w:r>
      <w:r w:rsidRPr="00C005C8">
        <w:rPr>
          <w:rFonts w:ascii="Garamond" w:eastAsia="Garamond" w:hAnsi="Garamond" w:cs="Garamond"/>
        </w:rPr>
        <w:t>ey 29698,</w:t>
      </w:r>
      <w:r>
        <w:rPr>
          <w:rFonts w:ascii="Garamond" w:eastAsia="Garamond" w:hAnsi="Garamond" w:cs="Garamond"/>
        </w:rPr>
        <w:t xml:space="preserve"> </w:t>
      </w:r>
      <w:r w:rsidRPr="00C005C8">
        <w:rPr>
          <w:rFonts w:ascii="Garamond" w:eastAsia="Garamond" w:hAnsi="Garamond" w:cs="Garamond"/>
        </w:rPr>
        <w:t>ley que declara de interés nacional</w:t>
      </w:r>
      <w:r>
        <w:rPr>
          <w:rFonts w:ascii="Garamond" w:eastAsia="Garamond" w:hAnsi="Garamond" w:cs="Garamond"/>
        </w:rPr>
        <w:t xml:space="preserve"> </w:t>
      </w:r>
      <w:r w:rsidRPr="00C005C8">
        <w:rPr>
          <w:rFonts w:ascii="Garamond" w:eastAsia="Garamond" w:hAnsi="Garamond" w:cs="Garamond"/>
        </w:rPr>
        <w:t>y preferente atención el tratamiento de personas que padecen enfermedades raras o huérfanas</w:t>
      </w:r>
      <w:r>
        <w:rPr>
          <w:rFonts w:ascii="Garamond" w:eastAsia="Garamond" w:hAnsi="Garamond" w:cs="Garamond"/>
        </w:rPr>
        <w:t>, con el objetivo de eliminar las barreras burocráticas que impedían a los pacientes acceder a atención integral y tratamientos innovadores y de calidad. La Ley 31738 otorgaba un plazo de 60 días calendario para su reglamentación. Sin embargo, más de 542 días después no tenemos reglamento</w:t>
      </w:r>
      <w:r w:rsidR="00A727EB">
        <w:rPr>
          <w:rStyle w:val="Refdenotaalpie"/>
          <w:rFonts w:ascii="Garamond" w:eastAsia="Garamond" w:hAnsi="Garamond" w:cs="Garamond"/>
        </w:rPr>
        <w:footnoteReference w:id="13"/>
      </w:r>
      <w:r>
        <w:rPr>
          <w:rFonts w:ascii="Garamond" w:eastAsia="Garamond" w:hAnsi="Garamond" w:cs="Garamond"/>
        </w:rPr>
        <w:t>.</w:t>
      </w:r>
    </w:p>
    <w:p w14:paraId="0000003F" w14:textId="77777777" w:rsidR="0080721E" w:rsidRDefault="0080721E" w:rsidP="004163D0">
      <w:pPr>
        <w:spacing w:after="0" w:line="240" w:lineRule="auto"/>
        <w:jc w:val="both"/>
        <w:rPr>
          <w:rFonts w:ascii="Garamond" w:eastAsia="Garamond" w:hAnsi="Garamond" w:cs="Garamond"/>
        </w:rPr>
      </w:pPr>
    </w:p>
    <w:p w14:paraId="00000040" w14:textId="15958890" w:rsidR="0080721E" w:rsidRDefault="00F5245A" w:rsidP="004163D0">
      <w:pPr>
        <w:spacing w:after="0" w:line="240" w:lineRule="auto"/>
        <w:jc w:val="both"/>
        <w:rPr>
          <w:rFonts w:ascii="Garamond" w:eastAsia="Garamond" w:hAnsi="Garamond" w:cs="Garamond"/>
          <w:highlight w:val="yellow"/>
        </w:rPr>
      </w:pPr>
      <w:r>
        <w:rPr>
          <w:rFonts w:ascii="Garamond" w:eastAsia="Garamond" w:hAnsi="Garamond" w:cs="Garamond"/>
          <w:b/>
        </w:rPr>
        <w:t>Recomen</w:t>
      </w:r>
      <w:r w:rsidR="00D43B90">
        <w:rPr>
          <w:rFonts w:ascii="Garamond" w:eastAsia="Garamond" w:hAnsi="Garamond" w:cs="Garamond"/>
          <w:b/>
        </w:rPr>
        <w:t>damos</w:t>
      </w:r>
      <w:r w:rsidR="00E70E36">
        <w:rPr>
          <w:rFonts w:ascii="Garamond" w:eastAsia="Garamond" w:hAnsi="Garamond" w:cs="Garamond"/>
          <w:b/>
        </w:rPr>
        <w:t xml:space="preserve"> al Estado peruano</w:t>
      </w:r>
      <w:r w:rsidR="00E70E36">
        <w:rPr>
          <w:rFonts w:ascii="Garamond" w:eastAsia="Garamond" w:hAnsi="Garamond" w:cs="Garamond"/>
        </w:rPr>
        <w:t>:</w:t>
      </w:r>
    </w:p>
    <w:p w14:paraId="00000042" w14:textId="754E7AB9" w:rsidR="0080721E" w:rsidRDefault="00486605" w:rsidP="00486605">
      <w:pPr>
        <w:numPr>
          <w:ilvl w:val="0"/>
          <w:numId w:val="12"/>
        </w:numPr>
        <w:spacing w:after="0" w:line="240" w:lineRule="auto"/>
        <w:jc w:val="both"/>
        <w:rPr>
          <w:rFonts w:ascii="Garamond" w:eastAsia="Garamond" w:hAnsi="Garamond" w:cs="Garamond"/>
        </w:rPr>
      </w:pPr>
      <w:r w:rsidRPr="00C005C8">
        <w:rPr>
          <w:rFonts w:ascii="Garamond" w:eastAsia="Garamond" w:hAnsi="Garamond" w:cs="Garamond"/>
          <w:b/>
          <w:bCs/>
        </w:rPr>
        <w:t xml:space="preserve">Aprobación y publicación </w:t>
      </w:r>
      <w:r w:rsidR="00E70E36" w:rsidRPr="00C005C8">
        <w:rPr>
          <w:rFonts w:ascii="Garamond" w:eastAsia="Garamond" w:hAnsi="Garamond" w:cs="Garamond"/>
          <w:b/>
          <w:bCs/>
        </w:rPr>
        <w:t xml:space="preserve">del </w:t>
      </w:r>
      <w:r w:rsidR="00F5245A" w:rsidRPr="00C005C8">
        <w:rPr>
          <w:rFonts w:ascii="Garamond" w:eastAsia="Garamond" w:hAnsi="Garamond" w:cs="Garamond"/>
          <w:b/>
          <w:bCs/>
        </w:rPr>
        <w:t>Reglamento de la Ley N° 29698</w:t>
      </w:r>
      <w:r>
        <w:rPr>
          <w:rFonts w:ascii="Garamond" w:eastAsia="Garamond" w:hAnsi="Garamond" w:cs="Garamond"/>
        </w:rPr>
        <w:t>, Ley que declara de Interés Nacional y Preferente Atención el Tratamiento de Personas que padecen Enfermedades Raras o Huérfanas.</w:t>
      </w:r>
    </w:p>
    <w:p w14:paraId="3CB1AD68" w14:textId="461270B3" w:rsidR="00486605" w:rsidRDefault="00486605" w:rsidP="00486605">
      <w:pPr>
        <w:numPr>
          <w:ilvl w:val="0"/>
          <w:numId w:val="12"/>
        </w:numPr>
        <w:spacing w:after="0" w:line="240" w:lineRule="auto"/>
        <w:jc w:val="both"/>
        <w:rPr>
          <w:rFonts w:ascii="Garamond" w:eastAsia="Garamond" w:hAnsi="Garamond" w:cs="Garamond"/>
        </w:rPr>
      </w:pPr>
      <w:r w:rsidRPr="00C005C8">
        <w:rPr>
          <w:rFonts w:ascii="Garamond" w:eastAsia="Garamond" w:hAnsi="Garamond" w:cs="Garamond"/>
          <w:b/>
          <w:bCs/>
        </w:rPr>
        <w:t>Elaboración y aprobación del Plan Nacional</w:t>
      </w:r>
      <w:r>
        <w:rPr>
          <w:rFonts w:ascii="Garamond" w:eastAsia="Garamond" w:hAnsi="Garamond" w:cs="Garamond"/>
        </w:rPr>
        <w:t xml:space="preserve"> de Prevención, Diagnóstico, Atención Integral de Salud, Tratamiento, Rehabilitación y Monitoreo de las Enfermedades Raras o Huérfanas 2025 en adelante.</w:t>
      </w:r>
    </w:p>
    <w:p w14:paraId="0BF933E6" w14:textId="26D5653D" w:rsidR="00486605" w:rsidRPr="00F5245A" w:rsidRDefault="00486605" w:rsidP="00486605">
      <w:pPr>
        <w:numPr>
          <w:ilvl w:val="0"/>
          <w:numId w:val="12"/>
        </w:numPr>
        <w:spacing w:after="0" w:line="240" w:lineRule="auto"/>
        <w:jc w:val="both"/>
        <w:rPr>
          <w:rFonts w:ascii="Garamond" w:eastAsia="Garamond" w:hAnsi="Garamond" w:cs="Garamond"/>
        </w:rPr>
      </w:pPr>
      <w:r w:rsidRPr="00C005C8">
        <w:rPr>
          <w:rFonts w:ascii="Garamond" w:eastAsia="Garamond" w:hAnsi="Garamond" w:cs="Garamond"/>
          <w:b/>
          <w:bCs/>
        </w:rPr>
        <w:t>Actualización del listado complementario de enfermedades raras</w:t>
      </w:r>
      <w:r>
        <w:rPr>
          <w:rFonts w:ascii="Garamond" w:eastAsia="Garamond" w:hAnsi="Garamond" w:cs="Garamond"/>
        </w:rPr>
        <w:t>.</w:t>
      </w:r>
    </w:p>
    <w:p w14:paraId="00000043" w14:textId="77777777" w:rsidR="0080721E" w:rsidRDefault="0080721E" w:rsidP="004163D0">
      <w:pPr>
        <w:spacing w:after="0" w:line="240" w:lineRule="auto"/>
        <w:jc w:val="both"/>
        <w:rPr>
          <w:rFonts w:ascii="Garamond" w:eastAsia="Garamond" w:hAnsi="Garamond" w:cs="Garamond"/>
          <w:highlight w:val="yellow"/>
        </w:rPr>
      </w:pPr>
    </w:p>
    <w:p w14:paraId="4FA6740D" w14:textId="77777777" w:rsidR="00C005C8" w:rsidRDefault="00C005C8" w:rsidP="002D3ACB">
      <w:pPr>
        <w:pBdr>
          <w:top w:val="nil"/>
          <w:left w:val="nil"/>
          <w:bottom w:val="nil"/>
          <w:right w:val="nil"/>
          <w:between w:val="nil"/>
        </w:pBdr>
        <w:spacing w:after="120" w:line="240" w:lineRule="auto"/>
        <w:ind w:left="360"/>
        <w:jc w:val="both"/>
        <w:rPr>
          <w:rFonts w:ascii="Garamond" w:eastAsia="Garamond" w:hAnsi="Garamond" w:cs="Garamond"/>
          <w:b/>
          <w:color w:val="000000" w:themeColor="text1"/>
        </w:rPr>
      </w:pPr>
    </w:p>
    <w:p w14:paraId="00000046" w14:textId="711BB973" w:rsidR="0080721E" w:rsidRPr="002D3ACB" w:rsidRDefault="002D3ACB" w:rsidP="002D3ACB">
      <w:pPr>
        <w:pBdr>
          <w:top w:val="nil"/>
          <w:left w:val="nil"/>
          <w:bottom w:val="nil"/>
          <w:right w:val="nil"/>
          <w:between w:val="nil"/>
        </w:pBdr>
        <w:spacing w:after="120" w:line="240" w:lineRule="auto"/>
        <w:ind w:left="360"/>
        <w:jc w:val="both"/>
        <w:rPr>
          <w:rFonts w:ascii="Garamond" w:eastAsia="Garamond" w:hAnsi="Garamond" w:cs="Garamond"/>
          <w:b/>
          <w:color w:val="ED7D31"/>
          <w:highlight w:val="white"/>
        </w:rPr>
      </w:pPr>
      <w:r w:rsidRPr="002D3ACB">
        <w:rPr>
          <w:rFonts w:ascii="Garamond" w:eastAsia="Garamond" w:hAnsi="Garamond" w:cs="Garamond"/>
          <w:b/>
          <w:color w:val="000000" w:themeColor="text1"/>
        </w:rPr>
        <w:t>1.1. R</w:t>
      </w:r>
      <w:r w:rsidR="00E70E36" w:rsidRPr="002D3ACB">
        <w:rPr>
          <w:rFonts w:ascii="Garamond" w:eastAsia="Garamond" w:hAnsi="Garamond" w:cs="Garamond"/>
          <w:b/>
          <w:color w:val="000000"/>
        </w:rPr>
        <w:t>egistro Nacional de Pacientes que padecen enfermedades raras o huérfanas</w:t>
      </w:r>
      <w:r w:rsidR="00F5245A" w:rsidRPr="002D3ACB">
        <w:rPr>
          <w:rFonts w:ascii="Garamond" w:eastAsia="Garamond" w:hAnsi="Garamond" w:cs="Garamond"/>
          <w:b/>
          <w:color w:val="000000"/>
        </w:rPr>
        <w:t xml:space="preserve"> (RNPERH)</w:t>
      </w:r>
      <w:r w:rsidR="00E70E36" w:rsidRPr="002D3ACB">
        <w:rPr>
          <w:rFonts w:ascii="Garamond" w:eastAsia="Garamond" w:hAnsi="Garamond" w:cs="Garamond"/>
          <w:b/>
          <w:color w:val="000000"/>
        </w:rPr>
        <w:t>:</w:t>
      </w:r>
      <w:r w:rsidR="00E70E36" w:rsidRPr="002D3ACB">
        <w:rPr>
          <w:rFonts w:ascii="Garamond" w:eastAsia="Garamond" w:hAnsi="Garamond" w:cs="Garamond"/>
          <w:b/>
          <w:color w:val="000000"/>
        </w:rPr>
        <w:br/>
      </w:r>
      <w:r w:rsidRPr="002D3ACB">
        <w:rPr>
          <w:rFonts w:ascii="Garamond" w:eastAsia="Garamond" w:hAnsi="Garamond" w:cs="Garamond"/>
          <w:b/>
          <w:color w:val="ED7D31"/>
          <w:highlight w:val="white"/>
        </w:rPr>
        <w:t>Aplicado parcialmente</w:t>
      </w:r>
    </w:p>
    <w:p w14:paraId="3BE016E7" w14:textId="41CF6C5C" w:rsidR="00F5245A" w:rsidRDefault="00E70E36">
      <w:pPr>
        <w:spacing w:after="0" w:line="240" w:lineRule="auto"/>
        <w:jc w:val="both"/>
        <w:rPr>
          <w:rFonts w:ascii="Garamond" w:eastAsia="Garamond" w:hAnsi="Garamond" w:cs="Garamond"/>
        </w:rPr>
      </w:pPr>
      <w:r>
        <w:rPr>
          <w:rFonts w:ascii="Garamond" w:eastAsia="Garamond" w:hAnsi="Garamond" w:cs="Garamond"/>
        </w:rPr>
        <w:t>El Ministerio d</w:t>
      </w:r>
      <w:r w:rsidR="00F5245A">
        <w:rPr>
          <w:rFonts w:ascii="Garamond" w:eastAsia="Garamond" w:hAnsi="Garamond" w:cs="Garamond"/>
        </w:rPr>
        <w:t xml:space="preserve">e la Salud </w:t>
      </w:r>
      <w:r>
        <w:rPr>
          <w:rFonts w:ascii="Garamond" w:eastAsia="Garamond" w:hAnsi="Garamond" w:cs="Garamond"/>
        </w:rPr>
        <w:t>es el encargado de implementar el Registro</w:t>
      </w:r>
      <w:r w:rsidR="00F5245A">
        <w:rPr>
          <w:rFonts w:ascii="Garamond" w:eastAsia="Garamond" w:hAnsi="Garamond" w:cs="Garamond"/>
        </w:rPr>
        <w:t xml:space="preserve"> (RNPERH)</w:t>
      </w:r>
      <w:r>
        <w:rPr>
          <w:rFonts w:ascii="Garamond" w:eastAsia="Garamond" w:hAnsi="Garamond" w:cs="Garamond"/>
        </w:rPr>
        <w:t>. En agosto del 2021 se lanzó el mencionado registro</w:t>
      </w:r>
      <w:r w:rsidR="00F5245A">
        <w:rPr>
          <w:rFonts w:ascii="Garamond" w:eastAsia="Garamond" w:hAnsi="Garamond" w:cs="Garamond"/>
        </w:rPr>
        <w:t xml:space="preserve"> y</w:t>
      </w:r>
      <w:r>
        <w:rPr>
          <w:rFonts w:ascii="Garamond" w:eastAsia="Garamond" w:hAnsi="Garamond" w:cs="Garamond"/>
        </w:rPr>
        <w:t>,</w:t>
      </w:r>
      <w:r w:rsidR="00F5245A">
        <w:rPr>
          <w:rFonts w:ascii="Garamond" w:eastAsia="Garamond" w:hAnsi="Garamond" w:cs="Garamond"/>
        </w:rPr>
        <w:t xml:space="preserve"> </w:t>
      </w:r>
      <w:r w:rsidR="00D67CCE">
        <w:rPr>
          <w:rFonts w:ascii="Garamond" w:eastAsia="Garamond" w:hAnsi="Garamond" w:cs="Garamond"/>
        </w:rPr>
        <w:t xml:space="preserve">al </w:t>
      </w:r>
      <w:r w:rsidR="00C005C8">
        <w:rPr>
          <w:rFonts w:ascii="Garamond" w:eastAsia="Garamond" w:hAnsi="Garamond" w:cs="Garamond"/>
        </w:rPr>
        <w:t>2024</w:t>
      </w:r>
      <w:r w:rsidR="00D67CCE">
        <w:rPr>
          <w:rFonts w:ascii="Garamond" w:eastAsia="Garamond" w:hAnsi="Garamond" w:cs="Garamond"/>
        </w:rPr>
        <w:t xml:space="preserve"> sólo </w:t>
      </w:r>
      <w:r w:rsidR="00F5245A">
        <w:rPr>
          <w:rFonts w:ascii="Garamond" w:eastAsia="Garamond" w:hAnsi="Garamond" w:cs="Garamond"/>
        </w:rPr>
        <w:t>se ha</w:t>
      </w:r>
      <w:r w:rsidR="00C005C8">
        <w:rPr>
          <w:rFonts w:ascii="Garamond" w:eastAsia="Garamond" w:hAnsi="Garamond" w:cs="Garamond"/>
        </w:rPr>
        <w:t xml:space="preserve">bía </w:t>
      </w:r>
      <w:r>
        <w:rPr>
          <w:rFonts w:ascii="Garamond" w:eastAsia="Garamond" w:hAnsi="Garamond" w:cs="Garamond"/>
        </w:rPr>
        <w:t xml:space="preserve">registrado a </w:t>
      </w:r>
      <w:r w:rsidR="00C005C8">
        <w:rPr>
          <w:rFonts w:ascii="Garamond" w:eastAsia="Garamond" w:hAnsi="Garamond" w:cs="Garamond"/>
        </w:rPr>
        <w:t>más de 1400</w:t>
      </w:r>
      <w:r>
        <w:rPr>
          <w:rFonts w:ascii="Garamond" w:eastAsia="Garamond" w:hAnsi="Garamond" w:cs="Garamond"/>
        </w:rPr>
        <w:t xml:space="preserve"> personas con ERH</w:t>
      </w:r>
      <w:r>
        <w:rPr>
          <w:rFonts w:ascii="Garamond" w:eastAsia="Garamond" w:hAnsi="Garamond" w:cs="Garamond"/>
          <w:vertAlign w:val="superscript"/>
        </w:rPr>
        <w:footnoteReference w:id="14"/>
      </w:r>
      <w:r>
        <w:rPr>
          <w:rFonts w:ascii="Garamond" w:eastAsia="Garamond" w:hAnsi="Garamond" w:cs="Garamond"/>
        </w:rPr>
        <w:t xml:space="preserve">. El Registro es indispensable para conocer cuántas personas </w:t>
      </w:r>
      <w:r w:rsidR="00D67CCE">
        <w:rPr>
          <w:rFonts w:ascii="Garamond" w:eastAsia="Garamond" w:hAnsi="Garamond" w:cs="Garamond"/>
        </w:rPr>
        <w:t>padecen de alguna ERH</w:t>
      </w:r>
      <w:r>
        <w:rPr>
          <w:rFonts w:ascii="Garamond" w:eastAsia="Garamond" w:hAnsi="Garamond" w:cs="Garamond"/>
        </w:rPr>
        <w:t>, dónde están, cuáles son sus necesidades</w:t>
      </w:r>
      <w:r w:rsidR="00D67CCE">
        <w:rPr>
          <w:rFonts w:ascii="Garamond" w:eastAsia="Garamond" w:hAnsi="Garamond" w:cs="Garamond"/>
        </w:rPr>
        <w:t xml:space="preserve">, qué especialistas requieren, qué tipos de tratamientos necesitan, entre </w:t>
      </w:r>
      <w:r>
        <w:rPr>
          <w:rFonts w:ascii="Garamond" w:eastAsia="Garamond" w:hAnsi="Garamond" w:cs="Garamond"/>
        </w:rPr>
        <w:t>otros</w:t>
      </w:r>
      <w:r w:rsidR="00D67CCE">
        <w:rPr>
          <w:rFonts w:ascii="Garamond" w:eastAsia="Garamond" w:hAnsi="Garamond" w:cs="Garamond"/>
        </w:rPr>
        <w:t xml:space="preserve"> datos</w:t>
      </w:r>
      <w:r w:rsidR="00C005C8">
        <w:rPr>
          <w:rFonts w:ascii="Garamond" w:eastAsia="Garamond" w:hAnsi="Garamond" w:cs="Garamond"/>
        </w:rPr>
        <w:t xml:space="preserve"> epidemiológicos</w:t>
      </w:r>
      <w:r>
        <w:rPr>
          <w:rFonts w:ascii="Garamond" w:eastAsia="Garamond" w:hAnsi="Garamond" w:cs="Garamond"/>
        </w:rPr>
        <w:t>, con el único fin de poder elaborar políticas públicas descentralizadas que coadyuven a un mejor servicio para las personas.</w:t>
      </w:r>
    </w:p>
    <w:p w14:paraId="00000047" w14:textId="4CB0F627" w:rsidR="0080721E" w:rsidRDefault="00E70E36">
      <w:pPr>
        <w:spacing w:after="0" w:line="240" w:lineRule="auto"/>
        <w:jc w:val="both"/>
        <w:rPr>
          <w:rFonts w:ascii="Garamond" w:eastAsia="Garamond" w:hAnsi="Garamond" w:cs="Garamond"/>
        </w:rPr>
      </w:pPr>
      <w:r>
        <w:rPr>
          <w:rFonts w:ascii="Garamond" w:eastAsia="Garamond" w:hAnsi="Garamond" w:cs="Garamond"/>
        </w:rPr>
        <w:lastRenderedPageBreak/>
        <w:t xml:space="preserve"> </w:t>
      </w:r>
    </w:p>
    <w:p w14:paraId="00000048" w14:textId="62D6A374" w:rsidR="0080721E" w:rsidRDefault="00E70E36">
      <w:pPr>
        <w:spacing w:after="0" w:line="240" w:lineRule="auto"/>
        <w:jc w:val="both"/>
        <w:rPr>
          <w:rFonts w:ascii="Garamond" w:eastAsia="Garamond" w:hAnsi="Garamond" w:cs="Garamond"/>
        </w:rPr>
      </w:pPr>
      <w:r>
        <w:rPr>
          <w:rFonts w:ascii="Garamond" w:eastAsia="Garamond" w:hAnsi="Garamond" w:cs="Garamond"/>
        </w:rPr>
        <w:t xml:space="preserve">En ese sentido, es el </w:t>
      </w:r>
      <w:r w:rsidR="00F5245A">
        <w:rPr>
          <w:rFonts w:ascii="Garamond" w:eastAsia="Garamond" w:hAnsi="Garamond" w:cs="Garamond"/>
        </w:rPr>
        <w:t xml:space="preserve">MINSA el encargado de capacitar, sensibilizar e incentivar </w:t>
      </w:r>
      <w:r>
        <w:rPr>
          <w:rFonts w:ascii="Garamond" w:eastAsia="Garamond" w:hAnsi="Garamond" w:cs="Garamond"/>
        </w:rPr>
        <w:t>a todos los médicos públicos y privados para que registren a los pacientes, sin embargo, este proceso está avanzando</w:t>
      </w:r>
      <w:r w:rsidR="00F5245A">
        <w:rPr>
          <w:rFonts w:ascii="Garamond" w:eastAsia="Garamond" w:hAnsi="Garamond" w:cs="Garamond"/>
        </w:rPr>
        <w:t xml:space="preserve"> muy</w:t>
      </w:r>
      <w:r>
        <w:rPr>
          <w:rFonts w:ascii="Garamond" w:eastAsia="Garamond" w:hAnsi="Garamond" w:cs="Garamond"/>
        </w:rPr>
        <w:t xml:space="preserve"> lentamente.</w:t>
      </w:r>
    </w:p>
    <w:p w14:paraId="00000049" w14:textId="77777777" w:rsidR="0080721E" w:rsidRDefault="0080721E">
      <w:pPr>
        <w:spacing w:after="0" w:line="240" w:lineRule="auto"/>
        <w:jc w:val="both"/>
        <w:rPr>
          <w:rFonts w:ascii="Garamond" w:eastAsia="Garamond" w:hAnsi="Garamond" w:cs="Garamond"/>
        </w:rPr>
      </w:pPr>
    </w:p>
    <w:p w14:paraId="0000004A" w14:textId="7D4BE855" w:rsidR="0080721E" w:rsidRDefault="00F5245A">
      <w:pPr>
        <w:spacing w:after="0" w:line="240" w:lineRule="auto"/>
        <w:jc w:val="both"/>
        <w:rPr>
          <w:rFonts w:ascii="Garamond" w:eastAsia="Garamond" w:hAnsi="Garamond" w:cs="Garamond"/>
          <w:highlight w:val="yellow"/>
        </w:rPr>
      </w:pPr>
      <w:r>
        <w:rPr>
          <w:rFonts w:ascii="Garamond" w:eastAsia="Garamond" w:hAnsi="Garamond" w:cs="Garamond"/>
          <w:b/>
        </w:rPr>
        <w:t>Recomenda</w:t>
      </w:r>
      <w:r w:rsidR="00D73590">
        <w:rPr>
          <w:rFonts w:ascii="Garamond" w:eastAsia="Garamond" w:hAnsi="Garamond" w:cs="Garamond"/>
          <w:b/>
        </w:rPr>
        <w:t>mos</w:t>
      </w:r>
      <w:r w:rsidR="00E70E36">
        <w:rPr>
          <w:rFonts w:ascii="Garamond" w:eastAsia="Garamond" w:hAnsi="Garamond" w:cs="Garamond"/>
          <w:b/>
        </w:rPr>
        <w:t xml:space="preserve"> al Estado peruano</w:t>
      </w:r>
      <w:r w:rsidR="00E70E36">
        <w:rPr>
          <w:rFonts w:ascii="Garamond" w:eastAsia="Garamond" w:hAnsi="Garamond" w:cs="Garamond"/>
        </w:rPr>
        <w:t xml:space="preserve">: </w:t>
      </w:r>
    </w:p>
    <w:p w14:paraId="0000004D" w14:textId="25123CBA" w:rsidR="0080721E" w:rsidRDefault="00D976A4" w:rsidP="00C005C8">
      <w:pPr>
        <w:numPr>
          <w:ilvl w:val="0"/>
          <w:numId w:val="13"/>
        </w:numPr>
        <w:spacing w:after="0" w:line="240" w:lineRule="auto"/>
        <w:jc w:val="both"/>
        <w:rPr>
          <w:rFonts w:ascii="Garamond" w:eastAsia="Garamond" w:hAnsi="Garamond" w:cs="Garamond"/>
        </w:rPr>
      </w:pPr>
      <w:r w:rsidRPr="00C005C8">
        <w:rPr>
          <w:rFonts w:ascii="Garamond" w:eastAsia="Garamond" w:hAnsi="Garamond" w:cs="Garamond"/>
          <w:b/>
          <w:bCs/>
        </w:rPr>
        <w:t>Elaboración e implementación de c</w:t>
      </w:r>
      <w:r w:rsidR="00E70E36" w:rsidRPr="00C005C8">
        <w:rPr>
          <w:rFonts w:ascii="Garamond" w:eastAsia="Garamond" w:hAnsi="Garamond" w:cs="Garamond"/>
          <w:b/>
          <w:bCs/>
        </w:rPr>
        <w:t>ampaña de registro</w:t>
      </w:r>
      <w:r w:rsidR="00E70E36" w:rsidRPr="00F5245A">
        <w:rPr>
          <w:rFonts w:ascii="Garamond" w:eastAsia="Garamond" w:hAnsi="Garamond" w:cs="Garamond"/>
        </w:rPr>
        <w:t xml:space="preserve"> </w:t>
      </w:r>
      <w:r w:rsidR="00C005C8">
        <w:rPr>
          <w:rFonts w:ascii="Garamond" w:eastAsia="Garamond" w:hAnsi="Garamond" w:cs="Garamond"/>
        </w:rPr>
        <w:t xml:space="preserve">(RNPERH) </w:t>
      </w:r>
      <w:r w:rsidR="00E70E36" w:rsidRPr="00F5245A">
        <w:rPr>
          <w:rFonts w:ascii="Garamond" w:eastAsia="Garamond" w:hAnsi="Garamond" w:cs="Garamond"/>
        </w:rPr>
        <w:t xml:space="preserve">a nivel nacional por un </w:t>
      </w:r>
      <w:r w:rsidRPr="00F5245A">
        <w:rPr>
          <w:rFonts w:ascii="Garamond" w:eastAsia="Garamond" w:hAnsi="Garamond" w:cs="Garamond"/>
        </w:rPr>
        <w:t>periodo</w:t>
      </w:r>
      <w:r w:rsidR="00E70E36" w:rsidRPr="00F5245A">
        <w:rPr>
          <w:rFonts w:ascii="Garamond" w:eastAsia="Garamond" w:hAnsi="Garamond" w:cs="Garamond"/>
        </w:rPr>
        <w:t xml:space="preserve"> de tiempo para que todas las personas con ERH puedan ser registradas.</w:t>
      </w:r>
    </w:p>
    <w:p w14:paraId="3B74ED42" w14:textId="5471CA13" w:rsidR="00C005C8" w:rsidRPr="00F5245A" w:rsidRDefault="00C005C8" w:rsidP="00C005C8">
      <w:pPr>
        <w:numPr>
          <w:ilvl w:val="0"/>
          <w:numId w:val="13"/>
        </w:numPr>
        <w:spacing w:after="0" w:line="240" w:lineRule="auto"/>
        <w:jc w:val="both"/>
        <w:rPr>
          <w:rFonts w:ascii="Garamond" w:eastAsia="Garamond" w:hAnsi="Garamond" w:cs="Garamond"/>
        </w:rPr>
      </w:pPr>
      <w:r w:rsidRPr="00C005C8">
        <w:rPr>
          <w:rFonts w:ascii="Garamond" w:eastAsia="Garamond" w:hAnsi="Garamond" w:cs="Garamond"/>
          <w:b/>
          <w:bCs/>
        </w:rPr>
        <w:t>Capacitación de médicos y profesionales de salud para la implementación del Registro</w:t>
      </w:r>
      <w:r>
        <w:rPr>
          <w:rFonts w:ascii="Garamond" w:eastAsia="Garamond" w:hAnsi="Garamond" w:cs="Garamond"/>
        </w:rPr>
        <w:t xml:space="preserve"> (RNPERH)</w:t>
      </w:r>
      <w:r w:rsidRPr="00F5245A">
        <w:rPr>
          <w:rFonts w:ascii="Garamond" w:eastAsia="Garamond" w:hAnsi="Garamond" w:cs="Garamond"/>
        </w:rPr>
        <w:t>.</w:t>
      </w:r>
    </w:p>
    <w:p w14:paraId="1600E599" w14:textId="77777777" w:rsidR="00C005C8" w:rsidRPr="00F5245A" w:rsidRDefault="00C005C8" w:rsidP="00C005C8">
      <w:pPr>
        <w:spacing w:after="0" w:line="240" w:lineRule="auto"/>
        <w:ind w:left="720"/>
        <w:jc w:val="both"/>
        <w:rPr>
          <w:rFonts w:ascii="Garamond" w:eastAsia="Garamond" w:hAnsi="Garamond" w:cs="Garamond"/>
        </w:rPr>
      </w:pPr>
    </w:p>
    <w:p w14:paraId="0000004F" w14:textId="77777777" w:rsidR="0080721E" w:rsidRDefault="0080721E">
      <w:pPr>
        <w:spacing w:after="0" w:line="240" w:lineRule="auto"/>
        <w:jc w:val="both"/>
        <w:rPr>
          <w:rFonts w:ascii="Garamond" w:eastAsia="Garamond" w:hAnsi="Garamond" w:cs="Garamond"/>
        </w:rPr>
      </w:pPr>
    </w:p>
    <w:p w14:paraId="0ECC515F" w14:textId="24581E4F" w:rsidR="00DF518A" w:rsidRDefault="00DF518A" w:rsidP="002D3ACB">
      <w:pPr>
        <w:pStyle w:val="Prrafodelista"/>
        <w:numPr>
          <w:ilvl w:val="1"/>
          <w:numId w:val="11"/>
        </w:numPr>
        <w:pBdr>
          <w:top w:val="nil"/>
          <w:left w:val="nil"/>
          <w:bottom w:val="nil"/>
          <w:right w:val="nil"/>
          <w:between w:val="nil"/>
        </w:pBdr>
        <w:spacing w:after="0" w:line="240" w:lineRule="auto"/>
        <w:jc w:val="both"/>
        <w:rPr>
          <w:rFonts w:ascii="Garamond" w:eastAsia="Garamond" w:hAnsi="Garamond" w:cs="Garamond"/>
          <w:b/>
          <w:color w:val="000000"/>
        </w:rPr>
      </w:pPr>
      <w:r>
        <w:rPr>
          <w:rFonts w:ascii="Garamond" w:eastAsia="Garamond" w:hAnsi="Garamond" w:cs="Garamond"/>
          <w:b/>
          <w:color w:val="000000"/>
        </w:rPr>
        <w:t>Los pacientes con ERH + AC con discapacidad</w:t>
      </w:r>
    </w:p>
    <w:p w14:paraId="638F88AD" w14:textId="02470595" w:rsidR="00DF518A" w:rsidRDefault="00C005C8" w:rsidP="00C005C8">
      <w:pPr>
        <w:pBdr>
          <w:top w:val="nil"/>
          <w:left w:val="nil"/>
          <w:bottom w:val="nil"/>
          <w:right w:val="nil"/>
          <w:between w:val="nil"/>
        </w:pBdr>
        <w:spacing w:after="0" w:line="240" w:lineRule="auto"/>
        <w:ind w:left="360"/>
        <w:jc w:val="both"/>
        <w:rPr>
          <w:rFonts w:ascii="Garamond" w:eastAsia="Garamond" w:hAnsi="Garamond" w:cs="Garamond"/>
          <w:b/>
          <w:color w:val="ED7D31"/>
        </w:rPr>
      </w:pPr>
      <w:r w:rsidRPr="002D3ACB">
        <w:rPr>
          <w:rFonts w:ascii="Garamond" w:eastAsia="Garamond" w:hAnsi="Garamond" w:cs="Garamond"/>
          <w:b/>
          <w:color w:val="ED7D31"/>
          <w:highlight w:val="white"/>
        </w:rPr>
        <w:t>Aplicado parcialmente</w:t>
      </w:r>
    </w:p>
    <w:p w14:paraId="79ADDD2C" w14:textId="77777777" w:rsidR="00C005C8" w:rsidRDefault="00C005C8" w:rsidP="00C005C8">
      <w:pPr>
        <w:pBdr>
          <w:top w:val="nil"/>
          <w:left w:val="nil"/>
          <w:bottom w:val="nil"/>
          <w:right w:val="nil"/>
          <w:between w:val="nil"/>
        </w:pBdr>
        <w:spacing w:after="0" w:line="240" w:lineRule="auto"/>
        <w:ind w:left="360"/>
        <w:jc w:val="both"/>
        <w:rPr>
          <w:rFonts w:ascii="Garamond" w:eastAsia="Garamond" w:hAnsi="Garamond" w:cs="Garamond"/>
          <w:b/>
          <w:color w:val="000000"/>
        </w:rPr>
      </w:pPr>
    </w:p>
    <w:p w14:paraId="74D825F3" w14:textId="001A1B4D" w:rsidR="00DF518A" w:rsidRDefault="00DF518A" w:rsidP="00DF518A">
      <w:pPr>
        <w:pBdr>
          <w:top w:val="nil"/>
          <w:left w:val="nil"/>
          <w:bottom w:val="nil"/>
          <w:right w:val="nil"/>
          <w:between w:val="nil"/>
        </w:pBdr>
        <w:spacing w:after="0" w:line="240" w:lineRule="auto"/>
        <w:jc w:val="both"/>
        <w:rPr>
          <w:rFonts w:ascii="Garamond" w:eastAsia="Garamond" w:hAnsi="Garamond" w:cs="Garamond"/>
          <w:color w:val="000000"/>
        </w:rPr>
      </w:pPr>
      <w:r>
        <w:rPr>
          <w:rFonts w:ascii="Garamond" w:eastAsia="Garamond" w:hAnsi="Garamond" w:cs="Garamond"/>
          <w:color w:val="000000"/>
        </w:rPr>
        <w:t xml:space="preserve">De acuerdo a la data </w:t>
      </w:r>
      <w:r w:rsidRPr="00DF518A">
        <w:rPr>
          <w:rFonts w:ascii="Garamond" w:eastAsia="Garamond" w:hAnsi="Garamond" w:cs="Garamond"/>
          <w:color w:val="000000"/>
        </w:rPr>
        <w:t>recopilada por el</w:t>
      </w:r>
      <w:r>
        <w:rPr>
          <w:rFonts w:ascii="Garamond" w:eastAsia="Garamond" w:hAnsi="Garamond" w:cs="Garamond"/>
          <w:b/>
          <w:color w:val="000000"/>
        </w:rPr>
        <w:t xml:space="preserve"> Colectivo Los Pacientes Importan, </w:t>
      </w:r>
      <w:r>
        <w:rPr>
          <w:rFonts w:ascii="Garamond" w:eastAsia="Garamond" w:hAnsi="Garamond" w:cs="Garamond"/>
          <w:color w:val="000000"/>
        </w:rPr>
        <w:t>las ERH + AC</w:t>
      </w:r>
      <w:r w:rsidR="0035786F">
        <w:rPr>
          <w:rStyle w:val="Refdenotaalpie"/>
          <w:rFonts w:ascii="Garamond" w:eastAsia="Garamond" w:hAnsi="Garamond" w:cs="Garamond"/>
          <w:color w:val="000000"/>
        </w:rPr>
        <w:footnoteReference w:id="15"/>
      </w:r>
      <w:r>
        <w:rPr>
          <w:rFonts w:ascii="Garamond" w:eastAsia="Garamond" w:hAnsi="Garamond" w:cs="Garamond"/>
          <w:color w:val="000000"/>
        </w:rPr>
        <w:t xml:space="preserve"> </w:t>
      </w:r>
      <w:r w:rsidR="0035786F">
        <w:rPr>
          <w:rFonts w:ascii="Garamond" w:eastAsia="Garamond" w:hAnsi="Garamond" w:cs="Garamond"/>
          <w:color w:val="000000"/>
        </w:rPr>
        <w:t>son discapacitantes</w:t>
      </w:r>
      <w:r>
        <w:rPr>
          <w:rFonts w:ascii="Garamond" w:eastAsia="Garamond" w:hAnsi="Garamond" w:cs="Garamond"/>
          <w:color w:val="000000"/>
        </w:rPr>
        <w:t>, incluso muchas de las enfermedades no son visibles, pero suelen ser muy dolorosas. Y, muchos de los pacientes</w:t>
      </w:r>
      <w:r w:rsidRPr="00DF518A">
        <w:rPr>
          <w:rFonts w:ascii="Garamond" w:eastAsia="Garamond" w:hAnsi="Garamond" w:cs="Garamond"/>
          <w:color w:val="000000"/>
        </w:rPr>
        <w:t xml:space="preserve"> son</w:t>
      </w:r>
      <w:r>
        <w:rPr>
          <w:rFonts w:ascii="Garamond" w:eastAsia="Garamond" w:hAnsi="Garamond" w:cs="Garamond"/>
          <w:color w:val="000000"/>
        </w:rPr>
        <w:t xml:space="preserve"> niñas, niños y adolescentes que no sólo enfrentan una enfermedad sino las dificultades </w:t>
      </w:r>
      <w:r w:rsidR="00BF06EF">
        <w:rPr>
          <w:rFonts w:ascii="Garamond" w:eastAsia="Garamond" w:hAnsi="Garamond" w:cs="Garamond"/>
          <w:color w:val="000000"/>
        </w:rPr>
        <w:t xml:space="preserve">para ingresar y </w:t>
      </w:r>
      <w:r>
        <w:rPr>
          <w:rFonts w:ascii="Garamond" w:eastAsia="Garamond" w:hAnsi="Garamond" w:cs="Garamond"/>
          <w:color w:val="000000"/>
        </w:rPr>
        <w:t>acceder a la escuela</w:t>
      </w:r>
      <w:r w:rsidR="00BF06EF">
        <w:rPr>
          <w:rFonts w:ascii="Garamond" w:eastAsia="Garamond" w:hAnsi="Garamond" w:cs="Garamond"/>
          <w:color w:val="000000"/>
        </w:rPr>
        <w:t>, además de la estigmatización y discriminación de sus pares y del personal de la escuela. Y</w:t>
      </w:r>
      <w:r>
        <w:rPr>
          <w:rFonts w:ascii="Garamond" w:eastAsia="Garamond" w:hAnsi="Garamond" w:cs="Garamond"/>
          <w:color w:val="000000"/>
        </w:rPr>
        <w:t>, en el caso de los adultos</w:t>
      </w:r>
      <w:r w:rsidR="00BF06EF">
        <w:rPr>
          <w:rFonts w:ascii="Garamond" w:eastAsia="Garamond" w:hAnsi="Garamond" w:cs="Garamond"/>
          <w:color w:val="000000"/>
        </w:rPr>
        <w:t>, la falta de acceso a trabajos para personas con un tipo de condición.</w:t>
      </w:r>
      <w:r>
        <w:rPr>
          <w:rFonts w:ascii="Garamond" w:eastAsia="Garamond" w:hAnsi="Garamond" w:cs="Garamond"/>
          <w:color w:val="000000"/>
        </w:rPr>
        <w:t xml:space="preserve"> Esta situación no solo afecta al paciente, sino también a sus cuidadores y sus familias, ya que al ser enfermedades que no tienen cura, requieren de cuidadores por el resto de sus vidas.</w:t>
      </w:r>
    </w:p>
    <w:p w14:paraId="1A36566B" w14:textId="319E10AD" w:rsidR="00DF518A" w:rsidRDefault="00DF518A" w:rsidP="00DF518A">
      <w:pPr>
        <w:pBdr>
          <w:top w:val="nil"/>
          <w:left w:val="nil"/>
          <w:bottom w:val="nil"/>
          <w:right w:val="nil"/>
          <w:between w:val="nil"/>
        </w:pBdr>
        <w:spacing w:after="0" w:line="240" w:lineRule="auto"/>
        <w:jc w:val="both"/>
        <w:rPr>
          <w:rFonts w:ascii="Garamond" w:eastAsia="Garamond" w:hAnsi="Garamond" w:cs="Garamond"/>
          <w:color w:val="000000"/>
        </w:rPr>
      </w:pPr>
    </w:p>
    <w:p w14:paraId="570A0227" w14:textId="585419E6" w:rsidR="0035786F" w:rsidRDefault="0035786F" w:rsidP="00DF518A">
      <w:pPr>
        <w:pBdr>
          <w:top w:val="nil"/>
          <w:left w:val="nil"/>
          <w:bottom w:val="nil"/>
          <w:right w:val="nil"/>
          <w:between w:val="nil"/>
        </w:pBdr>
        <w:spacing w:after="0" w:line="240" w:lineRule="auto"/>
        <w:jc w:val="both"/>
        <w:rPr>
          <w:rFonts w:ascii="Garamond" w:eastAsia="Garamond" w:hAnsi="Garamond" w:cs="Garamond"/>
          <w:color w:val="000000"/>
        </w:rPr>
      </w:pPr>
      <w:r>
        <w:rPr>
          <w:rFonts w:ascii="Garamond" w:eastAsia="Garamond" w:hAnsi="Garamond" w:cs="Garamond"/>
          <w:color w:val="000000"/>
        </w:rPr>
        <w:t xml:space="preserve">Del 100% de los pacientes encuestados, </w:t>
      </w:r>
      <w:r w:rsidR="00D73590">
        <w:rPr>
          <w:rFonts w:ascii="Garamond" w:eastAsia="Garamond" w:hAnsi="Garamond" w:cs="Garamond"/>
          <w:color w:val="000000"/>
        </w:rPr>
        <w:t>la mayoría</w:t>
      </w:r>
      <w:r>
        <w:rPr>
          <w:rFonts w:ascii="Garamond" w:eastAsia="Garamond" w:hAnsi="Garamond" w:cs="Garamond"/>
          <w:color w:val="000000"/>
        </w:rPr>
        <w:t xml:space="preserve"> tiene algún tipo de discapacidad y sólo el </w:t>
      </w:r>
      <w:r w:rsidR="00D73590">
        <w:rPr>
          <w:rFonts w:ascii="Garamond" w:eastAsia="Garamond" w:hAnsi="Garamond" w:cs="Garamond"/>
          <w:color w:val="000000"/>
        </w:rPr>
        <w:t>22.2</w:t>
      </w:r>
      <w:r>
        <w:rPr>
          <w:rFonts w:ascii="Garamond" w:eastAsia="Garamond" w:hAnsi="Garamond" w:cs="Garamond"/>
          <w:color w:val="000000"/>
        </w:rPr>
        <w:t>% cuenta con un certificado y/o carnet de discapacidad otorgado por el MINSA y Conadis</w:t>
      </w:r>
      <w:r>
        <w:rPr>
          <w:rStyle w:val="Refdenotaalpie"/>
          <w:rFonts w:ascii="Garamond" w:eastAsia="Garamond" w:hAnsi="Garamond" w:cs="Garamond"/>
          <w:color w:val="000000"/>
        </w:rPr>
        <w:footnoteReference w:id="16"/>
      </w:r>
      <w:r>
        <w:rPr>
          <w:rFonts w:ascii="Garamond" w:eastAsia="Garamond" w:hAnsi="Garamond" w:cs="Garamond"/>
          <w:color w:val="000000"/>
        </w:rPr>
        <w:t xml:space="preserve"> en ése orden. Los pacientes encuestados refieren que tienen muchas barreras para acceder al certificado de discapacidad en los establecimientos indicados por el MINSA debido a que: i) Sólo algunas IPRESS certifican</w:t>
      </w:r>
      <w:r w:rsidR="00D54286">
        <w:rPr>
          <w:rFonts w:ascii="Garamond" w:eastAsia="Garamond" w:hAnsi="Garamond" w:cs="Garamond"/>
          <w:color w:val="000000"/>
        </w:rPr>
        <w:t xml:space="preserve"> y sólo algunos médicos certifican</w:t>
      </w:r>
      <w:r>
        <w:rPr>
          <w:rFonts w:ascii="Garamond" w:eastAsia="Garamond" w:hAnsi="Garamond" w:cs="Garamond"/>
          <w:color w:val="000000"/>
        </w:rPr>
        <w:t>; ii) requiere</w:t>
      </w:r>
      <w:r w:rsidR="00BF06EF">
        <w:rPr>
          <w:rFonts w:ascii="Garamond" w:eastAsia="Garamond" w:hAnsi="Garamond" w:cs="Garamond"/>
          <w:color w:val="000000"/>
        </w:rPr>
        <w:t>n del</w:t>
      </w:r>
      <w:r>
        <w:rPr>
          <w:rFonts w:ascii="Garamond" w:eastAsia="Garamond" w:hAnsi="Garamond" w:cs="Garamond"/>
          <w:color w:val="000000"/>
        </w:rPr>
        <w:t xml:space="preserve"> diagnóstico correcto; iii) no todas las ERH+AC están dentro de </w:t>
      </w:r>
      <w:r w:rsidR="00253A6E">
        <w:rPr>
          <w:rFonts w:ascii="Garamond" w:eastAsia="Garamond" w:hAnsi="Garamond" w:cs="Garamond"/>
          <w:color w:val="000000"/>
        </w:rPr>
        <w:t>las 546 enfermedades reconocidas</w:t>
      </w:r>
      <w:r>
        <w:rPr>
          <w:rFonts w:ascii="Garamond" w:eastAsia="Garamond" w:hAnsi="Garamond" w:cs="Garamond"/>
          <w:color w:val="000000"/>
        </w:rPr>
        <w:t xml:space="preserve"> por el Perú; iv) falta de conocimiento y especialización de los médicos sobre las ERH+AC; entre otros problemas.</w:t>
      </w:r>
    </w:p>
    <w:p w14:paraId="6EBC045B" w14:textId="77777777" w:rsidR="0035786F" w:rsidRDefault="0035786F" w:rsidP="00DF518A">
      <w:pPr>
        <w:pBdr>
          <w:top w:val="nil"/>
          <w:left w:val="nil"/>
          <w:bottom w:val="nil"/>
          <w:right w:val="nil"/>
          <w:between w:val="nil"/>
        </w:pBdr>
        <w:spacing w:after="0" w:line="240" w:lineRule="auto"/>
        <w:jc w:val="both"/>
        <w:rPr>
          <w:rFonts w:ascii="Garamond" w:eastAsia="Garamond" w:hAnsi="Garamond" w:cs="Garamond"/>
          <w:color w:val="000000"/>
        </w:rPr>
      </w:pPr>
    </w:p>
    <w:p w14:paraId="7EE2BB24" w14:textId="313F561F" w:rsidR="0035786F" w:rsidRDefault="0035786F" w:rsidP="00DF518A">
      <w:pPr>
        <w:pBdr>
          <w:top w:val="nil"/>
          <w:left w:val="nil"/>
          <w:bottom w:val="nil"/>
          <w:right w:val="nil"/>
          <w:between w:val="nil"/>
        </w:pBdr>
        <w:spacing w:after="0" w:line="240" w:lineRule="auto"/>
        <w:jc w:val="both"/>
        <w:rPr>
          <w:rFonts w:ascii="Garamond" w:eastAsia="Garamond" w:hAnsi="Garamond" w:cs="Garamond"/>
          <w:color w:val="000000"/>
        </w:rPr>
      </w:pPr>
      <w:r>
        <w:rPr>
          <w:rFonts w:ascii="Garamond" w:eastAsia="Garamond" w:hAnsi="Garamond" w:cs="Garamond"/>
          <w:color w:val="000000"/>
        </w:rPr>
        <w:t xml:space="preserve">Sin el certificado de discapacidad del MINSA no se puede acceder al carnet de discapacidad de CONADIS que otorga </w:t>
      </w:r>
      <w:r w:rsidR="00BF06EF">
        <w:rPr>
          <w:rFonts w:ascii="Garamond" w:eastAsia="Garamond" w:hAnsi="Garamond" w:cs="Garamond"/>
          <w:color w:val="000000"/>
        </w:rPr>
        <w:t>ciertos</w:t>
      </w:r>
      <w:r>
        <w:rPr>
          <w:rFonts w:ascii="Garamond" w:eastAsia="Garamond" w:hAnsi="Garamond" w:cs="Garamond"/>
          <w:color w:val="000000"/>
        </w:rPr>
        <w:t xml:space="preserve"> </w:t>
      </w:r>
      <w:r w:rsidR="00253A6E">
        <w:rPr>
          <w:rFonts w:ascii="Garamond" w:eastAsia="Garamond" w:hAnsi="Garamond" w:cs="Garamond"/>
          <w:color w:val="000000"/>
        </w:rPr>
        <w:t>derechos</w:t>
      </w:r>
      <w:r w:rsidR="0081755D">
        <w:rPr>
          <w:rFonts w:ascii="Garamond" w:eastAsia="Garamond" w:hAnsi="Garamond" w:cs="Garamond"/>
          <w:color w:val="000000"/>
        </w:rPr>
        <w:t xml:space="preserve"> a los pacientes</w:t>
      </w:r>
      <w:r w:rsidR="00253A6E">
        <w:rPr>
          <w:rFonts w:ascii="Garamond" w:eastAsia="Garamond" w:hAnsi="Garamond" w:cs="Garamond"/>
          <w:color w:val="000000"/>
        </w:rPr>
        <w:t>.</w:t>
      </w:r>
    </w:p>
    <w:p w14:paraId="769BD3F2" w14:textId="77777777" w:rsidR="00253A6E" w:rsidRDefault="00253A6E" w:rsidP="00DF518A">
      <w:pPr>
        <w:pBdr>
          <w:top w:val="nil"/>
          <w:left w:val="nil"/>
          <w:bottom w:val="nil"/>
          <w:right w:val="nil"/>
          <w:between w:val="nil"/>
        </w:pBdr>
        <w:spacing w:after="0" w:line="240" w:lineRule="auto"/>
        <w:jc w:val="both"/>
        <w:rPr>
          <w:rFonts w:ascii="Garamond" w:eastAsia="Garamond" w:hAnsi="Garamond" w:cs="Garamond"/>
          <w:color w:val="000000"/>
        </w:rPr>
      </w:pPr>
    </w:p>
    <w:p w14:paraId="5ECE2F0F" w14:textId="42848066" w:rsidR="00253A6E" w:rsidRDefault="00253A6E" w:rsidP="00DF518A">
      <w:pPr>
        <w:pBdr>
          <w:top w:val="nil"/>
          <w:left w:val="nil"/>
          <w:bottom w:val="nil"/>
          <w:right w:val="nil"/>
          <w:between w:val="nil"/>
        </w:pBdr>
        <w:spacing w:after="0" w:line="240" w:lineRule="auto"/>
        <w:jc w:val="both"/>
        <w:rPr>
          <w:rFonts w:ascii="Garamond" w:eastAsia="Garamond" w:hAnsi="Garamond" w:cs="Garamond"/>
          <w:color w:val="000000"/>
        </w:rPr>
      </w:pPr>
      <w:r w:rsidRPr="00253A6E">
        <w:rPr>
          <w:rFonts w:ascii="Garamond" w:eastAsia="Garamond" w:hAnsi="Garamond" w:cs="Garamond"/>
          <w:b/>
          <w:color w:val="000000"/>
        </w:rPr>
        <w:t>Recomend</w:t>
      </w:r>
      <w:r w:rsidR="0081755D">
        <w:rPr>
          <w:rFonts w:ascii="Garamond" w:eastAsia="Garamond" w:hAnsi="Garamond" w:cs="Garamond"/>
          <w:b/>
          <w:color w:val="000000"/>
        </w:rPr>
        <w:t>amos</w:t>
      </w:r>
      <w:r w:rsidRPr="00253A6E">
        <w:rPr>
          <w:rFonts w:ascii="Garamond" w:eastAsia="Garamond" w:hAnsi="Garamond" w:cs="Garamond"/>
          <w:b/>
          <w:color w:val="000000"/>
        </w:rPr>
        <w:t xml:space="preserve"> al Estado peruano</w:t>
      </w:r>
      <w:r>
        <w:rPr>
          <w:rFonts w:ascii="Garamond" w:eastAsia="Garamond" w:hAnsi="Garamond" w:cs="Garamond"/>
          <w:color w:val="000000"/>
        </w:rPr>
        <w:t xml:space="preserve">: </w:t>
      </w:r>
    </w:p>
    <w:p w14:paraId="54E7197D" w14:textId="25FAB3DA" w:rsidR="00253A6E" w:rsidRDefault="00253A6E" w:rsidP="00BF06EF">
      <w:pPr>
        <w:pStyle w:val="Prrafodelista"/>
        <w:numPr>
          <w:ilvl w:val="0"/>
          <w:numId w:val="14"/>
        </w:numPr>
        <w:pBdr>
          <w:top w:val="nil"/>
          <w:left w:val="nil"/>
          <w:bottom w:val="nil"/>
          <w:right w:val="nil"/>
          <w:between w:val="nil"/>
        </w:pBdr>
        <w:spacing w:after="0" w:line="240" w:lineRule="auto"/>
        <w:jc w:val="both"/>
        <w:rPr>
          <w:rFonts w:ascii="Garamond" w:eastAsia="Garamond" w:hAnsi="Garamond" w:cs="Garamond"/>
          <w:color w:val="000000"/>
        </w:rPr>
      </w:pPr>
      <w:r w:rsidRPr="00BF06EF">
        <w:rPr>
          <w:rFonts w:ascii="Garamond" w:eastAsia="Garamond" w:hAnsi="Garamond" w:cs="Garamond"/>
          <w:b/>
          <w:bCs/>
          <w:color w:val="000000"/>
        </w:rPr>
        <w:t>Capacitación y sensibilización</w:t>
      </w:r>
      <w:r>
        <w:rPr>
          <w:rFonts w:ascii="Garamond" w:eastAsia="Garamond" w:hAnsi="Garamond" w:cs="Garamond"/>
          <w:color w:val="000000"/>
        </w:rPr>
        <w:t xml:space="preserve"> </w:t>
      </w:r>
      <w:r w:rsidRPr="00BF06EF">
        <w:rPr>
          <w:rFonts w:ascii="Garamond" w:eastAsia="Garamond" w:hAnsi="Garamond" w:cs="Garamond"/>
          <w:b/>
          <w:bCs/>
          <w:color w:val="000000"/>
        </w:rPr>
        <w:t>de médicos, enfermeras y administrativos</w:t>
      </w:r>
      <w:r>
        <w:rPr>
          <w:rFonts w:ascii="Garamond" w:eastAsia="Garamond" w:hAnsi="Garamond" w:cs="Garamond"/>
          <w:color w:val="000000"/>
        </w:rPr>
        <w:t xml:space="preserve"> que tienen algún contacto con pacientes con ERH+AC </w:t>
      </w:r>
      <w:r w:rsidR="00BF06EF">
        <w:rPr>
          <w:rFonts w:ascii="Garamond" w:eastAsia="Garamond" w:hAnsi="Garamond" w:cs="Garamond"/>
          <w:color w:val="000000"/>
        </w:rPr>
        <w:t xml:space="preserve">para que </w:t>
      </w:r>
      <w:r>
        <w:rPr>
          <w:rFonts w:ascii="Garamond" w:eastAsia="Garamond" w:hAnsi="Garamond" w:cs="Garamond"/>
          <w:color w:val="000000"/>
        </w:rPr>
        <w:t xml:space="preserve">conozcan </w:t>
      </w:r>
      <w:r w:rsidR="00BF06EF">
        <w:rPr>
          <w:rFonts w:ascii="Garamond" w:eastAsia="Garamond" w:hAnsi="Garamond" w:cs="Garamond"/>
          <w:color w:val="000000"/>
        </w:rPr>
        <w:t>estas</w:t>
      </w:r>
      <w:r>
        <w:rPr>
          <w:rFonts w:ascii="Garamond" w:eastAsia="Garamond" w:hAnsi="Garamond" w:cs="Garamond"/>
          <w:color w:val="000000"/>
        </w:rPr>
        <w:t xml:space="preserve"> enfermedades. </w:t>
      </w:r>
    </w:p>
    <w:p w14:paraId="45D0B98F" w14:textId="77777777" w:rsidR="00E52F4D" w:rsidRPr="00BF06EF" w:rsidRDefault="00E52F4D" w:rsidP="00BF06EF">
      <w:pPr>
        <w:pStyle w:val="Prrafodelista"/>
        <w:numPr>
          <w:ilvl w:val="0"/>
          <w:numId w:val="14"/>
        </w:numPr>
        <w:pBdr>
          <w:top w:val="nil"/>
          <w:left w:val="nil"/>
          <w:bottom w:val="nil"/>
          <w:right w:val="nil"/>
          <w:between w:val="nil"/>
        </w:pBdr>
        <w:spacing w:after="0" w:line="240" w:lineRule="auto"/>
        <w:jc w:val="both"/>
        <w:rPr>
          <w:rFonts w:ascii="Garamond" w:eastAsia="Garamond" w:hAnsi="Garamond" w:cs="Garamond"/>
          <w:b/>
          <w:bCs/>
          <w:color w:val="000000"/>
        </w:rPr>
      </w:pPr>
      <w:r w:rsidRPr="00BF06EF">
        <w:rPr>
          <w:rFonts w:ascii="Garamond" w:eastAsia="Garamond" w:hAnsi="Garamond" w:cs="Garamond"/>
          <w:b/>
          <w:bCs/>
          <w:color w:val="000000"/>
        </w:rPr>
        <w:t>Las ERH+AC deben ser incluidas en el currículo de pre grado de ciencias de la salud en las universidades públicas y privadas.</w:t>
      </w:r>
    </w:p>
    <w:p w14:paraId="20618E6B" w14:textId="633F6B26" w:rsidR="00E52F4D" w:rsidRDefault="00E52F4D" w:rsidP="00BF06EF">
      <w:pPr>
        <w:pStyle w:val="Prrafodelista"/>
        <w:numPr>
          <w:ilvl w:val="0"/>
          <w:numId w:val="14"/>
        </w:numPr>
        <w:pBdr>
          <w:top w:val="nil"/>
          <w:left w:val="nil"/>
          <w:bottom w:val="nil"/>
          <w:right w:val="nil"/>
          <w:between w:val="nil"/>
        </w:pBdr>
        <w:spacing w:after="0" w:line="240" w:lineRule="auto"/>
        <w:jc w:val="both"/>
        <w:rPr>
          <w:rFonts w:ascii="Garamond" w:eastAsia="Garamond" w:hAnsi="Garamond" w:cs="Garamond"/>
          <w:color w:val="000000"/>
        </w:rPr>
      </w:pPr>
      <w:r w:rsidRPr="00BF06EF">
        <w:rPr>
          <w:rFonts w:ascii="Garamond" w:eastAsia="Garamond" w:hAnsi="Garamond" w:cs="Garamond"/>
          <w:b/>
          <w:bCs/>
          <w:color w:val="000000"/>
        </w:rPr>
        <w:t>Las ERH+AC deben ser incluidas –de manera informativa- en el currículo de las escuelas</w:t>
      </w:r>
      <w:r>
        <w:rPr>
          <w:rFonts w:ascii="Garamond" w:eastAsia="Garamond" w:hAnsi="Garamond" w:cs="Garamond"/>
          <w:color w:val="000000"/>
        </w:rPr>
        <w:t>.</w:t>
      </w:r>
    </w:p>
    <w:p w14:paraId="60DBD5ED" w14:textId="76C46710" w:rsidR="00253A6E" w:rsidRDefault="00BF06EF" w:rsidP="00BF06EF">
      <w:pPr>
        <w:pStyle w:val="Prrafodelista"/>
        <w:numPr>
          <w:ilvl w:val="0"/>
          <w:numId w:val="14"/>
        </w:numPr>
        <w:pBdr>
          <w:top w:val="nil"/>
          <w:left w:val="nil"/>
          <w:bottom w:val="nil"/>
          <w:right w:val="nil"/>
          <w:between w:val="nil"/>
        </w:pBdr>
        <w:spacing w:after="0" w:line="240" w:lineRule="auto"/>
        <w:jc w:val="both"/>
        <w:rPr>
          <w:rFonts w:ascii="Garamond" w:eastAsia="Garamond" w:hAnsi="Garamond" w:cs="Garamond"/>
          <w:color w:val="000000"/>
        </w:rPr>
      </w:pPr>
      <w:r w:rsidRPr="00BF06EF">
        <w:rPr>
          <w:rFonts w:ascii="Garamond" w:eastAsia="Garamond" w:hAnsi="Garamond" w:cs="Garamond"/>
          <w:b/>
          <w:bCs/>
          <w:color w:val="000000"/>
        </w:rPr>
        <w:t>Realizar c</w:t>
      </w:r>
      <w:r w:rsidR="00253A6E" w:rsidRPr="00BF06EF">
        <w:rPr>
          <w:rFonts w:ascii="Garamond" w:eastAsia="Garamond" w:hAnsi="Garamond" w:cs="Garamond"/>
          <w:b/>
          <w:bCs/>
          <w:color w:val="000000"/>
        </w:rPr>
        <w:t>ampaña</w:t>
      </w:r>
      <w:r w:rsidRPr="00BF06EF">
        <w:rPr>
          <w:rFonts w:ascii="Garamond" w:eastAsia="Garamond" w:hAnsi="Garamond" w:cs="Garamond"/>
          <w:b/>
          <w:bCs/>
          <w:color w:val="000000"/>
        </w:rPr>
        <w:t>s</w:t>
      </w:r>
      <w:r w:rsidR="00253A6E" w:rsidRPr="00BF06EF">
        <w:rPr>
          <w:rFonts w:ascii="Garamond" w:eastAsia="Garamond" w:hAnsi="Garamond" w:cs="Garamond"/>
          <w:b/>
          <w:bCs/>
          <w:color w:val="000000"/>
        </w:rPr>
        <w:t xml:space="preserve"> de certificación </w:t>
      </w:r>
      <w:r w:rsidR="00B40769">
        <w:rPr>
          <w:rFonts w:ascii="Garamond" w:eastAsia="Garamond" w:hAnsi="Garamond" w:cs="Garamond"/>
          <w:b/>
          <w:bCs/>
          <w:color w:val="000000"/>
        </w:rPr>
        <w:t xml:space="preserve">de discapacidad </w:t>
      </w:r>
      <w:r w:rsidR="00253A6E" w:rsidRPr="00BF06EF">
        <w:rPr>
          <w:rFonts w:ascii="Garamond" w:eastAsia="Garamond" w:hAnsi="Garamond" w:cs="Garamond"/>
          <w:b/>
          <w:bCs/>
          <w:color w:val="000000"/>
        </w:rPr>
        <w:t>para pacientes con ERH+AC</w:t>
      </w:r>
      <w:r w:rsidR="00253A6E">
        <w:rPr>
          <w:rFonts w:ascii="Garamond" w:eastAsia="Garamond" w:hAnsi="Garamond" w:cs="Garamond"/>
          <w:color w:val="000000"/>
        </w:rPr>
        <w:t xml:space="preserve"> a cargo del MINSA, a nivel nacional.</w:t>
      </w:r>
    </w:p>
    <w:p w14:paraId="17F29378" w14:textId="664EE902" w:rsidR="00DF518A" w:rsidRDefault="00253A6E" w:rsidP="00B40769">
      <w:pPr>
        <w:pStyle w:val="Prrafodelista"/>
        <w:numPr>
          <w:ilvl w:val="0"/>
          <w:numId w:val="15"/>
        </w:numPr>
        <w:pBdr>
          <w:top w:val="nil"/>
          <w:left w:val="nil"/>
          <w:bottom w:val="nil"/>
          <w:right w:val="nil"/>
          <w:between w:val="nil"/>
        </w:pBdr>
        <w:spacing w:after="0" w:line="240" w:lineRule="auto"/>
        <w:ind w:left="709"/>
        <w:jc w:val="both"/>
        <w:rPr>
          <w:rFonts w:ascii="Garamond" w:eastAsia="Garamond" w:hAnsi="Garamond" w:cs="Garamond"/>
          <w:color w:val="000000"/>
        </w:rPr>
      </w:pPr>
      <w:r w:rsidRPr="00BF06EF">
        <w:rPr>
          <w:rFonts w:ascii="Garamond" w:eastAsia="Garamond" w:hAnsi="Garamond" w:cs="Garamond"/>
          <w:b/>
          <w:bCs/>
          <w:color w:val="000000"/>
        </w:rPr>
        <w:t>Garantizar que todos los niños, niñas y adolescentes con</w:t>
      </w:r>
      <w:r w:rsidR="00B40769">
        <w:rPr>
          <w:rFonts w:ascii="Garamond" w:eastAsia="Garamond" w:hAnsi="Garamond" w:cs="Garamond"/>
          <w:b/>
          <w:bCs/>
          <w:color w:val="000000"/>
        </w:rPr>
        <w:t xml:space="preserve"> una</w:t>
      </w:r>
      <w:r w:rsidRPr="00BF06EF">
        <w:rPr>
          <w:rFonts w:ascii="Garamond" w:eastAsia="Garamond" w:hAnsi="Garamond" w:cs="Garamond"/>
          <w:b/>
          <w:bCs/>
          <w:color w:val="000000"/>
        </w:rPr>
        <w:t xml:space="preserve"> ERH+AC </w:t>
      </w:r>
      <w:r w:rsidR="00B40769">
        <w:rPr>
          <w:rFonts w:ascii="Garamond" w:eastAsia="Garamond" w:hAnsi="Garamond" w:cs="Garamond"/>
          <w:b/>
          <w:bCs/>
          <w:color w:val="000000"/>
        </w:rPr>
        <w:t xml:space="preserve">discapacitante </w:t>
      </w:r>
      <w:r w:rsidRPr="00BF06EF">
        <w:rPr>
          <w:rFonts w:ascii="Garamond" w:eastAsia="Garamond" w:hAnsi="Garamond" w:cs="Garamond"/>
          <w:b/>
          <w:bCs/>
          <w:color w:val="000000"/>
        </w:rPr>
        <w:t xml:space="preserve">logren acceder un </w:t>
      </w:r>
      <w:r w:rsidR="00E52F4D" w:rsidRPr="00BF06EF">
        <w:rPr>
          <w:rFonts w:ascii="Garamond" w:eastAsia="Garamond" w:hAnsi="Garamond" w:cs="Garamond"/>
          <w:b/>
          <w:bCs/>
          <w:color w:val="000000"/>
        </w:rPr>
        <w:t xml:space="preserve">cupo de </w:t>
      </w:r>
      <w:r w:rsidRPr="00BF06EF">
        <w:rPr>
          <w:rFonts w:ascii="Garamond" w:eastAsia="Garamond" w:hAnsi="Garamond" w:cs="Garamond"/>
          <w:b/>
          <w:bCs/>
          <w:color w:val="000000"/>
        </w:rPr>
        <w:t>ingreso en la escuela</w:t>
      </w:r>
      <w:r w:rsidRPr="00BF06EF">
        <w:rPr>
          <w:rFonts w:ascii="Garamond" w:eastAsia="Garamond" w:hAnsi="Garamond" w:cs="Garamond"/>
          <w:color w:val="000000"/>
        </w:rPr>
        <w:t>.</w:t>
      </w:r>
    </w:p>
    <w:p w14:paraId="246A7A4A" w14:textId="4BFF3747" w:rsidR="00BF06EF" w:rsidRPr="00BF06EF" w:rsidRDefault="00BF06EF" w:rsidP="00B40769">
      <w:pPr>
        <w:pStyle w:val="Prrafodelista"/>
        <w:numPr>
          <w:ilvl w:val="0"/>
          <w:numId w:val="15"/>
        </w:numPr>
        <w:pBdr>
          <w:top w:val="nil"/>
          <w:left w:val="nil"/>
          <w:bottom w:val="nil"/>
          <w:right w:val="nil"/>
          <w:between w:val="nil"/>
        </w:pBdr>
        <w:spacing w:after="0" w:line="240" w:lineRule="auto"/>
        <w:ind w:left="709"/>
        <w:jc w:val="both"/>
        <w:rPr>
          <w:rFonts w:ascii="Garamond" w:eastAsia="Garamond" w:hAnsi="Garamond" w:cs="Garamond"/>
          <w:color w:val="000000"/>
        </w:rPr>
      </w:pPr>
      <w:r>
        <w:rPr>
          <w:rFonts w:ascii="Garamond" w:eastAsia="Garamond" w:hAnsi="Garamond" w:cs="Garamond"/>
          <w:b/>
          <w:bCs/>
          <w:color w:val="000000"/>
        </w:rPr>
        <w:t xml:space="preserve">Capacitar y sensibilizar a maestros, directores y personal administrativo de las escuelas para que no discriminen a los niños, niñas y adolescentes </w:t>
      </w:r>
      <w:r w:rsidRPr="00B40769">
        <w:rPr>
          <w:rFonts w:ascii="Garamond" w:eastAsia="Garamond" w:hAnsi="Garamond" w:cs="Garamond"/>
          <w:color w:val="000000"/>
        </w:rPr>
        <w:t>que padecen de alguna enfermedad rara o huérfana</w:t>
      </w:r>
      <w:r w:rsidR="00B40769" w:rsidRPr="00B40769">
        <w:rPr>
          <w:rFonts w:ascii="Garamond" w:eastAsia="Garamond" w:hAnsi="Garamond" w:cs="Garamond"/>
          <w:color w:val="000000"/>
        </w:rPr>
        <w:t>, autoinmune, crónica o cáncer con algún tipo de discapacidad.</w:t>
      </w:r>
    </w:p>
    <w:p w14:paraId="4E4204C5" w14:textId="77777777" w:rsidR="00DF518A" w:rsidRDefault="00DF518A" w:rsidP="00DF518A">
      <w:pPr>
        <w:pBdr>
          <w:top w:val="nil"/>
          <w:left w:val="nil"/>
          <w:bottom w:val="nil"/>
          <w:right w:val="nil"/>
          <w:between w:val="nil"/>
        </w:pBdr>
        <w:spacing w:after="0" w:line="240" w:lineRule="auto"/>
        <w:jc w:val="both"/>
        <w:rPr>
          <w:rFonts w:ascii="Garamond" w:eastAsia="Garamond" w:hAnsi="Garamond" w:cs="Garamond"/>
          <w:b/>
          <w:color w:val="000000"/>
        </w:rPr>
      </w:pPr>
    </w:p>
    <w:p w14:paraId="12D20005" w14:textId="18F877E3" w:rsidR="00965B1C" w:rsidRPr="00B40769" w:rsidRDefault="00965B1C" w:rsidP="002D3ACB">
      <w:pPr>
        <w:pStyle w:val="Prrafodelista"/>
        <w:numPr>
          <w:ilvl w:val="1"/>
          <w:numId w:val="11"/>
        </w:numPr>
        <w:pBdr>
          <w:top w:val="nil"/>
          <w:left w:val="nil"/>
          <w:bottom w:val="nil"/>
          <w:right w:val="nil"/>
          <w:between w:val="nil"/>
        </w:pBdr>
        <w:spacing w:after="0" w:line="240" w:lineRule="auto"/>
        <w:jc w:val="both"/>
        <w:rPr>
          <w:rFonts w:ascii="Garamond" w:eastAsia="Garamond" w:hAnsi="Garamond" w:cs="Garamond"/>
          <w:b/>
          <w:color w:val="000000"/>
        </w:rPr>
      </w:pPr>
      <w:r>
        <w:rPr>
          <w:rFonts w:ascii="Garamond" w:eastAsia="Garamond" w:hAnsi="Garamond" w:cs="Garamond"/>
          <w:b/>
        </w:rPr>
        <w:t>Derecho al cuidado para pacientes con ERH</w:t>
      </w:r>
    </w:p>
    <w:p w14:paraId="4EAF8F44" w14:textId="29B995D7" w:rsidR="00B40769" w:rsidRPr="00B40769" w:rsidRDefault="00B40769" w:rsidP="00B40769">
      <w:pPr>
        <w:pStyle w:val="Prrafodelista"/>
        <w:pBdr>
          <w:top w:val="nil"/>
          <w:left w:val="nil"/>
          <w:bottom w:val="nil"/>
          <w:right w:val="nil"/>
          <w:between w:val="nil"/>
        </w:pBdr>
        <w:spacing w:after="0" w:line="240" w:lineRule="auto"/>
        <w:ind w:firstLine="360"/>
        <w:jc w:val="both"/>
        <w:rPr>
          <w:rFonts w:ascii="Garamond" w:eastAsia="Garamond" w:hAnsi="Garamond" w:cs="Garamond"/>
          <w:b/>
          <w:color w:val="ED7D31"/>
        </w:rPr>
      </w:pPr>
      <w:r>
        <w:rPr>
          <w:rFonts w:ascii="Garamond" w:eastAsia="Garamond" w:hAnsi="Garamond" w:cs="Garamond"/>
          <w:b/>
          <w:color w:val="ED7D31"/>
          <w:highlight w:val="white"/>
        </w:rPr>
        <w:t>No se ha a</w:t>
      </w:r>
      <w:r w:rsidRPr="00B40769">
        <w:rPr>
          <w:rFonts w:ascii="Garamond" w:eastAsia="Garamond" w:hAnsi="Garamond" w:cs="Garamond"/>
          <w:b/>
          <w:color w:val="ED7D31"/>
          <w:highlight w:val="white"/>
        </w:rPr>
        <w:t>plicado</w:t>
      </w:r>
      <w:r>
        <w:rPr>
          <w:rFonts w:ascii="Garamond" w:eastAsia="Garamond" w:hAnsi="Garamond" w:cs="Garamond"/>
          <w:b/>
          <w:color w:val="ED7D31"/>
        </w:rPr>
        <w:t>.</w:t>
      </w:r>
    </w:p>
    <w:p w14:paraId="0F1BF1D2" w14:textId="77777777" w:rsidR="00B40769" w:rsidRPr="00965B1C" w:rsidRDefault="00B40769" w:rsidP="00B40769">
      <w:pPr>
        <w:pStyle w:val="Prrafodelista"/>
        <w:pBdr>
          <w:top w:val="nil"/>
          <w:left w:val="nil"/>
          <w:bottom w:val="nil"/>
          <w:right w:val="nil"/>
          <w:between w:val="nil"/>
        </w:pBdr>
        <w:spacing w:after="0" w:line="240" w:lineRule="auto"/>
        <w:ind w:left="1080"/>
        <w:jc w:val="both"/>
        <w:rPr>
          <w:rFonts w:ascii="Garamond" w:eastAsia="Garamond" w:hAnsi="Garamond" w:cs="Garamond"/>
          <w:b/>
          <w:color w:val="000000"/>
        </w:rPr>
      </w:pPr>
    </w:p>
    <w:p w14:paraId="05E6CB7A" w14:textId="77777777" w:rsidR="00965B1C" w:rsidRPr="00B40769" w:rsidRDefault="00965B1C" w:rsidP="00965B1C">
      <w:pPr>
        <w:spacing w:after="0" w:line="240" w:lineRule="auto"/>
        <w:jc w:val="both"/>
        <w:rPr>
          <w:rFonts w:ascii="Garamond" w:eastAsia="Garamond" w:hAnsi="Garamond" w:cstheme="majorHAnsi"/>
        </w:rPr>
      </w:pPr>
      <w:r w:rsidRPr="00B40769">
        <w:rPr>
          <w:rFonts w:ascii="Garamond" w:eastAsia="Garamond" w:hAnsi="Garamond" w:cstheme="majorHAnsi"/>
        </w:rPr>
        <w:lastRenderedPageBreak/>
        <w:t>Las personas viviendo con una enfermedad rara, huérfana, autoinmune, crónica y cáncer (ERH + AC) padecen de una serie de obstáculos para acceder al derecho a la salud y por ello, hacer realidad otros derechos, desde acceder a un diagnóstico temprano</w:t>
      </w:r>
      <w:r w:rsidRPr="00B40769">
        <w:rPr>
          <w:rStyle w:val="Refdenotaalpie"/>
          <w:rFonts w:ascii="Garamond" w:eastAsia="Garamond" w:hAnsi="Garamond" w:cstheme="majorHAnsi"/>
        </w:rPr>
        <w:footnoteReference w:id="17"/>
      </w:r>
      <w:r w:rsidRPr="00B40769">
        <w:rPr>
          <w:rFonts w:ascii="Garamond" w:eastAsia="Garamond" w:hAnsi="Garamond" w:cstheme="majorHAnsi"/>
        </w:rPr>
        <w:t>, un tratamiento integral e ininterrumpido</w:t>
      </w:r>
      <w:r w:rsidRPr="00B40769">
        <w:rPr>
          <w:rStyle w:val="Refdenotaalpie"/>
          <w:rFonts w:ascii="Garamond" w:eastAsia="Garamond" w:hAnsi="Garamond" w:cstheme="majorHAnsi"/>
        </w:rPr>
        <w:footnoteReference w:id="18"/>
      </w:r>
      <w:r w:rsidRPr="00B40769">
        <w:rPr>
          <w:rFonts w:ascii="Garamond" w:eastAsia="Garamond" w:hAnsi="Garamond" w:cstheme="majorHAnsi"/>
        </w:rPr>
        <w:t xml:space="preserve">, hasta acceder a la escuela y/o un trabajo. </w:t>
      </w:r>
    </w:p>
    <w:p w14:paraId="0218C152" w14:textId="77777777" w:rsidR="00965B1C" w:rsidRPr="00B40769" w:rsidRDefault="00965B1C" w:rsidP="00965B1C">
      <w:pPr>
        <w:spacing w:after="0" w:line="240" w:lineRule="auto"/>
        <w:jc w:val="both"/>
        <w:rPr>
          <w:rFonts w:ascii="Garamond" w:eastAsia="Garamond" w:hAnsi="Garamond" w:cstheme="majorHAnsi"/>
        </w:rPr>
      </w:pPr>
    </w:p>
    <w:p w14:paraId="0ABD0A89" w14:textId="7C7F9F2F" w:rsidR="00965B1C" w:rsidRPr="00F40783" w:rsidRDefault="00965B1C" w:rsidP="00965B1C">
      <w:pPr>
        <w:spacing w:after="0" w:line="240" w:lineRule="auto"/>
        <w:jc w:val="both"/>
        <w:rPr>
          <w:rFonts w:ascii="Garamond" w:eastAsia="Garamond" w:hAnsi="Garamond" w:cstheme="majorHAnsi"/>
        </w:rPr>
      </w:pPr>
      <w:r w:rsidRPr="00F40783">
        <w:rPr>
          <w:rFonts w:ascii="Garamond" w:eastAsia="Garamond" w:hAnsi="Garamond" w:cstheme="majorHAnsi"/>
        </w:rPr>
        <w:t>A nivel nacional no hay especialistas en los centros de atención de primer nivel. Sólo en la capital, en la ciudad de Lima, se encuentra el 70% de los médicos y, 30% en el resto de los departamentos del país</w:t>
      </w:r>
      <w:r w:rsidRPr="00F40783">
        <w:rPr>
          <w:rStyle w:val="Refdenotaalpie"/>
          <w:rFonts w:ascii="Garamond" w:eastAsia="Garamond" w:hAnsi="Garamond" w:cstheme="majorHAnsi"/>
        </w:rPr>
        <w:footnoteReference w:id="19"/>
      </w:r>
      <w:r w:rsidRPr="00F40783">
        <w:rPr>
          <w:rFonts w:ascii="Garamond" w:eastAsia="Garamond" w:hAnsi="Garamond" w:cstheme="majorHAnsi"/>
        </w:rPr>
        <w:t xml:space="preserve">. Debido a ello, las personas que no viven en Lima deben de viajar varias veces al año para atenderse, el traslado es cubierto por el paciente, su familia y/o cuidador. En la mayoría de los casos los pacientes son menores de edad, su cuidador es alguien de la familia, mayoritariamente la madre del paciente es quien se encarga del cuidado del niño (aseo, alimentación, atención, cariño), además de lidiar con el sistema de salud: solicitar citas, exámenes, buscar especialistas y llevarlo a todos los controles. El viaje de una ciudad a otra está a cargo del cuidador/a, </w:t>
      </w:r>
      <w:r w:rsidR="00B40769" w:rsidRPr="00F40783">
        <w:rPr>
          <w:rFonts w:ascii="Garamond" w:eastAsia="Garamond" w:hAnsi="Garamond" w:cstheme="majorHAnsi"/>
        </w:rPr>
        <w:t xml:space="preserve">ó </w:t>
      </w:r>
      <w:r w:rsidRPr="00F40783">
        <w:rPr>
          <w:rFonts w:ascii="Garamond" w:eastAsia="Garamond" w:hAnsi="Garamond" w:cstheme="majorHAnsi"/>
        </w:rPr>
        <w:t xml:space="preserve">de </w:t>
      </w:r>
      <w:r w:rsidR="00B40769" w:rsidRPr="00F40783">
        <w:rPr>
          <w:rFonts w:ascii="Garamond" w:eastAsia="Garamond" w:hAnsi="Garamond" w:cstheme="majorHAnsi"/>
        </w:rPr>
        <w:t>algún familiar</w:t>
      </w:r>
      <w:r w:rsidRPr="00F40783">
        <w:rPr>
          <w:rFonts w:ascii="Garamond" w:eastAsia="Garamond" w:hAnsi="Garamond" w:cstheme="majorHAnsi"/>
        </w:rPr>
        <w:t>. Debido a que no hay servicios de cuidado para niños y niñas, confiables y gratuitos brindados por el Estado, la madre cuidadora debe viajar con el paciente y los demás hijos -si tuviera- para llevar al niño paciente a sus controles, tratamientos, rehabilitaciones. En el caso de viaje, el gasto de bolsillo aumenta cuando debe trasladarse con los demás miembros de la familia, ya que los traslados por salud no son cubiertos por el Estado, y, el viaje no solo significa movilidad, sino también alimentos, alojamiento, otros gastos no previsibles.</w:t>
      </w:r>
    </w:p>
    <w:p w14:paraId="1149CF8A" w14:textId="77777777" w:rsidR="00965B1C" w:rsidRPr="00F40783" w:rsidRDefault="00965B1C" w:rsidP="00965B1C">
      <w:pPr>
        <w:spacing w:after="0" w:line="240" w:lineRule="auto"/>
        <w:jc w:val="both"/>
        <w:rPr>
          <w:rFonts w:ascii="Garamond" w:eastAsia="Garamond" w:hAnsi="Garamond" w:cstheme="majorHAnsi"/>
        </w:rPr>
      </w:pPr>
    </w:p>
    <w:p w14:paraId="674A78A1" w14:textId="46AA63E7" w:rsidR="00965B1C" w:rsidRPr="00F40783" w:rsidRDefault="00B40769" w:rsidP="00965B1C">
      <w:pPr>
        <w:spacing w:after="0" w:line="240" w:lineRule="auto"/>
        <w:jc w:val="both"/>
        <w:rPr>
          <w:rFonts w:ascii="Garamond" w:eastAsia="Garamond" w:hAnsi="Garamond" w:cstheme="majorHAnsi"/>
        </w:rPr>
      </w:pPr>
      <w:r w:rsidRPr="00F40783">
        <w:rPr>
          <w:rFonts w:ascii="Garamond" w:eastAsia="Garamond" w:hAnsi="Garamond" w:cstheme="majorHAnsi"/>
        </w:rPr>
        <w:t>La mayoría de cuidadores son mujeres</w:t>
      </w:r>
      <w:r w:rsidR="00965B1C" w:rsidRPr="00F40783">
        <w:rPr>
          <w:rFonts w:ascii="Garamond" w:eastAsia="Garamond" w:hAnsi="Garamond" w:cstheme="majorHAnsi"/>
        </w:rPr>
        <w:t xml:space="preserve">, </w:t>
      </w:r>
      <w:r w:rsidRPr="00F40783">
        <w:rPr>
          <w:rFonts w:ascii="Garamond" w:eastAsia="Garamond" w:hAnsi="Garamond" w:cstheme="majorHAnsi"/>
        </w:rPr>
        <w:t xml:space="preserve">que debido a la </w:t>
      </w:r>
      <w:r w:rsidR="00965B1C" w:rsidRPr="00F40783">
        <w:rPr>
          <w:rFonts w:ascii="Garamond" w:eastAsia="Garamond" w:hAnsi="Garamond" w:cstheme="majorHAnsi"/>
        </w:rPr>
        <w:t xml:space="preserve">situación </w:t>
      </w:r>
      <w:r w:rsidRPr="00F40783">
        <w:rPr>
          <w:rFonts w:ascii="Garamond" w:eastAsia="Garamond" w:hAnsi="Garamond" w:cstheme="majorHAnsi"/>
        </w:rPr>
        <w:t>han dejado de trabajar para dedicarse exclusivamente al niño o niña, para cuidarlo, llevarlo al médico, a la rehabilitación y a la escuela</w:t>
      </w:r>
      <w:r w:rsidR="00965B1C" w:rsidRPr="00F40783">
        <w:rPr>
          <w:rFonts w:ascii="Garamond" w:eastAsia="Garamond" w:hAnsi="Garamond" w:cstheme="majorHAnsi"/>
        </w:rPr>
        <w:t xml:space="preserve">. </w:t>
      </w:r>
    </w:p>
    <w:p w14:paraId="2F02B1A6" w14:textId="77777777" w:rsidR="00965B1C" w:rsidRPr="00F40783" w:rsidRDefault="00965B1C" w:rsidP="00965B1C">
      <w:pPr>
        <w:spacing w:after="0" w:line="240" w:lineRule="auto"/>
        <w:jc w:val="both"/>
        <w:rPr>
          <w:rFonts w:ascii="Garamond" w:eastAsia="Garamond" w:hAnsi="Garamond" w:cstheme="majorHAnsi"/>
        </w:rPr>
      </w:pPr>
    </w:p>
    <w:p w14:paraId="1565FC22" w14:textId="77777777" w:rsidR="00965B1C" w:rsidRPr="00F40783" w:rsidRDefault="00965B1C" w:rsidP="00965B1C">
      <w:pPr>
        <w:spacing w:after="0" w:line="240" w:lineRule="auto"/>
        <w:jc w:val="both"/>
        <w:rPr>
          <w:rFonts w:ascii="Garamond" w:eastAsia="Garamond" w:hAnsi="Garamond" w:cstheme="majorHAnsi"/>
          <w:b/>
          <w:color w:val="000000"/>
        </w:rPr>
      </w:pPr>
      <w:r w:rsidRPr="00F40783">
        <w:rPr>
          <w:rFonts w:ascii="Garamond" w:eastAsia="Garamond" w:hAnsi="Garamond" w:cstheme="majorHAnsi"/>
        </w:rPr>
        <w:t xml:space="preserve">De acuerdo a la data recopilada por el </w:t>
      </w:r>
      <w:r w:rsidRPr="00F40783">
        <w:rPr>
          <w:rFonts w:ascii="Garamond" w:eastAsia="Garamond" w:hAnsi="Garamond" w:cstheme="majorHAnsi"/>
          <w:color w:val="000000"/>
        </w:rPr>
        <w:t>Observatorio del</w:t>
      </w:r>
      <w:r w:rsidRPr="00F40783">
        <w:rPr>
          <w:rFonts w:ascii="Garamond" w:eastAsia="Garamond" w:hAnsi="Garamond" w:cstheme="majorHAnsi"/>
          <w:b/>
          <w:color w:val="000000"/>
        </w:rPr>
        <w:t xml:space="preserve"> </w:t>
      </w:r>
      <w:r w:rsidRPr="00F40783">
        <w:rPr>
          <w:rFonts w:ascii="Garamond" w:eastAsia="Garamond" w:hAnsi="Garamond" w:cstheme="majorHAnsi"/>
          <w:color w:val="000000"/>
        </w:rPr>
        <w:t>Colectivo</w:t>
      </w:r>
      <w:r w:rsidRPr="00F40783">
        <w:rPr>
          <w:rFonts w:ascii="Garamond" w:eastAsia="Garamond" w:hAnsi="Garamond" w:cstheme="majorHAnsi"/>
          <w:b/>
          <w:color w:val="000000"/>
        </w:rPr>
        <w:t xml:space="preserve"> Los Pacientes Importan</w:t>
      </w:r>
      <w:r w:rsidRPr="00F40783">
        <w:rPr>
          <w:rStyle w:val="Refdenotaalpie"/>
          <w:rFonts w:ascii="Garamond" w:eastAsia="Garamond" w:hAnsi="Garamond" w:cstheme="majorHAnsi"/>
          <w:b/>
          <w:color w:val="000000"/>
        </w:rPr>
        <w:footnoteReference w:id="20"/>
      </w:r>
      <w:r w:rsidRPr="00F40783">
        <w:rPr>
          <w:rFonts w:ascii="Garamond" w:eastAsia="Garamond" w:hAnsi="Garamond" w:cstheme="majorHAnsi"/>
          <w:b/>
          <w:color w:val="000000"/>
        </w:rPr>
        <w:t>,</w:t>
      </w:r>
      <w:r w:rsidRPr="00F40783">
        <w:rPr>
          <w:rFonts w:ascii="Garamond" w:eastAsia="Garamond" w:hAnsi="Garamond" w:cstheme="majorHAnsi"/>
          <w:bCs/>
          <w:color w:val="000000"/>
        </w:rPr>
        <w:t xml:space="preserve"> más de 600 personas registradas, hemos hallado en relación al derecho al cuidado y a las personas con discapacidad, que</w:t>
      </w:r>
      <w:r w:rsidRPr="00F40783">
        <w:rPr>
          <w:rFonts w:ascii="Garamond" w:eastAsia="Garamond" w:hAnsi="Garamond" w:cstheme="majorHAnsi"/>
          <w:b/>
          <w:color w:val="000000"/>
        </w:rPr>
        <w:t xml:space="preserve">: </w:t>
      </w:r>
    </w:p>
    <w:p w14:paraId="46445BAA" w14:textId="5ED6744C" w:rsidR="00965B1C" w:rsidRPr="00F40783" w:rsidRDefault="00965B1C" w:rsidP="00965B1C">
      <w:pPr>
        <w:pStyle w:val="Prrafodelista"/>
        <w:numPr>
          <w:ilvl w:val="0"/>
          <w:numId w:val="19"/>
        </w:numPr>
        <w:spacing w:after="0" w:line="240" w:lineRule="auto"/>
        <w:jc w:val="both"/>
        <w:rPr>
          <w:rFonts w:ascii="Garamond" w:hAnsi="Garamond" w:cstheme="majorHAnsi"/>
          <w:lang w:val="es-PE"/>
        </w:rPr>
      </w:pPr>
      <w:r w:rsidRPr="00F40783">
        <w:rPr>
          <w:rFonts w:ascii="Garamond" w:hAnsi="Garamond" w:cstheme="majorHAnsi"/>
          <w:lang w:val="es-PE"/>
        </w:rPr>
        <w:t>Se ha identificado 40 especialidades en las que se atienden los pacientes</w:t>
      </w:r>
      <w:r w:rsidR="00F40783">
        <w:rPr>
          <w:rFonts w:ascii="Garamond" w:hAnsi="Garamond" w:cstheme="majorHAnsi"/>
          <w:lang w:val="es-PE"/>
        </w:rPr>
        <w:t xml:space="preserve"> debido a la </w:t>
      </w:r>
      <w:r w:rsidRPr="00F40783">
        <w:rPr>
          <w:rFonts w:ascii="Garamond" w:hAnsi="Garamond" w:cstheme="majorHAnsi"/>
          <w:lang w:val="es-PE"/>
        </w:rPr>
        <w:t>complejidad de la enfermedad: las más solicitadas son pediatría, neurología, reumatología, hematología, cardiología, oftalmología y otras especialidades.</w:t>
      </w:r>
    </w:p>
    <w:p w14:paraId="477D5303" w14:textId="50656ABC" w:rsidR="00965B1C" w:rsidRPr="00F40783" w:rsidRDefault="00965B1C" w:rsidP="00965B1C">
      <w:pPr>
        <w:pStyle w:val="Prrafodelista"/>
        <w:numPr>
          <w:ilvl w:val="0"/>
          <w:numId w:val="19"/>
        </w:numPr>
        <w:spacing w:after="0" w:line="240" w:lineRule="auto"/>
        <w:jc w:val="both"/>
        <w:rPr>
          <w:rFonts w:ascii="Garamond" w:hAnsi="Garamond" w:cstheme="majorHAnsi"/>
          <w:lang w:val="es-PE"/>
        </w:rPr>
      </w:pPr>
      <w:r w:rsidRPr="00F40783">
        <w:rPr>
          <w:rFonts w:ascii="Garamond" w:hAnsi="Garamond" w:cstheme="majorHAnsi"/>
          <w:lang w:val="es-PE"/>
        </w:rPr>
        <w:t>A nivel nacional los pacientes se atienden en su mayoría en la ciudad de Lima</w:t>
      </w:r>
      <w:r w:rsidR="00F40783">
        <w:rPr>
          <w:rFonts w:ascii="Garamond" w:hAnsi="Garamond" w:cstheme="majorHAnsi"/>
          <w:lang w:val="es-PE"/>
        </w:rPr>
        <w:t xml:space="preserve">, la capital, </w:t>
      </w:r>
      <w:r w:rsidRPr="00F40783">
        <w:rPr>
          <w:rFonts w:ascii="Garamond" w:hAnsi="Garamond" w:cstheme="majorHAnsi"/>
          <w:lang w:val="es-PE"/>
        </w:rPr>
        <w:t>debido a la falta de centros de referencia y médicos especialistas en provincia.</w:t>
      </w:r>
    </w:p>
    <w:p w14:paraId="7D02E2BE" w14:textId="77777777" w:rsidR="00965B1C" w:rsidRPr="00F40783" w:rsidRDefault="00965B1C" w:rsidP="00965B1C">
      <w:pPr>
        <w:pStyle w:val="Prrafodelista"/>
        <w:numPr>
          <w:ilvl w:val="0"/>
          <w:numId w:val="19"/>
        </w:numPr>
        <w:spacing w:after="0" w:line="240" w:lineRule="auto"/>
        <w:jc w:val="both"/>
        <w:rPr>
          <w:rFonts w:ascii="Garamond" w:hAnsi="Garamond" w:cstheme="majorHAnsi"/>
          <w:lang w:val="es-PE"/>
        </w:rPr>
      </w:pPr>
      <w:r w:rsidRPr="00F40783">
        <w:rPr>
          <w:rFonts w:ascii="Garamond" w:hAnsi="Garamond" w:cstheme="majorHAnsi"/>
          <w:lang w:val="es-PE"/>
        </w:rPr>
        <w:t>Medicamentos: Se tiene un ranking de los 20 principales medicamentos, pero se ha encontrado un aproximado de 200 productos farmacéuticos que usan los pacientes, algunos de ellos no están disponibles en el Perú, otros sí logras encontrar en el extranjero y, hay unos pocos de muy difícil acceso.</w:t>
      </w:r>
    </w:p>
    <w:p w14:paraId="72C18669" w14:textId="77777777" w:rsidR="00965B1C" w:rsidRPr="00C70A41" w:rsidRDefault="00965B1C" w:rsidP="00965B1C">
      <w:pPr>
        <w:pStyle w:val="Prrafodelista"/>
        <w:spacing w:after="0" w:line="240" w:lineRule="auto"/>
        <w:jc w:val="both"/>
        <w:rPr>
          <w:rFonts w:asciiTheme="majorHAnsi" w:hAnsiTheme="majorHAnsi" w:cstheme="majorHAnsi"/>
          <w:lang w:val="es-PE"/>
        </w:rPr>
      </w:pPr>
    </w:p>
    <w:p w14:paraId="260729A5" w14:textId="77777777" w:rsidR="00F40783" w:rsidRPr="00F40783" w:rsidRDefault="00F40783" w:rsidP="00F40783">
      <w:pPr>
        <w:pBdr>
          <w:top w:val="nil"/>
          <w:left w:val="nil"/>
          <w:bottom w:val="nil"/>
          <w:right w:val="nil"/>
          <w:between w:val="nil"/>
        </w:pBdr>
        <w:spacing w:after="0" w:line="240" w:lineRule="auto"/>
        <w:jc w:val="both"/>
        <w:rPr>
          <w:rFonts w:ascii="Garamond" w:eastAsia="Garamond" w:hAnsi="Garamond" w:cs="Garamond"/>
          <w:color w:val="000000"/>
        </w:rPr>
      </w:pPr>
      <w:r w:rsidRPr="00F40783">
        <w:rPr>
          <w:rFonts w:ascii="Garamond" w:eastAsia="Garamond" w:hAnsi="Garamond" w:cs="Garamond"/>
          <w:b/>
          <w:color w:val="000000"/>
        </w:rPr>
        <w:t>Recomendamos al Estado peruano</w:t>
      </w:r>
      <w:r w:rsidRPr="00F40783">
        <w:rPr>
          <w:rFonts w:ascii="Garamond" w:eastAsia="Garamond" w:hAnsi="Garamond" w:cs="Garamond"/>
          <w:color w:val="000000"/>
        </w:rPr>
        <w:t xml:space="preserve">: </w:t>
      </w:r>
    </w:p>
    <w:p w14:paraId="2AC03C30" w14:textId="27996658" w:rsidR="00965B1C" w:rsidRPr="00F40783" w:rsidRDefault="00F40783" w:rsidP="00F40783">
      <w:pPr>
        <w:pStyle w:val="Prrafodelista"/>
        <w:numPr>
          <w:ilvl w:val="0"/>
          <w:numId w:val="20"/>
        </w:numPr>
        <w:spacing w:after="0" w:line="240" w:lineRule="auto"/>
        <w:jc w:val="both"/>
        <w:rPr>
          <w:rFonts w:ascii="Garamond" w:eastAsia="Courier New" w:hAnsi="Garamond" w:cs="Calibri Light"/>
        </w:rPr>
      </w:pPr>
      <w:r w:rsidRPr="00F40783">
        <w:rPr>
          <w:rFonts w:ascii="Garamond" w:eastAsia="Courier New" w:hAnsi="Garamond" w:cs="Calibri Light"/>
        </w:rPr>
        <w:t>Reconocer el derecho al cuidado como un derecho humano</w:t>
      </w:r>
      <w:r>
        <w:rPr>
          <w:rFonts w:ascii="Garamond" w:eastAsia="Courier New" w:hAnsi="Garamond" w:cs="Calibri Light"/>
        </w:rPr>
        <w:t xml:space="preserve"> de rango constitucional</w:t>
      </w:r>
      <w:r w:rsidRPr="00F40783">
        <w:rPr>
          <w:rFonts w:ascii="Garamond" w:eastAsia="Courier New" w:hAnsi="Garamond" w:cs="Calibri Light"/>
        </w:rPr>
        <w:t>.</w:t>
      </w:r>
    </w:p>
    <w:p w14:paraId="2962036B" w14:textId="77777777" w:rsidR="00F40783" w:rsidRDefault="00F40783" w:rsidP="00F40783">
      <w:pPr>
        <w:pStyle w:val="Prrafodelista"/>
        <w:numPr>
          <w:ilvl w:val="0"/>
          <w:numId w:val="20"/>
        </w:numPr>
        <w:spacing w:after="0" w:line="240" w:lineRule="auto"/>
        <w:jc w:val="both"/>
        <w:rPr>
          <w:rFonts w:ascii="Garamond" w:eastAsia="Courier New" w:hAnsi="Garamond" w:cs="Calibri Light"/>
        </w:rPr>
      </w:pPr>
      <w:r>
        <w:rPr>
          <w:rFonts w:ascii="Garamond" w:eastAsia="Courier New" w:hAnsi="Garamond" w:cs="Calibri Light"/>
        </w:rPr>
        <w:t>Legislar sobre Sistemas Integrales de Cuidado.</w:t>
      </w:r>
    </w:p>
    <w:p w14:paraId="0C6F8B1E" w14:textId="4D53F81B" w:rsidR="00F40783" w:rsidRDefault="00F40783" w:rsidP="00F40783">
      <w:pPr>
        <w:pStyle w:val="Prrafodelista"/>
        <w:numPr>
          <w:ilvl w:val="0"/>
          <w:numId w:val="20"/>
        </w:numPr>
        <w:spacing w:after="0" w:line="240" w:lineRule="auto"/>
        <w:jc w:val="both"/>
        <w:rPr>
          <w:rFonts w:ascii="Garamond" w:eastAsia="Courier New" w:hAnsi="Garamond" w:cs="Calibri Light"/>
        </w:rPr>
      </w:pPr>
      <w:r>
        <w:rPr>
          <w:rFonts w:ascii="Garamond" w:eastAsia="Courier New" w:hAnsi="Garamond" w:cs="Calibri Light"/>
        </w:rPr>
        <w:t>Proveer de servicios adecuados para las personas que requieren de cuidados.</w:t>
      </w:r>
    </w:p>
    <w:p w14:paraId="3C2B44C7" w14:textId="77777777" w:rsidR="00965B1C" w:rsidRPr="00F40783" w:rsidRDefault="00965B1C" w:rsidP="00965B1C">
      <w:pPr>
        <w:pBdr>
          <w:top w:val="nil"/>
          <w:left w:val="nil"/>
          <w:bottom w:val="nil"/>
          <w:right w:val="nil"/>
          <w:between w:val="nil"/>
        </w:pBdr>
        <w:spacing w:after="0" w:line="240" w:lineRule="auto"/>
        <w:ind w:left="360"/>
        <w:jc w:val="both"/>
        <w:rPr>
          <w:rFonts w:ascii="Garamond" w:eastAsia="Garamond" w:hAnsi="Garamond" w:cs="Garamond"/>
          <w:b/>
          <w:color w:val="000000"/>
        </w:rPr>
      </w:pPr>
    </w:p>
    <w:p w14:paraId="00000050" w14:textId="2D3ACB8A" w:rsidR="0080721E" w:rsidRPr="00F40783" w:rsidRDefault="00F40783" w:rsidP="002D3ACB">
      <w:pPr>
        <w:pStyle w:val="Prrafodelista"/>
        <w:numPr>
          <w:ilvl w:val="1"/>
          <w:numId w:val="11"/>
        </w:numPr>
        <w:pBdr>
          <w:top w:val="nil"/>
          <w:left w:val="nil"/>
          <w:bottom w:val="nil"/>
          <w:right w:val="nil"/>
          <w:between w:val="nil"/>
        </w:pBdr>
        <w:spacing w:after="0" w:line="240" w:lineRule="auto"/>
        <w:jc w:val="both"/>
        <w:rPr>
          <w:rFonts w:ascii="Garamond" w:eastAsia="Garamond" w:hAnsi="Garamond" w:cs="Garamond"/>
          <w:b/>
          <w:color w:val="000000"/>
        </w:rPr>
      </w:pPr>
      <w:r>
        <w:rPr>
          <w:rFonts w:ascii="Garamond" w:eastAsia="Garamond" w:hAnsi="Garamond" w:cs="Garamond"/>
          <w:b/>
        </w:rPr>
        <w:t>Presupuesto</w:t>
      </w:r>
      <w:r w:rsidR="00E70E36" w:rsidRPr="00F40783">
        <w:rPr>
          <w:rFonts w:ascii="Garamond" w:eastAsia="Garamond" w:hAnsi="Garamond" w:cs="Garamond"/>
          <w:b/>
        </w:rPr>
        <w:t xml:space="preserve"> par</w:t>
      </w:r>
      <w:r w:rsidR="00E70E36" w:rsidRPr="00F40783">
        <w:rPr>
          <w:rFonts w:ascii="Garamond" w:eastAsia="Garamond" w:hAnsi="Garamond" w:cs="Garamond"/>
          <w:b/>
          <w:color w:val="000000"/>
        </w:rPr>
        <w:t xml:space="preserve">a </w:t>
      </w:r>
      <w:r>
        <w:rPr>
          <w:rFonts w:ascii="Garamond" w:eastAsia="Garamond" w:hAnsi="Garamond" w:cs="Garamond"/>
          <w:b/>
          <w:color w:val="000000"/>
        </w:rPr>
        <w:t>la atención de personas con</w:t>
      </w:r>
      <w:r w:rsidR="00E70E36" w:rsidRPr="00F40783">
        <w:rPr>
          <w:rFonts w:ascii="Garamond" w:eastAsia="Garamond" w:hAnsi="Garamond" w:cs="Garamond"/>
          <w:b/>
          <w:color w:val="000000"/>
        </w:rPr>
        <w:t xml:space="preserve"> ERH</w:t>
      </w:r>
    </w:p>
    <w:p w14:paraId="48A15DA4" w14:textId="77777777" w:rsidR="002D3ACB" w:rsidRPr="00F40783" w:rsidRDefault="002D3ACB" w:rsidP="002D3ACB">
      <w:pPr>
        <w:pStyle w:val="Prrafodelista"/>
        <w:pBdr>
          <w:top w:val="nil"/>
          <w:left w:val="nil"/>
          <w:bottom w:val="nil"/>
          <w:right w:val="nil"/>
          <w:between w:val="nil"/>
        </w:pBdr>
        <w:spacing w:after="120" w:line="240" w:lineRule="auto"/>
        <w:ind w:left="360"/>
        <w:jc w:val="both"/>
        <w:rPr>
          <w:rFonts w:ascii="Garamond" w:eastAsia="Garamond" w:hAnsi="Garamond" w:cs="Garamond"/>
          <w:b/>
          <w:color w:val="ED7D31"/>
          <w:highlight w:val="white"/>
        </w:rPr>
      </w:pPr>
      <w:r w:rsidRPr="00F40783">
        <w:rPr>
          <w:rFonts w:ascii="Garamond" w:eastAsia="Garamond" w:hAnsi="Garamond" w:cs="Garamond"/>
          <w:b/>
          <w:color w:val="ED7D31"/>
          <w:highlight w:val="white"/>
        </w:rPr>
        <w:t>Aplicado parcialmente</w:t>
      </w:r>
    </w:p>
    <w:p w14:paraId="00000052" w14:textId="5810CB2D" w:rsidR="0080721E" w:rsidRDefault="00E70E36" w:rsidP="004163D0">
      <w:pPr>
        <w:spacing w:after="0" w:line="240" w:lineRule="auto"/>
        <w:jc w:val="both"/>
        <w:rPr>
          <w:rFonts w:ascii="Garamond" w:eastAsia="Garamond" w:hAnsi="Garamond" w:cs="Garamond"/>
        </w:rPr>
      </w:pPr>
      <w:r>
        <w:rPr>
          <w:rFonts w:ascii="Garamond" w:eastAsia="Garamond" w:hAnsi="Garamond" w:cs="Garamond"/>
        </w:rPr>
        <w:t>Muchos de los tratamientos para enfermedades raras y huérfanas tienen un costo superior al de otras enfermedades</w:t>
      </w:r>
      <w:r w:rsidR="0081755D">
        <w:rPr>
          <w:rFonts w:ascii="Garamond" w:eastAsia="Garamond" w:hAnsi="Garamond" w:cs="Garamond"/>
        </w:rPr>
        <w:t xml:space="preserve"> debido a la complejidad de las mismas y a que no tienen cura. P</w:t>
      </w:r>
      <w:r>
        <w:rPr>
          <w:rFonts w:ascii="Garamond" w:eastAsia="Garamond" w:hAnsi="Garamond" w:cs="Garamond"/>
        </w:rPr>
        <w:t xml:space="preserve">or lo que el impacto presupuestal en las instituciones que lo financian suele ser importante, aunado al hecho que no existe data específica </w:t>
      </w:r>
      <w:r w:rsidR="00BF06EF">
        <w:rPr>
          <w:rFonts w:ascii="Garamond" w:eastAsia="Garamond" w:hAnsi="Garamond" w:cs="Garamond"/>
        </w:rPr>
        <w:t xml:space="preserve">para </w:t>
      </w:r>
      <w:r w:rsidR="00BF06EF">
        <w:rPr>
          <w:rFonts w:ascii="Garamond" w:eastAsia="Garamond" w:hAnsi="Garamond" w:cs="Garamond"/>
        </w:rPr>
        <w:lastRenderedPageBreak/>
        <w:t xml:space="preserve">conocer </w:t>
      </w:r>
      <w:r>
        <w:rPr>
          <w:rFonts w:ascii="Garamond" w:eastAsia="Garamond" w:hAnsi="Garamond" w:cs="Garamond"/>
        </w:rPr>
        <w:t>cuántas personas padecen de una ERH</w:t>
      </w:r>
      <w:r w:rsidR="00E711FD">
        <w:rPr>
          <w:rFonts w:ascii="Garamond" w:eastAsia="Garamond" w:hAnsi="Garamond" w:cs="Garamond"/>
        </w:rPr>
        <w:t>, lo que</w:t>
      </w:r>
      <w:r>
        <w:rPr>
          <w:rFonts w:ascii="Garamond" w:eastAsia="Garamond" w:hAnsi="Garamond" w:cs="Garamond"/>
        </w:rPr>
        <w:t xml:space="preserve"> ocasiona que no exista predictibilidad al momento de establecer un presupuesto</w:t>
      </w:r>
      <w:r w:rsidR="00E711FD">
        <w:rPr>
          <w:rFonts w:ascii="Garamond" w:eastAsia="Garamond" w:hAnsi="Garamond" w:cs="Garamond"/>
        </w:rPr>
        <w:t>, siendo difícil</w:t>
      </w:r>
      <w:r>
        <w:rPr>
          <w:rFonts w:ascii="Garamond" w:eastAsia="Garamond" w:hAnsi="Garamond" w:cs="Garamond"/>
        </w:rPr>
        <w:t xml:space="preserve"> la sosten</w:t>
      </w:r>
      <w:r w:rsidR="00E711FD">
        <w:rPr>
          <w:rFonts w:ascii="Garamond" w:eastAsia="Garamond" w:hAnsi="Garamond" w:cs="Garamond"/>
        </w:rPr>
        <w:t>ibilidad financiera.</w:t>
      </w:r>
    </w:p>
    <w:p w14:paraId="00000053" w14:textId="77777777" w:rsidR="0080721E" w:rsidRDefault="0080721E" w:rsidP="004163D0">
      <w:pPr>
        <w:spacing w:after="0" w:line="240" w:lineRule="auto"/>
        <w:jc w:val="both"/>
        <w:rPr>
          <w:rFonts w:ascii="Garamond" w:eastAsia="Garamond" w:hAnsi="Garamond" w:cs="Garamond"/>
        </w:rPr>
      </w:pPr>
    </w:p>
    <w:p w14:paraId="00000054" w14:textId="03FBD372" w:rsidR="0080721E" w:rsidRDefault="00E711FD" w:rsidP="00F40783">
      <w:pPr>
        <w:spacing w:after="0" w:line="240" w:lineRule="auto"/>
        <w:ind w:left="187" w:hanging="180"/>
        <w:jc w:val="both"/>
        <w:rPr>
          <w:rFonts w:ascii="Garamond" w:eastAsia="Garamond" w:hAnsi="Garamond" w:cs="Garamond"/>
        </w:rPr>
      </w:pPr>
      <w:r>
        <w:rPr>
          <w:rFonts w:ascii="Garamond" w:eastAsia="Garamond" w:hAnsi="Garamond" w:cs="Garamond"/>
        </w:rPr>
        <w:t>• La</w:t>
      </w:r>
      <w:r w:rsidR="00E70E36">
        <w:rPr>
          <w:rFonts w:ascii="Garamond" w:eastAsia="Garamond" w:hAnsi="Garamond" w:cs="Garamond"/>
        </w:rPr>
        <w:t xml:space="preserve"> Seguridad Social y la Sanidad</w:t>
      </w:r>
      <w:r>
        <w:rPr>
          <w:rFonts w:ascii="Garamond" w:eastAsia="Garamond" w:hAnsi="Garamond" w:cs="Garamond"/>
        </w:rPr>
        <w:t xml:space="preserve"> de las Fuerzas Policiales no</w:t>
      </w:r>
      <w:r w:rsidR="00E70E36">
        <w:rPr>
          <w:rFonts w:ascii="Garamond" w:eastAsia="Garamond" w:hAnsi="Garamond" w:cs="Garamond"/>
        </w:rPr>
        <w:t xml:space="preserve"> cuenta con una línea de financiamiento </w:t>
      </w:r>
      <w:r w:rsidR="00876524">
        <w:rPr>
          <w:rFonts w:ascii="Garamond" w:eastAsia="Garamond" w:hAnsi="Garamond" w:cs="Garamond"/>
        </w:rPr>
        <w:t>propia,</w:t>
      </w:r>
      <w:r w:rsidR="00E70E36">
        <w:rPr>
          <w:rFonts w:ascii="Garamond" w:eastAsia="Garamond" w:hAnsi="Garamond" w:cs="Garamond"/>
        </w:rPr>
        <w:t xml:space="preserve"> sino que la fuente es la misma para la cober</w:t>
      </w:r>
      <w:r>
        <w:rPr>
          <w:rFonts w:ascii="Garamond" w:eastAsia="Garamond" w:hAnsi="Garamond" w:cs="Garamond"/>
        </w:rPr>
        <w:t>tura de todas las enfermedades.</w:t>
      </w:r>
    </w:p>
    <w:p w14:paraId="00000056" w14:textId="174F5DEF" w:rsidR="0080721E" w:rsidRDefault="00E711FD" w:rsidP="00F40783">
      <w:pPr>
        <w:spacing w:after="0" w:line="240" w:lineRule="auto"/>
        <w:ind w:left="187" w:hanging="180"/>
        <w:jc w:val="both"/>
        <w:rPr>
          <w:rFonts w:ascii="Garamond" w:eastAsia="Garamond" w:hAnsi="Garamond" w:cs="Garamond"/>
        </w:rPr>
      </w:pPr>
      <w:r>
        <w:rPr>
          <w:rFonts w:ascii="Garamond" w:eastAsia="Garamond" w:hAnsi="Garamond" w:cs="Garamond"/>
        </w:rPr>
        <w:t xml:space="preserve">• </w:t>
      </w:r>
      <w:r w:rsidR="00E70E36">
        <w:rPr>
          <w:rFonts w:ascii="Garamond" w:eastAsia="Garamond" w:hAnsi="Garamond" w:cs="Garamond"/>
        </w:rPr>
        <w:t>En el caso de</w:t>
      </w:r>
      <w:r>
        <w:rPr>
          <w:rFonts w:ascii="Garamond" w:eastAsia="Garamond" w:hAnsi="Garamond" w:cs="Garamond"/>
        </w:rPr>
        <w:t xml:space="preserve"> los</w:t>
      </w:r>
      <w:r w:rsidR="00E70E36">
        <w:rPr>
          <w:rFonts w:ascii="Garamond" w:eastAsia="Garamond" w:hAnsi="Garamond" w:cs="Garamond"/>
        </w:rPr>
        <w:t xml:space="preserve"> hospitales</w:t>
      </w:r>
      <w:r>
        <w:rPr>
          <w:rFonts w:ascii="Garamond" w:eastAsia="Garamond" w:hAnsi="Garamond" w:cs="Garamond"/>
        </w:rPr>
        <w:t xml:space="preserve"> o IPRESS</w:t>
      </w:r>
      <w:r w:rsidR="00E70E36">
        <w:rPr>
          <w:rFonts w:ascii="Garamond" w:eastAsia="Garamond" w:hAnsi="Garamond" w:cs="Garamond"/>
        </w:rPr>
        <w:t xml:space="preserve"> del Ministerio de Salud y de los Gobiernos Regionales, teóricamente</w:t>
      </w:r>
      <w:r>
        <w:rPr>
          <w:rFonts w:ascii="Garamond" w:eastAsia="Garamond" w:hAnsi="Garamond" w:cs="Garamond"/>
        </w:rPr>
        <w:t xml:space="preserve"> es FISSAL</w:t>
      </w:r>
      <w:r w:rsidR="00BF06EF">
        <w:rPr>
          <w:rStyle w:val="Refdenotaalpie"/>
          <w:rFonts w:ascii="Garamond" w:eastAsia="Garamond" w:hAnsi="Garamond" w:cs="Garamond"/>
        </w:rPr>
        <w:footnoteReference w:id="21"/>
      </w:r>
      <w:r>
        <w:rPr>
          <w:rFonts w:ascii="Garamond" w:eastAsia="Garamond" w:hAnsi="Garamond" w:cs="Garamond"/>
        </w:rPr>
        <w:t xml:space="preserve"> quién</w:t>
      </w:r>
      <w:r w:rsidR="00E70E36">
        <w:rPr>
          <w:rFonts w:ascii="Garamond" w:eastAsia="Garamond" w:hAnsi="Garamond" w:cs="Garamond"/>
        </w:rPr>
        <w:t xml:space="preserve"> debería cubrir los tratamientos de</w:t>
      </w:r>
      <w:r w:rsidR="0081755D">
        <w:rPr>
          <w:rFonts w:ascii="Garamond" w:eastAsia="Garamond" w:hAnsi="Garamond" w:cs="Garamond"/>
        </w:rPr>
        <w:t xml:space="preserve"> los</w:t>
      </w:r>
      <w:r w:rsidR="00E70E36">
        <w:rPr>
          <w:rFonts w:ascii="Garamond" w:eastAsia="Garamond" w:hAnsi="Garamond" w:cs="Garamond"/>
        </w:rPr>
        <w:t xml:space="preserve"> pacientes con enfermedades raras y/o huérfanas</w:t>
      </w:r>
      <w:r>
        <w:rPr>
          <w:rFonts w:ascii="Garamond" w:eastAsia="Garamond" w:hAnsi="Garamond" w:cs="Garamond"/>
        </w:rPr>
        <w:t xml:space="preserve">, pero </w:t>
      </w:r>
      <w:r w:rsidR="00E70E36">
        <w:rPr>
          <w:rFonts w:ascii="Garamond" w:eastAsia="Garamond" w:hAnsi="Garamond" w:cs="Garamond"/>
        </w:rPr>
        <w:t>comparte presupuesto con insuficiencia renal crónica; la cual debido a su alta prevalencia y tratamiento de alto costo (diálisis) ocupa la mayor parte de</w:t>
      </w:r>
      <w:r>
        <w:rPr>
          <w:rFonts w:ascii="Garamond" w:eastAsia="Garamond" w:hAnsi="Garamond" w:cs="Garamond"/>
        </w:rPr>
        <w:t>l</w:t>
      </w:r>
      <w:r w:rsidR="00E70E36">
        <w:rPr>
          <w:rFonts w:ascii="Garamond" w:eastAsia="Garamond" w:hAnsi="Garamond" w:cs="Garamond"/>
        </w:rPr>
        <w:t xml:space="preserve"> presupuesto.</w:t>
      </w:r>
    </w:p>
    <w:p w14:paraId="3651CC10" w14:textId="2F4A1B59" w:rsidR="00E711FD" w:rsidRDefault="00E70E36" w:rsidP="00F40783">
      <w:pPr>
        <w:pStyle w:val="Prrafodelista"/>
        <w:numPr>
          <w:ilvl w:val="0"/>
          <w:numId w:val="8"/>
        </w:numPr>
        <w:spacing w:after="0" w:line="240" w:lineRule="auto"/>
        <w:ind w:left="187" w:hanging="180"/>
        <w:jc w:val="both"/>
        <w:rPr>
          <w:rFonts w:ascii="Garamond" w:eastAsia="Garamond" w:hAnsi="Garamond" w:cs="Garamond"/>
        </w:rPr>
      </w:pPr>
      <w:r w:rsidRPr="00E711FD">
        <w:rPr>
          <w:rFonts w:ascii="Garamond" w:eastAsia="Garamond" w:hAnsi="Garamond" w:cs="Garamond"/>
        </w:rPr>
        <w:t xml:space="preserve">El MINSA </w:t>
      </w:r>
      <w:r w:rsidR="00C972BC">
        <w:rPr>
          <w:rFonts w:ascii="Garamond" w:eastAsia="Garamond" w:hAnsi="Garamond" w:cs="Garamond"/>
        </w:rPr>
        <w:t>no garantiza</w:t>
      </w:r>
      <w:r w:rsidRPr="00E711FD">
        <w:rPr>
          <w:rFonts w:ascii="Garamond" w:eastAsia="Garamond" w:hAnsi="Garamond" w:cs="Garamond"/>
        </w:rPr>
        <w:t xml:space="preserve"> la adquisición de </w:t>
      </w:r>
      <w:r w:rsidR="00C972BC">
        <w:rPr>
          <w:rFonts w:ascii="Garamond" w:eastAsia="Garamond" w:hAnsi="Garamond" w:cs="Garamond"/>
        </w:rPr>
        <w:t>tratamientos</w:t>
      </w:r>
      <w:r w:rsidRPr="00E711FD">
        <w:rPr>
          <w:rFonts w:ascii="Garamond" w:eastAsia="Garamond" w:hAnsi="Garamond" w:cs="Garamond"/>
        </w:rPr>
        <w:t xml:space="preserve"> para la atención de las personas que padecen enfermedades raras</w:t>
      </w:r>
      <w:r w:rsidR="00C972BC">
        <w:rPr>
          <w:rFonts w:ascii="Garamond" w:eastAsia="Garamond" w:hAnsi="Garamond" w:cs="Garamond"/>
        </w:rPr>
        <w:t xml:space="preserve"> al 100%. Y, en el caso de EsSalud, sucede lo mismo.</w:t>
      </w:r>
    </w:p>
    <w:p w14:paraId="0000005A" w14:textId="2BA810FD" w:rsidR="0080721E" w:rsidRPr="00E711FD" w:rsidRDefault="00E70E36" w:rsidP="00F40783">
      <w:pPr>
        <w:pStyle w:val="Prrafodelista"/>
        <w:numPr>
          <w:ilvl w:val="0"/>
          <w:numId w:val="8"/>
        </w:numPr>
        <w:spacing w:after="0" w:line="240" w:lineRule="auto"/>
        <w:ind w:left="187" w:hanging="180"/>
        <w:jc w:val="both"/>
        <w:rPr>
          <w:rFonts w:ascii="Garamond" w:eastAsia="Garamond" w:hAnsi="Garamond" w:cs="Garamond"/>
        </w:rPr>
      </w:pPr>
      <w:r w:rsidRPr="00E711FD">
        <w:rPr>
          <w:rFonts w:ascii="Garamond" w:eastAsia="Garamond" w:hAnsi="Garamond" w:cs="Garamond"/>
        </w:rPr>
        <w:t>Sobre la provisión presupuestaria. Las leyes anuales de presupuesto consideran como gasto prioritario, d</w:t>
      </w:r>
      <w:r w:rsidR="00E711FD">
        <w:rPr>
          <w:rFonts w:ascii="Garamond" w:eastAsia="Garamond" w:hAnsi="Garamond" w:cs="Garamond"/>
        </w:rPr>
        <w:t>entro de la partida del sector s</w:t>
      </w:r>
      <w:r w:rsidRPr="00E711FD">
        <w:rPr>
          <w:rFonts w:ascii="Garamond" w:eastAsia="Garamond" w:hAnsi="Garamond" w:cs="Garamond"/>
        </w:rPr>
        <w:t xml:space="preserve">alud, los medicamentos y la atención integral de salud de las personas que padecen enfermedades raras. </w:t>
      </w:r>
      <w:r w:rsidR="00C972BC">
        <w:rPr>
          <w:rFonts w:ascii="Garamond" w:eastAsia="Garamond" w:hAnsi="Garamond" w:cs="Garamond"/>
        </w:rPr>
        <w:t>Sin embargo, no cumplen.</w:t>
      </w:r>
    </w:p>
    <w:p w14:paraId="6DBB34C8" w14:textId="77777777" w:rsidR="001D2C71" w:rsidRDefault="001D2C71" w:rsidP="004163D0">
      <w:pPr>
        <w:spacing w:after="0" w:line="240" w:lineRule="auto"/>
        <w:jc w:val="both"/>
        <w:rPr>
          <w:rFonts w:ascii="Garamond" w:eastAsia="Garamond" w:hAnsi="Garamond" w:cs="Garamond"/>
        </w:rPr>
      </w:pPr>
    </w:p>
    <w:p w14:paraId="00000063" w14:textId="372D1019" w:rsidR="0080721E" w:rsidRDefault="00056C76" w:rsidP="004163D0">
      <w:pPr>
        <w:spacing w:after="0" w:line="240" w:lineRule="auto"/>
        <w:jc w:val="both"/>
        <w:rPr>
          <w:rFonts w:ascii="Garamond" w:eastAsia="Garamond" w:hAnsi="Garamond" w:cs="Garamond"/>
          <w:highlight w:val="yellow"/>
        </w:rPr>
      </w:pPr>
      <w:r>
        <w:rPr>
          <w:rFonts w:ascii="Garamond" w:eastAsia="Garamond" w:hAnsi="Garamond" w:cs="Garamond"/>
          <w:b/>
        </w:rPr>
        <w:t>Recomendamos</w:t>
      </w:r>
      <w:r w:rsidR="00E70E36">
        <w:rPr>
          <w:rFonts w:ascii="Garamond" w:eastAsia="Garamond" w:hAnsi="Garamond" w:cs="Garamond"/>
          <w:b/>
        </w:rPr>
        <w:t xml:space="preserve"> al Estado peruano</w:t>
      </w:r>
      <w:r w:rsidR="00E70E36">
        <w:rPr>
          <w:rFonts w:ascii="Garamond" w:eastAsia="Garamond" w:hAnsi="Garamond" w:cs="Garamond"/>
        </w:rPr>
        <w:t xml:space="preserve">: </w:t>
      </w:r>
    </w:p>
    <w:p w14:paraId="00000064" w14:textId="3F465CA5" w:rsidR="0080721E" w:rsidRPr="0069008C" w:rsidRDefault="0069008C" w:rsidP="0069008C">
      <w:pPr>
        <w:pStyle w:val="Prrafodelista"/>
        <w:numPr>
          <w:ilvl w:val="0"/>
          <w:numId w:val="16"/>
        </w:numPr>
        <w:spacing w:after="0" w:line="240" w:lineRule="auto"/>
        <w:jc w:val="both"/>
        <w:rPr>
          <w:rFonts w:ascii="Garamond" w:eastAsia="Garamond" w:hAnsi="Garamond" w:cs="Garamond"/>
          <w:b/>
          <w:bCs/>
        </w:rPr>
      </w:pPr>
      <w:r w:rsidRPr="0069008C">
        <w:rPr>
          <w:rFonts w:ascii="Garamond" w:eastAsia="Garamond" w:hAnsi="Garamond" w:cs="Garamond"/>
          <w:b/>
          <w:bCs/>
        </w:rPr>
        <w:t xml:space="preserve">Elaboración y aprobación de una partida presupuestal para atender las enfermedades raras y huérfanas. </w:t>
      </w:r>
    </w:p>
    <w:p w14:paraId="00000065" w14:textId="77777777" w:rsidR="0080721E" w:rsidRDefault="0080721E">
      <w:pPr>
        <w:spacing w:after="0" w:line="240" w:lineRule="auto"/>
        <w:jc w:val="both"/>
        <w:rPr>
          <w:rFonts w:ascii="Garamond" w:eastAsia="Garamond" w:hAnsi="Garamond" w:cs="Garamond"/>
        </w:rPr>
      </w:pPr>
    </w:p>
    <w:p w14:paraId="00000066" w14:textId="77777777" w:rsidR="0080721E" w:rsidRDefault="0080721E">
      <w:pPr>
        <w:spacing w:after="0" w:line="240" w:lineRule="auto"/>
        <w:jc w:val="both"/>
        <w:rPr>
          <w:rFonts w:ascii="Garamond" w:eastAsia="Garamond" w:hAnsi="Garamond" w:cs="Garamond"/>
        </w:rPr>
      </w:pPr>
    </w:p>
    <w:p w14:paraId="00000067" w14:textId="77777777" w:rsidR="0080721E" w:rsidRDefault="00E70E36" w:rsidP="002D3ACB">
      <w:pPr>
        <w:numPr>
          <w:ilvl w:val="1"/>
          <w:numId w:val="11"/>
        </w:numPr>
        <w:pBdr>
          <w:top w:val="nil"/>
          <w:left w:val="nil"/>
          <w:bottom w:val="nil"/>
          <w:right w:val="nil"/>
          <w:between w:val="nil"/>
        </w:pBdr>
        <w:spacing w:after="0" w:line="240" w:lineRule="auto"/>
        <w:jc w:val="both"/>
        <w:rPr>
          <w:rFonts w:ascii="Garamond" w:eastAsia="Garamond" w:hAnsi="Garamond" w:cs="Garamond"/>
          <w:b/>
          <w:color w:val="000000"/>
        </w:rPr>
      </w:pPr>
      <w:r>
        <w:rPr>
          <w:rFonts w:ascii="Garamond" w:eastAsia="Garamond" w:hAnsi="Garamond" w:cs="Garamond"/>
          <w:b/>
          <w:color w:val="000000"/>
        </w:rPr>
        <w:t>Dirección General de Intervenciones Estratégicas en Salud Pública</w:t>
      </w:r>
    </w:p>
    <w:p w14:paraId="7009A719" w14:textId="77777777" w:rsidR="003A0E57" w:rsidRPr="002D3ACB" w:rsidRDefault="003A0E57" w:rsidP="003A0E57">
      <w:pPr>
        <w:pStyle w:val="Prrafodelista"/>
        <w:pBdr>
          <w:top w:val="nil"/>
          <w:left w:val="nil"/>
          <w:bottom w:val="nil"/>
          <w:right w:val="nil"/>
          <w:between w:val="nil"/>
        </w:pBdr>
        <w:spacing w:after="120" w:line="240" w:lineRule="auto"/>
        <w:ind w:left="360"/>
        <w:jc w:val="both"/>
        <w:rPr>
          <w:rFonts w:ascii="Garamond" w:eastAsia="Garamond" w:hAnsi="Garamond" w:cs="Garamond"/>
          <w:b/>
          <w:color w:val="ED7D31"/>
          <w:highlight w:val="white"/>
        </w:rPr>
      </w:pPr>
      <w:r w:rsidRPr="002D3ACB">
        <w:rPr>
          <w:rFonts w:ascii="Garamond" w:eastAsia="Garamond" w:hAnsi="Garamond" w:cs="Garamond"/>
          <w:b/>
          <w:color w:val="ED7D31"/>
          <w:highlight w:val="white"/>
        </w:rPr>
        <w:t>Aplicado parcialmente</w:t>
      </w:r>
    </w:p>
    <w:p w14:paraId="4C04F645" w14:textId="550506A1" w:rsidR="004163D0" w:rsidRDefault="00E70E36">
      <w:pPr>
        <w:spacing w:after="0" w:line="240" w:lineRule="auto"/>
        <w:jc w:val="both"/>
        <w:rPr>
          <w:rFonts w:ascii="Garamond" w:eastAsia="Garamond" w:hAnsi="Garamond" w:cs="Garamond"/>
        </w:rPr>
      </w:pPr>
      <w:r>
        <w:rPr>
          <w:rFonts w:ascii="Garamond" w:eastAsia="Garamond" w:hAnsi="Garamond" w:cs="Garamond"/>
        </w:rPr>
        <w:t>La Dirección General de Intervenciones Estratégicas en Salud Pública es el órgano de línea competente para dirigir y coordinar las intervenciones estratégicas de Salud Pública en materia de enfermedades no transmisibles, raras y huérfanas</w:t>
      </w:r>
      <w:r w:rsidR="004163D0">
        <w:rPr>
          <w:rFonts w:ascii="Garamond" w:eastAsia="Garamond" w:hAnsi="Garamond" w:cs="Garamond"/>
        </w:rPr>
        <w:t>.</w:t>
      </w:r>
      <w:r w:rsidR="00876524">
        <w:rPr>
          <w:rFonts w:ascii="Garamond" w:eastAsia="Garamond" w:hAnsi="Garamond" w:cs="Garamond"/>
        </w:rPr>
        <w:t xml:space="preserve"> </w:t>
      </w:r>
      <w:r w:rsidR="004163D0">
        <w:rPr>
          <w:rFonts w:ascii="Garamond" w:eastAsia="Garamond" w:hAnsi="Garamond" w:cs="Garamond"/>
        </w:rPr>
        <w:t xml:space="preserve">Está dirección requiere de una actuación articulada entre las diversas IPRESS y los ministerios. </w:t>
      </w:r>
    </w:p>
    <w:p w14:paraId="00000069" w14:textId="23651361" w:rsidR="0080721E" w:rsidRDefault="0080721E">
      <w:pPr>
        <w:spacing w:after="0" w:line="240" w:lineRule="auto"/>
        <w:jc w:val="both"/>
        <w:rPr>
          <w:rFonts w:ascii="Garamond" w:eastAsia="Garamond" w:hAnsi="Garamond" w:cs="Garamond"/>
        </w:rPr>
      </w:pPr>
    </w:p>
    <w:p w14:paraId="0000006A" w14:textId="59DF83B6" w:rsidR="0080721E" w:rsidRDefault="003A0E57">
      <w:pPr>
        <w:spacing w:after="0" w:line="240" w:lineRule="auto"/>
        <w:jc w:val="both"/>
        <w:rPr>
          <w:rFonts w:ascii="Garamond" w:eastAsia="Garamond" w:hAnsi="Garamond" w:cs="Garamond"/>
        </w:rPr>
      </w:pPr>
      <w:r>
        <w:rPr>
          <w:rFonts w:ascii="Garamond" w:eastAsia="Garamond" w:hAnsi="Garamond" w:cs="Garamond"/>
          <w:b/>
        </w:rPr>
        <w:t>Recomendamos</w:t>
      </w:r>
      <w:r w:rsidR="00E70E36">
        <w:rPr>
          <w:rFonts w:ascii="Garamond" w:eastAsia="Garamond" w:hAnsi="Garamond" w:cs="Garamond"/>
          <w:b/>
        </w:rPr>
        <w:t xml:space="preserve"> al Estado peruano</w:t>
      </w:r>
      <w:r w:rsidR="00E70E36">
        <w:rPr>
          <w:rFonts w:ascii="Garamond" w:eastAsia="Garamond" w:hAnsi="Garamond" w:cs="Garamond"/>
        </w:rPr>
        <w:t xml:space="preserve">: </w:t>
      </w:r>
    </w:p>
    <w:p w14:paraId="0000006B" w14:textId="6F86D9F9" w:rsidR="0080721E" w:rsidRDefault="002D3ACB">
      <w:pPr>
        <w:numPr>
          <w:ilvl w:val="0"/>
          <w:numId w:val="6"/>
        </w:numPr>
        <w:spacing w:after="0" w:line="240" w:lineRule="auto"/>
        <w:jc w:val="both"/>
        <w:rPr>
          <w:rFonts w:ascii="Garamond" w:eastAsia="Garamond" w:hAnsi="Garamond" w:cs="Garamond"/>
        </w:rPr>
      </w:pPr>
      <w:r>
        <w:rPr>
          <w:rFonts w:ascii="Garamond" w:eastAsia="Garamond" w:hAnsi="Garamond" w:cs="Garamond"/>
        </w:rPr>
        <w:t>El Estado implemente e</w:t>
      </w:r>
      <w:r w:rsidR="00E70E36">
        <w:rPr>
          <w:rFonts w:ascii="Garamond" w:eastAsia="Garamond" w:hAnsi="Garamond" w:cs="Garamond"/>
        </w:rPr>
        <w:t xml:space="preserve">l </w:t>
      </w:r>
      <w:r w:rsidR="00E70E36">
        <w:rPr>
          <w:rFonts w:ascii="Garamond" w:eastAsia="Garamond" w:hAnsi="Garamond" w:cs="Garamond"/>
          <w:b/>
        </w:rPr>
        <w:t>Observatorio</w:t>
      </w:r>
      <w:r w:rsidR="004163D0">
        <w:rPr>
          <w:rFonts w:ascii="Garamond" w:eastAsia="Garamond" w:hAnsi="Garamond" w:cs="Garamond"/>
          <w:b/>
        </w:rPr>
        <w:t xml:space="preserve"> Nacional de Información sobre ERH</w:t>
      </w:r>
      <w:r w:rsidR="00E70E36">
        <w:rPr>
          <w:rFonts w:ascii="Garamond" w:eastAsia="Garamond" w:hAnsi="Garamond" w:cs="Garamond"/>
        </w:rPr>
        <w:t xml:space="preserve"> con participación </w:t>
      </w:r>
      <w:r w:rsidR="0069008C">
        <w:rPr>
          <w:rFonts w:ascii="Garamond" w:eastAsia="Garamond" w:hAnsi="Garamond" w:cs="Garamond"/>
        </w:rPr>
        <w:t xml:space="preserve">multisectorial: </w:t>
      </w:r>
      <w:r w:rsidR="00E70E36">
        <w:rPr>
          <w:rFonts w:ascii="Garamond" w:eastAsia="Garamond" w:hAnsi="Garamond" w:cs="Garamond"/>
        </w:rPr>
        <w:t>MINSA, MEF, MINTRA, MIDIS</w:t>
      </w:r>
      <w:r w:rsidR="004163D0">
        <w:rPr>
          <w:rStyle w:val="Refdenotaalpie"/>
          <w:rFonts w:ascii="Garamond" w:eastAsia="Garamond" w:hAnsi="Garamond" w:cs="Garamond"/>
        </w:rPr>
        <w:footnoteReference w:id="22"/>
      </w:r>
      <w:r w:rsidR="00E70E36">
        <w:rPr>
          <w:rFonts w:ascii="Garamond" w:eastAsia="Garamond" w:hAnsi="Garamond" w:cs="Garamond"/>
        </w:rPr>
        <w:t xml:space="preserve">, las sociedades médicas, la academia, </w:t>
      </w:r>
      <w:r w:rsidR="003A0E57">
        <w:rPr>
          <w:rFonts w:ascii="Garamond" w:eastAsia="Garamond" w:hAnsi="Garamond" w:cs="Garamond"/>
        </w:rPr>
        <w:t xml:space="preserve">la Defensoría del Pueblo, </w:t>
      </w:r>
      <w:r w:rsidR="00E70E36">
        <w:rPr>
          <w:rFonts w:ascii="Garamond" w:eastAsia="Garamond" w:hAnsi="Garamond" w:cs="Garamond"/>
        </w:rPr>
        <w:t>la sociedad civil y</w:t>
      </w:r>
      <w:r w:rsidR="004163D0">
        <w:rPr>
          <w:rFonts w:ascii="Garamond" w:eastAsia="Garamond" w:hAnsi="Garamond" w:cs="Garamond"/>
        </w:rPr>
        <w:t xml:space="preserve"> la</w:t>
      </w:r>
      <w:r w:rsidR="003A0E57">
        <w:rPr>
          <w:rFonts w:ascii="Garamond" w:eastAsia="Garamond" w:hAnsi="Garamond" w:cs="Garamond"/>
        </w:rPr>
        <w:t>s organizaciones</w:t>
      </w:r>
      <w:r w:rsidR="004163D0">
        <w:rPr>
          <w:rFonts w:ascii="Garamond" w:eastAsia="Garamond" w:hAnsi="Garamond" w:cs="Garamond"/>
        </w:rPr>
        <w:t xml:space="preserve"> de pacientes</w:t>
      </w:r>
      <w:r w:rsidR="00305B06">
        <w:rPr>
          <w:rFonts w:ascii="Garamond" w:eastAsia="Garamond" w:hAnsi="Garamond" w:cs="Garamond"/>
        </w:rPr>
        <w:t xml:space="preserve"> organizados</w:t>
      </w:r>
      <w:r w:rsidR="004163D0">
        <w:rPr>
          <w:rFonts w:ascii="Garamond" w:eastAsia="Garamond" w:hAnsi="Garamond" w:cs="Garamond"/>
        </w:rPr>
        <w:t>.</w:t>
      </w:r>
    </w:p>
    <w:p w14:paraId="0000006C" w14:textId="24448ED1" w:rsidR="0080721E" w:rsidRDefault="0080721E">
      <w:pPr>
        <w:spacing w:after="0" w:line="240" w:lineRule="auto"/>
        <w:jc w:val="both"/>
        <w:rPr>
          <w:rFonts w:ascii="Garamond" w:eastAsia="Garamond" w:hAnsi="Garamond" w:cs="Garamond"/>
        </w:rPr>
      </w:pPr>
    </w:p>
    <w:p w14:paraId="7527B21A" w14:textId="0EE888E8" w:rsidR="00E04AE3" w:rsidRDefault="00E04AE3">
      <w:pPr>
        <w:spacing w:after="0" w:line="240" w:lineRule="auto"/>
        <w:jc w:val="both"/>
        <w:rPr>
          <w:rFonts w:ascii="Garamond" w:eastAsia="Garamond" w:hAnsi="Garamond" w:cs="Garamond"/>
        </w:rPr>
      </w:pPr>
    </w:p>
    <w:p w14:paraId="09D8F0B2" w14:textId="629689EB" w:rsidR="00E04AE3" w:rsidRDefault="00E04AE3">
      <w:pPr>
        <w:spacing w:after="0" w:line="240" w:lineRule="auto"/>
        <w:jc w:val="both"/>
        <w:rPr>
          <w:rFonts w:ascii="Garamond" w:eastAsia="Garamond" w:hAnsi="Garamond" w:cs="Garamond"/>
        </w:rPr>
      </w:pPr>
    </w:p>
    <w:p w14:paraId="0000006D" w14:textId="77777777" w:rsidR="0080721E" w:rsidRDefault="00E70E36" w:rsidP="002D3ACB">
      <w:pPr>
        <w:numPr>
          <w:ilvl w:val="0"/>
          <w:numId w:val="11"/>
        </w:numPr>
        <w:pBdr>
          <w:top w:val="nil"/>
          <w:left w:val="nil"/>
          <w:bottom w:val="nil"/>
          <w:right w:val="nil"/>
          <w:between w:val="nil"/>
        </w:pBdr>
        <w:spacing w:after="0" w:line="240" w:lineRule="auto"/>
        <w:jc w:val="both"/>
        <w:rPr>
          <w:rFonts w:ascii="Garamond" w:eastAsia="Garamond" w:hAnsi="Garamond" w:cs="Garamond"/>
          <w:b/>
          <w:color w:val="000000"/>
        </w:rPr>
      </w:pPr>
      <w:r>
        <w:rPr>
          <w:rFonts w:ascii="Garamond" w:eastAsia="Garamond" w:hAnsi="Garamond" w:cs="Garamond"/>
          <w:b/>
          <w:color w:val="000000"/>
        </w:rPr>
        <w:t xml:space="preserve">ACCESO A DIAGNÓSTICO Y TRATAMIENTO </w:t>
      </w:r>
    </w:p>
    <w:p w14:paraId="0000006E" w14:textId="77777777" w:rsidR="0080721E" w:rsidRDefault="0080721E">
      <w:pPr>
        <w:pBdr>
          <w:top w:val="nil"/>
          <w:left w:val="nil"/>
          <w:bottom w:val="nil"/>
          <w:right w:val="nil"/>
          <w:between w:val="nil"/>
        </w:pBdr>
        <w:spacing w:after="0" w:line="240" w:lineRule="auto"/>
        <w:ind w:left="720"/>
        <w:jc w:val="both"/>
        <w:rPr>
          <w:rFonts w:ascii="Garamond" w:eastAsia="Garamond" w:hAnsi="Garamond" w:cs="Garamond"/>
          <w:b/>
          <w:color w:val="000000"/>
        </w:rPr>
      </w:pPr>
    </w:p>
    <w:p w14:paraId="04707898" w14:textId="1BE13D2D" w:rsidR="00820AF8" w:rsidRDefault="00820AF8">
      <w:pPr>
        <w:spacing w:after="0" w:line="240" w:lineRule="auto"/>
        <w:jc w:val="both"/>
        <w:rPr>
          <w:rFonts w:ascii="Garamond" w:eastAsia="Garamond" w:hAnsi="Garamond" w:cs="Garamond"/>
        </w:rPr>
      </w:pPr>
      <w:r>
        <w:rPr>
          <w:rFonts w:ascii="Garamond" w:eastAsia="Garamond" w:hAnsi="Garamond" w:cs="Garamond"/>
        </w:rPr>
        <w:t>La oferta de médicos a nivel nacional es insuficiente</w:t>
      </w:r>
      <w:r w:rsidR="004163D0">
        <w:rPr>
          <w:rFonts w:ascii="Garamond" w:eastAsia="Garamond" w:hAnsi="Garamond" w:cs="Garamond"/>
        </w:rPr>
        <w:t>, además que hay pocos especialistas</w:t>
      </w:r>
      <w:r>
        <w:rPr>
          <w:rFonts w:ascii="Garamond" w:eastAsia="Garamond" w:hAnsi="Garamond" w:cs="Garamond"/>
        </w:rPr>
        <w:t>. Sólo en Lima –la capital-</w:t>
      </w:r>
      <w:r w:rsidR="006D35D8">
        <w:rPr>
          <w:rFonts w:ascii="Garamond" w:eastAsia="Garamond" w:hAnsi="Garamond" w:cs="Garamond"/>
        </w:rPr>
        <w:t>, Lima provincias</w:t>
      </w:r>
      <w:r>
        <w:rPr>
          <w:rFonts w:ascii="Garamond" w:eastAsia="Garamond" w:hAnsi="Garamond" w:cs="Garamond"/>
        </w:rPr>
        <w:t xml:space="preserve"> y el Callao se encuentra el 70% de los médicos y, 30% en el resto de los departamentos del país</w:t>
      </w:r>
      <w:r w:rsidR="006D35D8">
        <w:rPr>
          <w:rStyle w:val="Refdenotaalpie"/>
          <w:rFonts w:ascii="Garamond" w:eastAsia="Garamond" w:hAnsi="Garamond" w:cs="Garamond"/>
        </w:rPr>
        <w:footnoteReference w:id="23"/>
      </w:r>
      <w:r>
        <w:rPr>
          <w:rFonts w:ascii="Garamond" w:eastAsia="Garamond" w:hAnsi="Garamond" w:cs="Garamond"/>
        </w:rPr>
        <w:t>.</w:t>
      </w:r>
      <w:r w:rsidR="004163D0">
        <w:rPr>
          <w:rFonts w:ascii="Garamond" w:eastAsia="Garamond" w:hAnsi="Garamond" w:cs="Garamond"/>
        </w:rPr>
        <w:t xml:space="preserve"> Debido a ello, las personas que no viven en Lima deben de viajar </w:t>
      </w:r>
      <w:r w:rsidR="00305B06">
        <w:rPr>
          <w:rFonts w:ascii="Garamond" w:eastAsia="Garamond" w:hAnsi="Garamond" w:cs="Garamond"/>
        </w:rPr>
        <w:t>una o dos veces al mes</w:t>
      </w:r>
      <w:r w:rsidR="004163D0">
        <w:rPr>
          <w:rFonts w:ascii="Garamond" w:eastAsia="Garamond" w:hAnsi="Garamond" w:cs="Garamond"/>
        </w:rPr>
        <w:t xml:space="preserve">, a la capital, para que sus familiares con </w:t>
      </w:r>
      <w:r w:rsidR="009234A3">
        <w:rPr>
          <w:rFonts w:ascii="Garamond" w:eastAsia="Garamond" w:hAnsi="Garamond" w:cs="Garamond"/>
        </w:rPr>
        <w:t>enfermedades raras o huérfanas</w:t>
      </w:r>
      <w:r w:rsidR="004163D0">
        <w:rPr>
          <w:rFonts w:ascii="Garamond" w:eastAsia="Garamond" w:hAnsi="Garamond" w:cs="Garamond"/>
        </w:rPr>
        <w:t xml:space="preserve"> sean atendidos.</w:t>
      </w:r>
    </w:p>
    <w:p w14:paraId="4646DCC5" w14:textId="77777777" w:rsidR="00820AF8" w:rsidRDefault="00820AF8">
      <w:pPr>
        <w:spacing w:after="0" w:line="240" w:lineRule="auto"/>
        <w:jc w:val="both"/>
        <w:rPr>
          <w:rFonts w:ascii="Garamond" w:eastAsia="Garamond" w:hAnsi="Garamond" w:cs="Garamond"/>
        </w:rPr>
      </w:pPr>
    </w:p>
    <w:p w14:paraId="6710324C" w14:textId="72BC9123" w:rsidR="00820AF8" w:rsidRDefault="00E70E36">
      <w:pPr>
        <w:spacing w:after="0" w:line="240" w:lineRule="auto"/>
        <w:jc w:val="both"/>
        <w:rPr>
          <w:rFonts w:ascii="Garamond" w:eastAsia="Garamond" w:hAnsi="Garamond" w:cs="Garamond"/>
        </w:rPr>
      </w:pPr>
      <w:r>
        <w:rPr>
          <w:rFonts w:ascii="Garamond" w:eastAsia="Garamond" w:hAnsi="Garamond" w:cs="Garamond"/>
        </w:rPr>
        <w:t>Los medicamentos utilizados para enfermedades raras y huérfanas no se encuentran en el Petitorio Nacional Único de Medicamentos Esenciales, por lo que, de requerirse, el médico tratante debe realizar una solicitud específica por cada paciente, los cuáles pueden pasar por procesos muy largos y más si estás no tienen una evaluación de tecnologías sanitarias.</w:t>
      </w:r>
      <w:r w:rsidR="000C404C">
        <w:rPr>
          <w:rFonts w:ascii="Garamond" w:eastAsia="Garamond" w:hAnsi="Garamond" w:cs="Garamond"/>
        </w:rPr>
        <w:t xml:space="preserve"> Y, aunque existe un plan de acción para acortar estas brechas, no se observa una ejecución significativa del mismo, ya que, tenemos cada día pacientes con ERH + AC</w:t>
      </w:r>
      <w:r w:rsidR="00876524">
        <w:rPr>
          <w:rStyle w:val="Refdenotaalpie"/>
          <w:rFonts w:ascii="Garamond" w:eastAsia="Garamond" w:hAnsi="Garamond" w:cs="Garamond"/>
        </w:rPr>
        <w:footnoteReference w:id="24"/>
      </w:r>
      <w:r w:rsidR="000C404C">
        <w:rPr>
          <w:rFonts w:ascii="Garamond" w:eastAsia="Garamond" w:hAnsi="Garamond" w:cs="Garamond"/>
        </w:rPr>
        <w:t xml:space="preserve"> batallando por acceso a medicamentos. Cada dos o tres meses, hay desabastecimiento de medicamen</w:t>
      </w:r>
      <w:r w:rsidR="007A17DF">
        <w:rPr>
          <w:rFonts w:ascii="Garamond" w:eastAsia="Garamond" w:hAnsi="Garamond" w:cs="Garamond"/>
        </w:rPr>
        <w:t xml:space="preserve">tos para ERH + AC en </w:t>
      </w:r>
      <w:r w:rsidR="007A17DF">
        <w:rPr>
          <w:rFonts w:ascii="Garamond" w:eastAsia="Garamond" w:hAnsi="Garamond" w:cs="Garamond"/>
        </w:rPr>
        <w:lastRenderedPageBreak/>
        <w:t>las IPRESS</w:t>
      </w:r>
      <w:r w:rsidR="000C404C">
        <w:rPr>
          <w:rFonts w:ascii="Garamond" w:eastAsia="Garamond" w:hAnsi="Garamond" w:cs="Garamond"/>
        </w:rPr>
        <w:t xml:space="preserve"> a nivel nacional, quedando los pacientes con tratamientos interrumpidos que afectan la condición de su salud</w:t>
      </w:r>
      <w:r w:rsidR="00611816">
        <w:rPr>
          <w:rFonts w:ascii="Garamond" w:eastAsia="Garamond" w:hAnsi="Garamond" w:cs="Garamond"/>
        </w:rPr>
        <w:t>: Pacientes con hemofilia</w:t>
      </w:r>
      <w:r w:rsidR="009234A3">
        <w:rPr>
          <w:rFonts w:ascii="Garamond" w:eastAsia="Garamond" w:hAnsi="Garamond" w:cs="Garamond"/>
        </w:rPr>
        <w:t>, que desde junio del 2024 se encuentran sin acceso al tratamiento completo, sólo hay para casos de emergencia</w:t>
      </w:r>
      <w:r w:rsidR="00651CF2">
        <w:rPr>
          <w:rStyle w:val="Refdenotaalpie"/>
          <w:rFonts w:ascii="Garamond" w:eastAsia="Garamond" w:hAnsi="Garamond" w:cs="Garamond"/>
        </w:rPr>
        <w:footnoteReference w:id="25"/>
      </w:r>
      <w:r w:rsidR="00611816">
        <w:rPr>
          <w:rFonts w:ascii="Garamond" w:eastAsia="Garamond" w:hAnsi="Garamond" w:cs="Garamond"/>
        </w:rPr>
        <w:t xml:space="preserve">, Von Willebrand, </w:t>
      </w:r>
      <w:r w:rsidR="009234A3">
        <w:rPr>
          <w:rFonts w:ascii="Garamond" w:eastAsia="Garamond" w:hAnsi="Garamond" w:cs="Garamond"/>
        </w:rPr>
        <w:t>VIH (</w:t>
      </w:r>
      <w:r w:rsidR="009234A3" w:rsidRPr="009234A3">
        <w:rPr>
          <w:rFonts w:ascii="Garamond" w:eastAsia="Garamond" w:hAnsi="Garamond" w:cs="Garamond"/>
        </w:rPr>
        <w:t xml:space="preserve"> Perú, se han notificado 177,226 casos de infección por VIH</w:t>
      </w:r>
      <w:r w:rsidR="009234A3">
        <w:rPr>
          <w:rFonts w:ascii="Garamond" w:eastAsia="Garamond" w:hAnsi="Garamond" w:cs="Garamond"/>
        </w:rPr>
        <w:t xml:space="preserve">, </w:t>
      </w:r>
      <w:r w:rsidR="009234A3" w:rsidRPr="009234A3">
        <w:rPr>
          <w:rFonts w:ascii="Garamond" w:eastAsia="Garamond" w:hAnsi="Garamond" w:cs="Garamond"/>
        </w:rPr>
        <w:t xml:space="preserve">a junio </w:t>
      </w:r>
      <w:r w:rsidR="009234A3">
        <w:rPr>
          <w:rFonts w:ascii="Garamond" w:eastAsia="Garamond" w:hAnsi="Garamond" w:cs="Garamond"/>
        </w:rPr>
        <w:t xml:space="preserve">de </w:t>
      </w:r>
      <w:r w:rsidR="009234A3" w:rsidRPr="009234A3">
        <w:rPr>
          <w:rFonts w:ascii="Garamond" w:eastAsia="Garamond" w:hAnsi="Garamond" w:cs="Garamond"/>
        </w:rPr>
        <w:t>2024</w:t>
      </w:r>
      <w:r w:rsidR="009234A3">
        <w:rPr>
          <w:rFonts w:ascii="Garamond" w:eastAsia="Garamond" w:hAnsi="Garamond" w:cs="Garamond"/>
        </w:rPr>
        <w:t xml:space="preserve">, según </w:t>
      </w:r>
      <w:r w:rsidR="009234A3" w:rsidRPr="009234A3">
        <w:rPr>
          <w:rFonts w:ascii="Garamond" w:eastAsia="Garamond" w:hAnsi="Garamond" w:cs="Garamond"/>
        </w:rPr>
        <w:t>MINSA</w:t>
      </w:r>
      <w:r w:rsidR="009234A3">
        <w:rPr>
          <w:rFonts w:ascii="Garamond" w:eastAsia="Garamond" w:hAnsi="Garamond" w:cs="Garamond"/>
        </w:rPr>
        <w:t>; pero sól</w:t>
      </w:r>
      <w:r w:rsidR="009234A3" w:rsidRPr="009234A3">
        <w:rPr>
          <w:rFonts w:ascii="Garamond" w:eastAsia="Garamond" w:hAnsi="Garamond" w:cs="Garamond"/>
        </w:rPr>
        <w:t>o 94 mil tienen acceso a tratamiento</w:t>
      </w:r>
      <w:r w:rsidR="009234A3">
        <w:rPr>
          <w:rFonts w:ascii="Garamond" w:eastAsia="Garamond" w:hAnsi="Garamond" w:cs="Garamond"/>
        </w:rPr>
        <w:t xml:space="preserve">; </w:t>
      </w:r>
      <w:r w:rsidR="00611816">
        <w:rPr>
          <w:rFonts w:ascii="Garamond" w:eastAsia="Garamond" w:hAnsi="Garamond" w:cs="Garamond"/>
        </w:rPr>
        <w:t>esclerosis múltiple y cáncer que se atienden en distintas IPRESS, con distintos seguros públicos, son afectados en su derecho a la salud y calidad de vida digna por el desabastecimiento de medicamentos en las IPRESS del Estado</w:t>
      </w:r>
      <w:r w:rsidR="00651CF2">
        <w:rPr>
          <w:rStyle w:val="Refdenotaalpie"/>
          <w:rFonts w:ascii="Garamond" w:eastAsia="Garamond" w:hAnsi="Garamond" w:cs="Garamond"/>
        </w:rPr>
        <w:footnoteReference w:id="26"/>
      </w:r>
      <w:r w:rsidR="00611816">
        <w:rPr>
          <w:rFonts w:ascii="Garamond" w:eastAsia="Garamond" w:hAnsi="Garamond" w:cs="Garamond"/>
        </w:rPr>
        <w:t>.</w:t>
      </w:r>
    </w:p>
    <w:p w14:paraId="0000006F" w14:textId="02D601D0" w:rsidR="0080721E" w:rsidRDefault="00E70E36">
      <w:pPr>
        <w:spacing w:after="0" w:line="240" w:lineRule="auto"/>
        <w:jc w:val="both"/>
        <w:rPr>
          <w:rFonts w:ascii="Garamond" w:eastAsia="Garamond" w:hAnsi="Garamond" w:cs="Garamond"/>
        </w:rPr>
      </w:pPr>
      <w:r>
        <w:rPr>
          <w:rFonts w:ascii="Garamond" w:eastAsia="Garamond" w:hAnsi="Garamond" w:cs="Garamond"/>
        </w:rPr>
        <w:t xml:space="preserve"> </w:t>
      </w:r>
    </w:p>
    <w:p w14:paraId="64BC6AF3" w14:textId="2F1B0A18" w:rsidR="00BA47D6" w:rsidRDefault="00BA47D6">
      <w:pPr>
        <w:spacing w:after="0" w:line="240" w:lineRule="auto"/>
        <w:jc w:val="both"/>
        <w:rPr>
          <w:rFonts w:ascii="Garamond" w:eastAsia="Garamond" w:hAnsi="Garamond" w:cs="Garamond"/>
        </w:rPr>
      </w:pPr>
      <w:r w:rsidRPr="00BA47D6">
        <w:rPr>
          <w:rFonts w:ascii="Garamond" w:eastAsia="Garamond" w:hAnsi="Garamond" w:cs="Garamond"/>
          <w:b/>
        </w:rPr>
        <w:t>Diagnóstico</w:t>
      </w:r>
      <w:r>
        <w:rPr>
          <w:rFonts w:ascii="Garamond" w:eastAsia="Garamond" w:hAnsi="Garamond" w:cs="Garamond"/>
        </w:rPr>
        <w:t>, de acuerdo a APOYO Consultoría, un paciente con ERH podría ser diagnosticado por el Estado peruano hasta en diez años. Debido a que, sólo hay trece médicos genéticos para diagnostica</w:t>
      </w:r>
      <w:r w:rsidR="00CB4C05">
        <w:rPr>
          <w:rFonts w:ascii="Garamond" w:eastAsia="Garamond" w:hAnsi="Garamond" w:cs="Garamond"/>
        </w:rPr>
        <w:t>r</w:t>
      </w:r>
      <w:r>
        <w:rPr>
          <w:rFonts w:ascii="Garamond" w:eastAsia="Garamond" w:hAnsi="Garamond" w:cs="Garamond"/>
        </w:rPr>
        <w:t xml:space="preserve"> a los 1.8millones de pacientes con ERH de origen genético en el país. Además, hay menos de 400 médicos pediátricos que podrían diagnosticar a los </w:t>
      </w:r>
      <w:r w:rsidR="009234A3">
        <w:rPr>
          <w:rFonts w:ascii="Garamond" w:eastAsia="Garamond" w:hAnsi="Garamond" w:cs="Garamond"/>
        </w:rPr>
        <w:t>2</w:t>
      </w:r>
      <w:r>
        <w:rPr>
          <w:rFonts w:ascii="Garamond" w:eastAsia="Garamond" w:hAnsi="Garamond" w:cs="Garamond"/>
        </w:rPr>
        <w:t xml:space="preserve"> millones de pacientes </w:t>
      </w:r>
      <w:r w:rsidR="009234A3">
        <w:rPr>
          <w:rFonts w:ascii="Garamond" w:eastAsia="Garamond" w:hAnsi="Garamond" w:cs="Garamond"/>
        </w:rPr>
        <w:t>con</w:t>
      </w:r>
      <w:r>
        <w:rPr>
          <w:rFonts w:ascii="Garamond" w:eastAsia="Garamond" w:hAnsi="Garamond" w:cs="Garamond"/>
        </w:rPr>
        <w:t xml:space="preserve"> ERH de origen pediátrico</w:t>
      </w:r>
      <w:r>
        <w:rPr>
          <w:rStyle w:val="Refdenotaalpie"/>
          <w:rFonts w:ascii="Garamond" w:eastAsia="Garamond" w:hAnsi="Garamond" w:cs="Garamond"/>
        </w:rPr>
        <w:footnoteReference w:id="27"/>
      </w:r>
      <w:r>
        <w:rPr>
          <w:rFonts w:ascii="Garamond" w:eastAsia="Garamond" w:hAnsi="Garamond" w:cs="Garamond"/>
        </w:rPr>
        <w:t>.</w:t>
      </w:r>
      <w:r w:rsidR="00CB4C05">
        <w:rPr>
          <w:rFonts w:ascii="Garamond" w:eastAsia="Garamond" w:hAnsi="Garamond" w:cs="Garamond"/>
        </w:rPr>
        <w:t xml:space="preserve"> En el caso de los pacientes con fibrosis quística, esta normado</w:t>
      </w:r>
      <w:r w:rsidR="00CB4C05">
        <w:rPr>
          <w:rStyle w:val="Refdenotaalpie"/>
          <w:rFonts w:ascii="Garamond" w:eastAsia="Garamond" w:hAnsi="Garamond" w:cs="Garamond"/>
        </w:rPr>
        <w:footnoteReference w:id="28"/>
      </w:r>
      <w:r w:rsidR="00CB4C05">
        <w:rPr>
          <w:rFonts w:ascii="Garamond" w:eastAsia="Garamond" w:hAnsi="Garamond" w:cs="Garamond"/>
        </w:rPr>
        <w:t xml:space="preserve"> que se realice un tamizaje neonatal, sin embargo, no lo realizan debido a los costos. Perdiendo la oportunidad de que niños y niñas sean diagnosticados y tratados a tiempo.</w:t>
      </w:r>
    </w:p>
    <w:p w14:paraId="041B9F1B" w14:textId="77777777" w:rsidR="00BA47D6" w:rsidRDefault="00BA47D6">
      <w:pPr>
        <w:spacing w:after="0" w:line="240" w:lineRule="auto"/>
        <w:jc w:val="both"/>
        <w:rPr>
          <w:rFonts w:ascii="Garamond" w:eastAsia="Garamond" w:hAnsi="Garamond" w:cs="Garamond"/>
        </w:rPr>
      </w:pPr>
    </w:p>
    <w:p w14:paraId="3C5A75AE" w14:textId="10A37EDB" w:rsidR="00867D17" w:rsidRDefault="00BA47D6">
      <w:pPr>
        <w:spacing w:after="0" w:line="240" w:lineRule="auto"/>
        <w:jc w:val="both"/>
        <w:rPr>
          <w:rFonts w:ascii="Garamond" w:eastAsia="Garamond" w:hAnsi="Garamond" w:cs="Garamond"/>
        </w:rPr>
      </w:pPr>
      <w:r w:rsidRPr="00BA47D6">
        <w:rPr>
          <w:rFonts w:ascii="Garamond" w:eastAsia="Garamond" w:hAnsi="Garamond" w:cs="Garamond"/>
          <w:b/>
        </w:rPr>
        <w:t>A</w:t>
      </w:r>
      <w:r w:rsidR="00E70E36" w:rsidRPr="00BA47D6">
        <w:rPr>
          <w:rFonts w:ascii="Garamond" w:eastAsia="Garamond" w:hAnsi="Garamond" w:cs="Garamond"/>
          <w:b/>
        </w:rPr>
        <w:t>probación de un tratamiento</w:t>
      </w:r>
      <w:r>
        <w:rPr>
          <w:rFonts w:ascii="Garamond" w:eastAsia="Garamond" w:hAnsi="Garamond" w:cs="Garamond"/>
        </w:rPr>
        <w:t xml:space="preserve">, </w:t>
      </w:r>
      <w:r w:rsidR="001155E9">
        <w:rPr>
          <w:rFonts w:ascii="Garamond" w:eastAsia="Garamond" w:hAnsi="Garamond" w:cs="Garamond"/>
        </w:rPr>
        <w:t>de acuerdo a APOYO Consultoría</w:t>
      </w:r>
      <w:r w:rsidR="006B2C77">
        <w:rPr>
          <w:rFonts w:ascii="Garamond" w:eastAsia="Garamond" w:hAnsi="Garamond" w:cs="Garamond"/>
        </w:rPr>
        <w:t>, el acceso a tratamientos podría demorar hasta quince años con un costo de S/. 48 millones al año. Para el tratamiento de pacientes con diagnóstico se cuenta con financiamiento del Fondo Intangible Solidario de Salud – FISSAL, pero el monto designado para ERH es significativamente menor en relación a insuficiencia renal crónica y cáncer. Los trámites son tediosos, largos y sin plazos acorde a la salud del paciente: Más de 12,000 expedientes a la espera de un registro sanitario; 2 años de demora para la evaluación; no existe lista de medicamentos debido a que no se ha implementado y, las guías de prácticas clínicas o de tratamiento se encuentran hasta 30 años desactualizadas</w:t>
      </w:r>
      <w:r w:rsidR="006B2C77">
        <w:rPr>
          <w:rStyle w:val="Refdenotaalpie"/>
          <w:rFonts w:ascii="Garamond" w:eastAsia="Garamond" w:hAnsi="Garamond" w:cs="Garamond"/>
        </w:rPr>
        <w:footnoteReference w:id="29"/>
      </w:r>
      <w:r w:rsidR="00651CF2">
        <w:rPr>
          <w:rFonts w:ascii="Garamond" w:eastAsia="Garamond" w:hAnsi="Garamond" w:cs="Garamond"/>
        </w:rPr>
        <w:t>.</w:t>
      </w:r>
    </w:p>
    <w:p w14:paraId="6B466435" w14:textId="77777777" w:rsidR="00651CF2" w:rsidRDefault="00651CF2">
      <w:pPr>
        <w:spacing w:after="0" w:line="240" w:lineRule="auto"/>
        <w:jc w:val="both"/>
        <w:rPr>
          <w:rFonts w:ascii="Garamond" w:eastAsia="Garamond" w:hAnsi="Garamond" w:cs="Garamond"/>
        </w:rPr>
      </w:pPr>
    </w:p>
    <w:p w14:paraId="00000070" w14:textId="5630F7E8" w:rsidR="0080721E" w:rsidRDefault="00AF6052">
      <w:pPr>
        <w:spacing w:after="0" w:line="240" w:lineRule="auto"/>
        <w:jc w:val="both"/>
        <w:rPr>
          <w:rFonts w:ascii="Garamond" w:eastAsia="Garamond" w:hAnsi="Garamond" w:cs="Garamond"/>
        </w:rPr>
      </w:pPr>
      <w:r>
        <w:rPr>
          <w:rFonts w:ascii="Garamond" w:eastAsia="Garamond" w:hAnsi="Garamond" w:cs="Garamond"/>
        </w:rPr>
        <w:t>En relación a los</w:t>
      </w:r>
      <w:r w:rsidR="006B2C77">
        <w:rPr>
          <w:rFonts w:ascii="Garamond" w:eastAsia="Garamond" w:hAnsi="Garamond" w:cs="Garamond"/>
        </w:rPr>
        <w:t xml:space="preserve"> casos del</w:t>
      </w:r>
      <w:r w:rsidR="001155E9">
        <w:rPr>
          <w:rFonts w:ascii="Garamond" w:eastAsia="Garamond" w:hAnsi="Garamond" w:cs="Garamond"/>
        </w:rPr>
        <w:t xml:space="preserve"> Colectivo </w:t>
      </w:r>
      <w:r w:rsidR="001155E9" w:rsidRPr="001155E9">
        <w:rPr>
          <w:rFonts w:ascii="Garamond" w:eastAsia="Garamond" w:hAnsi="Garamond" w:cs="Garamond"/>
          <w:b/>
        </w:rPr>
        <w:t>Los Pacientes Importan</w:t>
      </w:r>
      <w:r w:rsidR="001155E9">
        <w:rPr>
          <w:rFonts w:ascii="Garamond" w:eastAsia="Garamond" w:hAnsi="Garamond" w:cs="Garamond"/>
        </w:rPr>
        <w:t xml:space="preserve"> </w:t>
      </w:r>
      <w:r w:rsidR="006B2C77">
        <w:rPr>
          <w:rFonts w:ascii="Garamond" w:eastAsia="Garamond" w:hAnsi="Garamond" w:cs="Garamond"/>
        </w:rPr>
        <w:t>la aprobación de un tratamiento puede</w:t>
      </w:r>
      <w:r w:rsidR="00E70E36">
        <w:rPr>
          <w:rFonts w:ascii="Garamond" w:eastAsia="Garamond" w:hAnsi="Garamond" w:cs="Garamond"/>
        </w:rPr>
        <w:t xml:space="preserve"> demorar entre dos meses a más de tres años, sin que </w:t>
      </w:r>
      <w:r w:rsidR="000C404C">
        <w:rPr>
          <w:rFonts w:ascii="Garamond" w:eastAsia="Garamond" w:hAnsi="Garamond" w:cs="Garamond"/>
        </w:rPr>
        <w:t xml:space="preserve">se </w:t>
      </w:r>
      <w:r w:rsidR="00E70E36">
        <w:rPr>
          <w:rFonts w:ascii="Garamond" w:eastAsia="Garamond" w:hAnsi="Garamond" w:cs="Garamond"/>
        </w:rPr>
        <w:t>garantice el acceso a ellos. Tal como sucede con los pacientes con hipertensión pulmonar</w:t>
      </w:r>
      <w:r w:rsidR="009234A3">
        <w:rPr>
          <w:rFonts w:ascii="Garamond" w:eastAsia="Garamond" w:hAnsi="Garamond" w:cs="Garamond"/>
        </w:rPr>
        <w:t xml:space="preserve">, </w:t>
      </w:r>
      <w:r w:rsidR="006B2C77">
        <w:rPr>
          <w:rFonts w:ascii="Garamond" w:eastAsia="Garamond" w:hAnsi="Garamond" w:cs="Garamond"/>
        </w:rPr>
        <w:t>fibrosis quística</w:t>
      </w:r>
      <w:r w:rsidR="009234A3">
        <w:rPr>
          <w:rFonts w:ascii="Garamond" w:eastAsia="Garamond" w:hAnsi="Garamond" w:cs="Garamond"/>
        </w:rPr>
        <w:t xml:space="preserve"> y atrofia muscular espinal,</w:t>
      </w:r>
      <w:r w:rsidR="006B2C77">
        <w:rPr>
          <w:rFonts w:ascii="Garamond" w:eastAsia="Garamond" w:hAnsi="Garamond" w:cs="Garamond"/>
        </w:rPr>
        <w:t xml:space="preserve"> </w:t>
      </w:r>
      <w:r w:rsidR="009234A3">
        <w:rPr>
          <w:rFonts w:ascii="Garamond" w:eastAsia="Garamond" w:hAnsi="Garamond" w:cs="Garamond"/>
        </w:rPr>
        <w:t>los cuales</w:t>
      </w:r>
      <w:r w:rsidR="00E70E36">
        <w:rPr>
          <w:rFonts w:ascii="Garamond" w:eastAsia="Garamond" w:hAnsi="Garamond" w:cs="Garamond"/>
        </w:rPr>
        <w:t xml:space="preserve"> viven de donaciones de medicamentos para sobrevivir</w:t>
      </w:r>
      <w:r w:rsidR="00CE3CC5">
        <w:rPr>
          <w:rStyle w:val="Refdenotaalpie"/>
          <w:rFonts w:ascii="Garamond" w:eastAsia="Garamond" w:hAnsi="Garamond" w:cs="Garamond"/>
        </w:rPr>
        <w:footnoteReference w:id="30"/>
      </w:r>
      <w:r w:rsidR="00E70E36">
        <w:rPr>
          <w:rFonts w:ascii="Garamond" w:eastAsia="Garamond" w:hAnsi="Garamond" w:cs="Garamond"/>
        </w:rPr>
        <w:t>.</w:t>
      </w:r>
    </w:p>
    <w:p w14:paraId="2FA36C74" w14:textId="77777777" w:rsidR="00C42096" w:rsidRDefault="00C42096">
      <w:pPr>
        <w:spacing w:after="0" w:line="240" w:lineRule="auto"/>
        <w:jc w:val="both"/>
        <w:rPr>
          <w:rFonts w:ascii="Garamond" w:eastAsia="Garamond" w:hAnsi="Garamond" w:cs="Garamond"/>
        </w:rPr>
      </w:pPr>
    </w:p>
    <w:p w14:paraId="2489C24A" w14:textId="191A30FD" w:rsidR="00867D17" w:rsidRDefault="00E04AE3">
      <w:pPr>
        <w:spacing w:after="0" w:line="240" w:lineRule="auto"/>
        <w:jc w:val="both"/>
        <w:rPr>
          <w:rFonts w:ascii="Garamond" w:eastAsia="Garamond" w:hAnsi="Garamond" w:cs="Garamond"/>
        </w:rPr>
      </w:pPr>
      <w:r>
        <w:rPr>
          <w:rFonts w:ascii="Garamond" w:eastAsia="Garamond" w:hAnsi="Garamond" w:cs="Garamond"/>
        </w:rPr>
        <w:t xml:space="preserve">2.1. </w:t>
      </w:r>
      <w:r w:rsidR="00727D50">
        <w:rPr>
          <w:rFonts w:ascii="Garamond" w:eastAsia="Garamond" w:hAnsi="Garamond" w:cs="Garamond"/>
        </w:rPr>
        <w:t xml:space="preserve">Las </w:t>
      </w:r>
      <w:r w:rsidR="00727D50" w:rsidRPr="00727D50">
        <w:rPr>
          <w:rFonts w:ascii="Garamond" w:eastAsia="Garamond" w:hAnsi="Garamond" w:cs="Garamond"/>
          <w:b/>
        </w:rPr>
        <w:t>Guías de Práctica Clínica</w:t>
      </w:r>
      <w:r w:rsidR="00727D50">
        <w:rPr>
          <w:rFonts w:ascii="Garamond" w:eastAsia="Garamond" w:hAnsi="Garamond" w:cs="Garamond"/>
        </w:rPr>
        <w:t xml:space="preserve"> son una hoja de ruta para los médicos para el diagnóstico, tratamiento y seguimiento del paciente con una ERH. </w:t>
      </w:r>
      <w:r w:rsidR="00867D17">
        <w:rPr>
          <w:rFonts w:ascii="Garamond" w:eastAsia="Garamond" w:hAnsi="Garamond" w:cs="Garamond"/>
        </w:rPr>
        <w:t>De acuerdo al MINSA</w:t>
      </w:r>
      <w:r w:rsidR="00727D50">
        <w:rPr>
          <w:rFonts w:ascii="Garamond" w:eastAsia="Garamond" w:hAnsi="Garamond" w:cs="Garamond"/>
        </w:rPr>
        <w:t>,</w:t>
      </w:r>
      <w:r w:rsidR="00867D17">
        <w:rPr>
          <w:rFonts w:ascii="Garamond" w:eastAsia="Garamond" w:hAnsi="Garamond" w:cs="Garamond"/>
        </w:rPr>
        <w:t xml:space="preserve"> hay 02 </w:t>
      </w:r>
      <w:r w:rsidR="00867D17" w:rsidRPr="00727D50">
        <w:rPr>
          <w:rFonts w:ascii="Garamond" w:eastAsia="Garamond" w:hAnsi="Garamond" w:cs="Garamond"/>
          <w:b/>
        </w:rPr>
        <w:t>Guías de Práctica Clínica</w:t>
      </w:r>
      <w:r w:rsidR="00727D50">
        <w:rPr>
          <w:rFonts w:ascii="Garamond" w:eastAsia="Garamond" w:hAnsi="Garamond" w:cs="Garamond"/>
        </w:rPr>
        <w:t xml:space="preserve"> </w:t>
      </w:r>
      <w:r w:rsidR="00867D17">
        <w:rPr>
          <w:rFonts w:ascii="Garamond" w:eastAsia="Garamond" w:hAnsi="Garamond" w:cs="Garamond"/>
        </w:rPr>
        <w:t>para</w:t>
      </w:r>
      <w:r w:rsidR="00727D50">
        <w:rPr>
          <w:rFonts w:ascii="Garamond" w:eastAsia="Garamond" w:hAnsi="Garamond" w:cs="Garamond"/>
        </w:rPr>
        <w:t xml:space="preserve"> </w:t>
      </w:r>
      <w:r w:rsidR="00867D17">
        <w:rPr>
          <w:rFonts w:ascii="Garamond" w:eastAsia="Garamond" w:hAnsi="Garamond" w:cs="Garamond"/>
        </w:rPr>
        <w:t>ERH aprobadas: Guillain Barré y de Esclerosis Múltiple. Sin embargo</w:t>
      </w:r>
      <w:r w:rsidR="00727D50">
        <w:rPr>
          <w:rFonts w:ascii="Garamond" w:eastAsia="Garamond" w:hAnsi="Garamond" w:cs="Garamond"/>
        </w:rPr>
        <w:t xml:space="preserve">, </w:t>
      </w:r>
      <w:r w:rsidR="00867D17">
        <w:rPr>
          <w:rFonts w:ascii="Garamond" w:eastAsia="Garamond" w:hAnsi="Garamond" w:cs="Garamond"/>
        </w:rPr>
        <w:t xml:space="preserve">existen 14 guías </w:t>
      </w:r>
      <w:r w:rsidR="00727D50">
        <w:rPr>
          <w:rFonts w:ascii="Garamond" w:eastAsia="Garamond" w:hAnsi="Garamond" w:cs="Garamond"/>
        </w:rPr>
        <w:t>de práctica clínica para ERH en espera de aprobación desde hace varios años.</w:t>
      </w:r>
    </w:p>
    <w:p w14:paraId="00000071" w14:textId="77777777" w:rsidR="0080721E" w:rsidRDefault="0080721E">
      <w:pPr>
        <w:spacing w:after="0" w:line="240" w:lineRule="auto"/>
        <w:jc w:val="both"/>
        <w:rPr>
          <w:rFonts w:ascii="Garamond" w:eastAsia="Garamond" w:hAnsi="Garamond" w:cs="Garamond"/>
        </w:rPr>
      </w:pPr>
    </w:p>
    <w:p w14:paraId="0000007B" w14:textId="735092C5" w:rsidR="0080721E" w:rsidRDefault="00AF6052">
      <w:pPr>
        <w:spacing w:after="0" w:line="240" w:lineRule="auto"/>
        <w:jc w:val="both"/>
        <w:rPr>
          <w:rFonts w:ascii="Garamond" w:eastAsia="Garamond" w:hAnsi="Garamond" w:cs="Garamond"/>
        </w:rPr>
      </w:pPr>
      <w:r>
        <w:rPr>
          <w:rFonts w:ascii="Garamond" w:eastAsia="Garamond" w:hAnsi="Garamond" w:cs="Garamond"/>
          <w:b/>
        </w:rPr>
        <w:t>Recomendamos</w:t>
      </w:r>
      <w:r w:rsidR="00867D17" w:rsidRPr="00867D17">
        <w:rPr>
          <w:rFonts w:ascii="Garamond" w:eastAsia="Garamond" w:hAnsi="Garamond" w:cs="Garamond"/>
          <w:b/>
        </w:rPr>
        <w:t xml:space="preserve"> al Estado peruano</w:t>
      </w:r>
      <w:r w:rsidR="00E70E36">
        <w:rPr>
          <w:rFonts w:ascii="Garamond" w:eastAsia="Garamond" w:hAnsi="Garamond" w:cs="Garamond"/>
        </w:rPr>
        <w:t>:</w:t>
      </w:r>
    </w:p>
    <w:p w14:paraId="0000007C" w14:textId="675DE7F6" w:rsidR="0080721E" w:rsidRPr="00727D50" w:rsidRDefault="00867D17">
      <w:pPr>
        <w:numPr>
          <w:ilvl w:val="0"/>
          <w:numId w:val="2"/>
        </w:numPr>
        <w:spacing w:after="0" w:line="240" w:lineRule="auto"/>
        <w:jc w:val="both"/>
        <w:rPr>
          <w:rFonts w:ascii="Garamond" w:eastAsia="Garamond" w:hAnsi="Garamond" w:cs="Garamond"/>
        </w:rPr>
      </w:pPr>
      <w:r w:rsidRPr="009234A3">
        <w:rPr>
          <w:rFonts w:ascii="Garamond" w:eastAsia="Garamond" w:hAnsi="Garamond" w:cs="Garamond"/>
          <w:b/>
          <w:bCs/>
        </w:rPr>
        <w:t>Implementación del Listado C</w:t>
      </w:r>
      <w:r w:rsidR="00E70E36" w:rsidRPr="009234A3">
        <w:rPr>
          <w:rFonts w:ascii="Garamond" w:eastAsia="Garamond" w:hAnsi="Garamond" w:cs="Garamond"/>
          <w:b/>
          <w:bCs/>
        </w:rPr>
        <w:t xml:space="preserve">omplementario de </w:t>
      </w:r>
      <w:r w:rsidR="00727D50" w:rsidRPr="009234A3">
        <w:rPr>
          <w:rFonts w:ascii="Garamond" w:eastAsia="Garamond" w:hAnsi="Garamond" w:cs="Garamond"/>
          <w:b/>
          <w:bCs/>
        </w:rPr>
        <w:t>T</w:t>
      </w:r>
      <w:r w:rsidR="00E70E36" w:rsidRPr="009234A3">
        <w:rPr>
          <w:rFonts w:ascii="Garamond" w:eastAsia="Garamond" w:hAnsi="Garamond" w:cs="Garamond"/>
          <w:b/>
          <w:bCs/>
        </w:rPr>
        <w:t xml:space="preserve">ratamientos para </w:t>
      </w:r>
      <w:r w:rsidR="009234A3">
        <w:rPr>
          <w:rFonts w:ascii="Garamond" w:eastAsia="Garamond" w:hAnsi="Garamond" w:cs="Garamond"/>
          <w:b/>
          <w:bCs/>
        </w:rPr>
        <w:t>enfermedades raras o huérfanas</w:t>
      </w:r>
      <w:r w:rsidR="00E70E36" w:rsidRPr="00727D50">
        <w:rPr>
          <w:rFonts w:ascii="Garamond" w:eastAsia="Garamond" w:hAnsi="Garamond" w:cs="Garamond"/>
        </w:rPr>
        <w:t>.</w:t>
      </w:r>
    </w:p>
    <w:p w14:paraId="4135B1E4" w14:textId="0CB5F3D3" w:rsidR="00867D17" w:rsidRDefault="00867D17">
      <w:pPr>
        <w:numPr>
          <w:ilvl w:val="0"/>
          <w:numId w:val="2"/>
        </w:numPr>
        <w:spacing w:after="0" w:line="240" w:lineRule="auto"/>
        <w:jc w:val="both"/>
        <w:rPr>
          <w:rFonts w:ascii="Garamond" w:eastAsia="Garamond" w:hAnsi="Garamond" w:cs="Garamond"/>
        </w:rPr>
      </w:pPr>
      <w:r w:rsidRPr="009234A3">
        <w:rPr>
          <w:rFonts w:ascii="Garamond" w:eastAsia="Garamond" w:hAnsi="Garamond" w:cs="Garamond"/>
          <w:b/>
          <w:bCs/>
        </w:rPr>
        <w:t xml:space="preserve">Aprobación de las 14 Guías de Práctica Clínica para </w:t>
      </w:r>
      <w:r w:rsidR="009234A3">
        <w:rPr>
          <w:rFonts w:ascii="Garamond" w:eastAsia="Garamond" w:hAnsi="Garamond" w:cs="Garamond"/>
          <w:b/>
          <w:bCs/>
        </w:rPr>
        <w:t>enfermedades raras o huérfanas</w:t>
      </w:r>
      <w:r w:rsidRPr="00727D50">
        <w:rPr>
          <w:rFonts w:ascii="Garamond" w:eastAsia="Garamond" w:hAnsi="Garamond" w:cs="Garamond"/>
        </w:rPr>
        <w:t>.</w:t>
      </w:r>
    </w:p>
    <w:p w14:paraId="0000007D" w14:textId="77777777" w:rsidR="0080721E" w:rsidRDefault="0080721E">
      <w:pPr>
        <w:spacing w:after="0" w:line="240" w:lineRule="auto"/>
        <w:jc w:val="both"/>
        <w:rPr>
          <w:rFonts w:ascii="Garamond" w:eastAsia="Garamond" w:hAnsi="Garamond" w:cs="Garamond"/>
        </w:rPr>
      </w:pPr>
    </w:p>
    <w:p w14:paraId="0000007E" w14:textId="77777777" w:rsidR="0080721E" w:rsidRDefault="0080721E">
      <w:pPr>
        <w:spacing w:after="0" w:line="240" w:lineRule="auto"/>
        <w:jc w:val="both"/>
        <w:rPr>
          <w:rFonts w:ascii="Garamond" w:eastAsia="Garamond" w:hAnsi="Garamond" w:cs="Garamond"/>
        </w:rPr>
      </w:pPr>
    </w:p>
    <w:p w14:paraId="0000007F" w14:textId="265E2A60" w:rsidR="0080721E" w:rsidRPr="00E04AE3" w:rsidRDefault="00E70E36" w:rsidP="00E04AE3">
      <w:pPr>
        <w:pStyle w:val="Prrafodelista"/>
        <w:numPr>
          <w:ilvl w:val="1"/>
          <w:numId w:val="11"/>
        </w:numPr>
        <w:spacing w:after="0" w:line="240" w:lineRule="auto"/>
        <w:jc w:val="both"/>
        <w:rPr>
          <w:rFonts w:ascii="Garamond" w:eastAsia="Garamond" w:hAnsi="Garamond" w:cs="Garamond"/>
        </w:rPr>
      </w:pPr>
      <w:r w:rsidRPr="00E04AE3">
        <w:rPr>
          <w:rFonts w:ascii="Garamond" w:eastAsia="Garamond" w:hAnsi="Garamond" w:cs="Garamond"/>
          <w:b/>
        </w:rPr>
        <w:lastRenderedPageBreak/>
        <w:t>C</w:t>
      </w:r>
      <w:r w:rsidR="00876524" w:rsidRPr="00E04AE3">
        <w:rPr>
          <w:rFonts w:ascii="Garamond" w:eastAsia="Garamond" w:hAnsi="Garamond" w:cs="Garamond"/>
          <w:b/>
        </w:rPr>
        <w:t>ontinuidad de tratamiento</w:t>
      </w:r>
    </w:p>
    <w:p w14:paraId="2C3B25E9" w14:textId="77777777" w:rsidR="009234A3" w:rsidRDefault="009234A3" w:rsidP="005F767C">
      <w:pPr>
        <w:spacing w:after="0" w:line="240" w:lineRule="auto"/>
        <w:jc w:val="both"/>
        <w:rPr>
          <w:rFonts w:ascii="Garamond" w:eastAsia="Garamond" w:hAnsi="Garamond" w:cs="Garamond"/>
        </w:rPr>
      </w:pPr>
    </w:p>
    <w:p w14:paraId="00000080" w14:textId="3B57A3FE" w:rsidR="0080721E" w:rsidRDefault="00E70E36" w:rsidP="005F767C">
      <w:pPr>
        <w:spacing w:after="0" w:line="240" w:lineRule="auto"/>
        <w:jc w:val="both"/>
        <w:rPr>
          <w:rFonts w:ascii="Garamond" w:eastAsia="Garamond" w:hAnsi="Garamond" w:cs="Garamond"/>
        </w:rPr>
      </w:pPr>
      <w:r>
        <w:rPr>
          <w:rFonts w:ascii="Garamond" w:eastAsia="Garamond" w:hAnsi="Garamond" w:cs="Garamond"/>
        </w:rPr>
        <w:t xml:space="preserve">El Estado debería asegurar el tratamiento de las personas con ERH </w:t>
      </w:r>
      <w:r w:rsidR="00876524">
        <w:rPr>
          <w:rFonts w:ascii="Garamond" w:eastAsia="Garamond" w:hAnsi="Garamond" w:cs="Garamond"/>
        </w:rPr>
        <w:t xml:space="preserve">+ </w:t>
      </w:r>
      <w:r>
        <w:rPr>
          <w:rFonts w:ascii="Garamond" w:eastAsia="Garamond" w:hAnsi="Garamond" w:cs="Garamond"/>
        </w:rPr>
        <w:t>AC, incluso cuando: i) se queden sin seguro y/o, ii) cambien de sus sistemas de salud.</w:t>
      </w:r>
    </w:p>
    <w:p w14:paraId="00000081" w14:textId="77777777" w:rsidR="0080721E" w:rsidRDefault="0080721E" w:rsidP="005F767C">
      <w:pPr>
        <w:spacing w:after="0" w:line="240" w:lineRule="auto"/>
        <w:jc w:val="both"/>
        <w:rPr>
          <w:rFonts w:ascii="Garamond" w:eastAsia="Garamond" w:hAnsi="Garamond" w:cs="Garamond"/>
        </w:rPr>
      </w:pPr>
    </w:p>
    <w:p w14:paraId="00000082" w14:textId="785268B7" w:rsidR="0080721E" w:rsidRDefault="00E70E36" w:rsidP="005F767C">
      <w:pPr>
        <w:spacing w:after="0" w:line="240" w:lineRule="auto"/>
        <w:jc w:val="both"/>
        <w:rPr>
          <w:rFonts w:ascii="Garamond" w:eastAsia="Garamond" w:hAnsi="Garamond" w:cs="Garamond"/>
        </w:rPr>
      </w:pPr>
      <w:r>
        <w:rPr>
          <w:rFonts w:ascii="Garamond" w:eastAsia="Garamond" w:hAnsi="Garamond" w:cs="Garamond"/>
        </w:rPr>
        <w:t>En algunos casos, la Seguridad Social brinda tratamientos que no se brindan en establecimientos de salud del Ministerio de Salud, dado que no son financiados por el SIS - FISSAL, en estos casos, cuando los pacientes pasan a la mayoría de edad o pierden</w:t>
      </w:r>
      <w:r w:rsidR="00D705F2">
        <w:rPr>
          <w:rFonts w:ascii="Garamond" w:eastAsia="Garamond" w:hAnsi="Garamond" w:cs="Garamond"/>
        </w:rPr>
        <w:t xml:space="preserve"> el Seguro Social por algún</w:t>
      </w:r>
      <w:r>
        <w:rPr>
          <w:rFonts w:ascii="Garamond" w:eastAsia="Garamond" w:hAnsi="Garamond" w:cs="Garamond"/>
        </w:rPr>
        <w:t xml:space="preserve"> motivo, no pueden continuar su tratamiento, lo cual atenta con la calidad de vida y el pronóstico del paciente, y viceversa.</w:t>
      </w:r>
    </w:p>
    <w:p w14:paraId="00000083" w14:textId="77777777" w:rsidR="0080721E" w:rsidRDefault="0080721E" w:rsidP="005F767C">
      <w:pPr>
        <w:spacing w:after="0" w:line="240" w:lineRule="auto"/>
        <w:jc w:val="both"/>
        <w:rPr>
          <w:rFonts w:ascii="Garamond" w:eastAsia="Garamond" w:hAnsi="Garamond" w:cs="Garamond"/>
        </w:rPr>
      </w:pPr>
    </w:p>
    <w:p w14:paraId="00000084" w14:textId="2DC26B78" w:rsidR="0080721E" w:rsidRDefault="00E70E36" w:rsidP="005F767C">
      <w:pPr>
        <w:spacing w:after="0" w:line="240" w:lineRule="auto"/>
        <w:jc w:val="both"/>
        <w:rPr>
          <w:rFonts w:ascii="Garamond" w:eastAsia="Garamond" w:hAnsi="Garamond" w:cs="Garamond"/>
        </w:rPr>
      </w:pPr>
      <w:r>
        <w:rPr>
          <w:rFonts w:ascii="Garamond" w:eastAsia="Garamond" w:hAnsi="Garamond" w:cs="Garamond"/>
        </w:rPr>
        <w:t>Muchos de los pacientes menores de 18 años de edad, que son atendidos en institutos de salud especiales para niños, al cumplir 18 años de edad son referenciados a hospitales de adultos o consultorios para adultos no especializados en las diferentes patologías o trastornos infantiles, interrumpiéndose casi siempre sus tratamientos y no recibiendo la atención especializada de la que ya gozaban mermando su salud.</w:t>
      </w:r>
    </w:p>
    <w:p w14:paraId="16A1A9F2" w14:textId="53016A1A" w:rsidR="008372BE" w:rsidRDefault="008372BE" w:rsidP="005F767C">
      <w:pPr>
        <w:spacing w:after="0" w:line="240" w:lineRule="auto"/>
        <w:jc w:val="both"/>
        <w:rPr>
          <w:rFonts w:ascii="Garamond" w:eastAsia="Garamond" w:hAnsi="Garamond" w:cs="Garamond"/>
        </w:rPr>
      </w:pPr>
    </w:p>
    <w:p w14:paraId="78504255" w14:textId="49BFB70D" w:rsidR="008372BE" w:rsidRPr="008372BE" w:rsidRDefault="008372BE" w:rsidP="005F767C">
      <w:pPr>
        <w:spacing w:after="0" w:line="240" w:lineRule="auto"/>
        <w:jc w:val="both"/>
        <w:rPr>
          <w:rFonts w:ascii="Garamond" w:eastAsia="Garamond" w:hAnsi="Garamond" w:cs="Garamond"/>
          <w:b/>
        </w:rPr>
      </w:pPr>
      <w:r w:rsidRPr="008372BE">
        <w:rPr>
          <w:rFonts w:ascii="Garamond" w:eastAsia="Garamond" w:hAnsi="Garamond" w:cs="Garamond"/>
          <w:b/>
        </w:rPr>
        <w:t>Recomend</w:t>
      </w:r>
      <w:r w:rsidR="00756CB4">
        <w:rPr>
          <w:rFonts w:ascii="Garamond" w:eastAsia="Garamond" w:hAnsi="Garamond" w:cs="Garamond"/>
          <w:b/>
        </w:rPr>
        <w:t>amos</w:t>
      </w:r>
      <w:r w:rsidRPr="008372BE">
        <w:rPr>
          <w:rFonts w:ascii="Garamond" w:eastAsia="Garamond" w:hAnsi="Garamond" w:cs="Garamond"/>
          <w:b/>
        </w:rPr>
        <w:t xml:space="preserve"> al Estado peruano: </w:t>
      </w:r>
    </w:p>
    <w:p w14:paraId="01353F81" w14:textId="5C7A94E1" w:rsidR="008372BE" w:rsidRDefault="008372BE" w:rsidP="005F767C">
      <w:pPr>
        <w:pStyle w:val="Prrafodelista"/>
        <w:numPr>
          <w:ilvl w:val="0"/>
          <w:numId w:val="2"/>
        </w:numPr>
        <w:spacing w:after="0" w:line="240" w:lineRule="auto"/>
        <w:jc w:val="both"/>
        <w:rPr>
          <w:rFonts w:ascii="Garamond" w:eastAsia="Garamond" w:hAnsi="Garamond" w:cs="Garamond"/>
        </w:rPr>
      </w:pPr>
      <w:r w:rsidRPr="009234A3">
        <w:rPr>
          <w:rFonts w:ascii="Garamond" w:eastAsia="Garamond" w:hAnsi="Garamond" w:cs="Garamond"/>
          <w:b/>
          <w:bCs/>
        </w:rPr>
        <w:t>Asegurar a todos los pacientes con ERH + AC</w:t>
      </w:r>
      <w:r w:rsidR="00C42096">
        <w:rPr>
          <w:rFonts w:ascii="Garamond" w:eastAsia="Garamond" w:hAnsi="Garamond" w:cs="Garamond"/>
          <w:b/>
          <w:bCs/>
        </w:rPr>
        <w:t>, de pacientes pediátricos a adultos,</w:t>
      </w:r>
      <w:r w:rsidRPr="009234A3">
        <w:rPr>
          <w:rFonts w:ascii="Garamond" w:eastAsia="Garamond" w:hAnsi="Garamond" w:cs="Garamond"/>
          <w:b/>
          <w:bCs/>
        </w:rPr>
        <w:t xml:space="preserve"> la continuidad de su tratamiento sin importar su seguro y sin ningún tipo de distinción</w:t>
      </w:r>
      <w:r>
        <w:rPr>
          <w:rFonts w:ascii="Garamond" w:eastAsia="Garamond" w:hAnsi="Garamond" w:cs="Garamond"/>
        </w:rPr>
        <w:t>.</w:t>
      </w:r>
    </w:p>
    <w:p w14:paraId="66E5F2CB" w14:textId="4F5ECC49" w:rsidR="002211B5" w:rsidRPr="008372BE" w:rsidRDefault="002211B5" w:rsidP="002211B5">
      <w:pPr>
        <w:pStyle w:val="Prrafodelista"/>
        <w:numPr>
          <w:ilvl w:val="0"/>
          <w:numId w:val="2"/>
        </w:numPr>
        <w:spacing w:after="0" w:line="240" w:lineRule="auto"/>
        <w:jc w:val="both"/>
        <w:rPr>
          <w:rFonts w:ascii="Garamond" w:eastAsia="Garamond" w:hAnsi="Garamond" w:cs="Garamond"/>
        </w:rPr>
      </w:pPr>
      <w:r w:rsidRPr="009234A3">
        <w:rPr>
          <w:rFonts w:ascii="Garamond" w:eastAsia="Garamond" w:hAnsi="Garamond" w:cs="Garamond"/>
          <w:b/>
          <w:bCs/>
        </w:rPr>
        <w:t>Implementar centros de referencia de ERH</w:t>
      </w:r>
      <w:r>
        <w:rPr>
          <w:rStyle w:val="Refdenotaalpie"/>
          <w:rFonts w:ascii="Garamond" w:eastAsia="Garamond" w:hAnsi="Garamond" w:cs="Garamond"/>
        </w:rPr>
        <w:footnoteReference w:id="31"/>
      </w:r>
      <w:r>
        <w:rPr>
          <w:rFonts w:ascii="Garamond" w:eastAsia="Garamond" w:hAnsi="Garamond" w:cs="Garamond"/>
        </w:rPr>
        <w:t>.</w:t>
      </w:r>
    </w:p>
    <w:p w14:paraId="00000085" w14:textId="77777777" w:rsidR="0080721E" w:rsidRDefault="0080721E" w:rsidP="005F767C">
      <w:pPr>
        <w:spacing w:after="0" w:line="240" w:lineRule="auto"/>
        <w:jc w:val="both"/>
        <w:rPr>
          <w:rFonts w:ascii="Garamond" w:eastAsia="Garamond" w:hAnsi="Garamond" w:cs="Garamond"/>
        </w:rPr>
      </w:pPr>
    </w:p>
    <w:p w14:paraId="00000086" w14:textId="77777777" w:rsidR="0080721E" w:rsidRDefault="0080721E" w:rsidP="005F767C">
      <w:pPr>
        <w:spacing w:after="0" w:line="240" w:lineRule="auto"/>
        <w:jc w:val="both"/>
        <w:rPr>
          <w:rFonts w:ascii="Garamond" w:eastAsia="Garamond" w:hAnsi="Garamond" w:cs="Garamond"/>
        </w:rPr>
      </w:pPr>
    </w:p>
    <w:p w14:paraId="00000087" w14:textId="21997F1F" w:rsidR="0080721E" w:rsidRPr="00E04AE3" w:rsidRDefault="005F767C" w:rsidP="00E04AE3">
      <w:pPr>
        <w:pStyle w:val="Prrafodelista"/>
        <w:numPr>
          <w:ilvl w:val="1"/>
          <w:numId w:val="11"/>
        </w:numPr>
        <w:spacing w:after="0" w:line="240" w:lineRule="auto"/>
        <w:jc w:val="both"/>
        <w:rPr>
          <w:rFonts w:ascii="Garamond" w:eastAsia="Garamond" w:hAnsi="Garamond" w:cs="Garamond"/>
          <w:b/>
        </w:rPr>
      </w:pPr>
      <w:r w:rsidRPr="00E04AE3">
        <w:rPr>
          <w:rFonts w:ascii="Garamond" w:eastAsia="Garamond" w:hAnsi="Garamond" w:cs="Garamond"/>
          <w:b/>
        </w:rPr>
        <w:t xml:space="preserve">Evaluación y aprobación de tratamientos por la Dirección General de Medicamentos - </w:t>
      </w:r>
      <w:r w:rsidR="00E70E36" w:rsidRPr="00E04AE3">
        <w:rPr>
          <w:rFonts w:ascii="Garamond" w:eastAsia="Garamond" w:hAnsi="Garamond" w:cs="Garamond"/>
          <w:b/>
        </w:rPr>
        <w:t>DIGEMID</w:t>
      </w:r>
    </w:p>
    <w:p w14:paraId="6FEC2EDA" w14:textId="77777777" w:rsidR="00A7716A" w:rsidRPr="002D3ACB" w:rsidRDefault="00A7716A" w:rsidP="00A7716A">
      <w:pPr>
        <w:pStyle w:val="Prrafodelista"/>
        <w:pBdr>
          <w:top w:val="nil"/>
          <w:left w:val="nil"/>
          <w:bottom w:val="nil"/>
          <w:right w:val="nil"/>
          <w:between w:val="nil"/>
        </w:pBdr>
        <w:spacing w:after="120" w:line="240" w:lineRule="auto"/>
        <w:ind w:left="360"/>
        <w:jc w:val="both"/>
        <w:rPr>
          <w:rFonts w:ascii="Garamond" w:eastAsia="Garamond" w:hAnsi="Garamond" w:cs="Garamond"/>
          <w:b/>
          <w:color w:val="ED7D31"/>
          <w:highlight w:val="white"/>
        </w:rPr>
      </w:pPr>
      <w:r w:rsidRPr="002D3ACB">
        <w:rPr>
          <w:rFonts w:ascii="Garamond" w:eastAsia="Garamond" w:hAnsi="Garamond" w:cs="Garamond"/>
          <w:b/>
          <w:color w:val="ED7D31"/>
          <w:highlight w:val="white"/>
        </w:rPr>
        <w:t>Aplicado parcialmente</w:t>
      </w:r>
    </w:p>
    <w:p w14:paraId="0000008B" w14:textId="7E2E792E" w:rsidR="0080721E" w:rsidRDefault="005F767C" w:rsidP="005F767C">
      <w:pPr>
        <w:spacing w:after="0" w:line="240" w:lineRule="auto"/>
        <w:jc w:val="both"/>
        <w:rPr>
          <w:rFonts w:ascii="Garamond" w:eastAsia="Garamond" w:hAnsi="Garamond" w:cs="Garamond"/>
        </w:rPr>
      </w:pPr>
      <w:r>
        <w:rPr>
          <w:rFonts w:ascii="Garamond" w:eastAsia="Garamond" w:hAnsi="Garamond" w:cs="Garamond"/>
        </w:rPr>
        <w:t>DIGEMID es la agencia regulatoria de medicamentos en el país</w:t>
      </w:r>
      <w:r w:rsidR="00A658FA">
        <w:rPr>
          <w:rFonts w:ascii="Garamond" w:eastAsia="Garamond" w:hAnsi="Garamond" w:cs="Garamond"/>
        </w:rPr>
        <w:t xml:space="preserve">, por ello, recomendamos al </w:t>
      </w:r>
      <w:r>
        <w:rPr>
          <w:rFonts w:ascii="Garamond" w:eastAsia="Garamond" w:hAnsi="Garamond" w:cs="Garamond"/>
          <w:b/>
        </w:rPr>
        <w:t>Estado peruano</w:t>
      </w:r>
      <w:r w:rsidR="00E70E36">
        <w:rPr>
          <w:rFonts w:ascii="Garamond" w:eastAsia="Garamond" w:hAnsi="Garamond" w:cs="Garamond"/>
        </w:rPr>
        <w:t xml:space="preserve">: </w:t>
      </w:r>
    </w:p>
    <w:p w14:paraId="57EBC9BA" w14:textId="77777777" w:rsidR="00A658FA" w:rsidRDefault="00A658FA" w:rsidP="005F767C">
      <w:pPr>
        <w:spacing w:after="0" w:line="240" w:lineRule="auto"/>
        <w:jc w:val="both"/>
        <w:rPr>
          <w:rFonts w:ascii="Garamond" w:eastAsia="Garamond" w:hAnsi="Garamond" w:cs="Garamond"/>
        </w:rPr>
      </w:pPr>
    </w:p>
    <w:p w14:paraId="0000008D" w14:textId="2FEF33F7" w:rsidR="0080721E" w:rsidRPr="00A658FA" w:rsidRDefault="00E70E36" w:rsidP="00C45E33">
      <w:pPr>
        <w:numPr>
          <w:ilvl w:val="0"/>
          <w:numId w:val="17"/>
        </w:numPr>
        <w:spacing w:after="0" w:line="240" w:lineRule="auto"/>
        <w:jc w:val="both"/>
        <w:rPr>
          <w:rFonts w:ascii="Garamond" w:eastAsia="Garamond" w:hAnsi="Garamond" w:cs="Garamond"/>
          <w:b/>
          <w:bCs/>
        </w:rPr>
      </w:pPr>
      <w:r w:rsidRPr="00A658FA">
        <w:rPr>
          <w:rFonts w:ascii="Garamond" w:eastAsia="Garamond" w:hAnsi="Garamond" w:cs="Garamond"/>
          <w:b/>
          <w:bCs/>
        </w:rPr>
        <w:t>Implementa</w:t>
      </w:r>
      <w:r w:rsidR="00A658FA" w:rsidRPr="00A658FA">
        <w:rPr>
          <w:rFonts w:ascii="Garamond" w:eastAsia="Garamond" w:hAnsi="Garamond" w:cs="Garamond"/>
          <w:b/>
          <w:bCs/>
        </w:rPr>
        <w:t>r en</w:t>
      </w:r>
      <w:r w:rsidRPr="00A658FA">
        <w:rPr>
          <w:rFonts w:ascii="Garamond" w:eastAsia="Garamond" w:hAnsi="Garamond" w:cs="Garamond"/>
          <w:b/>
          <w:bCs/>
        </w:rPr>
        <w:t xml:space="preserve"> todos los sistemas de salud políticas de farmacovigilancia.</w:t>
      </w:r>
    </w:p>
    <w:p w14:paraId="0000008E" w14:textId="59487132" w:rsidR="0080721E" w:rsidRPr="00A658FA" w:rsidRDefault="00E70E36" w:rsidP="00C45E33">
      <w:pPr>
        <w:numPr>
          <w:ilvl w:val="0"/>
          <w:numId w:val="17"/>
        </w:numPr>
        <w:spacing w:after="0" w:line="240" w:lineRule="auto"/>
        <w:jc w:val="both"/>
        <w:rPr>
          <w:rFonts w:ascii="Garamond" w:eastAsia="Garamond" w:hAnsi="Garamond" w:cs="Garamond"/>
          <w:b/>
          <w:bCs/>
        </w:rPr>
      </w:pPr>
      <w:r w:rsidRPr="00A658FA">
        <w:rPr>
          <w:rFonts w:ascii="Garamond" w:eastAsia="Garamond" w:hAnsi="Garamond" w:cs="Garamond"/>
          <w:b/>
          <w:bCs/>
        </w:rPr>
        <w:t>Implementa</w:t>
      </w:r>
      <w:r w:rsidR="00A658FA" w:rsidRPr="00A658FA">
        <w:rPr>
          <w:rFonts w:ascii="Garamond" w:eastAsia="Garamond" w:hAnsi="Garamond" w:cs="Garamond"/>
          <w:b/>
          <w:bCs/>
        </w:rPr>
        <w:t>r una aplicación</w:t>
      </w:r>
      <w:r w:rsidRPr="00A658FA">
        <w:rPr>
          <w:rFonts w:ascii="Garamond" w:eastAsia="Garamond" w:hAnsi="Garamond" w:cs="Garamond"/>
          <w:b/>
          <w:bCs/>
        </w:rPr>
        <w:t xml:space="preserve"> en línea para que los propios pacientes puedan presentar sus quejas sobre efectos adversos sobre una medicina.</w:t>
      </w:r>
    </w:p>
    <w:p w14:paraId="00000090" w14:textId="77777777" w:rsidR="0080721E" w:rsidRDefault="0080721E">
      <w:pPr>
        <w:spacing w:after="0" w:line="240" w:lineRule="auto"/>
        <w:jc w:val="both"/>
        <w:rPr>
          <w:rFonts w:ascii="Garamond" w:eastAsia="Garamond" w:hAnsi="Garamond" w:cs="Garamond"/>
        </w:rPr>
      </w:pPr>
    </w:p>
    <w:p w14:paraId="205CA587" w14:textId="77777777" w:rsidR="00A7716A" w:rsidRDefault="00A7716A" w:rsidP="00633165">
      <w:pPr>
        <w:spacing w:after="0" w:line="240" w:lineRule="auto"/>
        <w:jc w:val="both"/>
        <w:rPr>
          <w:rFonts w:ascii="Garamond" w:eastAsia="Garamond" w:hAnsi="Garamond" w:cs="Garamond"/>
        </w:rPr>
      </w:pPr>
    </w:p>
    <w:p w14:paraId="3CD73348" w14:textId="24E44570" w:rsidR="00633165" w:rsidRPr="0055032D" w:rsidRDefault="00633165" w:rsidP="0055032D">
      <w:pPr>
        <w:pStyle w:val="Prrafodelista"/>
        <w:numPr>
          <w:ilvl w:val="0"/>
          <w:numId w:val="11"/>
        </w:numPr>
        <w:spacing w:after="0" w:line="240" w:lineRule="auto"/>
        <w:jc w:val="both"/>
        <w:rPr>
          <w:rFonts w:ascii="Garamond" w:eastAsia="Garamond" w:hAnsi="Garamond" w:cs="Garamond"/>
          <w:b/>
          <w:caps/>
        </w:rPr>
      </w:pPr>
      <w:r w:rsidRPr="0055032D">
        <w:rPr>
          <w:rFonts w:ascii="Garamond" w:eastAsia="Garamond" w:hAnsi="Garamond" w:cs="Garamond"/>
          <w:b/>
          <w:caps/>
        </w:rPr>
        <w:t>Derecho a la participación de los pacientes</w:t>
      </w:r>
    </w:p>
    <w:p w14:paraId="62BD3348" w14:textId="77777777" w:rsidR="00A7716A" w:rsidRPr="002D3ACB" w:rsidRDefault="00A7716A" w:rsidP="00A7716A">
      <w:pPr>
        <w:pStyle w:val="Prrafodelista"/>
        <w:pBdr>
          <w:top w:val="nil"/>
          <w:left w:val="nil"/>
          <w:bottom w:val="nil"/>
          <w:right w:val="nil"/>
          <w:between w:val="nil"/>
        </w:pBdr>
        <w:spacing w:after="120" w:line="240" w:lineRule="auto"/>
        <w:ind w:left="360"/>
        <w:jc w:val="both"/>
        <w:rPr>
          <w:rFonts w:ascii="Garamond" w:eastAsia="Garamond" w:hAnsi="Garamond" w:cs="Garamond"/>
          <w:b/>
          <w:color w:val="ED7D31"/>
          <w:highlight w:val="white"/>
        </w:rPr>
      </w:pPr>
      <w:r w:rsidRPr="002D3ACB">
        <w:rPr>
          <w:rFonts w:ascii="Garamond" w:eastAsia="Garamond" w:hAnsi="Garamond" w:cs="Garamond"/>
          <w:b/>
          <w:color w:val="ED7D31"/>
          <w:highlight w:val="white"/>
        </w:rPr>
        <w:t>Aplicado parcialmente</w:t>
      </w:r>
    </w:p>
    <w:p w14:paraId="5FF0F0BD" w14:textId="3B619B5D" w:rsidR="00633165" w:rsidRDefault="00633165" w:rsidP="00633165">
      <w:pPr>
        <w:spacing w:after="0" w:line="240" w:lineRule="auto"/>
        <w:jc w:val="both"/>
        <w:rPr>
          <w:rFonts w:ascii="Garamond" w:eastAsia="Garamond" w:hAnsi="Garamond" w:cs="Garamond"/>
        </w:rPr>
      </w:pPr>
      <w:r>
        <w:rPr>
          <w:rFonts w:ascii="Garamond" w:eastAsia="Garamond" w:hAnsi="Garamond" w:cs="Garamond"/>
        </w:rPr>
        <w:t>El E</w:t>
      </w:r>
      <w:r w:rsidRPr="00633165">
        <w:rPr>
          <w:rFonts w:ascii="Garamond" w:eastAsia="Garamond" w:hAnsi="Garamond" w:cs="Garamond"/>
        </w:rPr>
        <w:t>stado debe garantizar la participación ciudadana de las organizaciones de la sociedad civil, de pacientes</w:t>
      </w:r>
      <w:r>
        <w:rPr>
          <w:rFonts w:ascii="Garamond" w:eastAsia="Garamond" w:hAnsi="Garamond" w:cs="Garamond"/>
        </w:rPr>
        <w:t xml:space="preserve"> organizados y de sus</w:t>
      </w:r>
      <w:r w:rsidRPr="00633165">
        <w:rPr>
          <w:rFonts w:ascii="Garamond" w:eastAsia="Garamond" w:hAnsi="Garamond" w:cs="Garamond"/>
        </w:rPr>
        <w:t xml:space="preserve"> familiares. “Para promover la salud, la comunidad debe participar efectivamente en la fijación de prioridades, la adopción de decisiones, la planificación y la aplicación y evaluación de las estrategias destinadas a mejorar la salud. Sólo podrá asegurarse la prestación efectiva de servicios de salud si los Estados garantizan la participación del pueblo”</w:t>
      </w:r>
      <w:r w:rsidR="007750FC">
        <w:rPr>
          <w:rStyle w:val="Refdenotaalpie"/>
          <w:rFonts w:ascii="Garamond" w:eastAsia="Garamond" w:hAnsi="Garamond" w:cs="Garamond"/>
        </w:rPr>
        <w:footnoteReference w:id="32"/>
      </w:r>
      <w:r w:rsidRPr="00633165">
        <w:rPr>
          <w:rFonts w:ascii="Garamond" w:eastAsia="Garamond" w:hAnsi="Garamond" w:cs="Garamond"/>
        </w:rPr>
        <w:t xml:space="preserve"> .</w:t>
      </w:r>
    </w:p>
    <w:p w14:paraId="2A921E8C" w14:textId="77777777" w:rsidR="0055032D" w:rsidRDefault="0055032D" w:rsidP="00633165">
      <w:pPr>
        <w:spacing w:after="0" w:line="240" w:lineRule="auto"/>
        <w:jc w:val="both"/>
        <w:rPr>
          <w:rFonts w:ascii="Garamond" w:eastAsia="Garamond" w:hAnsi="Garamond" w:cs="Garamond"/>
        </w:rPr>
      </w:pPr>
    </w:p>
    <w:p w14:paraId="4C0E5C6B" w14:textId="3FCB86DC" w:rsidR="00965B1C" w:rsidRDefault="0055032D" w:rsidP="00633165">
      <w:pPr>
        <w:spacing w:after="0" w:line="240" w:lineRule="auto"/>
        <w:jc w:val="both"/>
        <w:rPr>
          <w:rFonts w:ascii="Garamond" w:eastAsia="Garamond" w:hAnsi="Garamond" w:cs="Garamond"/>
        </w:rPr>
      </w:pPr>
      <w:r>
        <w:rPr>
          <w:rFonts w:ascii="Garamond" w:eastAsia="Garamond" w:hAnsi="Garamond" w:cs="Garamond"/>
        </w:rPr>
        <w:t xml:space="preserve">Recordar, que las enfermedades raras, huérfanas, autoinmunes, crónicas y con cáncer </w:t>
      </w:r>
      <w:r w:rsidRPr="0055032D">
        <w:rPr>
          <w:rFonts w:ascii="Garamond" w:eastAsia="Garamond" w:hAnsi="Garamond" w:cs="Garamond"/>
        </w:rPr>
        <w:t xml:space="preserve">no solo afecta la salud individual y el entorno familiar, sino que produce desigualdades que impide a las personas continuar con su </w:t>
      </w:r>
      <w:r w:rsidRPr="000D314E">
        <w:rPr>
          <w:rFonts w:ascii="Garamond" w:eastAsia="Garamond" w:hAnsi="Garamond" w:cs="Garamond"/>
        </w:rPr>
        <w:t>proyecto de vida y ejercer otros derechos fundamentales.</w:t>
      </w:r>
    </w:p>
    <w:p w14:paraId="0C61B2CA" w14:textId="12863198" w:rsidR="007750FC" w:rsidRDefault="007750FC" w:rsidP="00633165">
      <w:pPr>
        <w:spacing w:after="0" w:line="240" w:lineRule="auto"/>
        <w:jc w:val="both"/>
        <w:rPr>
          <w:rFonts w:ascii="Garamond" w:eastAsia="Garamond" w:hAnsi="Garamond" w:cs="Garamond"/>
        </w:rPr>
      </w:pPr>
    </w:p>
    <w:p w14:paraId="41295A47" w14:textId="6B1FF708" w:rsidR="007750FC" w:rsidRPr="0055032D" w:rsidRDefault="00A7716A" w:rsidP="00633165">
      <w:pPr>
        <w:spacing w:after="0" w:line="240" w:lineRule="auto"/>
        <w:jc w:val="both"/>
        <w:rPr>
          <w:rFonts w:ascii="Garamond" w:eastAsia="Garamond" w:hAnsi="Garamond" w:cs="Garamond"/>
          <w:b/>
        </w:rPr>
      </w:pPr>
      <w:r>
        <w:rPr>
          <w:rFonts w:ascii="Garamond" w:eastAsia="Garamond" w:hAnsi="Garamond" w:cs="Garamond"/>
          <w:b/>
        </w:rPr>
        <w:t>Recomendamos</w:t>
      </w:r>
      <w:r w:rsidR="007750FC" w:rsidRPr="0055032D">
        <w:rPr>
          <w:rFonts w:ascii="Garamond" w:eastAsia="Garamond" w:hAnsi="Garamond" w:cs="Garamond"/>
          <w:b/>
        </w:rPr>
        <w:t xml:space="preserve"> al Estado peruano:</w:t>
      </w:r>
    </w:p>
    <w:p w14:paraId="6C913B74" w14:textId="0773F205" w:rsidR="007750FC" w:rsidRDefault="007750FC" w:rsidP="007750FC">
      <w:pPr>
        <w:pStyle w:val="Prrafodelista"/>
        <w:numPr>
          <w:ilvl w:val="0"/>
          <w:numId w:val="9"/>
        </w:numPr>
        <w:spacing w:after="0" w:line="240" w:lineRule="auto"/>
        <w:jc w:val="both"/>
        <w:rPr>
          <w:rFonts w:ascii="Garamond" w:eastAsia="Garamond" w:hAnsi="Garamond" w:cs="Garamond"/>
        </w:rPr>
      </w:pPr>
      <w:r>
        <w:rPr>
          <w:rFonts w:ascii="Garamond" w:eastAsia="Garamond" w:hAnsi="Garamond" w:cs="Garamond"/>
        </w:rPr>
        <w:t>El Estado debe garantizar el derecho a la participación de las organizaciones de pacientes con Enfermedades Raras, Huérfanas, Autoinmunes, Crónicas y Cáncer en todos los asuntos que les afecte.</w:t>
      </w:r>
    </w:p>
    <w:p w14:paraId="06184BD6" w14:textId="0045CAFD" w:rsidR="007750FC" w:rsidRDefault="007750FC" w:rsidP="007750FC">
      <w:pPr>
        <w:pStyle w:val="Prrafodelista"/>
        <w:numPr>
          <w:ilvl w:val="0"/>
          <w:numId w:val="9"/>
        </w:numPr>
        <w:spacing w:after="0" w:line="240" w:lineRule="auto"/>
        <w:jc w:val="both"/>
        <w:rPr>
          <w:rFonts w:ascii="Garamond" w:eastAsia="Garamond" w:hAnsi="Garamond" w:cs="Garamond"/>
        </w:rPr>
      </w:pPr>
      <w:r>
        <w:rPr>
          <w:rFonts w:ascii="Garamond" w:eastAsia="Garamond" w:hAnsi="Garamond" w:cs="Garamond"/>
        </w:rPr>
        <w:t xml:space="preserve">El Estado debe garantizar espacios para hacer realidad el derecho a la participación </w:t>
      </w:r>
      <w:r w:rsidR="004F1D4E">
        <w:rPr>
          <w:rFonts w:ascii="Garamond" w:eastAsia="Garamond" w:hAnsi="Garamond" w:cs="Garamond"/>
        </w:rPr>
        <w:t>de los pacientes y sus familias, estás deben realizarse periódicamente.</w:t>
      </w:r>
    </w:p>
    <w:p w14:paraId="1088F114" w14:textId="77777777" w:rsidR="00965B1C" w:rsidRPr="007750FC" w:rsidRDefault="00965B1C" w:rsidP="00965B1C">
      <w:pPr>
        <w:pStyle w:val="Prrafodelista"/>
        <w:spacing w:after="0" w:line="240" w:lineRule="auto"/>
        <w:jc w:val="both"/>
        <w:rPr>
          <w:rFonts w:ascii="Garamond" w:eastAsia="Garamond" w:hAnsi="Garamond" w:cs="Garamond"/>
        </w:rPr>
      </w:pPr>
    </w:p>
    <w:p w14:paraId="3CEDD387" w14:textId="77777777" w:rsidR="00633165" w:rsidRDefault="00633165">
      <w:pPr>
        <w:spacing w:after="0" w:line="240" w:lineRule="auto"/>
        <w:jc w:val="both"/>
        <w:rPr>
          <w:rFonts w:ascii="Garamond" w:eastAsia="Garamond" w:hAnsi="Garamond" w:cs="Garamond"/>
        </w:rPr>
      </w:pPr>
    </w:p>
    <w:p w14:paraId="218F6710" w14:textId="1F1EFE90" w:rsidR="0071605C" w:rsidRDefault="00A43AB9" w:rsidP="006A2AA4">
      <w:pPr>
        <w:spacing w:after="0" w:line="240" w:lineRule="auto"/>
        <w:jc w:val="center"/>
        <w:rPr>
          <w:rFonts w:ascii="Garamond" w:eastAsia="Garamond" w:hAnsi="Garamond" w:cs="Garamond"/>
          <w:b/>
          <w:bCs/>
        </w:rPr>
      </w:pPr>
      <w:r w:rsidRPr="006A2AA4">
        <w:rPr>
          <w:rFonts w:ascii="Garamond" w:eastAsia="Garamond" w:hAnsi="Garamond" w:cs="Garamond"/>
          <w:b/>
          <w:bCs/>
        </w:rPr>
        <w:t>El Colectivo Los Pacientes Importan está integrado por:</w:t>
      </w:r>
    </w:p>
    <w:p w14:paraId="03189DFA" w14:textId="77777777" w:rsidR="006A2AA4" w:rsidRPr="006A2AA4" w:rsidRDefault="006A2AA4" w:rsidP="006A2AA4">
      <w:pPr>
        <w:spacing w:after="0" w:line="240" w:lineRule="auto"/>
        <w:jc w:val="center"/>
        <w:rPr>
          <w:rFonts w:ascii="Garamond" w:eastAsia="Garamond" w:hAnsi="Garamond" w:cs="Garamond"/>
          <w:b/>
          <w:bCs/>
        </w:rPr>
      </w:pPr>
    </w:p>
    <w:p w14:paraId="42E0AF08" w14:textId="40A7A67D" w:rsidR="0071605C" w:rsidRDefault="0071605C">
      <w:pPr>
        <w:spacing w:after="0" w:line="240" w:lineRule="auto"/>
        <w:jc w:val="both"/>
        <w:rPr>
          <w:rFonts w:ascii="Garamond" w:eastAsia="Garamond" w:hAnsi="Garamond" w:cs="Garamond"/>
        </w:rPr>
      </w:pPr>
    </w:p>
    <w:tbl>
      <w:tblPr>
        <w:tblStyle w:val="Tablaconcuadrcula"/>
        <w:tblW w:w="10406" w:type="dxa"/>
        <w:tblInd w:w="-4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88"/>
        <w:gridCol w:w="943"/>
        <w:gridCol w:w="1132"/>
        <w:gridCol w:w="1699"/>
        <w:gridCol w:w="870"/>
        <w:gridCol w:w="2007"/>
        <w:gridCol w:w="1514"/>
        <w:gridCol w:w="353"/>
      </w:tblGrid>
      <w:tr w:rsidR="0071605C" w14:paraId="42A2BB65" w14:textId="77777777" w:rsidTr="003E0EA4">
        <w:trPr>
          <w:trHeight w:val="1403"/>
        </w:trPr>
        <w:tc>
          <w:tcPr>
            <w:tcW w:w="1888" w:type="dxa"/>
          </w:tcPr>
          <w:p w14:paraId="09A33701" w14:textId="77777777" w:rsidR="0071605C" w:rsidRDefault="0071605C" w:rsidP="003E0EA4">
            <w:pPr>
              <w:jc w:val="center"/>
              <w:rPr>
                <w:rFonts w:ascii="Courier New" w:eastAsia="Courier New" w:hAnsi="Courier New" w:cs="Courier New"/>
                <w:sz w:val="18"/>
                <w:szCs w:val="18"/>
              </w:rPr>
            </w:pPr>
            <w:r>
              <w:rPr>
                <w:rFonts w:ascii="Courier New" w:eastAsia="Courier New" w:hAnsi="Courier New" w:cs="Courier New"/>
                <w:noProof/>
                <w:sz w:val="18"/>
                <w:szCs w:val="18"/>
              </w:rPr>
              <w:drawing>
                <wp:inline distT="0" distB="0" distL="0" distR="0" wp14:anchorId="2F20ECE6" wp14:editId="1D2CF62B">
                  <wp:extent cx="638907" cy="756920"/>
                  <wp:effectExtent l="0" t="0" r="8890" b="5080"/>
                  <wp:docPr id="18"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10"/>
                          <a:srcRect/>
                          <a:stretch>
                            <a:fillRect/>
                          </a:stretch>
                        </pic:blipFill>
                        <pic:spPr>
                          <a:xfrm>
                            <a:off x="0" y="0"/>
                            <a:ext cx="639914" cy="758113"/>
                          </a:xfrm>
                          <a:prstGeom prst="rect">
                            <a:avLst/>
                          </a:prstGeom>
                          <a:ln/>
                        </pic:spPr>
                      </pic:pic>
                    </a:graphicData>
                  </a:graphic>
                </wp:inline>
              </w:drawing>
            </w:r>
          </w:p>
        </w:tc>
        <w:tc>
          <w:tcPr>
            <w:tcW w:w="2075" w:type="dxa"/>
            <w:gridSpan w:val="2"/>
          </w:tcPr>
          <w:p w14:paraId="5581C4A7" w14:textId="77777777" w:rsidR="0071605C" w:rsidRDefault="0071605C" w:rsidP="003E0EA4">
            <w:pPr>
              <w:rPr>
                <w:rFonts w:ascii="Courier New" w:eastAsia="Courier New" w:hAnsi="Courier New" w:cs="Courier New"/>
                <w:sz w:val="18"/>
                <w:szCs w:val="18"/>
              </w:rPr>
            </w:pPr>
            <w:r>
              <w:rPr>
                <w:rFonts w:ascii="Courier New" w:eastAsia="Courier New" w:hAnsi="Courier New" w:cs="Courier New"/>
                <w:noProof/>
                <w:sz w:val="18"/>
                <w:szCs w:val="18"/>
              </w:rPr>
              <w:drawing>
                <wp:inline distT="0" distB="0" distL="0" distR="0" wp14:anchorId="60EC9574" wp14:editId="6F2E6811">
                  <wp:extent cx="1096010" cy="698500"/>
                  <wp:effectExtent l="0" t="0" r="8890" b="6350"/>
                  <wp:docPr id="21"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11"/>
                          <a:srcRect/>
                          <a:stretch>
                            <a:fillRect/>
                          </a:stretch>
                        </pic:blipFill>
                        <pic:spPr>
                          <a:xfrm>
                            <a:off x="0" y="0"/>
                            <a:ext cx="1096507" cy="698817"/>
                          </a:xfrm>
                          <a:prstGeom prst="rect">
                            <a:avLst/>
                          </a:prstGeom>
                          <a:ln/>
                        </pic:spPr>
                      </pic:pic>
                    </a:graphicData>
                  </a:graphic>
                </wp:inline>
              </w:drawing>
            </w:r>
          </w:p>
        </w:tc>
        <w:tc>
          <w:tcPr>
            <w:tcW w:w="2569" w:type="dxa"/>
            <w:gridSpan w:val="2"/>
          </w:tcPr>
          <w:p w14:paraId="6E6229B6" w14:textId="77777777" w:rsidR="0071605C" w:rsidRDefault="0071605C" w:rsidP="003E0EA4">
            <w:pPr>
              <w:jc w:val="center"/>
              <w:rPr>
                <w:rFonts w:ascii="Courier New" w:eastAsia="Courier New" w:hAnsi="Courier New" w:cs="Courier New"/>
                <w:sz w:val="18"/>
                <w:szCs w:val="18"/>
              </w:rPr>
            </w:pPr>
            <w:r>
              <w:rPr>
                <w:rFonts w:ascii="Courier New" w:eastAsia="Courier New" w:hAnsi="Courier New" w:cs="Courier New"/>
                <w:noProof/>
                <w:sz w:val="18"/>
                <w:szCs w:val="18"/>
                <w:vertAlign w:val="superscript"/>
              </w:rPr>
              <w:drawing>
                <wp:inline distT="0" distB="0" distL="0" distR="0" wp14:anchorId="625B47B7" wp14:editId="62DB14EA">
                  <wp:extent cx="832339" cy="698500"/>
                  <wp:effectExtent l="0" t="0" r="6350" b="6350"/>
                  <wp:docPr id="20"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12"/>
                          <a:srcRect/>
                          <a:stretch>
                            <a:fillRect/>
                          </a:stretch>
                        </pic:blipFill>
                        <pic:spPr>
                          <a:xfrm>
                            <a:off x="0" y="0"/>
                            <a:ext cx="835903" cy="701491"/>
                          </a:xfrm>
                          <a:prstGeom prst="rect">
                            <a:avLst/>
                          </a:prstGeom>
                          <a:ln/>
                        </pic:spPr>
                      </pic:pic>
                    </a:graphicData>
                  </a:graphic>
                </wp:inline>
              </w:drawing>
            </w:r>
          </w:p>
        </w:tc>
        <w:tc>
          <w:tcPr>
            <w:tcW w:w="2007" w:type="dxa"/>
          </w:tcPr>
          <w:p w14:paraId="46E70C4D" w14:textId="77777777" w:rsidR="0071605C" w:rsidRDefault="0071605C" w:rsidP="003E0EA4">
            <w:pPr>
              <w:rPr>
                <w:rFonts w:ascii="Courier New" w:eastAsia="Courier New" w:hAnsi="Courier New" w:cs="Courier New"/>
                <w:sz w:val="18"/>
                <w:szCs w:val="18"/>
              </w:rPr>
            </w:pPr>
            <w:r>
              <w:rPr>
                <w:noProof/>
              </w:rPr>
              <w:drawing>
                <wp:anchor distT="0" distB="0" distL="0" distR="0" simplePos="0" relativeHeight="251659264" behindDoc="0" locked="0" layoutInCell="1" hidden="0" allowOverlap="1" wp14:anchorId="09BE4242" wp14:editId="63008B02">
                  <wp:simplePos x="0" y="0"/>
                  <wp:positionH relativeFrom="column">
                    <wp:posOffset>31115</wp:posOffset>
                  </wp:positionH>
                  <wp:positionV relativeFrom="paragraph">
                    <wp:posOffset>0</wp:posOffset>
                  </wp:positionV>
                  <wp:extent cx="814705" cy="655955"/>
                  <wp:effectExtent l="0" t="0" r="4445" b="0"/>
                  <wp:wrapTopAndBottom distT="0" distB="0"/>
                  <wp:docPr id="24"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13"/>
                          <a:srcRect/>
                          <a:stretch>
                            <a:fillRect/>
                          </a:stretch>
                        </pic:blipFill>
                        <pic:spPr>
                          <a:xfrm>
                            <a:off x="0" y="0"/>
                            <a:ext cx="814705" cy="655955"/>
                          </a:xfrm>
                          <a:prstGeom prst="rect">
                            <a:avLst/>
                          </a:prstGeom>
                          <a:ln/>
                        </pic:spPr>
                      </pic:pic>
                    </a:graphicData>
                  </a:graphic>
                  <wp14:sizeRelH relativeFrom="margin">
                    <wp14:pctWidth>0</wp14:pctWidth>
                  </wp14:sizeRelH>
                  <wp14:sizeRelV relativeFrom="margin">
                    <wp14:pctHeight>0</wp14:pctHeight>
                  </wp14:sizeRelV>
                </wp:anchor>
              </w:drawing>
            </w:r>
          </w:p>
        </w:tc>
        <w:tc>
          <w:tcPr>
            <w:tcW w:w="1867" w:type="dxa"/>
            <w:gridSpan w:val="2"/>
          </w:tcPr>
          <w:p w14:paraId="28CFB014" w14:textId="77777777" w:rsidR="0071605C" w:rsidRDefault="0071605C" w:rsidP="003E0EA4">
            <w:pPr>
              <w:rPr>
                <w:rFonts w:ascii="Courier New" w:eastAsia="Courier New" w:hAnsi="Courier New" w:cs="Courier New"/>
                <w:sz w:val="18"/>
                <w:szCs w:val="18"/>
              </w:rPr>
            </w:pPr>
            <w:r>
              <w:rPr>
                <w:noProof/>
              </w:rPr>
              <w:drawing>
                <wp:anchor distT="0" distB="0" distL="0" distR="0" simplePos="0" relativeHeight="251660288" behindDoc="0" locked="0" layoutInCell="1" hidden="0" allowOverlap="1" wp14:anchorId="26E1ABF0" wp14:editId="3A8DD25B">
                  <wp:simplePos x="0" y="0"/>
                  <wp:positionH relativeFrom="column">
                    <wp:posOffset>-65405</wp:posOffset>
                  </wp:positionH>
                  <wp:positionV relativeFrom="paragraph">
                    <wp:posOffset>0</wp:posOffset>
                  </wp:positionV>
                  <wp:extent cx="942340" cy="655955"/>
                  <wp:effectExtent l="0" t="0" r="0" b="0"/>
                  <wp:wrapTopAndBottom distT="0" distB="0"/>
                  <wp:docPr id="22"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14"/>
                          <a:srcRect/>
                          <a:stretch>
                            <a:fillRect/>
                          </a:stretch>
                        </pic:blipFill>
                        <pic:spPr>
                          <a:xfrm>
                            <a:off x="0" y="0"/>
                            <a:ext cx="942340" cy="655955"/>
                          </a:xfrm>
                          <a:prstGeom prst="rect">
                            <a:avLst/>
                          </a:prstGeom>
                          <a:ln/>
                        </pic:spPr>
                      </pic:pic>
                    </a:graphicData>
                  </a:graphic>
                  <wp14:sizeRelH relativeFrom="margin">
                    <wp14:pctWidth>0</wp14:pctWidth>
                  </wp14:sizeRelH>
                  <wp14:sizeRelV relativeFrom="margin">
                    <wp14:pctHeight>0</wp14:pctHeight>
                  </wp14:sizeRelV>
                </wp:anchor>
              </w:drawing>
            </w:r>
          </w:p>
        </w:tc>
      </w:tr>
      <w:tr w:rsidR="0071605C" w14:paraId="7AEE9FC3" w14:textId="77777777" w:rsidTr="003E0EA4">
        <w:tc>
          <w:tcPr>
            <w:tcW w:w="1888" w:type="dxa"/>
          </w:tcPr>
          <w:p w14:paraId="77FBDA25" w14:textId="77777777" w:rsidR="0071605C" w:rsidRDefault="0071605C" w:rsidP="003E0EA4">
            <w:pPr>
              <w:rPr>
                <w:rFonts w:ascii="Courier New" w:eastAsia="Courier New" w:hAnsi="Courier New" w:cs="Courier New"/>
                <w:sz w:val="18"/>
                <w:szCs w:val="18"/>
              </w:rPr>
            </w:pPr>
            <w:r>
              <w:rPr>
                <w:rFonts w:ascii="Courier New" w:eastAsia="Courier New" w:hAnsi="Courier New" w:cs="Courier New"/>
                <w:noProof/>
                <w:sz w:val="18"/>
                <w:szCs w:val="18"/>
              </w:rPr>
              <w:drawing>
                <wp:inline distT="0" distB="0" distL="0" distR="0" wp14:anchorId="6DCBC16D" wp14:editId="3CC860AB">
                  <wp:extent cx="978193" cy="624254"/>
                  <wp:effectExtent l="0" t="0" r="0" b="0"/>
                  <wp:docPr id="23"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15"/>
                          <a:srcRect/>
                          <a:stretch>
                            <a:fillRect/>
                          </a:stretch>
                        </pic:blipFill>
                        <pic:spPr>
                          <a:xfrm>
                            <a:off x="0" y="0"/>
                            <a:ext cx="980144" cy="625499"/>
                          </a:xfrm>
                          <a:prstGeom prst="rect">
                            <a:avLst/>
                          </a:prstGeom>
                          <a:ln/>
                        </pic:spPr>
                      </pic:pic>
                    </a:graphicData>
                  </a:graphic>
                </wp:inline>
              </w:drawing>
            </w:r>
          </w:p>
        </w:tc>
        <w:tc>
          <w:tcPr>
            <w:tcW w:w="2075" w:type="dxa"/>
            <w:gridSpan w:val="2"/>
          </w:tcPr>
          <w:p w14:paraId="13ECB016" w14:textId="77777777" w:rsidR="0071605C" w:rsidRDefault="0071605C" w:rsidP="003E0EA4">
            <w:pPr>
              <w:rPr>
                <w:rFonts w:ascii="Courier New" w:eastAsia="Courier New" w:hAnsi="Courier New" w:cs="Courier New"/>
                <w:sz w:val="18"/>
                <w:szCs w:val="18"/>
              </w:rPr>
            </w:pPr>
            <w:r>
              <w:rPr>
                <w:noProof/>
              </w:rPr>
              <w:drawing>
                <wp:anchor distT="0" distB="0" distL="0" distR="0" simplePos="0" relativeHeight="251661312" behindDoc="0" locked="0" layoutInCell="1" hidden="0" allowOverlap="1" wp14:anchorId="6E315384" wp14:editId="755DCF28">
                  <wp:simplePos x="0" y="0"/>
                  <wp:positionH relativeFrom="column">
                    <wp:posOffset>17145</wp:posOffset>
                  </wp:positionH>
                  <wp:positionV relativeFrom="paragraph">
                    <wp:posOffset>48895</wp:posOffset>
                  </wp:positionV>
                  <wp:extent cx="951865" cy="571500"/>
                  <wp:effectExtent l="0" t="0" r="0" b="0"/>
                  <wp:wrapTopAndBottom distT="0" distB="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6"/>
                          <a:srcRect/>
                          <a:stretch>
                            <a:fillRect/>
                          </a:stretch>
                        </pic:blipFill>
                        <pic:spPr>
                          <a:xfrm>
                            <a:off x="0" y="0"/>
                            <a:ext cx="951865" cy="571500"/>
                          </a:xfrm>
                          <a:prstGeom prst="rect">
                            <a:avLst/>
                          </a:prstGeom>
                          <a:ln/>
                        </pic:spPr>
                      </pic:pic>
                    </a:graphicData>
                  </a:graphic>
                </wp:anchor>
              </w:drawing>
            </w:r>
          </w:p>
        </w:tc>
        <w:tc>
          <w:tcPr>
            <w:tcW w:w="2569" w:type="dxa"/>
            <w:gridSpan w:val="2"/>
          </w:tcPr>
          <w:p w14:paraId="7A2BEC2B" w14:textId="77777777" w:rsidR="0071605C" w:rsidRDefault="0071605C" w:rsidP="003E0EA4">
            <w:pPr>
              <w:jc w:val="center"/>
              <w:rPr>
                <w:rFonts w:ascii="Courier New" w:eastAsia="Courier New" w:hAnsi="Courier New" w:cs="Courier New"/>
                <w:sz w:val="18"/>
                <w:szCs w:val="18"/>
              </w:rPr>
            </w:pPr>
            <w:r>
              <w:rPr>
                <w:rFonts w:ascii="Courier New" w:eastAsia="Courier New" w:hAnsi="Courier New" w:cs="Courier New"/>
                <w:noProof/>
                <w:sz w:val="18"/>
                <w:szCs w:val="18"/>
              </w:rPr>
              <w:drawing>
                <wp:inline distT="0" distB="0" distL="0" distR="0" wp14:anchorId="2AE13A6D" wp14:editId="1D8B3C0B">
                  <wp:extent cx="602442" cy="586824"/>
                  <wp:effectExtent l="0" t="0" r="7620" b="381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Logo Hemofilia Región Norte.jpe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607699" cy="591945"/>
                          </a:xfrm>
                          <a:prstGeom prst="rect">
                            <a:avLst/>
                          </a:prstGeom>
                        </pic:spPr>
                      </pic:pic>
                    </a:graphicData>
                  </a:graphic>
                </wp:inline>
              </w:drawing>
            </w:r>
          </w:p>
        </w:tc>
        <w:tc>
          <w:tcPr>
            <w:tcW w:w="2007" w:type="dxa"/>
          </w:tcPr>
          <w:p w14:paraId="021025F6" w14:textId="77777777" w:rsidR="0071605C" w:rsidRDefault="0071605C" w:rsidP="003E0EA4">
            <w:pPr>
              <w:rPr>
                <w:rFonts w:ascii="Courier New" w:eastAsia="Courier New" w:hAnsi="Courier New" w:cs="Courier New"/>
                <w:sz w:val="18"/>
                <w:szCs w:val="18"/>
              </w:rPr>
            </w:pPr>
            <w:r>
              <w:rPr>
                <w:noProof/>
              </w:rPr>
              <w:drawing>
                <wp:anchor distT="0" distB="0" distL="0" distR="0" simplePos="0" relativeHeight="251662336" behindDoc="0" locked="0" layoutInCell="1" hidden="0" allowOverlap="1" wp14:anchorId="018B40AD" wp14:editId="563CD5AF">
                  <wp:simplePos x="0" y="0"/>
                  <wp:positionH relativeFrom="column">
                    <wp:posOffset>-4445</wp:posOffset>
                  </wp:positionH>
                  <wp:positionV relativeFrom="paragraph">
                    <wp:posOffset>1905</wp:posOffset>
                  </wp:positionV>
                  <wp:extent cx="883285" cy="586740"/>
                  <wp:effectExtent l="0" t="0" r="0" b="3810"/>
                  <wp:wrapTopAndBottom distT="0" dist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8"/>
                          <a:srcRect/>
                          <a:stretch>
                            <a:fillRect/>
                          </a:stretch>
                        </pic:blipFill>
                        <pic:spPr>
                          <a:xfrm>
                            <a:off x="0" y="0"/>
                            <a:ext cx="883285" cy="586740"/>
                          </a:xfrm>
                          <a:prstGeom prst="rect">
                            <a:avLst/>
                          </a:prstGeom>
                          <a:ln/>
                        </pic:spPr>
                      </pic:pic>
                    </a:graphicData>
                  </a:graphic>
                  <wp14:sizeRelH relativeFrom="margin">
                    <wp14:pctWidth>0</wp14:pctWidth>
                  </wp14:sizeRelH>
                  <wp14:sizeRelV relativeFrom="margin">
                    <wp14:pctHeight>0</wp14:pctHeight>
                  </wp14:sizeRelV>
                </wp:anchor>
              </w:drawing>
            </w:r>
          </w:p>
        </w:tc>
        <w:tc>
          <w:tcPr>
            <w:tcW w:w="1867" w:type="dxa"/>
            <w:gridSpan w:val="2"/>
          </w:tcPr>
          <w:p w14:paraId="408CF70E" w14:textId="77777777" w:rsidR="0071605C" w:rsidRDefault="0071605C" w:rsidP="003E0EA4">
            <w:pPr>
              <w:rPr>
                <w:rFonts w:ascii="Courier New" w:eastAsia="Courier New" w:hAnsi="Courier New" w:cs="Courier New"/>
                <w:sz w:val="18"/>
                <w:szCs w:val="18"/>
              </w:rPr>
            </w:pPr>
            <w:r>
              <w:rPr>
                <w:noProof/>
              </w:rPr>
              <w:drawing>
                <wp:anchor distT="0" distB="0" distL="0" distR="0" simplePos="0" relativeHeight="251663360" behindDoc="0" locked="0" layoutInCell="1" hidden="0" allowOverlap="1" wp14:anchorId="76DE7430" wp14:editId="4F1C4408">
                  <wp:simplePos x="0" y="0"/>
                  <wp:positionH relativeFrom="column">
                    <wp:posOffset>5080</wp:posOffset>
                  </wp:positionH>
                  <wp:positionV relativeFrom="paragraph">
                    <wp:posOffset>15240</wp:posOffset>
                  </wp:positionV>
                  <wp:extent cx="871855" cy="568960"/>
                  <wp:effectExtent l="0" t="0" r="4445" b="2540"/>
                  <wp:wrapTopAndBottom distT="0" dist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9"/>
                          <a:srcRect/>
                          <a:stretch>
                            <a:fillRect/>
                          </a:stretch>
                        </pic:blipFill>
                        <pic:spPr>
                          <a:xfrm>
                            <a:off x="0" y="0"/>
                            <a:ext cx="871855" cy="568960"/>
                          </a:xfrm>
                          <a:prstGeom prst="rect">
                            <a:avLst/>
                          </a:prstGeom>
                          <a:ln/>
                        </pic:spPr>
                      </pic:pic>
                    </a:graphicData>
                  </a:graphic>
                  <wp14:sizeRelH relativeFrom="margin">
                    <wp14:pctWidth>0</wp14:pctWidth>
                  </wp14:sizeRelH>
                  <wp14:sizeRelV relativeFrom="margin">
                    <wp14:pctHeight>0</wp14:pctHeight>
                  </wp14:sizeRelV>
                </wp:anchor>
              </w:drawing>
            </w:r>
          </w:p>
        </w:tc>
      </w:tr>
      <w:tr w:rsidR="0071605C" w14:paraId="46E6D359" w14:textId="77777777" w:rsidTr="003E0EA4">
        <w:tc>
          <w:tcPr>
            <w:tcW w:w="1888" w:type="dxa"/>
          </w:tcPr>
          <w:p w14:paraId="2F73FE37" w14:textId="77777777" w:rsidR="0071605C" w:rsidRDefault="0071605C" w:rsidP="003E0EA4">
            <w:pPr>
              <w:jc w:val="center"/>
              <w:rPr>
                <w:rFonts w:ascii="Courier New" w:eastAsia="Courier New" w:hAnsi="Courier New" w:cs="Courier New"/>
                <w:sz w:val="18"/>
                <w:szCs w:val="18"/>
              </w:rPr>
            </w:pPr>
            <w:r>
              <w:rPr>
                <w:rFonts w:ascii="Courier New" w:eastAsia="Courier New" w:hAnsi="Courier New" w:cs="Courier New"/>
                <w:noProof/>
                <w:sz w:val="18"/>
                <w:szCs w:val="18"/>
              </w:rPr>
              <w:drawing>
                <wp:inline distT="0" distB="0" distL="0" distR="0" wp14:anchorId="0A6AC4A5" wp14:editId="3D06AA56">
                  <wp:extent cx="725121" cy="732790"/>
                  <wp:effectExtent l="0" t="0" r="0" b="0"/>
                  <wp:docPr id="25" name="image25.png" descr="C:\Users\Sofia\OneDrive\IPRODES\D Salud\Organización\Asociación Cornelia de Lange.jpeg"/>
                  <wp:cNvGraphicFramePr/>
                  <a:graphic xmlns:a="http://schemas.openxmlformats.org/drawingml/2006/main">
                    <a:graphicData uri="http://schemas.openxmlformats.org/drawingml/2006/picture">
                      <pic:pic xmlns:pic="http://schemas.openxmlformats.org/drawingml/2006/picture">
                        <pic:nvPicPr>
                          <pic:cNvPr id="0" name="image25.png" descr="C:\Users\Sofia\OneDrive\IPRODES\D Salud\Organización\Asociación Cornelia de Lange.jpeg"/>
                          <pic:cNvPicPr preferRelativeResize="0"/>
                        </pic:nvPicPr>
                        <pic:blipFill>
                          <a:blip r:embed="rId20"/>
                          <a:srcRect/>
                          <a:stretch>
                            <a:fillRect/>
                          </a:stretch>
                        </pic:blipFill>
                        <pic:spPr>
                          <a:xfrm>
                            <a:off x="0" y="0"/>
                            <a:ext cx="729649" cy="737366"/>
                          </a:xfrm>
                          <a:prstGeom prst="rect">
                            <a:avLst/>
                          </a:prstGeom>
                          <a:ln/>
                        </pic:spPr>
                      </pic:pic>
                    </a:graphicData>
                  </a:graphic>
                </wp:inline>
              </w:drawing>
            </w:r>
          </w:p>
        </w:tc>
        <w:tc>
          <w:tcPr>
            <w:tcW w:w="2075" w:type="dxa"/>
            <w:gridSpan w:val="2"/>
          </w:tcPr>
          <w:p w14:paraId="0FEC5FEC" w14:textId="77777777" w:rsidR="0071605C" w:rsidRDefault="0071605C" w:rsidP="003E0EA4">
            <w:pPr>
              <w:jc w:val="center"/>
              <w:rPr>
                <w:rFonts w:ascii="Courier New" w:eastAsia="Courier New" w:hAnsi="Courier New" w:cs="Courier New"/>
                <w:sz w:val="18"/>
                <w:szCs w:val="18"/>
              </w:rPr>
            </w:pPr>
            <w:r>
              <w:rPr>
                <w:rFonts w:ascii="Courier New" w:eastAsia="Courier New" w:hAnsi="Courier New" w:cs="Courier New"/>
                <w:noProof/>
                <w:sz w:val="18"/>
                <w:szCs w:val="18"/>
              </w:rPr>
              <w:drawing>
                <wp:inline distT="0" distB="0" distL="0" distR="0" wp14:anchorId="43C16827" wp14:editId="6DC581DF">
                  <wp:extent cx="847785" cy="830279"/>
                  <wp:effectExtent l="0" t="0" r="0" b="0"/>
                  <wp:docPr id="26" name="image26.png" descr="C:\Users\Sofia\OneDrive\IPRODES\D Salud\Organización\LOGO Síndrome de Williams.jpeg"/>
                  <wp:cNvGraphicFramePr/>
                  <a:graphic xmlns:a="http://schemas.openxmlformats.org/drawingml/2006/main">
                    <a:graphicData uri="http://schemas.openxmlformats.org/drawingml/2006/picture">
                      <pic:pic xmlns:pic="http://schemas.openxmlformats.org/drawingml/2006/picture">
                        <pic:nvPicPr>
                          <pic:cNvPr id="0" name="image26.png" descr="C:\Users\Sofia\OneDrive\IPRODES\D Salud\Organización\LOGO Síndrome de Williams.jpeg"/>
                          <pic:cNvPicPr preferRelativeResize="0"/>
                        </pic:nvPicPr>
                        <pic:blipFill>
                          <a:blip r:embed="rId21"/>
                          <a:srcRect/>
                          <a:stretch>
                            <a:fillRect/>
                          </a:stretch>
                        </pic:blipFill>
                        <pic:spPr>
                          <a:xfrm>
                            <a:off x="0" y="0"/>
                            <a:ext cx="847785" cy="830279"/>
                          </a:xfrm>
                          <a:prstGeom prst="rect">
                            <a:avLst/>
                          </a:prstGeom>
                          <a:ln/>
                        </pic:spPr>
                      </pic:pic>
                    </a:graphicData>
                  </a:graphic>
                </wp:inline>
              </w:drawing>
            </w:r>
          </w:p>
        </w:tc>
        <w:tc>
          <w:tcPr>
            <w:tcW w:w="2569" w:type="dxa"/>
            <w:gridSpan w:val="2"/>
          </w:tcPr>
          <w:p w14:paraId="7A288F56" w14:textId="77777777" w:rsidR="0071605C" w:rsidRDefault="0071605C" w:rsidP="003E0EA4">
            <w:pPr>
              <w:jc w:val="center"/>
              <w:rPr>
                <w:rFonts w:ascii="Courier New" w:eastAsia="Courier New" w:hAnsi="Courier New" w:cs="Courier New"/>
                <w:sz w:val="18"/>
                <w:szCs w:val="18"/>
              </w:rPr>
            </w:pPr>
            <w:r>
              <w:rPr>
                <w:rFonts w:ascii="Courier New" w:eastAsia="Courier New" w:hAnsi="Courier New" w:cs="Courier New"/>
                <w:noProof/>
                <w:sz w:val="18"/>
                <w:szCs w:val="18"/>
              </w:rPr>
              <w:drawing>
                <wp:inline distT="0" distB="0" distL="0" distR="0" wp14:anchorId="4D1442D2" wp14:editId="1D54410B">
                  <wp:extent cx="870965" cy="733325"/>
                  <wp:effectExtent l="0" t="0" r="0" b="0"/>
                  <wp:docPr id="27" name="image27.png" descr="C:\Users\Sofia\OneDrive\IPRODES\D Salud\Organización\ORG 2022\LOGO Fiqui Perú.jpeg"/>
                  <wp:cNvGraphicFramePr/>
                  <a:graphic xmlns:a="http://schemas.openxmlformats.org/drawingml/2006/main">
                    <a:graphicData uri="http://schemas.openxmlformats.org/drawingml/2006/picture">
                      <pic:pic xmlns:pic="http://schemas.openxmlformats.org/drawingml/2006/picture">
                        <pic:nvPicPr>
                          <pic:cNvPr id="0" name="image27.png" descr="C:\Users\Sofia\OneDrive\IPRODES\D Salud\Organización\ORG 2022\LOGO Fiqui Perú.jpeg"/>
                          <pic:cNvPicPr preferRelativeResize="0"/>
                        </pic:nvPicPr>
                        <pic:blipFill>
                          <a:blip r:embed="rId22"/>
                          <a:srcRect/>
                          <a:stretch>
                            <a:fillRect/>
                          </a:stretch>
                        </pic:blipFill>
                        <pic:spPr>
                          <a:xfrm>
                            <a:off x="0" y="0"/>
                            <a:ext cx="870965" cy="733325"/>
                          </a:xfrm>
                          <a:prstGeom prst="rect">
                            <a:avLst/>
                          </a:prstGeom>
                          <a:ln/>
                        </pic:spPr>
                      </pic:pic>
                    </a:graphicData>
                  </a:graphic>
                </wp:inline>
              </w:drawing>
            </w:r>
          </w:p>
        </w:tc>
        <w:tc>
          <w:tcPr>
            <w:tcW w:w="2007" w:type="dxa"/>
          </w:tcPr>
          <w:p w14:paraId="010FD5B3" w14:textId="77777777" w:rsidR="0071605C" w:rsidRDefault="0071605C" w:rsidP="003E0EA4">
            <w:pPr>
              <w:jc w:val="center"/>
              <w:rPr>
                <w:rFonts w:ascii="Courier New" w:eastAsia="Courier New" w:hAnsi="Courier New" w:cs="Courier New"/>
                <w:sz w:val="18"/>
                <w:szCs w:val="18"/>
              </w:rPr>
            </w:pPr>
            <w:r>
              <w:rPr>
                <w:noProof/>
              </w:rPr>
              <w:drawing>
                <wp:inline distT="0" distB="0" distL="0" distR="0" wp14:anchorId="444FF2CD" wp14:editId="4A2277F7">
                  <wp:extent cx="714700" cy="775335"/>
                  <wp:effectExtent l="0" t="0" r="9525" b="5715"/>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n 19"/>
                          <pic:cNvPicPr/>
                        </pic:nvPicPr>
                        <pic:blipFill>
                          <a:blip r:embed="rId23" cstate="print">
                            <a:extLst>
                              <a:ext uri="{28A0092B-C50C-407E-A947-70E740481C1C}">
                                <a14:useLocalDpi xmlns:a14="http://schemas.microsoft.com/office/drawing/2010/main" val="0"/>
                              </a:ext>
                            </a:extLst>
                          </a:blip>
                          <a:stretch>
                            <a:fillRect/>
                          </a:stretch>
                        </pic:blipFill>
                        <pic:spPr>
                          <a:xfrm>
                            <a:off x="0" y="0"/>
                            <a:ext cx="732730" cy="794895"/>
                          </a:xfrm>
                          <a:prstGeom prst="rect">
                            <a:avLst/>
                          </a:prstGeom>
                        </pic:spPr>
                      </pic:pic>
                    </a:graphicData>
                  </a:graphic>
                </wp:inline>
              </w:drawing>
            </w:r>
          </w:p>
        </w:tc>
        <w:tc>
          <w:tcPr>
            <w:tcW w:w="1867" w:type="dxa"/>
            <w:gridSpan w:val="2"/>
          </w:tcPr>
          <w:p w14:paraId="5785E674" w14:textId="77777777" w:rsidR="0071605C" w:rsidRDefault="0071605C" w:rsidP="003E0EA4">
            <w:pPr>
              <w:jc w:val="center"/>
              <w:rPr>
                <w:rFonts w:ascii="Courier New" w:eastAsia="Courier New" w:hAnsi="Courier New" w:cs="Courier New"/>
                <w:sz w:val="18"/>
                <w:szCs w:val="18"/>
              </w:rPr>
            </w:pPr>
            <w:r>
              <w:rPr>
                <w:rFonts w:ascii="Courier New" w:eastAsia="Courier New" w:hAnsi="Courier New" w:cs="Courier New"/>
                <w:noProof/>
                <w:sz w:val="18"/>
                <w:szCs w:val="18"/>
              </w:rPr>
              <w:drawing>
                <wp:inline distT="0" distB="0" distL="0" distR="0" wp14:anchorId="2761223D" wp14:editId="546B3A07">
                  <wp:extent cx="702747" cy="702747"/>
                  <wp:effectExtent l="0" t="0" r="0" b="0"/>
                  <wp:docPr id="28" name="image28.png"/>
                  <wp:cNvGraphicFramePr/>
                  <a:graphic xmlns:a="http://schemas.openxmlformats.org/drawingml/2006/main">
                    <a:graphicData uri="http://schemas.openxmlformats.org/drawingml/2006/picture">
                      <pic:pic xmlns:pic="http://schemas.openxmlformats.org/drawingml/2006/picture">
                        <pic:nvPicPr>
                          <pic:cNvPr id="0" name="image28.png"/>
                          <pic:cNvPicPr preferRelativeResize="0"/>
                        </pic:nvPicPr>
                        <pic:blipFill>
                          <a:blip r:embed="rId24"/>
                          <a:srcRect/>
                          <a:stretch>
                            <a:fillRect/>
                          </a:stretch>
                        </pic:blipFill>
                        <pic:spPr>
                          <a:xfrm>
                            <a:off x="0" y="0"/>
                            <a:ext cx="702747" cy="702747"/>
                          </a:xfrm>
                          <a:prstGeom prst="rect">
                            <a:avLst/>
                          </a:prstGeom>
                          <a:ln/>
                        </pic:spPr>
                      </pic:pic>
                    </a:graphicData>
                  </a:graphic>
                </wp:inline>
              </w:drawing>
            </w:r>
          </w:p>
        </w:tc>
      </w:tr>
      <w:tr w:rsidR="0071605C" w14:paraId="6E1F81BF" w14:textId="77777777" w:rsidTr="003E0EA4">
        <w:tc>
          <w:tcPr>
            <w:tcW w:w="1888" w:type="dxa"/>
          </w:tcPr>
          <w:p w14:paraId="2046CF28" w14:textId="77777777" w:rsidR="0071605C" w:rsidRDefault="0071605C" w:rsidP="003E0EA4">
            <w:pPr>
              <w:jc w:val="center"/>
              <w:rPr>
                <w:rFonts w:ascii="Courier New" w:eastAsia="Courier New" w:hAnsi="Courier New" w:cs="Courier New"/>
                <w:sz w:val="18"/>
                <w:szCs w:val="18"/>
              </w:rPr>
            </w:pPr>
            <w:r>
              <w:rPr>
                <w:rFonts w:ascii="Courier New" w:eastAsia="Courier New" w:hAnsi="Courier New" w:cs="Courier New"/>
                <w:noProof/>
                <w:sz w:val="18"/>
                <w:szCs w:val="18"/>
              </w:rPr>
              <w:drawing>
                <wp:inline distT="0" distB="0" distL="0" distR="0" wp14:anchorId="309DFD67" wp14:editId="380F309C">
                  <wp:extent cx="855784" cy="679450"/>
                  <wp:effectExtent l="0" t="0" r="1905" b="6350"/>
                  <wp:docPr id="29" name="image29.png" descr="C:\Users\Sofia\OneDrive\IPRODES\D Salud\Organización\ORG 2022\ORG 2022\LOGO APSPS .jpeg"/>
                  <wp:cNvGraphicFramePr/>
                  <a:graphic xmlns:a="http://schemas.openxmlformats.org/drawingml/2006/main">
                    <a:graphicData uri="http://schemas.openxmlformats.org/drawingml/2006/picture">
                      <pic:pic xmlns:pic="http://schemas.openxmlformats.org/drawingml/2006/picture">
                        <pic:nvPicPr>
                          <pic:cNvPr id="0" name="image29.png" descr="C:\Users\Sofia\OneDrive\IPRODES\D Salud\Organización\ORG 2022\ORG 2022\LOGO APSPS .jpeg"/>
                          <pic:cNvPicPr preferRelativeResize="0"/>
                        </pic:nvPicPr>
                        <pic:blipFill>
                          <a:blip r:embed="rId25"/>
                          <a:srcRect/>
                          <a:stretch>
                            <a:fillRect/>
                          </a:stretch>
                        </pic:blipFill>
                        <pic:spPr>
                          <a:xfrm>
                            <a:off x="0" y="0"/>
                            <a:ext cx="858206" cy="681373"/>
                          </a:xfrm>
                          <a:prstGeom prst="rect">
                            <a:avLst/>
                          </a:prstGeom>
                          <a:ln/>
                        </pic:spPr>
                      </pic:pic>
                    </a:graphicData>
                  </a:graphic>
                </wp:inline>
              </w:drawing>
            </w:r>
          </w:p>
        </w:tc>
        <w:tc>
          <w:tcPr>
            <w:tcW w:w="2075" w:type="dxa"/>
            <w:gridSpan w:val="2"/>
          </w:tcPr>
          <w:p w14:paraId="5785F27E" w14:textId="77777777" w:rsidR="0071605C" w:rsidRDefault="0071605C" w:rsidP="003E0EA4">
            <w:pPr>
              <w:jc w:val="center"/>
              <w:rPr>
                <w:rFonts w:ascii="Courier New" w:eastAsia="Courier New" w:hAnsi="Courier New" w:cs="Courier New"/>
                <w:sz w:val="18"/>
                <w:szCs w:val="18"/>
              </w:rPr>
            </w:pPr>
            <w:r>
              <w:rPr>
                <w:rFonts w:ascii="Courier New" w:eastAsia="Courier New" w:hAnsi="Courier New" w:cs="Courier New"/>
                <w:noProof/>
                <w:sz w:val="18"/>
                <w:szCs w:val="18"/>
              </w:rPr>
              <w:drawing>
                <wp:inline distT="0" distB="0" distL="0" distR="0" wp14:anchorId="39C8A27F" wp14:editId="610EA319">
                  <wp:extent cx="720090" cy="679939"/>
                  <wp:effectExtent l="0" t="0" r="3810" b="6350"/>
                  <wp:docPr id="32" name="image30.png" descr="C:\Users\Sofia\OneDrive\IPRODES\D Salud\Organización\ORG 2022\ORG 2022\Logo Síndrome Dandy Walker.jpeg"/>
                  <wp:cNvGraphicFramePr/>
                  <a:graphic xmlns:a="http://schemas.openxmlformats.org/drawingml/2006/main">
                    <a:graphicData uri="http://schemas.openxmlformats.org/drawingml/2006/picture">
                      <pic:pic xmlns:pic="http://schemas.openxmlformats.org/drawingml/2006/picture">
                        <pic:nvPicPr>
                          <pic:cNvPr id="0" name="image30.png" descr="C:\Users\Sofia\OneDrive\IPRODES\D Salud\Organización\ORG 2022\ORG 2022\Logo Síndrome Dandy Walker.jpeg"/>
                          <pic:cNvPicPr preferRelativeResize="0"/>
                        </pic:nvPicPr>
                        <pic:blipFill>
                          <a:blip r:embed="rId26"/>
                          <a:srcRect/>
                          <a:stretch>
                            <a:fillRect/>
                          </a:stretch>
                        </pic:blipFill>
                        <pic:spPr>
                          <a:xfrm>
                            <a:off x="0" y="0"/>
                            <a:ext cx="722698" cy="682402"/>
                          </a:xfrm>
                          <a:prstGeom prst="rect">
                            <a:avLst/>
                          </a:prstGeom>
                          <a:ln/>
                        </pic:spPr>
                      </pic:pic>
                    </a:graphicData>
                  </a:graphic>
                </wp:inline>
              </w:drawing>
            </w:r>
          </w:p>
        </w:tc>
        <w:tc>
          <w:tcPr>
            <w:tcW w:w="2569" w:type="dxa"/>
            <w:gridSpan w:val="2"/>
          </w:tcPr>
          <w:p w14:paraId="48B4B81F" w14:textId="77777777" w:rsidR="0071605C" w:rsidRDefault="0071605C" w:rsidP="003E0EA4">
            <w:pPr>
              <w:jc w:val="center"/>
              <w:rPr>
                <w:rFonts w:ascii="Courier New" w:eastAsia="Courier New" w:hAnsi="Courier New" w:cs="Courier New"/>
                <w:sz w:val="18"/>
                <w:szCs w:val="18"/>
              </w:rPr>
            </w:pPr>
            <w:r>
              <w:rPr>
                <w:rFonts w:ascii="Courier New" w:eastAsia="Courier New" w:hAnsi="Courier New" w:cs="Courier New"/>
                <w:noProof/>
                <w:sz w:val="18"/>
                <w:szCs w:val="18"/>
              </w:rPr>
              <w:drawing>
                <wp:inline distT="0" distB="0" distL="0" distR="0" wp14:anchorId="0993E26F" wp14:editId="09626277">
                  <wp:extent cx="952647" cy="720090"/>
                  <wp:effectExtent l="0" t="0" r="0" b="3810"/>
                  <wp:docPr id="31" name="image31.png"/>
                  <wp:cNvGraphicFramePr/>
                  <a:graphic xmlns:a="http://schemas.openxmlformats.org/drawingml/2006/main">
                    <a:graphicData uri="http://schemas.openxmlformats.org/drawingml/2006/picture">
                      <pic:pic xmlns:pic="http://schemas.openxmlformats.org/drawingml/2006/picture">
                        <pic:nvPicPr>
                          <pic:cNvPr id="0" name="image31.png"/>
                          <pic:cNvPicPr preferRelativeResize="0"/>
                        </pic:nvPicPr>
                        <pic:blipFill>
                          <a:blip r:embed="rId27"/>
                          <a:srcRect/>
                          <a:stretch>
                            <a:fillRect/>
                          </a:stretch>
                        </pic:blipFill>
                        <pic:spPr>
                          <a:xfrm>
                            <a:off x="0" y="0"/>
                            <a:ext cx="955291" cy="722089"/>
                          </a:xfrm>
                          <a:prstGeom prst="rect">
                            <a:avLst/>
                          </a:prstGeom>
                          <a:ln/>
                        </pic:spPr>
                      </pic:pic>
                    </a:graphicData>
                  </a:graphic>
                </wp:inline>
              </w:drawing>
            </w:r>
          </w:p>
        </w:tc>
        <w:tc>
          <w:tcPr>
            <w:tcW w:w="2007" w:type="dxa"/>
          </w:tcPr>
          <w:p w14:paraId="580849C3" w14:textId="77777777" w:rsidR="0071605C" w:rsidRDefault="0071605C" w:rsidP="003E0EA4">
            <w:pPr>
              <w:jc w:val="center"/>
              <w:rPr>
                <w:rFonts w:ascii="Courier New" w:eastAsia="Courier New" w:hAnsi="Courier New" w:cs="Courier New"/>
                <w:sz w:val="18"/>
                <w:szCs w:val="18"/>
              </w:rPr>
            </w:pPr>
            <w:r>
              <w:rPr>
                <w:rFonts w:ascii="Courier New" w:eastAsia="Courier New" w:hAnsi="Courier New" w:cs="Courier New"/>
                <w:noProof/>
                <w:sz w:val="18"/>
                <w:szCs w:val="18"/>
              </w:rPr>
              <w:drawing>
                <wp:inline distT="0" distB="0" distL="0" distR="0" wp14:anchorId="1E68342B" wp14:editId="1EA60D4C">
                  <wp:extent cx="719161" cy="720090"/>
                  <wp:effectExtent l="0" t="0" r="5080" b="3810"/>
                  <wp:docPr id="5" name="image5.png" descr="C:\Users\Sofia\OneDrive\IPRODES\D Salud\Organización\LOGO Miastenia.jpeg"/>
                  <wp:cNvGraphicFramePr/>
                  <a:graphic xmlns:a="http://schemas.openxmlformats.org/drawingml/2006/main">
                    <a:graphicData uri="http://schemas.openxmlformats.org/drawingml/2006/picture">
                      <pic:pic xmlns:pic="http://schemas.openxmlformats.org/drawingml/2006/picture">
                        <pic:nvPicPr>
                          <pic:cNvPr id="0" name="image5.png" descr="C:\Users\Sofia\OneDrive\IPRODES\D Salud\Organización\LOGO Miastenia.jpeg"/>
                          <pic:cNvPicPr preferRelativeResize="0"/>
                        </pic:nvPicPr>
                        <pic:blipFill>
                          <a:blip r:embed="rId28"/>
                          <a:srcRect/>
                          <a:stretch>
                            <a:fillRect/>
                          </a:stretch>
                        </pic:blipFill>
                        <pic:spPr>
                          <a:xfrm>
                            <a:off x="0" y="0"/>
                            <a:ext cx="723196" cy="724130"/>
                          </a:xfrm>
                          <a:prstGeom prst="rect">
                            <a:avLst/>
                          </a:prstGeom>
                          <a:ln/>
                        </pic:spPr>
                      </pic:pic>
                    </a:graphicData>
                  </a:graphic>
                </wp:inline>
              </w:drawing>
            </w:r>
          </w:p>
        </w:tc>
        <w:tc>
          <w:tcPr>
            <w:tcW w:w="1867" w:type="dxa"/>
            <w:gridSpan w:val="2"/>
          </w:tcPr>
          <w:p w14:paraId="5102A923" w14:textId="77777777" w:rsidR="0071605C" w:rsidRDefault="0071605C" w:rsidP="003E0EA4">
            <w:pPr>
              <w:jc w:val="center"/>
              <w:rPr>
                <w:rFonts w:ascii="Courier New" w:eastAsia="Courier New" w:hAnsi="Courier New" w:cs="Courier New"/>
                <w:sz w:val="18"/>
                <w:szCs w:val="18"/>
              </w:rPr>
            </w:pPr>
            <w:r>
              <w:rPr>
                <w:rFonts w:ascii="Courier New" w:eastAsia="Courier New" w:hAnsi="Courier New" w:cs="Courier New"/>
                <w:noProof/>
                <w:sz w:val="18"/>
                <w:szCs w:val="18"/>
              </w:rPr>
              <w:drawing>
                <wp:inline distT="0" distB="0" distL="0" distR="0" wp14:anchorId="6358CE83" wp14:editId="60F75061">
                  <wp:extent cx="819101" cy="756139"/>
                  <wp:effectExtent l="0" t="0" r="635" b="6350"/>
                  <wp:docPr id="33" name="image7.png" descr="C:\Users\Sofia\OneDrive\IPRODES\D Salud\Organización\ORG 2022\Logo EA y FM.jpeg"/>
                  <wp:cNvGraphicFramePr/>
                  <a:graphic xmlns:a="http://schemas.openxmlformats.org/drawingml/2006/main">
                    <a:graphicData uri="http://schemas.openxmlformats.org/drawingml/2006/picture">
                      <pic:pic xmlns:pic="http://schemas.openxmlformats.org/drawingml/2006/picture">
                        <pic:nvPicPr>
                          <pic:cNvPr id="0" name="image7.png" descr="C:\Users\Sofia\OneDrive\IPRODES\D Salud\Organización\ORG 2022\Logo EA y FM.jpeg"/>
                          <pic:cNvPicPr preferRelativeResize="0"/>
                        </pic:nvPicPr>
                        <pic:blipFill>
                          <a:blip r:embed="rId29"/>
                          <a:srcRect/>
                          <a:stretch>
                            <a:fillRect/>
                          </a:stretch>
                        </pic:blipFill>
                        <pic:spPr>
                          <a:xfrm>
                            <a:off x="0" y="0"/>
                            <a:ext cx="820976" cy="757870"/>
                          </a:xfrm>
                          <a:prstGeom prst="rect">
                            <a:avLst/>
                          </a:prstGeom>
                          <a:ln/>
                        </pic:spPr>
                      </pic:pic>
                    </a:graphicData>
                  </a:graphic>
                </wp:inline>
              </w:drawing>
            </w:r>
          </w:p>
        </w:tc>
      </w:tr>
      <w:tr w:rsidR="0071605C" w14:paraId="5F7E425F" w14:textId="77777777" w:rsidTr="003E0EA4">
        <w:tc>
          <w:tcPr>
            <w:tcW w:w="1888" w:type="dxa"/>
          </w:tcPr>
          <w:p w14:paraId="49C17B04" w14:textId="77777777" w:rsidR="0071605C" w:rsidRDefault="0071605C" w:rsidP="003E0EA4">
            <w:pPr>
              <w:jc w:val="center"/>
              <w:rPr>
                <w:rFonts w:ascii="Courier New" w:eastAsia="Courier New" w:hAnsi="Courier New" w:cs="Courier New"/>
                <w:sz w:val="18"/>
                <w:szCs w:val="18"/>
              </w:rPr>
            </w:pPr>
            <w:r>
              <w:rPr>
                <w:rFonts w:ascii="Courier New" w:eastAsia="Courier New" w:hAnsi="Courier New" w:cs="Courier New"/>
                <w:noProof/>
                <w:sz w:val="18"/>
                <w:szCs w:val="18"/>
              </w:rPr>
              <w:drawing>
                <wp:inline distT="0" distB="0" distL="0" distR="0" wp14:anchorId="0AD37C72" wp14:editId="6E59E7C5">
                  <wp:extent cx="678660" cy="675718"/>
                  <wp:effectExtent l="0" t="0" r="0" b="0"/>
                  <wp:docPr id="8" name="image8.png" descr="C:\Users\Sofia\OneDrive\IPRODES\D Salud\Organización\ORG 2022\ORG 2022\Logo Ehlers Danlos.jpeg"/>
                  <wp:cNvGraphicFramePr/>
                  <a:graphic xmlns:a="http://schemas.openxmlformats.org/drawingml/2006/main">
                    <a:graphicData uri="http://schemas.openxmlformats.org/drawingml/2006/picture">
                      <pic:pic xmlns:pic="http://schemas.openxmlformats.org/drawingml/2006/picture">
                        <pic:nvPicPr>
                          <pic:cNvPr id="0" name="image8.png" descr="C:\Users\Sofia\OneDrive\IPRODES\D Salud\Organización\ORG 2022\ORG 2022\Logo Ehlers Danlos.jpeg"/>
                          <pic:cNvPicPr preferRelativeResize="0"/>
                        </pic:nvPicPr>
                        <pic:blipFill>
                          <a:blip r:embed="rId30"/>
                          <a:srcRect/>
                          <a:stretch>
                            <a:fillRect/>
                          </a:stretch>
                        </pic:blipFill>
                        <pic:spPr>
                          <a:xfrm>
                            <a:off x="0" y="0"/>
                            <a:ext cx="678660" cy="675718"/>
                          </a:xfrm>
                          <a:prstGeom prst="rect">
                            <a:avLst/>
                          </a:prstGeom>
                          <a:ln/>
                        </pic:spPr>
                      </pic:pic>
                    </a:graphicData>
                  </a:graphic>
                </wp:inline>
              </w:drawing>
            </w:r>
          </w:p>
        </w:tc>
        <w:tc>
          <w:tcPr>
            <w:tcW w:w="2075" w:type="dxa"/>
            <w:gridSpan w:val="2"/>
          </w:tcPr>
          <w:p w14:paraId="1E992165" w14:textId="77777777" w:rsidR="0071605C" w:rsidRDefault="0071605C" w:rsidP="003E0EA4">
            <w:pPr>
              <w:jc w:val="center"/>
              <w:rPr>
                <w:rFonts w:ascii="Courier New" w:eastAsia="Courier New" w:hAnsi="Courier New" w:cs="Courier New"/>
                <w:sz w:val="18"/>
                <w:szCs w:val="18"/>
              </w:rPr>
            </w:pPr>
            <w:r>
              <w:rPr>
                <w:rFonts w:ascii="Courier New" w:eastAsia="Courier New" w:hAnsi="Courier New" w:cs="Courier New"/>
                <w:noProof/>
                <w:sz w:val="18"/>
                <w:szCs w:val="18"/>
              </w:rPr>
              <w:drawing>
                <wp:inline distT="0" distB="0" distL="0" distR="0" wp14:anchorId="0A1D5FEA" wp14:editId="23F5447D">
                  <wp:extent cx="870878" cy="666201"/>
                  <wp:effectExtent l="0" t="0" r="0" b="0"/>
                  <wp:docPr id="6" name="image9.png" descr="C:\Users\Sofia\OneDrive\IPRODES\D Salud\Organización\ORG 2022\ORG 2022\Logo Síndrome de Turner.jpeg"/>
                  <wp:cNvGraphicFramePr/>
                  <a:graphic xmlns:a="http://schemas.openxmlformats.org/drawingml/2006/main">
                    <a:graphicData uri="http://schemas.openxmlformats.org/drawingml/2006/picture">
                      <pic:pic xmlns:pic="http://schemas.openxmlformats.org/drawingml/2006/picture">
                        <pic:nvPicPr>
                          <pic:cNvPr id="0" name="image9.png" descr="C:\Users\Sofia\OneDrive\IPRODES\D Salud\Organización\ORG 2022\ORG 2022\Logo Síndrome de Turner.jpeg"/>
                          <pic:cNvPicPr preferRelativeResize="0"/>
                        </pic:nvPicPr>
                        <pic:blipFill>
                          <a:blip r:embed="rId31"/>
                          <a:srcRect/>
                          <a:stretch>
                            <a:fillRect/>
                          </a:stretch>
                        </pic:blipFill>
                        <pic:spPr>
                          <a:xfrm>
                            <a:off x="0" y="0"/>
                            <a:ext cx="870878" cy="666201"/>
                          </a:xfrm>
                          <a:prstGeom prst="rect">
                            <a:avLst/>
                          </a:prstGeom>
                          <a:ln/>
                        </pic:spPr>
                      </pic:pic>
                    </a:graphicData>
                  </a:graphic>
                </wp:inline>
              </w:drawing>
            </w:r>
          </w:p>
        </w:tc>
        <w:tc>
          <w:tcPr>
            <w:tcW w:w="2569" w:type="dxa"/>
            <w:gridSpan w:val="2"/>
          </w:tcPr>
          <w:p w14:paraId="73A2EA78" w14:textId="77777777" w:rsidR="0071605C" w:rsidRDefault="0071605C" w:rsidP="003E0EA4">
            <w:pPr>
              <w:jc w:val="center"/>
              <w:rPr>
                <w:rFonts w:ascii="Courier New" w:eastAsia="Courier New" w:hAnsi="Courier New" w:cs="Courier New"/>
                <w:sz w:val="18"/>
                <w:szCs w:val="18"/>
              </w:rPr>
            </w:pPr>
            <w:r>
              <w:rPr>
                <w:rFonts w:ascii="Courier New" w:eastAsia="Courier New" w:hAnsi="Courier New" w:cs="Courier New"/>
                <w:noProof/>
                <w:sz w:val="18"/>
                <w:szCs w:val="18"/>
              </w:rPr>
              <w:drawing>
                <wp:inline distT="0" distB="0" distL="0" distR="0" wp14:anchorId="135136E5" wp14:editId="2DB3AD9C">
                  <wp:extent cx="987937" cy="689611"/>
                  <wp:effectExtent l="0" t="0" r="0" b="0"/>
                  <wp:docPr id="10" name="image10.png" descr="C:\Users\Sofia\Downloads\LOGO AME OFICIAL_SIN FONDO (1).png"/>
                  <wp:cNvGraphicFramePr/>
                  <a:graphic xmlns:a="http://schemas.openxmlformats.org/drawingml/2006/main">
                    <a:graphicData uri="http://schemas.openxmlformats.org/drawingml/2006/picture">
                      <pic:pic xmlns:pic="http://schemas.openxmlformats.org/drawingml/2006/picture">
                        <pic:nvPicPr>
                          <pic:cNvPr id="0" name="image10.png" descr="C:\Users\Sofia\Downloads\LOGO AME OFICIAL_SIN FONDO (1).png"/>
                          <pic:cNvPicPr preferRelativeResize="0"/>
                        </pic:nvPicPr>
                        <pic:blipFill>
                          <a:blip r:embed="rId32"/>
                          <a:srcRect/>
                          <a:stretch>
                            <a:fillRect/>
                          </a:stretch>
                        </pic:blipFill>
                        <pic:spPr>
                          <a:xfrm>
                            <a:off x="0" y="0"/>
                            <a:ext cx="987937" cy="689611"/>
                          </a:xfrm>
                          <a:prstGeom prst="rect">
                            <a:avLst/>
                          </a:prstGeom>
                          <a:ln/>
                        </pic:spPr>
                      </pic:pic>
                    </a:graphicData>
                  </a:graphic>
                </wp:inline>
              </w:drawing>
            </w:r>
          </w:p>
        </w:tc>
        <w:tc>
          <w:tcPr>
            <w:tcW w:w="2007" w:type="dxa"/>
          </w:tcPr>
          <w:p w14:paraId="4C09E212" w14:textId="77777777" w:rsidR="0071605C" w:rsidRDefault="0071605C" w:rsidP="003E0EA4">
            <w:pPr>
              <w:jc w:val="center"/>
              <w:rPr>
                <w:rFonts w:ascii="Courier New" w:eastAsia="Courier New" w:hAnsi="Courier New" w:cs="Courier New"/>
                <w:sz w:val="18"/>
                <w:szCs w:val="18"/>
              </w:rPr>
            </w:pPr>
            <w:r>
              <w:rPr>
                <w:rFonts w:ascii="Courier New" w:eastAsia="Courier New" w:hAnsi="Courier New" w:cs="Courier New"/>
                <w:noProof/>
                <w:sz w:val="18"/>
                <w:szCs w:val="18"/>
              </w:rPr>
              <w:drawing>
                <wp:inline distT="0" distB="0" distL="0" distR="0" wp14:anchorId="6117F8E9" wp14:editId="6FB4E82B">
                  <wp:extent cx="620339" cy="621027"/>
                  <wp:effectExtent l="0" t="0" r="0" b="0"/>
                  <wp:docPr id="11" name="image11.png" descr="C:\Users\Sofia\OneDrive\IPRODES\D Salud\Organización\ORG 2022\ORG 2022\Logo Escoliosis.jpeg"/>
                  <wp:cNvGraphicFramePr/>
                  <a:graphic xmlns:a="http://schemas.openxmlformats.org/drawingml/2006/main">
                    <a:graphicData uri="http://schemas.openxmlformats.org/drawingml/2006/picture">
                      <pic:pic xmlns:pic="http://schemas.openxmlformats.org/drawingml/2006/picture">
                        <pic:nvPicPr>
                          <pic:cNvPr id="0" name="image11.png" descr="C:\Users\Sofia\OneDrive\IPRODES\D Salud\Organización\ORG 2022\ORG 2022\Logo Escoliosis.jpeg"/>
                          <pic:cNvPicPr preferRelativeResize="0"/>
                        </pic:nvPicPr>
                        <pic:blipFill>
                          <a:blip r:embed="rId33"/>
                          <a:srcRect/>
                          <a:stretch>
                            <a:fillRect/>
                          </a:stretch>
                        </pic:blipFill>
                        <pic:spPr>
                          <a:xfrm>
                            <a:off x="0" y="0"/>
                            <a:ext cx="620339" cy="621027"/>
                          </a:xfrm>
                          <a:prstGeom prst="rect">
                            <a:avLst/>
                          </a:prstGeom>
                          <a:ln/>
                        </pic:spPr>
                      </pic:pic>
                    </a:graphicData>
                  </a:graphic>
                </wp:inline>
              </w:drawing>
            </w:r>
          </w:p>
        </w:tc>
        <w:tc>
          <w:tcPr>
            <w:tcW w:w="1867" w:type="dxa"/>
            <w:gridSpan w:val="2"/>
          </w:tcPr>
          <w:p w14:paraId="3232BCB5" w14:textId="77777777" w:rsidR="0071605C" w:rsidRDefault="0071605C" w:rsidP="003E0EA4">
            <w:pPr>
              <w:jc w:val="center"/>
              <w:rPr>
                <w:rFonts w:ascii="Courier New" w:eastAsia="Courier New" w:hAnsi="Courier New" w:cs="Courier New"/>
                <w:sz w:val="18"/>
                <w:szCs w:val="18"/>
              </w:rPr>
            </w:pPr>
            <w:r>
              <w:rPr>
                <w:rFonts w:ascii="Courier New" w:eastAsia="Courier New" w:hAnsi="Courier New" w:cs="Courier New"/>
                <w:noProof/>
                <w:sz w:val="18"/>
                <w:szCs w:val="18"/>
              </w:rPr>
              <w:drawing>
                <wp:inline distT="0" distB="0" distL="0" distR="0" wp14:anchorId="0A3BBE8C" wp14:editId="3109BD54">
                  <wp:extent cx="652145" cy="652145"/>
                  <wp:effectExtent l="0" t="0" r="0" b="0"/>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n 12"/>
                          <pic:cNvPicPr/>
                        </pic:nvPicPr>
                        <pic:blipFill>
                          <a:blip r:embed="rId34" cstate="print">
                            <a:extLst>
                              <a:ext uri="{28A0092B-C50C-407E-A947-70E740481C1C}">
                                <a14:useLocalDpi xmlns:a14="http://schemas.microsoft.com/office/drawing/2010/main" val="0"/>
                              </a:ext>
                            </a:extLst>
                          </a:blip>
                          <a:stretch>
                            <a:fillRect/>
                          </a:stretch>
                        </pic:blipFill>
                        <pic:spPr>
                          <a:xfrm>
                            <a:off x="0" y="0"/>
                            <a:ext cx="652145" cy="652145"/>
                          </a:xfrm>
                          <a:prstGeom prst="rect">
                            <a:avLst/>
                          </a:prstGeom>
                        </pic:spPr>
                      </pic:pic>
                    </a:graphicData>
                  </a:graphic>
                </wp:inline>
              </w:drawing>
            </w:r>
          </w:p>
        </w:tc>
      </w:tr>
      <w:tr w:rsidR="0071605C" w14:paraId="481D2AEB" w14:textId="77777777" w:rsidTr="003E0EA4">
        <w:tc>
          <w:tcPr>
            <w:tcW w:w="1888" w:type="dxa"/>
          </w:tcPr>
          <w:p w14:paraId="09C50F75" w14:textId="77777777" w:rsidR="0071605C" w:rsidRDefault="0071605C" w:rsidP="003E0EA4">
            <w:pPr>
              <w:jc w:val="center"/>
              <w:rPr>
                <w:rFonts w:ascii="Courier New" w:eastAsia="Courier New" w:hAnsi="Courier New" w:cs="Courier New"/>
                <w:noProof/>
                <w:sz w:val="18"/>
                <w:szCs w:val="18"/>
              </w:rPr>
            </w:pPr>
          </w:p>
          <w:p w14:paraId="67EE9FEB" w14:textId="77777777" w:rsidR="0071605C" w:rsidRDefault="0071605C" w:rsidP="003E0EA4">
            <w:pPr>
              <w:jc w:val="center"/>
              <w:rPr>
                <w:rFonts w:ascii="Courier New" w:eastAsia="Courier New" w:hAnsi="Courier New" w:cs="Courier New"/>
                <w:noProof/>
                <w:sz w:val="18"/>
                <w:szCs w:val="18"/>
              </w:rPr>
            </w:pPr>
            <w:r>
              <w:rPr>
                <w:rFonts w:ascii="Courier New" w:eastAsia="Courier New" w:hAnsi="Courier New" w:cs="Courier New"/>
                <w:noProof/>
                <w:sz w:val="18"/>
                <w:szCs w:val="18"/>
              </w:rPr>
              <w:drawing>
                <wp:inline distT="0" distB="0" distL="0" distR="0" wp14:anchorId="5DB10965" wp14:editId="6BC24546">
                  <wp:extent cx="1122218" cy="394970"/>
                  <wp:effectExtent l="0" t="0" r="1905" b="5080"/>
                  <wp:docPr id="13"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35"/>
                          <a:srcRect/>
                          <a:stretch>
                            <a:fillRect/>
                          </a:stretch>
                        </pic:blipFill>
                        <pic:spPr>
                          <a:xfrm>
                            <a:off x="0" y="0"/>
                            <a:ext cx="1128060" cy="397026"/>
                          </a:xfrm>
                          <a:prstGeom prst="rect">
                            <a:avLst/>
                          </a:prstGeom>
                          <a:ln/>
                        </pic:spPr>
                      </pic:pic>
                    </a:graphicData>
                  </a:graphic>
                </wp:inline>
              </w:drawing>
            </w:r>
          </w:p>
          <w:p w14:paraId="4879DEDA" w14:textId="77777777" w:rsidR="0071605C" w:rsidRDefault="0071605C" w:rsidP="003E0EA4">
            <w:pPr>
              <w:jc w:val="center"/>
              <w:rPr>
                <w:rFonts w:ascii="Courier New" w:eastAsia="Courier New" w:hAnsi="Courier New" w:cs="Courier New"/>
                <w:noProof/>
                <w:sz w:val="18"/>
                <w:szCs w:val="18"/>
              </w:rPr>
            </w:pPr>
          </w:p>
        </w:tc>
        <w:tc>
          <w:tcPr>
            <w:tcW w:w="2075" w:type="dxa"/>
            <w:gridSpan w:val="2"/>
          </w:tcPr>
          <w:p w14:paraId="06671AEE" w14:textId="77777777" w:rsidR="0071605C" w:rsidRDefault="0071605C" w:rsidP="003E0EA4">
            <w:pPr>
              <w:jc w:val="center"/>
              <w:rPr>
                <w:rFonts w:ascii="Courier New" w:eastAsia="Courier New" w:hAnsi="Courier New" w:cs="Courier New"/>
                <w:noProof/>
                <w:sz w:val="18"/>
                <w:szCs w:val="18"/>
                <w:vertAlign w:val="superscript"/>
              </w:rPr>
            </w:pPr>
          </w:p>
          <w:p w14:paraId="3C80C5BF" w14:textId="77777777" w:rsidR="0071605C" w:rsidRDefault="0071605C" w:rsidP="003E0EA4">
            <w:pPr>
              <w:jc w:val="center"/>
              <w:rPr>
                <w:rFonts w:ascii="Courier New" w:eastAsia="Courier New" w:hAnsi="Courier New" w:cs="Courier New"/>
                <w:noProof/>
                <w:sz w:val="18"/>
                <w:szCs w:val="18"/>
              </w:rPr>
            </w:pPr>
            <w:r>
              <w:rPr>
                <w:rFonts w:ascii="Courier New" w:eastAsia="Courier New" w:hAnsi="Courier New" w:cs="Courier New"/>
                <w:noProof/>
                <w:sz w:val="18"/>
                <w:szCs w:val="18"/>
                <w:vertAlign w:val="superscript"/>
              </w:rPr>
              <w:drawing>
                <wp:inline distT="0" distB="0" distL="0" distR="0" wp14:anchorId="16E8899D" wp14:editId="71F4172F">
                  <wp:extent cx="1020388" cy="362585"/>
                  <wp:effectExtent l="0" t="0" r="8890" b="0"/>
                  <wp:docPr id="14"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36"/>
                          <a:srcRect/>
                          <a:stretch>
                            <a:fillRect/>
                          </a:stretch>
                        </pic:blipFill>
                        <pic:spPr>
                          <a:xfrm>
                            <a:off x="0" y="0"/>
                            <a:ext cx="1025568" cy="364426"/>
                          </a:xfrm>
                          <a:prstGeom prst="rect">
                            <a:avLst/>
                          </a:prstGeom>
                          <a:ln/>
                        </pic:spPr>
                      </pic:pic>
                    </a:graphicData>
                  </a:graphic>
                </wp:inline>
              </w:drawing>
            </w:r>
          </w:p>
        </w:tc>
        <w:tc>
          <w:tcPr>
            <w:tcW w:w="2569" w:type="dxa"/>
            <w:gridSpan w:val="2"/>
          </w:tcPr>
          <w:p w14:paraId="332F0D73" w14:textId="77777777" w:rsidR="0071605C" w:rsidRDefault="0071605C" w:rsidP="003E0EA4">
            <w:pPr>
              <w:jc w:val="center"/>
              <w:rPr>
                <w:rFonts w:ascii="Courier New" w:eastAsia="Courier New" w:hAnsi="Courier New" w:cs="Courier New"/>
                <w:noProof/>
                <w:sz w:val="18"/>
                <w:szCs w:val="18"/>
              </w:rPr>
            </w:pPr>
          </w:p>
          <w:p w14:paraId="2F23BF2F" w14:textId="77777777" w:rsidR="0071605C" w:rsidRDefault="0071605C" w:rsidP="003E0EA4">
            <w:pPr>
              <w:jc w:val="center"/>
              <w:rPr>
                <w:rFonts w:ascii="Courier New" w:eastAsia="Courier New" w:hAnsi="Courier New" w:cs="Courier New"/>
                <w:noProof/>
                <w:sz w:val="18"/>
                <w:szCs w:val="18"/>
              </w:rPr>
            </w:pPr>
            <w:r>
              <w:rPr>
                <w:rFonts w:ascii="Courier New" w:eastAsia="Courier New" w:hAnsi="Courier New" w:cs="Courier New"/>
                <w:noProof/>
                <w:sz w:val="18"/>
                <w:szCs w:val="18"/>
              </w:rPr>
              <w:drawing>
                <wp:inline distT="0" distB="0" distL="0" distR="0" wp14:anchorId="3C2A6D65" wp14:editId="42B39754">
                  <wp:extent cx="1187867" cy="448945"/>
                  <wp:effectExtent l="0" t="0" r="0" b="8255"/>
                  <wp:docPr id="15"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37"/>
                          <a:srcRect/>
                          <a:stretch>
                            <a:fillRect/>
                          </a:stretch>
                        </pic:blipFill>
                        <pic:spPr>
                          <a:xfrm>
                            <a:off x="0" y="0"/>
                            <a:ext cx="1189740" cy="449653"/>
                          </a:xfrm>
                          <a:prstGeom prst="rect">
                            <a:avLst/>
                          </a:prstGeom>
                          <a:ln/>
                        </pic:spPr>
                      </pic:pic>
                    </a:graphicData>
                  </a:graphic>
                </wp:inline>
              </w:drawing>
            </w:r>
          </w:p>
        </w:tc>
        <w:tc>
          <w:tcPr>
            <w:tcW w:w="2007" w:type="dxa"/>
          </w:tcPr>
          <w:p w14:paraId="096A2FB7" w14:textId="77777777" w:rsidR="0071605C" w:rsidRDefault="0071605C" w:rsidP="003E0EA4">
            <w:pPr>
              <w:jc w:val="center"/>
              <w:rPr>
                <w:rFonts w:ascii="Courier New" w:eastAsia="Courier New" w:hAnsi="Courier New" w:cs="Courier New"/>
                <w:noProof/>
                <w:sz w:val="18"/>
                <w:szCs w:val="18"/>
              </w:rPr>
            </w:pPr>
            <w:r>
              <w:rPr>
                <w:noProof/>
              </w:rPr>
              <w:drawing>
                <wp:inline distT="0" distB="0" distL="0" distR="0" wp14:anchorId="7EC150F9" wp14:editId="594C4A08">
                  <wp:extent cx="597877" cy="543129"/>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hatsApp Image 2023-07-10 at 5.57.18 PM (1).jpeg"/>
                          <pic:cNvPicPr/>
                        </pic:nvPicPr>
                        <pic:blipFill>
                          <a:blip r:embed="rId38" cstate="print">
                            <a:extLst>
                              <a:ext uri="{28A0092B-C50C-407E-A947-70E740481C1C}">
                                <a14:useLocalDpi xmlns:a14="http://schemas.microsoft.com/office/drawing/2010/main" val="0"/>
                              </a:ext>
                            </a:extLst>
                          </a:blip>
                          <a:stretch>
                            <a:fillRect/>
                          </a:stretch>
                        </pic:blipFill>
                        <pic:spPr>
                          <a:xfrm>
                            <a:off x="0" y="0"/>
                            <a:ext cx="641533" cy="582787"/>
                          </a:xfrm>
                          <a:prstGeom prst="rect">
                            <a:avLst/>
                          </a:prstGeom>
                        </pic:spPr>
                      </pic:pic>
                    </a:graphicData>
                  </a:graphic>
                </wp:inline>
              </w:drawing>
            </w:r>
          </w:p>
        </w:tc>
        <w:tc>
          <w:tcPr>
            <w:tcW w:w="1867" w:type="dxa"/>
            <w:gridSpan w:val="2"/>
          </w:tcPr>
          <w:p w14:paraId="49B53774" w14:textId="77777777" w:rsidR="0071605C" w:rsidRDefault="0071605C" w:rsidP="003E0EA4">
            <w:pPr>
              <w:jc w:val="center"/>
              <w:rPr>
                <w:rFonts w:ascii="Courier New" w:eastAsia="Courier New" w:hAnsi="Courier New" w:cs="Courier New"/>
                <w:noProof/>
                <w:sz w:val="18"/>
                <w:szCs w:val="18"/>
              </w:rPr>
            </w:pPr>
            <w:r>
              <w:rPr>
                <w:noProof/>
                <w:sz w:val="20"/>
                <w:szCs w:val="20"/>
              </w:rPr>
              <w:drawing>
                <wp:inline distT="0" distB="0" distL="0" distR="0" wp14:anchorId="5EC0EC32" wp14:editId="2A322B75">
                  <wp:extent cx="793750" cy="792536"/>
                  <wp:effectExtent l="0" t="0" r="6350" b="7620"/>
                  <wp:docPr id="47"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Logo ASPEH Piura.png"/>
                          <pic:cNvPicPr/>
                        </pic:nvPicPr>
                        <pic:blipFill>
                          <a:blip r:embed="rId39" cstate="print">
                            <a:extLst>
                              <a:ext uri="{28A0092B-C50C-407E-A947-70E740481C1C}">
                                <a14:useLocalDpi xmlns:a14="http://schemas.microsoft.com/office/drawing/2010/main" val="0"/>
                              </a:ext>
                            </a:extLst>
                          </a:blip>
                          <a:stretch>
                            <a:fillRect/>
                          </a:stretch>
                        </pic:blipFill>
                        <pic:spPr>
                          <a:xfrm>
                            <a:off x="0" y="0"/>
                            <a:ext cx="804274" cy="803044"/>
                          </a:xfrm>
                          <a:prstGeom prst="rect">
                            <a:avLst/>
                          </a:prstGeom>
                        </pic:spPr>
                      </pic:pic>
                    </a:graphicData>
                  </a:graphic>
                </wp:inline>
              </w:drawing>
            </w:r>
          </w:p>
        </w:tc>
      </w:tr>
      <w:tr w:rsidR="0071605C" w14:paraId="0CEB04B9" w14:textId="77777777" w:rsidTr="003E0EA4">
        <w:trPr>
          <w:gridAfter w:val="1"/>
          <w:wAfter w:w="353" w:type="dxa"/>
        </w:trPr>
        <w:tc>
          <w:tcPr>
            <w:tcW w:w="2831" w:type="dxa"/>
            <w:gridSpan w:val="2"/>
          </w:tcPr>
          <w:p w14:paraId="220441AE" w14:textId="77777777" w:rsidR="0071605C" w:rsidRDefault="0071605C" w:rsidP="003E0EA4">
            <w:pPr>
              <w:jc w:val="center"/>
              <w:rPr>
                <w:sz w:val="20"/>
                <w:szCs w:val="20"/>
              </w:rPr>
            </w:pPr>
            <w:r>
              <w:rPr>
                <w:noProof/>
                <w:sz w:val="20"/>
                <w:szCs w:val="20"/>
              </w:rPr>
              <w:drawing>
                <wp:inline distT="0" distB="0" distL="0" distR="0" wp14:anchorId="61B9F38E" wp14:editId="35C17670">
                  <wp:extent cx="803031" cy="799039"/>
                  <wp:effectExtent l="0" t="0" r="0" b="127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9"/>
                          <pic:cNvPicPr/>
                        </pic:nvPicPr>
                        <pic:blipFill>
                          <a:blip r:embed="rId40" cstate="print">
                            <a:extLst>
                              <a:ext uri="{28A0092B-C50C-407E-A947-70E740481C1C}">
                                <a14:useLocalDpi xmlns:a14="http://schemas.microsoft.com/office/drawing/2010/main" val="0"/>
                              </a:ext>
                            </a:extLst>
                          </a:blip>
                          <a:stretch>
                            <a:fillRect/>
                          </a:stretch>
                        </pic:blipFill>
                        <pic:spPr>
                          <a:xfrm>
                            <a:off x="0" y="0"/>
                            <a:ext cx="811563" cy="807529"/>
                          </a:xfrm>
                          <a:prstGeom prst="rect">
                            <a:avLst/>
                          </a:prstGeom>
                        </pic:spPr>
                      </pic:pic>
                    </a:graphicData>
                  </a:graphic>
                </wp:inline>
              </w:drawing>
            </w:r>
          </w:p>
        </w:tc>
        <w:tc>
          <w:tcPr>
            <w:tcW w:w="2831" w:type="dxa"/>
            <w:gridSpan w:val="2"/>
          </w:tcPr>
          <w:p w14:paraId="18586E8E" w14:textId="77777777" w:rsidR="0071605C" w:rsidRDefault="0071605C" w:rsidP="003E0EA4">
            <w:pPr>
              <w:jc w:val="center"/>
              <w:rPr>
                <w:sz w:val="20"/>
                <w:szCs w:val="20"/>
              </w:rPr>
            </w:pPr>
            <w:r>
              <w:rPr>
                <w:noProof/>
                <w:sz w:val="20"/>
                <w:szCs w:val="20"/>
              </w:rPr>
              <w:drawing>
                <wp:inline distT="0" distB="0" distL="0" distR="0" wp14:anchorId="59E97716" wp14:editId="6C8A5D02">
                  <wp:extent cx="1660525" cy="752475"/>
                  <wp:effectExtent l="0" t="0" r="0"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41" cstate="print">
                            <a:extLst>
                              <a:ext uri="{28A0092B-C50C-407E-A947-70E740481C1C}">
                                <a14:useLocalDpi xmlns:a14="http://schemas.microsoft.com/office/drawing/2010/main" val="0"/>
                              </a:ext>
                            </a:extLst>
                          </a:blip>
                          <a:stretch>
                            <a:fillRect/>
                          </a:stretch>
                        </pic:blipFill>
                        <pic:spPr>
                          <a:xfrm>
                            <a:off x="0" y="0"/>
                            <a:ext cx="1660525" cy="752475"/>
                          </a:xfrm>
                          <a:prstGeom prst="rect">
                            <a:avLst/>
                          </a:prstGeom>
                        </pic:spPr>
                      </pic:pic>
                    </a:graphicData>
                  </a:graphic>
                </wp:inline>
              </w:drawing>
            </w:r>
          </w:p>
        </w:tc>
        <w:tc>
          <w:tcPr>
            <w:tcW w:w="2877" w:type="dxa"/>
            <w:gridSpan w:val="2"/>
          </w:tcPr>
          <w:p w14:paraId="1395F5DC" w14:textId="77777777" w:rsidR="0071605C" w:rsidRDefault="0071605C" w:rsidP="003E0EA4">
            <w:pPr>
              <w:jc w:val="center"/>
              <w:rPr>
                <w:sz w:val="20"/>
                <w:szCs w:val="20"/>
              </w:rPr>
            </w:pPr>
            <w:r>
              <w:rPr>
                <w:noProof/>
                <w:sz w:val="20"/>
                <w:szCs w:val="20"/>
              </w:rPr>
              <w:drawing>
                <wp:inline distT="0" distB="0" distL="0" distR="0" wp14:anchorId="131F03A6" wp14:editId="27DBBCC4">
                  <wp:extent cx="825500" cy="825500"/>
                  <wp:effectExtent l="0" t="0" r="0" b="0"/>
                  <wp:docPr id="49" name="Imagen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LOGO Logos ASPEPP.png"/>
                          <pic:cNvPicPr/>
                        </pic:nvPicPr>
                        <pic:blipFill>
                          <a:blip r:embed="rId42" cstate="print">
                            <a:extLst>
                              <a:ext uri="{28A0092B-C50C-407E-A947-70E740481C1C}">
                                <a14:useLocalDpi xmlns:a14="http://schemas.microsoft.com/office/drawing/2010/main" val="0"/>
                              </a:ext>
                            </a:extLst>
                          </a:blip>
                          <a:stretch>
                            <a:fillRect/>
                          </a:stretch>
                        </pic:blipFill>
                        <pic:spPr>
                          <a:xfrm>
                            <a:off x="0" y="0"/>
                            <a:ext cx="825500" cy="825500"/>
                          </a:xfrm>
                          <a:prstGeom prst="rect">
                            <a:avLst/>
                          </a:prstGeom>
                        </pic:spPr>
                      </pic:pic>
                    </a:graphicData>
                  </a:graphic>
                </wp:inline>
              </w:drawing>
            </w:r>
          </w:p>
          <w:p w14:paraId="7B05BC34" w14:textId="77777777" w:rsidR="0071605C" w:rsidRDefault="0071605C" w:rsidP="003E0EA4">
            <w:pPr>
              <w:jc w:val="center"/>
              <w:rPr>
                <w:sz w:val="20"/>
                <w:szCs w:val="20"/>
              </w:rPr>
            </w:pPr>
          </w:p>
        </w:tc>
        <w:tc>
          <w:tcPr>
            <w:tcW w:w="1514" w:type="dxa"/>
            <w:shd w:val="clear" w:color="auto" w:fill="auto"/>
          </w:tcPr>
          <w:p w14:paraId="26121B71" w14:textId="77777777" w:rsidR="0071605C" w:rsidRDefault="0071605C" w:rsidP="003E0EA4">
            <w:pPr>
              <w:jc w:val="center"/>
              <w:rPr>
                <w:noProof/>
              </w:rPr>
            </w:pPr>
            <w:r>
              <w:rPr>
                <w:noProof/>
              </w:rPr>
              <w:drawing>
                <wp:inline distT="0" distB="0" distL="0" distR="0" wp14:anchorId="33E56D4A" wp14:editId="039E91AB">
                  <wp:extent cx="545003" cy="769638"/>
                  <wp:effectExtent l="0" t="0" r="7620" b="0"/>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LOGO ONG cristales del cielo.jpeg"/>
                          <pic:cNvPicPr/>
                        </pic:nvPicPr>
                        <pic:blipFill>
                          <a:blip r:embed="rId43" cstate="print">
                            <a:extLst>
                              <a:ext uri="{28A0092B-C50C-407E-A947-70E740481C1C}">
                                <a14:useLocalDpi xmlns:a14="http://schemas.microsoft.com/office/drawing/2010/main" val="0"/>
                              </a:ext>
                            </a:extLst>
                          </a:blip>
                          <a:stretch>
                            <a:fillRect/>
                          </a:stretch>
                        </pic:blipFill>
                        <pic:spPr>
                          <a:xfrm>
                            <a:off x="0" y="0"/>
                            <a:ext cx="556138" cy="785362"/>
                          </a:xfrm>
                          <a:prstGeom prst="rect">
                            <a:avLst/>
                          </a:prstGeom>
                        </pic:spPr>
                      </pic:pic>
                    </a:graphicData>
                  </a:graphic>
                </wp:inline>
              </w:drawing>
            </w:r>
          </w:p>
          <w:p w14:paraId="1FB37DF8" w14:textId="77777777" w:rsidR="0071605C" w:rsidRDefault="0071605C" w:rsidP="003E0EA4">
            <w:pPr>
              <w:jc w:val="center"/>
              <w:rPr>
                <w:noProof/>
              </w:rPr>
            </w:pPr>
          </w:p>
          <w:p w14:paraId="43F4443F" w14:textId="77777777" w:rsidR="0071605C" w:rsidRDefault="0071605C" w:rsidP="003E0EA4">
            <w:pPr>
              <w:jc w:val="center"/>
            </w:pPr>
          </w:p>
        </w:tc>
      </w:tr>
    </w:tbl>
    <w:p w14:paraId="7AAAE86A" w14:textId="77777777" w:rsidR="0071605C" w:rsidRDefault="0071605C">
      <w:pPr>
        <w:spacing w:after="0" w:line="240" w:lineRule="auto"/>
        <w:jc w:val="both"/>
        <w:rPr>
          <w:rFonts w:ascii="Garamond" w:eastAsia="Garamond" w:hAnsi="Garamond" w:cs="Garamond"/>
        </w:rPr>
      </w:pPr>
    </w:p>
    <w:p w14:paraId="669AB968" w14:textId="58C7BBC6" w:rsidR="0071605C" w:rsidRDefault="0071605C">
      <w:pPr>
        <w:spacing w:after="0" w:line="240" w:lineRule="auto"/>
        <w:jc w:val="both"/>
        <w:rPr>
          <w:rFonts w:ascii="Garamond" w:eastAsia="Garamond" w:hAnsi="Garamond" w:cs="Garamond"/>
        </w:rPr>
      </w:pPr>
    </w:p>
    <w:p w14:paraId="5E8DE6AB" w14:textId="77777777" w:rsidR="006A2AA4" w:rsidRPr="000D314E" w:rsidRDefault="006A2AA4" w:rsidP="006A2AA4">
      <w:pPr>
        <w:spacing w:after="0" w:line="240" w:lineRule="auto"/>
        <w:jc w:val="both"/>
        <w:rPr>
          <w:rFonts w:ascii="Garamond" w:eastAsia="Garamond" w:hAnsi="Garamond" w:cs="Garamond"/>
          <w:b/>
        </w:rPr>
      </w:pPr>
      <w:r w:rsidRPr="000D314E">
        <w:rPr>
          <w:rFonts w:ascii="Garamond" w:eastAsia="Garamond" w:hAnsi="Garamond" w:cs="Garamond"/>
          <w:b/>
        </w:rPr>
        <w:t xml:space="preserve">Datos de </w:t>
      </w:r>
      <w:r w:rsidRPr="000D314E">
        <w:rPr>
          <w:rFonts w:ascii="Garamond" w:hAnsi="Garamond" w:cs="Arial"/>
          <w:b/>
          <w:bCs/>
          <w:color w:val="222222"/>
          <w:shd w:val="clear" w:color="auto" w:fill="FFFFFF"/>
        </w:rPr>
        <w:t>Los Pacientes Importan:</w:t>
      </w:r>
    </w:p>
    <w:p w14:paraId="04D70F62" w14:textId="77777777" w:rsidR="006A2AA4" w:rsidRPr="000D314E" w:rsidRDefault="006A2AA4" w:rsidP="006A2AA4">
      <w:pPr>
        <w:spacing w:after="0" w:line="240" w:lineRule="auto"/>
        <w:jc w:val="both"/>
        <w:rPr>
          <w:rFonts w:ascii="Garamond" w:hAnsi="Garamond" w:cs="Arial"/>
          <w:color w:val="222222"/>
          <w:shd w:val="clear" w:color="auto" w:fill="FFFFFF"/>
        </w:rPr>
      </w:pPr>
      <w:r w:rsidRPr="000D314E">
        <w:rPr>
          <w:rFonts w:ascii="Garamond" w:hAnsi="Garamond" w:cs="Arial"/>
          <w:color w:val="222222"/>
          <w:shd w:val="clear" w:color="auto" w:fill="FFFFFF"/>
        </w:rPr>
        <w:t xml:space="preserve">Correo: </w:t>
      </w:r>
      <w:hyperlink r:id="rId44" w:history="1">
        <w:r w:rsidRPr="000D314E">
          <w:rPr>
            <w:rStyle w:val="Hipervnculo"/>
            <w:rFonts w:ascii="Garamond" w:hAnsi="Garamond" w:cs="Arial"/>
            <w:shd w:val="clear" w:color="auto" w:fill="FFFFFF"/>
          </w:rPr>
          <w:t>lospacientesimportan@gmail.com</w:t>
        </w:r>
      </w:hyperlink>
    </w:p>
    <w:p w14:paraId="4975CD3C" w14:textId="77777777" w:rsidR="006A2AA4" w:rsidRPr="000D314E" w:rsidRDefault="006A2AA4" w:rsidP="006A2AA4">
      <w:pPr>
        <w:spacing w:after="0" w:line="240" w:lineRule="auto"/>
        <w:jc w:val="both"/>
        <w:rPr>
          <w:rFonts w:ascii="Garamond" w:hAnsi="Garamond" w:cs="Arial"/>
          <w:color w:val="222222"/>
          <w:shd w:val="clear" w:color="auto" w:fill="FFFFFF"/>
        </w:rPr>
      </w:pPr>
      <w:r w:rsidRPr="000D314E">
        <w:rPr>
          <w:rFonts w:ascii="Garamond" w:hAnsi="Garamond" w:cs="Arial"/>
          <w:color w:val="222222"/>
          <w:shd w:val="clear" w:color="auto" w:fill="FFFFFF"/>
        </w:rPr>
        <w:t xml:space="preserve">Twitter: </w:t>
      </w:r>
      <w:hyperlink r:id="rId45" w:history="1">
        <w:r w:rsidRPr="000D314E">
          <w:rPr>
            <w:rStyle w:val="Hipervnculo"/>
            <w:rFonts w:ascii="Garamond" w:hAnsi="Garamond" w:cs="Arial"/>
            <w:shd w:val="clear" w:color="auto" w:fill="FFFFFF"/>
          </w:rPr>
          <w:t>https://x.com/los_pacientes</w:t>
        </w:r>
      </w:hyperlink>
      <w:r w:rsidRPr="000D314E">
        <w:rPr>
          <w:rFonts w:ascii="Garamond" w:hAnsi="Garamond" w:cs="Arial"/>
          <w:color w:val="222222"/>
          <w:shd w:val="clear" w:color="auto" w:fill="FFFFFF"/>
        </w:rPr>
        <w:t xml:space="preserve"> </w:t>
      </w:r>
    </w:p>
    <w:p w14:paraId="474F5E33" w14:textId="77777777" w:rsidR="006A2AA4" w:rsidRPr="000D314E" w:rsidRDefault="006A2AA4" w:rsidP="006A2AA4">
      <w:pPr>
        <w:spacing w:after="0" w:line="240" w:lineRule="auto"/>
        <w:jc w:val="both"/>
        <w:rPr>
          <w:rFonts w:ascii="Garamond" w:hAnsi="Garamond" w:cs="Arial"/>
          <w:color w:val="222222"/>
          <w:shd w:val="clear" w:color="auto" w:fill="FFFFFF"/>
          <w:lang w:val="en-US"/>
        </w:rPr>
      </w:pPr>
      <w:r w:rsidRPr="000D314E">
        <w:rPr>
          <w:rFonts w:ascii="Garamond" w:hAnsi="Garamond" w:cs="Arial"/>
          <w:color w:val="222222"/>
          <w:shd w:val="clear" w:color="auto" w:fill="FFFFFF"/>
          <w:lang w:val="en-US"/>
        </w:rPr>
        <w:t xml:space="preserve">Facebook: </w:t>
      </w:r>
      <w:hyperlink r:id="rId46" w:history="1">
        <w:r w:rsidRPr="000D314E">
          <w:rPr>
            <w:rStyle w:val="Hipervnculo"/>
            <w:rFonts w:ascii="Garamond" w:hAnsi="Garamond" w:cs="Arial"/>
            <w:shd w:val="clear" w:color="auto" w:fill="FFFFFF"/>
            <w:lang w:val="en-US"/>
          </w:rPr>
          <w:t>https://www.facebook.com/lospacientesimportan</w:t>
        </w:r>
      </w:hyperlink>
    </w:p>
    <w:p w14:paraId="4ADD977A" w14:textId="77777777" w:rsidR="006A2AA4" w:rsidRPr="000D314E" w:rsidRDefault="006A2AA4" w:rsidP="006A2AA4">
      <w:pPr>
        <w:spacing w:after="0" w:line="240" w:lineRule="auto"/>
        <w:jc w:val="both"/>
        <w:rPr>
          <w:rFonts w:ascii="Garamond" w:hAnsi="Garamond" w:cs="Arial"/>
          <w:color w:val="222222"/>
          <w:shd w:val="clear" w:color="auto" w:fill="FFFFFF"/>
        </w:rPr>
      </w:pPr>
      <w:r w:rsidRPr="000D314E">
        <w:rPr>
          <w:rFonts w:ascii="Garamond" w:hAnsi="Garamond" w:cs="Arial"/>
          <w:color w:val="222222"/>
          <w:shd w:val="clear" w:color="auto" w:fill="FFFFFF"/>
        </w:rPr>
        <w:t xml:space="preserve">Instagram: </w:t>
      </w:r>
      <w:hyperlink r:id="rId47" w:history="1">
        <w:r w:rsidRPr="000D314E">
          <w:rPr>
            <w:rStyle w:val="Hipervnculo"/>
            <w:rFonts w:ascii="Garamond" w:hAnsi="Garamond" w:cs="Arial"/>
            <w:shd w:val="clear" w:color="auto" w:fill="FFFFFF"/>
          </w:rPr>
          <w:t>https://www.instagram.com/lospacientesimportan/</w:t>
        </w:r>
      </w:hyperlink>
      <w:r w:rsidRPr="000D314E">
        <w:rPr>
          <w:rFonts w:ascii="Garamond" w:hAnsi="Garamond" w:cs="Arial"/>
          <w:color w:val="222222"/>
          <w:shd w:val="clear" w:color="auto" w:fill="FFFFFF"/>
        </w:rPr>
        <w:t xml:space="preserve"> </w:t>
      </w:r>
    </w:p>
    <w:p w14:paraId="32091211" w14:textId="77777777" w:rsidR="006A2AA4" w:rsidRPr="000D314E" w:rsidRDefault="006A2AA4" w:rsidP="006A2AA4">
      <w:pPr>
        <w:spacing w:after="0" w:line="240" w:lineRule="auto"/>
        <w:jc w:val="both"/>
        <w:rPr>
          <w:rFonts w:ascii="Garamond" w:hAnsi="Garamond" w:cs="Arial"/>
          <w:color w:val="222222"/>
          <w:shd w:val="clear" w:color="auto" w:fill="FFFFFF"/>
        </w:rPr>
      </w:pPr>
      <w:r w:rsidRPr="000D314E">
        <w:rPr>
          <w:rFonts w:ascii="Garamond" w:hAnsi="Garamond" w:cs="Arial"/>
          <w:color w:val="222222"/>
          <w:shd w:val="clear" w:color="auto" w:fill="FFFFFF"/>
        </w:rPr>
        <w:t xml:space="preserve">Youtube: </w:t>
      </w:r>
      <w:hyperlink r:id="rId48" w:history="1">
        <w:r w:rsidRPr="000D314E">
          <w:rPr>
            <w:rStyle w:val="Hipervnculo"/>
            <w:rFonts w:ascii="Garamond" w:hAnsi="Garamond" w:cs="Arial"/>
            <w:shd w:val="clear" w:color="auto" w:fill="FFFFFF"/>
          </w:rPr>
          <w:t>https://www.youtube.com/@lospacientesimportan9660</w:t>
        </w:r>
      </w:hyperlink>
      <w:r w:rsidRPr="000D314E">
        <w:rPr>
          <w:rFonts w:ascii="Garamond" w:hAnsi="Garamond" w:cs="Arial"/>
          <w:color w:val="222222"/>
          <w:shd w:val="clear" w:color="auto" w:fill="FFFFFF"/>
        </w:rPr>
        <w:t xml:space="preserve"> </w:t>
      </w:r>
    </w:p>
    <w:p w14:paraId="017B717A" w14:textId="6271341E" w:rsidR="0071605C" w:rsidRPr="006A2AA4" w:rsidRDefault="006A2AA4">
      <w:pPr>
        <w:spacing w:after="0" w:line="240" w:lineRule="auto"/>
        <w:jc w:val="both"/>
        <w:rPr>
          <w:rFonts w:ascii="Garamond" w:hAnsi="Garamond" w:cs="Arial"/>
          <w:color w:val="222222"/>
          <w:shd w:val="clear" w:color="auto" w:fill="FFFFFF"/>
        </w:rPr>
      </w:pPr>
      <w:r w:rsidRPr="000D314E">
        <w:rPr>
          <w:rFonts w:ascii="Garamond" w:hAnsi="Garamond" w:cs="Arial"/>
          <w:color w:val="222222"/>
          <w:shd w:val="clear" w:color="auto" w:fill="FFFFFF"/>
        </w:rPr>
        <w:t>Lima, Perú.</w:t>
      </w:r>
    </w:p>
    <w:sectPr w:rsidR="0071605C" w:rsidRPr="006A2AA4" w:rsidSect="00A43AB9">
      <w:headerReference w:type="default" r:id="rId49"/>
      <w:pgSz w:w="12240" w:h="15840"/>
      <w:pgMar w:top="1080" w:right="1440" w:bottom="1440" w:left="1440" w:header="426"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203999" w14:textId="77777777" w:rsidR="005C09D0" w:rsidRDefault="005C09D0">
      <w:pPr>
        <w:spacing w:after="0" w:line="240" w:lineRule="auto"/>
      </w:pPr>
      <w:r>
        <w:separator/>
      </w:r>
    </w:p>
  </w:endnote>
  <w:endnote w:type="continuationSeparator" w:id="0">
    <w:p w14:paraId="24FE93D2" w14:textId="77777777" w:rsidR="005C09D0" w:rsidRDefault="005C09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altName w:val="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5BA969" w14:textId="77777777" w:rsidR="005C09D0" w:rsidRDefault="005C09D0">
      <w:pPr>
        <w:spacing w:after="0" w:line="240" w:lineRule="auto"/>
      </w:pPr>
      <w:r>
        <w:separator/>
      </w:r>
    </w:p>
  </w:footnote>
  <w:footnote w:type="continuationSeparator" w:id="0">
    <w:p w14:paraId="7E6495C6" w14:textId="77777777" w:rsidR="005C09D0" w:rsidRDefault="005C09D0">
      <w:pPr>
        <w:spacing w:after="0" w:line="240" w:lineRule="auto"/>
      </w:pPr>
      <w:r>
        <w:continuationSeparator/>
      </w:r>
    </w:p>
  </w:footnote>
  <w:footnote w:id="1">
    <w:p w14:paraId="0B3ED52E" w14:textId="77777777" w:rsidR="00101436" w:rsidRPr="00A43AB9" w:rsidRDefault="00101436" w:rsidP="00A43AB9">
      <w:pPr>
        <w:pStyle w:val="Textonotapie"/>
        <w:jc w:val="both"/>
        <w:rPr>
          <w:rFonts w:ascii="Garamond" w:hAnsi="Garamond" w:cs="Arial"/>
          <w:sz w:val="18"/>
          <w:szCs w:val="18"/>
        </w:rPr>
      </w:pPr>
      <w:r w:rsidRPr="00A43AB9">
        <w:rPr>
          <w:rStyle w:val="Refdenotaalpie"/>
          <w:rFonts w:ascii="Garamond" w:hAnsi="Garamond" w:cs="Arial"/>
          <w:sz w:val="18"/>
          <w:szCs w:val="18"/>
        </w:rPr>
        <w:footnoteRef/>
      </w:r>
      <w:r w:rsidRPr="00A43AB9">
        <w:rPr>
          <w:rFonts w:ascii="Garamond" w:hAnsi="Garamond" w:cs="Arial"/>
          <w:sz w:val="18"/>
          <w:szCs w:val="18"/>
        </w:rPr>
        <w:t xml:space="preserve"> Asociación Esclerosis Múltiple Perú - ESMUP; Organización de pacientes con hipertensión pulmonar "Llapan Kallpa"; Comunidad Artritis al Día; Asociación Peruana de Hemofilia – ASPEH; Asociación Hemofilia Región Norte del Perú; Grupo Gotitas de vida; Con L de Leucemia; Asociación Síndrome de Marfán; Asociación Peruana de Síndrome de Williams; Asociación Cornelia de Lange; Familia AME Perú; HOSAMOR (Hogar para la salud con amor y calidad de vida) – Arequipa; Asociación ELA Perú; Cannabis de Esperanza; Asociación de Psoriasis y Artritis Psoriásica - Perú - APAPSO PERU; Diabetes Tipo 1 Perú (DM1); Fibrosis Pulmonar; Linfangioma Perú; Asociación de Pacientes con Angioedema Hereditario – AEH; Asociación Miastenia Perú; Comunidad de Pacientes con EA y Fibromialgia; Síndrome de Turner; Síndrome de Dandy Walker, Síndrome de Ehlers-Danlos; FIQUI Perú (fibrosis quística); Escoliosis Camino de Esperanza; Corazones Unidos por la Hemofilia; Asociación de Hemofilia Sede Piura; Raquitismos y Osteomalacia Heredados - XLH Perú; Asociación de Personas Pequeñas del Perú (ASPEPP); Asociación Peruana de Acondroplasia; Cristales del Cielo (Osteogénesis Imperfecta) y APERTCRA Perú.</w:t>
      </w:r>
    </w:p>
  </w:footnote>
  <w:footnote w:id="2">
    <w:p w14:paraId="26513737" w14:textId="7E1B9409" w:rsidR="00A43AB9" w:rsidRPr="00A43AB9" w:rsidRDefault="00A43AB9" w:rsidP="00A43AB9">
      <w:pPr>
        <w:pStyle w:val="Textonotapie"/>
        <w:jc w:val="both"/>
        <w:rPr>
          <w:lang w:val="es-MX"/>
        </w:rPr>
      </w:pPr>
      <w:r w:rsidRPr="00A43AB9">
        <w:rPr>
          <w:rStyle w:val="Refdenotaalpie"/>
          <w:rFonts w:ascii="Garamond" w:hAnsi="Garamond"/>
          <w:sz w:val="18"/>
          <w:szCs w:val="18"/>
        </w:rPr>
        <w:footnoteRef/>
      </w:r>
      <w:r w:rsidRPr="00A43AB9">
        <w:rPr>
          <w:rFonts w:ascii="Garamond" w:hAnsi="Garamond"/>
          <w:sz w:val="18"/>
          <w:szCs w:val="18"/>
        </w:rPr>
        <w:t xml:space="preserve"> </w:t>
      </w:r>
      <w:r w:rsidRPr="00A43AB9">
        <w:rPr>
          <w:rFonts w:ascii="Garamond" w:hAnsi="Garamond"/>
          <w:sz w:val="18"/>
          <w:szCs w:val="18"/>
        </w:rPr>
        <w:t>OXFAM. Financiamiento del presupuesto de Salud. Seguro Integral de Salud – SIS; Seguro Social de Salud – ESSALUD; Fuerzas Armadas y Policiales. Agosto 2023.</w:t>
      </w:r>
    </w:p>
  </w:footnote>
  <w:footnote w:id="3">
    <w:p w14:paraId="4514AFAA" w14:textId="77777777" w:rsidR="000D314E" w:rsidRDefault="000D314E" w:rsidP="000D314E">
      <w:pPr>
        <w:pStyle w:val="Textonotapie"/>
        <w:jc w:val="both"/>
        <w:rPr>
          <w:rFonts w:ascii="Calibri Light" w:hAnsi="Calibri Light" w:cs="Calibri Light"/>
          <w:sz w:val="18"/>
          <w:szCs w:val="18"/>
          <w:lang w:val="es-MX"/>
        </w:rPr>
      </w:pPr>
      <w:r w:rsidRPr="00BF24D9">
        <w:rPr>
          <w:rStyle w:val="Refdenotaalpie"/>
          <w:rFonts w:ascii="Calibri Light" w:hAnsi="Calibri Light" w:cs="Calibri Light"/>
          <w:sz w:val="18"/>
          <w:szCs w:val="18"/>
        </w:rPr>
        <w:footnoteRef/>
      </w:r>
      <w:r w:rsidRPr="00BF24D9">
        <w:rPr>
          <w:rFonts w:ascii="Calibri Light" w:hAnsi="Calibri Light" w:cs="Calibri Light"/>
          <w:sz w:val="18"/>
          <w:szCs w:val="18"/>
        </w:rPr>
        <w:t xml:space="preserve"> </w:t>
      </w:r>
      <w:r w:rsidRPr="00BF24D9">
        <w:rPr>
          <w:rFonts w:ascii="Calibri Light" w:hAnsi="Calibri Light" w:cs="Calibri Light"/>
          <w:sz w:val="18"/>
          <w:szCs w:val="18"/>
          <w:lang w:val="es-MX"/>
        </w:rPr>
        <w:t>OEA. REDESCA. CIDH. Las Enfermedades No Transmisibles y Los Derechos Humanos en</w:t>
      </w:r>
      <w:r>
        <w:rPr>
          <w:rFonts w:ascii="Calibri Light" w:hAnsi="Calibri Light" w:cs="Calibri Light"/>
          <w:sz w:val="18"/>
          <w:szCs w:val="18"/>
          <w:lang w:val="es-MX"/>
        </w:rPr>
        <w:t xml:space="preserve"> </w:t>
      </w:r>
      <w:r w:rsidRPr="00BF24D9">
        <w:rPr>
          <w:rFonts w:ascii="Calibri Light" w:hAnsi="Calibri Light" w:cs="Calibri Light"/>
          <w:sz w:val="18"/>
          <w:szCs w:val="18"/>
          <w:lang w:val="es-MX"/>
        </w:rPr>
        <w:t>Las Américas. 28 de agosto 2023.</w:t>
      </w:r>
    </w:p>
    <w:p w14:paraId="45A3EE77" w14:textId="77777777" w:rsidR="000D314E" w:rsidRPr="00BF24D9" w:rsidRDefault="000D314E" w:rsidP="000D314E">
      <w:pPr>
        <w:pStyle w:val="Textonotapie"/>
        <w:jc w:val="both"/>
        <w:rPr>
          <w:lang w:val="es-MX"/>
        </w:rPr>
      </w:pPr>
      <w:r w:rsidRPr="00BF24D9">
        <w:rPr>
          <w:rFonts w:ascii="Calibri Light" w:hAnsi="Calibri Light" w:cs="Calibri Light"/>
          <w:sz w:val="18"/>
          <w:szCs w:val="18"/>
          <w:lang w:val="es-MX"/>
        </w:rPr>
        <w:t>Párrafo 455.</w:t>
      </w:r>
    </w:p>
  </w:footnote>
  <w:footnote w:id="4">
    <w:p w14:paraId="51C3AC10" w14:textId="061E3362" w:rsidR="002D3ACB" w:rsidRPr="00A43AB9" w:rsidRDefault="002D3ACB" w:rsidP="004163D0">
      <w:pPr>
        <w:pStyle w:val="Textonotapie"/>
        <w:jc w:val="both"/>
        <w:rPr>
          <w:rFonts w:ascii="Garamond" w:hAnsi="Garamond"/>
          <w:sz w:val="18"/>
          <w:szCs w:val="18"/>
        </w:rPr>
      </w:pPr>
      <w:r w:rsidRPr="00A43AB9">
        <w:rPr>
          <w:rStyle w:val="Refdenotaalpie"/>
          <w:rFonts w:ascii="Garamond" w:hAnsi="Garamond"/>
          <w:sz w:val="18"/>
          <w:szCs w:val="18"/>
        </w:rPr>
        <w:footnoteRef/>
      </w:r>
      <w:r w:rsidR="00B015C3" w:rsidRPr="00A43AB9">
        <w:rPr>
          <w:rFonts w:ascii="Garamond" w:hAnsi="Garamond"/>
          <w:sz w:val="18"/>
          <w:szCs w:val="18"/>
        </w:rPr>
        <w:t xml:space="preserve"> De</w:t>
      </w:r>
      <w:r w:rsidRPr="00A43AB9">
        <w:rPr>
          <w:rFonts w:ascii="Garamond" w:hAnsi="Garamond"/>
          <w:sz w:val="18"/>
          <w:szCs w:val="18"/>
        </w:rPr>
        <w:t xml:space="preserve">claraciones de ex </w:t>
      </w:r>
      <w:r w:rsidR="00A43AB9" w:rsidRPr="00A43AB9">
        <w:rPr>
          <w:rFonts w:ascii="Garamond" w:hAnsi="Garamond"/>
          <w:sz w:val="18"/>
          <w:szCs w:val="18"/>
        </w:rPr>
        <w:t>m</w:t>
      </w:r>
      <w:r w:rsidRPr="00A43AB9">
        <w:rPr>
          <w:rFonts w:ascii="Garamond" w:hAnsi="Garamond"/>
          <w:sz w:val="18"/>
          <w:szCs w:val="18"/>
        </w:rPr>
        <w:t>inistra</w:t>
      </w:r>
      <w:r w:rsidR="00B015C3" w:rsidRPr="00A43AB9">
        <w:rPr>
          <w:rFonts w:ascii="Garamond" w:hAnsi="Garamond"/>
          <w:sz w:val="18"/>
          <w:szCs w:val="18"/>
        </w:rPr>
        <w:t xml:space="preserve"> de Salud - MINSA,</w:t>
      </w:r>
      <w:r w:rsidRPr="00A43AB9">
        <w:rPr>
          <w:rFonts w:ascii="Garamond" w:hAnsi="Garamond"/>
          <w:sz w:val="18"/>
          <w:szCs w:val="18"/>
        </w:rPr>
        <w:t xml:space="preserve"> Silvia Pesah, 2018. </w:t>
      </w:r>
    </w:p>
  </w:footnote>
  <w:footnote w:id="5">
    <w:p w14:paraId="1E63997D" w14:textId="6756036E" w:rsidR="004163D0" w:rsidRPr="00A43AB9" w:rsidRDefault="004163D0" w:rsidP="004163D0">
      <w:pPr>
        <w:pStyle w:val="Textonotapie"/>
        <w:jc w:val="both"/>
        <w:rPr>
          <w:rFonts w:ascii="Garamond" w:hAnsi="Garamond"/>
          <w:sz w:val="18"/>
          <w:szCs w:val="18"/>
        </w:rPr>
      </w:pPr>
      <w:r w:rsidRPr="00A43AB9">
        <w:rPr>
          <w:rStyle w:val="Refdenotaalpie"/>
          <w:rFonts w:ascii="Garamond" w:hAnsi="Garamond"/>
          <w:sz w:val="18"/>
          <w:szCs w:val="18"/>
        </w:rPr>
        <w:footnoteRef/>
      </w:r>
      <w:r w:rsidR="005D4E38" w:rsidRPr="00A43AB9">
        <w:rPr>
          <w:rFonts w:ascii="Garamond" w:hAnsi="Garamond"/>
          <w:sz w:val="18"/>
          <w:szCs w:val="18"/>
        </w:rPr>
        <w:t xml:space="preserve"> APOYO Consultoría.</w:t>
      </w:r>
      <w:r w:rsidRPr="00A43AB9">
        <w:rPr>
          <w:rFonts w:ascii="Garamond" w:hAnsi="Garamond"/>
          <w:sz w:val="18"/>
          <w:szCs w:val="18"/>
        </w:rPr>
        <w:t xml:space="preserve"> Situación de los pacientes con ERH para recibir un tratamiento adecuado en el Perú, 2022.</w:t>
      </w:r>
    </w:p>
  </w:footnote>
  <w:footnote w:id="6">
    <w:p w14:paraId="08FDE46D" w14:textId="56DA753D" w:rsidR="00820AF8" w:rsidRPr="00A43AB9" w:rsidRDefault="00820AF8" w:rsidP="006D35D8">
      <w:pPr>
        <w:pStyle w:val="Textonotapie"/>
        <w:jc w:val="both"/>
        <w:rPr>
          <w:rFonts w:ascii="Garamond" w:hAnsi="Garamond"/>
          <w:sz w:val="18"/>
          <w:szCs w:val="18"/>
        </w:rPr>
      </w:pPr>
      <w:r w:rsidRPr="00A43AB9">
        <w:rPr>
          <w:rStyle w:val="Refdenotaalpie"/>
          <w:rFonts w:ascii="Garamond" w:hAnsi="Garamond"/>
          <w:sz w:val="18"/>
          <w:szCs w:val="18"/>
        </w:rPr>
        <w:footnoteRef/>
      </w:r>
      <w:r w:rsidRPr="00A43AB9">
        <w:rPr>
          <w:rFonts w:ascii="Garamond" w:hAnsi="Garamond"/>
          <w:sz w:val="18"/>
          <w:szCs w:val="18"/>
        </w:rPr>
        <w:t xml:space="preserve"> “El sistema de salud es segmentado y fragmentado. Cerca del 20% de la población no tiene ningún tipo de cobertura sanitaria. El Seguro Social cubre solo al 25% de la población, y sólo el 5% cuenta con un seguro privado”</w:t>
      </w:r>
      <w:r w:rsidR="006D35D8" w:rsidRPr="00A43AB9">
        <w:rPr>
          <w:rFonts w:ascii="Garamond" w:hAnsi="Garamond"/>
          <w:sz w:val="18"/>
          <w:szCs w:val="18"/>
        </w:rPr>
        <w:t xml:space="preserve">, en: </w:t>
      </w:r>
      <w:hyperlink r:id="rId1" w:history="1">
        <w:r w:rsidR="006D35D8" w:rsidRPr="00A43AB9">
          <w:rPr>
            <w:rStyle w:val="Hipervnculo"/>
            <w:rFonts w:ascii="Garamond" w:hAnsi="Garamond"/>
            <w:sz w:val="18"/>
            <w:szCs w:val="18"/>
          </w:rPr>
          <w:t>http://www.scielo.org.pe/pdf/rins/v28n3/a29v28n3.pdf</w:t>
        </w:r>
      </w:hyperlink>
      <w:r w:rsidR="006D35D8" w:rsidRPr="00A43AB9">
        <w:rPr>
          <w:rFonts w:ascii="Garamond" w:hAnsi="Garamond"/>
          <w:sz w:val="18"/>
          <w:szCs w:val="18"/>
        </w:rPr>
        <w:t xml:space="preserve"> .</w:t>
      </w:r>
    </w:p>
  </w:footnote>
  <w:footnote w:id="7">
    <w:p w14:paraId="506FAF36" w14:textId="262A81CA" w:rsidR="00D43B90" w:rsidRPr="00A43AB9" w:rsidRDefault="00D43B90" w:rsidP="00D43B90">
      <w:pPr>
        <w:pStyle w:val="Textonotapie"/>
        <w:jc w:val="both"/>
        <w:rPr>
          <w:rFonts w:ascii="Garamond" w:hAnsi="Garamond"/>
          <w:sz w:val="18"/>
          <w:szCs w:val="18"/>
        </w:rPr>
      </w:pPr>
      <w:r w:rsidRPr="00A43AB9">
        <w:rPr>
          <w:rStyle w:val="Refdenotaalpie"/>
          <w:rFonts w:ascii="Garamond" w:hAnsi="Garamond"/>
          <w:sz w:val="18"/>
          <w:szCs w:val="18"/>
        </w:rPr>
        <w:footnoteRef/>
      </w:r>
      <w:r w:rsidRPr="00A43AB9">
        <w:rPr>
          <w:rFonts w:ascii="Garamond" w:hAnsi="Garamond"/>
          <w:sz w:val="18"/>
          <w:szCs w:val="18"/>
        </w:rPr>
        <w:t xml:space="preserve"> </w:t>
      </w:r>
      <w:r w:rsidR="004A0DAB" w:rsidRPr="00A43AB9">
        <w:rPr>
          <w:rFonts w:ascii="Garamond" w:hAnsi="Garamond"/>
          <w:sz w:val="18"/>
          <w:szCs w:val="18"/>
        </w:rPr>
        <w:t>el 72.5% del total de trabajadores es informal, según el INEI</w:t>
      </w:r>
      <w:r w:rsidRPr="00A43AB9">
        <w:rPr>
          <w:rFonts w:ascii="Garamond" w:hAnsi="Garamond"/>
          <w:sz w:val="18"/>
          <w:szCs w:val="18"/>
        </w:rPr>
        <w:t>.</w:t>
      </w:r>
    </w:p>
  </w:footnote>
  <w:footnote w:id="8">
    <w:p w14:paraId="0000009A" w14:textId="77777777" w:rsidR="0080721E" w:rsidRPr="00A43AB9" w:rsidRDefault="00E70E36" w:rsidP="006D35D8">
      <w:pPr>
        <w:pBdr>
          <w:top w:val="nil"/>
          <w:left w:val="nil"/>
          <w:bottom w:val="nil"/>
          <w:right w:val="nil"/>
          <w:between w:val="nil"/>
        </w:pBdr>
        <w:spacing w:after="0" w:line="240" w:lineRule="auto"/>
        <w:jc w:val="both"/>
        <w:rPr>
          <w:rFonts w:ascii="Garamond" w:eastAsia="Garamond" w:hAnsi="Garamond" w:cs="Garamond"/>
          <w:color w:val="000000"/>
          <w:sz w:val="18"/>
          <w:szCs w:val="18"/>
        </w:rPr>
      </w:pPr>
      <w:r w:rsidRPr="00A43AB9">
        <w:rPr>
          <w:rFonts w:ascii="Garamond" w:hAnsi="Garamond"/>
          <w:sz w:val="18"/>
          <w:szCs w:val="18"/>
          <w:vertAlign w:val="superscript"/>
        </w:rPr>
        <w:footnoteRef/>
      </w:r>
      <w:r w:rsidRPr="00A43AB9">
        <w:rPr>
          <w:rFonts w:ascii="Garamond" w:eastAsia="Garamond" w:hAnsi="Garamond" w:cs="Garamond"/>
          <w:color w:val="000000"/>
          <w:sz w:val="18"/>
          <w:szCs w:val="18"/>
        </w:rPr>
        <w:t xml:space="preserve"> Enfermedad Rara y/o Huérfana.</w:t>
      </w:r>
    </w:p>
  </w:footnote>
  <w:footnote w:id="9">
    <w:p w14:paraId="0000009B" w14:textId="77777777" w:rsidR="0080721E" w:rsidRPr="00D43B90" w:rsidRDefault="00E70E36" w:rsidP="006D35D8">
      <w:pPr>
        <w:pBdr>
          <w:top w:val="nil"/>
          <w:left w:val="nil"/>
          <w:bottom w:val="nil"/>
          <w:right w:val="nil"/>
          <w:between w:val="nil"/>
        </w:pBdr>
        <w:spacing w:after="0" w:line="240" w:lineRule="auto"/>
        <w:jc w:val="both"/>
        <w:rPr>
          <w:rFonts w:ascii="Garamond" w:hAnsi="Garamond"/>
          <w:color w:val="000000"/>
          <w:sz w:val="18"/>
          <w:szCs w:val="18"/>
        </w:rPr>
      </w:pPr>
      <w:r w:rsidRPr="00A43AB9">
        <w:rPr>
          <w:rFonts w:ascii="Garamond" w:hAnsi="Garamond"/>
          <w:sz w:val="18"/>
          <w:szCs w:val="18"/>
          <w:vertAlign w:val="superscript"/>
        </w:rPr>
        <w:footnoteRef/>
      </w:r>
      <w:r w:rsidRPr="00A43AB9">
        <w:rPr>
          <w:rFonts w:ascii="Garamond" w:eastAsia="Garamond" w:hAnsi="Garamond" w:cs="Garamond"/>
          <w:color w:val="000000"/>
          <w:sz w:val="18"/>
          <w:szCs w:val="18"/>
        </w:rPr>
        <w:t xml:space="preserve"> Enfermedad Rara y/o Huérfana.</w:t>
      </w:r>
    </w:p>
  </w:footnote>
  <w:footnote w:id="10">
    <w:p w14:paraId="0000009C" w14:textId="77777777" w:rsidR="0080721E" w:rsidRPr="00A727EB" w:rsidRDefault="00E70E36" w:rsidP="006D35D8">
      <w:pPr>
        <w:pBdr>
          <w:top w:val="nil"/>
          <w:left w:val="nil"/>
          <w:bottom w:val="nil"/>
          <w:right w:val="nil"/>
          <w:between w:val="nil"/>
        </w:pBdr>
        <w:spacing w:after="0" w:line="240" w:lineRule="auto"/>
        <w:jc w:val="both"/>
        <w:rPr>
          <w:rFonts w:ascii="Garamond" w:eastAsia="Garamond" w:hAnsi="Garamond" w:cs="Garamond"/>
          <w:color w:val="000000"/>
          <w:sz w:val="18"/>
          <w:szCs w:val="18"/>
        </w:rPr>
      </w:pPr>
      <w:r w:rsidRPr="00A727EB">
        <w:rPr>
          <w:rFonts w:ascii="Garamond" w:hAnsi="Garamond"/>
          <w:sz w:val="18"/>
          <w:szCs w:val="18"/>
          <w:vertAlign w:val="superscript"/>
        </w:rPr>
        <w:footnoteRef/>
      </w:r>
      <w:r w:rsidRPr="00A727EB">
        <w:rPr>
          <w:rFonts w:ascii="Garamond" w:eastAsia="Garamond" w:hAnsi="Garamond" w:cs="Garamond"/>
          <w:color w:val="000000"/>
          <w:sz w:val="18"/>
          <w:szCs w:val="18"/>
        </w:rPr>
        <w:t xml:space="preserve"> Publicado el sábado 4 de junio de 2011.</w:t>
      </w:r>
    </w:p>
  </w:footnote>
  <w:footnote w:id="11">
    <w:p w14:paraId="0000009D" w14:textId="77777777" w:rsidR="0080721E" w:rsidRPr="00A727EB" w:rsidRDefault="00E70E36" w:rsidP="006D35D8">
      <w:pPr>
        <w:pBdr>
          <w:top w:val="nil"/>
          <w:left w:val="nil"/>
          <w:bottom w:val="nil"/>
          <w:right w:val="nil"/>
          <w:between w:val="nil"/>
        </w:pBdr>
        <w:spacing w:after="0" w:line="240" w:lineRule="auto"/>
        <w:jc w:val="both"/>
        <w:rPr>
          <w:rFonts w:ascii="Garamond" w:eastAsia="Garamond" w:hAnsi="Garamond" w:cs="Garamond"/>
          <w:color w:val="000000"/>
          <w:sz w:val="18"/>
          <w:szCs w:val="18"/>
        </w:rPr>
      </w:pPr>
      <w:r w:rsidRPr="00A727EB">
        <w:rPr>
          <w:rFonts w:ascii="Garamond" w:hAnsi="Garamond"/>
          <w:sz w:val="18"/>
          <w:szCs w:val="18"/>
          <w:vertAlign w:val="superscript"/>
        </w:rPr>
        <w:footnoteRef/>
      </w:r>
      <w:r w:rsidRPr="00A727EB">
        <w:rPr>
          <w:rFonts w:ascii="Garamond" w:eastAsia="Garamond" w:hAnsi="Garamond" w:cs="Garamond"/>
          <w:color w:val="000000"/>
          <w:sz w:val="18"/>
          <w:szCs w:val="18"/>
        </w:rPr>
        <w:t xml:space="preserve"> Publicado el viernes 22 de febrero de 2019.</w:t>
      </w:r>
    </w:p>
  </w:footnote>
  <w:footnote w:id="12">
    <w:p w14:paraId="0000009E" w14:textId="77777777" w:rsidR="0080721E" w:rsidRPr="00A727EB" w:rsidRDefault="00E70E36" w:rsidP="006D35D8">
      <w:pPr>
        <w:pBdr>
          <w:top w:val="nil"/>
          <w:left w:val="nil"/>
          <w:bottom w:val="nil"/>
          <w:right w:val="nil"/>
          <w:between w:val="nil"/>
        </w:pBdr>
        <w:spacing w:after="0" w:line="240" w:lineRule="auto"/>
        <w:jc w:val="both"/>
        <w:rPr>
          <w:rFonts w:ascii="Garamond" w:eastAsia="Garamond" w:hAnsi="Garamond" w:cs="Garamond"/>
          <w:color w:val="000000"/>
          <w:sz w:val="18"/>
          <w:szCs w:val="18"/>
        </w:rPr>
      </w:pPr>
      <w:r w:rsidRPr="00A727EB">
        <w:rPr>
          <w:rFonts w:ascii="Garamond" w:hAnsi="Garamond"/>
          <w:sz w:val="18"/>
          <w:szCs w:val="18"/>
          <w:vertAlign w:val="superscript"/>
        </w:rPr>
        <w:footnoteRef/>
      </w:r>
      <w:r w:rsidRPr="00A727EB">
        <w:rPr>
          <w:rFonts w:ascii="Garamond" w:eastAsia="Garamond" w:hAnsi="Garamond" w:cs="Garamond"/>
          <w:color w:val="000000"/>
          <w:sz w:val="18"/>
          <w:szCs w:val="18"/>
        </w:rPr>
        <w:t xml:space="preserve"> Publicado el 21 de diciembre del 2020.</w:t>
      </w:r>
    </w:p>
  </w:footnote>
  <w:footnote w:id="13">
    <w:p w14:paraId="6C537F4F" w14:textId="5B7061CD" w:rsidR="00A727EB" w:rsidRPr="00A727EB" w:rsidRDefault="00A727EB">
      <w:pPr>
        <w:pStyle w:val="Textonotapie"/>
        <w:rPr>
          <w:rFonts w:ascii="Garamond" w:hAnsi="Garamond"/>
          <w:sz w:val="18"/>
          <w:szCs w:val="18"/>
          <w:lang w:val="es-MX"/>
        </w:rPr>
      </w:pPr>
      <w:r w:rsidRPr="00A727EB">
        <w:rPr>
          <w:rStyle w:val="Refdenotaalpie"/>
          <w:rFonts w:ascii="Garamond" w:hAnsi="Garamond"/>
          <w:sz w:val="18"/>
          <w:szCs w:val="18"/>
        </w:rPr>
        <w:footnoteRef/>
      </w:r>
      <w:r w:rsidRPr="00A727EB">
        <w:rPr>
          <w:rFonts w:ascii="Garamond" w:hAnsi="Garamond"/>
          <w:sz w:val="18"/>
          <w:szCs w:val="18"/>
        </w:rPr>
        <w:t xml:space="preserve"> </w:t>
      </w:r>
      <w:r w:rsidRPr="00A727EB">
        <w:rPr>
          <w:rFonts w:ascii="Garamond" w:hAnsi="Garamond"/>
          <w:sz w:val="18"/>
          <w:szCs w:val="18"/>
          <w:lang w:val="es-MX"/>
        </w:rPr>
        <w:t xml:space="preserve">Campaña del Colectivo Los Pacientes Importan recabando firmas para que se apruebe el Reglamento para las enfermedades raras: </w:t>
      </w:r>
      <w:hyperlink r:id="rId2" w:history="1">
        <w:r w:rsidRPr="00A727EB">
          <w:rPr>
            <w:rStyle w:val="Hipervnculo"/>
            <w:rFonts w:ascii="Garamond" w:hAnsi="Garamond"/>
            <w:sz w:val="18"/>
            <w:szCs w:val="18"/>
            <w:lang w:val="es-MX"/>
          </w:rPr>
          <w:t>https://www.change.org/p/exigimos-un-reglamento-para-vivir-exhortamos-al-minsa-peru-essaludperu-reglamentar-ley-31738-para-enfermedades-raras-los-pacientes?fbclid=IwZXh0bgNhZW0CMTAAAR0T_4MF5jo8OnbRTm7KVvbvRdM3RshZhALNsGATbydKSNClZhIUNHXsAtg_aem_-0BMh4XH1vd_41oIkxT3_A</w:t>
        </w:r>
      </w:hyperlink>
      <w:r w:rsidRPr="00A727EB">
        <w:rPr>
          <w:rFonts w:ascii="Garamond" w:hAnsi="Garamond"/>
          <w:sz w:val="18"/>
          <w:szCs w:val="18"/>
          <w:lang w:val="es-MX"/>
        </w:rPr>
        <w:t xml:space="preserve"> </w:t>
      </w:r>
    </w:p>
  </w:footnote>
  <w:footnote w:id="14">
    <w:p w14:paraId="0000009F" w14:textId="74B6B34D" w:rsidR="0080721E" w:rsidRPr="006D35D8" w:rsidRDefault="00E70E36" w:rsidP="006D35D8">
      <w:pPr>
        <w:pBdr>
          <w:top w:val="nil"/>
          <w:left w:val="nil"/>
          <w:bottom w:val="nil"/>
          <w:right w:val="nil"/>
          <w:between w:val="nil"/>
        </w:pBdr>
        <w:spacing w:after="0" w:line="240" w:lineRule="auto"/>
        <w:jc w:val="both"/>
        <w:rPr>
          <w:rFonts w:ascii="Garamond" w:hAnsi="Garamond"/>
          <w:color w:val="000000"/>
          <w:sz w:val="18"/>
          <w:szCs w:val="18"/>
        </w:rPr>
      </w:pPr>
      <w:r w:rsidRPr="00A727EB">
        <w:rPr>
          <w:rFonts w:ascii="Garamond" w:hAnsi="Garamond"/>
          <w:sz w:val="18"/>
          <w:szCs w:val="18"/>
          <w:vertAlign w:val="superscript"/>
        </w:rPr>
        <w:footnoteRef/>
      </w:r>
      <w:r w:rsidRPr="00A727EB">
        <w:rPr>
          <w:rFonts w:ascii="Garamond" w:eastAsia="Garamond" w:hAnsi="Garamond" w:cs="Garamond"/>
          <w:color w:val="000000"/>
          <w:sz w:val="18"/>
          <w:szCs w:val="18"/>
        </w:rPr>
        <w:t xml:space="preserve"> Información obtenida por acceso a la información pública</w:t>
      </w:r>
      <w:r w:rsidR="00D16CBA" w:rsidRPr="00A727EB">
        <w:rPr>
          <w:rFonts w:ascii="Garamond" w:eastAsia="Garamond" w:hAnsi="Garamond" w:cs="Garamond"/>
          <w:color w:val="000000"/>
          <w:sz w:val="18"/>
          <w:szCs w:val="18"/>
        </w:rPr>
        <w:t xml:space="preserve"> mediante solicitud N° 22-017138 del MINSA</w:t>
      </w:r>
      <w:r w:rsidRPr="00A727EB">
        <w:rPr>
          <w:rFonts w:ascii="Garamond" w:eastAsia="Garamond" w:hAnsi="Garamond" w:cs="Garamond"/>
          <w:color w:val="000000"/>
          <w:sz w:val="18"/>
          <w:szCs w:val="18"/>
        </w:rPr>
        <w:t>.</w:t>
      </w:r>
    </w:p>
  </w:footnote>
  <w:footnote w:id="15">
    <w:p w14:paraId="2A543AE8" w14:textId="581FB553" w:rsidR="0035786F" w:rsidRPr="0035786F" w:rsidRDefault="0035786F" w:rsidP="0035786F">
      <w:pPr>
        <w:pStyle w:val="Textonotapie"/>
        <w:jc w:val="both"/>
        <w:rPr>
          <w:rFonts w:ascii="Garamond" w:hAnsi="Garamond"/>
          <w:sz w:val="18"/>
          <w:szCs w:val="18"/>
        </w:rPr>
      </w:pPr>
      <w:r w:rsidRPr="0035786F">
        <w:rPr>
          <w:rStyle w:val="Refdenotaalpie"/>
          <w:rFonts w:ascii="Garamond" w:hAnsi="Garamond"/>
          <w:sz w:val="18"/>
          <w:szCs w:val="18"/>
        </w:rPr>
        <w:footnoteRef/>
      </w:r>
      <w:r w:rsidRPr="0035786F">
        <w:rPr>
          <w:rFonts w:ascii="Garamond" w:hAnsi="Garamond"/>
          <w:sz w:val="18"/>
          <w:szCs w:val="18"/>
        </w:rPr>
        <w:t xml:space="preserve"> ERH + AC: Enfermedades raras, huérfanas, autoinmunes, crónicas.</w:t>
      </w:r>
    </w:p>
  </w:footnote>
  <w:footnote w:id="16">
    <w:p w14:paraId="7BF66962" w14:textId="70C6C78D" w:rsidR="0035786F" w:rsidRDefault="0035786F" w:rsidP="0035786F">
      <w:pPr>
        <w:pStyle w:val="Textonotapie"/>
        <w:jc w:val="both"/>
      </w:pPr>
      <w:r w:rsidRPr="0035786F">
        <w:rPr>
          <w:rStyle w:val="Refdenotaalpie"/>
          <w:rFonts w:ascii="Garamond" w:hAnsi="Garamond"/>
          <w:sz w:val="18"/>
          <w:szCs w:val="18"/>
        </w:rPr>
        <w:footnoteRef/>
      </w:r>
      <w:r w:rsidRPr="0035786F">
        <w:rPr>
          <w:rFonts w:ascii="Garamond" w:hAnsi="Garamond"/>
          <w:sz w:val="18"/>
          <w:szCs w:val="18"/>
        </w:rPr>
        <w:t xml:space="preserve"> MINSA, Ministerio de Salud y CONADIS, Consejo Nacional para la Integración de la Persona con Discapacidad.</w:t>
      </w:r>
    </w:p>
  </w:footnote>
  <w:footnote w:id="17">
    <w:p w14:paraId="27B064D8" w14:textId="77777777" w:rsidR="00965B1C" w:rsidRPr="004B56B7" w:rsidRDefault="00965B1C" w:rsidP="00965B1C">
      <w:pPr>
        <w:spacing w:after="0" w:line="240" w:lineRule="auto"/>
        <w:jc w:val="both"/>
        <w:rPr>
          <w:rFonts w:ascii="Calibri Light" w:eastAsia="Garamond" w:hAnsi="Calibri Light" w:cs="Calibri Light"/>
          <w:sz w:val="18"/>
          <w:szCs w:val="18"/>
        </w:rPr>
      </w:pPr>
      <w:r w:rsidRPr="004B56B7">
        <w:rPr>
          <w:rStyle w:val="Refdenotaalpie"/>
          <w:rFonts w:ascii="Calibri Light" w:hAnsi="Calibri Light" w:cs="Calibri Light"/>
          <w:sz w:val="18"/>
          <w:szCs w:val="18"/>
        </w:rPr>
        <w:footnoteRef/>
      </w:r>
      <w:r w:rsidRPr="004B56B7">
        <w:rPr>
          <w:rFonts w:ascii="Calibri Light" w:hAnsi="Calibri Light" w:cs="Calibri Light"/>
          <w:sz w:val="18"/>
          <w:szCs w:val="18"/>
        </w:rPr>
        <w:t xml:space="preserve"> </w:t>
      </w:r>
      <w:r w:rsidRPr="004B56B7">
        <w:rPr>
          <w:rFonts w:ascii="Calibri Light" w:eastAsia="Garamond" w:hAnsi="Calibri Light" w:cs="Calibri Light"/>
          <w:sz w:val="18"/>
          <w:szCs w:val="18"/>
        </w:rPr>
        <w:t xml:space="preserve">APOYO Consultoría. Un paciente con ERH podría ser diagnosticado por el Estado peruano hasta en diez años. Debido a que, sólo hay trece médicos genéticos para diagnosticar a los 1.8 millones de pacientes con ERH de origen genético en el país. Además, hay menos de 400 médicos pediátricos que podrían diagnosticar a los 1.7 millones de pacientes de ERH de origen pediátrico. </w:t>
      </w:r>
      <w:r w:rsidRPr="004B56B7">
        <w:rPr>
          <w:rFonts w:ascii="Calibri Light" w:hAnsi="Calibri Light" w:cs="Calibri Light"/>
          <w:sz w:val="18"/>
          <w:szCs w:val="18"/>
        </w:rPr>
        <w:t>2022</w:t>
      </w:r>
      <w:r w:rsidRPr="004B56B7">
        <w:rPr>
          <w:rStyle w:val="Refdenotaalpie"/>
          <w:rFonts w:ascii="Calibri Light" w:eastAsia="Garamond" w:hAnsi="Calibri Light" w:cs="Calibri Light"/>
          <w:sz w:val="18"/>
          <w:szCs w:val="18"/>
        </w:rPr>
        <w:footnoteRef/>
      </w:r>
      <w:r w:rsidRPr="004B56B7">
        <w:rPr>
          <w:rFonts w:ascii="Calibri Light" w:eastAsia="Garamond" w:hAnsi="Calibri Light" w:cs="Calibri Light"/>
          <w:sz w:val="18"/>
          <w:szCs w:val="18"/>
        </w:rPr>
        <w:t>.</w:t>
      </w:r>
    </w:p>
  </w:footnote>
  <w:footnote w:id="18">
    <w:p w14:paraId="351978E7" w14:textId="77777777" w:rsidR="00965B1C" w:rsidRPr="004B56B7" w:rsidRDefault="00965B1C" w:rsidP="00965B1C">
      <w:pPr>
        <w:pStyle w:val="Textonotapie"/>
        <w:jc w:val="both"/>
        <w:rPr>
          <w:rFonts w:ascii="Calibri Light" w:hAnsi="Calibri Light" w:cs="Calibri Light"/>
          <w:sz w:val="18"/>
          <w:szCs w:val="18"/>
          <w:lang w:val="es-MX"/>
        </w:rPr>
      </w:pPr>
      <w:r w:rsidRPr="004B56B7">
        <w:rPr>
          <w:rStyle w:val="Refdenotaalpie"/>
          <w:rFonts w:ascii="Calibri Light" w:hAnsi="Calibri Light" w:cs="Calibri Light"/>
          <w:sz w:val="18"/>
          <w:szCs w:val="18"/>
        </w:rPr>
        <w:footnoteRef/>
      </w:r>
      <w:r w:rsidRPr="004B56B7">
        <w:rPr>
          <w:rFonts w:ascii="Calibri Light" w:hAnsi="Calibri Light" w:cs="Calibri Light"/>
          <w:sz w:val="18"/>
          <w:szCs w:val="18"/>
        </w:rPr>
        <w:t xml:space="preserve"> </w:t>
      </w:r>
      <w:r w:rsidRPr="004B56B7">
        <w:rPr>
          <w:rFonts w:ascii="Calibri Light" w:eastAsia="Garamond" w:hAnsi="Calibri Light" w:cs="Calibri Light"/>
          <w:sz w:val="18"/>
          <w:szCs w:val="18"/>
        </w:rPr>
        <w:t>APOYO Consultoría. El acceso a tratamientos podría demorar hasta quince años con un costo de S/. 48 millones al año.</w:t>
      </w:r>
    </w:p>
  </w:footnote>
  <w:footnote w:id="19">
    <w:p w14:paraId="2D4005DE" w14:textId="77777777" w:rsidR="00965B1C" w:rsidRPr="004B56B7" w:rsidRDefault="00965B1C" w:rsidP="00965B1C">
      <w:pPr>
        <w:pStyle w:val="Textonotapie"/>
        <w:jc w:val="both"/>
        <w:rPr>
          <w:rFonts w:ascii="Calibri Light" w:hAnsi="Calibri Light" w:cs="Calibri Light"/>
          <w:sz w:val="18"/>
          <w:szCs w:val="18"/>
        </w:rPr>
      </w:pPr>
      <w:r w:rsidRPr="004B56B7">
        <w:rPr>
          <w:rStyle w:val="Refdenotaalpie"/>
          <w:rFonts w:ascii="Calibri Light" w:hAnsi="Calibri Light" w:cs="Calibri Light"/>
          <w:sz w:val="18"/>
          <w:szCs w:val="18"/>
        </w:rPr>
        <w:footnoteRef/>
      </w:r>
      <w:r w:rsidRPr="004B56B7">
        <w:rPr>
          <w:rFonts w:ascii="Calibri Light" w:hAnsi="Calibri Light" w:cs="Calibri Light"/>
          <w:sz w:val="18"/>
          <w:szCs w:val="18"/>
        </w:rPr>
        <w:t xml:space="preserve"> Revista de Salud Pública: </w:t>
      </w:r>
      <w:hyperlink r:id="rId3" w:history="1">
        <w:r w:rsidRPr="004B56B7">
          <w:rPr>
            <w:rStyle w:val="Hipervnculo"/>
            <w:rFonts w:ascii="Calibri Light" w:hAnsi="Calibri Light" w:cs="Calibri Light"/>
            <w:sz w:val="18"/>
            <w:szCs w:val="18"/>
          </w:rPr>
          <w:t>http://www.scielo.org.pe/pdf/rins/v28n3/a29v28n3.pdf</w:t>
        </w:r>
      </w:hyperlink>
      <w:r w:rsidRPr="004B56B7">
        <w:rPr>
          <w:rFonts w:ascii="Calibri Light" w:hAnsi="Calibri Light" w:cs="Calibri Light"/>
          <w:sz w:val="18"/>
          <w:szCs w:val="18"/>
        </w:rPr>
        <w:t xml:space="preserve"> </w:t>
      </w:r>
    </w:p>
  </w:footnote>
  <w:footnote w:id="20">
    <w:p w14:paraId="0C2DE839" w14:textId="77777777" w:rsidR="00965B1C" w:rsidRPr="005A14D4" w:rsidRDefault="00965B1C" w:rsidP="00965B1C">
      <w:pPr>
        <w:pStyle w:val="Textonotapie"/>
        <w:jc w:val="both"/>
        <w:rPr>
          <w:rFonts w:ascii="Calibri Light" w:hAnsi="Calibri Light" w:cs="Calibri Light"/>
          <w:sz w:val="18"/>
          <w:szCs w:val="18"/>
          <w:lang w:val="es-MX"/>
        </w:rPr>
      </w:pPr>
      <w:r w:rsidRPr="004B56B7">
        <w:rPr>
          <w:rStyle w:val="Refdenotaalpie"/>
          <w:rFonts w:ascii="Calibri Light" w:hAnsi="Calibri Light" w:cs="Calibri Light"/>
          <w:sz w:val="18"/>
          <w:szCs w:val="18"/>
        </w:rPr>
        <w:footnoteRef/>
      </w:r>
      <w:r w:rsidRPr="004B56B7">
        <w:rPr>
          <w:rFonts w:ascii="Calibri Light" w:hAnsi="Calibri Light" w:cs="Calibri Light"/>
          <w:sz w:val="18"/>
          <w:szCs w:val="18"/>
        </w:rPr>
        <w:t xml:space="preserve"> </w:t>
      </w:r>
      <w:r w:rsidRPr="004B56B7">
        <w:rPr>
          <w:rFonts w:ascii="Calibri Light" w:hAnsi="Calibri Light" w:cs="Calibri Light"/>
          <w:sz w:val="18"/>
          <w:szCs w:val="18"/>
          <w:lang w:val="es-MX"/>
        </w:rPr>
        <w:t xml:space="preserve">Más de 600 personas respondieron el cuestionario del Colectivo Los Pacientes Importan. La mayoría con una enfermedad como </w:t>
      </w:r>
      <w:r w:rsidRPr="004B56B7">
        <w:rPr>
          <w:rFonts w:ascii="Calibri Light" w:hAnsi="Calibri Light" w:cs="Calibri Light"/>
          <w:sz w:val="18"/>
          <w:szCs w:val="18"/>
        </w:rPr>
        <w:t xml:space="preserve">Esclerosis Múltiple, Hemofilia A Severa, Síndrome de Marfán, Miastenia Gravis, Hipertensión pulmonar, fibrosis quística, </w:t>
      </w:r>
      <w:r w:rsidRPr="005A14D4">
        <w:rPr>
          <w:rFonts w:ascii="Calibri Light" w:hAnsi="Calibri Light" w:cs="Calibri Light"/>
          <w:sz w:val="18"/>
          <w:szCs w:val="18"/>
        </w:rPr>
        <w:t>acondroplasia, Síndrome de Williams, Osteogénesis Imperfecta, discapacidad física, discapacidad física en las articulaciones; Síndrome de Sjogren; fibromalgia y discapacidad motora leve dolor crónico, entre otros</w:t>
      </w:r>
      <w:r w:rsidRPr="005A14D4">
        <w:rPr>
          <w:rFonts w:ascii="Calibri Light" w:hAnsi="Calibri Light" w:cs="Calibri Light"/>
          <w:sz w:val="18"/>
          <w:szCs w:val="18"/>
          <w:lang w:val="es-MX"/>
        </w:rPr>
        <w:t>.</w:t>
      </w:r>
    </w:p>
  </w:footnote>
  <w:footnote w:id="21">
    <w:p w14:paraId="5AD35278" w14:textId="5DB130AA" w:rsidR="00BF06EF" w:rsidRPr="00BF06EF" w:rsidRDefault="00BF06EF">
      <w:pPr>
        <w:pStyle w:val="Textonotapie"/>
        <w:rPr>
          <w:rFonts w:ascii="Garamond" w:hAnsi="Garamond"/>
          <w:sz w:val="18"/>
          <w:szCs w:val="18"/>
          <w:lang w:val="es-MX"/>
        </w:rPr>
      </w:pPr>
      <w:r w:rsidRPr="00BF06EF">
        <w:rPr>
          <w:rStyle w:val="Refdenotaalpie"/>
          <w:rFonts w:ascii="Garamond" w:hAnsi="Garamond"/>
          <w:sz w:val="18"/>
          <w:szCs w:val="18"/>
        </w:rPr>
        <w:footnoteRef/>
      </w:r>
      <w:r w:rsidRPr="00BF06EF">
        <w:rPr>
          <w:rFonts w:ascii="Garamond" w:hAnsi="Garamond"/>
          <w:sz w:val="18"/>
          <w:szCs w:val="18"/>
        </w:rPr>
        <w:t xml:space="preserve"> </w:t>
      </w:r>
      <w:r w:rsidRPr="00BF06EF">
        <w:rPr>
          <w:rFonts w:ascii="Garamond" w:hAnsi="Garamond"/>
          <w:sz w:val="18"/>
          <w:szCs w:val="18"/>
          <w:lang w:val="es-MX"/>
        </w:rPr>
        <w:t>Fondo Intangible Solidario de Salud, F</w:t>
      </w:r>
      <w:r w:rsidR="0069008C">
        <w:rPr>
          <w:rFonts w:ascii="Garamond" w:hAnsi="Garamond"/>
          <w:sz w:val="18"/>
          <w:szCs w:val="18"/>
          <w:lang w:val="es-MX"/>
        </w:rPr>
        <w:t xml:space="preserve">ISSAL, creado mediante </w:t>
      </w:r>
      <w:r w:rsidR="0069008C" w:rsidRPr="00BF06EF">
        <w:rPr>
          <w:rFonts w:ascii="Garamond" w:eastAsia="Garamond" w:hAnsi="Garamond" w:cs="Garamond"/>
          <w:color w:val="000000"/>
          <w:sz w:val="18"/>
          <w:szCs w:val="18"/>
        </w:rPr>
        <w:t>Decreto Legislativo N°1163</w:t>
      </w:r>
      <w:r w:rsidR="0069008C">
        <w:rPr>
          <w:rFonts w:ascii="Garamond" w:eastAsia="Garamond" w:hAnsi="Garamond" w:cs="Garamond"/>
          <w:color w:val="000000"/>
          <w:sz w:val="18"/>
          <w:szCs w:val="18"/>
        </w:rPr>
        <w:t xml:space="preserve">, </w:t>
      </w:r>
      <w:r w:rsidR="0069008C">
        <w:rPr>
          <w:rFonts w:ascii="Garamond" w:eastAsia="Garamond" w:hAnsi="Garamond" w:cs="Garamond"/>
        </w:rPr>
        <w:t>con el fin de financiar y atender la salud de las personas con ERH que no se encuentren en el petitorio.</w:t>
      </w:r>
    </w:p>
  </w:footnote>
  <w:footnote w:id="22">
    <w:p w14:paraId="64782512" w14:textId="0C295CAD" w:rsidR="004163D0" w:rsidRPr="00CE3CC5" w:rsidRDefault="004163D0" w:rsidP="001155E9">
      <w:pPr>
        <w:pStyle w:val="Textonotapie"/>
        <w:jc w:val="both"/>
        <w:rPr>
          <w:rFonts w:ascii="Garamond" w:hAnsi="Garamond"/>
          <w:sz w:val="18"/>
          <w:szCs w:val="18"/>
        </w:rPr>
      </w:pPr>
      <w:r w:rsidRPr="00CE3CC5">
        <w:rPr>
          <w:rStyle w:val="Refdenotaalpie"/>
          <w:rFonts w:ascii="Garamond" w:hAnsi="Garamond"/>
          <w:sz w:val="18"/>
          <w:szCs w:val="18"/>
        </w:rPr>
        <w:footnoteRef/>
      </w:r>
      <w:r w:rsidRPr="00CE3CC5">
        <w:rPr>
          <w:rFonts w:ascii="Garamond" w:hAnsi="Garamond"/>
          <w:sz w:val="18"/>
          <w:szCs w:val="18"/>
        </w:rPr>
        <w:t xml:space="preserve"> Ministerios del Estado: Ministerio de Salud, Ministerio de Economía, Ministerio de Trabajo y Ministerio de Desarrollo Social. </w:t>
      </w:r>
    </w:p>
  </w:footnote>
  <w:footnote w:id="23">
    <w:p w14:paraId="67C7587B" w14:textId="710D8B91" w:rsidR="006D35D8" w:rsidRPr="00651CF2" w:rsidRDefault="006D35D8" w:rsidP="00651CF2">
      <w:pPr>
        <w:pStyle w:val="Textonotapie"/>
        <w:jc w:val="both"/>
        <w:rPr>
          <w:rFonts w:ascii="Garamond" w:hAnsi="Garamond"/>
          <w:sz w:val="18"/>
          <w:szCs w:val="18"/>
        </w:rPr>
      </w:pPr>
      <w:r w:rsidRPr="00651CF2">
        <w:rPr>
          <w:rStyle w:val="Refdenotaalpie"/>
          <w:rFonts w:ascii="Garamond" w:hAnsi="Garamond"/>
          <w:sz w:val="18"/>
          <w:szCs w:val="18"/>
        </w:rPr>
        <w:footnoteRef/>
      </w:r>
      <w:r w:rsidRPr="00651CF2">
        <w:rPr>
          <w:rFonts w:ascii="Garamond" w:hAnsi="Garamond"/>
          <w:sz w:val="18"/>
          <w:szCs w:val="18"/>
        </w:rPr>
        <w:t xml:space="preserve"> Revista de Salud Pública: </w:t>
      </w:r>
      <w:hyperlink r:id="rId4" w:history="1">
        <w:r w:rsidRPr="00651CF2">
          <w:rPr>
            <w:rStyle w:val="Hipervnculo"/>
            <w:rFonts w:ascii="Garamond" w:hAnsi="Garamond"/>
            <w:sz w:val="18"/>
            <w:szCs w:val="18"/>
          </w:rPr>
          <w:t>http://www.scielo.org.pe/pdf/rins/v28n3/a29v28n3.pdf</w:t>
        </w:r>
      </w:hyperlink>
      <w:r w:rsidRPr="00651CF2">
        <w:rPr>
          <w:rFonts w:ascii="Garamond" w:hAnsi="Garamond"/>
          <w:sz w:val="18"/>
          <w:szCs w:val="18"/>
        </w:rPr>
        <w:t xml:space="preserve"> </w:t>
      </w:r>
    </w:p>
  </w:footnote>
  <w:footnote w:id="24">
    <w:p w14:paraId="68CCA49A" w14:textId="7468247A" w:rsidR="00876524" w:rsidRPr="00651CF2" w:rsidRDefault="00876524" w:rsidP="00651CF2">
      <w:pPr>
        <w:pStyle w:val="Textonotapie"/>
        <w:jc w:val="both"/>
        <w:rPr>
          <w:rFonts w:ascii="Garamond" w:hAnsi="Garamond"/>
          <w:sz w:val="18"/>
          <w:szCs w:val="18"/>
        </w:rPr>
      </w:pPr>
      <w:r w:rsidRPr="00651CF2">
        <w:rPr>
          <w:rStyle w:val="Refdenotaalpie"/>
          <w:rFonts w:ascii="Garamond" w:hAnsi="Garamond"/>
          <w:sz w:val="18"/>
          <w:szCs w:val="18"/>
        </w:rPr>
        <w:footnoteRef/>
      </w:r>
      <w:r w:rsidRPr="00651CF2">
        <w:rPr>
          <w:rFonts w:ascii="Garamond" w:hAnsi="Garamond"/>
          <w:sz w:val="18"/>
          <w:szCs w:val="18"/>
        </w:rPr>
        <w:t xml:space="preserve"> ERH + AC = enfermedades raras, huérfanas, autoinmunes, crónicas y con cáncer.</w:t>
      </w:r>
    </w:p>
  </w:footnote>
  <w:footnote w:id="25">
    <w:p w14:paraId="1D14D81C" w14:textId="661214D8" w:rsidR="00651CF2" w:rsidRPr="000D314E" w:rsidRDefault="00651CF2" w:rsidP="000D314E">
      <w:pPr>
        <w:pStyle w:val="Textonotapie"/>
        <w:jc w:val="both"/>
        <w:rPr>
          <w:rFonts w:ascii="Garamond" w:hAnsi="Garamond"/>
          <w:sz w:val="18"/>
          <w:szCs w:val="18"/>
          <w:lang w:val="en-US"/>
        </w:rPr>
      </w:pPr>
      <w:r w:rsidRPr="000D314E">
        <w:rPr>
          <w:rStyle w:val="Refdenotaalpie"/>
          <w:rFonts w:ascii="Garamond" w:hAnsi="Garamond"/>
          <w:sz w:val="18"/>
          <w:szCs w:val="18"/>
        </w:rPr>
        <w:footnoteRef/>
      </w:r>
      <w:r w:rsidRPr="000D314E">
        <w:rPr>
          <w:rFonts w:ascii="Garamond" w:hAnsi="Garamond"/>
          <w:sz w:val="18"/>
          <w:szCs w:val="18"/>
        </w:rPr>
        <w:t xml:space="preserve"> </w:t>
      </w:r>
      <w:r w:rsidR="009234A3" w:rsidRPr="000D314E">
        <w:rPr>
          <w:rFonts w:ascii="Garamond" w:hAnsi="Garamond"/>
          <w:sz w:val="18"/>
          <w:szCs w:val="18"/>
        </w:rPr>
        <w:t xml:space="preserve">La Encerrona 10.01.2025, sobre la falta de acceso a Factor VIII y la compra de medicamento de dudosa efectividad: </w:t>
      </w:r>
      <w:hyperlink r:id="rId5" w:history="1">
        <w:r w:rsidR="009234A3" w:rsidRPr="000D314E">
          <w:rPr>
            <w:rStyle w:val="Hipervnculo"/>
            <w:rFonts w:ascii="Garamond" w:hAnsi="Garamond"/>
            <w:sz w:val="18"/>
            <w:szCs w:val="18"/>
          </w:rPr>
          <w:t>https://www.youtube.com/watch?v=SQD9Nsr3CmY</w:t>
        </w:r>
      </w:hyperlink>
      <w:r w:rsidR="009234A3" w:rsidRPr="000D314E">
        <w:rPr>
          <w:rFonts w:ascii="Garamond" w:hAnsi="Garamond"/>
          <w:sz w:val="18"/>
          <w:szCs w:val="18"/>
        </w:rPr>
        <w:t xml:space="preserve">  </w:t>
      </w:r>
      <w:r w:rsidR="009234A3" w:rsidRPr="000D314E">
        <w:rPr>
          <w:rFonts w:ascii="Garamond" w:hAnsi="Garamond"/>
          <w:sz w:val="18"/>
          <w:szCs w:val="18"/>
        </w:rPr>
        <w:br/>
      </w:r>
      <w:r w:rsidRPr="000D314E">
        <w:rPr>
          <w:rFonts w:ascii="Garamond" w:hAnsi="Garamond"/>
          <w:sz w:val="18"/>
          <w:szCs w:val="18"/>
        </w:rPr>
        <w:t xml:space="preserve">Radio RPP noticias. “Denuncian falta de medicamentos para pacientes con Hemofilia en el Hospital Almenara”. 04.08.2022. </w:t>
      </w:r>
      <w:r w:rsidRPr="000D314E">
        <w:rPr>
          <w:rFonts w:ascii="Garamond" w:hAnsi="Garamond"/>
          <w:sz w:val="18"/>
          <w:szCs w:val="18"/>
          <w:lang w:val="en-US"/>
        </w:rPr>
        <w:t xml:space="preserve">Link: </w:t>
      </w:r>
      <w:hyperlink r:id="rId6" w:history="1">
        <w:r w:rsidRPr="000D314E">
          <w:rPr>
            <w:rStyle w:val="Hipervnculo"/>
            <w:rFonts w:ascii="Garamond" w:hAnsi="Garamond"/>
            <w:sz w:val="18"/>
            <w:szCs w:val="18"/>
            <w:lang w:val="en-US"/>
          </w:rPr>
          <w:t>https://rpp.pe/peru/lima/denuncian-falta-de-medicamentos-para-pacientes-con-hemofilia-en-el-hospital-almenara-noticia-1422471</w:t>
        </w:r>
      </w:hyperlink>
      <w:r w:rsidRPr="000D314E">
        <w:rPr>
          <w:rFonts w:ascii="Garamond" w:hAnsi="Garamond"/>
          <w:sz w:val="18"/>
          <w:szCs w:val="18"/>
          <w:lang w:val="en-US"/>
        </w:rPr>
        <w:t xml:space="preserve"> </w:t>
      </w:r>
    </w:p>
  </w:footnote>
  <w:footnote w:id="26">
    <w:p w14:paraId="3A4B9E22" w14:textId="32DC29AA" w:rsidR="00651CF2" w:rsidRPr="000D314E" w:rsidRDefault="00651CF2" w:rsidP="000D314E">
      <w:pPr>
        <w:pStyle w:val="Textonotapie"/>
        <w:jc w:val="both"/>
        <w:rPr>
          <w:rFonts w:ascii="Garamond" w:hAnsi="Garamond"/>
          <w:sz w:val="18"/>
          <w:szCs w:val="18"/>
          <w:lang w:val="en-US"/>
        </w:rPr>
      </w:pPr>
      <w:r w:rsidRPr="000D314E">
        <w:rPr>
          <w:rStyle w:val="Refdenotaalpie"/>
          <w:rFonts w:ascii="Garamond" w:hAnsi="Garamond"/>
          <w:sz w:val="18"/>
          <w:szCs w:val="18"/>
        </w:rPr>
        <w:footnoteRef/>
      </w:r>
      <w:r w:rsidRPr="000D314E">
        <w:rPr>
          <w:rFonts w:ascii="Garamond" w:hAnsi="Garamond"/>
          <w:sz w:val="18"/>
          <w:szCs w:val="18"/>
        </w:rPr>
        <w:t xml:space="preserve"> El Comercio: “La eterna y desesperante espera para ser atendido en EsSalud”. 24.07.2022. Link: </w:t>
      </w:r>
      <w:hyperlink r:id="rId7" w:history="1">
        <w:r w:rsidRPr="000D314E">
          <w:rPr>
            <w:rStyle w:val="Hipervnculo"/>
            <w:rFonts w:ascii="Garamond" w:hAnsi="Garamond"/>
            <w:sz w:val="18"/>
            <w:szCs w:val="18"/>
            <w:lang w:val="en-US"/>
          </w:rPr>
          <w:t>https://elcomercio.pe/lima/sucesos/essalud-la-eterna-y-desesperante-espera-para-ser-atendido-en-el-seguro-social-ministerio-de-salud-medicinas-pacientes-atencion-hospitales-noticia/?ref=ecr</w:t>
        </w:r>
      </w:hyperlink>
      <w:r w:rsidRPr="000D314E">
        <w:rPr>
          <w:rFonts w:ascii="Garamond" w:hAnsi="Garamond"/>
          <w:sz w:val="18"/>
          <w:szCs w:val="18"/>
          <w:lang w:val="en-US"/>
        </w:rPr>
        <w:t xml:space="preserve"> </w:t>
      </w:r>
    </w:p>
  </w:footnote>
  <w:footnote w:id="27">
    <w:p w14:paraId="587BE5E4" w14:textId="5F58B9AC" w:rsidR="00BA47D6" w:rsidRPr="000D314E" w:rsidRDefault="00BA47D6" w:rsidP="000D314E">
      <w:pPr>
        <w:pStyle w:val="Textonotapie"/>
        <w:jc w:val="both"/>
        <w:rPr>
          <w:rFonts w:ascii="Garamond" w:hAnsi="Garamond"/>
          <w:sz w:val="18"/>
          <w:szCs w:val="18"/>
        </w:rPr>
      </w:pPr>
      <w:r w:rsidRPr="000D314E">
        <w:rPr>
          <w:rStyle w:val="Refdenotaalpie"/>
          <w:rFonts w:ascii="Garamond" w:hAnsi="Garamond"/>
          <w:sz w:val="18"/>
          <w:szCs w:val="18"/>
        </w:rPr>
        <w:footnoteRef/>
      </w:r>
      <w:r w:rsidRPr="000D314E">
        <w:rPr>
          <w:rFonts w:ascii="Garamond" w:hAnsi="Garamond"/>
          <w:sz w:val="18"/>
          <w:szCs w:val="18"/>
        </w:rPr>
        <w:t xml:space="preserve"> APOYO Consultoría, pag. 5. 2022.</w:t>
      </w:r>
    </w:p>
  </w:footnote>
  <w:footnote w:id="28">
    <w:p w14:paraId="0D40A931" w14:textId="30040F22" w:rsidR="00CB4C05" w:rsidRPr="000D314E" w:rsidRDefault="00CB4C05" w:rsidP="000D314E">
      <w:pPr>
        <w:pStyle w:val="Textonotapie"/>
        <w:jc w:val="both"/>
        <w:rPr>
          <w:rFonts w:ascii="Garamond" w:hAnsi="Garamond"/>
          <w:sz w:val="18"/>
          <w:szCs w:val="18"/>
        </w:rPr>
      </w:pPr>
      <w:r w:rsidRPr="000D314E">
        <w:rPr>
          <w:rStyle w:val="Refdenotaalpie"/>
          <w:rFonts w:ascii="Garamond" w:hAnsi="Garamond"/>
          <w:sz w:val="18"/>
          <w:szCs w:val="18"/>
        </w:rPr>
        <w:footnoteRef/>
      </w:r>
      <w:r w:rsidRPr="000D314E">
        <w:rPr>
          <w:rFonts w:ascii="Garamond" w:hAnsi="Garamond"/>
          <w:sz w:val="18"/>
          <w:szCs w:val="18"/>
        </w:rPr>
        <w:t xml:space="preserve"> MINSA. Norma técnica de salud para el tamizaje neonatal. RM N° 558-2019/MINSA. </w:t>
      </w:r>
      <w:hyperlink r:id="rId8" w:history="1">
        <w:r w:rsidRPr="000D314E">
          <w:rPr>
            <w:rStyle w:val="Hipervnculo"/>
            <w:rFonts w:ascii="Garamond" w:hAnsi="Garamond"/>
            <w:sz w:val="18"/>
            <w:szCs w:val="18"/>
          </w:rPr>
          <w:t>http://bvs.minsa.gob.pe/local/MINSA/5045.pdf</w:t>
        </w:r>
      </w:hyperlink>
      <w:r w:rsidRPr="000D314E">
        <w:rPr>
          <w:rFonts w:ascii="Garamond" w:hAnsi="Garamond"/>
          <w:sz w:val="18"/>
          <w:szCs w:val="18"/>
        </w:rPr>
        <w:t xml:space="preserve"> </w:t>
      </w:r>
    </w:p>
  </w:footnote>
  <w:footnote w:id="29">
    <w:p w14:paraId="01111EF6" w14:textId="754473BC" w:rsidR="006B2C77" w:rsidRPr="000D314E" w:rsidRDefault="006B2C77" w:rsidP="000D314E">
      <w:pPr>
        <w:pStyle w:val="Textonotapie"/>
        <w:jc w:val="both"/>
        <w:rPr>
          <w:rFonts w:ascii="Garamond" w:hAnsi="Garamond"/>
          <w:sz w:val="18"/>
          <w:szCs w:val="18"/>
        </w:rPr>
      </w:pPr>
      <w:r w:rsidRPr="000D314E">
        <w:rPr>
          <w:rStyle w:val="Refdenotaalpie"/>
          <w:rFonts w:ascii="Garamond" w:hAnsi="Garamond"/>
          <w:sz w:val="18"/>
          <w:szCs w:val="18"/>
        </w:rPr>
        <w:footnoteRef/>
      </w:r>
      <w:r w:rsidRPr="000D314E">
        <w:rPr>
          <w:rFonts w:ascii="Garamond" w:hAnsi="Garamond"/>
          <w:sz w:val="18"/>
          <w:szCs w:val="18"/>
        </w:rPr>
        <w:t xml:space="preserve"> Ibidem, pag. 6, 2022.</w:t>
      </w:r>
    </w:p>
  </w:footnote>
  <w:footnote w:id="30">
    <w:p w14:paraId="77FFEAF9" w14:textId="78E4109E" w:rsidR="00CE3CC5" w:rsidRPr="000D314E" w:rsidRDefault="00CE3CC5" w:rsidP="000D314E">
      <w:pPr>
        <w:pStyle w:val="Textonotapie"/>
        <w:jc w:val="both"/>
        <w:rPr>
          <w:rFonts w:ascii="Garamond" w:hAnsi="Garamond"/>
          <w:sz w:val="18"/>
          <w:szCs w:val="18"/>
        </w:rPr>
      </w:pPr>
      <w:r w:rsidRPr="000D314E">
        <w:rPr>
          <w:rStyle w:val="Refdenotaalpie"/>
          <w:rFonts w:ascii="Garamond" w:hAnsi="Garamond"/>
          <w:sz w:val="18"/>
          <w:szCs w:val="18"/>
        </w:rPr>
        <w:footnoteRef/>
      </w:r>
      <w:r w:rsidRPr="000D314E">
        <w:rPr>
          <w:rFonts w:ascii="Garamond" w:hAnsi="Garamond"/>
          <w:sz w:val="18"/>
          <w:szCs w:val="18"/>
        </w:rPr>
        <w:t xml:space="preserve"> Pacientes sin acceso a medicamentos: i) Eduardo Arturo Sánchez Macedo con diagnóstico de psoriasis severa y artritis psoriásica, se atiende en el Hospital Dos de Mayo, desde enero 2017 solicita tratamiento biológico al Estado y no obtiene respuesta; ii) Nil Aldo Navarro Huatalcho, hace más de dos años solicita Selexipag por emergencia, no se lo entregan; iii) Flor Maria Angeles Yataco, necesita una triple terapia, hace dos años que no obtiene respuesta; iv) Angie Rosa Mejia Cardoza, necesita una triple terapia, hace dos años que no obtiene respuesta; v) Carmen Rosa Sotil Estacion, tratamiento solicitado Selexipag, sin respuesta; vi) Alicia García Gómez, tratamiento solicitado de Selexipag en el año 2019, dicho tratamiento fue negado y, recomendaron darle Iloprost, pero hasta la fecha –julio 2022- no le han dado ninguno de los dos tratamientos o una solución al respecto.</w:t>
      </w:r>
    </w:p>
  </w:footnote>
  <w:footnote w:id="31">
    <w:p w14:paraId="37EE9DB9" w14:textId="10702FE0" w:rsidR="002211B5" w:rsidRDefault="002211B5" w:rsidP="002211B5">
      <w:pPr>
        <w:pStyle w:val="Textonotapie"/>
        <w:jc w:val="both"/>
      </w:pPr>
      <w:r w:rsidRPr="002211B5">
        <w:rPr>
          <w:rStyle w:val="Refdenotaalpie"/>
          <w:rFonts w:ascii="Garamond" w:hAnsi="Garamond"/>
          <w:sz w:val="18"/>
          <w:szCs w:val="18"/>
        </w:rPr>
        <w:footnoteRef/>
      </w:r>
      <w:r w:rsidRPr="002211B5">
        <w:rPr>
          <w:rFonts w:ascii="Garamond" w:hAnsi="Garamond"/>
          <w:sz w:val="18"/>
          <w:szCs w:val="18"/>
        </w:rPr>
        <w:t xml:space="preserve"> </w:t>
      </w:r>
      <w:r w:rsidRPr="002211B5">
        <w:rPr>
          <w:rFonts w:ascii="Garamond" w:eastAsia="Garamond" w:hAnsi="Garamond" w:cs="Garamond"/>
          <w:sz w:val="18"/>
          <w:szCs w:val="18"/>
        </w:rPr>
        <w:t>Son establecimientos de atención abierta de mediana complejidad, que proporcionan atención de tipo diagnóstico y terapéutico preferentemente a pacientes referidos por los Consultorios Generales.</w:t>
      </w:r>
    </w:p>
  </w:footnote>
  <w:footnote w:id="32">
    <w:p w14:paraId="72C2D733" w14:textId="5E7EC783" w:rsidR="007750FC" w:rsidRPr="007750FC" w:rsidRDefault="007750FC">
      <w:pPr>
        <w:pStyle w:val="Textonotapie"/>
        <w:rPr>
          <w:rFonts w:ascii="Garamond" w:hAnsi="Garamond"/>
          <w:sz w:val="18"/>
          <w:szCs w:val="18"/>
        </w:rPr>
      </w:pPr>
      <w:r w:rsidRPr="007750FC">
        <w:rPr>
          <w:rStyle w:val="Refdenotaalpie"/>
          <w:rFonts w:ascii="Garamond" w:hAnsi="Garamond"/>
          <w:sz w:val="18"/>
          <w:szCs w:val="18"/>
        </w:rPr>
        <w:footnoteRef/>
      </w:r>
      <w:r w:rsidRPr="007750FC">
        <w:rPr>
          <w:rFonts w:ascii="Garamond" w:hAnsi="Garamond"/>
          <w:sz w:val="18"/>
          <w:szCs w:val="18"/>
        </w:rPr>
        <w:t xml:space="preserve"> Observación general N° 14. El derecho al disfrute del más alto nivel posible de salud Párrafo 54.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AB4AE3" w14:textId="7EEB87F8" w:rsidR="00A43AB9" w:rsidRDefault="00A43AB9" w:rsidP="00A43AB9">
    <w:pPr>
      <w:pStyle w:val="Encabezado"/>
      <w:jc w:val="center"/>
    </w:pPr>
    <w:r>
      <w:rPr>
        <w:noProof/>
      </w:rPr>
      <w:drawing>
        <wp:inline distT="0" distB="0" distL="0" distR="0" wp14:anchorId="2CCC1EE5" wp14:editId="79334A19">
          <wp:extent cx="471488" cy="404495"/>
          <wp:effectExtent l="0" t="0" r="5080" b="0"/>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n 30"/>
                  <pic:cNvPicPr/>
                </pic:nvPicPr>
                <pic:blipFill>
                  <a:blip r:embed="rId1">
                    <a:extLst>
                      <a:ext uri="{28A0092B-C50C-407E-A947-70E740481C1C}">
                        <a14:useLocalDpi xmlns:a14="http://schemas.microsoft.com/office/drawing/2010/main" val="0"/>
                      </a:ext>
                    </a:extLst>
                  </a:blip>
                  <a:stretch>
                    <a:fillRect/>
                  </a:stretch>
                </pic:blipFill>
                <pic:spPr>
                  <a:xfrm>
                    <a:off x="0" y="0"/>
                    <a:ext cx="488977" cy="419499"/>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C5056"/>
    <w:multiLevelType w:val="multilevel"/>
    <w:tmpl w:val="502860A0"/>
    <w:lvl w:ilvl="0">
      <w:start w:val="1"/>
      <w:numFmt w:val="bullet"/>
      <w:lvlText w:val=""/>
      <w:lvlJc w:val="left"/>
      <w:pPr>
        <w:ind w:left="720" w:hanging="360"/>
      </w:pPr>
      <w:rPr>
        <w:rFonts w:ascii="Wingdings" w:hAnsi="Wingdings"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4543CA3"/>
    <w:multiLevelType w:val="multilevel"/>
    <w:tmpl w:val="EF5ADF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5C04D1B"/>
    <w:multiLevelType w:val="multilevel"/>
    <w:tmpl w:val="AEACA8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6092CEF"/>
    <w:multiLevelType w:val="hybridMultilevel"/>
    <w:tmpl w:val="13203110"/>
    <w:lvl w:ilvl="0" w:tplc="280A000B">
      <w:start w:val="1"/>
      <w:numFmt w:val="bullet"/>
      <w:lvlText w:val=""/>
      <w:lvlJc w:val="left"/>
      <w:pPr>
        <w:ind w:left="1080" w:hanging="360"/>
      </w:pPr>
      <w:rPr>
        <w:rFonts w:ascii="Wingdings" w:hAnsi="Wingdings"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4" w15:restartNumberingAfterBreak="0">
    <w:nsid w:val="09A77178"/>
    <w:multiLevelType w:val="multilevel"/>
    <w:tmpl w:val="B02AD6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1CB5AA6"/>
    <w:multiLevelType w:val="multilevel"/>
    <w:tmpl w:val="BBEE3CFE"/>
    <w:lvl w:ilvl="0">
      <w:start w:val="1"/>
      <w:numFmt w:val="bullet"/>
      <w:lvlText w:val=""/>
      <w:lvlJc w:val="left"/>
      <w:pPr>
        <w:ind w:left="720" w:hanging="360"/>
      </w:pPr>
      <w:rPr>
        <w:rFonts w:ascii="Wingdings" w:hAnsi="Wingdings"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4F41477"/>
    <w:multiLevelType w:val="hybridMultilevel"/>
    <w:tmpl w:val="AEB019F0"/>
    <w:lvl w:ilvl="0" w:tplc="280A000B">
      <w:start w:val="1"/>
      <w:numFmt w:val="bullet"/>
      <w:lvlText w:val=""/>
      <w:lvlJc w:val="left"/>
      <w:pPr>
        <w:ind w:left="1080" w:hanging="360"/>
      </w:pPr>
      <w:rPr>
        <w:rFonts w:ascii="Wingdings" w:hAnsi="Wingdings"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7" w15:restartNumberingAfterBreak="0">
    <w:nsid w:val="1AA26FB2"/>
    <w:multiLevelType w:val="hybridMultilevel"/>
    <w:tmpl w:val="C2D61F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F772D07"/>
    <w:multiLevelType w:val="multilevel"/>
    <w:tmpl w:val="57360C72"/>
    <w:lvl w:ilvl="0">
      <w:start w:val="1"/>
      <w:numFmt w:val="decimal"/>
      <w:lvlText w:val="%1."/>
      <w:lvlJc w:val="left"/>
      <w:pPr>
        <w:ind w:left="360" w:hanging="360"/>
      </w:pPr>
      <w:rPr>
        <w:rFonts w:hint="default"/>
        <w:color w:val="auto"/>
      </w:rPr>
    </w:lvl>
    <w:lvl w:ilvl="1">
      <w:start w:val="2"/>
      <w:numFmt w:val="decimal"/>
      <w:lvlText w:val="%1.%2."/>
      <w:lvlJc w:val="left"/>
      <w:pPr>
        <w:ind w:left="1080" w:hanging="720"/>
      </w:pPr>
      <w:rPr>
        <w:rFonts w:hint="default"/>
        <w:color w:val="auto"/>
      </w:rPr>
    </w:lvl>
    <w:lvl w:ilvl="2">
      <w:start w:val="1"/>
      <w:numFmt w:val="decimal"/>
      <w:lvlText w:val="%1.%2.%3."/>
      <w:lvlJc w:val="left"/>
      <w:pPr>
        <w:ind w:left="1440" w:hanging="720"/>
      </w:pPr>
      <w:rPr>
        <w:rFonts w:hint="default"/>
        <w:color w:val="auto"/>
      </w:rPr>
    </w:lvl>
    <w:lvl w:ilvl="3">
      <w:start w:val="1"/>
      <w:numFmt w:val="decimal"/>
      <w:lvlText w:val="%1.%2.%3.%4."/>
      <w:lvlJc w:val="left"/>
      <w:pPr>
        <w:ind w:left="2160" w:hanging="1080"/>
      </w:pPr>
      <w:rPr>
        <w:rFonts w:hint="default"/>
        <w:color w:val="auto"/>
      </w:rPr>
    </w:lvl>
    <w:lvl w:ilvl="4">
      <w:start w:val="1"/>
      <w:numFmt w:val="decimal"/>
      <w:lvlText w:val="%1.%2.%3.%4.%5."/>
      <w:lvlJc w:val="left"/>
      <w:pPr>
        <w:ind w:left="2520" w:hanging="1080"/>
      </w:pPr>
      <w:rPr>
        <w:rFonts w:hint="default"/>
        <w:color w:val="auto"/>
      </w:rPr>
    </w:lvl>
    <w:lvl w:ilvl="5">
      <w:start w:val="1"/>
      <w:numFmt w:val="decimal"/>
      <w:lvlText w:val="%1.%2.%3.%4.%5.%6."/>
      <w:lvlJc w:val="left"/>
      <w:pPr>
        <w:ind w:left="3240" w:hanging="1440"/>
      </w:pPr>
      <w:rPr>
        <w:rFonts w:hint="default"/>
        <w:color w:val="auto"/>
      </w:rPr>
    </w:lvl>
    <w:lvl w:ilvl="6">
      <w:start w:val="1"/>
      <w:numFmt w:val="decimal"/>
      <w:lvlText w:val="%1.%2.%3.%4.%5.%6.%7."/>
      <w:lvlJc w:val="left"/>
      <w:pPr>
        <w:ind w:left="3600" w:hanging="1440"/>
      </w:pPr>
      <w:rPr>
        <w:rFonts w:hint="default"/>
        <w:color w:val="auto"/>
      </w:rPr>
    </w:lvl>
    <w:lvl w:ilvl="7">
      <w:start w:val="1"/>
      <w:numFmt w:val="decimal"/>
      <w:lvlText w:val="%1.%2.%3.%4.%5.%6.%7.%8."/>
      <w:lvlJc w:val="left"/>
      <w:pPr>
        <w:ind w:left="4320" w:hanging="1800"/>
      </w:pPr>
      <w:rPr>
        <w:rFonts w:hint="default"/>
        <w:color w:val="auto"/>
      </w:rPr>
    </w:lvl>
    <w:lvl w:ilvl="8">
      <w:start w:val="1"/>
      <w:numFmt w:val="decimal"/>
      <w:lvlText w:val="%1.%2.%3.%4.%5.%6.%7.%8.%9."/>
      <w:lvlJc w:val="left"/>
      <w:pPr>
        <w:ind w:left="5040" w:hanging="2160"/>
      </w:pPr>
      <w:rPr>
        <w:rFonts w:hint="default"/>
        <w:color w:val="auto"/>
      </w:rPr>
    </w:lvl>
  </w:abstractNum>
  <w:abstractNum w:abstractNumId="9" w15:restartNumberingAfterBreak="0">
    <w:nsid w:val="35B530B3"/>
    <w:multiLevelType w:val="multilevel"/>
    <w:tmpl w:val="E16EF1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35C466E6"/>
    <w:multiLevelType w:val="multilevel"/>
    <w:tmpl w:val="8E247A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3AC66CB7"/>
    <w:multiLevelType w:val="hybridMultilevel"/>
    <w:tmpl w:val="0EE4C0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282463B"/>
    <w:multiLevelType w:val="multilevel"/>
    <w:tmpl w:val="EB641E4A"/>
    <w:lvl w:ilvl="0">
      <w:start w:val="1"/>
      <w:numFmt w:val="bullet"/>
      <w:lvlText w:val=""/>
      <w:lvlJc w:val="left"/>
      <w:pPr>
        <w:ind w:left="720" w:hanging="360"/>
      </w:pPr>
      <w:rPr>
        <w:rFonts w:ascii="Wingdings" w:hAnsi="Wingdings"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4CB75134"/>
    <w:multiLevelType w:val="multilevel"/>
    <w:tmpl w:val="FEFEE44A"/>
    <w:lvl w:ilvl="0">
      <w:start w:val="1"/>
      <w:numFmt w:val="bullet"/>
      <w:lvlText w:val=""/>
      <w:lvlJc w:val="left"/>
      <w:pPr>
        <w:ind w:left="720" w:hanging="360"/>
      </w:pPr>
      <w:rPr>
        <w:rFonts w:ascii="Wingdings" w:hAnsi="Wingdings"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4E821CD0"/>
    <w:multiLevelType w:val="hybridMultilevel"/>
    <w:tmpl w:val="149E35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0BC7CA5"/>
    <w:multiLevelType w:val="multilevel"/>
    <w:tmpl w:val="21F4D8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53750897"/>
    <w:multiLevelType w:val="multilevel"/>
    <w:tmpl w:val="63C63ED8"/>
    <w:lvl w:ilvl="0">
      <w:start w:val="1"/>
      <w:numFmt w:val="bullet"/>
      <w:lvlText w:val=""/>
      <w:lvlJc w:val="left"/>
      <w:pPr>
        <w:ind w:left="720" w:hanging="360"/>
      </w:pPr>
      <w:rPr>
        <w:rFonts w:ascii="Wingdings" w:hAnsi="Wingdings"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555C6A04"/>
    <w:multiLevelType w:val="multilevel"/>
    <w:tmpl w:val="E56CF3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7C5A5F0E"/>
    <w:multiLevelType w:val="multilevel"/>
    <w:tmpl w:val="CA76BA38"/>
    <w:lvl w:ilvl="0">
      <w:start w:val="1"/>
      <w:numFmt w:val="decimal"/>
      <w:lvlText w:val="%1."/>
      <w:lvlJc w:val="left"/>
      <w:pPr>
        <w:ind w:left="720" w:hanging="360"/>
      </w:p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520" w:hanging="2160"/>
      </w:pPr>
    </w:lvl>
  </w:abstractNum>
  <w:abstractNum w:abstractNumId="19" w15:restartNumberingAfterBreak="0">
    <w:nsid w:val="7E3043FA"/>
    <w:multiLevelType w:val="hybridMultilevel"/>
    <w:tmpl w:val="FB965F20"/>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abstractNumId w:val="10"/>
  </w:num>
  <w:num w:numId="2">
    <w:abstractNumId w:val="2"/>
  </w:num>
  <w:num w:numId="3">
    <w:abstractNumId w:val="9"/>
  </w:num>
  <w:num w:numId="4">
    <w:abstractNumId w:val="17"/>
  </w:num>
  <w:num w:numId="5">
    <w:abstractNumId w:val="18"/>
  </w:num>
  <w:num w:numId="6">
    <w:abstractNumId w:val="15"/>
  </w:num>
  <w:num w:numId="7">
    <w:abstractNumId w:val="4"/>
  </w:num>
  <w:num w:numId="8">
    <w:abstractNumId w:val="14"/>
  </w:num>
  <w:num w:numId="9">
    <w:abstractNumId w:val="7"/>
  </w:num>
  <w:num w:numId="10">
    <w:abstractNumId w:val="1"/>
  </w:num>
  <w:num w:numId="11">
    <w:abstractNumId w:val="8"/>
  </w:num>
  <w:num w:numId="12">
    <w:abstractNumId w:val="16"/>
  </w:num>
  <w:num w:numId="13">
    <w:abstractNumId w:val="5"/>
  </w:num>
  <w:num w:numId="14">
    <w:abstractNumId w:val="0"/>
  </w:num>
  <w:num w:numId="15">
    <w:abstractNumId w:val="3"/>
  </w:num>
  <w:num w:numId="16">
    <w:abstractNumId w:val="6"/>
  </w:num>
  <w:num w:numId="17">
    <w:abstractNumId w:val="13"/>
  </w:num>
  <w:num w:numId="18">
    <w:abstractNumId w:val="12"/>
  </w:num>
  <w:num w:numId="19">
    <w:abstractNumId w:val="11"/>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721E"/>
    <w:rsid w:val="00015B6F"/>
    <w:rsid w:val="00026647"/>
    <w:rsid w:val="00056C76"/>
    <w:rsid w:val="000C404C"/>
    <w:rsid w:val="000D314E"/>
    <w:rsid w:val="00101436"/>
    <w:rsid w:val="00103064"/>
    <w:rsid w:val="001155E9"/>
    <w:rsid w:val="00115CEA"/>
    <w:rsid w:val="001847E1"/>
    <w:rsid w:val="001D2C71"/>
    <w:rsid w:val="002211B5"/>
    <w:rsid w:val="00253A6E"/>
    <w:rsid w:val="002A692E"/>
    <w:rsid w:val="002A6DD5"/>
    <w:rsid w:val="002D3ACB"/>
    <w:rsid w:val="00305B06"/>
    <w:rsid w:val="00332AFE"/>
    <w:rsid w:val="0035786F"/>
    <w:rsid w:val="00394D53"/>
    <w:rsid w:val="003A0E57"/>
    <w:rsid w:val="003F1E7E"/>
    <w:rsid w:val="004163D0"/>
    <w:rsid w:val="00452710"/>
    <w:rsid w:val="00486605"/>
    <w:rsid w:val="004A0DAB"/>
    <w:rsid w:val="004F1D4E"/>
    <w:rsid w:val="0055032D"/>
    <w:rsid w:val="005C09D0"/>
    <w:rsid w:val="005D4E38"/>
    <w:rsid w:val="005F767C"/>
    <w:rsid w:val="00611816"/>
    <w:rsid w:val="00633165"/>
    <w:rsid w:val="00651CF2"/>
    <w:rsid w:val="00670C8E"/>
    <w:rsid w:val="0069008C"/>
    <w:rsid w:val="006A2AA4"/>
    <w:rsid w:val="006B2C4E"/>
    <w:rsid w:val="006B2C77"/>
    <w:rsid w:val="006C7719"/>
    <w:rsid w:val="006D35D8"/>
    <w:rsid w:val="0071605C"/>
    <w:rsid w:val="00717408"/>
    <w:rsid w:val="00726658"/>
    <w:rsid w:val="00727D50"/>
    <w:rsid w:val="00756CB4"/>
    <w:rsid w:val="007750FC"/>
    <w:rsid w:val="007834BE"/>
    <w:rsid w:val="007965D1"/>
    <w:rsid w:val="007A0BD7"/>
    <w:rsid w:val="007A17DF"/>
    <w:rsid w:val="007D42B7"/>
    <w:rsid w:val="0080721E"/>
    <w:rsid w:val="0081755D"/>
    <w:rsid w:val="00820AF8"/>
    <w:rsid w:val="008372BE"/>
    <w:rsid w:val="00867D17"/>
    <w:rsid w:val="00876524"/>
    <w:rsid w:val="00880D4F"/>
    <w:rsid w:val="008B284A"/>
    <w:rsid w:val="00920A7B"/>
    <w:rsid w:val="009234A3"/>
    <w:rsid w:val="00965B1C"/>
    <w:rsid w:val="00A43AB9"/>
    <w:rsid w:val="00A61BED"/>
    <w:rsid w:val="00A658FA"/>
    <w:rsid w:val="00A65B65"/>
    <w:rsid w:val="00A727EB"/>
    <w:rsid w:val="00A7716A"/>
    <w:rsid w:val="00AF6052"/>
    <w:rsid w:val="00B015C3"/>
    <w:rsid w:val="00B14CC5"/>
    <w:rsid w:val="00B40769"/>
    <w:rsid w:val="00BA47D6"/>
    <w:rsid w:val="00BF06EF"/>
    <w:rsid w:val="00C005C8"/>
    <w:rsid w:val="00C16373"/>
    <w:rsid w:val="00C42096"/>
    <w:rsid w:val="00C45E33"/>
    <w:rsid w:val="00C8540F"/>
    <w:rsid w:val="00C972BC"/>
    <w:rsid w:val="00CB4C05"/>
    <w:rsid w:val="00CE3CC5"/>
    <w:rsid w:val="00D02B63"/>
    <w:rsid w:val="00D16CBA"/>
    <w:rsid w:val="00D43B90"/>
    <w:rsid w:val="00D54286"/>
    <w:rsid w:val="00D67CCE"/>
    <w:rsid w:val="00D705F2"/>
    <w:rsid w:val="00D73590"/>
    <w:rsid w:val="00D7478C"/>
    <w:rsid w:val="00D93786"/>
    <w:rsid w:val="00D976A4"/>
    <w:rsid w:val="00DA73DA"/>
    <w:rsid w:val="00DF518A"/>
    <w:rsid w:val="00E04AE3"/>
    <w:rsid w:val="00E52F4D"/>
    <w:rsid w:val="00E62A1E"/>
    <w:rsid w:val="00E70E36"/>
    <w:rsid w:val="00E711FD"/>
    <w:rsid w:val="00E93C23"/>
    <w:rsid w:val="00F1358B"/>
    <w:rsid w:val="00F40783"/>
    <w:rsid w:val="00F5245A"/>
    <w:rsid w:val="00F715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540BC80"/>
  <w15:docId w15:val="{5584BDD9-55A0-4C38-83CA-4364FE2E56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Prrafodelista">
    <w:name w:val="List Paragraph"/>
    <w:basedOn w:val="Normal"/>
    <w:uiPriority w:val="34"/>
    <w:qFormat/>
    <w:rsid w:val="00963F4D"/>
    <w:pPr>
      <w:spacing w:line="256" w:lineRule="auto"/>
      <w:ind w:left="720"/>
      <w:contextualSpacing/>
    </w:pPr>
    <w:rPr>
      <w:lang w:val="es-MX" w:eastAsia="es-PE"/>
    </w:rPr>
  </w:style>
  <w:style w:type="paragraph" w:styleId="Textonotapie">
    <w:name w:val="footnote text"/>
    <w:basedOn w:val="Normal"/>
    <w:link w:val="TextonotapieCar"/>
    <w:uiPriority w:val="99"/>
    <w:semiHidden/>
    <w:unhideWhenUsed/>
    <w:rsid w:val="00CB55C6"/>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CB55C6"/>
    <w:rPr>
      <w:sz w:val="20"/>
      <w:szCs w:val="20"/>
    </w:rPr>
  </w:style>
  <w:style w:type="character" w:styleId="Refdenotaalpie">
    <w:name w:val="footnote reference"/>
    <w:basedOn w:val="Fuentedeprrafopredeter"/>
    <w:uiPriority w:val="99"/>
    <w:semiHidden/>
    <w:unhideWhenUsed/>
    <w:rsid w:val="00CB55C6"/>
    <w:rPr>
      <w:vertAlign w:val="superscript"/>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character" w:styleId="Hipervnculo">
    <w:name w:val="Hyperlink"/>
    <w:basedOn w:val="Fuentedeprrafopredeter"/>
    <w:uiPriority w:val="99"/>
    <w:unhideWhenUsed/>
    <w:rsid w:val="006D35D8"/>
    <w:rPr>
      <w:color w:val="0563C1" w:themeColor="hyperlink"/>
      <w:u w:val="single"/>
    </w:rPr>
  </w:style>
  <w:style w:type="table" w:styleId="Tablaconcuadrcula">
    <w:name w:val="Table Grid"/>
    <w:basedOn w:val="Tablanormal"/>
    <w:uiPriority w:val="39"/>
    <w:rsid w:val="001847E1"/>
    <w:pPr>
      <w:widowControl w:val="0"/>
      <w:spacing w:after="0" w:line="240" w:lineRule="auto"/>
    </w:pPr>
    <w:rPr>
      <w:rFonts w:ascii="Arial" w:eastAsia="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C005C8"/>
    <w:rPr>
      <w:color w:val="605E5C"/>
      <w:shd w:val="clear" w:color="auto" w:fill="E1DFDD"/>
    </w:rPr>
  </w:style>
  <w:style w:type="paragraph" w:styleId="Encabezado">
    <w:name w:val="header"/>
    <w:basedOn w:val="Normal"/>
    <w:link w:val="EncabezadoCar"/>
    <w:uiPriority w:val="99"/>
    <w:unhideWhenUsed/>
    <w:rsid w:val="00A43AB9"/>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43AB9"/>
  </w:style>
  <w:style w:type="paragraph" w:styleId="Piedepgina">
    <w:name w:val="footer"/>
    <w:basedOn w:val="Normal"/>
    <w:link w:val="PiedepginaCar"/>
    <w:uiPriority w:val="99"/>
    <w:unhideWhenUsed/>
    <w:rsid w:val="00A43AB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43A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56459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3" Type="http://schemas.openxmlformats.org/officeDocument/2006/relationships/numbering" Target="numbering.xml"/><Relationship Id="rId21" Type="http://schemas.openxmlformats.org/officeDocument/2006/relationships/image" Target="media/image13.png"/><Relationship Id="rId34" Type="http://schemas.openxmlformats.org/officeDocument/2006/relationships/image" Target="media/image26.jpeg"/><Relationship Id="rId42" Type="http://schemas.openxmlformats.org/officeDocument/2006/relationships/image" Target="media/image34.png"/><Relationship Id="rId47" Type="http://schemas.openxmlformats.org/officeDocument/2006/relationships/hyperlink" Target="https://www.instagram.com/lospacientesimportan/" TargetMode="External"/><Relationship Id="rId50"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jpe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jpeg"/><Relationship Id="rId46" Type="http://schemas.openxmlformats.org/officeDocument/2006/relationships/hyperlink" Target="https://www.facebook.com/lospacientesimportan" TargetMode="Externa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41" Type="http://schemas.openxmlformats.org/officeDocument/2006/relationships/image" Target="media/image33.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jpeg"/><Relationship Id="rId45" Type="http://schemas.openxmlformats.org/officeDocument/2006/relationships/hyperlink" Target="https://x.com/los_pacientes" TargetMode="Externa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jpe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hyperlink" Target="mailto:lospacientesimportan@gmail.com"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jpeg"/><Relationship Id="rId48" Type="http://schemas.openxmlformats.org/officeDocument/2006/relationships/hyperlink" Target="https://www.youtube.com/@lospacientesimportan9660" TargetMode="External"/><Relationship Id="rId8" Type="http://schemas.openxmlformats.org/officeDocument/2006/relationships/endnotes" Target="endnotes.xml"/><Relationship Id="rId51"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bvs.minsa.gob.pe/local/MINSA/5045.pdf" TargetMode="External"/><Relationship Id="rId3" Type="http://schemas.openxmlformats.org/officeDocument/2006/relationships/hyperlink" Target="http://www.scielo.org.pe/pdf/rins/v28n3/a29v28n3.pdf" TargetMode="External"/><Relationship Id="rId7" Type="http://schemas.openxmlformats.org/officeDocument/2006/relationships/hyperlink" Target="https://elcomercio.pe/lima/sucesos/essalud-la-eterna-y-desesperante-espera-para-ser-atendido-en-el-seguro-social-ministerio-de-salud-medicinas-pacientes-atencion-hospitales-noticia/?ref=ecr" TargetMode="External"/><Relationship Id="rId2" Type="http://schemas.openxmlformats.org/officeDocument/2006/relationships/hyperlink" Target="https://www.change.org/p/exigimos-un-reglamento-para-vivir-exhortamos-al-minsa-peru-essaludperu-reglamentar-ley-31738-para-enfermedades-raras-los-pacientes?fbclid=IwZXh0bgNhZW0CMTAAAR0T_4MF5jo8OnbRTm7KVvbvRdM3RshZhALNsGATbydKSNClZhIUNHXsAtg_aem_-0BMh4XH1vd_41oIkxT3_A" TargetMode="External"/><Relationship Id="rId1" Type="http://schemas.openxmlformats.org/officeDocument/2006/relationships/hyperlink" Target="http://www.scielo.org.pe/pdf/rins/v28n3/a29v28n3.pdf" TargetMode="External"/><Relationship Id="rId6" Type="http://schemas.openxmlformats.org/officeDocument/2006/relationships/hyperlink" Target="https://rpp.pe/peru/lima/denuncian-falta-de-medicamentos-para-pacientes-con-hemofilia-en-el-hospital-almenara-noticia-1422471" TargetMode="External"/><Relationship Id="rId5" Type="http://schemas.openxmlformats.org/officeDocument/2006/relationships/hyperlink" Target="https://www.youtube.com/watch?v=SQD9Nsr3CmY" TargetMode="External"/><Relationship Id="rId4" Type="http://schemas.openxmlformats.org/officeDocument/2006/relationships/hyperlink" Target="http://www.scielo.org.pe/pdf/rins/v28n3/a29v28n3.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6.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daVsFqaOMLFaSRYLOEZFPqlzV1w==">AMUW2mVu+S5JZqmZqmnWAVvqDB7cFZ+df9wpWUP2OMhSRQfC6IsdXsKY5tKKLBZWw9AstAgYxgduIHCbd7C61NYZqF01/FIa+D04Ru0dPSLmZV3u2hQdBu1sdPbwCga28mtArCSIdxay</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4287198B-58E7-425E-BF46-173F21D544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314</TotalTime>
  <Pages>9</Pages>
  <Words>3878</Words>
  <Characters>21329</Characters>
  <Application>Microsoft Office Word</Application>
  <DocSecurity>0</DocSecurity>
  <Lines>177</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Sofia</dc:creator>
  <cp:lastModifiedBy>Sofia Garcia</cp:lastModifiedBy>
  <cp:revision>18</cp:revision>
  <dcterms:created xsi:type="dcterms:W3CDTF">2025-01-10T00:04:00Z</dcterms:created>
  <dcterms:modified xsi:type="dcterms:W3CDTF">2025-01-10T18:09:00Z</dcterms:modified>
</cp:coreProperties>
</file>