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830922" w14:textId="77777777" w:rsidR="00D70244" w:rsidRPr="00C5478C" w:rsidRDefault="00D70244" w:rsidP="00D70244">
      <w:pPr>
        <w:pStyle w:val="Heading2"/>
        <w:jc w:val="center"/>
        <w:rPr>
          <w:rFonts w:ascii="Calibri" w:hAnsi="Calibri"/>
          <w:b w:val="0"/>
        </w:rPr>
      </w:pPr>
    </w:p>
    <w:tbl>
      <w:tblPr>
        <w:tblW w:w="0" w:type="auto"/>
        <w:tblLook w:val="04A0" w:firstRow="1" w:lastRow="0" w:firstColumn="1" w:lastColumn="0" w:noHBand="0" w:noVBand="1"/>
      </w:tblPr>
      <w:tblGrid>
        <w:gridCol w:w="4948"/>
        <w:gridCol w:w="4988"/>
      </w:tblGrid>
      <w:tr w:rsidR="00D70244" w:rsidRPr="003A3F2F" w14:paraId="72F053D6" w14:textId="77777777" w:rsidTr="00AC043F">
        <w:trPr>
          <w:trHeight w:val="2930"/>
        </w:trPr>
        <w:tc>
          <w:tcPr>
            <w:tcW w:w="5076" w:type="dxa"/>
            <w:shd w:val="clear" w:color="auto" w:fill="auto"/>
          </w:tcPr>
          <w:p w14:paraId="58024E91" w14:textId="77777777" w:rsidR="00D70244" w:rsidRPr="003A3F2F" w:rsidRDefault="00D70244" w:rsidP="00AC043F"/>
          <w:p w14:paraId="6B8CFC1F" w14:textId="77777777" w:rsidR="005F27AA" w:rsidRPr="003A3F2F" w:rsidRDefault="005F27AA" w:rsidP="00AC043F"/>
          <w:p w14:paraId="1AB11D3C" w14:textId="77777777" w:rsidR="00D70244" w:rsidRPr="003A3F2F" w:rsidRDefault="00D70244" w:rsidP="00AC043F"/>
          <w:p w14:paraId="17BB56E6" w14:textId="5496B661" w:rsidR="00D70244" w:rsidRPr="00C5478C" w:rsidRDefault="00582633" w:rsidP="00AC043F">
            <w:pPr>
              <w:pStyle w:val="Heading2"/>
              <w:jc w:val="center"/>
              <w:rPr>
                <w:rFonts w:ascii="Calibri" w:hAnsi="Calibri"/>
                <w:b w:val="0"/>
              </w:rPr>
            </w:pPr>
            <w:bookmarkStart w:id="0" w:name="_Toc412556718"/>
            <w:bookmarkStart w:id="1" w:name="_Toc442137978"/>
            <w:bookmarkStart w:id="2" w:name="_Toc442138081"/>
            <w:bookmarkStart w:id="3" w:name="_Toc442138184"/>
            <w:bookmarkStart w:id="4" w:name="_Toc442138271"/>
            <w:bookmarkStart w:id="5" w:name="_Toc442138301"/>
            <w:bookmarkStart w:id="6" w:name="_Toc442138337"/>
            <w:bookmarkStart w:id="7" w:name="_Toc442138367"/>
            <w:bookmarkStart w:id="8" w:name="_Toc442138427"/>
            <w:bookmarkStart w:id="9" w:name="_Toc442138483"/>
            <w:bookmarkStart w:id="10" w:name="_Toc442141753"/>
            <w:bookmarkStart w:id="11" w:name="_Toc442141836"/>
            <w:bookmarkStart w:id="12" w:name="_Toc442142924"/>
            <w:bookmarkStart w:id="13" w:name="_Toc495062187"/>
            <w:bookmarkStart w:id="14" w:name="_Toc32279493"/>
            <w:r>
              <w:rPr>
                <w:noProof/>
              </w:rPr>
              <mc:AlternateContent>
                <mc:Choice Requires="wps">
                  <w:drawing>
                    <wp:anchor distT="152400" distB="152400" distL="152400" distR="152400" simplePos="0" relativeHeight="251651072" behindDoc="0" locked="0" layoutInCell="1" allowOverlap="1" wp14:anchorId="48DE61B7" wp14:editId="611A9A1A">
                      <wp:simplePos x="0" y="0"/>
                      <wp:positionH relativeFrom="margin">
                        <wp:posOffset>7620</wp:posOffset>
                      </wp:positionH>
                      <wp:positionV relativeFrom="line">
                        <wp:posOffset>0</wp:posOffset>
                      </wp:positionV>
                      <wp:extent cx="1234440" cy="548640"/>
                      <wp:effectExtent l="19050" t="19050" r="22860" b="22860"/>
                      <wp:wrapNone/>
                      <wp:docPr id="14" name="Text Box 1" descr="Text Box:  C C P I "/>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4440" cy="548640"/>
                              </a:xfrm>
                              <a:prstGeom prst="rect">
                                <a:avLst/>
                              </a:prstGeom>
                              <a:solidFill>
                                <a:srgbClr val="000000"/>
                              </a:solidFill>
                              <a:ln w="60960">
                                <a:solidFill>
                                  <a:srgbClr val="000000"/>
                                </a:solidFill>
                                <a:miter lim="800000"/>
                                <a:headEnd/>
                                <a:tailEnd/>
                              </a:ln>
                            </wps:spPr>
                            <wps:txbx>
                              <w:txbxContent>
                                <w:p w14:paraId="20823583" w14:textId="77777777" w:rsidR="00760C74" w:rsidRDefault="00760C74">
                                  <w:r>
                                    <w:rPr>
                                      <w:rFonts w:ascii="Arial" w:hAnsi="Arial"/>
                                      <w:b/>
                                      <w:color w:val="FFFFFF"/>
                                      <w:shd w:val="solid" w:color="auto" w:fill="auto"/>
                                    </w:rPr>
                                    <w:t xml:space="preserve">  </w:t>
                                  </w:r>
                                  <w:r>
                                    <w:rPr>
                                      <w:rFonts w:ascii="Arial" w:hAnsi="Arial"/>
                                      <w:b/>
                                      <w:color w:val="FFFFFF"/>
                                      <w:sz w:val="40"/>
                                      <w:shd w:val="solid" w:color="auto" w:fill="auto"/>
                                    </w:rPr>
                                    <w:t xml:space="preserve">C </w:t>
                                  </w:r>
                                  <w:proofErr w:type="spellStart"/>
                                  <w:r>
                                    <w:rPr>
                                      <w:rFonts w:ascii="Arial" w:hAnsi="Arial"/>
                                      <w:b/>
                                      <w:color w:val="FFFFFF"/>
                                      <w:sz w:val="40"/>
                                      <w:shd w:val="solid" w:color="auto" w:fill="auto"/>
                                    </w:rPr>
                                    <w:t>C</w:t>
                                  </w:r>
                                  <w:proofErr w:type="spellEnd"/>
                                  <w:r>
                                    <w:rPr>
                                      <w:rFonts w:ascii="Arial" w:hAnsi="Arial"/>
                                      <w:b/>
                                      <w:color w:val="FFFFFF"/>
                                      <w:sz w:val="40"/>
                                      <w:shd w:val="solid" w:color="auto" w:fill="auto"/>
                                    </w:rPr>
                                    <w:t xml:space="preserve"> P I</w:t>
                                  </w:r>
                                </w:p>
                              </w:txbxContent>
                            </wps:txbx>
                            <wps:bodyPr rot="0" vert="horz" wrap="square" lIns="76200" tIns="76200" rIns="76200" bIns="762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DE61B7" id="_x0000_t202" coordsize="21600,21600" o:spt="202" path="m,l,21600r21600,l21600,xe">
                      <v:stroke joinstyle="miter"/>
                      <v:path gradientshapeok="t" o:connecttype="rect"/>
                    </v:shapetype>
                    <v:shape id="_x0000_s1026" type="#_x0000_t202" alt="Text Box:  C C P I " style="position:absolute;left:0;text-align:left;margin-left:.6pt;margin-top:0;width:97.2pt;height:43.2pt;z-index:251651072;visibility:visible;mso-wrap-style:square;mso-width-percent:0;mso-height-percent:0;mso-wrap-distance-left:12pt;mso-wrap-distance-top:12pt;mso-wrap-distance-right:12pt;mso-wrap-distance-bottom:12pt;mso-position-horizontal:absolute;mso-position-horizontal-relative:margin;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" fillcolor="black" strokeweight="4.8pt">
                      <v:textbox inset="6pt,6pt,6pt,6pt">
                        <w:txbxContent>
                          <w:p w14:paraId="20823583" w14:textId="77777777" w:rsidR="00760C74" w:rsidRDefault="00760C74">
                            <w:r>
                              <w:rPr>
                                <w:rFonts w:ascii="Arial" w:hAnsi="Arial"/>
                                <w:b/>
                                <w:color w:val="FFFFFF"/>
                                <w:shd w:val="solid" w:color="auto" w:fill="auto"/>
                              </w:rPr>
                              <w:t xml:space="preserve">  </w:t>
                            </w:r>
                            <w:r>
                              <w:rPr>
                                <w:rFonts w:ascii="Arial" w:hAnsi="Arial"/>
                                <w:b/>
                                <w:color w:val="FFFFFF"/>
                                <w:sz w:val="40"/>
                                <w:shd w:val="solid" w:color="auto" w:fill="auto"/>
                              </w:rPr>
                              <w:t xml:space="preserve">C </w:t>
                            </w:r>
                            <w:proofErr w:type="spellStart"/>
                            <w:r>
                              <w:rPr>
                                <w:rFonts w:ascii="Arial" w:hAnsi="Arial"/>
                                <w:b/>
                                <w:color w:val="FFFFFF"/>
                                <w:sz w:val="40"/>
                                <w:shd w:val="solid" w:color="auto" w:fill="auto"/>
                              </w:rPr>
                              <w:t>C</w:t>
                            </w:r>
                            <w:proofErr w:type="spellEnd"/>
                            <w:r>
                              <w:rPr>
                                <w:rFonts w:ascii="Arial" w:hAnsi="Arial"/>
                                <w:b/>
                                <w:color w:val="FFFFFF"/>
                                <w:sz w:val="40"/>
                                <w:shd w:val="solid" w:color="auto" w:fill="auto"/>
                              </w:rPr>
                              <w:t xml:space="preserve"> P I</w:t>
                            </w:r>
                          </w:p>
                        </w:txbxContent>
                      </v:textbox>
                      <w10:wrap anchorx="margin" anchory="line"/>
                    </v:shape>
                  </w:pict>
                </mc:Fallback>
              </mc:AlternateConten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p>
          <w:p w14:paraId="09016FB4" w14:textId="23C08483" w:rsidR="00D70244" w:rsidRPr="00C5478C" w:rsidRDefault="00D70244" w:rsidP="00AC043F">
            <w:pPr>
              <w:pStyle w:val="Heading2"/>
              <w:rPr>
                <w:rFonts w:ascii="Calibri" w:hAnsi="Calibri"/>
                <w:b w:val="0"/>
                <w:lang w:val="en-US"/>
              </w:rPr>
            </w:pPr>
            <w:r w:rsidRPr="00C5478C">
              <w:rPr>
                <w:rFonts w:ascii="Calibri" w:hAnsi="Calibri"/>
                <w:b w:val="0"/>
                <w:lang w:val="en-US"/>
              </w:rPr>
              <w:fldChar w:fldCharType="begin"/>
            </w:r>
            <w:r w:rsidRPr="00C5478C">
              <w:rPr>
                <w:rFonts w:ascii="Calibri" w:hAnsi="Calibri"/>
                <w:b w:val="0"/>
                <w:lang w:val="en-US"/>
              </w:rPr>
              <w:instrText xml:space="preserve"> SEQ CHAPTER \h \r 1</w:instrText>
            </w:r>
            <w:r w:rsidRPr="00C5478C">
              <w:rPr>
                <w:rFonts w:ascii="Calibri" w:hAnsi="Calibri"/>
                <w:b w:val="0"/>
              </w:rPr>
              <w:fldChar w:fldCharType="end"/>
            </w:r>
          </w:p>
          <w:p w14:paraId="1726FE12" w14:textId="77777777" w:rsidR="00D70244" w:rsidRPr="003A3F2F" w:rsidRDefault="00D70244" w:rsidP="00AA024E">
            <w:pPr>
              <w:spacing w:after="0" w:line="240" w:lineRule="auto"/>
              <w:rPr>
                <w:b/>
                <w:u w:val="single"/>
                <w:lang w:val="en-US"/>
              </w:rPr>
            </w:pPr>
            <w:bookmarkStart w:id="15" w:name="_Toc412556719"/>
            <w:r w:rsidRPr="003A3F2F">
              <w:rPr>
                <w:b/>
                <w:u w:val="single"/>
                <w:lang w:val="en-US"/>
              </w:rPr>
              <w:t>CHARTER COMMITTEE</w:t>
            </w:r>
            <w:bookmarkEnd w:id="15"/>
          </w:p>
          <w:p w14:paraId="4DEDBC6C" w14:textId="77777777" w:rsidR="00D70244" w:rsidRPr="003A3F2F" w:rsidRDefault="00D70244" w:rsidP="00AA024E">
            <w:pPr>
              <w:spacing w:after="0" w:line="240" w:lineRule="auto"/>
              <w:rPr>
                <w:b/>
                <w:u w:val="single"/>
                <w:lang w:val="en-US"/>
              </w:rPr>
            </w:pPr>
            <w:bookmarkStart w:id="16" w:name="_Toc412556720"/>
            <w:r w:rsidRPr="003A3F2F">
              <w:rPr>
                <w:b/>
                <w:u w:val="single"/>
                <w:lang w:val="en-US"/>
              </w:rPr>
              <w:t>ON POVERTY ISSUES</w:t>
            </w:r>
            <w:bookmarkEnd w:id="16"/>
          </w:p>
          <w:p w14:paraId="34626ACE" w14:textId="77777777" w:rsidR="00D70244" w:rsidRPr="00C5478C" w:rsidRDefault="00D70244" w:rsidP="00AC043F">
            <w:pPr>
              <w:pStyle w:val="Heading2"/>
              <w:rPr>
                <w:rFonts w:ascii="Calibri" w:hAnsi="Calibri"/>
                <w:b w:val="0"/>
              </w:rPr>
            </w:pPr>
          </w:p>
          <w:p w14:paraId="3EA82612" w14:textId="77777777" w:rsidR="00D70244" w:rsidRPr="003A3F2F" w:rsidRDefault="005C40D0" w:rsidP="00AC043F">
            <w:r>
              <w:t>www.povertyissues.org</w:t>
            </w:r>
          </w:p>
        </w:tc>
        <w:tc>
          <w:tcPr>
            <w:tcW w:w="5076" w:type="dxa"/>
            <w:shd w:val="clear" w:color="auto" w:fill="auto"/>
          </w:tcPr>
          <w:p w14:paraId="53C95415" w14:textId="77777777" w:rsidR="00D70244" w:rsidRPr="003A3F2F" w:rsidRDefault="00D70244" w:rsidP="005F27AA"/>
          <w:p w14:paraId="6DAB97C5" w14:textId="77777777" w:rsidR="00D70244" w:rsidRPr="003A3F2F" w:rsidRDefault="00D70244" w:rsidP="00AC043F">
            <w:pPr>
              <w:jc w:val="right"/>
            </w:pPr>
          </w:p>
          <w:p w14:paraId="6AEA6137" w14:textId="77777777" w:rsidR="00D70244" w:rsidRPr="003A3F2F" w:rsidRDefault="001041E5" w:rsidP="00AC043F">
            <w:pPr>
              <w:jc w:val="right"/>
            </w:pPr>
            <w:r w:rsidRPr="003A3F2F">
              <w:rPr>
                <w:noProof/>
              </w:rPr>
              <w:object w:dxaOrig="12043" w:dyaOrig="8821" w14:anchorId="165777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47.6pt;height:118.8pt;mso-width-percent:0;mso-height-percent:0;mso-width-percent:0;mso-height-percent:0" o:ole="">
                  <v:imagedata r:id="rId8" o:title=""/>
                </v:shape>
                <o:OLEObject Type="Embed" ProgID="MSPhotoEd.3" ShapeID="_x0000_i1025" DrawAspect="Content" ObjectID="_1642893174" r:id="rId9"/>
              </w:object>
            </w:r>
          </w:p>
          <w:p w14:paraId="3CA0768A" w14:textId="77777777" w:rsidR="00D70244" w:rsidRPr="003A3F2F" w:rsidRDefault="005C40D0" w:rsidP="005C40D0">
            <w:pPr>
              <w:jc w:val="center"/>
            </w:pPr>
            <w:r>
              <w:t xml:space="preserve">                                  www.socialrights.ca</w:t>
            </w:r>
          </w:p>
        </w:tc>
      </w:tr>
    </w:tbl>
    <w:p w14:paraId="08CD326E" w14:textId="77777777" w:rsidR="003A3F2F" w:rsidRDefault="003A3F2F" w:rsidP="003A3F2F"/>
    <w:p w14:paraId="431458D6" w14:textId="77777777" w:rsidR="003A3F2F" w:rsidRPr="003A3F2F" w:rsidRDefault="003A3F2F" w:rsidP="003A3F2F"/>
    <w:p w14:paraId="7EA0F064" w14:textId="55F38F4C" w:rsidR="00D93C6B" w:rsidRDefault="005D2ABF" w:rsidP="00D93C6B">
      <w:pPr>
        <w:jc w:val="center"/>
        <w:rPr>
          <w:rStyle w:val="BookTitle"/>
          <w:color w:val="1F497D"/>
          <w:sz w:val="36"/>
        </w:rPr>
      </w:pPr>
      <w:bookmarkStart w:id="17" w:name="_Toc442138302"/>
      <w:bookmarkStart w:id="18" w:name="_Toc442138338"/>
      <w:bookmarkStart w:id="19" w:name="_Toc412556721"/>
      <w:r w:rsidRPr="00812C93">
        <w:rPr>
          <w:rStyle w:val="BookTitle"/>
          <w:color w:val="1F497D"/>
          <w:sz w:val="36"/>
        </w:rPr>
        <w:t xml:space="preserve"> </w:t>
      </w:r>
      <w:r w:rsidR="00191460">
        <w:rPr>
          <w:rStyle w:val="BookTitle"/>
          <w:color w:val="1F497D"/>
          <w:sz w:val="36"/>
        </w:rPr>
        <w:t xml:space="preserve">Access to Justice and </w:t>
      </w:r>
      <w:r w:rsidR="00D70244" w:rsidRPr="00812C93">
        <w:rPr>
          <w:rStyle w:val="BookTitle"/>
          <w:color w:val="1F497D"/>
          <w:sz w:val="36"/>
        </w:rPr>
        <w:t>Effective Remedies</w:t>
      </w:r>
      <w:r w:rsidR="00191460">
        <w:rPr>
          <w:rStyle w:val="BookTitle"/>
          <w:color w:val="1F497D"/>
          <w:sz w:val="36"/>
        </w:rPr>
        <w:t xml:space="preserve"> For</w:t>
      </w:r>
      <w:r w:rsidR="00D70244" w:rsidRPr="00812C93">
        <w:rPr>
          <w:rStyle w:val="BookTitle"/>
          <w:color w:val="1F497D"/>
          <w:sz w:val="36"/>
        </w:rPr>
        <w:t xml:space="preserve"> </w:t>
      </w:r>
    </w:p>
    <w:p w14:paraId="7F3326AF" w14:textId="7BCD46A0" w:rsidR="00D70244" w:rsidRDefault="007903F6" w:rsidP="00D93C6B">
      <w:pPr>
        <w:jc w:val="center"/>
        <w:rPr>
          <w:rStyle w:val="BookTitle"/>
          <w:color w:val="1F497D"/>
          <w:sz w:val="36"/>
        </w:rPr>
      </w:pPr>
      <w:bookmarkStart w:id="20" w:name="_Toc442138303"/>
      <w:bookmarkStart w:id="21" w:name="_Toc442138339"/>
      <w:bookmarkEnd w:id="17"/>
      <w:bookmarkEnd w:id="18"/>
      <w:r>
        <w:rPr>
          <w:rStyle w:val="BookTitle"/>
          <w:color w:val="1F497D"/>
          <w:sz w:val="36"/>
        </w:rPr>
        <w:t xml:space="preserve">Economic, Social and Cultural Rights </w:t>
      </w:r>
      <w:r w:rsidR="00D70244" w:rsidRPr="00812C93">
        <w:rPr>
          <w:rStyle w:val="BookTitle"/>
          <w:color w:val="1F497D"/>
          <w:sz w:val="36"/>
        </w:rPr>
        <w:t>in Canada</w:t>
      </w:r>
      <w:bookmarkEnd w:id="19"/>
      <w:bookmarkEnd w:id="20"/>
      <w:bookmarkEnd w:id="21"/>
    </w:p>
    <w:p w14:paraId="11977D0B" w14:textId="77777777" w:rsidR="00D70244" w:rsidRPr="00812C93" w:rsidRDefault="00D70244" w:rsidP="000312E8">
      <w:pPr>
        <w:rPr>
          <w:color w:val="1F497D"/>
          <w:sz w:val="36"/>
          <w:szCs w:val="28"/>
        </w:rPr>
      </w:pPr>
    </w:p>
    <w:p w14:paraId="7BA4D3C7" w14:textId="762605CF" w:rsidR="00D70244" w:rsidRPr="00812C93" w:rsidRDefault="00D70244" w:rsidP="003A3F2F">
      <w:pPr>
        <w:jc w:val="center"/>
        <w:rPr>
          <w:rStyle w:val="BookTitle"/>
          <w:color w:val="1F497D"/>
          <w:sz w:val="28"/>
          <w:szCs w:val="28"/>
        </w:rPr>
      </w:pPr>
      <w:bookmarkStart w:id="22" w:name="_Toc412556722"/>
      <w:bookmarkStart w:id="23" w:name="_Toc442138304"/>
      <w:bookmarkStart w:id="24" w:name="_Toc442138340"/>
      <w:r w:rsidRPr="00812C93">
        <w:rPr>
          <w:rStyle w:val="BookTitle"/>
          <w:color w:val="1F497D"/>
          <w:sz w:val="28"/>
          <w:szCs w:val="28"/>
        </w:rPr>
        <w:t xml:space="preserve">Submission of the Charter Committee </w:t>
      </w:r>
      <w:r w:rsidR="00E056F8">
        <w:rPr>
          <w:rStyle w:val="BookTitle"/>
          <w:color w:val="1F497D"/>
          <w:sz w:val="28"/>
          <w:szCs w:val="28"/>
        </w:rPr>
        <w:t>o</w:t>
      </w:r>
      <w:r w:rsidRPr="00812C93">
        <w:rPr>
          <w:rStyle w:val="BookTitle"/>
          <w:color w:val="1F497D"/>
          <w:sz w:val="28"/>
          <w:szCs w:val="28"/>
        </w:rPr>
        <w:t>n Poverty Issues (CCPI)</w:t>
      </w:r>
      <w:bookmarkEnd w:id="22"/>
      <w:bookmarkEnd w:id="23"/>
      <w:bookmarkEnd w:id="24"/>
    </w:p>
    <w:p w14:paraId="7D5D6FC0" w14:textId="77777777" w:rsidR="00D70244" w:rsidRPr="00812C93" w:rsidRDefault="00D70244" w:rsidP="003A3F2F">
      <w:pPr>
        <w:jc w:val="center"/>
        <w:rPr>
          <w:rStyle w:val="BookTitle"/>
          <w:color w:val="1F497D"/>
          <w:sz w:val="28"/>
          <w:szCs w:val="28"/>
        </w:rPr>
      </w:pPr>
      <w:bookmarkStart w:id="25" w:name="_Toc412556723"/>
      <w:bookmarkStart w:id="26" w:name="_Toc442138305"/>
      <w:bookmarkStart w:id="27" w:name="_Toc442138341"/>
      <w:r w:rsidRPr="00812C93">
        <w:rPr>
          <w:rStyle w:val="BookTitle"/>
          <w:color w:val="1F497D"/>
          <w:sz w:val="28"/>
          <w:szCs w:val="28"/>
        </w:rPr>
        <w:t>and the Social Rights Advocacy Centre (SRAC)</w:t>
      </w:r>
      <w:bookmarkEnd w:id="25"/>
      <w:bookmarkEnd w:id="26"/>
      <w:bookmarkEnd w:id="27"/>
    </w:p>
    <w:p w14:paraId="04951FB3" w14:textId="62DE1124" w:rsidR="00D70244" w:rsidRPr="00812C93" w:rsidRDefault="00D93C6B" w:rsidP="003A3F2F">
      <w:pPr>
        <w:jc w:val="center"/>
        <w:rPr>
          <w:rStyle w:val="BookTitle"/>
          <w:color w:val="1F497D"/>
          <w:sz w:val="28"/>
          <w:szCs w:val="28"/>
        </w:rPr>
      </w:pPr>
      <w:bookmarkStart w:id="28" w:name="_Toc412556724"/>
      <w:bookmarkStart w:id="29" w:name="_Toc442138306"/>
      <w:bookmarkStart w:id="30" w:name="_Toc442138342"/>
      <w:r>
        <w:rPr>
          <w:rStyle w:val="BookTitle"/>
          <w:color w:val="1F497D"/>
          <w:sz w:val="28"/>
          <w:szCs w:val="28"/>
        </w:rPr>
        <w:t xml:space="preserve">For the </w:t>
      </w:r>
      <w:bookmarkEnd w:id="28"/>
      <w:bookmarkEnd w:id="29"/>
      <w:bookmarkEnd w:id="30"/>
      <w:r w:rsidR="009F4209">
        <w:rPr>
          <w:rStyle w:val="BookTitle"/>
          <w:color w:val="1F497D"/>
          <w:sz w:val="28"/>
          <w:szCs w:val="28"/>
        </w:rPr>
        <w:t>List of Issues Prior to Canada’s 7</w:t>
      </w:r>
      <w:r w:rsidR="009F4209" w:rsidRPr="009F4209">
        <w:rPr>
          <w:rStyle w:val="BookTitle"/>
          <w:color w:val="1F497D"/>
          <w:sz w:val="28"/>
          <w:szCs w:val="28"/>
          <w:vertAlign w:val="superscript"/>
        </w:rPr>
        <w:t>th</w:t>
      </w:r>
      <w:r w:rsidR="009F4209">
        <w:rPr>
          <w:rStyle w:val="BookTitle"/>
          <w:color w:val="1F497D"/>
          <w:sz w:val="28"/>
          <w:szCs w:val="28"/>
        </w:rPr>
        <w:t xml:space="preserve"> Periodic Report</w:t>
      </w:r>
    </w:p>
    <w:p w14:paraId="67EDCEBF" w14:textId="77777777" w:rsidR="00D70244" w:rsidRPr="00812C93" w:rsidRDefault="00D70244" w:rsidP="00D70244">
      <w:pPr>
        <w:pStyle w:val="Heading2"/>
        <w:rPr>
          <w:rFonts w:ascii="Calibri" w:hAnsi="Calibri"/>
          <w:b w:val="0"/>
          <w:color w:val="1F497D"/>
        </w:rPr>
      </w:pPr>
    </w:p>
    <w:p w14:paraId="2921627C" w14:textId="77777777" w:rsidR="00D70244" w:rsidRPr="00812C93" w:rsidRDefault="00D70244" w:rsidP="00D70244">
      <w:pPr>
        <w:rPr>
          <w:color w:val="1F497D"/>
        </w:rPr>
      </w:pPr>
    </w:p>
    <w:p w14:paraId="2B6FE151" w14:textId="794BC7A2" w:rsidR="003227BE" w:rsidRPr="00770AAB" w:rsidRDefault="00725ACA" w:rsidP="00770AAB">
      <w:pPr>
        <w:jc w:val="right"/>
        <w:rPr>
          <w:rFonts w:cs="Calibri"/>
          <w:b/>
          <w:color w:val="1F497D"/>
        </w:rPr>
        <w:sectPr w:rsidR="003227BE" w:rsidRPr="00770AAB" w:rsidSect="00D70244">
          <w:headerReference w:type="even" r:id="rId10"/>
          <w:headerReference w:type="default" r:id="rId11"/>
          <w:footerReference w:type="even" r:id="rId12"/>
          <w:footerReference w:type="default" r:id="rId13"/>
          <w:endnotePr>
            <w:numFmt w:val="decimal"/>
          </w:endnotePr>
          <w:pgSz w:w="12240" w:h="15840" w:code="1"/>
          <w:pgMar w:top="1152" w:right="1152" w:bottom="1440" w:left="1152" w:header="720" w:footer="720" w:gutter="0"/>
          <w:pgNumType w:start="0"/>
          <w:cols w:space="720"/>
          <w:titlePg/>
          <w:docGrid w:linePitch="360"/>
        </w:sectPr>
      </w:pPr>
      <w:r>
        <w:rPr>
          <w:rFonts w:cs="Calibri"/>
          <w:b/>
          <w:color w:val="1F497D"/>
        </w:rPr>
        <w:t>February 7, 2020</w:t>
      </w:r>
      <w:r w:rsidR="00D70244">
        <w:rPr>
          <w:rFonts w:cs="Calibri"/>
          <w:b/>
        </w:rPr>
        <w:br/>
      </w:r>
    </w:p>
    <w:p w14:paraId="7E239BD7" w14:textId="77777777" w:rsidR="003A3F2F" w:rsidRPr="00AA024E" w:rsidRDefault="003A3F2F" w:rsidP="00770AAB">
      <w:pPr>
        <w:pStyle w:val="TOCHeading"/>
        <w:jc w:val="center"/>
        <w:rPr>
          <w:sz w:val="36"/>
        </w:rPr>
      </w:pPr>
      <w:r w:rsidRPr="00AA024E">
        <w:rPr>
          <w:sz w:val="36"/>
        </w:rPr>
        <w:lastRenderedPageBreak/>
        <w:t>Contents</w:t>
      </w:r>
    </w:p>
    <w:p w14:paraId="371E9462" w14:textId="77777777" w:rsidR="00AA024E" w:rsidRPr="00AA024E" w:rsidRDefault="00AA024E" w:rsidP="00AA024E"/>
    <w:p w14:paraId="75A13A2D" w14:textId="770FA8E8" w:rsidR="00770AAB" w:rsidRDefault="003A3F2F">
      <w:pPr>
        <w:pStyle w:val="TOC2"/>
        <w:tabs>
          <w:tab w:val="right" w:leader="dot" w:pos="9350"/>
        </w:tabs>
        <w:rPr>
          <w:rFonts w:asciiTheme="minorHAnsi" w:eastAsiaTheme="minorEastAsia" w:hAnsiTheme="minorHAnsi" w:cstheme="minorBidi"/>
          <w:noProof/>
          <w:lang w:val="en-US" w:eastAsia="en-US"/>
        </w:rPr>
      </w:pPr>
      <w:r>
        <w:fldChar w:fldCharType="begin"/>
      </w:r>
      <w:r>
        <w:instrText xml:space="preserve"> TOC \o "1-3" \h \z \u </w:instrText>
      </w:r>
      <w:r>
        <w:fldChar w:fldCharType="separate"/>
      </w:r>
      <w:hyperlink w:anchor="_Toc32279493" w:history="1">
        <w:r w:rsidR="00770AAB">
          <w:rPr>
            <w:noProof/>
            <w:webHidden/>
          </w:rPr>
          <w:tab/>
        </w:r>
        <w:r w:rsidR="00770AAB">
          <w:rPr>
            <w:noProof/>
            <w:webHidden/>
          </w:rPr>
          <w:fldChar w:fldCharType="begin"/>
        </w:r>
        <w:r w:rsidR="00770AAB">
          <w:rPr>
            <w:noProof/>
            <w:webHidden/>
          </w:rPr>
          <w:instrText xml:space="preserve"> PAGEREF _Toc32279493 \h </w:instrText>
        </w:r>
        <w:r w:rsidR="00770AAB">
          <w:rPr>
            <w:noProof/>
            <w:webHidden/>
          </w:rPr>
        </w:r>
        <w:r w:rsidR="00770AAB">
          <w:rPr>
            <w:noProof/>
            <w:webHidden/>
          </w:rPr>
          <w:fldChar w:fldCharType="separate"/>
        </w:r>
        <w:r w:rsidR="00BC2929">
          <w:rPr>
            <w:noProof/>
            <w:webHidden/>
          </w:rPr>
          <w:t>0</w:t>
        </w:r>
        <w:r w:rsidR="00770AAB">
          <w:rPr>
            <w:noProof/>
            <w:webHidden/>
          </w:rPr>
          <w:fldChar w:fldCharType="end"/>
        </w:r>
      </w:hyperlink>
    </w:p>
    <w:p w14:paraId="4541CCBB" w14:textId="741B4BD8" w:rsidR="00770AAB" w:rsidRDefault="00770AAB">
      <w:pPr>
        <w:pStyle w:val="TOC2"/>
        <w:tabs>
          <w:tab w:val="left" w:pos="660"/>
          <w:tab w:val="right" w:leader="dot" w:pos="9350"/>
        </w:tabs>
        <w:rPr>
          <w:rFonts w:asciiTheme="minorHAnsi" w:eastAsiaTheme="minorEastAsia" w:hAnsiTheme="minorHAnsi" w:cstheme="minorBidi"/>
          <w:noProof/>
          <w:lang w:val="en-US" w:eastAsia="en-US"/>
        </w:rPr>
      </w:pPr>
      <w:hyperlink w:anchor="_Toc32279494" w:history="1">
        <w:r w:rsidRPr="000A0C3A">
          <w:rPr>
            <w:rStyle w:val="Hyperlink"/>
            <w:noProof/>
          </w:rPr>
          <w:t>1.</w:t>
        </w:r>
        <w:r>
          <w:rPr>
            <w:rFonts w:asciiTheme="minorHAnsi" w:eastAsiaTheme="minorEastAsia" w:hAnsiTheme="minorHAnsi" w:cstheme="minorBidi"/>
            <w:noProof/>
            <w:lang w:val="en-US" w:eastAsia="en-US"/>
          </w:rPr>
          <w:tab/>
        </w:r>
        <w:r w:rsidRPr="000A0C3A">
          <w:rPr>
            <w:rStyle w:val="Hyperlink"/>
            <w:noProof/>
          </w:rPr>
          <w:t>INTRODUCTION</w:t>
        </w:r>
        <w:r>
          <w:rPr>
            <w:noProof/>
            <w:webHidden/>
          </w:rPr>
          <w:tab/>
        </w:r>
        <w:r>
          <w:rPr>
            <w:noProof/>
            <w:webHidden/>
          </w:rPr>
          <w:fldChar w:fldCharType="begin"/>
        </w:r>
        <w:r>
          <w:rPr>
            <w:noProof/>
            <w:webHidden/>
          </w:rPr>
          <w:instrText xml:space="preserve"> PAGEREF _Toc32279494 \h </w:instrText>
        </w:r>
        <w:r>
          <w:rPr>
            <w:noProof/>
            <w:webHidden/>
          </w:rPr>
        </w:r>
        <w:r>
          <w:rPr>
            <w:noProof/>
            <w:webHidden/>
          </w:rPr>
          <w:fldChar w:fldCharType="separate"/>
        </w:r>
        <w:r w:rsidR="00BC2929">
          <w:rPr>
            <w:noProof/>
            <w:webHidden/>
          </w:rPr>
          <w:t>1</w:t>
        </w:r>
        <w:r>
          <w:rPr>
            <w:noProof/>
            <w:webHidden/>
          </w:rPr>
          <w:fldChar w:fldCharType="end"/>
        </w:r>
      </w:hyperlink>
    </w:p>
    <w:p w14:paraId="0857E97E" w14:textId="799995B7" w:rsidR="00770AAB" w:rsidRDefault="00770AAB">
      <w:pPr>
        <w:pStyle w:val="TOC2"/>
        <w:tabs>
          <w:tab w:val="left" w:pos="660"/>
          <w:tab w:val="right" w:leader="dot" w:pos="9350"/>
        </w:tabs>
        <w:rPr>
          <w:rFonts w:asciiTheme="minorHAnsi" w:eastAsiaTheme="minorEastAsia" w:hAnsiTheme="minorHAnsi" w:cstheme="minorBidi"/>
          <w:noProof/>
          <w:lang w:val="en-US" w:eastAsia="en-US"/>
        </w:rPr>
      </w:pPr>
      <w:hyperlink w:anchor="_Toc32279495" w:history="1">
        <w:r w:rsidRPr="000A0C3A">
          <w:rPr>
            <w:rStyle w:val="Hyperlink"/>
            <w:noProof/>
          </w:rPr>
          <w:t>i.</w:t>
        </w:r>
        <w:r>
          <w:rPr>
            <w:rFonts w:asciiTheme="minorHAnsi" w:eastAsiaTheme="minorEastAsia" w:hAnsiTheme="minorHAnsi" w:cstheme="minorBidi"/>
            <w:noProof/>
            <w:lang w:val="en-US" w:eastAsia="en-US"/>
          </w:rPr>
          <w:tab/>
        </w:r>
        <w:r w:rsidRPr="000A0C3A">
          <w:rPr>
            <w:rStyle w:val="Hyperlink"/>
            <w:noProof/>
          </w:rPr>
          <w:t>Who we are:</w:t>
        </w:r>
        <w:r>
          <w:rPr>
            <w:noProof/>
            <w:webHidden/>
          </w:rPr>
          <w:tab/>
        </w:r>
        <w:r>
          <w:rPr>
            <w:noProof/>
            <w:webHidden/>
          </w:rPr>
          <w:fldChar w:fldCharType="begin"/>
        </w:r>
        <w:r>
          <w:rPr>
            <w:noProof/>
            <w:webHidden/>
          </w:rPr>
          <w:instrText xml:space="preserve"> PAGEREF _Toc32279495 \h </w:instrText>
        </w:r>
        <w:r>
          <w:rPr>
            <w:noProof/>
            <w:webHidden/>
          </w:rPr>
        </w:r>
        <w:r>
          <w:rPr>
            <w:noProof/>
            <w:webHidden/>
          </w:rPr>
          <w:fldChar w:fldCharType="separate"/>
        </w:r>
        <w:r w:rsidR="00BC2929">
          <w:rPr>
            <w:noProof/>
            <w:webHidden/>
          </w:rPr>
          <w:t>1</w:t>
        </w:r>
        <w:r>
          <w:rPr>
            <w:noProof/>
            <w:webHidden/>
          </w:rPr>
          <w:fldChar w:fldCharType="end"/>
        </w:r>
      </w:hyperlink>
    </w:p>
    <w:p w14:paraId="2FA54C29" w14:textId="00D9DFE0" w:rsidR="00770AAB" w:rsidRDefault="00770AAB">
      <w:pPr>
        <w:pStyle w:val="TOC2"/>
        <w:tabs>
          <w:tab w:val="left" w:pos="660"/>
          <w:tab w:val="right" w:leader="dot" w:pos="9350"/>
        </w:tabs>
        <w:rPr>
          <w:rFonts w:asciiTheme="minorHAnsi" w:eastAsiaTheme="minorEastAsia" w:hAnsiTheme="minorHAnsi" w:cstheme="minorBidi"/>
          <w:noProof/>
          <w:lang w:val="en-US" w:eastAsia="en-US"/>
        </w:rPr>
      </w:pPr>
      <w:hyperlink w:anchor="_Toc32279496" w:history="1">
        <w:r w:rsidRPr="000A0C3A">
          <w:rPr>
            <w:rStyle w:val="Hyperlink"/>
            <w:noProof/>
          </w:rPr>
          <w:t>ii.</w:t>
        </w:r>
        <w:r>
          <w:rPr>
            <w:rFonts w:asciiTheme="minorHAnsi" w:eastAsiaTheme="minorEastAsia" w:hAnsiTheme="minorHAnsi" w:cstheme="minorBidi"/>
            <w:noProof/>
            <w:lang w:val="en-US" w:eastAsia="en-US"/>
          </w:rPr>
          <w:tab/>
        </w:r>
        <w:r w:rsidRPr="000A0C3A">
          <w:rPr>
            <w:rStyle w:val="Hyperlink"/>
            <w:noProof/>
          </w:rPr>
          <w:t>Overview. Domestic Implementation of the Covenant in the Canadian Legal System.</w:t>
        </w:r>
        <w:r>
          <w:rPr>
            <w:noProof/>
            <w:webHidden/>
          </w:rPr>
          <w:tab/>
        </w:r>
        <w:r>
          <w:rPr>
            <w:noProof/>
            <w:webHidden/>
          </w:rPr>
          <w:fldChar w:fldCharType="begin"/>
        </w:r>
        <w:r>
          <w:rPr>
            <w:noProof/>
            <w:webHidden/>
          </w:rPr>
          <w:instrText xml:space="preserve"> PAGEREF _Toc32279496 \h </w:instrText>
        </w:r>
        <w:r>
          <w:rPr>
            <w:noProof/>
            <w:webHidden/>
          </w:rPr>
        </w:r>
        <w:r>
          <w:rPr>
            <w:noProof/>
            <w:webHidden/>
          </w:rPr>
          <w:fldChar w:fldCharType="separate"/>
        </w:r>
        <w:r w:rsidR="00BC2929">
          <w:rPr>
            <w:noProof/>
            <w:webHidden/>
          </w:rPr>
          <w:t>1</w:t>
        </w:r>
        <w:r>
          <w:rPr>
            <w:noProof/>
            <w:webHidden/>
          </w:rPr>
          <w:fldChar w:fldCharType="end"/>
        </w:r>
      </w:hyperlink>
    </w:p>
    <w:p w14:paraId="73677C03" w14:textId="3C6E82E6" w:rsidR="00770AAB" w:rsidRDefault="00770AAB">
      <w:pPr>
        <w:pStyle w:val="TOC2"/>
        <w:tabs>
          <w:tab w:val="left" w:pos="660"/>
          <w:tab w:val="right" w:leader="dot" w:pos="9350"/>
        </w:tabs>
        <w:rPr>
          <w:rFonts w:asciiTheme="minorHAnsi" w:eastAsiaTheme="minorEastAsia" w:hAnsiTheme="minorHAnsi" w:cstheme="minorBidi"/>
          <w:noProof/>
          <w:lang w:val="en-US" w:eastAsia="en-US"/>
        </w:rPr>
      </w:pPr>
      <w:hyperlink w:anchor="_Toc32279497" w:history="1">
        <w:r w:rsidRPr="000A0C3A">
          <w:rPr>
            <w:rStyle w:val="Hyperlink"/>
            <w:noProof/>
          </w:rPr>
          <w:t>2.</w:t>
        </w:r>
        <w:r>
          <w:rPr>
            <w:rFonts w:asciiTheme="minorHAnsi" w:eastAsiaTheme="minorEastAsia" w:hAnsiTheme="minorHAnsi" w:cstheme="minorBidi"/>
            <w:noProof/>
            <w:lang w:val="en-US" w:eastAsia="en-US"/>
          </w:rPr>
          <w:tab/>
        </w:r>
        <w:r w:rsidRPr="000A0C3A">
          <w:rPr>
            <w:rStyle w:val="Hyperlink"/>
            <w:noProof/>
          </w:rPr>
          <w:t>ENSURING ACCESS TO JUSTICE AND EFFECTIVE REMEDIES FOR ESC RIGHTS UNDER THE CANADIAN CHARTER</w:t>
        </w:r>
        <w:r>
          <w:rPr>
            <w:noProof/>
            <w:webHidden/>
          </w:rPr>
          <w:tab/>
        </w:r>
        <w:r>
          <w:rPr>
            <w:noProof/>
            <w:webHidden/>
          </w:rPr>
          <w:fldChar w:fldCharType="begin"/>
        </w:r>
        <w:r>
          <w:rPr>
            <w:noProof/>
            <w:webHidden/>
          </w:rPr>
          <w:instrText xml:space="preserve"> PAGEREF _Toc32279497 \h </w:instrText>
        </w:r>
        <w:r>
          <w:rPr>
            <w:noProof/>
            <w:webHidden/>
          </w:rPr>
        </w:r>
        <w:r>
          <w:rPr>
            <w:noProof/>
            <w:webHidden/>
          </w:rPr>
          <w:fldChar w:fldCharType="separate"/>
        </w:r>
        <w:r w:rsidR="00BC2929">
          <w:rPr>
            <w:noProof/>
            <w:webHidden/>
          </w:rPr>
          <w:t>3</w:t>
        </w:r>
        <w:r>
          <w:rPr>
            <w:noProof/>
            <w:webHidden/>
          </w:rPr>
          <w:fldChar w:fldCharType="end"/>
        </w:r>
      </w:hyperlink>
    </w:p>
    <w:p w14:paraId="640D64FE" w14:textId="068F44B2" w:rsidR="00770AAB" w:rsidRDefault="00770AAB">
      <w:pPr>
        <w:pStyle w:val="TOC2"/>
        <w:tabs>
          <w:tab w:val="left" w:pos="660"/>
          <w:tab w:val="right" w:leader="dot" w:pos="9350"/>
        </w:tabs>
        <w:rPr>
          <w:rFonts w:asciiTheme="minorHAnsi" w:eastAsiaTheme="minorEastAsia" w:hAnsiTheme="minorHAnsi" w:cstheme="minorBidi"/>
          <w:noProof/>
          <w:lang w:val="en-US" w:eastAsia="en-US"/>
        </w:rPr>
      </w:pPr>
      <w:hyperlink w:anchor="_Toc32279498" w:history="1">
        <w:r w:rsidRPr="000A0C3A">
          <w:rPr>
            <w:rStyle w:val="Hyperlink"/>
            <w:noProof/>
          </w:rPr>
          <w:t>i.</w:t>
        </w:r>
        <w:r>
          <w:rPr>
            <w:rFonts w:asciiTheme="minorHAnsi" w:eastAsiaTheme="minorEastAsia" w:hAnsiTheme="minorHAnsi" w:cstheme="minorBidi"/>
            <w:noProof/>
            <w:lang w:val="en-US" w:eastAsia="en-US"/>
          </w:rPr>
          <w:tab/>
        </w:r>
        <w:r w:rsidRPr="000A0C3A">
          <w:rPr>
            <w:rStyle w:val="Hyperlink"/>
            <w:noProof/>
          </w:rPr>
          <w:t>Protection of ESC Rights Through Inclusive Interpretations of rights under the Canadian Charter of Rights and Freedoms</w:t>
        </w:r>
        <w:r>
          <w:rPr>
            <w:noProof/>
            <w:webHidden/>
          </w:rPr>
          <w:tab/>
        </w:r>
        <w:r>
          <w:rPr>
            <w:noProof/>
            <w:webHidden/>
          </w:rPr>
          <w:fldChar w:fldCharType="begin"/>
        </w:r>
        <w:r>
          <w:rPr>
            <w:noProof/>
            <w:webHidden/>
          </w:rPr>
          <w:instrText xml:space="preserve"> PAGEREF _Toc32279498 \h </w:instrText>
        </w:r>
        <w:r>
          <w:rPr>
            <w:noProof/>
            <w:webHidden/>
          </w:rPr>
        </w:r>
        <w:r>
          <w:rPr>
            <w:noProof/>
            <w:webHidden/>
          </w:rPr>
          <w:fldChar w:fldCharType="separate"/>
        </w:r>
        <w:r w:rsidR="00BC2929">
          <w:rPr>
            <w:noProof/>
            <w:webHidden/>
          </w:rPr>
          <w:t>3</w:t>
        </w:r>
        <w:r>
          <w:rPr>
            <w:noProof/>
            <w:webHidden/>
          </w:rPr>
          <w:fldChar w:fldCharType="end"/>
        </w:r>
      </w:hyperlink>
    </w:p>
    <w:p w14:paraId="70E83F4F" w14:textId="7A83E166" w:rsidR="00770AAB" w:rsidRDefault="00770AAB">
      <w:pPr>
        <w:pStyle w:val="TOC2"/>
        <w:tabs>
          <w:tab w:val="left" w:pos="660"/>
          <w:tab w:val="right" w:leader="dot" w:pos="9350"/>
        </w:tabs>
        <w:rPr>
          <w:rFonts w:asciiTheme="minorHAnsi" w:eastAsiaTheme="minorEastAsia" w:hAnsiTheme="minorHAnsi" w:cstheme="minorBidi"/>
          <w:noProof/>
          <w:lang w:val="en-US" w:eastAsia="en-US"/>
        </w:rPr>
      </w:pPr>
      <w:hyperlink w:anchor="_Toc32279499" w:history="1">
        <w:r w:rsidRPr="000A0C3A">
          <w:rPr>
            <w:rStyle w:val="Hyperlink"/>
            <w:noProof/>
          </w:rPr>
          <w:t>ii.</w:t>
        </w:r>
        <w:r>
          <w:rPr>
            <w:rFonts w:asciiTheme="minorHAnsi" w:eastAsiaTheme="minorEastAsia" w:hAnsiTheme="minorHAnsi" w:cstheme="minorBidi"/>
            <w:noProof/>
            <w:lang w:val="en-US" w:eastAsia="en-US"/>
          </w:rPr>
          <w:tab/>
        </w:r>
        <w:r w:rsidRPr="000A0C3A">
          <w:rPr>
            <w:rStyle w:val="Hyperlink"/>
            <w:noProof/>
          </w:rPr>
          <w:t>Principles Guiding the Attorney General of Canada in Charter Litigation</w:t>
        </w:r>
        <w:r>
          <w:rPr>
            <w:noProof/>
            <w:webHidden/>
          </w:rPr>
          <w:tab/>
        </w:r>
        <w:r>
          <w:rPr>
            <w:noProof/>
            <w:webHidden/>
          </w:rPr>
          <w:fldChar w:fldCharType="begin"/>
        </w:r>
        <w:r>
          <w:rPr>
            <w:noProof/>
            <w:webHidden/>
          </w:rPr>
          <w:instrText xml:space="preserve"> PAGEREF _Toc32279499 \h </w:instrText>
        </w:r>
        <w:r>
          <w:rPr>
            <w:noProof/>
            <w:webHidden/>
          </w:rPr>
        </w:r>
        <w:r>
          <w:rPr>
            <w:noProof/>
            <w:webHidden/>
          </w:rPr>
          <w:fldChar w:fldCharType="separate"/>
        </w:r>
        <w:r w:rsidR="00BC2929">
          <w:rPr>
            <w:noProof/>
            <w:webHidden/>
          </w:rPr>
          <w:t>4</w:t>
        </w:r>
        <w:r>
          <w:rPr>
            <w:noProof/>
            <w:webHidden/>
          </w:rPr>
          <w:fldChar w:fldCharType="end"/>
        </w:r>
      </w:hyperlink>
    </w:p>
    <w:p w14:paraId="18D1AE24" w14:textId="147A2820" w:rsidR="00770AAB" w:rsidRDefault="00770AAB">
      <w:pPr>
        <w:pStyle w:val="TOC2"/>
        <w:tabs>
          <w:tab w:val="left" w:pos="880"/>
          <w:tab w:val="right" w:leader="dot" w:pos="9350"/>
        </w:tabs>
        <w:rPr>
          <w:rFonts w:asciiTheme="minorHAnsi" w:eastAsiaTheme="minorEastAsia" w:hAnsiTheme="minorHAnsi" w:cstheme="minorBidi"/>
          <w:noProof/>
          <w:lang w:val="en-US" w:eastAsia="en-US"/>
        </w:rPr>
      </w:pPr>
      <w:hyperlink w:anchor="_Toc32279500" w:history="1">
        <w:r w:rsidRPr="000A0C3A">
          <w:rPr>
            <w:rStyle w:val="Hyperlink"/>
            <w:noProof/>
          </w:rPr>
          <w:t>iii.</w:t>
        </w:r>
        <w:r>
          <w:rPr>
            <w:rFonts w:asciiTheme="minorHAnsi" w:eastAsiaTheme="minorEastAsia" w:hAnsiTheme="minorHAnsi" w:cstheme="minorBidi"/>
            <w:noProof/>
            <w:lang w:val="en-US" w:eastAsia="en-US"/>
          </w:rPr>
          <w:tab/>
        </w:r>
        <w:r w:rsidRPr="000A0C3A">
          <w:rPr>
            <w:rStyle w:val="Hyperlink"/>
            <w:noProof/>
          </w:rPr>
          <w:t>Accountability of the independent judiciary and administrative tribunals regarding the domestic implementation of the Covenant</w:t>
        </w:r>
        <w:r>
          <w:rPr>
            <w:noProof/>
            <w:webHidden/>
          </w:rPr>
          <w:tab/>
        </w:r>
        <w:r>
          <w:rPr>
            <w:noProof/>
            <w:webHidden/>
          </w:rPr>
          <w:fldChar w:fldCharType="begin"/>
        </w:r>
        <w:r>
          <w:rPr>
            <w:noProof/>
            <w:webHidden/>
          </w:rPr>
          <w:instrText xml:space="preserve"> PAGEREF _Toc32279500 \h </w:instrText>
        </w:r>
        <w:r>
          <w:rPr>
            <w:noProof/>
            <w:webHidden/>
          </w:rPr>
        </w:r>
        <w:r>
          <w:rPr>
            <w:noProof/>
            <w:webHidden/>
          </w:rPr>
          <w:fldChar w:fldCharType="separate"/>
        </w:r>
        <w:r w:rsidR="00BC2929">
          <w:rPr>
            <w:noProof/>
            <w:webHidden/>
          </w:rPr>
          <w:t>5</w:t>
        </w:r>
        <w:r>
          <w:rPr>
            <w:noProof/>
            <w:webHidden/>
          </w:rPr>
          <w:fldChar w:fldCharType="end"/>
        </w:r>
      </w:hyperlink>
    </w:p>
    <w:p w14:paraId="3F12590B" w14:textId="23B1ADE3" w:rsidR="00770AAB" w:rsidRDefault="00770AAB">
      <w:pPr>
        <w:pStyle w:val="TOC2"/>
        <w:tabs>
          <w:tab w:val="left" w:pos="880"/>
          <w:tab w:val="right" w:leader="dot" w:pos="9350"/>
        </w:tabs>
        <w:rPr>
          <w:rFonts w:asciiTheme="minorHAnsi" w:eastAsiaTheme="minorEastAsia" w:hAnsiTheme="minorHAnsi" w:cstheme="minorBidi"/>
          <w:noProof/>
          <w:lang w:val="en-US" w:eastAsia="en-US"/>
        </w:rPr>
      </w:pPr>
      <w:hyperlink w:anchor="_Toc32279501" w:history="1">
        <w:r w:rsidRPr="000A0C3A">
          <w:rPr>
            <w:rStyle w:val="Hyperlink"/>
            <w:noProof/>
          </w:rPr>
          <w:t>iv.</w:t>
        </w:r>
        <w:r>
          <w:rPr>
            <w:rFonts w:asciiTheme="minorHAnsi" w:eastAsiaTheme="minorEastAsia" w:hAnsiTheme="minorHAnsi" w:cstheme="minorBidi"/>
            <w:noProof/>
            <w:lang w:val="en-US" w:eastAsia="en-US"/>
          </w:rPr>
          <w:tab/>
        </w:r>
        <w:r w:rsidRPr="000A0C3A">
          <w:rPr>
            <w:rStyle w:val="Hyperlink"/>
            <w:noProof/>
          </w:rPr>
          <w:t>The protection of the right to life in access to private and public health care</w:t>
        </w:r>
        <w:r>
          <w:rPr>
            <w:noProof/>
            <w:webHidden/>
          </w:rPr>
          <w:tab/>
        </w:r>
        <w:r>
          <w:rPr>
            <w:noProof/>
            <w:webHidden/>
          </w:rPr>
          <w:fldChar w:fldCharType="begin"/>
        </w:r>
        <w:r>
          <w:rPr>
            <w:noProof/>
            <w:webHidden/>
          </w:rPr>
          <w:instrText xml:space="preserve"> PAGEREF _Toc32279501 \h </w:instrText>
        </w:r>
        <w:r>
          <w:rPr>
            <w:noProof/>
            <w:webHidden/>
          </w:rPr>
        </w:r>
        <w:r>
          <w:rPr>
            <w:noProof/>
            <w:webHidden/>
          </w:rPr>
          <w:fldChar w:fldCharType="separate"/>
        </w:r>
        <w:r w:rsidR="00BC2929">
          <w:rPr>
            <w:noProof/>
            <w:webHidden/>
          </w:rPr>
          <w:t>6</w:t>
        </w:r>
        <w:r>
          <w:rPr>
            <w:noProof/>
            <w:webHidden/>
          </w:rPr>
          <w:fldChar w:fldCharType="end"/>
        </w:r>
      </w:hyperlink>
    </w:p>
    <w:p w14:paraId="3DEEDD27" w14:textId="34F12CA8" w:rsidR="00770AAB" w:rsidRDefault="00770AAB">
      <w:pPr>
        <w:pStyle w:val="TOC2"/>
        <w:tabs>
          <w:tab w:val="left" w:pos="660"/>
          <w:tab w:val="right" w:leader="dot" w:pos="9350"/>
        </w:tabs>
        <w:rPr>
          <w:rFonts w:asciiTheme="minorHAnsi" w:eastAsiaTheme="minorEastAsia" w:hAnsiTheme="minorHAnsi" w:cstheme="minorBidi"/>
          <w:noProof/>
          <w:lang w:val="en-US" w:eastAsia="en-US"/>
        </w:rPr>
      </w:pPr>
      <w:hyperlink w:anchor="_Toc32279502" w:history="1">
        <w:r w:rsidRPr="000A0C3A">
          <w:rPr>
            <w:rStyle w:val="Hyperlink"/>
            <w:noProof/>
          </w:rPr>
          <w:t>v.</w:t>
        </w:r>
        <w:r>
          <w:rPr>
            <w:rFonts w:asciiTheme="minorHAnsi" w:eastAsiaTheme="minorEastAsia" w:hAnsiTheme="minorHAnsi" w:cstheme="minorBidi"/>
            <w:noProof/>
            <w:lang w:val="en-US" w:eastAsia="en-US"/>
          </w:rPr>
          <w:tab/>
        </w:r>
        <w:r w:rsidRPr="000A0C3A">
          <w:rPr>
            <w:rStyle w:val="Hyperlink"/>
            <w:noProof/>
          </w:rPr>
          <w:t>Reconsidering Canada’s Response to the Decision of the Human Rights Committee in Nell Toussaint v Canada</w:t>
        </w:r>
        <w:r>
          <w:rPr>
            <w:noProof/>
            <w:webHidden/>
          </w:rPr>
          <w:tab/>
        </w:r>
        <w:r>
          <w:rPr>
            <w:noProof/>
            <w:webHidden/>
          </w:rPr>
          <w:fldChar w:fldCharType="begin"/>
        </w:r>
        <w:r>
          <w:rPr>
            <w:noProof/>
            <w:webHidden/>
          </w:rPr>
          <w:instrText xml:space="preserve"> PAGEREF _Toc32279502 \h </w:instrText>
        </w:r>
        <w:r>
          <w:rPr>
            <w:noProof/>
            <w:webHidden/>
          </w:rPr>
        </w:r>
        <w:r>
          <w:rPr>
            <w:noProof/>
            <w:webHidden/>
          </w:rPr>
          <w:fldChar w:fldCharType="separate"/>
        </w:r>
        <w:r w:rsidR="00BC2929">
          <w:rPr>
            <w:noProof/>
            <w:webHidden/>
          </w:rPr>
          <w:t>7</w:t>
        </w:r>
        <w:r>
          <w:rPr>
            <w:noProof/>
            <w:webHidden/>
          </w:rPr>
          <w:fldChar w:fldCharType="end"/>
        </w:r>
      </w:hyperlink>
    </w:p>
    <w:p w14:paraId="0FA6F910" w14:textId="0FA8B776" w:rsidR="00770AAB" w:rsidRDefault="00770AAB">
      <w:pPr>
        <w:pStyle w:val="TOC2"/>
        <w:tabs>
          <w:tab w:val="left" w:pos="660"/>
          <w:tab w:val="right" w:leader="dot" w:pos="9350"/>
        </w:tabs>
        <w:rPr>
          <w:rFonts w:asciiTheme="minorHAnsi" w:eastAsiaTheme="minorEastAsia" w:hAnsiTheme="minorHAnsi" w:cstheme="minorBidi"/>
          <w:noProof/>
          <w:lang w:val="en-US" w:eastAsia="en-US"/>
        </w:rPr>
      </w:pPr>
      <w:hyperlink w:anchor="_Toc32279503" w:history="1">
        <w:r w:rsidRPr="000A0C3A">
          <w:rPr>
            <w:rStyle w:val="Hyperlink"/>
            <w:noProof/>
          </w:rPr>
          <w:t>3.</w:t>
        </w:r>
        <w:r>
          <w:rPr>
            <w:rFonts w:asciiTheme="minorHAnsi" w:eastAsiaTheme="minorEastAsia" w:hAnsiTheme="minorHAnsi" w:cstheme="minorBidi"/>
            <w:noProof/>
            <w:lang w:val="en-US" w:eastAsia="en-US"/>
          </w:rPr>
          <w:tab/>
        </w:r>
        <w:r w:rsidRPr="000A0C3A">
          <w:rPr>
            <w:rStyle w:val="Hyperlink"/>
            <w:noProof/>
          </w:rPr>
          <w:t>FEDERAL AND PROVINCIAL/TERRITORIAL HUMAN RIGHTS LEGISLATION</w:t>
        </w:r>
        <w:r>
          <w:rPr>
            <w:noProof/>
            <w:webHidden/>
          </w:rPr>
          <w:tab/>
        </w:r>
        <w:r>
          <w:rPr>
            <w:noProof/>
            <w:webHidden/>
          </w:rPr>
          <w:fldChar w:fldCharType="begin"/>
        </w:r>
        <w:r>
          <w:rPr>
            <w:noProof/>
            <w:webHidden/>
          </w:rPr>
          <w:instrText xml:space="preserve"> PAGEREF _Toc32279503 \h </w:instrText>
        </w:r>
        <w:r>
          <w:rPr>
            <w:noProof/>
            <w:webHidden/>
          </w:rPr>
        </w:r>
        <w:r>
          <w:rPr>
            <w:noProof/>
            <w:webHidden/>
          </w:rPr>
          <w:fldChar w:fldCharType="separate"/>
        </w:r>
        <w:r w:rsidR="00BC2929">
          <w:rPr>
            <w:noProof/>
            <w:webHidden/>
          </w:rPr>
          <w:t>8</w:t>
        </w:r>
        <w:r>
          <w:rPr>
            <w:noProof/>
            <w:webHidden/>
          </w:rPr>
          <w:fldChar w:fldCharType="end"/>
        </w:r>
      </w:hyperlink>
    </w:p>
    <w:p w14:paraId="13AD90C4" w14:textId="5EE5A0BD" w:rsidR="00770AAB" w:rsidRDefault="00770AAB">
      <w:pPr>
        <w:pStyle w:val="TOC2"/>
        <w:tabs>
          <w:tab w:val="left" w:pos="660"/>
          <w:tab w:val="right" w:leader="dot" w:pos="9350"/>
        </w:tabs>
        <w:rPr>
          <w:rFonts w:asciiTheme="minorHAnsi" w:eastAsiaTheme="minorEastAsia" w:hAnsiTheme="minorHAnsi" w:cstheme="minorBidi"/>
          <w:noProof/>
          <w:lang w:val="en-US" w:eastAsia="en-US"/>
        </w:rPr>
      </w:pPr>
      <w:hyperlink w:anchor="_Toc32279504" w:history="1">
        <w:r w:rsidRPr="000A0C3A">
          <w:rPr>
            <w:rStyle w:val="Hyperlink"/>
            <w:noProof/>
          </w:rPr>
          <w:t>i.</w:t>
        </w:r>
        <w:r>
          <w:rPr>
            <w:rFonts w:asciiTheme="minorHAnsi" w:eastAsiaTheme="minorEastAsia" w:hAnsiTheme="minorHAnsi" w:cstheme="minorBidi"/>
            <w:noProof/>
            <w:lang w:val="en-US" w:eastAsia="en-US"/>
          </w:rPr>
          <w:tab/>
        </w:r>
        <w:r w:rsidRPr="000A0C3A">
          <w:rPr>
            <w:rStyle w:val="Hyperlink"/>
            <w:noProof/>
          </w:rPr>
          <w:t>ESC rights in human rights legislation</w:t>
        </w:r>
        <w:r>
          <w:rPr>
            <w:noProof/>
            <w:webHidden/>
          </w:rPr>
          <w:tab/>
        </w:r>
        <w:r>
          <w:rPr>
            <w:noProof/>
            <w:webHidden/>
          </w:rPr>
          <w:fldChar w:fldCharType="begin"/>
        </w:r>
        <w:r>
          <w:rPr>
            <w:noProof/>
            <w:webHidden/>
          </w:rPr>
          <w:instrText xml:space="preserve"> PAGEREF _Toc32279504 \h </w:instrText>
        </w:r>
        <w:r>
          <w:rPr>
            <w:noProof/>
            <w:webHidden/>
          </w:rPr>
        </w:r>
        <w:r>
          <w:rPr>
            <w:noProof/>
            <w:webHidden/>
          </w:rPr>
          <w:fldChar w:fldCharType="separate"/>
        </w:r>
        <w:r w:rsidR="00BC2929">
          <w:rPr>
            <w:noProof/>
            <w:webHidden/>
          </w:rPr>
          <w:t>8</w:t>
        </w:r>
        <w:r>
          <w:rPr>
            <w:noProof/>
            <w:webHidden/>
          </w:rPr>
          <w:fldChar w:fldCharType="end"/>
        </w:r>
      </w:hyperlink>
    </w:p>
    <w:p w14:paraId="04975A4A" w14:textId="0015D005" w:rsidR="00770AAB" w:rsidRDefault="00770AAB">
      <w:pPr>
        <w:pStyle w:val="TOC2"/>
        <w:tabs>
          <w:tab w:val="left" w:pos="660"/>
          <w:tab w:val="right" w:leader="dot" w:pos="9350"/>
        </w:tabs>
        <w:rPr>
          <w:rFonts w:asciiTheme="minorHAnsi" w:eastAsiaTheme="minorEastAsia" w:hAnsiTheme="minorHAnsi" w:cstheme="minorBidi"/>
          <w:noProof/>
          <w:lang w:val="en-US" w:eastAsia="en-US"/>
        </w:rPr>
      </w:pPr>
      <w:hyperlink w:anchor="_Toc32279505" w:history="1">
        <w:r w:rsidRPr="000A0C3A">
          <w:rPr>
            <w:rStyle w:val="Hyperlink"/>
            <w:noProof/>
          </w:rPr>
          <w:t>ii.</w:t>
        </w:r>
        <w:r>
          <w:rPr>
            <w:rFonts w:asciiTheme="minorHAnsi" w:eastAsiaTheme="minorEastAsia" w:hAnsiTheme="minorHAnsi" w:cstheme="minorBidi"/>
            <w:noProof/>
            <w:lang w:val="en-US" w:eastAsia="en-US"/>
          </w:rPr>
          <w:tab/>
        </w:r>
        <w:r w:rsidRPr="000A0C3A">
          <w:rPr>
            <w:rStyle w:val="Hyperlink"/>
            <w:noProof/>
          </w:rPr>
          <w:t>Failure to Provide Effective Systemic Remedies when Adequate Supports and Services for Persons with Disabilities for community living are not Provided.</w:t>
        </w:r>
        <w:r>
          <w:rPr>
            <w:noProof/>
            <w:webHidden/>
          </w:rPr>
          <w:tab/>
        </w:r>
        <w:r>
          <w:rPr>
            <w:noProof/>
            <w:webHidden/>
          </w:rPr>
          <w:fldChar w:fldCharType="begin"/>
        </w:r>
        <w:r>
          <w:rPr>
            <w:noProof/>
            <w:webHidden/>
          </w:rPr>
          <w:instrText xml:space="preserve"> PAGEREF _Toc32279505 \h </w:instrText>
        </w:r>
        <w:r>
          <w:rPr>
            <w:noProof/>
            <w:webHidden/>
          </w:rPr>
        </w:r>
        <w:r>
          <w:rPr>
            <w:noProof/>
            <w:webHidden/>
          </w:rPr>
          <w:fldChar w:fldCharType="separate"/>
        </w:r>
        <w:r w:rsidR="00BC2929">
          <w:rPr>
            <w:noProof/>
            <w:webHidden/>
          </w:rPr>
          <w:t>10</w:t>
        </w:r>
        <w:r>
          <w:rPr>
            <w:noProof/>
            <w:webHidden/>
          </w:rPr>
          <w:fldChar w:fldCharType="end"/>
        </w:r>
      </w:hyperlink>
    </w:p>
    <w:p w14:paraId="3D6F8D5E" w14:textId="491C2D29" w:rsidR="00770AAB" w:rsidRDefault="00770AAB">
      <w:pPr>
        <w:pStyle w:val="TOC2"/>
        <w:tabs>
          <w:tab w:val="left" w:pos="660"/>
          <w:tab w:val="right" w:leader="dot" w:pos="9350"/>
        </w:tabs>
        <w:rPr>
          <w:rFonts w:asciiTheme="minorHAnsi" w:eastAsiaTheme="minorEastAsia" w:hAnsiTheme="minorHAnsi" w:cstheme="minorBidi"/>
          <w:noProof/>
          <w:lang w:val="en-US" w:eastAsia="en-US"/>
        </w:rPr>
      </w:pPr>
      <w:hyperlink w:anchor="_Toc32279506" w:history="1">
        <w:r w:rsidRPr="000A0C3A">
          <w:rPr>
            <w:rStyle w:val="Hyperlink"/>
            <w:noProof/>
          </w:rPr>
          <w:t>4.</w:t>
        </w:r>
        <w:r>
          <w:rPr>
            <w:rFonts w:asciiTheme="minorHAnsi" w:eastAsiaTheme="minorEastAsia" w:hAnsiTheme="minorHAnsi" w:cstheme="minorBidi"/>
            <w:noProof/>
            <w:lang w:val="en-US" w:eastAsia="en-US"/>
          </w:rPr>
          <w:tab/>
        </w:r>
        <w:r w:rsidRPr="000A0C3A">
          <w:rPr>
            <w:rStyle w:val="Hyperlink"/>
            <w:noProof/>
          </w:rPr>
          <w:t>INTER-GOVERNMENTAL INITIATIVES AND FRAMEWORKS FOR ACCESS TO JUSTICE</w:t>
        </w:r>
        <w:r>
          <w:rPr>
            <w:noProof/>
            <w:webHidden/>
          </w:rPr>
          <w:tab/>
        </w:r>
        <w:r>
          <w:rPr>
            <w:noProof/>
            <w:webHidden/>
          </w:rPr>
          <w:fldChar w:fldCharType="begin"/>
        </w:r>
        <w:r>
          <w:rPr>
            <w:noProof/>
            <w:webHidden/>
          </w:rPr>
          <w:instrText xml:space="preserve"> PAGEREF _Toc32279506 \h </w:instrText>
        </w:r>
        <w:r>
          <w:rPr>
            <w:noProof/>
            <w:webHidden/>
          </w:rPr>
        </w:r>
        <w:r>
          <w:rPr>
            <w:noProof/>
            <w:webHidden/>
          </w:rPr>
          <w:fldChar w:fldCharType="separate"/>
        </w:r>
        <w:r w:rsidR="00BC2929">
          <w:rPr>
            <w:noProof/>
            <w:webHidden/>
          </w:rPr>
          <w:t>11</w:t>
        </w:r>
        <w:r>
          <w:rPr>
            <w:noProof/>
            <w:webHidden/>
          </w:rPr>
          <w:fldChar w:fldCharType="end"/>
        </w:r>
      </w:hyperlink>
    </w:p>
    <w:p w14:paraId="7B8F29BC" w14:textId="0C2C812D" w:rsidR="00770AAB" w:rsidRDefault="00770AAB">
      <w:pPr>
        <w:pStyle w:val="TOC2"/>
        <w:tabs>
          <w:tab w:val="left" w:pos="660"/>
          <w:tab w:val="right" w:leader="dot" w:pos="9350"/>
        </w:tabs>
        <w:rPr>
          <w:rFonts w:asciiTheme="minorHAnsi" w:eastAsiaTheme="minorEastAsia" w:hAnsiTheme="minorHAnsi" w:cstheme="minorBidi"/>
          <w:noProof/>
          <w:lang w:val="en-US" w:eastAsia="en-US"/>
        </w:rPr>
      </w:pPr>
      <w:hyperlink w:anchor="_Toc32279507" w:history="1">
        <w:r w:rsidRPr="000A0C3A">
          <w:rPr>
            <w:rStyle w:val="Hyperlink"/>
            <w:noProof/>
          </w:rPr>
          <w:t>i.</w:t>
        </w:r>
        <w:r>
          <w:rPr>
            <w:rFonts w:asciiTheme="minorHAnsi" w:eastAsiaTheme="minorEastAsia" w:hAnsiTheme="minorHAnsi" w:cstheme="minorBidi"/>
            <w:noProof/>
            <w:lang w:val="en-US" w:eastAsia="en-US"/>
          </w:rPr>
          <w:tab/>
        </w:r>
        <w:r w:rsidRPr="000A0C3A">
          <w:rPr>
            <w:rStyle w:val="Hyperlink"/>
            <w:noProof/>
          </w:rPr>
          <w:t>Follow-up to Inter-Ministerial Meeting of December 11-12, 2017</w:t>
        </w:r>
        <w:r>
          <w:rPr>
            <w:noProof/>
            <w:webHidden/>
          </w:rPr>
          <w:tab/>
        </w:r>
        <w:r>
          <w:rPr>
            <w:noProof/>
            <w:webHidden/>
          </w:rPr>
          <w:fldChar w:fldCharType="begin"/>
        </w:r>
        <w:r>
          <w:rPr>
            <w:noProof/>
            <w:webHidden/>
          </w:rPr>
          <w:instrText xml:space="preserve"> PAGEREF _Toc32279507 \h </w:instrText>
        </w:r>
        <w:r>
          <w:rPr>
            <w:noProof/>
            <w:webHidden/>
          </w:rPr>
        </w:r>
        <w:r>
          <w:rPr>
            <w:noProof/>
            <w:webHidden/>
          </w:rPr>
          <w:fldChar w:fldCharType="separate"/>
        </w:r>
        <w:r w:rsidR="00BC2929">
          <w:rPr>
            <w:noProof/>
            <w:webHidden/>
          </w:rPr>
          <w:t>11</w:t>
        </w:r>
        <w:r>
          <w:rPr>
            <w:noProof/>
            <w:webHidden/>
          </w:rPr>
          <w:fldChar w:fldCharType="end"/>
        </w:r>
      </w:hyperlink>
    </w:p>
    <w:p w14:paraId="3E41024A" w14:textId="7E787794" w:rsidR="00770AAB" w:rsidRDefault="00770AAB">
      <w:pPr>
        <w:pStyle w:val="TOC2"/>
        <w:tabs>
          <w:tab w:val="left" w:pos="660"/>
          <w:tab w:val="right" w:leader="dot" w:pos="9350"/>
        </w:tabs>
        <w:rPr>
          <w:rFonts w:asciiTheme="minorHAnsi" w:eastAsiaTheme="minorEastAsia" w:hAnsiTheme="minorHAnsi" w:cstheme="minorBidi"/>
          <w:noProof/>
          <w:lang w:val="en-US" w:eastAsia="en-US"/>
        </w:rPr>
      </w:pPr>
      <w:hyperlink w:anchor="_Toc32279508" w:history="1">
        <w:r w:rsidRPr="000A0C3A">
          <w:rPr>
            <w:rStyle w:val="Hyperlink"/>
            <w:noProof/>
          </w:rPr>
          <w:t>ii.</w:t>
        </w:r>
        <w:r>
          <w:rPr>
            <w:rFonts w:asciiTheme="minorHAnsi" w:eastAsiaTheme="minorEastAsia" w:hAnsiTheme="minorHAnsi" w:cstheme="minorBidi"/>
            <w:noProof/>
            <w:lang w:val="en-US" w:eastAsia="en-US"/>
          </w:rPr>
          <w:tab/>
        </w:r>
        <w:r w:rsidRPr="000A0C3A">
          <w:rPr>
            <w:rStyle w:val="Hyperlink"/>
            <w:noProof/>
          </w:rPr>
          <w:t>Mechanisms for Implementing Covenant rights and following-up on Concluding Observations</w:t>
        </w:r>
        <w:r>
          <w:rPr>
            <w:noProof/>
            <w:webHidden/>
          </w:rPr>
          <w:tab/>
        </w:r>
        <w:r>
          <w:rPr>
            <w:noProof/>
            <w:webHidden/>
          </w:rPr>
          <w:fldChar w:fldCharType="begin"/>
        </w:r>
        <w:r>
          <w:rPr>
            <w:noProof/>
            <w:webHidden/>
          </w:rPr>
          <w:instrText xml:space="preserve"> PAGEREF _Toc32279508 \h </w:instrText>
        </w:r>
        <w:r>
          <w:rPr>
            <w:noProof/>
            <w:webHidden/>
          </w:rPr>
        </w:r>
        <w:r>
          <w:rPr>
            <w:noProof/>
            <w:webHidden/>
          </w:rPr>
          <w:fldChar w:fldCharType="separate"/>
        </w:r>
        <w:r w:rsidR="00BC2929">
          <w:rPr>
            <w:noProof/>
            <w:webHidden/>
          </w:rPr>
          <w:t>12</w:t>
        </w:r>
        <w:r>
          <w:rPr>
            <w:noProof/>
            <w:webHidden/>
          </w:rPr>
          <w:fldChar w:fldCharType="end"/>
        </w:r>
      </w:hyperlink>
    </w:p>
    <w:p w14:paraId="5F01A76C" w14:textId="339C54EA" w:rsidR="00770AAB" w:rsidRDefault="00770AAB">
      <w:pPr>
        <w:pStyle w:val="TOC2"/>
        <w:tabs>
          <w:tab w:val="left" w:pos="880"/>
          <w:tab w:val="right" w:leader="dot" w:pos="9350"/>
        </w:tabs>
        <w:rPr>
          <w:rFonts w:asciiTheme="minorHAnsi" w:eastAsiaTheme="minorEastAsia" w:hAnsiTheme="minorHAnsi" w:cstheme="minorBidi"/>
          <w:noProof/>
          <w:lang w:val="en-US" w:eastAsia="en-US"/>
        </w:rPr>
      </w:pPr>
      <w:hyperlink w:anchor="_Toc32279509" w:history="1">
        <w:r w:rsidRPr="000A0C3A">
          <w:rPr>
            <w:rStyle w:val="Hyperlink"/>
            <w:noProof/>
          </w:rPr>
          <w:t>iii.</w:t>
        </w:r>
        <w:r>
          <w:rPr>
            <w:rFonts w:asciiTheme="minorHAnsi" w:eastAsiaTheme="minorEastAsia" w:hAnsiTheme="minorHAnsi" w:cstheme="minorBidi"/>
            <w:noProof/>
            <w:lang w:val="en-US" w:eastAsia="en-US"/>
          </w:rPr>
          <w:tab/>
        </w:r>
        <w:r w:rsidRPr="000A0C3A">
          <w:rPr>
            <w:rStyle w:val="Hyperlink"/>
            <w:noProof/>
          </w:rPr>
          <w:t>Ensuring Access to Effective Systemic Remedies Through Rights Based Strategies</w:t>
        </w:r>
        <w:r>
          <w:rPr>
            <w:noProof/>
            <w:webHidden/>
          </w:rPr>
          <w:tab/>
        </w:r>
        <w:r>
          <w:rPr>
            <w:noProof/>
            <w:webHidden/>
          </w:rPr>
          <w:fldChar w:fldCharType="begin"/>
        </w:r>
        <w:r>
          <w:rPr>
            <w:noProof/>
            <w:webHidden/>
          </w:rPr>
          <w:instrText xml:space="preserve"> PAGEREF _Toc32279509 \h </w:instrText>
        </w:r>
        <w:r>
          <w:rPr>
            <w:noProof/>
            <w:webHidden/>
          </w:rPr>
        </w:r>
        <w:r>
          <w:rPr>
            <w:noProof/>
            <w:webHidden/>
          </w:rPr>
          <w:fldChar w:fldCharType="separate"/>
        </w:r>
        <w:r w:rsidR="00BC2929">
          <w:rPr>
            <w:noProof/>
            <w:webHidden/>
          </w:rPr>
          <w:t>13</w:t>
        </w:r>
        <w:r>
          <w:rPr>
            <w:noProof/>
            <w:webHidden/>
          </w:rPr>
          <w:fldChar w:fldCharType="end"/>
        </w:r>
      </w:hyperlink>
    </w:p>
    <w:p w14:paraId="5D80D291" w14:textId="3058F771" w:rsidR="00770AAB" w:rsidRDefault="00770AAB">
      <w:pPr>
        <w:pStyle w:val="TOC2"/>
        <w:tabs>
          <w:tab w:val="left" w:pos="880"/>
          <w:tab w:val="right" w:leader="dot" w:pos="9350"/>
        </w:tabs>
        <w:rPr>
          <w:rFonts w:asciiTheme="minorHAnsi" w:eastAsiaTheme="minorEastAsia" w:hAnsiTheme="minorHAnsi" w:cstheme="minorBidi"/>
          <w:noProof/>
          <w:lang w:val="en-US" w:eastAsia="en-US"/>
        </w:rPr>
      </w:pPr>
      <w:hyperlink w:anchor="_Toc32279510" w:history="1">
        <w:r w:rsidRPr="000A0C3A">
          <w:rPr>
            <w:rStyle w:val="Hyperlink"/>
            <w:noProof/>
          </w:rPr>
          <w:t>iv.</w:t>
        </w:r>
        <w:r>
          <w:rPr>
            <w:rFonts w:asciiTheme="minorHAnsi" w:eastAsiaTheme="minorEastAsia" w:hAnsiTheme="minorHAnsi" w:cstheme="minorBidi"/>
            <w:noProof/>
            <w:lang w:val="en-US" w:eastAsia="en-US"/>
          </w:rPr>
          <w:tab/>
        </w:r>
        <w:r w:rsidRPr="000A0C3A">
          <w:rPr>
            <w:rStyle w:val="Hyperlink"/>
            <w:noProof/>
          </w:rPr>
          <w:t>Inter-Governmental Framework Agreement to Guarantee ESC rights</w:t>
        </w:r>
        <w:r>
          <w:rPr>
            <w:noProof/>
            <w:webHidden/>
          </w:rPr>
          <w:tab/>
        </w:r>
        <w:r>
          <w:rPr>
            <w:noProof/>
            <w:webHidden/>
          </w:rPr>
          <w:fldChar w:fldCharType="begin"/>
        </w:r>
        <w:r>
          <w:rPr>
            <w:noProof/>
            <w:webHidden/>
          </w:rPr>
          <w:instrText xml:space="preserve"> PAGEREF _Toc32279510 \h </w:instrText>
        </w:r>
        <w:r>
          <w:rPr>
            <w:noProof/>
            <w:webHidden/>
          </w:rPr>
        </w:r>
        <w:r>
          <w:rPr>
            <w:noProof/>
            <w:webHidden/>
          </w:rPr>
          <w:fldChar w:fldCharType="separate"/>
        </w:r>
        <w:r w:rsidR="00BC2929">
          <w:rPr>
            <w:noProof/>
            <w:webHidden/>
          </w:rPr>
          <w:t>14</w:t>
        </w:r>
        <w:r>
          <w:rPr>
            <w:noProof/>
            <w:webHidden/>
          </w:rPr>
          <w:fldChar w:fldCharType="end"/>
        </w:r>
      </w:hyperlink>
    </w:p>
    <w:p w14:paraId="321AF9F1" w14:textId="4BE5EA85" w:rsidR="00770AAB" w:rsidRDefault="00770AAB">
      <w:pPr>
        <w:pStyle w:val="TOC2"/>
        <w:tabs>
          <w:tab w:val="left" w:pos="660"/>
          <w:tab w:val="right" w:leader="dot" w:pos="9350"/>
        </w:tabs>
        <w:rPr>
          <w:rFonts w:asciiTheme="minorHAnsi" w:eastAsiaTheme="minorEastAsia" w:hAnsiTheme="minorHAnsi" w:cstheme="minorBidi"/>
          <w:noProof/>
          <w:lang w:val="en-US" w:eastAsia="en-US"/>
        </w:rPr>
      </w:pPr>
      <w:hyperlink w:anchor="_Toc32279511" w:history="1">
        <w:r w:rsidRPr="000A0C3A">
          <w:rPr>
            <w:rStyle w:val="Hyperlink"/>
            <w:noProof/>
          </w:rPr>
          <w:t>5.</w:t>
        </w:r>
        <w:r>
          <w:rPr>
            <w:rFonts w:asciiTheme="minorHAnsi" w:eastAsiaTheme="minorEastAsia" w:hAnsiTheme="minorHAnsi" w:cstheme="minorBidi"/>
            <w:noProof/>
            <w:lang w:val="en-US" w:eastAsia="en-US"/>
          </w:rPr>
          <w:tab/>
        </w:r>
        <w:r w:rsidRPr="000A0C3A">
          <w:rPr>
            <w:rStyle w:val="Hyperlink"/>
            <w:noProof/>
          </w:rPr>
          <w:t>CIVIL LEGAL AID, TEST CASE FUNDING AND THE COURT CHALLENGES PROGRAM</w:t>
        </w:r>
        <w:r>
          <w:rPr>
            <w:noProof/>
            <w:webHidden/>
          </w:rPr>
          <w:tab/>
        </w:r>
        <w:r>
          <w:rPr>
            <w:noProof/>
            <w:webHidden/>
          </w:rPr>
          <w:fldChar w:fldCharType="begin"/>
        </w:r>
        <w:r>
          <w:rPr>
            <w:noProof/>
            <w:webHidden/>
          </w:rPr>
          <w:instrText xml:space="preserve"> PAGEREF _Toc32279511 \h </w:instrText>
        </w:r>
        <w:r>
          <w:rPr>
            <w:noProof/>
            <w:webHidden/>
          </w:rPr>
        </w:r>
        <w:r>
          <w:rPr>
            <w:noProof/>
            <w:webHidden/>
          </w:rPr>
          <w:fldChar w:fldCharType="separate"/>
        </w:r>
        <w:r w:rsidR="00BC2929">
          <w:rPr>
            <w:noProof/>
            <w:webHidden/>
          </w:rPr>
          <w:t>15</w:t>
        </w:r>
        <w:r>
          <w:rPr>
            <w:noProof/>
            <w:webHidden/>
          </w:rPr>
          <w:fldChar w:fldCharType="end"/>
        </w:r>
      </w:hyperlink>
    </w:p>
    <w:p w14:paraId="418CCC0F" w14:textId="4FF3504B" w:rsidR="003A3F2F" w:rsidRDefault="003A3F2F">
      <w:r>
        <w:rPr>
          <w:b/>
          <w:bCs/>
          <w:noProof/>
        </w:rPr>
        <w:fldChar w:fldCharType="end"/>
      </w:r>
    </w:p>
    <w:p w14:paraId="517D3583" w14:textId="1676E989" w:rsidR="001A180E" w:rsidRPr="00DC44A5" w:rsidRDefault="001A180E" w:rsidP="00DC44A5"/>
    <w:p w14:paraId="4B7AC92B" w14:textId="17CF795B" w:rsidR="009D16DC" w:rsidRPr="00B604D1" w:rsidRDefault="009D16DC" w:rsidP="002D167E">
      <w:pPr>
        <w:pStyle w:val="Heading2"/>
        <w:numPr>
          <w:ilvl w:val="0"/>
          <w:numId w:val="18"/>
        </w:numPr>
      </w:pPr>
      <w:bookmarkStart w:id="31" w:name="_Toc442138307"/>
      <w:bookmarkStart w:id="32" w:name="_Toc442138343"/>
      <w:bookmarkStart w:id="33" w:name="_Toc32279494"/>
      <w:r w:rsidRPr="00B604D1">
        <w:t>INTRODUCTION</w:t>
      </w:r>
      <w:bookmarkEnd w:id="31"/>
      <w:bookmarkEnd w:id="32"/>
      <w:bookmarkEnd w:id="33"/>
    </w:p>
    <w:p w14:paraId="408443A6" w14:textId="77777777" w:rsidR="00B53B3A" w:rsidRPr="00B53B3A" w:rsidRDefault="00B53B3A" w:rsidP="00B53B3A"/>
    <w:p w14:paraId="2D2406A8" w14:textId="78536B83" w:rsidR="003A3F2F" w:rsidRDefault="00B53B3A" w:rsidP="00B604D1">
      <w:pPr>
        <w:pStyle w:val="Heading2"/>
        <w:numPr>
          <w:ilvl w:val="0"/>
          <w:numId w:val="4"/>
        </w:numPr>
        <w:rPr>
          <w:color w:val="0070C0"/>
          <w:sz w:val="24"/>
          <w:szCs w:val="24"/>
        </w:rPr>
      </w:pPr>
      <w:bookmarkStart w:id="34" w:name="_Toc32279495"/>
      <w:r w:rsidRPr="00B604D1">
        <w:rPr>
          <w:color w:val="0070C0"/>
          <w:sz w:val="24"/>
          <w:szCs w:val="24"/>
        </w:rPr>
        <w:t>Who we are:</w:t>
      </w:r>
      <w:bookmarkEnd w:id="34"/>
    </w:p>
    <w:p w14:paraId="33506E49" w14:textId="77777777" w:rsidR="00B604D1" w:rsidRPr="00B604D1" w:rsidRDefault="00B604D1" w:rsidP="00B604D1"/>
    <w:p w14:paraId="5A201C38" w14:textId="1059F2DA" w:rsidR="00392844" w:rsidRPr="0098577A" w:rsidRDefault="00356D40" w:rsidP="00B53B3A">
      <w:pPr>
        <w:rPr>
          <w:rFonts w:cs="Arial"/>
          <w:i/>
        </w:rPr>
      </w:pPr>
      <w:r w:rsidRPr="0098577A">
        <w:rPr>
          <w:rFonts w:cs="Arial"/>
          <w:b/>
          <w:i/>
        </w:rPr>
        <w:t>The Charter Committee on Poverty Issues (</w:t>
      </w:r>
      <w:r w:rsidR="005517F2" w:rsidRPr="0098577A">
        <w:rPr>
          <w:rFonts w:cs="Arial"/>
          <w:b/>
          <w:i/>
        </w:rPr>
        <w:t>CCPI</w:t>
      </w:r>
      <w:r w:rsidRPr="0098577A">
        <w:rPr>
          <w:rFonts w:cs="Arial"/>
          <w:b/>
          <w:i/>
        </w:rPr>
        <w:t>)</w:t>
      </w:r>
      <w:r w:rsidRPr="0098577A">
        <w:rPr>
          <w:rFonts w:cs="Arial"/>
          <w:i/>
        </w:rPr>
        <w:t xml:space="preserve"> is a national</w:t>
      </w:r>
      <w:r w:rsidR="00C57458" w:rsidRPr="0098577A">
        <w:rPr>
          <w:rFonts w:cs="Arial"/>
          <w:i/>
        </w:rPr>
        <w:t xml:space="preserve"> Committee (</w:t>
      </w:r>
      <w:r w:rsidRPr="0098577A">
        <w:rPr>
          <w:rFonts w:cs="Arial"/>
          <w:i/>
        </w:rPr>
        <w:t>NGO</w:t>
      </w:r>
      <w:r w:rsidR="00C57458" w:rsidRPr="0098577A">
        <w:rPr>
          <w:rFonts w:cs="Arial"/>
          <w:i/>
        </w:rPr>
        <w:t>)</w:t>
      </w:r>
      <w:r w:rsidR="005517F2" w:rsidRPr="0098577A">
        <w:rPr>
          <w:rFonts w:cs="Arial"/>
          <w:i/>
        </w:rPr>
        <w:t xml:space="preserve"> </w:t>
      </w:r>
      <w:r w:rsidR="00D344AE" w:rsidRPr="0098577A">
        <w:rPr>
          <w:rFonts w:cs="Arial"/>
          <w:i/>
        </w:rPr>
        <w:t xml:space="preserve">formed in 1988 </w:t>
      </w:r>
      <w:r w:rsidR="005517F2" w:rsidRPr="0098577A">
        <w:rPr>
          <w:rFonts w:cs="Arial"/>
          <w:i/>
        </w:rPr>
        <w:t>which brings together low-income individuals, anti-poverty organizations, researchers, lawyers and advocates for the purpose of assisting people</w:t>
      </w:r>
      <w:r w:rsidR="00E320C5">
        <w:rPr>
          <w:rFonts w:cs="Arial"/>
          <w:i/>
        </w:rPr>
        <w:t xml:space="preserve"> living in poverty</w:t>
      </w:r>
      <w:r w:rsidR="005517F2" w:rsidRPr="0098577A">
        <w:rPr>
          <w:rFonts w:cs="Arial"/>
          <w:i/>
        </w:rPr>
        <w:t xml:space="preserve"> in Canada to secure and assert their rights under international</w:t>
      </w:r>
      <w:r w:rsidR="00815C3A" w:rsidRPr="0098577A">
        <w:rPr>
          <w:rFonts w:cs="Arial"/>
          <w:i/>
        </w:rPr>
        <w:t xml:space="preserve"> human rights</w:t>
      </w:r>
      <w:r w:rsidR="005517F2" w:rsidRPr="0098577A">
        <w:rPr>
          <w:rFonts w:cs="Arial"/>
          <w:i/>
        </w:rPr>
        <w:t xml:space="preserve"> law, the Canadian Charter of Rights and Freedoms ("the Charter"), human rights legis</w:t>
      </w:r>
      <w:r w:rsidR="00AF3FD4" w:rsidRPr="0098577A">
        <w:rPr>
          <w:rFonts w:cs="Arial"/>
          <w:i/>
        </w:rPr>
        <w:t>lation and other law in Canada.</w:t>
      </w:r>
      <w:r w:rsidR="00A615E7" w:rsidRPr="0098577A">
        <w:rPr>
          <w:rFonts w:cs="Arial"/>
          <w:i/>
        </w:rPr>
        <w:t xml:space="preserve">   </w:t>
      </w:r>
      <w:r w:rsidR="005517F2" w:rsidRPr="0098577A">
        <w:rPr>
          <w:rFonts w:cs="Arial"/>
          <w:i/>
        </w:rPr>
        <w:t>CCPI has appeare</w:t>
      </w:r>
      <w:r w:rsidR="00A615E7" w:rsidRPr="0098577A">
        <w:rPr>
          <w:rFonts w:cs="Arial"/>
          <w:i/>
        </w:rPr>
        <w:t xml:space="preserve">d before </w:t>
      </w:r>
      <w:r w:rsidR="007A22C8">
        <w:rPr>
          <w:rFonts w:cs="Arial"/>
          <w:i/>
        </w:rPr>
        <w:t xml:space="preserve">many </w:t>
      </w:r>
      <w:r w:rsidR="00A615E7" w:rsidRPr="0098577A">
        <w:rPr>
          <w:rFonts w:cs="Arial"/>
          <w:i/>
        </w:rPr>
        <w:t>UN human r</w:t>
      </w:r>
      <w:r w:rsidR="005517F2" w:rsidRPr="0098577A">
        <w:rPr>
          <w:rFonts w:cs="Arial"/>
          <w:i/>
        </w:rPr>
        <w:t>ights treaty monitoring bodies</w:t>
      </w:r>
      <w:r w:rsidR="00D344AE" w:rsidRPr="0098577A">
        <w:rPr>
          <w:rFonts w:cs="Arial"/>
          <w:i/>
        </w:rPr>
        <w:t>, dating back to the 1993 review o</w:t>
      </w:r>
      <w:r w:rsidR="00392844" w:rsidRPr="0098577A">
        <w:rPr>
          <w:rFonts w:cs="Arial"/>
          <w:i/>
        </w:rPr>
        <w:t xml:space="preserve">f Canada before the CESCR and </w:t>
      </w:r>
      <w:r w:rsidR="005517F2" w:rsidRPr="0098577A">
        <w:rPr>
          <w:rFonts w:cs="Arial"/>
          <w:i/>
        </w:rPr>
        <w:t>has been gran</w:t>
      </w:r>
      <w:r w:rsidR="00A615E7" w:rsidRPr="0098577A">
        <w:rPr>
          <w:rFonts w:cs="Arial"/>
          <w:i/>
        </w:rPr>
        <w:t xml:space="preserve">ted leave to intervene in </w:t>
      </w:r>
      <w:r w:rsidR="00E320C5">
        <w:rPr>
          <w:rFonts w:cs="Arial"/>
          <w:i/>
        </w:rPr>
        <w:t>fourteen</w:t>
      </w:r>
      <w:r w:rsidR="005517F2" w:rsidRPr="0098577A">
        <w:rPr>
          <w:rFonts w:cs="Arial"/>
          <w:i/>
        </w:rPr>
        <w:t xml:space="preserve"> cases at the Supreme Court of Canada.  </w:t>
      </w:r>
      <w:r w:rsidR="00AD5062" w:rsidRPr="0098577A">
        <w:rPr>
          <w:rFonts w:cs="Arial"/>
          <w:i/>
        </w:rPr>
        <w:t xml:space="preserve"> </w:t>
      </w:r>
    </w:p>
    <w:p w14:paraId="1CE76B3C" w14:textId="65C658DB" w:rsidR="0020765D" w:rsidRDefault="00356D40" w:rsidP="00B53B3A">
      <w:pPr>
        <w:rPr>
          <w:rFonts w:cs="Arial"/>
          <w:i/>
        </w:rPr>
      </w:pPr>
      <w:r w:rsidRPr="0098577A">
        <w:rPr>
          <w:rFonts w:cs="Arial"/>
          <w:b/>
          <w:i/>
        </w:rPr>
        <w:t xml:space="preserve">The Social Rights Advocacy Centre </w:t>
      </w:r>
      <w:r w:rsidR="00C57458" w:rsidRPr="0098577A">
        <w:rPr>
          <w:rFonts w:cs="Arial"/>
          <w:b/>
          <w:i/>
        </w:rPr>
        <w:t>(SRAC)</w:t>
      </w:r>
      <w:r w:rsidR="00C57458" w:rsidRPr="0098577A">
        <w:rPr>
          <w:rFonts w:cs="Arial"/>
          <w:i/>
        </w:rPr>
        <w:t xml:space="preserve"> </w:t>
      </w:r>
      <w:r w:rsidRPr="0098577A">
        <w:rPr>
          <w:rFonts w:cs="Arial"/>
          <w:i/>
        </w:rPr>
        <w:t>is a non-profit N</w:t>
      </w:r>
      <w:r w:rsidR="00C57458" w:rsidRPr="0098577A">
        <w:rPr>
          <w:rFonts w:cs="Arial"/>
          <w:i/>
        </w:rPr>
        <w:t>GO formed in 2002 for</w:t>
      </w:r>
      <w:r w:rsidR="00392844" w:rsidRPr="0098577A">
        <w:rPr>
          <w:rFonts w:cs="Arial"/>
          <w:i/>
        </w:rPr>
        <w:t xml:space="preserve"> the purpose of </w:t>
      </w:r>
      <w:r w:rsidR="00603BB9" w:rsidRPr="0098577A">
        <w:rPr>
          <w:rFonts w:cs="Arial"/>
          <w:i/>
        </w:rPr>
        <w:t xml:space="preserve">ensuring the equal enjoyment of economic, social and cultural rights </w:t>
      </w:r>
      <w:r w:rsidR="00392844" w:rsidRPr="0098577A">
        <w:rPr>
          <w:rFonts w:cs="Arial"/>
          <w:i/>
        </w:rPr>
        <w:t>through human rights research, public education and legal advocacy.</w:t>
      </w:r>
      <w:r w:rsidR="00603BB9" w:rsidRPr="0098577A">
        <w:rPr>
          <w:rFonts w:cs="Arial"/>
          <w:i/>
        </w:rPr>
        <w:t xml:space="preserve">  </w:t>
      </w:r>
      <w:r w:rsidR="007A22C8">
        <w:rPr>
          <w:rFonts w:cs="Arial"/>
          <w:i/>
        </w:rPr>
        <w:t xml:space="preserve"> </w:t>
      </w:r>
      <w:r w:rsidR="00367CFE" w:rsidRPr="0098577A">
        <w:rPr>
          <w:rFonts w:cs="Arial"/>
          <w:i/>
        </w:rPr>
        <w:t xml:space="preserve">SRAC </w:t>
      </w:r>
      <w:r w:rsidR="00603BB9" w:rsidRPr="0098577A">
        <w:rPr>
          <w:rFonts w:cs="Arial"/>
          <w:i/>
        </w:rPr>
        <w:t>produces extensive research and publications on social rights</w:t>
      </w:r>
      <w:r w:rsidR="0077779F">
        <w:rPr>
          <w:rFonts w:cs="Arial"/>
          <w:i/>
        </w:rPr>
        <w:t>.</w:t>
      </w:r>
    </w:p>
    <w:p w14:paraId="054BA43A" w14:textId="77777777" w:rsidR="00E320C5" w:rsidRPr="003A6D06" w:rsidRDefault="00E320C5" w:rsidP="00B53B3A">
      <w:pPr>
        <w:rPr>
          <w:rFonts w:cs="Arial"/>
          <w:i/>
        </w:rPr>
      </w:pPr>
    </w:p>
    <w:p w14:paraId="77488674" w14:textId="5582A7B6" w:rsidR="00E543F2" w:rsidRPr="00B604D1" w:rsidRDefault="00E543F2" w:rsidP="00B604D1">
      <w:pPr>
        <w:pStyle w:val="Heading2"/>
        <w:numPr>
          <w:ilvl w:val="0"/>
          <w:numId w:val="4"/>
        </w:numPr>
        <w:rPr>
          <w:color w:val="0070C0"/>
          <w:sz w:val="24"/>
          <w:szCs w:val="24"/>
        </w:rPr>
      </w:pPr>
      <w:bookmarkStart w:id="35" w:name="_Toc32279496"/>
      <w:r w:rsidRPr="00B604D1">
        <w:rPr>
          <w:color w:val="0070C0"/>
          <w:sz w:val="24"/>
          <w:szCs w:val="24"/>
        </w:rPr>
        <w:t>Overview</w:t>
      </w:r>
      <w:r w:rsidR="000B30B3" w:rsidRPr="00B604D1">
        <w:rPr>
          <w:color w:val="0070C0"/>
          <w:sz w:val="24"/>
          <w:szCs w:val="24"/>
        </w:rPr>
        <w:t xml:space="preserve">. </w:t>
      </w:r>
      <w:r w:rsidRPr="00B604D1">
        <w:rPr>
          <w:color w:val="0070C0"/>
          <w:sz w:val="24"/>
          <w:szCs w:val="24"/>
        </w:rPr>
        <w:t>Domestic Implementation of the Covenant in the Canadian Legal System.</w:t>
      </w:r>
      <w:bookmarkEnd w:id="35"/>
      <w:r w:rsidRPr="00B604D1">
        <w:rPr>
          <w:color w:val="0070C0"/>
          <w:sz w:val="24"/>
          <w:szCs w:val="24"/>
        </w:rPr>
        <w:t xml:space="preserve"> </w:t>
      </w:r>
    </w:p>
    <w:p w14:paraId="1068DEF7" w14:textId="77777777" w:rsidR="005B5B58" w:rsidRPr="00565DD7" w:rsidRDefault="005B5B58" w:rsidP="005B5B58">
      <w:pPr>
        <w:pStyle w:val="ListParagraph"/>
        <w:ind w:left="1080"/>
        <w:rPr>
          <w:rFonts w:cs="Arial"/>
          <w:b/>
        </w:rPr>
      </w:pPr>
    </w:p>
    <w:p w14:paraId="47D11FBD" w14:textId="41E7F04E" w:rsidR="005B5B58" w:rsidRDefault="00027ADA" w:rsidP="009B7592">
      <w:pPr>
        <w:pStyle w:val="ListParagraph"/>
        <w:numPr>
          <w:ilvl w:val="0"/>
          <w:numId w:val="14"/>
        </w:numPr>
        <w:ind w:left="0" w:firstLine="0"/>
        <w:rPr>
          <w:rFonts w:cs="Arial"/>
        </w:rPr>
      </w:pPr>
      <w:r w:rsidRPr="005B5B58">
        <w:rPr>
          <w:rFonts w:cs="Arial"/>
        </w:rPr>
        <w:t>Canada is a dualist cou</w:t>
      </w:r>
      <w:r w:rsidR="00AB3E17" w:rsidRPr="005B5B58">
        <w:rPr>
          <w:rFonts w:cs="Arial"/>
        </w:rPr>
        <w:t>ntry and a constitutional democra</w:t>
      </w:r>
      <w:r w:rsidR="00725ACA" w:rsidRPr="005B5B58">
        <w:rPr>
          <w:rFonts w:cs="Arial"/>
        </w:rPr>
        <w:t>c</w:t>
      </w:r>
      <w:r w:rsidR="00AB3E17" w:rsidRPr="005B5B58">
        <w:rPr>
          <w:rFonts w:cs="Arial"/>
        </w:rPr>
        <w:t>y.</w:t>
      </w:r>
      <w:r w:rsidR="00575FA8" w:rsidRPr="005B5B58">
        <w:rPr>
          <w:rFonts w:cs="Arial"/>
        </w:rPr>
        <w:t xml:space="preserve">  Access to justice for ESC rights</w:t>
      </w:r>
      <w:r w:rsidR="00B53B3A" w:rsidRPr="005B5B58">
        <w:rPr>
          <w:rFonts w:cs="Arial"/>
        </w:rPr>
        <w:t xml:space="preserve"> </w:t>
      </w:r>
      <w:r w:rsidR="00575FA8" w:rsidRPr="005B5B58">
        <w:rPr>
          <w:rFonts w:cs="Arial"/>
        </w:rPr>
        <w:t xml:space="preserve">relies on the interpretation </w:t>
      </w:r>
      <w:r w:rsidR="00AB3E17" w:rsidRPr="005B5B58">
        <w:rPr>
          <w:rFonts w:cs="Arial"/>
        </w:rPr>
        <w:t>and application of domestic law, particularly the Canadian Charter of Rights and Freedoms</w:t>
      </w:r>
      <w:r w:rsidR="00725ACA" w:rsidRPr="005B5B58">
        <w:rPr>
          <w:rFonts w:cs="Arial"/>
        </w:rPr>
        <w:t xml:space="preserve"> (Canadian Charter)</w:t>
      </w:r>
      <w:r w:rsidR="00A945A5" w:rsidRPr="005B5B58">
        <w:rPr>
          <w:rFonts w:cs="Arial"/>
        </w:rPr>
        <w:t xml:space="preserve"> consistent with international human rights ratified by Canada</w:t>
      </w:r>
      <w:r w:rsidR="000954BB" w:rsidRPr="005B5B58">
        <w:rPr>
          <w:rFonts w:cs="Arial"/>
        </w:rPr>
        <w:t>.</w:t>
      </w:r>
      <w:r w:rsidR="00A945A5" w:rsidRPr="005B5B58">
        <w:rPr>
          <w:rFonts w:cs="Arial"/>
        </w:rPr>
        <w:t xml:space="preserve"> This interpretative obligation of courts</w:t>
      </w:r>
      <w:r w:rsidR="000B5147" w:rsidRPr="005B5B58">
        <w:rPr>
          <w:rFonts w:cs="Arial"/>
        </w:rPr>
        <w:t xml:space="preserve">, as described by the CESCR in General Comment No. 9, </w:t>
      </w:r>
      <w:r w:rsidR="00A945A5" w:rsidRPr="005B5B58">
        <w:rPr>
          <w:rFonts w:cs="Arial"/>
        </w:rPr>
        <w:t>has been affirmed by the Supreme Court of Canada, first in t</w:t>
      </w:r>
      <w:r w:rsidR="00125141" w:rsidRPr="005B5B58">
        <w:rPr>
          <w:rFonts w:cs="Arial"/>
        </w:rPr>
        <w:t>he case of</w:t>
      </w:r>
      <w:r w:rsidR="00A945A5" w:rsidRPr="005B5B58">
        <w:rPr>
          <w:rFonts w:cs="Arial"/>
        </w:rPr>
        <w:t xml:space="preserve"> </w:t>
      </w:r>
      <w:proofErr w:type="spellStart"/>
      <w:r w:rsidR="00A945A5" w:rsidRPr="005B5B58">
        <w:rPr>
          <w:rFonts w:cs="Arial"/>
          <w:i/>
          <w:iCs/>
        </w:rPr>
        <w:t>Slaight</w:t>
      </w:r>
      <w:proofErr w:type="spellEnd"/>
      <w:r w:rsidR="00A945A5" w:rsidRPr="005B5B58">
        <w:rPr>
          <w:rFonts w:cs="Arial"/>
          <w:i/>
          <w:iCs/>
        </w:rPr>
        <w:t xml:space="preserve"> Communications </w:t>
      </w:r>
      <w:r w:rsidR="00125141" w:rsidRPr="005B5B58">
        <w:rPr>
          <w:rFonts w:cs="Arial"/>
          <w:i/>
          <w:iCs/>
        </w:rPr>
        <w:t>v Davidson</w:t>
      </w:r>
      <w:r w:rsidR="00A945A5" w:rsidRPr="005B5B58">
        <w:rPr>
          <w:rFonts w:cs="Arial"/>
        </w:rPr>
        <w:t xml:space="preserve"> in</w:t>
      </w:r>
      <w:r w:rsidR="00682DC6">
        <w:rPr>
          <w:rFonts w:cs="Arial"/>
        </w:rPr>
        <w:t xml:space="preserve"> </w:t>
      </w:r>
      <w:r w:rsidR="00A945A5" w:rsidRPr="005B5B58">
        <w:rPr>
          <w:rFonts w:cs="Arial"/>
        </w:rPr>
        <w:t>relation to the ICESCR</w:t>
      </w:r>
      <w:r w:rsidR="00A945A5">
        <w:rPr>
          <w:rStyle w:val="FootnoteReference"/>
          <w:rFonts w:cs="Arial"/>
        </w:rPr>
        <w:footnoteReference w:id="1"/>
      </w:r>
      <w:r w:rsidR="000E3005" w:rsidRPr="005B5B58">
        <w:rPr>
          <w:rFonts w:cs="Arial"/>
        </w:rPr>
        <w:t xml:space="preserve"> and in many subsequent </w:t>
      </w:r>
      <w:r w:rsidR="00682DC6">
        <w:rPr>
          <w:rFonts w:cs="Arial"/>
        </w:rPr>
        <w:t>decisions</w:t>
      </w:r>
      <w:r w:rsidR="000E3005" w:rsidRPr="005B5B58">
        <w:rPr>
          <w:rFonts w:cs="Arial"/>
        </w:rPr>
        <w:t>.</w:t>
      </w:r>
      <w:r w:rsidR="00E543F2" w:rsidRPr="005B5B58">
        <w:rPr>
          <w:rFonts w:cs="Arial"/>
        </w:rPr>
        <w:t xml:space="preserve"> </w:t>
      </w:r>
      <w:r w:rsidR="000E3005" w:rsidRPr="005B5B58">
        <w:rPr>
          <w:rFonts w:cs="Arial"/>
        </w:rPr>
        <w:t xml:space="preserve"> </w:t>
      </w:r>
      <w:r w:rsidR="00682DC6">
        <w:rPr>
          <w:rFonts w:cs="Arial"/>
        </w:rPr>
        <w:t xml:space="preserve"> The Court has stated that</w:t>
      </w:r>
      <w:r w:rsidR="00E320C5">
        <w:rPr>
          <w:rFonts w:cs="Arial"/>
        </w:rPr>
        <w:t>:</w:t>
      </w:r>
      <w:r w:rsidR="00682DC6">
        <w:rPr>
          <w:rFonts w:cs="Arial"/>
        </w:rPr>
        <w:t xml:space="preserve"> “</w:t>
      </w:r>
      <w:r w:rsidR="00682DC6" w:rsidRPr="00682DC6">
        <w:rPr>
          <w:rFonts w:cs="Arial"/>
        </w:rPr>
        <w:t>In interpreting the scope of application of the Charter, the courts should seek to ensure compliance with Canada’s binding obligations under international law where the express words are capable of supporting such a construction.</w:t>
      </w:r>
      <w:r w:rsidR="00BA5331">
        <w:rPr>
          <w:rFonts w:cs="Arial"/>
        </w:rPr>
        <w:t>”</w:t>
      </w:r>
      <w:r w:rsidR="00682DC6">
        <w:rPr>
          <w:rStyle w:val="FootnoteReference"/>
          <w:rFonts w:cs="Arial"/>
        </w:rPr>
        <w:footnoteReference w:id="2"/>
      </w:r>
    </w:p>
    <w:p w14:paraId="0A03C8FA" w14:textId="77777777" w:rsidR="005B5B58" w:rsidRPr="005B5B58" w:rsidRDefault="005B5B58" w:rsidP="005B5B58">
      <w:pPr>
        <w:pStyle w:val="ListParagraph"/>
        <w:ind w:left="0"/>
        <w:rPr>
          <w:rFonts w:cs="Arial"/>
        </w:rPr>
      </w:pPr>
    </w:p>
    <w:p w14:paraId="59179921" w14:textId="01A4253E" w:rsidR="0096271E" w:rsidRPr="00BA5331" w:rsidRDefault="000954BB" w:rsidP="00760C74">
      <w:pPr>
        <w:pStyle w:val="ListParagraph"/>
        <w:numPr>
          <w:ilvl w:val="0"/>
          <w:numId w:val="14"/>
        </w:numPr>
        <w:ind w:left="0" w:firstLine="0"/>
        <w:rPr>
          <w:rFonts w:cs="Arial"/>
        </w:rPr>
      </w:pPr>
      <w:r w:rsidRPr="00BA5331">
        <w:rPr>
          <w:rFonts w:cs="Arial"/>
        </w:rPr>
        <w:lastRenderedPageBreak/>
        <w:t>B</w:t>
      </w:r>
      <w:r w:rsidR="000C7603" w:rsidRPr="00BA5331">
        <w:rPr>
          <w:rFonts w:cs="Arial"/>
        </w:rPr>
        <w:t>roadly framed rights</w:t>
      </w:r>
      <w:r w:rsidRPr="00BA5331">
        <w:rPr>
          <w:rFonts w:cs="Arial"/>
        </w:rPr>
        <w:t xml:space="preserve"> in the Canadian Charter </w:t>
      </w:r>
      <w:r w:rsidR="00AB3E17" w:rsidRPr="00BA5331">
        <w:rPr>
          <w:rFonts w:cs="Arial"/>
        </w:rPr>
        <w:t>to life and</w:t>
      </w:r>
      <w:r w:rsidR="000C7603" w:rsidRPr="00BA5331">
        <w:rPr>
          <w:rFonts w:cs="Arial"/>
        </w:rPr>
        <w:t xml:space="preserve"> security of the person</w:t>
      </w:r>
      <w:r w:rsidR="00AB3E17" w:rsidRPr="00BA5331">
        <w:rPr>
          <w:rFonts w:cs="Arial"/>
        </w:rPr>
        <w:t xml:space="preserve"> (s. 7)</w:t>
      </w:r>
      <w:r w:rsidR="000C7603" w:rsidRPr="00BA5331">
        <w:rPr>
          <w:rFonts w:cs="Arial"/>
        </w:rPr>
        <w:t xml:space="preserve"> and </w:t>
      </w:r>
      <w:r w:rsidR="00BA5331" w:rsidRPr="00BA5331">
        <w:rPr>
          <w:rFonts w:cs="Arial"/>
        </w:rPr>
        <w:t>to equality</w:t>
      </w:r>
      <w:r w:rsidR="00AB3E17" w:rsidRPr="00BA5331">
        <w:rPr>
          <w:rFonts w:cs="Arial"/>
        </w:rPr>
        <w:t xml:space="preserve"> (s.15)</w:t>
      </w:r>
      <w:r w:rsidR="000C7603" w:rsidRPr="00BA5331">
        <w:rPr>
          <w:rFonts w:cs="Arial"/>
        </w:rPr>
        <w:t xml:space="preserve"> </w:t>
      </w:r>
      <w:r w:rsidR="00027ADA" w:rsidRPr="00BA5331">
        <w:rPr>
          <w:rFonts w:cs="Arial"/>
        </w:rPr>
        <w:t>can and</w:t>
      </w:r>
      <w:r w:rsidRPr="00BA5331">
        <w:rPr>
          <w:rFonts w:cs="Arial"/>
        </w:rPr>
        <w:t xml:space="preserve"> should be interpreted so as </w:t>
      </w:r>
      <w:r w:rsidR="006250EC" w:rsidRPr="00BA5331">
        <w:rPr>
          <w:rFonts w:cs="Arial"/>
        </w:rPr>
        <w:t>to</w:t>
      </w:r>
      <w:r w:rsidR="00E320C5">
        <w:rPr>
          <w:rFonts w:cs="Arial"/>
        </w:rPr>
        <w:t xml:space="preserve"> ensure compliance with the ICESCR, by</w:t>
      </w:r>
      <w:r w:rsidR="006250EC" w:rsidRPr="00BA5331">
        <w:rPr>
          <w:rFonts w:cs="Arial"/>
        </w:rPr>
        <w:t xml:space="preserve"> provid</w:t>
      </w:r>
      <w:r w:rsidR="00E320C5">
        <w:rPr>
          <w:rFonts w:cs="Arial"/>
        </w:rPr>
        <w:t>ing</w:t>
      </w:r>
      <w:r w:rsidR="006250EC" w:rsidRPr="00BA5331">
        <w:rPr>
          <w:rFonts w:cs="Arial"/>
        </w:rPr>
        <w:t xml:space="preserve"> effective </w:t>
      </w:r>
      <w:r w:rsidR="009E391A" w:rsidRPr="00BA5331">
        <w:rPr>
          <w:rFonts w:cs="Arial"/>
        </w:rPr>
        <w:t xml:space="preserve">systemic </w:t>
      </w:r>
      <w:r w:rsidR="006250EC" w:rsidRPr="00BA5331">
        <w:rPr>
          <w:rFonts w:cs="Arial"/>
        </w:rPr>
        <w:t>remedies</w:t>
      </w:r>
      <w:r w:rsidR="00BA5331" w:rsidRPr="00BA5331">
        <w:rPr>
          <w:rFonts w:cs="Arial"/>
        </w:rPr>
        <w:t xml:space="preserve"> when life or personal security is placed at risk because of </w:t>
      </w:r>
      <w:r w:rsidR="00682DC6" w:rsidRPr="00BA5331">
        <w:rPr>
          <w:rFonts w:cs="Arial"/>
        </w:rPr>
        <w:t xml:space="preserve">homelessness, hunger or </w:t>
      </w:r>
      <w:r w:rsidR="003C6DDD" w:rsidRPr="00BA5331">
        <w:rPr>
          <w:rFonts w:cs="Arial"/>
        </w:rPr>
        <w:t>denial of access to health care</w:t>
      </w:r>
      <w:r w:rsidR="000C7603" w:rsidRPr="00BA5331">
        <w:rPr>
          <w:rFonts w:cs="Arial"/>
        </w:rPr>
        <w:t>.</w:t>
      </w:r>
      <w:r w:rsidR="003C6DDD">
        <w:rPr>
          <w:rStyle w:val="FootnoteReference"/>
          <w:rFonts w:cs="Arial"/>
        </w:rPr>
        <w:footnoteReference w:id="3"/>
      </w:r>
      <w:r w:rsidR="006250EC" w:rsidRPr="00BA5331">
        <w:rPr>
          <w:rFonts w:cs="Arial"/>
        </w:rPr>
        <w:t xml:space="preserve"> </w:t>
      </w:r>
      <w:r w:rsidR="00CE3BA8" w:rsidRPr="00BA5331">
        <w:rPr>
          <w:rFonts w:cs="Arial"/>
        </w:rPr>
        <w:t xml:space="preserve">However, Canadian governments and courts have </w:t>
      </w:r>
      <w:r w:rsidR="003C6DDD" w:rsidRPr="00BA5331">
        <w:rPr>
          <w:rFonts w:cs="Arial"/>
        </w:rPr>
        <w:t>opposed</w:t>
      </w:r>
      <w:r w:rsidR="00CE3BA8" w:rsidRPr="00BA5331">
        <w:rPr>
          <w:rFonts w:cs="Arial"/>
        </w:rPr>
        <w:t xml:space="preserve"> interpretations</w:t>
      </w:r>
      <w:r w:rsidR="00BA5331" w:rsidRPr="00BA5331">
        <w:rPr>
          <w:rFonts w:cs="Arial"/>
        </w:rPr>
        <w:t xml:space="preserve"> of the Charter that would provide remedies to violations of ESC rights.  They have</w:t>
      </w:r>
      <w:r w:rsidR="00565DD7" w:rsidRPr="00BA5331">
        <w:rPr>
          <w:rFonts w:cs="Arial"/>
        </w:rPr>
        <w:t xml:space="preserve"> assert</w:t>
      </w:r>
      <w:r w:rsidR="00E320C5">
        <w:rPr>
          <w:rFonts w:cs="Arial"/>
        </w:rPr>
        <w:t>ed</w:t>
      </w:r>
      <w:r w:rsidR="00565DD7" w:rsidRPr="00BA5331">
        <w:rPr>
          <w:rFonts w:cs="Arial"/>
        </w:rPr>
        <w:t xml:space="preserve"> </w:t>
      </w:r>
      <w:r w:rsidR="00CE3BA8" w:rsidRPr="00BA5331">
        <w:rPr>
          <w:rFonts w:cs="Arial"/>
        </w:rPr>
        <w:t>that ESC rights are non-justiciable</w:t>
      </w:r>
      <w:r w:rsidR="005C1BA0" w:rsidRPr="00BA5331">
        <w:rPr>
          <w:rFonts w:cs="Arial"/>
        </w:rPr>
        <w:t xml:space="preserve"> and therefor</w:t>
      </w:r>
      <w:r w:rsidR="001B7F73" w:rsidRPr="00BA5331">
        <w:rPr>
          <w:rFonts w:cs="Arial"/>
        </w:rPr>
        <w:t>e</w:t>
      </w:r>
      <w:r w:rsidR="003C6DDD" w:rsidRPr="00BA5331">
        <w:rPr>
          <w:rFonts w:cs="Arial"/>
        </w:rPr>
        <w:t xml:space="preserve"> Charter claims </w:t>
      </w:r>
      <w:r w:rsidR="005C1BA0" w:rsidRPr="00BA5331">
        <w:rPr>
          <w:rFonts w:cs="Arial"/>
        </w:rPr>
        <w:t xml:space="preserve">to </w:t>
      </w:r>
      <w:r w:rsidR="003C6DDD" w:rsidRPr="00BA5331">
        <w:rPr>
          <w:rFonts w:cs="Arial"/>
        </w:rPr>
        <w:t>positive measures to ensure access to housing or health care</w:t>
      </w:r>
      <w:r w:rsidR="005C1BA0" w:rsidRPr="00BA5331">
        <w:rPr>
          <w:rFonts w:cs="Arial"/>
        </w:rPr>
        <w:t xml:space="preserve"> as component of </w:t>
      </w:r>
      <w:r w:rsidR="003C6DDD" w:rsidRPr="00BA5331">
        <w:rPr>
          <w:rFonts w:cs="Arial"/>
        </w:rPr>
        <w:t xml:space="preserve">the right to life or equality must be </w:t>
      </w:r>
      <w:r w:rsidR="00126D0F" w:rsidRPr="00BA5331">
        <w:rPr>
          <w:rFonts w:cs="Arial"/>
        </w:rPr>
        <w:t xml:space="preserve">dismissed as </w:t>
      </w:r>
      <w:r w:rsidR="003C6DDD" w:rsidRPr="00BA5331">
        <w:rPr>
          <w:rFonts w:cs="Arial"/>
        </w:rPr>
        <w:t>non-justiciable.</w:t>
      </w:r>
      <w:r w:rsidR="00BA5331">
        <w:rPr>
          <w:rFonts w:cs="Arial"/>
        </w:rPr>
        <w:t xml:space="preserve"> </w:t>
      </w:r>
      <w:r w:rsidR="00CE3BA8" w:rsidRPr="00BA5331">
        <w:rPr>
          <w:rFonts w:cs="Arial"/>
        </w:rPr>
        <w:t xml:space="preserve"> </w:t>
      </w:r>
      <w:r w:rsidR="00355471" w:rsidRPr="00BA5331">
        <w:rPr>
          <w:rFonts w:cs="Arial"/>
        </w:rPr>
        <w:t xml:space="preserve">Rather than adopting interpretations of the right to life </w:t>
      </w:r>
      <w:r w:rsidR="00CE3BA8" w:rsidRPr="00BA5331">
        <w:rPr>
          <w:rFonts w:cs="Arial"/>
        </w:rPr>
        <w:t xml:space="preserve">and equality </w:t>
      </w:r>
      <w:r w:rsidR="00355471" w:rsidRPr="00BA5331">
        <w:rPr>
          <w:rFonts w:cs="Arial"/>
        </w:rPr>
        <w:t>consistent international human rights obligations under both the ICESCR and the ICCPR,</w:t>
      </w:r>
      <w:r w:rsidR="00CE3BA8" w:rsidRPr="00BA5331">
        <w:rPr>
          <w:rFonts w:cs="Arial"/>
        </w:rPr>
        <w:t xml:space="preserve"> gover</w:t>
      </w:r>
      <w:r w:rsidR="0096271E" w:rsidRPr="00BA5331">
        <w:rPr>
          <w:rFonts w:cs="Arial"/>
        </w:rPr>
        <w:t>n</w:t>
      </w:r>
      <w:r w:rsidR="00CE3BA8" w:rsidRPr="00BA5331">
        <w:rPr>
          <w:rFonts w:cs="Arial"/>
        </w:rPr>
        <w:t>ments have urged courts, with considerable success, to treat the two categories of rights as</w:t>
      </w:r>
      <w:r w:rsidR="001B7F73" w:rsidRPr="00BA5331">
        <w:rPr>
          <w:rFonts w:cs="Arial"/>
        </w:rPr>
        <w:t xml:space="preserve"> </w:t>
      </w:r>
      <w:r w:rsidR="00565DD7" w:rsidRPr="00BA5331">
        <w:rPr>
          <w:rFonts w:cs="Arial"/>
        </w:rPr>
        <w:t>entirely separate</w:t>
      </w:r>
      <w:r w:rsidR="0096271E" w:rsidRPr="00BA5331">
        <w:rPr>
          <w:rFonts w:cs="Arial"/>
        </w:rPr>
        <w:t>.</w:t>
      </w:r>
      <w:r w:rsidR="00ED06CA" w:rsidRPr="00BA5331">
        <w:rPr>
          <w:rFonts w:cs="Arial"/>
        </w:rPr>
        <w:t xml:space="preserve"> </w:t>
      </w:r>
    </w:p>
    <w:p w14:paraId="7F014E96" w14:textId="77777777" w:rsidR="001B7F73" w:rsidRDefault="001B7F73" w:rsidP="001B7F73">
      <w:pPr>
        <w:pStyle w:val="ListParagraph"/>
        <w:ind w:left="0"/>
        <w:rPr>
          <w:rFonts w:cs="Arial"/>
        </w:rPr>
      </w:pPr>
    </w:p>
    <w:p w14:paraId="73C5C99C" w14:textId="2460614B" w:rsidR="001B7F73" w:rsidRDefault="009E391A" w:rsidP="009B7592">
      <w:pPr>
        <w:pStyle w:val="ListParagraph"/>
        <w:numPr>
          <w:ilvl w:val="0"/>
          <w:numId w:val="14"/>
        </w:numPr>
        <w:ind w:left="0" w:firstLine="0"/>
        <w:rPr>
          <w:rFonts w:cs="Arial"/>
        </w:rPr>
      </w:pPr>
      <w:r w:rsidRPr="001B7F73">
        <w:rPr>
          <w:rFonts w:cs="Arial"/>
        </w:rPr>
        <w:t>It is hoped that the upcoming review of Canada will pr</w:t>
      </w:r>
      <w:r w:rsidR="00E320C5">
        <w:rPr>
          <w:rFonts w:cs="Arial"/>
        </w:rPr>
        <w:t>ovide an occasion for</w:t>
      </w:r>
      <w:r w:rsidRPr="001B7F73">
        <w:rPr>
          <w:rFonts w:cs="Arial"/>
        </w:rPr>
        <w:t xml:space="preserve"> a serious review of Canada’s position on the justiciability of ESC rights</w:t>
      </w:r>
      <w:r w:rsidR="0077779F" w:rsidRPr="001B7F73">
        <w:rPr>
          <w:rFonts w:cs="Arial"/>
        </w:rPr>
        <w:t xml:space="preserve"> and the interpretation of the </w:t>
      </w:r>
      <w:r w:rsidR="00565DD7" w:rsidRPr="001B7F73">
        <w:rPr>
          <w:rFonts w:cs="Arial"/>
        </w:rPr>
        <w:t xml:space="preserve">Canadian </w:t>
      </w:r>
      <w:r w:rsidR="0077779F" w:rsidRPr="001B7F73">
        <w:rPr>
          <w:rFonts w:cs="Arial"/>
        </w:rPr>
        <w:t>Charter in cases involving the interdependence of rights to life, security of the person and equality with ESC rights</w:t>
      </w:r>
      <w:r w:rsidR="00BA5331">
        <w:rPr>
          <w:rFonts w:cs="Arial"/>
        </w:rPr>
        <w:t xml:space="preserve"> such as the right to housing, food, social security, health and an adequate standard of living.</w:t>
      </w:r>
    </w:p>
    <w:p w14:paraId="579A7411" w14:textId="77777777" w:rsidR="001B7F73" w:rsidRPr="001B7F73" w:rsidRDefault="001B7F73" w:rsidP="001B7F73">
      <w:pPr>
        <w:pStyle w:val="ListParagraph"/>
        <w:ind w:left="0"/>
        <w:rPr>
          <w:rFonts w:cs="Arial"/>
        </w:rPr>
      </w:pPr>
    </w:p>
    <w:p w14:paraId="5A0CFC7C" w14:textId="77777777" w:rsidR="00E320C5" w:rsidRDefault="00ED06CA" w:rsidP="009B7592">
      <w:pPr>
        <w:pStyle w:val="ListParagraph"/>
        <w:numPr>
          <w:ilvl w:val="0"/>
          <w:numId w:val="14"/>
        </w:numPr>
        <w:ind w:left="0" w:firstLine="0"/>
        <w:rPr>
          <w:rFonts w:cs="Arial"/>
        </w:rPr>
      </w:pPr>
      <w:r>
        <w:rPr>
          <w:rFonts w:cs="Arial"/>
        </w:rPr>
        <w:t xml:space="preserve">In accordance with Article 28 of the Covenant, we </w:t>
      </w:r>
      <w:r w:rsidR="00BA5331">
        <w:rPr>
          <w:rFonts w:cs="Arial"/>
        </w:rPr>
        <w:t>suggest that</w:t>
      </w:r>
      <w:r>
        <w:rPr>
          <w:rFonts w:cs="Arial"/>
        </w:rPr>
        <w:t xml:space="preserve"> the Committee </w:t>
      </w:r>
      <w:r w:rsidR="00BA5331">
        <w:rPr>
          <w:rFonts w:cs="Arial"/>
        </w:rPr>
        <w:t>should, in its list of issues,</w:t>
      </w:r>
      <w:r>
        <w:rPr>
          <w:rFonts w:cs="Arial"/>
        </w:rPr>
        <w:t xml:space="preserve"> engage directly with</w:t>
      </w:r>
      <w:r w:rsidR="009E391A">
        <w:rPr>
          <w:rFonts w:cs="Arial"/>
        </w:rPr>
        <w:t xml:space="preserve"> the obliga</w:t>
      </w:r>
      <w:r>
        <w:rPr>
          <w:rFonts w:cs="Arial"/>
        </w:rPr>
        <w:t>tions</w:t>
      </w:r>
      <w:r w:rsidR="009E391A">
        <w:rPr>
          <w:rFonts w:cs="Arial"/>
        </w:rPr>
        <w:t xml:space="preserve"> of all levels of government, including provincial/territorial governments, and all branches of government, including the judiciary. Canada’s</w:t>
      </w:r>
      <w:r>
        <w:rPr>
          <w:rFonts w:cs="Arial"/>
        </w:rPr>
        <w:t xml:space="preserve"> federal structure places </w:t>
      </w:r>
      <w:r w:rsidR="001B7F73">
        <w:rPr>
          <w:rFonts w:cs="Arial"/>
        </w:rPr>
        <w:t xml:space="preserve">key </w:t>
      </w:r>
      <w:r>
        <w:rPr>
          <w:rFonts w:cs="Arial"/>
        </w:rPr>
        <w:t xml:space="preserve">obligations for the implementation of ESC rights on provinces and territories, with significant responsibilities also delegated </w:t>
      </w:r>
      <w:r w:rsidR="001B7F73">
        <w:rPr>
          <w:rFonts w:cs="Arial"/>
        </w:rPr>
        <w:t xml:space="preserve">by provinces and territories to </w:t>
      </w:r>
      <w:r>
        <w:rPr>
          <w:rFonts w:cs="Arial"/>
        </w:rPr>
        <w:t xml:space="preserve">municipalities. </w:t>
      </w:r>
      <w:r w:rsidR="001B7F73">
        <w:rPr>
          <w:rFonts w:cs="Arial"/>
        </w:rPr>
        <w:t>If the review does not address the obligations of provinces and territories,</w:t>
      </w:r>
      <w:r w:rsidR="00E320C5">
        <w:rPr>
          <w:rFonts w:cs="Arial"/>
        </w:rPr>
        <w:t xml:space="preserve"> particularly with respect to access to justice,</w:t>
      </w:r>
      <w:r w:rsidR="001B7F73">
        <w:rPr>
          <w:rFonts w:cs="Arial"/>
        </w:rPr>
        <w:t xml:space="preserve"> it will not be effective. </w:t>
      </w:r>
    </w:p>
    <w:p w14:paraId="3F3F1590" w14:textId="77777777" w:rsidR="00E320C5" w:rsidRPr="00E320C5" w:rsidRDefault="00E320C5" w:rsidP="00E320C5">
      <w:pPr>
        <w:pStyle w:val="ListParagraph"/>
        <w:rPr>
          <w:rFonts w:cs="Arial"/>
        </w:rPr>
      </w:pPr>
    </w:p>
    <w:p w14:paraId="7061826E" w14:textId="53F0EADD" w:rsidR="002D167E" w:rsidRDefault="001B7F73" w:rsidP="00BC7E43">
      <w:pPr>
        <w:pStyle w:val="ListParagraph"/>
        <w:numPr>
          <w:ilvl w:val="0"/>
          <w:numId w:val="14"/>
        </w:numPr>
        <w:ind w:left="0" w:firstLine="0"/>
        <w:rPr>
          <w:rFonts w:cs="Arial"/>
        </w:rPr>
      </w:pPr>
      <w:r>
        <w:rPr>
          <w:rFonts w:cs="Arial"/>
        </w:rPr>
        <w:t xml:space="preserve">Similarly, because </w:t>
      </w:r>
      <w:r w:rsidR="00ED06CA">
        <w:rPr>
          <w:rFonts w:cs="Arial"/>
        </w:rPr>
        <w:t xml:space="preserve">Canada’s dualist legal system </w:t>
      </w:r>
      <w:r>
        <w:rPr>
          <w:rFonts w:cs="Arial"/>
        </w:rPr>
        <w:t xml:space="preserve">relies </w:t>
      </w:r>
      <w:r w:rsidR="00ED06CA">
        <w:rPr>
          <w:rFonts w:cs="Arial"/>
        </w:rPr>
        <w:t xml:space="preserve">on the </w:t>
      </w:r>
      <w:r w:rsidR="009E391A">
        <w:rPr>
          <w:rFonts w:cs="Arial"/>
        </w:rPr>
        <w:t>independent judiciary</w:t>
      </w:r>
      <w:r w:rsidR="00ED06CA">
        <w:rPr>
          <w:rFonts w:cs="Arial"/>
        </w:rPr>
        <w:t xml:space="preserve"> to ensure access to effective remedies through appropriate interpretations of domestic law</w:t>
      </w:r>
      <w:r>
        <w:rPr>
          <w:rFonts w:cs="Arial"/>
        </w:rPr>
        <w:t>, an effective review must engage with the judiciary</w:t>
      </w:r>
      <w:r w:rsidR="00E320C5">
        <w:rPr>
          <w:rFonts w:cs="Arial"/>
        </w:rPr>
        <w:t xml:space="preserve"> and with administrative tribunals</w:t>
      </w:r>
      <w:r>
        <w:rPr>
          <w:rFonts w:cs="Arial"/>
        </w:rPr>
        <w:t>.</w:t>
      </w:r>
      <w:r w:rsidR="00ED06CA">
        <w:rPr>
          <w:rFonts w:cs="Arial"/>
        </w:rPr>
        <w:t xml:space="preserve"> We encourage the Committee to request information not only from the federal government but also</w:t>
      </w:r>
      <w:r w:rsidR="005D4013">
        <w:rPr>
          <w:rFonts w:cs="Arial"/>
        </w:rPr>
        <w:t xml:space="preserve">, </w:t>
      </w:r>
      <w:r w:rsidR="00ED06CA">
        <w:rPr>
          <w:rFonts w:cs="Arial"/>
        </w:rPr>
        <w:t>through the federal government, from provinces</w:t>
      </w:r>
      <w:r w:rsidR="005D4013">
        <w:rPr>
          <w:rFonts w:cs="Arial"/>
        </w:rPr>
        <w:t xml:space="preserve"> and </w:t>
      </w:r>
      <w:r w:rsidR="00ED06CA">
        <w:rPr>
          <w:rFonts w:cs="Arial"/>
        </w:rPr>
        <w:t>territories,</w:t>
      </w:r>
      <w:r w:rsidR="005D4013">
        <w:rPr>
          <w:rFonts w:cs="Arial"/>
        </w:rPr>
        <w:t xml:space="preserve"> as well as</w:t>
      </w:r>
      <w:r w:rsidR="00ED06CA">
        <w:rPr>
          <w:rFonts w:cs="Arial"/>
        </w:rPr>
        <w:t xml:space="preserve"> from </w:t>
      </w:r>
      <w:r w:rsidR="00404867">
        <w:rPr>
          <w:rFonts w:cs="Arial"/>
        </w:rPr>
        <w:t>courts and administrative tribunals.</w:t>
      </w:r>
    </w:p>
    <w:p w14:paraId="67D5A36E" w14:textId="0A8F554A" w:rsidR="002D167E" w:rsidRDefault="002D167E" w:rsidP="002D167E">
      <w:pPr>
        <w:pStyle w:val="ListParagraph"/>
        <w:rPr>
          <w:rStyle w:val="Heading2Char"/>
        </w:rPr>
      </w:pPr>
    </w:p>
    <w:p w14:paraId="37C7B70C" w14:textId="77777777" w:rsidR="00B604D1" w:rsidRDefault="00B604D1" w:rsidP="002D167E">
      <w:pPr>
        <w:pStyle w:val="ListParagraph"/>
        <w:rPr>
          <w:rStyle w:val="Heading2Char"/>
        </w:rPr>
      </w:pPr>
    </w:p>
    <w:p w14:paraId="50D454A3" w14:textId="201EC147" w:rsidR="005F27AA" w:rsidRPr="008A0F79" w:rsidRDefault="002D167E" w:rsidP="008A0F79">
      <w:pPr>
        <w:pStyle w:val="Heading2"/>
        <w:numPr>
          <w:ilvl w:val="0"/>
          <w:numId w:val="18"/>
        </w:numPr>
        <w:rPr>
          <w:b w:val="0"/>
          <w:bCs w:val="0"/>
          <w:color w:val="4472C4" w:themeColor="accent1"/>
        </w:rPr>
      </w:pPr>
      <w:bookmarkStart w:id="36" w:name="_Toc32279497"/>
      <w:r w:rsidRPr="008A0F79">
        <w:rPr>
          <w:color w:val="4472C4" w:themeColor="accent1"/>
        </w:rPr>
        <w:lastRenderedPageBreak/>
        <w:t>ENSUR</w:t>
      </w:r>
      <w:r w:rsidR="00BC7E43" w:rsidRPr="008A0F79">
        <w:rPr>
          <w:color w:val="4472C4" w:themeColor="accent1"/>
        </w:rPr>
        <w:t>ING ACCESS TO JUSTICE AND EFFECTIVE REMEDIES FOR ESC RIGHTS UNDER THE CANADIAN CHARTER</w:t>
      </w:r>
      <w:bookmarkEnd w:id="36"/>
      <w:r w:rsidR="00BC7E43" w:rsidRPr="008A0F79">
        <w:rPr>
          <w:b w:val="0"/>
          <w:bCs w:val="0"/>
          <w:color w:val="4472C4" w:themeColor="accent1"/>
        </w:rPr>
        <w:t xml:space="preserve"> </w:t>
      </w:r>
    </w:p>
    <w:p w14:paraId="7CBFD77D" w14:textId="0A7DF104" w:rsidR="005F27AA" w:rsidRPr="00404867" w:rsidRDefault="005F27AA" w:rsidP="00B604D1">
      <w:pPr>
        <w:pStyle w:val="Heading2"/>
        <w:numPr>
          <w:ilvl w:val="0"/>
          <w:numId w:val="24"/>
        </w:numPr>
        <w:rPr>
          <w:color w:val="0070C0"/>
          <w:sz w:val="24"/>
          <w:szCs w:val="24"/>
        </w:rPr>
      </w:pPr>
      <w:bookmarkStart w:id="37" w:name="_Toc442138312"/>
      <w:bookmarkStart w:id="38" w:name="_Toc442138348"/>
      <w:bookmarkStart w:id="39" w:name="_Toc32279498"/>
      <w:r w:rsidRPr="00404867">
        <w:rPr>
          <w:color w:val="0070C0"/>
          <w:sz w:val="24"/>
          <w:szCs w:val="24"/>
        </w:rPr>
        <w:t xml:space="preserve">Protection of ESC Rights Through Inclusive Interpretations of </w:t>
      </w:r>
      <w:r w:rsidR="00404867">
        <w:rPr>
          <w:color w:val="0070C0"/>
          <w:sz w:val="24"/>
          <w:szCs w:val="24"/>
        </w:rPr>
        <w:t>r</w:t>
      </w:r>
      <w:r w:rsidRPr="00404867">
        <w:rPr>
          <w:color w:val="0070C0"/>
          <w:sz w:val="24"/>
          <w:szCs w:val="24"/>
        </w:rPr>
        <w:t>ights under the Canadian Charter of Rights and Freedoms</w:t>
      </w:r>
      <w:bookmarkEnd w:id="37"/>
      <w:bookmarkEnd w:id="38"/>
      <w:bookmarkEnd w:id="39"/>
    </w:p>
    <w:p w14:paraId="66BAD44A" w14:textId="77777777" w:rsidR="005F27AA" w:rsidRPr="00C5478C" w:rsidRDefault="005F27AA" w:rsidP="00D70244">
      <w:pPr>
        <w:ind w:firstLine="720"/>
        <w:rPr>
          <w:rFonts w:cs="Arial"/>
        </w:rPr>
      </w:pPr>
    </w:p>
    <w:p w14:paraId="2296AE3E" w14:textId="77777777" w:rsidR="00E320C5" w:rsidRDefault="008F5881" w:rsidP="009B7592">
      <w:pPr>
        <w:numPr>
          <w:ilvl w:val="0"/>
          <w:numId w:val="2"/>
        </w:numPr>
        <w:rPr>
          <w:rFonts w:cs="Arial"/>
          <w:lang w:val="en-GB"/>
        </w:rPr>
      </w:pPr>
      <w:r>
        <w:rPr>
          <w:rFonts w:cs="Arial"/>
        </w:rPr>
        <w:t xml:space="preserve">In its 2016 Concluding Observations on Canada, the CESCR reiterated previous concerns about the position taken by governments </w:t>
      </w:r>
      <w:r w:rsidR="00E72CE5">
        <w:rPr>
          <w:rFonts w:cs="Arial"/>
        </w:rPr>
        <w:t xml:space="preserve">in Charter cases in which litigants have sought remedies to violations of </w:t>
      </w:r>
      <w:r w:rsidR="00E320C5">
        <w:rPr>
          <w:rFonts w:cs="Arial"/>
        </w:rPr>
        <w:t xml:space="preserve">Charter rights </w:t>
      </w:r>
      <w:r w:rsidR="00E72CE5">
        <w:rPr>
          <w:rFonts w:cs="Arial"/>
        </w:rPr>
        <w:t xml:space="preserve">to life, security of the person, or equality </w:t>
      </w:r>
      <w:r w:rsidR="00250A25">
        <w:rPr>
          <w:rFonts w:cs="Arial"/>
        </w:rPr>
        <w:t xml:space="preserve">resulting from homelessness or denials of </w:t>
      </w:r>
      <w:r w:rsidR="00E72CE5">
        <w:rPr>
          <w:rFonts w:cs="Arial"/>
        </w:rPr>
        <w:t>health care.  Canada had previously informed the Committee that the Supreme Court of Canada has recognized</w:t>
      </w:r>
      <w:r w:rsidR="00250A25">
        <w:rPr>
          <w:rFonts w:cs="Arial"/>
        </w:rPr>
        <w:t xml:space="preserve"> that the rights to life and security of the person could be interpreted to include ESC rights</w:t>
      </w:r>
      <w:r w:rsidR="00404867">
        <w:rPr>
          <w:rFonts w:cs="Arial"/>
        </w:rPr>
        <w:t>. Canada</w:t>
      </w:r>
      <w:r w:rsidR="00250A25">
        <w:rPr>
          <w:rFonts w:cs="Arial"/>
        </w:rPr>
        <w:t xml:space="preserve"> referr</w:t>
      </w:r>
      <w:r w:rsidR="00404867">
        <w:rPr>
          <w:rFonts w:cs="Arial"/>
        </w:rPr>
        <w:t>ed</w:t>
      </w:r>
      <w:r w:rsidR="00250A25">
        <w:rPr>
          <w:rFonts w:cs="Arial"/>
        </w:rPr>
        <w:t xml:space="preserve"> the Committee to the Supreme Court’s </w:t>
      </w:r>
      <w:r w:rsidR="00250A25" w:rsidRPr="00C5478C">
        <w:rPr>
          <w:rFonts w:cs="Arial"/>
          <w:lang w:val="en-GB"/>
        </w:rPr>
        <w:t xml:space="preserve">1986 decision in </w:t>
      </w:r>
      <w:r w:rsidR="00250A25" w:rsidRPr="00C5478C">
        <w:rPr>
          <w:rFonts w:cs="Arial"/>
          <w:i/>
          <w:lang w:val="en-GB"/>
        </w:rPr>
        <w:t>Irwin Toy</w:t>
      </w:r>
      <w:r w:rsidR="00250A25" w:rsidRPr="00C5478C">
        <w:rPr>
          <w:rFonts w:cs="Arial"/>
          <w:vertAlign w:val="superscript"/>
          <w:lang w:val="en-GB"/>
        </w:rPr>
        <w:endnoteReference w:id="1"/>
      </w:r>
      <w:r w:rsidR="00250A25" w:rsidRPr="00C5478C">
        <w:rPr>
          <w:rFonts w:cs="Arial"/>
          <w:lang w:val="en-GB"/>
        </w:rPr>
        <w:t xml:space="preserve"> </w:t>
      </w:r>
      <w:r w:rsidR="00404867">
        <w:rPr>
          <w:rFonts w:cs="Arial"/>
          <w:lang w:val="en-GB"/>
        </w:rPr>
        <w:t xml:space="preserve">in which </w:t>
      </w:r>
      <w:r w:rsidR="00E320C5">
        <w:rPr>
          <w:rFonts w:cs="Arial"/>
          <w:lang w:val="en-GB"/>
        </w:rPr>
        <w:t>the Court</w:t>
      </w:r>
      <w:r w:rsidR="00404867">
        <w:rPr>
          <w:rFonts w:cs="Arial"/>
          <w:lang w:val="en-GB"/>
        </w:rPr>
        <w:t xml:space="preserve"> found</w:t>
      </w:r>
      <w:r w:rsidR="00250A25">
        <w:rPr>
          <w:rFonts w:cs="Arial"/>
          <w:lang w:val="en-GB"/>
        </w:rPr>
        <w:t xml:space="preserve"> </w:t>
      </w:r>
      <w:r w:rsidR="00250A25" w:rsidRPr="00C5478C">
        <w:rPr>
          <w:rFonts w:cs="Arial"/>
          <w:lang w:val="en-GB"/>
        </w:rPr>
        <w:t xml:space="preserve">that “such rights, included in various international covenants, as rights to social security, equal pay for equal work, adequate food, clothing and shelter” </w:t>
      </w:r>
      <w:r w:rsidR="00250A25">
        <w:rPr>
          <w:rFonts w:cs="Arial"/>
          <w:lang w:val="en-GB"/>
        </w:rPr>
        <w:t xml:space="preserve">should not be excluded from </w:t>
      </w:r>
      <w:r w:rsidR="00250A25" w:rsidRPr="00C5478C">
        <w:rPr>
          <w:rFonts w:cs="Arial"/>
          <w:lang w:val="en-GB"/>
        </w:rPr>
        <w:t>the scope of</w:t>
      </w:r>
      <w:r w:rsidR="00250A25">
        <w:rPr>
          <w:rFonts w:cs="Arial"/>
          <w:lang w:val="en-GB"/>
        </w:rPr>
        <w:t xml:space="preserve"> section 7 at </w:t>
      </w:r>
      <w:r w:rsidR="00BA5331">
        <w:rPr>
          <w:rFonts w:cs="Arial"/>
          <w:lang w:val="en-GB"/>
        </w:rPr>
        <w:t>an</w:t>
      </w:r>
      <w:r w:rsidR="00250A25">
        <w:rPr>
          <w:rFonts w:cs="Arial"/>
          <w:lang w:val="en-GB"/>
        </w:rPr>
        <w:t xml:space="preserve"> early stage of Charter interpretation</w:t>
      </w:r>
      <w:r w:rsidR="00250A25" w:rsidRPr="00C5478C">
        <w:rPr>
          <w:rFonts w:cs="Arial"/>
          <w:lang w:val="en-GB"/>
        </w:rPr>
        <w:t>.</w:t>
      </w:r>
      <w:r w:rsidR="00250A25" w:rsidRPr="00C5478C">
        <w:rPr>
          <w:rFonts w:cs="Arial"/>
          <w:vertAlign w:val="superscript"/>
          <w:lang w:val="en-GB"/>
        </w:rPr>
        <w:endnoteReference w:id="2"/>
      </w:r>
      <w:r w:rsidR="00250A25" w:rsidRPr="00C5478C">
        <w:rPr>
          <w:rFonts w:cs="Arial"/>
          <w:lang w:val="en-GB"/>
        </w:rPr>
        <w:t xml:space="preserve"> </w:t>
      </w:r>
      <w:r w:rsidR="00250A25">
        <w:rPr>
          <w:rFonts w:cs="Arial"/>
          <w:lang w:val="en-GB"/>
        </w:rPr>
        <w:t xml:space="preserve"> </w:t>
      </w:r>
    </w:p>
    <w:p w14:paraId="0A57858B" w14:textId="19BEE086" w:rsidR="005D4013" w:rsidRPr="00E94D10" w:rsidRDefault="005D4013" w:rsidP="009B7592">
      <w:pPr>
        <w:numPr>
          <w:ilvl w:val="0"/>
          <w:numId w:val="2"/>
        </w:numPr>
        <w:rPr>
          <w:rFonts w:cs="Arial"/>
          <w:lang w:val="en-GB"/>
        </w:rPr>
      </w:pPr>
      <w:r>
        <w:rPr>
          <w:rFonts w:cs="Arial"/>
          <w:lang w:val="en-GB"/>
        </w:rPr>
        <w:t xml:space="preserve">The only case in which the Supreme Court has addressed </w:t>
      </w:r>
      <w:r w:rsidR="00BA5331">
        <w:rPr>
          <w:rFonts w:cs="Arial"/>
          <w:lang w:val="en-GB"/>
        </w:rPr>
        <w:t xml:space="preserve">the question left open in the </w:t>
      </w:r>
      <w:r w:rsidRPr="005D4013">
        <w:rPr>
          <w:rFonts w:cs="Arial"/>
          <w:i/>
          <w:iCs/>
          <w:lang w:val="en-GB"/>
        </w:rPr>
        <w:t>Irwin Toy</w:t>
      </w:r>
      <w:r>
        <w:rPr>
          <w:rFonts w:cs="Arial"/>
          <w:lang w:val="en-GB"/>
        </w:rPr>
        <w:t xml:space="preserve"> decision was the</w:t>
      </w:r>
      <w:r w:rsidR="00250A25" w:rsidRPr="00C5478C">
        <w:rPr>
          <w:rFonts w:cs="Arial"/>
          <w:lang w:val="en-GB"/>
        </w:rPr>
        <w:t xml:space="preserve"> 2003 </w:t>
      </w:r>
      <w:r w:rsidR="00250A25" w:rsidRPr="00C5478C">
        <w:rPr>
          <w:rFonts w:cs="Arial"/>
          <w:i/>
          <w:lang w:val="en-GB"/>
        </w:rPr>
        <w:t>Gosselin</w:t>
      </w:r>
      <w:r w:rsidR="00E320C5">
        <w:rPr>
          <w:rStyle w:val="FootnoteReference"/>
          <w:rFonts w:cs="Arial"/>
          <w:i/>
          <w:lang w:val="en-GB"/>
        </w:rPr>
        <w:footnoteReference w:id="4"/>
      </w:r>
      <w:r w:rsidR="00250A25" w:rsidRPr="00C5478C">
        <w:rPr>
          <w:rFonts w:cs="Arial"/>
          <w:i/>
          <w:lang w:val="en-GB"/>
        </w:rPr>
        <w:t xml:space="preserve"> </w:t>
      </w:r>
      <w:r w:rsidR="00250A25" w:rsidRPr="00C5478C">
        <w:rPr>
          <w:rFonts w:cs="Arial"/>
          <w:lang w:val="en-GB"/>
        </w:rPr>
        <w:t>case, dealing with</w:t>
      </w:r>
      <w:r w:rsidR="005A432A">
        <w:rPr>
          <w:rFonts w:cs="Arial"/>
          <w:lang w:val="en-GB"/>
        </w:rPr>
        <w:t xml:space="preserve"> dramatically</w:t>
      </w:r>
      <w:r w:rsidR="00250A25" w:rsidRPr="00C5478C">
        <w:rPr>
          <w:rFonts w:cs="Arial"/>
          <w:lang w:val="en-GB"/>
        </w:rPr>
        <w:t xml:space="preserve"> reduced social assistance rates for recipients</w:t>
      </w:r>
      <w:r w:rsidR="00E320C5">
        <w:rPr>
          <w:rFonts w:cs="Arial"/>
          <w:lang w:val="en-GB"/>
        </w:rPr>
        <w:t xml:space="preserve"> under the age of thirty and</w:t>
      </w:r>
      <w:r w:rsidR="00250A25" w:rsidRPr="00C5478C">
        <w:rPr>
          <w:rFonts w:cs="Arial"/>
          <w:lang w:val="en-GB"/>
        </w:rPr>
        <w:t xml:space="preserve"> not enrolled in workfare</w:t>
      </w:r>
      <w:r>
        <w:rPr>
          <w:rFonts w:cs="Arial"/>
          <w:lang w:val="en-GB"/>
        </w:rPr>
        <w:t xml:space="preserve">.  </w:t>
      </w:r>
      <w:r w:rsidR="00250A25" w:rsidRPr="00C5478C">
        <w:rPr>
          <w:rFonts w:cs="Arial"/>
          <w:lang w:val="en-GB"/>
        </w:rPr>
        <w:t>Justice Louise Arbour</w:t>
      </w:r>
      <w:r>
        <w:rPr>
          <w:rFonts w:cs="Arial"/>
          <w:lang w:val="en-GB"/>
        </w:rPr>
        <w:t>, in dissent,</w:t>
      </w:r>
      <w:r w:rsidR="00250A25" w:rsidRPr="00C5478C">
        <w:rPr>
          <w:rFonts w:cs="Arial"/>
          <w:lang w:val="en-GB"/>
        </w:rPr>
        <w:t xml:space="preserve"> found</w:t>
      </w:r>
      <w:r>
        <w:rPr>
          <w:rFonts w:cs="Arial"/>
          <w:lang w:val="en-GB"/>
        </w:rPr>
        <w:t xml:space="preserve"> in that case</w:t>
      </w:r>
      <w:r w:rsidR="00250A25" w:rsidRPr="00C5478C">
        <w:rPr>
          <w:rFonts w:cs="Arial"/>
          <w:lang w:val="en-GB"/>
        </w:rPr>
        <w:t xml:space="preserve"> that the section 7 right to ‘security of the person’ places positive obligations on governments to provide those in need with an amount of social assistance adequate to cover </w:t>
      </w:r>
      <w:proofErr w:type="gramStart"/>
      <w:r w:rsidR="00250A25" w:rsidRPr="00C5478C">
        <w:rPr>
          <w:rFonts w:cs="Arial"/>
          <w:lang w:val="en-GB"/>
        </w:rPr>
        <w:t>basic</w:t>
      </w:r>
      <w:r w:rsidR="00E320C5">
        <w:rPr>
          <w:rFonts w:cs="Arial"/>
          <w:lang w:val="en-GB"/>
        </w:rPr>
        <w:t xml:space="preserve"> </w:t>
      </w:r>
      <w:r w:rsidR="00250A25" w:rsidRPr="00C5478C">
        <w:rPr>
          <w:rFonts w:cs="Arial"/>
          <w:lang w:val="en-GB"/>
        </w:rPr>
        <w:t>necessities</w:t>
      </w:r>
      <w:proofErr w:type="gramEnd"/>
      <w:r w:rsidR="00250A25" w:rsidRPr="00C5478C">
        <w:rPr>
          <w:rFonts w:cs="Arial"/>
          <w:lang w:val="en-GB"/>
        </w:rPr>
        <w:t xml:space="preserve">. </w:t>
      </w:r>
      <w:r w:rsidR="00250A25">
        <w:rPr>
          <w:rFonts w:cs="Arial"/>
          <w:lang w:val="en-GB"/>
        </w:rPr>
        <w:t>The majority of the Court was not prepared to decide th</w:t>
      </w:r>
      <w:r w:rsidR="00BA5331">
        <w:rPr>
          <w:rFonts w:cs="Arial"/>
          <w:lang w:val="en-GB"/>
        </w:rPr>
        <w:t>at issue on</w:t>
      </w:r>
      <w:r w:rsidR="00250A25">
        <w:rPr>
          <w:rFonts w:cs="Arial"/>
          <w:lang w:val="en-GB"/>
        </w:rPr>
        <w:t xml:space="preserve"> the basis of the evidence in that case </w:t>
      </w:r>
      <w:r w:rsidR="00BA5331">
        <w:rPr>
          <w:rFonts w:cs="Arial"/>
          <w:lang w:val="en-GB"/>
        </w:rPr>
        <w:t>but</w:t>
      </w:r>
      <w:r w:rsidR="00250A25">
        <w:rPr>
          <w:rFonts w:cs="Arial"/>
          <w:lang w:val="en-GB"/>
        </w:rPr>
        <w:t xml:space="preserve"> </w:t>
      </w:r>
      <w:r w:rsidR="00250A25" w:rsidRPr="00C5478C">
        <w:rPr>
          <w:rFonts w:cs="Arial"/>
          <w:lang w:val="en-GB"/>
        </w:rPr>
        <w:t>left open the possibility of adopting this ‘novel’ interpretation of the right to security of the person in a future case.</w:t>
      </w:r>
      <w:r w:rsidR="00250A25" w:rsidRPr="00C5478C">
        <w:rPr>
          <w:rFonts w:cs="Arial"/>
          <w:vertAlign w:val="superscript"/>
          <w:lang w:val="en-GB"/>
        </w:rPr>
        <w:endnoteReference w:id="3"/>
      </w:r>
      <w:r w:rsidR="00250A25" w:rsidRPr="00C5478C">
        <w:rPr>
          <w:rFonts w:cs="Arial"/>
          <w:lang w:val="en-GB"/>
        </w:rPr>
        <w:t xml:space="preserve"> </w:t>
      </w:r>
      <w:r w:rsidR="00250A25">
        <w:rPr>
          <w:rFonts w:cs="Arial"/>
          <w:lang w:val="en-GB"/>
        </w:rPr>
        <w:t xml:space="preserve"> Since the </w:t>
      </w:r>
      <w:r w:rsidR="00250A25" w:rsidRPr="005D4013">
        <w:rPr>
          <w:rFonts w:cs="Arial"/>
          <w:i/>
          <w:iCs/>
          <w:lang w:val="en-GB"/>
        </w:rPr>
        <w:t>Gosselin</w:t>
      </w:r>
      <w:r w:rsidR="00250A25">
        <w:rPr>
          <w:rFonts w:cs="Arial"/>
          <w:lang w:val="en-GB"/>
        </w:rPr>
        <w:t xml:space="preserve"> case, the Supreme Court of Canada has not </w:t>
      </w:r>
      <w:r w:rsidR="00404867">
        <w:rPr>
          <w:rFonts w:cs="Arial"/>
          <w:lang w:val="en-GB"/>
        </w:rPr>
        <w:t xml:space="preserve">granted leave to appeal in </w:t>
      </w:r>
      <w:r w:rsidR="00250A25">
        <w:rPr>
          <w:rFonts w:cs="Arial"/>
          <w:lang w:val="en-GB"/>
        </w:rPr>
        <w:t>any cases in which this issue would be addressed.</w:t>
      </w:r>
      <w:r w:rsidR="00250A25" w:rsidRPr="00C5478C">
        <w:rPr>
          <w:rFonts w:cs="Arial"/>
          <w:lang w:val="en-GB"/>
        </w:rPr>
        <w:t xml:space="preserve"> </w:t>
      </w:r>
      <w:r w:rsidR="00404867">
        <w:rPr>
          <w:rFonts w:cs="Arial"/>
          <w:lang w:val="en-GB"/>
        </w:rPr>
        <w:t xml:space="preserve">  </w:t>
      </w:r>
    </w:p>
    <w:p w14:paraId="6605042E" w14:textId="5BD3EA58" w:rsidR="00250A25" w:rsidRPr="00980C19" w:rsidRDefault="00404867" w:rsidP="009B7592">
      <w:pPr>
        <w:numPr>
          <w:ilvl w:val="0"/>
          <w:numId w:val="2"/>
        </w:numPr>
        <w:rPr>
          <w:rFonts w:cs="Arial"/>
        </w:rPr>
      </w:pPr>
      <w:r>
        <w:rPr>
          <w:rFonts w:cs="Arial"/>
          <w:lang w:val="en-GB"/>
        </w:rPr>
        <w:t>Lower courts</w:t>
      </w:r>
      <w:r w:rsidR="005D4013">
        <w:rPr>
          <w:rFonts w:cs="Arial"/>
          <w:lang w:val="en-GB"/>
        </w:rPr>
        <w:t xml:space="preserve"> </w:t>
      </w:r>
      <w:r>
        <w:rPr>
          <w:rFonts w:cs="Arial"/>
          <w:lang w:val="en-GB"/>
        </w:rPr>
        <w:t>have assumed that section 7 of the Charter should not be interpreted to include ESC rights, but</w:t>
      </w:r>
      <w:r w:rsidR="005D4013">
        <w:rPr>
          <w:rFonts w:cs="Arial"/>
          <w:lang w:val="en-GB"/>
        </w:rPr>
        <w:t xml:space="preserve"> in fact</w:t>
      </w:r>
      <w:r>
        <w:rPr>
          <w:rFonts w:cs="Arial"/>
          <w:lang w:val="en-GB"/>
        </w:rPr>
        <w:t xml:space="preserve"> t</w:t>
      </w:r>
      <w:r w:rsidR="00250A25" w:rsidRPr="00C5478C">
        <w:rPr>
          <w:rFonts w:cs="Arial"/>
          <w:lang w:val="en-GB"/>
        </w:rPr>
        <w:t>he question</w:t>
      </w:r>
      <w:r w:rsidR="00250A25">
        <w:rPr>
          <w:rFonts w:cs="Arial"/>
          <w:lang w:val="en-GB"/>
        </w:rPr>
        <w:t xml:space="preserve"> </w:t>
      </w:r>
      <w:r w:rsidR="00250A25" w:rsidRPr="003A6D06">
        <w:rPr>
          <w:rFonts w:cs="Arial"/>
          <w:lang w:val="en-GB"/>
        </w:rPr>
        <w:t xml:space="preserve">remains </w:t>
      </w:r>
      <w:r w:rsidR="005D4013">
        <w:rPr>
          <w:rFonts w:cs="Arial"/>
          <w:lang w:val="en-GB"/>
        </w:rPr>
        <w:t>a</w:t>
      </w:r>
      <w:r w:rsidR="00250A25" w:rsidRPr="003A6D06">
        <w:rPr>
          <w:rFonts w:cs="Arial"/>
          <w:lang w:val="en-GB"/>
        </w:rPr>
        <w:t xml:space="preserve"> central unresolved issue</w:t>
      </w:r>
      <w:r w:rsidR="005D4013">
        <w:rPr>
          <w:rFonts w:cs="Arial"/>
          <w:lang w:val="en-GB"/>
        </w:rPr>
        <w:t xml:space="preserve"> </w:t>
      </w:r>
      <w:r w:rsidR="00250A25" w:rsidRPr="003A6D06">
        <w:rPr>
          <w:rFonts w:cs="Arial"/>
          <w:lang w:val="en-GB"/>
        </w:rPr>
        <w:t xml:space="preserve">of Canadian Charter jurisprudence.  The </w:t>
      </w:r>
      <w:r w:rsidR="00A527E1">
        <w:rPr>
          <w:rFonts w:cs="Arial"/>
          <w:lang w:val="en-GB"/>
        </w:rPr>
        <w:t xml:space="preserve">eventual </w:t>
      </w:r>
      <w:r w:rsidR="00250A25" w:rsidRPr="003A6D06">
        <w:rPr>
          <w:rFonts w:cs="Arial"/>
          <w:lang w:val="en-GB"/>
        </w:rPr>
        <w:t xml:space="preserve">resolution of this question </w:t>
      </w:r>
      <w:r w:rsidR="00A527E1">
        <w:rPr>
          <w:rFonts w:cs="Arial"/>
          <w:lang w:val="en-GB"/>
        </w:rPr>
        <w:t xml:space="preserve">by the Supreme Court of Canada </w:t>
      </w:r>
      <w:r w:rsidR="00250A25" w:rsidRPr="003A6D06">
        <w:rPr>
          <w:rFonts w:cs="Arial"/>
          <w:lang w:val="en-GB"/>
        </w:rPr>
        <w:t xml:space="preserve">will </w:t>
      </w:r>
      <w:r w:rsidR="00A527E1">
        <w:rPr>
          <w:rFonts w:cs="Arial"/>
          <w:lang w:val="en-GB"/>
        </w:rPr>
        <w:t>significantly</w:t>
      </w:r>
      <w:r w:rsidR="00250A25" w:rsidRPr="003A6D06">
        <w:rPr>
          <w:rFonts w:cs="Arial"/>
          <w:lang w:val="en-GB"/>
        </w:rPr>
        <w:t xml:space="preserve"> determine the extent to which Canada</w:t>
      </w:r>
      <w:r w:rsidR="00A527E1">
        <w:rPr>
          <w:rFonts w:cs="Arial"/>
          <w:lang w:val="en-GB"/>
        </w:rPr>
        <w:t xml:space="preserve"> is able to </w:t>
      </w:r>
      <w:r w:rsidR="00250A25" w:rsidRPr="003A6D06">
        <w:rPr>
          <w:rFonts w:cs="Arial"/>
          <w:lang w:val="en-GB"/>
        </w:rPr>
        <w:t>compl</w:t>
      </w:r>
      <w:r w:rsidR="00A527E1">
        <w:rPr>
          <w:rFonts w:cs="Arial"/>
          <w:lang w:val="en-GB"/>
        </w:rPr>
        <w:t>y</w:t>
      </w:r>
      <w:r w:rsidR="00250A25" w:rsidRPr="003A6D06">
        <w:rPr>
          <w:rFonts w:cs="Arial"/>
          <w:lang w:val="en-GB"/>
        </w:rPr>
        <w:t xml:space="preserve"> with the obligation to ensure access to effective remedies to </w:t>
      </w:r>
      <w:r w:rsidR="005D4013">
        <w:rPr>
          <w:rFonts w:cs="Arial"/>
          <w:lang w:val="en-GB"/>
        </w:rPr>
        <w:t>ESC</w:t>
      </w:r>
      <w:r w:rsidR="00250A25" w:rsidRPr="003A6D06">
        <w:rPr>
          <w:rFonts w:cs="Arial"/>
          <w:lang w:val="en-GB"/>
        </w:rPr>
        <w:t xml:space="preserve"> rights.  </w:t>
      </w:r>
    </w:p>
    <w:p w14:paraId="4C184AAB" w14:textId="77777777" w:rsidR="005F27AA" w:rsidRPr="00C5478C" w:rsidRDefault="005F27AA" w:rsidP="00AE4C6F">
      <w:pPr>
        <w:rPr>
          <w:rFonts w:cs="Arial"/>
        </w:rPr>
      </w:pPr>
    </w:p>
    <w:p w14:paraId="5AF5616E" w14:textId="28052956" w:rsidR="005F27AA" w:rsidRPr="00C5478C" w:rsidRDefault="00582633" w:rsidP="0026195E">
      <w:pPr>
        <w:ind w:right="-54"/>
        <w:rPr>
          <w:rFonts w:cs="Arial"/>
          <w:b/>
        </w:rPr>
      </w:pPr>
      <w:r>
        <w:rPr>
          <w:rFonts w:cs="Arial"/>
          <w:b/>
          <w:noProof/>
        </w:rPr>
        <w:lastRenderedPageBreak/>
        <mc:AlternateContent>
          <mc:Choice Requires="wps">
            <w:drawing>
              <wp:inline distT="0" distB="0" distL="0" distR="0" wp14:anchorId="3486E749" wp14:editId="0946017F">
                <wp:extent cx="6035040" cy="2065020"/>
                <wp:effectExtent l="0" t="0" r="60960" b="49530"/>
                <wp:docPr id="13"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5040" cy="2065020"/>
                        </a:xfrm>
                        <a:prstGeom prst="rect">
                          <a:avLst/>
                        </a:prstGeom>
                        <a:solidFill>
                          <a:srgbClr val="F2F2F2"/>
                        </a:solidFill>
                        <a:ln w="9525">
                          <a:solidFill>
                            <a:srgbClr val="000000"/>
                          </a:solidFill>
                          <a:miter lim="800000"/>
                          <a:headEnd/>
                          <a:tailEnd/>
                        </a:ln>
                        <a:effectLst>
                          <a:outerShdw dist="35921" dir="2700000" algn="ctr" rotWithShape="0">
                            <a:srgbClr val="808080"/>
                          </a:outerShdw>
                        </a:effectLst>
                      </wps:spPr>
                      <wps:txbx>
                        <w:txbxContent>
                          <w:p w14:paraId="78540EBC" w14:textId="1E01E1B8" w:rsidR="00760C74" w:rsidRPr="00C5478C" w:rsidRDefault="00760C74" w:rsidP="007712CF">
                            <w:pPr>
                              <w:ind w:right="432" w:firstLine="432"/>
                              <w:rPr>
                                <w:rFonts w:cs="Arial"/>
                              </w:rPr>
                            </w:pPr>
                            <w:r>
                              <w:rPr>
                                <w:rFonts w:cs="Arial"/>
                                <w:b/>
                                <w:u w:val="single"/>
                              </w:rPr>
                              <w:t>Interpretation of the Charter Consistent with the ICESCR</w:t>
                            </w:r>
                          </w:p>
                          <w:p w14:paraId="3A8F41FC" w14:textId="2D65A441" w:rsidR="00760C74" w:rsidRDefault="00760C74" w:rsidP="009B7592">
                            <w:pPr>
                              <w:numPr>
                                <w:ilvl w:val="0"/>
                                <w:numId w:val="3"/>
                              </w:numPr>
                              <w:ind w:left="432" w:right="432"/>
                              <w:rPr>
                                <w:rFonts w:cs="Arial"/>
                                <w:b/>
                              </w:rPr>
                            </w:pPr>
                            <w:r>
                              <w:rPr>
                                <w:rFonts w:cs="Arial"/>
                                <w:b/>
                              </w:rPr>
                              <w:t>We recommend that the Committee request information from the federal government and from each provincial and territorial government about whether they promote interpretations of sections 7 and 15 of the Charter consistent with the interdependence of human rights, so as to ensure access to effective remedies for Covenant rights, as outlined in General Comment No. 9.  All governments should be asked to provide information about any Charter cases heard since 2016 in which claimants have cited the ICESCR as an aid to interpreting the Charter, explaining what positions were taken by governments regarding the application of the Covenant in those cases.</w:t>
                            </w:r>
                          </w:p>
                          <w:p w14:paraId="3BB1E21D" w14:textId="33085785" w:rsidR="00760C74" w:rsidRPr="00AE4C6F" w:rsidRDefault="00760C74" w:rsidP="0083077E">
                            <w:pPr>
                              <w:ind w:left="72" w:right="432"/>
                              <w:rPr>
                                <w:rFonts w:cs="Arial"/>
                                <w:b/>
                              </w:rPr>
                            </w:pPr>
                            <w:r>
                              <w:rPr>
                                <w:rFonts w:cs="Arial"/>
                                <w:b/>
                              </w:rPr>
                              <w:t xml:space="preserve"> </w:t>
                            </w:r>
                          </w:p>
                        </w:txbxContent>
                      </wps:txbx>
                      <wps:bodyPr rot="0" vert="horz" wrap="square" lIns="91440" tIns="45720" rIns="91440" bIns="45720" anchor="t" anchorCtr="0" upright="1">
                        <a:noAutofit/>
                      </wps:bodyPr>
                    </wps:wsp>
                  </a:graphicData>
                </a:graphic>
              </wp:inline>
            </w:drawing>
          </mc:Choice>
          <mc:Fallback>
            <w:pict>
              <v:shape w14:anchorId="3486E749" id="Text Box 52" o:spid="_x0000_s1027" type="#_x0000_t202" style="width:475.2pt;height:162.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" fillcolor="#f2f2f2">
                <v:shadow on="t"/>
                <v:textbox>
                  <w:txbxContent>
                    <w:p w14:paraId="78540EBC" w14:textId="1E01E1B8" w:rsidR="00760C74" w:rsidRPr="00C5478C" w:rsidRDefault="00760C74" w:rsidP="007712CF">
                      <w:pPr>
                        <w:ind w:right="432" w:firstLine="432"/>
                        <w:rPr>
                          <w:rFonts w:cs="Arial"/>
                        </w:rPr>
                      </w:pPr>
                      <w:r>
                        <w:rPr>
                          <w:rFonts w:cs="Arial"/>
                          <w:b/>
                          <w:u w:val="single"/>
                        </w:rPr>
                        <w:t>Interpretation of the Charter Consistent with the ICESCR</w:t>
                      </w:r>
                    </w:p>
                    <w:p w14:paraId="3A8F41FC" w14:textId="2D65A441" w:rsidR="00760C74" w:rsidRDefault="00760C74" w:rsidP="009B7592">
                      <w:pPr>
                        <w:numPr>
                          <w:ilvl w:val="0"/>
                          <w:numId w:val="3"/>
                        </w:numPr>
                        <w:ind w:left="432" w:right="432"/>
                        <w:rPr>
                          <w:rFonts w:cs="Arial"/>
                          <w:b/>
                        </w:rPr>
                      </w:pPr>
                      <w:r>
                        <w:rPr>
                          <w:rFonts w:cs="Arial"/>
                          <w:b/>
                        </w:rPr>
                        <w:t>We recommend that the Committee request information from the federal government and from each provincial and territorial government about whether they promote interpretations of sections 7 and 15 of the Charter consistent with the interdependence of human rights, so as to ensure access to effective remedies for Covenant rights, as outlined in General Comment No. 9.  All governments should be asked to provide information about any Charter cases heard since 2016 in which claimants have cited the ICESCR as an aid to interpreting the Charter, explaining what positions were taken by governments regarding the application of the Covenant in those cases.</w:t>
                      </w:r>
                    </w:p>
                    <w:p w14:paraId="3BB1E21D" w14:textId="33085785" w:rsidR="00760C74" w:rsidRPr="00AE4C6F" w:rsidRDefault="00760C74" w:rsidP="0083077E">
                      <w:pPr>
                        <w:ind w:left="72" w:right="432"/>
                        <w:rPr>
                          <w:rFonts w:cs="Arial"/>
                          <w:b/>
                        </w:rPr>
                      </w:pPr>
                      <w:r>
                        <w:rPr>
                          <w:rFonts w:cs="Arial"/>
                          <w:b/>
                        </w:rPr>
                        <w:t xml:space="preserve"> </w:t>
                      </w:r>
                    </w:p>
                  </w:txbxContent>
                </v:textbox>
                <w10:anchorlock/>
              </v:shape>
            </w:pict>
          </mc:Fallback>
        </mc:AlternateContent>
      </w:r>
    </w:p>
    <w:p w14:paraId="01B94CC5" w14:textId="77777777" w:rsidR="00552826" w:rsidRDefault="00552826" w:rsidP="00552826">
      <w:pPr>
        <w:rPr>
          <w:rFonts w:cs="Arial"/>
        </w:rPr>
      </w:pPr>
    </w:p>
    <w:p w14:paraId="16887A4C" w14:textId="3B1D6A7A" w:rsidR="00552826" w:rsidRPr="008A0F79" w:rsidRDefault="00552826" w:rsidP="00B604D1">
      <w:pPr>
        <w:pStyle w:val="Heading2"/>
        <w:numPr>
          <w:ilvl w:val="0"/>
          <w:numId w:val="24"/>
        </w:numPr>
        <w:rPr>
          <w:color w:val="0070C0"/>
          <w:sz w:val="24"/>
          <w:szCs w:val="24"/>
        </w:rPr>
      </w:pPr>
      <w:bookmarkStart w:id="40" w:name="_Toc32279499"/>
      <w:r w:rsidRPr="008A0F79">
        <w:rPr>
          <w:color w:val="0070C0"/>
          <w:sz w:val="24"/>
          <w:szCs w:val="24"/>
        </w:rPr>
        <w:t>Principles Guiding the Attorney General of Canada in Charter Litigation</w:t>
      </w:r>
      <w:bookmarkEnd w:id="40"/>
    </w:p>
    <w:p w14:paraId="60A85623" w14:textId="23B8CC79" w:rsidR="00E94D10" w:rsidRDefault="00E94D10" w:rsidP="008A0F79">
      <w:pPr>
        <w:pStyle w:val="Heading2"/>
        <w:ind w:left="360"/>
        <w:rPr>
          <w:rFonts w:cs="Arial"/>
        </w:rPr>
      </w:pPr>
    </w:p>
    <w:p w14:paraId="1179E593" w14:textId="15B9D647" w:rsidR="00E94D10" w:rsidRDefault="00A527E1" w:rsidP="009B7592">
      <w:pPr>
        <w:numPr>
          <w:ilvl w:val="0"/>
          <w:numId w:val="2"/>
        </w:numPr>
        <w:rPr>
          <w:rFonts w:cs="Arial"/>
          <w:lang w:val="en-GB"/>
        </w:rPr>
      </w:pPr>
      <w:r w:rsidRPr="00E94D10">
        <w:rPr>
          <w:rFonts w:cs="Arial"/>
          <w:lang w:val="en-GB"/>
        </w:rPr>
        <w:t xml:space="preserve">The CESCR, in its 2016 Concluding Observations, referred to “promising developments and the Government’s commitment to review its litigation strategies, economic, social and cultural rights.” (para 5). </w:t>
      </w:r>
      <w:r>
        <w:rPr>
          <w:rFonts w:cs="Arial"/>
          <w:lang w:val="en-GB"/>
        </w:rPr>
        <w:t xml:space="preserve"> The Committee was referring to the fact that </w:t>
      </w:r>
      <w:r w:rsidR="00A040A6" w:rsidRPr="00E94D10">
        <w:rPr>
          <w:rFonts w:cs="Arial"/>
          <w:lang w:val="en-GB"/>
        </w:rPr>
        <w:t xml:space="preserve">after being elected in 2016, Prime Minister Trudeau </w:t>
      </w:r>
      <w:r>
        <w:rPr>
          <w:rFonts w:cs="Arial"/>
          <w:lang w:val="en-GB"/>
        </w:rPr>
        <w:t xml:space="preserve">had </w:t>
      </w:r>
      <w:r w:rsidR="00A040A6" w:rsidRPr="00E94D10">
        <w:rPr>
          <w:rFonts w:cs="Arial"/>
          <w:lang w:val="en-GB"/>
        </w:rPr>
        <w:t xml:space="preserve">stated in his mandate letter to the </w:t>
      </w:r>
      <w:r w:rsidR="00552826" w:rsidRPr="00E94D10">
        <w:rPr>
          <w:rFonts w:cs="Arial"/>
          <w:lang w:val="en-GB"/>
        </w:rPr>
        <w:t>Attorney General</w:t>
      </w:r>
      <w:r w:rsidR="00A040A6" w:rsidRPr="00E94D10">
        <w:rPr>
          <w:rFonts w:cs="Arial"/>
          <w:lang w:val="en-GB"/>
        </w:rPr>
        <w:t xml:space="preserve"> that </w:t>
      </w:r>
      <w:r w:rsidR="00552826" w:rsidRPr="00E94D10">
        <w:rPr>
          <w:rFonts w:cs="Arial"/>
          <w:lang w:val="en-GB"/>
        </w:rPr>
        <w:t>she should “review our litigation strategy. This should include early decisions to end appeals or positions that are not consistent with our commitments, the Charter or our values.”  </w:t>
      </w:r>
      <w:r w:rsidR="007C407A" w:rsidRPr="00E94D10">
        <w:rPr>
          <w:rFonts w:cs="Arial"/>
          <w:lang w:val="en-GB"/>
        </w:rPr>
        <w:t xml:space="preserve"> The Committee recommended</w:t>
      </w:r>
      <w:r>
        <w:rPr>
          <w:rFonts w:cs="Arial"/>
          <w:lang w:val="en-GB"/>
        </w:rPr>
        <w:t xml:space="preserve"> in 2016</w:t>
      </w:r>
      <w:r w:rsidR="007C407A" w:rsidRPr="00E94D10">
        <w:rPr>
          <w:rFonts w:cs="Arial"/>
          <w:lang w:val="en-GB"/>
        </w:rPr>
        <w:t xml:space="preserve"> that</w:t>
      </w:r>
      <w:r>
        <w:rPr>
          <w:rFonts w:cs="Arial"/>
          <w:lang w:val="en-GB"/>
        </w:rPr>
        <w:t xml:space="preserve"> Canada</w:t>
      </w:r>
      <w:r w:rsidR="007C407A" w:rsidRPr="00E94D10">
        <w:rPr>
          <w:rFonts w:cs="Arial"/>
          <w:lang w:val="en-GB"/>
        </w:rPr>
        <w:t xml:space="preserve"> “implement its commitment to review its litigation strategies in order to foster the justiciability of the economic, social and cultural rights. The State party should engage civil society and organizations of indigenous peoples in that revision, with a view to broadening the interpretation of the Canadian Charter of Rights and Freedoms , notably sections 7, 12 and 15, to include economic social and cultural rights, and thus ensure the justiciability of Covenant rights</w:t>
      </w:r>
      <w:r w:rsidR="004E6501" w:rsidRPr="00E94D10">
        <w:rPr>
          <w:rFonts w:cs="Arial"/>
          <w:lang w:val="en-GB"/>
        </w:rPr>
        <w:t>.”</w:t>
      </w:r>
      <w:r w:rsidR="007C407A" w:rsidRPr="00E94D10">
        <w:rPr>
          <w:rFonts w:cs="Arial"/>
          <w:lang w:val="en-GB"/>
        </w:rPr>
        <w:t xml:space="preserve">  </w:t>
      </w:r>
    </w:p>
    <w:p w14:paraId="1C188A1B" w14:textId="02F766D5" w:rsidR="00552826" w:rsidRPr="00E94D10" w:rsidRDefault="004E6501" w:rsidP="009B7592">
      <w:pPr>
        <w:numPr>
          <w:ilvl w:val="0"/>
          <w:numId w:val="2"/>
        </w:numPr>
        <w:rPr>
          <w:rFonts w:cs="Arial"/>
          <w:lang w:val="en-GB"/>
        </w:rPr>
      </w:pPr>
      <w:r w:rsidRPr="00E94D10">
        <w:rPr>
          <w:rFonts w:cs="Arial"/>
        </w:rPr>
        <w:t xml:space="preserve">On </w:t>
      </w:r>
      <w:r w:rsidR="00552826">
        <w:t>December 10, 2018,</w:t>
      </w:r>
      <w:r>
        <w:t xml:space="preserve"> without any engagement with civil society</w:t>
      </w:r>
      <w:r w:rsidR="00E94D10">
        <w:t xml:space="preserve"> that we are aware of</w:t>
      </w:r>
      <w:r>
        <w:t>,</w:t>
      </w:r>
      <w:r w:rsidR="00552826">
        <w:t xml:space="preserve"> the Minister </w:t>
      </w:r>
      <w:r>
        <w:t xml:space="preserve">released the </w:t>
      </w:r>
      <w:bookmarkStart w:id="41" w:name="_Hlk32189945"/>
      <w:r w:rsidR="00552826" w:rsidRPr="00E94D10">
        <w:rPr>
          <w:i/>
          <w:iCs/>
        </w:rPr>
        <w:fldChar w:fldCharType="begin"/>
      </w:r>
      <w:r w:rsidR="00552826" w:rsidRPr="00E94D10">
        <w:rPr>
          <w:i/>
          <w:iCs/>
        </w:rPr>
        <w:instrText xml:space="preserve"> HYPERLINK "https://www.justice.gc.ca/eng/csj-sjc/principles2-principes2.html" </w:instrText>
      </w:r>
      <w:r w:rsidR="00552826" w:rsidRPr="00E94D10">
        <w:rPr>
          <w:i/>
          <w:iCs/>
        </w:rPr>
        <w:fldChar w:fldCharType="separate"/>
      </w:r>
      <w:r w:rsidR="00552826" w:rsidRPr="00E94D10">
        <w:rPr>
          <w:rStyle w:val="Hyperlink"/>
          <w:i/>
          <w:iCs/>
        </w:rPr>
        <w:t>Principles guiding the Attorney General of Canada in Charter litigation</w:t>
      </w:r>
      <w:r w:rsidR="00552826" w:rsidRPr="00E94D10">
        <w:rPr>
          <w:i/>
          <w:iCs/>
        </w:rPr>
        <w:fldChar w:fldCharType="end"/>
      </w:r>
      <w:bookmarkEnd w:id="41"/>
      <w:r w:rsidR="00552826">
        <w:t>.  We were shocked to see that there is</w:t>
      </w:r>
      <w:r>
        <w:t xml:space="preserve"> not</w:t>
      </w:r>
      <w:r w:rsidR="00552826">
        <w:t xml:space="preserve"> a single reference to</w:t>
      </w:r>
      <w:r w:rsidR="00A527E1">
        <w:t xml:space="preserve"> the</w:t>
      </w:r>
      <w:r w:rsidR="00552826">
        <w:t xml:space="preserve"> </w:t>
      </w:r>
      <w:r>
        <w:t>“</w:t>
      </w:r>
      <w:r w:rsidR="00552826">
        <w:t>values</w:t>
      </w:r>
      <w:r>
        <w:t>”</w:t>
      </w:r>
      <w:r w:rsidR="00A527E1">
        <w:t xml:space="preserve"> referred to in the Prime Minister’s mandate letter</w:t>
      </w:r>
      <w:r w:rsidR="00552826">
        <w:t xml:space="preserve">, or to the obligation to interpret the </w:t>
      </w:r>
      <w:r w:rsidR="00F455BC">
        <w:t xml:space="preserve">Canadian </w:t>
      </w:r>
      <w:r w:rsidR="00552826">
        <w:t>Charter consistently with international human rights ratified by Canada</w:t>
      </w:r>
      <w:r w:rsidR="00A527E1">
        <w:t xml:space="preserve">, as affirmed by the Supreme </w:t>
      </w:r>
      <w:proofErr w:type="spellStart"/>
      <w:r w:rsidR="00A527E1">
        <w:t>Courta</w:t>
      </w:r>
      <w:proofErr w:type="spellEnd"/>
      <w:r w:rsidR="00552826">
        <w:t xml:space="preserve">.  </w:t>
      </w:r>
      <w:r>
        <w:t xml:space="preserve">While affirming a commitment to the rule of law, the Guidelines do not reference any </w:t>
      </w:r>
      <w:r w:rsidR="00552826">
        <w:t xml:space="preserve">broader rule of law obligations </w:t>
      </w:r>
      <w:r>
        <w:t xml:space="preserve">with respect to international human rights as described in the CESCR’s General Comment No. 9. </w:t>
      </w:r>
      <w:r w:rsidR="00552826">
        <w:t> </w:t>
      </w:r>
      <w:r>
        <w:t xml:space="preserve">The Guidelines </w:t>
      </w:r>
      <w:r w:rsidR="00552826">
        <w:t>authorize Justice lawyers to make “any viable argument” to defend against Charter challenges, with little or no accountability to Charter or international human rights values.</w:t>
      </w:r>
    </w:p>
    <w:p w14:paraId="4C3BFE05" w14:textId="77777777" w:rsidR="004E6501" w:rsidRPr="00C5478C" w:rsidRDefault="004E6501" w:rsidP="004E6501">
      <w:pPr>
        <w:rPr>
          <w:rFonts w:cs="Arial"/>
        </w:rPr>
      </w:pPr>
    </w:p>
    <w:p w14:paraId="348CDB16" w14:textId="77777777" w:rsidR="004E6501" w:rsidRPr="00C5478C" w:rsidRDefault="004E6501" w:rsidP="004E6501">
      <w:pPr>
        <w:ind w:right="-54"/>
        <w:rPr>
          <w:rFonts w:cs="Arial"/>
          <w:b/>
        </w:rPr>
      </w:pPr>
      <w:r>
        <w:rPr>
          <w:rFonts w:cs="Arial"/>
          <w:b/>
          <w:noProof/>
        </w:rPr>
        <w:lastRenderedPageBreak/>
        <mc:AlternateContent>
          <mc:Choice Requires="wps">
            <w:drawing>
              <wp:inline distT="0" distB="0" distL="0" distR="0" wp14:anchorId="791FF472" wp14:editId="3041DE90">
                <wp:extent cx="6035040" cy="2042160"/>
                <wp:effectExtent l="0" t="0" r="60960" b="53340"/>
                <wp:docPr id="15"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5040" cy="2042160"/>
                        </a:xfrm>
                        <a:prstGeom prst="rect">
                          <a:avLst/>
                        </a:prstGeom>
                        <a:solidFill>
                          <a:srgbClr val="F2F2F2"/>
                        </a:solidFill>
                        <a:ln w="9525">
                          <a:solidFill>
                            <a:srgbClr val="000000"/>
                          </a:solidFill>
                          <a:miter lim="800000"/>
                          <a:headEnd/>
                          <a:tailEnd/>
                        </a:ln>
                        <a:effectLst>
                          <a:outerShdw dist="35921" dir="2700000" algn="ctr" rotWithShape="0">
                            <a:srgbClr val="808080"/>
                          </a:outerShdw>
                        </a:effectLst>
                      </wps:spPr>
                      <wps:txbx>
                        <w:txbxContent>
                          <w:p w14:paraId="24064E5C" w14:textId="6BB20CBA" w:rsidR="00760C74" w:rsidRPr="00C5478C" w:rsidRDefault="00760C74" w:rsidP="004E6501">
                            <w:pPr>
                              <w:ind w:right="432" w:firstLine="432"/>
                              <w:rPr>
                                <w:rFonts w:cs="Arial"/>
                              </w:rPr>
                            </w:pPr>
                            <w:r>
                              <w:rPr>
                                <w:rFonts w:cs="Arial"/>
                                <w:b/>
                                <w:u w:val="single"/>
                              </w:rPr>
                              <w:t xml:space="preserve">Revising the </w:t>
                            </w:r>
                            <w:hyperlink r:id="rId14" w:history="1">
                              <w:r w:rsidRPr="004E6501">
                                <w:rPr>
                                  <w:rStyle w:val="Hyperlink"/>
                                  <w:rFonts w:cs="Arial"/>
                                  <w:b/>
                                  <w:i/>
                                  <w:iCs/>
                                </w:rPr>
                                <w:t>Principles guiding the Attorney General of Canada in Charter litigation</w:t>
                              </w:r>
                            </w:hyperlink>
                          </w:p>
                          <w:p w14:paraId="6C729E59" w14:textId="045B11E8" w:rsidR="00760C74" w:rsidRDefault="00760C74" w:rsidP="00F455BC">
                            <w:pPr>
                              <w:ind w:right="432"/>
                              <w:rPr>
                                <w:rFonts w:cs="Arial"/>
                                <w:b/>
                              </w:rPr>
                            </w:pPr>
                            <w:r>
                              <w:rPr>
                                <w:rFonts w:cs="Arial"/>
                                <w:b/>
                              </w:rPr>
                              <w:t xml:space="preserve">2. The Committee should request information from the federal government about how it implemented the Committee’s recommendation in paragraph 6 of the 2016 Concluding Observations in its review of litigation strategies under the Charter. Canada should be asked if the current Attorney General will consider revising the </w:t>
                            </w:r>
                            <w:hyperlink r:id="rId15" w:history="1">
                              <w:r w:rsidRPr="00533977">
                                <w:rPr>
                                  <w:rStyle w:val="Hyperlink"/>
                                  <w:rFonts w:cs="Arial"/>
                                  <w:b/>
                                  <w:i/>
                                  <w:iCs/>
                                  <w:u w:val="none"/>
                                </w:rPr>
                                <w:t>Principles guiding the Attorney General of Canada in Charter litigation</w:t>
                              </w:r>
                            </w:hyperlink>
                            <w:r w:rsidRPr="00533977">
                              <w:rPr>
                                <w:rFonts w:cs="Arial"/>
                                <w:b/>
                              </w:rPr>
                              <w:t xml:space="preserve"> adopted by the previous Attorney General, to include references to values such as respect for the inherent dignity of the human person, commitment to </w:t>
                            </w:r>
                            <w:r w:rsidRPr="00533977">
                              <w:rPr>
                                <w:rFonts w:cs="Arial"/>
                                <w:b/>
                                <w:bCs/>
                              </w:rPr>
                              <w:t>social justice</w:t>
                            </w:r>
                            <w:r w:rsidRPr="00533977">
                              <w:rPr>
                                <w:rFonts w:cs="Arial"/>
                                <w:b/>
                              </w:rPr>
                              <w:t> and equality, and to Canada’s commitments to international human rights, including ESC rights.</w:t>
                            </w:r>
                            <w:bookmarkStart w:id="42" w:name="_GoBack"/>
                            <w:bookmarkEnd w:id="42"/>
                          </w:p>
                          <w:p w14:paraId="088287E8" w14:textId="5CB3DEAD" w:rsidR="00760C74" w:rsidRPr="00AE4C6F" w:rsidRDefault="00760C74" w:rsidP="00E94D10">
                            <w:pPr>
                              <w:ind w:right="432"/>
                              <w:rPr>
                                <w:rFonts w:cs="Arial"/>
                                <w:b/>
                              </w:rPr>
                            </w:pPr>
                            <w:r>
                              <w:rPr>
                                <w:rFonts w:cs="Arial"/>
                                <w:b/>
                              </w:rPr>
                              <w:t xml:space="preserve"> </w:t>
                            </w:r>
                          </w:p>
                        </w:txbxContent>
                      </wps:txbx>
                      <wps:bodyPr rot="0" vert="horz" wrap="square" lIns="91440" tIns="45720" rIns="91440" bIns="45720" anchor="t" anchorCtr="0" upright="1">
                        <a:noAutofit/>
                      </wps:bodyPr>
                    </wps:wsp>
                  </a:graphicData>
                </a:graphic>
              </wp:inline>
            </w:drawing>
          </mc:Choice>
          <mc:Fallback>
            <w:pict>
              <v:shape w14:anchorId="791FF472" id="_x0000_s1028" type="#_x0000_t202" style="width:475.2pt;height:160.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" fillcolor="#f2f2f2">
                <v:shadow on="t"/>
                <v:textbox>
                  <w:txbxContent>
                    <w:p w14:paraId="24064E5C" w14:textId="6BB20CBA" w:rsidR="00760C74" w:rsidRPr="00C5478C" w:rsidRDefault="00760C74" w:rsidP="004E6501">
                      <w:pPr>
                        <w:ind w:right="432" w:firstLine="432"/>
                        <w:rPr>
                          <w:rFonts w:cs="Arial"/>
                        </w:rPr>
                      </w:pPr>
                      <w:r>
                        <w:rPr>
                          <w:rFonts w:cs="Arial"/>
                          <w:b/>
                          <w:u w:val="single"/>
                        </w:rPr>
                        <w:t xml:space="preserve">Revising the </w:t>
                      </w:r>
                      <w:hyperlink r:id="rId16" w:history="1">
                        <w:r w:rsidRPr="004E6501">
                          <w:rPr>
                            <w:rStyle w:val="Hyperlink"/>
                            <w:rFonts w:cs="Arial"/>
                            <w:b/>
                            <w:i/>
                            <w:iCs/>
                          </w:rPr>
                          <w:t>Principles guiding the Attorney General of Canada in Charter litigation</w:t>
                        </w:r>
                      </w:hyperlink>
                    </w:p>
                    <w:p w14:paraId="6C729E59" w14:textId="045B11E8" w:rsidR="00760C74" w:rsidRDefault="00760C74" w:rsidP="00F455BC">
                      <w:pPr>
                        <w:ind w:right="432"/>
                        <w:rPr>
                          <w:rFonts w:cs="Arial"/>
                          <w:b/>
                        </w:rPr>
                      </w:pPr>
                      <w:r>
                        <w:rPr>
                          <w:rFonts w:cs="Arial"/>
                          <w:b/>
                        </w:rPr>
                        <w:t xml:space="preserve">2. The Committee should request information from the federal government about how it implemented the Committee’s recommendation in paragraph 6 of the 2016 Concluding Observations in its review of litigation strategies under the Charter. Canada should be asked if the current Attorney General will consider revising the </w:t>
                      </w:r>
                      <w:hyperlink r:id="rId17" w:history="1">
                        <w:r w:rsidRPr="00533977">
                          <w:rPr>
                            <w:rStyle w:val="Hyperlink"/>
                            <w:rFonts w:cs="Arial"/>
                            <w:b/>
                            <w:i/>
                            <w:iCs/>
                            <w:u w:val="none"/>
                          </w:rPr>
                          <w:t>Principles guiding the Attorney General of Canada in Charter litigation</w:t>
                        </w:r>
                      </w:hyperlink>
                      <w:r w:rsidRPr="00533977">
                        <w:rPr>
                          <w:rFonts w:cs="Arial"/>
                          <w:b/>
                        </w:rPr>
                        <w:t xml:space="preserve"> adopted by the previous Attorney General, to include references to values such as respect for the inherent dignity of the human person, commitment to </w:t>
                      </w:r>
                      <w:r w:rsidRPr="00533977">
                        <w:rPr>
                          <w:rFonts w:cs="Arial"/>
                          <w:b/>
                          <w:bCs/>
                        </w:rPr>
                        <w:t>social justice</w:t>
                      </w:r>
                      <w:r w:rsidRPr="00533977">
                        <w:rPr>
                          <w:rFonts w:cs="Arial"/>
                          <w:b/>
                        </w:rPr>
                        <w:t> and equality, and to Canada’s commitments to international human rights, including ESC rights.</w:t>
                      </w:r>
                      <w:bookmarkStart w:id="43" w:name="_GoBack"/>
                      <w:bookmarkEnd w:id="43"/>
                    </w:p>
                    <w:p w14:paraId="088287E8" w14:textId="5CB3DEAD" w:rsidR="00760C74" w:rsidRPr="00AE4C6F" w:rsidRDefault="00760C74" w:rsidP="00E94D10">
                      <w:pPr>
                        <w:ind w:right="432"/>
                        <w:rPr>
                          <w:rFonts w:cs="Arial"/>
                          <w:b/>
                        </w:rPr>
                      </w:pPr>
                      <w:r>
                        <w:rPr>
                          <w:rFonts w:cs="Arial"/>
                          <w:b/>
                        </w:rPr>
                        <w:t xml:space="preserve"> </w:t>
                      </w:r>
                    </w:p>
                  </w:txbxContent>
                </v:textbox>
                <w10:anchorlock/>
              </v:shape>
            </w:pict>
          </mc:Fallback>
        </mc:AlternateContent>
      </w:r>
    </w:p>
    <w:p w14:paraId="20CBA4FA" w14:textId="77777777" w:rsidR="00F51710" w:rsidRDefault="00F51710" w:rsidP="00F51710">
      <w:pPr>
        <w:rPr>
          <w:rFonts w:cs="Arial"/>
          <w:b/>
          <w:bCs/>
        </w:rPr>
      </w:pPr>
    </w:p>
    <w:p w14:paraId="3F84CF01" w14:textId="02A33B1A" w:rsidR="00F51710" w:rsidRPr="008A0F79" w:rsidRDefault="000D53E0" w:rsidP="00B604D1">
      <w:pPr>
        <w:pStyle w:val="Heading2"/>
        <w:numPr>
          <w:ilvl w:val="0"/>
          <w:numId w:val="24"/>
        </w:numPr>
        <w:rPr>
          <w:color w:val="0070C0"/>
          <w:sz w:val="24"/>
          <w:szCs w:val="24"/>
        </w:rPr>
      </w:pPr>
      <w:bookmarkStart w:id="44" w:name="_Toc32279500"/>
      <w:r w:rsidRPr="008A0F79">
        <w:rPr>
          <w:color w:val="0070C0"/>
          <w:sz w:val="24"/>
          <w:szCs w:val="24"/>
        </w:rPr>
        <w:t xml:space="preserve">Accountability of </w:t>
      </w:r>
      <w:r w:rsidR="00F51710" w:rsidRPr="008A0F79">
        <w:rPr>
          <w:color w:val="0070C0"/>
          <w:sz w:val="24"/>
          <w:szCs w:val="24"/>
        </w:rPr>
        <w:t xml:space="preserve">the </w:t>
      </w:r>
      <w:r w:rsidRPr="008A0F79">
        <w:rPr>
          <w:color w:val="0070C0"/>
          <w:sz w:val="24"/>
          <w:szCs w:val="24"/>
        </w:rPr>
        <w:t>i</w:t>
      </w:r>
      <w:r w:rsidR="00F51710" w:rsidRPr="008A0F79">
        <w:rPr>
          <w:color w:val="0070C0"/>
          <w:sz w:val="24"/>
          <w:szCs w:val="24"/>
        </w:rPr>
        <w:t xml:space="preserve">ndependent </w:t>
      </w:r>
      <w:r w:rsidRPr="008A0F79">
        <w:rPr>
          <w:color w:val="0070C0"/>
          <w:sz w:val="24"/>
          <w:szCs w:val="24"/>
        </w:rPr>
        <w:t>j</w:t>
      </w:r>
      <w:r w:rsidR="00F51710" w:rsidRPr="008A0F79">
        <w:rPr>
          <w:color w:val="0070C0"/>
          <w:sz w:val="24"/>
          <w:szCs w:val="24"/>
        </w:rPr>
        <w:t>udiciary and administrative tribunals regarding the domestic implementation of the Covenant</w:t>
      </w:r>
      <w:bookmarkEnd w:id="44"/>
      <w:r w:rsidR="00F51710" w:rsidRPr="008A0F79">
        <w:rPr>
          <w:color w:val="0070C0"/>
          <w:sz w:val="24"/>
          <w:szCs w:val="24"/>
        </w:rPr>
        <w:t xml:space="preserve"> </w:t>
      </w:r>
    </w:p>
    <w:p w14:paraId="6FA608C9" w14:textId="77777777" w:rsidR="00E94D10" w:rsidRPr="00E94D10" w:rsidRDefault="00E94D10" w:rsidP="00E94D10"/>
    <w:p w14:paraId="65063E71" w14:textId="77777777" w:rsidR="00F51710" w:rsidRDefault="00F51710" w:rsidP="009B7592">
      <w:pPr>
        <w:numPr>
          <w:ilvl w:val="0"/>
          <w:numId w:val="2"/>
        </w:numPr>
        <w:rPr>
          <w:rFonts w:cs="Arial"/>
        </w:rPr>
      </w:pPr>
      <w:r>
        <w:rPr>
          <w:rFonts w:cs="Arial"/>
        </w:rPr>
        <w:t>Canada’s commitments to implement the ICESCR apply to all parts of the State, including the judiciary.  As noted by the Committee in General Comment No. 9, the obligation of the judicial branch with respect to the interpretation of domestic law in conformity with binding international human rights law is critical to a State’s compliance with the Covenant. This is particularly true in Canada, where access to effective remedies relies on interpretation of broadly framed rights in the Charter and of other law.  In its 2016 Concluding Observations the Committee recommended that Canada “</w:t>
      </w:r>
      <w:r w:rsidRPr="001749A2">
        <w:rPr>
          <w:rFonts w:cs="Arial"/>
        </w:rPr>
        <w:t xml:space="preserve">improve human rights </w:t>
      </w:r>
      <w:r>
        <w:rPr>
          <w:rFonts w:cs="Arial"/>
        </w:rPr>
        <w:t>tr</w:t>
      </w:r>
      <w:r w:rsidRPr="001749A2">
        <w:rPr>
          <w:rFonts w:cs="Arial"/>
        </w:rPr>
        <w:t>aining programmes in order to ensure better knowledge, awareness and application of the Covenant, in particular among the judiciary and law enforcement and public officials.</w:t>
      </w:r>
      <w:r>
        <w:rPr>
          <w:rFonts w:cs="Arial"/>
        </w:rPr>
        <w:t>”</w:t>
      </w:r>
      <w:r w:rsidRPr="001749A2">
        <w:rPr>
          <w:rFonts w:cs="Arial"/>
        </w:rPr>
        <w:t xml:space="preserve"> </w:t>
      </w:r>
    </w:p>
    <w:p w14:paraId="39DFDA08" w14:textId="4B1F0A65" w:rsidR="00F51710" w:rsidRPr="000D53E0" w:rsidRDefault="00F51710" w:rsidP="000D53E0">
      <w:pPr>
        <w:ind w:right="-54"/>
        <w:rPr>
          <w:rFonts w:cs="Arial"/>
          <w:b/>
        </w:rPr>
      </w:pPr>
      <w:r>
        <w:rPr>
          <w:rFonts w:cs="Arial"/>
          <w:b/>
          <w:noProof/>
        </w:rPr>
        <mc:AlternateContent>
          <mc:Choice Requires="wps">
            <w:drawing>
              <wp:inline distT="0" distB="0" distL="0" distR="0" wp14:anchorId="6DB7E661" wp14:editId="6A03FCEC">
                <wp:extent cx="6187440" cy="1821180"/>
                <wp:effectExtent l="0" t="0" r="60960" b="64770"/>
                <wp:docPr id="17"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7440" cy="1821180"/>
                        </a:xfrm>
                        <a:prstGeom prst="rect">
                          <a:avLst/>
                        </a:prstGeom>
                        <a:solidFill>
                          <a:srgbClr val="F2F2F2"/>
                        </a:solidFill>
                        <a:ln w="9525">
                          <a:solidFill>
                            <a:srgbClr val="000000"/>
                          </a:solidFill>
                          <a:miter lim="800000"/>
                          <a:headEnd/>
                          <a:tailEnd/>
                        </a:ln>
                        <a:effectLst>
                          <a:outerShdw dist="35921" dir="2700000" algn="ctr" rotWithShape="0">
                            <a:srgbClr val="808080"/>
                          </a:outerShdw>
                        </a:effectLst>
                      </wps:spPr>
                      <wps:txbx>
                        <w:txbxContent>
                          <w:p w14:paraId="01B6FF17" w14:textId="27FF541E" w:rsidR="00760C74" w:rsidRPr="001749A2" w:rsidRDefault="00760C74" w:rsidP="00F51710">
                            <w:pPr>
                              <w:ind w:left="432" w:right="432" w:hanging="360"/>
                              <w:rPr>
                                <w:b/>
                                <w:bCs/>
                                <w:u w:val="single"/>
                              </w:rPr>
                            </w:pPr>
                            <w:r>
                              <w:rPr>
                                <w:b/>
                                <w:bCs/>
                                <w:u w:val="single"/>
                              </w:rPr>
                              <w:t>Accountability of the Judicial Branch and Public Officials</w:t>
                            </w:r>
                            <w:r w:rsidRPr="001749A2">
                              <w:rPr>
                                <w:b/>
                                <w:bCs/>
                                <w:u w:val="single"/>
                              </w:rPr>
                              <w:t xml:space="preserve"> </w:t>
                            </w:r>
                          </w:p>
                          <w:p w14:paraId="6464D68B" w14:textId="296D769B" w:rsidR="00760C74" w:rsidRDefault="00760C74" w:rsidP="004B71A6">
                            <w:pPr>
                              <w:ind w:right="432"/>
                              <w:rPr>
                                <w:rFonts w:cs="Arial"/>
                                <w:b/>
                              </w:rPr>
                            </w:pPr>
                            <w:r>
                              <w:rPr>
                                <w:rFonts w:cs="Arial"/>
                                <w:b/>
                              </w:rPr>
                              <w:t xml:space="preserve">3. Canada should be asked whether its recommendation in paragraph 6 of the 2016 Concluding Observations, to </w:t>
                            </w:r>
                            <w:r w:rsidRPr="007C32F5">
                              <w:rPr>
                                <w:rFonts w:cs="Arial"/>
                                <w:b/>
                                <w:bCs/>
                              </w:rPr>
                              <w:t xml:space="preserve">ensure better knowledge, awareness and application of the Covenant </w:t>
                            </w:r>
                            <w:r>
                              <w:rPr>
                                <w:rFonts w:cs="Arial"/>
                                <w:b/>
                                <w:bCs/>
                              </w:rPr>
                              <w:t xml:space="preserve">among </w:t>
                            </w:r>
                            <w:r w:rsidRPr="007C32F5">
                              <w:rPr>
                                <w:rFonts w:cs="Arial"/>
                                <w:b/>
                                <w:bCs/>
                              </w:rPr>
                              <w:t>the judiciary</w:t>
                            </w:r>
                            <w:r>
                              <w:rPr>
                                <w:rFonts w:cs="Arial"/>
                                <w:b/>
                                <w:bCs/>
                              </w:rPr>
                              <w:t>,</w:t>
                            </w:r>
                            <w:r w:rsidRPr="007C32F5">
                              <w:rPr>
                                <w:rFonts w:cs="Arial"/>
                                <w:b/>
                                <w:bCs/>
                              </w:rPr>
                              <w:t xml:space="preserve"> law enforcement and public offi</w:t>
                            </w:r>
                            <w:r>
                              <w:rPr>
                                <w:rFonts w:cs="Arial"/>
                                <w:b/>
                                <w:bCs/>
                              </w:rPr>
                              <w:t>c</w:t>
                            </w:r>
                            <w:r w:rsidRPr="007C32F5">
                              <w:rPr>
                                <w:rFonts w:cs="Arial"/>
                                <w:b/>
                                <w:bCs/>
                              </w:rPr>
                              <w:t>ials</w:t>
                            </w:r>
                            <w:r>
                              <w:rPr>
                                <w:rFonts w:cs="Arial"/>
                                <w:b/>
                              </w:rPr>
                              <w:t>, was referred to the National Judicial Institute, to the courts or to administrative tribunals or to other oversight bodies.  If not, could Canada suggest how courts and tribunals could be apprised in future of concerns with respect to the responsibilities of the judicial branch, as described in General Comment No. 9, while fully respecting the independence of the judiciary.</w:t>
                            </w:r>
                          </w:p>
                          <w:p w14:paraId="0B876D64" w14:textId="77777777" w:rsidR="00760C74" w:rsidRPr="00715BF4" w:rsidRDefault="00760C74" w:rsidP="009B7592">
                            <w:pPr>
                              <w:numPr>
                                <w:ilvl w:val="0"/>
                                <w:numId w:val="3"/>
                              </w:numPr>
                              <w:ind w:left="72" w:right="432"/>
                              <w:rPr>
                                <w:rFonts w:cs="Arial"/>
                                <w:b/>
                              </w:rPr>
                            </w:pPr>
                            <w:r>
                              <w:rPr>
                                <w:rFonts w:cs="Arial"/>
                                <w:b/>
                              </w:rPr>
                              <w:t xml:space="preserve"> </w:t>
                            </w:r>
                          </w:p>
                        </w:txbxContent>
                      </wps:txbx>
                      <wps:bodyPr rot="0" vert="horz" wrap="square" lIns="91440" tIns="45720" rIns="91440" bIns="45720" anchor="t" anchorCtr="0" upright="1">
                        <a:noAutofit/>
                      </wps:bodyPr>
                    </wps:wsp>
                  </a:graphicData>
                </a:graphic>
              </wp:inline>
            </w:drawing>
          </mc:Choice>
          <mc:Fallback>
            <w:pict>
              <v:shape w14:anchorId="6DB7E661" id="_x0000_s1029" type="#_x0000_t202" style="width:487.2pt;height:14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" fillcolor="#f2f2f2">
                <v:shadow on="t"/>
                <v:textbox>
                  <w:txbxContent>
                    <w:p w14:paraId="01B6FF17" w14:textId="27FF541E" w:rsidR="00760C74" w:rsidRPr="001749A2" w:rsidRDefault="00760C74" w:rsidP="00F51710">
                      <w:pPr>
                        <w:ind w:left="432" w:right="432" w:hanging="360"/>
                        <w:rPr>
                          <w:b/>
                          <w:bCs/>
                          <w:u w:val="single"/>
                        </w:rPr>
                      </w:pPr>
                      <w:r>
                        <w:rPr>
                          <w:b/>
                          <w:bCs/>
                          <w:u w:val="single"/>
                        </w:rPr>
                        <w:t>Accountability of the Judicial Branch and Public Officials</w:t>
                      </w:r>
                      <w:r w:rsidRPr="001749A2">
                        <w:rPr>
                          <w:b/>
                          <w:bCs/>
                          <w:u w:val="single"/>
                        </w:rPr>
                        <w:t xml:space="preserve"> </w:t>
                      </w:r>
                    </w:p>
                    <w:p w14:paraId="6464D68B" w14:textId="296D769B" w:rsidR="00760C74" w:rsidRDefault="00760C74" w:rsidP="004B71A6">
                      <w:pPr>
                        <w:ind w:right="432"/>
                        <w:rPr>
                          <w:rFonts w:cs="Arial"/>
                          <w:b/>
                        </w:rPr>
                      </w:pPr>
                      <w:r>
                        <w:rPr>
                          <w:rFonts w:cs="Arial"/>
                          <w:b/>
                        </w:rPr>
                        <w:t xml:space="preserve">3. Canada should be asked whether its recommendation in paragraph 6 of the 2016 Concluding Observations, to </w:t>
                      </w:r>
                      <w:r w:rsidRPr="007C32F5">
                        <w:rPr>
                          <w:rFonts w:cs="Arial"/>
                          <w:b/>
                          <w:bCs/>
                        </w:rPr>
                        <w:t xml:space="preserve">ensure better knowledge, awareness and application of the Covenant </w:t>
                      </w:r>
                      <w:r>
                        <w:rPr>
                          <w:rFonts w:cs="Arial"/>
                          <w:b/>
                          <w:bCs/>
                        </w:rPr>
                        <w:t xml:space="preserve">among </w:t>
                      </w:r>
                      <w:r w:rsidRPr="007C32F5">
                        <w:rPr>
                          <w:rFonts w:cs="Arial"/>
                          <w:b/>
                          <w:bCs/>
                        </w:rPr>
                        <w:t>the judiciary</w:t>
                      </w:r>
                      <w:r>
                        <w:rPr>
                          <w:rFonts w:cs="Arial"/>
                          <w:b/>
                          <w:bCs/>
                        </w:rPr>
                        <w:t>,</w:t>
                      </w:r>
                      <w:r w:rsidRPr="007C32F5">
                        <w:rPr>
                          <w:rFonts w:cs="Arial"/>
                          <w:b/>
                          <w:bCs/>
                        </w:rPr>
                        <w:t xml:space="preserve"> law enforcement and public offi</w:t>
                      </w:r>
                      <w:r>
                        <w:rPr>
                          <w:rFonts w:cs="Arial"/>
                          <w:b/>
                          <w:bCs/>
                        </w:rPr>
                        <w:t>c</w:t>
                      </w:r>
                      <w:r w:rsidRPr="007C32F5">
                        <w:rPr>
                          <w:rFonts w:cs="Arial"/>
                          <w:b/>
                          <w:bCs/>
                        </w:rPr>
                        <w:t>ials</w:t>
                      </w:r>
                      <w:r>
                        <w:rPr>
                          <w:rFonts w:cs="Arial"/>
                          <w:b/>
                        </w:rPr>
                        <w:t>, was referred to the National Judicial Institute, to the courts or to administrative tribunals or to other oversight bodies.  If not, could Canada suggest how courts and tribunals could be apprised in future of concerns with respect to the responsibilities of the judicial branch, as described in General Comment No. 9, while fully respecting the independence of the judiciary.</w:t>
                      </w:r>
                    </w:p>
                    <w:p w14:paraId="0B876D64" w14:textId="77777777" w:rsidR="00760C74" w:rsidRPr="00715BF4" w:rsidRDefault="00760C74" w:rsidP="009B7592">
                      <w:pPr>
                        <w:numPr>
                          <w:ilvl w:val="0"/>
                          <w:numId w:val="3"/>
                        </w:numPr>
                        <w:ind w:left="72" w:right="432"/>
                        <w:rPr>
                          <w:rFonts w:cs="Arial"/>
                          <w:b/>
                        </w:rPr>
                      </w:pPr>
                      <w:r>
                        <w:rPr>
                          <w:rFonts w:cs="Arial"/>
                          <w:b/>
                        </w:rPr>
                        <w:t xml:space="preserve"> </w:t>
                      </w:r>
                    </w:p>
                  </w:txbxContent>
                </v:textbox>
                <w10:anchorlock/>
              </v:shape>
            </w:pict>
          </mc:Fallback>
        </mc:AlternateContent>
      </w:r>
    </w:p>
    <w:p w14:paraId="573AF0C6" w14:textId="77777777" w:rsidR="00760C74" w:rsidRDefault="00760C74" w:rsidP="00760C74">
      <w:pPr>
        <w:pStyle w:val="Heading2"/>
        <w:rPr>
          <w:rFonts w:cs="Arial"/>
          <w:b w:val="0"/>
          <w:bCs w:val="0"/>
        </w:rPr>
      </w:pPr>
    </w:p>
    <w:p w14:paraId="5CEA748B" w14:textId="77777777" w:rsidR="00760C74" w:rsidRDefault="00760C74" w:rsidP="00760C74">
      <w:pPr>
        <w:pStyle w:val="Heading2"/>
        <w:ind w:left="1080"/>
        <w:rPr>
          <w:rFonts w:cs="Arial"/>
          <w:b w:val="0"/>
          <w:bCs w:val="0"/>
        </w:rPr>
      </w:pPr>
    </w:p>
    <w:p w14:paraId="5BBC3980" w14:textId="3542BD3C" w:rsidR="00F51710" w:rsidRPr="008A0F79" w:rsidRDefault="00F51710" w:rsidP="00B604D1">
      <w:pPr>
        <w:pStyle w:val="Heading2"/>
        <w:numPr>
          <w:ilvl w:val="0"/>
          <w:numId w:val="24"/>
        </w:numPr>
        <w:rPr>
          <w:color w:val="0070C0"/>
          <w:sz w:val="24"/>
          <w:szCs w:val="24"/>
        </w:rPr>
      </w:pPr>
      <w:bookmarkStart w:id="45" w:name="_Toc32279501"/>
      <w:r w:rsidRPr="008A0F79">
        <w:rPr>
          <w:color w:val="0070C0"/>
          <w:sz w:val="24"/>
          <w:szCs w:val="24"/>
        </w:rPr>
        <w:t xml:space="preserve">The protection of the right to life in access to </w:t>
      </w:r>
      <w:r w:rsidR="00760C74" w:rsidRPr="008A0F79">
        <w:rPr>
          <w:color w:val="0070C0"/>
          <w:sz w:val="24"/>
          <w:szCs w:val="24"/>
        </w:rPr>
        <w:t xml:space="preserve">private and public </w:t>
      </w:r>
      <w:r w:rsidRPr="008A0F79">
        <w:rPr>
          <w:color w:val="0070C0"/>
          <w:sz w:val="24"/>
          <w:szCs w:val="24"/>
        </w:rPr>
        <w:t>health care</w:t>
      </w:r>
      <w:bookmarkEnd w:id="45"/>
      <w:r w:rsidR="00760C74" w:rsidRPr="008A0F79">
        <w:rPr>
          <w:color w:val="0070C0"/>
          <w:sz w:val="24"/>
          <w:szCs w:val="24"/>
        </w:rPr>
        <w:t xml:space="preserve"> </w:t>
      </w:r>
    </w:p>
    <w:p w14:paraId="5EF6C01C" w14:textId="77777777" w:rsidR="00F51710" w:rsidRDefault="00F51710" w:rsidP="00F51710">
      <w:pPr>
        <w:rPr>
          <w:rFonts w:cs="Arial"/>
        </w:rPr>
      </w:pPr>
    </w:p>
    <w:p w14:paraId="766EBF22" w14:textId="1D868586" w:rsidR="00F51710" w:rsidRDefault="00F51710" w:rsidP="009B7592">
      <w:pPr>
        <w:numPr>
          <w:ilvl w:val="0"/>
          <w:numId w:val="2"/>
        </w:numPr>
        <w:rPr>
          <w:rFonts w:cs="Arial"/>
        </w:rPr>
      </w:pPr>
      <w:r>
        <w:rPr>
          <w:rFonts w:cs="Arial"/>
        </w:rPr>
        <w:t xml:space="preserve">In </w:t>
      </w:r>
      <w:proofErr w:type="spellStart"/>
      <w:r w:rsidRPr="005A432A">
        <w:rPr>
          <w:rFonts w:cs="Arial"/>
          <w:i/>
          <w:iCs/>
        </w:rPr>
        <w:t>Chaoulli</w:t>
      </w:r>
      <w:proofErr w:type="spellEnd"/>
      <w:r w:rsidRPr="005A432A">
        <w:rPr>
          <w:rFonts w:cs="Arial"/>
          <w:i/>
          <w:iCs/>
        </w:rPr>
        <w:t xml:space="preserve"> v Quebec</w:t>
      </w:r>
      <w:r>
        <w:rPr>
          <w:rFonts w:cs="Arial"/>
        </w:rPr>
        <w:t xml:space="preserve"> </w:t>
      </w:r>
      <w:r w:rsidRPr="006B49CA">
        <w:rPr>
          <w:rFonts w:cs="Arial"/>
        </w:rPr>
        <w:t xml:space="preserve">the Supreme Court of Canada considered a claim </w:t>
      </w:r>
      <w:r>
        <w:rPr>
          <w:rFonts w:cs="Arial"/>
        </w:rPr>
        <w:t xml:space="preserve">on behalf of relatively affluent health care consumers, </w:t>
      </w:r>
      <w:r w:rsidRPr="006B49CA">
        <w:rPr>
          <w:rFonts w:cs="Arial"/>
        </w:rPr>
        <w:t>challeng</w:t>
      </w:r>
      <w:r>
        <w:rPr>
          <w:rFonts w:cs="Arial"/>
        </w:rPr>
        <w:t>ing</w:t>
      </w:r>
      <w:r w:rsidRPr="006B49CA">
        <w:rPr>
          <w:rFonts w:cs="Arial"/>
        </w:rPr>
        <w:t xml:space="preserve"> legislation that prevented </w:t>
      </w:r>
      <w:r>
        <w:rPr>
          <w:rFonts w:cs="Arial"/>
        </w:rPr>
        <w:t xml:space="preserve">them </w:t>
      </w:r>
      <w:r w:rsidRPr="006B49CA">
        <w:rPr>
          <w:rFonts w:cs="Arial"/>
        </w:rPr>
        <w:t xml:space="preserve">from </w:t>
      </w:r>
      <w:r>
        <w:rPr>
          <w:rFonts w:cs="Arial"/>
        </w:rPr>
        <w:t>accessing</w:t>
      </w:r>
      <w:r w:rsidRPr="006B49CA">
        <w:rPr>
          <w:rFonts w:cs="Arial"/>
        </w:rPr>
        <w:t xml:space="preserve">  private health care plans</w:t>
      </w:r>
      <w:r>
        <w:rPr>
          <w:rFonts w:cs="Arial"/>
        </w:rPr>
        <w:t xml:space="preserve">, </w:t>
      </w:r>
      <w:r w:rsidRPr="006B49CA">
        <w:rPr>
          <w:rFonts w:cs="Arial"/>
        </w:rPr>
        <w:t>to avoid waiting times for certain essential services in the public health care system.</w:t>
      </w:r>
      <w:r w:rsidRPr="004B71A6">
        <w:rPr>
          <w:rFonts w:cs="Arial"/>
        </w:rPr>
        <w:footnoteReference w:id="5"/>
      </w:r>
      <w:r w:rsidRPr="006B49CA">
        <w:rPr>
          <w:rFonts w:cs="Arial"/>
        </w:rPr>
        <w:t xml:space="preserve"> In upholding the</w:t>
      </w:r>
      <w:r>
        <w:rPr>
          <w:rFonts w:cs="Arial"/>
        </w:rPr>
        <w:t xml:space="preserve">ir </w:t>
      </w:r>
      <w:r w:rsidRPr="006B49CA">
        <w:rPr>
          <w:rFonts w:cs="Arial"/>
        </w:rPr>
        <w:t xml:space="preserve">claim, the Chief Justice explained, that ‘the [Canadian] </w:t>
      </w:r>
      <w:r w:rsidRPr="004B71A6">
        <w:rPr>
          <w:rFonts w:cs="Arial"/>
        </w:rPr>
        <w:t>Charter</w:t>
      </w:r>
      <w:r w:rsidRPr="006B49CA">
        <w:rPr>
          <w:rFonts w:cs="Arial"/>
        </w:rPr>
        <w:t> does not confer a freestanding constitutional right to health care. However, where the government puts in place a scheme to provide health care, that scheme must comply with the </w:t>
      </w:r>
      <w:r w:rsidRPr="004B71A6">
        <w:rPr>
          <w:rFonts w:cs="Arial"/>
        </w:rPr>
        <w:t>Charter</w:t>
      </w:r>
      <w:r w:rsidRPr="006B49CA">
        <w:rPr>
          <w:rFonts w:cs="Arial"/>
        </w:rPr>
        <w:t>.’</w:t>
      </w:r>
      <w:r w:rsidRPr="004B71A6">
        <w:rPr>
          <w:rFonts w:cs="Arial"/>
        </w:rPr>
        <w:footnoteReference w:id="6"/>
      </w:r>
      <w:r w:rsidRPr="006B49CA">
        <w:rPr>
          <w:rFonts w:cs="Arial"/>
        </w:rPr>
        <w:t xml:space="preserve"> </w:t>
      </w:r>
    </w:p>
    <w:p w14:paraId="11A77DCE" w14:textId="717E04C1" w:rsidR="00F51710" w:rsidRDefault="00F51710" w:rsidP="009B7592">
      <w:pPr>
        <w:numPr>
          <w:ilvl w:val="0"/>
          <w:numId w:val="2"/>
        </w:numPr>
        <w:rPr>
          <w:rFonts w:cs="Arial"/>
        </w:rPr>
      </w:pPr>
      <w:r w:rsidRPr="006B49CA">
        <w:rPr>
          <w:rFonts w:cs="Arial"/>
        </w:rPr>
        <w:t xml:space="preserve">The Chief Justice’s statement </w:t>
      </w:r>
      <w:r w:rsidR="000D53E0">
        <w:rPr>
          <w:rFonts w:cs="Arial"/>
        </w:rPr>
        <w:t xml:space="preserve">has been </w:t>
      </w:r>
      <w:r w:rsidR="005A432A">
        <w:rPr>
          <w:rFonts w:cs="Arial"/>
        </w:rPr>
        <w:t xml:space="preserve">relied upon (incorrectly) by </w:t>
      </w:r>
      <w:r w:rsidR="000D53E0">
        <w:rPr>
          <w:rFonts w:cs="Arial"/>
        </w:rPr>
        <w:t>lower courts</w:t>
      </w:r>
      <w:r w:rsidR="005A432A">
        <w:rPr>
          <w:rFonts w:cs="Arial"/>
        </w:rPr>
        <w:t xml:space="preserve"> to suggest that there is no obligation to </w:t>
      </w:r>
      <w:r w:rsidR="00760C74">
        <w:rPr>
          <w:rFonts w:cs="Arial"/>
        </w:rPr>
        <w:t>ensure access to publicly funded</w:t>
      </w:r>
      <w:r w:rsidR="005A432A">
        <w:rPr>
          <w:rFonts w:cs="Arial"/>
        </w:rPr>
        <w:t xml:space="preserve"> health care</w:t>
      </w:r>
      <w:r w:rsidR="00760C74">
        <w:rPr>
          <w:rFonts w:cs="Arial"/>
        </w:rPr>
        <w:t xml:space="preserve">, </w:t>
      </w:r>
      <w:proofErr w:type="spellStart"/>
      <w:r w:rsidR="00760C74">
        <w:rPr>
          <w:rFonts w:cs="Arial"/>
        </w:rPr>
        <w:t>een</w:t>
      </w:r>
      <w:proofErr w:type="spellEnd"/>
      <w:r w:rsidR="005A432A">
        <w:rPr>
          <w:rFonts w:cs="Arial"/>
        </w:rPr>
        <w:t xml:space="preserve"> where necessary to protect the right to life. In the</w:t>
      </w:r>
      <w:r>
        <w:rPr>
          <w:rFonts w:cs="Arial"/>
        </w:rPr>
        <w:t xml:space="preserve"> case of</w:t>
      </w:r>
      <w:r w:rsidRPr="004B71A6">
        <w:rPr>
          <w:rFonts w:cs="Arial"/>
        </w:rPr>
        <w:t xml:space="preserve"> </w:t>
      </w:r>
      <w:hyperlink r:id="rId18" w:history="1">
        <w:r w:rsidRPr="005A432A">
          <w:rPr>
            <w:i/>
            <w:iCs/>
          </w:rPr>
          <w:t>Toussaint v. Canada</w:t>
        </w:r>
      </w:hyperlink>
      <w:r w:rsidR="00760C74">
        <w:rPr>
          <w:rStyle w:val="FootnoteReference"/>
          <w:i/>
          <w:iCs/>
        </w:rPr>
        <w:footnoteReference w:id="7"/>
      </w:r>
      <w:r>
        <w:rPr>
          <w:rFonts w:cs="Arial"/>
        </w:rPr>
        <w:t xml:space="preserve">  </w:t>
      </w:r>
      <w:r w:rsidR="00760C74">
        <w:rPr>
          <w:rFonts w:cs="Arial"/>
        </w:rPr>
        <w:t xml:space="preserve">the courts found that </w:t>
      </w:r>
      <w:r>
        <w:rPr>
          <w:rFonts w:cs="Arial"/>
        </w:rPr>
        <w:t>Ms. Toussaint’s life placed at</w:t>
      </w:r>
      <w:r w:rsidR="00760C74">
        <w:rPr>
          <w:rFonts w:cs="Arial"/>
        </w:rPr>
        <w:t xml:space="preserve"> </w:t>
      </w:r>
      <w:proofErr w:type="spellStart"/>
      <w:r w:rsidR="00760C74">
        <w:rPr>
          <w:rFonts w:cs="Arial"/>
        </w:rPr>
        <w:t>sesrious</w:t>
      </w:r>
      <w:proofErr w:type="spellEnd"/>
      <w:r>
        <w:rPr>
          <w:rFonts w:cs="Arial"/>
        </w:rPr>
        <w:t xml:space="preserve"> risk, with long term adverse health consequences, after she was denied access to a federal health care programme because of her undocumented status.  The Court of Appeal </w:t>
      </w:r>
      <w:r w:rsidR="004B71A6">
        <w:rPr>
          <w:rFonts w:cs="Arial"/>
        </w:rPr>
        <w:t xml:space="preserve">cited the Chief Justice’s statement </w:t>
      </w:r>
      <w:r w:rsidR="00760C74">
        <w:rPr>
          <w:rFonts w:cs="Arial"/>
        </w:rPr>
        <w:t xml:space="preserve">in </w:t>
      </w:r>
      <w:proofErr w:type="spellStart"/>
      <w:r w:rsidR="00760C74" w:rsidRPr="00760C74">
        <w:rPr>
          <w:rFonts w:cs="Arial"/>
          <w:i/>
          <w:iCs/>
        </w:rPr>
        <w:t>Chaoulli</w:t>
      </w:r>
      <w:proofErr w:type="spellEnd"/>
      <w:r w:rsidR="00760C74">
        <w:rPr>
          <w:rFonts w:cs="Arial"/>
        </w:rPr>
        <w:t xml:space="preserve"> </w:t>
      </w:r>
      <w:r w:rsidR="004B71A6">
        <w:rPr>
          <w:rFonts w:cs="Arial"/>
        </w:rPr>
        <w:t xml:space="preserve">and </w:t>
      </w:r>
      <w:r w:rsidR="005A432A">
        <w:rPr>
          <w:rFonts w:cs="Arial"/>
        </w:rPr>
        <w:t xml:space="preserve">concluded </w:t>
      </w:r>
      <w:r>
        <w:rPr>
          <w:rFonts w:cs="Arial"/>
        </w:rPr>
        <w:t>that to require the State to provide Ms. Toussaint with health care</w:t>
      </w:r>
      <w:r w:rsidR="004B71A6">
        <w:rPr>
          <w:rFonts w:cs="Arial"/>
        </w:rPr>
        <w:t xml:space="preserve"> necessary</w:t>
      </w:r>
      <w:r>
        <w:rPr>
          <w:rFonts w:cs="Arial"/>
        </w:rPr>
        <w:t xml:space="preserve"> to protect her life would “</w:t>
      </w:r>
      <w:r w:rsidRPr="00B86BFF">
        <w:rPr>
          <w:rFonts w:cs="Arial"/>
        </w:rPr>
        <w:t>expand the law…so as to create a new human right to a minimum level of health care</w:t>
      </w:r>
      <w:r>
        <w:rPr>
          <w:rFonts w:cs="Arial"/>
        </w:rPr>
        <w:t>.”</w:t>
      </w:r>
      <w:r w:rsidR="00760C74">
        <w:rPr>
          <w:rStyle w:val="FootnoteReference"/>
          <w:rFonts w:cs="Arial"/>
        </w:rPr>
        <w:footnoteReference w:id="8"/>
      </w:r>
      <w:r>
        <w:rPr>
          <w:rFonts w:cs="Arial"/>
        </w:rPr>
        <w:t xml:space="preserve"> </w:t>
      </w:r>
    </w:p>
    <w:p w14:paraId="61920474" w14:textId="4B2AD756" w:rsidR="00F51710" w:rsidRDefault="00F51710" w:rsidP="009B7592">
      <w:pPr>
        <w:numPr>
          <w:ilvl w:val="0"/>
          <w:numId w:val="2"/>
        </w:numPr>
        <w:rPr>
          <w:rFonts w:cs="Arial"/>
        </w:rPr>
      </w:pPr>
      <w:r>
        <w:rPr>
          <w:rFonts w:cs="Arial"/>
        </w:rPr>
        <w:t xml:space="preserve">In a subsequent case, challenging </w:t>
      </w:r>
      <w:r w:rsidR="00760C74">
        <w:rPr>
          <w:rFonts w:cs="Arial"/>
        </w:rPr>
        <w:t>targeted</w:t>
      </w:r>
      <w:r>
        <w:rPr>
          <w:rFonts w:cs="Arial"/>
        </w:rPr>
        <w:t xml:space="preserve"> restrictions on access to health care </w:t>
      </w:r>
      <w:r w:rsidR="00760C74">
        <w:rPr>
          <w:rFonts w:cs="Arial"/>
        </w:rPr>
        <w:t xml:space="preserve">for </w:t>
      </w:r>
      <w:r>
        <w:rPr>
          <w:rFonts w:cs="Arial"/>
        </w:rPr>
        <w:t xml:space="preserve">refugees from designated countries, </w:t>
      </w:r>
      <w:r w:rsidR="005A432A">
        <w:rPr>
          <w:rFonts w:cs="Arial"/>
        </w:rPr>
        <w:t>(</w:t>
      </w:r>
      <w:r>
        <w:rPr>
          <w:rFonts w:cs="Arial"/>
        </w:rPr>
        <w:t xml:space="preserve">implemented after the Federal Court of Appeal’s decision in </w:t>
      </w:r>
      <w:r w:rsidRPr="005A432A">
        <w:rPr>
          <w:rFonts w:cs="Arial"/>
          <w:i/>
          <w:iCs/>
        </w:rPr>
        <w:t>Toussaint</w:t>
      </w:r>
      <w:r w:rsidR="005A432A">
        <w:rPr>
          <w:rFonts w:cs="Arial"/>
        </w:rPr>
        <w:t>)</w:t>
      </w:r>
      <w:r>
        <w:rPr>
          <w:rFonts w:cs="Arial"/>
        </w:rPr>
        <w:t xml:space="preserve">,  the Chief Justice’s statement was again </w:t>
      </w:r>
      <w:r w:rsidRPr="006B49CA">
        <w:rPr>
          <w:rFonts w:cs="Arial"/>
        </w:rPr>
        <w:t>relied upon to affirm that ‘the current state of the law in Canada is that section 7 of the Charter’s guarantees of life, liberty and security of the person do not include the positive right to state funding for health care’.</w:t>
      </w:r>
      <w:r w:rsidR="00760C74">
        <w:rPr>
          <w:rStyle w:val="FootnoteReference"/>
          <w:rFonts w:cs="Arial"/>
        </w:rPr>
        <w:footnoteReference w:id="9"/>
      </w:r>
      <w:r w:rsidRPr="006B49CA">
        <w:rPr>
          <w:rFonts w:cs="Arial"/>
        </w:rPr>
        <w:t xml:space="preserve">  </w:t>
      </w:r>
    </w:p>
    <w:p w14:paraId="6FB02FB4" w14:textId="0B947DD9" w:rsidR="004B71A6" w:rsidRPr="00760C74" w:rsidRDefault="00760C74" w:rsidP="00760C74">
      <w:pPr>
        <w:numPr>
          <w:ilvl w:val="0"/>
          <w:numId w:val="2"/>
        </w:numPr>
        <w:rPr>
          <w:rFonts w:cs="Arial"/>
        </w:rPr>
      </w:pPr>
      <w:r w:rsidRPr="00760C74">
        <w:rPr>
          <w:rFonts w:cs="Arial"/>
        </w:rPr>
        <w:lastRenderedPageBreak/>
        <w:t>The “current state of the law” within lower courts, is. surprisingly</w:t>
      </w:r>
      <w:r>
        <w:rPr>
          <w:rFonts w:cs="Arial"/>
        </w:rPr>
        <w:t xml:space="preserve"> such that the right to life protects access to health care for those who can afford private </w:t>
      </w:r>
      <w:proofErr w:type="gramStart"/>
      <w:r>
        <w:rPr>
          <w:rFonts w:cs="Arial"/>
        </w:rPr>
        <w:t>care, but</w:t>
      </w:r>
      <w:proofErr w:type="gramEnd"/>
      <w:r>
        <w:rPr>
          <w:rFonts w:cs="Arial"/>
        </w:rPr>
        <w:t xml:space="preserve"> does not protect the very same interest for those who cannot afford private care and rely on the public health care system. </w:t>
      </w:r>
      <w:r w:rsidR="005A432A" w:rsidRPr="00760C74">
        <w:rPr>
          <w:rFonts w:cs="Arial"/>
        </w:rPr>
        <w:t>F</w:t>
      </w:r>
      <w:r w:rsidR="004B71A6" w:rsidRPr="00760C74">
        <w:rPr>
          <w:rFonts w:cs="Arial"/>
        </w:rPr>
        <w:t>or the rich, the right to life includes access to essential health care but not for the poor.</w:t>
      </w:r>
    </w:p>
    <w:p w14:paraId="47B925E7" w14:textId="7A485406" w:rsidR="00F51710" w:rsidRDefault="00F51710" w:rsidP="004B71A6">
      <w:pPr>
        <w:ind w:right="-54"/>
        <w:rPr>
          <w:rFonts w:cs="Arial"/>
          <w:b/>
        </w:rPr>
      </w:pPr>
      <w:r>
        <w:rPr>
          <w:rFonts w:cs="Arial"/>
          <w:b/>
          <w:noProof/>
        </w:rPr>
        <mc:AlternateContent>
          <mc:Choice Requires="wps">
            <w:drawing>
              <wp:inline distT="0" distB="0" distL="0" distR="0" wp14:anchorId="0D52EB10" wp14:editId="073C37B1">
                <wp:extent cx="6035040" cy="1531620"/>
                <wp:effectExtent l="0" t="0" r="60960" b="49530"/>
                <wp:docPr id="19"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5040" cy="1531620"/>
                        </a:xfrm>
                        <a:prstGeom prst="rect">
                          <a:avLst/>
                        </a:prstGeom>
                        <a:solidFill>
                          <a:srgbClr val="F2F2F2"/>
                        </a:solidFill>
                        <a:ln w="9525">
                          <a:solidFill>
                            <a:srgbClr val="000000"/>
                          </a:solidFill>
                          <a:miter lim="800000"/>
                          <a:headEnd/>
                          <a:tailEnd/>
                        </a:ln>
                        <a:effectLst>
                          <a:outerShdw dist="35921" dir="2700000" algn="ctr" rotWithShape="0">
                            <a:srgbClr val="808080"/>
                          </a:outerShdw>
                        </a:effectLst>
                      </wps:spPr>
                      <wps:txbx>
                        <w:txbxContent>
                          <w:p w14:paraId="657C461B" w14:textId="77777777" w:rsidR="00760C74" w:rsidRPr="00065EC1" w:rsidRDefault="00760C74" w:rsidP="00F51710">
                            <w:pPr>
                              <w:ind w:right="432"/>
                              <w:rPr>
                                <w:rFonts w:cs="Arial"/>
                                <w:b/>
                              </w:rPr>
                            </w:pPr>
                            <w:r>
                              <w:rPr>
                                <w:b/>
                                <w:bCs/>
                                <w:u w:val="single"/>
                              </w:rPr>
                              <w:t>The right to life and access to health care</w:t>
                            </w:r>
                          </w:p>
                          <w:p w14:paraId="6B9A5D29" w14:textId="3E067618" w:rsidR="00760C74" w:rsidRDefault="00760C74" w:rsidP="00F51710">
                            <w:pPr>
                              <w:ind w:left="72" w:right="432"/>
                              <w:rPr>
                                <w:rFonts w:cs="Arial"/>
                                <w:b/>
                              </w:rPr>
                            </w:pPr>
                            <w:r>
                              <w:rPr>
                                <w:rFonts w:cs="Arial"/>
                                <w:b/>
                              </w:rPr>
                              <w:t xml:space="preserve">4. </w:t>
                            </w:r>
                            <w:r w:rsidRPr="00715BF4">
                              <w:rPr>
                                <w:rFonts w:cs="Arial"/>
                                <w:b/>
                              </w:rPr>
                              <w:t xml:space="preserve">We recommend that the Committee request </w:t>
                            </w:r>
                            <w:r>
                              <w:rPr>
                                <w:rFonts w:cs="Arial"/>
                                <w:b/>
                              </w:rPr>
                              <w:t>clarification from the government of Canada and from provincial governments of their position on whether the right to life should be interpreted to ensure access to health care where necessary for the protection of life, regardless of income, and whether there should be a difference between the protections of the right to life for those who can afford access to private health care and those who rely on public health care.</w:t>
                            </w:r>
                          </w:p>
                          <w:p w14:paraId="1BF4E88E" w14:textId="77777777" w:rsidR="00760C74" w:rsidRPr="00715BF4" w:rsidRDefault="00760C74" w:rsidP="009B7592">
                            <w:pPr>
                              <w:numPr>
                                <w:ilvl w:val="0"/>
                                <w:numId w:val="3"/>
                              </w:numPr>
                              <w:ind w:left="72" w:right="432"/>
                              <w:rPr>
                                <w:rFonts w:cs="Arial"/>
                                <w:b/>
                              </w:rPr>
                            </w:pPr>
                            <w:r>
                              <w:rPr>
                                <w:rFonts w:cs="Arial"/>
                                <w:b/>
                              </w:rPr>
                              <w:t xml:space="preserve"> </w:t>
                            </w:r>
                          </w:p>
                        </w:txbxContent>
                      </wps:txbx>
                      <wps:bodyPr rot="0" vert="horz" wrap="square" lIns="91440" tIns="45720" rIns="91440" bIns="45720" anchor="t" anchorCtr="0" upright="1">
                        <a:noAutofit/>
                      </wps:bodyPr>
                    </wps:wsp>
                  </a:graphicData>
                </a:graphic>
              </wp:inline>
            </w:drawing>
          </mc:Choice>
          <mc:Fallback>
            <w:pict>
              <v:shape w14:anchorId="0D52EB10" id="_x0000_s1030" type="#_x0000_t202" style="width:475.2pt;height:12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" fillcolor="#f2f2f2">
                <v:shadow on="t"/>
                <v:textbox>
                  <w:txbxContent>
                    <w:p w14:paraId="657C461B" w14:textId="77777777" w:rsidR="00760C74" w:rsidRPr="00065EC1" w:rsidRDefault="00760C74" w:rsidP="00F51710">
                      <w:pPr>
                        <w:ind w:right="432"/>
                        <w:rPr>
                          <w:rFonts w:cs="Arial"/>
                          <w:b/>
                        </w:rPr>
                      </w:pPr>
                      <w:r>
                        <w:rPr>
                          <w:b/>
                          <w:bCs/>
                          <w:u w:val="single"/>
                        </w:rPr>
                        <w:t>The right to life and access to health care</w:t>
                      </w:r>
                    </w:p>
                    <w:p w14:paraId="6B9A5D29" w14:textId="3E067618" w:rsidR="00760C74" w:rsidRDefault="00760C74" w:rsidP="00F51710">
                      <w:pPr>
                        <w:ind w:left="72" w:right="432"/>
                        <w:rPr>
                          <w:rFonts w:cs="Arial"/>
                          <w:b/>
                        </w:rPr>
                      </w:pPr>
                      <w:r>
                        <w:rPr>
                          <w:rFonts w:cs="Arial"/>
                          <w:b/>
                        </w:rPr>
                        <w:t xml:space="preserve">4. </w:t>
                      </w:r>
                      <w:r w:rsidRPr="00715BF4">
                        <w:rPr>
                          <w:rFonts w:cs="Arial"/>
                          <w:b/>
                        </w:rPr>
                        <w:t xml:space="preserve">We recommend that the Committee request </w:t>
                      </w:r>
                      <w:r>
                        <w:rPr>
                          <w:rFonts w:cs="Arial"/>
                          <w:b/>
                        </w:rPr>
                        <w:t>clarification from the government of Canada and from provincial governments of their position on whether the right to life should be interpreted to ensure access to health care where necessary for the protection of life, regardless of income, and whether there should be a difference between the protections of the right to life for those who can afford access to private health care and those who rely on public health care.</w:t>
                      </w:r>
                    </w:p>
                    <w:p w14:paraId="1BF4E88E" w14:textId="77777777" w:rsidR="00760C74" w:rsidRPr="00715BF4" w:rsidRDefault="00760C74" w:rsidP="009B7592">
                      <w:pPr>
                        <w:numPr>
                          <w:ilvl w:val="0"/>
                          <w:numId w:val="3"/>
                        </w:numPr>
                        <w:ind w:left="72" w:right="432"/>
                        <w:rPr>
                          <w:rFonts w:cs="Arial"/>
                          <w:b/>
                        </w:rPr>
                      </w:pPr>
                      <w:r>
                        <w:rPr>
                          <w:rFonts w:cs="Arial"/>
                          <w:b/>
                        </w:rPr>
                        <w:t xml:space="preserve"> </w:t>
                      </w:r>
                    </w:p>
                  </w:txbxContent>
                </v:textbox>
                <w10:anchorlock/>
              </v:shape>
            </w:pict>
          </mc:Fallback>
        </mc:AlternateContent>
      </w:r>
    </w:p>
    <w:p w14:paraId="43CC765F" w14:textId="77777777" w:rsidR="00B604D1" w:rsidRPr="004B71A6" w:rsidRDefault="00B604D1" w:rsidP="004B71A6">
      <w:pPr>
        <w:ind w:right="-54"/>
        <w:rPr>
          <w:rFonts w:cs="Arial"/>
          <w:b/>
        </w:rPr>
      </w:pPr>
    </w:p>
    <w:p w14:paraId="21FAD513" w14:textId="30DA171E" w:rsidR="00F51710" w:rsidRPr="008A0F79" w:rsidRDefault="00F51710" w:rsidP="00B604D1">
      <w:pPr>
        <w:pStyle w:val="Heading2"/>
        <w:numPr>
          <w:ilvl w:val="0"/>
          <w:numId w:val="24"/>
        </w:numPr>
        <w:rPr>
          <w:color w:val="0070C0"/>
          <w:sz w:val="24"/>
          <w:szCs w:val="24"/>
        </w:rPr>
      </w:pPr>
      <w:bookmarkStart w:id="46" w:name="_Toc32279502"/>
      <w:r w:rsidRPr="008A0F79">
        <w:rPr>
          <w:color w:val="0070C0"/>
          <w:sz w:val="24"/>
          <w:szCs w:val="24"/>
        </w:rPr>
        <w:t xml:space="preserve">Reconsidering Canada’s Response to the </w:t>
      </w:r>
      <w:r w:rsidR="00032A30" w:rsidRPr="008A0F79">
        <w:rPr>
          <w:color w:val="0070C0"/>
          <w:sz w:val="24"/>
          <w:szCs w:val="24"/>
        </w:rPr>
        <w:t>Decision</w:t>
      </w:r>
      <w:r w:rsidRPr="008A0F79">
        <w:rPr>
          <w:color w:val="0070C0"/>
          <w:sz w:val="24"/>
          <w:szCs w:val="24"/>
        </w:rPr>
        <w:t xml:space="preserve"> of the Human Rights Committee in </w:t>
      </w:r>
      <w:hyperlink r:id="rId19" w:history="1">
        <w:r w:rsidRPr="008A0F79">
          <w:rPr>
            <w:color w:val="0070C0"/>
            <w:sz w:val="24"/>
            <w:szCs w:val="24"/>
          </w:rPr>
          <w:t>Nell Toussaint v Canada</w:t>
        </w:r>
        <w:bookmarkEnd w:id="46"/>
      </w:hyperlink>
    </w:p>
    <w:p w14:paraId="074DC0C0" w14:textId="77777777" w:rsidR="008432CD" w:rsidRDefault="008432CD" w:rsidP="00F51710">
      <w:pPr>
        <w:rPr>
          <w:rFonts w:cs="Arial"/>
        </w:rPr>
      </w:pPr>
    </w:p>
    <w:p w14:paraId="2ECCFCBD" w14:textId="3AC6ADAB" w:rsidR="00F51710" w:rsidRDefault="00F51710" w:rsidP="009B7592">
      <w:pPr>
        <w:numPr>
          <w:ilvl w:val="0"/>
          <w:numId w:val="2"/>
        </w:numPr>
        <w:rPr>
          <w:rFonts w:cs="Arial"/>
        </w:rPr>
      </w:pPr>
      <w:r>
        <w:rPr>
          <w:rFonts w:cs="Arial"/>
        </w:rPr>
        <w:t xml:space="preserve">After </w:t>
      </w:r>
      <w:r w:rsidR="00032A30">
        <w:rPr>
          <w:rFonts w:cs="Arial"/>
        </w:rPr>
        <w:t xml:space="preserve">being denied leave to appeal to the Supreme Court of </w:t>
      </w:r>
      <w:proofErr w:type="gramStart"/>
      <w:r w:rsidR="00032A30">
        <w:rPr>
          <w:rFonts w:cs="Arial"/>
        </w:rPr>
        <w:t xml:space="preserve">Canada, </w:t>
      </w:r>
      <w:r>
        <w:rPr>
          <w:rFonts w:cs="Arial"/>
        </w:rPr>
        <w:t xml:space="preserve"> </w:t>
      </w:r>
      <w:r w:rsidR="00ED26B0">
        <w:rPr>
          <w:rFonts w:cs="Arial"/>
        </w:rPr>
        <w:t>Nell</w:t>
      </w:r>
      <w:proofErr w:type="gramEnd"/>
      <w:r>
        <w:rPr>
          <w:rFonts w:cs="Arial"/>
        </w:rPr>
        <w:t xml:space="preserve"> Toussaint </w:t>
      </w:r>
      <w:r w:rsidRPr="00B02199">
        <w:rPr>
          <w:rFonts w:cs="Arial"/>
        </w:rPr>
        <w:t>filed a petition</w:t>
      </w:r>
      <w:r w:rsidR="008432CD">
        <w:rPr>
          <w:rFonts w:cs="Arial"/>
        </w:rPr>
        <w:t xml:space="preserve"> </w:t>
      </w:r>
      <w:r w:rsidRPr="00B02199">
        <w:rPr>
          <w:rFonts w:cs="Arial"/>
        </w:rPr>
        <w:t>before the Human Rights Committee</w:t>
      </w:r>
      <w:r>
        <w:rPr>
          <w:rFonts w:cs="Arial"/>
        </w:rPr>
        <w:t>.  She</w:t>
      </w:r>
      <w:r w:rsidRPr="00B02199">
        <w:rPr>
          <w:rFonts w:cs="Arial"/>
        </w:rPr>
        <w:t xml:space="preserve"> alleg</w:t>
      </w:r>
      <w:r>
        <w:rPr>
          <w:rFonts w:cs="Arial"/>
        </w:rPr>
        <w:t>ed that the denial of essential health care</w:t>
      </w:r>
      <w:r w:rsidR="00032A30">
        <w:rPr>
          <w:rFonts w:cs="Arial"/>
        </w:rPr>
        <w:t xml:space="preserve"> because of her </w:t>
      </w:r>
      <w:proofErr w:type="gramStart"/>
      <w:r w:rsidR="00032A30">
        <w:rPr>
          <w:rFonts w:cs="Arial"/>
        </w:rPr>
        <w:t>immigrations</w:t>
      </w:r>
      <w:proofErr w:type="gramEnd"/>
      <w:r w:rsidR="00032A30">
        <w:rPr>
          <w:rFonts w:cs="Arial"/>
        </w:rPr>
        <w:t xml:space="preserve"> status</w:t>
      </w:r>
      <w:r>
        <w:rPr>
          <w:rFonts w:cs="Arial"/>
        </w:rPr>
        <w:t xml:space="preserve">, placing her life at serious risk, </w:t>
      </w:r>
      <w:r w:rsidRPr="00B02199">
        <w:rPr>
          <w:rFonts w:cs="Arial"/>
        </w:rPr>
        <w:t>viola</w:t>
      </w:r>
      <w:r>
        <w:rPr>
          <w:rFonts w:cs="Arial"/>
        </w:rPr>
        <w:t>ted</w:t>
      </w:r>
      <w:r w:rsidRPr="00B02199">
        <w:rPr>
          <w:rFonts w:cs="Arial"/>
        </w:rPr>
        <w:t xml:space="preserve"> articles 6 (right to life) and 26 (right to non-discrimination) of the ICCPR.  </w:t>
      </w:r>
    </w:p>
    <w:p w14:paraId="0908B967" w14:textId="27ED5AF9" w:rsidR="00F51710" w:rsidRDefault="00F51710" w:rsidP="009B7592">
      <w:pPr>
        <w:numPr>
          <w:ilvl w:val="0"/>
          <w:numId w:val="2"/>
        </w:numPr>
        <w:rPr>
          <w:rFonts w:cs="Arial"/>
        </w:rPr>
      </w:pPr>
      <w:r w:rsidRPr="00B02199">
        <w:rPr>
          <w:rFonts w:cs="Arial"/>
        </w:rPr>
        <w:t xml:space="preserve">Canada responded </w:t>
      </w:r>
      <w:r w:rsidR="00C832A7">
        <w:rPr>
          <w:rFonts w:cs="Arial"/>
        </w:rPr>
        <w:t xml:space="preserve">very much as it had responded to Ms. Toussaint’s Charter claim, pointing out </w:t>
      </w:r>
      <w:r>
        <w:rPr>
          <w:rFonts w:cs="Arial"/>
        </w:rPr>
        <w:t xml:space="preserve"> </w:t>
      </w:r>
      <w:r w:rsidRPr="00B02199">
        <w:rPr>
          <w:rFonts w:cs="Arial"/>
        </w:rPr>
        <w:t>that the right to health is not contained in the ICCPR, and</w:t>
      </w:r>
      <w:r w:rsidR="00C832A7">
        <w:rPr>
          <w:rFonts w:cs="Arial"/>
        </w:rPr>
        <w:t xml:space="preserve"> arguing</w:t>
      </w:r>
      <w:r w:rsidRPr="00B02199">
        <w:rPr>
          <w:rFonts w:cs="Arial"/>
        </w:rPr>
        <w:t xml:space="preserve"> that the right to life</w:t>
      </w:r>
      <w:r>
        <w:rPr>
          <w:rFonts w:cs="Arial"/>
        </w:rPr>
        <w:t xml:space="preserve"> </w:t>
      </w:r>
      <w:r w:rsidR="00C832A7">
        <w:rPr>
          <w:rFonts w:cs="Arial"/>
        </w:rPr>
        <w:t xml:space="preserve">under the ICCPR </w:t>
      </w:r>
      <w:r>
        <w:rPr>
          <w:rFonts w:cs="Arial"/>
        </w:rPr>
        <w:t>should not be confused with the right to health under the ICESCR</w:t>
      </w:r>
      <w:r w:rsidRPr="00B02199">
        <w:rPr>
          <w:rFonts w:cs="Arial"/>
        </w:rPr>
        <w:t>.</w:t>
      </w:r>
      <w:r w:rsidR="00ED26B0">
        <w:rPr>
          <w:rStyle w:val="FootnoteReference"/>
          <w:rFonts w:cs="Arial"/>
        </w:rPr>
        <w:footnoteReference w:id="10"/>
      </w:r>
      <w:r w:rsidRPr="00B02199">
        <w:rPr>
          <w:rFonts w:cs="Arial"/>
        </w:rPr>
        <w:t xml:space="preserve"> The Human Rights Committee answered this argument by stating that ‘the author has explained that she does not claim a violation of the right to health, but of her right to life, arguing that the state party failed to fulfil its positive obligation </w:t>
      </w:r>
      <w:r w:rsidRPr="00B02199">
        <w:rPr>
          <w:rFonts w:cs="Arial"/>
        </w:rPr>
        <w:lastRenderedPageBreak/>
        <w:t>to protect her right to life which, in her particular circumstances, required provision of emergency and essential health care.’</w:t>
      </w:r>
      <w:r w:rsidR="00ED26B0">
        <w:rPr>
          <w:rStyle w:val="FootnoteReference"/>
          <w:rFonts w:cs="Arial"/>
        </w:rPr>
        <w:footnoteReference w:id="11"/>
      </w:r>
    </w:p>
    <w:p w14:paraId="2C7979BF" w14:textId="225991BD" w:rsidR="008432CD" w:rsidRDefault="00C832A7" w:rsidP="009B7592">
      <w:pPr>
        <w:numPr>
          <w:ilvl w:val="0"/>
          <w:numId w:val="2"/>
        </w:numPr>
        <w:rPr>
          <w:rFonts w:cs="Arial"/>
        </w:rPr>
      </w:pPr>
      <w:r>
        <w:rPr>
          <w:rFonts w:cs="Arial"/>
        </w:rPr>
        <w:t xml:space="preserve">In </w:t>
      </w:r>
      <w:r w:rsidR="00F51710" w:rsidRPr="00B02199">
        <w:rPr>
          <w:rFonts w:cs="Arial"/>
        </w:rPr>
        <w:t>its decision</w:t>
      </w:r>
      <w:r w:rsidR="00032A30">
        <w:rPr>
          <w:rFonts w:cs="Arial"/>
        </w:rPr>
        <w:t xml:space="preserve"> on the merits,</w:t>
      </w:r>
      <w:r>
        <w:t xml:space="preserve"> the Human Rights Committee</w:t>
      </w:r>
      <w:r w:rsidR="00F51710">
        <w:rPr>
          <w:rFonts w:cs="Arial"/>
        </w:rPr>
        <w:t xml:space="preserve"> </w:t>
      </w:r>
      <w:r w:rsidR="00F51710" w:rsidRPr="00B02199">
        <w:rPr>
          <w:rFonts w:cs="Arial"/>
        </w:rPr>
        <w:t>found that Canada had violated</w:t>
      </w:r>
      <w:r w:rsidR="00F51710">
        <w:rPr>
          <w:rFonts w:cs="Arial"/>
        </w:rPr>
        <w:t xml:space="preserve"> </w:t>
      </w:r>
      <w:r w:rsidR="00F51710" w:rsidRPr="00B02199">
        <w:rPr>
          <w:rFonts w:cs="Arial"/>
        </w:rPr>
        <w:t>the right to life</w:t>
      </w:r>
      <w:r w:rsidR="00F51710">
        <w:rPr>
          <w:rFonts w:cs="Arial"/>
        </w:rPr>
        <w:t xml:space="preserve"> and the right to non-discrimination </w:t>
      </w:r>
      <w:r w:rsidR="00F51710" w:rsidRPr="00B02199">
        <w:rPr>
          <w:rFonts w:cs="Arial"/>
        </w:rPr>
        <w:t xml:space="preserve"> by denying access to essential health care to</w:t>
      </w:r>
      <w:r>
        <w:rPr>
          <w:rFonts w:cs="Arial"/>
        </w:rPr>
        <w:t xml:space="preserve"> Ms. Toussaint on the basis of her</w:t>
      </w:r>
      <w:r w:rsidR="00F51710" w:rsidRPr="00B02199">
        <w:rPr>
          <w:rFonts w:cs="Arial"/>
        </w:rPr>
        <w:t xml:space="preserve"> irregular</w:t>
      </w:r>
      <w:r>
        <w:rPr>
          <w:rFonts w:cs="Arial"/>
        </w:rPr>
        <w:t xml:space="preserve"> immigrations status</w:t>
      </w:r>
      <w:r w:rsidR="00F51710" w:rsidRPr="00B02199">
        <w:rPr>
          <w:rFonts w:cs="Arial"/>
        </w:rPr>
        <w:t>.</w:t>
      </w:r>
      <w:r w:rsidR="00ED26B0">
        <w:rPr>
          <w:rStyle w:val="FootnoteReference"/>
          <w:rFonts w:cs="Arial"/>
        </w:rPr>
        <w:footnoteReference w:id="12"/>
      </w:r>
      <w:r w:rsidR="00F51710" w:rsidRPr="00B02199">
        <w:rPr>
          <w:rFonts w:cs="Arial"/>
        </w:rPr>
        <w:t xml:space="preserve">  The Committee stated that Canada must</w:t>
      </w:r>
      <w:r w:rsidR="00F51710">
        <w:rPr>
          <w:rFonts w:cs="Arial"/>
        </w:rPr>
        <w:t xml:space="preserve"> </w:t>
      </w:r>
      <w:r>
        <w:rPr>
          <w:rFonts w:cs="Arial"/>
        </w:rPr>
        <w:t xml:space="preserve">act to prevent </w:t>
      </w:r>
      <w:r w:rsidR="00F51710">
        <w:rPr>
          <w:rFonts w:cs="Arial"/>
        </w:rPr>
        <w:t>ongoing violations of the rights of undocumented migrants by</w:t>
      </w:r>
      <w:r w:rsidR="00F51710" w:rsidRPr="00B02199">
        <w:rPr>
          <w:rFonts w:cs="Arial"/>
        </w:rPr>
        <w:t xml:space="preserve"> “reviewing its national legislation to ensure that irregular migrants have access to essential health care to prevent a reasonably foreseeable risk that can result in loss of life.”</w:t>
      </w:r>
      <w:r w:rsidR="00ED26B0">
        <w:rPr>
          <w:rStyle w:val="FootnoteReference"/>
          <w:rFonts w:cs="Arial"/>
        </w:rPr>
        <w:footnoteReference w:id="13"/>
      </w:r>
    </w:p>
    <w:p w14:paraId="0C909889" w14:textId="19371B1D" w:rsidR="00F51710" w:rsidRPr="008432CD" w:rsidRDefault="00F51710" w:rsidP="009B7592">
      <w:pPr>
        <w:numPr>
          <w:ilvl w:val="0"/>
          <w:numId w:val="2"/>
        </w:numPr>
        <w:rPr>
          <w:rFonts w:cs="Arial"/>
        </w:rPr>
      </w:pPr>
      <w:r>
        <w:t xml:space="preserve">In response to the Human Rights Committee’s decision, Canada submitted a </w:t>
      </w:r>
      <w:hyperlink r:id="rId20" w:history="1">
        <w:r>
          <w:rPr>
            <w:rStyle w:val="Hyperlink"/>
          </w:rPr>
          <w:t>Letter to the UN Human Rights Committee</w:t>
        </w:r>
      </w:hyperlink>
      <w:r>
        <w:t xml:space="preserve"> informing the Committee that </w:t>
      </w:r>
      <w:r w:rsidR="00ED26B0">
        <w:t>Canada</w:t>
      </w:r>
      <w:r>
        <w:t xml:space="preserve"> would no</w:t>
      </w:r>
      <w:r w:rsidR="00C832A7">
        <w:t xml:space="preserve">t </w:t>
      </w:r>
      <w:r>
        <w:t>implement the</w:t>
      </w:r>
      <w:r w:rsidR="00C832A7">
        <w:t xml:space="preserve"> Human Rights Committee’s decision because it doe</w:t>
      </w:r>
      <w:r w:rsidR="00032A30">
        <w:t>s</w:t>
      </w:r>
      <w:r w:rsidR="00C832A7">
        <w:t xml:space="preserve"> not agree with it</w:t>
      </w:r>
      <w:r w:rsidR="008432CD">
        <w:t xml:space="preserve">.  </w:t>
      </w:r>
      <w:r>
        <w:t>Canada argued that “</w:t>
      </w:r>
      <w:r w:rsidRPr="005336DF">
        <w:t>the Committee’s views conflate the right to life with an economic and social right. Moreover, the Committee’s views fail to distinguish between providing access to health care and providing state-funded health care coverage</w:t>
      </w:r>
      <w:r>
        <w:t xml:space="preserve">.” </w:t>
      </w:r>
    </w:p>
    <w:p w14:paraId="211454CF" w14:textId="6642C08C" w:rsidR="004E6501" w:rsidRDefault="00F51710" w:rsidP="003B6239">
      <w:pPr>
        <w:ind w:right="-54"/>
        <w:rPr>
          <w:rFonts w:cs="Arial"/>
          <w:b/>
        </w:rPr>
      </w:pPr>
      <w:r>
        <w:rPr>
          <w:rFonts w:cs="Arial"/>
          <w:b/>
          <w:noProof/>
        </w:rPr>
        <mc:AlternateContent>
          <mc:Choice Requires="wps">
            <w:drawing>
              <wp:inline distT="0" distB="0" distL="0" distR="0" wp14:anchorId="2F006AC6" wp14:editId="367FA9D2">
                <wp:extent cx="6035040" cy="1668780"/>
                <wp:effectExtent l="0" t="0" r="60960" b="64770"/>
                <wp:docPr id="20"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5040" cy="1668780"/>
                        </a:xfrm>
                        <a:prstGeom prst="rect">
                          <a:avLst/>
                        </a:prstGeom>
                        <a:solidFill>
                          <a:srgbClr val="F2F2F2"/>
                        </a:solidFill>
                        <a:ln w="9525">
                          <a:solidFill>
                            <a:srgbClr val="000000"/>
                          </a:solidFill>
                          <a:miter lim="800000"/>
                          <a:headEnd/>
                          <a:tailEnd/>
                        </a:ln>
                        <a:effectLst>
                          <a:outerShdw dist="35921" dir="2700000" algn="ctr" rotWithShape="0">
                            <a:srgbClr val="808080"/>
                          </a:outerShdw>
                        </a:effectLst>
                      </wps:spPr>
                      <wps:txbx>
                        <w:txbxContent>
                          <w:p w14:paraId="1D8A5067" w14:textId="77777777" w:rsidR="00760C74" w:rsidRPr="00065EC1" w:rsidRDefault="00760C74" w:rsidP="00F51710">
                            <w:pPr>
                              <w:ind w:right="432"/>
                              <w:rPr>
                                <w:rFonts w:cs="Arial"/>
                                <w:b/>
                              </w:rPr>
                            </w:pPr>
                            <w:r>
                              <w:rPr>
                                <w:b/>
                                <w:bCs/>
                                <w:u w:val="single"/>
                              </w:rPr>
                              <w:t>Implementing the Remedy in Toussaint v Canada.</w:t>
                            </w:r>
                          </w:p>
                          <w:p w14:paraId="5E3B3776" w14:textId="36392E4B" w:rsidR="00760C74" w:rsidRPr="00715BF4" w:rsidRDefault="00760C74" w:rsidP="00F51710">
                            <w:pPr>
                              <w:ind w:left="72" w:right="432"/>
                              <w:rPr>
                                <w:rFonts w:cs="Arial"/>
                                <w:b/>
                              </w:rPr>
                            </w:pPr>
                            <w:r>
                              <w:rPr>
                                <w:rFonts w:cs="Arial"/>
                                <w:b/>
                              </w:rPr>
                              <w:t xml:space="preserve">5. </w:t>
                            </w:r>
                            <w:r w:rsidRPr="00715BF4">
                              <w:rPr>
                                <w:rFonts w:cs="Arial"/>
                                <w:b/>
                              </w:rPr>
                              <w:t>We recommend that the Committee request</w:t>
                            </w:r>
                            <w:r>
                              <w:rPr>
                                <w:rFonts w:cs="Arial"/>
                                <w:b/>
                              </w:rPr>
                              <w:t xml:space="preserve"> that Canada explain its refusal to implement the remedy requested by the UN Human Rights Committee in </w:t>
                            </w:r>
                            <w:r w:rsidRPr="00B63D28">
                              <w:rPr>
                                <w:rFonts w:cs="Arial"/>
                                <w:b/>
                                <w:i/>
                                <w:iCs/>
                              </w:rPr>
                              <w:t>Nell Toussaint v Canada</w:t>
                            </w:r>
                            <w:r w:rsidRPr="00B63D28">
                              <w:rPr>
                                <w:rFonts w:cs="Arial"/>
                                <w:b/>
                              </w:rPr>
                              <w:t xml:space="preserve"> Communication No. 2348/201</w:t>
                            </w:r>
                            <w:r>
                              <w:rPr>
                                <w:rFonts w:cs="Arial"/>
                                <w:b/>
                              </w:rPr>
                              <w:t>4 and ask if th</w:t>
                            </w:r>
                            <w:r w:rsidR="00ED26B0">
                              <w:rPr>
                                <w:rFonts w:cs="Arial"/>
                                <w:b/>
                              </w:rPr>
                              <w:t>at response</w:t>
                            </w:r>
                            <w:r>
                              <w:rPr>
                                <w:rFonts w:cs="Arial"/>
                                <w:b/>
                              </w:rPr>
                              <w:t xml:space="preserve"> might be reconsidered, since lives may be at stake and Canada’s views are clearly at odds with international human rights norms.   The Committee should additionally inquire if courts have been informed about the Human Rights Committee’s decision</w:t>
                            </w:r>
                            <w:r w:rsidR="00ED26B0">
                              <w:rPr>
                                <w:rFonts w:cs="Arial"/>
                                <w:b/>
                              </w:rPr>
                              <w:t xml:space="preserve"> in the Toussaint case.</w:t>
                            </w:r>
                          </w:p>
                        </w:txbxContent>
                      </wps:txbx>
                      <wps:bodyPr rot="0" vert="horz" wrap="square" lIns="91440" tIns="45720" rIns="91440" bIns="45720" anchor="t" anchorCtr="0" upright="1">
                        <a:noAutofit/>
                      </wps:bodyPr>
                    </wps:wsp>
                  </a:graphicData>
                </a:graphic>
              </wp:inline>
            </w:drawing>
          </mc:Choice>
          <mc:Fallback>
            <w:pict>
              <v:shape w14:anchorId="2F006AC6" id="_x0000_s1031" type="#_x0000_t202" style="width:475.2pt;height:13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" fillcolor="#f2f2f2">
                <v:shadow on="t"/>
                <v:textbox>
                  <w:txbxContent>
                    <w:p w14:paraId="1D8A5067" w14:textId="77777777" w:rsidR="00760C74" w:rsidRPr="00065EC1" w:rsidRDefault="00760C74" w:rsidP="00F51710">
                      <w:pPr>
                        <w:ind w:right="432"/>
                        <w:rPr>
                          <w:rFonts w:cs="Arial"/>
                          <w:b/>
                        </w:rPr>
                      </w:pPr>
                      <w:r>
                        <w:rPr>
                          <w:b/>
                          <w:bCs/>
                          <w:u w:val="single"/>
                        </w:rPr>
                        <w:t>Implementing the Remedy in Toussaint v Canada.</w:t>
                      </w:r>
                    </w:p>
                    <w:p w14:paraId="5E3B3776" w14:textId="36392E4B" w:rsidR="00760C74" w:rsidRPr="00715BF4" w:rsidRDefault="00760C74" w:rsidP="00F51710">
                      <w:pPr>
                        <w:ind w:left="72" w:right="432"/>
                        <w:rPr>
                          <w:rFonts w:cs="Arial"/>
                          <w:b/>
                        </w:rPr>
                      </w:pPr>
                      <w:r>
                        <w:rPr>
                          <w:rFonts w:cs="Arial"/>
                          <w:b/>
                        </w:rPr>
                        <w:t xml:space="preserve">5. </w:t>
                      </w:r>
                      <w:r w:rsidRPr="00715BF4">
                        <w:rPr>
                          <w:rFonts w:cs="Arial"/>
                          <w:b/>
                        </w:rPr>
                        <w:t>We recommend that the Committee request</w:t>
                      </w:r>
                      <w:r>
                        <w:rPr>
                          <w:rFonts w:cs="Arial"/>
                          <w:b/>
                        </w:rPr>
                        <w:t xml:space="preserve"> that Canada explain its refusal to implement the remedy requested by the UN Human Rights Committee in </w:t>
                      </w:r>
                      <w:r w:rsidRPr="00B63D28">
                        <w:rPr>
                          <w:rFonts w:cs="Arial"/>
                          <w:b/>
                          <w:i/>
                          <w:iCs/>
                        </w:rPr>
                        <w:t>Nell Toussaint v Canada</w:t>
                      </w:r>
                      <w:r w:rsidRPr="00B63D28">
                        <w:rPr>
                          <w:rFonts w:cs="Arial"/>
                          <w:b/>
                        </w:rPr>
                        <w:t xml:space="preserve"> Communication No. 2348/201</w:t>
                      </w:r>
                      <w:r>
                        <w:rPr>
                          <w:rFonts w:cs="Arial"/>
                          <w:b/>
                        </w:rPr>
                        <w:t>4 and ask if th</w:t>
                      </w:r>
                      <w:r w:rsidR="00ED26B0">
                        <w:rPr>
                          <w:rFonts w:cs="Arial"/>
                          <w:b/>
                        </w:rPr>
                        <w:t>at response</w:t>
                      </w:r>
                      <w:r>
                        <w:rPr>
                          <w:rFonts w:cs="Arial"/>
                          <w:b/>
                        </w:rPr>
                        <w:t xml:space="preserve"> might be reconsidered, since lives may be at stake and Canada’s views are clearly at odds with international human rights norms.   The Committee should additionally inquire if courts have been informed about the Human Rights Committee’s decision</w:t>
                      </w:r>
                      <w:r w:rsidR="00ED26B0">
                        <w:rPr>
                          <w:rFonts w:cs="Arial"/>
                          <w:b/>
                        </w:rPr>
                        <w:t xml:space="preserve"> in the Toussaint case.</w:t>
                      </w:r>
                    </w:p>
                  </w:txbxContent>
                </v:textbox>
                <w10:anchorlock/>
              </v:shape>
            </w:pict>
          </mc:Fallback>
        </mc:AlternateContent>
      </w:r>
    </w:p>
    <w:p w14:paraId="6169F8FC" w14:textId="77777777" w:rsidR="008A0F79" w:rsidRPr="00334353" w:rsidRDefault="008A0F79" w:rsidP="008A0F79"/>
    <w:p w14:paraId="3981B430" w14:textId="3033B7F0" w:rsidR="008A0F79" w:rsidRPr="008A0F79" w:rsidRDefault="008A0F79" w:rsidP="008A0F79">
      <w:pPr>
        <w:pStyle w:val="Heading2"/>
        <w:numPr>
          <w:ilvl w:val="0"/>
          <w:numId w:val="18"/>
        </w:numPr>
        <w:rPr>
          <w:color w:val="4472C4" w:themeColor="accent1"/>
        </w:rPr>
      </w:pPr>
      <w:bookmarkStart w:id="48" w:name="_Toc32279503"/>
      <w:r w:rsidRPr="008A0F79">
        <w:rPr>
          <w:color w:val="4472C4" w:themeColor="accent1"/>
        </w:rPr>
        <w:t>FEDERAL AND PROVINCIAL/TERRITORIAL HUMAN RIGHTS LEGISLATION</w:t>
      </w:r>
      <w:bookmarkEnd w:id="48"/>
    </w:p>
    <w:p w14:paraId="3FEA6AB5" w14:textId="67645E19" w:rsidR="008A0F79" w:rsidRDefault="008A0F79" w:rsidP="008A0F79">
      <w:pPr>
        <w:rPr>
          <w:rFonts w:cs="Arial"/>
          <w:b/>
          <w:color w:val="17365D"/>
          <w:u w:val="single"/>
        </w:rPr>
      </w:pPr>
    </w:p>
    <w:p w14:paraId="49A4D95D" w14:textId="4669F94C" w:rsidR="0075491E" w:rsidRDefault="0075491E" w:rsidP="0075491E">
      <w:pPr>
        <w:pStyle w:val="Heading2"/>
        <w:numPr>
          <w:ilvl w:val="0"/>
          <w:numId w:val="21"/>
        </w:numPr>
        <w:rPr>
          <w:color w:val="0070C0"/>
          <w:sz w:val="24"/>
          <w:szCs w:val="24"/>
        </w:rPr>
      </w:pPr>
      <w:bookmarkStart w:id="49" w:name="_Toc32279504"/>
      <w:r w:rsidRPr="0075491E">
        <w:rPr>
          <w:color w:val="0070C0"/>
          <w:sz w:val="24"/>
          <w:szCs w:val="24"/>
        </w:rPr>
        <w:t>ESC rights in human rights legislation</w:t>
      </w:r>
      <w:bookmarkEnd w:id="49"/>
    </w:p>
    <w:p w14:paraId="6A8DA8B5" w14:textId="77777777" w:rsidR="00B604D1" w:rsidRPr="00B604D1" w:rsidRDefault="00B604D1" w:rsidP="00B604D1"/>
    <w:p w14:paraId="1F0C705B" w14:textId="77777777" w:rsidR="008A0F79" w:rsidRPr="0072310C" w:rsidRDefault="008A0F79" w:rsidP="008A0F79">
      <w:pPr>
        <w:numPr>
          <w:ilvl w:val="0"/>
          <w:numId w:val="2"/>
        </w:numPr>
        <w:rPr>
          <w:rFonts w:cs="Arial"/>
        </w:rPr>
      </w:pPr>
      <w:r>
        <w:rPr>
          <w:rFonts w:cs="Arial"/>
        </w:rPr>
        <w:lastRenderedPageBreak/>
        <w:t xml:space="preserve">Human rights legislation has always been a cornerstone of human rights protections in Canada.  The Canadian Charter of Rights and Freedoms does not generally apply to private actors, so horizontal protection of human rights relies to a large extent in Canada on human rights legislation. </w:t>
      </w:r>
    </w:p>
    <w:p w14:paraId="3B3F1B4A" w14:textId="77777777" w:rsidR="008A0F79" w:rsidRDefault="008A0F79" w:rsidP="008A0F79">
      <w:pPr>
        <w:numPr>
          <w:ilvl w:val="0"/>
          <w:numId w:val="2"/>
        </w:numPr>
        <w:rPr>
          <w:rFonts w:cs="Arial"/>
        </w:rPr>
      </w:pPr>
      <w:r w:rsidRPr="00C5478C">
        <w:rPr>
          <w:rFonts w:cs="Arial"/>
        </w:rPr>
        <w:t>Provinces and territories in Canada have key responsibilities for implementing</w:t>
      </w:r>
      <w:r>
        <w:rPr>
          <w:rFonts w:cs="Arial"/>
        </w:rPr>
        <w:t xml:space="preserve"> ESC rights, so provincial territorial legislation is a critical source of protection of these rights</w:t>
      </w:r>
      <w:r w:rsidRPr="00C5478C">
        <w:rPr>
          <w:rFonts w:cs="Arial"/>
        </w:rPr>
        <w:t xml:space="preserve">.  </w:t>
      </w:r>
      <w:r w:rsidRPr="00856707">
        <w:rPr>
          <w:rFonts w:cs="Arial"/>
        </w:rPr>
        <w:t>The only province to have included ESC rights in provincial human rights legislat</w:t>
      </w:r>
      <w:r>
        <w:rPr>
          <w:rFonts w:cs="Arial"/>
        </w:rPr>
        <w:t xml:space="preserve">ion is Quebec, and even there, </w:t>
      </w:r>
      <w:r w:rsidRPr="00856707">
        <w:rPr>
          <w:rFonts w:cs="Arial"/>
        </w:rPr>
        <w:t xml:space="preserve">the enforcement of </w:t>
      </w:r>
      <w:r>
        <w:rPr>
          <w:rFonts w:cs="Arial"/>
        </w:rPr>
        <w:t>ESC</w:t>
      </w:r>
      <w:r w:rsidRPr="00856707">
        <w:rPr>
          <w:rFonts w:cs="Arial"/>
        </w:rPr>
        <w:t xml:space="preserve"> rights ha</w:t>
      </w:r>
      <w:r>
        <w:rPr>
          <w:rFonts w:cs="Arial"/>
        </w:rPr>
        <w:t>s</w:t>
      </w:r>
      <w:r w:rsidRPr="00856707">
        <w:rPr>
          <w:rFonts w:cs="Arial"/>
        </w:rPr>
        <w:t xml:space="preserve"> not been put on an </w:t>
      </w:r>
      <w:r>
        <w:rPr>
          <w:rFonts w:cs="Arial"/>
        </w:rPr>
        <w:t xml:space="preserve">equal footing with other rights. </w:t>
      </w:r>
    </w:p>
    <w:p w14:paraId="7F06C39D" w14:textId="77777777" w:rsidR="008A0F79" w:rsidRPr="007D1F85" w:rsidRDefault="008A0F79" w:rsidP="008A0F79">
      <w:pPr>
        <w:numPr>
          <w:ilvl w:val="0"/>
          <w:numId w:val="2"/>
        </w:numPr>
        <w:rPr>
          <w:rFonts w:cs="Arial"/>
        </w:rPr>
      </w:pPr>
      <w:r>
        <w:rPr>
          <w:rFonts w:cs="Arial"/>
        </w:rPr>
        <w:t>Even u</w:t>
      </w:r>
      <w:r w:rsidRPr="007D1F85">
        <w:rPr>
          <w:rFonts w:cs="Arial"/>
        </w:rPr>
        <w:t xml:space="preserve">nder the current mandates of human rights commissions and tribunals </w:t>
      </w:r>
      <w:proofErr w:type="gramStart"/>
      <w:r w:rsidRPr="007D1F85">
        <w:rPr>
          <w:rFonts w:cs="Arial"/>
        </w:rPr>
        <w:t>in</w:t>
      </w:r>
      <w:r>
        <w:rPr>
          <w:rFonts w:cs="Arial"/>
        </w:rPr>
        <w:t xml:space="preserve">  Canada</w:t>
      </w:r>
      <w:proofErr w:type="gramEnd"/>
      <w:r>
        <w:rPr>
          <w:rFonts w:cs="Arial"/>
        </w:rPr>
        <w:t xml:space="preserve">, focused on non-discrimination and equality, </w:t>
      </w:r>
      <w:r w:rsidRPr="007D1F85">
        <w:rPr>
          <w:rFonts w:cs="Arial"/>
        </w:rPr>
        <w:t xml:space="preserve"> there is still significant scope for providing effective remedies for violations of ESC rights.  However, when such claims have been advanced</w:t>
      </w:r>
      <w:r>
        <w:rPr>
          <w:rFonts w:cs="Arial"/>
        </w:rPr>
        <w:t xml:space="preserve">, </w:t>
      </w:r>
      <w:r w:rsidRPr="007D1F85">
        <w:rPr>
          <w:rFonts w:cs="Arial"/>
        </w:rPr>
        <w:t xml:space="preserve">they have met with significant opposition from governments. A particularly concerning example is the response by the federal government to the historic decision of the Canadian Human Rights Tribunal upholding the complaint filed by the </w:t>
      </w:r>
      <w:r w:rsidRPr="007D1F85">
        <w:rPr>
          <w:rFonts w:cs="Arial"/>
          <w:i/>
          <w:iCs/>
        </w:rPr>
        <w:t>First Nations Child and Family Caring Society of Canada</w:t>
      </w:r>
      <w:r w:rsidRPr="00640375">
        <w:rPr>
          <w:rFonts w:cs="Arial"/>
          <w:i/>
          <w:iCs/>
          <w:vertAlign w:val="superscript"/>
        </w:rPr>
        <w:footnoteReference w:id="14"/>
      </w:r>
      <w:r w:rsidRPr="007D1F85">
        <w:rPr>
          <w:rFonts w:cs="Arial"/>
          <w:i/>
          <w:iCs/>
        </w:rPr>
        <w:t xml:space="preserve"> </w:t>
      </w:r>
      <w:r w:rsidRPr="007D1F85">
        <w:rPr>
          <w:rFonts w:ascii="Open Sans Light" w:hAnsi="Open Sans Light" w:cs="Open Sans Light"/>
          <w:color w:val="000000" w:themeColor="text1"/>
          <w:sz w:val="18"/>
        </w:rPr>
        <w:t>described in their submissions to the Committee, which we endorse.</w:t>
      </w:r>
      <w:r w:rsidRPr="007D1F85">
        <w:rPr>
          <w:rFonts w:cs="Arial"/>
        </w:rPr>
        <w:t xml:space="preserve">    </w:t>
      </w:r>
    </w:p>
    <w:p w14:paraId="418B6727" w14:textId="35CACF49" w:rsidR="008A0F79" w:rsidRDefault="008A0F79" w:rsidP="008A0F79">
      <w:pPr>
        <w:rPr>
          <w:rFonts w:cs="Arial"/>
        </w:rPr>
      </w:pPr>
      <w:r>
        <w:rPr>
          <w:rFonts w:cs="Arial"/>
          <w:b/>
          <w:noProof/>
        </w:rPr>
        <mc:AlternateContent>
          <mc:Choice Requires="wps">
            <w:drawing>
              <wp:inline distT="0" distB="0" distL="0" distR="0" wp14:anchorId="7E7E4ABF" wp14:editId="4E0677C6">
                <wp:extent cx="6035040" cy="2263140"/>
                <wp:effectExtent l="0" t="0" r="60960" b="60960"/>
                <wp:docPr id="10"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5040" cy="2263140"/>
                        </a:xfrm>
                        <a:prstGeom prst="rect">
                          <a:avLst/>
                        </a:prstGeom>
                        <a:solidFill>
                          <a:srgbClr val="F2F2F2"/>
                        </a:solidFill>
                        <a:ln w="9525">
                          <a:solidFill>
                            <a:srgbClr val="000000"/>
                          </a:solidFill>
                          <a:miter lim="800000"/>
                          <a:headEnd/>
                          <a:tailEnd/>
                        </a:ln>
                        <a:effectLst>
                          <a:outerShdw dist="35921" dir="2700000" algn="ctr" rotWithShape="0">
                            <a:srgbClr val="808080"/>
                          </a:outerShdw>
                        </a:effectLst>
                      </wps:spPr>
                      <wps:txbx>
                        <w:txbxContent>
                          <w:p w14:paraId="773E0968" w14:textId="64D383ED" w:rsidR="008A0F79" w:rsidRPr="009F74CD" w:rsidRDefault="008A0F79" w:rsidP="008A0F79">
                            <w:pPr>
                              <w:ind w:right="432" w:firstLine="720"/>
                              <w:rPr>
                                <w:rFonts w:cs="Arial"/>
                                <w:b/>
                                <w:u w:val="single"/>
                              </w:rPr>
                            </w:pPr>
                            <w:r>
                              <w:rPr>
                                <w:rFonts w:cs="Arial"/>
                                <w:b/>
                                <w:u w:val="single"/>
                              </w:rPr>
                              <w:t>Human Rights Legislation</w:t>
                            </w:r>
                            <w:r w:rsidR="00770AAB">
                              <w:rPr>
                                <w:rFonts w:cs="Arial"/>
                                <w:b/>
                                <w:u w:val="single"/>
                              </w:rPr>
                              <w:t xml:space="preserve"> and ESC rights</w:t>
                            </w:r>
                          </w:p>
                          <w:p w14:paraId="21FBD331" w14:textId="075277B2" w:rsidR="008A0F79" w:rsidRPr="00F77081" w:rsidRDefault="0075491E" w:rsidP="008A0F79">
                            <w:pPr>
                              <w:ind w:right="432"/>
                              <w:rPr>
                                <w:rFonts w:cs="Arial"/>
                                <w:b/>
                              </w:rPr>
                            </w:pPr>
                            <w:r>
                              <w:rPr>
                                <w:rFonts w:cs="Arial"/>
                                <w:b/>
                              </w:rPr>
                              <w:t>6</w:t>
                            </w:r>
                            <w:r w:rsidR="008A0F79">
                              <w:rPr>
                                <w:rFonts w:cs="Arial"/>
                                <w:b/>
                              </w:rPr>
                              <w:t xml:space="preserve">. </w:t>
                            </w:r>
                            <w:r w:rsidR="008A0F79" w:rsidRPr="001D4FF1">
                              <w:rPr>
                                <w:rFonts w:cs="Arial"/>
                                <w:b/>
                              </w:rPr>
                              <w:t>Canad</w:t>
                            </w:r>
                            <w:r w:rsidR="008A0F79">
                              <w:rPr>
                                <w:rFonts w:cs="Arial"/>
                                <w:b/>
                              </w:rPr>
                              <w:t xml:space="preserve">a should be asked to report on cases brought before human rights tribunals in which the Covenant has been applied to interpret provincial /territorial or federal human rights legislation in accordance with General Comment No. 9, para 15.  Canada should be requested to provide information on whether federal or provincial/territorial </w:t>
                            </w:r>
                            <w:r w:rsidR="008A0F79" w:rsidRPr="00F77081">
                              <w:rPr>
                                <w:rFonts w:cs="Arial"/>
                                <w:b/>
                              </w:rPr>
                              <w:t>governments</w:t>
                            </w:r>
                            <w:r w:rsidR="008A0F79">
                              <w:rPr>
                                <w:rFonts w:cs="Arial"/>
                                <w:b/>
                              </w:rPr>
                              <w:t xml:space="preserve"> have made changes or are contemplating making changes to human rights legislation to ensure access to justice and effective remedies to violation of ESC rights.  Canada should report on actions by human rights commissions or other agencies to deal with ESC violations resulting from activities of businesses or private actors in the area of housing, extractive industries, pharmaceutical industries, agriculture or other areas</w:t>
                            </w:r>
                            <w:r w:rsidR="008A0F79" w:rsidRPr="00F77081">
                              <w:rPr>
                                <w:rFonts w:cs="Arial"/>
                                <w:b/>
                              </w:rPr>
                              <w:t xml:space="preserve">  </w:t>
                            </w:r>
                          </w:p>
                          <w:p w14:paraId="54E1D4BE" w14:textId="77777777" w:rsidR="008A0F79" w:rsidRDefault="008A0F79" w:rsidP="008A0F79"/>
                        </w:txbxContent>
                      </wps:txbx>
                      <wps:bodyPr rot="0" vert="horz" wrap="square" lIns="91440" tIns="45720" rIns="91440" bIns="45720" anchor="t" anchorCtr="0" upright="1">
                        <a:noAutofit/>
                      </wps:bodyPr>
                    </wps:wsp>
                  </a:graphicData>
                </a:graphic>
              </wp:inline>
            </w:drawing>
          </mc:Choice>
          <mc:Fallback>
            <w:pict>
              <v:shape w14:anchorId="7E7E4ABF" id="Text Box 43" o:spid="_x0000_s1032" type="#_x0000_t202" style="width:475.2pt;height:178.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" fillcolor="#f2f2f2">
                <v:shadow on="t"/>
                <v:textbox>
                  <w:txbxContent>
                    <w:p w14:paraId="773E0968" w14:textId="64D383ED" w:rsidR="008A0F79" w:rsidRPr="009F74CD" w:rsidRDefault="008A0F79" w:rsidP="008A0F79">
                      <w:pPr>
                        <w:ind w:right="432" w:firstLine="720"/>
                        <w:rPr>
                          <w:rFonts w:cs="Arial"/>
                          <w:b/>
                          <w:u w:val="single"/>
                        </w:rPr>
                      </w:pPr>
                      <w:r>
                        <w:rPr>
                          <w:rFonts w:cs="Arial"/>
                          <w:b/>
                          <w:u w:val="single"/>
                        </w:rPr>
                        <w:t>Human Rights Legislation</w:t>
                      </w:r>
                      <w:r w:rsidR="00770AAB">
                        <w:rPr>
                          <w:rFonts w:cs="Arial"/>
                          <w:b/>
                          <w:u w:val="single"/>
                        </w:rPr>
                        <w:t xml:space="preserve"> and ESC rights</w:t>
                      </w:r>
                    </w:p>
                    <w:p w14:paraId="21FBD331" w14:textId="075277B2" w:rsidR="008A0F79" w:rsidRPr="00F77081" w:rsidRDefault="0075491E" w:rsidP="008A0F79">
                      <w:pPr>
                        <w:ind w:right="432"/>
                        <w:rPr>
                          <w:rFonts w:cs="Arial"/>
                          <w:b/>
                        </w:rPr>
                      </w:pPr>
                      <w:r>
                        <w:rPr>
                          <w:rFonts w:cs="Arial"/>
                          <w:b/>
                        </w:rPr>
                        <w:t>6</w:t>
                      </w:r>
                      <w:r w:rsidR="008A0F79">
                        <w:rPr>
                          <w:rFonts w:cs="Arial"/>
                          <w:b/>
                        </w:rPr>
                        <w:t xml:space="preserve">. </w:t>
                      </w:r>
                      <w:r w:rsidR="008A0F79" w:rsidRPr="001D4FF1">
                        <w:rPr>
                          <w:rFonts w:cs="Arial"/>
                          <w:b/>
                        </w:rPr>
                        <w:t>Canad</w:t>
                      </w:r>
                      <w:r w:rsidR="008A0F79">
                        <w:rPr>
                          <w:rFonts w:cs="Arial"/>
                          <w:b/>
                        </w:rPr>
                        <w:t xml:space="preserve">a should be asked to report on cases brought before human rights tribunals in which the Covenant has been applied to interpret provincial /territorial or federal human rights legislation in accordance with General Comment No. 9, para 15.  Canada should be requested to provide information on whether federal or provincial/territorial </w:t>
                      </w:r>
                      <w:r w:rsidR="008A0F79" w:rsidRPr="00F77081">
                        <w:rPr>
                          <w:rFonts w:cs="Arial"/>
                          <w:b/>
                        </w:rPr>
                        <w:t>governments</w:t>
                      </w:r>
                      <w:r w:rsidR="008A0F79">
                        <w:rPr>
                          <w:rFonts w:cs="Arial"/>
                          <w:b/>
                        </w:rPr>
                        <w:t xml:space="preserve"> have made changes or are contemplating making changes to human rights legislation to ensure access to justice and effective remedies to violation of ESC rights.  Canada should report on actions by human rights commissions or other agencies to deal with ESC violations resulting from activities of businesses or private actors in the area of housing, extractive industries, pharmaceutical industries, agriculture or other areas</w:t>
                      </w:r>
                      <w:r w:rsidR="008A0F79" w:rsidRPr="00F77081">
                        <w:rPr>
                          <w:rFonts w:cs="Arial"/>
                          <w:b/>
                        </w:rPr>
                        <w:t xml:space="preserve">  </w:t>
                      </w:r>
                    </w:p>
                    <w:p w14:paraId="54E1D4BE" w14:textId="77777777" w:rsidR="008A0F79" w:rsidRDefault="008A0F79" w:rsidP="008A0F79"/>
                  </w:txbxContent>
                </v:textbox>
                <w10:anchorlock/>
              </v:shape>
            </w:pict>
          </mc:Fallback>
        </mc:AlternateContent>
      </w:r>
    </w:p>
    <w:p w14:paraId="407EFE2F" w14:textId="77777777" w:rsidR="0075491E" w:rsidRPr="00C4262C" w:rsidRDefault="0075491E" w:rsidP="008A0F79">
      <w:pPr>
        <w:rPr>
          <w:rFonts w:cs="Arial"/>
        </w:rPr>
      </w:pPr>
    </w:p>
    <w:p w14:paraId="6BFC3788" w14:textId="77777777" w:rsidR="008A0F79" w:rsidRDefault="008A0F79" w:rsidP="0075491E">
      <w:pPr>
        <w:pStyle w:val="Heading2"/>
        <w:numPr>
          <w:ilvl w:val="0"/>
          <w:numId w:val="21"/>
        </w:numPr>
      </w:pPr>
      <w:bookmarkStart w:id="50" w:name="_Toc442138326"/>
      <w:bookmarkStart w:id="51" w:name="_Toc442138362"/>
      <w:bookmarkStart w:id="52" w:name="_Toc32279505"/>
      <w:r w:rsidRPr="0075491E">
        <w:rPr>
          <w:color w:val="0070C0"/>
          <w:sz w:val="24"/>
          <w:szCs w:val="24"/>
        </w:rPr>
        <w:lastRenderedPageBreak/>
        <w:t>Failure to Provide Effective Systemic Remedies when Adequate Supports and Services for Persons with Disabilities for community living are not Provided</w:t>
      </w:r>
      <w:r>
        <w:t>.</w:t>
      </w:r>
      <w:bookmarkEnd w:id="52"/>
    </w:p>
    <w:p w14:paraId="45EB3E0A" w14:textId="77777777" w:rsidR="008A0F79" w:rsidRPr="00450C33" w:rsidRDefault="008A0F79" w:rsidP="008A0F79">
      <w:pPr>
        <w:tabs>
          <w:tab w:val="left" w:pos="6945"/>
        </w:tabs>
      </w:pPr>
      <w:r>
        <w:tab/>
      </w:r>
    </w:p>
    <w:p w14:paraId="6CB7D32E" w14:textId="77777777" w:rsidR="008A0F79" w:rsidRDefault="008A0F79" w:rsidP="008A0F79">
      <w:pPr>
        <w:numPr>
          <w:ilvl w:val="0"/>
          <w:numId w:val="2"/>
        </w:numPr>
        <w:rPr>
          <w:rFonts w:cs="Arial"/>
          <w:iCs/>
        </w:rPr>
      </w:pPr>
      <w:r w:rsidRPr="00BC7E43">
        <w:rPr>
          <w:rFonts w:cs="Arial"/>
          <w:iCs/>
        </w:rPr>
        <w:t xml:space="preserve">In Nova Scotia, following the Province’s decision to  impose a decades-long  freeze on the creation of new community based options for people with disabilities,  three individual complainants were institutionalized in a locked psychiatric ward and other large congregate care facilities —for no medical or legal reason ---solely because the supports and services they required to live in the community were not available.  The individuals’ experiences reflect the Province’s treatment of persons with disabilities generally, continuing to affect the lives of thousands of persons with disabilities over the course of three decades.  </w:t>
      </w:r>
    </w:p>
    <w:p w14:paraId="632D8BD6" w14:textId="77777777" w:rsidR="008A0F79" w:rsidRDefault="008A0F79" w:rsidP="008A0F79">
      <w:pPr>
        <w:numPr>
          <w:ilvl w:val="0"/>
          <w:numId w:val="2"/>
        </w:numPr>
        <w:rPr>
          <w:rFonts w:cs="Arial"/>
          <w:iCs/>
        </w:rPr>
      </w:pPr>
      <w:r>
        <w:t>The three individual complainants with disabilities and an NGO, the ‘Disability Rights Coalition’, filed complaints under the Nova Scotia Human Rights Act alleging discrimination based on the grounds of disability and source of income, in being denied accommodative social assistance to live in the community, resulting in unnecessary institutionalisation, homelessness and other inappropriate living situations.  The Disability Rights Coalition is seeking a systemic remedy against the Province that requires the development and implementation of an integrated plan, that includes benchmarks, goals and timeframes, to provide accommodative supports and services to all those persons with disabilities in institutions and on the Disability Supports Program waitlist who are seeking a community based option, including a small option home in the community.  The remedy sought includes the enactment of legislation to codify an enforceable right to accommodative supports and services for persons with disabilities, in accordance with the UN Convention on the Rights of Persons with Disabilities, with the Nova Scotia Human Rights Commission monitoring and maintaining supervision over the implementation of the remedy in consultation with stakeholders.</w:t>
      </w:r>
    </w:p>
    <w:p w14:paraId="655A81F5" w14:textId="77777777" w:rsidR="008A0F79" w:rsidRPr="00BC7E43" w:rsidRDefault="008A0F79" w:rsidP="008A0F79">
      <w:pPr>
        <w:numPr>
          <w:ilvl w:val="0"/>
          <w:numId w:val="2"/>
        </w:numPr>
        <w:rPr>
          <w:rFonts w:cs="Arial"/>
          <w:iCs/>
        </w:rPr>
      </w:pPr>
      <w:r>
        <w:t>Rather than acknowledging their obligation under article 19 of the CRPD and articles 2 and 11 of the ICESCR to accommodate the differential needs of persons with disabilities to live and participate fully in their communities,  the Attorney General for Nova Scotia argued that there is no constitutional guarantee to a right to housing, and that failing to provide housing in the community with supports to persons with disabilities does not constitute discrimination.  The Tribunal dismissed any interpretive role of the right to independent living under international human rights law in interpreting the scope of the protections in the Nova Scotia Human Rights Act.</w:t>
      </w:r>
      <w:r>
        <w:rPr>
          <w:rStyle w:val="FootnoteReference"/>
        </w:rPr>
        <w:footnoteReference w:id="15"/>
      </w:r>
      <w:r>
        <w:t xml:space="preserve">  Instead, the Tribunal interpreted equality protections as being restricted to the provision of individual remedies to discrimination, dismissing the claim advanced </w:t>
      </w:r>
      <w:r>
        <w:lastRenderedPageBreak/>
        <w:t>by the Disability Rights Coalition for a remedy that would require the Province to provide adequate community housing with supports for the more than 1500 people on the waiting list for housing with supports.    The case is under appeal to the Nova Scotia Court of Appeal with the hearing scheduled for May 2020.</w:t>
      </w:r>
    </w:p>
    <w:p w14:paraId="5C387F73" w14:textId="77777777" w:rsidR="008A0F79" w:rsidRDefault="008A0F79" w:rsidP="008A0F79">
      <w:pPr>
        <w:rPr>
          <w:rFonts w:cs="Arial"/>
          <w:b/>
        </w:rPr>
      </w:pPr>
      <w:r>
        <w:rPr>
          <w:noProof/>
        </w:rPr>
        <mc:AlternateContent>
          <mc:Choice Requires="wps">
            <w:drawing>
              <wp:inline distT="0" distB="0" distL="0" distR="0" wp14:anchorId="24F3B0FD" wp14:editId="33D9A6A3">
                <wp:extent cx="6035040" cy="2186940"/>
                <wp:effectExtent l="0" t="0" r="60960" b="60960"/>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5040" cy="2186940"/>
                        </a:xfrm>
                        <a:prstGeom prst="rect">
                          <a:avLst/>
                        </a:prstGeom>
                        <a:solidFill>
                          <a:srgbClr val="F2F2F2"/>
                        </a:solidFill>
                        <a:ln w="9525">
                          <a:solidFill>
                            <a:srgbClr val="000000"/>
                          </a:solidFill>
                          <a:miter lim="800000"/>
                          <a:headEnd/>
                          <a:tailEnd/>
                        </a:ln>
                        <a:effectLst>
                          <a:outerShdw dist="35921" dir="2700000" algn="ctr" rotWithShape="0">
                            <a:srgbClr val="808080"/>
                          </a:outerShdw>
                        </a:effectLst>
                      </wps:spPr>
                      <wps:txbx>
                        <w:txbxContent>
                          <w:p w14:paraId="6A82C796" w14:textId="77777777" w:rsidR="008A0F79" w:rsidRPr="00450C33" w:rsidRDefault="008A0F79" w:rsidP="008A0F79">
                            <w:pPr>
                              <w:ind w:firstLine="720"/>
                              <w:rPr>
                                <w:b/>
                                <w:u w:val="single"/>
                              </w:rPr>
                            </w:pPr>
                            <w:r w:rsidRPr="00450C33">
                              <w:rPr>
                                <w:b/>
                                <w:u w:val="single"/>
                              </w:rPr>
                              <w:t>Recommendation Re Community-Based</w:t>
                            </w:r>
                            <w:r>
                              <w:rPr>
                                <w:b/>
                                <w:u w:val="single"/>
                              </w:rPr>
                              <w:t xml:space="preserve"> Supportive</w:t>
                            </w:r>
                            <w:r w:rsidRPr="00450C33">
                              <w:rPr>
                                <w:b/>
                                <w:u w:val="single"/>
                              </w:rPr>
                              <w:t xml:space="preserve"> Housing for People with Disabilities</w:t>
                            </w:r>
                          </w:p>
                          <w:p w14:paraId="362FB86F" w14:textId="31EFA281" w:rsidR="008A0F79" w:rsidRPr="00266E97" w:rsidRDefault="008A0F79" w:rsidP="00266E97">
                            <w:pPr>
                              <w:pStyle w:val="ListParagraph"/>
                              <w:numPr>
                                <w:ilvl w:val="0"/>
                                <w:numId w:val="23"/>
                              </w:numPr>
                              <w:ind w:right="432"/>
                              <w:rPr>
                                <w:b/>
                              </w:rPr>
                            </w:pPr>
                            <w:r w:rsidRPr="00266E97">
                              <w:rPr>
                                <w:b/>
                              </w:rPr>
                              <w:t>Canada should be asked to explain whether the Province of Nova Scotia, as well as other provinces or territories and the federal government, acknowledge that failure to ensure access to the  supports and services necessary for community living, resulting in institutionalization of persons with disabilities, violates the rights of persons with disabilities, and explain whether effective systemic remedies are available in such cases.  The Province of Nova Scotia should be asked to explain how the position advanced in the Emerald Hall case (</w:t>
                            </w:r>
                            <w:r w:rsidRPr="00266E97">
                              <w:rPr>
                                <w:b/>
                                <w:bCs/>
                                <w:i/>
                                <w:iCs/>
                                <w:lang w:val="en-US"/>
                              </w:rPr>
                              <w:t xml:space="preserve">MacLean v. Nova Scotia (Attorney General), </w:t>
                            </w:r>
                            <w:r w:rsidRPr="00266E97">
                              <w:rPr>
                                <w:b/>
                                <w:bCs/>
                                <w:lang w:val="en-US"/>
                              </w:rPr>
                              <w:t xml:space="preserve">[2019] N.S.H.R.B.I.D. No. 2) </w:t>
                            </w:r>
                            <w:r w:rsidRPr="00266E97">
                              <w:rPr>
                                <w:b/>
                              </w:rPr>
                              <w:t>conforms with its obligations as described in General Comment No. 9, para 15.</w:t>
                            </w:r>
                          </w:p>
                          <w:p w14:paraId="5FC3463A" w14:textId="77777777" w:rsidR="008A0F79" w:rsidRDefault="008A0F79" w:rsidP="008A0F79"/>
                        </w:txbxContent>
                      </wps:txbx>
                      <wps:bodyPr rot="0" vert="horz" wrap="square" lIns="91440" tIns="45720" rIns="91440" bIns="45720" anchor="t" anchorCtr="0" upright="1">
                        <a:noAutofit/>
                      </wps:bodyPr>
                    </wps:wsp>
                  </a:graphicData>
                </a:graphic>
              </wp:inline>
            </w:drawing>
          </mc:Choice>
          <mc:Fallback>
            <w:pict>
              <v:shape w14:anchorId="24F3B0FD" id="Text Box 1" o:spid="_x0000_s1033" type="#_x0000_t202" style="width:475.2pt;height:172.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" fillcolor="#f2f2f2">
                <v:shadow on="t"/>
                <v:textbox>
                  <w:txbxContent>
                    <w:p w14:paraId="6A82C796" w14:textId="77777777" w:rsidR="008A0F79" w:rsidRPr="00450C33" w:rsidRDefault="008A0F79" w:rsidP="008A0F79">
                      <w:pPr>
                        <w:ind w:firstLine="720"/>
                        <w:rPr>
                          <w:b/>
                          <w:u w:val="single"/>
                        </w:rPr>
                      </w:pPr>
                      <w:r w:rsidRPr="00450C33">
                        <w:rPr>
                          <w:b/>
                          <w:u w:val="single"/>
                        </w:rPr>
                        <w:t>Recommendation Re Community-Based</w:t>
                      </w:r>
                      <w:r>
                        <w:rPr>
                          <w:b/>
                          <w:u w:val="single"/>
                        </w:rPr>
                        <w:t xml:space="preserve"> Supportive</w:t>
                      </w:r>
                      <w:r w:rsidRPr="00450C33">
                        <w:rPr>
                          <w:b/>
                          <w:u w:val="single"/>
                        </w:rPr>
                        <w:t xml:space="preserve"> Housing for People with Disabilities</w:t>
                      </w:r>
                    </w:p>
                    <w:p w14:paraId="362FB86F" w14:textId="31EFA281" w:rsidR="008A0F79" w:rsidRPr="00266E97" w:rsidRDefault="008A0F79" w:rsidP="00266E97">
                      <w:pPr>
                        <w:pStyle w:val="ListParagraph"/>
                        <w:numPr>
                          <w:ilvl w:val="0"/>
                          <w:numId w:val="23"/>
                        </w:numPr>
                        <w:ind w:right="432"/>
                        <w:rPr>
                          <w:b/>
                        </w:rPr>
                      </w:pPr>
                      <w:r w:rsidRPr="00266E97">
                        <w:rPr>
                          <w:b/>
                        </w:rPr>
                        <w:t>Canada should be asked to explain whether the Province of Nova Scotia, as well as other provinces or territories and the federal government, acknowledge that failure to ensure access to the  supports and services necessary for community living, resulting in institutionalization of persons with disabilities, violates the rights of persons with disabilities, and explain whether effective systemic remedies are available in such cases.  The Province of Nova Scotia should be asked to explain how the position advanced in the Emerald Hall case (</w:t>
                      </w:r>
                      <w:r w:rsidRPr="00266E97">
                        <w:rPr>
                          <w:b/>
                          <w:bCs/>
                          <w:i/>
                          <w:iCs/>
                          <w:lang w:val="en-US"/>
                        </w:rPr>
                        <w:t xml:space="preserve">MacLean v. Nova Scotia (Attorney General), </w:t>
                      </w:r>
                      <w:r w:rsidRPr="00266E97">
                        <w:rPr>
                          <w:b/>
                          <w:bCs/>
                          <w:lang w:val="en-US"/>
                        </w:rPr>
                        <w:t xml:space="preserve">[2019] N.S.H.R.B.I.D. No. 2) </w:t>
                      </w:r>
                      <w:r w:rsidRPr="00266E97">
                        <w:rPr>
                          <w:b/>
                        </w:rPr>
                        <w:t>conforms with its obligations as described in General Comment No. 9, para 15.</w:t>
                      </w:r>
                    </w:p>
                    <w:p w14:paraId="5FC3463A" w14:textId="77777777" w:rsidR="008A0F79" w:rsidRDefault="008A0F79" w:rsidP="008A0F79"/>
                  </w:txbxContent>
                </v:textbox>
                <w10:anchorlock/>
              </v:shape>
            </w:pict>
          </mc:Fallback>
        </mc:AlternateContent>
      </w:r>
    </w:p>
    <w:bookmarkEnd w:id="50"/>
    <w:bookmarkEnd w:id="51"/>
    <w:p w14:paraId="4FB9150C" w14:textId="77777777" w:rsidR="008A0F79" w:rsidRPr="003B6239" w:rsidRDefault="008A0F79" w:rsidP="003B6239">
      <w:pPr>
        <w:ind w:right="-54"/>
        <w:rPr>
          <w:rFonts w:cs="Arial"/>
          <w:b/>
        </w:rPr>
      </w:pPr>
    </w:p>
    <w:p w14:paraId="7F829FB4" w14:textId="144F6941" w:rsidR="002D167E" w:rsidRPr="0075491E" w:rsidRDefault="002D167E" w:rsidP="0075491E">
      <w:pPr>
        <w:pStyle w:val="Heading2"/>
        <w:numPr>
          <w:ilvl w:val="0"/>
          <w:numId w:val="18"/>
        </w:numPr>
        <w:rPr>
          <w:color w:val="4472C4" w:themeColor="accent1"/>
        </w:rPr>
      </w:pPr>
      <w:bookmarkStart w:id="53" w:name="_Toc32279506"/>
      <w:r w:rsidRPr="0075491E">
        <w:rPr>
          <w:color w:val="4472C4" w:themeColor="accent1"/>
        </w:rPr>
        <w:t>INTER-GOVERNMENTAL INITIATIVES AND FRAMEWORKS FOR ACCESS TO JUSTICE</w:t>
      </w:r>
      <w:bookmarkEnd w:id="53"/>
      <w:r w:rsidRPr="0075491E">
        <w:rPr>
          <w:color w:val="4472C4" w:themeColor="accent1"/>
        </w:rPr>
        <w:t xml:space="preserve"> </w:t>
      </w:r>
    </w:p>
    <w:p w14:paraId="7DD8FBCE" w14:textId="7DD9171F" w:rsidR="00F51710" w:rsidRDefault="00F51710" w:rsidP="00552826">
      <w:pPr>
        <w:rPr>
          <w:rFonts w:cs="Arial"/>
        </w:rPr>
      </w:pPr>
    </w:p>
    <w:p w14:paraId="17147F6F" w14:textId="5D2A595E" w:rsidR="00F24D30" w:rsidRPr="0075491E" w:rsidRDefault="00F24D30" w:rsidP="0075491E">
      <w:pPr>
        <w:pStyle w:val="Heading2"/>
        <w:numPr>
          <w:ilvl w:val="0"/>
          <w:numId w:val="22"/>
        </w:numPr>
        <w:rPr>
          <w:color w:val="0070C0"/>
          <w:sz w:val="24"/>
          <w:szCs w:val="24"/>
        </w:rPr>
      </w:pPr>
      <w:bookmarkStart w:id="54" w:name="_Toc32279507"/>
      <w:r w:rsidRPr="0075491E">
        <w:rPr>
          <w:color w:val="0070C0"/>
          <w:sz w:val="24"/>
          <w:szCs w:val="24"/>
        </w:rPr>
        <w:t>Follow-up to Inter-Ministerial Meeting of December 11</w:t>
      </w:r>
      <w:r w:rsidR="00ED26B0" w:rsidRPr="0075491E">
        <w:rPr>
          <w:color w:val="0070C0"/>
          <w:sz w:val="24"/>
          <w:szCs w:val="24"/>
        </w:rPr>
        <w:t>-12</w:t>
      </w:r>
      <w:r w:rsidRPr="0075491E">
        <w:rPr>
          <w:color w:val="0070C0"/>
          <w:sz w:val="24"/>
          <w:szCs w:val="24"/>
        </w:rPr>
        <w:t>, 2017</w:t>
      </w:r>
      <w:bookmarkEnd w:id="54"/>
    </w:p>
    <w:p w14:paraId="1662DB6F" w14:textId="77777777" w:rsidR="008E1E36" w:rsidRPr="008E1E36" w:rsidRDefault="008E1E36" w:rsidP="008E1E36"/>
    <w:p w14:paraId="34843A42" w14:textId="100BCB6A" w:rsidR="00B3616F" w:rsidRPr="00B3616F" w:rsidRDefault="00F24D30" w:rsidP="00B3616F">
      <w:pPr>
        <w:numPr>
          <w:ilvl w:val="0"/>
          <w:numId w:val="2"/>
        </w:numPr>
        <w:rPr>
          <w:rFonts w:cs="Arial"/>
        </w:rPr>
      </w:pPr>
      <w:r w:rsidRPr="008E1E36">
        <w:rPr>
          <w:rFonts w:cs="Arial"/>
        </w:rPr>
        <w:t xml:space="preserve">In 2017 the federal government convened the first inter-ministerial conference on human rights </w:t>
      </w:r>
      <w:r w:rsidR="003B663B">
        <w:rPr>
          <w:rFonts w:cs="Arial"/>
        </w:rPr>
        <w:t>in 29 years</w:t>
      </w:r>
      <w:r w:rsidRPr="008E1E36">
        <w:rPr>
          <w:rFonts w:cs="Arial"/>
        </w:rPr>
        <w:t>.  One of the thre</w:t>
      </w:r>
      <w:r w:rsidR="003B6239">
        <w:rPr>
          <w:rFonts w:cs="Arial"/>
        </w:rPr>
        <w:t>e</w:t>
      </w:r>
      <w:r w:rsidRPr="008E1E36">
        <w:rPr>
          <w:rFonts w:cs="Arial"/>
        </w:rPr>
        <w:t xml:space="preserve"> topics </w:t>
      </w:r>
      <w:r w:rsidR="003B6239">
        <w:rPr>
          <w:rFonts w:cs="Arial"/>
        </w:rPr>
        <w:t>on the agenda</w:t>
      </w:r>
      <w:r w:rsidRPr="008E1E36">
        <w:rPr>
          <w:rFonts w:cs="Arial"/>
        </w:rPr>
        <w:t xml:space="preserve"> was the justiciability </w:t>
      </w:r>
      <w:r w:rsidR="003B663B">
        <w:rPr>
          <w:rFonts w:cs="Arial"/>
        </w:rPr>
        <w:t xml:space="preserve">and implementation </w:t>
      </w:r>
      <w:r w:rsidRPr="008E1E36">
        <w:rPr>
          <w:rFonts w:cs="Arial"/>
        </w:rPr>
        <w:t xml:space="preserve">of ESC rights. </w:t>
      </w:r>
      <w:r>
        <w:rPr>
          <w:rFonts w:cs="Arial"/>
        </w:rPr>
        <w:t>In the Statement released at the end of the Conference, the Ministers expressed their commitment to s</w:t>
      </w:r>
      <w:r w:rsidRPr="00F24D30">
        <w:rPr>
          <w:rFonts w:cs="Arial"/>
        </w:rPr>
        <w:t xml:space="preserve">trengthening Canada's implementation of </w:t>
      </w:r>
      <w:r w:rsidR="003B663B">
        <w:rPr>
          <w:rFonts w:cs="Arial"/>
        </w:rPr>
        <w:t xml:space="preserve">ESC </w:t>
      </w:r>
      <w:r w:rsidRPr="00F24D30">
        <w:rPr>
          <w:rFonts w:cs="Arial"/>
        </w:rPr>
        <w:t>rights</w:t>
      </w:r>
      <w:r>
        <w:rPr>
          <w:rFonts w:cs="Arial"/>
        </w:rPr>
        <w:t xml:space="preserve"> </w:t>
      </w:r>
      <w:r w:rsidR="00715BF4">
        <w:rPr>
          <w:rFonts w:cs="Arial"/>
        </w:rPr>
        <w:t xml:space="preserve">and </w:t>
      </w:r>
      <w:r w:rsidRPr="00F24D30">
        <w:rPr>
          <w:rFonts w:cs="Arial"/>
        </w:rPr>
        <w:t>to the</w:t>
      </w:r>
      <w:r w:rsidR="00715BF4">
        <w:rPr>
          <w:rFonts w:cs="Arial"/>
        </w:rPr>
        <w:t>ir</w:t>
      </w:r>
      <w:r w:rsidRPr="00F24D30">
        <w:rPr>
          <w:rFonts w:cs="Arial"/>
        </w:rPr>
        <w:t xml:space="preserve"> progressive realization.</w:t>
      </w:r>
      <w:r w:rsidR="00715BF4">
        <w:rPr>
          <w:rStyle w:val="FootnoteReference"/>
          <w:rFonts w:cs="Arial"/>
        </w:rPr>
        <w:footnoteReference w:id="16"/>
      </w:r>
      <w:r w:rsidR="00F8465E">
        <w:rPr>
          <w:rFonts w:cs="Arial"/>
        </w:rPr>
        <w:t xml:space="preserve">  </w:t>
      </w:r>
    </w:p>
    <w:p w14:paraId="1941C716" w14:textId="77777777" w:rsidR="00715BF4" w:rsidRPr="00C5478C" w:rsidRDefault="00715BF4" w:rsidP="00715BF4">
      <w:pPr>
        <w:ind w:right="-54"/>
        <w:rPr>
          <w:rFonts w:cs="Arial"/>
          <w:b/>
        </w:rPr>
      </w:pPr>
      <w:r>
        <w:rPr>
          <w:rFonts w:cs="Arial"/>
          <w:b/>
          <w:noProof/>
        </w:rPr>
        <w:lastRenderedPageBreak/>
        <mc:AlternateContent>
          <mc:Choice Requires="wps">
            <w:drawing>
              <wp:inline distT="0" distB="0" distL="0" distR="0" wp14:anchorId="0B7F4C45" wp14:editId="496DEB2E">
                <wp:extent cx="6035040" cy="1874520"/>
                <wp:effectExtent l="0" t="0" r="60960" b="49530"/>
                <wp:docPr id="16"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5040" cy="1874520"/>
                        </a:xfrm>
                        <a:prstGeom prst="rect">
                          <a:avLst/>
                        </a:prstGeom>
                        <a:solidFill>
                          <a:srgbClr val="F2F2F2"/>
                        </a:solidFill>
                        <a:ln w="9525">
                          <a:solidFill>
                            <a:srgbClr val="000000"/>
                          </a:solidFill>
                          <a:miter lim="800000"/>
                          <a:headEnd/>
                          <a:tailEnd/>
                        </a:ln>
                        <a:effectLst>
                          <a:outerShdw dist="35921" dir="2700000" algn="ctr" rotWithShape="0">
                            <a:srgbClr val="808080"/>
                          </a:outerShdw>
                        </a:effectLst>
                      </wps:spPr>
                      <wps:txbx>
                        <w:txbxContent>
                          <w:p w14:paraId="14E28A79" w14:textId="42B9A822" w:rsidR="00760C74" w:rsidRPr="001749A2" w:rsidRDefault="00760C74" w:rsidP="00715BF4">
                            <w:pPr>
                              <w:ind w:left="432" w:right="432" w:hanging="360"/>
                              <w:rPr>
                                <w:b/>
                                <w:bCs/>
                                <w:u w:val="single"/>
                              </w:rPr>
                            </w:pPr>
                            <w:r w:rsidRPr="001749A2">
                              <w:rPr>
                                <w:b/>
                                <w:bCs/>
                                <w:u w:val="single"/>
                              </w:rPr>
                              <w:t xml:space="preserve">Follow up to the Federal/Provincial/Territorial Inter - Ministerial </w:t>
                            </w:r>
                            <w:r>
                              <w:rPr>
                                <w:b/>
                                <w:bCs/>
                                <w:u w:val="single"/>
                              </w:rPr>
                              <w:t>Meeting and the c</w:t>
                            </w:r>
                            <w:r w:rsidRPr="001749A2">
                              <w:rPr>
                                <w:b/>
                                <w:bCs/>
                                <w:u w:val="single"/>
                              </w:rPr>
                              <w:t xml:space="preserve">ommitment to </w:t>
                            </w:r>
                            <w:r>
                              <w:rPr>
                                <w:b/>
                                <w:bCs/>
                                <w:u w:val="single"/>
                              </w:rPr>
                              <w:t>s</w:t>
                            </w:r>
                            <w:r w:rsidRPr="001749A2">
                              <w:rPr>
                                <w:b/>
                                <w:bCs/>
                                <w:u w:val="single"/>
                              </w:rPr>
                              <w:t xml:space="preserve">trengthen ESC rights </w:t>
                            </w:r>
                          </w:p>
                          <w:p w14:paraId="3BBB65DB" w14:textId="47464BFC" w:rsidR="00760C74" w:rsidRPr="00F8465E" w:rsidRDefault="00266E97" w:rsidP="00760C74">
                            <w:pPr>
                              <w:numPr>
                                <w:ilvl w:val="0"/>
                                <w:numId w:val="3"/>
                              </w:numPr>
                              <w:ind w:left="72" w:right="432"/>
                              <w:rPr>
                                <w:rFonts w:cs="Arial"/>
                                <w:b/>
                              </w:rPr>
                            </w:pPr>
                            <w:r>
                              <w:rPr>
                                <w:rFonts w:cs="Arial"/>
                                <w:b/>
                              </w:rPr>
                              <w:t>8</w:t>
                            </w:r>
                            <w:r w:rsidR="00760C74" w:rsidRPr="00F8465E">
                              <w:rPr>
                                <w:rFonts w:cs="Arial"/>
                                <w:b/>
                              </w:rPr>
                              <w:t xml:space="preserve">. We recommend that the Committee </w:t>
                            </w:r>
                            <w:r w:rsidR="003B663B">
                              <w:rPr>
                                <w:rFonts w:cs="Arial"/>
                                <w:b/>
                              </w:rPr>
                              <w:t xml:space="preserve">recognize </w:t>
                            </w:r>
                            <w:r w:rsidR="00760C74" w:rsidRPr="00F8465E">
                              <w:rPr>
                                <w:rFonts w:cs="Arial"/>
                                <w:b/>
                              </w:rPr>
                              <w:t xml:space="preserve">the convening of the first Federal/Provincial/Territorial inter-ministerial meeting on human rights in 29 years, on December 11, 2017, </w:t>
                            </w:r>
                            <w:r w:rsidR="003B663B">
                              <w:rPr>
                                <w:rFonts w:cs="Arial"/>
                                <w:b/>
                              </w:rPr>
                              <w:t>as a positive development, noting also</w:t>
                            </w:r>
                            <w:r w:rsidR="00760C74" w:rsidRPr="00F8465E">
                              <w:rPr>
                                <w:rFonts w:cs="Arial"/>
                                <w:b/>
                              </w:rPr>
                              <w:t xml:space="preserve"> that the justiciability of ESC rights was</w:t>
                            </w:r>
                            <w:r w:rsidR="003B663B">
                              <w:rPr>
                                <w:rFonts w:cs="Arial"/>
                                <w:b/>
                              </w:rPr>
                              <w:t xml:space="preserve"> one of four key </w:t>
                            </w:r>
                            <w:r w:rsidR="00760C74" w:rsidRPr="00F8465E">
                              <w:rPr>
                                <w:rFonts w:cs="Arial"/>
                                <w:b/>
                              </w:rPr>
                              <w:t>issues on the agenda. The Committee should</w:t>
                            </w:r>
                            <w:r w:rsidR="003B663B">
                              <w:rPr>
                                <w:rFonts w:cs="Arial"/>
                                <w:b/>
                              </w:rPr>
                              <w:t>, however,</w:t>
                            </w:r>
                            <w:r w:rsidR="00760C74" w:rsidRPr="00F8465E">
                              <w:rPr>
                                <w:rFonts w:cs="Arial"/>
                                <w:b/>
                              </w:rPr>
                              <w:t xml:space="preserve"> request information about how the commitment to strengthen</w:t>
                            </w:r>
                            <w:r w:rsidR="003B663B">
                              <w:rPr>
                                <w:rFonts w:cs="Arial"/>
                                <w:b/>
                              </w:rPr>
                              <w:t xml:space="preserve"> the implementation of</w:t>
                            </w:r>
                            <w:r w:rsidR="00760C74" w:rsidRPr="00F8465E">
                              <w:rPr>
                                <w:rFonts w:cs="Arial"/>
                                <w:b/>
                              </w:rPr>
                              <w:t xml:space="preserve"> ESC rights</w:t>
                            </w:r>
                            <w:r w:rsidR="003B663B">
                              <w:rPr>
                                <w:rFonts w:cs="Arial"/>
                                <w:b/>
                              </w:rPr>
                              <w:t xml:space="preserve">, </w:t>
                            </w:r>
                            <w:r w:rsidR="00760C74" w:rsidRPr="00F8465E">
                              <w:rPr>
                                <w:rFonts w:cs="Arial"/>
                                <w:b/>
                              </w:rPr>
                              <w:t>made at the conclusion of the FPT meeting,</w:t>
                            </w:r>
                            <w:r w:rsidR="003B663B">
                              <w:rPr>
                                <w:rFonts w:cs="Arial"/>
                                <w:b/>
                              </w:rPr>
                              <w:t xml:space="preserve"> </w:t>
                            </w:r>
                            <w:r w:rsidR="00760C74" w:rsidRPr="00F8465E">
                              <w:rPr>
                                <w:rFonts w:cs="Arial"/>
                                <w:b/>
                              </w:rPr>
                              <w:t xml:space="preserve">is being implemented. </w:t>
                            </w:r>
                          </w:p>
                          <w:p w14:paraId="5544433F" w14:textId="1F3F4985" w:rsidR="00760C74" w:rsidRDefault="00760C74" w:rsidP="009B7592">
                            <w:pPr>
                              <w:numPr>
                                <w:ilvl w:val="0"/>
                                <w:numId w:val="3"/>
                              </w:numPr>
                              <w:ind w:left="72" w:right="432"/>
                              <w:rPr>
                                <w:rFonts w:cs="Arial"/>
                                <w:b/>
                              </w:rPr>
                            </w:pPr>
                          </w:p>
                          <w:p w14:paraId="59AC18FB" w14:textId="06952A84" w:rsidR="00760C74" w:rsidRPr="00715BF4" w:rsidRDefault="00760C74" w:rsidP="009B7592">
                            <w:pPr>
                              <w:numPr>
                                <w:ilvl w:val="0"/>
                                <w:numId w:val="3"/>
                              </w:numPr>
                              <w:ind w:left="72" w:right="432"/>
                              <w:rPr>
                                <w:rFonts w:cs="Arial"/>
                                <w:b/>
                              </w:rPr>
                            </w:pPr>
                          </w:p>
                        </w:txbxContent>
                      </wps:txbx>
                      <wps:bodyPr rot="0" vert="horz" wrap="square" lIns="91440" tIns="45720" rIns="91440" bIns="45720" anchor="t" anchorCtr="0" upright="1">
                        <a:noAutofit/>
                      </wps:bodyPr>
                    </wps:wsp>
                  </a:graphicData>
                </a:graphic>
              </wp:inline>
            </w:drawing>
          </mc:Choice>
          <mc:Fallback>
            <w:pict>
              <v:shape w14:anchorId="0B7F4C45" id="_x0000_s1034" type="#_x0000_t202" style="width:475.2pt;height:147.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" fillcolor="#f2f2f2">
                <v:shadow on="t"/>
                <v:textbox>
                  <w:txbxContent>
                    <w:p w14:paraId="14E28A79" w14:textId="42B9A822" w:rsidR="00760C74" w:rsidRPr="001749A2" w:rsidRDefault="00760C74" w:rsidP="00715BF4">
                      <w:pPr>
                        <w:ind w:left="432" w:right="432" w:hanging="360"/>
                        <w:rPr>
                          <w:b/>
                          <w:bCs/>
                          <w:u w:val="single"/>
                        </w:rPr>
                      </w:pPr>
                      <w:r w:rsidRPr="001749A2">
                        <w:rPr>
                          <w:b/>
                          <w:bCs/>
                          <w:u w:val="single"/>
                        </w:rPr>
                        <w:t xml:space="preserve">Follow up to the Federal/Provincial/Territorial Inter - Ministerial </w:t>
                      </w:r>
                      <w:r>
                        <w:rPr>
                          <w:b/>
                          <w:bCs/>
                          <w:u w:val="single"/>
                        </w:rPr>
                        <w:t>Meeting and the c</w:t>
                      </w:r>
                      <w:r w:rsidRPr="001749A2">
                        <w:rPr>
                          <w:b/>
                          <w:bCs/>
                          <w:u w:val="single"/>
                        </w:rPr>
                        <w:t xml:space="preserve">ommitment to </w:t>
                      </w:r>
                      <w:r>
                        <w:rPr>
                          <w:b/>
                          <w:bCs/>
                          <w:u w:val="single"/>
                        </w:rPr>
                        <w:t>s</w:t>
                      </w:r>
                      <w:r w:rsidRPr="001749A2">
                        <w:rPr>
                          <w:b/>
                          <w:bCs/>
                          <w:u w:val="single"/>
                        </w:rPr>
                        <w:t xml:space="preserve">trengthen ESC rights </w:t>
                      </w:r>
                    </w:p>
                    <w:p w14:paraId="3BBB65DB" w14:textId="47464BFC" w:rsidR="00760C74" w:rsidRPr="00F8465E" w:rsidRDefault="00266E97" w:rsidP="00760C74">
                      <w:pPr>
                        <w:numPr>
                          <w:ilvl w:val="0"/>
                          <w:numId w:val="3"/>
                        </w:numPr>
                        <w:ind w:left="72" w:right="432"/>
                        <w:rPr>
                          <w:rFonts w:cs="Arial"/>
                          <w:b/>
                        </w:rPr>
                      </w:pPr>
                      <w:r>
                        <w:rPr>
                          <w:rFonts w:cs="Arial"/>
                          <w:b/>
                        </w:rPr>
                        <w:t>8</w:t>
                      </w:r>
                      <w:r w:rsidR="00760C74" w:rsidRPr="00F8465E">
                        <w:rPr>
                          <w:rFonts w:cs="Arial"/>
                          <w:b/>
                        </w:rPr>
                        <w:t xml:space="preserve">. We recommend that the Committee </w:t>
                      </w:r>
                      <w:r w:rsidR="003B663B">
                        <w:rPr>
                          <w:rFonts w:cs="Arial"/>
                          <w:b/>
                        </w:rPr>
                        <w:t xml:space="preserve">recognize </w:t>
                      </w:r>
                      <w:r w:rsidR="00760C74" w:rsidRPr="00F8465E">
                        <w:rPr>
                          <w:rFonts w:cs="Arial"/>
                          <w:b/>
                        </w:rPr>
                        <w:t xml:space="preserve">the convening of the first Federal/Provincial/Territorial inter-ministerial meeting on human rights in 29 years, on December 11, 2017, </w:t>
                      </w:r>
                      <w:r w:rsidR="003B663B">
                        <w:rPr>
                          <w:rFonts w:cs="Arial"/>
                          <w:b/>
                        </w:rPr>
                        <w:t>as a positive development, noting also</w:t>
                      </w:r>
                      <w:r w:rsidR="00760C74" w:rsidRPr="00F8465E">
                        <w:rPr>
                          <w:rFonts w:cs="Arial"/>
                          <w:b/>
                        </w:rPr>
                        <w:t xml:space="preserve"> that the justiciability of ESC rights was</w:t>
                      </w:r>
                      <w:r w:rsidR="003B663B">
                        <w:rPr>
                          <w:rFonts w:cs="Arial"/>
                          <w:b/>
                        </w:rPr>
                        <w:t xml:space="preserve"> one of four key </w:t>
                      </w:r>
                      <w:r w:rsidR="00760C74" w:rsidRPr="00F8465E">
                        <w:rPr>
                          <w:rFonts w:cs="Arial"/>
                          <w:b/>
                        </w:rPr>
                        <w:t>issues on the agenda. The Committee should</w:t>
                      </w:r>
                      <w:r w:rsidR="003B663B">
                        <w:rPr>
                          <w:rFonts w:cs="Arial"/>
                          <w:b/>
                        </w:rPr>
                        <w:t>, however,</w:t>
                      </w:r>
                      <w:r w:rsidR="00760C74" w:rsidRPr="00F8465E">
                        <w:rPr>
                          <w:rFonts w:cs="Arial"/>
                          <w:b/>
                        </w:rPr>
                        <w:t xml:space="preserve"> request information about how the commitment to strengthen</w:t>
                      </w:r>
                      <w:r w:rsidR="003B663B">
                        <w:rPr>
                          <w:rFonts w:cs="Arial"/>
                          <w:b/>
                        </w:rPr>
                        <w:t xml:space="preserve"> the implementation of</w:t>
                      </w:r>
                      <w:r w:rsidR="00760C74" w:rsidRPr="00F8465E">
                        <w:rPr>
                          <w:rFonts w:cs="Arial"/>
                          <w:b/>
                        </w:rPr>
                        <w:t xml:space="preserve"> ESC rights</w:t>
                      </w:r>
                      <w:r w:rsidR="003B663B">
                        <w:rPr>
                          <w:rFonts w:cs="Arial"/>
                          <w:b/>
                        </w:rPr>
                        <w:t xml:space="preserve">, </w:t>
                      </w:r>
                      <w:r w:rsidR="00760C74" w:rsidRPr="00F8465E">
                        <w:rPr>
                          <w:rFonts w:cs="Arial"/>
                          <w:b/>
                        </w:rPr>
                        <w:t>made at the conclusion of the FPT meeting,</w:t>
                      </w:r>
                      <w:r w:rsidR="003B663B">
                        <w:rPr>
                          <w:rFonts w:cs="Arial"/>
                          <w:b/>
                        </w:rPr>
                        <w:t xml:space="preserve"> </w:t>
                      </w:r>
                      <w:r w:rsidR="00760C74" w:rsidRPr="00F8465E">
                        <w:rPr>
                          <w:rFonts w:cs="Arial"/>
                          <w:b/>
                        </w:rPr>
                        <w:t xml:space="preserve">is being implemented. </w:t>
                      </w:r>
                    </w:p>
                    <w:p w14:paraId="5544433F" w14:textId="1F3F4985" w:rsidR="00760C74" w:rsidRDefault="00760C74" w:rsidP="009B7592">
                      <w:pPr>
                        <w:numPr>
                          <w:ilvl w:val="0"/>
                          <w:numId w:val="3"/>
                        </w:numPr>
                        <w:ind w:left="72" w:right="432"/>
                        <w:rPr>
                          <w:rFonts w:cs="Arial"/>
                          <w:b/>
                        </w:rPr>
                      </w:pPr>
                    </w:p>
                    <w:p w14:paraId="59AC18FB" w14:textId="06952A84" w:rsidR="00760C74" w:rsidRPr="00715BF4" w:rsidRDefault="00760C74" w:rsidP="009B7592">
                      <w:pPr>
                        <w:numPr>
                          <w:ilvl w:val="0"/>
                          <w:numId w:val="3"/>
                        </w:numPr>
                        <w:ind w:left="72" w:right="432"/>
                        <w:rPr>
                          <w:rFonts w:cs="Arial"/>
                          <w:b/>
                        </w:rPr>
                      </w:pPr>
                    </w:p>
                  </w:txbxContent>
                </v:textbox>
                <w10:anchorlock/>
              </v:shape>
            </w:pict>
          </mc:Fallback>
        </mc:AlternateContent>
      </w:r>
    </w:p>
    <w:p w14:paraId="34A4C048" w14:textId="3963918A" w:rsidR="00715BF4" w:rsidRDefault="00715BF4" w:rsidP="00F24D30">
      <w:pPr>
        <w:rPr>
          <w:rFonts w:cs="Arial"/>
        </w:rPr>
      </w:pPr>
    </w:p>
    <w:p w14:paraId="13C0AC68" w14:textId="43FFB69E" w:rsidR="00E319C7" w:rsidRPr="0075491E" w:rsidRDefault="00E319C7" w:rsidP="0075491E">
      <w:pPr>
        <w:pStyle w:val="Heading2"/>
        <w:numPr>
          <w:ilvl w:val="0"/>
          <w:numId w:val="22"/>
        </w:numPr>
        <w:rPr>
          <w:color w:val="0070C0"/>
          <w:sz w:val="24"/>
          <w:szCs w:val="24"/>
        </w:rPr>
      </w:pPr>
      <w:bookmarkStart w:id="55" w:name="_Toc32279508"/>
      <w:r w:rsidRPr="0075491E">
        <w:rPr>
          <w:color w:val="0070C0"/>
          <w:sz w:val="24"/>
          <w:szCs w:val="24"/>
        </w:rPr>
        <w:t xml:space="preserve">Mechanisms for Implementing </w:t>
      </w:r>
      <w:r w:rsidR="0017488F" w:rsidRPr="0075491E">
        <w:rPr>
          <w:color w:val="0070C0"/>
          <w:sz w:val="24"/>
          <w:szCs w:val="24"/>
        </w:rPr>
        <w:t>Covenant rights and following-up on Concluding Observations</w:t>
      </w:r>
      <w:bookmarkEnd w:id="55"/>
    </w:p>
    <w:p w14:paraId="5ECE53DF" w14:textId="77777777" w:rsidR="00F51710" w:rsidRDefault="00F51710" w:rsidP="00F24D30">
      <w:pPr>
        <w:rPr>
          <w:rFonts w:cs="Arial"/>
        </w:rPr>
      </w:pPr>
    </w:p>
    <w:p w14:paraId="13B76C59" w14:textId="77777777" w:rsidR="003B663B" w:rsidRDefault="0017488F" w:rsidP="00F24D30">
      <w:pPr>
        <w:numPr>
          <w:ilvl w:val="0"/>
          <w:numId w:val="2"/>
        </w:numPr>
        <w:rPr>
          <w:rFonts w:cs="Arial"/>
        </w:rPr>
      </w:pPr>
      <w:r>
        <w:rPr>
          <w:rFonts w:cs="Arial"/>
        </w:rPr>
        <w:t xml:space="preserve">Another longstanding concern of </w:t>
      </w:r>
      <w:r w:rsidR="00065EC1">
        <w:rPr>
          <w:rFonts w:cs="Arial"/>
        </w:rPr>
        <w:t xml:space="preserve">the Committee </w:t>
      </w:r>
      <w:r w:rsidR="00DF7464">
        <w:rPr>
          <w:rFonts w:cs="Arial"/>
        </w:rPr>
        <w:t>has been</w:t>
      </w:r>
      <w:r w:rsidR="00065EC1">
        <w:rPr>
          <w:rFonts w:cs="Arial"/>
        </w:rPr>
        <w:t xml:space="preserve"> the ineffectiveness of FPT mechanisms to </w:t>
      </w:r>
      <w:r w:rsidR="00DF7464">
        <w:rPr>
          <w:rFonts w:cs="Arial"/>
        </w:rPr>
        <w:t xml:space="preserve">implement </w:t>
      </w:r>
      <w:r w:rsidR="00065EC1">
        <w:rPr>
          <w:rFonts w:cs="Arial"/>
        </w:rPr>
        <w:t>the Covenant and to follow up on concerns and recommendations.  The 2017 Inter-Ministerial meeting committed “</w:t>
      </w:r>
      <w:r w:rsidR="00065EC1" w:rsidRPr="00065EC1">
        <w:rPr>
          <w:rFonts w:cs="Arial"/>
        </w:rPr>
        <w:t>to enhance FPT collaboration through a senior level mechanism. They also agreed to modernize the mandate of the intergovernmental Continuing Committee of Officials on Human Rights.  This entails developing a protocol for following up on the recommendations that Canada receives from international human rights bodies and a stakeholder engagement strategy.</w:t>
      </w:r>
      <w:r w:rsidR="00065EC1">
        <w:rPr>
          <w:rFonts w:cs="Arial"/>
        </w:rPr>
        <w:t>”</w:t>
      </w:r>
      <w:r w:rsidR="00DF7464">
        <w:rPr>
          <w:rFonts w:cs="Arial"/>
        </w:rPr>
        <w:t xml:space="preserve">  </w:t>
      </w:r>
    </w:p>
    <w:p w14:paraId="0873EA98" w14:textId="4274BE5A" w:rsidR="00715BF4" w:rsidRPr="003B663B" w:rsidRDefault="00DF7464" w:rsidP="00F24D30">
      <w:pPr>
        <w:numPr>
          <w:ilvl w:val="0"/>
          <w:numId w:val="2"/>
        </w:numPr>
        <w:rPr>
          <w:rFonts w:cs="Arial"/>
        </w:rPr>
      </w:pPr>
      <w:r w:rsidRPr="003B663B">
        <w:rPr>
          <w:rFonts w:cs="Arial"/>
        </w:rPr>
        <w:t>To date, however, there has been no evidence of any follow-up to this commitment.  What is needed is legislation governing the implementation of international human rights, providing for ongoing monitoring of compliance, hearings into systemic issues</w:t>
      </w:r>
      <w:r w:rsidR="00690A0B" w:rsidRPr="003B663B">
        <w:rPr>
          <w:rFonts w:cs="Arial"/>
        </w:rPr>
        <w:t>, meaningful engagement with stakeholders</w:t>
      </w:r>
      <w:r w:rsidR="00B3616F" w:rsidRPr="003B663B">
        <w:rPr>
          <w:rFonts w:cs="Arial"/>
        </w:rPr>
        <w:t xml:space="preserve">, </w:t>
      </w:r>
      <w:r w:rsidR="00690A0B" w:rsidRPr="003B663B">
        <w:rPr>
          <w:rFonts w:cs="Arial"/>
        </w:rPr>
        <w:t>provisions for follow-up on concluding observations and implement</w:t>
      </w:r>
      <w:r w:rsidR="00B3616F" w:rsidRPr="003B663B">
        <w:rPr>
          <w:rFonts w:cs="Arial"/>
        </w:rPr>
        <w:t>ation of</w:t>
      </w:r>
      <w:r w:rsidR="00690A0B" w:rsidRPr="003B663B">
        <w:rPr>
          <w:rFonts w:cs="Arial"/>
        </w:rPr>
        <w:t xml:space="preserve"> </w:t>
      </w:r>
      <w:r w:rsidR="00B3616F" w:rsidRPr="003B663B">
        <w:rPr>
          <w:rFonts w:cs="Arial"/>
        </w:rPr>
        <w:t xml:space="preserve">decisions in optional protocol </w:t>
      </w:r>
      <w:r w:rsidR="00690A0B" w:rsidRPr="003B663B">
        <w:rPr>
          <w:rFonts w:cs="Arial"/>
        </w:rPr>
        <w:t>cases</w:t>
      </w:r>
      <w:r w:rsidR="00B3616F" w:rsidRPr="003B663B">
        <w:rPr>
          <w:rFonts w:cs="Arial"/>
        </w:rPr>
        <w:t>.</w:t>
      </w:r>
    </w:p>
    <w:p w14:paraId="7FB3F35C" w14:textId="77777777" w:rsidR="00065EC1" w:rsidRDefault="00065EC1" w:rsidP="00065EC1">
      <w:pPr>
        <w:rPr>
          <w:rFonts w:cs="Arial"/>
          <w:b/>
        </w:rPr>
      </w:pPr>
    </w:p>
    <w:p w14:paraId="358C1858" w14:textId="77777777" w:rsidR="00065EC1" w:rsidRPr="00C5478C" w:rsidRDefault="00065EC1" w:rsidP="00065EC1">
      <w:pPr>
        <w:ind w:right="-54"/>
        <w:rPr>
          <w:rFonts w:cs="Arial"/>
          <w:b/>
        </w:rPr>
      </w:pPr>
      <w:r>
        <w:rPr>
          <w:rFonts w:cs="Arial"/>
          <w:b/>
          <w:noProof/>
        </w:rPr>
        <w:lastRenderedPageBreak/>
        <mc:AlternateContent>
          <mc:Choice Requires="wps">
            <w:drawing>
              <wp:inline distT="0" distB="0" distL="0" distR="0" wp14:anchorId="5A8EAEA0" wp14:editId="6426E580">
                <wp:extent cx="6035040" cy="1874520"/>
                <wp:effectExtent l="0" t="0" r="60960" b="49530"/>
                <wp:docPr id="18"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5040" cy="1874520"/>
                        </a:xfrm>
                        <a:prstGeom prst="rect">
                          <a:avLst/>
                        </a:prstGeom>
                        <a:solidFill>
                          <a:srgbClr val="F2F2F2"/>
                        </a:solidFill>
                        <a:ln w="9525">
                          <a:solidFill>
                            <a:srgbClr val="000000"/>
                          </a:solidFill>
                          <a:miter lim="800000"/>
                          <a:headEnd/>
                          <a:tailEnd/>
                        </a:ln>
                        <a:effectLst>
                          <a:outerShdw dist="35921" dir="2700000" algn="ctr" rotWithShape="0">
                            <a:srgbClr val="808080"/>
                          </a:outerShdw>
                        </a:effectLst>
                      </wps:spPr>
                      <wps:txbx>
                        <w:txbxContent>
                          <w:p w14:paraId="2DBFBA05" w14:textId="77777777" w:rsidR="00760C74" w:rsidRPr="00065EC1" w:rsidRDefault="00760C74" w:rsidP="009B7592">
                            <w:pPr>
                              <w:numPr>
                                <w:ilvl w:val="0"/>
                                <w:numId w:val="3"/>
                              </w:numPr>
                              <w:ind w:left="72" w:right="432"/>
                              <w:rPr>
                                <w:rFonts w:cs="Arial"/>
                                <w:b/>
                              </w:rPr>
                            </w:pPr>
                            <w:r>
                              <w:rPr>
                                <w:b/>
                                <w:bCs/>
                                <w:u w:val="single"/>
                              </w:rPr>
                              <w:t>Implementation Mechanisms</w:t>
                            </w:r>
                          </w:p>
                          <w:p w14:paraId="65193E3D" w14:textId="5065333F" w:rsidR="00760C74" w:rsidRPr="00B3616F" w:rsidRDefault="00266E97" w:rsidP="00B3616F">
                            <w:pPr>
                              <w:numPr>
                                <w:ilvl w:val="0"/>
                                <w:numId w:val="3"/>
                              </w:numPr>
                              <w:ind w:left="72" w:right="432"/>
                              <w:rPr>
                                <w:rFonts w:cs="Arial"/>
                                <w:b/>
                              </w:rPr>
                            </w:pPr>
                            <w:r>
                              <w:rPr>
                                <w:rFonts w:cs="Arial"/>
                                <w:b/>
                              </w:rPr>
                              <w:t>9</w:t>
                            </w:r>
                            <w:r w:rsidR="007D1F85">
                              <w:rPr>
                                <w:rFonts w:cs="Arial"/>
                                <w:b/>
                              </w:rPr>
                              <w:t xml:space="preserve">. </w:t>
                            </w:r>
                            <w:r w:rsidR="00760C74" w:rsidRPr="00690A0B">
                              <w:rPr>
                                <w:rFonts w:cs="Arial"/>
                                <w:b/>
                              </w:rPr>
                              <w:t xml:space="preserve">We recommend that the Committee request information regarding how the Government of Canada is implementing the commitment made at the 2017 FPT meeting on human rights, to enhance FPT collaboration through a senior level mechanism, to develop a protocol for following up on treaty body recommendations and to develop a stakeholder engagement strategy.   </w:t>
                            </w:r>
                            <w:r w:rsidR="00760C74">
                              <w:rPr>
                                <w:rFonts w:cs="Arial"/>
                                <w:b/>
                              </w:rPr>
                              <w:t xml:space="preserve">The Committee should ask </w:t>
                            </w:r>
                            <w:r w:rsidR="00760C74" w:rsidRPr="00B3616F">
                              <w:rPr>
                                <w:rFonts w:cs="Arial"/>
                                <w:b/>
                              </w:rPr>
                              <w:t>Canada if it would consider adopting legislation to provide for more adequate mechanisms through which to ensure</w:t>
                            </w:r>
                            <w:r w:rsidR="00760C74">
                              <w:rPr>
                                <w:rFonts w:cs="Arial"/>
                                <w:b/>
                              </w:rPr>
                              <w:t xml:space="preserve"> ongoing</w:t>
                            </w:r>
                            <w:r w:rsidR="00760C74" w:rsidRPr="00B3616F">
                              <w:rPr>
                                <w:rFonts w:cs="Arial"/>
                                <w:b/>
                              </w:rPr>
                              <w:t xml:space="preserve"> compliance with the Covenant</w:t>
                            </w:r>
                            <w:r w:rsidR="00760C74">
                              <w:rPr>
                                <w:rFonts w:cs="Arial"/>
                                <w:b/>
                              </w:rPr>
                              <w:t xml:space="preserve"> and</w:t>
                            </w:r>
                            <w:r w:rsidR="00760C74" w:rsidRPr="00B3616F">
                              <w:rPr>
                                <w:rFonts w:cs="Arial"/>
                                <w:b/>
                              </w:rPr>
                              <w:t xml:space="preserve"> to follow up on</w:t>
                            </w:r>
                            <w:r w:rsidR="00760C74">
                              <w:rPr>
                                <w:rFonts w:cs="Arial"/>
                                <w:b/>
                              </w:rPr>
                              <w:t xml:space="preserve"> concerns, recommendations or decisions under the Optional Protocol</w:t>
                            </w:r>
                            <w:r w:rsidR="00760C74" w:rsidRPr="00B3616F">
                              <w:rPr>
                                <w:rFonts w:cs="Arial"/>
                                <w:b/>
                              </w:rPr>
                              <w:t>.</w:t>
                            </w:r>
                          </w:p>
                        </w:txbxContent>
                      </wps:txbx>
                      <wps:bodyPr rot="0" vert="horz" wrap="square" lIns="91440" tIns="45720" rIns="91440" bIns="45720" anchor="t" anchorCtr="0" upright="1">
                        <a:noAutofit/>
                      </wps:bodyPr>
                    </wps:wsp>
                  </a:graphicData>
                </a:graphic>
              </wp:inline>
            </w:drawing>
          </mc:Choice>
          <mc:Fallback>
            <w:pict>
              <v:shape w14:anchorId="5A8EAEA0" id="_x0000_s1035" type="#_x0000_t202" style="width:475.2pt;height:147.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" fillcolor="#f2f2f2">
                <v:shadow on="t"/>
                <v:textbox>
                  <w:txbxContent>
                    <w:p w14:paraId="2DBFBA05" w14:textId="77777777" w:rsidR="00760C74" w:rsidRPr="00065EC1" w:rsidRDefault="00760C74" w:rsidP="009B7592">
                      <w:pPr>
                        <w:numPr>
                          <w:ilvl w:val="0"/>
                          <w:numId w:val="3"/>
                        </w:numPr>
                        <w:ind w:left="72" w:right="432"/>
                        <w:rPr>
                          <w:rFonts w:cs="Arial"/>
                          <w:b/>
                        </w:rPr>
                      </w:pPr>
                      <w:r>
                        <w:rPr>
                          <w:b/>
                          <w:bCs/>
                          <w:u w:val="single"/>
                        </w:rPr>
                        <w:t>Implementation Mechanisms</w:t>
                      </w:r>
                    </w:p>
                    <w:p w14:paraId="65193E3D" w14:textId="5065333F" w:rsidR="00760C74" w:rsidRPr="00B3616F" w:rsidRDefault="00266E97" w:rsidP="00B3616F">
                      <w:pPr>
                        <w:numPr>
                          <w:ilvl w:val="0"/>
                          <w:numId w:val="3"/>
                        </w:numPr>
                        <w:ind w:left="72" w:right="432"/>
                        <w:rPr>
                          <w:rFonts w:cs="Arial"/>
                          <w:b/>
                        </w:rPr>
                      </w:pPr>
                      <w:r>
                        <w:rPr>
                          <w:rFonts w:cs="Arial"/>
                          <w:b/>
                        </w:rPr>
                        <w:t>9</w:t>
                      </w:r>
                      <w:r w:rsidR="007D1F85">
                        <w:rPr>
                          <w:rFonts w:cs="Arial"/>
                          <w:b/>
                        </w:rPr>
                        <w:t xml:space="preserve">. </w:t>
                      </w:r>
                      <w:r w:rsidR="00760C74" w:rsidRPr="00690A0B">
                        <w:rPr>
                          <w:rFonts w:cs="Arial"/>
                          <w:b/>
                        </w:rPr>
                        <w:t xml:space="preserve">We recommend that the Committee request information regarding how the Government of Canada is implementing the commitment made at the 2017 FPT meeting on human rights, to enhance FPT collaboration through a senior level mechanism, to develop a protocol for following up on treaty body recommendations and to develop a stakeholder engagement strategy.   </w:t>
                      </w:r>
                      <w:r w:rsidR="00760C74">
                        <w:rPr>
                          <w:rFonts w:cs="Arial"/>
                          <w:b/>
                        </w:rPr>
                        <w:t xml:space="preserve">The Committee should ask </w:t>
                      </w:r>
                      <w:r w:rsidR="00760C74" w:rsidRPr="00B3616F">
                        <w:rPr>
                          <w:rFonts w:cs="Arial"/>
                          <w:b/>
                        </w:rPr>
                        <w:t>Canada if it would consider adopting legislation to provide for more adequate mechanisms through which to ensure</w:t>
                      </w:r>
                      <w:r w:rsidR="00760C74">
                        <w:rPr>
                          <w:rFonts w:cs="Arial"/>
                          <w:b/>
                        </w:rPr>
                        <w:t xml:space="preserve"> ongoing</w:t>
                      </w:r>
                      <w:r w:rsidR="00760C74" w:rsidRPr="00B3616F">
                        <w:rPr>
                          <w:rFonts w:cs="Arial"/>
                          <w:b/>
                        </w:rPr>
                        <w:t xml:space="preserve"> compliance with the Covenant</w:t>
                      </w:r>
                      <w:r w:rsidR="00760C74">
                        <w:rPr>
                          <w:rFonts w:cs="Arial"/>
                          <w:b/>
                        </w:rPr>
                        <w:t xml:space="preserve"> and</w:t>
                      </w:r>
                      <w:r w:rsidR="00760C74" w:rsidRPr="00B3616F">
                        <w:rPr>
                          <w:rFonts w:cs="Arial"/>
                          <w:b/>
                        </w:rPr>
                        <w:t xml:space="preserve"> to follow up on</w:t>
                      </w:r>
                      <w:r w:rsidR="00760C74">
                        <w:rPr>
                          <w:rFonts w:cs="Arial"/>
                          <w:b/>
                        </w:rPr>
                        <w:t xml:space="preserve"> concerns, recommendations or decisions under the Optional Protocol</w:t>
                      </w:r>
                      <w:r w:rsidR="00760C74" w:rsidRPr="00B3616F">
                        <w:rPr>
                          <w:rFonts w:cs="Arial"/>
                          <w:b/>
                        </w:rPr>
                        <w:t>.</w:t>
                      </w:r>
                    </w:p>
                  </w:txbxContent>
                </v:textbox>
                <w10:anchorlock/>
              </v:shape>
            </w:pict>
          </mc:Fallback>
        </mc:AlternateContent>
      </w:r>
    </w:p>
    <w:p w14:paraId="61895303" w14:textId="00E9E6C3" w:rsidR="00BF2D5B" w:rsidRPr="0075491E" w:rsidRDefault="00BF2D5B" w:rsidP="0075491E">
      <w:pPr>
        <w:pStyle w:val="Heading2"/>
        <w:numPr>
          <w:ilvl w:val="0"/>
          <w:numId w:val="22"/>
        </w:numPr>
        <w:rPr>
          <w:color w:val="0070C0"/>
          <w:sz w:val="24"/>
          <w:szCs w:val="24"/>
        </w:rPr>
      </w:pPr>
      <w:bookmarkStart w:id="56" w:name="_Toc32279509"/>
      <w:r w:rsidRPr="0075491E">
        <w:rPr>
          <w:color w:val="0070C0"/>
          <w:sz w:val="24"/>
          <w:szCs w:val="24"/>
        </w:rPr>
        <w:t>Ensuring Access to Effective Systemic Remedies Through Rights Based Strategies</w:t>
      </w:r>
      <w:bookmarkEnd w:id="56"/>
    </w:p>
    <w:p w14:paraId="28466D0E" w14:textId="77777777" w:rsidR="003B663B" w:rsidRPr="003B663B" w:rsidRDefault="003B663B" w:rsidP="003B663B"/>
    <w:p w14:paraId="3BA437AB" w14:textId="133B146E" w:rsidR="002B045D" w:rsidRPr="00334353" w:rsidRDefault="0077779F" w:rsidP="0077779F">
      <w:pPr>
        <w:numPr>
          <w:ilvl w:val="0"/>
          <w:numId w:val="2"/>
        </w:numPr>
        <w:rPr>
          <w:rFonts w:cs="Arial"/>
        </w:rPr>
      </w:pPr>
      <w:r w:rsidRPr="003B663B">
        <w:rPr>
          <w:rFonts w:cs="Arial"/>
        </w:rPr>
        <w:t xml:space="preserve">An important positive development in access to justice </w:t>
      </w:r>
      <w:r w:rsidR="00585D93" w:rsidRPr="003B663B">
        <w:rPr>
          <w:rFonts w:cs="Arial"/>
        </w:rPr>
        <w:t xml:space="preserve">was </w:t>
      </w:r>
      <w:r w:rsidRPr="003B663B">
        <w:rPr>
          <w:rFonts w:cs="Arial"/>
        </w:rPr>
        <w:t xml:space="preserve">the passing </w:t>
      </w:r>
      <w:r w:rsidR="003B663B">
        <w:rPr>
          <w:rFonts w:cs="Arial"/>
        </w:rPr>
        <w:t xml:space="preserve">of the </w:t>
      </w:r>
      <w:hyperlink r:id="rId21" w:history="1">
        <w:r w:rsidRPr="003B663B">
          <w:rPr>
            <w:rStyle w:val="Hyperlink"/>
            <w:rFonts w:cs="Arial"/>
            <w:i/>
            <w:iCs/>
          </w:rPr>
          <w:t>National Housing Strategy Act</w:t>
        </w:r>
        <w:r w:rsidR="002B045D" w:rsidRPr="003B663B">
          <w:rPr>
            <w:rStyle w:val="Hyperlink"/>
            <w:rFonts w:cs="Arial"/>
            <w:i/>
            <w:iCs/>
          </w:rPr>
          <w:t xml:space="preserve"> (2019)</w:t>
        </w:r>
        <w:r w:rsidRPr="003B663B">
          <w:rPr>
            <w:rStyle w:val="Hyperlink"/>
            <w:rFonts w:cs="Arial"/>
          </w:rPr>
          <w:t xml:space="preserve"> (</w:t>
        </w:r>
        <w:r w:rsidRPr="003B663B">
          <w:rPr>
            <w:rStyle w:val="Hyperlink"/>
            <w:rFonts w:cs="Arial"/>
            <w:i/>
            <w:iCs/>
          </w:rPr>
          <w:t>NHS Act</w:t>
        </w:r>
        <w:r w:rsidRPr="003B663B">
          <w:rPr>
            <w:rStyle w:val="Hyperlink"/>
            <w:rFonts w:cs="Arial"/>
          </w:rPr>
          <w:t>.</w:t>
        </w:r>
      </w:hyperlink>
      <w:r w:rsidRPr="003B663B">
        <w:rPr>
          <w:rFonts w:cs="Arial"/>
        </w:rPr>
        <w:t xml:space="preserve">) </w:t>
      </w:r>
      <w:r w:rsidR="003C6E18" w:rsidRPr="003B663B">
        <w:rPr>
          <w:rFonts w:cs="Arial"/>
        </w:rPr>
        <w:t xml:space="preserve"> A</w:t>
      </w:r>
      <w:r w:rsidRPr="003B663B">
        <w:rPr>
          <w:rFonts w:cs="Arial"/>
        </w:rPr>
        <w:t xml:space="preserve">s described in the submissions of the National Right to Housing Network, </w:t>
      </w:r>
      <w:r w:rsidR="003C6E18" w:rsidRPr="003B663B">
        <w:rPr>
          <w:rFonts w:cs="Arial"/>
        </w:rPr>
        <w:t>the NHS Act affirms</w:t>
      </w:r>
      <w:r w:rsidR="003B663B">
        <w:rPr>
          <w:rFonts w:cs="Arial"/>
        </w:rPr>
        <w:t>,</w:t>
      </w:r>
      <w:r w:rsidR="003C6E18" w:rsidRPr="003B663B">
        <w:rPr>
          <w:rFonts w:cs="Arial"/>
        </w:rPr>
        <w:t xml:space="preserve"> for </w:t>
      </w:r>
      <w:r w:rsidRPr="003B663B">
        <w:rPr>
          <w:rFonts w:cs="Arial"/>
        </w:rPr>
        <w:t>the first time in Canadian law, that</w:t>
      </w:r>
      <w:r w:rsidR="003B663B">
        <w:rPr>
          <w:rFonts w:cs="Arial"/>
        </w:rPr>
        <w:t xml:space="preserve"> the Canadian government recognizes</w:t>
      </w:r>
      <w:r w:rsidRPr="003B663B">
        <w:rPr>
          <w:rFonts w:cs="Arial"/>
        </w:rPr>
        <w:t xml:space="preserve"> the right to housing is a fundamental</w:t>
      </w:r>
      <w:r w:rsidR="00585D93" w:rsidRPr="003B663B">
        <w:rPr>
          <w:rFonts w:cs="Arial"/>
        </w:rPr>
        <w:t xml:space="preserve"> human</w:t>
      </w:r>
      <w:r w:rsidRPr="003B663B">
        <w:rPr>
          <w:rFonts w:cs="Arial"/>
        </w:rPr>
        <w:t xml:space="preserve"> right</w:t>
      </w:r>
      <w:r w:rsidR="003C6E18" w:rsidRPr="003B663B">
        <w:rPr>
          <w:rFonts w:cs="Arial"/>
        </w:rPr>
        <w:t xml:space="preserve"> and commits to its progressive realization</w:t>
      </w:r>
      <w:r w:rsidRPr="003B663B">
        <w:rPr>
          <w:rFonts w:cs="Arial"/>
        </w:rPr>
        <w:t xml:space="preserve">.  While </w:t>
      </w:r>
      <w:r w:rsidR="003C6E18" w:rsidRPr="003B663B">
        <w:rPr>
          <w:rFonts w:cs="Arial"/>
        </w:rPr>
        <w:t xml:space="preserve">the </w:t>
      </w:r>
      <w:r w:rsidR="003C6E18" w:rsidRPr="003B663B">
        <w:rPr>
          <w:rFonts w:cs="Arial"/>
          <w:i/>
          <w:iCs/>
        </w:rPr>
        <w:t>NHS Act</w:t>
      </w:r>
      <w:r w:rsidRPr="003B663B">
        <w:rPr>
          <w:rFonts w:cs="Arial"/>
        </w:rPr>
        <w:t xml:space="preserve"> </w:t>
      </w:r>
      <w:r w:rsidR="00585D93" w:rsidRPr="003B663B">
        <w:rPr>
          <w:rFonts w:cs="Arial"/>
        </w:rPr>
        <w:t xml:space="preserve">includes </w:t>
      </w:r>
      <w:proofErr w:type="gramStart"/>
      <w:r w:rsidR="00585D93" w:rsidRPr="003B663B">
        <w:rPr>
          <w:rFonts w:cs="Arial"/>
        </w:rPr>
        <w:t>all of</w:t>
      </w:r>
      <w:proofErr w:type="gramEnd"/>
      <w:r w:rsidR="00585D93" w:rsidRPr="003B663B">
        <w:rPr>
          <w:rFonts w:cs="Arial"/>
        </w:rPr>
        <w:t xml:space="preserve"> the components previously identified by the CESCR as </w:t>
      </w:r>
      <w:r w:rsidR="003B663B">
        <w:rPr>
          <w:rFonts w:cs="Arial"/>
        </w:rPr>
        <w:t xml:space="preserve">components of </w:t>
      </w:r>
      <w:r w:rsidR="00585D93" w:rsidRPr="003B663B">
        <w:rPr>
          <w:rFonts w:cs="Arial"/>
        </w:rPr>
        <w:t xml:space="preserve">a rights-based strategy (goals and timelines, independent monitoring, complaints procedure with access to hearings, provision for remedial responses). </w:t>
      </w:r>
      <w:r w:rsidR="003C6E18" w:rsidRPr="003B663B">
        <w:rPr>
          <w:rFonts w:cs="Arial"/>
        </w:rPr>
        <w:t xml:space="preserve"> A</w:t>
      </w:r>
      <w:r w:rsidRPr="003B663B">
        <w:rPr>
          <w:rFonts w:cs="Arial"/>
        </w:rPr>
        <w:t xml:space="preserve">ffected groups can make submissions regarding systemic issues to </w:t>
      </w:r>
      <w:r w:rsidR="003C6E18" w:rsidRPr="003B663B">
        <w:rPr>
          <w:rFonts w:cs="Arial"/>
        </w:rPr>
        <w:t>the Federal</w:t>
      </w:r>
      <w:r w:rsidRPr="003B663B">
        <w:rPr>
          <w:rFonts w:cs="Arial"/>
        </w:rPr>
        <w:t xml:space="preserve"> Housing Advocate and </w:t>
      </w:r>
      <w:r w:rsidR="003C6E18" w:rsidRPr="003B663B">
        <w:rPr>
          <w:rFonts w:cs="Arial"/>
        </w:rPr>
        <w:t xml:space="preserve">selective </w:t>
      </w:r>
      <w:r w:rsidR="003B663B">
        <w:rPr>
          <w:rFonts w:cs="Arial"/>
        </w:rPr>
        <w:t xml:space="preserve">systemic </w:t>
      </w:r>
      <w:r w:rsidR="003C6E18" w:rsidRPr="003B663B">
        <w:rPr>
          <w:rFonts w:cs="Arial"/>
        </w:rPr>
        <w:t xml:space="preserve">issues </w:t>
      </w:r>
      <w:r w:rsidR="003B663B">
        <w:rPr>
          <w:rFonts w:cs="Arial"/>
        </w:rPr>
        <w:t xml:space="preserve">are </w:t>
      </w:r>
      <w:r w:rsidR="003C6E18" w:rsidRPr="003B663B">
        <w:rPr>
          <w:rFonts w:cs="Arial"/>
        </w:rPr>
        <w:t>referred to a</w:t>
      </w:r>
      <w:r w:rsidRPr="003B663B">
        <w:rPr>
          <w:rFonts w:cs="Arial"/>
        </w:rPr>
        <w:t xml:space="preserve"> Review Panel</w:t>
      </w:r>
      <w:r w:rsidR="003C6E18" w:rsidRPr="003B663B">
        <w:rPr>
          <w:rFonts w:cs="Arial"/>
        </w:rPr>
        <w:t xml:space="preserve"> for hearings</w:t>
      </w:r>
      <w:r w:rsidRPr="003B663B">
        <w:rPr>
          <w:rFonts w:cs="Arial"/>
        </w:rPr>
        <w:t>.  The government must respond</w:t>
      </w:r>
      <w:r w:rsidR="00585D93" w:rsidRPr="003B663B">
        <w:rPr>
          <w:rFonts w:cs="Arial"/>
        </w:rPr>
        <w:t xml:space="preserve"> </w:t>
      </w:r>
      <w:r w:rsidRPr="003B663B">
        <w:rPr>
          <w:rFonts w:cs="Arial"/>
        </w:rPr>
        <w:t xml:space="preserve">to any remedial recommendations within 120 days. </w:t>
      </w:r>
      <w:r w:rsidR="003C6E18" w:rsidRPr="003B663B">
        <w:rPr>
          <w:rFonts w:cs="Arial"/>
        </w:rPr>
        <w:t xml:space="preserve"> </w:t>
      </w:r>
      <w:r w:rsidR="003B663B">
        <w:rPr>
          <w:rFonts w:cs="Arial"/>
        </w:rPr>
        <w:t>The NHS Act does not provide for judicial remedies, but t</w:t>
      </w:r>
      <w:r w:rsidRPr="003B663B">
        <w:rPr>
          <w:rFonts w:cs="Arial"/>
        </w:rPr>
        <w:t xml:space="preserve">he </w:t>
      </w:r>
      <w:r w:rsidR="003B663B">
        <w:rPr>
          <w:rFonts w:cs="Arial"/>
        </w:rPr>
        <w:t xml:space="preserve">alternative </w:t>
      </w:r>
      <w:r w:rsidRPr="003B663B">
        <w:rPr>
          <w:rFonts w:cs="Arial"/>
        </w:rPr>
        <w:t xml:space="preserve">accountability mechanisms </w:t>
      </w:r>
      <w:r w:rsidR="003B663B">
        <w:rPr>
          <w:rFonts w:cs="Arial"/>
        </w:rPr>
        <w:t xml:space="preserve">provided for </w:t>
      </w:r>
      <w:r w:rsidRPr="003B663B">
        <w:rPr>
          <w:rFonts w:cs="Arial"/>
        </w:rPr>
        <w:t>should complement and reinforce access to judicial remedies under the Canadian Charter and should not be considered a substitute for such remedies.</w:t>
      </w:r>
    </w:p>
    <w:p w14:paraId="5937F86B" w14:textId="77777777" w:rsidR="002B045D" w:rsidRPr="00C5478C" w:rsidRDefault="002B045D" w:rsidP="002B045D">
      <w:pPr>
        <w:ind w:right="-54"/>
        <w:rPr>
          <w:rFonts w:cs="Arial"/>
          <w:b/>
        </w:rPr>
      </w:pPr>
      <w:r>
        <w:rPr>
          <w:rFonts w:cs="Arial"/>
          <w:b/>
          <w:noProof/>
        </w:rPr>
        <mc:AlternateContent>
          <mc:Choice Requires="wps">
            <w:drawing>
              <wp:inline distT="0" distB="0" distL="0" distR="0" wp14:anchorId="298BB821" wp14:editId="06E9D138">
                <wp:extent cx="6035040" cy="2042160"/>
                <wp:effectExtent l="0" t="0" r="60960" b="53340"/>
                <wp:docPr id="21"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5040" cy="2042160"/>
                        </a:xfrm>
                        <a:prstGeom prst="rect">
                          <a:avLst/>
                        </a:prstGeom>
                        <a:solidFill>
                          <a:srgbClr val="F2F2F2"/>
                        </a:solidFill>
                        <a:ln w="9525">
                          <a:solidFill>
                            <a:srgbClr val="000000"/>
                          </a:solidFill>
                          <a:miter lim="800000"/>
                          <a:headEnd/>
                          <a:tailEnd/>
                        </a:ln>
                        <a:effectLst>
                          <a:outerShdw dist="35921" dir="2700000" algn="ctr" rotWithShape="0">
                            <a:srgbClr val="808080"/>
                          </a:outerShdw>
                        </a:effectLst>
                      </wps:spPr>
                      <wps:txbx>
                        <w:txbxContent>
                          <w:p w14:paraId="4D8656AA" w14:textId="2744FD3F" w:rsidR="007D1F85" w:rsidRDefault="007D1F85" w:rsidP="002B045D">
                            <w:pPr>
                              <w:ind w:right="432"/>
                              <w:rPr>
                                <w:b/>
                                <w:bCs/>
                                <w:u w:val="single"/>
                              </w:rPr>
                            </w:pPr>
                            <w:r>
                              <w:rPr>
                                <w:b/>
                                <w:bCs/>
                                <w:u w:val="single"/>
                              </w:rPr>
                              <w:t>Access to Justice through legislated rights-based strategies</w:t>
                            </w:r>
                          </w:p>
                          <w:p w14:paraId="13DAD0A5" w14:textId="6F2A0084" w:rsidR="00760C74" w:rsidRPr="00715BF4" w:rsidRDefault="00266E97" w:rsidP="002B045D">
                            <w:pPr>
                              <w:ind w:right="432"/>
                              <w:rPr>
                                <w:rFonts w:cs="Arial"/>
                                <w:b/>
                              </w:rPr>
                            </w:pPr>
                            <w:r>
                              <w:rPr>
                                <w:rFonts w:cs="Arial"/>
                                <w:b/>
                              </w:rPr>
                              <w:t>10</w:t>
                            </w:r>
                            <w:r w:rsidR="007D1F85">
                              <w:rPr>
                                <w:rFonts w:cs="Arial"/>
                                <w:b/>
                              </w:rPr>
                              <w:t xml:space="preserve">. </w:t>
                            </w:r>
                            <w:r w:rsidR="00334353">
                              <w:rPr>
                                <w:rFonts w:cs="Arial"/>
                                <w:b/>
                              </w:rPr>
                              <w:t xml:space="preserve">The </w:t>
                            </w:r>
                            <w:r w:rsidR="00760C74">
                              <w:rPr>
                                <w:rFonts w:cs="Arial"/>
                                <w:b/>
                              </w:rPr>
                              <w:t xml:space="preserve">NHS Act </w:t>
                            </w:r>
                            <w:r w:rsidR="00334353">
                              <w:rPr>
                                <w:rFonts w:cs="Arial"/>
                                <w:b/>
                              </w:rPr>
                              <w:t xml:space="preserve">should be recognized </w:t>
                            </w:r>
                            <w:r w:rsidR="00760C74">
                              <w:rPr>
                                <w:rFonts w:cs="Arial"/>
                                <w:b/>
                              </w:rPr>
                              <w:t>as a very positive advance in the implementation of the ICESCR within federal jurisdiction.  We recommend that Canada be asked to provide information about co-ordination of goals and timelines and other commitments with provinces and territories, and about whether each province and territory plans to</w:t>
                            </w:r>
                            <w:r w:rsidR="00334353">
                              <w:rPr>
                                <w:rFonts w:cs="Arial"/>
                                <w:b/>
                              </w:rPr>
                              <w:t xml:space="preserve"> adopt</w:t>
                            </w:r>
                            <w:r w:rsidR="00760C74">
                              <w:rPr>
                                <w:rFonts w:cs="Arial"/>
                                <w:b/>
                              </w:rPr>
                              <w:t>, or has adopted, similar legislation to ensure accountability to the right to housing</w:t>
                            </w:r>
                            <w:r w:rsidR="00334353">
                              <w:rPr>
                                <w:rFonts w:cs="Arial"/>
                                <w:b/>
                              </w:rPr>
                              <w:t xml:space="preserve"> or other ESC rights</w:t>
                            </w:r>
                            <w:r w:rsidR="00760C74">
                              <w:rPr>
                                <w:rFonts w:cs="Arial"/>
                                <w:b/>
                              </w:rPr>
                              <w:t xml:space="preserve">.  The Committee </w:t>
                            </w:r>
                            <w:r w:rsidR="00334353">
                              <w:rPr>
                                <w:rFonts w:cs="Arial"/>
                                <w:b/>
                              </w:rPr>
                              <w:t>sh</w:t>
                            </w:r>
                            <w:r w:rsidR="00760C74">
                              <w:rPr>
                                <w:rFonts w:cs="Arial"/>
                                <w:b/>
                              </w:rPr>
                              <w:t xml:space="preserve">ould also </w:t>
                            </w:r>
                            <w:r w:rsidR="00334353">
                              <w:rPr>
                                <w:rFonts w:cs="Arial"/>
                                <w:b/>
                              </w:rPr>
                              <w:t xml:space="preserve">inquire </w:t>
                            </w:r>
                            <w:r w:rsidR="00760C74">
                              <w:rPr>
                                <w:rFonts w:cs="Arial"/>
                                <w:b/>
                              </w:rPr>
                              <w:t xml:space="preserve">whether Canada intends to adopt similar legislation to implement the right to food security, the right to social security/freedom from poverty, the </w:t>
                            </w:r>
                            <w:proofErr w:type="gramStart"/>
                            <w:r w:rsidR="00760C74">
                              <w:rPr>
                                <w:rFonts w:cs="Arial"/>
                                <w:b/>
                              </w:rPr>
                              <w:t>right  to</w:t>
                            </w:r>
                            <w:proofErr w:type="gramEnd"/>
                            <w:r w:rsidR="00760C74">
                              <w:rPr>
                                <w:rFonts w:cs="Arial"/>
                                <w:b/>
                              </w:rPr>
                              <w:t xml:space="preserve"> education and other Covenant rights. </w:t>
                            </w:r>
                          </w:p>
                        </w:txbxContent>
                      </wps:txbx>
                      <wps:bodyPr rot="0" vert="horz" wrap="square" lIns="91440" tIns="45720" rIns="91440" bIns="45720" anchor="t" anchorCtr="0" upright="1">
                        <a:noAutofit/>
                      </wps:bodyPr>
                    </wps:wsp>
                  </a:graphicData>
                </a:graphic>
              </wp:inline>
            </w:drawing>
          </mc:Choice>
          <mc:Fallback>
            <w:pict>
              <v:shape w14:anchorId="298BB821" id="_x0000_s1036" type="#_x0000_t202" style="width:475.2pt;height:160.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" fillcolor="#f2f2f2">
                <v:shadow on="t"/>
                <v:textbox>
                  <w:txbxContent>
                    <w:p w14:paraId="4D8656AA" w14:textId="2744FD3F" w:rsidR="007D1F85" w:rsidRDefault="007D1F85" w:rsidP="002B045D">
                      <w:pPr>
                        <w:ind w:right="432"/>
                        <w:rPr>
                          <w:b/>
                          <w:bCs/>
                          <w:u w:val="single"/>
                        </w:rPr>
                      </w:pPr>
                      <w:r>
                        <w:rPr>
                          <w:b/>
                          <w:bCs/>
                          <w:u w:val="single"/>
                        </w:rPr>
                        <w:t>Access to Justice through legislated rights-based strategies</w:t>
                      </w:r>
                    </w:p>
                    <w:p w14:paraId="13DAD0A5" w14:textId="6F2A0084" w:rsidR="00760C74" w:rsidRPr="00715BF4" w:rsidRDefault="00266E97" w:rsidP="002B045D">
                      <w:pPr>
                        <w:ind w:right="432"/>
                        <w:rPr>
                          <w:rFonts w:cs="Arial"/>
                          <w:b/>
                        </w:rPr>
                      </w:pPr>
                      <w:r>
                        <w:rPr>
                          <w:rFonts w:cs="Arial"/>
                          <w:b/>
                        </w:rPr>
                        <w:t>10</w:t>
                      </w:r>
                      <w:r w:rsidR="007D1F85">
                        <w:rPr>
                          <w:rFonts w:cs="Arial"/>
                          <w:b/>
                        </w:rPr>
                        <w:t xml:space="preserve">. </w:t>
                      </w:r>
                      <w:r w:rsidR="00334353">
                        <w:rPr>
                          <w:rFonts w:cs="Arial"/>
                          <w:b/>
                        </w:rPr>
                        <w:t xml:space="preserve">The </w:t>
                      </w:r>
                      <w:r w:rsidR="00760C74">
                        <w:rPr>
                          <w:rFonts w:cs="Arial"/>
                          <w:b/>
                        </w:rPr>
                        <w:t xml:space="preserve">NHS Act </w:t>
                      </w:r>
                      <w:r w:rsidR="00334353">
                        <w:rPr>
                          <w:rFonts w:cs="Arial"/>
                          <w:b/>
                        </w:rPr>
                        <w:t xml:space="preserve">should be recognized </w:t>
                      </w:r>
                      <w:r w:rsidR="00760C74">
                        <w:rPr>
                          <w:rFonts w:cs="Arial"/>
                          <w:b/>
                        </w:rPr>
                        <w:t>as a very positive advance in the implementation of the ICESCR within federal jurisdiction.  We recommend that Canada be asked to provide information about co-ordination of goals and timelines and other commitments with provinces and territories, and about whether each province and territory plans to</w:t>
                      </w:r>
                      <w:r w:rsidR="00334353">
                        <w:rPr>
                          <w:rFonts w:cs="Arial"/>
                          <w:b/>
                        </w:rPr>
                        <w:t xml:space="preserve"> adopt</w:t>
                      </w:r>
                      <w:r w:rsidR="00760C74">
                        <w:rPr>
                          <w:rFonts w:cs="Arial"/>
                          <w:b/>
                        </w:rPr>
                        <w:t>, or has adopted, similar legislation to ensure accountability to the right to housing</w:t>
                      </w:r>
                      <w:r w:rsidR="00334353">
                        <w:rPr>
                          <w:rFonts w:cs="Arial"/>
                          <w:b/>
                        </w:rPr>
                        <w:t xml:space="preserve"> or other ESC rights</w:t>
                      </w:r>
                      <w:r w:rsidR="00760C74">
                        <w:rPr>
                          <w:rFonts w:cs="Arial"/>
                          <w:b/>
                        </w:rPr>
                        <w:t xml:space="preserve">.  The Committee </w:t>
                      </w:r>
                      <w:r w:rsidR="00334353">
                        <w:rPr>
                          <w:rFonts w:cs="Arial"/>
                          <w:b/>
                        </w:rPr>
                        <w:t>sh</w:t>
                      </w:r>
                      <w:r w:rsidR="00760C74">
                        <w:rPr>
                          <w:rFonts w:cs="Arial"/>
                          <w:b/>
                        </w:rPr>
                        <w:t xml:space="preserve">ould also </w:t>
                      </w:r>
                      <w:r w:rsidR="00334353">
                        <w:rPr>
                          <w:rFonts w:cs="Arial"/>
                          <w:b/>
                        </w:rPr>
                        <w:t xml:space="preserve">inquire </w:t>
                      </w:r>
                      <w:r w:rsidR="00760C74">
                        <w:rPr>
                          <w:rFonts w:cs="Arial"/>
                          <w:b/>
                        </w:rPr>
                        <w:t xml:space="preserve">whether Canada intends to adopt similar legislation to implement the right to food security, the right to social security/freedom from poverty, the </w:t>
                      </w:r>
                      <w:proofErr w:type="gramStart"/>
                      <w:r w:rsidR="00760C74">
                        <w:rPr>
                          <w:rFonts w:cs="Arial"/>
                          <w:b/>
                        </w:rPr>
                        <w:t>right  to</w:t>
                      </w:r>
                      <w:proofErr w:type="gramEnd"/>
                      <w:r w:rsidR="00760C74">
                        <w:rPr>
                          <w:rFonts w:cs="Arial"/>
                          <w:b/>
                        </w:rPr>
                        <w:t xml:space="preserve"> education and other Covenant rights. </w:t>
                      </w:r>
                    </w:p>
                  </w:txbxContent>
                </v:textbox>
                <w10:anchorlock/>
              </v:shape>
            </w:pict>
          </mc:Fallback>
        </mc:AlternateContent>
      </w:r>
    </w:p>
    <w:p w14:paraId="5342177B" w14:textId="77777777" w:rsidR="002B045D" w:rsidRDefault="002B045D" w:rsidP="002B045D">
      <w:pPr>
        <w:rPr>
          <w:rFonts w:cs="Arial"/>
          <w:b/>
          <w:bCs/>
          <w:u w:val="single"/>
        </w:rPr>
      </w:pPr>
    </w:p>
    <w:p w14:paraId="753F7010" w14:textId="57F67D00" w:rsidR="005F27AA" w:rsidRPr="0075491E" w:rsidRDefault="005F27AA" w:rsidP="0075491E">
      <w:pPr>
        <w:pStyle w:val="Heading2"/>
        <w:numPr>
          <w:ilvl w:val="0"/>
          <w:numId w:val="22"/>
        </w:numPr>
        <w:rPr>
          <w:color w:val="0070C0"/>
          <w:sz w:val="24"/>
          <w:szCs w:val="24"/>
        </w:rPr>
      </w:pPr>
      <w:bookmarkStart w:id="57" w:name="_Toc442138314"/>
      <w:bookmarkStart w:id="58" w:name="_Toc442138350"/>
      <w:bookmarkStart w:id="59" w:name="_Toc32279510"/>
      <w:r w:rsidRPr="0075491E">
        <w:rPr>
          <w:color w:val="0070C0"/>
          <w:sz w:val="24"/>
          <w:szCs w:val="24"/>
        </w:rPr>
        <w:t xml:space="preserve">Inter-Governmental </w:t>
      </w:r>
      <w:r w:rsidR="00C4262C" w:rsidRPr="0075491E">
        <w:rPr>
          <w:color w:val="0070C0"/>
          <w:sz w:val="24"/>
          <w:szCs w:val="24"/>
        </w:rPr>
        <w:t xml:space="preserve">Framework </w:t>
      </w:r>
      <w:r w:rsidRPr="0075491E">
        <w:rPr>
          <w:color w:val="0070C0"/>
          <w:sz w:val="24"/>
          <w:szCs w:val="24"/>
        </w:rPr>
        <w:t xml:space="preserve">Agreement </w:t>
      </w:r>
      <w:r w:rsidR="00C4262C" w:rsidRPr="0075491E">
        <w:rPr>
          <w:color w:val="0070C0"/>
          <w:sz w:val="24"/>
          <w:szCs w:val="24"/>
        </w:rPr>
        <w:t>to Guarantee ESC rights</w:t>
      </w:r>
      <w:bookmarkEnd w:id="59"/>
      <w:r w:rsidR="00C4262C" w:rsidRPr="0075491E">
        <w:rPr>
          <w:color w:val="0070C0"/>
          <w:sz w:val="24"/>
          <w:szCs w:val="24"/>
        </w:rPr>
        <w:t xml:space="preserve"> </w:t>
      </w:r>
      <w:bookmarkEnd w:id="57"/>
      <w:bookmarkEnd w:id="58"/>
    </w:p>
    <w:p w14:paraId="758A5BF3" w14:textId="77777777" w:rsidR="00C4262C" w:rsidRPr="00C4262C" w:rsidRDefault="00C4262C" w:rsidP="00C4262C"/>
    <w:p w14:paraId="3591BBFA" w14:textId="77777777" w:rsidR="00334353" w:rsidRDefault="005F27AA" w:rsidP="00334353">
      <w:pPr>
        <w:numPr>
          <w:ilvl w:val="0"/>
          <w:numId w:val="2"/>
        </w:numPr>
        <w:rPr>
          <w:rFonts w:cs="Arial"/>
        </w:rPr>
      </w:pPr>
      <w:r w:rsidRPr="0072310C">
        <w:rPr>
          <w:rFonts w:cs="Arial"/>
        </w:rPr>
        <w:t xml:space="preserve">During the last round of constitutional negotiations in 1992, a </w:t>
      </w:r>
      <w:hyperlink r:id="rId22" w:history="1">
        <w:r w:rsidRPr="00334353">
          <w:rPr>
            <w:rStyle w:val="Hyperlink"/>
            <w:rFonts w:cs="Arial"/>
          </w:rPr>
          <w:t>social charter</w:t>
        </w:r>
      </w:hyperlink>
      <w:r w:rsidRPr="0072310C">
        <w:rPr>
          <w:rFonts w:cs="Arial"/>
        </w:rPr>
        <w:t xml:space="preserve"> was proposed and endorsed by over forty national organizations as a means to provide enhanced accountability for ESC rights within the context of a renewed federalism.  There has been little appetite for constitutional reform in Canada since</w:t>
      </w:r>
      <w:r>
        <w:rPr>
          <w:rFonts w:cs="Arial"/>
        </w:rPr>
        <w:t xml:space="preserve"> that time and such reform is not on the agenda at present</w:t>
      </w:r>
      <w:r w:rsidRPr="0072310C">
        <w:rPr>
          <w:rFonts w:cs="Arial"/>
        </w:rPr>
        <w:t xml:space="preserve">.  However, a social charter </w:t>
      </w:r>
      <w:r w:rsidR="00334353">
        <w:rPr>
          <w:rFonts w:cs="Arial"/>
        </w:rPr>
        <w:t xml:space="preserve">along the same lines </w:t>
      </w:r>
      <w:r w:rsidRPr="0072310C">
        <w:rPr>
          <w:rFonts w:cs="Arial"/>
        </w:rPr>
        <w:t>could be enacted through</w:t>
      </w:r>
      <w:r w:rsidR="00334353">
        <w:rPr>
          <w:rFonts w:cs="Arial"/>
        </w:rPr>
        <w:t xml:space="preserve"> legislation and</w:t>
      </w:r>
      <w:r w:rsidRPr="0072310C">
        <w:rPr>
          <w:rFonts w:cs="Arial"/>
        </w:rPr>
        <w:t xml:space="preserve"> inter-governmental agreements, without constitutional amendment, built on the joint constitutional commitments in section 36 of the Constitution Act 1982 and the obligations of all governments in Canada under the ICESCR</w:t>
      </w:r>
      <w:r>
        <w:rPr>
          <w:rFonts w:cs="Arial"/>
        </w:rPr>
        <w:t xml:space="preserve"> and other international human rights law</w:t>
      </w:r>
      <w:r w:rsidRPr="0072310C">
        <w:rPr>
          <w:rFonts w:cs="Arial"/>
        </w:rPr>
        <w:t>.</w:t>
      </w:r>
      <w:r w:rsidR="00343CAB">
        <w:rPr>
          <w:rFonts w:cs="Arial"/>
        </w:rPr>
        <w:t xml:space="preserve">  </w:t>
      </w:r>
    </w:p>
    <w:p w14:paraId="581042C9" w14:textId="02068804" w:rsidR="003B6239" w:rsidRPr="007D1F85" w:rsidRDefault="00343CAB" w:rsidP="007D1F85">
      <w:pPr>
        <w:numPr>
          <w:ilvl w:val="0"/>
          <w:numId w:val="2"/>
        </w:numPr>
        <w:rPr>
          <w:rFonts w:cs="Arial"/>
        </w:rPr>
      </w:pPr>
      <w:r>
        <w:rPr>
          <w:rFonts w:cs="Arial"/>
        </w:rPr>
        <w:t xml:space="preserve">In 1999 the </w:t>
      </w:r>
      <w:r w:rsidR="00950508">
        <w:rPr>
          <w:rFonts w:cs="Arial"/>
        </w:rPr>
        <w:t>Canada’s first ministers adopted “</w:t>
      </w:r>
      <w:r w:rsidR="00950508" w:rsidRPr="00334353">
        <w:rPr>
          <w:rFonts w:cs="Arial"/>
        </w:rPr>
        <w:t>A Framework to Improve the Social Union for Canadians”.</w:t>
      </w:r>
      <w:r w:rsidR="00334353">
        <w:rPr>
          <w:rStyle w:val="FootnoteReference"/>
          <w:rFonts w:cs="Arial"/>
        </w:rPr>
        <w:footnoteReference w:id="17"/>
      </w:r>
      <w:r w:rsidR="00950508" w:rsidRPr="00334353">
        <w:rPr>
          <w:rFonts w:cs="Arial"/>
        </w:rPr>
        <w:t xml:space="preserve">   However, the Agreement lacked any accountability mechanisms and has been largely ignored in recent years. </w:t>
      </w:r>
      <w:r w:rsidR="003B6239" w:rsidRPr="007D1F85">
        <w:rPr>
          <w:rFonts w:cs="Arial"/>
        </w:rPr>
        <w:t>S</w:t>
      </w:r>
      <w:proofErr w:type="spellStart"/>
      <w:r w:rsidR="003B6239" w:rsidRPr="007D1F85">
        <w:rPr>
          <w:rFonts w:cs="Arial"/>
          <w:lang w:val="en-US"/>
        </w:rPr>
        <w:t>ection</w:t>
      </w:r>
      <w:proofErr w:type="spellEnd"/>
      <w:r w:rsidR="003B6239" w:rsidRPr="007D1F85">
        <w:rPr>
          <w:rFonts w:cs="Arial"/>
          <w:lang w:val="en-US"/>
        </w:rPr>
        <w:t xml:space="preserve"> 36(1) of the </w:t>
      </w:r>
      <w:r w:rsidR="003B6239" w:rsidRPr="007D1F85">
        <w:rPr>
          <w:rFonts w:cs="Arial"/>
          <w:i/>
          <w:lang w:val="en-US"/>
        </w:rPr>
        <w:t>Constitution Act, 1982</w:t>
      </w:r>
      <w:r w:rsidR="003B6239" w:rsidRPr="007D1F85">
        <w:rPr>
          <w:rFonts w:cs="Arial"/>
          <w:lang w:val="en-US"/>
        </w:rPr>
        <w:t xml:space="preserve"> recognizes a joint commitment of federal provincial and territorial governments to providing “essential public services of reasonable quality.”   In its </w:t>
      </w:r>
      <w:r w:rsidR="003B6239" w:rsidRPr="007D1F85">
        <w:rPr>
          <w:rFonts w:cs="Arial"/>
          <w:i/>
        </w:rPr>
        <w:t>Core Document</w:t>
      </w:r>
      <w:r w:rsidR="003B6239" w:rsidRPr="007D1F85">
        <w:rPr>
          <w:rFonts w:cs="Arial"/>
        </w:rPr>
        <w:t xml:space="preserve"> Canada described section 36 as being “particularly relevant in regard to ... the protection of economic, social and cultural rights.”</w:t>
      </w:r>
      <w:r w:rsidR="003B6239" w:rsidRPr="00C5478C">
        <w:rPr>
          <w:rFonts w:cs="Arial"/>
          <w:vertAlign w:val="superscript"/>
        </w:rPr>
        <w:endnoteReference w:id="4"/>
      </w:r>
      <w:r w:rsidR="003B6239" w:rsidRPr="007D1F85">
        <w:rPr>
          <w:rFonts w:cs="Arial"/>
        </w:rPr>
        <w:t xml:space="preserve">  Section 36 commitments have been largely ignored by courts and governments.  </w:t>
      </w:r>
    </w:p>
    <w:p w14:paraId="2C9ED0C2" w14:textId="77777777" w:rsidR="005F27AA" w:rsidRDefault="005F27AA" w:rsidP="00964B99">
      <w:pPr>
        <w:rPr>
          <w:rFonts w:cs="Arial"/>
          <w:b/>
        </w:rPr>
      </w:pPr>
    </w:p>
    <w:p w14:paraId="3F159DF5" w14:textId="400551CD" w:rsidR="00334353" w:rsidRPr="007D1F85" w:rsidRDefault="00582633" w:rsidP="00334353">
      <w:pPr>
        <w:rPr>
          <w:rFonts w:cs="Arial"/>
          <w:b/>
        </w:rPr>
      </w:pPr>
      <w:r>
        <w:rPr>
          <w:rFonts w:cs="Arial"/>
          <w:b/>
          <w:noProof/>
        </w:rPr>
        <w:lastRenderedPageBreak/>
        <mc:AlternateContent>
          <mc:Choice Requires="wps">
            <w:drawing>
              <wp:inline distT="0" distB="0" distL="0" distR="0" wp14:anchorId="5C3CABFB" wp14:editId="313F4145">
                <wp:extent cx="6035040" cy="2400300"/>
                <wp:effectExtent l="0" t="0" r="60960" b="57150"/>
                <wp:docPr id="11"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5040" cy="2400300"/>
                        </a:xfrm>
                        <a:prstGeom prst="rect">
                          <a:avLst/>
                        </a:prstGeom>
                        <a:solidFill>
                          <a:srgbClr val="F2F2F2"/>
                        </a:solidFill>
                        <a:ln w="9525">
                          <a:solidFill>
                            <a:srgbClr val="000000"/>
                          </a:solidFill>
                          <a:miter lim="800000"/>
                          <a:headEnd/>
                          <a:tailEnd/>
                        </a:ln>
                        <a:effectLst>
                          <a:outerShdw dist="35921" dir="2700000" algn="ctr" rotWithShape="0">
                            <a:srgbClr val="808080"/>
                          </a:outerShdw>
                        </a:effectLst>
                      </wps:spPr>
                      <wps:txbx>
                        <w:txbxContent>
                          <w:p w14:paraId="560C2F57" w14:textId="259B7149" w:rsidR="00760C74" w:rsidRPr="001F15BB" w:rsidRDefault="00334353" w:rsidP="007712CF">
                            <w:pPr>
                              <w:ind w:right="432" w:firstLine="432"/>
                              <w:rPr>
                                <w:rFonts w:cs="Arial"/>
                                <w:b/>
                                <w:u w:val="single"/>
                              </w:rPr>
                            </w:pPr>
                            <w:r>
                              <w:rPr>
                                <w:rFonts w:cs="Arial"/>
                                <w:b/>
                                <w:u w:val="single"/>
                              </w:rPr>
                              <w:t xml:space="preserve">Social Union </w:t>
                            </w:r>
                            <w:r w:rsidR="00760C74">
                              <w:rPr>
                                <w:rFonts w:cs="Arial"/>
                                <w:b/>
                                <w:u w:val="single"/>
                              </w:rPr>
                              <w:t>Framework Agreement</w:t>
                            </w:r>
                            <w:r>
                              <w:rPr>
                                <w:rFonts w:cs="Arial"/>
                                <w:b/>
                                <w:u w:val="single"/>
                              </w:rPr>
                              <w:t xml:space="preserve"> and</w:t>
                            </w:r>
                            <w:r w:rsidR="00760C74">
                              <w:rPr>
                                <w:rFonts w:cs="Arial"/>
                                <w:b/>
                                <w:u w:val="single"/>
                              </w:rPr>
                              <w:t xml:space="preserve"> </w:t>
                            </w:r>
                            <w:r>
                              <w:rPr>
                                <w:rFonts w:cs="Arial"/>
                                <w:b/>
                                <w:u w:val="single"/>
                              </w:rPr>
                              <w:t>a</w:t>
                            </w:r>
                            <w:r w:rsidR="00760C74">
                              <w:rPr>
                                <w:rFonts w:cs="Arial"/>
                                <w:b/>
                                <w:u w:val="single"/>
                              </w:rPr>
                              <w:t xml:space="preserve"> Social Charter</w:t>
                            </w:r>
                          </w:p>
                          <w:p w14:paraId="2C811252" w14:textId="6586DA18" w:rsidR="00760C74" w:rsidRPr="007D1F85" w:rsidRDefault="00266E97" w:rsidP="00266E97">
                            <w:pPr>
                              <w:pStyle w:val="ListParagraph"/>
                              <w:ind w:left="0" w:right="432"/>
                              <w:rPr>
                                <w:b/>
                              </w:rPr>
                            </w:pPr>
                            <w:r>
                              <w:rPr>
                                <w:rFonts w:cs="Arial"/>
                                <w:b/>
                              </w:rPr>
                              <w:t xml:space="preserve">10. </w:t>
                            </w:r>
                            <w:r w:rsidR="00760C74" w:rsidRPr="007D1F85">
                              <w:rPr>
                                <w:rFonts w:cs="Arial"/>
                                <w:b/>
                              </w:rPr>
                              <w:t xml:space="preserve">The Committee should ask Canada to provide information on whether the </w:t>
                            </w:r>
                            <w:r w:rsidR="00760C74" w:rsidRPr="007D1F85">
                              <w:rPr>
                                <w:rFonts w:cs="Arial"/>
                                <w:b/>
                              </w:rPr>
                              <w:br/>
                              <w:t>“Social Union Framework Agreement” of 1999 needs to be replaced with a more rights-based inter-governmental framework for the implementation of ESC rights</w:t>
                            </w:r>
                            <w:r w:rsidR="007D1F85" w:rsidRPr="007D1F85">
                              <w:rPr>
                                <w:rFonts w:cs="Arial"/>
                                <w:b/>
                              </w:rPr>
                              <w:t>. Such a framework would</w:t>
                            </w:r>
                            <w:r w:rsidR="00760C74" w:rsidRPr="007D1F85">
                              <w:rPr>
                                <w:rFonts w:cs="Arial"/>
                                <w:b/>
                              </w:rPr>
                              <w:t xml:space="preserve"> provid</w:t>
                            </w:r>
                            <w:r w:rsidR="007D1F85" w:rsidRPr="007D1F85">
                              <w:rPr>
                                <w:rFonts w:cs="Arial"/>
                                <w:b/>
                              </w:rPr>
                              <w:t>e</w:t>
                            </w:r>
                            <w:r w:rsidR="00760C74" w:rsidRPr="007D1F85">
                              <w:rPr>
                                <w:rFonts w:cs="Arial"/>
                                <w:b/>
                              </w:rPr>
                              <w:t xml:space="preserve"> for monitoring, adjudication and implementation of ESC rights </w:t>
                            </w:r>
                            <w:r w:rsidR="00334353" w:rsidRPr="007D1F85">
                              <w:rPr>
                                <w:rFonts w:cs="Arial"/>
                                <w:b/>
                              </w:rPr>
                              <w:t xml:space="preserve">through </w:t>
                            </w:r>
                            <w:r w:rsidR="00760C74" w:rsidRPr="007D1F85">
                              <w:rPr>
                                <w:rFonts w:cs="Arial"/>
                                <w:b/>
                              </w:rPr>
                              <w:t xml:space="preserve">federal/provincial/territorial agreements and facilitating joint strategies for the realization of ESC rights.  </w:t>
                            </w:r>
                            <w:r w:rsidR="00334353" w:rsidRPr="007D1F85">
                              <w:rPr>
                                <w:rFonts w:cs="Arial"/>
                                <w:b/>
                              </w:rPr>
                              <w:t xml:space="preserve">The Committee could also ask </w:t>
                            </w:r>
                            <w:r w:rsidR="00760C74" w:rsidRPr="007D1F85">
                              <w:rPr>
                                <w:rFonts w:cs="Arial"/>
                                <w:b/>
                              </w:rPr>
                              <w:t>if consideration has been given to the idea of a ‘social charter’ to promote the implementation the Covenant within Canada’s federal system</w:t>
                            </w:r>
                            <w:r w:rsidR="00334353" w:rsidRPr="007D1F85">
                              <w:rPr>
                                <w:rFonts w:cs="Arial"/>
                                <w:b/>
                              </w:rPr>
                              <w:t xml:space="preserve">, in line with </w:t>
                            </w:r>
                            <w:r w:rsidR="00760C74" w:rsidRPr="007D1F85">
                              <w:rPr>
                                <w:rFonts w:cs="Arial"/>
                                <w:b/>
                              </w:rPr>
                              <w:t xml:space="preserve">section 36(1) of the Constitution Act, 1982, which Canada has described as being particularly relevant to the protection of ESC rights.  </w:t>
                            </w:r>
                          </w:p>
                        </w:txbxContent>
                      </wps:txbx>
                      <wps:bodyPr rot="0" vert="horz" wrap="square" lIns="91440" tIns="45720" rIns="91440" bIns="45720" anchor="t" anchorCtr="0" upright="1">
                        <a:noAutofit/>
                      </wps:bodyPr>
                    </wps:wsp>
                  </a:graphicData>
                </a:graphic>
              </wp:inline>
            </w:drawing>
          </mc:Choice>
          <mc:Fallback>
            <w:pict>
              <v:shape w14:anchorId="5C3CABFB" id="Text Box 46" o:spid="_x0000_s1037" type="#_x0000_t202" style="width:475.2pt;height:18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" fillcolor="#f2f2f2">
                <v:shadow on="t"/>
                <v:textbox>
                  <w:txbxContent>
                    <w:p w14:paraId="560C2F57" w14:textId="259B7149" w:rsidR="00760C74" w:rsidRPr="001F15BB" w:rsidRDefault="00334353" w:rsidP="007712CF">
                      <w:pPr>
                        <w:ind w:right="432" w:firstLine="432"/>
                        <w:rPr>
                          <w:rFonts w:cs="Arial"/>
                          <w:b/>
                          <w:u w:val="single"/>
                        </w:rPr>
                      </w:pPr>
                      <w:r>
                        <w:rPr>
                          <w:rFonts w:cs="Arial"/>
                          <w:b/>
                          <w:u w:val="single"/>
                        </w:rPr>
                        <w:t xml:space="preserve">Social Union </w:t>
                      </w:r>
                      <w:r w:rsidR="00760C74">
                        <w:rPr>
                          <w:rFonts w:cs="Arial"/>
                          <w:b/>
                          <w:u w:val="single"/>
                        </w:rPr>
                        <w:t>Framework Agreement</w:t>
                      </w:r>
                      <w:r>
                        <w:rPr>
                          <w:rFonts w:cs="Arial"/>
                          <w:b/>
                          <w:u w:val="single"/>
                        </w:rPr>
                        <w:t xml:space="preserve"> and</w:t>
                      </w:r>
                      <w:r w:rsidR="00760C74">
                        <w:rPr>
                          <w:rFonts w:cs="Arial"/>
                          <w:b/>
                          <w:u w:val="single"/>
                        </w:rPr>
                        <w:t xml:space="preserve"> </w:t>
                      </w:r>
                      <w:r>
                        <w:rPr>
                          <w:rFonts w:cs="Arial"/>
                          <w:b/>
                          <w:u w:val="single"/>
                        </w:rPr>
                        <w:t>a</w:t>
                      </w:r>
                      <w:r w:rsidR="00760C74">
                        <w:rPr>
                          <w:rFonts w:cs="Arial"/>
                          <w:b/>
                          <w:u w:val="single"/>
                        </w:rPr>
                        <w:t xml:space="preserve"> Social Charter</w:t>
                      </w:r>
                    </w:p>
                    <w:p w14:paraId="2C811252" w14:textId="6586DA18" w:rsidR="00760C74" w:rsidRPr="007D1F85" w:rsidRDefault="00266E97" w:rsidP="00266E97">
                      <w:pPr>
                        <w:pStyle w:val="ListParagraph"/>
                        <w:ind w:left="0" w:right="432"/>
                        <w:rPr>
                          <w:b/>
                        </w:rPr>
                      </w:pPr>
                      <w:r>
                        <w:rPr>
                          <w:rFonts w:cs="Arial"/>
                          <w:b/>
                        </w:rPr>
                        <w:t xml:space="preserve">10. </w:t>
                      </w:r>
                      <w:r w:rsidR="00760C74" w:rsidRPr="007D1F85">
                        <w:rPr>
                          <w:rFonts w:cs="Arial"/>
                          <w:b/>
                        </w:rPr>
                        <w:t xml:space="preserve">The Committee should ask Canada to provide information on whether the </w:t>
                      </w:r>
                      <w:r w:rsidR="00760C74" w:rsidRPr="007D1F85">
                        <w:rPr>
                          <w:rFonts w:cs="Arial"/>
                          <w:b/>
                        </w:rPr>
                        <w:br/>
                        <w:t>“Social Union Framework Agreement” of 1999 needs to be replaced with a more rights-based inter-governmental framework for the implementation of ESC rights</w:t>
                      </w:r>
                      <w:r w:rsidR="007D1F85" w:rsidRPr="007D1F85">
                        <w:rPr>
                          <w:rFonts w:cs="Arial"/>
                          <w:b/>
                        </w:rPr>
                        <w:t>. Such a framework would</w:t>
                      </w:r>
                      <w:r w:rsidR="00760C74" w:rsidRPr="007D1F85">
                        <w:rPr>
                          <w:rFonts w:cs="Arial"/>
                          <w:b/>
                        </w:rPr>
                        <w:t xml:space="preserve"> provid</w:t>
                      </w:r>
                      <w:r w:rsidR="007D1F85" w:rsidRPr="007D1F85">
                        <w:rPr>
                          <w:rFonts w:cs="Arial"/>
                          <w:b/>
                        </w:rPr>
                        <w:t>e</w:t>
                      </w:r>
                      <w:r w:rsidR="00760C74" w:rsidRPr="007D1F85">
                        <w:rPr>
                          <w:rFonts w:cs="Arial"/>
                          <w:b/>
                        </w:rPr>
                        <w:t xml:space="preserve"> for monitoring, adjudication and implementation of ESC rights </w:t>
                      </w:r>
                      <w:r w:rsidR="00334353" w:rsidRPr="007D1F85">
                        <w:rPr>
                          <w:rFonts w:cs="Arial"/>
                          <w:b/>
                        </w:rPr>
                        <w:t xml:space="preserve">through </w:t>
                      </w:r>
                      <w:r w:rsidR="00760C74" w:rsidRPr="007D1F85">
                        <w:rPr>
                          <w:rFonts w:cs="Arial"/>
                          <w:b/>
                        </w:rPr>
                        <w:t xml:space="preserve">federal/provincial/territorial agreements and facilitating joint strategies for the realization of ESC rights.  </w:t>
                      </w:r>
                      <w:r w:rsidR="00334353" w:rsidRPr="007D1F85">
                        <w:rPr>
                          <w:rFonts w:cs="Arial"/>
                          <w:b/>
                        </w:rPr>
                        <w:t xml:space="preserve">The Committee could also ask </w:t>
                      </w:r>
                      <w:r w:rsidR="00760C74" w:rsidRPr="007D1F85">
                        <w:rPr>
                          <w:rFonts w:cs="Arial"/>
                          <w:b/>
                        </w:rPr>
                        <w:t>if consideration has been given to the idea of a ‘social charter’ to promote the implementation the Covenant within Canada’s federal system</w:t>
                      </w:r>
                      <w:r w:rsidR="00334353" w:rsidRPr="007D1F85">
                        <w:rPr>
                          <w:rFonts w:cs="Arial"/>
                          <w:b/>
                        </w:rPr>
                        <w:t xml:space="preserve">, in line with </w:t>
                      </w:r>
                      <w:r w:rsidR="00760C74" w:rsidRPr="007D1F85">
                        <w:rPr>
                          <w:rFonts w:cs="Arial"/>
                          <w:b/>
                        </w:rPr>
                        <w:t xml:space="preserve">section 36(1) of the Constitution Act, 1982, which Canada has described as being particularly relevant to the protection of ESC rights.  </w:t>
                      </w:r>
                    </w:p>
                  </w:txbxContent>
                </v:textbox>
                <w10:anchorlock/>
              </v:shape>
            </w:pict>
          </mc:Fallback>
        </mc:AlternateContent>
      </w:r>
      <w:bookmarkStart w:id="60" w:name="_Toc442138319"/>
      <w:bookmarkStart w:id="61" w:name="_Toc442138355"/>
    </w:p>
    <w:p w14:paraId="064A998D" w14:textId="77777777" w:rsidR="008A0F79" w:rsidRDefault="008A0F79" w:rsidP="008A0F79">
      <w:pPr>
        <w:pStyle w:val="Heading2"/>
        <w:ind w:left="1080"/>
      </w:pPr>
      <w:bookmarkStart w:id="62" w:name="_Toc442138316"/>
      <w:bookmarkStart w:id="63" w:name="_Toc442138352"/>
      <w:bookmarkEnd w:id="60"/>
      <w:bookmarkEnd w:id="61"/>
    </w:p>
    <w:p w14:paraId="76F15B4F" w14:textId="099A2670" w:rsidR="008A0F79" w:rsidRPr="0075491E" w:rsidRDefault="0075491E" w:rsidP="0075491E">
      <w:pPr>
        <w:pStyle w:val="Heading2"/>
        <w:numPr>
          <w:ilvl w:val="0"/>
          <w:numId w:val="18"/>
        </w:numPr>
        <w:rPr>
          <w:color w:val="4472C4" w:themeColor="accent1"/>
        </w:rPr>
      </w:pPr>
      <w:bookmarkStart w:id="64" w:name="_Toc32279511"/>
      <w:r w:rsidRPr="0075491E">
        <w:rPr>
          <w:color w:val="4472C4" w:themeColor="accent1"/>
        </w:rPr>
        <w:t>CIVIL LEGAL AID</w:t>
      </w:r>
      <w:bookmarkEnd w:id="62"/>
      <w:bookmarkEnd w:id="63"/>
      <w:r w:rsidRPr="0075491E">
        <w:rPr>
          <w:color w:val="4472C4" w:themeColor="accent1"/>
        </w:rPr>
        <w:t xml:space="preserve">, </w:t>
      </w:r>
      <w:r>
        <w:rPr>
          <w:color w:val="4472C4" w:themeColor="accent1"/>
        </w:rPr>
        <w:t xml:space="preserve">TEST CASE FUNDING </w:t>
      </w:r>
      <w:r w:rsidRPr="0075491E">
        <w:rPr>
          <w:color w:val="4472C4" w:themeColor="accent1"/>
        </w:rPr>
        <w:t>AND THE COURT CHALLENGES PROGRAM</w:t>
      </w:r>
      <w:bookmarkEnd w:id="64"/>
    </w:p>
    <w:p w14:paraId="2448E288" w14:textId="77777777" w:rsidR="008A0F79" w:rsidRPr="001F0A67" w:rsidRDefault="008A0F79" w:rsidP="008A0F79"/>
    <w:p w14:paraId="1B274690" w14:textId="77777777" w:rsidR="008A0F79" w:rsidRDefault="008A0F79" w:rsidP="008A0F79">
      <w:pPr>
        <w:numPr>
          <w:ilvl w:val="0"/>
          <w:numId w:val="2"/>
        </w:numPr>
        <w:rPr>
          <w:rFonts w:cs="Arial"/>
          <w:iCs/>
        </w:rPr>
      </w:pPr>
      <w:r w:rsidRPr="00C940FA">
        <w:rPr>
          <w:rFonts w:cs="Arial"/>
          <w:iCs/>
        </w:rPr>
        <w:t>In</w:t>
      </w:r>
      <w:r>
        <w:rPr>
          <w:rFonts w:cs="Arial"/>
          <w:iCs/>
        </w:rPr>
        <w:t xml:space="preserve"> </w:t>
      </w:r>
      <w:r w:rsidRPr="008B3AD3">
        <w:rPr>
          <w:rFonts w:cs="Arial"/>
          <w:i/>
          <w:iCs/>
        </w:rPr>
        <w:t>Canadian Bar Assn. v. British Columbia</w:t>
      </w:r>
      <w:r>
        <w:rPr>
          <w:rFonts w:cs="Arial"/>
          <w:iCs/>
        </w:rPr>
        <w:t xml:space="preserve">, 2008 BCCA 92, </w:t>
      </w:r>
      <w:r w:rsidRPr="001F0A67">
        <w:rPr>
          <w:rFonts w:cs="Arial"/>
          <w:iCs/>
        </w:rPr>
        <w:t>the Canadian Bar Association sought to challenge continued cuts to civil legal aid</w:t>
      </w:r>
      <w:r>
        <w:rPr>
          <w:rFonts w:cs="Arial"/>
          <w:iCs/>
        </w:rPr>
        <w:t xml:space="preserve"> that resulted in unacceptable restrictions on access to justice by people living in poverty, particularly women.  The applicants cited</w:t>
      </w:r>
      <w:r w:rsidRPr="001F0A67">
        <w:rPr>
          <w:rFonts w:cs="Arial"/>
          <w:iCs/>
        </w:rPr>
        <w:t xml:space="preserve"> Canada’s international human rights obligations to ensure access to justice for poor people as a source for the interpretation of the right to security of the person and the right to equality under the </w:t>
      </w:r>
      <w:r w:rsidRPr="001F0A67">
        <w:rPr>
          <w:rFonts w:cs="Arial"/>
          <w:i/>
          <w:iCs/>
        </w:rPr>
        <w:t>Canadian Charter</w:t>
      </w:r>
      <w:r w:rsidRPr="001F0A67">
        <w:rPr>
          <w:rFonts w:cs="Arial"/>
          <w:iCs/>
        </w:rPr>
        <w:t xml:space="preserve">.  The </w:t>
      </w:r>
      <w:r w:rsidRPr="00456B41">
        <w:rPr>
          <w:rFonts w:cs="Arial"/>
        </w:rPr>
        <w:t>Government</w:t>
      </w:r>
      <w:r w:rsidRPr="001F0A67">
        <w:rPr>
          <w:rFonts w:cs="Arial"/>
          <w:iCs/>
        </w:rPr>
        <w:t xml:space="preserve"> of British Columbia argued that international human rights law is not enforceable by courts and ought therefore to be ignored in this case.  The BC Court of Appeal dismissed the claim as being non- justiciable.</w:t>
      </w:r>
      <w:r>
        <w:rPr>
          <w:rFonts w:cs="Arial"/>
          <w:iCs/>
        </w:rPr>
        <w:t xml:space="preserve">  Access to civil legal aid has been severely restricted in many provinces in Canada.  Ontario imposed a cut of </w:t>
      </w:r>
      <w:r w:rsidRPr="00533E73">
        <w:rPr>
          <w:rFonts w:cs="Arial"/>
          <w:iCs/>
        </w:rPr>
        <w:t xml:space="preserve">$133 million </w:t>
      </w:r>
      <w:r>
        <w:rPr>
          <w:rFonts w:cs="Arial"/>
          <w:iCs/>
        </w:rPr>
        <w:t xml:space="preserve">to the </w:t>
      </w:r>
      <w:r w:rsidRPr="00533E73">
        <w:rPr>
          <w:rFonts w:cs="Arial"/>
          <w:iCs/>
        </w:rPr>
        <w:t xml:space="preserve">legal aid </w:t>
      </w:r>
      <w:r>
        <w:rPr>
          <w:rFonts w:cs="Arial"/>
          <w:iCs/>
        </w:rPr>
        <w:t xml:space="preserve">budget </w:t>
      </w:r>
      <w:r w:rsidRPr="00533E73">
        <w:rPr>
          <w:rFonts w:cs="Arial"/>
          <w:iCs/>
        </w:rPr>
        <w:t>in 2019</w:t>
      </w:r>
      <w:r>
        <w:rPr>
          <w:rFonts w:cs="Arial"/>
          <w:iCs/>
        </w:rPr>
        <w:t xml:space="preserve">.  Funding for test case litigation to assert ESC rights is particularly scarce.  The test case funding program of Ontario Legal Aid has been dramatically cut.  </w:t>
      </w:r>
    </w:p>
    <w:p w14:paraId="4CCABCE8" w14:textId="77777777" w:rsidR="008A0F79" w:rsidRPr="00456B41" w:rsidRDefault="008A0F79" w:rsidP="008A0F79">
      <w:pPr>
        <w:numPr>
          <w:ilvl w:val="0"/>
          <w:numId w:val="2"/>
        </w:numPr>
        <w:rPr>
          <w:rFonts w:cs="Arial"/>
          <w:iCs/>
        </w:rPr>
      </w:pPr>
      <w:r>
        <w:rPr>
          <w:rFonts w:cs="Arial"/>
          <w:iCs/>
        </w:rPr>
        <w:t>T</w:t>
      </w:r>
      <w:r w:rsidRPr="00456B41">
        <w:rPr>
          <w:rFonts w:cs="Arial"/>
        </w:rPr>
        <w:t xml:space="preserve">he Federal Court Challenges Program, which had been cancelled by the previous government, has now been reinstated and extended to include challenges under additional sections of the Charter, including section 7. However, contrary to recommendations from the Committee in earlier </w:t>
      </w:r>
      <w:proofErr w:type="gramStart"/>
      <w:r w:rsidRPr="00456B41">
        <w:rPr>
          <w:rFonts w:cs="Arial"/>
        </w:rPr>
        <w:t>reviews,  Charter</w:t>
      </w:r>
      <w:proofErr w:type="gramEnd"/>
      <w:r w:rsidRPr="00456B41">
        <w:rPr>
          <w:rFonts w:cs="Arial"/>
        </w:rPr>
        <w:t xml:space="preserve"> challenges other than language rights challenges under section 23 against provincial or territorial government are ineligible for funding.  This means that most cases involving ESC rights are ineligible for funding.  In addition, where domestic remedies are exhausted, funding is not provided to file petitions with international human rights bodies.</w:t>
      </w:r>
    </w:p>
    <w:p w14:paraId="18BDEBC5" w14:textId="77777777" w:rsidR="008A0F79" w:rsidRDefault="008A0F79" w:rsidP="008A0F79">
      <w:pPr>
        <w:rPr>
          <w:rFonts w:cs="Arial"/>
        </w:rPr>
      </w:pPr>
      <w:r>
        <w:rPr>
          <w:rFonts w:cs="Arial"/>
          <w:b/>
          <w:noProof/>
        </w:rPr>
        <w:lastRenderedPageBreak/>
        <mc:AlternateContent>
          <mc:Choice Requires="wps">
            <w:drawing>
              <wp:inline distT="0" distB="0" distL="0" distR="0" wp14:anchorId="3AF85BCF" wp14:editId="64E6EAAA">
                <wp:extent cx="6035040" cy="2072640"/>
                <wp:effectExtent l="0" t="0" r="60960" b="60960"/>
                <wp:docPr id="8"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5040" cy="2072640"/>
                        </a:xfrm>
                        <a:prstGeom prst="rect">
                          <a:avLst/>
                        </a:prstGeom>
                        <a:solidFill>
                          <a:srgbClr val="F2F2F2"/>
                        </a:solidFill>
                        <a:ln w="9525">
                          <a:solidFill>
                            <a:srgbClr val="000000"/>
                          </a:solidFill>
                          <a:miter lim="800000"/>
                          <a:headEnd/>
                          <a:tailEnd/>
                        </a:ln>
                        <a:effectLst>
                          <a:outerShdw dist="35921" dir="2700000" algn="ctr" rotWithShape="0">
                            <a:srgbClr val="808080"/>
                          </a:outerShdw>
                        </a:effectLst>
                      </wps:spPr>
                      <wps:txbx>
                        <w:txbxContent>
                          <w:p w14:paraId="33DA70ED" w14:textId="5DF28B07" w:rsidR="008A0F79" w:rsidRPr="009F74CD" w:rsidRDefault="008A0F79" w:rsidP="00266E97">
                            <w:pPr>
                              <w:ind w:right="432"/>
                              <w:rPr>
                                <w:rFonts w:cs="Arial"/>
                                <w:b/>
                                <w:u w:val="single"/>
                              </w:rPr>
                            </w:pPr>
                            <w:r>
                              <w:rPr>
                                <w:rFonts w:cs="Arial"/>
                                <w:b/>
                                <w:u w:val="single"/>
                              </w:rPr>
                              <w:t>Access to Justice and Legal Aid</w:t>
                            </w:r>
                          </w:p>
                          <w:p w14:paraId="5E2AFF40" w14:textId="4DA9CA4F" w:rsidR="008A0F79" w:rsidRPr="007C6CBC" w:rsidRDefault="0075491E" w:rsidP="008A0F79">
                            <w:pPr>
                              <w:ind w:right="432"/>
                              <w:rPr>
                                <w:rFonts w:cs="Arial"/>
                                <w:b/>
                              </w:rPr>
                            </w:pPr>
                            <w:r>
                              <w:rPr>
                                <w:rFonts w:cs="Arial"/>
                                <w:b/>
                              </w:rPr>
                              <w:t>1</w:t>
                            </w:r>
                            <w:r w:rsidR="00266E97">
                              <w:rPr>
                                <w:rFonts w:cs="Arial"/>
                                <w:b/>
                              </w:rPr>
                              <w:t>1</w:t>
                            </w:r>
                            <w:r w:rsidR="008A0F79">
                              <w:rPr>
                                <w:rFonts w:cs="Arial"/>
                                <w:b/>
                              </w:rPr>
                              <w:t xml:space="preserve">. The Committee should welcome the federal government’s reinstatement of the Court Challenges Programme but ask Canada if it will consider extending funding under the human rights program to include challenges to provincial/territorial law or policy where the case is of national importance. The Committee should inquire whether the program funds follow-up litigation before international human rights bodies when effective remedies have been denied under the Charter.  All </w:t>
                            </w:r>
                            <w:r w:rsidR="008A0F79" w:rsidRPr="007C6CBC">
                              <w:rPr>
                                <w:rFonts w:cs="Arial"/>
                                <w:b/>
                              </w:rPr>
                              <w:t xml:space="preserve">governments should </w:t>
                            </w:r>
                            <w:r w:rsidR="008A0F79">
                              <w:rPr>
                                <w:rFonts w:cs="Arial"/>
                                <w:b/>
                              </w:rPr>
                              <w:t xml:space="preserve">be asked to provide information on barriers to access to justice for low income persons and to describe measures taken to improve access to civil legal aid. </w:t>
                            </w:r>
                          </w:p>
                          <w:p w14:paraId="328F1B35" w14:textId="77777777" w:rsidR="008A0F79" w:rsidRPr="00C5478C" w:rsidRDefault="008A0F79" w:rsidP="008A0F79">
                            <w:pPr>
                              <w:rPr>
                                <w:rFonts w:cs="Arial"/>
                              </w:rPr>
                            </w:pPr>
                          </w:p>
                          <w:p w14:paraId="37139BBE" w14:textId="77777777" w:rsidR="008A0F79" w:rsidRDefault="008A0F79" w:rsidP="008A0F79"/>
                        </w:txbxContent>
                      </wps:txbx>
                      <wps:bodyPr rot="0" vert="horz" wrap="square" lIns="91440" tIns="45720" rIns="91440" bIns="45720" anchor="t" anchorCtr="0" upright="1">
                        <a:noAutofit/>
                      </wps:bodyPr>
                    </wps:wsp>
                  </a:graphicData>
                </a:graphic>
              </wp:inline>
            </w:drawing>
          </mc:Choice>
          <mc:Fallback>
            <w:pict>
              <v:shape w14:anchorId="3AF85BCF" id="Text Box 51" o:spid="_x0000_s1038" type="#_x0000_t202" style="width:475.2pt;height:16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" fillcolor="#f2f2f2">
                <v:shadow on="t"/>
                <v:textbox>
                  <w:txbxContent>
                    <w:p w14:paraId="33DA70ED" w14:textId="5DF28B07" w:rsidR="008A0F79" w:rsidRPr="009F74CD" w:rsidRDefault="008A0F79" w:rsidP="00266E97">
                      <w:pPr>
                        <w:ind w:right="432"/>
                        <w:rPr>
                          <w:rFonts w:cs="Arial"/>
                          <w:b/>
                          <w:u w:val="single"/>
                        </w:rPr>
                      </w:pPr>
                      <w:r>
                        <w:rPr>
                          <w:rFonts w:cs="Arial"/>
                          <w:b/>
                          <w:u w:val="single"/>
                        </w:rPr>
                        <w:t>Access to Justice and Legal Aid</w:t>
                      </w:r>
                    </w:p>
                    <w:p w14:paraId="5E2AFF40" w14:textId="4DA9CA4F" w:rsidR="008A0F79" w:rsidRPr="007C6CBC" w:rsidRDefault="0075491E" w:rsidP="008A0F79">
                      <w:pPr>
                        <w:ind w:right="432"/>
                        <w:rPr>
                          <w:rFonts w:cs="Arial"/>
                          <w:b/>
                        </w:rPr>
                      </w:pPr>
                      <w:r>
                        <w:rPr>
                          <w:rFonts w:cs="Arial"/>
                          <w:b/>
                        </w:rPr>
                        <w:t>1</w:t>
                      </w:r>
                      <w:r w:rsidR="00266E97">
                        <w:rPr>
                          <w:rFonts w:cs="Arial"/>
                          <w:b/>
                        </w:rPr>
                        <w:t>1</w:t>
                      </w:r>
                      <w:r w:rsidR="008A0F79">
                        <w:rPr>
                          <w:rFonts w:cs="Arial"/>
                          <w:b/>
                        </w:rPr>
                        <w:t xml:space="preserve">. The Committee should welcome the federal government’s reinstatement of the Court Challenges Programme but ask Canada if it will consider extending funding under the human rights program to include challenges to provincial/territorial law or policy where the case is of national importance. The Committee should inquire whether the program funds follow-up litigation before international human rights bodies when effective remedies have been denied under the Charter.  All </w:t>
                      </w:r>
                      <w:r w:rsidR="008A0F79" w:rsidRPr="007C6CBC">
                        <w:rPr>
                          <w:rFonts w:cs="Arial"/>
                          <w:b/>
                        </w:rPr>
                        <w:t xml:space="preserve">governments should </w:t>
                      </w:r>
                      <w:r w:rsidR="008A0F79">
                        <w:rPr>
                          <w:rFonts w:cs="Arial"/>
                          <w:b/>
                        </w:rPr>
                        <w:t xml:space="preserve">be asked to provide information on barriers to access to justice for low income persons and to describe measures taken to improve access to civil legal aid. </w:t>
                      </w:r>
                    </w:p>
                    <w:p w14:paraId="328F1B35" w14:textId="77777777" w:rsidR="008A0F79" w:rsidRPr="00C5478C" w:rsidRDefault="008A0F79" w:rsidP="008A0F79">
                      <w:pPr>
                        <w:rPr>
                          <w:rFonts w:cs="Arial"/>
                        </w:rPr>
                      </w:pPr>
                    </w:p>
                    <w:p w14:paraId="37139BBE" w14:textId="77777777" w:rsidR="008A0F79" w:rsidRDefault="008A0F79" w:rsidP="008A0F79"/>
                  </w:txbxContent>
                </v:textbox>
                <w10:anchorlock/>
              </v:shape>
            </w:pict>
          </mc:Fallback>
        </mc:AlternateContent>
      </w:r>
    </w:p>
    <w:p w14:paraId="490AB617" w14:textId="77777777" w:rsidR="008A0F79" w:rsidRDefault="008A0F79" w:rsidP="008A0F79">
      <w:pPr>
        <w:ind w:right="-54"/>
        <w:rPr>
          <w:rFonts w:cs="Arial"/>
          <w:b/>
        </w:rPr>
      </w:pPr>
    </w:p>
    <w:p w14:paraId="232E78D6" w14:textId="77777777" w:rsidR="00027EFF" w:rsidRPr="00027EFF" w:rsidRDefault="00027EFF" w:rsidP="00027EFF"/>
    <w:sectPr w:rsidR="00027EFF" w:rsidRPr="00027EFF" w:rsidSect="0026195E">
      <w:endnotePr>
        <w:numFmt w:val="decimal"/>
      </w:endnotePr>
      <w:pgSz w:w="12240" w:h="15840" w:code="1"/>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F9AAC8" w14:textId="77777777" w:rsidR="00254D8E" w:rsidRDefault="00254D8E" w:rsidP="005517F2">
      <w:r>
        <w:separator/>
      </w:r>
    </w:p>
  </w:endnote>
  <w:endnote w:type="continuationSeparator" w:id="0">
    <w:p w14:paraId="3A26EE91" w14:textId="77777777" w:rsidR="00254D8E" w:rsidRDefault="00254D8E" w:rsidP="005517F2">
      <w:r>
        <w:continuationSeparator/>
      </w:r>
    </w:p>
  </w:endnote>
  <w:endnote w:id="1">
    <w:p w14:paraId="2CCA35D7" w14:textId="77777777" w:rsidR="00760C74" w:rsidRPr="00793F99" w:rsidRDefault="00760C74" w:rsidP="00250A25">
      <w:pPr>
        <w:pStyle w:val="EndnoteText"/>
        <w:rPr>
          <w:sz w:val="22"/>
          <w:szCs w:val="22"/>
        </w:rPr>
      </w:pPr>
      <w:r w:rsidRPr="00793F99">
        <w:rPr>
          <w:rStyle w:val="EndnoteReference"/>
          <w:sz w:val="22"/>
          <w:szCs w:val="22"/>
        </w:rPr>
        <w:endnoteRef/>
      </w:r>
      <w:r w:rsidRPr="00793F99">
        <w:rPr>
          <w:i/>
          <w:sz w:val="22"/>
          <w:szCs w:val="22"/>
        </w:rPr>
        <w:t xml:space="preserve"> </w:t>
      </w:r>
      <w:r w:rsidRPr="00793F99">
        <w:rPr>
          <w:bCs/>
          <w:i/>
          <w:sz w:val="22"/>
          <w:szCs w:val="22"/>
        </w:rPr>
        <w:t>Irwin Toy</w:t>
      </w:r>
      <w:r w:rsidRPr="00793F99">
        <w:rPr>
          <w:i/>
          <w:sz w:val="22"/>
          <w:szCs w:val="22"/>
        </w:rPr>
        <w:t xml:space="preserve"> Ltd. v. Quebec (Attorney General)</w:t>
      </w:r>
      <w:r w:rsidRPr="00793F99">
        <w:rPr>
          <w:sz w:val="22"/>
          <w:szCs w:val="22"/>
        </w:rPr>
        <w:t xml:space="preserve">, [1989] 1 </w:t>
      </w:r>
      <w:r w:rsidRPr="00793F99">
        <w:rPr>
          <w:bCs/>
          <w:sz w:val="22"/>
          <w:szCs w:val="22"/>
        </w:rPr>
        <w:t>SCR</w:t>
      </w:r>
      <w:r w:rsidRPr="00793F99">
        <w:rPr>
          <w:sz w:val="22"/>
          <w:szCs w:val="22"/>
        </w:rPr>
        <w:t xml:space="preserve"> 927.</w:t>
      </w:r>
    </w:p>
  </w:endnote>
  <w:endnote w:id="2">
    <w:p w14:paraId="6480418F" w14:textId="77777777" w:rsidR="00760C74" w:rsidRPr="00793F99" w:rsidRDefault="00760C74" w:rsidP="00250A25">
      <w:pPr>
        <w:rPr>
          <w:lang w:val="en-GB"/>
        </w:rPr>
      </w:pPr>
      <w:r w:rsidRPr="00793F99">
        <w:rPr>
          <w:rStyle w:val="EndnoteReference"/>
          <w:lang w:val="en-GB"/>
        </w:rPr>
        <w:endnoteRef/>
      </w:r>
      <w:r w:rsidRPr="00793F99">
        <w:rPr>
          <w:i/>
          <w:lang w:val="en-GB"/>
        </w:rPr>
        <w:t xml:space="preserve"> </w:t>
      </w:r>
      <w:r w:rsidRPr="00793F99">
        <w:rPr>
          <w:i/>
          <w:iCs/>
          <w:lang w:val="en-GB"/>
        </w:rPr>
        <w:t>Ibid</w:t>
      </w:r>
      <w:r w:rsidRPr="00793F99">
        <w:rPr>
          <w:iCs/>
          <w:lang w:val="en-GB"/>
        </w:rPr>
        <w:t>.</w:t>
      </w:r>
      <w:r w:rsidRPr="00793F99">
        <w:rPr>
          <w:i/>
          <w:lang w:val="en-GB"/>
        </w:rPr>
        <w:t xml:space="preserve"> </w:t>
      </w:r>
      <w:r w:rsidRPr="00793F99">
        <w:rPr>
          <w:lang w:val="en-GB"/>
        </w:rPr>
        <w:t xml:space="preserve">pp. 1003-4. </w:t>
      </w:r>
    </w:p>
  </w:endnote>
  <w:endnote w:id="3">
    <w:p w14:paraId="275FFD97" w14:textId="77777777" w:rsidR="00760C74" w:rsidRPr="00793F99" w:rsidRDefault="00760C74" w:rsidP="00250A25">
      <w:pPr>
        <w:pStyle w:val="EndnoteText"/>
        <w:rPr>
          <w:sz w:val="22"/>
          <w:szCs w:val="22"/>
        </w:rPr>
      </w:pPr>
      <w:r w:rsidRPr="00793F99">
        <w:rPr>
          <w:rStyle w:val="EndnoteReference"/>
          <w:sz w:val="22"/>
          <w:szCs w:val="22"/>
        </w:rPr>
        <w:endnoteRef/>
      </w:r>
      <w:r w:rsidRPr="00793F99">
        <w:rPr>
          <w:i/>
          <w:iCs/>
          <w:sz w:val="22"/>
          <w:szCs w:val="22"/>
        </w:rPr>
        <w:t xml:space="preserve"> </w:t>
      </w:r>
      <w:r w:rsidRPr="00793F99">
        <w:rPr>
          <w:i/>
          <w:iCs/>
          <w:sz w:val="22"/>
          <w:szCs w:val="22"/>
          <w:lang w:val="en-CA"/>
        </w:rPr>
        <w:t xml:space="preserve">Gosselin v. Quebec (Attorney General), [2002] 4 S.C.R. 429, 2002 SCC 84 </w:t>
      </w:r>
      <w:r w:rsidRPr="00793F99">
        <w:rPr>
          <w:sz w:val="22"/>
          <w:szCs w:val="22"/>
        </w:rPr>
        <w:t>at paras 82-83.</w:t>
      </w:r>
    </w:p>
  </w:endnote>
  <w:endnote w:id="4">
    <w:p w14:paraId="3EF509A3" w14:textId="0C45C766" w:rsidR="00760C74" w:rsidRDefault="00760C74" w:rsidP="003B6239">
      <w:pPr>
        <w:pStyle w:val="EndnoteText"/>
        <w:rPr>
          <w:sz w:val="22"/>
          <w:szCs w:val="22"/>
        </w:rPr>
      </w:pPr>
      <w:r w:rsidRPr="00793F99">
        <w:rPr>
          <w:rStyle w:val="EndnoteReference"/>
          <w:sz w:val="22"/>
          <w:szCs w:val="22"/>
        </w:rPr>
        <w:endnoteRef/>
      </w:r>
      <w:r w:rsidRPr="00793F99">
        <w:rPr>
          <w:sz w:val="22"/>
          <w:szCs w:val="22"/>
        </w:rPr>
        <w:t xml:space="preserve"> HRI/CORE/CAN/2013 at para 169.</w:t>
      </w:r>
    </w:p>
    <w:p w14:paraId="6BFF4774" w14:textId="3B651E35" w:rsidR="008A0F79" w:rsidRDefault="008A0F79" w:rsidP="003B6239">
      <w:pPr>
        <w:pStyle w:val="EndnoteText"/>
        <w:rPr>
          <w:sz w:val="22"/>
          <w:szCs w:val="22"/>
        </w:rPr>
      </w:pPr>
    </w:p>
    <w:p w14:paraId="3144B4D7" w14:textId="77777777" w:rsidR="008A0F79" w:rsidRPr="00793F99" w:rsidRDefault="008A0F79" w:rsidP="003B6239">
      <w:pPr>
        <w:pStyle w:val="EndnoteText"/>
        <w:rPr>
          <w:sz w:val="22"/>
          <w:szCs w:val="2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Open Sans Light">
    <w:altName w:val="Segoe UI"/>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26A82D" w14:textId="77777777" w:rsidR="00760C74" w:rsidRDefault="00760C74" w:rsidP="00BE1CC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B0E8211" w14:textId="77777777" w:rsidR="00760C74" w:rsidRDefault="00760C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D17A84" w14:textId="77777777" w:rsidR="00760C74" w:rsidRDefault="00760C74" w:rsidP="00D70244">
    <w:pPr>
      <w:pStyle w:val="Footer"/>
    </w:pPr>
  </w:p>
  <w:p w14:paraId="2B32F96B" w14:textId="0D191754" w:rsidR="00B604D1" w:rsidRDefault="00B604D1" w:rsidP="00B604D1">
    <w:pPr>
      <w:pStyle w:val="Header"/>
      <w:ind w:right="360"/>
    </w:pPr>
  </w:p>
  <w:p w14:paraId="3455EB07" w14:textId="77777777" w:rsidR="00760C74" w:rsidRDefault="00760C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7D15A3" w14:textId="77777777" w:rsidR="00254D8E" w:rsidRDefault="00254D8E" w:rsidP="005517F2">
      <w:r>
        <w:separator/>
      </w:r>
    </w:p>
  </w:footnote>
  <w:footnote w:type="continuationSeparator" w:id="0">
    <w:p w14:paraId="4458561F" w14:textId="77777777" w:rsidR="00254D8E" w:rsidRDefault="00254D8E" w:rsidP="005517F2">
      <w:r>
        <w:continuationSeparator/>
      </w:r>
    </w:p>
  </w:footnote>
  <w:footnote w:id="1">
    <w:p w14:paraId="04104B2E" w14:textId="143EDD9F" w:rsidR="00760C74" w:rsidRPr="00A945A5" w:rsidRDefault="00760C74">
      <w:pPr>
        <w:pStyle w:val="FootnoteText"/>
        <w:rPr>
          <w:lang w:val="en-US"/>
        </w:rPr>
      </w:pPr>
      <w:r>
        <w:rPr>
          <w:rStyle w:val="FootnoteReference"/>
        </w:rPr>
        <w:footnoteRef/>
      </w:r>
      <w:r>
        <w:t xml:space="preserve"> </w:t>
      </w:r>
      <w:proofErr w:type="spellStart"/>
      <w:r w:rsidRPr="00125141">
        <w:rPr>
          <w:rFonts w:cs="Arial"/>
          <w:i/>
          <w:iCs/>
        </w:rPr>
        <w:t>Slaight</w:t>
      </w:r>
      <w:proofErr w:type="spellEnd"/>
      <w:r w:rsidRPr="00125141">
        <w:rPr>
          <w:rFonts w:cs="Arial"/>
          <w:i/>
          <w:iCs/>
        </w:rPr>
        <w:t xml:space="preserve"> Communications v Davidson</w:t>
      </w:r>
      <w:r>
        <w:rPr>
          <w:rFonts w:cs="Arial"/>
        </w:rPr>
        <w:t xml:space="preserve"> [</w:t>
      </w:r>
      <w:r w:rsidRPr="00125141">
        <w:t>1989] 1 S.C.R. 1038</w:t>
      </w:r>
      <w:r>
        <w:t>, 1056-57.</w:t>
      </w:r>
    </w:p>
  </w:footnote>
  <w:footnote w:id="2">
    <w:p w14:paraId="47DC8D7F" w14:textId="7C49EE4A" w:rsidR="00760C74" w:rsidRPr="00682DC6" w:rsidRDefault="00760C74">
      <w:pPr>
        <w:pStyle w:val="FootnoteText"/>
        <w:rPr>
          <w:lang w:val="en-US"/>
        </w:rPr>
      </w:pPr>
      <w:r>
        <w:rPr>
          <w:rStyle w:val="FootnoteReference"/>
        </w:rPr>
        <w:footnoteRef/>
      </w:r>
      <w:r>
        <w:t xml:space="preserve"> </w:t>
      </w:r>
      <w:r w:rsidRPr="00682DC6">
        <w:rPr>
          <w:i/>
          <w:iCs/>
        </w:rPr>
        <w:t>R. v. </w:t>
      </w:r>
      <w:proofErr w:type="spellStart"/>
      <w:r w:rsidRPr="00682DC6">
        <w:rPr>
          <w:i/>
          <w:iCs/>
        </w:rPr>
        <w:t>Hape</w:t>
      </w:r>
      <w:proofErr w:type="spellEnd"/>
      <w:r w:rsidRPr="00682DC6">
        <w:rPr>
          <w:i/>
          <w:iCs/>
        </w:rPr>
        <w:t>,</w:t>
      </w:r>
      <w:r w:rsidRPr="00682DC6">
        <w:t xml:space="preserve"> [2007] 2 S.C.R. 292, 2007 SCC 26</w:t>
      </w:r>
      <w:r>
        <w:t xml:space="preserve"> para 56.</w:t>
      </w:r>
    </w:p>
  </w:footnote>
  <w:footnote w:id="3">
    <w:p w14:paraId="7F3F8D9A" w14:textId="30D6844C" w:rsidR="00760C74" w:rsidRPr="003C6DDD" w:rsidRDefault="00760C74">
      <w:pPr>
        <w:pStyle w:val="FootnoteText"/>
        <w:rPr>
          <w:lang w:val="en-US"/>
        </w:rPr>
      </w:pPr>
      <w:r>
        <w:rPr>
          <w:rStyle w:val="FootnoteReference"/>
        </w:rPr>
        <w:footnoteRef/>
      </w:r>
      <w:r>
        <w:t xml:space="preserve"> </w:t>
      </w:r>
      <w:r w:rsidRPr="000B5147">
        <w:t>Martha Jackman and Bruc</w:t>
      </w:r>
      <w:r>
        <w:t>e</w:t>
      </w:r>
      <w:r w:rsidRPr="000B5147">
        <w:t xml:space="preserve"> Porter, “</w:t>
      </w:r>
      <w:hyperlink r:id="rId1" w:history="1">
        <w:r w:rsidRPr="000B5147">
          <w:rPr>
            <w:rStyle w:val="Hyperlink"/>
          </w:rPr>
          <w:t>Social and Economic Rights</w:t>
        </w:r>
      </w:hyperlink>
      <w:r w:rsidRPr="000B5147">
        <w:t xml:space="preserve">”, in Peter Oliver, Patrick </w:t>
      </w:r>
      <w:proofErr w:type="spellStart"/>
      <w:r w:rsidRPr="000B5147">
        <w:t>Maklem</w:t>
      </w:r>
      <w:proofErr w:type="spellEnd"/>
      <w:r w:rsidRPr="000B5147">
        <w:t xml:space="preserve"> &amp; Nathalie </w:t>
      </w:r>
      <w:proofErr w:type="spellStart"/>
      <w:r w:rsidRPr="000B5147">
        <w:t>DesRosiers</w:t>
      </w:r>
      <w:proofErr w:type="spellEnd"/>
      <w:r w:rsidRPr="000B5147">
        <w:t>, eds, </w:t>
      </w:r>
      <w:r w:rsidRPr="000B5147">
        <w:rPr>
          <w:i/>
          <w:iCs/>
        </w:rPr>
        <w:t>The Oxford Handbook of the Canadian Constitution</w:t>
      </w:r>
      <w:r w:rsidRPr="000B5147">
        <w:t> (New York: Oxford University Press, 2017) 843-861.</w:t>
      </w:r>
    </w:p>
  </w:footnote>
  <w:footnote w:id="4">
    <w:p w14:paraId="703D61C1" w14:textId="7266E849" w:rsidR="00760C74" w:rsidRPr="00E320C5" w:rsidRDefault="00760C74">
      <w:pPr>
        <w:pStyle w:val="FootnoteText"/>
        <w:rPr>
          <w:lang w:val="en-US"/>
        </w:rPr>
      </w:pPr>
      <w:r>
        <w:rPr>
          <w:rStyle w:val="FootnoteReference"/>
        </w:rPr>
        <w:footnoteRef/>
      </w:r>
      <w:r>
        <w:t xml:space="preserve"> </w:t>
      </w:r>
      <w:r w:rsidRPr="00E320C5">
        <w:rPr>
          <w:i/>
          <w:iCs/>
        </w:rPr>
        <w:t>Gosselin v. Quebec (Attorney General)</w:t>
      </w:r>
      <w:r w:rsidRPr="00E320C5">
        <w:t>, [2002] 4 S.C.R. 429, 2002 SCC 84</w:t>
      </w:r>
    </w:p>
  </w:footnote>
  <w:footnote w:id="5">
    <w:p w14:paraId="11EAA508" w14:textId="77777777" w:rsidR="00760C74" w:rsidRPr="003E594E" w:rsidRDefault="00760C74" w:rsidP="00F51710">
      <w:pPr>
        <w:pStyle w:val="FootnoteText"/>
        <w:rPr>
          <w:rFonts w:ascii="Times New Roman" w:hAnsi="Times New Roman"/>
        </w:rPr>
      </w:pPr>
      <w:r w:rsidRPr="003E594E">
        <w:rPr>
          <w:rStyle w:val="FootnoteReference"/>
        </w:rPr>
        <w:footnoteRef/>
      </w:r>
      <w:r w:rsidRPr="003E594E">
        <w:rPr>
          <w:rFonts w:ascii="Times New Roman" w:hAnsi="Times New Roman"/>
        </w:rPr>
        <w:t xml:space="preserve"> </w:t>
      </w:r>
      <w:proofErr w:type="spellStart"/>
      <w:r w:rsidRPr="003E594E">
        <w:rPr>
          <w:rFonts w:ascii="Times New Roman" w:hAnsi="Times New Roman"/>
          <w:i/>
          <w:iCs/>
        </w:rPr>
        <w:t>Chaoulli</w:t>
      </w:r>
      <w:proofErr w:type="spellEnd"/>
      <w:r w:rsidRPr="003E594E">
        <w:rPr>
          <w:rFonts w:ascii="Times New Roman" w:hAnsi="Times New Roman"/>
          <w:i/>
          <w:iCs/>
        </w:rPr>
        <w:t> v. Quebec (Attorney General)</w:t>
      </w:r>
      <w:r w:rsidRPr="003E594E">
        <w:rPr>
          <w:rFonts w:ascii="Times New Roman" w:hAnsi="Times New Roman"/>
        </w:rPr>
        <w:t>, [2005] 1 S.C.R. 791</w:t>
      </w:r>
    </w:p>
  </w:footnote>
  <w:footnote w:id="6">
    <w:p w14:paraId="71C9D2F5" w14:textId="77777777" w:rsidR="00760C74" w:rsidRPr="003E594E" w:rsidRDefault="00760C74" w:rsidP="00F51710">
      <w:pPr>
        <w:pStyle w:val="FootnoteText"/>
        <w:rPr>
          <w:rFonts w:ascii="Times New Roman" w:hAnsi="Times New Roman"/>
        </w:rPr>
      </w:pPr>
      <w:r w:rsidRPr="003E594E">
        <w:rPr>
          <w:rStyle w:val="FootnoteReference"/>
        </w:rPr>
        <w:footnoteRef/>
      </w:r>
      <w:r w:rsidRPr="003E594E">
        <w:rPr>
          <w:rFonts w:ascii="Times New Roman" w:hAnsi="Times New Roman"/>
        </w:rPr>
        <w:t xml:space="preserve"> </w:t>
      </w:r>
      <w:r w:rsidRPr="003461F1">
        <w:rPr>
          <w:rFonts w:ascii="Times New Roman" w:hAnsi="Times New Roman"/>
        </w:rPr>
        <w:t xml:space="preserve">Ibid </w:t>
      </w:r>
      <w:r w:rsidRPr="003E594E">
        <w:rPr>
          <w:rFonts w:ascii="Times New Roman" w:hAnsi="Times New Roman"/>
        </w:rPr>
        <w:t>para 104.</w:t>
      </w:r>
    </w:p>
  </w:footnote>
  <w:footnote w:id="7">
    <w:p w14:paraId="7E30E996" w14:textId="7B975C53" w:rsidR="00760C74" w:rsidRPr="00760C74" w:rsidRDefault="00760C74">
      <w:pPr>
        <w:pStyle w:val="FootnoteText"/>
        <w:rPr>
          <w:lang w:val="en-US"/>
        </w:rPr>
      </w:pPr>
      <w:r>
        <w:rPr>
          <w:rStyle w:val="FootnoteReference"/>
        </w:rPr>
        <w:footnoteRef/>
      </w:r>
      <w:r>
        <w:t xml:space="preserve"> </w:t>
      </w:r>
      <w:r w:rsidRPr="00B86BFF">
        <w:rPr>
          <w:rFonts w:cs="Arial"/>
          <w:i/>
          <w:iCs/>
        </w:rPr>
        <w:t>Toussaint v. Canada (Attorney General), 2011 FCA 213</w:t>
      </w:r>
      <w:r>
        <w:rPr>
          <w:rFonts w:cs="Arial"/>
        </w:rPr>
        <w:t>.</w:t>
      </w:r>
    </w:p>
  </w:footnote>
  <w:footnote w:id="8">
    <w:p w14:paraId="0A894A24" w14:textId="2AE8130E" w:rsidR="00760C74" w:rsidRPr="00760C74" w:rsidRDefault="00760C74">
      <w:pPr>
        <w:pStyle w:val="FootnoteText"/>
        <w:rPr>
          <w:lang w:val="en-US"/>
        </w:rPr>
      </w:pPr>
      <w:r>
        <w:rPr>
          <w:rStyle w:val="FootnoteReference"/>
        </w:rPr>
        <w:footnoteRef/>
      </w:r>
      <w:r>
        <w:t xml:space="preserve"> </w:t>
      </w:r>
      <w:r>
        <w:rPr>
          <w:lang w:val="en-US"/>
        </w:rPr>
        <w:t>Ibid, paras 76 – 79.</w:t>
      </w:r>
    </w:p>
  </w:footnote>
  <w:footnote w:id="9">
    <w:p w14:paraId="4593D4B6" w14:textId="33C5C2E3" w:rsidR="00760C74" w:rsidRPr="00760C74" w:rsidRDefault="00760C74">
      <w:pPr>
        <w:pStyle w:val="FootnoteText"/>
        <w:rPr>
          <w:lang w:val="en-US"/>
        </w:rPr>
      </w:pPr>
      <w:r>
        <w:rPr>
          <w:rStyle w:val="FootnoteReference"/>
        </w:rPr>
        <w:footnoteRef/>
      </w:r>
      <w:r>
        <w:t xml:space="preserve"> </w:t>
      </w:r>
      <w:r w:rsidRPr="003E594E">
        <w:rPr>
          <w:rFonts w:ascii="Times New Roman" w:hAnsi="Times New Roman"/>
          <w:i/>
          <w:iCs/>
        </w:rPr>
        <w:t>Canadian Doctors for Refugee Care v. Canada (Attorney general),</w:t>
      </w:r>
      <w:r w:rsidRPr="003E594E">
        <w:rPr>
          <w:rFonts w:ascii="Times New Roman" w:hAnsi="Times New Roman"/>
        </w:rPr>
        <w:t xml:space="preserve"> 2014 FC 651</w:t>
      </w:r>
      <w:r>
        <w:rPr>
          <w:rFonts w:ascii="Times New Roman" w:hAnsi="Times New Roman"/>
        </w:rPr>
        <w:t>.</w:t>
      </w:r>
    </w:p>
  </w:footnote>
  <w:footnote w:id="10">
    <w:p w14:paraId="5213AA92" w14:textId="013DA604" w:rsidR="00ED26B0" w:rsidRPr="00ED26B0" w:rsidRDefault="00ED26B0">
      <w:pPr>
        <w:pStyle w:val="FootnoteText"/>
        <w:rPr>
          <w:rFonts w:ascii="Times New Roman" w:hAnsi="Times New Roman"/>
        </w:rPr>
      </w:pPr>
      <w:r>
        <w:rPr>
          <w:rStyle w:val="FootnoteReference"/>
        </w:rPr>
        <w:footnoteRef/>
      </w:r>
      <w:r>
        <w:t xml:space="preserve"> </w:t>
      </w:r>
      <w:r w:rsidRPr="00947C44">
        <w:rPr>
          <w:rFonts w:ascii="Times New Roman" w:hAnsi="Times New Roman"/>
        </w:rPr>
        <w:t xml:space="preserve">Submission </w:t>
      </w:r>
      <w:r>
        <w:rPr>
          <w:rFonts w:ascii="Times New Roman" w:hAnsi="Times New Roman"/>
        </w:rPr>
        <w:t>o</w:t>
      </w:r>
      <w:r w:rsidRPr="00947C44">
        <w:rPr>
          <w:rFonts w:ascii="Times New Roman" w:hAnsi="Times New Roman"/>
        </w:rPr>
        <w:t>f The Government Of Canada</w:t>
      </w:r>
      <w:r>
        <w:rPr>
          <w:rFonts w:ascii="Times New Roman" w:hAnsi="Times New Roman"/>
        </w:rPr>
        <w:t xml:space="preserve"> o</w:t>
      </w:r>
      <w:r w:rsidRPr="00947C44">
        <w:rPr>
          <w:rFonts w:ascii="Times New Roman" w:hAnsi="Times New Roman"/>
        </w:rPr>
        <w:t xml:space="preserve">n </w:t>
      </w:r>
      <w:r>
        <w:rPr>
          <w:rFonts w:ascii="Times New Roman" w:hAnsi="Times New Roman"/>
        </w:rPr>
        <w:t>t</w:t>
      </w:r>
      <w:r w:rsidRPr="00947C44">
        <w:rPr>
          <w:rFonts w:ascii="Times New Roman" w:hAnsi="Times New Roman"/>
        </w:rPr>
        <w:t xml:space="preserve">he Admissibility </w:t>
      </w:r>
      <w:r>
        <w:rPr>
          <w:rFonts w:ascii="Times New Roman" w:hAnsi="Times New Roman"/>
        </w:rPr>
        <w:t>a</w:t>
      </w:r>
      <w:r w:rsidRPr="00947C44">
        <w:rPr>
          <w:rFonts w:ascii="Times New Roman" w:hAnsi="Times New Roman"/>
        </w:rPr>
        <w:t xml:space="preserve">nd Merits </w:t>
      </w:r>
      <w:r>
        <w:rPr>
          <w:rFonts w:ascii="Times New Roman" w:hAnsi="Times New Roman"/>
        </w:rPr>
        <w:t>o</w:t>
      </w:r>
      <w:r w:rsidRPr="00947C44">
        <w:rPr>
          <w:rFonts w:ascii="Times New Roman" w:hAnsi="Times New Roman"/>
        </w:rPr>
        <w:t xml:space="preserve">f </w:t>
      </w:r>
      <w:r>
        <w:rPr>
          <w:rFonts w:ascii="Times New Roman" w:hAnsi="Times New Roman"/>
        </w:rPr>
        <w:t>t</w:t>
      </w:r>
      <w:r w:rsidRPr="00947C44">
        <w:rPr>
          <w:rFonts w:ascii="Times New Roman" w:hAnsi="Times New Roman"/>
        </w:rPr>
        <w:t>he Communication</w:t>
      </w:r>
      <w:r>
        <w:rPr>
          <w:rFonts w:ascii="Times New Roman" w:hAnsi="Times New Roman"/>
        </w:rPr>
        <w:t xml:space="preserve"> t</w:t>
      </w:r>
      <w:r w:rsidRPr="00947C44">
        <w:rPr>
          <w:rFonts w:ascii="Times New Roman" w:hAnsi="Times New Roman"/>
        </w:rPr>
        <w:t xml:space="preserve">o </w:t>
      </w:r>
      <w:r>
        <w:rPr>
          <w:rFonts w:ascii="Times New Roman" w:hAnsi="Times New Roman"/>
        </w:rPr>
        <w:t>t</w:t>
      </w:r>
      <w:r w:rsidRPr="00947C44">
        <w:rPr>
          <w:rFonts w:ascii="Times New Roman" w:hAnsi="Times New Roman"/>
        </w:rPr>
        <w:t xml:space="preserve">he Human Rights Committee </w:t>
      </w:r>
      <w:r>
        <w:rPr>
          <w:rFonts w:ascii="Times New Roman" w:hAnsi="Times New Roman"/>
        </w:rPr>
        <w:t xml:space="preserve">of </w:t>
      </w:r>
      <w:r w:rsidRPr="00947C44">
        <w:rPr>
          <w:rFonts w:ascii="Times New Roman" w:hAnsi="Times New Roman"/>
        </w:rPr>
        <w:t>Nell Toussaint</w:t>
      </w:r>
      <w:r>
        <w:rPr>
          <w:rFonts w:ascii="Times New Roman" w:hAnsi="Times New Roman"/>
        </w:rPr>
        <w:t xml:space="preserve"> </w:t>
      </w:r>
      <w:r w:rsidRPr="00947C44">
        <w:rPr>
          <w:rFonts w:ascii="Times New Roman" w:hAnsi="Times New Roman"/>
        </w:rPr>
        <w:t>Communication No. 2348/2014</w:t>
      </w:r>
      <w:r>
        <w:rPr>
          <w:rFonts w:ascii="Times New Roman" w:hAnsi="Times New Roman"/>
        </w:rPr>
        <w:t xml:space="preserve">’ (2 </w:t>
      </w:r>
      <w:r w:rsidRPr="00947C44">
        <w:rPr>
          <w:rFonts w:ascii="Times New Roman" w:hAnsi="Times New Roman"/>
        </w:rPr>
        <w:t>April 2015</w:t>
      </w:r>
      <w:r>
        <w:rPr>
          <w:rFonts w:ascii="Times New Roman" w:hAnsi="Times New Roman"/>
        </w:rPr>
        <w:t xml:space="preserve">) paras 21, 95. </w:t>
      </w:r>
      <w:r w:rsidRPr="009F2A08">
        <w:rPr>
          <w:rFonts w:ascii="Times New Roman" w:hAnsi="Times New Roman"/>
        </w:rPr>
        <w:t>&lt;</w:t>
      </w:r>
      <w:hyperlink r:id="rId2" w:history="1">
        <w:r w:rsidRPr="003E419E">
          <w:rPr>
            <w:rStyle w:val="Hyperlink"/>
            <w:rFonts w:ascii="Times New Roman" w:hAnsi="Times New Roman"/>
          </w:rPr>
          <w:t>http://www.socialrightscura.ca/documents/legal/tousaint%20IFBH/Canada%20-%20Submissions%20on%20Merits.pdf</w:t>
        </w:r>
      </w:hyperlink>
      <w:r w:rsidRPr="003E419E">
        <w:rPr>
          <w:rFonts w:ascii="Times New Roman" w:hAnsi="Times New Roman"/>
        </w:rPr>
        <w:t>&gt;</w:t>
      </w:r>
    </w:p>
  </w:footnote>
  <w:footnote w:id="11">
    <w:p w14:paraId="57C7B7BB" w14:textId="6BE32D05" w:rsidR="00ED26B0" w:rsidRPr="00ED26B0" w:rsidRDefault="00ED26B0">
      <w:pPr>
        <w:pStyle w:val="FootnoteText"/>
        <w:rPr>
          <w:lang w:val="en-US"/>
        </w:rPr>
      </w:pPr>
      <w:r>
        <w:rPr>
          <w:rStyle w:val="FootnoteReference"/>
        </w:rPr>
        <w:footnoteRef/>
      </w:r>
      <w:r>
        <w:t xml:space="preserve"> </w:t>
      </w:r>
      <w:hyperlink r:id="rId3" w:history="1">
        <w:r w:rsidRPr="009B1F3F">
          <w:rPr>
            <w:rStyle w:val="Hyperlink"/>
            <w:rFonts w:ascii="Times New Roman" w:hAnsi="Times New Roman"/>
            <w:i/>
            <w:iCs/>
          </w:rPr>
          <w:t>Nell Toussaint v Canada</w:t>
        </w:r>
        <w:r w:rsidRPr="009B1F3F">
          <w:rPr>
            <w:rStyle w:val="Hyperlink"/>
            <w:rFonts w:ascii="Times New Roman" w:hAnsi="Times New Roman"/>
          </w:rPr>
          <w:t xml:space="preserve"> Communication No. 2348/2014</w:t>
        </w:r>
      </w:hyperlink>
      <w:r>
        <w:rPr>
          <w:rFonts w:ascii="Times New Roman" w:hAnsi="Times New Roman"/>
        </w:rPr>
        <w:t xml:space="preserve"> (2 </w:t>
      </w:r>
      <w:r w:rsidRPr="00947C44">
        <w:rPr>
          <w:rFonts w:ascii="Times New Roman" w:hAnsi="Times New Roman"/>
        </w:rPr>
        <w:t>April 2015</w:t>
      </w:r>
      <w:proofErr w:type="gramStart"/>
      <w:r>
        <w:rPr>
          <w:rFonts w:ascii="Times New Roman" w:hAnsi="Times New Roman"/>
        </w:rPr>
        <w:t xml:space="preserve">) </w:t>
      </w:r>
      <w:r w:rsidRPr="003461F1">
        <w:rPr>
          <w:rFonts w:ascii="Times New Roman" w:hAnsi="Times New Roman"/>
        </w:rPr>
        <w:t xml:space="preserve"> </w:t>
      </w:r>
      <w:r w:rsidRPr="009B1F3F">
        <w:rPr>
          <w:rFonts w:ascii="Times New Roman" w:hAnsi="Times New Roman"/>
        </w:rPr>
        <w:t>CCPR</w:t>
      </w:r>
      <w:proofErr w:type="gramEnd"/>
      <w:r w:rsidRPr="009B1F3F">
        <w:rPr>
          <w:rFonts w:ascii="Times New Roman" w:hAnsi="Times New Roman"/>
        </w:rPr>
        <w:t>/C/123/D/2348/2014</w:t>
      </w:r>
      <w:r>
        <w:rPr>
          <w:rFonts w:ascii="Times New Roman" w:hAnsi="Times New Roman"/>
        </w:rPr>
        <w:t xml:space="preserve"> </w:t>
      </w:r>
      <w:r w:rsidRPr="003461F1">
        <w:rPr>
          <w:rFonts w:ascii="Times New Roman" w:hAnsi="Times New Roman"/>
        </w:rPr>
        <w:t>para 10.9</w:t>
      </w:r>
      <w:r>
        <w:rPr>
          <w:rFonts w:ascii="Times New Roman" w:hAnsi="Times New Roman"/>
        </w:rPr>
        <w:t>.</w:t>
      </w:r>
    </w:p>
  </w:footnote>
  <w:footnote w:id="12">
    <w:p w14:paraId="650EA7AC" w14:textId="7EDFCA61" w:rsidR="00ED26B0" w:rsidRPr="00B604D1" w:rsidRDefault="00ED26B0">
      <w:pPr>
        <w:pStyle w:val="FootnoteText"/>
        <w:rPr>
          <w:rFonts w:ascii="Times New Roman" w:hAnsi="Times New Roman"/>
        </w:rPr>
      </w:pPr>
      <w:r>
        <w:rPr>
          <w:rStyle w:val="FootnoteReference"/>
        </w:rPr>
        <w:footnoteRef/>
      </w:r>
      <w:r>
        <w:t xml:space="preserve"> </w:t>
      </w:r>
      <w:r w:rsidRPr="003461F1">
        <w:rPr>
          <w:rFonts w:ascii="Times New Roman" w:hAnsi="Times New Roman"/>
        </w:rPr>
        <w:t>Ibid, para 10.9</w:t>
      </w:r>
      <w:r w:rsidR="00B604D1">
        <w:rPr>
          <w:rFonts w:ascii="Times New Roman" w:hAnsi="Times New Roman"/>
        </w:rPr>
        <w:t>.</w:t>
      </w:r>
    </w:p>
  </w:footnote>
  <w:footnote w:id="13">
    <w:p w14:paraId="6138B934" w14:textId="5D3A73B5" w:rsidR="00ED26B0" w:rsidRPr="00ED26B0" w:rsidRDefault="00ED26B0">
      <w:pPr>
        <w:pStyle w:val="FootnoteText"/>
        <w:rPr>
          <w:lang w:val="en-US"/>
        </w:rPr>
      </w:pPr>
      <w:r>
        <w:rPr>
          <w:rStyle w:val="FootnoteReference"/>
        </w:rPr>
        <w:footnoteRef/>
      </w:r>
      <w:r>
        <w:t xml:space="preserve"> </w:t>
      </w:r>
      <w:bookmarkStart w:id="47" w:name="_Hlk32197550"/>
      <w:r w:rsidRPr="005336DF">
        <w:rPr>
          <w:rFonts w:ascii="Times New Roman" w:hAnsi="Times New Roman"/>
          <w:i/>
          <w:iCs/>
        </w:rPr>
        <w:t xml:space="preserve">Nell Toussaint v </w:t>
      </w:r>
      <w:proofErr w:type="gramStart"/>
      <w:r w:rsidRPr="005336DF">
        <w:rPr>
          <w:rFonts w:ascii="Times New Roman" w:hAnsi="Times New Roman"/>
          <w:i/>
          <w:iCs/>
        </w:rPr>
        <w:t>Canada</w:t>
      </w:r>
      <w:r>
        <w:rPr>
          <w:rFonts w:ascii="Times New Roman" w:hAnsi="Times New Roman"/>
        </w:rPr>
        <w:t xml:space="preserve">  </w:t>
      </w:r>
      <w:r w:rsidRPr="00947C44">
        <w:rPr>
          <w:rFonts w:ascii="Times New Roman" w:hAnsi="Times New Roman"/>
        </w:rPr>
        <w:t>Communication</w:t>
      </w:r>
      <w:proofErr w:type="gramEnd"/>
      <w:r w:rsidRPr="00947C44">
        <w:rPr>
          <w:rFonts w:ascii="Times New Roman" w:hAnsi="Times New Roman"/>
        </w:rPr>
        <w:t xml:space="preserve"> No. 2348/2014</w:t>
      </w:r>
      <w:r>
        <w:rPr>
          <w:rFonts w:ascii="Times New Roman" w:hAnsi="Times New Roman"/>
        </w:rPr>
        <w:t xml:space="preserve">’ (2 </w:t>
      </w:r>
      <w:r w:rsidRPr="00947C44">
        <w:rPr>
          <w:rFonts w:ascii="Times New Roman" w:hAnsi="Times New Roman"/>
        </w:rPr>
        <w:t>April 2015</w:t>
      </w:r>
      <w:r>
        <w:rPr>
          <w:rFonts w:ascii="Times New Roman" w:hAnsi="Times New Roman"/>
        </w:rPr>
        <w:t xml:space="preserve">) </w:t>
      </w:r>
      <w:bookmarkEnd w:id="47"/>
      <w:r>
        <w:rPr>
          <w:rFonts w:ascii="Times New Roman" w:hAnsi="Times New Roman"/>
        </w:rPr>
        <w:t>para 13.</w:t>
      </w:r>
    </w:p>
  </w:footnote>
  <w:footnote w:id="14">
    <w:p w14:paraId="3FDA950E" w14:textId="77777777" w:rsidR="008A0F79" w:rsidRPr="00C4262C" w:rsidRDefault="008A0F79" w:rsidP="008A0F79">
      <w:pPr>
        <w:pStyle w:val="FootnoteText"/>
        <w:rPr>
          <w:lang w:val="en-US"/>
        </w:rPr>
      </w:pPr>
      <w:r>
        <w:rPr>
          <w:rStyle w:val="FootnoteReference"/>
        </w:rPr>
        <w:footnoteRef/>
      </w:r>
      <w:r>
        <w:t xml:space="preserve"> </w:t>
      </w:r>
      <w:r w:rsidRPr="000009B0">
        <w:rPr>
          <w:rFonts w:ascii="Open Sans Light" w:hAnsi="Open Sans Light" w:cs="Open Sans Light"/>
          <w:i/>
          <w:iCs/>
          <w:color w:val="000000" w:themeColor="text1"/>
          <w:sz w:val="18"/>
        </w:rPr>
        <w:t>Child and Family Caring Society of Canada et al v Attorney General of Canada (for the Minister of Indian and Northern Affairs Canada)</w:t>
      </w:r>
      <w:r w:rsidRPr="000009B0">
        <w:rPr>
          <w:rFonts w:ascii="Open Sans Light" w:hAnsi="Open Sans Light" w:cs="Open Sans Light"/>
          <w:color w:val="000000" w:themeColor="text1"/>
          <w:sz w:val="18"/>
        </w:rPr>
        <w:t xml:space="preserve"> (26 January 2016), online: CHRT &lt;</w:t>
      </w:r>
      <w:hyperlink r:id="rId4" w:history="1">
        <w:r w:rsidRPr="000009B0">
          <w:rPr>
            <w:rStyle w:val="Hyperlink"/>
            <w:rFonts w:ascii="Open Sans Light" w:hAnsi="Open Sans Light" w:cs="Open Sans Light"/>
            <w:color w:val="000000" w:themeColor="text1"/>
            <w:sz w:val="18"/>
          </w:rPr>
          <w:t>canlii.ca/t/gn2vg</w:t>
        </w:r>
      </w:hyperlink>
      <w:r w:rsidRPr="000009B0">
        <w:rPr>
          <w:rFonts w:ascii="Open Sans Light" w:hAnsi="Open Sans Light" w:cs="Open Sans Light"/>
          <w:color w:val="000000" w:themeColor="text1"/>
          <w:sz w:val="18"/>
        </w:rPr>
        <w:t>&gt;.</w:t>
      </w:r>
    </w:p>
  </w:footnote>
  <w:footnote w:id="15">
    <w:p w14:paraId="3F950BC2" w14:textId="77777777" w:rsidR="008A0F79" w:rsidRPr="00606B02" w:rsidRDefault="008A0F79" w:rsidP="008A0F79">
      <w:pPr>
        <w:pStyle w:val="FootnoteText"/>
        <w:rPr>
          <w:lang w:val="en-US"/>
        </w:rPr>
      </w:pPr>
      <w:r>
        <w:rPr>
          <w:rStyle w:val="FootnoteReference"/>
        </w:rPr>
        <w:footnoteRef/>
      </w:r>
      <w:r>
        <w:t xml:space="preserve"> </w:t>
      </w:r>
      <w:hyperlink r:id="rId5" w:history="1">
        <w:r w:rsidRPr="0096271E">
          <w:rPr>
            <w:rStyle w:val="Hyperlink"/>
            <w:i/>
            <w:iCs/>
            <w:lang w:val="en-US"/>
          </w:rPr>
          <w:t>MacLean v. Nova Scotia (Attorney General)</w:t>
        </w:r>
      </w:hyperlink>
      <w:r w:rsidRPr="00923748">
        <w:rPr>
          <w:lang w:val="en-US"/>
        </w:rPr>
        <w:t>, [2019] N.S.H.R.B.I.D. No. 2</w:t>
      </w:r>
      <w:r>
        <w:rPr>
          <w:b/>
          <w:bCs/>
          <w:i/>
          <w:iCs/>
          <w:lang w:val="en-US"/>
        </w:rPr>
        <w:t xml:space="preserve"> </w:t>
      </w:r>
      <w:r w:rsidRPr="00923748">
        <w:rPr>
          <w:lang w:val="en-US"/>
        </w:rPr>
        <w:t>paras</w:t>
      </w:r>
      <w:r>
        <w:rPr>
          <w:b/>
          <w:bCs/>
          <w:i/>
          <w:iCs/>
          <w:lang w:val="en-US"/>
        </w:rPr>
        <w:t xml:space="preserve"> </w:t>
      </w:r>
      <w:r>
        <w:t>469-475.</w:t>
      </w:r>
    </w:p>
  </w:footnote>
  <w:footnote w:id="16">
    <w:p w14:paraId="1E49D332" w14:textId="416D5CB5" w:rsidR="00760C74" w:rsidRPr="00715BF4" w:rsidRDefault="00760C74">
      <w:pPr>
        <w:pStyle w:val="FootnoteText"/>
        <w:rPr>
          <w:lang w:val="en-US"/>
        </w:rPr>
      </w:pPr>
      <w:r>
        <w:rPr>
          <w:rStyle w:val="FootnoteReference"/>
        </w:rPr>
        <w:footnoteRef/>
      </w:r>
      <w:r>
        <w:t xml:space="preserve"> </w:t>
      </w:r>
      <w:r w:rsidRPr="00715BF4">
        <w:t>Federal-Provincial-Territorial Meeting of Ministers Responsible for Human Rights</w:t>
      </w:r>
      <w:r>
        <w:t xml:space="preserve">, Media Statement (December 12, 2019) online </w:t>
      </w:r>
      <w:hyperlink r:id="rId6" w:history="1">
        <w:r>
          <w:rPr>
            <w:rStyle w:val="Hyperlink"/>
          </w:rPr>
          <w:t>https://scics.ca/en/pr</w:t>
        </w:r>
        <w:r>
          <w:rPr>
            <w:rStyle w:val="Hyperlink"/>
          </w:rPr>
          <w:t>o</w:t>
        </w:r>
        <w:r>
          <w:rPr>
            <w:rStyle w:val="Hyperlink"/>
          </w:rPr>
          <w:t>duct-produit/news-release-federal-provincial-and-territorial-ministers-from-across-the-country-gather-to-discuss-human-rights/</w:t>
        </w:r>
      </w:hyperlink>
    </w:p>
  </w:footnote>
  <w:footnote w:id="17">
    <w:p w14:paraId="06B627EC" w14:textId="77777777" w:rsidR="00334353" w:rsidRPr="00950508" w:rsidRDefault="00334353" w:rsidP="00334353">
      <w:pPr>
        <w:pStyle w:val="FootnoteText"/>
        <w:rPr>
          <w:lang w:val="en-US"/>
        </w:rPr>
      </w:pPr>
      <w:r>
        <w:rPr>
          <w:rStyle w:val="FootnoteReference"/>
        </w:rPr>
        <w:footnoteRef/>
      </w:r>
      <w:r>
        <w:t xml:space="preserve"> </w:t>
      </w:r>
      <w:r>
        <w:rPr>
          <w:lang w:val="en-US"/>
        </w:rPr>
        <w:t xml:space="preserve">Online at </w:t>
      </w:r>
      <w:hyperlink r:id="rId7" w:history="1">
        <w:r>
          <w:rPr>
            <w:rStyle w:val="Hyperlink"/>
          </w:rPr>
          <w:t>https://scics.ca/en/product-produit/agreement-a-framework-to-improve-the-social-union-for-canadians/</w:t>
        </w:r>
      </w:hyperlink>
    </w:p>
    <w:p w14:paraId="3243B559" w14:textId="15264AF9" w:rsidR="00334353" w:rsidRPr="00334353" w:rsidRDefault="00334353">
      <w:pPr>
        <w:pStyle w:val="FootnoteText"/>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E74481" w14:textId="77777777" w:rsidR="00760C74" w:rsidRDefault="00760C74">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E3BED7F" w14:textId="77777777" w:rsidR="00760C74" w:rsidRDefault="00760C74">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200075" w14:textId="6BDAC117" w:rsidR="00760C74" w:rsidRDefault="00760C74">
    <w:pPr>
      <w:pStyle w:val="Header"/>
      <w:jc w:val="right"/>
    </w:pPr>
    <w:r>
      <w:t>`</w:t>
    </w:r>
    <w:r>
      <w:fldChar w:fldCharType="begin"/>
    </w:r>
    <w:r>
      <w:instrText xml:space="preserve"> PAGE   \* MERGEFORMAT </w:instrText>
    </w:r>
    <w:r>
      <w:fldChar w:fldCharType="separate"/>
    </w:r>
    <w:r>
      <w:rPr>
        <w:noProof/>
      </w:rPr>
      <w:t>17</w:t>
    </w:r>
    <w:r>
      <w:rPr>
        <w:noProof/>
      </w:rPr>
      <w:fldChar w:fldCharType="end"/>
    </w:r>
  </w:p>
  <w:p w14:paraId="3F9EB91F" w14:textId="77777777" w:rsidR="00B604D1" w:rsidRDefault="00B604D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860C4"/>
    <w:multiLevelType w:val="hybridMultilevel"/>
    <w:tmpl w:val="896A0EA8"/>
    <w:lvl w:ilvl="0" w:tplc="250EE2F6">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3C663A8"/>
    <w:multiLevelType w:val="hybridMultilevel"/>
    <w:tmpl w:val="896A0EA8"/>
    <w:lvl w:ilvl="0" w:tplc="250EE2F6">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9F94F3E"/>
    <w:multiLevelType w:val="hybridMultilevel"/>
    <w:tmpl w:val="7974FA84"/>
    <w:lvl w:ilvl="0" w:tplc="C8C4A41C">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C74010F"/>
    <w:multiLevelType w:val="hybridMultilevel"/>
    <w:tmpl w:val="F74E0D1C"/>
    <w:lvl w:ilvl="0" w:tplc="CC021E18">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0D6F0540"/>
    <w:multiLevelType w:val="hybridMultilevel"/>
    <w:tmpl w:val="44BE9F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4E35FD"/>
    <w:multiLevelType w:val="hybridMultilevel"/>
    <w:tmpl w:val="D554A304"/>
    <w:lvl w:ilvl="0" w:tplc="1009000F">
      <w:start w:val="10"/>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1BE963C9"/>
    <w:multiLevelType w:val="hybridMultilevel"/>
    <w:tmpl w:val="7974FC52"/>
    <w:lvl w:ilvl="0" w:tplc="DF2E8606">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1FEF5737"/>
    <w:multiLevelType w:val="hybridMultilevel"/>
    <w:tmpl w:val="EDD00544"/>
    <w:lvl w:ilvl="0" w:tplc="688C5980">
      <w:start w:val="1"/>
      <w:numFmt w:val="decimal"/>
      <w:lvlText w:val="%1."/>
      <w:lvlJc w:val="left"/>
      <w:pPr>
        <w:ind w:left="0" w:firstLine="0"/>
      </w:pPr>
      <w:rPr>
        <w:rFonts w:hint="default"/>
        <w:b w:val="0"/>
        <w:i/>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20EC347D"/>
    <w:multiLevelType w:val="hybridMultilevel"/>
    <w:tmpl w:val="26F00F74"/>
    <w:lvl w:ilvl="0" w:tplc="1009000F">
      <w:start w:val="16"/>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26D27B69"/>
    <w:multiLevelType w:val="hybridMultilevel"/>
    <w:tmpl w:val="9A264E26"/>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30BE30B7"/>
    <w:multiLevelType w:val="hybridMultilevel"/>
    <w:tmpl w:val="60620788"/>
    <w:lvl w:ilvl="0" w:tplc="DF86DAC6">
      <w:start w:val="2"/>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5AC53C4"/>
    <w:multiLevelType w:val="hybridMultilevel"/>
    <w:tmpl w:val="896A0EA8"/>
    <w:lvl w:ilvl="0" w:tplc="250EE2F6">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3998326B"/>
    <w:multiLevelType w:val="hybridMultilevel"/>
    <w:tmpl w:val="88AE1A3C"/>
    <w:lvl w:ilvl="0" w:tplc="8064E5B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FE0E57"/>
    <w:multiLevelType w:val="hybridMultilevel"/>
    <w:tmpl w:val="F2FC3518"/>
    <w:lvl w:ilvl="0" w:tplc="1009000F">
      <w:start w:val="18"/>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51393B46"/>
    <w:multiLevelType w:val="hybridMultilevel"/>
    <w:tmpl w:val="2E526A74"/>
    <w:lvl w:ilvl="0" w:tplc="1116FD68">
      <w:start w:val="7"/>
      <w:numFmt w:val="decimal"/>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9DB5E8A"/>
    <w:multiLevelType w:val="hybridMultilevel"/>
    <w:tmpl w:val="A832F252"/>
    <w:lvl w:ilvl="0" w:tplc="53E25C7E">
      <w:start w:val="2"/>
      <w:numFmt w:val="decimal"/>
      <w:lvlText w:val="%1."/>
      <w:lvlJc w:val="left"/>
      <w:pPr>
        <w:ind w:left="720" w:hanging="360"/>
      </w:pPr>
      <w:rPr>
        <w:rFonts w:ascii="Cambria" w:hAnsi="Cambria" w:cs="Times New Roman" w:hint="default"/>
        <w:b/>
        <w:color w:val="2DA2BF"/>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C30553A"/>
    <w:multiLevelType w:val="hybridMultilevel"/>
    <w:tmpl w:val="B036AF90"/>
    <w:lvl w:ilvl="0" w:tplc="7EB8BC12">
      <w:start w:val="9"/>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5F6659C"/>
    <w:multiLevelType w:val="hybridMultilevel"/>
    <w:tmpl w:val="CEF63BAC"/>
    <w:lvl w:ilvl="0" w:tplc="87D6A24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9006DD8"/>
    <w:multiLevelType w:val="hybridMultilevel"/>
    <w:tmpl w:val="A776080A"/>
    <w:lvl w:ilvl="0" w:tplc="1009000F">
      <w:start w:val="20"/>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6AB73A4D"/>
    <w:multiLevelType w:val="hybridMultilevel"/>
    <w:tmpl w:val="AE78C39C"/>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6DBE5C91"/>
    <w:multiLevelType w:val="hybridMultilevel"/>
    <w:tmpl w:val="4C862D2E"/>
    <w:lvl w:ilvl="0" w:tplc="723A7992">
      <w:start w:val="4"/>
      <w:numFmt w:val="decimal"/>
      <w:lvlText w:val="%1."/>
      <w:lvlJc w:val="left"/>
      <w:pPr>
        <w:ind w:left="720" w:hanging="360"/>
      </w:pPr>
      <w:rPr>
        <w:rFonts w:cs="Arial"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72143BF4"/>
    <w:multiLevelType w:val="hybridMultilevel"/>
    <w:tmpl w:val="AB44D192"/>
    <w:lvl w:ilvl="0" w:tplc="0518C0E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75121FD"/>
    <w:multiLevelType w:val="hybridMultilevel"/>
    <w:tmpl w:val="72CED5E0"/>
    <w:lvl w:ilvl="0" w:tplc="1009000F">
      <w:start w:val="5"/>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7CC567E5"/>
    <w:multiLevelType w:val="hybridMultilevel"/>
    <w:tmpl w:val="896A0EA8"/>
    <w:lvl w:ilvl="0" w:tplc="250EE2F6">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9"/>
  </w:num>
  <w:num w:numId="2">
    <w:abstractNumId w:val="7"/>
  </w:num>
  <w:num w:numId="3">
    <w:abstractNumId w:val="9"/>
  </w:num>
  <w:num w:numId="4">
    <w:abstractNumId w:val="23"/>
  </w:num>
  <w:num w:numId="5">
    <w:abstractNumId w:val="3"/>
  </w:num>
  <w:num w:numId="6">
    <w:abstractNumId w:val="6"/>
  </w:num>
  <w:num w:numId="7">
    <w:abstractNumId w:val="20"/>
  </w:num>
  <w:num w:numId="8">
    <w:abstractNumId w:val="22"/>
  </w:num>
  <w:num w:numId="9">
    <w:abstractNumId w:val="5"/>
  </w:num>
  <w:num w:numId="10">
    <w:abstractNumId w:val="8"/>
  </w:num>
  <w:num w:numId="11">
    <w:abstractNumId w:val="13"/>
  </w:num>
  <w:num w:numId="12">
    <w:abstractNumId w:val="18"/>
  </w:num>
  <w:num w:numId="13">
    <w:abstractNumId w:val="21"/>
  </w:num>
  <w:num w:numId="14">
    <w:abstractNumId w:val="17"/>
  </w:num>
  <w:num w:numId="15">
    <w:abstractNumId w:val="10"/>
  </w:num>
  <w:num w:numId="16">
    <w:abstractNumId w:val="16"/>
  </w:num>
  <w:num w:numId="17">
    <w:abstractNumId w:val="15"/>
  </w:num>
  <w:num w:numId="18">
    <w:abstractNumId w:val="4"/>
  </w:num>
  <w:num w:numId="19">
    <w:abstractNumId w:val="12"/>
  </w:num>
  <w:num w:numId="20">
    <w:abstractNumId w:val="2"/>
  </w:num>
  <w:num w:numId="21">
    <w:abstractNumId w:val="11"/>
  </w:num>
  <w:num w:numId="22">
    <w:abstractNumId w:val="0"/>
  </w:num>
  <w:num w:numId="23">
    <w:abstractNumId w:val="14"/>
  </w:num>
  <w:num w:numId="24">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style="mso-position-horizontal-relative:margin;mso-position-vertical-relative:line" fillcolor="black">
      <v:fill color="black" color2="black"/>
      <v:stroke weight="4.8pt"/>
      <v:textbox inset="6pt,6pt,6pt,6pt"/>
    </o:shapedefaults>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F2"/>
    <w:rsid w:val="00006896"/>
    <w:rsid w:val="0000786D"/>
    <w:rsid w:val="00012C82"/>
    <w:rsid w:val="00013E4C"/>
    <w:rsid w:val="000142CF"/>
    <w:rsid w:val="00014733"/>
    <w:rsid w:val="00026288"/>
    <w:rsid w:val="00027ADA"/>
    <w:rsid w:val="00027EFF"/>
    <w:rsid w:val="000305D1"/>
    <w:rsid w:val="000312E8"/>
    <w:rsid w:val="00032A30"/>
    <w:rsid w:val="0004711F"/>
    <w:rsid w:val="0005234C"/>
    <w:rsid w:val="0006455F"/>
    <w:rsid w:val="00065EC1"/>
    <w:rsid w:val="00071B74"/>
    <w:rsid w:val="00073464"/>
    <w:rsid w:val="00074AFD"/>
    <w:rsid w:val="0008661F"/>
    <w:rsid w:val="00091997"/>
    <w:rsid w:val="000954BB"/>
    <w:rsid w:val="000A0425"/>
    <w:rsid w:val="000A2440"/>
    <w:rsid w:val="000A70EC"/>
    <w:rsid w:val="000B30B3"/>
    <w:rsid w:val="000B5147"/>
    <w:rsid w:val="000C7603"/>
    <w:rsid w:val="000D064B"/>
    <w:rsid w:val="000D53E0"/>
    <w:rsid w:val="000E0592"/>
    <w:rsid w:val="000E205F"/>
    <w:rsid w:val="000E3005"/>
    <w:rsid w:val="000F25D0"/>
    <w:rsid w:val="000F3897"/>
    <w:rsid w:val="000F666A"/>
    <w:rsid w:val="001041E5"/>
    <w:rsid w:val="00104BCA"/>
    <w:rsid w:val="00104F7D"/>
    <w:rsid w:val="00116D42"/>
    <w:rsid w:val="00121072"/>
    <w:rsid w:val="00125141"/>
    <w:rsid w:val="0012662B"/>
    <w:rsid w:val="00126D0F"/>
    <w:rsid w:val="00131E68"/>
    <w:rsid w:val="00132D7E"/>
    <w:rsid w:val="001356F0"/>
    <w:rsid w:val="0013776E"/>
    <w:rsid w:val="0014142F"/>
    <w:rsid w:val="001550CA"/>
    <w:rsid w:val="0017488F"/>
    <w:rsid w:val="001749A2"/>
    <w:rsid w:val="00185186"/>
    <w:rsid w:val="00191460"/>
    <w:rsid w:val="001A032B"/>
    <w:rsid w:val="001A180E"/>
    <w:rsid w:val="001A3605"/>
    <w:rsid w:val="001A52DB"/>
    <w:rsid w:val="001B07E2"/>
    <w:rsid w:val="001B650C"/>
    <w:rsid w:val="001B7531"/>
    <w:rsid w:val="001B7F73"/>
    <w:rsid w:val="001C5C96"/>
    <w:rsid w:val="001D4FF1"/>
    <w:rsid w:val="001E44AD"/>
    <w:rsid w:val="001E511B"/>
    <w:rsid w:val="001E532F"/>
    <w:rsid w:val="001F0A67"/>
    <w:rsid w:val="001F15BB"/>
    <w:rsid w:val="001F4F0E"/>
    <w:rsid w:val="001F7A7E"/>
    <w:rsid w:val="00204C27"/>
    <w:rsid w:val="0020765D"/>
    <w:rsid w:val="0021754D"/>
    <w:rsid w:val="00227F98"/>
    <w:rsid w:val="00232B27"/>
    <w:rsid w:val="00240F5D"/>
    <w:rsid w:val="00245192"/>
    <w:rsid w:val="0024594B"/>
    <w:rsid w:val="00245CD0"/>
    <w:rsid w:val="00250537"/>
    <w:rsid w:val="00250A25"/>
    <w:rsid w:val="00250E78"/>
    <w:rsid w:val="00253B14"/>
    <w:rsid w:val="00254D8E"/>
    <w:rsid w:val="0026195E"/>
    <w:rsid w:val="00262428"/>
    <w:rsid w:val="00262C11"/>
    <w:rsid w:val="00266E97"/>
    <w:rsid w:val="00267A77"/>
    <w:rsid w:val="00270D20"/>
    <w:rsid w:val="002712FD"/>
    <w:rsid w:val="002722E3"/>
    <w:rsid w:val="00276DD8"/>
    <w:rsid w:val="00293397"/>
    <w:rsid w:val="002A263D"/>
    <w:rsid w:val="002A712A"/>
    <w:rsid w:val="002B045D"/>
    <w:rsid w:val="002B73F2"/>
    <w:rsid w:val="002C1E94"/>
    <w:rsid w:val="002C57C3"/>
    <w:rsid w:val="002C5EEE"/>
    <w:rsid w:val="002D167E"/>
    <w:rsid w:val="002D4022"/>
    <w:rsid w:val="002E0B62"/>
    <w:rsid w:val="002E1D13"/>
    <w:rsid w:val="002E3E4F"/>
    <w:rsid w:val="002F016F"/>
    <w:rsid w:val="003122CA"/>
    <w:rsid w:val="00314A49"/>
    <w:rsid w:val="003155D4"/>
    <w:rsid w:val="00315A5B"/>
    <w:rsid w:val="003178EF"/>
    <w:rsid w:val="0032041B"/>
    <w:rsid w:val="00321A6F"/>
    <w:rsid w:val="003227BE"/>
    <w:rsid w:val="003264F2"/>
    <w:rsid w:val="00334353"/>
    <w:rsid w:val="00343CAB"/>
    <w:rsid w:val="0035040A"/>
    <w:rsid w:val="00351C5D"/>
    <w:rsid w:val="00355471"/>
    <w:rsid w:val="00356D40"/>
    <w:rsid w:val="00360A9E"/>
    <w:rsid w:val="00367CFE"/>
    <w:rsid w:val="00372B2F"/>
    <w:rsid w:val="00377088"/>
    <w:rsid w:val="00380317"/>
    <w:rsid w:val="00381652"/>
    <w:rsid w:val="003856CC"/>
    <w:rsid w:val="00392844"/>
    <w:rsid w:val="003955F6"/>
    <w:rsid w:val="003A3F2F"/>
    <w:rsid w:val="003A4E56"/>
    <w:rsid w:val="003A6D06"/>
    <w:rsid w:val="003B542F"/>
    <w:rsid w:val="003B6239"/>
    <w:rsid w:val="003B663B"/>
    <w:rsid w:val="003C0AF6"/>
    <w:rsid w:val="003C0D00"/>
    <w:rsid w:val="003C6DDD"/>
    <w:rsid w:val="003C6E18"/>
    <w:rsid w:val="003C7835"/>
    <w:rsid w:val="003D2001"/>
    <w:rsid w:val="003D7CEE"/>
    <w:rsid w:val="003E78F5"/>
    <w:rsid w:val="004006C0"/>
    <w:rsid w:val="00400C41"/>
    <w:rsid w:val="004031F2"/>
    <w:rsid w:val="004035E9"/>
    <w:rsid w:val="00404867"/>
    <w:rsid w:val="00405E1C"/>
    <w:rsid w:val="00406F37"/>
    <w:rsid w:val="00412C86"/>
    <w:rsid w:val="0043545D"/>
    <w:rsid w:val="00435D46"/>
    <w:rsid w:val="00442D70"/>
    <w:rsid w:val="00444ACC"/>
    <w:rsid w:val="00450C33"/>
    <w:rsid w:val="0045626D"/>
    <w:rsid w:val="00456B41"/>
    <w:rsid w:val="004624BF"/>
    <w:rsid w:val="004671D7"/>
    <w:rsid w:val="00467634"/>
    <w:rsid w:val="00481123"/>
    <w:rsid w:val="00483422"/>
    <w:rsid w:val="0048660B"/>
    <w:rsid w:val="00495147"/>
    <w:rsid w:val="00496F4A"/>
    <w:rsid w:val="004B5C06"/>
    <w:rsid w:val="004B612E"/>
    <w:rsid w:val="004B71A6"/>
    <w:rsid w:val="004D48B4"/>
    <w:rsid w:val="004D7436"/>
    <w:rsid w:val="004E223C"/>
    <w:rsid w:val="004E2F66"/>
    <w:rsid w:val="004E4BB5"/>
    <w:rsid w:val="004E6501"/>
    <w:rsid w:val="004F1C17"/>
    <w:rsid w:val="00500FB8"/>
    <w:rsid w:val="005034F1"/>
    <w:rsid w:val="00503F67"/>
    <w:rsid w:val="005048A8"/>
    <w:rsid w:val="00507B55"/>
    <w:rsid w:val="00516E4D"/>
    <w:rsid w:val="00516EBA"/>
    <w:rsid w:val="0052642E"/>
    <w:rsid w:val="005336DF"/>
    <w:rsid w:val="00533977"/>
    <w:rsid w:val="00533E73"/>
    <w:rsid w:val="00536CED"/>
    <w:rsid w:val="005420D2"/>
    <w:rsid w:val="005424E1"/>
    <w:rsid w:val="00547A54"/>
    <w:rsid w:val="0055155C"/>
    <w:rsid w:val="005517F2"/>
    <w:rsid w:val="00552826"/>
    <w:rsid w:val="00555BC6"/>
    <w:rsid w:val="00565DD7"/>
    <w:rsid w:val="00575FA8"/>
    <w:rsid w:val="00582633"/>
    <w:rsid w:val="00584093"/>
    <w:rsid w:val="00585D93"/>
    <w:rsid w:val="005861C7"/>
    <w:rsid w:val="005A1F85"/>
    <w:rsid w:val="005A24DC"/>
    <w:rsid w:val="005A432A"/>
    <w:rsid w:val="005B4A65"/>
    <w:rsid w:val="005B5B58"/>
    <w:rsid w:val="005C030D"/>
    <w:rsid w:val="005C0693"/>
    <w:rsid w:val="005C1BA0"/>
    <w:rsid w:val="005C40D0"/>
    <w:rsid w:val="005D2ABF"/>
    <w:rsid w:val="005D4013"/>
    <w:rsid w:val="005E21FD"/>
    <w:rsid w:val="005E7517"/>
    <w:rsid w:val="005F15ED"/>
    <w:rsid w:val="005F1BC1"/>
    <w:rsid w:val="005F27AA"/>
    <w:rsid w:val="005F2CF0"/>
    <w:rsid w:val="005F6240"/>
    <w:rsid w:val="005F7CAF"/>
    <w:rsid w:val="00601123"/>
    <w:rsid w:val="00603BB9"/>
    <w:rsid w:val="00605265"/>
    <w:rsid w:val="00606680"/>
    <w:rsid w:val="00611109"/>
    <w:rsid w:val="006250EC"/>
    <w:rsid w:val="00632A33"/>
    <w:rsid w:val="00633349"/>
    <w:rsid w:val="00640375"/>
    <w:rsid w:val="00642CB1"/>
    <w:rsid w:val="00642DBB"/>
    <w:rsid w:val="00653E7A"/>
    <w:rsid w:val="00654CAB"/>
    <w:rsid w:val="00655779"/>
    <w:rsid w:val="006562EE"/>
    <w:rsid w:val="0066287F"/>
    <w:rsid w:val="00662D48"/>
    <w:rsid w:val="006642D1"/>
    <w:rsid w:val="00665520"/>
    <w:rsid w:val="006664FF"/>
    <w:rsid w:val="00666B4F"/>
    <w:rsid w:val="00676154"/>
    <w:rsid w:val="00680BFB"/>
    <w:rsid w:val="00682DC6"/>
    <w:rsid w:val="00687E36"/>
    <w:rsid w:val="00690A0B"/>
    <w:rsid w:val="00693B9F"/>
    <w:rsid w:val="00694761"/>
    <w:rsid w:val="006A16E3"/>
    <w:rsid w:val="006B035F"/>
    <w:rsid w:val="006B49CA"/>
    <w:rsid w:val="006C24FC"/>
    <w:rsid w:val="006C6DAA"/>
    <w:rsid w:val="006C74AC"/>
    <w:rsid w:val="006D02CE"/>
    <w:rsid w:val="006D4CED"/>
    <w:rsid w:val="006D798C"/>
    <w:rsid w:val="006E2137"/>
    <w:rsid w:val="006E2AD8"/>
    <w:rsid w:val="006E77CF"/>
    <w:rsid w:val="006F7131"/>
    <w:rsid w:val="007025E6"/>
    <w:rsid w:val="00707980"/>
    <w:rsid w:val="00715BF4"/>
    <w:rsid w:val="007167FF"/>
    <w:rsid w:val="0072310C"/>
    <w:rsid w:val="00725A4A"/>
    <w:rsid w:val="00725ACA"/>
    <w:rsid w:val="007265C4"/>
    <w:rsid w:val="00730838"/>
    <w:rsid w:val="00737BB6"/>
    <w:rsid w:val="00745A93"/>
    <w:rsid w:val="007467C0"/>
    <w:rsid w:val="00753F32"/>
    <w:rsid w:val="0075491E"/>
    <w:rsid w:val="00760C74"/>
    <w:rsid w:val="00760D50"/>
    <w:rsid w:val="00762E12"/>
    <w:rsid w:val="00770AAB"/>
    <w:rsid w:val="007712CF"/>
    <w:rsid w:val="0077703B"/>
    <w:rsid w:val="0077779F"/>
    <w:rsid w:val="007903F6"/>
    <w:rsid w:val="007924DA"/>
    <w:rsid w:val="00793F99"/>
    <w:rsid w:val="007A2002"/>
    <w:rsid w:val="007A22C8"/>
    <w:rsid w:val="007A2D4E"/>
    <w:rsid w:val="007A37E4"/>
    <w:rsid w:val="007A5C04"/>
    <w:rsid w:val="007A67AA"/>
    <w:rsid w:val="007B0250"/>
    <w:rsid w:val="007B479A"/>
    <w:rsid w:val="007B7EF0"/>
    <w:rsid w:val="007C2CF6"/>
    <w:rsid w:val="007C32F5"/>
    <w:rsid w:val="007C407A"/>
    <w:rsid w:val="007C518D"/>
    <w:rsid w:val="007C6CBC"/>
    <w:rsid w:val="007D01B5"/>
    <w:rsid w:val="007D1F85"/>
    <w:rsid w:val="007E093A"/>
    <w:rsid w:val="007E128A"/>
    <w:rsid w:val="007E1A60"/>
    <w:rsid w:val="007E5AE8"/>
    <w:rsid w:val="007F227D"/>
    <w:rsid w:val="00801E4E"/>
    <w:rsid w:val="0080241B"/>
    <w:rsid w:val="008078BA"/>
    <w:rsid w:val="00812C93"/>
    <w:rsid w:val="00815C3A"/>
    <w:rsid w:val="00822B38"/>
    <w:rsid w:val="0083077E"/>
    <w:rsid w:val="00836DC4"/>
    <w:rsid w:val="008432CD"/>
    <w:rsid w:val="00853271"/>
    <w:rsid w:val="00855A70"/>
    <w:rsid w:val="00856707"/>
    <w:rsid w:val="00862FA2"/>
    <w:rsid w:val="008631DD"/>
    <w:rsid w:val="00866374"/>
    <w:rsid w:val="00871C79"/>
    <w:rsid w:val="00876C11"/>
    <w:rsid w:val="00887F42"/>
    <w:rsid w:val="00890EBD"/>
    <w:rsid w:val="00893822"/>
    <w:rsid w:val="008A0F79"/>
    <w:rsid w:val="008A4B43"/>
    <w:rsid w:val="008A56B6"/>
    <w:rsid w:val="008A641E"/>
    <w:rsid w:val="008B1A4D"/>
    <w:rsid w:val="008B3AD3"/>
    <w:rsid w:val="008C074A"/>
    <w:rsid w:val="008C0CF8"/>
    <w:rsid w:val="008C23D2"/>
    <w:rsid w:val="008D633A"/>
    <w:rsid w:val="008E1E36"/>
    <w:rsid w:val="008E3492"/>
    <w:rsid w:val="008E5C6F"/>
    <w:rsid w:val="008F0F97"/>
    <w:rsid w:val="008F3269"/>
    <w:rsid w:val="008F3941"/>
    <w:rsid w:val="008F5881"/>
    <w:rsid w:val="00905CA8"/>
    <w:rsid w:val="009109EE"/>
    <w:rsid w:val="00911216"/>
    <w:rsid w:val="00914DB6"/>
    <w:rsid w:val="0092610D"/>
    <w:rsid w:val="00932C04"/>
    <w:rsid w:val="00932CC7"/>
    <w:rsid w:val="00934520"/>
    <w:rsid w:val="0093512A"/>
    <w:rsid w:val="0093574F"/>
    <w:rsid w:val="00937813"/>
    <w:rsid w:val="009405B4"/>
    <w:rsid w:val="009475BC"/>
    <w:rsid w:val="00950508"/>
    <w:rsid w:val="00957D8E"/>
    <w:rsid w:val="009608FC"/>
    <w:rsid w:val="00961890"/>
    <w:rsid w:val="0096271E"/>
    <w:rsid w:val="00964B99"/>
    <w:rsid w:val="00974181"/>
    <w:rsid w:val="00980C19"/>
    <w:rsid w:val="00982C03"/>
    <w:rsid w:val="0098577A"/>
    <w:rsid w:val="009860C5"/>
    <w:rsid w:val="009946BB"/>
    <w:rsid w:val="00996246"/>
    <w:rsid w:val="00997B63"/>
    <w:rsid w:val="009A0D4B"/>
    <w:rsid w:val="009A67E6"/>
    <w:rsid w:val="009B0B7C"/>
    <w:rsid w:val="009B1F3F"/>
    <w:rsid w:val="009B2BC5"/>
    <w:rsid w:val="009B7592"/>
    <w:rsid w:val="009C6371"/>
    <w:rsid w:val="009D16DC"/>
    <w:rsid w:val="009D1BB3"/>
    <w:rsid w:val="009E391A"/>
    <w:rsid w:val="009E3E24"/>
    <w:rsid w:val="009E6A14"/>
    <w:rsid w:val="009F321D"/>
    <w:rsid w:val="009F4209"/>
    <w:rsid w:val="009F5882"/>
    <w:rsid w:val="009F74CD"/>
    <w:rsid w:val="00A01901"/>
    <w:rsid w:val="00A040A6"/>
    <w:rsid w:val="00A127AD"/>
    <w:rsid w:val="00A32A68"/>
    <w:rsid w:val="00A36B6F"/>
    <w:rsid w:val="00A432F1"/>
    <w:rsid w:val="00A477CE"/>
    <w:rsid w:val="00A527E1"/>
    <w:rsid w:val="00A53238"/>
    <w:rsid w:val="00A5386C"/>
    <w:rsid w:val="00A615E7"/>
    <w:rsid w:val="00A65158"/>
    <w:rsid w:val="00A66436"/>
    <w:rsid w:val="00A7499F"/>
    <w:rsid w:val="00A80FD3"/>
    <w:rsid w:val="00A81F77"/>
    <w:rsid w:val="00A836C2"/>
    <w:rsid w:val="00A86985"/>
    <w:rsid w:val="00A945A5"/>
    <w:rsid w:val="00AA024E"/>
    <w:rsid w:val="00AA13B3"/>
    <w:rsid w:val="00AA7DFD"/>
    <w:rsid w:val="00AB24C7"/>
    <w:rsid w:val="00AB3E17"/>
    <w:rsid w:val="00AB3F5F"/>
    <w:rsid w:val="00AB4B4F"/>
    <w:rsid w:val="00AB4CA7"/>
    <w:rsid w:val="00AB5DFE"/>
    <w:rsid w:val="00AB68F4"/>
    <w:rsid w:val="00AC043F"/>
    <w:rsid w:val="00AC0A53"/>
    <w:rsid w:val="00AC3297"/>
    <w:rsid w:val="00AD20BE"/>
    <w:rsid w:val="00AD4F23"/>
    <w:rsid w:val="00AD5062"/>
    <w:rsid w:val="00AD6260"/>
    <w:rsid w:val="00AE0F38"/>
    <w:rsid w:val="00AE3B66"/>
    <w:rsid w:val="00AE4C6F"/>
    <w:rsid w:val="00AF0090"/>
    <w:rsid w:val="00AF35CE"/>
    <w:rsid w:val="00AF3FD4"/>
    <w:rsid w:val="00AF5B53"/>
    <w:rsid w:val="00AF5BFA"/>
    <w:rsid w:val="00AF5E93"/>
    <w:rsid w:val="00B0179E"/>
    <w:rsid w:val="00B02199"/>
    <w:rsid w:val="00B04F23"/>
    <w:rsid w:val="00B06A9B"/>
    <w:rsid w:val="00B15249"/>
    <w:rsid w:val="00B17C73"/>
    <w:rsid w:val="00B2183C"/>
    <w:rsid w:val="00B339D9"/>
    <w:rsid w:val="00B3616F"/>
    <w:rsid w:val="00B44E36"/>
    <w:rsid w:val="00B45615"/>
    <w:rsid w:val="00B45DCB"/>
    <w:rsid w:val="00B53B3A"/>
    <w:rsid w:val="00B604D1"/>
    <w:rsid w:val="00B63D28"/>
    <w:rsid w:val="00B66BCE"/>
    <w:rsid w:val="00B73FF0"/>
    <w:rsid w:val="00B77384"/>
    <w:rsid w:val="00B8117F"/>
    <w:rsid w:val="00B86BFF"/>
    <w:rsid w:val="00B955F9"/>
    <w:rsid w:val="00BA5331"/>
    <w:rsid w:val="00BC0D32"/>
    <w:rsid w:val="00BC2929"/>
    <w:rsid w:val="00BC663C"/>
    <w:rsid w:val="00BC7E43"/>
    <w:rsid w:val="00BE1CCF"/>
    <w:rsid w:val="00BE670B"/>
    <w:rsid w:val="00BE72B9"/>
    <w:rsid w:val="00BF1103"/>
    <w:rsid w:val="00BF283C"/>
    <w:rsid w:val="00BF2D5B"/>
    <w:rsid w:val="00C03425"/>
    <w:rsid w:val="00C11875"/>
    <w:rsid w:val="00C13B39"/>
    <w:rsid w:val="00C14C99"/>
    <w:rsid w:val="00C14FEA"/>
    <w:rsid w:val="00C17785"/>
    <w:rsid w:val="00C17E54"/>
    <w:rsid w:val="00C24E08"/>
    <w:rsid w:val="00C25C0D"/>
    <w:rsid w:val="00C33723"/>
    <w:rsid w:val="00C35925"/>
    <w:rsid w:val="00C4262C"/>
    <w:rsid w:val="00C5478C"/>
    <w:rsid w:val="00C57184"/>
    <w:rsid w:val="00C57458"/>
    <w:rsid w:val="00C61A4E"/>
    <w:rsid w:val="00C6613B"/>
    <w:rsid w:val="00C66652"/>
    <w:rsid w:val="00C66FEA"/>
    <w:rsid w:val="00C67107"/>
    <w:rsid w:val="00C707FA"/>
    <w:rsid w:val="00C73F8F"/>
    <w:rsid w:val="00C77B2B"/>
    <w:rsid w:val="00C832A7"/>
    <w:rsid w:val="00C8653B"/>
    <w:rsid w:val="00C940FA"/>
    <w:rsid w:val="00CA76CD"/>
    <w:rsid w:val="00CB0E21"/>
    <w:rsid w:val="00CC3006"/>
    <w:rsid w:val="00CC737A"/>
    <w:rsid w:val="00CD2A1B"/>
    <w:rsid w:val="00CD372B"/>
    <w:rsid w:val="00CD512B"/>
    <w:rsid w:val="00CE3BA8"/>
    <w:rsid w:val="00CE4732"/>
    <w:rsid w:val="00CF2D86"/>
    <w:rsid w:val="00CF5C4B"/>
    <w:rsid w:val="00D16D75"/>
    <w:rsid w:val="00D17FFE"/>
    <w:rsid w:val="00D235DE"/>
    <w:rsid w:val="00D344AE"/>
    <w:rsid w:val="00D53D30"/>
    <w:rsid w:val="00D67C81"/>
    <w:rsid w:val="00D70244"/>
    <w:rsid w:val="00D76BF9"/>
    <w:rsid w:val="00D860CA"/>
    <w:rsid w:val="00D862EA"/>
    <w:rsid w:val="00D863D3"/>
    <w:rsid w:val="00D87D0F"/>
    <w:rsid w:val="00D914A7"/>
    <w:rsid w:val="00D9213F"/>
    <w:rsid w:val="00D93C6B"/>
    <w:rsid w:val="00D96FD5"/>
    <w:rsid w:val="00DA68A4"/>
    <w:rsid w:val="00DB17B6"/>
    <w:rsid w:val="00DB2C8F"/>
    <w:rsid w:val="00DB5A76"/>
    <w:rsid w:val="00DC44A5"/>
    <w:rsid w:val="00DD23F5"/>
    <w:rsid w:val="00DD2C78"/>
    <w:rsid w:val="00DD4F16"/>
    <w:rsid w:val="00DD53E8"/>
    <w:rsid w:val="00DE1051"/>
    <w:rsid w:val="00DE348E"/>
    <w:rsid w:val="00DE7B54"/>
    <w:rsid w:val="00DF7464"/>
    <w:rsid w:val="00E0113D"/>
    <w:rsid w:val="00E056F8"/>
    <w:rsid w:val="00E06B47"/>
    <w:rsid w:val="00E07F80"/>
    <w:rsid w:val="00E16CD8"/>
    <w:rsid w:val="00E17069"/>
    <w:rsid w:val="00E251BF"/>
    <w:rsid w:val="00E319C7"/>
    <w:rsid w:val="00E320C5"/>
    <w:rsid w:val="00E40781"/>
    <w:rsid w:val="00E457FE"/>
    <w:rsid w:val="00E53746"/>
    <w:rsid w:val="00E543F2"/>
    <w:rsid w:val="00E5604F"/>
    <w:rsid w:val="00E5636D"/>
    <w:rsid w:val="00E60293"/>
    <w:rsid w:val="00E65EC2"/>
    <w:rsid w:val="00E66AE0"/>
    <w:rsid w:val="00E72CE5"/>
    <w:rsid w:val="00E759EA"/>
    <w:rsid w:val="00E75E17"/>
    <w:rsid w:val="00E76806"/>
    <w:rsid w:val="00E77609"/>
    <w:rsid w:val="00E7797F"/>
    <w:rsid w:val="00E80C96"/>
    <w:rsid w:val="00E81CEA"/>
    <w:rsid w:val="00E923C4"/>
    <w:rsid w:val="00E934A1"/>
    <w:rsid w:val="00E9468F"/>
    <w:rsid w:val="00E94D10"/>
    <w:rsid w:val="00EA0B58"/>
    <w:rsid w:val="00EA1B83"/>
    <w:rsid w:val="00EA7537"/>
    <w:rsid w:val="00EB0F8B"/>
    <w:rsid w:val="00EC071A"/>
    <w:rsid w:val="00EC2AAF"/>
    <w:rsid w:val="00EC3D0C"/>
    <w:rsid w:val="00EC72FC"/>
    <w:rsid w:val="00ED06CA"/>
    <w:rsid w:val="00ED26B0"/>
    <w:rsid w:val="00ED3A4B"/>
    <w:rsid w:val="00ED4859"/>
    <w:rsid w:val="00EE0A9F"/>
    <w:rsid w:val="00EE38DC"/>
    <w:rsid w:val="00F04D8F"/>
    <w:rsid w:val="00F05F4C"/>
    <w:rsid w:val="00F06C4D"/>
    <w:rsid w:val="00F100A1"/>
    <w:rsid w:val="00F10ABA"/>
    <w:rsid w:val="00F10E03"/>
    <w:rsid w:val="00F143D7"/>
    <w:rsid w:val="00F15BE2"/>
    <w:rsid w:val="00F15E8B"/>
    <w:rsid w:val="00F20C84"/>
    <w:rsid w:val="00F242F6"/>
    <w:rsid w:val="00F24D30"/>
    <w:rsid w:val="00F24E5E"/>
    <w:rsid w:val="00F3284A"/>
    <w:rsid w:val="00F37248"/>
    <w:rsid w:val="00F41C7A"/>
    <w:rsid w:val="00F41EE8"/>
    <w:rsid w:val="00F438E9"/>
    <w:rsid w:val="00F455BC"/>
    <w:rsid w:val="00F51710"/>
    <w:rsid w:val="00F54516"/>
    <w:rsid w:val="00F55E2C"/>
    <w:rsid w:val="00F6055C"/>
    <w:rsid w:val="00F62FDF"/>
    <w:rsid w:val="00F64046"/>
    <w:rsid w:val="00F644C9"/>
    <w:rsid w:val="00F65BC2"/>
    <w:rsid w:val="00F738BC"/>
    <w:rsid w:val="00F77081"/>
    <w:rsid w:val="00F82707"/>
    <w:rsid w:val="00F83048"/>
    <w:rsid w:val="00F8465E"/>
    <w:rsid w:val="00FA1DA0"/>
    <w:rsid w:val="00FA2217"/>
    <w:rsid w:val="00FA41CE"/>
    <w:rsid w:val="00FA6906"/>
    <w:rsid w:val="00FB53AC"/>
    <w:rsid w:val="00FC65AF"/>
    <w:rsid w:val="00FD3C34"/>
    <w:rsid w:val="00FD6134"/>
    <w:rsid w:val="00FE1309"/>
    <w:rsid w:val="00FE75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horizontal-relative:margin;mso-position-vertical-relative:line" fillcolor="black">
      <v:fill color="black" color2="black"/>
      <v:stroke weight="4.8pt"/>
      <v:textbox inset="6pt,6pt,6pt,6pt"/>
    </o:shapedefaults>
    <o:shapelayout v:ext="edit">
      <o:idmap v:ext="edit" data="1"/>
    </o:shapelayout>
  </w:shapeDefaults>
  <w:decimalSymbol w:val="."/>
  <w:listSeparator w:val=","/>
  <w14:docId w14:val="0939385B"/>
  <w15:chartTrackingRefBased/>
  <w15:docId w15:val="{E45B876E-2349-4557-AF41-F920405F9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3F2F"/>
    <w:rPr>
      <w:sz w:val="22"/>
      <w:szCs w:val="22"/>
      <w:lang w:val="en-CA" w:eastAsia="en-CA"/>
    </w:rPr>
  </w:style>
  <w:style w:type="paragraph" w:styleId="Heading1">
    <w:name w:val="heading 1"/>
    <w:basedOn w:val="Normal"/>
    <w:next w:val="Normal"/>
    <w:link w:val="Heading1Char"/>
    <w:uiPriority w:val="9"/>
    <w:qFormat/>
    <w:rsid w:val="003A3F2F"/>
    <w:pPr>
      <w:keepNext/>
      <w:keepLines/>
      <w:spacing w:before="480" w:after="0"/>
      <w:outlineLvl w:val="0"/>
    </w:pPr>
    <w:rPr>
      <w:rFonts w:ascii="Cambria" w:hAnsi="Cambria"/>
      <w:b/>
      <w:bCs/>
      <w:color w:val="21798E"/>
      <w:sz w:val="28"/>
      <w:szCs w:val="28"/>
    </w:rPr>
  </w:style>
  <w:style w:type="paragraph" w:styleId="Heading2">
    <w:name w:val="heading 2"/>
    <w:basedOn w:val="Normal"/>
    <w:next w:val="Normal"/>
    <w:link w:val="Heading2Char"/>
    <w:uiPriority w:val="9"/>
    <w:unhideWhenUsed/>
    <w:qFormat/>
    <w:rsid w:val="003A3F2F"/>
    <w:pPr>
      <w:keepNext/>
      <w:keepLines/>
      <w:spacing w:before="200" w:after="0"/>
      <w:outlineLvl w:val="1"/>
    </w:pPr>
    <w:rPr>
      <w:rFonts w:ascii="Cambria" w:hAnsi="Cambria"/>
      <w:b/>
      <w:bCs/>
      <w:color w:val="2DA2BF"/>
      <w:sz w:val="26"/>
      <w:szCs w:val="26"/>
    </w:rPr>
  </w:style>
  <w:style w:type="paragraph" w:styleId="Heading3">
    <w:name w:val="heading 3"/>
    <w:basedOn w:val="Normal"/>
    <w:next w:val="Normal"/>
    <w:link w:val="Heading3Char"/>
    <w:uiPriority w:val="9"/>
    <w:unhideWhenUsed/>
    <w:qFormat/>
    <w:rsid w:val="003A3F2F"/>
    <w:pPr>
      <w:keepNext/>
      <w:keepLines/>
      <w:spacing w:before="200" w:after="0"/>
      <w:outlineLvl w:val="2"/>
    </w:pPr>
    <w:rPr>
      <w:rFonts w:ascii="Cambria" w:hAnsi="Cambria"/>
      <w:b/>
      <w:bCs/>
      <w:color w:val="2DA2BF"/>
    </w:rPr>
  </w:style>
  <w:style w:type="paragraph" w:styleId="Heading4">
    <w:name w:val="heading 4"/>
    <w:basedOn w:val="Normal"/>
    <w:next w:val="Normal"/>
    <w:link w:val="Heading4Char"/>
    <w:uiPriority w:val="9"/>
    <w:semiHidden/>
    <w:unhideWhenUsed/>
    <w:qFormat/>
    <w:rsid w:val="003A3F2F"/>
    <w:pPr>
      <w:keepNext/>
      <w:keepLines/>
      <w:spacing w:before="200" w:after="0"/>
      <w:outlineLvl w:val="3"/>
    </w:pPr>
    <w:rPr>
      <w:rFonts w:ascii="Cambria" w:hAnsi="Cambria"/>
      <w:b/>
      <w:bCs/>
      <w:i/>
      <w:iCs/>
      <w:color w:val="2DA2BF"/>
    </w:rPr>
  </w:style>
  <w:style w:type="paragraph" w:styleId="Heading5">
    <w:name w:val="heading 5"/>
    <w:basedOn w:val="Normal"/>
    <w:next w:val="Normal"/>
    <w:link w:val="Heading5Char"/>
    <w:uiPriority w:val="9"/>
    <w:semiHidden/>
    <w:unhideWhenUsed/>
    <w:qFormat/>
    <w:rsid w:val="003A3F2F"/>
    <w:pPr>
      <w:keepNext/>
      <w:keepLines/>
      <w:spacing w:before="200" w:after="0"/>
      <w:outlineLvl w:val="4"/>
    </w:pPr>
    <w:rPr>
      <w:rFonts w:ascii="Cambria" w:hAnsi="Cambria"/>
      <w:color w:val="16505E"/>
    </w:rPr>
  </w:style>
  <w:style w:type="paragraph" w:styleId="Heading6">
    <w:name w:val="heading 6"/>
    <w:basedOn w:val="Normal"/>
    <w:next w:val="Normal"/>
    <w:link w:val="Heading6Char"/>
    <w:uiPriority w:val="9"/>
    <w:semiHidden/>
    <w:unhideWhenUsed/>
    <w:qFormat/>
    <w:rsid w:val="003A3F2F"/>
    <w:pPr>
      <w:keepNext/>
      <w:keepLines/>
      <w:spacing w:before="200" w:after="0"/>
      <w:outlineLvl w:val="5"/>
    </w:pPr>
    <w:rPr>
      <w:rFonts w:ascii="Cambria" w:hAnsi="Cambria"/>
      <w:i/>
      <w:iCs/>
      <w:color w:val="16505E"/>
    </w:rPr>
  </w:style>
  <w:style w:type="paragraph" w:styleId="Heading7">
    <w:name w:val="heading 7"/>
    <w:basedOn w:val="Normal"/>
    <w:next w:val="Normal"/>
    <w:link w:val="Heading7Char"/>
    <w:uiPriority w:val="9"/>
    <w:unhideWhenUsed/>
    <w:qFormat/>
    <w:rsid w:val="003A3F2F"/>
    <w:pPr>
      <w:keepNext/>
      <w:keepLines/>
      <w:spacing w:before="200" w:after="0"/>
      <w:outlineLvl w:val="6"/>
    </w:pPr>
    <w:rPr>
      <w:rFonts w:ascii="Cambria" w:hAnsi="Cambria"/>
      <w:i/>
      <w:iCs/>
      <w:color w:val="404040"/>
    </w:rPr>
  </w:style>
  <w:style w:type="paragraph" w:styleId="Heading8">
    <w:name w:val="heading 8"/>
    <w:basedOn w:val="Normal"/>
    <w:next w:val="Normal"/>
    <w:link w:val="Heading8Char"/>
    <w:uiPriority w:val="9"/>
    <w:semiHidden/>
    <w:unhideWhenUsed/>
    <w:qFormat/>
    <w:rsid w:val="003A3F2F"/>
    <w:pPr>
      <w:keepNext/>
      <w:keepLines/>
      <w:spacing w:before="200" w:after="0"/>
      <w:outlineLvl w:val="7"/>
    </w:pPr>
    <w:rPr>
      <w:rFonts w:ascii="Cambria" w:hAnsi="Cambria"/>
      <w:color w:val="2DA2BF"/>
      <w:sz w:val="20"/>
      <w:szCs w:val="20"/>
    </w:rPr>
  </w:style>
  <w:style w:type="paragraph" w:styleId="Heading9">
    <w:name w:val="heading 9"/>
    <w:basedOn w:val="Normal"/>
    <w:next w:val="Normal"/>
    <w:link w:val="Heading9Char"/>
    <w:uiPriority w:val="9"/>
    <w:semiHidden/>
    <w:unhideWhenUsed/>
    <w:qFormat/>
    <w:rsid w:val="003A3F2F"/>
    <w:pPr>
      <w:keepNext/>
      <w:keepLines/>
      <w:spacing w:before="200" w:after="0"/>
      <w:outlineLvl w:val="8"/>
    </w:pPr>
    <w:rPr>
      <w:rFonts w:ascii="Cambria" w:hAnsi="Cambria"/>
      <w:i/>
      <w:iCs/>
      <w:color w:val="40404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A3F2F"/>
    <w:rPr>
      <w:rFonts w:ascii="Cambria" w:eastAsia="Times New Roman" w:hAnsi="Cambria" w:cs="Times New Roman"/>
      <w:b/>
      <w:bCs/>
      <w:color w:val="21798E"/>
      <w:sz w:val="28"/>
      <w:szCs w:val="28"/>
    </w:rPr>
  </w:style>
  <w:style w:type="character" w:customStyle="1" w:styleId="Heading2Char">
    <w:name w:val="Heading 2 Char"/>
    <w:link w:val="Heading2"/>
    <w:uiPriority w:val="9"/>
    <w:rsid w:val="003A3F2F"/>
    <w:rPr>
      <w:rFonts w:ascii="Cambria" w:eastAsia="Times New Roman" w:hAnsi="Cambria" w:cs="Times New Roman"/>
      <w:b/>
      <w:bCs/>
      <w:color w:val="2DA2BF"/>
      <w:sz w:val="26"/>
      <w:szCs w:val="26"/>
    </w:rPr>
  </w:style>
  <w:style w:type="character" w:customStyle="1" w:styleId="Heading7Char">
    <w:name w:val="Heading 7 Char"/>
    <w:link w:val="Heading7"/>
    <w:uiPriority w:val="9"/>
    <w:rsid w:val="003A3F2F"/>
    <w:rPr>
      <w:rFonts w:ascii="Cambria" w:eastAsia="Times New Roman" w:hAnsi="Cambria" w:cs="Times New Roman"/>
      <w:i/>
      <w:iCs/>
      <w:color w:val="404040"/>
    </w:rPr>
  </w:style>
  <w:style w:type="paragraph" w:styleId="FootnoteText">
    <w:name w:val="footnote text"/>
    <w:aliases w:val="Car,Footnote Text Char Char,Footnote Text Char1 Char Char,Footnote Text Char Char Char Char,Footnote Text Char Char1,Footnote Text Char1 Char,F1,TR Footnote Text,f2,5_G,Footnote reference,FA Fu,Footnote Text Char1 Char1, Char,Char"/>
    <w:basedOn w:val="Normal"/>
    <w:link w:val="FootnoteTextChar"/>
    <w:uiPriority w:val="99"/>
    <w:qFormat/>
    <w:rsid w:val="005517F2"/>
    <w:rPr>
      <w:sz w:val="20"/>
      <w:szCs w:val="20"/>
    </w:rPr>
  </w:style>
  <w:style w:type="character" w:customStyle="1" w:styleId="FootnoteTextChar">
    <w:name w:val="Footnote Text Char"/>
    <w:aliases w:val="Car Char,Footnote Text Char Char Char,Footnote Text Char1 Char Char Char,Footnote Text Char Char Char Char Char,Footnote Text Char Char1 Char,Footnote Text Char1 Char Char1,F1 Char,TR Footnote Text Char,f2 Char,5_G Char,FA Fu Char"/>
    <w:link w:val="FootnoteText"/>
    <w:uiPriority w:val="99"/>
    <w:rsid w:val="005517F2"/>
    <w:rPr>
      <w:rFonts w:ascii="Times New Roman" w:eastAsia="Times New Roman" w:hAnsi="Times New Roman" w:cs="Times New Roman"/>
      <w:sz w:val="20"/>
      <w:szCs w:val="20"/>
      <w:lang w:val="en-CA"/>
    </w:rPr>
  </w:style>
  <w:style w:type="character" w:styleId="FootnoteReference">
    <w:name w:val="footnote reference"/>
    <w:aliases w:val="Footnotes refss,4_G,Footnote Ref,16 Point,Superscript 6 Point,Appel note de bas de p.,ftref,Ref,de nota al pie,callout,Footnote Refernece,Footnote,Appel note de bas de page,Texto de nota al pie,referencia nota al pie,4_G Ch,註腳內容,11 pt"/>
    <w:link w:val="4GZchn"/>
    <w:uiPriority w:val="99"/>
    <w:qFormat/>
    <w:rsid w:val="005517F2"/>
    <w:rPr>
      <w:vertAlign w:val="superscript"/>
    </w:rPr>
  </w:style>
  <w:style w:type="paragraph" w:styleId="BodyText">
    <w:name w:val="Body Text"/>
    <w:basedOn w:val="Normal"/>
    <w:link w:val="BodyTextChar"/>
    <w:rsid w:val="005517F2"/>
    <w:pPr>
      <w:spacing w:line="360" w:lineRule="auto"/>
    </w:pPr>
  </w:style>
  <w:style w:type="character" w:customStyle="1" w:styleId="BodyTextChar">
    <w:name w:val="Body Text Char"/>
    <w:link w:val="BodyText"/>
    <w:rsid w:val="005517F2"/>
    <w:rPr>
      <w:rFonts w:ascii="Times New Roman" w:eastAsia="Times New Roman" w:hAnsi="Times New Roman" w:cs="Times New Roman"/>
      <w:sz w:val="24"/>
      <w:szCs w:val="24"/>
      <w:lang w:val="en-CA"/>
    </w:rPr>
  </w:style>
  <w:style w:type="paragraph" w:styleId="BodyTextIndent">
    <w:name w:val="Body Text Indent"/>
    <w:basedOn w:val="Normal"/>
    <w:link w:val="BodyTextIndentChar"/>
    <w:rsid w:val="005517F2"/>
    <w:pPr>
      <w:ind w:left="720" w:firstLine="720"/>
      <w:jc w:val="center"/>
    </w:pPr>
    <w:rPr>
      <w:szCs w:val="20"/>
    </w:rPr>
  </w:style>
  <w:style w:type="character" w:customStyle="1" w:styleId="BodyTextIndentChar">
    <w:name w:val="Body Text Indent Char"/>
    <w:link w:val="BodyTextIndent"/>
    <w:rsid w:val="005517F2"/>
    <w:rPr>
      <w:rFonts w:ascii="Times New Roman" w:eastAsia="Times New Roman" w:hAnsi="Times New Roman" w:cs="Times New Roman"/>
      <w:sz w:val="24"/>
      <w:szCs w:val="20"/>
      <w:lang w:val="en-CA"/>
    </w:rPr>
  </w:style>
  <w:style w:type="character" w:styleId="Hyperlink">
    <w:name w:val="Hyperlink"/>
    <w:uiPriority w:val="99"/>
    <w:rsid w:val="005517F2"/>
    <w:rPr>
      <w:color w:val="0000FF"/>
      <w:u w:val="single"/>
    </w:rPr>
  </w:style>
  <w:style w:type="paragraph" w:styleId="Header">
    <w:name w:val="header"/>
    <w:basedOn w:val="Normal"/>
    <w:link w:val="HeaderChar"/>
    <w:uiPriority w:val="99"/>
    <w:rsid w:val="005517F2"/>
    <w:pPr>
      <w:tabs>
        <w:tab w:val="center" w:pos="4320"/>
        <w:tab w:val="right" w:pos="8640"/>
      </w:tabs>
    </w:pPr>
  </w:style>
  <w:style w:type="character" w:customStyle="1" w:styleId="HeaderChar">
    <w:name w:val="Header Char"/>
    <w:link w:val="Header"/>
    <w:uiPriority w:val="99"/>
    <w:rsid w:val="005517F2"/>
    <w:rPr>
      <w:rFonts w:ascii="Times New Roman" w:eastAsia="Times New Roman" w:hAnsi="Times New Roman" w:cs="Times New Roman"/>
      <w:sz w:val="24"/>
      <w:szCs w:val="24"/>
      <w:lang w:val="en-CA"/>
    </w:rPr>
  </w:style>
  <w:style w:type="character" w:styleId="PageNumber">
    <w:name w:val="page number"/>
    <w:basedOn w:val="DefaultParagraphFont"/>
    <w:rsid w:val="005517F2"/>
  </w:style>
  <w:style w:type="paragraph" w:styleId="BodyText2">
    <w:name w:val="Body Text 2"/>
    <w:basedOn w:val="Normal"/>
    <w:link w:val="BodyText2Char"/>
    <w:rsid w:val="005517F2"/>
    <w:pPr>
      <w:spacing w:line="360" w:lineRule="auto"/>
    </w:pPr>
  </w:style>
  <w:style w:type="character" w:customStyle="1" w:styleId="BodyText2Char">
    <w:name w:val="Body Text 2 Char"/>
    <w:link w:val="BodyText2"/>
    <w:rsid w:val="005517F2"/>
    <w:rPr>
      <w:rFonts w:ascii="Times New Roman" w:eastAsia="Times New Roman" w:hAnsi="Times New Roman" w:cs="Times New Roman"/>
      <w:sz w:val="24"/>
      <w:szCs w:val="24"/>
      <w:lang w:val="en-CA"/>
    </w:rPr>
  </w:style>
  <w:style w:type="paragraph" w:styleId="Footer">
    <w:name w:val="footer"/>
    <w:basedOn w:val="Normal"/>
    <w:link w:val="FooterChar"/>
    <w:uiPriority w:val="99"/>
    <w:rsid w:val="005517F2"/>
    <w:pPr>
      <w:tabs>
        <w:tab w:val="center" w:pos="4320"/>
        <w:tab w:val="right" w:pos="8640"/>
      </w:tabs>
    </w:pPr>
  </w:style>
  <w:style w:type="character" w:customStyle="1" w:styleId="FooterChar">
    <w:name w:val="Footer Char"/>
    <w:link w:val="Footer"/>
    <w:uiPriority w:val="99"/>
    <w:rsid w:val="005517F2"/>
    <w:rPr>
      <w:rFonts w:ascii="Times New Roman" w:eastAsia="Times New Roman" w:hAnsi="Times New Roman" w:cs="Times New Roman"/>
      <w:sz w:val="24"/>
      <w:szCs w:val="24"/>
      <w:lang w:val="en-CA"/>
    </w:rPr>
  </w:style>
  <w:style w:type="character" w:styleId="EndnoteReference">
    <w:name w:val="endnote reference"/>
    <w:rsid w:val="005517F2"/>
    <w:rPr>
      <w:vertAlign w:val="superscript"/>
    </w:rPr>
  </w:style>
  <w:style w:type="paragraph" w:styleId="EndnoteText">
    <w:name w:val="endnote text"/>
    <w:basedOn w:val="Normal"/>
    <w:link w:val="EndnoteTextChar"/>
    <w:rsid w:val="005517F2"/>
    <w:pPr>
      <w:widowControl w:val="0"/>
    </w:pPr>
    <w:rPr>
      <w:snapToGrid w:val="0"/>
      <w:sz w:val="20"/>
      <w:szCs w:val="20"/>
      <w:lang w:val="en-US"/>
    </w:rPr>
  </w:style>
  <w:style w:type="character" w:customStyle="1" w:styleId="EndnoteTextChar">
    <w:name w:val="Endnote Text Char"/>
    <w:link w:val="EndnoteText"/>
    <w:rsid w:val="005517F2"/>
    <w:rPr>
      <w:rFonts w:ascii="Times New Roman" w:eastAsia="Times New Roman" w:hAnsi="Times New Roman" w:cs="Times New Roman"/>
      <w:snapToGrid w:val="0"/>
      <w:sz w:val="20"/>
      <w:szCs w:val="20"/>
    </w:rPr>
  </w:style>
  <w:style w:type="paragraph" w:styleId="ListParagraph">
    <w:name w:val="List Paragraph"/>
    <w:basedOn w:val="Normal"/>
    <w:uiPriority w:val="34"/>
    <w:qFormat/>
    <w:rsid w:val="003A3F2F"/>
    <w:pPr>
      <w:ind w:left="720"/>
      <w:contextualSpacing/>
    </w:pPr>
  </w:style>
  <w:style w:type="character" w:customStyle="1" w:styleId="Heading4Char">
    <w:name w:val="Heading 4 Char"/>
    <w:link w:val="Heading4"/>
    <w:uiPriority w:val="9"/>
    <w:semiHidden/>
    <w:rsid w:val="003A3F2F"/>
    <w:rPr>
      <w:rFonts w:ascii="Cambria" w:eastAsia="Times New Roman" w:hAnsi="Cambria" w:cs="Times New Roman"/>
      <w:b/>
      <w:bCs/>
      <w:i/>
      <w:iCs/>
      <w:color w:val="2DA2BF"/>
    </w:rPr>
  </w:style>
  <w:style w:type="character" w:customStyle="1" w:styleId="Heading8Char">
    <w:name w:val="Heading 8 Char"/>
    <w:link w:val="Heading8"/>
    <w:uiPriority w:val="9"/>
    <w:semiHidden/>
    <w:rsid w:val="003A3F2F"/>
    <w:rPr>
      <w:rFonts w:ascii="Cambria" w:eastAsia="Times New Roman" w:hAnsi="Cambria" w:cs="Times New Roman"/>
      <w:color w:val="2DA2BF"/>
      <w:sz w:val="20"/>
      <w:szCs w:val="20"/>
    </w:rPr>
  </w:style>
  <w:style w:type="table" w:styleId="TableGrid">
    <w:name w:val="Table Grid"/>
    <w:basedOn w:val="TableNormal"/>
    <w:uiPriority w:val="59"/>
    <w:rsid w:val="001A18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nhideWhenUsed/>
    <w:rsid w:val="00932CC7"/>
    <w:rPr>
      <w:sz w:val="16"/>
      <w:szCs w:val="16"/>
    </w:rPr>
  </w:style>
  <w:style w:type="paragraph" w:styleId="CommentText">
    <w:name w:val="annotation text"/>
    <w:basedOn w:val="Normal"/>
    <w:link w:val="CommentTextChar"/>
    <w:uiPriority w:val="99"/>
    <w:unhideWhenUsed/>
    <w:rsid w:val="00932CC7"/>
    <w:rPr>
      <w:sz w:val="20"/>
      <w:szCs w:val="20"/>
    </w:rPr>
  </w:style>
  <w:style w:type="character" w:customStyle="1" w:styleId="CommentTextChar">
    <w:name w:val="Comment Text Char"/>
    <w:link w:val="CommentText"/>
    <w:uiPriority w:val="99"/>
    <w:rsid w:val="00932CC7"/>
    <w:rPr>
      <w:rFonts w:ascii="Times New Roman" w:eastAsia="Times New Roman" w:hAnsi="Times New Roman"/>
      <w:lang w:val="en-CA"/>
    </w:rPr>
  </w:style>
  <w:style w:type="paragraph" w:styleId="CommentSubject">
    <w:name w:val="annotation subject"/>
    <w:basedOn w:val="CommentText"/>
    <w:next w:val="CommentText"/>
    <w:link w:val="CommentSubjectChar"/>
    <w:uiPriority w:val="99"/>
    <w:semiHidden/>
    <w:unhideWhenUsed/>
    <w:rsid w:val="00932CC7"/>
    <w:rPr>
      <w:b/>
      <w:bCs/>
    </w:rPr>
  </w:style>
  <w:style w:type="character" w:customStyle="1" w:styleId="CommentSubjectChar">
    <w:name w:val="Comment Subject Char"/>
    <w:link w:val="CommentSubject"/>
    <w:uiPriority w:val="99"/>
    <w:semiHidden/>
    <w:rsid w:val="00932CC7"/>
    <w:rPr>
      <w:rFonts w:ascii="Times New Roman" w:eastAsia="Times New Roman" w:hAnsi="Times New Roman"/>
      <w:b/>
      <w:bCs/>
      <w:lang w:val="en-CA"/>
    </w:rPr>
  </w:style>
  <w:style w:type="paragraph" w:styleId="BalloonText">
    <w:name w:val="Balloon Text"/>
    <w:basedOn w:val="Normal"/>
    <w:link w:val="BalloonTextChar"/>
    <w:uiPriority w:val="99"/>
    <w:semiHidden/>
    <w:unhideWhenUsed/>
    <w:rsid w:val="00932CC7"/>
    <w:rPr>
      <w:rFonts w:ascii="Tahoma" w:hAnsi="Tahoma" w:cs="Tahoma"/>
      <w:sz w:val="16"/>
      <w:szCs w:val="16"/>
    </w:rPr>
  </w:style>
  <w:style w:type="character" w:customStyle="1" w:styleId="BalloonTextChar">
    <w:name w:val="Balloon Text Char"/>
    <w:link w:val="BalloonText"/>
    <w:uiPriority w:val="99"/>
    <w:semiHidden/>
    <w:rsid w:val="00932CC7"/>
    <w:rPr>
      <w:rFonts w:ascii="Tahoma" w:eastAsia="Times New Roman" w:hAnsi="Tahoma" w:cs="Tahoma"/>
      <w:sz w:val="16"/>
      <w:szCs w:val="16"/>
      <w:lang w:val="en-CA"/>
    </w:rPr>
  </w:style>
  <w:style w:type="paragraph" w:customStyle="1" w:styleId="SubtleEmphasis1">
    <w:name w:val="Subtle Emphasis1"/>
    <w:basedOn w:val="Normal"/>
    <w:uiPriority w:val="34"/>
    <w:rsid w:val="007A2002"/>
    <w:pPr>
      <w:ind w:left="720"/>
      <w:contextualSpacing/>
    </w:pPr>
    <w:rPr>
      <w:rFonts w:eastAsia="Calibri"/>
      <w:lang w:val="en-US"/>
    </w:rPr>
  </w:style>
  <w:style w:type="paragraph" w:styleId="NormalWeb">
    <w:name w:val="Normal (Web)"/>
    <w:basedOn w:val="Normal"/>
    <w:uiPriority w:val="99"/>
    <w:semiHidden/>
    <w:unhideWhenUsed/>
    <w:rsid w:val="00012C82"/>
    <w:pPr>
      <w:spacing w:before="100" w:beforeAutospacing="1" w:after="100" w:afterAutospacing="1"/>
    </w:pPr>
  </w:style>
  <w:style w:type="character" w:customStyle="1" w:styleId="apple-converted-space">
    <w:name w:val="apple-converted-space"/>
    <w:rsid w:val="00012C82"/>
  </w:style>
  <w:style w:type="character" w:styleId="Emphasis">
    <w:name w:val="Emphasis"/>
    <w:uiPriority w:val="20"/>
    <w:qFormat/>
    <w:rsid w:val="003A3F2F"/>
    <w:rPr>
      <w:i/>
      <w:iCs/>
    </w:rPr>
  </w:style>
  <w:style w:type="paragraph" w:styleId="TOC2">
    <w:name w:val="toc 2"/>
    <w:basedOn w:val="Normal"/>
    <w:next w:val="Normal"/>
    <w:autoRedefine/>
    <w:uiPriority w:val="39"/>
    <w:unhideWhenUsed/>
    <w:rsid w:val="00855A70"/>
    <w:pPr>
      <w:ind w:left="240"/>
    </w:pPr>
  </w:style>
  <w:style w:type="paragraph" w:styleId="TOCHeading">
    <w:name w:val="TOC Heading"/>
    <w:basedOn w:val="Heading1"/>
    <w:next w:val="Normal"/>
    <w:uiPriority w:val="39"/>
    <w:unhideWhenUsed/>
    <w:qFormat/>
    <w:rsid w:val="003A3F2F"/>
    <w:pPr>
      <w:outlineLvl w:val="9"/>
    </w:pPr>
  </w:style>
  <w:style w:type="paragraph" w:styleId="TOC1">
    <w:name w:val="toc 1"/>
    <w:basedOn w:val="Normal"/>
    <w:next w:val="Normal"/>
    <w:autoRedefine/>
    <w:uiPriority w:val="39"/>
    <w:unhideWhenUsed/>
    <w:rsid w:val="004F1C17"/>
    <w:pPr>
      <w:tabs>
        <w:tab w:val="left" w:pos="440"/>
        <w:tab w:val="right" w:leader="dot" w:pos="9350"/>
      </w:tabs>
      <w:spacing w:after="100"/>
    </w:pPr>
    <w:rPr>
      <w:rFonts w:eastAsia="MS Mincho" w:cs="Arial"/>
      <w:noProof/>
      <w:lang w:val="en-US" w:eastAsia="ja-JP"/>
    </w:rPr>
  </w:style>
  <w:style w:type="paragraph" w:styleId="TOC3">
    <w:name w:val="toc 3"/>
    <w:basedOn w:val="Normal"/>
    <w:next w:val="Normal"/>
    <w:autoRedefine/>
    <w:uiPriority w:val="39"/>
    <w:unhideWhenUsed/>
    <w:rsid w:val="00855A70"/>
    <w:pPr>
      <w:spacing w:after="100"/>
      <w:ind w:left="440"/>
    </w:pPr>
    <w:rPr>
      <w:rFonts w:eastAsia="MS Mincho" w:cs="Arial"/>
      <w:lang w:val="en-US" w:eastAsia="ja-JP"/>
    </w:rPr>
  </w:style>
  <w:style w:type="character" w:styleId="FollowedHyperlink">
    <w:name w:val="FollowedHyperlink"/>
    <w:uiPriority w:val="99"/>
    <w:semiHidden/>
    <w:unhideWhenUsed/>
    <w:rsid w:val="00887F42"/>
    <w:rPr>
      <w:color w:val="800080"/>
      <w:u w:val="single"/>
    </w:rPr>
  </w:style>
  <w:style w:type="paragraph" w:styleId="Title">
    <w:name w:val="Title"/>
    <w:basedOn w:val="Normal"/>
    <w:next w:val="Normal"/>
    <w:link w:val="TitleChar"/>
    <w:uiPriority w:val="10"/>
    <w:qFormat/>
    <w:rsid w:val="003A3F2F"/>
    <w:pPr>
      <w:pBdr>
        <w:bottom w:val="single" w:sz="8" w:space="4" w:color="2DA2BF"/>
      </w:pBdr>
      <w:spacing w:after="300" w:line="240" w:lineRule="auto"/>
      <w:contextualSpacing/>
    </w:pPr>
    <w:rPr>
      <w:rFonts w:ascii="Cambria" w:hAnsi="Cambria"/>
      <w:color w:val="343434"/>
      <w:spacing w:val="5"/>
      <w:kern w:val="28"/>
      <w:sz w:val="52"/>
      <w:szCs w:val="52"/>
    </w:rPr>
  </w:style>
  <w:style w:type="character" w:customStyle="1" w:styleId="TitleChar">
    <w:name w:val="Title Char"/>
    <w:link w:val="Title"/>
    <w:uiPriority w:val="10"/>
    <w:rsid w:val="003A3F2F"/>
    <w:rPr>
      <w:rFonts w:ascii="Cambria" w:eastAsia="Times New Roman" w:hAnsi="Cambria" w:cs="Times New Roman"/>
      <w:color w:val="343434"/>
      <w:spacing w:val="5"/>
      <w:kern w:val="28"/>
      <w:sz w:val="52"/>
      <w:szCs w:val="52"/>
    </w:rPr>
  </w:style>
  <w:style w:type="paragraph" w:styleId="Subtitle">
    <w:name w:val="Subtitle"/>
    <w:basedOn w:val="Normal"/>
    <w:next w:val="Normal"/>
    <w:link w:val="SubtitleChar"/>
    <w:uiPriority w:val="11"/>
    <w:qFormat/>
    <w:rsid w:val="003A3F2F"/>
    <w:pPr>
      <w:numPr>
        <w:ilvl w:val="1"/>
      </w:numPr>
    </w:pPr>
    <w:rPr>
      <w:rFonts w:ascii="Cambria" w:hAnsi="Cambria"/>
      <w:i/>
      <w:iCs/>
      <w:color w:val="2DA2BF"/>
      <w:spacing w:val="15"/>
      <w:sz w:val="24"/>
      <w:szCs w:val="24"/>
    </w:rPr>
  </w:style>
  <w:style w:type="character" w:customStyle="1" w:styleId="SubtitleChar">
    <w:name w:val="Subtitle Char"/>
    <w:link w:val="Subtitle"/>
    <w:uiPriority w:val="11"/>
    <w:rsid w:val="003A3F2F"/>
    <w:rPr>
      <w:rFonts w:ascii="Cambria" w:eastAsia="Times New Roman" w:hAnsi="Cambria" w:cs="Times New Roman"/>
      <w:i/>
      <w:iCs/>
      <w:color w:val="2DA2BF"/>
      <w:spacing w:val="15"/>
      <w:sz w:val="24"/>
      <w:szCs w:val="24"/>
    </w:rPr>
  </w:style>
  <w:style w:type="character" w:styleId="BookTitle">
    <w:name w:val="Book Title"/>
    <w:uiPriority w:val="33"/>
    <w:qFormat/>
    <w:rsid w:val="003A3F2F"/>
    <w:rPr>
      <w:b/>
      <w:bCs/>
      <w:smallCaps/>
      <w:spacing w:val="5"/>
    </w:rPr>
  </w:style>
  <w:style w:type="character" w:customStyle="1" w:styleId="Heading3Char">
    <w:name w:val="Heading 3 Char"/>
    <w:link w:val="Heading3"/>
    <w:uiPriority w:val="9"/>
    <w:rsid w:val="003A3F2F"/>
    <w:rPr>
      <w:rFonts w:ascii="Cambria" w:eastAsia="Times New Roman" w:hAnsi="Cambria" w:cs="Times New Roman"/>
      <w:b/>
      <w:bCs/>
      <w:color w:val="2DA2BF"/>
    </w:rPr>
  </w:style>
  <w:style w:type="character" w:customStyle="1" w:styleId="Heading5Char">
    <w:name w:val="Heading 5 Char"/>
    <w:link w:val="Heading5"/>
    <w:uiPriority w:val="9"/>
    <w:semiHidden/>
    <w:rsid w:val="003A3F2F"/>
    <w:rPr>
      <w:rFonts w:ascii="Cambria" w:eastAsia="Times New Roman" w:hAnsi="Cambria" w:cs="Times New Roman"/>
      <w:color w:val="16505E"/>
    </w:rPr>
  </w:style>
  <w:style w:type="character" w:customStyle="1" w:styleId="Heading6Char">
    <w:name w:val="Heading 6 Char"/>
    <w:link w:val="Heading6"/>
    <w:uiPriority w:val="9"/>
    <w:semiHidden/>
    <w:rsid w:val="003A3F2F"/>
    <w:rPr>
      <w:rFonts w:ascii="Cambria" w:eastAsia="Times New Roman" w:hAnsi="Cambria" w:cs="Times New Roman"/>
      <w:i/>
      <w:iCs/>
      <w:color w:val="16505E"/>
    </w:rPr>
  </w:style>
  <w:style w:type="character" w:customStyle="1" w:styleId="Heading9Char">
    <w:name w:val="Heading 9 Char"/>
    <w:link w:val="Heading9"/>
    <w:uiPriority w:val="9"/>
    <w:semiHidden/>
    <w:rsid w:val="003A3F2F"/>
    <w:rPr>
      <w:rFonts w:ascii="Cambria" w:eastAsia="Times New Roman" w:hAnsi="Cambria" w:cs="Times New Roman"/>
      <w:i/>
      <w:iCs/>
      <w:color w:val="404040"/>
      <w:sz w:val="20"/>
      <w:szCs w:val="20"/>
    </w:rPr>
  </w:style>
  <w:style w:type="paragraph" w:styleId="Caption">
    <w:name w:val="caption"/>
    <w:basedOn w:val="Normal"/>
    <w:next w:val="Normal"/>
    <w:uiPriority w:val="35"/>
    <w:semiHidden/>
    <w:unhideWhenUsed/>
    <w:qFormat/>
    <w:rsid w:val="003A3F2F"/>
    <w:pPr>
      <w:spacing w:line="240" w:lineRule="auto"/>
    </w:pPr>
    <w:rPr>
      <w:b/>
      <w:bCs/>
      <w:color w:val="2DA2BF"/>
      <w:sz w:val="18"/>
      <w:szCs w:val="18"/>
    </w:rPr>
  </w:style>
  <w:style w:type="character" w:styleId="Strong">
    <w:name w:val="Strong"/>
    <w:uiPriority w:val="22"/>
    <w:qFormat/>
    <w:rsid w:val="003A3F2F"/>
    <w:rPr>
      <w:b/>
      <w:bCs/>
    </w:rPr>
  </w:style>
  <w:style w:type="paragraph" w:styleId="NoSpacing">
    <w:name w:val="No Spacing"/>
    <w:uiPriority w:val="1"/>
    <w:qFormat/>
    <w:rsid w:val="003A3F2F"/>
    <w:rPr>
      <w:sz w:val="22"/>
      <w:szCs w:val="22"/>
      <w:lang w:val="en-CA" w:eastAsia="en-CA"/>
    </w:rPr>
  </w:style>
  <w:style w:type="paragraph" w:styleId="Quote">
    <w:name w:val="Quote"/>
    <w:basedOn w:val="Normal"/>
    <w:next w:val="Normal"/>
    <w:link w:val="QuoteChar"/>
    <w:uiPriority w:val="29"/>
    <w:qFormat/>
    <w:rsid w:val="003A3F2F"/>
    <w:rPr>
      <w:i/>
      <w:iCs/>
      <w:color w:val="000000"/>
    </w:rPr>
  </w:style>
  <w:style w:type="character" w:customStyle="1" w:styleId="QuoteChar">
    <w:name w:val="Quote Char"/>
    <w:link w:val="Quote"/>
    <w:uiPriority w:val="29"/>
    <w:rsid w:val="003A3F2F"/>
    <w:rPr>
      <w:i/>
      <w:iCs/>
      <w:color w:val="000000"/>
    </w:rPr>
  </w:style>
  <w:style w:type="paragraph" w:styleId="IntenseQuote">
    <w:name w:val="Intense Quote"/>
    <w:basedOn w:val="Normal"/>
    <w:next w:val="Normal"/>
    <w:link w:val="IntenseQuoteChar"/>
    <w:uiPriority w:val="30"/>
    <w:qFormat/>
    <w:rsid w:val="003A3F2F"/>
    <w:pPr>
      <w:pBdr>
        <w:bottom w:val="single" w:sz="4" w:space="4" w:color="2DA2BF"/>
      </w:pBdr>
      <w:spacing w:before="200" w:after="280"/>
      <w:ind w:left="936" w:right="936"/>
    </w:pPr>
    <w:rPr>
      <w:b/>
      <w:bCs/>
      <w:i/>
      <w:iCs/>
      <w:color w:val="2DA2BF"/>
    </w:rPr>
  </w:style>
  <w:style w:type="character" w:customStyle="1" w:styleId="IntenseQuoteChar">
    <w:name w:val="Intense Quote Char"/>
    <w:link w:val="IntenseQuote"/>
    <w:uiPriority w:val="30"/>
    <w:rsid w:val="003A3F2F"/>
    <w:rPr>
      <w:b/>
      <w:bCs/>
      <w:i/>
      <w:iCs/>
      <w:color w:val="2DA2BF"/>
    </w:rPr>
  </w:style>
  <w:style w:type="character" w:styleId="SubtleEmphasis">
    <w:name w:val="Subtle Emphasis"/>
    <w:uiPriority w:val="19"/>
    <w:qFormat/>
    <w:rsid w:val="003A3F2F"/>
    <w:rPr>
      <w:i/>
      <w:iCs/>
      <w:color w:val="808080"/>
    </w:rPr>
  </w:style>
  <w:style w:type="character" w:styleId="IntenseEmphasis">
    <w:name w:val="Intense Emphasis"/>
    <w:uiPriority w:val="21"/>
    <w:qFormat/>
    <w:rsid w:val="003A3F2F"/>
    <w:rPr>
      <w:b/>
      <w:bCs/>
      <w:i/>
      <w:iCs/>
      <w:color w:val="2DA2BF"/>
    </w:rPr>
  </w:style>
  <w:style w:type="character" w:styleId="SubtleReference">
    <w:name w:val="Subtle Reference"/>
    <w:uiPriority w:val="31"/>
    <w:qFormat/>
    <w:rsid w:val="003A3F2F"/>
    <w:rPr>
      <w:smallCaps/>
      <w:color w:val="DA1F28"/>
      <w:u w:val="single"/>
    </w:rPr>
  </w:style>
  <w:style w:type="character" w:styleId="IntenseReference">
    <w:name w:val="Intense Reference"/>
    <w:uiPriority w:val="32"/>
    <w:qFormat/>
    <w:rsid w:val="003A3F2F"/>
    <w:rPr>
      <w:b/>
      <w:bCs/>
      <w:smallCaps/>
      <w:color w:val="C0504D"/>
      <w:spacing w:val="5"/>
      <w:u w:val="single"/>
    </w:rPr>
  </w:style>
  <w:style w:type="paragraph" w:customStyle="1" w:styleId="Default">
    <w:name w:val="Default"/>
    <w:rsid w:val="00FB53AC"/>
    <w:pPr>
      <w:autoSpaceDE w:val="0"/>
      <w:autoSpaceDN w:val="0"/>
      <w:adjustRightInd w:val="0"/>
    </w:pPr>
    <w:rPr>
      <w:rFonts w:ascii="Times New Roman" w:eastAsia="Calibri" w:hAnsi="Times New Roman"/>
      <w:color w:val="000000"/>
      <w:sz w:val="24"/>
      <w:szCs w:val="24"/>
      <w:lang w:val="en-CA"/>
    </w:rPr>
  </w:style>
  <w:style w:type="paragraph" w:customStyle="1" w:styleId="scjnormal">
    <w:name w:val="scjnormal"/>
    <w:basedOn w:val="Normal"/>
    <w:rsid w:val="00997B63"/>
    <w:pPr>
      <w:spacing w:before="100" w:beforeAutospacing="1" w:after="100" w:afterAutospacing="1" w:line="240" w:lineRule="auto"/>
    </w:pPr>
    <w:rPr>
      <w:rFonts w:ascii="Times New Roman" w:hAnsi="Times New Roman"/>
      <w:sz w:val="24"/>
      <w:szCs w:val="24"/>
    </w:rPr>
  </w:style>
  <w:style w:type="character" w:customStyle="1" w:styleId="UnresolvedMention1">
    <w:name w:val="Unresolved Mention1"/>
    <w:basedOn w:val="DefaultParagraphFont"/>
    <w:uiPriority w:val="99"/>
    <w:semiHidden/>
    <w:unhideWhenUsed/>
    <w:rsid w:val="000B5147"/>
    <w:rPr>
      <w:color w:val="605E5C"/>
      <w:shd w:val="clear" w:color="auto" w:fill="E1DFDD"/>
    </w:rPr>
  </w:style>
  <w:style w:type="character" w:styleId="UnresolvedMention">
    <w:name w:val="Unresolved Mention"/>
    <w:basedOn w:val="DefaultParagraphFont"/>
    <w:uiPriority w:val="99"/>
    <w:semiHidden/>
    <w:unhideWhenUsed/>
    <w:rsid w:val="0096271E"/>
    <w:rPr>
      <w:color w:val="605E5C"/>
      <w:shd w:val="clear" w:color="auto" w:fill="E1DFDD"/>
    </w:rPr>
  </w:style>
  <w:style w:type="paragraph" w:customStyle="1" w:styleId="4GZchn">
    <w:name w:val="4_G Zchn"/>
    <w:aliases w:val="Footnote Zchn,callout Zchn,Footnote Refernece Zchn,Footnote Reference Number Zchn,Fußnotenzeichen_Raxen Zchn,BVI fnr Zchn,Fago Fußnotenzeichen Zchn,Footnotes refss Zchn,Style 10 Zchn,ftref Zchn,16 Point Zchn,Ref Zchn"/>
    <w:basedOn w:val="Normal"/>
    <w:link w:val="FootnoteReference"/>
    <w:uiPriority w:val="99"/>
    <w:rsid w:val="006B49CA"/>
    <w:pPr>
      <w:spacing w:after="160" w:line="240" w:lineRule="exact"/>
    </w:pPr>
    <w:rPr>
      <w:sz w:val="20"/>
      <w:szCs w:val="20"/>
      <w:vertAlign w:val="superscript"/>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28763">
      <w:bodyDiv w:val="1"/>
      <w:marLeft w:val="0"/>
      <w:marRight w:val="0"/>
      <w:marTop w:val="0"/>
      <w:marBottom w:val="0"/>
      <w:divBdr>
        <w:top w:val="none" w:sz="0" w:space="0" w:color="auto"/>
        <w:left w:val="none" w:sz="0" w:space="0" w:color="auto"/>
        <w:bottom w:val="none" w:sz="0" w:space="0" w:color="auto"/>
        <w:right w:val="none" w:sz="0" w:space="0" w:color="auto"/>
      </w:divBdr>
      <w:divsChild>
        <w:div w:id="197972179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34235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37315176">
      <w:bodyDiv w:val="1"/>
      <w:marLeft w:val="0"/>
      <w:marRight w:val="0"/>
      <w:marTop w:val="0"/>
      <w:marBottom w:val="0"/>
      <w:divBdr>
        <w:top w:val="none" w:sz="0" w:space="0" w:color="auto"/>
        <w:left w:val="none" w:sz="0" w:space="0" w:color="auto"/>
        <w:bottom w:val="none" w:sz="0" w:space="0" w:color="auto"/>
        <w:right w:val="none" w:sz="0" w:space="0" w:color="auto"/>
      </w:divBdr>
    </w:div>
    <w:div w:id="115490357">
      <w:bodyDiv w:val="1"/>
      <w:marLeft w:val="0"/>
      <w:marRight w:val="0"/>
      <w:marTop w:val="0"/>
      <w:marBottom w:val="0"/>
      <w:divBdr>
        <w:top w:val="none" w:sz="0" w:space="0" w:color="auto"/>
        <w:left w:val="none" w:sz="0" w:space="0" w:color="auto"/>
        <w:bottom w:val="none" w:sz="0" w:space="0" w:color="auto"/>
        <w:right w:val="none" w:sz="0" w:space="0" w:color="auto"/>
      </w:divBdr>
    </w:div>
    <w:div w:id="154884702">
      <w:bodyDiv w:val="1"/>
      <w:marLeft w:val="0"/>
      <w:marRight w:val="0"/>
      <w:marTop w:val="0"/>
      <w:marBottom w:val="0"/>
      <w:divBdr>
        <w:top w:val="none" w:sz="0" w:space="0" w:color="auto"/>
        <w:left w:val="none" w:sz="0" w:space="0" w:color="auto"/>
        <w:bottom w:val="none" w:sz="0" w:space="0" w:color="auto"/>
        <w:right w:val="none" w:sz="0" w:space="0" w:color="auto"/>
      </w:divBdr>
    </w:div>
    <w:div w:id="547686100">
      <w:bodyDiv w:val="1"/>
      <w:marLeft w:val="0"/>
      <w:marRight w:val="0"/>
      <w:marTop w:val="0"/>
      <w:marBottom w:val="0"/>
      <w:divBdr>
        <w:top w:val="none" w:sz="0" w:space="0" w:color="auto"/>
        <w:left w:val="none" w:sz="0" w:space="0" w:color="auto"/>
        <w:bottom w:val="none" w:sz="0" w:space="0" w:color="auto"/>
        <w:right w:val="none" w:sz="0" w:space="0" w:color="auto"/>
      </w:divBdr>
    </w:div>
    <w:div w:id="553663078">
      <w:bodyDiv w:val="1"/>
      <w:marLeft w:val="0"/>
      <w:marRight w:val="0"/>
      <w:marTop w:val="0"/>
      <w:marBottom w:val="0"/>
      <w:divBdr>
        <w:top w:val="none" w:sz="0" w:space="0" w:color="auto"/>
        <w:left w:val="none" w:sz="0" w:space="0" w:color="auto"/>
        <w:bottom w:val="none" w:sz="0" w:space="0" w:color="auto"/>
        <w:right w:val="none" w:sz="0" w:space="0" w:color="auto"/>
      </w:divBdr>
    </w:div>
    <w:div w:id="667484545">
      <w:bodyDiv w:val="1"/>
      <w:marLeft w:val="0"/>
      <w:marRight w:val="0"/>
      <w:marTop w:val="0"/>
      <w:marBottom w:val="0"/>
      <w:divBdr>
        <w:top w:val="none" w:sz="0" w:space="0" w:color="auto"/>
        <w:left w:val="none" w:sz="0" w:space="0" w:color="auto"/>
        <w:bottom w:val="none" w:sz="0" w:space="0" w:color="auto"/>
        <w:right w:val="none" w:sz="0" w:space="0" w:color="auto"/>
      </w:divBdr>
    </w:div>
    <w:div w:id="753556234">
      <w:bodyDiv w:val="1"/>
      <w:marLeft w:val="0"/>
      <w:marRight w:val="0"/>
      <w:marTop w:val="0"/>
      <w:marBottom w:val="0"/>
      <w:divBdr>
        <w:top w:val="none" w:sz="0" w:space="0" w:color="auto"/>
        <w:left w:val="none" w:sz="0" w:space="0" w:color="auto"/>
        <w:bottom w:val="none" w:sz="0" w:space="0" w:color="auto"/>
        <w:right w:val="none" w:sz="0" w:space="0" w:color="auto"/>
      </w:divBdr>
    </w:div>
    <w:div w:id="885794935">
      <w:bodyDiv w:val="1"/>
      <w:marLeft w:val="0"/>
      <w:marRight w:val="0"/>
      <w:marTop w:val="0"/>
      <w:marBottom w:val="0"/>
      <w:divBdr>
        <w:top w:val="none" w:sz="0" w:space="0" w:color="auto"/>
        <w:left w:val="none" w:sz="0" w:space="0" w:color="auto"/>
        <w:bottom w:val="none" w:sz="0" w:space="0" w:color="auto"/>
        <w:right w:val="none" w:sz="0" w:space="0" w:color="auto"/>
      </w:divBdr>
    </w:div>
    <w:div w:id="1116100530">
      <w:bodyDiv w:val="1"/>
      <w:marLeft w:val="0"/>
      <w:marRight w:val="0"/>
      <w:marTop w:val="0"/>
      <w:marBottom w:val="0"/>
      <w:divBdr>
        <w:top w:val="none" w:sz="0" w:space="0" w:color="auto"/>
        <w:left w:val="none" w:sz="0" w:space="0" w:color="auto"/>
        <w:bottom w:val="none" w:sz="0" w:space="0" w:color="auto"/>
        <w:right w:val="none" w:sz="0" w:space="0" w:color="auto"/>
      </w:divBdr>
    </w:div>
    <w:div w:id="1377318390">
      <w:bodyDiv w:val="1"/>
      <w:marLeft w:val="0"/>
      <w:marRight w:val="0"/>
      <w:marTop w:val="0"/>
      <w:marBottom w:val="0"/>
      <w:divBdr>
        <w:top w:val="none" w:sz="0" w:space="0" w:color="auto"/>
        <w:left w:val="none" w:sz="0" w:space="0" w:color="auto"/>
        <w:bottom w:val="none" w:sz="0" w:space="0" w:color="auto"/>
        <w:right w:val="none" w:sz="0" w:space="0" w:color="auto"/>
      </w:divBdr>
    </w:div>
    <w:div w:id="1511868092">
      <w:bodyDiv w:val="1"/>
      <w:marLeft w:val="0"/>
      <w:marRight w:val="0"/>
      <w:marTop w:val="0"/>
      <w:marBottom w:val="0"/>
      <w:divBdr>
        <w:top w:val="none" w:sz="0" w:space="0" w:color="auto"/>
        <w:left w:val="none" w:sz="0" w:space="0" w:color="auto"/>
        <w:bottom w:val="none" w:sz="0" w:space="0" w:color="auto"/>
        <w:right w:val="none" w:sz="0" w:space="0" w:color="auto"/>
      </w:divBdr>
    </w:div>
    <w:div w:id="1816603721">
      <w:bodyDiv w:val="1"/>
      <w:marLeft w:val="0"/>
      <w:marRight w:val="0"/>
      <w:marTop w:val="0"/>
      <w:marBottom w:val="0"/>
      <w:divBdr>
        <w:top w:val="none" w:sz="0" w:space="0" w:color="auto"/>
        <w:left w:val="none" w:sz="0" w:space="0" w:color="auto"/>
        <w:bottom w:val="none" w:sz="0" w:space="0" w:color="auto"/>
        <w:right w:val="none" w:sz="0" w:space="0" w:color="auto"/>
      </w:divBdr>
    </w:div>
    <w:div w:id="1875728244">
      <w:bodyDiv w:val="1"/>
      <w:marLeft w:val="0"/>
      <w:marRight w:val="0"/>
      <w:marTop w:val="0"/>
      <w:marBottom w:val="0"/>
      <w:divBdr>
        <w:top w:val="none" w:sz="0" w:space="0" w:color="auto"/>
        <w:left w:val="none" w:sz="0" w:space="0" w:color="auto"/>
        <w:bottom w:val="none" w:sz="0" w:space="0" w:color="auto"/>
        <w:right w:val="none" w:sz="0" w:space="0" w:color="auto"/>
      </w:divBdr>
    </w:div>
    <w:div w:id="1899199868">
      <w:bodyDiv w:val="1"/>
      <w:marLeft w:val="0"/>
      <w:marRight w:val="0"/>
      <w:marTop w:val="0"/>
      <w:marBottom w:val="0"/>
      <w:divBdr>
        <w:top w:val="none" w:sz="0" w:space="0" w:color="auto"/>
        <w:left w:val="none" w:sz="0" w:space="0" w:color="auto"/>
        <w:bottom w:val="none" w:sz="0" w:space="0" w:color="auto"/>
        <w:right w:val="none" w:sz="0" w:space="0" w:color="auto"/>
      </w:divBdr>
    </w:div>
    <w:div w:id="1933271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yperlink" Target="http://canlii.ca/t/fm4v6" TargetMode="Externa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hyperlink" Target="https://laws-lois.justice.gc.ca/eng/acts/N-11.2/FullText.html"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www.justice.gc.ca/eng/csj-sjc/principles2-principes2.html" TargetMode="Externa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https://www.justice.gc.ca/eng/csj-sjc/principles2-principes2.html" TargetMode="External"/><Relationship Id="rId20" Type="http://schemas.openxmlformats.org/officeDocument/2006/relationships/hyperlink" Target="http://www.socialrights.ca/2019/ToussaintReply2d.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justice.gc.ca/eng/csj-sjc/principles2-principes2.html"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www.socialrights.ca/2018/D2348.pdf"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s://www.justice.gc.ca/eng/csj-sjc/principles2-principes2.html" TargetMode="External"/><Relationship Id="rId22" Type="http://schemas.openxmlformats.org/officeDocument/2006/relationships/hyperlink" Target="http://socialrightscura.ca/documents/archive/Alternative%20Social%20Charter.htm" TargetMode="External"/><Relationship Id="rId27"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docstore.ohchr.org/SelfServices/FilesHandler.ashx?enc=6QkG1d%2fPPRiCAqhKb7yhsjvfIjqiI84ZFd1DNP1S9EJVTcVMMfawTKJ%2bRXq2O5JWTSgTnqTy75GKOXxb7hx6EgOYtEQpL%2fn7H%2ba40d%2fy1OhDH4yp%2fxehzNz84uJ8jkp8m7LRbh%2fvLq4Ws4ZAftBuAg%3d%3d" TargetMode="External"/><Relationship Id="rId7" Type="http://schemas.openxmlformats.org/officeDocument/2006/relationships/hyperlink" Target="https://scics.ca/en/product-produit/agreement-a-framework-to-improve-the-social-union-for-canadians/" TargetMode="External"/><Relationship Id="rId2" Type="http://schemas.openxmlformats.org/officeDocument/2006/relationships/hyperlink" Target="http://www.socialrightscura.ca/documents/legal/tousaint%20IFBH/Canada%20-%20Submissions%20on%20Merits.pdf" TargetMode="External"/><Relationship Id="rId1" Type="http://schemas.openxmlformats.org/officeDocument/2006/relationships/hyperlink" Target="http://www.socialrights.ca/2019/Handbook-mjbp.pdf" TargetMode="External"/><Relationship Id="rId6" Type="http://schemas.openxmlformats.org/officeDocument/2006/relationships/hyperlink" Target="https://scics.ca/en/product-produit/news-release-federal-provincial-and-territorial-ministers-from-across-the-country-gather-to-discuss-human-rights/" TargetMode="External"/><Relationship Id="rId5" Type="http://schemas.openxmlformats.org/officeDocument/2006/relationships/hyperlink" Target="https://humanrights.novascotia.ca/sites/default/files/editor-uploads/maclean_et_al_decision.pdf" TargetMode="External"/><Relationship Id="rId4" Type="http://schemas.openxmlformats.org/officeDocument/2006/relationships/hyperlink" Target="http://canlii.ca/t/gn2v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FE8C1C-E9BD-4C42-AF77-AE868A091D1E}">
  <ds:schemaRefs>
    <ds:schemaRef ds:uri="http://schemas.openxmlformats.org/officeDocument/2006/bibliography"/>
  </ds:schemaRefs>
</ds:datastoreItem>
</file>

<file path=customXml/itemProps2.xml><?xml version="1.0" encoding="utf-8"?>
<ds:datastoreItem xmlns:ds="http://schemas.openxmlformats.org/officeDocument/2006/customXml" ds:itemID="{094933E3-1FDB-4FF4-9D30-428E44B5CC69}"/>
</file>

<file path=customXml/itemProps3.xml><?xml version="1.0" encoding="utf-8"?>
<ds:datastoreItem xmlns:ds="http://schemas.openxmlformats.org/officeDocument/2006/customXml" ds:itemID="{B03B692E-A7E6-4E05-9D36-583722390FCF}"/>
</file>

<file path=customXml/itemProps4.xml><?xml version="1.0" encoding="utf-8"?>
<ds:datastoreItem xmlns:ds="http://schemas.openxmlformats.org/officeDocument/2006/customXml" ds:itemID="{23822B9B-0FE4-4ACA-8685-1860742EC728}"/>
</file>

<file path=docProps/app.xml><?xml version="1.0" encoding="utf-8"?>
<Properties xmlns="http://schemas.openxmlformats.org/officeDocument/2006/extended-properties" xmlns:vt="http://schemas.openxmlformats.org/officeDocument/2006/docPropsVTypes">
  <Template>Normal</Template>
  <TotalTime>3</TotalTime>
  <Pages>18</Pages>
  <Words>4237</Words>
  <Characters>24155</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28336</CharactersWithSpaces>
  <SharedDoc>false</SharedDoc>
  <HLinks>
    <vt:vector size="96" baseType="variant">
      <vt:variant>
        <vt:i4>1835061</vt:i4>
      </vt:variant>
      <vt:variant>
        <vt:i4>97</vt:i4>
      </vt:variant>
      <vt:variant>
        <vt:i4>0</vt:i4>
      </vt:variant>
      <vt:variant>
        <vt:i4>5</vt:i4>
      </vt:variant>
      <vt:variant>
        <vt:lpwstr/>
      </vt:variant>
      <vt:variant>
        <vt:lpwstr>_Toc495062203</vt:lpwstr>
      </vt:variant>
      <vt:variant>
        <vt:i4>1835061</vt:i4>
      </vt:variant>
      <vt:variant>
        <vt:i4>91</vt:i4>
      </vt:variant>
      <vt:variant>
        <vt:i4>0</vt:i4>
      </vt:variant>
      <vt:variant>
        <vt:i4>5</vt:i4>
      </vt:variant>
      <vt:variant>
        <vt:lpwstr/>
      </vt:variant>
      <vt:variant>
        <vt:lpwstr>_Toc495062202</vt:lpwstr>
      </vt:variant>
      <vt:variant>
        <vt:i4>1835061</vt:i4>
      </vt:variant>
      <vt:variant>
        <vt:i4>85</vt:i4>
      </vt:variant>
      <vt:variant>
        <vt:i4>0</vt:i4>
      </vt:variant>
      <vt:variant>
        <vt:i4>5</vt:i4>
      </vt:variant>
      <vt:variant>
        <vt:lpwstr/>
      </vt:variant>
      <vt:variant>
        <vt:lpwstr>_Toc495062201</vt:lpwstr>
      </vt:variant>
      <vt:variant>
        <vt:i4>1835061</vt:i4>
      </vt:variant>
      <vt:variant>
        <vt:i4>79</vt:i4>
      </vt:variant>
      <vt:variant>
        <vt:i4>0</vt:i4>
      </vt:variant>
      <vt:variant>
        <vt:i4>5</vt:i4>
      </vt:variant>
      <vt:variant>
        <vt:lpwstr/>
      </vt:variant>
      <vt:variant>
        <vt:lpwstr>_Toc495062200</vt:lpwstr>
      </vt:variant>
      <vt:variant>
        <vt:i4>1376310</vt:i4>
      </vt:variant>
      <vt:variant>
        <vt:i4>73</vt:i4>
      </vt:variant>
      <vt:variant>
        <vt:i4>0</vt:i4>
      </vt:variant>
      <vt:variant>
        <vt:i4>5</vt:i4>
      </vt:variant>
      <vt:variant>
        <vt:lpwstr/>
      </vt:variant>
      <vt:variant>
        <vt:lpwstr>_Toc495062199</vt:lpwstr>
      </vt:variant>
      <vt:variant>
        <vt:i4>1376310</vt:i4>
      </vt:variant>
      <vt:variant>
        <vt:i4>67</vt:i4>
      </vt:variant>
      <vt:variant>
        <vt:i4>0</vt:i4>
      </vt:variant>
      <vt:variant>
        <vt:i4>5</vt:i4>
      </vt:variant>
      <vt:variant>
        <vt:lpwstr/>
      </vt:variant>
      <vt:variant>
        <vt:lpwstr>_Toc495062198</vt:lpwstr>
      </vt:variant>
      <vt:variant>
        <vt:i4>1376310</vt:i4>
      </vt:variant>
      <vt:variant>
        <vt:i4>61</vt:i4>
      </vt:variant>
      <vt:variant>
        <vt:i4>0</vt:i4>
      </vt:variant>
      <vt:variant>
        <vt:i4>5</vt:i4>
      </vt:variant>
      <vt:variant>
        <vt:lpwstr/>
      </vt:variant>
      <vt:variant>
        <vt:lpwstr>_Toc495062197</vt:lpwstr>
      </vt:variant>
      <vt:variant>
        <vt:i4>1376310</vt:i4>
      </vt:variant>
      <vt:variant>
        <vt:i4>55</vt:i4>
      </vt:variant>
      <vt:variant>
        <vt:i4>0</vt:i4>
      </vt:variant>
      <vt:variant>
        <vt:i4>5</vt:i4>
      </vt:variant>
      <vt:variant>
        <vt:lpwstr/>
      </vt:variant>
      <vt:variant>
        <vt:lpwstr>_Toc495062196</vt:lpwstr>
      </vt:variant>
      <vt:variant>
        <vt:i4>1376310</vt:i4>
      </vt:variant>
      <vt:variant>
        <vt:i4>49</vt:i4>
      </vt:variant>
      <vt:variant>
        <vt:i4>0</vt:i4>
      </vt:variant>
      <vt:variant>
        <vt:i4>5</vt:i4>
      </vt:variant>
      <vt:variant>
        <vt:lpwstr/>
      </vt:variant>
      <vt:variant>
        <vt:lpwstr>_Toc495062195</vt:lpwstr>
      </vt:variant>
      <vt:variant>
        <vt:i4>1376310</vt:i4>
      </vt:variant>
      <vt:variant>
        <vt:i4>43</vt:i4>
      </vt:variant>
      <vt:variant>
        <vt:i4>0</vt:i4>
      </vt:variant>
      <vt:variant>
        <vt:i4>5</vt:i4>
      </vt:variant>
      <vt:variant>
        <vt:lpwstr/>
      </vt:variant>
      <vt:variant>
        <vt:lpwstr>_Toc495062194</vt:lpwstr>
      </vt:variant>
      <vt:variant>
        <vt:i4>1376310</vt:i4>
      </vt:variant>
      <vt:variant>
        <vt:i4>37</vt:i4>
      </vt:variant>
      <vt:variant>
        <vt:i4>0</vt:i4>
      </vt:variant>
      <vt:variant>
        <vt:i4>5</vt:i4>
      </vt:variant>
      <vt:variant>
        <vt:lpwstr/>
      </vt:variant>
      <vt:variant>
        <vt:lpwstr>_Toc495062193</vt:lpwstr>
      </vt:variant>
      <vt:variant>
        <vt:i4>1376310</vt:i4>
      </vt:variant>
      <vt:variant>
        <vt:i4>31</vt:i4>
      </vt:variant>
      <vt:variant>
        <vt:i4>0</vt:i4>
      </vt:variant>
      <vt:variant>
        <vt:i4>5</vt:i4>
      </vt:variant>
      <vt:variant>
        <vt:lpwstr/>
      </vt:variant>
      <vt:variant>
        <vt:lpwstr>_Toc495062192</vt:lpwstr>
      </vt:variant>
      <vt:variant>
        <vt:i4>1376310</vt:i4>
      </vt:variant>
      <vt:variant>
        <vt:i4>25</vt:i4>
      </vt:variant>
      <vt:variant>
        <vt:i4>0</vt:i4>
      </vt:variant>
      <vt:variant>
        <vt:i4>5</vt:i4>
      </vt:variant>
      <vt:variant>
        <vt:lpwstr/>
      </vt:variant>
      <vt:variant>
        <vt:lpwstr>_Toc495062191</vt:lpwstr>
      </vt:variant>
      <vt:variant>
        <vt:i4>1376310</vt:i4>
      </vt:variant>
      <vt:variant>
        <vt:i4>19</vt:i4>
      </vt:variant>
      <vt:variant>
        <vt:i4>0</vt:i4>
      </vt:variant>
      <vt:variant>
        <vt:i4>5</vt:i4>
      </vt:variant>
      <vt:variant>
        <vt:lpwstr/>
      </vt:variant>
      <vt:variant>
        <vt:lpwstr>_Toc495062190</vt:lpwstr>
      </vt:variant>
      <vt:variant>
        <vt:i4>1310774</vt:i4>
      </vt:variant>
      <vt:variant>
        <vt:i4>13</vt:i4>
      </vt:variant>
      <vt:variant>
        <vt:i4>0</vt:i4>
      </vt:variant>
      <vt:variant>
        <vt:i4>5</vt:i4>
      </vt:variant>
      <vt:variant>
        <vt:lpwstr/>
      </vt:variant>
      <vt:variant>
        <vt:lpwstr>_Toc495062189</vt:lpwstr>
      </vt:variant>
      <vt:variant>
        <vt:i4>1310774</vt:i4>
      </vt:variant>
      <vt:variant>
        <vt:i4>7</vt:i4>
      </vt:variant>
      <vt:variant>
        <vt:i4>0</vt:i4>
      </vt:variant>
      <vt:variant>
        <vt:i4>5</vt:i4>
      </vt:variant>
      <vt:variant>
        <vt:lpwstr/>
      </vt:variant>
      <vt:variant>
        <vt:lpwstr>_Toc495062188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Porter</dc:creator>
  <cp:keywords/>
  <dc:description/>
  <cp:lastModifiedBy>Bruce</cp:lastModifiedBy>
  <cp:revision>2</cp:revision>
  <cp:lastPrinted>2020-02-11T07:16:00Z</cp:lastPrinted>
  <dcterms:created xsi:type="dcterms:W3CDTF">2020-02-11T07:26:00Z</dcterms:created>
  <dcterms:modified xsi:type="dcterms:W3CDTF">2020-02-11T07:26:00Z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