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B9F" w:rsidRDefault="00C12F27" w:rsidP="000C40D1">
      <w:pPr>
        <w:spacing w:line="24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 xml:space="preserve"> </w:t>
      </w:r>
    </w:p>
    <w:p w:rsidR="00551CC3" w:rsidRDefault="00551CC3" w:rsidP="000C40D1">
      <w:pPr>
        <w:spacing w:line="240" w:lineRule="auto"/>
        <w:jc w:val="center"/>
        <w:rPr>
          <w:rFonts w:ascii="Times New Roman" w:eastAsia="Times New Roman" w:hAnsi="Times New Roman" w:cs="Times New Roman"/>
          <w:b/>
          <w:sz w:val="28"/>
          <w:szCs w:val="28"/>
        </w:rPr>
      </w:pPr>
    </w:p>
    <w:p w:rsidR="00963B9F" w:rsidRDefault="00C12F27" w:rsidP="000C40D1">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INFORME ALTERNATIVO SOBRE EL CUMPLIMIENTO DEL PACTO INTERNACIONAL DE DERECHOS ECONÓMICOS SOCIALES Y CULTURALES</w:t>
      </w:r>
    </w:p>
    <w:p w:rsidR="00963B9F" w:rsidRDefault="00C12F27" w:rsidP="000C40D1">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963B9F" w:rsidRDefault="00963B9F" w:rsidP="000C40D1">
      <w:pPr>
        <w:spacing w:line="240" w:lineRule="auto"/>
        <w:jc w:val="center"/>
        <w:rPr>
          <w:rFonts w:ascii="Times New Roman" w:eastAsia="Times New Roman" w:hAnsi="Times New Roman" w:cs="Times New Roman"/>
          <w:sz w:val="28"/>
          <w:szCs w:val="28"/>
        </w:rPr>
      </w:pPr>
    </w:p>
    <w:p w:rsidR="00963B9F" w:rsidRDefault="00C12F27" w:rsidP="000C40D1">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EVALUACIÓN DEL ESTADO ECUATORIANO EN EL PERIODO No. 66 DE SESIONES DEL COMITÉ DE DERECHOS ECONÓMICOS SOCIALES Y CULTURALES</w:t>
      </w:r>
    </w:p>
    <w:p w:rsidR="00963B9F" w:rsidRDefault="00C12F27" w:rsidP="000C40D1">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963B9F" w:rsidRDefault="00963B9F" w:rsidP="000C40D1">
      <w:pPr>
        <w:spacing w:line="240" w:lineRule="auto"/>
        <w:jc w:val="center"/>
        <w:rPr>
          <w:rFonts w:ascii="Times New Roman" w:eastAsia="Times New Roman" w:hAnsi="Times New Roman" w:cs="Times New Roman"/>
          <w:sz w:val="28"/>
          <w:szCs w:val="28"/>
        </w:rPr>
      </w:pPr>
    </w:p>
    <w:p w:rsidR="00963B9F" w:rsidRDefault="00C12F27" w:rsidP="000C40D1">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TÍTULO: RESPONSABILIDAD ESTATAL RESPECTO DE LA</w:t>
      </w:r>
      <w:r w:rsidR="009F2371">
        <w:rPr>
          <w:rFonts w:ascii="Times New Roman" w:eastAsia="Times New Roman" w:hAnsi="Times New Roman" w:cs="Times New Roman"/>
          <w:b/>
          <w:sz w:val="28"/>
          <w:szCs w:val="28"/>
        </w:rPr>
        <w:t>S</w:t>
      </w:r>
      <w:r>
        <w:rPr>
          <w:rFonts w:ascii="Times New Roman" w:eastAsia="Times New Roman" w:hAnsi="Times New Roman" w:cs="Times New Roman"/>
          <w:b/>
          <w:sz w:val="28"/>
          <w:szCs w:val="28"/>
        </w:rPr>
        <w:t xml:space="preserve"> VULNERACI</w:t>
      </w:r>
      <w:r w:rsidR="009F2371">
        <w:rPr>
          <w:rFonts w:ascii="Times New Roman" w:eastAsia="Times New Roman" w:hAnsi="Times New Roman" w:cs="Times New Roman"/>
          <w:b/>
          <w:sz w:val="28"/>
          <w:szCs w:val="28"/>
        </w:rPr>
        <w:t>ONES</w:t>
      </w:r>
      <w:r>
        <w:rPr>
          <w:rFonts w:ascii="Times New Roman" w:eastAsia="Times New Roman" w:hAnsi="Times New Roman" w:cs="Times New Roman"/>
          <w:b/>
          <w:sz w:val="28"/>
          <w:szCs w:val="28"/>
        </w:rPr>
        <w:t xml:space="preserve"> DE LOS DESC DERIVADA</w:t>
      </w:r>
      <w:r w:rsidR="009F2371">
        <w:rPr>
          <w:rFonts w:ascii="Times New Roman" w:eastAsia="Times New Roman" w:hAnsi="Times New Roman" w:cs="Times New Roman"/>
          <w:b/>
          <w:sz w:val="28"/>
          <w:szCs w:val="28"/>
        </w:rPr>
        <w:t>S</w:t>
      </w:r>
      <w:r>
        <w:rPr>
          <w:rFonts w:ascii="Times New Roman" w:eastAsia="Times New Roman" w:hAnsi="Times New Roman" w:cs="Times New Roman"/>
          <w:b/>
          <w:sz w:val="28"/>
          <w:szCs w:val="28"/>
        </w:rPr>
        <w:t xml:space="preserve"> DE LAS REFORMAS ESTRUCTURALES VINCULADAS A LOS COMPROMISOS CON LAS INSTITUCIONES FINANCIERAS INTERNACIONALES Y A LA APLICACIÓN DE LA AUSTERIDAD FISCAL</w:t>
      </w:r>
    </w:p>
    <w:p w:rsidR="00963B9F" w:rsidRDefault="00963B9F" w:rsidP="000C40D1">
      <w:pPr>
        <w:spacing w:line="240" w:lineRule="auto"/>
        <w:jc w:val="center"/>
        <w:rPr>
          <w:rFonts w:ascii="Times New Roman" w:eastAsia="Times New Roman" w:hAnsi="Times New Roman" w:cs="Times New Roman"/>
          <w:b/>
          <w:sz w:val="28"/>
          <w:szCs w:val="28"/>
        </w:rPr>
      </w:pPr>
    </w:p>
    <w:p w:rsidR="00963B9F" w:rsidRDefault="00C12F27" w:rsidP="000C40D1">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963B9F" w:rsidRDefault="00C12F27" w:rsidP="000C40D1">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ECUADOR</w:t>
      </w:r>
    </w:p>
    <w:p w:rsidR="00963B9F" w:rsidRDefault="00C12F27" w:rsidP="000C40D1">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963B9F" w:rsidRDefault="00C12F27" w:rsidP="000C40D1">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2019</w:t>
      </w:r>
    </w:p>
    <w:p w:rsidR="00963B9F" w:rsidRDefault="00963B9F" w:rsidP="000C40D1">
      <w:pPr>
        <w:spacing w:line="240" w:lineRule="auto"/>
        <w:jc w:val="center"/>
        <w:rPr>
          <w:rFonts w:ascii="Times New Roman" w:eastAsia="Times New Roman" w:hAnsi="Times New Roman" w:cs="Times New Roman"/>
          <w:sz w:val="28"/>
          <w:szCs w:val="28"/>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963B9F" w:rsidP="000C40D1">
      <w:pPr>
        <w:spacing w:line="240" w:lineRule="auto"/>
        <w:jc w:val="center"/>
        <w:rPr>
          <w:rFonts w:ascii="Times New Roman" w:eastAsia="Times New Roman" w:hAnsi="Times New Roman" w:cs="Times New Roman"/>
          <w:sz w:val="24"/>
          <w:szCs w:val="24"/>
        </w:rPr>
      </w:pPr>
    </w:p>
    <w:p w:rsidR="00963B9F" w:rsidRDefault="00C12F27" w:rsidP="000C40D1">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noProof/>
          <w:sz w:val="24"/>
          <w:szCs w:val="24"/>
          <w:lang w:val="es-EC" w:eastAsia="es-EC"/>
        </w:rPr>
        <w:drawing>
          <wp:inline distT="114300" distB="114300" distL="114300" distR="114300">
            <wp:extent cx="1452563" cy="1454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52563" cy="1454975"/>
                    </a:xfrm>
                    <a:prstGeom prst="rect">
                      <a:avLst/>
                    </a:prstGeom>
                    <a:ln/>
                  </pic:spPr>
                </pic:pic>
              </a:graphicData>
            </a:graphic>
          </wp:inline>
        </w:drawing>
      </w:r>
    </w:p>
    <w:p w:rsidR="00963B9F" w:rsidRDefault="00C12F27" w:rsidP="000C40D1">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63B9F" w:rsidRDefault="00C12F27" w:rsidP="000C40D1">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Instituto de Pensamiento Político y Económico “Eloy Alfaro”</w:t>
      </w:r>
      <w:r>
        <w:rPr>
          <w:rFonts w:ascii="Times New Roman" w:eastAsia="Times New Roman" w:hAnsi="Times New Roman" w:cs="Times New Roman"/>
          <w:b/>
          <w:sz w:val="24"/>
          <w:szCs w:val="24"/>
        </w:rPr>
        <w:t>,</w:t>
      </w:r>
    </w:p>
    <w:p w:rsidR="00963B9F" w:rsidRDefault="00C12F27" w:rsidP="000C40D1">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Correo electrónico IPPE: cdes@cdes.org.ec</w:t>
      </w:r>
    </w:p>
    <w:p w:rsidR="00963B9F" w:rsidRDefault="00C12F27" w:rsidP="000C40D1">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Dirección: </w:t>
      </w:r>
      <w:proofErr w:type="spellStart"/>
      <w:r>
        <w:rPr>
          <w:rFonts w:ascii="Times New Roman" w:eastAsia="Times New Roman" w:hAnsi="Times New Roman" w:cs="Times New Roman"/>
          <w:sz w:val="24"/>
          <w:szCs w:val="24"/>
        </w:rPr>
        <w:t>Yañez</w:t>
      </w:r>
      <w:proofErr w:type="spellEnd"/>
      <w:r>
        <w:rPr>
          <w:rFonts w:ascii="Times New Roman" w:eastAsia="Times New Roman" w:hAnsi="Times New Roman" w:cs="Times New Roman"/>
          <w:sz w:val="24"/>
          <w:szCs w:val="24"/>
        </w:rPr>
        <w:t xml:space="preserve"> Pinzón y Colón. Edif. CRYOM 5to piso, Quito, Ecuador</w:t>
      </w:r>
    </w:p>
    <w:p w:rsidR="00963B9F" w:rsidRDefault="00C12F27" w:rsidP="000C40D1">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Teléfono: +593 99</w:t>
      </w:r>
    </w:p>
    <w:p w:rsidR="00963B9F" w:rsidRDefault="00963B9F" w:rsidP="000C40D1">
      <w:pPr>
        <w:spacing w:line="240" w:lineRule="auto"/>
        <w:jc w:val="center"/>
        <w:rPr>
          <w:rFonts w:ascii="Times New Roman" w:eastAsia="Times New Roman" w:hAnsi="Times New Roman" w:cs="Times New Roman"/>
          <w:b/>
          <w:sz w:val="24"/>
          <w:szCs w:val="24"/>
        </w:rPr>
      </w:pPr>
    </w:p>
    <w:p w:rsidR="00963B9F" w:rsidRDefault="00C12F27" w:rsidP="000C40D1">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lang w:val="es-EC" w:eastAsia="es-EC"/>
        </w:rPr>
        <w:drawing>
          <wp:inline distT="0" distB="0" distL="0" distR="0">
            <wp:extent cx="1924050" cy="952500"/>
            <wp:effectExtent l="0" t="0" r="0" b="0"/>
            <wp:docPr id="2" name="image2.gif" descr="CDES"/>
            <wp:cNvGraphicFramePr/>
            <a:graphic xmlns:a="http://schemas.openxmlformats.org/drawingml/2006/main">
              <a:graphicData uri="http://schemas.openxmlformats.org/drawingml/2006/picture">
                <pic:pic xmlns:pic="http://schemas.openxmlformats.org/drawingml/2006/picture">
                  <pic:nvPicPr>
                    <pic:cNvPr id="0" name="image2.gif" descr="CDES"/>
                    <pic:cNvPicPr preferRelativeResize="0"/>
                  </pic:nvPicPr>
                  <pic:blipFill>
                    <a:blip r:embed="rId8"/>
                    <a:srcRect/>
                    <a:stretch>
                      <a:fillRect/>
                    </a:stretch>
                  </pic:blipFill>
                  <pic:spPr>
                    <a:xfrm>
                      <a:off x="0" y="0"/>
                      <a:ext cx="1924050" cy="952500"/>
                    </a:xfrm>
                    <a:prstGeom prst="rect">
                      <a:avLst/>
                    </a:prstGeom>
                    <a:ln/>
                  </pic:spPr>
                </pic:pic>
              </a:graphicData>
            </a:graphic>
          </wp:inline>
        </w:drawing>
      </w:r>
    </w:p>
    <w:p w:rsidR="00963B9F" w:rsidRDefault="00C12F27" w:rsidP="000C40D1">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Centro de Derechos Económicos y Sociales (CDES)</w:t>
      </w:r>
      <w:r>
        <w:rPr>
          <w:rFonts w:ascii="Times New Roman" w:eastAsia="Times New Roman" w:hAnsi="Times New Roman" w:cs="Times New Roman"/>
          <w:b/>
          <w:sz w:val="24"/>
          <w:szCs w:val="24"/>
        </w:rPr>
        <w:t xml:space="preserve">, - </w:t>
      </w:r>
      <w:hyperlink r:id="rId9">
        <w:r>
          <w:rPr>
            <w:rFonts w:ascii="Times New Roman" w:eastAsia="Times New Roman" w:hAnsi="Times New Roman" w:cs="Times New Roman"/>
            <w:sz w:val="24"/>
            <w:szCs w:val="24"/>
          </w:rPr>
          <w:t>www.cdes.org.ec</w:t>
        </w:r>
      </w:hyperlink>
      <w:r>
        <w:rPr>
          <w:rFonts w:ascii="Times New Roman" w:eastAsia="Times New Roman" w:hAnsi="Times New Roman" w:cs="Times New Roman"/>
          <w:sz w:val="24"/>
          <w:szCs w:val="24"/>
        </w:rPr>
        <w:t xml:space="preserve"> </w:t>
      </w:r>
    </w:p>
    <w:p w:rsidR="00963B9F" w:rsidRDefault="00C12F27" w:rsidP="000C40D1">
      <w:pPr>
        <w:spacing w:line="240" w:lineRule="auto"/>
        <w:jc w:val="center"/>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Correo electrónico CDES: </w:t>
      </w:r>
      <w:hyperlink r:id="rId10">
        <w:r>
          <w:rPr>
            <w:rFonts w:ascii="Times New Roman" w:eastAsia="Times New Roman" w:hAnsi="Times New Roman" w:cs="Times New Roman"/>
            <w:color w:val="0000FF"/>
            <w:sz w:val="24"/>
            <w:szCs w:val="24"/>
            <w:u w:val="single"/>
          </w:rPr>
          <w:t>cdes@cdes.org.ec</w:t>
        </w:r>
      </w:hyperlink>
    </w:p>
    <w:p w:rsidR="00963B9F" w:rsidRDefault="00C12F27" w:rsidP="000C40D1">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Dirección: Isla Isabela N44-476 y 6 de diciembre, Quito, Ecuador</w:t>
      </w:r>
    </w:p>
    <w:p w:rsidR="00963B9F" w:rsidRDefault="00C12F27" w:rsidP="000C40D1">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Teléfono: +593 9998 83427</w:t>
      </w:r>
    </w:p>
    <w:p w:rsidR="00963B9F" w:rsidRDefault="00963B9F" w:rsidP="000C40D1">
      <w:pPr>
        <w:spacing w:line="240" w:lineRule="auto"/>
        <w:jc w:val="center"/>
        <w:rPr>
          <w:rFonts w:ascii="Times New Roman" w:eastAsia="Times New Roman" w:hAnsi="Times New Roman" w:cs="Times New Roman"/>
          <w:b/>
          <w:i/>
          <w:sz w:val="24"/>
          <w:szCs w:val="24"/>
          <w:highlight w:val="yellow"/>
        </w:rPr>
      </w:pPr>
    </w:p>
    <w:p w:rsidR="00963B9F" w:rsidRDefault="00963B9F" w:rsidP="000C40D1">
      <w:pPr>
        <w:spacing w:line="240" w:lineRule="auto"/>
        <w:jc w:val="center"/>
        <w:rPr>
          <w:rFonts w:ascii="Times New Roman" w:eastAsia="Times New Roman" w:hAnsi="Times New Roman" w:cs="Times New Roman"/>
          <w:b/>
          <w:sz w:val="24"/>
          <w:szCs w:val="24"/>
        </w:rPr>
      </w:pPr>
    </w:p>
    <w:p w:rsidR="00963B9F" w:rsidRDefault="00C12F27" w:rsidP="000C40D1">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Presentación de organizaciones que suscriben el informe:</w:t>
      </w:r>
    </w:p>
    <w:p w:rsidR="00963B9F" w:rsidRDefault="00963B9F" w:rsidP="000C40D1">
      <w:pPr>
        <w:spacing w:line="240" w:lineRule="auto"/>
        <w:jc w:val="center"/>
        <w:rPr>
          <w:rFonts w:ascii="Times New Roman" w:eastAsia="Times New Roman" w:hAnsi="Times New Roman" w:cs="Times New Roman"/>
          <w:b/>
          <w:sz w:val="24"/>
          <w:szCs w:val="24"/>
        </w:rPr>
      </w:pPr>
    </w:p>
    <w:p w:rsidR="00612C82" w:rsidRDefault="00C12F27" w:rsidP="000C40D1">
      <w:pPr>
        <w:spacing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El </w:t>
      </w:r>
      <w:r>
        <w:rPr>
          <w:rFonts w:ascii="Times New Roman" w:eastAsia="Times New Roman" w:hAnsi="Times New Roman" w:cs="Times New Roman"/>
          <w:b/>
          <w:i/>
          <w:sz w:val="24"/>
          <w:szCs w:val="24"/>
        </w:rPr>
        <w:t>Instituto de Pensamiento Político y Económico “Eloy Alfaro</w:t>
      </w:r>
      <w:r w:rsidR="00551CC3">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(IPPE) es una entidad de derecho privado sin fines de lucro y con finalidad social, su objetivo es generar, promover y difundir investigaciones, análisis y estudios sobre la realidad política, económica y social local, nacional e internacional con el fin de constituir alternativas de desarrollo económico, socio-político y cultural.</w:t>
      </w:r>
      <w:r>
        <w:rPr>
          <w:rFonts w:ascii="Times New Roman" w:eastAsia="Times New Roman" w:hAnsi="Times New Roman" w:cs="Times New Roman"/>
          <w:b/>
          <w:i/>
          <w:sz w:val="24"/>
          <w:szCs w:val="24"/>
        </w:rPr>
        <w:t xml:space="preserve"> </w:t>
      </w:r>
    </w:p>
    <w:p w:rsidR="00963B9F" w:rsidRDefault="00C12F27" w:rsidP="000C40D1">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El Centro de Derechos Económicos y Sociales (CDES),</w:t>
      </w:r>
      <w:r>
        <w:rPr>
          <w:rFonts w:ascii="Times New Roman" w:eastAsia="Times New Roman" w:hAnsi="Times New Roman" w:cs="Times New Roman"/>
          <w:sz w:val="24"/>
          <w:szCs w:val="24"/>
        </w:rPr>
        <w:t xml:space="preserve"> es una organización no gubernamental sin fines de lucro, constituida en 1997, que tiene por objetivo de promocionar y defender los derechos humanos, principalmente respecto a las condiciones materiales necesarias para alcanzar una vida en dignidad y libertad.  </w:t>
      </w:r>
    </w:p>
    <w:p w:rsidR="00963B9F" w:rsidRDefault="00963B9F" w:rsidP="000C40D1">
      <w:pPr>
        <w:spacing w:line="240" w:lineRule="auto"/>
        <w:jc w:val="center"/>
        <w:rPr>
          <w:rFonts w:ascii="Times New Roman" w:eastAsia="Times New Roman" w:hAnsi="Times New Roman" w:cs="Times New Roman"/>
          <w:b/>
          <w:sz w:val="24"/>
          <w:szCs w:val="24"/>
        </w:rPr>
      </w:pPr>
    </w:p>
    <w:p w:rsidR="00963B9F" w:rsidRDefault="00963B9F" w:rsidP="000C40D1">
      <w:pPr>
        <w:spacing w:line="240" w:lineRule="auto"/>
        <w:jc w:val="center"/>
        <w:rPr>
          <w:rFonts w:ascii="Times New Roman" w:eastAsia="Times New Roman" w:hAnsi="Times New Roman" w:cs="Times New Roman"/>
          <w:b/>
          <w:sz w:val="24"/>
          <w:szCs w:val="24"/>
        </w:rPr>
      </w:pPr>
    </w:p>
    <w:p w:rsidR="00551CC3" w:rsidRDefault="00551CC3" w:rsidP="000C40D1">
      <w:pPr>
        <w:spacing w:line="240" w:lineRule="auto"/>
        <w:rPr>
          <w:rFonts w:ascii="Times New Roman" w:eastAsia="Times New Roman" w:hAnsi="Times New Roman" w:cs="Times New Roman"/>
          <w:b/>
          <w:sz w:val="24"/>
          <w:szCs w:val="24"/>
        </w:rPr>
        <w:sectPr w:rsidR="00551CC3">
          <w:footerReference w:type="default" r:id="rId11"/>
          <w:pgSz w:w="11909" w:h="16834"/>
          <w:pgMar w:top="1440" w:right="1440" w:bottom="1440" w:left="1440" w:header="720" w:footer="720" w:gutter="0"/>
          <w:pgNumType w:start="1"/>
          <w:cols w:space="720"/>
        </w:sectPr>
      </w:pPr>
    </w:p>
    <w:p w:rsidR="00551CC3" w:rsidRPr="00551CC3" w:rsidRDefault="00551CC3" w:rsidP="000C40D1">
      <w:pPr>
        <w:spacing w:line="240" w:lineRule="auto"/>
        <w:jc w:val="center"/>
        <w:rPr>
          <w:rFonts w:ascii="Times New Roman" w:eastAsia="Times New Roman" w:hAnsi="Times New Roman" w:cs="Times New Roman"/>
          <w:b/>
        </w:rPr>
      </w:pPr>
      <w:r w:rsidRPr="00551CC3">
        <w:rPr>
          <w:rFonts w:ascii="Times New Roman" w:eastAsia="Times New Roman" w:hAnsi="Times New Roman" w:cs="Times New Roman"/>
          <w:b/>
        </w:rPr>
        <w:lastRenderedPageBreak/>
        <w:t>RESPONSABILIDAD ESTATAL RESPECTO DE LA VULNERACI</w:t>
      </w:r>
      <w:r w:rsidR="009F2371">
        <w:rPr>
          <w:rFonts w:ascii="Times New Roman" w:eastAsia="Times New Roman" w:hAnsi="Times New Roman" w:cs="Times New Roman"/>
          <w:b/>
        </w:rPr>
        <w:t>ONES</w:t>
      </w:r>
      <w:r w:rsidRPr="00551CC3">
        <w:rPr>
          <w:rFonts w:ascii="Times New Roman" w:eastAsia="Times New Roman" w:hAnsi="Times New Roman" w:cs="Times New Roman"/>
          <w:b/>
        </w:rPr>
        <w:t xml:space="preserve"> DE LOS DESC DERIVADA</w:t>
      </w:r>
      <w:r w:rsidR="009F2371">
        <w:rPr>
          <w:rFonts w:ascii="Times New Roman" w:eastAsia="Times New Roman" w:hAnsi="Times New Roman" w:cs="Times New Roman"/>
          <w:b/>
        </w:rPr>
        <w:t>S</w:t>
      </w:r>
      <w:r w:rsidRPr="00551CC3">
        <w:rPr>
          <w:rFonts w:ascii="Times New Roman" w:eastAsia="Times New Roman" w:hAnsi="Times New Roman" w:cs="Times New Roman"/>
          <w:b/>
        </w:rPr>
        <w:t xml:space="preserve"> DE LAS REFORMAS ESTRUCTURALES VINCULADAS A LOS COMPROMISOS CON LAS INSTITUCIONES FINANCIERAS INTERNACIONALES Y A LA APLICACIÓN DE LA AUSTERIDAD FISCAL</w:t>
      </w:r>
    </w:p>
    <w:p w:rsidR="00551CC3" w:rsidRDefault="00551CC3" w:rsidP="000C40D1">
      <w:pPr>
        <w:spacing w:line="240" w:lineRule="auto"/>
        <w:rPr>
          <w:rFonts w:ascii="Times New Roman" w:eastAsia="Times New Roman" w:hAnsi="Times New Roman" w:cs="Times New Roman"/>
          <w:b/>
          <w:sz w:val="24"/>
          <w:szCs w:val="24"/>
        </w:rPr>
      </w:pPr>
    </w:p>
    <w:p w:rsidR="00963B9F" w:rsidRDefault="00C12F27" w:rsidP="000C40D1">
      <w:pPr>
        <w:pStyle w:val="Ttulo2"/>
        <w:keepNext w:val="0"/>
        <w:keepLines w:val="0"/>
        <w:numPr>
          <w:ilvl w:val="0"/>
          <w:numId w:val="3"/>
        </w:numPr>
        <w:spacing w:before="0" w:after="0" w:line="240" w:lineRule="auto"/>
        <w:ind w:left="0" w:firstLine="0"/>
        <w:jc w:val="both"/>
        <w:rPr>
          <w:rFonts w:ascii="Times New Roman" w:eastAsia="Times New Roman" w:hAnsi="Times New Roman" w:cs="Times New Roman"/>
          <w:b/>
          <w:sz w:val="24"/>
          <w:szCs w:val="24"/>
        </w:rPr>
      </w:pPr>
      <w:bookmarkStart w:id="1" w:name="_q887llgyttn2" w:colFirst="0" w:colLast="0"/>
      <w:bookmarkEnd w:id="1"/>
      <w:r>
        <w:rPr>
          <w:rFonts w:ascii="Times New Roman" w:eastAsia="Times New Roman" w:hAnsi="Times New Roman" w:cs="Times New Roman"/>
          <w:b/>
          <w:sz w:val="24"/>
          <w:szCs w:val="24"/>
        </w:rPr>
        <w:t xml:space="preserve">Introducción </w:t>
      </w:r>
    </w:p>
    <w:p w:rsidR="00B865DB" w:rsidRPr="00B865DB" w:rsidRDefault="00B865DB" w:rsidP="000C40D1">
      <w:pPr>
        <w:spacing w:line="240" w:lineRule="auto"/>
      </w:pPr>
    </w:p>
    <w:p w:rsidR="00963B9F" w:rsidRDefault="00C12F27" w:rsidP="000C40D1">
      <w:pPr>
        <w:pStyle w:val="Prrafodelista"/>
        <w:numPr>
          <w:ilvl w:val="1"/>
          <w:numId w:val="3"/>
        </w:numPr>
        <w:spacing w:line="240" w:lineRule="auto"/>
        <w:ind w:left="0"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El presente informe ha sido elaborado por el Instituto de Pensamiento Político y Económico Eloy Alfaro y el Centro de Derechos Económicos y Sociales, conforme a las directrices generales para la participación de las organizaciones en el proceso de seguimiento y monitoreo del cumplimiento del PIDESC por parte de la República del Ecuador.</w:t>
      </w:r>
    </w:p>
    <w:p w:rsidR="00B865DB" w:rsidRPr="00551CC3" w:rsidRDefault="00B865DB" w:rsidP="000C40D1">
      <w:pPr>
        <w:pStyle w:val="Prrafodelista"/>
        <w:spacing w:line="240" w:lineRule="auto"/>
        <w:ind w:left="0"/>
        <w:jc w:val="both"/>
        <w:rPr>
          <w:rFonts w:ascii="Times New Roman" w:eastAsia="Times New Roman" w:hAnsi="Times New Roman" w:cs="Times New Roman"/>
          <w:sz w:val="24"/>
          <w:szCs w:val="24"/>
        </w:rPr>
      </w:pPr>
    </w:p>
    <w:p w:rsidR="00963B9F" w:rsidRDefault="00C12F27" w:rsidP="000C40D1">
      <w:pPr>
        <w:pStyle w:val="Prrafodelista"/>
        <w:numPr>
          <w:ilvl w:val="1"/>
          <w:numId w:val="3"/>
        </w:numPr>
        <w:spacing w:line="240" w:lineRule="auto"/>
        <w:ind w:left="0"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El objetivo del informe es proporcionar al Comité un conjunto de informaciones relativas a dos temas de fundamental importancia para evaluar el cumplimiento de las obligaciones del Estado ecuatoriano con respecto del PIDESC: el impacto de las condicionalidades derivadas del acuerdo con el Fondo Monetario Internacional (FMI) firmado en enero de 2019 y los efectos de las políticas orientadas a reducir el gasto público en la prestación y garantía de los Derechos Económicos Sociales y Culturales (DESC). El marco temporal de análisis del informe corresponde al gobierno de Lenin Moreno Garcés, es decir, se refiere al periodo de mayo de 2017 (momento de su toma de posesión) a agosto de 2019.</w:t>
      </w:r>
    </w:p>
    <w:p w:rsidR="00B865DB" w:rsidRPr="00551CC3" w:rsidRDefault="00B865DB" w:rsidP="000C40D1">
      <w:pPr>
        <w:pStyle w:val="Prrafodelista"/>
        <w:spacing w:line="240" w:lineRule="auto"/>
        <w:ind w:left="0"/>
        <w:jc w:val="both"/>
        <w:rPr>
          <w:rFonts w:ascii="Times New Roman" w:eastAsia="Times New Roman" w:hAnsi="Times New Roman" w:cs="Times New Roman"/>
          <w:sz w:val="24"/>
          <w:szCs w:val="24"/>
        </w:rPr>
      </w:pPr>
    </w:p>
    <w:p w:rsidR="00963B9F" w:rsidRDefault="00C12F27" w:rsidP="000C40D1">
      <w:pPr>
        <w:pStyle w:val="Prrafodelista"/>
        <w:numPr>
          <w:ilvl w:val="1"/>
          <w:numId w:val="3"/>
        </w:numPr>
        <w:spacing w:line="240" w:lineRule="auto"/>
        <w:ind w:left="0"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 xml:space="preserve">Estos dos conjuntos de medidas se van a relacionar con la obligación derivada del artículo 2 del PIDESC (interpretada según la Observación General núm. 3 del Comité) así como con el artículo 7 del Pacto sobre el derecho a condiciones de trabajo equitativas y satisfactorias (interpretado según la Observación general núm. 23). Ambos artículos se relacionan con numerosos preceptos de la Constitución Ecuatoriana como son los siguientes: 11.3 y 11.8, 33 y 325 y ss. </w:t>
      </w:r>
    </w:p>
    <w:p w:rsidR="00B865DB" w:rsidRPr="00551CC3" w:rsidRDefault="00B865DB" w:rsidP="000C40D1">
      <w:pPr>
        <w:pStyle w:val="Prrafodelista"/>
        <w:spacing w:line="240" w:lineRule="auto"/>
        <w:ind w:left="0"/>
        <w:jc w:val="both"/>
        <w:rPr>
          <w:rFonts w:ascii="Times New Roman" w:eastAsia="Times New Roman" w:hAnsi="Times New Roman" w:cs="Times New Roman"/>
          <w:sz w:val="24"/>
          <w:szCs w:val="24"/>
        </w:rPr>
      </w:pPr>
    </w:p>
    <w:p w:rsidR="00963B9F" w:rsidRDefault="00C12F27" w:rsidP="000C40D1">
      <w:pPr>
        <w:pStyle w:val="Prrafodelista"/>
        <w:numPr>
          <w:ilvl w:val="1"/>
          <w:numId w:val="3"/>
        </w:numPr>
        <w:spacing w:line="240" w:lineRule="auto"/>
        <w:ind w:left="0"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 xml:space="preserve">A efectos de clarificar los parámetros de valoración jurídica de las obligaciones del Ecuador respecto de los DESC debe entenderse que el Estado se encuentra obligado por el PIDESC y por la interpretación que este Comité realiza de su contenido. En este sentido, y en relación con los temas señalados, debe recordarse que, por un lado este Comité indicó ya en su Observación General 3 de 1990[1] que “aunque se demuestre que los recursos disponibles son insuficientes, sigue en pie la obligación de que el Estado Parte se empeñe en asegurar el disfrute más amplio posible de los derechos pertinentes, dadas las circunstancias reinantes”; y que “de ninguna manera se eliminan, como resultado de las limitaciones de recursos, las obligaciones de vigilar la medida de realización, o más especialmente de no realización, de los derechos económicos, sociales y culturales y de elaborar estrategias y programas para su promoción”. Es de especial importancia, para el tema que nos ocupa, la aseveración contenida en el párrafo 9 </w:t>
      </w:r>
      <w:r w:rsidRPr="00551CC3">
        <w:rPr>
          <w:rFonts w:ascii="Times New Roman" w:eastAsia="Times New Roman" w:hAnsi="Times New Roman" w:cs="Times New Roman"/>
          <w:i/>
          <w:sz w:val="24"/>
          <w:szCs w:val="24"/>
        </w:rPr>
        <w:t>in fine</w:t>
      </w:r>
      <w:r w:rsidRPr="00551CC3">
        <w:rPr>
          <w:rFonts w:ascii="Times New Roman" w:eastAsia="Times New Roman" w:hAnsi="Times New Roman" w:cs="Times New Roman"/>
          <w:sz w:val="24"/>
          <w:szCs w:val="24"/>
        </w:rPr>
        <w:t xml:space="preserve"> de esta Observación, donde el Comité señaló que “todas las medidas de carácter deliberadamente regresivo en este aspecto requerirán la consideración más cuidadosa y deberán justificarse plenamente por referencia a la totalidad de los derechos previstos en el Pacto y en el contexto del aprovechamiento pleno del máximo de los recursos de que se disponga”.</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963B9F" w:rsidRDefault="00C12F27" w:rsidP="000C40D1">
      <w:pPr>
        <w:pStyle w:val="Prrafodelista"/>
        <w:numPr>
          <w:ilvl w:val="1"/>
          <w:numId w:val="3"/>
        </w:numPr>
        <w:spacing w:line="240" w:lineRule="auto"/>
        <w:ind w:left="0"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Es importante destacar la</w:t>
      </w:r>
      <w:r w:rsidR="0010007C">
        <w:rPr>
          <w:rFonts w:ascii="Times New Roman" w:eastAsia="Times New Roman" w:hAnsi="Times New Roman" w:cs="Times New Roman"/>
          <w:sz w:val="24"/>
          <w:szCs w:val="24"/>
        </w:rPr>
        <w:t xml:space="preserve"> relevancia</w:t>
      </w:r>
      <w:r w:rsidRPr="00551CC3">
        <w:rPr>
          <w:rFonts w:ascii="Times New Roman" w:eastAsia="Times New Roman" w:hAnsi="Times New Roman" w:cs="Times New Roman"/>
          <w:sz w:val="24"/>
          <w:szCs w:val="24"/>
        </w:rPr>
        <w:t xml:space="preserve"> de la Constitución de 2008 de la República del Ecuador para el análisis que proponemos dado que el texto incluye un amplio y avanzado reconocimiento, desarrollo y garantías de los DESC. Así, en su artículo 1 se define al Ecuador como un “Estado constitucional de derechos y justicia, social, democrático”. Esta definición se desarrolla afirmando la indivisibilidad de los derechos, el principio de no regresividad y progresividad (art. 11.8) y un amplio listado de derechos donde los DESC ocupan un lugar </w:t>
      </w:r>
      <w:r w:rsidRPr="00551CC3">
        <w:rPr>
          <w:rFonts w:ascii="Times New Roman" w:eastAsia="Times New Roman" w:hAnsi="Times New Roman" w:cs="Times New Roman"/>
          <w:sz w:val="24"/>
          <w:szCs w:val="24"/>
        </w:rPr>
        <w:lastRenderedPageBreak/>
        <w:t xml:space="preserve">preponderante tanto cualitativa como cuantitativamente. Además, las garantías de los DESC se establecen en el ámbito de la Constitución Económica, al integrarse en los capítulos relativos al “régimen de desarrollo” y el “régimen del buen vivir” que describen el sistema económico como “social y solidario”, buscando una “relación dinámica y equilibrada entre sociedad, Estado y mercado, en armonía con la naturaleza” e integrado por “formas de organización económica pública, mixta, popular y solidaria, y las demás que la Constitución determine” (artículo 283). El Estado tiene así por mandato constitucional el objetivo de “la realización del buen vivir, del </w:t>
      </w:r>
      <w:proofErr w:type="spellStart"/>
      <w:r w:rsidRPr="00551CC3">
        <w:rPr>
          <w:rFonts w:ascii="Times New Roman" w:eastAsia="Times New Roman" w:hAnsi="Times New Roman" w:cs="Times New Roman"/>
          <w:sz w:val="24"/>
          <w:szCs w:val="24"/>
        </w:rPr>
        <w:t>sumak</w:t>
      </w:r>
      <w:proofErr w:type="spellEnd"/>
      <w:r w:rsidRPr="00551CC3">
        <w:rPr>
          <w:rFonts w:ascii="Times New Roman" w:eastAsia="Times New Roman" w:hAnsi="Times New Roman" w:cs="Times New Roman"/>
          <w:sz w:val="24"/>
          <w:szCs w:val="24"/>
        </w:rPr>
        <w:t xml:space="preserve"> </w:t>
      </w:r>
      <w:proofErr w:type="spellStart"/>
      <w:r w:rsidRPr="00551CC3">
        <w:rPr>
          <w:rFonts w:ascii="Times New Roman" w:eastAsia="Times New Roman" w:hAnsi="Times New Roman" w:cs="Times New Roman"/>
          <w:sz w:val="24"/>
          <w:szCs w:val="24"/>
        </w:rPr>
        <w:t>kawsay</w:t>
      </w:r>
      <w:proofErr w:type="spellEnd"/>
      <w:r w:rsidRPr="00551CC3">
        <w:rPr>
          <w:rFonts w:ascii="Times New Roman" w:eastAsia="Times New Roman" w:hAnsi="Times New Roman" w:cs="Times New Roman"/>
          <w:sz w:val="24"/>
          <w:szCs w:val="24"/>
        </w:rPr>
        <w:t>” para lo que “planificará el desarrollo del país para garantizar el ejercicio de los derechos, la consecución de los objetivos del régimen de desarrollo y los principios consagrados en la Constitución” en forma “participativa, descentralizada, desconcentrada y transparente” (artículo 275). Esto es, en otras palabras, se establece en el texto constitucional la obligación concreta del Estado de garantizar los derechos constitucionales (en particular los DESC) generando y ejecutando políticas públicas coincidentes con tal objetivo, proveyendo servicios públicos, a través de una política fiscal redistributiva y reservándose el derecho de control de los sectores estratégicos. De este modo, el Estado deberá, ateniéndose a los principios de progresividad y no regresividad, establecer las políticas necesarias que permitan garantizar los derechos sociales.</w:t>
      </w:r>
    </w:p>
    <w:p w:rsidR="00B865DB" w:rsidRPr="00551CC3" w:rsidRDefault="00B865DB" w:rsidP="000C40D1">
      <w:pPr>
        <w:pStyle w:val="Prrafodelista"/>
        <w:spacing w:line="240" w:lineRule="auto"/>
        <w:ind w:left="0"/>
        <w:jc w:val="both"/>
        <w:rPr>
          <w:rFonts w:ascii="Times New Roman" w:eastAsia="Times New Roman" w:hAnsi="Times New Roman" w:cs="Times New Roman"/>
          <w:sz w:val="24"/>
          <w:szCs w:val="24"/>
        </w:rPr>
      </w:pPr>
    </w:p>
    <w:p w:rsidR="00B865DB" w:rsidRPr="0010007C" w:rsidRDefault="00C12F27" w:rsidP="000C40D1">
      <w:pPr>
        <w:pStyle w:val="Prrafodelista"/>
        <w:numPr>
          <w:ilvl w:val="1"/>
          <w:numId w:val="3"/>
        </w:numPr>
        <w:spacing w:line="240" w:lineRule="auto"/>
        <w:ind w:left="0"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Debe señalarse por último que en este informe se han tomado en cuenta otros textos importantes como son la Declaración de Viena de 1990, los Principios de Limburgo de 1986 y las Directrices de Maastricht sobre Violaciones a los Derechos Económicos, Sociales y Culturales de 1997. En este sentido y atendiendo al marco normativo anterior, el conjunto de reformas que van a ser desarrolladas se valoran en este informe considerando que el Estado ecuatoriano está obligado a la adopción de todas las medidas por todos los medios adecuados inclusive en particular la adopción de medidas legislativas para lograr progresivamente la plena efectividad de los derechos, hasta el máximo de los recursos de que disponga sin discriminación alguna, mediante la asistencia y la cooperación internacionales y guiado por las obligaciones básicas de respetar, proteger, promover y garantizar los DESC.</w:t>
      </w:r>
    </w:p>
    <w:p w:rsidR="00B865DB" w:rsidRPr="00551CC3" w:rsidRDefault="00B865DB" w:rsidP="000C40D1">
      <w:pPr>
        <w:pStyle w:val="Prrafodelista"/>
        <w:spacing w:line="240" w:lineRule="auto"/>
        <w:ind w:left="0"/>
        <w:jc w:val="both"/>
        <w:rPr>
          <w:rFonts w:ascii="Times New Roman" w:eastAsia="Times New Roman" w:hAnsi="Times New Roman" w:cs="Times New Roman"/>
          <w:sz w:val="24"/>
          <w:szCs w:val="24"/>
        </w:rPr>
      </w:pPr>
    </w:p>
    <w:p w:rsidR="00963B9F" w:rsidRDefault="00C12F27" w:rsidP="000C40D1">
      <w:pPr>
        <w:pStyle w:val="Prrafodelista"/>
        <w:numPr>
          <w:ilvl w:val="1"/>
          <w:numId w:val="3"/>
        </w:numPr>
        <w:spacing w:line="240" w:lineRule="auto"/>
        <w:ind w:left="0"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 xml:space="preserve">Teniendo estos marcos de referencia, en el presente informe se afirma la incompatibilidad de las reformas estructurales en materia fiscal y laboral que el Gobierno de </w:t>
      </w:r>
      <w:proofErr w:type="spellStart"/>
      <w:r w:rsidRPr="00551CC3">
        <w:rPr>
          <w:rFonts w:ascii="Times New Roman" w:eastAsia="Times New Roman" w:hAnsi="Times New Roman" w:cs="Times New Roman"/>
          <w:sz w:val="24"/>
          <w:szCs w:val="24"/>
        </w:rPr>
        <w:t>Lenín</w:t>
      </w:r>
      <w:proofErr w:type="spellEnd"/>
      <w:r w:rsidRPr="00551CC3">
        <w:rPr>
          <w:rFonts w:ascii="Times New Roman" w:eastAsia="Times New Roman" w:hAnsi="Times New Roman" w:cs="Times New Roman"/>
          <w:sz w:val="24"/>
          <w:szCs w:val="24"/>
        </w:rPr>
        <w:t xml:space="preserve"> Moreno viene adoptando desde el comienzo de su mandato, con las obligaciones internacionales derivadas del PIDESC para la República del Ecuador. </w:t>
      </w:r>
    </w:p>
    <w:p w:rsidR="00B865DB" w:rsidRDefault="00B865DB" w:rsidP="000C40D1">
      <w:pPr>
        <w:spacing w:line="240" w:lineRule="auto"/>
        <w:jc w:val="both"/>
        <w:rPr>
          <w:rFonts w:ascii="Times New Roman" w:eastAsia="Times New Roman" w:hAnsi="Times New Roman" w:cs="Times New Roman"/>
          <w:sz w:val="24"/>
          <w:szCs w:val="24"/>
        </w:rPr>
      </w:pPr>
    </w:p>
    <w:p w:rsidR="00B865DB" w:rsidRDefault="00B865DB" w:rsidP="000C40D1">
      <w:pPr>
        <w:spacing w:line="240" w:lineRule="auto"/>
        <w:jc w:val="both"/>
        <w:rPr>
          <w:rFonts w:ascii="Times New Roman" w:eastAsia="Times New Roman" w:hAnsi="Times New Roman" w:cs="Times New Roman"/>
          <w:sz w:val="24"/>
          <w:szCs w:val="24"/>
        </w:rPr>
      </w:pPr>
    </w:p>
    <w:p w:rsidR="0010007C" w:rsidRPr="00B865DB" w:rsidRDefault="0010007C" w:rsidP="000C40D1">
      <w:pPr>
        <w:spacing w:line="240" w:lineRule="auto"/>
        <w:jc w:val="both"/>
        <w:rPr>
          <w:rFonts w:ascii="Times New Roman" w:eastAsia="Times New Roman" w:hAnsi="Times New Roman" w:cs="Times New Roman"/>
          <w:sz w:val="24"/>
          <w:szCs w:val="24"/>
        </w:rPr>
      </w:pPr>
    </w:p>
    <w:p w:rsidR="00963B9F" w:rsidRDefault="00C12F27" w:rsidP="000C40D1">
      <w:pPr>
        <w:pStyle w:val="Ttulo2"/>
        <w:keepNext w:val="0"/>
        <w:keepLines w:val="0"/>
        <w:numPr>
          <w:ilvl w:val="0"/>
          <w:numId w:val="3"/>
        </w:numPr>
        <w:spacing w:before="0" w:after="0" w:line="240" w:lineRule="auto"/>
        <w:ind w:left="0" w:firstLine="0"/>
        <w:jc w:val="both"/>
        <w:rPr>
          <w:rFonts w:ascii="Times New Roman" w:eastAsia="Times New Roman" w:hAnsi="Times New Roman" w:cs="Times New Roman"/>
          <w:b/>
          <w:sz w:val="24"/>
          <w:szCs w:val="24"/>
        </w:rPr>
      </w:pPr>
      <w:bookmarkStart w:id="2" w:name="_axncxv7gqtv8" w:colFirst="0" w:colLast="0"/>
      <w:bookmarkEnd w:id="2"/>
      <w:r>
        <w:rPr>
          <w:rFonts w:ascii="Times New Roman" w:eastAsia="Times New Roman" w:hAnsi="Times New Roman" w:cs="Times New Roman"/>
          <w:b/>
          <w:sz w:val="24"/>
          <w:szCs w:val="24"/>
        </w:rPr>
        <w:t>Contexto económico</w:t>
      </w:r>
    </w:p>
    <w:p w:rsidR="00C45EB6" w:rsidRDefault="00C45EB6" w:rsidP="000C40D1">
      <w:pPr>
        <w:spacing w:line="240" w:lineRule="auto"/>
        <w:jc w:val="both"/>
      </w:pPr>
    </w:p>
    <w:p w:rsidR="000C40D1" w:rsidRDefault="00C12F27" w:rsidP="000C40D1">
      <w:pPr>
        <w:pStyle w:val="Prrafodelista"/>
        <w:numPr>
          <w:ilvl w:val="0"/>
          <w:numId w:val="7"/>
        </w:numPr>
        <w:spacing w:line="240" w:lineRule="auto"/>
        <w:ind w:left="0" w:firstLine="0"/>
        <w:jc w:val="both"/>
        <w:rPr>
          <w:rFonts w:ascii="Times New Roman" w:eastAsia="Times New Roman" w:hAnsi="Times New Roman" w:cs="Times New Roman"/>
          <w:sz w:val="24"/>
          <w:szCs w:val="24"/>
        </w:rPr>
      </w:pPr>
      <w:r w:rsidRPr="00C45EB6">
        <w:rPr>
          <w:rFonts w:ascii="Times New Roman" w:eastAsia="Times New Roman" w:hAnsi="Times New Roman" w:cs="Times New Roman"/>
          <w:sz w:val="24"/>
          <w:szCs w:val="24"/>
        </w:rPr>
        <w:t>A efectos de valorar las políticas de reformas estructurales que van a detallarse es importante señalar de manera sucinta los principales rasgos del contexto económico sobre el que se aplican estas medidas. Para ello se acoge el análisis elaborado por el Banco Interamericano de Desarrollo (BID) en su documento de estrategia con Ecuador (2018-2021) publicado en mayo de 2018[2].</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0C40D1" w:rsidRDefault="00C12F27" w:rsidP="000C40D1">
      <w:pPr>
        <w:pStyle w:val="Prrafodelista"/>
        <w:numPr>
          <w:ilvl w:val="0"/>
          <w:numId w:val="7"/>
        </w:numPr>
        <w:spacing w:line="240" w:lineRule="auto"/>
        <w:ind w:left="0" w:firstLine="0"/>
        <w:jc w:val="both"/>
        <w:rPr>
          <w:rFonts w:ascii="Times New Roman" w:eastAsia="Times New Roman" w:hAnsi="Times New Roman" w:cs="Times New Roman"/>
          <w:sz w:val="24"/>
          <w:szCs w:val="24"/>
        </w:rPr>
      </w:pPr>
      <w:r w:rsidRPr="000C40D1">
        <w:rPr>
          <w:rFonts w:ascii="Times New Roman" w:eastAsia="Times New Roman" w:hAnsi="Times New Roman" w:cs="Times New Roman"/>
          <w:sz w:val="24"/>
          <w:szCs w:val="24"/>
        </w:rPr>
        <w:t xml:space="preserve">Según señalan los análisis publicados por el BID, entre 2000 y 2014, Ecuador experimentó un período prolongado de crecimiento y estabilidad macroeconómica, que permitió una disminución significativa de la pobreza y la desigualdad. En efecto, entre 2005 y 2015, la pobreza cayó del 42,2% al 23,3%, y el coeficiente de </w:t>
      </w:r>
      <w:proofErr w:type="spellStart"/>
      <w:r w:rsidRPr="000C40D1">
        <w:rPr>
          <w:rFonts w:ascii="Times New Roman" w:eastAsia="Times New Roman" w:hAnsi="Times New Roman" w:cs="Times New Roman"/>
          <w:sz w:val="24"/>
          <w:szCs w:val="24"/>
        </w:rPr>
        <w:t>Gini</w:t>
      </w:r>
      <w:proofErr w:type="spellEnd"/>
      <w:r w:rsidRPr="000C40D1">
        <w:rPr>
          <w:rFonts w:ascii="Times New Roman" w:eastAsia="Times New Roman" w:hAnsi="Times New Roman" w:cs="Times New Roman"/>
          <w:sz w:val="24"/>
          <w:szCs w:val="24"/>
        </w:rPr>
        <w:t xml:space="preserve"> disminuyó del 0,54 al 0,48. Esta mejora se debe en parte al marcado aumento de la inversión social por parte del Estado, que pasó del 4,2% del PIB en 2006 al 9% del PIB en 2014. La principal razón para la disminución </w:t>
      </w:r>
      <w:r w:rsidRPr="000C40D1">
        <w:rPr>
          <w:rFonts w:ascii="Times New Roman" w:eastAsia="Times New Roman" w:hAnsi="Times New Roman" w:cs="Times New Roman"/>
          <w:sz w:val="24"/>
          <w:szCs w:val="24"/>
        </w:rPr>
        <w:lastRenderedPageBreak/>
        <w:t>de la pobreza en la última década sería la evolución del ingreso laboral, impulsada por una política gubernamental de incremento de salarios mínimos y la lucha contra la informalidad. Diversos factores posibilitaron este desempeño positivo, como la mejora de los términos de intercambio resultante de los altos precios del petróleo, la estabilidad de precios vinculada a la dolarización, o los esfuerzos de inversión del Estado, que priorizó la provisión de infraestructura como uno de los pilares de la estrategia nacional de desarrollo. No obstante, los avances sociales logrados en la última década pueden ser frágiles, especialmente si un escenario de bajo crecimiento económico se prolonga.</w:t>
      </w:r>
      <w:r w:rsidR="000C40D1" w:rsidRPr="000C40D1">
        <w:rPr>
          <w:rFonts w:ascii="Times New Roman" w:eastAsia="Times New Roman" w:hAnsi="Times New Roman" w:cs="Times New Roman"/>
          <w:sz w:val="24"/>
          <w:szCs w:val="24"/>
        </w:rPr>
        <w:t xml:space="preserve"> </w:t>
      </w:r>
      <w:r w:rsidRPr="000C40D1">
        <w:rPr>
          <w:rFonts w:ascii="Times New Roman" w:eastAsia="Times New Roman" w:hAnsi="Times New Roman" w:cs="Times New Roman"/>
          <w:sz w:val="24"/>
          <w:szCs w:val="24"/>
        </w:rPr>
        <w:t>A este respecto, cabe señalar que desde finales de 2014, el país sufrió los efectos del colapso en los precios del petróleo. Esto constituyó un poderoso choque adverso para las finanzas públicas y la balanza de pagos, ya que el país depende considerablemente de este sector, que corresponde al 11% del PIB, y que en la última década representó casi un tercio de los ingresos del Estado y más del 50% de las exportaciones</w:t>
      </w:r>
      <w:r w:rsidR="000C40D1" w:rsidRPr="000C40D1">
        <w:rPr>
          <w:rFonts w:ascii="Times New Roman" w:eastAsia="Times New Roman" w:hAnsi="Times New Roman" w:cs="Times New Roman"/>
          <w:sz w:val="24"/>
          <w:szCs w:val="24"/>
        </w:rPr>
        <w:t>.</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0C40D1" w:rsidRDefault="00C12F27" w:rsidP="000C40D1">
      <w:pPr>
        <w:pStyle w:val="Prrafodelista"/>
        <w:numPr>
          <w:ilvl w:val="0"/>
          <w:numId w:val="7"/>
        </w:numPr>
        <w:spacing w:line="240" w:lineRule="auto"/>
        <w:ind w:left="0" w:firstLine="0"/>
        <w:jc w:val="both"/>
        <w:rPr>
          <w:rFonts w:ascii="Times New Roman" w:eastAsia="Times New Roman" w:hAnsi="Times New Roman" w:cs="Times New Roman"/>
          <w:sz w:val="24"/>
          <w:szCs w:val="24"/>
        </w:rPr>
      </w:pPr>
      <w:r w:rsidRPr="000C40D1">
        <w:rPr>
          <w:rFonts w:ascii="Times New Roman" w:eastAsia="Times New Roman" w:hAnsi="Times New Roman" w:cs="Times New Roman"/>
          <w:sz w:val="24"/>
          <w:szCs w:val="24"/>
        </w:rPr>
        <w:t>Pese al shock petrolero, en 2017, la economía cerró con signos de recuperación (un crecimiento económico de 3%). Sin embargo, los desequilibrios macroeconómicos resultantes del shock aún no se han resuelto. Recordemos que la dolarización, adoptada en 2000, puso fin a décadas de inestabilidad monetaria, pero al mismo tiempo limitó las herramientas de estabilización macroeconómica disponibles para las autoridades.</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0C40D1" w:rsidRDefault="00C12F27" w:rsidP="000C40D1">
      <w:pPr>
        <w:pStyle w:val="Prrafodelista"/>
        <w:numPr>
          <w:ilvl w:val="0"/>
          <w:numId w:val="7"/>
        </w:numPr>
        <w:spacing w:line="240" w:lineRule="auto"/>
        <w:ind w:left="0" w:firstLine="0"/>
        <w:jc w:val="both"/>
        <w:rPr>
          <w:rFonts w:ascii="Times New Roman" w:eastAsia="Times New Roman" w:hAnsi="Times New Roman" w:cs="Times New Roman"/>
          <w:sz w:val="24"/>
          <w:szCs w:val="24"/>
        </w:rPr>
      </w:pPr>
      <w:r w:rsidRPr="000C40D1">
        <w:rPr>
          <w:rFonts w:ascii="Times New Roman" w:eastAsia="Times New Roman" w:hAnsi="Times New Roman" w:cs="Times New Roman"/>
          <w:sz w:val="24"/>
          <w:szCs w:val="24"/>
        </w:rPr>
        <w:t>El 20 de agosto de 2018 fue adoptada la “Ley Orgánica para el Fomento Productivo, Atracción De Inversiones, Generación de Empleo, y Estabilidad y Equilibrio Fiscal”. Esta norma significó una pérdida de ingresos para el Estado ecuatoriano, de un estimado 1,2% del PIB de 2019, es decir, 1 mil 310 millones de dólares por remisiones de deudas tributarias y exoneraciones del impuesto a la renta.</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963B9F" w:rsidRDefault="00C12F27" w:rsidP="000C40D1">
      <w:pPr>
        <w:pStyle w:val="Prrafodelista"/>
        <w:numPr>
          <w:ilvl w:val="0"/>
          <w:numId w:val="7"/>
        </w:numPr>
        <w:spacing w:line="240" w:lineRule="auto"/>
        <w:ind w:left="0" w:firstLine="0"/>
        <w:jc w:val="both"/>
        <w:rPr>
          <w:rFonts w:ascii="Times New Roman" w:eastAsia="Times New Roman" w:hAnsi="Times New Roman" w:cs="Times New Roman"/>
          <w:sz w:val="24"/>
          <w:szCs w:val="24"/>
        </w:rPr>
      </w:pPr>
      <w:r w:rsidRPr="000C40D1">
        <w:rPr>
          <w:rFonts w:ascii="Times New Roman" w:eastAsia="Times New Roman" w:hAnsi="Times New Roman" w:cs="Times New Roman"/>
          <w:sz w:val="24"/>
          <w:szCs w:val="24"/>
        </w:rPr>
        <w:t>El 21 de febrero de 2019 se anunció un acuerdo entre el gobierno del Ecuador y el Fondo Monetario Internacional (FMI) sobre un conjunto de políticas para respaldar un acuerdo de US$4.2 mil millones en el marco del Servicio Ampliado (SAF) del FMI. El acuerdo incluye, en los próximos tres años, un apoyo financiero de casi US $ 6,000 millones del Banco de Desarrollo de América Latina (CAF), el Banco Interamericano de Desarrollo (BID), el Fondo de Reserva Latinoamericano (FLAR) y el Banco Mundial.</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963B9F" w:rsidRDefault="00C12F27" w:rsidP="000C40D1">
      <w:pPr>
        <w:pStyle w:val="Ttulo2"/>
        <w:keepNext w:val="0"/>
        <w:keepLines w:val="0"/>
        <w:numPr>
          <w:ilvl w:val="0"/>
          <w:numId w:val="3"/>
        </w:numPr>
        <w:spacing w:before="0" w:after="0" w:line="240" w:lineRule="auto"/>
        <w:ind w:left="0" w:firstLine="0"/>
        <w:jc w:val="both"/>
        <w:rPr>
          <w:rFonts w:ascii="Times New Roman" w:eastAsia="Times New Roman" w:hAnsi="Times New Roman" w:cs="Times New Roman"/>
          <w:b/>
          <w:sz w:val="24"/>
          <w:szCs w:val="24"/>
        </w:rPr>
      </w:pPr>
      <w:bookmarkStart w:id="3" w:name="_812zwydyelm" w:colFirst="0" w:colLast="0"/>
      <w:bookmarkEnd w:id="3"/>
      <w:r>
        <w:rPr>
          <w:rFonts w:ascii="Times New Roman" w:eastAsia="Times New Roman" w:hAnsi="Times New Roman" w:cs="Times New Roman"/>
          <w:b/>
          <w:sz w:val="24"/>
          <w:szCs w:val="24"/>
        </w:rPr>
        <w:t xml:space="preserve">Los impactos en las políticas fiscales, el empleo público y las políticas laborales del acuerdo entre el gobierno de </w:t>
      </w:r>
      <w:proofErr w:type="spellStart"/>
      <w:r>
        <w:rPr>
          <w:rFonts w:ascii="Times New Roman" w:eastAsia="Times New Roman" w:hAnsi="Times New Roman" w:cs="Times New Roman"/>
          <w:b/>
          <w:sz w:val="24"/>
          <w:szCs w:val="24"/>
        </w:rPr>
        <w:t>Lenín</w:t>
      </w:r>
      <w:proofErr w:type="spellEnd"/>
      <w:r>
        <w:rPr>
          <w:rFonts w:ascii="Times New Roman" w:eastAsia="Times New Roman" w:hAnsi="Times New Roman" w:cs="Times New Roman"/>
          <w:b/>
          <w:sz w:val="24"/>
          <w:szCs w:val="24"/>
        </w:rPr>
        <w:t xml:space="preserve"> Moreno Garcés y el Fondo Monetario Internacional.</w:t>
      </w:r>
    </w:p>
    <w:p w:rsidR="000C40D1" w:rsidRPr="000C40D1" w:rsidRDefault="000C40D1" w:rsidP="000C40D1"/>
    <w:p w:rsidR="00963B9F" w:rsidRDefault="00C12F27" w:rsidP="000C40D1">
      <w:pPr>
        <w:pStyle w:val="Ttulo3"/>
        <w:keepNext w:val="0"/>
        <w:keepLines w:val="0"/>
        <w:numPr>
          <w:ilvl w:val="2"/>
          <w:numId w:val="3"/>
        </w:numPr>
        <w:spacing w:before="0" w:after="0" w:line="240" w:lineRule="auto"/>
        <w:ind w:left="0" w:firstLine="0"/>
        <w:jc w:val="both"/>
        <w:rPr>
          <w:rFonts w:ascii="Times New Roman" w:eastAsia="Times New Roman" w:hAnsi="Times New Roman" w:cs="Times New Roman"/>
          <w:b/>
          <w:color w:val="000000"/>
          <w:sz w:val="24"/>
          <w:szCs w:val="24"/>
        </w:rPr>
      </w:pPr>
      <w:bookmarkStart w:id="4" w:name="_mauq2zidgpqa" w:colFirst="0" w:colLast="0"/>
      <w:bookmarkEnd w:id="4"/>
      <w:r>
        <w:rPr>
          <w:rFonts w:ascii="Times New Roman" w:eastAsia="Times New Roman" w:hAnsi="Times New Roman" w:cs="Times New Roman"/>
          <w:b/>
          <w:color w:val="000000"/>
          <w:sz w:val="24"/>
          <w:szCs w:val="24"/>
        </w:rPr>
        <w:t>Consideraciones generales respecto del acuerdo con el FMI</w:t>
      </w:r>
    </w:p>
    <w:p w:rsidR="000C40D1" w:rsidRPr="000C40D1" w:rsidRDefault="000C40D1" w:rsidP="000C40D1"/>
    <w:p w:rsidR="000C40D1" w:rsidRPr="000C40D1" w:rsidRDefault="000C40D1" w:rsidP="000C40D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roofErr w:type="gramStart"/>
      <w:r>
        <w:rPr>
          <w:rFonts w:ascii="Times New Roman" w:eastAsia="Times New Roman" w:hAnsi="Times New Roman" w:cs="Times New Roman"/>
          <w:sz w:val="24"/>
          <w:szCs w:val="24"/>
        </w:rPr>
        <w:t>.</w:t>
      </w:r>
      <w:r w:rsidR="00C12F27" w:rsidRPr="000C40D1">
        <w:rPr>
          <w:rFonts w:ascii="Times New Roman" w:eastAsia="Times New Roman" w:hAnsi="Times New Roman" w:cs="Times New Roman"/>
          <w:sz w:val="24"/>
          <w:szCs w:val="24"/>
        </w:rPr>
        <w:t>El</w:t>
      </w:r>
      <w:proofErr w:type="gramEnd"/>
      <w:r w:rsidR="00C12F27" w:rsidRPr="000C40D1">
        <w:rPr>
          <w:rFonts w:ascii="Times New Roman" w:eastAsia="Times New Roman" w:hAnsi="Times New Roman" w:cs="Times New Roman"/>
          <w:sz w:val="24"/>
          <w:szCs w:val="24"/>
        </w:rPr>
        <w:t xml:space="preserve"> Gobierno ha justificado la adopción del acuerdo en la Carta de Intenciones anexa al mismo, vinculando el préstamo con el desarrollo del llamado “Plan Prosperidad” donde se compromete a una serie de condicionalidades que implican la adopción de un amplio número de reformas normativas por parte del Ecuador. Estas reformas normativas se ubican en el ámbito de la política fiscal, el sector externo de la economía, las normas laborales y la seguridad social, el banco central y la política monetaria, la lucha contra la corrupción, la transparencia, entre otras. Este acuerdo compromete las políticas del gobierno ecuatoriano en un amplio rango de materias, presupuestariamente, durante los próximos tres años, pero en términos de cumplimiento de objetivos sociales, por mucho más tiempo.</w:t>
      </w:r>
    </w:p>
    <w:p w:rsidR="000C40D1" w:rsidRDefault="000C40D1" w:rsidP="000C40D1">
      <w:pPr>
        <w:spacing w:line="240" w:lineRule="auto"/>
        <w:jc w:val="both"/>
        <w:rPr>
          <w:rFonts w:ascii="Times New Roman" w:eastAsia="Times New Roman" w:hAnsi="Times New Roman" w:cs="Times New Roman"/>
          <w:sz w:val="24"/>
          <w:szCs w:val="24"/>
        </w:rPr>
      </w:pPr>
    </w:p>
    <w:p w:rsidR="000C40D1" w:rsidRDefault="000C40D1" w:rsidP="000C40D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sidR="00C12F27" w:rsidRPr="00551CC3">
        <w:rPr>
          <w:rFonts w:ascii="Times New Roman" w:eastAsia="Times New Roman" w:hAnsi="Times New Roman" w:cs="Times New Roman"/>
          <w:sz w:val="24"/>
          <w:szCs w:val="24"/>
        </w:rPr>
        <w:t xml:space="preserve">Es importante remarcar que el conocido como “Plan Prosperidad” es un documento que no tiene entidad jurídica y que no ha sido ni debatido en la Asamblea Nacional ni aprobado mediante una resolución normativa, de hecho, solo es posible encontrarlo en su versión </w:t>
      </w:r>
      <w:proofErr w:type="spellStart"/>
      <w:r w:rsidR="00C12F27" w:rsidRPr="00551CC3">
        <w:rPr>
          <w:rFonts w:ascii="Times New Roman" w:eastAsia="Times New Roman" w:hAnsi="Times New Roman" w:cs="Times New Roman"/>
          <w:i/>
          <w:sz w:val="24"/>
          <w:szCs w:val="24"/>
        </w:rPr>
        <w:t>on</w:t>
      </w:r>
      <w:proofErr w:type="spellEnd"/>
      <w:r w:rsidR="00C12F27" w:rsidRPr="00551CC3">
        <w:rPr>
          <w:rFonts w:ascii="Times New Roman" w:eastAsia="Times New Roman" w:hAnsi="Times New Roman" w:cs="Times New Roman"/>
          <w:i/>
          <w:sz w:val="24"/>
          <w:szCs w:val="24"/>
        </w:rPr>
        <w:t xml:space="preserve"> line</w:t>
      </w:r>
      <w:r w:rsidR="00C12F27" w:rsidRPr="00551CC3">
        <w:rPr>
          <w:rFonts w:ascii="Times New Roman" w:eastAsia="Times New Roman" w:hAnsi="Times New Roman" w:cs="Times New Roman"/>
          <w:sz w:val="24"/>
          <w:szCs w:val="24"/>
        </w:rPr>
        <w:t xml:space="preserve"> </w:t>
      </w:r>
      <w:r w:rsidR="00C12F27" w:rsidRPr="00551CC3">
        <w:rPr>
          <w:rFonts w:ascii="Times New Roman" w:eastAsia="Times New Roman" w:hAnsi="Times New Roman" w:cs="Times New Roman"/>
          <w:sz w:val="24"/>
          <w:szCs w:val="24"/>
        </w:rPr>
        <w:lastRenderedPageBreak/>
        <w:t>en la web del Ministerio de Economía y Finanzas[3]. El gobierno ha señalado (en la Carta de Intenciones ofrecida como aval para el préstamo del FMI) que este Plan se alinea con el Plan Nacional de Desarrollo (PND) (2017-2021) que fue aprobado en sesión del 22 de septiembre de 2017, mediante Resolución N.º CNP-003-2017, y con los ODS. Sin embargo, esta afirmación es incorrecta. El Plan Prosperidad establece 11 metas de entre las cuales se encuentran: la reducción del Estado, eliminando instituciones; la reducción del gasto público en 150 millones de dólares al año; la reducción de capacidades del Banco Central o el aumento de la producción petrolera y de la minería. Estos objetivos no son compatibles con los objetivos integrados en el PND (todavía vigente pero inaplicado) y suponen una merma en las capacidades estatales de garantía de los DESC.</w:t>
      </w:r>
    </w:p>
    <w:p w:rsidR="000C40D1" w:rsidRDefault="000C40D1" w:rsidP="000C40D1">
      <w:pPr>
        <w:spacing w:line="240" w:lineRule="auto"/>
        <w:jc w:val="both"/>
        <w:rPr>
          <w:rFonts w:ascii="Times New Roman" w:eastAsia="Times New Roman" w:hAnsi="Times New Roman" w:cs="Times New Roman"/>
          <w:sz w:val="24"/>
          <w:szCs w:val="24"/>
        </w:rPr>
      </w:pPr>
    </w:p>
    <w:p w:rsidR="00963B9F" w:rsidRPr="00B865DB" w:rsidRDefault="000C40D1" w:rsidP="000C40D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roofErr w:type="gramStart"/>
      <w:r>
        <w:rPr>
          <w:rFonts w:ascii="Times New Roman" w:eastAsia="Times New Roman" w:hAnsi="Times New Roman" w:cs="Times New Roman"/>
          <w:sz w:val="24"/>
          <w:szCs w:val="24"/>
        </w:rPr>
        <w:t>.</w:t>
      </w:r>
      <w:r w:rsidR="00C12F27" w:rsidRPr="00B865DB">
        <w:rPr>
          <w:rFonts w:ascii="Times New Roman" w:eastAsia="Times New Roman" w:hAnsi="Times New Roman" w:cs="Times New Roman"/>
          <w:sz w:val="24"/>
          <w:szCs w:val="24"/>
        </w:rPr>
        <w:t>Aun</w:t>
      </w:r>
      <w:proofErr w:type="gramEnd"/>
      <w:r w:rsidR="00C12F27" w:rsidRPr="00B865DB">
        <w:rPr>
          <w:rFonts w:ascii="Times New Roman" w:eastAsia="Times New Roman" w:hAnsi="Times New Roman" w:cs="Times New Roman"/>
          <w:sz w:val="24"/>
          <w:szCs w:val="24"/>
        </w:rPr>
        <w:t xml:space="preserve"> basándose en el desarrollo del Plan Prosperidad, el acuerdo con el FMI integra una batería mucho más amplia de reformas estructurales, en sectores como la fiscalidad, el empleo público y privado o la Economía Popular y Solidaria, cuya afectación a los DESC será desarrollada en los siguientes apartados. Las principales medidas acordadas con el FMI que afectan directamente a los DESC (cuya concreta descripción se aborda en los sucesivos apartados de este informe) son:</w:t>
      </w:r>
    </w:p>
    <w:p w:rsidR="00963B9F" w:rsidRPr="00551CC3" w:rsidRDefault="00C12F27" w:rsidP="000C40D1">
      <w:pPr>
        <w:pStyle w:val="Prrafodelista"/>
        <w:numPr>
          <w:ilvl w:val="1"/>
          <w:numId w:val="2"/>
        </w:numPr>
        <w:spacing w:line="240" w:lineRule="auto"/>
        <w:ind w:left="567"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La reforma fiscal que implica la reducción de impuestos a las empresas, reducción de impuestos directos (en particular el Impuesto a la Salida de Divisas) y aumento de los indirectos (en particular, el Impuesto al Valor Agregado). Esto vulnera fundamentalmente dos principios constitucionales: art. 300 (los principios de generalidad, progresividad, irretroactividad, equidad, transparencia y suficiencia recaudatoria del régimen tributario); Art. 340 (principio de universalidad, igualdad, equidad, progresividad, interculturalidad, solidaridad y no discriminación del sistema nacional de inclusión y equidad sujeto al Plan Nacional del Desarrollo)</w:t>
      </w:r>
    </w:p>
    <w:p w:rsidR="00963B9F" w:rsidRPr="00551CC3" w:rsidRDefault="00C12F27" w:rsidP="000C40D1">
      <w:pPr>
        <w:pStyle w:val="Prrafodelista"/>
        <w:numPr>
          <w:ilvl w:val="1"/>
          <w:numId w:val="2"/>
        </w:numPr>
        <w:spacing w:line="240" w:lineRule="auto"/>
        <w:ind w:left="567"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La reducción del gasto público y concretamente, del empleo público, estimada en 111.000 servidoras y servidores (estimación realizada con información oficial del INEC). Esta reducción implicará la pérdida de capacidades del Estado para sostener los servicios públicos, vulnerándose así el mandato de no regresividad del art. 11.8 de la Constitución y el resto de garantías y reconocimiento de derechos conexos (en particular educación y salud) así como el artículo 229 y siguientes sobre los derechos relativos al trabajo de las y los servidores públicos, incluyendo igualmente la vulneración de los mismos derechos reconocidos en el PIDESC.</w:t>
      </w:r>
    </w:p>
    <w:p w:rsidR="00963B9F" w:rsidRPr="00551CC3" w:rsidRDefault="00C12F27" w:rsidP="000C40D1">
      <w:pPr>
        <w:pStyle w:val="Prrafodelista"/>
        <w:numPr>
          <w:ilvl w:val="1"/>
          <w:numId w:val="2"/>
        </w:numPr>
        <w:spacing w:line="240" w:lineRule="auto"/>
        <w:ind w:left="567"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La reforma del sistema de la Economía Popular y Solidaria, sistema constitucionalmente orientado al establecimiento de formas de producción alternativas que aseguren el buen vivir y la redistribución de la renta y la riqueza, supone una vulneración de diversos mandatos constitucionales (Art. 283, Art. 319 y Art. 311 de la Constitución) e implica igualmente la regresión de derechos sociales prohibida en el art. 11.8 de la Constitución en línea con el PIDESC.</w:t>
      </w:r>
    </w:p>
    <w:p w:rsidR="000C40D1" w:rsidRDefault="00C12F27" w:rsidP="000C40D1">
      <w:pPr>
        <w:pStyle w:val="Prrafodelista"/>
        <w:numPr>
          <w:ilvl w:val="1"/>
          <w:numId w:val="2"/>
        </w:numPr>
        <w:spacing w:line="240" w:lineRule="auto"/>
        <w:ind w:left="567" w:firstLine="0"/>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La reforma laboral, orientada a reducir los niveles de regulación y protección de las relaciones de trabajo, con especial afectación a mujeres y jóvenes, supondrá una vulneración de los numerales 2; 4; 6 y 8 del Art. 11; el numeral 4 del Art. 66; el numeral 2 del Art. 326; el Art. 327; Art. 328; Art. 329; Art. 331 y Art. 341 de la Constitución y los artículos reflejos del PIDESC.</w:t>
      </w:r>
    </w:p>
    <w:p w:rsidR="000C40D1" w:rsidRDefault="000C40D1" w:rsidP="000C40D1">
      <w:pPr>
        <w:spacing w:line="240" w:lineRule="auto"/>
        <w:ind w:left="565"/>
        <w:jc w:val="both"/>
        <w:rPr>
          <w:rFonts w:ascii="Times New Roman" w:eastAsia="Times New Roman" w:hAnsi="Times New Roman" w:cs="Times New Roman"/>
          <w:sz w:val="24"/>
          <w:szCs w:val="24"/>
        </w:rPr>
      </w:pPr>
    </w:p>
    <w:p w:rsidR="00B865DB" w:rsidRDefault="000C40D1" w:rsidP="000C40D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roofErr w:type="gramStart"/>
      <w:r>
        <w:rPr>
          <w:rFonts w:ascii="Times New Roman" w:eastAsia="Times New Roman" w:hAnsi="Times New Roman" w:cs="Times New Roman"/>
          <w:sz w:val="24"/>
          <w:szCs w:val="24"/>
        </w:rPr>
        <w:t>.</w:t>
      </w:r>
      <w:r w:rsidR="00C12F27" w:rsidRPr="000C40D1">
        <w:rPr>
          <w:rFonts w:ascii="Times New Roman" w:eastAsia="Times New Roman" w:hAnsi="Times New Roman" w:cs="Times New Roman"/>
          <w:sz w:val="24"/>
          <w:szCs w:val="24"/>
        </w:rPr>
        <w:t>El</w:t>
      </w:r>
      <w:proofErr w:type="gramEnd"/>
      <w:r w:rsidR="00C12F27" w:rsidRPr="000C40D1">
        <w:rPr>
          <w:rFonts w:ascii="Times New Roman" w:eastAsia="Times New Roman" w:hAnsi="Times New Roman" w:cs="Times New Roman"/>
          <w:sz w:val="24"/>
          <w:szCs w:val="24"/>
        </w:rPr>
        <w:t xml:space="preserve"> acuerdo con el FMI supone igualmente el desconocimiento de los más recientes avances en el ámbito internacional relativos a la relación entre los derechos humanos y las medidas de reforma económica. Como bien conoce este comité, el 21 de marzo de 2019 se adoptaron en el Consejo de Derechos Humanos de Naciones Unidas los Principios Rectores relativos a las evaluaciones de los efectos de las reformas económicas en los derechos humanos (Resolución </w:t>
      </w:r>
      <w:r w:rsidR="00C12F27" w:rsidRPr="000C40D1">
        <w:rPr>
          <w:rFonts w:ascii="Times New Roman" w:eastAsia="Times New Roman" w:hAnsi="Times New Roman" w:cs="Times New Roman"/>
          <w:sz w:val="24"/>
          <w:szCs w:val="24"/>
        </w:rPr>
        <w:lastRenderedPageBreak/>
        <w:t>40/8). Ninguna de las recomendaciones establecidas en estos Principios ha sido seguida por el gobierno, ni en la primera fase del acuerdo ni en su implementación en curso. De hecho, El 29 de junio, el FMI publicó la primera revisión del grado de implementación del acuerdo, en la que se indica que Ecuador está cumpliendo los compromisos de manera adecuada (los compromisos efectivamente cumplidos no han sido publicados por el gobierno) y que las reformas estructurales en el ámbito laboral, en lo relativo a impuestos, finanzas públicas y la reforma del Banco Central serán presentadas ante la Asamblea Nacional en 2019, es decir, en el último trimestre de este año. El Fondo también reconoce las consecuencias sociales que tendría el ajuste, e insta al gobierno a establecer programas de apoyo a la extrema pobreza orientados a “</w:t>
      </w:r>
      <w:proofErr w:type="spellStart"/>
      <w:r w:rsidR="00C12F27" w:rsidRPr="000C40D1">
        <w:rPr>
          <w:rFonts w:ascii="Times New Roman" w:eastAsia="Times New Roman" w:hAnsi="Times New Roman" w:cs="Times New Roman"/>
          <w:sz w:val="24"/>
          <w:szCs w:val="24"/>
        </w:rPr>
        <w:t>those</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who</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might</w:t>
      </w:r>
      <w:proofErr w:type="spellEnd"/>
      <w:r w:rsidR="00C12F27" w:rsidRPr="000C40D1">
        <w:rPr>
          <w:rFonts w:ascii="Times New Roman" w:eastAsia="Times New Roman" w:hAnsi="Times New Roman" w:cs="Times New Roman"/>
          <w:sz w:val="24"/>
          <w:szCs w:val="24"/>
        </w:rPr>
        <w:t xml:space="preserve"> be </w:t>
      </w:r>
      <w:proofErr w:type="spellStart"/>
      <w:r w:rsidR="00C12F27" w:rsidRPr="000C40D1">
        <w:rPr>
          <w:rFonts w:ascii="Times New Roman" w:eastAsia="Times New Roman" w:hAnsi="Times New Roman" w:cs="Times New Roman"/>
          <w:sz w:val="24"/>
          <w:szCs w:val="24"/>
        </w:rPr>
        <w:t>affected</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by</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the</w:t>
      </w:r>
      <w:proofErr w:type="spellEnd"/>
      <w:r w:rsidR="00C12F27" w:rsidRPr="000C40D1">
        <w:rPr>
          <w:rFonts w:ascii="Times New Roman" w:eastAsia="Times New Roman" w:hAnsi="Times New Roman" w:cs="Times New Roman"/>
          <w:sz w:val="24"/>
          <w:szCs w:val="24"/>
        </w:rPr>
        <w:t xml:space="preserve"> fiscal </w:t>
      </w:r>
      <w:proofErr w:type="spellStart"/>
      <w:r w:rsidR="00C12F27" w:rsidRPr="000C40D1">
        <w:rPr>
          <w:rFonts w:ascii="Times New Roman" w:eastAsia="Times New Roman" w:hAnsi="Times New Roman" w:cs="Times New Roman"/>
          <w:sz w:val="24"/>
          <w:szCs w:val="24"/>
        </w:rPr>
        <w:t>adjustment</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measures</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but</w:t>
      </w:r>
      <w:proofErr w:type="spellEnd"/>
      <w:r w:rsidR="00C12F27" w:rsidRPr="000C40D1">
        <w:rPr>
          <w:rFonts w:ascii="Times New Roman" w:eastAsia="Times New Roman" w:hAnsi="Times New Roman" w:cs="Times New Roman"/>
          <w:sz w:val="24"/>
          <w:szCs w:val="24"/>
        </w:rPr>
        <w:t xml:space="preserve"> are </w:t>
      </w:r>
      <w:proofErr w:type="spellStart"/>
      <w:r w:rsidR="00C12F27" w:rsidRPr="000C40D1">
        <w:rPr>
          <w:rFonts w:ascii="Times New Roman" w:eastAsia="Times New Roman" w:hAnsi="Times New Roman" w:cs="Times New Roman"/>
          <w:sz w:val="24"/>
          <w:szCs w:val="24"/>
        </w:rPr>
        <w:t>not</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covered</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by</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the</w:t>
      </w:r>
      <w:proofErr w:type="spellEnd"/>
      <w:r w:rsidR="00C12F27" w:rsidRPr="000C40D1">
        <w:rPr>
          <w:rFonts w:ascii="Times New Roman" w:eastAsia="Times New Roman" w:hAnsi="Times New Roman" w:cs="Times New Roman"/>
          <w:sz w:val="24"/>
          <w:szCs w:val="24"/>
        </w:rPr>
        <w:t xml:space="preserve"> </w:t>
      </w:r>
      <w:proofErr w:type="spellStart"/>
      <w:r w:rsidR="00C12F27" w:rsidRPr="000C40D1">
        <w:rPr>
          <w:rFonts w:ascii="Times New Roman" w:eastAsia="Times New Roman" w:hAnsi="Times New Roman" w:cs="Times New Roman"/>
          <w:sz w:val="24"/>
          <w:szCs w:val="24"/>
        </w:rPr>
        <w:t>existing</w:t>
      </w:r>
      <w:proofErr w:type="spellEnd"/>
      <w:r w:rsidR="00C12F27" w:rsidRPr="000C40D1">
        <w:rPr>
          <w:rFonts w:ascii="Times New Roman" w:eastAsia="Times New Roman" w:hAnsi="Times New Roman" w:cs="Times New Roman"/>
          <w:sz w:val="24"/>
          <w:szCs w:val="24"/>
        </w:rPr>
        <w:t xml:space="preserve"> social safety net”[4].</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B865DB" w:rsidRDefault="000C40D1" w:rsidP="000C40D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00C12F27" w:rsidRPr="000C40D1">
        <w:rPr>
          <w:rFonts w:ascii="Times New Roman" w:eastAsia="Times New Roman" w:hAnsi="Times New Roman" w:cs="Times New Roman"/>
          <w:sz w:val="24"/>
          <w:szCs w:val="24"/>
        </w:rPr>
        <w:t>Es importante remarcar que el acuerdo ha sido objeto de dos demandas de inconstitucionalidad donde se afirma su incompatibilidad con la Constitución tanto en cuanto a su forma (al haber sido aprobado sin seguir el procedimiento oportuno establecido para los tratados internacionales en los artículos 418 y ss.) como a su fondo (por suponer una regresión de derechos sociales y económicos establecidos, contraria a los compromisos asumidos por el Estado al ratificar al PIDESC y por el propio artículo 11.8 de la Constitución Ecuatoriana).</w:t>
      </w:r>
    </w:p>
    <w:p w:rsidR="000C40D1" w:rsidRPr="000C40D1" w:rsidRDefault="000C40D1" w:rsidP="000C40D1">
      <w:pPr>
        <w:spacing w:line="240" w:lineRule="auto"/>
        <w:jc w:val="both"/>
        <w:rPr>
          <w:rFonts w:ascii="Times New Roman" w:eastAsia="Times New Roman" w:hAnsi="Times New Roman" w:cs="Times New Roman"/>
          <w:sz w:val="24"/>
          <w:szCs w:val="24"/>
        </w:rPr>
      </w:pPr>
    </w:p>
    <w:p w:rsidR="00963B9F" w:rsidRPr="000C40D1" w:rsidRDefault="000C40D1" w:rsidP="000C40D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roofErr w:type="gramStart"/>
      <w:r>
        <w:rPr>
          <w:rFonts w:ascii="Times New Roman" w:eastAsia="Times New Roman" w:hAnsi="Times New Roman" w:cs="Times New Roman"/>
          <w:sz w:val="24"/>
          <w:szCs w:val="24"/>
        </w:rPr>
        <w:t>.</w:t>
      </w:r>
      <w:r w:rsidR="00C12F27" w:rsidRPr="000C40D1">
        <w:rPr>
          <w:rFonts w:ascii="Times New Roman" w:eastAsia="Times New Roman" w:hAnsi="Times New Roman" w:cs="Times New Roman"/>
          <w:sz w:val="24"/>
          <w:szCs w:val="24"/>
        </w:rPr>
        <w:t>La</w:t>
      </w:r>
      <w:proofErr w:type="gramEnd"/>
      <w:r w:rsidR="00C12F27" w:rsidRPr="000C40D1">
        <w:rPr>
          <w:rFonts w:ascii="Times New Roman" w:eastAsia="Times New Roman" w:hAnsi="Times New Roman" w:cs="Times New Roman"/>
          <w:sz w:val="24"/>
          <w:szCs w:val="24"/>
        </w:rPr>
        <w:t xml:space="preserve"> ausencia total de información y debate en las instituciones pertinentes (Asamblea Nacional y Corte Constitucional) supuso igualmente la ocultación del proceso de adopción y del contenido a la opinión pública y la sociedad civil, que tampoco pudieron acceder al acuerdo en su versión íntegra. Esta falta de información también ha provocado la reacción de las organizaciones de la sociedad civil que han presentado dos acciones constitucionales de demanda de información pública, la última exitosa, para conseguir el acceso al contenido concreto del acuerdo (sentencia de 28 de agosto de 2019).</w:t>
      </w:r>
    </w:p>
    <w:p w:rsidR="00B865DB" w:rsidRPr="00B865DB" w:rsidRDefault="00B865DB" w:rsidP="000C40D1">
      <w:pPr>
        <w:pStyle w:val="Prrafodelista"/>
        <w:spacing w:line="240" w:lineRule="auto"/>
        <w:ind w:left="0"/>
        <w:jc w:val="both"/>
        <w:rPr>
          <w:rFonts w:ascii="Times New Roman" w:eastAsia="Times New Roman" w:hAnsi="Times New Roman" w:cs="Times New Roman"/>
          <w:sz w:val="24"/>
          <w:szCs w:val="24"/>
        </w:rPr>
      </w:pPr>
    </w:p>
    <w:p w:rsidR="00963B9F" w:rsidRDefault="000C40D1" w:rsidP="000C40D1">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19</w:t>
      </w:r>
      <w:proofErr w:type="gramStart"/>
      <w:r>
        <w:rPr>
          <w:rFonts w:ascii="Times New Roman" w:eastAsia="Times New Roman" w:hAnsi="Times New Roman" w:cs="Times New Roman"/>
          <w:sz w:val="24"/>
          <w:szCs w:val="24"/>
        </w:rPr>
        <w:t>.</w:t>
      </w:r>
      <w:r w:rsidR="00C12F27" w:rsidRPr="000C40D1">
        <w:rPr>
          <w:rFonts w:ascii="Times New Roman" w:eastAsia="Times New Roman" w:hAnsi="Times New Roman" w:cs="Times New Roman"/>
          <w:sz w:val="24"/>
          <w:szCs w:val="24"/>
        </w:rPr>
        <w:t>Cabe</w:t>
      </w:r>
      <w:proofErr w:type="gramEnd"/>
      <w:r w:rsidR="00C12F27" w:rsidRPr="000C40D1">
        <w:rPr>
          <w:rFonts w:ascii="Times New Roman" w:eastAsia="Times New Roman" w:hAnsi="Times New Roman" w:cs="Times New Roman"/>
          <w:sz w:val="24"/>
          <w:szCs w:val="24"/>
        </w:rPr>
        <w:t xml:space="preserve"> señalar por último que el FMI ya impulsó una serie de ajustes estructurales similares hace dos décadas. Entre 1983-2003 Ecuador suscribió 16 Cartas de Intención con el FMI, con lineamientos similares. El efecto de estas medidas en la economía ecuatoriana fue evidenciado por el Comité DESC en sus recomendaciones de 2004, al señalar que: “</w:t>
      </w:r>
      <w:r w:rsidR="00C12F27" w:rsidRPr="000C40D1">
        <w:rPr>
          <w:rFonts w:ascii="Times New Roman" w:eastAsia="Times New Roman" w:hAnsi="Times New Roman" w:cs="Times New Roman"/>
          <w:i/>
          <w:sz w:val="24"/>
          <w:szCs w:val="24"/>
        </w:rPr>
        <w:t>toma nota de que las políticas de ajuste estructural han repercutido negativamente en el goce de los derechos económicos, sociales y culturales de la población, en particular de los grupos de la sociedad marginados y desfavorecidos.  Toma nota especialmente del alto porcentaje del presupuesto público anual (cerca del 40%) que se asigna al servicio de la deuda externa, factor que limita fuertemente los recursos disponibles para el logro del goce efectivo de los derechos económicos, sociales y culturales.</w:t>
      </w:r>
      <w:r w:rsidR="00C12F27" w:rsidRPr="000C40D1">
        <w:rPr>
          <w:rFonts w:ascii="Times New Roman" w:eastAsia="Times New Roman" w:hAnsi="Times New Roman" w:cs="Times New Roman"/>
          <w:i/>
          <w:sz w:val="24"/>
          <w:szCs w:val="24"/>
          <w:vertAlign w:val="superscript"/>
        </w:rPr>
        <w:t>[5]</w:t>
      </w:r>
      <w:r w:rsidR="00C12F27" w:rsidRPr="000C40D1">
        <w:rPr>
          <w:rFonts w:ascii="Times New Roman" w:eastAsia="Times New Roman" w:hAnsi="Times New Roman" w:cs="Times New Roman"/>
          <w:i/>
          <w:sz w:val="24"/>
          <w:szCs w:val="24"/>
        </w:rPr>
        <w:t>”</w:t>
      </w:r>
    </w:p>
    <w:p w:rsidR="000C40D1" w:rsidRPr="000C40D1" w:rsidRDefault="000C40D1" w:rsidP="000C40D1">
      <w:pPr>
        <w:spacing w:line="240" w:lineRule="auto"/>
        <w:jc w:val="both"/>
        <w:rPr>
          <w:rFonts w:ascii="Times New Roman" w:eastAsia="Times New Roman" w:hAnsi="Times New Roman" w:cs="Times New Roman"/>
          <w:i/>
          <w:sz w:val="24"/>
          <w:szCs w:val="24"/>
        </w:rPr>
      </w:pPr>
    </w:p>
    <w:p w:rsidR="00963B9F" w:rsidRDefault="00C12F27" w:rsidP="000C40D1">
      <w:pPr>
        <w:pStyle w:val="Ttulo3"/>
        <w:keepNext w:val="0"/>
        <w:keepLines w:val="0"/>
        <w:numPr>
          <w:ilvl w:val="2"/>
          <w:numId w:val="3"/>
        </w:numPr>
        <w:spacing w:before="0" w:after="0" w:line="240" w:lineRule="auto"/>
        <w:ind w:left="0" w:firstLine="0"/>
        <w:jc w:val="both"/>
        <w:rPr>
          <w:rFonts w:ascii="Times New Roman" w:eastAsia="Times New Roman" w:hAnsi="Times New Roman" w:cs="Times New Roman"/>
          <w:b/>
          <w:color w:val="000000"/>
          <w:sz w:val="24"/>
          <w:szCs w:val="24"/>
        </w:rPr>
      </w:pPr>
      <w:bookmarkStart w:id="5" w:name="_xb48901sc00j" w:colFirst="0" w:colLast="0"/>
      <w:bookmarkEnd w:id="5"/>
      <w:r>
        <w:rPr>
          <w:rFonts w:ascii="Times New Roman" w:eastAsia="Times New Roman" w:hAnsi="Times New Roman" w:cs="Times New Roman"/>
          <w:b/>
          <w:color w:val="000000"/>
          <w:sz w:val="24"/>
          <w:szCs w:val="24"/>
        </w:rPr>
        <w:t>Reducción de servidores/as en instituciones públicas e impacto sobre la realización de los DESC</w:t>
      </w:r>
    </w:p>
    <w:p w:rsidR="000C40D1" w:rsidRPr="000C40D1" w:rsidRDefault="000C40D1" w:rsidP="000C40D1"/>
    <w:p w:rsidR="00963B9F" w:rsidRDefault="00E64913" w:rsidP="00E6491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roofErr w:type="gramStart"/>
      <w:r>
        <w:rPr>
          <w:rFonts w:ascii="Times New Roman" w:eastAsia="Times New Roman" w:hAnsi="Times New Roman" w:cs="Times New Roman"/>
          <w:sz w:val="24"/>
          <w:szCs w:val="24"/>
        </w:rPr>
        <w:t>.</w:t>
      </w:r>
      <w:r w:rsidR="00C12F27" w:rsidRPr="00E64913">
        <w:rPr>
          <w:rFonts w:ascii="Times New Roman" w:eastAsia="Times New Roman" w:hAnsi="Times New Roman" w:cs="Times New Roman"/>
          <w:sz w:val="24"/>
          <w:szCs w:val="24"/>
        </w:rPr>
        <w:t>La</w:t>
      </w:r>
      <w:proofErr w:type="gramEnd"/>
      <w:r w:rsidR="00C12F27" w:rsidRPr="00E64913">
        <w:rPr>
          <w:rFonts w:ascii="Times New Roman" w:eastAsia="Times New Roman" w:hAnsi="Times New Roman" w:cs="Times New Roman"/>
          <w:sz w:val="24"/>
          <w:szCs w:val="24"/>
        </w:rPr>
        <w:t xml:space="preserve"> reducción del empleo público empezó ya a producirse antes de la firma del acuerdo con el FMI. Así, la encuesta nacional de empleo, desempleo y subempleo, realizada por el Instituto Nacional de Estadística y Censos, permite estimar la pérdida de empleo en el sector público desde que se inició el viraje de la política pública, hace año y medio. En efecto, el año 2017 cerró con una cifra de empleo público que ascendía a 717.232 personas (correspondiente, en aquel momento, a un 9.3% de la población con empleo</w:t>
      </w:r>
      <w:proofErr w:type="gramStart"/>
      <w:r w:rsidR="00C12F27" w:rsidRPr="00E64913">
        <w:rPr>
          <w:rFonts w:ascii="Times New Roman" w:eastAsia="Times New Roman" w:hAnsi="Times New Roman" w:cs="Times New Roman"/>
          <w:sz w:val="24"/>
          <w:szCs w:val="24"/>
        </w:rPr>
        <w:t>)[</w:t>
      </w:r>
      <w:proofErr w:type="gramEnd"/>
      <w:r w:rsidR="00C12F27" w:rsidRPr="00E64913">
        <w:rPr>
          <w:rFonts w:ascii="Times New Roman" w:eastAsia="Times New Roman" w:hAnsi="Times New Roman" w:cs="Times New Roman"/>
          <w:sz w:val="24"/>
          <w:szCs w:val="24"/>
        </w:rPr>
        <w:t xml:space="preserve">6]. No obstante, según datos de la misma encuesta, para junio de 2019[7], el empleo público se redujo a 605.665 personas, es decir un 7.7% del total de personas con empleo. La diferencia de 111.567 personas correspondería a la reducción del número de empleados/as públicos. Cabe destacar que la cifra </w:t>
      </w:r>
      <w:r w:rsidR="00C12F27" w:rsidRPr="00E64913">
        <w:rPr>
          <w:rFonts w:ascii="Times New Roman" w:eastAsia="Times New Roman" w:hAnsi="Times New Roman" w:cs="Times New Roman"/>
          <w:sz w:val="24"/>
          <w:szCs w:val="24"/>
        </w:rPr>
        <w:lastRenderedPageBreak/>
        <w:t>actual de 7,7% de empleo público es similar a la que había antes de que empiecen los cambios de política pública orientados al fortalecimiento de los DESC, consagrados en la Constitución del 2008, por lo cual no es exagerado suponer que la reversión de los avances logrados sería total.</w:t>
      </w:r>
    </w:p>
    <w:p w:rsidR="00E64913" w:rsidRPr="00E64913" w:rsidRDefault="00E64913" w:rsidP="00E64913">
      <w:pPr>
        <w:spacing w:line="240" w:lineRule="auto"/>
        <w:jc w:val="both"/>
        <w:rPr>
          <w:rFonts w:ascii="Times New Roman" w:eastAsia="Times New Roman" w:hAnsi="Times New Roman" w:cs="Times New Roman"/>
          <w:sz w:val="24"/>
          <w:szCs w:val="24"/>
        </w:rPr>
      </w:pPr>
    </w:p>
    <w:p w:rsidR="00E64913" w:rsidRDefault="00E64913" w:rsidP="00E6491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roofErr w:type="gramStart"/>
      <w:r>
        <w:rPr>
          <w:rFonts w:ascii="Times New Roman" w:eastAsia="Times New Roman" w:hAnsi="Times New Roman" w:cs="Times New Roman"/>
          <w:sz w:val="24"/>
          <w:szCs w:val="24"/>
        </w:rPr>
        <w:t>.</w:t>
      </w:r>
      <w:r w:rsidR="00C12F27" w:rsidRPr="00E64913">
        <w:rPr>
          <w:rFonts w:ascii="Times New Roman" w:eastAsia="Times New Roman" w:hAnsi="Times New Roman" w:cs="Times New Roman"/>
          <w:sz w:val="24"/>
          <w:szCs w:val="24"/>
        </w:rPr>
        <w:t>Sobre</w:t>
      </w:r>
      <w:proofErr w:type="gramEnd"/>
      <w:r w:rsidR="00C12F27" w:rsidRPr="00E64913">
        <w:rPr>
          <w:rFonts w:ascii="Times New Roman" w:eastAsia="Times New Roman" w:hAnsi="Times New Roman" w:cs="Times New Roman"/>
          <w:sz w:val="24"/>
          <w:szCs w:val="24"/>
        </w:rPr>
        <w:t xml:space="preserve"> esta reducción, entre los compromisos adoptados en el acuerdo de contratación de deuda con el FMI se ha incluido una fuerte reducción del número de servidores y servidoras públicos. Así, el párrafo 38 del </w:t>
      </w:r>
      <w:r w:rsidR="00C12F27" w:rsidRPr="00E64913">
        <w:rPr>
          <w:rFonts w:ascii="Times New Roman" w:eastAsia="Times New Roman" w:hAnsi="Times New Roman" w:cs="Times New Roman"/>
          <w:i/>
          <w:sz w:val="24"/>
          <w:szCs w:val="24"/>
        </w:rPr>
        <w:t xml:space="preserve">“Staff </w:t>
      </w:r>
      <w:proofErr w:type="spellStart"/>
      <w:r w:rsidR="00C12F27" w:rsidRPr="00E64913">
        <w:rPr>
          <w:rFonts w:ascii="Times New Roman" w:eastAsia="Times New Roman" w:hAnsi="Times New Roman" w:cs="Times New Roman"/>
          <w:i/>
          <w:sz w:val="24"/>
          <w:szCs w:val="24"/>
        </w:rPr>
        <w:t>report</w:t>
      </w:r>
      <w:proofErr w:type="spellEnd"/>
      <w:r w:rsidR="00C12F27" w:rsidRPr="00E64913">
        <w:rPr>
          <w:rFonts w:ascii="Times New Roman" w:eastAsia="Times New Roman" w:hAnsi="Times New Roman" w:cs="Times New Roman"/>
          <w:i/>
          <w:sz w:val="24"/>
          <w:szCs w:val="24"/>
        </w:rPr>
        <w:t xml:space="preserve"> </w:t>
      </w:r>
      <w:proofErr w:type="spellStart"/>
      <w:r w:rsidR="00C12F27" w:rsidRPr="00E64913">
        <w:rPr>
          <w:rFonts w:ascii="Times New Roman" w:eastAsia="Times New Roman" w:hAnsi="Times New Roman" w:cs="Times New Roman"/>
          <w:i/>
          <w:sz w:val="24"/>
          <w:szCs w:val="24"/>
        </w:rPr>
        <w:t>for</w:t>
      </w:r>
      <w:proofErr w:type="spellEnd"/>
      <w:r w:rsidR="00C12F27" w:rsidRPr="00E64913">
        <w:rPr>
          <w:rFonts w:ascii="Times New Roman" w:eastAsia="Times New Roman" w:hAnsi="Times New Roman" w:cs="Times New Roman"/>
          <w:i/>
          <w:sz w:val="24"/>
          <w:szCs w:val="24"/>
        </w:rPr>
        <w:t xml:space="preserve"> </w:t>
      </w:r>
      <w:proofErr w:type="spellStart"/>
      <w:r w:rsidR="00C12F27" w:rsidRPr="00E64913">
        <w:rPr>
          <w:rFonts w:ascii="Times New Roman" w:eastAsia="Times New Roman" w:hAnsi="Times New Roman" w:cs="Times New Roman"/>
          <w:i/>
          <w:sz w:val="24"/>
          <w:szCs w:val="24"/>
        </w:rPr>
        <w:t>the</w:t>
      </w:r>
      <w:proofErr w:type="spellEnd"/>
      <w:r w:rsidR="00C12F27" w:rsidRPr="00E64913">
        <w:rPr>
          <w:rFonts w:ascii="Times New Roman" w:eastAsia="Times New Roman" w:hAnsi="Times New Roman" w:cs="Times New Roman"/>
          <w:i/>
          <w:sz w:val="24"/>
          <w:szCs w:val="24"/>
        </w:rPr>
        <w:t xml:space="preserve"> 2019 </w:t>
      </w:r>
      <w:proofErr w:type="spellStart"/>
      <w:r w:rsidR="00C12F27" w:rsidRPr="00E64913">
        <w:rPr>
          <w:rFonts w:ascii="Times New Roman" w:eastAsia="Times New Roman" w:hAnsi="Times New Roman" w:cs="Times New Roman"/>
          <w:i/>
          <w:sz w:val="24"/>
          <w:szCs w:val="24"/>
        </w:rPr>
        <w:t>article</w:t>
      </w:r>
      <w:proofErr w:type="spellEnd"/>
      <w:r w:rsidR="00C12F27" w:rsidRPr="00E64913">
        <w:rPr>
          <w:rFonts w:ascii="Times New Roman" w:eastAsia="Times New Roman" w:hAnsi="Times New Roman" w:cs="Times New Roman"/>
          <w:i/>
          <w:sz w:val="24"/>
          <w:szCs w:val="24"/>
        </w:rPr>
        <w:t xml:space="preserve"> IV </w:t>
      </w:r>
      <w:proofErr w:type="spellStart"/>
      <w:r w:rsidR="00C12F27" w:rsidRPr="00E64913">
        <w:rPr>
          <w:rFonts w:ascii="Times New Roman" w:eastAsia="Times New Roman" w:hAnsi="Times New Roman" w:cs="Times New Roman"/>
          <w:i/>
          <w:sz w:val="24"/>
          <w:szCs w:val="24"/>
        </w:rPr>
        <w:t>consultation</w:t>
      </w:r>
      <w:proofErr w:type="spellEnd"/>
      <w:r w:rsidR="00C12F27" w:rsidRPr="00E64913">
        <w:rPr>
          <w:rFonts w:ascii="Times New Roman" w:eastAsia="Times New Roman" w:hAnsi="Times New Roman" w:cs="Times New Roman"/>
          <w:i/>
          <w:sz w:val="24"/>
          <w:szCs w:val="24"/>
        </w:rPr>
        <w:t xml:space="preserve"> and </w:t>
      </w:r>
      <w:proofErr w:type="spellStart"/>
      <w:r w:rsidR="00C12F27" w:rsidRPr="00E64913">
        <w:rPr>
          <w:rFonts w:ascii="Times New Roman" w:eastAsia="Times New Roman" w:hAnsi="Times New Roman" w:cs="Times New Roman"/>
          <w:i/>
          <w:sz w:val="24"/>
          <w:szCs w:val="24"/>
        </w:rPr>
        <w:t>request</w:t>
      </w:r>
      <w:proofErr w:type="spellEnd"/>
      <w:r w:rsidR="00C12F27" w:rsidRPr="00E64913">
        <w:rPr>
          <w:rFonts w:ascii="Times New Roman" w:eastAsia="Times New Roman" w:hAnsi="Times New Roman" w:cs="Times New Roman"/>
          <w:i/>
          <w:sz w:val="24"/>
          <w:szCs w:val="24"/>
        </w:rPr>
        <w:t xml:space="preserve"> </w:t>
      </w:r>
      <w:proofErr w:type="spellStart"/>
      <w:r w:rsidR="00C12F27" w:rsidRPr="00E64913">
        <w:rPr>
          <w:rFonts w:ascii="Times New Roman" w:eastAsia="Times New Roman" w:hAnsi="Times New Roman" w:cs="Times New Roman"/>
          <w:i/>
          <w:sz w:val="24"/>
          <w:szCs w:val="24"/>
        </w:rPr>
        <w:t>for</w:t>
      </w:r>
      <w:proofErr w:type="spellEnd"/>
      <w:r w:rsidR="00C12F27" w:rsidRPr="00E64913">
        <w:rPr>
          <w:rFonts w:ascii="Times New Roman" w:eastAsia="Times New Roman" w:hAnsi="Times New Roman" w:cs="Times New Roman"/>
          <w:i/>
          <w:sz w:val="24"/>
          <w:szCs w:val="24"/>
        </w:rPr>
        <w:t xml:space="preserve"> </w:t>
      </w:r>
      <w:proofErr w:type="spellStart"/>
      <w:r w:rsidR="00C12F27" w:rsidRPr="00E64913">
        <w:rPr>
          <w:rFonts w:ascii="Times New Roman" w:eastAsia="Times New Roman" w:hAnsi="Times New Roman" w:cs="Times New Roman"/>
          <w:i/>
          <w:sz w:val="24"/>
          <w:szCs w:val="24"/>
        </w:rPr>
        <w:t>an</w:t>
      </w:r>
      <w:proofErr w:type="spellEnd"/>
      <w:r w:rsidR="00C12F27" w:rsidRPr="00E64913">
        <w:rPr>
          <w:rFonts w:ascii="Times New Roman" w:eastAsia="Times New Roman" w:hAnsi="Times New Roman" w:cs="Times New Roman"/>
          <w:i/>
          <w:sz w:val="24"/>
          <w:szCs w:val="24"/>
        </w:rPr>
        <w:t xml:space="preserve"> extended </w:t>
      </w:r>
      <w:proofErr w:type="spellStart"/>
      <w:r w:rsidR="00C12F27" w:rsidRPr="00E64913">
        <w:rPr>
          <w:rFonts w:ascii="Times New Roman" w:eastAsia="Times New Roman" w:hAnsi="Times New Roman" w:cs="Times New Roman"/>
          <w:i/>
          <w:sz w:val="24"/>
          <w:szCs w:val="24"/>
        </w:rPr>
        <w:t>arrangement</w:t>
      </w:r>
      <w:proofErr w:type="spellEnd"/>
      <w:r w:rsidR="00C12F27" w:rsidRPr="00E64913">
        <w:rPr>
          <w:rFonts w:ascii="Times New Roman" w:eastAsia="Times New Roman" w:hAnsi="Times New Roman" w:cs="Times New Roman"/>
          <w:i/>
          <w:sz w:val="24"/>
          <w:szCs w:val="24"/>
        </w:rPr>
        <w:t xml:space="preserve"> </w:t>
      </w:r>
      <w:proofErr w:type="spellStart"/>
      <w:r w:rsidR="00C12F27" w:rsidRPr="00E64913">
        <w:rPr>
          <w:rFonts w:ascii="Times New Roman" w:eastAsia="Times New Roman" w:hAnsi="Times New Roman" w:cs="Times New Roman"/>
          <w:i/>
          <w:sz w:val="24"/>
          <w:szCs w:val="24"/>
        </w:rPr>
        <w:t>under</w:t>
      </w:r>
      <w:proofErr w:type="spellEnd"/>
      <w:r w:rsidR="00C12F27" w:rsidRPr="00E64913">
        <w:rPr>
          <w:rFonts w:ascii="Times New Roman" w:eastAsia="Times New Roman" w:hAnsi="Times New Roman" w:cs="Times New Roman"/>
          <w:i/>
          <w:sz w:val="24"/>
          <w:szCs w:val="24"/>
        </w:rPr>
        <w:t xml:space="preserve"> </w:t>
      </w:r>
      <w:proofErr w:type="spellStart"/>
      <w:r w:rsidR="00C12F27" w:rsidRPr="00E64913">
        <w:rPr>
          <w:rFonts w:ascii="Times New Roman" w:eastAsia="Times New Roman" w:hAnsi="Times New Roman" w:cs="Times New Roman"/>
          <w:i/>
          <w:sz w:val="24"/>
          <w:szCs w:val="24"/>
        </w:rPr>
        <w:t>the</w:t>
      </w:r>
      <w:proofErr w:type="spellEnd"/>
      <w:r w:rsidR="00C12F27" w:rsidRPr="00E64913">
        <w:rPr>
          <w:rFonts w:ascii="Times New Roman" w:eastAsia="Times New Roman" w:hAnsi="Times New Roman" w:cs="Times New Roman"/>
          <w:i/>
          <w:sz w:val="24"/>
          <w:szCs w:val="24"/>
        </w:rPr>
        <w:t xml:space="preserve"> extended </w:t>
      </w:r>
      <w:proofErr w:type="spellStart"/>
      <w:r w:rsidR="00C12F27" w:rsidRPr="00E64913">
        <w:rPr>
          <w:rFonts w:ascii="Times New Roman" w:eastAsia="Times New Roman" w:hAnsi="Times New Roman" w:cs="Times New Roman"/>
          <w:i/>
          <w:sz w:val="24"/>
          <w:szCs w:val="24"/>
        </w:rPr>
        <w:t>fund</w:t>
      </w:r>
      <w:proofErr w:type="spellEnd"/>
      <w:r w:rsidR="00C12F27" w:rsidRPr="00E64913">
        <w:rPr>
          <w:rFonts w:ascii="Times New Roman" w:eastAsia="Times New Roman" w:hAnsi="Times New Roman" w:cs="Times New Roman"/>
          <w:i/>
          <w:sz w:val="24"/>
          <w:szCs w:val="24"/>
        </w:rPr>
        <w:t xml:space="preserve"> </w:t>
      </w:r>
      <w:proofErr w:type="spellStart"/>
      <w:r w:rsidR="00C12F27" w:rsidRPr="00E64913">
        <w:rPr>
          <w:rFonts w:ascii="Times New Roman" w:eastAsia="Times New Roman" w:hAnsi="Times New Roman" w:cs="Times New Roman"/>
          <w:i/>
          <w:sz w:val="24"/>
          <w:szCs w:val="24"/>
        </w:rPr>
        <w:t>facility</w:t>
      </w:r>
      <w:proofErr w:type="spellEnd"/>
      <w:r w:rsidR="00C12F27" w:rsidRPr="00E64913">
        <w:rPr>
          <w:rFonts w:ascii="Times New Roman" w:eastAsia="Times New Roman" w:hAnsi="Times New Roman" w:cs="Times New Roman"/>
          <w:i/>
          <w:sz w:val="24"/>
          <w:szCs w:val="24"/>
        </w:rPr>
        <w:t>”</w:t>
      </w:r>
      <w:r w:rsidR="00C12F27" w:rsidRPr="00E64913">
        <w:rPr>
          <w:rFonts w:ascii="Times New Roman" w:eastAsia="Times New Roman" w:hAnsi="Times New Roman" w:cs="Times New Roman"/>
          <w:sz w:val="24"/>
          <w:szCs w:val="24"/>
        </w:rPr>
        <w:t xml:space="preserve"> publicado por el FMI el 4 de marzo de 2019 incluyó lo siguiente: “Realineamiento de la factura salarial del sector público. Los salarios del sector público han aumentado un 78 por ciento desde 2007 y ahora son en promedio dos veces más altos que los salarios del sector privado. Además, el empleo público creció un 23 por ciento de 2005-2015. Las autoridades pretenden contener el crecimiento salarial y reducir la fuerza laboral en diversas entidades gubernamentales, basándose en  las  recomendaciones  de asistencia técnica del FMI. Para este fin, el gobierno ya ha anunciado una reducción del 10 por ciento en el número de trabajadores de empresas estatales, renovará solo uno de cada dos contratos que expiran en los sectores no sociales del gobierno y alineará los salarios de los empleados públicos recién contratados con los que prevalecen en el sector privado. Se espera que estas medidas generen una reducción acumulativa en la factura salarial pública del 1 por ciento del PIB para 2021, lo que ayudará a restablecer la competitividad al influir también en los aumentos salariales del sector privado”.</w:t>
      </w:r>
    </w:p>
    <w:p w:rsidR="00E64913" w:rsidRDefault="00E64913" w:rsidP="00E64913">
      <w:pPr>
        <w:spacing w:line="240" w:lineRule="auto"/>
        <w:jc w:val="both"/>
        <w:rPr>
          <w:rFonts w:ascii="Times New Roman" w:eastAsia="Times New Roman" w:hAnsi="Times New Roman" w:cs="Times New Roman"/>
          <w:sz w:val="24"/>
          <w:szCs w:val="24"/>
        </w:rPr>
      </w:pPr>
    </w:p>
    <w:p w:rsidR="00963B9F" w:rsidRDefault="00E64913" w:rsidP="00E6491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roofErr w:type="gramStart"/>
      <w:r>
        <w:rPr>
          <w:rFonts w:ascii="Times New Roman" w:eastAsia="Times New Roman" w:hAnsi="Times New Roman" w:cs="Times New Roman"/>
          <w:sz w:val="24"/>
          <w:szCs w:val="24"/>
        </w:rPr>
        <w:t>.</w:t>
      </w:r>
      <w:r w:rsidR="00C12F27" w:rsidRPr="00551CC3">
        <w:rPr>
          <w:rFonts w:ascii="Times New Roman" w:eastAsia="Times New Roman" w:hAnsi="Times New Roman" w:cs="Times New Roman"/>
          <w:sz w:val="24"/>
          <w:szCs w:val="24"/>
        </w:rPr>
        <w:t>De</w:t>
      </w:r>
      <w:proofErr w:type="gramEnd"/>
      <w:r w:rsidR="00C12F27" w:rsidRPr="00551CC3">
        <w:rPr>
          <w:rFonts w:ascii="Times New Roman" w:eastAsia="Times New Roman" w:hAnsi="Times New Roman" w:cs="Times New Roman"/>
          <w:sz w:val="24"/>
          <w:szCs w:val="24"/>
        </w:rPr>
        <w:t xml:space="preserve"> la lectura de este compromiso se derivan dos cuestiones preocupantes. En primer lugar, el 1% del PIB representa aproximadamente 1.000 millones de USD, lo que implica una reducción de alrededor del 10% del gasto en sueldos y salarios para el año 2019. </w:t>
      </w:r>
      <w:r>
        <w:rPr>
          <w:rFonts w:ascii="Times New Roman" w:eastAsia="Times New Roman" w:hAnsi="Times New Roman" w:cs="Times New Roman"/>
          <w:sz w:val="24"/>
          <w:szCs w:val="24"/>
        </w:rPr>
        <w:t xml:space="preserve">La preocupación por esta reducción se agrava </w:t>
      </w:r>
      <w:r w:rsidR="00C12F27" w:rsidRPr="00551CC3">
        <w:rPr>
          <w:rFonts w:ascii="Times New Roman" w:eastAsia="Times New Roman" w:hAnsi="Times New Roman" w:cs="Times New Roman"/>
          <w:sz w:val="24"/>
          <w:szCs w:val="24"/>
        </w:rPr>
        <w:t xml:space="preserve">considerando que no se ha hecho público un plan de reducción de servidores y servidoras por ministerio que garantice la sostenibilidad de los servicios públicos y cuantifique la resultante afectación de derechos. Si a los despidos ya efectuados (estimados en más de 100.000 personas) se suman los que resultarían de reducir en 1.000 millones de USD la masa salarial, es evidente que el menoscabo en el alcance y calidad de los servicios que presta el Estado en áreas como educación, salud, seguridad e inclusión social (que concentran el grueso de servidoras y servidores públicos) sería </w:t>
      </w:r>
      <w:r w:rsidR="00532CEE">
        <w:rPr>
          <w:rFonts w:ascii="Times New Roman" w:eastAsia="Times New Roman" w:hAnsi="Times New Roman" w:cs="Times New Roman"/>
          <w:sz w:val="24"/>
          <w:szCs w:val="24"/>
        </w:rPr>
        <w:t>enorme</w:t>
      </w:r>
      <w:r w:rsidR="00C12F27" w:rsidRPr="00551CC3">
        <w:rPr>
          <w:rFonts w:ascii="Times New Roman" w:eastAsia="Times New Roman" w:hAnsi="Times New Roman" w:cs="Times New Roman"/>
          <w:sz w:val="24"/>
          <w:szCs w:val="24"/>
        </w:rPr>
        <w:t>, al igual que el impacto resultante en los DESC.</w:t>
      </w:r>
    </w:p>
    <w:p w:rsidR="00E64913" w:rsidRPr="00551CC3" w:rsidRDefault="00E64913" w:rsidP="00E64913">
      <w:pPr>
        <w:spacing w:line="240" w:lineRule="auto"/>
        <w:jc w:val="both"/>
        <w:rPr>
          <w:rFonts w:ascii="Times New Roman" w:eastAsia="Times New Roman" w:hAnsi="Times New Roman" w:cs="Times New Roman"/>
          <w:sz w:val="24"/>
          <w:szCs w:val="24"/>
        </w:rPr>
      </w:pPr>
    </w:p>
    <w:p w:rsidR="00963B9F" w:rsidRPr="00E64913" w:rsidRDefault="00E64913" w:rsidP="00E6491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roofErr w:type="gramStart"/>
      <w:r>
        <w:rPr>
          <w:rFonts w:ascii="Times New Roman" w:eastAsia="Times New Roman" w:hAnsi="Times New Roman" w:cs="Times New Roman"/>
          <w:sz w:val="24"/>
          <w:szCs w:val="24"/>
        </w:rPr>
        <w:t>.</w:t>
      </w:r>
      <w:r w:rsidR="00C12F27" w:rsidRPr="00E64913">
        <w:rPr>
          <w:rFonts w:ascii="Times New Roman" w:eastAsia="Times New Roman" w:hAnsi="Times New Roman" w:cs="Times New Roman"/>
          <w:sz w:val="24"/>
          <w:szCs w:val="24"/>
        </w:rPr>
        <w:t>Por</w:t>
      </w:r>
      <w:proofErr w:type="gramEnd"/>
      <w:r w:rsidR="00C12F27" w:rsidRPr="00E64913">
        <w:rPr>
          <w:rFonts w:ascii="Times New Roman" w:eastAsia="Times New Roman" w:hAnsi="Times New Roman" w:cs="Times New Roman"/>
          <w:sz w:val="24"/>
          <w:szCs w:val="24"/>
        </w:rPr>
        <w:t xml:space="preserve"> otro lado, es importante señalar que el FMI utiliza como punto para comparar el crecimiento del empleo público (como si fuese un momento óptimo) la fecha de su último acuerdo con Ecuador (2004), momento en el que regía la Constitución de 1998, cuyos mandatos en materia de DESC no eran tan avanzados como en la norma suprema actual. Es importante insistir que en sus recomendaciones realizadas a Ecuador en el año 2004, este Comité manifestó ya su preocupación por las repercusiones de similares políticas de ajuste estructural y por el “alto porcentaje del presupuesto público anual (cerca del 40%) destinado al servicio de la deuda externa”, que limitaban “fuertemente los recursos disponibles para el logro del goce efectivo de los derechos económicos, sociales y culturales”. El progresivo aumento del número de empleados públicos respondió a la voluntad de cumplir con las sugerencias del Comité y fundamentalmente a la implementación de los cambios constitucionales y el mandato de progresividad respecto de los derechos sociales integrado en la Constitución de 2008. En este sentido, la disminución de empleados públicos para reducir el gasto supone una limitación de los recursos efectivamente disponibles para hacer efectivos los DESC, incompatible tanto con las recomendaciones anteriores del Comité como con los mandatos constitucionales.</w:t>
      </w:r>
    </w:p>
    <w:p w:rsidR="00963B9F"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24</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La</w:t>
      </w:r>
      <w:proofErr w:type="gramEnd"/>
      <w:r w:rsidR="00C12F27" w:rsidRPr="00717352">
        <w:rPr>
          <w:rFonts w:ascii="Times New Roman" w:eastAsia="Times New Roman" w:hAnsi="Times New Roman" w:cs="Times New Roman"/>
          <w:sz w:val="24"/>
          <w:szCs w:val="24"/>
        </w:rPr>
        <w:t xml:space="preserve"> implementación de los ajustes en la masa salarial del sector público fue objeto de financiación por parte del BID, a través del “contrato celebrado el día 24 de mayo de 2019 entre la República del Ecuador, en adelante denominada el “Prestatario”, y el Banco Interamericano de Desarrollo, en adelante denominado el “Banco”, para cooperar en la ejecución del “Programa de Emergencia para la Sostenibilidad Macroeconómica y la Prosperidad”[8].</w:t>
      </w:r>
    </w:p>
    <w:p w:rsidR="00717352" w:rsidRDefault="00717352" w:rsidP="00717352">
      <w:pPr>
        <w:spacing w:line="240" w:lineRule="auto"/>
        <w:jc w:val="both"/>
        <w:rPr>
          <w:rFonts w:ascii="Times New Roman" w:eastAsia="Times New Roman" w:hAnsi="Times New Roman" w:cs="Times New Roman"/>
          <w:sz w:val="24"/>
          <w:szCs w:val="24"/>
        </w:rPr>
      </w:pPr>
    </w:p>
    <w:p w:rsidR="00963B9F" w:rsidRPr="00717352"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En</w:t>
      </w:r>
      <w:proofErr w:type="gramEnd"/>
      <w:r w:rsidR="00C12F27" w:rsidRPr="00717352">
        <w:rPr>
          <w:rFonts w:ascii="Times New Roman" w:eastAsia="Times New Roman" w:hAnsi="Times New Roman" w:cs="Times New Roman"/>
          <w:sz w:val="24"/>
          <w:szCs w:val="24"/>
        </w:rPr>
        <w:t xml:space="preserve"> la matriz de verificación de los compromisos del Estado con el BID elaborada por el gobierno para justificar el primer tramo de desembolso[9], se establecen las reformas normativas ya efectuadas, según los lineamientos señalados. En concreto del apartado rubricado “Realinear la cuenta de salarios del Estado para optimizar su tamaño”, se establece que el prestatario (el Estado ecuatoriano) se compromete a:</w:t>
      </w:r>
    </w:p>
    <w:p w:rsidR="00717352" w:rsidRPr="00717352" w:rsidRDefault="00C12F27" w:rsidP="00717352">
      <w:pPr>
        <w:pStyle w:val="Prrafodelista"/>
        <w:numPr>
          <w:ilvl w:val="0"/>
          <w:numId w:val="12"/>
        </w:numPr>
        <w:spacing w:line="240" w:lineRule="auto"/>
        <w:jc w:val="both"/>
        <w:rPr>
          <w:rFonts w:ascii="Times New Roman" w:eastAsia="Times New Roman" w:hAnsi="Times New Roman" w:cs="Times New Roman"/>
          <w:sz w:val="24"/>
          <w:szCs w:val="24"/>
        </w:rPr>
      </w:pPr>
      <w:r w:rsidRPr="00717352">
        <w:rPr>
          <w:rFonts w:ascii="Times New Roman" w:eastAsia="Times New Roman" w:hAnsi="Times New Roman" w:cs="Times New Roman"/>
          <w:sz w:val="24"/>
          <w:szCs w:val="24"/>
        </w:rPr>
        <w:t>Implementar un programa de fusión o supresión de agencias de gobierno, eliminando nombramientos provisionales,</w:t>
      </w:r>
      <w:r w:rsidR="00717352">
        <w:rPr>
          <w:rFonts w:ascii="Times New Roman" w:eastAsia="Times New Roman" w:hAnsi="Times New Roman" w:cs="Times New Roman"/>
          <w:sz w:val="24"/>
          <w:szCs w:val="24"/>
        </w:rPr>
        <w:t xml:space="preserve"> </w:t>
      </w:r>
      <w:r w:rsidRPr="00717352">
        <w:rPr>
          <w:rFonts w:ascii="Times New Roman" w:eastAsia="Times New Roman" w:hAnsi="Times New Roman" w:cs="Times New Roman"/>
          <w:sz w:val="24"/>
          <w:szCs w:val="24"/>
        </w:rPr>
        <w:t>nombrando administradores temporales de los ministerios suprimidos.</w:t>
      </w:r>
    </w:p>
    <w:p w:rsidR="00717352" w:rsidRPr="00717352" w:rsidRDefault="00C12F27" w:rsidP="00717352">
      <w:pPr>
        <w:pStyle w:val="Prrafodelista"/>
        <w:numPr>
          <w:ilvl w:val="0"/>
          <w:numId w:val="12"/>
        </w:numPr>
        <w:spacing w:line="240" w:lineRule="auto"/>
        <w:jc w:val="both"/>
        <w:rPr>
          <w:rFonts w:ascii="Times New Roman" w:eastAsia="Times New Roman" w:hAnsi="Times New Roman" w:cs="Times New Roman"/>
          <w:sz w:val="24"/>
          <w:szCs w:val="24"/>
        </w:rPr>
      </w:pPr>
      <w:r w:rsidRPr="00717352">
        <w:rPr>
          <w:rFonts w:ascii="Times New Roman" w:eastAsia="Times New Roman" w:hAnsi="Times New Roman" w:cs="Times New Roman"/>
          <w:sz w:val="24"/>
          <w:szCs w:val="24"/>
        </w:rPr>
        <w:t>Eliminar 14.533 vacantes (realizado entre 2018-2019) que no podrán contratarse.</w:t>
      </w:r>
    </w:p>
    <w:p w:rsidR="00717352" w:rsidRPr="00717352" w:rsidRDefault="00C12F27" w:rsidP="00717352">
      <w:pPr>
        <w:pStyle w:val="Prrafodelista"/>
        <w:numPr>
          <w:ilvl w:val="0"/>
          <w:numId w:val="12"/>
        </w:numPr>
        <w:spacing w:line="240" w:lineRule="auto"/>
        <w:jc w:val="both"/>
        <w:rPr>
          <w:rFonts w:ascii="Times New Roman" w:eastAsia="Times New Roman" w:hAnsi="Times New Roman" w:cs="Times New Roman"/>
          <w:sz w:val="24"/>
          <w:szCs w:val="24"/>
        </w:rPr>
      </w:pPr>
      <w:r w:rsidRPr="00717352">
        <w:rPr>
          <w:rFonts w:ascii="Times New Roman" w:eastAsia="Times New Roman" w:hAnsi="Times New Roman" w:cs="Times New Roman"/>
          <w:sz w:val="24"/>
          <w:szCs w:val="24"/>
        </w:rPr>
        <w:t>Reducir 11.500 contratos ocasionales (hasta enero de 2019).</w:t>
      </w:r>
    </w:p>
    <w:p w:rsidR="00717352" w:rsidRDefault="00C12F27" w:rsidP="00717352">
      <w:pPr>
        <w:pStyle w:val="Prrafodelista"/>
        <w:numPr>
          <w:ilvl w:val="0"/>
          <w:numId w:val="12"/>
        </w:numPr>
        <w:spacing w:line="240" w:lineRule="auto"/>
        <w:jc w:val="both"/>
        <w:rPr>
          <w:rFonts w:ascii="Times New Roman" w:eastAsia="Times New Roman" w:hAnsi="Times New Roman" w:cs="Times New Roman"/>
          <w:sz w:val="24"/>
          <w:szCs w:val="24"/>
        </w:rPr>
      </w:pPr>
      <w:r w:rsidRPr="00717352">
        <w:rPr>
          <w:rFonts w:ascii="Times New Roman" w:eastAsia="Times New Roman" w:hAnsi="Times New Roman" w:cs="Times New Roman"/>
          <w:sz w:val="24"/>
          <w:szCs w:val="24"/>
        </w:rPr>
        <w:t>Reducir la escala salarial de los funcionarios pertenecientes al nivel jerárquico superior.</w:t>
      </w:r>
    </w:p>
    <w:p w:rsidR="00963B9F" w:rsidRPr="00717352"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En</w:t>
      </w:r>
      <w:proofErr w:type="gramEnd"/>
      <w:r w:rsidR="00C12F27" w:rsidRPr="00717352">
        <w:rPr>
          <w:rFonts w:ascii="Times New Roman" w:eastAsia="Times New Roman" w:hAnsi="Times New Roman" w:cs="Times New Roman"/>
          <w:sz w:val="24"/>
          <w:szCs w:val="24"/>
        </w:rPr>
        <w:t xml:space="preserve"> la misma matriz se destaca que estos compromisos fueron desarrollados por las siguientes resoluciones:</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5 de 24 de mayo de 2017 para la supresión de la Secretaría Nacional de la Administración Pública.</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7 de 24 de mayo de 2017 para la supresión del Ministerio de Coordinación de la Producción, Empleo y Competitividad; de Sectores Estratégicos; de Seguridad y del Conocimiento y talento Humano.</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11 de 25 de mayo de 2017 para la transformación de la Dirección de Juventudes del Ministerio de Inclusión Económica y Social en la Secretaría Técnica de Juventudes.</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376 de 23 de Abril de 2018 para la supresión de la Secretaría Técnica de Prevención Integral de Drogas, asignando sus atribuciones al Ministerio del Interior.</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399 de 15 de mayo de 2018 establece la fusión por absorción al Ministerio de Hidrocarburos del Ministerio de Electricidad y Energía Renovable, Ministerio de Minería y Secretaría de Hidrocarburos.</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520 de 20 de septiembre de 2018 establece la fusión por absorción al Ministerio de</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526 de 21 de septiembre de 2018 suprime la Secretaría de Inteligencia y se crea el Centro de Inteligencia Estratégica.</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533 de 3 de octubre de 2018 establece la fusión del Ministerio del Ambiente y la Secretaría del Agua para convertirse en el Ministerio del Ambiente y Agua.</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534 de 3 de octubre de 2018 para a transformación de la Secretaría Nacional de Riesgos en el Servicio Nacional de Gestión de Riesgos y Emergencias y la creación del Comité del Servicio Nacional de Gestión de Riesgos y Emergencias.</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Decreto Ejecutivo Nº 535 de 11 de octubre de 2018 suprime la Secretaría Nacional de Comunicación y crea la Secretaría General de Comunicación dentro de la Presidencia de la República.</w:t>
      </w:r>
    </w:p>
    <w:p w:rsidR="00963B9F" w:rsidRPr="00551CC3"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lastRenderedPageBreak/>
        <w:t>Decreto Ejecutivo Nº 559 de 14 de noviembre de 2018 establece la fusión por absorción al Ministerio de Comercio Exterior e Inversiones, del Ministerio de Industrias y Productividad y el Instituto de Promoción de Exportaciones e Inversiones Extranjeras y el Ministerio de Acuacultura.</w:t>
      </w:r>
    </w:p>
    <w:p w:rsidR="00963B9F" w:rsidRDefault="00C12F27" w:rsidP="00717352">
      <w:pPr>
        <w:pStyle w:val="Prrafodelista"/>
        <w:numPr>
          <w:ilvl w:val="0"/>
          <w:numId w:val="13"/>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Como puede apreciarse, existe una directriz clara orientada a la reducción del peso institucional del Estado, que sigue implementándose. No se conocen en cambio los análisis que sustentan cada una de estas decisiones en términos de afectación a los DESC o de mantenimiento de garantías de los mismos. Tampoco se han publicado análisis respecto del impacto de estas medidas pero los datos recogidos en este y otros informes elevados ante el Comité indican una merma clara de la capacidad estatal para la garantía de los derechos protegidos por el PIDESC.</w:t>
      </w:r>
    </w:p>
    <w:p w:rsidR="00717352" w:rsidRPr="00717352" w:rsidRDefault="00717352" w:rsidP="00717352">
      <w:pPr>
        <w:spacing w:line="240" w:lineRule="auto"/>
        <w:jc w:val="both"/>
        <w:rPr>
          <w:rFonts w:ascii="Times New Roman" w:eastAsia="Times New Roman" w:hAnsi="Times New Roman" w:cs="Times New Roman"/>
          <w:sz w:val="24"/>
          <w:szCs w:val="24"/>
        </w:rPr>
      </w:pPr>
    </w:p>
    <w:p w:rsidR="00963B9F" w:rsidRDefault="00C12F27" w:rsidP="000C40D1">
      <w:pPr>
        <w:pStyle w:val="Ttulo3"/>
        <w:keepNext w:val="0"/>
        <w:keepLines w:val="0"/>
        <w:numPr>
          <w:ilvl w:val="2"/>
          <w:numId w:val="3"/>
        </w:numPr>
        <w:spacing w:before="0" w:after="0" w:line="240" w:lineRule="auto"/>
        <w:ind w:left="0" w:firstLine="0"/>
        <w:jc w:val="both"/>
        <w:rPr>
          <w:rFonts w:ascii="Times New Roman" w:eastAsia="Times New Roman" w:hAnsi="Times New Roman" w:cs="Times New Roman"/>
          <w:b/>
          <w:color w:val="000000"/>
          <w:sz w:val="24"/>
          <w:szCs w:val="24"/>
        </w:rPr>
      </w:pPr>
      <w:bookmarkStart w:id="6" w:name="_h92ftc8isx85" w:colFirst="0" w:colLast="0"/>
      <w:bookmarkEnd w:id="6"/>
      <w:r>
        <w:rPr>
          <w:rFonts w:ascii="Times New Roman" w:eastAsia="Times New Roman" w:hAnsi="Times New Roman" w:cs="Times New Roman"/>
          <w:b/>
          <w:color w:val="000000"/>
          <w:sz w:val="24"/>
          <w:szCs w:val="24"/>
        </w:rPr>
        <w:t>Las reformas laborales adoptadas y las comprometidas con el FMI y su impacto sobre el derecho al trabajo recogido en el artículo 7 del PIDESC.</w:t>
      </w:r>
    </w:p>
    <w:p w:rsidR="00717352" w:rsidRDefault="00717352" w:rsidP="00717352">
      <w:pPr>
        <w:spacing w:line="240" w:lineRule="auto"/>
        <w:jc w:val="both"/>
        <w:rPr>
          <w:rFonts w:ascii="Times New Roman" w:eastAsia="Times New Roman" w:hAnsi="Times New Roman" w:cs="Times New Roman"/>
          <w:sz w:val="24"/>
          <w:szCs w:val="24"/>
        </w:rPr>
      </w:pPr>
    </w:p>
    <w:p w:rsidR="00963B9F"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Las</w:t>
      </w:r>
      <w:proofErr w:type="gramEnd"/>
      <w:r w:rsidR="00C12F27" w:rsidRPr="00717352">
        <w:rPr>
          <w:rFonts w:ascii="Times New Roman" w:eastAsia="Times New Roman" w:hAnsi="Times New Roman" w:cs="Times New Roman"/>
          <w:sz w:val="24"/>
          <w:szCs w:val="24"/>
        </w:rPr>
        <w:t xml:space="preserve"> normas laborales han experimentado diversas reforma de amplio calado en el periodo que abarca este informe. En concreto, en el año 2017 el Ministerio de Trabajo abordó una reforma general de la contratación en diversos sectores. Tomando como ejemplo el sector del banano pueden destacarse los Acuerdos Ministeriales No. MDT-2018-0074, publicado en el Registro Oficial No. 238 de 10 de mayo de 2018 y No. MDT-2018-0096. En estos Acuerdos se regula el “Contrato de Trabajo Especial por Actividades a Jornada Parcial para el Sector Agrícola”, caracterizado por su elevada precariedad (carácter temporal, a tiempo parcial, sin una duración determinada, con una regulación vinculada fundamentalmente a la voluntad empresarial y con ausencia de la negociación colectiva). Las normas internacionales que vulnera esta nueva modalidad contractual, misma que se reguló para sectores como el turismo, la floricultura o el sector camaronero, son: Declaración Universal de los Derechos Humanos (art. 23.1, 23.2, 23.4 y 24); Pacto Internacional de Derechos Civiles y Políticos (art. 22), ratificado por el Ecuador; Pacto Internacional de los Derechos Económicos, Sociales y Culturales (art. 2, 7.a, 7.b y 8). Se vulnerarían igualmente los siguientes convenios de la Organización Internacional del Trabajo ratificados por el Ecuador: Convenio 87 relativo a la libertad sindical y a la protección del derecho de sindicación, artículo 11; Convenio 89 sobre el derecho de sindicación y de negociación colectiva, artículo 4. Convenio 011, relativo a los derechos de asociación y de coalición de los trabajadores agrícolas, artículo 1; Convenio 110 relativo a las condiciones de empleo de los trabajadores de las plantaciones, artículos 24, 25 y 34;   Convenio 141 sobre las organizaciones de trabajadores rurales y su función en el desarrollo económico y social, artículo 5</w:t>
      </w:r>
      <w:r>
        <w:rPr>
          <w:rFonts w:ascii="Times New Roman" w:eastAsia="Times New Roman" w:hAnsi="Times New Roman" w:cs="Times New Roman"/>
          <w:sz w:val="24"/>
          <w:szCs w:val="24"/>
        </w:rPr>
        <w:t xml:space="preserve">. </w:t>
      </w:r>
      <w:r w:rsidR="00C12F27" w:rsidRPr="00717352">
        <w:rPr>
          <w:rFonts w:ascii="Times New Roman" w:eastAsia="Times New Roman" w:hAnsi="Times New Roman" w:cs="Times New Roman"/>
          <w:sz w:val="24"/>
          <w:szCs w:val="24"/>
        </w:rPr>
        <w:t>Además, debe considerarse que, al aprobar estos Acuerdos, el Ministerio de Trabajo actuó con un consciente desapego al mandato del artículo 426 CE así como al debido respeto de la seguridad jurídica, establecido en el artículo 82 CE.</w:t>
      </w:r>
      <w:r w:rsidRPr="00717352">
        <w:rPr>
          <w:rFonts w:ascii="Times New Roman" w:eastAsia="Times New Roman" w:hAnsi="Times New Roman" w:cs="Times New Roman"/>
          <w:sz w:val="24"/>
          <w:szCs w:val="24"/>
        </w:rPr>
        <w:t xml:space="preserve"> </w:t>
      </w:r>
      <w:r w:rsidR="00C12F27" w:rsidRPr="00717352">
        <w:rPr>
          <w:rFonts w:ascii="Times New Roman" w:eastAsia="Times New Roman" w:hAnsi="Times New Roman" w:cs="Times New Roman"/>
          <w:sz w:val="24"/>
          <w:szCs w:val="24"/>
        </w:rPr>
        <w:t>El Acuerdo Ministerial señalado fue objeto de una demanda de inconstitucionalidad que la Corte Constitucional procedió a inadmitir mediante resolución de 2 de mayo de 2019 (Caso N°. 0044-18-IN Jueza Constitucional Ponente: Carmen Corral Ponce Sala de admisión de la Corte Constitucional- Quito D.M.- 02 de mayo de 2019)</w:t>
      </w:r>
      <w:r>
        <w:rPr>
          <w:rFonts w:ascii="Times New Roman" w:eastAsia="Times New Roman" w:hAnsi="Times New Roman" w:cs="Times New Roman"/>
          <w:sz w:val="24"/>
          <w:szCs w:val="24"/>
        </w:rPr>
        <w:t>.</w:t>
      </w:r>
    </w:p>
    <w:p w:rsidR="00717352" w:rsidRDefault="00717352" w:rsidP="00717352">
      <w:pPr>
        <w:pStyle w:val="Prrafodelista"/>
        <w:spacing w:line="240" w:lineRule="auto"/>
        <w:ind w:left="0"/>
        <w:jc w:val="both"/>
        <w:rPr>
          <w:rFonts w:ascii="Times New Roman" w:eastAsia="Times New Roman" w:hAnsi="Times New Roman" w:cs="Times New Roman"/>
          <w:sz w:val="24"/>
          <w:szCs w:val="24"/>
        </w:rPr>
      </w:pPr>
    </w:p>
    <w:p w:rsidR="00963B9F" w:rsidRPr="00551CC3" w:rsidRDefault="00717352" w:rsidP="00717352">
      <w:pPr>
        <w:pStyle w:val="Prrafodelista"/>
        <w:spacing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roofErr w:type="gramStart"/>
      <w:r>
        <w:rPr>
          <w:rFonts w:ascii="Times New Roman" w:eastAsia="Times New Roman" w:hAnsi="Times New Roman" w:cs="Times New Roman"/>
          <w:sz w:val="24"/>
          <w:szCs w:val="24"/>
        </w:rPr>
        <w:t>.</w:t>
      </w:r>
      <w:r w:rsidR="00C12F27" w:rsidRPr="00551CC3">
        <w:rPr>
          <w:rFonts w:ascii="Times New Roman" w:eastAsia="Times New Roman" w:hAnsi="Times New Roman" w:cs="Times New Roman"/>
          <w:sz w:val="24"/>
          <w:szCs w:val="24"/>
        </w:rPr>
        <w:t>Tras</w:t>
      </w:r>
      <w:proofErr w:type="gramEnd"/>
      <w:r w:rsidR="00C12F27" w:rsidRPr="00551CC3">
        <w:rPr>
          <w:rFonts w:ascii="Times New Roman" w:eastAsia="Times New Roman" w:hAnsi="Times New Roman" w:cs="Times New Roman"/>
          <w:sz w:val="24"/>
          <w:szCs w:val="24"/>
        </w:rPr>
        <w:t xml:space="preserve"> estas reformas sectoriales de gran alcance, las condicionalidades establecidas en el acuerdo entre el gobierno y el FMI se centran igualmente en materia laboral. El gobierno se ha comprometido a reformar las normas laborales con tres grandes lineamientos, que según los últimos compromisos serán plasmados en una reforma laboral que debe ser presentada en este otoño ante la Asamblea Nacional:</w:t>
      </w:r>
    </w:p>
    <w:p w:rsidR="00963B9F" w:rsidRPr="00551CC3" w:rsidRDefault="00C12F27" w:rsidP="00717352">
      <w:pPr>
        <w:pStyle w:val="Prrafodelista"/>
        <w:numPr>
          <w:ilvl w:val="1"/>
          <w:numId w:val="14"/>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lastRenderedPageBreak/>
        <w:t>“Permitir contratos laborales menos rígidos que puedan apoyar particularmente un aumento en la participación de la fuerza laboral femenina y oportunidades de empleo juvenil”. Debe tenerse en cuenta que, por un lado, una buena parte de sectores ya tienen establecidas modalidades de contratación “no rígida” (como se ha señalado en párrafos anteriores); y que, por otro lado, atribuir como vía de integración laboral para mujeres y jóvenes los contratos “menor rígidos” (temporales o a tiempo parcial) supone una medida discriminatoria contraria a la Constitución y a los compromisos del Ecuador con los tratados internacionales pertinentes, incluido evidentemente el PIDESC. De hecho, esta aproximación discriminatoria se evidencia en otro de los párrafos (el 21) del Memorando Económico del FMI (parte del acuerdo) donde se señala que “La introducción de contratos laborales menos rígidos beneficiará en particular a las mujeres que prefieran trabajar a tiempo parcial o en empleos temporales, lo cual aumentará su participación en el mercado laboral”.</w:t>
      </w:r>
    </w:p>
    <w:p w:rsidR="00963B9F" w:rsidRPr="00551CC3" w:rsidRDefault="00C12F27" w:rsidP="00717352">
      <w:pPr>
        <w:pStyle w:val="Prrafodelista"/>
        <w:numPr>
          <w:ilvl w:val="1"/>
          <w:numId w:val="14"/>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 xml:space="preserve">“Aumentar el período de prueba antes de un contrato indefinido”. Esta medida, impulsada por el FMI en otros países, ha sido considerada como contraria al Convenio 158 de la OIT en Francia y derogada por su incompatibilidad con el trabajo digno. Se trata de una medida regresiva de derechos y </w:t>
      </w:r>
      <w:proofErr w:type="spellStart"/>
      <w:r w:rsidRPr="00551CC3">
        <w:rPr>
          <w:rFonts w:ascii="Times New Roman" w:eastAsia="Times New Roman" w:hAnsi="Times New Roman" w:cs="Times New Roman"/>
          <w:sz w:val="24"/>
          <w:szCs w:val="24"/>
        </w:rPr>
        <w:t>precarizadora</w:t>
      </w:r>
      <w:proofErr w:type="spellEnd"/>
      <w:r w:rsidRPr="00551CC3">
        <w:rPr>
          <w:rFonts w:ascii="Times New Roman" w:eastAsia="Times New Roman" w:hAnsi="Times New Roman" w:cs="Times New Roman"/>
          <w:sz w:val="24"/>
          <w:szCs w:val="24"/>
        </w:rPr>
        <w:t>, contraria a los artículos 33 y 337 de la Constitución y sus preceptos respectivos en el PIDESC.</w:t>
      </w:r>
    </w:p>
    <w:p w:rsidR="00963B9F" w:rsidRDefault="00C12F27" w:rsidP="00717352">
      <w:pPr>
        <w:pStyle w:val="Prrafodelista"/>
        <w:numPr>
          <w:ilvl w:val="1"/>
          <w:numId w:val="14"/>
        </w:numPr>
        <w:spacing w:line="240" w:lineRule="auto"/>
        <w:jc w:val="both"/>
        <w:rPr>
          <w:rFonts w:ascii="Times New Roman" w:eastAsia="Times New Roman" w:hAnsi="Times New Roman" w:cs="Times New Roman"/>
          <w:sz w:val="24"/>
          <w:szCs w:val="24"/>
        </w:rPr>
      </w:pPr>
      <w:r w:rsidRPr="00551CC3">
        <w:rPr>
          <w:rFonts w:ascii="Times New Roman" w:eastAsia="Times New Roman" w:hAnsi="Times New Roman" w:cs="Times New Roman"/>
          <w:sz w:val="24"/>
          <w:szCs w:val="24"/>
        </w:rPr>
        <w:t>“Reducir los costos de contratación y despido al eliminar las indemnizaciones por despido de los trabajadores que renuncian voluntariamente”. Se trata de otra medida que impacta en el principio de estabilidad en el empleo y en la consecución del trabajo digno. Se vulnerarán con su implementación los artículos 33 y 337 de la Constitución y sus preceptos respectivos en el PIDESC.</w:t>
      </w:r>
    </w:p>
    <w:p w:rsidR="00717352" w:rsidRPr="00717352" w:rsidRDefault="00717352" w:rsidP="00717352">
      <w:pPr>
        <w:spacing w:line="240" w:lineRule="auto"/>
        <w:jc w:val="both"/>
        <w:rPr>
          <w:rFonts w:ascii="Times New Roman" w:eastAsia="Times New Roman" w:hAnsi="Times New Roman" w:cs="Times New Roman"/>
          <w:sz w:val="24"/>
          <w:szCs w:val="24"/>
        </w:rPr>
      </w:pPr>
    </w:p>
    <w:p w:rsidR="00963B9F" w:rsidRPr="00717352"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Por</w:t>
      </w:r>
      <w:proofErr w:type="gramEnd"/>
      <w:r w:rsidR="00C12F27" w:rsidRPr="00717352">
        <w:rPr>
          <w:rFonts w:ascii="Times New Roman" w:eastAsia="Times New Roman" w:hAnsi="Times New Roman" w:cs="Times New Roman"/>
          <w:sz w:val="24"/>
          <w:szCs w:val="24"/>
        </w:rPr>
        <w:t xml:space="preserve"> su parte, el Consejo Nacional de Trabajo, aprobó los siguientes parámetros para una futura reforma laboral, en consonancia con el objetivo de devaluación del precio de la mano de obra ínsito en el acuerdo con el FMI:</w:t>
      </w:r>
    </w:p>
    <w:p w:rsidR="00963B9F" w:rsidRPr="00717352" w:rsidRDefault="00C12F27" w:rsidP="00717352">
      <w:pPr>
        <w:pStyle w:val="Prrafodelista"/>
        <w:numPr>
          <w:ilvl w:val="0"/>
          <w:numId w:val="19"/>
        </w:numPr>
        <w:ind w:left="1418" w:hanging="284"/>
        <w:jc w:val="both"/>
        <w:rPr>
          <w:rFonts w:ascii="Times New Roman" w:hAnsi="Times New Roman" w:cs="Times New Roman"/>
          <w:sz w:val="24"/>
          <w:szCs w:val="24"/>
        </w:rPr>
      </w:pPr>
      <w:r w:rsidRPr="00717352">
        <w:rPr>
          <w:rFonts w:ascii="Times New Roman" w:hAnsi="Times New Roman" w:cs="Times New Roman"/>
          <w:sz w:val="24"/>
          <w:szCs w:val="24"/>
        </w:rPr>
        <w:t>Establecimiento de una jornada laboral de 40 horas que podrá ser distribuida en distintos días de la semana, es decir, no estará limitada a cumplirse de lunes a viernes. Este cambio supone una vulneración de los derechos de conciliación personal, laboral y familiar así como del principio de no regresividad.</w:t>
      </w:r>
    </w:p>
    <w:p w:rsidR="00963B9F" w:rsidRPr="00717352" w:rsidRDefault="00C12F27" w:rsidP="00717352">
      <w:pPr>
        <w:pStyle w:val="Prrafodelista"/>
        <w:numPr>
          <w:ilvl w:val="0"/>
          <w:numId w:val="19"/>
        </w:numPr>
        <w:ind w:left="1418" w:hanging="284"/>
        <w:jc w:val="both"/>
        <w:rPr>
          <w:rFonts w:ascii="Times New Roman" w:hAnsi="Times New Roman" w:cs="Times New Roman"/>
          <w:sz w:val="24"/>
          <w:szCs w:val="24"/>
        </w:rPr>
      </w:pPr>
      <w:r w:rsidRPr="00717352">
        <w:rPr>
          <w:rFonts w:ascii="Times New Roman" w:hAnsi="Times New Roman" w:cs="Times New Roman"/>
          <w:sz w:val="24"/>
          <w:szCs w:val="24"/>
        </w:rPr>
        <w:t>Creación de un contrato especial para emprendimientos y nuevas inversiones. Esta nueva modalidad contractual, sumada a las anteriores, supone una nueva precarización del trabajo, prohibida constitucionalmente y una violación del principio de no regresividad.</w:t>
      </w:r>
    </w:p>
    <w:p w:rsidR="00963B9F" w:rsidRPr="00717352" w:rsidRDefault="00C12F27" w:rsidP="00717352">
      <w:pPr>
        <w:pStyle w:val="Prrafodelista"/>
        <w:numPr>
          <w:ilvl w:val="0"/>
          <w:numId w:val="19"/>
        </w:numPr>
        <w:ind w:left="1418" w:hanging="284"/>
        <w:jc w:val="both"/>
        <w:rPr>
          <w:rFonts w:ascii="Times New Roman" w:hAnsi="Times New Roman" w:cs="Times New Roman"/>
          <w:sz w:val="24"/>
          <w:szCs w:val="24"/>
        </w:rPr>
      </w:pPr>
      <w:r w:rsidRPr="00717352">
        <w:rPr>
          <w:rFonts w:ascii="Times New Roman" w:hAnsi="Times New Roman" w:cs="Times New Roman"/>
          <w:sz w:val="24"/>
          <w:szCs w:val="24"/>
        </w:rPr>
        <w:t>Eliminación el recargo del 35% en los contratos eventuales y ocasionales. Esta reforma sumada a las anteriores, supone una nueva precarización del trabajo, prohibida constitucionalmente y una violación del principio de no regresividad.</w:t>
      </w:r>
    </w:p>
    <w:p w:rsidR="00963B9F" w:rsidRDefault="00963B9F" w:rsidP="000C40D1">
      <w:pPr>
        <w:spacing w:line="240" w:lineRule="auto"/>
        <w:jc w:val="both"/>
        <w:rPr>
          <w:rFonts w:ascii="Times New Roman" w:eastAsia="Times New Roman" w:hAnsi="Times New Roman" w:cs="Times New Roman"/>
          <w:sz w:val="24"/>
          <w:szCs w:val="24"/>
        </w:rPr>
      </w:pPr>
    </w:p>
    <w:p w:rsidR="00963B9F" w:rsidRDefault="00717352" w:rsidP="000C40D1">
      <w:pPr>
        <w:pStyle w:val="Ttulo3"/>
        <w:keepNext w:val="0"/>
        <w:keepLines w:val="0"/>
        <w:numPr>
          <w:ilvl w:val="2"/>
          <w:numId w:val="3"/>
        </w:numPr>
        <w:spacing w:before="0" w:after="0" w:line="240" w:lineRule="auto"/>
        <w:ind w:left="0" w:firstLine="0"/>
        <w:jc w:val="both"/>
        <w:rPr>
          <w:rFonts w:ascii="Times New Roman" w:eastAsia="Times New Roman" w:hAnsi="Times New Roman" w:cs="Times New Roman"/>
          <w:b/>
          <w:color w:val="000000"/>
          <w:sz w:val="24"/>
          <w:szCs w:val="24"/>
        </w:rPr>
      </w:pPr>
      <w:bookmarkStart w:id="7" w:name="_qndjtdp3oate" w:colFirst="0" w:colLast="0"/>
      <w:bookmarkEnd w:id="7"/>
      <w:r>
        <w:rPr>
          <w:rFonts w:ascii="Times New Roman" w:eastAsia="Times New Roman" w:hAnsi="Times New Roman" w:cs="Times New Roman"/>
          <w:b/>
          <w:color w:val="000000"/>
          <w:sz w:val="24"/>
          <w:szCs w:val="24"/>
        </w:rPr>
        <w:t xml:space="preserve"> </w:t>
      </w:r>
      <w:r w:rsidR="00C12F27">
        <w:rPr>
          <w:rFonts w:ascii="Times New Roman" w:eastAsia="Times New Roman" w:hAnsi="Times New Roman" w:cs="Times New Roman"/>
          <w:b/>
          <w:color w:val="000000"/>
          <w:sz w:val="24"/>
          <w:szCs w:val="24"/>
        </w:rPr>
        <w:t>El impacto del acuerdo entre el Gobierno y el FMI sobre la Economía Popular y Solidaria: la voluntad de controlar las cooperativas y las repercusiones en los DESC</w:t>
      </w:r>
    </w:p>
    <w:p w:rsidR="00717352" w:rsidRPr="00717352" w:rsidRDefault="00717352" w:rsidP="00717352"/>
    <w:p w:rsidR="00963B9F" w:rsidRDefault="00717352" w:rsidP="00717352">
      <w:pPr>
        <w:pStyle w:val="Prrafodelista"/>
        <w:shd w:val="clear" w:color="auto" w:fill="FFFFFF"/>
        <w:spacing w:line="240" w:lineRule="auto"/>
        <w:ind w:left="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30</w:t>
      </w:r>
      <w:proofErr w:type="gramStart"/>
      <w:r>
        <w:rPr>
          <w:rFonts w:ascii="Times New Roman" w:eastAsia="Times New Roman" w:hAnsi="Times New Roman" w:cs="Times New Roman"/>
          <w:color w:val="222222"/>
          <w:sz w:val="24"/>
          <w:szCs w:val="24"/>
        </w:rPr>
        <w:t>.</w:t>
      </w:r>
      <w:r w:rsidR="00C12F27" w:rsidRPr="00551CC3">
        <w:rPr>
          <w:rFonts w:ascii="Times New Roman" w:eastAsia="Times New Roman" w:hAnsi="Times New Roman" w:cs="Times New Roman"/>
          <w:sz w:val="24"/>
          <w:szCs w:val="24"/>
        </w:rPr>
        <w:t>El</w:t>
      </w:r>
      <w:proofErr w:type="gramEnd"/>
      <w:r w:rsidR="00C12F27" w:rsidRPr="00551CC3">
        <w:rPr>
          <w:rFonts w:ascii="Times New Roman" w:eastAsia="Times New Roman" w:hAnsi="Times New Roman" w:cs="Times New Roman"/>
          <w:sz w:val="24"/>
          <w:szCs w:val="24"/>
        </w:rPr>
        <w:t xml:space="preserve"> sistema de la Economía Popular y Solidaria está constitucionalmente orientado al establecimiento de formas de producción alternativas que aseguren el buen vivir y la redistribución de la renta y la riqueza. Este sistema se establece en la Constitución como uno de los pilares de la producción nacional, integrándose los mandatos de promoción y protección </w:t>
      </w:r>
      <w:r w:rsidR="00C12F27" w:rsidRPr="00551CC3">
        <w:rPr>
          <w:rFonts w:ascii="Times New Roman" w:eastAsia="Times New Roman" w:hAnsi="Times New Roman" w:cs="Times New Roman"/>
          <w:sz w:val="24"/>
          <w:szCs w:val="24"/>
        </w:rPr>
        <w:lastRenderedPageBreak/>
        <w:t xml:space="preserve">(Art. 283, Art. 319 y Art. 311, entre otros). </w:t>
      </w:r>
      <w:r w:rsidR="00C12F27" w:rsidRPr="00551CC3">
        <w:rPr>
          <w:rFonts w:ascii="Times New Roman" w:eastAsia="Times New Roman" w:hAnsi="Times New Roman" w:cs="Times New Roman"/>
          <w:color w:val="222222"/>
          <w:sz w:val="24"/>
          <w:szCs w:val="24"/>
        </w:rPr>
        <w:t>El acuerdo con el FMI apunta directamente a las cooperativas y al sistema de la economía popular y solidaria. Una de las condicionalidades del acuerdo aceptada por el gobierno es establecer una “supervisión financiera más estricta” asimilando las cooperativas a los bancos, lo cual rompe con su naturaleza y el mandato constitucional de protección, suponiendo igualmente una regresión de derechos sociales y económicos, prohibida en el art. 11.8 de la Constitución, en línea con el PIDESC.</w:t>
      </w:r>
    </w:p>
    <w:p w:rsidR="00717352" w:rsidRPr="00551CC3" w:rsidRDefault="00717352" w:rsidP="00717352">
      <w:pPr>
        <w:pStyle w:val="Prrafodelista"/>
        <w:shd w:val="clear" w:color="auto" w:fill="FFFFFF"/>
        <w:spacing w:line="240" w:lineRule="auto"/>
        <w:ind w:left="0"/>
        <w:jc w:val="both"/>
        <w:rPr>
          <w:rFonts w:ascii="Times New Roman" w:eastAsia="Times New Roman" w:hAnsi="Times New Roman" w:cs="Times New Roman"/>
          <w:sz w:val="24"/>
          <w:szCs w:val="24"/>
        </w:rPr>
      </w:pPr>
    </w:p>
    <w:p w:rsidR="00963B9F" w:rsidRDefault="00C12F27" w:rsidP="000C40D1">
      <w:pPr>
        <w:pStyle w:val="Ttulo2"/>
        <w:keepNext w:val="0"/>
        <w:keepLines w:val="0"/>
        <w:numPr>
          <w:ilvl w:val="0"/>
          <w:numId w:val="3"/>
        </w:numPr>
        <w:spacing w:before="0" w:after="0" w:line="240" w:lineRule="auto"/>
        <w:ind w:left="0" w:firstLine="0"/>
        <w:jc w:val="both"/>
        <w:rPr>
          <w:rFonts w:ascii="Times New Roman" w:eastAsia="Times New Roman" w:hAnsi="Times New Roman" w:cs="Times New Roman"/>
          <w:b/>
          <w:sz w:val="24"/>
          <w:szCs w:val="24"/>
        </w:rPr>
      </w:pPr>
      <w:bookmarkStart w:id="8" w:name="_lmy9rzkugme" w:colFirst="0" w:colLast="0"/>
      <w:bookmarkEnd w:id="8"/>
      <w:r>
        <w:rPr>
          <w:rFonts w:ascii="Times New Roman" w:eastAsia="Times New Roman" w:hAnsi="Times New Roman" w:cs="Times New Roman"/>
          <w:b/>
          <w:sz w:val="24"/>
          <w:szCs w:val="24"/>
        </w:rPr>
        <w:t xml:space="preserve">El impacto en los DESC de la limitación de recursos disponibles para la promoción, protección y garantía estos derechos aplicada por el gobierno de </w:t>
      </w:r>
      <w:proofErr w:type="spellStart"/>
      <w:r>
        <w:rPr>
          <w:rFonts w:ascii="Times New Roman" w:eastAsia="Times New Roman" w:hAnsi="Times New Roman" w:cs="Times New Roman"/>
          <w:b/>
          <w:sz w:val="24"/>
          <w:szCs w:val="24"/>
        </w:rPr>
        <w:t>Lenín</w:t>
      </w:r>
      <w:proofErr w:type="spellEnd"/>
      <w:r>
        <w:rPr>
          <w:rFonts w:ascii="Times New Roman" w:eastAsia="Times New Roman" w:hAnsi="Times New Roman" w:cs="Times New Roman"/>
          <w:b/>
          <w:sz w:val="24"/>
          <w:szCs w:val="24"/>
        </w:rPr>
        <w:t xml:space="preserve"> Moreno Garcés.</w:t>
      </w:r>
    </w:p>
    <w:p w:rsidR="00717352" w:rsidRPr="00717352" w:rsidRDefault="00717352" w:rsidP="00717352"/>
    <w:p w:rsidR="00963B9F" w:rsidRPr="00717352"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Para</w:t>
      </w:r>
      <w:proofErr w:type="gramEnd"/>
      <w:r w:rsidR="00C12F27" w:rsidRPr="00717352">
        <w:rPr>
          <w:rFonts w:ascii="Times New Roman" w:eastAsia="Times New Roman" w:hAnsi="Times New Roman" w:cs="Times New Roman"/>
          <w:sz w:val="24"/>
          <w:szCs w:val="24"/>
        </w:rPr>
        <w:t xml:space="preserve"> revertir los efectos que sobre los DESC tuvieron anteriores ajustes estructurales, en la última década se incrementó tanto la institucionalidad del Estado como el empleo público, lo que supuso una ampliación del gasto público general y del gasto social en particular. Estos avances están siendo drásticamente desmantelados, por lo que se esperaría retrocesos similares en cuanto al goce de DESC. Dejando de lado la ya señalada reducción del empleo público van a referirse algunos datos respecto del desmantelamiento de la institucionalidad que ha sido la base del desarrollo de los DESC en el conjunto del territorio.</w:t>
      </w:r>
    </w:p>
    <w:p w:rsidR="00717352" w:rsidRPr="00717352" w:rsidRDefault="00717352" w:rsidP="00717352">
      <w:pPr>
        <w:spacing w:line="240" w:lineRule="auto"/>
        <w:jc w:val="both"/>
        <w:rPr>
          <w:rFonts w:ascii="Times New Roman" w:eastAsia="Times New Roman" w:hAnsi="Times New Roman" w:cs="Times New Roman"/>
          <w:sz w:val="24"/>
          <w:szCs w:val="24"/>
        </w:rPr>
      </w:pPr>
    </w:p>
    <w:p w:rsidR="00963B9F" w:rsidRDefault="00C12F27" w:rsidP="000C40D1">
      <w:pPr>
        <w:pStyle w:val="Ttulo3"/>
        <w:keepNext w:val="0"/>
        <w:keepLines w:val="0"/>
        <w:numPr>
          <w:ilvl w:val="2"/>
          <w:numId w:val="3"/>
        </w:numPr>
        <w:spacing w:before="0" w:after="0" w:line="240" w:lineRule="auto"/>
        <w:ind w:left="0" w:firstLine="0"/>
        <w:jc w:val="both"/>
        <w:rPr>
          <w:rFonts w:ascii="Times New Roman" w:eastAsia="Times New Roman" w:hAnsi="Times New Roman" w:cs="Times New Roman"/>
          <w:b/>
          <w:color w:val="000000"/>
          <w:sz w:val="24"/>
          <w:szCs w:val="24"/>
        </w:rPr>
      </w:pPr>
      <w:bookmarkStart w:id="9" w:name="_d02g2auk7xfv" w:colFirst="0" w:colLast="0"/>
      <w:bookmarkEnd w:id="9"/>
      <w:r>
        <w:rPr>
          <w:rFonts w:ascii="Times New Roman" w:eastAsia="Times New Roman" w:hAnsi="Times New Roman" w:cs="Times New Roman"/>
          <w:b/>
          <w:color w:val="000000"/>
          <w:sz w:val="24"/>
          <w:szCs w:val="24"/>
        </w:rPr>
        <w:t>La reducción de la institucionalidad, la eliminación de los Ministerios coordinadores y la afectación a la coordinación de políticas de promoción y garantía de los DESC</w:t>
      </w:r>
    </w:p>
    <w:p w:rsidR="00963B9F" w:rsidRDefault="00963B9F" w:rsidP="000C40D1">
      <w:pPr>
        <w:spacing w:line="240" w:lineRule="auto"/>
      </w:pPr>
    </w:p>
    <w:p w:rsidR="00717352"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Como</w:t>
      </w:r>
      <w:proofErr w:type="gramEnd"/>
      <w:r w:rsidR="00C12F27" w:rsidRPr="00717352">
        <w:rPr>
          <w:rFonts w:ascii="Times New Roman" w:eastAsia="Times New Roman" w:hAnsi="Times New Roman" w:cs="Times New Roman"/>
          <w:sz w:val="24"/>
          <w:szCs w:val="24"/>
        </w:rPr>
        <w:t xml:space="preserve"> se ha señalado en el apartado </w:t>
      </w:r>
      <w:proofErr w:type="spellStart"/>
      <w:r w:rsidR="00C12F27" w:rsidRPr="00717352">
        <w:rPr>
          <w:rFonts w:ascii="Times New Roman" w:eastAsia="Times New Roman" w:hAnsi="Times New Roman" w:cs="Times New Roman"/>
          <w:sz w:val="24"/>
          <w:szCs w:val="24"/>
        </w:rPr>
        <w:t>II.b</w:t>
      </w:r>
      <w:proofErr w:type="spellEnd"/>
      <w:r w:rsidR="00C12F27" w:rsidRPr="00717352">
        <w:rPr>
          <w:rFonts w:ascii="Times New Roman" w:eastAsia="Times New Roman" w:hAnsi="Times New Roman" w:cs="Times New Roman"/>
          <w:sz w:val="24"/>
          <w:szCs w:val="24"/>
        </w:rPr>
        <w:t>) in fine, el gobierno se comprometió y ha venido ejecutando una amplia desinstitucionalización, eliminando secretarías, ministerios y direcciones antes encargados de la promoción y garantía de los DESC.</w:t>
      </w:r>
    </w:p>
    <w:p w:rsidR="00717352" w:rsidRDefault="00717352" w:rsidP="00717352">
      <w:pPr>
        <w:spacing w:line="240" w:lineRule="auto"/>
        <w:jc w:val="both"/>
        <w:rPr>
          <w:rFonts w:ascii="Times New Roman" w:eastAsia="Times New Roman" w:hAnsi="Times New Roman" w:cs="Times New Roman"/>
          <w:sz w:val="24"/>
          <w:szCs w:val="24"/>
        </w:rPr>
      </w:pPr>
    </w:p>
    <w:p w:rsidR="00963B9F"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r w:rsidR="00C12F27" w:rsidRPr="00551CC3">
        <w:rPr>
          <w:rFonts w:ascii="Times New Roman" w:eastAsia="Times New Roman" w:hAnsi="Times New Roman" w:cs="Times New Roman"/>
          <w:sz w:val="24"/>
          <w:szCs w:val="24"/>
        </w:rPr>
        <w:t>En concreto, la eliminación de los Ministerios coordinadores fue acometida en el año 2017 (Decreto Ejecutivo 7, el 26 de mayo del 2017, con el que eliminó seis ministerios coordinadores, fusionó la Secretaría Nacional de la Administración Pública con la Secretaría General de la Presidencia y también desapareció la Secretaría del Buen Vivir). La pérdida de estos ministerios ha provocado problemas de coordinación de políticas públicas y pérdida de eficiencia. Cabe señalar a modo de ejemplo que el 10 de mayo de 2019 (oficio 2019-0640OF) el ministerio de salud se vio obligado a pedir por vía administrativa la colaboración a las Fuerzas Armadas para hacer control de enfermedades vectoriales. Esta colaboración fue denegada, sin que conste ningún otro tipo de apoyo institucional</w:t>
      </w:r>
    </w:p>
    <w:p w:rsidR="00717352" w:rsidRPr="00551CC3" w:rsidRDefault="00717352" w:rsidP="00717352">
      <w:pPr>
        <w:spacing w:line="240" w:lineRule="auto"/>
        <w:jc w:val="both"/>
        <w:rPr>
          <w:rFonts w:ascii="Times New Roman" w:eastAsia="Times New Roman" w:hAnsi="Times New Roman" w:cs="Times New Roman"/>
          <w:sz w:val="24"/>
          <w:szCs w:val="24"/>
        </w:rPr>
      </w:pPr>
    </w:p>
    <w:p w:rsidR="00963B9F" w:rsidRDefault="00C12F27" w:rsidP="000C40D1">
      <w:pPr>
        <w:pStyle w:val="Ttulo3"/>
        <w:keepNext w:val="0"/>
        <w:keepLines w:val="0"/>
        <w:numPr>
          <w:ilvl w:val="2"/>
          <w:numId w:val="3"/>
        </w:numPr>
        <w:spacing w:before="0" w:after="0" w:line="240" w:lineRule="auto"/>
        <w:ind w:left="0" w:firstLine="0"/>
        <w:jc w:val="both"/>
        <w:rPr>
          <w:rFonts w:ascii="Times New Roman" w:eastAsia="Times New Roman" w:hAnsi="Times New Roman" w:cs="Times New Roman"/>
          <w:b/>
          <w:color w:val="000000"/>
          <w:sz w:val="24"/>
          <w:szCs w:val="24"/>
        </w:rPr>
      </w:pPr>
      <w:bookmarkStart w:id="10" w:name="_2kgdxfsnn34f" w:colFirst="0" w:colLast="0"/>
      <w:bookmarkEnd w:id="10"/>
      <w:r>
        <w:rPr>
          <w:rFonts w:ascii="Times New Roman" w:eastAsia="Times New Roman" w:hAnsi="Times New Roman" w:cs="Times New Roman"/>
          <w:b/>
          <w:color w:val="000000"/>
          <w:sz w:val="24"/>
          <w:szCs w:val="24"/>
        </w:rPr>
        <w:t>La práctica eliminación de la presencia de los servicios públicos estatales en el territorio y la afectación a los DESC</w:t>
      </w:r>
    </w:p>
    <w:p w:rsidR="00963B9F" w:rsidRDefault="00963B9F" w:rsidP="000C40D1">
      <w:pPr>
        <w:spacing w:line="240" w:lineRule="auto"/>
      </w:pPr>
    </w:p>
    <w:p w:rsidR="00717352"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En</w:t>
      </w:r>
      <w:proofErr w:type="gramEnd"/>
      <w:r w:rsidR="00C12F27" w:rsidRPr="00717352">
        <w:rPr>
          <w:rFonts w:ascii="Times New Roman" w:eastAsia="Times New Roman" w:hAnsi="Times New Roman" w:cs="Times New Roman"/>
          <w:sz w:val="24"/>
          <w:szCs w:val="24"/>
        </w:rPr>
        <w:t xml:space="preserve"> el PNBV 2013-2017 se enfatizó la importancia de la desconcentración en 9 zonas, 140 distritos y 1134 circuitos administrativos a efectos de “desconcentrar” los servicios públicos. En el año 2016 la Secretaría de Planificación proyectó la cantidad de órganos prestadores de servicios públicos necesaria para cubrir el conjunto del territorio, estableciendo la brecha entre lo ya desarrollado y la cobertura completa</w:t>
      </w:r>
      <w:r>
        <w:rPr>
          <w:rFonts w:ascii="Times New Roman" w:eastAsia="Times New Roman" w:hAnsi="Times New Roman" w:cs="Times New Roman"/>
          <w:sz w:val="24"/>
          <w:szCs w:val="24"/>
        </w:rPr>
        <w:t xml:space="preserve"> </w:t>
      </w:r>
      <w:r w:rsidR="00C12F27" w:rsidRPr="00717352">
        <w:rPr>
          <w:rFonts w:ascii="Times New Roman" w:eastAsia="Times New Roman" w:hAnsi="Times New Roman" w:cs="Times New Roman"/>
          <w:sz w:val="24"/>
          <w:szCs w:val="24"/>
        </w:rPr>
        <w:t>a través de las unidades desconcentradas cuyo objetivo era llevar los servicios públicos a los territorios a efectos de conseguir una reducción de las brechas de disfrute de los servicios públicos en las distintas áreas del territorio nacional.</w:t>
      </w:r>
    </w:p>
    <w:p w:rsidR="00717352" w:rsidRDefault="00717352" w:rsidP="00717352">
      <w:pPr>
        <w:spacing w:line="240" w:lineRule="auto"/>
        <w:jc w:val="both"/>
        <w:rPr>
          <w:rFonts w:ascii="Times New Roman" w:eastAsia="Times New Roman" w:hAnsi="Times New Roman" w:cs="Times New Roman"/>
          <w:sz w:val="24"/>
          <w:szCs w:val="24"/>
        </w:rPr>
      </w:pPr>
    </w:p>
    <w:p w:rsidR="00963B9F"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roofErr w:type="gramStart"/>
      <w:r>
        <w:rPr>
          <w:rFonts w:ascii="Times New Roman" w:eastAsia="Times New Roman" w:hAnsi="Times New Roman" w:cs="Times New Roman"/>
          <w:sz w:val="24"/>
          <w:szCs w:val="24"/>
        </w:rPr>
        <w:t>.</w:t>
      </w:r>
      <w:r w:rsidR="00C12F27" w:rsidRPr="00551CC3">
        <w:rPr>
          <w:rFonts w:ascii="Times New Roman" w:eastAsia="Times New Roman" w:hAnsi="Times New Roman" w:cs="Times New Roman"/>
          <w:sz w:val="24"/>
          <w:szCs w:val="24"/>
        </w:rPr>
        <w:t>La</w:t>
      </w:r>
      <w:proofErr w:type="gramEnd"/>
      <w:r w:rsidR="00C12F27" w:rsidRPr="00551CC3">
        <w:rPr>
          <w:rFonts w:ascii="Times New Roman" w:eastAsia="Times New Roman" w:hAnsi="Times New Roman" w:cs="Times New Roman"/>
          <w:sz w:val="24"/>
          <w:szCs w:val="24"/>
        </w:rPr>
        <w:t xml:space="preserve"> adopción de las Directrices para la reorganización de la presencia institucional en territorio y la reestructuración orgánica de la administración pública central (SENPLADES-MEF-MDT-001-2019) supone la práctica eliminación de la </w:t>
      </w:r>
      <w:proofErr w:type="spellStart"/>
      <w:r w:rsidR="00C12F27" w:rsidRPr="00551CC3">
        <w:rPr>
          <w:rFonts w:ascii="Times New Roman" w:eastAsia="Times New Roman" w:hAnsi="Times New Roman" w:cs="Times New Roman"/>
          <w:sz w:val="24"/>
          <w:szCs w:val="24"/>
        </w:rPr>
        <w:t>distritalización</w:t>
      </w:r>
      <w:proofErr w:type="spellEnd"/>
      <w:r w:rsidR="00C12F27" w:rsidRPr="00551CC3">
        <w:rPr>
          <w:rFonts w:ascii="Times New Roman" w:eastAsia="Times New Roman" w:hAnsi="Times New Roman" w:cs="Times New Roman"/>
          <w:sz w:val="24"/>
          <w:szCs w:val="24"/>
        </w:rPr>
        <w:t xml:space="preserve"> reduciendo los 140 distritos a menos de 20. Esto implica una vulneración de diversos principios constitucionales, </w:t>
      </w:r>
      <w:r w:rsidR="00C12F27" w:rsidRPr="00551CC3">
        <w:rPr>
          <w:rFonts w:ascii="Times New Roman" w:eastAsia="Times New Roman" w:hAnsi="Times New Roman" w:cs="Times New Roman"/>
          <w:sz w:val="24"/>
          <w:szCs w:val="24"/>
        </w:rPr>
        <w:lastRenderedPageBreak/>
        <w:t>entre ellos por ejemplo el artículo 284 de la Constitución relativo al desarrollo equilibrado en el territorio y un giro en la política de desarrollo territorial y consecución de la equidad.</w:t>
      </w:r>
    </w:p>
    <w:p w:rsidR="00717352" w:rsidRPr="00551CC3" w:rsidRDefault="00717352" w:rsidP="00717352">
      <w:pPr>
        <w:spacing w:line="240" w:lineRule="auto"/>
        <w:jc w:val="both"/>
        <w:rPr>
          <w:rFonts w:ascii="Times New Roman" w:eastAsia="Times New Roman" w:hAnsi="Times New Roman" w:cs="Times New Roman"/>
          <w:sz w:val="24"/>
          <w:szCs w:val="24"/>
        </w:rPr>
      </w:pPr>
    </w:p>
    <w:p w:rsidR="00963B9F" w:rsidRDefault="00C12F27" w:rsidP="000C40D1">
      <w:pPr>
        <w:pStyle w:val="Ttulo3"/>
        <w:keepNext w:val="0"/>
        <w:keepLines w:val="0"/>
        <w:numPr>
          <w:ilvl w:val="2"/>
          <w:numId w:val="3"/>
        </w:numPr>
        <w:spacing w:before="0" w:after="0" w:line="240" w:lineRule="auto"/>
        <w:ind w:left="0" w:firstLine="0"/>
        <w:jc w:val="both"/>
        <w:rPr>
          <w:rFonts w:ascii="Times New Roman" w:eastAsia="Times New Roman" w:hAnsi="Times New Roman" w:cs="Times New Roman"/>
          <w:b/>
          <w:color w:val="000000"/>
          <w:sz w:val="24"/>
          <w:szCs w:val="24"/>
        </w:rPr>
      </w:pPr>
      <w:bookmarkStart w:id="11" w:name="_mg05m5gkyv7s" w:colFirst="0" w:colLast="0"/>
      <w:bookmarkEnd w:id="11"/>
      <w:r>
        <w:rPr>
          <w:rFonts w:ascii="Times New Roman" w:eastAsia="Times New Roman" w:hAnsi="Times New Roman" w:cs="Times New Roman"/>
          <w:b/>
          <w:color w:val="000000"/>
          <w:sz w:val="24"/>
          <w:szCs w:val="24"/>
        </w:rPr>
        <w:t>Impactos para la salud derivados de la desinstitucionalización y reducción presupuestaria</w:t>
      </w:r>
    </w:p>
    <w:p w:rsidR="00717352" w:rsidRPr="00717352" w:rsidRDefault="00717352" w:rsidP="00717352"/>
    <w:p w:rsidR="00963B9F"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En</w:t>
      </w:r>
      <w:proofErr w:type="gramEnd"/>
      <w:r w:rsidR="00C12F27" w:rsidRPr="00717352">
        <w:rPr>
          <w:rFonts w:ascii="Times New Roman" w:eastAsia="Times New Roman" w:hAnsi="Times New Roman" w:cs="Times New Roman"/>
          <w:sz w:val="24"/>
          <w:szCs w:val="24"/>
        </w:rPr>
        <w:t xml:space="preserve"> apartados anteriores se ha señalado la importante reducción, aun en curso, del empleo público. Debe recordarse que el 80% de este empleo se concentra en los sectores de salud y educación, seguridad e inclusión social.</w:t>
      </w:r>
    </w:p>
    <w:p w:rsidR="00717352" w:rsidRPr="00717352" w:rsidRDefault="00717352" w:rsidP="00717352">
      <w:pPr>
        <w:spacing w:line="240" w:lineRule="auto"/>
        <w:jc w:val="both"/>
        <w:rPr>
          <w:rFonts w:ascii="Times New Roman" w:eastAsia="Times New Roman" w:hAnsi="Times New Roman" w:cs="Times New Roman"/>
          <w:sz w:val="24"/>
          <w:szCs w:val="24"/>
        </w:rPr>
      </w:pPr>
    </w:p>
    <w:p w:rsidR="00963B9F"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roofErr w:type="gramStart"/>
      <w:r>
        <w:rPr>
          <w:rFonts w:ascii="Times New Roman" w:eastAsia="Times New Roman" w:hAnsi="Times New Roman" w:cs="Times New Roman"/>
          <w:sz w:val="24"/>
          <w:szCs w:val="24"/>
        </w:rPr>
        <w:t>.</w:t>
      </w:r>
      <w:r w:rsidR="00C12F27" w:rsidRPr="00717352">
        <w:rPr>
          <w:rFonts w:ascii="Times New Roman" w:eastAsia="Times New Roman" w:hAnsi="Times New Roman" w:cs="Times New Roman"/>
          <w:sz w:val="24"/>
          <w:szCs w:val="24"/>
        </w:rPr>
        <w:t>No</w:t>
      </w:r>
      <w:proofErr w:type="gramEnd"/>
      <w:r w:rsidR="00C12F27" w:rsidRPr="00717352">
        <w:rPr>
          <w:rFonts w:ascii="Times New Roman" w:eastAsia="Times New Roman" w:hAnsi="Times New Roman" w:cs="Times New Roman"/>
          <w:sz w:val="24"/>
          <w:szCs w:val="24"/>
        </w:rPr>
        <w:t xml:space="preserve"> hay datos publicados respecto del número de profesionales en servicios en salud desde el 2017 ni se han publicado las previsiones de reducción futura, obligada por el compromiso con el FMI. Aun así, por un lado, es posible mesurar el impacto de la reducción de servidores/as públicas en estas áreas explorando la limitación de las capacidades del Estado en la protección de estos derechos. Uno de los ejemplos de esta regresión es la variación porcentual del impacto de las enfermedades transmitidas por vectores entre los años 2018 y 2019. Según los datos del Ministerio de Salud Pública, extraídos del informe “Subsistema de vigilancia SIVE- alerta enfermedades transmitidas por vectores Ecuador”, el incremento porcentual de los casos reportados de malaria entre 2018 y 2019 (tomando la semana 32 de cada año) es del 67 %. En lo relativo al dengue, y en el mismo periodo, la variación porcentual refleja un aumento del 138%. Si atendemos a otras enfermedades vemos un aumento también significativo. Por ejemplo, en el mismo periodo de tiempo, la neumonía experimentó un incremento porcentual del 58%; mientras el incremento respecto de las paperas es de 82,4 %.</w:t>
      </w:r>
    </w:p>
    <w:p w:rsidR="00717352" w:rsidRPr="00717352" w:rsidRDefault="00717352" w:rsidP="00717352">
      <w:pPr>
        <w:spacing w:line="240" w:lineRule="auto"/>
        <w:jc w:val="both"/>
        <w:rPr>
          <w:rFonts w:ascii="Times New Roman" w:eastAsia="Times New Roman" w:hAnsi="Times New Roman" w:cs="Times New Roman"/>
          <w:sz w:val="24"/>
          <w:szCs w:val="24"/>
        </w:rPr>
      </w:pPr>
    </w:p>
    <w:p w:rsidR="00963B9F" w:rsidRPr="00717352" w:rsidRDefault="00717352" w:rsidP="007173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r w:rsidR="00C12F27" w:rsidRPr="00717352">
        <w:rPr>
          <w:rFonts w:ascii="Times New Roman" w:eastAsia="Times New Roman" w:hAnsi="Times New Roman" w:cs="Times New Roman"/>
          <w:sz w:val="24"/>
          <w:szCs w:val="24"/>
        </w:rPr>
        <w:t xml:space="preserve">Por otro lado, según los datos utilizados y las estimaciones elaboradas para fundamentar la primera demanda de inconstitucionalidad del acuerdo con el FMI, presentada por el economista Pablo Dávalos, para cumplir el acuerdo con el FMI, deberían salir de la nómina del Ministerio de Salud Pública, 2.721 médicos, 473 odontólogos, 179 psicólogos, 131 </w:t>
      </w:r>
      <w:proofErr w:type="spellStart"/>
      <w:r w:rsidR="00C12F27" w:rsidRPr="00717352">
        <w:rPr>
          <w:rFonts w:ascii="Times New Roman" w:eastAsia="Times New Roman" w:hAnsi="Times New Roman" w:cs="Times New Roman"/>
          <w:sz w:val="24"/>
          <w:szCs w:val="24"/>
        </w:rPr>
        <w:t>obstetrices</w:t>
      </w:r>
      <w:proofErr w:type="spellEnd"/>
      <w:r w:rsidR="00C12F27" w:rsidRPr="00717352">
        <w:rPr>
          <w:rFonts w:ascii="Times New Roman" w:eastAsia="Times New Roman" w:hAnsi="Times New Roman" w:cs="Times New Roman"/>
          <w:sz w:val="24"/>
          <w:szCs w:val="24"/>
        </w:rPr>
        <w:t xml:space="preserve">, 1.798 enfermeras y 1.148 auxiliares  de  enfermería, en el periodo 2019-2021, ello generaría un “ahorro” de 163,6 millones de USD, alrededor del 15% de los 1.080 millones de USD que el FMI obliga al país a ahorrar. Además, en la misma demanda se hace constar que “para el año 2019, el Ministerio de Salud Pública despidió ya a 300 empleados del sector de salud, entre ellos, fueron despedidos todos los funcionarios públicos (incluidos técnicos) que realizaban el servicio de control </w:t>
      </w:r>
      <w:proofErr w:type="spellStart"/>
      <w:r w:rsidR="00C12F27" w:rsidRPr="00717352">
        <w:rPr>
          <w:rFonts w:ascii="Times New Roman" w:eastAsia="Times New Roman" w:hAnsi="Times New Roman" w:cs="Times New Roman"/>
          <w:sz w:val="24"/>
          <w:szCs w:val="24"/>
        </w:rPr>
        <w:t>antivectorial</w:t>
      </w:r>
      <w:proofErr w:type="spellEnd"/>
      <w:r w:rsidR="00C12F27" w:rsidRPr="00717352">
        <w:rPr>
          <w:rFonts w:ascii="Times New Roman" w:eastAsia="Times New Roman" w:hAnsi="Times New Roman" w:cs="Times New Roman"/>
          <w:sz w:val="24"/>
          <w:szCs w:val="24"/>
        </w:rPr>
        <w:t xml:space="preserve"> (relacionado con el control de plagas tropicales)”. Datos que apuntalan las cifras de contagio por vectores señaladas en el párrafo anterior.</w:t>
      </w:r>
    </w:p>
    <w:p w:rsidR="00963B9F" w:rsidRDefault="00963B9F" w:rsidP="000C40D1">
      <w:pPr>
        <w:spacing w:line="240" w:lineRule="auto"/>
        <w:jc w:val="both"/>
        <w:rPr>
          <w:rFonts w:ascii="Times New Roman" w:eastAsia="Times New Roman" w:hAnsi="Times New Roman" w:cs="Times New Roman"/>
          <w:sz w:val="24"/>
          <w:szCs w:val="24"/>
        </w:rPr>
      </w:pPr>
    </w:p>
    <w:p w:rsidR="00963B9F" w:rsidRPr="003435A1" w:rsidRDefault="00C12F27" w:rsidP="000C40D1">
      <w:pPr>
        <w:pStyle w:val="Ttulo2"/>
        <w:keepNext w:val="0"/>
        <w:keepLines w:val="0"/>
        <w:numPr>
          <w:ilvl w:val="0"/>
          <w:numId w:val="3"/>
        </w:numPr>
        <w:spacing w:before="0" w:after="0" w:line="240" w:lineRule="auto"/>
        <w:ind w:left="0" w:firstLine="0"/>
        <w:jc w:val="both"/>
        <w:rPr>
          <w:rFonts w:ascii="Times New Roman" w:eastAsia="Times New Roman" w:hAnsi="Times New Roman" w:cs="Times New Roman"/>
          <w:b/>
          <w:sz w:val="24"/>
          <w:szCs w:val="24"/>
        </w:rPr>
      </w:pPr>
      <w:bookmarkStart w:id="12" w:name="_7ar80nkickmj" w:colFirst="0" w:colLast="0"/>
      <w:bookmarkEnd w:id="12"/>
      <w:r w:rsidRPr="003435A1">
        <w:rPr>
          <w:rFonts w:ascii="Times New Roman" w:eastAsia="Times New Roman" w:hAnsi="Times New Roman" w:cs="Times New Roman"/>
          <w:b/>
          <w:sz w:val="24"/>
          <w:szCs w:val="24"/>
        </w:rPr>
        <w:t>Recomendaciones</w:t>
      </w:r>
    </w:p>
    <w:p w:rsidR="00963B9F" w:rsidRDefault="00963B9F" w:rsidP="000C40D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Instar</w:t>
      </w:r>
      <w:proofErr w:type="gramEnd"/>
      <w:r w:rsidR="00C12F27" w:rsidRPr="009F2371">
        <w:rPr>
          <w:rFonts w:ascii="Times New Roman" w:eastAsia="Times New Roman" w:hAnsi="Times New Roman" w:cs="Times New Roman"/>
          <w:sz w:val="24"/>
          <w:szCs w:val="24"/>
        </w:rPr>
        <w:t xml:space="preserve"> al Estado parte a establecer los mecanismos necesarios para asegurar el examen </w:t>
      </w:r>
      <w:r w:rsidR="00C12F27" w:rsidRPr="009F2371">
        <w:rPr>
          <w:rFonts w:ascii="Times New Roman" w:eastAsia="Times New Roman" w:hAnsi="Times New Roman" w:cs="Times New Roman"/>
          <w:i/>
          <w:sz w:val="24"/>
          <w:szCs w:val="24"/>
        </w:rPr>
        <w:t xml:space="preserve">ex ante </w:t>
      </w:r>
      <w:r w:rsidR="00C12F27" w:rsidRPr="009F2371">
        <w:rPr>
          <w:rFonts w:ascii="Times New Roman" w:eastAsia="Times New Roman" w:hAnsi="Times New Roman" w:cs="Times New Roman"/>
          <w:sz w:val="24"/>
          <w:szCs w:val="24"/>
        </w:rPr>
        <w:t>de las medidas de austeridad y las reformas estructurales. El examen debe demostrar que dichas medidas respetan en el contenido esencial de los derechos y no afectan en forma desproporcionada ni injustificada a los DESC. El examen será determinante para la adopción de las reformas normativas o para la firma de acuerdos con las instituciones financieras internacionales. Los mecanismos de examen de las medidas deben ser participativos, integrando representantes de la sociedad civil y los resultados del examen deben ser publicados por las autoridades competentes para que sean ampliamente conocidos por la sociedad</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Instar</w:t>
      </w:r>
      <w:proofErr w:type="gramEnd"/>
      <w:r w:rsidR="00C12F27" w:rsidRPr="009F2371">
        <w:rPr>
          <w:rFonts w:ascii="Times New Roman" w:eastAsia="Times New Roman" w:hAnsi="Times New Roman" w:cs="Times New Roman"/>
          <w:sz w:val="24"/>
          <w:szCs w:val="24"/>
        </w:rPr>
        <w:t xml:space="preserve"> al Estado parte a establecer los mecanismos necesarios para asegurar el examen exhaustivo ex post de los efectos de las medidas de ajuste estructural y de los compromisos derivados de los acuerdos con las instituciones financieras internacionales en el disfrute de los </w:t>
      </w:r>
      <w:r w:rsidR="00C12F27" w:rsidRPr="009F2371">
        <w:rPr>
          <w:rFonts w:ascii="Times New Roman" w:eastAsia="Times New Roman" w:hAnsi="Times New Roman" w:cs="Times New Roman"/>
          <w:sz w:val="24"/>
          <w:szCs w:val="24"/>
        </w:rPr>
        <w:lastRenderedPageBreak/>
        <w:t>DESC. Los resultados de la evaluación ex post deben ser publicadas por las autoridades competentes para que sean ampliamente reconocidos por la sociedad</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revertir las medidas de reducción de la institucionalidad, en particular aquellas que implican la reducción de servidores y servidoras públicos vinculados a la realización de los DESC</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63B9F" w:rsidRP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justificar el impacto de cada uno de los despidos de personal público en los sectores de educación, salud y servicios sociales en la realización y garantía de los DESC</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Conminar</w:t>
      </w:r>
      <w:proofErr w:type="gramEnd"/>
      <w:r w:rsidR="00C12F27" w:rsidRPr="009F2371">
        <w:rPr>
          <w:rFonts w:ascii="Times New Roman" w:eastAsia="Times New Roman" w:hAnsi="Times New Roman" w:cs="Times New Roman"/>
          <w:sz w:val="24"/>
          <w:szCs w:val="24"/>
        </w:rPr>
        <w:t xml:space="preserve"> al Estado a revertir la decisión de reducir al mínimo las unidades desconcentradas y distritales y exhortarle a mantener la presencia necesaria de la administración pública en el conjunto del territorio y sostener así la política de desarrollo social desconcentrado mandatada por la Constitución</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sidR="00C12F27" w:rsidRPr="009F2371">
        <w:rPr>
          <w:rFonts w:ascii="Times New Roman" w:eastAsia="Times New Roman" w:hAnsi="Times New Roman" w:cs="Times New Roman"/>
          <w:sz w:val="24"/>
          <w:szCs w:val="24"/>
        </w:rPr>
        <w:t>Conminar al Estado a realizar una evaluación exhaustiva, con participación de los actores sociales, de los efectos de su política fiscal, en particular de la Ley Orgánica para el Fomento Productivo, Atracción de Inversiones, Generación de Empleo y Estabilidad y Equilibrio Fiscal en los DESC</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adoptar medidas para optimizar la recaudación de impuestos, en particular a las grandes empresas, con el fin de aumentar los recursos disponibles para hacer realidad los DESC</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Instar</w:t>
      </w:r>
      <w:proofErr w:type="gramEnd"/>
      <w:r w:rsidR="00C12F27" w:rsidRPr="009F2371">
        <w:rPr>
          <w:rFonts w:ascii="Times New Roman" w:eastAsia="Times New Roman" w:hAnsi="Times New Roman" w:cs="Times New Roman"/>
          <w:sz w:val="24"/>
          <w:szCs w:val="24"/>
        </w:rPr>
        <w:t xml:space="preserve"> al Estado a asegurar por todos los medios a su alcance y especialmente los legislativos, que su sistema fiscal no se aparta de los objetivos de justicia social y redistribución plasmadas en la Constitución del Ecuador</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Conminar</w:t>
      </w:r>
      <w:proofErr w:type="gramEnd"/>
      <w:r w:rsidR="00C12F27" w:rsidRPr="009F2371">
        <w:rPr>
          <w:rFonts w:ascii="Times New Roman" w:eastAsia="Times New Roman" w:hAnsi="Times New Roman" w:cs="Times New Roman"/>
          <w:sz w:val="24"/>
          <w:szCs w:val="24"/>
        </w:rPr>
        <w:t xml:space="preserve"> al Estado a la realización de evaluaciones periódicas de la pertinencia de las exenciones tributarias y socializar estas evaluaciones con los agentes sociales, publicando esta evaluación para que sea conocida por el conjunto de la sociedad;</w:t>
      </w:r>
    </w:p>
    <w:p w:rsidR="009F2371" w:rsidRDefault="009F2371" w:rsidP="009F2371">
      <w:pPr>
        <w:spacing w:line="240" w:lineRule="auto"/>
        <w:jc w:val="both"/>
        <w:rPr>
          <w:rFonts w:ascii="Times New Roman" w:eastAsia="Times New Roman" w:hAnsi="Times New Roman" w:cs="Times New Roman"/>
          <w:sz w:val="24"/>
          <w:szCs w:val="24"/>
        </w:rPr>
      </w:pPr>
    </w:p>
    <w:p w:rsid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48. </w:t>
      </w:r>
      <w:r w:rsidR="00C12F27" w:rsidRPr="009F2371">
        <w:rPr>
          <w:rFonts w:ascii="Times New Roman" w:eastAsia="Times New Roman" w:hAnsi="Times New Roman" w:cs="Times New Roman"/>
          <w:sz w:val="24"/>
          <w:szCs w:val="24"/>
        </w:rPr>
        <w:t>Instar al Estado a profundizar en la aplicación de las normas existentes para combatir el fraude y la evasión fiscal, en particular el cometido por empresas y personas con grandes patrimonios</w:t>
      </w:r>
      <w:r>
        <w:rPr>
          <w:rFonts w:ascii="Times New Roman" w:eastAsia="Times New Roman" w:hAnsi="Times New Roman" w:cs="Times New Roman"/>
          <w:sz w:val="24"/>
          <w:szCs w:val="24"/>
        </w:rPr>
        <w:t xml:space="preserve">; </w:t>
      </w:r>
    </w:p>
    <w:p w:rsidR="009F2371" w:rsidRDefault="009F2371" w:rsidP="009F2371">
      <w:pPr>
        <w:spacing w:line="240" w:lineRule="auto"/>
        <w:jc w:val="both"/>
        <w:rPr>
          <w:rFonts w:ascii="Times New Roman" w:eastAsia="Times New Roman" w:hAnsi="Times New Roman" w:cs="Times New Roman"/>
          <w:sz w:val="24"/>
          <w:szCs w:val="24"/>
        </w:rPr>
      </w:pPr>
    </w:p>
    <w:p w:rsidR="00963B9F"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r w:rsidR="00C12F27" w:rsidRPr="009F2371">
        <w:rPr>
          <w:rFonts w:ascii="Times New Roman" w:eastAsia="Times New Roman" w:hAnsi="Times New Roman" w:cs="Times New Roman"/>
          <w:sz w:val="24"/>
          <w:szCs w:val="24"/>
        </w:rPr>
        <w:t>Exhortar al Estado a recuperar las tasas impositivas anteriores a la aplicación de la Ley Orgánica para el Fomento Productivo, Atracción de Inversiones, Generación de Empleo y Estabilidad y Equilibrio Fiscal para evitar que la rebaja impositiva reduzca los ingresos públicos disponibles para financiar las políticas públicas dirigidas a hacer efectivos los derechos reconocidos en el Pacto.</w:t>
      </w:r>
      <w:r>
        <w:rPr>
          <w:rFonts w:ascii="Times New Roman" w:eastAsia="Times New Roman" w:hAnsi="Times New Roman" w:cs="Times New Roman"/>
          <w:sz w:val="24"/>
          <w:szCs w:val="24"/>
        </w:rPr>
        <w:t xml:space="preserve">; </w:t>
      </w:r>
    </w:p>
    <w:p w:rsidR="009F2371" w:rsidRPr="009F2371" w:rsidRDefault="009F2371" w:rsidP="009F2371">
      <w:pPr>
        <w:spacing w:line="240" w:lineRule="auto"/>
        <w:jc w:val="both"/>
        <w:rPr>
          <w:rFonts w:ascii="Times New Roman" w:eastAsia="Times New Roman" w:hAnsi="Times New Roman" w:cs="Times New Roman"/>
          <w:sz w:val="24"/>
          <w:szCs w:val="24"/>
        </w:rPr>
      </w:pPr>
    </w:p>
    <w:p w:rsidR="00963B9F"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la adopción de las medidas apropiadas para prevenir el abuso de formas de trabajo precario. Debe evitarse en particular el uso de la contratación temporal como vía para el fomento del empleo por las graves consecuencias que esto produce respecto de la inestabilidad de las relaciones laborales, la precarización en especial de los segmentos más vulnerables (jóvenes y mujeres), la reducción de los salarios y las prestaciones a ellos ligadas y en general la inseguridad vital que se deriva de la extensión de estas formas de contratación.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E</w:t>
      </w:r>
      <w:r w:rsidR="00C12F27" w:rsidRPr="009F2371">
        <w:rPr>
          <w:rFonts w:ascii="Times New Roman" w:eastAsia="Times New Roman" w:hAnsi="Times New Roman" w:cs="Times New Roman"/>
          <w:sz w:val="24"/>
          <w:szCs w:val="24"/>
        </w:rPr>
        <w:t>l Estado debe evitar en general la aprobación de reformas laborales que aumenten las formas contractuales no estables.</w:t>
      </w:r>
    </w:p>
    <w:p w:rsidR="009F2371" w:rsidRPr="009F2371" w:rsidRDefault="009F2371" w:rsidP="009F2371">
      <w:pPr>
        <w:spacing w:line="240" w:lineRule="auto"/>
        <w:jc w:val="both"/>
        <w:rPr>
          <w:rFonts w:ascii="Times New Roman" w:eastAsia="Times New Roman" w:hAnsi="Times New Roman" w:cs="Times New Roman"/>
          <w:sz w:val="24"/>
          <w:szCs w:val="24"/>
        </w:rPr>
      </w:pPr>
    </w:p>
    <w:p w:rsidR="00963B9F" w:rsidRP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evitar la utilización de reformas laborales como vía para acometer una devaluación interna a efectos de mejorar su posición competitiva en los mercados internacionales. Esto supone una regresión de derechos y una violación del PIDESC y de la Constitución del Ecuador.</w:t>
      </w:r>
    </w:p>
    <w:p w:rsidR="009F2371" w:rsidRDefault="009F2371" w:rsidP="009F2371">
      <w:pPr>
        <w:spacing w:line="240" w:lineRule="auto"/>
        <w:jc w:val="both"/>
        <w:rPr>
          <w:rFonts w:ascii="Times New Roman" w:eastAsia="Times New Roman" w:hAnsi="Times New Roman" w:cs="Times New Roman"/>
          <w:sz w:val="24"/>
          <w:szCs w:val="24"/>
        </w:rPr>
      </w:pPr>
    </w:p>
    <w:p w:rsidR="00963B9F" w:rsidRP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evitar la utilización de las vías de contratación no estables o precarias (contratos temporales y tiempo parcial) para fomentar la inserción de las mujeres en el trabajo, esto supone una actuación discriminatoria, totalmente prohibida por el PIDESC y la Constitución del Ecuador</w:t>
      </w:r>
    </w:p>
    <w:p w:rsidR="009F2371" w:rsidRDefault="009F2371" w:rsidP="009F2371">
      <w:pPr>
        <w:spacing w:line="240" w:lineRule="auto"/>
        <w:jc w:val="both"/>
        <w:rPr>
          <w:rFonts w:ascii="Times New Roman" w:eastAsia="Times New Roman" w:hAnsi="Times New Roman" w:cs="Times New Roman"/>
          <w:sz w:val="24"/>
          <w:szCs w:val="24"/>
        </w:rPr>
      </w:pPr>
    </w:p>
    <w:p w:rsidR="00963B9F" w:rsidRP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para garantizar plenamente, tanto en la legislación como en la práctica, el derecho a condiciones de trabajo equitativas y satisfactorias y la seguridad social de las personas con contratos temporales</w:t>
      </w:r>
    </w:p>
    <w:p w:rsidR="009F2371" w:rsidRDefault="009F2371" w:rsidP="009F2371">
      <w:pPr>
        <w:spacing w:line="240" w:lineRule="auto"/>
        <w:jc w:val="both"/>
        <w:rPr>
          <w:rFonts w:ascii="Times New Roman" w:eastAsia="Times New Roman" w:hAnsi="Times New Roman" w:cs="Times New Roman"/>
          <w:sz w:val="24"/>
          <w:szCs w:val="24"/>
        </w:rPr>
      </w:pPr>
    </w:p>
    <w:p w:rsidR="00963B9F" w:rsidRP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reforzar el mecanismo de inspección laboral a fin de que, en todas las regiones del Estado parte, cuente los recursos humanos y materiales adecuados para realizar de manera efectiva la supervisión de las condiciones de trabajo</w:t>
      </w:r>
      <w:r>
        <w:rPr>
          <w:rFonts w:ascii="Times New Roman" w:eastAsia="Times New Roman" w:hAnsi="Times New Roman" w:cs="Times New Roman"/>
          <w:sz w:val="24"/>
          <w:szCs w:val="24"/>
        </w:rPr>
        <w:t>;</w:t>
      </w:r>
    </w:p>
    <w:p w:rsidR="009F2371" w:rsidRDefault="009F2371" w:rsidP="009F2371">
      <w:pPr>
        <w:spacing w:line="240" w:lineRule="auto"/>
        <w:jc w:val="both"/>
        <w:rPr>
          <w:rFonts w:ascii="Times New Roman" w:eastAsia="Times New Roman" w:hAnsi="Times New Roman" w:cs="Times New Roman"/>
          <w:sz w:val="24"/>
          <w:szCs w:val="24"/>
        </w:rPr>
      </w:pPr>
    </w:p>
    <w:p w:rsidR="00963B9F"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sidR="00C12F27" w:rsidRPr="009F2371">
        <w:rPr>
          <w:rFonts w:ascii="Times New Roman" w:eastAsia="Times New Roman" w:hAnsi="Times New Roman" w:cs="Times New Roman"/>
          <w:sz w:val="24"/>
          <w:szCs w:val="24"/>
        </w:rPr>
        <w:t>Instar al Estado a realizar una evaluación exhaustiva sobre el impacto que ha tenido la aplicación de los Acuerdos Ministeriales relativos a la contratación temporal en diversos sectores de la economía en el disfrute del derecho al trabajo digno y al más alto nivel posible de salud a fin de derogar los mismos a efectos de garantizar la estabilidad en el empleo, las condiciones de trabajo y salario dignas y la disponibilidad, accesibilidad, asequibilidad, aceptabilidad y calidad de los servicios y atención de salud</w:t>
      </w:r>
      <w:r>
        <w:rPr>
          <w:rFonts w:ascii="Times New Roman" w:eastAsia="Times New Roman" w:hAnsi="Times New Roman" w:cs="Times New Roman"/>
          <w:sz w:val="24"/>
          <w:szCs w:val="24"/>
        </w:rPr>
        <w:t>;</w:t>
      </w:r>
    </w:p>
    <w:p w:rsidR="009F2371" w:rsidRPr="009F2371" w:rsidRDefault="009F2371" w:rsidP="009F2371">
      <w:pPr>
        <w:spacing w:line="240" w:lineRule="auto"/>
        <w:jc w:val="both"/>
        <w:rPr>
          <w:rFonts w:ascii="Times New Roman" w:eastAsia="Times New Roman" w:hAnsi="Times New Roman" w:cs="Times New Roman"/>
          <w:sz w:val="24"/>
          <w:szCs w:val="24"/>
        </w:rPr>
      </w:pPr>
    </w:p>
    <w:p w:rsidR="00963B9F"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Recomendar</w:t>
      </w:r>
      <w:proofErr w:type="gramEnd"/>
      <w:r w:rsidR="00C12F27" w:rsidRPr="009F2371">
        <w:rPr>
          <w:rFonts w:ascii="Times New Roman" w:eastAsia="Times New Roman" w:hAnsi="Times New Roman" w:cs="Times New Roman"/>
          <w:sz w:val="24"/>
          <w:szCs w:val="24"/>
        </w:rPr>
        <w:t xml:space="preserve"> al Estado la elaboración de iniciativas destinadas a mejorar la formación profesional y laboral, para fomentar la inserción laboral de jóvenes a través de su formación y no de la precarización de sus condiciones laborales</w:t>
      </w:r>
      <w:r>
        <w:rPr>
          <w:rFonts w:ascii="Times New Roman" w:eastAsia="Times New Roman" w:hAnsi="Times New Roman" w:cs="Times New Roman"/>
          <w:sz w:val="24"/>
          <w:szCs w:val="24"/>
        </w:rPr>
        <w:t>;</w:t>
      </w:r>
    </w:p>
    <w:p w:rsidR="009F2371" w:rsidRPr="009F2371" w:rsidRDefault="009F2371" w:rsidP="009F2371">
      <w:pPr>
        <w:spacing w:line="240" w:lineRule="auto"/>
        <w:jc w:val="both"/>
        <w:rPr>
          <w:rFonts w:ascii="Times New Roman" w:eastAsia="Times New Roman" w:hAnsi="Times New Roman" w:cs="Times New Roman"/>
          <w:sz w:val="24"/>
          <w:szCs w:val="24"/>
        </w:rPr>
      </w:pPr>
    </w:p>
    <w:p w:rsidR="00963B9F" w:rsidRPr="009F2371" w:rsidRDefault="009F2371" w:rsidP="009F237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proofErr w:type="gramStart"/>
      <w:r>
        <w:rPr>
          <w:rFonts w:ascii="Times New Roman" w:eastAsia="Times New Roman" w:hAnsi="Times New Roman" w:cs="Times New Roman"/>
          <w:sz w:val="24"/>
          <w:szCs w:val="24"/>
        </w:rPr>
        <w:t>.</w:t>
      </w:r>
      <w:r w:rsidR="00C12F27" w:rsidRPr="009F2371">
        <w:rPr>
          <w:rFonts w:ascii="Times New Roman" w:eastAsia="Times New Roman" w:hAnsi="Times New Roman" w:cs="Times New Roman"/>
          <w:sz w:val="24"/>
          <w:szCs w:val="24"/>
        </w:rPr>
        <w:t>Exhortar</w:t>
      </w:r>
      <w:proofErr w:type="gramEnd"/>
      <w:r w:rsidR="00C12F27" w:rsidRPr="009F2371">
        <w:rPr>
          <w:rFonts w:ascii="Times New Roman" w:eastAsia="Times New Roman" w:hAnsi="Times New Roman" w:cs="Times New Roman"/>
          <w:sz w:val="24"/>
          <w:szCs w:val="24"/>
        </w:rPr>
        <w:t xml:space="preserve"> al Estado a la adopción de medidas eficaces para reducir los factores de riesgo asociados a las enfermedades contagiosas y no contagiosas, revirtiendo las restricciones presupuestarias y elevando el nivel de profesionales médicos.</w:t>
      </w:r>
    </w:p>
    <w:p w:rsidR="00963B9F" w:rsidRDefault="00963B9F" w:rsidP="000C40D1">
      <w:pPr>
        <w:spacing w:line="240" w:lineRule="auto"/>
        <w:ind w:left="-284"/>
        <w:jc w:val="both"/>
        <w:rPr>
          <w:rFonts w:ascii="Times New Roman" w:eastAsia="Times New Roman" w:hAnsi="Times New Roman" w:cs="Times New Roman"/>
          <w:sz w:val="24"/>
          <w:szCs w:val="24"/>
        </w:rPr>
      </w:pPr>
    </w:p>
    <w:p w:rsidR="00963B9F" w:rsidRPr="00B865DB" w:rsidRDefault="000D3E1D" w:rsidP="000C40D1">
      <w:pPr>
        <w:spacing w:line="240" w:lineRule="auto"/>
        <w:ind w:left="360"/>
        <w:jc w:val="both"/>
        <w:rPr>
          <w:rFonts w:ascii="Times New Roman" w:eastAsia="Times New Roman" w:hAnsi="Times New Roman" w:cs="Times New Roman"/>
          <w:sz w:val="24"/>
          <w:szCs w:val="24"/>
        </w:rPr>
      </w:pPr>
      <w:r>
        <w:rPr>
          <w:noProof/>
        </w:rPr>
        <w:pict>
          <v:rect id="_x0000_i1025" alt="" style="width:416.15pt;height:.05pt;mso-width-percent:0;mso-height-percent:0;mso-width-percent:0;mso-height-percent:0" o:hrpct="916" o:hralign="center" o:hrstd="t" o:hr="t" fillcolor="#a0a0a0" stroked="f"/>
        </w:pict>
      </w:r>
    </w:p>
    <w:p w:rsidR="00963B9F" w:rsidRPr="00B865DB" w:rsidRDefault="00C12F27" w:rsidP="000C40D1">
      <w:pPr>
        <w:spacing w:line="240" w:lineRule="auto"/>
        <w:ind w:left="360"/>
        <w:jc w:val="both"/>
        <w:rPr>
          <w:rFonts w:ascii="Times New Roman" w:eastAsia="Times New Roman" w:hAnsi="Times New Roman" w:cs="Times New Roman"/>
          <w:sz w:val="24"/>
          <w:szCs w:val="24"/>
        </w:rPr>
      </w:pPr>
      <w:r w:rsidRPr="00B865DB">
        <w:rPr>
          <w:rFonts w:ascii="Times New Roman" w:eastAsia="Times New Roman" w:hAnsi="Times New Roman" w:cs="Times New Roman"/>
          <w:sz w:val="24"/>
          <w:szCs w:val="24"/>
        </w:rPr>
        <w:t>[1] Comité de Derechos Económicos, Sociales y Culturales. Aplicación del Pacto Internacional de los Derechos Económicos, Sociales y Culturales, Observación general 3, La índole de las obligaciones de los Estados Partes (párrafo 1 del artículo 2 del Pacto), (Quinto período de sesiones, 1990), U.N. Doc. E/1991/23 (1990).</w:t>
      </w:r>
    </w:p>
    <w:p w:rsidR="00963B9F" w:rsidRPr="00B865DB" w:rsidRDefault="00C12F27" w:rsidP="000C40D1">
      <w:pPr>
        <w:spacing w:line="240" w:lineRule="auto"/>
        <w:ind w:left="360"/>
        <w:jc w:val="both"/>
        <w:rPr>
          <w:rFonts w:ascii="Times New Roman" w:eastAsia="Times New Roman" w:hAnsi="Times New Roman" w:cs="Times New Roman"/>
          <w:color w:val="1155CC"/>
          <w:sz w:val="24"/>
          <w:szCs w:val="24"/>
          <w:u w:val="single"/>
        </w:rPr>
      </w:pPr>
      <w:r w:rsidRPr="00B865DB">
        <w:rPr>
          <w:rFonts w:ascii="Times New Roman" w:eastAsia="Times New Roman" w:hAnsi="Times New Roman" w:cs="Times New Roman"/>
          <w:sz w:val="24"/>
          <w:szCs w:val="24"/>
        </w:rPr>
        <w:t>[2]</w:t>
      </w:r>
      <w:hyperlink r:id="rId12">
        <w:r w:rsidRPr="00B865DB">
          <w:rPr>
            <w:rFonts w:ascii="Times New Roman" w:eastAsia="Times New Roman" w:hAnsi="Times New Roman" w:cs="Times New Roman"/>
            <w:sz w:val="24"/>
            <w:szCs w:val="24"/>
          </w:rPr>
          <w:t xml:space="preserve"> </w:t>
        </w:r>
      </w:hyperlink>
      <w:hyperlink r:id="rId13">
        <w:r w:rsidRPr="00B865DB">
          <w:rPr>
            <w:rFonts w:ascii="Times New Roman" w:eastAsia="Times New Roman" w:hAnsi="Times New Roman" w:cs="Times New Roman"/>
            <w:color w:val="1155CC"/>
            <w:sz w:val="24"/>
            <w:szCs w:val="24"/>
            <w:u w:val="single"/>
          </w:rPr>
          <w:t>http://idbdocs.iadb.org/wsdocs/getdocument.aspx?docnum=EZSHARE-226044693-4</w:t>
        </w:r>
      </w:hyperlink>
    </w:p>
    <w:p w:rsidR="00963B9F" w:rsidRDefault="00963B9F" w:rsidP="000C40D1">
      <w:pPr>
        <w:spacing w:line="240" w:lineRule="auto"/>
        <w:ind w:left="-284"/>
        <w:jc w:val="both"/>
        <w:rPr>
          <w:rFonts w:ascii="Times New Roman" w:eastAsia="Times New Roman" w:hAnsi="Times New Roman" w:cs="Times New Roman"/>
          <w:sz w:val="24"/>
          <w:szCs w:val="24"/>
        </w:rPr>
      </w:pPr>
    </w:p>
    <w:p w:rsidR="00963B9F" w:rsidRPr="00B865DB" w:rsidRDefault="00C12F27" w:rsidP="000C40D1">
      <w:pPr>
        <w:spacing w:line="240" w:lineRule="auto"/>
        <w:ind w:left="360"/>
        <w:jc w:val="both"/>
        <w:rPr>
          <w:rFonts w:ascii="Times New Roman" w:eastAsia="Times New Roman" w:hAnsi="Times New Roman" w:cs="Times New Roman"/>
          <w:color w:val="1155CC"/>
          <w:sz w:val="24"/>
          <w:szCs w:val="24"/>
          <w:u w:val="single"/>
        </w:rPr>
      </w:pPr>
      <w:r w:rsidRPr="00B865DB">
        <w:rPr>
          <w:rFonts w:ascii="Times New Roman" w:eastAsia="Times New Roman" w:hAnsi="Times New Roman" w:cs="Times New Roman"/>
          <w:sz w:val="24"/>
          <w:szCs w:val="24"/>
        </w:rPr>
        <w:t>[3]</w:t>
      </w:r>
      <w:hyperlink r:id="rId14">
        <w:r w:rsidRPr="00B865DB">
          <w:rPr>
            <w:rFonts w:ascii="Times New Roman" w:eastAsia="Times New Roman" w:hAnsi="Times New Roman" w:cs="Times New Roman"/>
            <w:sz w:val="24"/>
            <w:szCs w:val="24"/>
          </w:rPr>
          <w:t xml:space="preserve"> </w:t>
        </w:r>
      </w:hyperlink>
      <w:hyperlink r:id="rId15">
        <w:r w:rsidRPr="00B865DB">
          <w:rPr>
            <w:rFonts w:ascii="Times New Roman" w:eastAsia="Times New Roman" w:hAnsi="Times New Roman" w:cs="Times New Roman"/>
            <w:color w:val="1155CC"/>
            <w:sz w:val="24"/>
            <w:szCs w:val="24"/>
            <w:u w:val="single"/>
          </w:rPr>
          <w:t>https://www.finanzas.gob.ec/wp-content/uploads/downloads/2018/08/Plan-prosperidad-2018-2021-VF.compressed.pdf</w:t>
        </w:r>
      </w:hyperlink>
    </w:p>
    <w:p w:rsidR="00963B9F" w:rsidRPr="00B865DB" w:rsidRDefault="00C12F27" w:rsidP="000C40D1">
      <w:pPr>
        <w:spacing w:line="240" w:lineRule="auto"/>
        <w:ind w:left="360"/>
        <w:jc w:val="both"/>
        <w:rPr>
          <w:rFonts w:ascii="Times New Roman" w:eastAsia="Times New Roman" w:hAnsi="Times New Roman" w:cs="Times New Roman"/>
          <w:color w:val="1155CC"/>
          <w:sz w:val="24"/>
          <w:szCs w:val="24"/>
          <w:u w:val="single"/>
        </w:rPr>
      </w:pPr>
      <w:r w:rsidRPr="00B865DB">
        <w:rPr>
          <w:rFonts w:ascii="Times New Roman" w:eastAsia="Times New Roman" w:hAnsi="Times New Roman" w:cs="Times New Roman"/>
          <w:sz w:val="24"/>
          <w:szCs w:val="24"/>
        </w:rPr>
        <w:t>[4]</w:t>
      </w:r>
      <w:hyperlink r:id="rId16">
        <w:r w:rsidRPr="00B865DB">
          <w:rPr>
            <w:rFonts w:ascii="Times New Roman" w:eastAsia="Times New Roman" w:hAnsi="Times New Roman" w:cs="Times New Roman"/>
            <w:sz w:val="24"/>
            <w:szCs w:val="24"/>
          </w:rPr>
          <w:t xml:space="preserve"> </w:t>
        </w:r>
      </w:hyperlink>
      <w:hyperlink r:id="rId17">
        <w:r w:rsidRPr="00B865DB">
          <w:rPr>
            <w:rFonts w:ascii="Times New Roman" w:eastAsia="Times New Roman" w:hAnsi="Times New Roman" w:cs="Times New Roman"/>
            <w:color w:val="1155CC"/>
            <w:sz w:val="24"/>
            <w:szCs w:val="24"/>
            <w:u w:val="single"/>
          </w:rPr>
          <w:t>https://www.imf.org/en/Publications/CR/Issues/2019/07/03/Ecuador-First-Review-under-the-Extended-Fund-Facility-Arrangement-Requests-for-Waiver-of-47087</w:t>
        </w:r>
      </w:hyperlink>
    </w:p>
    <w:p w:rsidR="00963B9F" w:rsidRDefault="00963B9F" w:rsidP="000C40D1">
      <w:pPr>
        <w:spacing w:line="240" w:lineRule="auto"/>
        <w:ind w:left="-284"/>
        <w:jc w:val="both"/>
        <w:rPr>
          <w:rFonts w:ascii="Times New Roman" w:eastAsia="Times New Roman" w:hAnsi="Times New Roman" w:cs="Times New Roman"/>
          <w:sz w:val="24"/>
          <w:szCs w:val="24"/>
        </w:rPr>
      </w:pPr>
    </w:p>
    <w:p w:rsidR="00963B9F" w:rsidRPr="00B865DB" w:rsidRDefault="00C12F27" w:rsidP="000C40D1">
      <w:pPr>
        <w:spacing w:line="240" w:lineRule="auto"/>
        <w:ind w:left="360"/>
        <w:jc w:val="both"/>
        <w:rPr>
          <w:rFonts w:ascii="Times New Roman" w:eastAsia="Times New Roman" w:hAnsi="Times New Roman" w:cs="Times New Roman"/>
          <w:color w:val="1155CC"/>
          <w:sz w:val="24"/>
          <w:szCs w:val="24"/>
          <w:u w:val="single"/>
        </w:rPr>
      </w:pPr>
      <w:r w:rsidRPr="00B865DB">
        <w:rPr>
          <w:rFonts w:ascii="Times New Roman" w:eastAsia="Times New Roman" w:hAnsi="Times New Roman" w:cs="Times New Roman"/>
          <w:sz w:val="24"/>
          <w:szCs w:val="24"/>
        </w:rPr>
        <w:t>[5]</w:t>
      </w:r>
      <w:hyperlink r:id="rId18">
        <w:r w:rsidRPr="00B865DB">
          <w:rPr>
            <w:rFonts w:ascii="Times New Roman" w:eastAsia="Times New Roman" w:hAnsi="Times New Roman" w:cs="Times New Roman"/>
            <w:color w:val="1155CC"/>
            <w:sz w:val="24"/>
            <w:szCs w:val="24"/>
            <w:u w:val="single"/>
          </w:rPr>
          <w:t>https://tbinternet.ohchr.org/_layouts/15/treatybodyexternal/Download.aspx?symbolno=E%2fC.12%2f1%2fAdd.100&amp;Lang=es</w:t>
        </w:r>
      </w:hyperlink>
    </w:p>
    <w:p w:rsidR="00963B9F" w:rsidRPr="00B865DB" w:rsidRDefault="00C12F27" w:rsidP="000C40D1">
      <w:pPr>
        <w:spacing w:line="240" w:lineRule="auto"/>
        <w:ind w:left="360"/>
        <w:jc w:val="both"/>
        <w:rPr>
          <w:rFonts w:ascii="Times New Roman" w:eastAsia="Times New Roman" w:hAnsi="Times New Roman" w:cs="Times New Roman"/>
          <w:color w:val="1155CC"/>
          <w:sz w:val="24"/>
          <w:szCs w:val="24"/>
          <w:u w:val="single"/>
        </w:rPr>
      </w:pPr>
      <w:r w:rsidRPr="00B865DB">
        <w:rPr>
          <w:rFonts w:ascii="Times New Roman" w:eastAsia="Times New Roman" w:hAnsi="Times New Roman" w:cs="Times New Roman"/>
          <w:sz w:val="24"/>
          <w:szCs w:val="24"/>
        </w:rPr>
        <w:lastRenderedPageBreak/>
        <w:t>[6]</w:t>
      </w:r>
      <w:hyperlink r:id="rId19">
        <w:r w:rsidRPr="00B865DB">
          <w:rPr>
            <w:rFonts w:ascii="Times New Roman" w:eastAsia="Times New Roman" w:hAnsi="Times New Roman" w:cs="Times New Roman"/>
            <w:sz w:val="24"/>
            <w:szCs w:val="24"/>
          </w:rPr>
          <w:t xml:space="preserve"> </w:t>
        </w:r>
      </w:hyperlink>
      <w:hyperlink r:id="rId20">
        <w:r w:rsidRPr="00B865DB">
          <w:rPr>
            <w:rFonts w:ascii="Times New Roman" w:eastAsia="Times New Roman" w:hAnsi="Times New Roman" w:cs="Times New Roman"/>
            <w:color w:val="1155CC"/>
            <w:sz w:val="24"/>
            <w:szCs w:val="24"/>
            <w:u w:val="single"/>
          </w:rPr>
          <w:t>https://www.ecuadorencifras.gob.ec/enemdu-2017/</w:t>
        </w:r>
      </w:hyperlink>
    </w:p>
    <w:p w:rsidR="00963B9F" w:rsidRPr="009F2371" w:rsidRDefault="00C12F27" w:rsidP="009F2371">
      <w:pPr>
        <w:spacing w:line="240" w:lineRule="auto"/>
        <w:ind w:left="360"/>
        <w:jc w:val="both"/>
        <w:rPr>
          <w:rFonts w:ascii="Times New Roman" w:eastAsia="Times New Roman" w:hAnsi="Times New Roman" w:cs="Times New Roman"/>
          <w:color w:val="1155CC"/>
          <w:sz w:val="24"/>
          <w:szCs w:val="24"/>
          <w:u w:val="single"/>
        </w:rPr>
      </w:pPr>
      <w:r w:rsidRPr="00B865DB">
        <w:rPr>
          <w:rFonts w:ascii="Times New Roman" w:eastAsia="Times New Roman" w:hAnsi="Times New Roman" w:cs="Times New Roman"/>
          <w:sz w:val="24"/>
          <w:szCs w:val="24"/>
        </w:rPr>
        <w:t>[7]</w:t>
      </w:r>
      <w:hyperlink r:id="rId21">
        <w:r w:rsidRPr="00B865DB">
          <w:rPr>
            <w:rFonts w:ascii="Times New Roman" w:eastAsia="Times New Roman" w:hAnsi="Times New Roman" w:cs="Times New Roman"/>
            <w:sz w:val="24"/>
            <w:szCs w:val="24"/>
          </w:rPr>
          <w:t xml:space="preserve"> </w:t>
        </w:r>
      </w:hyperlink>
      <w:hyperlink r:id="rId22">
        <w:r w:rsidRPr="00B865DB">
          <w:rPr>
            <w:rFonts w:ascii="Times New Roman" w:eastAsia="Times New Roman" w:hAnsi="Times New Roman" w:cs="Times New Roman"/>
            <w:color w:val="1155CC"/>
            <w:sz w:val="24"/>
            <w:szCs w:val="24"/>
            <w:u w:val="single"/>
          </w:rPr>
          <w:t>https://www.ecuadorencifras.gob.ec/empleo-junio-2019/</w:t>
        </w:r>
      </w:hyperlink>
    </w:p>
    <w:p w:rsidR="00963B9F" w:rsidRPr="00B865DB" w:rsidRDefault="00C12F27" w:rsidP="000C40D1">
      <w:pPr>
        <w:spacing w:line="240" w:lineRule="auto"/>
        <w:ind w:left="360"/>
        <w:jc w:val="both"/>
        <w:rPr>
          <w:rFonts w:ascii="Times New Roman" w:eastAsia="Times New Roman" w:hAnsi="Times New Roman" w:cs="Times New Roman"/>
          <w:sz w:val="24"/>
          <w:szCs w:val="24"/>
        </w:rPr>
      </w:pPr>
      <w:r w:rsidRPr="00B865DB">
        <w:rPr>
          <w:rFonts w:ascii="Times New Roman" w:eastAsia="Times New Roman" w:hAnsi="Times New Roman" w:cs="Times New Roman"/>
          <w:sz w:val="24"/>
          <w:szCs w:val="24"/>
        </w:rPr>
        <w:t>[8] http://idbdocs.iadb.org/wsdocs/getdocument.aspx?docnum=EZSHARE-2056220512-6297</w:t>
      </w:r>
    </w:p>
    <w:p w:rsidR="00963B9F" w:rsidRPr="00B865DB" w:rsidRDefault="00C12F27" w:rsidP="000C40D1">
      <w:pPr>
        <w:spacing w:line="240" w:lineRule="auto"/>
        <w:ind w:left="360"/>
        <w:jc w:val="both"/>
        <w:rPr>
          <w:rFonts w:ascii="Times New Roman" w:eastAsia="Times New Roman" w:hAnsi="Times New Roman" w:cs="Times New Roman"/>
          <w:color w:val="1155CC"/>
          <w:sz w:val="24"/>
          <w:szCs w:val="24"/>
          <w:u w:val="single"/>
        </w:rPr>
      </w:pPr>
      <w:r w:rsidRPr="00B865DB">
        <w:rPr>
          <w:rFonts w:ascii="Times New Roman" w:eastAsia="Times New Roman" w:hAnsi="Times New Roman" w:cs="Times New Roman"/>
          <w:sz w:val="24"/>
          <w:szCs w:val="24"/>
        </w:rPr>
        <w:t>[9]</w:t>
      </w:r>
      <w:hyperlink r:id="rId23">
        <w:r w:rsidRPr="00B865DB">
          <w:rPr>
            <w:rFonts w:ascii="Times New Roman" w:eastAsia="Times New Roman" w:hAnsi="Times New Roman" w:cs="Times New Roman"/>
            <w:sz w:val="24"/>
            <w:szCs w:val="24"/>
          </w:rPr>
          <w:t xml:space="preserve"> </w:t>
        </w:r>
      </w:hyperlink>
      <w:hyperlink r:id="rId24">
        <w:r w:rsidRPr="00B865DB">
          <w:rPr>
            <w:rFonts w:ascii="Times New Roman" w:eastAsia="Times New Roman" w:hAnsi="Times New Roman" w:cs="Times New Roman"/>
            <w:color w:val="1155CC"/>
            <w:sz w:val="24"/>
            <w:szCs w:val="24"/>
            <w:u w:val="single"/>
          </w:rPr>
          <w:t>http://idbdocs.iadb.org/wsdocs/getdocument.aspx?docnum=EZSHARE-1970849251-28</w:t>
        </w:r>
      </w:hyperlink>
      <w:r w:rsidRPr="00B865DB">
        <w:rPr>
          <w:rFonts w:ascii="Times New Roman" w:eastAsia="Times New Roman" w:hAnsi="Times New Roman" w:cs="Times New Roman"/>
          <w:sz w:val="24"/>
          <w:szCs w:val="24"/>
        </w:rPr>
        <w:t>; la carta del Ministro de Economía solicitando el préstamo puede encontrarse en</w:t>
      </w:r>
      <w:hyperlink r:id="rId25">
        <w:r w:rsidRPr="00B865DB">
          <w:rPr>
            <w:rFonts w:ascii="Times New Roman" w:eastAsia="Times New Roman" w:hAnsi="Times New Roman" w:cs="Times New Roman"/>
            <w:sz w:val="24"/>
            <w:szCs w:val="24"/>
          </w:rPr>
          <w:t xml:space="preserve"> </w:t>
        </w:r>
      </w:hyperlink>
      <w:hyperlink r:id="rId26">
        <w:r w:rsidRPr="00B865DB">
          <w:rPr>
            <w:rFonts w:ascii="Times New Roman" w:eastAsia="Times New Roman" w:hAnsi="Times New Roman" w:cs="Times New Roman"/>
            <w:color w:val="1155CC"/>
            <w:sz w:val="24"/>
            <w:szCs w:val="24"/>
            <w:u w:val="single"/>
          </w:rPr>
          <w:t>http://idbdocs.iadb.org/wsdocs/getdocument.aspx?docnum=EZSHARE-1970849251-41</w:t>
        </w:r>
      </w:hyperlink>
    </w:p>
    <w:p w:rsidR="00963B9F" w:rsidRDefault="00963B9F" w:rsidP="000C40D1">
      <w:pPr>
        <w:spacing w:line="240" w:lineRule="auto"/>
        <w:ind w:left="-284"/>
        <w:jc w:val="both"/>
        <w:rPr>
          <w:rFonts w:ascii="Times New Roman" w:eastAsia="Times New Roman" w:hAnsi="Times New Roman" w:cs="Times New Roman"/>
          <w:sz w:val="24"/>
          <w:szCs w:val="24"/>
        </w:rPr>
      </w:pPr>
    </w:p>
    <w:p w:rsidR="00963B9F" w:rsidRDefault="00963B9F" w:rsidP="000C40D1">
      <w:pPr>
        <w:spacing w:line="240" w:lineRule="auto"/>
        <w:ind w:left="-284"/>
        <w:jc w:val="both"/>
        <w:rPr>
          <w:rFonts w:ascii="Times New Roman" w:eastAsia="Times New Roman" w:hAnsi="Times New Roman" w:cs="Times New Roman"/>
          <w:sz w:val="24"/>
          <w:szCs w:val="24"/>
        </w:rPr>
      </w:pPr>
    </w:p>
    <w:p w:rsidR="00963B9F" w:rsidRDefault="00963B9F" w:rsidP="000C40D1">
      <w:pPr>
        <w:spacing w:line="240" w:lineRule="auto"/>
        <w:ind w:left="-284"/>
        <w:jc w:val="both"/>
        <w:rPr>
          <w:rFonts w:ascii="Times New Roman" w:eastAsia="Times New Roman" w:hAnsi="Times New Roman" w:cs="Times New Roman"/>
          <w:sz w:val="24"/>
          <w:szCs w:val="24"/>
        </w:rPr>
      </w:pPr>
    </w:p>
    <w:sectPr w:rsidR="00963B9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E1D" w:rsidRDefault="000D3E1D">
      <w:pPr>
        <w:spacing w:line="240" w:lineRule="auto"/>
      </w:pPr>
      <w:r>
        <w:separator/>
      </w:r>
    </w:p>
  </w:endnote>
  <w:endnote w:type="continuationSeparator" w:id="0">
    <w:p w:rsidR="000D3E1D" w:rsidRDefault="000D3E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B9F" w:rsidRDefault="00C12F2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1C6AF5">
      <w:rPr>
        <w:rFonts w:ascii="Times New Roman" w:eastAsia="Times New Roman" w:hAnsi="Times New Roman" w:cs="Times New Roman"/>
        <w:noProof/>
        <w:sz w:val="24"/>
        <w:szCs w:val="24"/>
      </w:rPr>
      <w:t>14</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E1D" w:rsidRDefault="000D3E1D">
      <w:pPr>
        <w:spacing w:line="240" w:lineRule="auto"/>
      </w:pPr>
      <w:r>
        <w:separator/>
      </w:r>
    </w:p>
  </w:footnote>
  <w:footnote w:type="continuationSeparator" w:id="0">
    <w:p w:rsidR="000D3E1D" w:rsidRDefault="000D3E1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D6D49"/>
    <w:multiLevelType w:val="hybridMultilevel"/>
    <w:tmpl w:val="9822E112"/>
    <w:lvl w:ilvl="0" w:tplc="040A0001">
      <w:start w:val="1"/>
      <w:numFmt w:val="bullet"/>
      <w:lvlText w:val=""/>
      <w:lvlJc w:val="left"/>
      <w:pPr>
        <w:ind w:left="1082" w:hanging="360"/>
      </w:pPr>
      <w:rPr>
        <w:rFonts w:ascii="Symbol" w:hAnsi="Symbol" w:hint="default"/>
      </w:rPr>
    </w:lvl>
    <w:lvl w:ilvl="1" w:tplc="040A0003" w:tentative="1">
      <w:start w:val="1"/>
      <w:numFmt w:val="bullet"/>
      <w:lvlText w:val="o"/>
      <w:lvlJc w:val="left"/>
      <w:pPr>
        <w:ind w:left="1802" w:hanging="360"/>
      </w:pPr>
      <w:rPr>
        <w:rFonts w:ascii="Courier New" w:hAnsi="Courier New" w:cs="Courier New" w:hint="default"/>
      </w:rPr>
    </w:lvl>
    <w:lvl w:ilvl="2" w:tplc="040A0005" w:tentative="1">
      <w:start w:val="1"/>
      <w:numFmt w:val="bullet"/>
      <w:lvlText w:val=""/>
      <w:lvlJc w:val="left"/>
      <w:pPr>
        <w:ind w:left="2522" w:hanging="360"/>
      </w:pPr>
      <w:rPr>
        <w:rFonts w:ascii="Wingdings" w:hAnsi="Wingdings" w:hint="default"/>
      </w:rPr>
    </w:lvl>
    <w:lvl w:ilvl="3" w:tplc="040A0001" w:tentative="1">
      <w:start w:val="1"/>
      <w:numFmt w:val="bullet"/>
      <w:lvlText w:val=""/>
      <w:lvlJc w:val="left"/>
      <w:pPr>
        <w:ind w:left="3242" w:hanging="360"/>
      </w:pPr>
      <w:rPr>
        <w:rFonts w:ascii="Symbol" w:hAnsi="Symbol" w:hint="default"/>
      </w:rPr>
    </w:lvl>
    <w:lvl w:ilvl="4" w:tplc="040A0003" w:tentative="1">
      <w:start w:val="1"/>
      <w:numFmt w:val="bullet"/>
      <w:lvlText w:val="o"/>
      <w:lvlJc w:val="left"/>
      <w:pPr>
        <w:ind w:left="3962" w:hanging="360"/>
      </w:pPr>
      <w:rPr>
        <w:rFonts w:ascii="Courier New" w:hAnsi="Courier New" w:cs="Courier New" w:hint="default"/>
      </w:rPr>
    </w:lvl>
    <w:lvl w:ilvl="5" w:tplc="040A0005" w:tentative="1">
      <w:start w:val="1"/>
      <w:numFmt w:val="bullet"/>
      <w:lvlText w:val=""/>
      <w:lvlJc w:val="left"/>
      <w:pPr>
        <w:ind w:left="4682" w:hanging="360"/>
      </w:pPr>
      <w:rPr>
        <w:rFonts w:ascii="Wingdings" w:hAnsi="Wingdings" w:hint="default"/>
      </w:rPr>
    </w:lvl>
    <w:lvl w:ilvl="6" w:tplc="040A0001" w:tentative="1">
      <w:start w:val="1"/>
      <w:numFmt w:val="bullet"/>
      <w:lvlText w:val=""/>
      <w:lvlJc w:val="left"/>
      <w:pPr>
        <w:ind w:left="5402" w:hanging="360"/>
      </w:pPr>
      <w:rPr>
        <w:rFonts w:ascii="Symbol" w:hAnsi="Symbol" w:hint="default"/>
      </w:rPr>
    </w:lvl>
    <w:lvl w:ilvl="7" w:tplc="040A0003" w:tentative="1">
      <w:start w:val="1"/>
      <w:numFmt w:val="bullet"/>
      <w:lvlText w:val="o"/>
      <w:lvlJc w:val="left"/>
      <w:pPr>
        <w:ind w:left="6122" w:hanging="360"/>
      </w:pPr>
      <w:rPr>
        <w:rFonts w:ascii="Courier New" w:hAnsi="Courier New" w:cs="Courier New" w:hint="default"/>
      </w:rPr>
    </w:lvl>
    <w:lvl w:ilvl="8" w:tplc="040A0005" w:tentative="1">
      <w:start w:val="1"/>
      <w:numFmt w:val="bullet"/>
      <w:lvlText w:val=""/>
      <w:lvlJc w:val="left"/>
      <w:pPr>
        <w:ind w:left="6842" w:hanging="360"/>
      </w:pPr>
      <w:rPr>
        <w:rFonts w:ascii="Wingdings" w:hAnsi="Wingdings" w:hint="default"/>
      </w:rPr>
    </w:lvl>
  </w:abstractNum>
  <w:abstractNum w:abstractNumId="1">
    <w:nsid w:val="0A917E54"/>
    <w:multiLevelType w:val="hybridMultilevel"/>
    <w:tmpl w:val="A078AF2E"/>
    <w:lvl w:ilvl="0" w:tplc="2D42BDC0">
      <w:start w:val="1"/>
      <w:numFmt w:val="upperRoman"/>
      <w:lvlText w:val="%1."/>
      <w:lvlJc w:val="left"/>
      <w:pPr>
        <w:ind w:left="1080" w:hanging="720"/>
      </w:pPr>
      <w:rPr>
        <w:rFonts w:hint="default"/>
      </w:rPr>
    </w:lvl>
    <w:lvl w:ilvl="1" w:tplc="040A000F">
      <w:start w:val="1"/>
      <w:numFmt w:val="decimal"/>
      <w:lvlText w:val="%2."/>
      <w:lvlJc w:val="left"/>
      <w:pPr>
        <w:ind w:left="1440" w:hanging="360"/>
      </w:pPr>
      <w:rPr>
        <w:rFonts w:hint="default"/>
      </w:rPr>
    </w:lvl>
    <w:lvl w:ilvl="2" w:tplc="F1F28E56">
      <w:start w:val="1"/>
      <w:numFmt w:val="lowerLetter"/>
      <w:lvlText w:val="%3)"/>
      <w:lvlJc w:val="left"/>
      <w:pPr>
        <w:ind w:left="2340" w:hanging="360"/>
      </w:pPr>
      <w:rPr>
        <w:rFonts w:hint="default"/>
      </w:r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0C124568"/>
    <w:multiLevelType w:val="hybridMultilevel"/>
    <w:tmpl w:val="EDF45F0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0E977BFF"/>
    <w:multiLevelType w:val="hybridMultilevel"/>
    <w:tmpl w:val="98E040DE"/>
    <w:lvl w:ilvl="0" w:tplc="21AE96A4">
      <w:start w:val="1"/>
      <w:numFmt w:val="decimal"/>
      <w:lvlText w:val="%1."/>
      <w:lvlJc w:val="left"/>
      <w:pPr>
        <w:ind w:left="1107" w:hanging="540"/>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4">
    <w:nsid w:val="1486057F"/>
    <w:multiLevelType w:val="hybridMultilevel"/>
    <w:tmpl w:val="EE0E1476"/>
    <w:lvl w:ilvl="0" w:tplc="B3FEA834">
      <w:start w:val="17"/>
      <w:numFmt w:val="bullet"/>
      <w:lvlText w:val="-"/>
      <w:lvlJc w:val="left"/>
      <w:pPr>
        <w:ind w:left="2156" w:hanging="360"/>
      </w:pPr>
      <w:rPr>
        <w:rFonts w:ascii="Times New Roman" w:eastAsia="Times New Roman" w:hAnsi="Times New Roman" w:cs="Times New Roman" w:hint="default"/>
      </w:rPr>
    </w:lvl>
    <w:lvl w:ilvl="1" w:tplc="040A0003" w:tentative="1">
      <w:start w:val="1"/>
      <w:numFmt w:val="bullet"/>
      <w:lvlText w:val="o"/>
      <w:lvlJc w:val="left"/>
      <w:pPr>
        <w:ind w:left="2876" w:hanging="360"/>
      </w:pPr>
      <w:rPr>
        <w:rFonts w:ascii="Courier New" w:hAnsi="Courier New" w:cs="Courier New" w:hint="default"/>
      </w:rPr>
    </w:lvl>
    <w:lvl w:ilvl="2" w:tplc="040A0005" w:tentative="1">
      <w:start w:val="1"/>
      <w:numFmt w:val="bullet"/>
      <w:lvlText w:val=""/>
      <w:lvlJc w:val="left"/>
      <w:pPr>
        <w:ind w:left="3596" w:hanging="360"/>
      </w:pPr>
      <w:rPr>
        <w:rFonts w:ascii="Wingdings" w:hAnsi="Wingdings" w:hint="default"/>
      </w:rPr>
    </w:lvl>
    <w:lvl w:ilvl="3" w:tplc="040A0001" w:tentative="1">
      <w:start w:val="1"/>
      <w:numFmt w:val="bullet"/>
      <w:lvlText w:val=""/>
      <w:lvlJc w:val="left"/>
      <w:pPr>
        <w:ind w:left="4316" w:hanging="360"/>
      </w:pPr>
      <w:rPr>
        <w:rFonts w:ascii="Symbol" w:hAnsi="Symbol" w:hint="default"/>
      </w:rPr>
    </w:lvl>
    <w:lvl w:ilvl="4" w:tplc="040A0003" w:tentative="1">
      <w:start w:val="1"/>
      <w:numFmt w:val="bullet"/>
      <w:lvlText w:val="o"/>
      <w:lvlJc w:val="left"/>
      <w:pPr>
        <w:ind w:left="5036" w:hanging="360"/>
      </w:pPr>
      <w:rPr>
        <w:rFonts w:ascii="Courier New" w:hAnsi="Courier New" w:cs="Courier New" w:hint="default"/>
      </w:rPr>
    </w:lvl>
    <w:lvl w:ilvl="5" w:tplc="040A0005" w:tentative="1">
      <w:start w:val="1"/>
      <w:numFmt w:val="bullet"/>
      <w:lvlText w:val=""/>
      <w:lvlJc w:val="left"/>
      <w:pPr>
        <w:ind w:left="5756" w:hanging="360"/>
      </w:pPr>
      <w:rPr>
        <w:rFonts w:ascii="Wingdings" w:hAnsi="Wingdings" w:hint="default"/>
      </w:rPr>
    </w:lvl>
    <w:lvl w:ilvl="6" w:tplc="040A0001" w:tentative="1">
      <w:start w:val="1"/>
      <w:numFmt w:val="bullet"/>
      <w:lvlText w:val=""/>
      <w:lvlJc w:val="left"/>
      <w:pPr>
        <w:ind w:left="6476" w:hanging="360"/>
      </w:pPr>
      <w:rPr>
        <w:rFonts w:ascii="Symbol" w:hAnsi="Symbol" w:hint="default"/>
      </w:rPr>
    </w:lvl>
    <w:lvl w:ilvl="7" w:tplc="040A0003" w:tentative="1">
      <w:start w:val="1"/>
      <w:numFmt w:val="bullet"/>
      <w:lvlText w:val="o"/>
      <w:lvlJc w:val="left"/>
      <w:pPr>
        <w:ind w:left="7196" w:hanging="360"/>
      </w:pPr>
      <w:rPr>
        <w:rFonts w:ascii="Courier New" w:hAnsi="Courier New" w:cs="Courier New" w:hint="default"/>
      </w:rPr>
    </w:lvl>
    <w:lvl w:ilvl="8" w:tplc="040A0005" w:tentative="1">
      <w:start w:val="1"/>
      <w:numFmt w:val="bullet"/>
      <w:lvlText w:val=""/>
      <w:lvlJc w:val="left"/>
      <w:pPr>
        <w:ind w:left="7916" w:hanging="360"/>
      </w:pPr>
      <w:rPr>
        <w:rFonts w:ascii="Wingdings" w:hAnsi="Wingdings" w:hint="default"/>
      </w:rPr>
    </w:lvl>
  </w:abstractNum>
  <w:abstractNum w:abstractNumId="5">
    <w:nsid w:val="1F007AE6"/>
    <w:multiLevelType w:val="hybridMultilevel"/>
    <w:tmpl w:val="C09E06DE"/>
    <w:lvl w:ilvl="0" w:tplc="040A000F">
      <w:start w:val="1"/>
      <w:numFmt w:val="decimal"/>
      <w:lvlText w:val="%1."/>
      <w:lvlJc w:val="left"/>
      <w:pPr>
        <w:ind w:left="720" w:hanging="360"/>
      </w:pPr>
    </w:lvl>
    <w:lvl w:ilvl="1" w:tplc="B3FEA834">
      <w:start w:val="17"/>
      <w:numFmt w:val="bullet"/>
      <w:lvlText w:val="-"/>
      <w:lvlJc w:val="left"/>
      <w:pPr>
        <w:ind w:left="1700" w:hanging="620"/>
      </w:pPr>
      <w:rPr>
        <w:rFonts w:ascii="Times New Roman" w:eastAsia="Times New Roman" w:hAnsi="Times New Roman" w:cs="Times New Roman"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28CB3DFD"/>
    <w:multiLevelType w:val="hybridMultilevel"/>
    <w:tmpl w:val="937ECAB0"/>
    <w:lvl w:ilvl="0" w:tplc="B3FEA834">
      <w:start w:val="17"/>
      <w:numFmt w:val="bullet"/>
      <w:lvlText w:val="-"/>
      <w:lvlJc w:val="left"/>
      <w:pPr>
        <w:ind w:left="1440" w:hanging="360"/>
      </w:pPr>
      <w:rPr>
        <w:rFonts w:ascii="Times New Roman" w:eastAsia="Times New Roman" w:hAnsi="Times New Roman" w:cs="Times New Roman"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7">
    <w:nsid w:val="2B047867"/>
    <w:multiLevelType w:val="hybridMultilevel"/>
    <w:tmpl w:val="9C0E66B0"/>
    <w:lvl w:ilvl="0" w:tplc="040A000F">
      <w:start w:val="1"/>
      <w:numFmt w:val="decimal"/>
      <w:lvlText w:val="%1."/>
      <w:lvlJc w:val="left"/>
      <w:pPr>
        <w:ind w:left="720" w:hanging="360"/>
      </w:pPr>
    </w:lvl>
    <w:lvl w:ilvl="1" w:tplc="B3FEA834">
      <w:start w:val="17"/>
      <w:numFmt w:val="bullet"/>
      <w:lvlText w:val="-"/>
      <w:lvlJc w:val="left"/>
      <w:pPr>
        <w:ind w:left="1440" w:hanging="360"/>
      </w:pPr>
      <w:rPr>
        <w:rFonts w:ascii="Times New Roman" w:eastAsia="Times New Roman" w:hAnsi="Times New Roman" w:cs="Times New Roman"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3056174D"/>
    <w:multiLevelType w:val="hybridMultilevel"/>
    <w:tmpl w:val="13D43234"/>
    <w:lvl w:ilvl="0" w:tplc="B3FEA834">
      <w:start w:val="17"/>
      <w:numFmt w:val="bullet"/>
      <w:lvlText w:val="-"/>
      <w:lvlJc w:val="left"/>
      <w:pPr>
        <w:ind w:left="1440" w:hanging="360"/>
      </w:pPr>
      <w:rPr>
        <w:rFonts w:ascii="Times New Roman" w:eastAsia="Times New Roman" w:hAnsi="Times New Roman" w:cs="Times New Roman"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9">
    <w:nsid w:val="31D2109F"/>
    <w:multiLevelType w:val="hybridMultilevel"/>
    <w:tmpl w:val="A85C6572"/>
    <w:lvl w:ilvl="0" w:tplc="B3FEA834">
      <w:start w:val="17"/>
      <w:numFmt w:val="bullet"/>
      <w:lvlText w:val="-"/>
      <w:lvlJc w:val="left"/>
      <w:pPr>
        <w:ind w:left="1440" w:hanging="360"/>
      </w:pPr>
      <w:rPr>
        <w:rFonts w:ascii="Times New Roman" w:eastAsia="Times New Roman" w:hAnsi="Times New Roman" w:cs="Times New Roman"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0">
    <w:nsid w:val="321B6582"/>
    <w:multiLevelType w:val="hybridMultilevel"/>
    <w:tmpl w:val="9BFA467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35472259"/>
    <w:multiLevelType w:val="hybridMultilevel"/>
    <w:tmpl w:val="B2EA3ED2"/>
    <w:lvl w:ilvl="0" w:tplc="040A000F">
      <w:start w:val="1"/>
      <w:numFmt w:val="decimal"/>
      <w:lvlText w:val="%1."/>
      <w:lvlJc w:val="left"/>
      <w:pPr>
        <w:ind w:left="717" w:hanging="360"/>
      </w:pPr>
    </w:lvl>
    <w:lvl w:ilvl="1" w:tplc="040A0019" w:tentative="1">
      <w:start w:val="1"/>
      <w:numFmt w:val="lowerLetter"/>
      <w:lvlText w:val="%2."/>
      <w:lvlJc w:val="left"/>
      <w:pPr>
        <w:ind w:left="1437" w:hanging="360"/>
      </w:pPr>
    </w:lvl>
    <w:lvl w:ilvl="2" w:tplc="040A001B" w:tentative="1">
      <w:start w:val="1"/>
      <w:numFmt w:val="lowerRoman"/>
      <w:lvlText w:val="%3."/>
      <w:lvlJc w:val="right"/>
      <w:pPr>
        <w:ind w:left="2157" w:hanging="180"/>
      </w:pPr>
    </w:lvl>
    <w:lvl w:ilvl="3" w:tplc="040A000F" w:tentative="1">
      <w:start w:val="1"/>
      <w:numFmt w:val="decimal"/>
      <w:lvlText w:val="%4."/>
      <w:lvlJc w:val="left"/>
      <w:pPr>
        <w:ind w:left="2877" w:hanging="360"/>
      </w:pPr>
    </w:lvl>
    <w:lvl w:ilvl="4" w:tplc="040A0019" w:tentative="1">
      <w:start w:val="1"/>
      <w:numFmt w:val="lowerLetter"/>
      <w:lvlText w:val="%5."/>
      <w:lvlJc w:val="left"/>
      <w:pPr>
        <w:ind w:left="3597" w:hanging="360"/>
      </w:pPr>
    </w:lvl>
    <w:lvl w:ilvl="5" w:tplc="040A001B" w:tentative="1">
      <w:start w:val="1"/>
      <w:numFmt w:val="lowerRoman"/>
      <w:lvlText w:val="%6."/>
      <w:lvlJc w:val="right"/>
      <w:pPr>
        <w:ind w:left="4317" w:hanging="180"/>
      </w:pPr>
    </w:lvl>
    <w:lvl w:ilvl="6" w:tplc="040A000F" w:tentative="1">
      <w:start w:val="1"/>
      <w:numFmt w:val="decimal"/>
      <w:lvlText w:val="%7."/>
      <w:lvlJc w:val="left"/>
      <w:pPr>
        <w:ind w:left="5037" w:hanging="360"/>
      </w:pPr>
    </w:lvl>
    <w:lvl w:ilvl="7" w:tplc="040A0019" w:tentative="1">
      <w:start w:val="1"/>
      <w:numFmt w:val="lowerLetter"/>
      <w:lvlText w:val="%8."/>
      <w:lvlJc w:val="left"/>
      <w:pPr>
        <w:ind w:left="5757" w:hanging="360"/>
      </w:pPr>
    </w:lvl>
    <w:lvl w:ilvl="8" w:tplc="040A001B" w:tentative="1">
      <w:start w:val="1"/>
      <w:numFmt w:val="lowerRoman"/>
      <w:lvlText w:val="%9."/>
      <w:lvlJc w:val="right"/>
      <w:pPr>
        <w:ind w:left="6477" w:hanging="180"/>
      </w:pPr>
    </w:lvl>
  </w:abstractNum>
  <w:abstractNum w:abstractNumId="12">
    <w:nsid w:val="44913438"/>
    <w:multiLevelType w:val="multilevel"/>
    <w:tmpl w:val="637C0E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01D35D8"/>
    <w:multiLevelType w:val="hybridMultilevel"/>
    <w:tmpl w:val="B768874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nsid w:val="672C5D88"/>
    <w:multiLevelType w:val="hybridMultilevel"/>
    <w:tmpl w:val="FF3A1F3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6B3F315C"/>
    <w:multiLevelType w:val="hybridMultilevel"/>
    <w:tmpl w:val="84A8BF8E"/>
    <w:lvl w:ilvl="0" w:tplc="B3FEA834">
      <w:start w:val="17"/>
      <w:numFmt w:val="bullet"/>
      <w:lvlText w:val="-"/>
      <w:lvlJc w:val="left"/>
      <w:pPr>
        <w:ind w:left="724" w:hanging="360"/>
      </w:pPr>
      <w:rPr>
        <w:rFonts w:ascii="Times New Roman" w:eastAsia="Times New Roman" w:hAnsi="Times New Roman" w:cs="Times New Roman" w:hint="default"/>
      </w:rPr>
    </w:lvl>
    <w:lvl w:ilvl="1" w:tplc="040A0003" w:tentative="1">
      <w:start w:val="1"/>
      <w:numFmt w:val="bullet"/>
      <w:lvlText w:val="o"/>
      <w:lvlJc w:val="left"/>
      <w:pPr>
        <w:ind w:left="1444" w:hanging="360"/>
      </w:pPr>
      <w:rPr>
        <w:rFonts w:ascii="Courier New" w:hAnsi="Courier New" w:cs="Courier New" w:hint="default"/>
      </w:rPr>
    </w:lvl>
    <w:lvl w:ilvl="2" w:tplc="040A0005" w:tentative="1">
      <w:start w:val="1"/>
      <w:numFmt w:val="bullet"/>
      <w:lvlText w:val=""/>
      <w:lvlJc w:val="left"/>
      <w:pPr>
        <w:ind w:left="2164" w:hanging="360"/>
      </w:pPr>
      <w:rPr>
        <w:rFonts w:ascii="Wingdings" w:hAnsi="Wingdings" w:hint="default"/>
      </w:rPr>
    </w:lvl>
    <w:lvl w:ilvl="3" w:tplc="040A0001" w:tentative="1">
      <w:start w:val="1"/>
      <w:numFmt w:val="bullet"/>
      <w:lvlText w:val=""/>
      <w:lvlJc w:val="left"/>
      <w:pPr>
        <w:ind w:left="2884" w:hanging="360"/>
      </w:pPr>
      <w:rPr>
        <w:rFonts w:ascii="Symbol" w:hAnsi="Symbol" w:hint="default"/>
      </w:rPr>
    </w:lvl>
    <w:lvl w:ilvl="4" w:tplc="040A0003" w:tentative="1">
      <w:start w:val="1"/>
      <w:numFmt w:val="bullet"/>
      <w:lvlText w:val="o"/>
      <w:lvlJc w:val="left"/>
      <w:pPr>
        <w:ind w:left="3604" w:hanging="360"/>
      </w:pPr>
      <w:rPr>
        <w:rFonts w:ascii="Courier New" w:hAnsi="Courier New" w:cs="Courier New" w:hint="default"/>
      </w:rPr>
    </w:lvl>
    <w:lvl w:ilvl="5" w:tplc="040A0005" w:tentative="1">
      <w:start w:val="1"/>
      <w:numFmt w:val="bullet"/>
      <w:lvlText w:val=""/>
      <w:lvlJc w:val="left"/>
      <w:pPr>
        <w:ind w:left="4324" w:hanging="360"/>
      </w:pPr>
      <w:rPr>
        <w:rFonts w:ascii="Wingdings" w:hAnsi="Wingdings" w:hint="default"/>
      </w:rPr>
    </w:lvl>
    <w:lvl w:ilvl="6" w:tplc="040A0001" w:tentative="1">
      <w:start w:val="1"/>
      <w:numFmt w:val="bullet"/>
      <w:lvlText w:val=""/>
      <w:lvlJc w:val="left"/>
      <w:pPr>
        <w:ind w:left="5044" w:hanging="360"/>
      </w:pPr>
      <w:rPr>
        <w:rFonts w:ascii="Symbol" w:hAnsi="Symbol" w:hint="default"/>
      </w:rPr>
    </w:lvl>
    <w:lvl w:ilvl="7" w:tplc="040A0003" w:tentative="1">
      <w:start w:val="1"/>
      <w:numFmt w:val="bullet"/>
      <w:lvlText w:val="o"/>
      <w:lvlJc w:val="left"/>
      <w:pPr>
        <w:ind w:left="5764" w:hanging="360"/>
      </w:pPr>
      <w:rPr>
        <w:rFonts w:ascii="Courier New" w:hAnsi="Courier New" w:cs="Courier New" w:hint="default"/>
      </w:rPr>
    </w:lvl>
    <w:lvl w:ilvl="8" w:tplc="040A0005" w:tentative="1">
      <w:start w:val="1"/>
      <w:numFmt w:val="bullet"/>
      <w:lvlText w:val=""/>
      <w:lvlJc w:val="left"/>
      <w:pPr>
        <w:ind w:left="6484" w:hanging="360"/>
      </w:pPr>
      <w:rPr>
        <w:rFonts w:ascii="Wingdings" w:hAnsi="Wingdings" w:hint="default"/>
      </w:rPr>
    </w:lvl>
  </w:abstractNum>
  <w:abstractNum w:abstractNumId="16">
    <w:nsid w:val="704B3CF3"/>
    <w:multiLevelType w:val="hybridMultilevel"/>
    <w:tmpl w:val="1CB0CFBA"/>
    <w:lvl w:ilvl="0" w:tplc="A6D49B62">
      <w:start w:val="8"/>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7">
    <w:nsid w:val="7B971E28"/>
    <w:multiLevelType w:val="hybridMultilevel"/>
    <w:tmpl w:val="4584633A"/>
    <w:lvl w:ilvl="0" w:tplc="B3FEA834">
      <w:start w:val="17"/>
      <w:numFmt w:val="bullet"/>
      <w:lvlText w:val="-"/>
      <w:lvlJc w:val="left"/>
      <w:pPr>
        <w:ind w:left="1440" w:hanging="360"/>
      </w:pPr>
      <w:rPr>
        <w:rFonts w:ascii="Times New Roman" w:eastAsia="Times New Roman" w:hAnsi="Times New Roman" w:cs="Times New Roman"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18">
    <w:nsid w:val="7BEE2539"/>
    <w:multiLevelType w:val="multilevel"/>
    <w:tmpl w:val="4A82DA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7D4A57B0"/>
    <w:multiLevelType w:val="hybridMultilevel"/>
    <w:tmpl w:val="6F824C58"/>
    <w:lvl w:ilvl="0" w:tplc="B3FEA834">
      <w:start w:val="17"/>
      <w:numFmt w:val="bullet"/>
      <w:lvlText w:val="-"/>
      <w:lvlJc w:val="left"/>
      <w:pPr>
        <w:ind w:left="1440" w:hanging="360"/>
      </w:pPr>
      <w:rPr>
        <w:rFonts w:ascii="Times New Roman" w:eastAsia="Times New Roman" w:hAnsi="Times New Roman" w:cs="Times New Roman" w:hint="default"/>
      </w:rPr>
    </w:lvl>
    <w:lvl w:ilvl="1" w:tplc="040A0003" w:tentative="1">
      <w:start w:val="1"/>
      <w:numFmt w:val="bullet"/>
      <w:lvlText w:val="o"/>
      <w:lvlJc w:val="left"/>
      <w:pPr>
        <w:ind w:left="1802" w:hanging="360"/>
      </w:pPr>
      <w:rPr>
        <w:rFonts w:ascii="Courier New" w:hAnsi="Courier New" w:cs="Courier New" w:hint="default"/>
      </w:rPr>
    </w:lvl>
    <w:lvl w:ilvl="2" w:tplc="040A0005" w:tentative="1">
      <w:start w:val="1"/>
      <w:numFmt w:val="bullet"/>
      <w:lvlText w:val=""/>
      <w:lvlJc w:val="left"/>
      <w:pPr>
        <w:ind w:left="2522" w:hanging="360"/>
      </w:pPr>
      <w:rPr>
        <w:rFonts w:ascii="Wingdings" w:hAnsi="Wingdings" w:hint="default"/>
      </w:rPr>
    </w:lvl>
    <w:lvl w:ilvl="3" w:tplc="040A0001" w:tentative="1">
      <w:start w:val="1"/>
      <w:numFmt w:val="bullet"/>
      <w:lvlText w:val=""/>
      <w:lvlJc w:val="left"/>
      <w:pPr>
        <w:ind w:left="3242" w:hanging="360"/>
      </w:pPr>
      <w:rPr>
        <w:rFonts w:ascii="Symbol" w:hAnsi="Symbol" w:hint="default"/>
      </w:rPr>
    </w:lvl>
    <w:lvl w:ilvl="4" w:tplc="040A0003" w:tentative="1">
      <w:start w:val="1"/>
      <w:numFmt w:val="bullet"/>
      <w:lvlText w:val="o"/>
      <w:lvlJc w:val="left"/>
      <w:pPr>
        <w:ind w:left="3962" w:hanging="360"/>
      </w:pPr>
      <w:rPr>
        <w:rFonts w:ascii="Courier New" w:hAnsi="Courier New" w:cs="Courier New" w:hint="default"/>
      </w:rPr>
    </w:lvl>
    <w:lvl w:ilvl="5" w:tplc="040A0005" w:tentative="1">
      <w:start w:val="1"/>
      <w:numFmt w:val="bullet"/>
      <w:lvlText w:val=""/>
      <w:lvlJc w:val="left"/>
      <w:pPr>
        <w:ind w:left="4682" w:hanging="360"/>
      </w:pPr>
      <w:rPr>
        <w:rFonts w:ascii="Wingdings" w:hAnsi="Wingdings" w:hint="default"/>
      </w:rPr>
    </w:lvl>
    <w:lvl w:ilvl="6" w:tplc="040A0001" w:tentative="1">
      <w:start w:val="1"/>
      <w:numFmt w:val="bullet"/>
      <w:lvlText w:val=""/>
      <w:lvlJc w:val="left"/>
      <w:pPr>
        <w:ind w:left="5402" w:hanging="360"/>
      </w:pPr>
      <w:rPr>
        <w:rFonts w:ascii="Symbol" w:hAnsi="Symbol" w:hint="default"/>
      </w:rPr>
    </w:lvl>
    <w:lvl w:ilvl="7" w:tplc="040A0003" w:tentative="1">
      <w:start w:val="1"/>
      <w:numFmt w:val="bullet"/>
      <w:lvlText w:val="o"/>
      <w:lvlJc w:val="left"/>
      <w:pPr>
        <w:ind w:left="6122" w:hanging="360"/>
      </w:pPr>
      <w:rPr>
        <w:rFonts w:ascii="Courier New" w:hAnsi="Courier New" w:cs="Courier New" w:hint="default"/>
      </w:rPr>
    </w:lvl>
    <w:lvl w:ilvl="8" w:tplc="040A0005" w:tentative="1">
      <w:start w:val="1"/>
      <w:numFmt w:val="bullet"/>
      <w:lvlText w:val=""/>
      <w:lvlJc w:val="left"/>
      <w:pPr>
        <w:ind w:left="6842" w:hanging="360"/>
      </w:pPr>
      <w:rPr>
        <w:rFonts w:ascii="Wingdings" w:hAnsi="Wingdings" w:hint="default"/>
      </w:rPr>
    </w:lvl>
  </w:abstractNum>
  <w:num w:numId="1">
    <w:abstractNumId w:val="18"/>
  </w:num>
  <w:num w:numId="2">
    <w:abstractNumId w:val="5"/>
  </w:num>
  <w:num w:numId="3">
    <w:abstractNumId w:val="1"/>
  </w:num>
  <w:num w:numId="4">
    <w:abstractNumId w:val="3"/>
  </w:num>
  <w:num w:numId="5">
    <w:abstractNumId w:val="14"/>
  </w:num>
  <w:num w:numId="6">
    <w:abstractNumId w:val="10"/>
  </w:num>
  <w:num w:numId="7">
    <w:abstractNumId w:val="16"/>
  </w:num>
  <w:num w:numId="8">
    <w:abstractNumId w:val="12"/>
  </w:num>
  <w:num w:numId="9">
    <w:abstractNumId w:val="11"/>
  </w:num>
  <w:num w:numId="10">
    <w:abstractNumId w:val="13"/>
  </w:num>
  <w:num w:numId="11">
    <w:abstractNumId w:val="0"/>
  </w:num>
  <w:num w:numId="12">
    <w:abstractNumId w:val="19"/>
  </w:num>
  <w:num w:numId="13">
    <w:abstractNumId w:val="17"/>
  </w:num>
  <w:num w:numId="14">
    <w:abstractNumId w:val="7"/>
  </w:num>
  <w:num w:numId="15">
    <w:abstractNumId w:val="6"/>
  </w:num>
  <w:num w:numId="16">
    <w:abstractNumId w:val="9"/>
  </w:num>
  <w:num w:numId="17">
    <w:abstractNumId w:val="8"/>
  </w:num>
  <w:num w:numId="18">
    <w:abstractNumId w:val="4"/>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B9F"/>
    <w:rsid w:val="000C40D1"/>
    <w:rsid w:val="000D3E1D"/>
    <w:rsid w:val="0010007C"/>
    <w:rsid w:val="001C6AF5"/>
    <w:rsid w:val="003435A1"/>
    <w:rsid w:val="003C4518"/>
    <w:rsid w:val="00506FDE"/>
    <w:rsid w:val="00532CEE"/>
    <w:rsid w:val="00551CC3"/>
    <w:rsid w:val="00612C82"/>
    <w:rsid w:val="00717352"/>
    <w:rsid w:val="00746998"/>
    <w:rsid w:val="00963B9F"/>
    <w:rsid w:val="009F2371"/>
    <w:rsid w:val="00B865DB"/>
    <w:rsid w:val="00C12F27"/>
    <w:rsid w:val="00C45EB6"/>
    <w:rsid w:val="00E64913"/>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A4621B-1FC1-8E45-AEF2-0AAB2CA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ES_tradn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551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idbdocs.iadb.org/wsdocs/getdocument.aspx?docnum=EZSHARE-226044693-4" TargetMode="External"/><Relationship Id="rId18" Type="http://schemas.openxmlformats.org/officeDocument/2006/relationships/hyperlink" Target="https://tbinternet.ohchr.org/_layouts/15/treatybodyexternal/Download.aspx?symbolno=E%2fC.12%2f1%2fAdd.100&amp;Lang=es" TargetMode="External"/><Relationship Id="rId26" Type="http://schemas.openxmlformats.org/officeDocument/2006/relationships/hyperlink" Target="http://idbdocs.iadb.org/wsdocs/getdocument.aspx?docnum=EZSHARE-1970849251-41" TargetMode="External"/><Relationship Id="rId3" Type="http://schemas.openxmlformats.org/officeDocument/2006/relationships/settings" Target="settings.xml"/><Relationship Id="rId21" Type="http://schemas.openxmlformats.org/officeDocument/2006/relationships/hyperlink" Target="https://www.ecuadorencifras.gob.ec/empleo-junio-2019/" TargetMode="External"/><Relationship Id="rId7" Type="http://schemas.openxmlformats.org/officeDocument/2006/relationships/image" Target="media/image1.png"/><Relationship Id="rId12" Type="http://schemas.openxmlformats.org/officeDocument/2006/relationships/hyperlink" Target="http://idbdocs.iadb.org/wsdocs/getdocument.aspx?docnum=EZSHARE-226044693-4" TargetMode="External"/><Relationship Id="rId17" Type="http://schemas.openxmlformats.org/officeDocument/2006/relationships/hyperlink" Target="https://www.imf.org/en/Publications/CR/Issues/2019/07/03/Ecuador-First-Review-under-the-Extended-Fund-Facility-Arrangement-Requests-for-Waiver-of-47087" TargetMode="External"/><Relationship Id="rId25" Type="http://schemas.openxmlformats.org/officeDocument/2006/relationships/hyperlink" Target="http://idbdocs.iadb.org/wsdocs/getdocument.aspx?docnum=EZSHARE-1970849251-41" TargetMode="External"/><Relationship Id="rId2" Type="http://schemas.openxmlformats.org/officeDocument/2006/relationships/styles" Target="styles.xml"/><Relationship Id="rId16" Type="http://schemas.openxmlformats.org/officeDocument/2006/relationships/hyperlink" Target="https://www.imf.org/en/Publications/CR/Issues/2019/07/03/Ecuador-First-Review-under-the-Extended-Fund-Facility-Arrangement-Requests-for-Waiver-of-47087" TargetMode="External"/><Relationship Id="rId20" Type="http://schemas.openxmlformats.org/officeDocument/2006/relationships/hyperlink" Target="https://www.ecuadorencifras.gob.ec/enemdu-2017/"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idbdocs.iadb.org/wsdocs/getdocument.aspx?docnum=EZSHARE-1970849251-28" TargetMode="External"/><Relationship Id="rId5" Type="http://schemas.openxmlformats.org/officeDocument/2006/relationships/footnotes" Target="footnotes.xml"/><Relationship Id="rId15" Type="http://schemas.openxmlformats.org/officeDocument/2006/relationships/hyperlink" Target="https://www.finanzas.gob.ec/wp-content/uploads/downloads/2018/08/Plan-prosperidad-2018-2021-VF.compressed.pdf" TargetMode="External"/><Relationship Id="rId23" Type="http://schemas.openxmlformats.org/officeDocument/2006/relationships/hyperlink" Target="http://idbdocs.iadb.org/wsdocs/getdocument.aspx?docnum=EZSHARE-1970849251-28" TargetMode="External"/><Relationship Id="rId28" Type="http://schemas.openxmlformats.org/officeDocument/2006/relationships/theme" Target="theme/theme1.xml"/><Relationship Id="rId10" Type="http://schemas.openxmlformats.org/officeDocument/2006/relationships/hyperlink" Target="mailto:cdes@cdes.org.ec" TargetMode="External"/><Relationship Id="rId19" Type="http://schemas.openxmlformats.org/officeDocument/2006/relationships/hyperlink" Target="https://www.ecuadorencifras.gob.ec/enemdu-2017/" TargetMode="External"/><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cdes.org.ec" TargetMode="External"/><Relationship Id="rId14" Type="http://schemas.openxmlformats.org/officeDocument/2006/relationships/hyperlink" Target="https://www.finanzas.gob.ec/wp-content/uploads/downloads/2018/08/Plan-prosperidad-2018-2021-VF.compressed.pdf" TargetMode="External"/><Relationship Id="rId22" Type="http://schemas.openxmlformats.org/officeDocument/2006/relationships/hyperlink" Target="https://www.ecuadorencifras.gob.ec/empleo-junio-2019/"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B58FE0-58FA-40BF-A557-5733C802DF59}"/>
</file>

<file path=customXml/itemProps2.xml><?xml version="1.0" encoding="utf-8"?>
<ds:datastoreItem xmlns:ds="http://schemas.openxmlformats.org/officeDocument/2006/customXml" ds:itemID="{5BDA2CDE-3902-4558-B059-8F2622026B84}"/>
</file>

<file path=customXml/itemProps3.xml><?xml version="1.0" encoding="utf-8"?>
<ds:datastoreItem xmlns:ds="http://schemas.openxmlformats.org/officeDocument/2006/customXml" ds:itemID="{343C11F9-149C-46ED-9939-49D50633A5DF}"/>
</file>

<file path=docProps/app.xml><?xml version="1.0" encoding="utf-8"?>
<Properties xmlns="http://schemas.openxmlformats.org/officeDocument/2006/extended-properties" xmlns:vt="http://schemas.openxmlformats.org/officeDocument/2006/docPropsVTypes">
  <Template>Normal</Template>
  <TotalTime>2</TotalTime>
  <Pages>16</Pages>
  <Words>7765</Words>
  <Characters>42710</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2019-09-08T14:02:00Z</dcterms:created>
  <dcterms:modified xsi:type="dcterms:W3CDTF">2019-09-08T14:02:00Z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