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B0258" w14:textId="77777777" w:rsidR="00AB46DF" w:rsidRDefault="00AB46DF" w:rsidP="00D62EAE">
      <w:pPr>
        <w:spacing w:after="0" w:line="240" w:lineRule="auto"/>
        <w:jc w:val="right"/>
        <w:rPr>
          <w:rFonts w:eastAsia="Times New Roman" w:cs="Times New Roman"/>
          <w:lang w:val="en-US"/>
        </w:rPr>
      </w:pPr>
    </w:p>
    <w:p w14:paraId="07667DFD" w14:textId="50189B50" w:rsidR="00D62EAE" w:rsidRPr="008E6AE2" w:rsidRDefault="697F9B70" w:rsidP="00D62EAE">
      <w:pPr>
        <w:spacing w:after="0" w:line="240" w:lineRule="auto"/>
        <w:jc w:val="right"/>
        <w:rPr>
          <w:rFonts w:eastAsia="Times New Roman" w:cs="Times New Roman"/>
          <w:lang w:val="en-US"/>
        </w:rPr>
      </w:pPr>
      <w:r w:rsidRPr="008E6AE2">
        <w:rPr>
          <w:rFonts w:eastAsia="Times New Roman" w:cs="Times New Roman"/>
          <w:lang w:val="en-US"/>
        </w:rPr>
        <w:t>Bogot</w:t>
      </w:r>
      <w:r w:rsidR="007D09DD" w:rsidRPr="008E6AE2">
        <w:rPr>
          <w:rFonts w:eastAsia="Times New Roman" w:cs="Times New Roman"/>
          <w:lang w:val="en-US"/>
        </w:rPr>
        <w:t>a</w:t>
      </w:r>
      <w:r w:rsidR="25CD81BD" w:rsidRPr="008E6AE2">
        <w:rPr>
          <w:rFonts w:eastAsia="Times New Roman" w:cs="Times New Roman"/>
          <w:lang w:val="en-US"/>
        </w:rPr>
        <w:t>,</w:t>
      </w:r>
      <w:r w:rsidRPr="008E6AE2">
        <w:rPr>
          <w:rFonts w:eastAsia="Times New Roman" w:cs="Times New Roman"/>
          <w:lang w:val="en-US"/>
        </w:rPr>
        <w:t xml:space="preserve"> </w:t>
      </w:r>
      <w:r w:rsidR="00AB46DF">
        <w:rPr>
          <w:rFonts w:eastAsia="Times New Roman" w:cs="Times New Roman"/>
          <w:lang w:val="en-US"/>
        </w:rPr>
        <w:t>August</w:t>
      </w:r>
      <w:r w:rsidR="00FE4AEB" w:rsidRPr="008E6AE2">
        <w:rPr>
          <w:rFonts w:eastAsia="Times New Roman" w:cs="Times New Roman"/>
          <w:lang w:val="en-US"/>
        </w:rPr>
        <w:t xml:space="preserve"> 2025</w:t>
      </w:r>
    </w:p>
    <w:p w14:paraId="01FBFF32" w14:textId="77777777" w:rsidR="00D62EAE" w:rsidRPr="008E6AE2" w:rsidRDefault="00D62EAE" w:rsidP="00D62EAE">
      <w:pPr>
        <w:spacing w:after="0" w:line="240" w:lineRule="auto"/>
        <w:jc w:val="both"/>
        <w:rPr>
          <w:rFonts w:eastAsia="Times New Roman" w:cs="Times New Roman"/>
          <w:lang w:val="en-US"/>
        </w:rPr>
      </w:pPr>
    </w:p>
    <w:p w14:paraId="5D51FF71" w14:textId="600350B6" w:rsidR="00FE4AEB" w:rsidRPr="008E6AE2" w:rsidRDefault="00FE4AEB" w:rsidP="00D62EAE">
      <w:pPr>
        <w:spacing w:after="0" w:line="240" w:lineRule="auto"/>
        <w:jc w:val="both"/>
        <w:rPr>
          <w:rFonts w:eastAsia="Times New Roman" w:cs="Times New Roman"/>
          <w:b/>
          <w:lang w:val="en-US"/>
        </w:rPr>
      </w:pPr>
      <w:r w:rsidRPr="008E6AE2">
        <w:rPr>
          <w:rFonts w:eastAsia="Times New Roman" w:cs="Times New Roman"/>
          <w:b/>
          <w:lang w:val="en-US"/>
        </w:rPr>
        <w:t>Committee on Economic, Social and Cultural Rights Secretariat</w:t>
      </w:r>
    </w:p>
    <w:p w14:paraId="4DE1F21A" w14:textId="5F7D19C2" w:rsidR="00D62EAE" w:rsidRPr="008E6AE2" w:rsidRDefault="00D62EAE" w:rsidP="00D62EAE">
      <w:pPr>
        <w:spacing w:after="0" w:line="240" w:lineRule="auto"/>
        <w:jc w:val="both"/>
        <w:rPr>
          <w:rFonts w:eastAsia="Times New Roman" w:cs="Times New Roman"/>
          <w:lang w:val="en-US"/>
        </w:rPr>
      </w:pPr>
      <w:r w:rsidRPr="008E6AE2">
        <w:rPr>
          <w:rFonts w:eastAsia="Times New Roman" w:cs="Times New Roman"/>
          <w:lang w:val="en-US"/>
        </w:rPr>
        <w:t>Office of the United Nations High Commissioner for Human Rights</w:t>
      </w:r>
    </w:p>
    <w:p w14:paraId="7011B712" w14:textId="77777777" w:rsidR="00D62EAE" w:rsidRPr="00F647F8" w:rsidRDefault="00D62EAE" w:rsidP="00D62EAE">
      <w:pPr>
        <w:spacing w:after="0" w:line="240" w:lineRule="auto"/>
        <w:jc w:val="both"/>
        <w:rPr>
          <w:rFonts w:eastAsia="Times New Roman" w:cs="Times New Roman"/>
          <w:lang w:val="fr-FR"/>
        </w:rPr>
      </w:pPr>
      <w:bookmarkStart w:id="0" w:name="_Hlk131936636"/>
      <w:r w:rsidRPr="00F647F8">
        <w:rPr>
          <w:rFonts w:eastAsia="Times New Roman" w:cs="Times New Roman"/>
          <w:lang w:val="fr-FR"/>
        </w:rPr>
        <w:t xml:space="preserve">Palais Wilson – 52, rue des Pâquis CH-1201 </w:t>
      </w:r>
    </w:p>
    <w:bookmarkEnd w:id="0"/>
    <w:p w14:paraId="72A90F65" w14:textId="02816E05" w:rsidR="00D62EAE" w:rsidRPr="008E6AE2" w:rsidRDefault="00D62EAE" w:rsidP="00D62EAE">
      <w:pPr>
        <w:spacing w:after="0" w:line="240" w:lineRule="auto"/>
        <w:jc w:val="both"/>
        <w:rPr>
          <w:rFonts w:eastAsia="Times New Roman" w:cs="Times New Roman"/>
          <w:lang w:val="en-US"/>
        </w:rPr>
      </w:pPr>
      <w:r w:rsidRPr="008E6AE2">
        <w:rPr>
          <w:rFonts w:eastAsia="Times New Roman" w:cs="Times New Roman"/>
          <w:lang w:val="en-US"/>
        </w:rPr>
        <w:t>Geneva</w:t>
      </w:r>
      <w:r w:rsidR="00CC7454" w:rsidRPr="008E6AE2">
        <w:rPr>
          <w:rFonts w:eastAsia="Times New Roman" w:cs="Times New Roman"/>
          <w:lang w:val="en-US"/>
        </w:rPr>
        <w:t>-</w:t>
      </w:r>
      <w:r w:rsidRPr="008E6AE2">
        <w:rPr>
          <w:rFonts w:eastAsia="Times New Roman" w:cs="Times New Roman"/>
          <w:lang w:val="en-US"/>
        </w:rPr>
        <w:t xml:space="preserve">Switzerland </w:t>
      </w:r>
    </w:p>
    <w:p w14:paraId="5AC07839" w14:textId="77777777" w:rsidR="00D62EAE" w:rsidRPr="008E6AE2" w:rsidRDefault="00D62EAE" w:rsidP="00D62EAE">
      <w:pPr>
        <w:spacing w:after="0" w:line="240" w:lineRule="auto"/>
        <w:jc w:val="both"/>
        <w:rPr>
          <w:rFonts w:eastAsia="Times New Roman" w:cs="Times New Roman"/>
          <w:lang w:val="en-US"/>
        </w:rPr>
      </w:pPr>
    </w:p>
    <w:p w14:paraId="24D0F727" w14:textId="1C2CCBA8" w:rsidR="00D62EAE" w:rsidRPr="008E6AE2" w:rsidRDefault="00D62EAE" w:rsidP="00D62EAE">
      <w:pPr>
        <w:spacing w:after="0" w:line="240" w:lineRule="auto"/>
        <w:ind w:left="3960"/>
        <w:jc w:val="both"/>
        <w:rPr>
          <w:rFonts w:eastAsia="Times New Roman" w:cs="Times New Roman"/>
          <w:b/>
          <w:lang w:val="en-US"/>
        </w:rPr>
      </w:pPr>
      <w:r w:rsidRPr="008E6AE2">
        <w:rPr>
          <w:rFonts w:eastAsia="Times New Roman" w:cs="Times New Roman"/>
          <w:b/>
          <w:lang w:val="en-US"/>
        </w:rPr>
        <w:t xml:space="preserve">Re: Independent information on Colombia, submitted for consideration by the </w:t>
      </w:r>
      <w:r w:rsidR="00FE4AEB" w:rsidRPr="008E6AE2">
        <w:rPr>
          <w:rFonts w:eastAsia="Times New Roman" w:cs="Times New Roman"/>
          <w:b/>
          <w:lang w:val="en-US"/>
        </w:rPr>
        <w:t>Committee on Economic, Social and Cultural Rights</w:t>
      </w:r>
      <w:r w:rsidRPr="008E6AE2">
        <w:rPr>
          <w:rFonts w:eastAsia="Times New Roman" w:cs="Times New Roman"/>
          <w:b/>
          <w:lang w:val="en-US"/>
        </w:rPr>
        <w:t xml:space="preserve"> for the </w:t>
      </w:r>
      <w:r w:rsidR="00706638" w:rsidRPr="008E6AE2">
        <w:rPr>
          <w:rFonts w:eastAsia="Times New Roman" w:cs="Times New Roman"/>
          <w:b/>
          <w:lang w:val="en-US"/>
        </w:rPr>
        <w:t>78</w:t>
      </w:r>
      <w:r w:rsidRPr="008E6AE2">
        <w:rPr>
          <w:rFonts w:eastAsia="Times New Roman" w:cs="Times New Roman"/>
          <w:b/>
          <w:lang w:val="en-US"/>
        </w:rPr>
        <w:t xml:space="preserve">th Session </w:t>
      </w:r>
    </w:p>
    <w:p w14:paraId="34C348E9" w14:textId="77777777" w:rsidR="00DB0F79" w:rsidRPr="008E6AE2" w:rsidRDefault="00DB0F79" w:rsidP="008116B4">
      <w:pPr>
        <w:spacing w:before="120" w:after="120" w:line="240" w:lineRule="auto"/>
        <w:jc w:val="both"/>
        <w:rPr>
          <w:rFonts w:eastAsia="Times New Roman" w:cs="Times New Roman"/>
          <w:i/>
          <w:lang w:val="en-US"/>
        </w:rPr>
      </w:pPr>
    </w:p>
    <w:p w14:paraId="45092387" w14:textId="77777777" w:rsidR="00DB0F79" w:rsidRPr="008E6AE2" w:rsidRDefault="00DB0F79" w:rsidP="00DB0F79">
      <w:pPr>
        <w:spacing w:after="0" w:line="240" w:lineRule="auto"/>
        <w:jc w:val="both"/>
        <w:rPr>
          <w:rFonts w:eastAsia="Times New Roman" w:cs="Times New Roman"/>
          <w:lang w:val="en-US"/>
        </w:rPr>
      </w:pPr>
      <w:r w:rsidRPr="008E6AE2">
        <w:rPr>
          <w:rFonts w:eastAsia="Times New Roman" w:cs="Times New Roman"/>
          <w:lang w:val="en-US"/>
        </w:rPr>
        <w:t>Distinguished Committee members,</w:t>
      </w:r>
    </w:p>
    <w:p w14:paraId="0AA4C3CB" w14:textId="77777777" w:rsidR="00DB0F79" w:rsidRPr="008E6AE2" w:rsidRDefault="00DB0F79" w:rsidP="00DB0F79">
      <w:pPr>
        <w:spacing w:after="0" w:line="240" w:lineRule="auto"/>
        <w:ind w:left="2268"/>
        <w:jc w:val="both"/>
        <w:rPr>
          <w:rFonts w:eastAsia="Times New Roman" w:cs="Times New Roman"/>
          <w:lang w:val="en-US"/>
        </w:rPr>
      </w:pPr>
    </w:p>
    <w:p w14:paraId="6DF7FCBD" w14:textId="0E6D82A1" w:rsidR="00EE1C5E" w:rsidRPr="008E6AE2" w:rsidRDefault="00DB0F79" w:rsidP="00DB0F79">
      <w:pPr>
        <w:spacing w:after="0" w:line="240" w:lineRule="auto"/>
        <w:jc w:val="both"/>
        <w:rPr>
          <w:rFonts w:eastAsia="Calibri" w:cs="Times New Roman"/>
          <w:lang w:val="en-US"/>
        </w:rPr>
      </w:pPr>
      <w:r w:rsidRPr="008E6AE2">
        <w:rPr>
          <w:rFonts w:eastAsia="Calibri" w:cs="Times New Roman"/>
          <w:lang w:val="en-US"/>
        </w:rPr>
        <w:t>The Center for Reproductive Rights</w:t>
      </w:r>
      <w:r w:rsidR="009301BA">
        <w:rPr>
          <w:rFonts w:eastAsia="Calibri" w:cs="Times New Roman"/>
          <w:lang w:val="en-US"/>
        </w:rPr>
        <w:t>,</w:t>
      </w:r>
      <w:r w:rsidR="00EE1C5E" w:rsidRPr="008E6AE2">
        <w:rPr>
          <w:rStyle w:val="EndnoteReference"/>
          <w:rFonts w:eastAsia="Calibri" w:cs="Times New Roman"/>
          <w:lang w:val="en-US"/>
        </w:rPr>
        <w:endnoteReference w:id="2"/>
      </w:r>
      <w:r w:rsidR="00EE1C5E" w:rsidRPr="008E6AE2">
        <w:rPr>
          <w:rFonts w:eastAsia="Calibri" w:cs="Times New Roman"/>
          <w:lang w:val="en-US"/>
        </w:rPr>
        <w:t xml:space="preserve"> </w:t>
      </w:r>
      <w:r w:rsidR="009301BA" w:rsidRPr="009301BA">
        <w:rPr>
          <w:rFonts w:eastAsia="Calibri" w:cs="Times New Roman"/>
          <w:lang w:val="en-US"/>
        </w:rPr>
        <w:t>Corporación de Mujeres Eco Feministas Comunitar</w:t>
      </w:r>
      <w:r w:rsidR="00FE786B">
        <w:rPr>
          <w:rStyle w:val="EndnoteReference"/>
          <w:rFonts w:eastAsia="Calibri" w:cs="Times New Roman"/>
          <w:lang w:val="en-US"/>
        </w:rPr>
        <w:endnoteReference w:id="3"/>
      </w:r>
      <w:r w:rsidR="009301BA" w:rsidRPr="009301BA">
        <w:rPr>
          <w:rFonts w:eastAsia="Calibri" w:cs="Times New Roman"/>
          <w:lang w:val="en-US"/>
        </w:rPr>
        <w:t xml:space="preserve"> and Fundación Mujer y Futuro</w:t>
      </w:r>
      <w:r w:rsidR="00D729A3">
        <w:rPr>
          <w:rStyle w:val="EndnoteReference"/>
          <w:rFonts w:eastAsia="Calibri" w:cs="Times New Roman"/>
          <w:lang w:val="en-US"/>
        </w:rPr>
        <w:endnoteReference w:id="4"/>
      </w:r>
      <w:r w:rsidR="009301BA">
        <w:rPr>
          <w:rFonts w:eastAsia="Calibri" w:cs="Times New Roman"/>
          <w:lang w:val="en-US"/>
        </w:rPr>
        <w:t xml:space="preserve">, </w:t>
      </w:r>
      <w:r w:rsidR="00EE1C5E" w:rsidRPr="008E6AE2">
        <w:rPr>
          <w:rFonts w:eastAsia="Calibri" w:cs="Times New Roman"/>
          <w:lang w:val="en-US"/>
        </w:rPr>
        <w:t xml:space="preserve">seek to contribute to the Committee by providing independent information on Colombia's implementation of and compliance with the </w:t>
      </w:r>
      <w:r w:rsidR="00706638" w:rsidRPr="008E6AE2">
        <w:rPr>
          <w:rFonts w:eastAsia="Calibri" w:cs="Times New Roman"/>
          <w:lang w:val="en-US"/>
        </w:rPr>
        <w:t>International Covenant on Economic, Social and Cultural Rights</w:t>
      </w:r>
      <w:r w:rsidR="00EE1C5E" w:rsidRPr="008E6AE2">
        <w:rPr>
          <w:rFonts w:eastAsia="Calibri" w:cs="Times New Roman"/>
          <w:lang w:val="en-US"/>
        </w:rPr>
        <w:t xml:space="preserve"> ("</w:t>
      </w:r>
      <w:r w:rsidR="00706638" w:rsidRPr="008E6AE2">
        <w:rPr>
          <w:rFonts w:eastAsia="Calibri" w:cs="Times New Roman"/>
          <w:b/>
          <w:lang w:val="en-US"/>
        </w:rPr>
        <w:t>ICESCR</w:t>
      </w:r>
      <w:r w:rsidR="00EE1C5E" w:rsidRPr="008E6AE2">
        <w:rPr>
          <w:rFonts w:eastAsia="Calibri" w:cs="Times New Roman"/>
          <w:lang w:val="en-US"/>
        </w:rPr>
        <w:t xml:space="preserve">"), particularly on the State’s obligations to protect, respect, and fulfill women's rights.  We submit this report for the </w:t>
      </w:r>
      <w:r w:rsidR="00706638" w:rsidRPr="008E6AE2">
        <w:rPr>
          <w:rFonts w:eastAsia="Calibri" w:cs="Times New Roman"/>
          <w:lang w:val="en-US"/>
        </w:rPr>
        <w:t>78</w:t>
      </w:r>
      <w:r w:rsidR="00EE1C5E" w:rsidRPr="008E6AE2">
        <w:rPr>
          <w:rFonts w:eastAsia="Calibri" w:cs="Times New Roman"/>
          <w:lang w:val="en-US"/>
        </w:rPr>
        <w:t xml:space="preserve">th session of the </w:t>
      </w:r>
      <w:r w:rsidR="00706638" w:rsidRPr="008E6AE2">
        <w:rPr>
          <w:rFonts w:eastAsia="Calibri" w:cs="Times New Roman"/>
          <w:lang w:val="en-US"/>
        </w:rPr>
        <w:t xml:space="preserve">Committee on Economic, Social and Cultural Rights </w:t>
      </w:r>
      <w:r w:rsidR="00EE1C5E" w:rsidRPr="008E6AE2">
        <w:rPr>
          <w:rFonts w:eastAsia="Calibri" w:cs="Times New Roman"/>
          <w:lang w:val="en-US"/>
        </w:rPr>
        <w:t xml:space="preserve">at which the </w:t>
      </w:r>
      <w:r w:rsidR="007B7F0D" w:rsidRPr="008E6AE2">
        <w:rPr>
          <w:rFonts w:eastAsia="Calibri" w:cs="Times New Roman"/>
          <w:lang w:val="en-US"/>
        </w:rPr>
        <w:t>7</w:t>
      </w:r>
      <w:r w:rsidR="00EE1C5E" w:rsidRPr="008E6AE2">
        <w:rPr>
          <w:rFonts w:eastAsia="Calibri" w:cs="Times New Roman"/>
          <w:lang w:val="en-US"/>
        </w:rPr>
        <w:t>th Periodic Report of Colombia will be considered.</w:t>
      </w:r>
    </w:p>
    <w:p w14:paraId="5DA7CF20" w14:textId="77777777" w:rsidR="00EE1C5E" w:rsidRPr="008E6AE2" w:rsidRDefault="00EE1C5E" w:rsidP="00DB0F79">
      <w:pPr>
        <w:spacing w:after="0" w:line="240" w:lineRule="auto"/>
        <w:jc w:val="both"/>
        <w:rPr>
          <w:rFonts w:eastAsia="Times New Roman" w:cs="Times New Roman"/>
          <w:lang w:val="en-US"/>
        </w:rPr>
      </w:pPr>
    </w:p>
    <w:p w14:paraId="648E7CE6" w14:textId="63CB7CD7" w:rsidR="00EE1C5E" w:rsidRPr="008E6AE2" w:rsidRDefault="1628EA9D" w:rsidP="003956E7">
      <w:pPr>
        <w:spacing w:after="0" w:line="240" w:lineRule="auto"/>
        <w:jc w:val="both"/>
        <w:rPr>
          <w:rFonts w:eastAsia="Times New Roman" w:cs="Times New Roman"/>
          <w:lang w:val="en-US"/>
        </w:rPr>
      </w:pPr>
      <w:r w:rsidRPr="53ACDAD9">
        <w:rPr>
          <w:rFonts w:eastAsia="Times New Roman" w:cs="Times New Roman"/>
          <w:lang w:val="en-US"/>
        </w:rPr>
        <w:t>This document focuses on:</w:t>
      </w:r>
      <w:r w:rsidRPr="53ACDAD9">
        <w:rPr>
          <w:rFonts w:eastAsia="Calibri" w:cs="Times New Roman"/>
          <w:lang w:val="en-US"/>
        </w:rPr>
        <w:t xml:space="preserve"> </w:t>
      </w:r>
      <w:r w:rsidRPr="53ACDAD9">
        <w:rPr>
          <w:rFonts w:eastAsia="Calibri" w:cs="Times New Roman"/>
          <w:b/>
          <w:bCs/>
          <w:i/>
          <w:iCs/>
          <w:lang w:val="en-US"/>
        </w:rPr>
        <w:t xml:space="preserve">(i) </w:t>
      </w:r>
      <w:r w:rsidRPr="53ACDAD9">
        <w:rPr>
          <w:rFonts w:eastAsia="Calibri" w:cs="Times New Roman"/>
          <w:i/>
          <w:iCs/>
          <w:lang w:val="en-US"/>
        </w:rPr>
        <w:t>Reproductive violence within the Colombian Armed Conflict;</w:t>
      </w:r>
      <w:r w:rsidRPr="53ACDAD9">
        <w:rPr>
          <w:rFonts w:eastAsia="Calibri" w:cs="Times New Roman"/>
          <w:b/>
          <w:bCs/>
          <w:i/>
          <w:iCs/>
          <w:lang w:val="en-US"/>
        </w:rPr>
        <w:t xml:space="preserve"> (ii) </w:t>
      </w:r>
      <w:r w:rsidRPr="53ACDAD9">
        <w:rPr>
          <w:rFonts w:eastAsia="Calibri" w:cs="Times New Roman"/>
          <w:i/>
          <w:iCs/>
          <w:lang w:val="en-US"/>
        </w:rPr>
        <w:t>Violations of reproductive rights due to glyphosate spraying, and</w:t>
      </w:r>
      <w:r w:rsidRPr="53ACDAD9">
        <w:rPr>
          <w:rFonts w:eastAsia="Calibri" w:cs="Times New Roman"/>
          <w:b/>
          <w:bCs/>
          <w:i/>
          <w:iCs/>
          <w:lang w:val="en-US"/>
        </w:rPr>
        <w:t xml:space="preserve"> (iii) </w:t>
      </w:r>
      <w:r w:rsidRPr="53ACDAD9">
        <w:rPr>
          <w:rFonts w:eastAsia="Calibri" w:cs="Times New Roman"/>
          <w:i/>
          <w:iCs/>
          <w:lang w:val="en-US"/>
        </w:rPr>
        <w:t>Access to the service of Voluntary Interruption of Pregnancy in Colombia.</w:t>
      </w:r>
      <w:r w:rsidR="178B7952" w:rsidRPr="53ACDAD9">
        <w:rPr>
          <w:rFonts w:eastAsia="Calibri" w:cs="Times New Roman"/>
          <w:i/>
          <w:iCs/>
          <w:lang w:val="en-US"/>
        </w:rPr>
        <w:t xml:space="preserve"> </w:t>
      </w:r>
      <w:r w:rsidR="178B7952" w:rsidRPr="53ACDAD9">
        <w:rPr>
          <w:rFonts w:eastAsia="Calibri" w:cs="Times New Roman"/>
          <w:lang w:val="en-US"/>
        </w:rPr>
        <w:t>These issues are addressed in response to points</w:t>
      </w:r>
      <w:r w:rsidR="00DA35DB">
        <w:rPr>
          <w:rFonts w:eastAsia="Calibri" w:cs="Times New Roman"/>
          <w:lang w:val="en-US"/>
        </w:rPr>
        <w:t xml:space="preserve"> 11.e,</w:t>
      </w:r>
      <w:r w:rsidR="178B7952" w:rsidRPr="53ACDAD9">
        <w:rPr>
          <w:rFonts w:eastAsia="Calibri" w:cs="Times New Roman"/>
          <w:lang w:val="en-US"/>
        </w:rPr>
        <w:t xml:space="preserve"> 29 and 30 of the List of Issues related to the 7th Periodic Report of Colombia.</w:t>
      </w:r>
    </w:p>
    <w:p w14:paraId="6187B369" w14:textId="77777777" w:rsidR="00EE1C5E" w:rsidRPr="008E6AE2" w:rsidRDefault="00EE1C5E" w:rsidP="009C06E8">
      <w:pPr>
        <w:spacing w:line="240" w:lineRule="auto"/>
        <w:contextualSpacing/>
        <w:jc w:val="both"/>
        <w:rPr>
          <w:rFonts w:eastAsia="Times New Roman" w:cs="Times New Roman"/>
          <w:lang w:val="en-US"/>
        </w:rPr>
      </w:pPr>
    </w:p>
    <w:p w14:paraId="73980CC0" w14:textId="57437810" w:rsidR="00EE1C5E" w:rsidRPr="008E6AE2" w:rsidRDefault="00EE1C5E" w:rsidP="00476EE0">
      <w:pPr>
        <w:pStyle w:val="Heading1"/>
        <w:jc w:val="both"/>
        <w:rPr>
          <w:lang w:val="en-US"/>
        </w:rPr>
      </w:pPr>
      <w:r w:rsidRPr="008E6AE2">
        <w:rPr>
          <w:lang w:val="en-US"/>
        </w:rPr>
        <w:t>The recognition of Reproductive Violence and Sexual Violence occurred during Colombian Armed Conflict (“CAC”)</w:t>
      </w:r>
    </w:p>
    <w:p w14:paraId="57EFD32E" w14:textId="6A9AD9F3" w:rsidR="00EE1C5E" w:rsidRPr="008E6AE2" w:rsidRDefault="1628EA9D" w:rsidP="00016A31">
      <w:pPr>
        <w:pStyle w:val="Prrafo"/>
      </w:pPr>
      <w:r w:rsidRPr="008E6AE2">
        <w:t xml:space="preserve">Law 1719/2014 </w:t>
      </w:r>
      <w:r w:rsidR="54610BBC" w:rsidRPr="008E6AE2">
        <w:t>introduced reforms to the Colombian Criminal Code</w:t>
      </w:r>
      <w:r w:rsidR="00436E2A" w:rsidRPr="008E6AE2">
        <w:rPr>
          <w:rStyle w:val="EndnoteReference"/>
        </w:rPr>
        <w:endnoteReference w:id="5"/>
      </w:r>
      <w:r w:rsidR="54610BBC" w:rsidRPr="008E6AE2">
        <w:t xml:space="preserve"> to strengthen access to justice for victims of sexual violence, particularly in the context of the armed conflict (CAC</w:t>
      </w:r>
      <w:r w:rsidR="4A23F034" w:rsidRPr="008E6AE2">
        <w:t xml:space="preserve"> by its Spanish acronym</w:t>
      </w:r>
      <w:r w:rsidR="54610BBC" w:rsidRPr="008E6AE2">
        <w:t>). Under this law, crimes such as forced sterilization, forced pregnancy, and forced abortion committed against protected persons are classified as crimes under Colombian law.</w:t>
      </w:r>
      <w:r w:rsidR="00EE1C5E" w:rsidRPr="008E6AE2">
        <w:rPr>
          <w:rStyle w:val="EndnoteReference"/>
        </w:rPr>
        <w:endnoteReference w:id="6"/>
      </w:r>
    </w:p>
    <w:p w14:paraId="2B23A323" w14:textId="259001EC" w:rsidR="00820896" w:rsidRPr="008E6AE2" w:rsidRDefault="1628EA9D" w:rsidP="00820896">
      <w:pPr>
        <w:pStyle w:val="Prrafo"/>
      </w:pPr>
      <w:r w:rsidRPr="008E6AE2">
        <w:t>Colombia’s Truth Commission (</w:t>
      </w:r>
      <w:r w:rsidR="64D43BBD" w:rsidRPr="008E6AE2">
        <w:t>f</w:t>
      </w:r>
      <w:r w:rsidRPr="008E6AE2">
        <w:t>rom now on “CEV”</w:t>
      </w:r>
      <w:r w:rsidR="110FD7A5" w:rsidRPr="008E6AE2">
        <w:t xml:space="preserve"> </w:t>
      </w:r>
      <w:r w:rsidR="110FD7A5">
        <w:t>by its Spanish acronym</w:t>
      </w:r>
      <w:r w:rsidRPr="008E6AE2">
        <w:t xml:space="preserve">), which investigated crimes </w:t>
      </w:r>
      <w:r w:rsidR="54610BBC" w:rsidRPr="008E6AE2">
        <w:t>between</w:t>
      </w:r>
      <w:r w:rsidRPr="008E6AE2">
        <w:t xml:space="preserve"> 1</w:t>
      </w:r>
      <w:r w:rsidR="71F80410" w:rsidRPr="008E6AE2">
        <w:t>9</w:t>
      </w:r>
      <w:r w:rsidRPr="008E6AE2">
        <w:t xml:space="preserve">58 </w:t>
      </w:r>
      <w:r w:rsidR="54610BBC" w:rsidRPr="008E6AE2">
        <w:t>and</w:t>
      </w:r>
      <w:r w:rsidRPr="008E6AE2">
        <w:t xml:space="preserve"> 20</w:t>
      </w:r>
      <w:r w:rsidR="54610BBC" w:rsidRPr="008E6AE2">
        <w:t>16</w:t>
      </w:r>
      <w:r w:rsidR="00EE1C5E" w:rsidRPr="008E6AE2">
        <w:rPr>
          <w:rStyle w:val="EndnoteReference"/>
        </w:rPr>
        <w:endnoteReference w:id="7"/>
      </w:r>
      <w:r w:rsidRPr="008E6AE2">
        <w:t xml:space="preserve">, included reproductive violence as a form of violence in the context of the Colombian war. </w:t>
      </w:r>
      <w:r w:rsidR="00EE1C5E" w:rsidRPr="008E6AE2">
        <w:rPr>
          <w:rStyle w:val="EndnoteReference"/>
        </w:rPr>
        <w:endnoteReference w:id="8"/>
      </w:r>
      <w:r w:rsidRPr="008E6AE2">
        <w:t xml:space="preserve"> The </w:t>
      </w:r>
      <w:r w:rsidR="54610BBC" w:rsidRPr="008E6AE2">
        <w:t>Commission explicitly identified forced abortions, forced maternity and contraception, transmission of sexually transmitted infections, damage to reproductive health</w:t>
      </w:r>
      <w:r w:rsidR="00975DF7" w:rsidRPr="008E6AE2">
        <w:t>, and</w:t>
      </w:r>
      <w:r w:rsidRPr="008E6AE2">
        <w:t xml:space="preserve"> damage to the reproductive system and the ability to feel pleasure as violations of sexual and reproductive rights endured by women within the CAC. </w:t>
      </w:r>
      <w:r w:rsidR="00EE1C5E" w:rsidRPr="008E6AE2">
        <w:rPr>
          <w:rStyle w:val="EndnoteReference"/>
        </w:rPr>
        <w:endnoteReference w:id="9"/>
      </w:r>
    </w:p>
    <w:p w14:paraId="2FFBAC92" w14:textId="77777777" w:rsidR="00F07938" w:rsidRDefault="54610BBC" w:rsidP="00820896">
      <w:pPr>
        <w:pStyle w:val="Prrafo"/>
      </w:pPr>
      <w:r>
        <w:t xml:space="preserve">This recognition led to specific recommendations aimed at promoting women’s autonomy and ensuring comprehensive reparation for victims. These include: </w:t>
      </w:r>
      <w:r w:rsidR="5139B82B">
        <w:t xml:space="preserve">(i) </w:t>
      </w:r>
      <w:r>
        <w:t xml:space="preserve">adapting health services with </w:t>
      </w:r>
      <w:r>
        <w:lastRenderedPageBreak/>
        <w:t xml:space="preserve">gender, ethnic, and territorial approaches; </w:t>
      </w:r>
      <w:r w:rsidR="5139B82B">
        <w:t xml:space="preserve">(ii) </w:t>
      </w:r>
      <w:r>
        <w:t xml:space="preserve">expanding the Psychosocial and Comprehensive Health Care Program for Victims (PAPSIVI); </w:t>
      </w:r>
      <w:r w:rsidR="5139B82B">
        <w:t xml:space="preserve">(iii) </w:t>
      </w:r>
      <w:r>
        <w:t xml:space="preserve">recognizing violations of reproductive rights as reproductive violence regardless of combatant status; and </w:t>
      </w:r>
      <w:r w:rsidR="5139B82B">
        <w:t xml:space="preserve">(iv) </w:t>
      </w:r>
      <w:r>
        <w:t>establishing a distinct victim category and care pathway for reproductive violence</w:t>
      </w:r>
      <w:r w:rsidR="00436E2A" w:rsidRPr="53ACDAD9">
        <w:rPr>
          <w:vertAlign w:val="superscript"/>
        </w:rPr>
        <w:endnoteReference w:id="10"/>
      </w:r>
      <w:r>
        <w:t>. The CEV also called for</w:t>
      </w:r>
      <w:r w:rsidR="5139B82B">
        <w:t xml:space="preserve"> (v)</w:t>
      </w:r>
      <w:r>
        <w:t xml:space="preserve"> recognition </w:t>
      </w:r>
    </w:p>
    <w:p w14:paraId="79EFFA46" w14:textId="752538A9" w:rsidR="00820896" w:rsidRPr="008E6AE2" w:rsidRDefault="54610BBC" w:rsidP="00F07938">
      <w:pPr>
        <w:pStyle w:val="Prrafo"/>
        <w:numPr>
          <w:ilvl w:val="0"/>
          <w:numId w:val="0"/>
        </w:numPr>
        <w:ind w:left="360"/>
      </w:pPr>
      <w:r>
        <w:t>of the health impacts of aerial glyphosate spraying on women’s reproductive health and urged its discontinuation as a guarantee of non-repetition</w:t>
      </w:r>
      <w:r w:rsidR="00436E2A" w:rsidRPr="53ACDAD9">
        <w:rPr>
          <w:vertAlign w:val="superscript"/>
        </w:rPr>
        <w:endnoteReference w:id="11"/>
      </w:r>
      <w:r w:rsidR="6DACEC41">
        <w:t>.</w:t>
      </w:r>
    </w:p>
    <w:p w14:paraId="1E33E179" w14:textId="50F44171" w:rsidR="00820896" w:rsidRPr="008E6AE2" w:rsidRDefault="6DACEC41" w:rsidP="00962961">
      <w:pPr>
        <w:pStyle w:val="Prrafo"/>
      </w:pPr>
      <w:r w:rsidRPr="008E6AE2">
        <w:t xml:space="preserve">The Committee for Monitoring and Follow-up of the CEV’s Recommendations (CSM) </w:t>
      </w:r>
      <w:r w:rsidR="54610BBC" w:rsidRPr="008E6AE2">
        <w:t>has tracked the implementation of the Commission’s findings. In its second report</w:t>
      </w:r>
      <w:r w:rsidR="00436E2A" w:rsidRPr="008E6AE2">
        <w:rPr>
          <w:rStyle w:val="EndnoteReference"/>
        </w:rPr>
        <w:endnoteReference w:id="12"/>
      </w:r>
      <w:r w:rsidR="54610BBC" w:rsidRPr="008E6AE2">
        <w:t xml:space="preserve"> (September 2024), the CSM highlighted the urgent need to reform the Victims’ Assistance and Reparation Policy, particularly in response to the recommendations concerning reproductive violence.</w:t>
      </w:r>
      <w:r w:rsidRPr="008E6AE2">
        <w:t xml:space="preserve"> </w:t>
      </w:r>
    </w:p>
    <w:p w14:paraId="6B1FA9AF" w14:textId="1DBB3617" w:rsidR="00436E2A" w:rsidRPr="008E6AE2" w:rsidRDefault="54610BBC" w:rsidP="00BF2BFB">
      <w:pPr>
        <w:pStyle w:val="Prrafo"/>
      </w:pPr>
      <w:r w:rsidRPr="008E6AE2">
        <w:t>Based on the CEV’s findings and the proceedings of the Special Jurisdiction for Peace (JEP), the Chamber for Truth Recognition, Responsibility, and Determination of Facts and Conduct (SRVR) issued Writ 103 of 2024, initiating Macro Case 11</w:t>
      </w:r>
      <w:r w:rsidR="3CD6ACB4" w:rsidRPr="00F07938">
        <w:t>, investigating gender-based violence, including sexual and reproductive violence, and crimes committed out of prejudice.</w:t>
      </w:r>
      <w:r w:rsidR="00057489" w:rsidRPr="008E6AE2">
        <w:rPr>
          <w:rStyle w:val="EndnoteReference"/>
        </w:rPr>
        <w:endnoteReference w:id="13"/>
      </w:r>
    </w:p>
    <w:p w14:paraId="31F89FE3" w14:textId="63A33111" w:rsidR="00360445" w:rsidRPr="008E6AE2" w:rsidRDefault="7BF010F6" w:rsidP="00BF2BFB">
      <w:pPr>
        <w:pStyle w:val="Prrafo"/>
      </w:pPr>
      <w:r w:rsidRPr="008E6AE2">
        <w:t>According to JEP data, between 1957 and 2016, 35,178 cases of gender-based violence, reproductive violence, and bias-motivated crimes based on sexual orientation and gender identity/expression were documented in the CAC</w:t>
      </w:r>
      <w:r w:rsidR="00436E2A" w:rsidRPr="008E6AE2">
        <w:rPr>
          <w:rStyle w:val="EndnoteReference"/>
        </w:rPr>
        <w:endnoteReference w:id="14"/>
      </w:r>
      <w:r w:rsidRPr="008E6AE2">
        <w:t xml:space="preserve">. The JEP identified systematic patterns of reproductive violence within the </w:t>
      </w:r>
      <w:r w:rsidR="03B4B693" w:rsidRPr="009979D6">
        <w:rPr>
          <w:color w:val="FFFFFF" w:themeColor="background1"/>
        </w:rPr>
        <w:t>Revolutionary Armed Forces of Colombia–People’s Army</w:t>
      </w:r>
      <w:r w:rsidR="03B4B693" w:rsidRPr="53ACDAD9">
        <w:t xml:space="preserve"> (</w:t>
      </w:r>
      <w:r w:rsidRPr="008E6AE2">
        <w:t>FARC-EP</w:t>
      </w:r>
      <w:r w:rsidR="4447BDC1">
        <w:t>)</w:t>
      </w:r>
      <w:r w:rsidRPr="008E6AE2">
        <w:t>, including forced contraception, forced abortion, and forced motherhood</w:t>
      </w:r>
      <w:r w:rsidR="00436E2A" w:rsidRPr="008E6AE2">
        <w:rPr>
          <w:rStyle w:val="EndnoteReference"/>
        </w:rPr>
        <w:endnoteReference w:id="15"/>
      </w:r>
      <w:r w:rsidRPr="008E6AE2">
        <w:t xml:space="preserve">. These acts have been legally classified as war crimes, including torture, cruel treatment, and sexual violence. </w:t>
      </w:r>
    </w:p>
    <w:p w14:paraId="2EA2AA54" w14:textId="6DDF07B9" w:rsidR="00DA5491" w:rsidRPr="008E6AE2" w:rsidRDefault="54610BBC" w:rsidP="00DA5491">
      <w:pPr>
        <w:pStyle w:val="Prrafo"/>
      </w:pPr>
      <w:r w:rsidRPr="008E6AE2">
        <w:t>Through Macro Cases 05, 07, and 11, the JEP has begun to address the long-standing legal and institutional invisibilization of the experiences of women, girls, and people capable of becoming pregnant, beyond sexual violence.</w:t>
      </w:r>
      <w:r w:rsidR="6BD70494" w:rsidRPr="008E6AE2">
        <w:t xml:space="preserve"> </w:t>
      </w:r>
      <w:r w:rsidR="00684736">
        <w:t xml:space="preserve">Some of these experiences are forms of reproductive violence. </w:t>
      </w:r>
      <w:r w:rsidR="6E61C6DA">
        <w:t xml:space="preserve">In Macro Case 05, </w:t>
      </w:r>
      <w:r w:rsidR="6E61C6DA" w:rsidRPr="00F07938">
        <w:rPr>
          <w:i/>
          <w:iCs/>
        </w:rPr>
        <w:t>Territorial Situation in Northern Cauca and Southern Valle del Cauca,</w:t>
      </w:r>
      <w:r w:rsidR="6E61C6DA">
        <w:t xml:space="preserve"> the Chamber for the Acknowledgment of Truth, Responsibility, and Determination of Facts and Conducts (hereinafter “Chamber for Acknowledgment”) established in Ruling 266 of 2021 that forced contraception was a systematic practice within the FARC-EP. It further determined that such acts may be legally classified as war crimes, including torture, cruel treatment, outrages upon personal dignity, or sexual violence</w:t>
      </w:r>
      <w:r w:rsidR="00436E2A" w:rsidRPr="53ACDAD9">
        <w:rPr>
          <w:vertAlign w:val="superscript"/>
        </w:rPr>
        <w:endnoteReference w:id="16"/>
      </w:r>
      <w:r w:rsidR="6E61C6DA">
        <w:t xml:space="preserve">. In Macro Case 07, </w:t>
      </w:r>
      <w:r w:rsidR="6E61C6DA" w:rsidRPr="00F07938">
        <w:rPr>
          <w:i/>
          <w:iCs/>
        </w:rPr>
        <w:t xml:space="preserve">Recruitment and Use of Children in the Armed Conflict and Other Crimes Committed Against Them </w:t>
      </w:r>
      <w:r w:rsidR="6E61C6DA">
        <w:t>within the Context of Life Within the Ranks, the Chamber for Acknowledgment found in Ruling 05 of 2024 a systematic pattern of reproductive violence aimed at preventing the exercise of motherhood and fatherhood within FARC-EP ranks</w:t>
      </w:r>
      <w:r w:rsidR="00436E2A" w:rsidRPr="53ACDAD9">
        <w:rPr>
          <w:vertAlign w:val="superscript"/>
        </w:rPr>
        <w:endnoteReference w:id="17"/>
      </w:r>
      <w:r w:rsidR="6E61C6DA">
        <w:t>.</w:t>
      </w:r>
    </w:p>
    <w:p w14:paraId="21F9014B" w14:textId="1F474372" w:rsidR="00DA5491" w:rsidRPr="008E6AE2" w:rsidRDefault="6BD70494" w:rsidP="53ACDAD9">
      <w:pPr>
        <w:pStyle w:val="Prrafo"/>
        <w:rPr>
          <w:lang w:eastAsia="es-MX"/>
        </w:rPr>
      </w:pPr>
      <w:r w:rsidRPr="008E6AE2">
        <w:rPr>
          <w:lang w:eastAsia="es-MX"/>
        </w:rPr>
        <w:t>While its role in guaranteeing access to justice is fundamental, significant challenges persist. Despite the identification of thousands of cases, by December 2024, only 126 victims had been accredited in Macrocase 11—less than 0.05% of the total—highlighting the gap between recognition and effective participation</w:t>
      </w:r>
      <w:r w:rsidR="00A257AF">
        <w:rPr>
          <w:rStyle w:val="EndnoteReference"/>
          <w:lang w:eastAsia="es-MX"/>
        </w:rPr>
        <w:endnoteReference w:id="18"/>
      </w:r>
      <w:r w:rsidRPr="008E6AE2">
        <w:rPr>
          <w:lang w:eastAsia="es-MX"/>
        </w:rPr>
        <w:t>.</w:t>
      </w:r>
    </w:p>
    <w:p w14:paraId="4CC6ECD0" w14:textId="6A12287C" w:rsidR="00DA5491" w:rsidRPr="008E6AE2" w:rsidRDefault="4E4F64FB" w:rsidP="00DA5491">
      <w:pPr>
        <w:pStyle w:val="Prrafo"/>
        <w:rPr>
          <w:lang w:eastAsia="es-MX"/>
        </w:rPr>
      </w:pPr>
      <w:r w:rsidRPr="008E6AE2">
        <w:rPr>
          <w:lang w:eastAsia="es-MX"/>
        </w:rPr>
        <w:t xml:space="preserve">This limited accreditation reflects structural barriers, including the late opening of  </w:t>
      </w:r>
      <w:r w:rsidR="14569300" w:rsidRPr="008E6AE2">
        <w:rPr>
          <w:lang w:eastAsia="es-MX"/>
        </w:rPr>
        <w:t>M</w:t>
      </w:r>
      <w:r w:rsidRPr="008E6AE2">
        <w:rPr>
          <w:lang w:eastAsia="es-MX"/>
        </w:rPr>
        <w:t xml:space="preserve">acrocase </w:t>
      </w:r>
      <w:r w:rsidR="0C06A7E7" w:rsidRPr="008E6AE2">
        <w:rPr>
          <w:lang w:eastAsia="es-MX"/>
        </w:rPr>
        <w:t xml:space="preserve">11 </w:t>
      </w:r>
      <w:r w:rsidRPr="008E6AE2">
        <w:rPr>
          <w:lang w:eastAsia="es-MX"/>
        </w:rPr>
        <w:t xml:space="preserve">and the specific difficulties in reporting and documenting such violence. These factors hinder the </w:t>
      </w:r>
      <w:r w:rsidRPr="008E6AE2">
        <w:rPr>
          <w:lang w:eastAsia="es-MX"/>
        </w:rPr>
        <w:lastRenderedPageBreak/>
        <w:t>identification of macro-criminal patterns, particularly when incidents are geographically dispersed and involve distinct responsible structures. The delayed initiation of Macrocase 11 in 2023 further complicates progress, especially given the JEP’s twenty-year operational limit. Now in its seventh year, the jurisdiction plans to begin adversarial proceedings in 2025, which would mark the closure of macrocase investigations</w:t>
      </w:r>
      <w:r w:rsidR="44349096">
        <w:rPr>
          <w:lang w:eastAsia="es-MX"/>
        </w:rPr>
        <w:t xml:space="preserve"> -which are </w:t>
      </w:r>
      <w:r w:rsidR="4AC836EF">
        <w:rPr>
          <w:lang w:eastAsia="es-MX"/>
        </w:rPr>
        <w:t>“dialogic”</w:t>
      </w:r>
      <w:r w:rsidR="685F647E">
        <w:rPr>
          <w:lang w:eastAsia="es-MX"/>
        </w:rPr>
        <w:t>, instead of “adversarial”-</w:t>
      </w:r>
      <w:r w:rsidRPr="008E6AE2">
        <w:rPr>
          <w:lang w:eastAsia="es-MX"/>
        </w:rPr>
        <w:t xml:space="preserve"> and activate the mandate of the Investigation and Prosecution Unit</w:t>
      </w:r>
      <w:r w:rsidR="692F7363">
        <w:rPr>
          <w:lang w:eastAsia="es-MX"/>
        </w:rPr>
        <w:t xml:space="preserve"> of the JEP</w:t>
      </w:r>
      <w:r w:rsidR="00A257AF">
        <w:rPr>
          <w:rStyle w:val="EndnoteReference"/>
          <w:lang w:eastAsia="es-MX"/>
        </w:rPr>
        <w:endnoteReference w:id="19"/>
      </w:r>
      <w:r w:rsidRPr="008E6AE2">
        <w:rPr>
          <w:lang w:eastAsia="es-MX"/>
        </w:rPr>
        <w:t>.</w:t>
      </w:r>
    </w:p>
    <w:p w14:paraId="304FC05C" w14:textId="0A59BA22" w:rsidR="00EE1C5E" w:rsidRPr="008E6AE2" w:rsidRDefault="00EE1C5E" w:rsidP="00860FFD">
      <w:pPr>
        <w:pStyle w:val="Heading1"/>
        <w:rPr>
          <w:rFonts w:eastAsia="Calibri"/>
          <w:i/>
          <w:lang w:val="en-US"/>
        </w:rPr>
      </w:pPr>
      <w:r w:rsidRPr="008E6AE2">
        <w:rPr>
          <w:rFonts w:eastAsia="Calibri"/>
          <w:i/>
          <w:lang w:val="en-US"/>
        </w:rPr>
        <w:t xml:space="preserve">Violations of reproductive rights </w:t>
      </w:r>
      <w:r w:rsidRPr="008E6AE2">
        <w:rPr>
          <w:rFonts w:eastAsia="Calibri"/>
          <w:i/>
          <w:iCs/>
          <w:lang w:val="en-US"/>
        </w:rPr>
        <w:t>due to</w:t>
      </w:r>
      <w:r w:rsidRPr="008E6AE2">
        <w:rPr>
          <w:rFonts w:eastAsia="Calibri"/>
          <w:i/>
          <w:lang w:val="en-US"/>
        </w:rPr>
        <w:t xml:space="preserve"> glyphosate spraying</w:t>
      </w:r>
    </w:p>
    <w:p w14:paraId="20F79F6C" w14:textId="5E4CA933" w:rsidR="00EE1C5E" w:rsidRPr="008E6AE2" w:rsidRDefault="00EE1C5E" w:rsidP="00BE71C2">
      <w:pPr>
        <w:pStyle w:val="Heading2"/>
        <w:rPr>
          <w:lang w:val="en-US"/>
        </w:rPr>
      </w:pPr>
      <w:r w:rsidRPr="008E6AE2">
        <w:rPr>
          <w:lang w:val="en-US"/>
        </w:rPr>
        <w:t xml:space="preserve"> Background</w:t>
      </w:r>
    </w:p>
    <w:p w14:paraId="173D9CEF" w14:textId="0F4761DD" w:rsidR="00EE1C5E" w:rsidRPr="008E6AE2" w:rsidRDefault="1628EA9D" w:rsidP="0091683E">
      <w:pPr>
        <w:pStyle w:val="Prrafo"/>
      </w:pPr>
      <w:r w:rsidRPr="008E6AE2">
        <w:t>Between 1994</w:t>
      </w:r>
      <w:r w:rsidR="00EE1C5E" w:rsidRPr="008E6AE2">
        <w:rPr>
          <w:rStyle w:val="EndnoteReference"/>
        </w:rPr>
        <w:endnoteReference w:id="20"/>
      </w:r>
      <w:r w:rsidRPr="008E6AE2">
        <w:t xml:space="preserve"> and 2015, </w:t>
      </w:r>
      <w:r w:rsidR="256C40E3" w:rsidRPr="008E6AE2">
        <w:t>the Colombian government actively promoted the use of glyphosate as part of its anti-drug strategy, despite growing evidence of its harmful effects on human health, particularly on women’s reproductive health.</w:t>
      </w:r>
      <w:r w:rsidR="00EE1C5E" w:rsidRPr="008E6AE2">
        <w:rPr>
          <w:rStyle w:val="EndnoteReference"/>
        </w:rPr>
        <w:endnoteReference w:id="21"/>
      </w:r>
      <w:r w:rsidRPr="53ACDAD9">
        <w:rPr>
          <w:rStyle w:val="Heading1Char"/>
          <w:rFonts w:eastAsiaTheme="minorEastAsia"/>
          <w:lang w:val="en-US"/>
        </w:rPr>
        <w:t xml:space="preserve"> </w:t>
      </w:r>
    </w:p>
    <w:p w14:paraId="5AFAD305" w14:textId="511B67D9" w:rsidR="00EE1C5E" w:rsidRPr="008E6AE2" w:rsidRDefault="1628EA9D" w:rsidP="009A3216">
      <w:pPr>
        <w:pStyle w:val="Prrafo"/>
      </w:pPr>
      <w:r w:rsidRPr="008E6AE2">
        <w:t xml:space="preserve">Between 1997 and 2002, </w:t>
      </w:r>
      <w:r w:rsidR="256C40E3" w:rsidRPr="008E6AE2">
        <w:t>approximately 1,852 complaints were submitted to local authorities, warning about the health risks associated with glyphosate exposure</w:t>
      </w:r>
      <w:r w:rsidR="00EE1C5E" w:rsidRPr="008E6AE2">
        <w:rPr>
          <w:rStyle w:val="EndnoteReference"/>
        </w:rPr>
        <w:endnoteReference w:id="22"/>
      </w:r>
      <w:r w:rsidRPr="008E6AE2">
        <w:t xml:space="preserve">.  </w:t>
      </w:r>
      <w:r w:rsidR="256C40E3" w:rsidRPr="008E6AE2">
        <w:t>Over the years, the Aerial Illicit Crop Eradication Program (PECIG</w:t>
      </w:r>
      <w:r w:rsidR="7127924E" w:rsidRPr="008E6AE2">
        <w:t xml:space="preserve"> by its Spanish acronym</w:t>
      </w:r>
      <w:r w:rsidR="256C40E3" w:rsidRPr="008E6AE2">
        <w:t>)</w:t>
      </w:r>
      <w:r w:rsidR="256C40E3" w:rsidRPr="53ACDAD9">
        <w:rPr>
          <w:rStyle w:val="EndnoteReference"/>
        </w:rPr>
        <w:t xml:space="preserve"> </w:t>
      </w:r>
      <w:r w:rsidR="008556D3" w:rsidRPr="53ACDAD9">
        <w:rPr>
          <w:rStyle w:val="EndnoteReference"/>
        </w:rPr>
        <w:endnoteReference w:id="23"/>
      </w:r>
      <w:r w:rsidR="256C40E3" w:rsidRPr="008E6AE2">
        <w:t xml:space="preserve"> </w:t>
      </w:r>
      <w:r w:rsidR="154F62F3" w:rsidRPr="008E6AE2">
        <w:t>was the subject of</w:t>
      </w:r>
      <w:r w:rsidR="256C40E3" w:rsidRPr="008E6AE2">
        <w:t xml:space="preserve"> numerous legal claims, both domestically and internationally. </w:t>
      </w:r>
    </w:p>
    <w:p w14:paraId="0B80AE27" w14:textId="7BD2D42B" w:rsidR="00EE1C5E" w:rsidRPr="008E6AE2" w:rsidRDefault="256C40E3" w:rsidP="00BE2E06">
      <w:pPr>
        <w:pStyle w:val="Prrafo"/>
      </w:pPr>
      <w:r w:rsidRPr="008E6AE2">
        <w:t>At the national level, data from the National Agency for the Legal Defense of the State (ANDJE</w:t>
      </w:r>
      <w:r w:rsidR="44554C0C" w:rsidRPr="008E6AE2">
        <w:t xml:space="preserve"> </w:t>
      </w:r>
      <w:r w:rsidR="44554C0C">
        <w:t>by its Spanish acronym</w:t>
      </w:r>
      <w:r w:rsidRPr="008E6AE2">
        <w:t>) indicated that by 2020, 228 lawsuits related to PECIG were pending before domestic courts, with claims exceeding 9.88 trillion COP</w:t>
      </w:r>
      <w:r w:rsidR="1628EA9D" w:rsidRPr="008E6AE2">
        <w:t>.</w:t>
      </w:r>
      <w:r w:rsidR="00EE1C5E" w:rsidRPr="008E6AE2">
        <w:rPr>
          <w:rStyle w:val="EndnoteReference"/>
        </w:rPr>
        <w:endnoteReference w:id="24"/>
      </w:r>
      <w:r w:rsidR="1628EA9D" w:rsidRPr="008E6AE2">
        <w:t xml:space="preserve">  </w:t>
      </w:r>
      <w:r w:rsidRPr="008E6AE2">
        <w:rPr>
          <w:rStyle w:val="Strong"/>
          <w:b w:val="0"/>
          <w:bCs w:val="0"/>
        </w:rPr>
        <w:t>In 2025, ANDJE reported one class action for health-related damages linked to PECIG</w:t>
      </w:r>
      <w:r w:rsidR="008556D3" w:rsidRPr="53ACDAD9">
        <w:rPr>
          <w:rStyle w:val="EndnoteReference"/>
        </w:rPr>
        <w:endnoteReference w:id="25"/>
      </w:r>
      <w:r w:rsidRPr="008E6AE2">
        <w:rPr>
          <w:rStyle w:val="Strong"/>
          <w:b w:val="0"/>
          <w:bCs w:val="0"/>
        </w:rPr>
        <w:t>, with combined claims surpassing 19,4 trillion COP.</w:t>
      </w:r>
      <w:r w:rsidRPr="008E6AE2">
        <w:rPr>
          <w:rStyle w:val="EndnoteReference"/>
        </w:rPr>
        <w:t xml:space="preserve"> </w:t>
      </w:r>
      <w:r w:rsidR="008556D3" w:rsidRPr="008E6AE2">
        <w:rPr>
          <w:rStyle w:val="EndnoteReference"/>
        </w:rPr>
        <w:endnoteReference w:id="26"/>
      </w:r>
    </w:p>
    <w:p w14:paraId="45FB6268" w14:textId="3D00B60E" w:rsidR="00EE1C5E" w:rsidRPr="008E6AE2" w:rsidRDefault="256C40E3" w:rsidP="009D2849">
      <w:pPr>
        <w:pStyle w:val="Prrafo"/>
      </w:pPr>
      <w:r w:rsidRPr="008E6AE2">
        <w:t xml:space="preserve">Additionally, two cases concerning reproductive rights violations linked to glyphosate exposure have been admitted before the Inter-American </w:t>
      </w:r>
      <w:r w:rsidR="73EDB294" w:rsidRPr="008E6AE2">
        <w:t>Commission</w:t>
      </w:r>
      <w:r w:rsidRPr="008E6AE2">
        <w:t xml:space="preserve"> of Human Rights (IACHR). The first involves Yaneth Valderrama (1998), a woman four months pregnant who miscarried and later died after being sprayed</w:t>
      </w:r>
      <w:r w:rsidR="1628EA9D" w:rsidRPr="008E6AE2">
        <w:t>.</w:t>
      </w:r>
      <w:r w:rsidR="00EE1C5E" w:rsidRPr="008E6AE2">
        <w:rPr>
          <w:rStyle w:val="EndnoteReference"/>
        </w:rPr>
        <w:endnoteReference w:id="27"/>
      </w:r>
      <w:r w:rsidR="1628EA9D" w:rsidRPr="008E6AE2">
        <w:t xml:space="preserve">  The second case </w:t>
      </w:r>
      <w:r w:rsidRPr="008E6AE2">
        <w:t>concerns</w:t>
      </w:r>
      <w:r w:rsidR="1628EA9D" w:rsidRPr="008E6AE2">
        <w:t xml:space="preserve"> Doris Yaneth Alape (1999), </w:t>
      </w:r>
      <w:r w:rsidRPr="008E6AE2">
        <w:t>who suffered severe poisoning during pregnancy, resulting in the premature birth and death of her child.</w:t>
      </w:r>
      <w:r w:rsidR="00EE1C5E" w:rsidRPr="008E6AE2">
        <w:rPr>
          <w:rStyle w:val="EndnoteReference"/>
        </w:rPr>
        <w:endnoteReference w:id="28"/>
      </w:r>
      <w:r w:rsidR="1628EA9D" w:rsidRPr="008E6AE2">
        <w:t xml:space="preserve">  </w:t>
      </w:r>
    </w:p>
    <w:p w14:paraId="0907996B" w14:textId="6D51EBA3" w:rsidR="00EE1C5E" w:rsidRPr="008E6AE2" w:rsidRDefault="55DFDEA2" w:rsidP="009D2849">
      <w:pPr>
        <w:pStyle w:val="Prrafo"/>
      </w:pPr>
      <w:r w:rsidRPr="008E6AE2">
        <w:t xml:space="preserve">The activation of international mechanisms in glyphosate-related cases reflects the ineffectiveness of domestic remedies. </w:t>
      </w:r>
      <w:r w:rsidR="1628EA9D" w:rsidRPr="008E6AE2">
        <w:t>Internal proceedings had proven to be inefficient for compensating victims.</w:t>
      </w:r>
      <w:r w:rsidR="1628EA9D" w:rsidRPr="008E6AE2" w:rsidDel="007A6145">
        <w:t xml:space="preserve"> </w:t>
      </w:r>
      <w:r w:rsidRPr="008E6AE2">
        <w:t>Although the National Narcotics Council (CNE) issued Resolution 0017 of 2001 to create an administrative compensation process,</w:t>
      </w:r>
      <w:r w:rsidR="00EE1C5E" w:rsidRPr="008E6AE2">
        <w:rPr>
          <w:rStyle w:val="EndnoteReference"/>
        </w:rPr>
        <w:endnoteReference w:id="29"/>
      </w:r>
      <w:r w:rsidR="1628EA9D" w:rsidRPr="008E6AE2">
        <w:t>, by August 2015, only 474 of 17,643 cases (2.7%) were “</w:t>
      </w:r>
      <w:r w:rsidR="1628EA9D" w:rsidRPr="00F07938">
        <w:t>processed for compensation</w:t>
      </w:r>
      <w:r w:rsidR="1628EA9D" w:rsidRPr="008E6AE2">
        <w:t>.”</w:t>
      </w:r>
      <w:r w:rsidR="00EE1C5E" w:rsidRPr="008E6AE2">
        <w:rPr>
          <w:rStyle w:val="EndnoteReference"/>
        </w:rPr>
        <w:endnoteReference w:id="30"/>
      </w:r>
      <w:r w:rsidR="1628EA9D" w:rsidRPr="008E6AE2">
        <w:t xml:space="preserve"> Along with several flaws highlighted by social organizations</w:t>
      </w:r>
      <w:r w:rsidR="00EE1C5E" w:rsidRPr="008E6AE2">
        <w:rPr>
          <w:rStyle w:val="EndnoteReference"/>
        </w:rPr>
        <w:endnoteReference w:id="31"/>
      </w:r>
      <w:r w:rsidR="1628EA9D" w:rsidRPr="008E6AE2">
        <w:t>, this system is limited to damages over “</w:t>
      </w:r>
      <w:r w:rsidR="1628EA9D" w:rsidRPr="00F07938">
        <w:t>licit agricultural activities</w:t>
      </w:r>
      <w:r w:rsidR="1628EA9D" w:rsidRPr="008E6AE2">
        <w:t>”</w:t>
      </w:r>
      <w:r w:rsidR="00EE1C5E" w:rsidRPr="008E6AE2">
        <w:rPr>
          <w:rStyle w:val="EndnoteReference"/>
        </w:rPr>
        <w:endnoteReference w:id="32"/>
      </w:r>
      <w:r w:rsidR="1628EA9D" w:rsidRPr="008E6AE2">
        <w:t xml:space="preserve"> excluding its application for health/reproductive damages.  </w:t>
      </w:r>
      <w:r w:rsidR="0F2418A2" w:rsidRPr="008E6AE2">
        <w:t>Additionally</w:t>
      </w:r>
      <w:r w:rsidR="1628EA9D" w:rsidRPr="008E6AE2">
        <w:t>, as the National Police is the “</w:t>
      </w:r>
      <w:r w:rsidR="1628EA9D" w:rsidRPr="00F07938">
        <w:t>competent authority</w:t>
      </w:r>
      <w:r w:rsidR="1628EA9D" w:rsidRPr="008E6AE2">
        <w:t>” for deciding upon compensations, several doubts arise about system’s impartiality.</w:t>
      </w:r>
      <w:r w:rsidR="00EE1C5E" w:rsidRPr="008E6AE2">
        <w:rPr>
          <w:rStyle w:val="EndnoteReference"/>
        </w:rPr>
        <w:endnoteReference w:id="33"/>
      </w:r>
    </w:p>
    <w:p w14:paraId="3E68CDB4" w14:textId="3DA74D86" w:rsidR="00EE1C5E" w:rsidRPr="008E6AE2" w:rsidRDefault="55DFDEA2" w:rsidP="009D2849">
      <w:pPr>
        <w:pStyle w:val="Prrafo"/>
      </w:pPr>
      <w:r w:rsidRPr="008E6AE2">
        <w:t>Judicial proceedings have also proven inadequate. Victims are often required to present costly and complex technical evidence to prove the link between glyphosate and health damage. The Council of State has refused to acknowledge PECIG’s health impacts, citing the absence of absolute scientific certainty regarding irreversible harm</w:t>
      </w:r>
      <w:r w:rsidR="1628EA9D" w:rsidRPr="008E6AE2">
        <w:t>.</w:t>
      </w:r>
      <w:r w:rsidR="00EE1C5E" w:rsidRPr="008E6AE2">
        <w:rPr>
          <w:rStyle w:val="EndnoteReference"/>
        </w:rPr>
        <w:endnoteReference w:id="34"/>
      </w:r>
    </w:p>
    <w:p w14:paraId="2F0E347B" w14:textId="1CFFCDCF" w:rsidR="00EE1C5E" w:rsidRPr="008E6AE2" w:rsidRDefault="00EE1C5E" w:rsidP="00BE71C2">
      <w:pPr>
        <w:pStyle w:val="Heading2"/>
        <w:rPr>
          <w:lang w:val="en-US"/>
        </w:rPr>
      </w:pPr>
      <w:r w:rsidRPr="008E6AE2">
        <w:rPr>
          <w:lang w:val="en-US"/>
        </w:rPr>
        <w:lastRenderedPageBreak/>
        <w:t xml:space="preserve">Current regulation </w:t>
      </w:r>
    </w:p>
    <w:p w14:paraId="39EE4B88" w14:textId="1F51D1C6" w:rsidR="00EE1C5E" w:rsidRPr="008E6AE2" w:rsidRDefault="1628EA9D" w:rsidP="00D94354">
      <w:pPr>
        <w:pStyle w:val="Prrafo"/>
      </w:pPr>
      <w:r w:rsidRPr="008E6AE2">
        <w:t>In 2015, the PECIG was suspended by the CNE.</w:t>
      </w:r>
      <w:r w:rsidR="00EE1C5E" w:rsidRPr="008E6AE2">
        <w:rPr>
          <w:rStyle w:val="EndnoteReference"/>
        </w:rPr>
        <w:endnoteReference w:id="35"/>
      </w:r>
      <w:r w:rsidRPr="008E6AE2">
        <w:t xml:space="preserve">  In 2017, the Constitutional Court issued Ruling T-236/2017, ordering the CNE not to resume the fumigations due to its imminent risks for human health (including miscarriages) and imposing 6 requirements for </w:t>
      </w:r>
      <w:r w:rsidRPr="008E6AE2" w:rsidDel="00B266AE">
        <w:t xml:space="preserve">reactivating </w:t>
      </w:r>
      <w:r w:rsidRPr="008E6AE2">
        <w:t>the program.</w:t>
      </w:r>
      <w:r w:rsidR="00EE1C5E" w:rsidRPr="008E6AE2">
        <w:rPr>
          <w:rStyle w:val="EndnoteReference"/>
        </w:rPr>
        <w:endnoteReference w:id="36"/>
      </w:r>
    </w:p>
    <w:p w14:paraId="624C0C16" w14:textId="17B4577E" w:rsidR="00EE1C5E" w:rsidRPr="008E6AE2" w:rsidRDefault="1628EA9D" w:rsidP="00F61CE3">
      <w:pPr>
        <w:pStyle w:val="Prrafo"/>
      </w:pPr>
      <w:r w:rsidRPr="008E6AE2">
        <w:t>Despite the evidence about negative impact of PECIG for reproductive rights, from 2019 to 2021 Colombia promoted initiatives to allow glyphosate’s use, including Decree 380/2021 setting a general regulatory framework to reactivate PECIG.</w:t>
      </w:r>
      <w:r w:rsidR="00EE1C5E" w:rsidRPr="008E6AE2">
        <w:rPr>
          <w:rStyle w:val="EndnoteReference"/>
        </w:rPr>
        <w:endnoteReference w:id="37"/>
      </w:r>
    </w:p>
    <w:p w14:paraId="443E601E" w14:textId="677BC72C" w:rsidR="00EE27B8" w:rsidRPr="008E6AE2" w:rsidRDefault="0E831BB9" w:rsidP="00F61CE3">
      <w:pPr>
        <w:pStyle w:val="Prrafo"/>
        <w:rPr>
          <w:rStyle w:val="Strong"/>
          <w:b w:val="0"/>
          <w:bCs w:val="0"/>
        </w:rPr>
      </w:pPr>
      <w:r w:rsidRPr="008E6AE2">
        <w:t xml:space="preserve">The </w:t>
      </w:r>
      <w:r w:rsidR="4C533BAA" w:rsidRPr="008E6AE2">
        <w:t>Colombian</w:t>
      </w:r>
      <w:r w:rsidR="1628EA9D" w:rsidRPr="008E6AE2">
        <w:t xml:space="preserve"> Government </w:t>
      </w:r>
      <w:r w:rsidR="58C33F30" w:rsidRPr="008E6AE2">
        <w:t xml:space="preserve">recently </w:t>
      </w:r>
      <w:r w:rsidR="1628EA9D" w:rsidRPr="008E6AE2">
        <w:t>promised to ban glyphosate use in Colombia.</w:t>
      </w:r>
      <w:r w:rsidR="00EE1C5E" w:rsidRPr="008E6AE2">
        <w:rPr>
          <w:rStyle w:val="EndnoteReference"/>
        </w:rPr>
        <w:endnoteReference w:id="38"/>
      </w:r>
      <w:r w:rsidR="1628EA9D" w:rsidRPr="008E6AE2">
        <w:t xml:space="preserve">  </w:t>
      </w:r>
      <w:r w:rsidRPr="008E6AE2">
        <w:t>I</w:t>
      </w:r>
      <w:r w:rsidR="4C533BAA" w:rsidRPr="008E6AE2">
        <w:t>n line with this, in November 2022, the Ministry of Justice published a draft decree to repeal Decree 380/2021</w:t>
      </w:r>
      <w:r w:rsidR="1628EA9D" w:rsidRPr="008E6AE2">
        <w:t>.</w:t>
      </w:r>
      <w:r w:rsidR="00EE1C5E" w:rsidRPr="008E6AE2">
        <w:rPr>
          <w:rStyle w:val="EndnoteReference"/>
        </w:rPr>
        <w:endnoteReference w:id="39"/>
      </w:r>
      <w:r w:rsidR="1628EA9D" w:rsidRPr="008E6AE2">
        <w:t xml:space="preserve"> </w:t>
      </w:r>
      <w:r w:rsidR="5167937C" w:rsidRPr="008E6AE2">
        <w:rPr>
          <w:shd w:val="clear" w:color="auto" w:fill="FAFAFA"/>
        </w:rPr>
        <w:t>The draft explicitly acknowledged the herbicide’s harmful effects on women’s reproductive rights, including miscarriages</w:t>
      </w:r>
      <w:r w:rsidR="005228B0" w:rsidRPr="008E6AE2">
        <w:rPr>
          <w:rStyle w:val="EndnoteReference"/>
        </w:rPr>
        <w:endnoteReference w:id="40"/>
      </w:r>
      <w:r w:rsidR="5167937C" w:rsidRPr="008E6AE2">
        <w:rPr>
          <w:shd w:val="clear" w:color="auto" w:fill="FAFAFA"/>
        </w:rPr>
        <w:t>, and referenced the broader risks posed by anti-drug policies to the right to health and reproductive autonomy, as protected under the International Covenant on Economic, Social and Cultural Rights (ICESCR)</w:t>
      </w:r>
      <w:r w:rsidR="5167937C" w:rsidRPr="008E6AE2">
        <w:rPr>
          <w:rStyle w:val="EndnoteReference"/>
        </w:rPr>
        <w:t xml:space="preserve"> </w:t>
      </w:r>
      <w:r w:rsidR="005228B0" w:rsidRPr="008E6AE2">
        <w:rPr>
          <w:rStyle w:val="EndnoteReference"/>
        </w:rPr>
        <w:endnoteReference w:id="41"/>
      </w:r>
      <w:r w:rsidR="5167937C" w:rsidRPr="008E6AE2">
        <w:rPr>
          <w:shd w:val="clear" w:color="auto" w:fill="FAFAFA"/>
        </w:rPr>
        <w:t>.</w:t>
      </w:r>
      <w:r w:rsidR="1628EA9D" w:rsidRPr="008E6AE2">
        <w:rPr>
          <w:rStyle w:val="Strong"/>
        </w:rPr>
        <w:t> </w:t>
      </w:r>
      <w:r w:rsidR="786B33A6" w:rsidRPr="008E6AE2">
        <w:t>However, this promise was never fulfilled, and to date, no concrete actions have been taken to resume or implement the proposed ban.</w:t>
      </w:r>
    </w:p>
    <w:p w14:paraId="3BB894D8" w14:textId="792FD3DB" w:rsidR="00EE1C5E" w:rsidRPr="008E6AE2" w:rsidRDefault="01C260A9" w:rsidP="00F61CE3">
      <w:pPr>
        <w:pStyle w:val="Prrafo"/>
      </w:pPr>
      <w:r w:rsidRPr="008E6AE2">
        <w:t>Additionally, in March 2023, Bill 287 was introduced to prohibit glyphosate use, partly in response to its association with miscarriages</w:t>
      </w:r>
      <w:r w:rsidR="1628EA9D" w:rsidRPr="008E6AE2">
        <w:t>.</w:t>
      </w:r>
      <w:r w:rsidR="00EE1C5E" w:rsidRPr="008E6AE2">
        <w:rPr>
          <w:rStyle w:val="EndnoteReference"/>
        </w:rPr>
        <w:endnoteReference w:id="42"/>
      </w:r>
      <w:r w:rsidR="4C533BAA" w:rsidRPr="008E6AE2">
        <w:t xml:space="preserve"> On July 20, 2024, Bill 170 on aerial spraying was introduced; both initiatives were later shelved</w:t>
      </w:r>
      <w:r w:rsidR="4C533BAA" w:rsidRPr="008E6AE2">
        <w:rPr>
          <w:rStyle w:val="EndnoteReference"/>
          <w:vertAlign w:val="baseline"/>
        </w:rPr>
        <w:t xml:space="preserve"> </w:t>
      </w:r>
      <w:r w:rsidR="00EE27B8" w:rsidRPr="008E6AE2">
        <w:rPr>
          <w:rStyle w:val="EndnoteReference"/>
        </w:rPr>
        <w:endnoteReference w:id="43"/>
      </w:r>
      <w:r w:rsidR="4C533BAA" w:rsidRPr="008E6AE2">
        <w:t>.</w:t>
      </w:r>
    </w:p>
    <w:p w14:paraId="2C4FD331" w14:textId="5B104354" w:rsidR="00346FB4" w:rsidRPr="008E6AE2" w:rsidRDefault="01C260A9" w:rsidP="00F61CE3">
      <w:pPr>
        <w:pStyle w:val="Prrafo"/>
      </w:pPr>
      <w:r w:rsidRPr="008E6AE2">
        <w:t xml:space="preserve">However, despite this commitment, </w:t>
      </w:r>
      <w:r w:rsidR="34C93DF3" w:rsidRPr="008E6AE2">
        <w:t xml:space="preserve">in 2025 </w:t>
      </w:r>
      <w:r w:rsidRPr="008E6AE2">
        <w:t>the Ministry of Defense awarded a contract for the procurement of glyphosate-based agrochemicals for ground-based eradication operations.</w:t>
      </w:r>
      <w:r w:rsidRPr="008E6AE2">
        <w:rPr>
          <w:rStyle w:val="EndnoteReference"/>
        </w:rPr>
        <w:t xml:space="preserve"> </w:t>
      </w:r>
      <w:r w:rsidR="000C4D30" w:rsidRPr="008E6AE2">
        <w:rPr>
          <w:rStyle w:val="EndnoteReference"/>
        </w:rPr>
        <w:endnoteReference w:id="44"/>
      </w:r>
      <w:r w:rsidRPr="008E6AE2">
        <w:t xml:space="preserve"> This initiative is part of the Ground-Based Spraying Program (PECAT</w:t>
      </w:r>
      <w:r w:rsidR="732603F0" w:rsidRPr="008E6AE2">
        <w:t xml:space="preserve"> by its acronyms in Spanish</w:t>
      </w:r>
      <w:r w:rsidRPr="008E6AE2">
        <w:t>), led by the Anti-Narcotics Directorate</w:t>
      </w:r>
      <w:r w:rsidR="17327F68" w:rsidRPr="008E6AE2">
        <w:t xml:space="preserve"> (a division within the National Police)</w:t>
      </w:r>
      <w:r w:rsidR="54F7D903" w:rsidRPr="008E6AE2">
        <w:t>.</w:t>
      </w:r>
      <w:r w:rsidR="00EE27B8" w:rsidRPr="008E6AE2">
        <w:rPr>
          <w:rStyle w:val="EndnoteReference"/>
        </w:rPr>
        <w:endnoteReference w:id="45"/>
      </w:r>
      <w:r w:rsidR="7BCF745C">
        <w:t xml:space="preserve"> </w:t>
      </w:r>
    </w:p>
    <w:p w14:paraId="4B78EA71" w14:textId="072389D2" w:rsidR="00EE1C5E" w:rsidRPr="008E6AE2" w:rsidRDefault="00EE1C5E" w:rsidP="00835519">
      <w:pPr>
        <w:pStyle w:val="Heading2"/>
        <w:rPr>
          <w:lang w:val="en-US"/>
        </w:rPr>
      </w:pPr>
      <w:r w:rsidRPr="008E6AE2">
        <w:rPr>
          <w:lang w:val="en-US"/>
        </w:rPr>
        <w:t xml:space="preserve">Conclusions </w:t>
      </w:r>
    </w:p>
    <w:p w14:paraId="2C769F0E" w14:textId="722FA850" w:rsidR="00EE1C5E" w:rsidRPr="008E6AE2" w:rsidRDefault="01C260A9" w:rsidP="00F61CE3">
      <w:pPr>
        <w:pStyle w:val="Prrafo"/>
      </w:pPr>
      <w:r>
        <w:t>PECIG has caused serious harm to women’s reproductive rights, including miscarriages and other health impacts</w:t>
      </w:r>
      <w:r w:rsidR="1628EA9D">
        <w:t xml:space="preserve">.  </w:t>
      </w:r>
    </w:p>
    <w:p w14:paraId="01845030" w14:textId="7CF6ECE0" w:rsidR="00BA66C6" w:rsidRPr="008E6AE2" w:rsidRDefault="01C260A9" w:rsidP="00BA66C6">
      <w:pPr>
        <w:pStyle w:val="Prrafo"/>
      </w:pPr>
      <w:r>
        <w:t xml:space="preserve">Since 1994, numerous complaints have been filed through administrative and judicial channels, but due to their ineffectiveness, victims have also turned to international mechanisms, including the </w:t>
      </w:r>
      <w:r w:rsidR="07B6005B">
        <w:t>International Court of Justice (</w:t>
      </w:r>
      <w:r>
        <w:t>ICJ</w:t>
      </w:r>
      <w:r w:rsidR="4667320B">
        <w:t>)</w:t>
      </w:r>
      <w:r w:rsidRPr="00D025F1">
        <w:rPr>
          <w:vertAlign w:val="superscript"/>
        </w:rPr>
        <w:endnoteReference w:id="46"/>
      </w:r>
      <w:r w:rsidRPr="00D025F1">
        <w:rPr>
          <w:vertAlign w:val="superscript"/>
        </w:rPr>
        <w:t xml:space="preserve"> </w:t>
      </w:r>
      <w:r>
        <w:t>and the IACHR.</w:t>
      </w:r>
    </w:p>
    <w:p w14:paraId="72D2ACC7" w14:textId="77777777" w:rsidR="00BA66C6" w:rsidRPr="008E6AE2" w:rsidRDefault="000C4D30" w:rsidP="00BA66C6">
      <w:pPr>
        <w:pStyle w:val="Prrafo"/>
      </w:pPr>
      <w:r w:rsidRPr="008E6AE2">
        <w:t>Although government efforts aim to ban glyphosate use, none of the proposed regulations include provisions for compensating PECIG victims, leaving this issue unresolved despite the program’s documented violations of reproductive rights and potential breaches of the right to health and bodily integrity under the ICESCR.</w:t>
      </w:r>
      <w:r w:rsidR="00BA66C6" w:rsidRPr="008E6AE2">
        <w:t xml:space="preserve"> Notably, the Truth Commission recommended the prohibition of glyphosate due to its harmful impacts; however, this recommendation has yet to be implemented.</w:t>
      </w:r>
    </w:p>
    <w:p w14:paraId="431C8DF1" w14:textId="20624D1F" w:rsidR="000C4D30" w:rsidRPr="008E6AE2" w:rsidRDefault="00BA66C6" w:rsidP="00BA66C6">
      <w:pPr>
        <w:pStyle w:val="Prrafo"/>
      </w:pPr>
      <w:r w:rsidRPr="008E6AE2">
        <w:t xml:space="preserve">Moreover, the renewed use of glyphosate in ground-based eradication operations under the PECAT program raises serious concerns about the continuity of harmful practices and the absence of safeguards to prevent further violations of reproductive rights, particularly in rural areas. The </w:t>
      </w:r>
      <w:r w:rsidRPr="008E6AE2">
        <w:lastRenderedPageBreak/>
        <w:t>failure to act on the Truth Commission’s recommendation underscores the persistence of structural neglect and the urgent need for comprehensive measures to protect affected communities</w:t>
      </w:r>
      <w:r w:rsidRPr="008E6AE2">
        <w:rPr>
          <w:rFonts w:eastAsia="Times New Roman"/>
          <w:lang w:eastAsia="es-MX"/>
        </w:rPr>
        <w:t>.</w:t>
      </w:r>
    </w:p>
    <w:p w14:paraId="09D6DB08" w14:textId="161DCF66" w:rsidR="00EE1C5E" w:rsidRPr="008E6AE2" w:rsidRDefault="1628EA9D" w:rsidP="00860FFD">
      <w:pPr>
        <w:pStyle w:val="Heading1"/>
        <w:rPr>
          <w:lang w:val="en-US"/>
        </w:rPr>
      </w:pPr>
      <w:r w:rsidRPr="53ACDAD9">
        <w:rPr>
          <w:lang w:val="en-US"/>
        </w:rPr>
        <w:t xml:space="preserve">Voluntary </w:t>
      </w:r>
      <w:r w:rsidR="2C628AAB" w:rsidRPr="53ACDAD9">
        <w:rPr>
          <w:lang w:val="en-US"/>
        </w:rPr>
        <w:t>Termination</w:t>
      </w:r>
      <w:r w:rsidRPr="53ACDAD9">
        <w:rPr>
          <w:lang w:val="en-US"/>
        </w:rPr>
        <w:t xml:space="preserve"> of Pregnancy in Colombia</w:t>
      </w:r>
    </w:p>
    <w:p w14:paraId="43BB28D0" w14:textId="22692AA8" w:rsidR="00EE1C5E" w:rsidRPr="008E6AE2" w:rsidRDefault="00EE1C5E" w:rsidP="006D3F70">
      <w:pPr>
        <w:pStyle w:val="Heading2"/>
        <w:rPr>
          <w:lang w:val="en-US"/>
        </w:rPr>
      </w:pPr>
      <w:r w:rsidRPr="008E6AE2">
        <w:rPr>
          <w:lang w:val="en-US"/>
        </w:rPr>
        <w:t xml:space="preserve">Current regulation </w:t>
      </w:r>
    </w:p>
    <w:p w14:paraId="059B74C3" w14:textId="6FCB27F4" w:rsidR="00EE1C5E" w:rsidRPr="008E6AE2" w:rsidRDefault="1628EA9D" w:rsidP="00E11B0B">
      <w:pPr>
        <w:pStyle w:val="Prrafo"/>
      </w:pPr>
      <w:r w:rsidRPr="008E6AE2">
        <w:t xml:space="preserve">In February 2022, </w:t>
      </w:r>
      <w:r w:rsidR="311E54A0" w:rsidRPr="008E6AE2">
        <w:t xml:space="preserve">the </w:t>
      </w:r>
      <w:r w:rsidRPr="008E6AE2">
        <w:t>Colombian Constitutional Court (“CCC”) issued a historic ruling for women's reproductive rights</w:t>
      </w:r>
      <w:r w:rsidR="311E54A0" w:rsidRPr="008E6AE2">
        <w:t>, ruling C-055/22</w:t>
      </w:r>
      <w:r w:rsidRPr="008E6AE2">
        <w:t xml:space="preserve">. This ruling resolved a claim of unconstitutionality against the norm that criminalized abortion. The CCC </w:t>
      </w:r>
      <w:r w:rsidR="30968604" w:rsidRPr="008E6AE2">
        <w:t>decriminalized abortion up to 24 weeks of pregnancy,</w:t>
      </w:r>
      <w:r w:rsidRPr="008E6AE2">
        <w:t xml:space="preserve"> without any grounds or justification. After this period, the grounds </w:t>
      </w:r>
      <w:r w:rsidR="1EB8E3CB" w:rsidRPr="008E6AE2">
        <w:t>previously recognized</w:t>
      </w:r>
      <w:r w:rsidRPr="008E6AE2">
        <w:t xml:space="preserve"> by ruling C-355/06 were maintained, with</w:t>
      </w:r>
      <w:r w:rsidR="1EB8E3CB" w:rsidRPr="008E6AE2">
        <w:t xml:space="preserve">out gestational </w:t>
      </w:r>
      <w:r w:rsidRPr="008E6AE2">
        <w:t>limit</w:t>
      </w:r>
      <w:r w:rsidR="1EB8E3CB" w:rsidRPr="008E6AE2">
        <w:t>s</w:t>
      </w:r>
      <w:r w:rsidR="00EE1C5E" w:rsidRPr="008E6AE2">
        <w:rPr>
          <w:rStyle w:val="EndnoteReference"/>
        </w:rPr>
        <w:endnoteReference w:id="47"/>
      </w:r>
      <w:r w:rsidRPr="008E6AE2">
        <w:t>.</w:t>
      </w:r>
    </w:p>
    <w:p w14:paraId="24F7A93F" w14:textId="5FC8C03E" w:rsidR="00F66BDA" w:rsidRPr="008E6AE2" w:rsidRDefault="1EB8E3CB" w:rsidP="0038798E">
      <w:pPr>
        <w:pStyle w:val="Prrafo"/>
      </w:pPr>
      <w:r>
        <w:t xml:space="preserve">This ruling represents a significant step forward in fulfilling the Committee’s recommendations under the ICESCR. Reproductive rights are indivisible and interdependent with other human rights, particularly the rights to health, </w:t>
      </w:r>
      <w:r w:rsidR="240BC83A">
        <w:t xml:space="preserve">bodily and reproductive </w:t>
      </w:r>
      <w:r>
        <w:t>autonomy.</w:t>
      </w:r>
      <w:r w:rsidR="00F66BDA">
        <w:endnoteReference w:id="48"/>
      </w:r>
    </w:p>
    <w:p w14:paraId="33C56748" w14:textId="71A88334" w:rsidR="00EE1C5E" w:rsidRPr="00D47D16" w:rsidRDefault="1EB8E3CB" w:rsidP="0038798E">
      <w:pPr>
        <w:pStyle w:val="Prrafo"/>
        <w:rPr>
          <w:b/>
        </w:rPr>
      </w:pPr>
      <w:r w:rsidRPr="008E6AE2">
        <w:t xml:space="preserve">Since the adoption of Ruling C-055, Colombia has made progress in its implementation. A key development was the issuance of Resolution 051 of 2023 by the Ministry of Health and Social Protection (“MoH”), which regulates the provision of comprehensive health care for Voluntary Termination of Pregnancy (VTP) services. </w:t>
      </w:r>
      <w:r w:rsidR="00F66BDA" w:rsidRPr="008E6AE2">
        <w:rPr>
          <w:rStyle w:val="EndnoteReference"/>
        </w:rPr>
        <w:endnoteReference w:id="49"/>
      </w:r>
    </w:p>
    <w:p w14:paraId="7B2DD6F6" w14:textId="69F2E661" w:rsidR="0067448C" w:rsidRPr="00D47D16" w:rsidRDefault="6FF88769" w:rsidP="0038798E">
      <w:pPr>
        <w:pStyle w:val="Prrafo"/>
      </w:pPr>
      <w:r w:rsidRPr="0067448C">
        <w:t>In 2023, the Office of the Attorney General issued Directive 0009, establishing guidelines for the investigation and prosecution of abortion-related cases. The directive emphasized the importance of respecting women’s rights and avoiding discriminatory or stigmatizing practices within the justice system</w:t>
      </w:r>
      <w:r w:rsidR="0067448C">
        <w:rPr>
          <w:rStyle w:val="EndnoteReference"/>
        </w:rPr>
        <w:endnoteReference w:id="50"/>
      </w:r>
      <w:r w:rsidRPr="0067448C">
        <w:t xml:space="preserve">. </w:t>
      </w:r>
      <w:r>
        <w:t>Additionally,</w:t>
      </w:r>
      <w:r w:rsidRPr="0067448C">
        <w:t xml:space="preserve"> in August 2024, the Superintendence of Health released Circular 2024150000000009-5, reaffirming the obligation of public and private healthcare institutions to ensure access, quality, and comprehensive provision of VTP services throughout the country</w:t>
      </w:r>
      <w:r w:rsidR="0067448C">
        <w:rPr>
          <w:rStyle w:val="EndnoteReference"/>
        </w:rPr>
        <w:endnoteReference w:id="51"/>
      </w:r>
      <w:r>
        <w:rPr>
          <w:rFonts w:ascii="Segoe UI" w:hAnsi="Segoe UI" w:cs="Segoe UI"/>
          <w:color w:val="424242"/>
          <w:shd w:val="clear" w:color="auto" w:fill="FAFAFA"/>
        </w:rPr>
        <w:t>.</w:t>
      </w:r>
    </w:p>
    <w:p w14:paraId="39C661D0" w14:textId="5C418210" w:rsidR="00EE1C5E" w:rsidRPr="008E6AE2" w:rsidRDefault="00EE1C5E" w:rsidP="006D3F70">
      <w:pPr>
        <w:pStyle w:val="Heading2"/>
        <w:rPr>
          <w:lang w:val="en-US"/>
        </w:rPr>
      </w:pPr>
      <w:r w:rsidRPr="008E6AE2">
        <w:rPr>
          <w:lang w:val="en-US"/>
        </w:rPr>
        <w:t>Implementation of the regulation on the VTP.</w:t>
      </w:r>
    </w:p>
    <w:p w14:paraId="250ABFF3" w14:textId="6A608557" w:rsidR="00EE1C5E" w:rsidRPr="008E6AE2" w:rsidRDefault="1628EA9D" w:rsidP="00E11B0B">
      <w:pPr>
        <w:pStyle w:val="Prrafo"/>
      </w:pPr>
      <w:r w:rsidRPr="008E6AE2">
        <w:t>Despite the issuance of Ruling C-055/2022 and Resolution 051/2023, healthcare access barriers persist. First, to this day, the</w:t>
      </w:r>
      <w:r w:rsidR="0081003B">
        <w:t xml:space="preserve"> </w:t>
      </w:r>
      <w:r w:rsidRPr="008E6AE2">
        <w:t>MoH</w:t>
      </w:r>
      <w:r w:rsidRPr="008E6AE2" w:rsidDel="001A03F9">
        <w:t xml:space="preserve"> </w:t>
      </w:r>
      <w:r w:rsidRPr="008E6AE2">
        <w:t xml:space="preserve">does not have official data on the implementation of the ruling and the resolution. </w:t>
      </w:r>
      <w:r w:rsidR="00AA73C0" w:rsidRPr="008E6AE2">
        <w:t>However</w:t>
      </w:r>
      <w:r w:rsidR="00AA73C0" w:rsidRPr="008E6AE2" w:rsidDel="00A11A3E">
        <w:t xml:space="preserve">, </w:t>
      </w:r>
      <w:r w:rsidR="00AA73C0" w:rsidRPr="008E6AE2">
        <w:t>civil</w:t>
      </w:r>
      <w:r w:rsidR="5699013D" w:rsidRPr="008E6AE2">
        <w:t xml:space="preserve"> society organizations such as La Mesa por la Vida y la Salud de las Mujeres</w:t>
      </w:r>
      <w:r w:rsidR="00F00451" w:rsidRPr="53ACDAD9">
        <w:rPr>
          <w:rStyle w:val="EndnoteReference"/>
          <w:i/>
          <w:iCs/>
        </w:rPr>
        <w:endnoteReference w:id="52"/>
      </w:r>
      <w:r w:rsidR="5699013D" w:rsidRPr="008E6AE2">
        <w:t xml:space="preserve"> (La Mesa) have documented the challenges based on the legal support provided to women and girls seeking abortion services. </w:t>
      </w:r>
      <w:r w:rsidRPr="008E6AE2">
        <w:t xml:space="preserve"> </w:t>
      </w:r>
    </w:p>
    <w:p w14:paraId="6745F17E" w14:textId="570D4FBF" w:rsidR="00EE1C5E" w:rsidRPr="008E6AE2" w:rsidRDefault="5699013D" w:rsidP="00E11B0B">
      <w:pPr>
        <w:pStyle w:val="Prrafo"/>
      </w:pPr>
      <w:r w:rsidRPr="008E6AE2">
        <w:t>In its most recent report, La Mesa documented 255 cases</w:t>
      </w:r>
      <w:r w:rsidR="00F00451" w:rsidRPr="008E6AE2">
        <w:rPr>
          <w:vertAlign w:val="superscript"/>
        </w:rPr>
        <w:endnoteReference w:id="53"/>
      </w:r>
      <w:r w:rsidRPr="008E6AE2">
        <w:t xml:space="preserve"> of women and pregnant persons who faced barriers to accessing abortion services between February 2022 and February 2023. In 66% of these cases, individuals required legal and informational guidance on how to safely and lawfully access abortion. The remaining 34% involved legal representation in administrative or judicial proceedings to ensure access to the procedure.</w:t>
      </w:r>
      <w:r w:rsidRPr="008E6AE2">
        <w:rPr>
          <w:vertAlign w:val="superscript"/>
        </w:rPr>
        <w:t xml:space="preserve"> </w:t>
      </w:r>
      <w:r w:rsidR="00F00451" w:rsidRPr="008E6AE2">
        <w:rPr>
          <w:vertAlign w:val="superscript"/>
        </w:rPr>
        <w:endnoteReference w:id="54"/>
      </w:r>
      <w:r w:rsidRPr="008E6AE2">
        <w:t xml:space="preserve"> This data reflects the persistence of structural and institutional barriers despite the legal framework established by Ruling C-055 of 2022</w:t>
      </w:r>
      <w:r w:rsidR="1628EA9D" w:rsidRPr="008E6AE2">
        <w:t xml:space="preserve">. </w:t>
      </w:r>
    </w:p>
    <w:p w14:paraId="73289530" w14:textId="595DA58B" w:rsidR="00AA0E05" w:rsidRPr="008E6AE2" w:rsidRDefault="00F00451" w:rsidP="00780F5D">
      <w:pPr>
        <w:pStyle w:val="Prrafo"/>
      </w:pPr>
      <w:r w:rsidRPr="008E6AE2">
        <w:lastRenderedPageBreak/>
        <w:t>The updated report highlights a growing trend: a higher percentage of women and pregnant persons are contacting civil society organizations for information on abortion access, likely due to persistent misinformation and inadequate guidance from the health system. This reflects the continued need for trusted, rights-based support networks.</w:t>
      </w:r>
      <w:r w:rsidR="00AA0E05" w:rsidRPr="008E6AE2">
        <w:t xml:space="preserve"> </w:t>
      </w:r>
      <w:r w:rsidR="006668E6" w:rsidRPr="008E6AE2">
        <w:t>Local organizations in Cauca, Santander, and Norte de Santander have echoed this trend, noting that women in rural and marginalized areas often rely on informal channels due to the absence of institutional support.</w:t>
      </w:r>
    </w:p>
    <w:p w14:paraId="35A44AAB" w14:textId="17C5234F" w:rsidR="00EE1C5E" w:rsidRPr="008E6AE2" w:rsidRDefault="5699013D" w:rsidP="006E13A6">
      <w:pPr>
        <w:pStyle w:val="Prrafo"/>
      </w:pPr>
      <w:r w:rsidRPr="008E6AE2">
        <w:t>Of those assisted by La Mesa, 72% were affiliated with the national health system, while 28% were not. A significant portion of the non-affiliated group consisted of Venezuelan migrants with irregular status</w:t>
      </w:r>
      <w:r w:rsidR="00F00451" w:rsidRPr="008E6AE2">
        <w:rPr>
          <w:vertAlign w:val="superscript"/>
        </w:rPr>
        <w:endnoteReference w:id="55"/>
      </w:r>
      <w:r w:rsidRPr="008E6AE2">
        <w:t>, who face compounded barriers due to their migration situation and lack of access to formal healthcare.</w:t>
      </w:r>
      <w:r w:rsidR="178B7952" w:rsidRPr="008E6AE2">
        <w:t xml:space="preserve"> </w:t>
      </w:r>
      <w:r w:rsidR="5526F768" w:rsidRPr="008E6AE2">
        <w:t>In Santander, Fundación Mujer y Futuro has emphasized how economic vulnerability and administrative opacity further exacerbate these barriers for migrant and low-income women.</w:t>
      </w:r>
    </w:p>
    <w:p w14:paraId="0EC9DF45" w14:textId="1F121D8D" w:rsidR="006668E6" w:rsidRPr="008E6AE2" w:rsidRDefault="41E78D1D" w:rsidP="006668E6">
      <w:pPr>
        <w:pStyle w:val="Prrafo"/>
      </w:pPr>
      <w:r>
        <w:t xml:space="preserve">Corporación de Mujeres Ecofeministas </w:t>
      </w:r>
      <w:r w:rsidR="5526F768" w:rsidRPr="008E6AE2">
        <w:t>Comunitar</w:t>
      </w:r>
      <w:r w:rsidR="009A65B1" w:rsidRPr="008E6AE2">
        <w:rPr>
          <w:rStyle w:val="EndnoteReference"/>
        </w:rPr>
        <w:endnoteReference w:id="56"/>
      </w:r>
      <w:r w:rsidR="5526F768" w:rsidRPr="008E6AE2">
        <w:t xml:space="preserve"> and Fundación Mujer y Futuro</w:t>
      </w:r>
      <w:r w:rsidR="009A65B1" w:rsidRPr="008E6AE2">
        <w:rPr>
          <w:rStyle w:val="EndnoteReference"/>
        </w:rPr>
        <w:endnoteReference w:id="57"/>
      </w:r>
      <w:r w:rsidR="5526F768" w:rsidRPr="008E6AE2">
        <w:t xml:space="preserve"> have documented persistent structural and institutional barriers in their territories, particularly affecting access to sexual and reproductive health services. In </w:t>
      </w:r>
      <w:r w:rsidR="7B77CF6F" w:rsidRPr="008E6AE2">
        <w:rPr>
          <w:shd w:val="clear" w:color="auto" w:fill="FAFAFA"/>
        </w:rPr>
        <w:t>Cauca, although there has been a notable increase in VTP procedures, challenges such as stigma and limited data collection persist, particularly affecting Afro-descendant women, who face compounded barriers due to racial and territorial discrimination.</w:t>
      </w:r>
      <w:r w:rsidR="5526F768" w:rsidRPr="008E6AE2">
        <w:t xml:space="preserve"> In Santander, systemic failures in the primary health network have been reported, while in Norte de Santander, women in rural areas often rely on informal networks due to institutional gaps.</w:t>
      </w:r>
    </w:p>
    <w:p w14:paraId="7AD142DB" w14:textId="21A458F0" w:rsidR="00EE1C5E" w:rsidRPr="008E6AE2" w:rsidRDefault="5699013D" w:rsidP="00264139">
      <w:pPr>
        <w:pStyle w:val="Prrafo"/>
      </w:pPr>
      <w:r w:rsidRPr="008E6AE2">
        <w:t>Despite the issuance of Resolution 051/2023, delays in service provision remain a critical issue, often resulting in increased gestational age at the time of abortion. According to La Mesa’s data, 53% of the women assisted were within the first 12 weeks, 21% between 13 and 20 weeks, 11% between 21 and 24 weeks, and 15% beyond 24 weeks. These delays undermine the urgency and accessibility of abortion services</w:t>
      </w:r>
      <w:r w:rsidR="1628EA9D" w:rsidRPr="008E6AE2">
        <w:t>.</w:t>
      </w:r>
      <w:r w:rsidR="00EE1C5E" w:rsidRPr="008E6AE2">
        <w:rPr>
          <w:vertAlign w:val="superscript"/>
        </w:rPr>
        <w:endnoteReference w:id="58"/>
      </w:r>
      <w:r w:rsidR="1628EA9D" w:rsidRPr="008E6AE2">
        <w:t xml:space="preserve"> </w:t>
      </w:r>
      <w:r w:rsidR="178B7952" w:rsidRPr="008E6AE2">
        <w:t>In Cauca, the persistence of these delays is linked to geographic isolation and limited availability of trained personnel in rural health centers.</w:t>
      </w:r>
      <w:r w:rsidR="5526F768" w:rsidRPr="008E6AE2">
        <w:t xml:space="preserve"> In Santander, Fundación Mujer y Futuro has identified similar delays, particularly in municipalities where primary care institutions fail to provide timely referrals or basic pharmacological procedures.</w:t>
      </w:r>
    </w:p>
    <w:p w14:paraId="48FEC95D" w14:textId="7F3D2E1A" w:rsidR="00EE1C5E" w:rsidRPr="008E6AE2" w:rsidRDefault="5EF7846E" w:rsidP="006E13A6">
      <w:pPr>
        <w:pStyle w:val="Prrafo"/>
      </w:pPr>
      <w:r w:rsidRPr="008E6AE2">
        <w:t>Among the 147 cases where follow-up was possible, 87% of women successfully accessed abortion services after receiving legal support. In 11% of cases, the abortion was not completed, primarily due to barriers such as administrative delays, misinformation, and lack of timely medical attention</w:t>
      </w:r>
      <w:r w:rsidR="00EE1C5E" w:rsidRPr="008E6AE2">
        <w:rPr>
          <w:vertAlign w:val="superscript"/>
        </w:rPr>
        <w:endnoteReference w:id="59"/>
      </w:r>
      <w:r w:rsidR="1628EA9D" w:rsidRPr="008E6AE2">
        <w:t>.</w:t>
      </w:r>
      <w:r w:rsidR="178B7952" w:rsidRPr="008E6AE2">
        <w:t xml:space="preserve"> In Santander, Mujer y Futuro Foundation documented similar outcomes, emphasizing the need for coordinated institutional action to eliminate these barriers.</w:t>
      </w:r>
    </w:p>
    <w:p w14:paraId="4391A533" w14:textId="48B4D87A" w:rsidR="6B5F6819" w:rsidRDefault="6B5F6819" w:rsidP="53ACDAD9">
      <w:pPr>
        <w:pStyle w:val="Prrafo"/>
        <w:rPr>
          <w:rFonts w:eastAsia="Times New Roman"/>
          <w:vertAlign w:val="superscript"/>
        </w:rPr>
      </w:pPr>
      <w:r w:rsidRPr="53ACDAD9">
        <w:rPr>
          <w:rFonts w:eastAsia="Times New Roman"/>
        </w:rPr>
        <w:t>States’ obligations to respect, protect, and fulfill SRHR under international human rights law (IHRL) must be implemented in a way that ensures that all SRH information and services are available, accessible, acceptable, of good quality</w:t>
      </w:r>
      <w:r w:rsidRPr="001C4DF4">
        <w:rPr>
          <w:rFonts w:eastAsia="Times New Roman"/>
          <w:vertAlign w:val="superscript"/>
        </w:rPr>
        <w:endnoteReference w:id="60"/>
      </w:r>
      <w:r w:rsidRPr="001C4DF4">
        <w:rPr>
          <w:rFonts w:eastAsia="Times New Roman"/>
          <w:vertAlign w:val="superscript"/>
        </w:rPr>
        <w:t xml:space="preserve"> </w:t>
      </w:r>
      <w:r w:rsidRPr="53ACDAD9">
        <w:rPr>
          <w:rFonts w:eastAsia="Times New Roman"/>
        </w:rPr>
        <w:t>and are guided by contemporary human rights instruments and jurisprudence, as well as the most recent international guidelines and protocols established by UN agencies, in particular the World Health Organization (WHO).</w:t>
      </w:r>
      <w:r w:rsidRPr="53ACDAD9">
        <w:rPr>
          <w:rFonts w:eastAsia="Times New Roman"/>
          <w:vertAlign w:val="superscript"/>
        </w:rPr>
        <w:endnoteReference w:id="61"/>
      </w:r>
      <w:r w:rsidR="52950F36" w:rsidRPr="53ACDAD9">
        <w:rPr>
          <w:rFonts w:eastAsia="Times New Roman"/>
          <w:vertAlign w:val="superscript"/>
        </w:rPr>
        <w:t xml:space="preserve"> </w:t>
      </w:r>
      <w:r w:rsidR="45557684" w:rsidRPr="53ACDAD9">
        <w:rPr>
          <w:rFonts w:eastAsia="Times New Roman"/>
          <w:vertAlign w:val="superscript"/>
        </w:rPr>
        <w:t xml:space="preserve"> </w:t>
      </w:r>
      <w:r w:rsidR="45557684" w:rsidRPr="53ACDAD9">
        <w:rPr>
          <w:rFonts w:eastAsia="Times New Roman"/>
        </w:rPr>
        <w:t>Regulations on who can provide and manage abortion are consistent with WHO Abortion care guid</w:t>
      </w:r>
      <w:r w:rsidR="73A2D5B9" w:rsidRPr="53ACDAD9">
        <w:rPr>
          <w:rFonts w:eastAsia="Times New Roman"/>
        </w:rPr>
        <w:t>elines.</w:t>
      </w:r>
      <w:r w:rsidRPr="001C4DF4">
        <w:rPr>
          <w:rFonts w:eastAsia="Times New Roman"/>
          <w:vertAlign w:val="superscript"/>
        </w:rPr>
        <w:endnoteReference w:id="62"/>
      </w:r>
      <w:r w:rsidR="73A2D5B9" w:rsidRPr="53ACDAD9">
        <w:rPr>
          <w:rFonts w:eastAsia="Times New Roman"/>
        </w:rPr>
        <w:t xml:space="preserve"> </w:t>
      </w:r>
      <w:r w:rsidR="73A2D5B9" w:rsidRPr="53ACDAD9">
        <w:rPr>
          <w:rFonts w:eastAsia="Times New Roman"/>
        </w:rPr>
        <w:lastRenderedPageBreak/>
        <w:t>Guaranteeing physical accessibility includes the devotion of resources to address the distinct needs of disadvantaged and marginalized groups and persons living in rural and remote areas.</w:t>
      </w:r>
      <w:r w:rsidRPr="53ACDAD9">
        <w:rPr>
          <w:rFonts w:eastAsia="Times New Roman"/>
          <w:vertAlign w:val="superscript"/>
        </w:rPr>
        <w:endnoteReference w:id="63"/>
      </w:r>
    </w:p>
    <w:p w14:paraId="15EF9B60" w14:textId="6327184A" w:rsidR="53ACDAD9" w:rsidRDefault="53ACDAD9" w:rsidP="00F07938">
      <w:pPr>
        <w:pStyle w:val="Prrafo"/>
        <w:numPr>
          <w:ilvl w:val="0"/>
          <w:numId w:val="0"/>
        </w:numPr>
        <w:spacing w:after="0"/>
        <w:ind w:left="360"/>
      </w:pPr>
    </w:p>
    <w:p w14:paraId="5FDD4F61" w14:textId="6A15CC45" w:rsidR="00EE1C5E" w:rsidRPr="008E6AE2" w:rsidRDefault="00EE1C5E" w:rsidP="005C45D1">
      <w:pPr>
        <w:pStyle w:val="Heading2"/>
        <w:rPr>
          <w:rFonts w:eastAsiaTheme="minorHAnsi"/>
          <w:lang w:val="en-US"/>
        </w:rPr>
      </w:pPr>
      <w:r w:rsidRPr="008E6AE2">
        <w:rPr>
          <w:lang w:val="en-US"/>
        </w:rPr>
        <w:t>Conclusions</w:t>
      </w:r>
    </w:p>
    <w:p w14:paraId="66D11AD3" w14:textId="2D358BC6" w:rsidR="00EE1C5E" w:rsidRPr="008E6AE2" w:rsidRDefault="00EE1C5E" w:rsidP="006E13A6">
      <w:pPr>
        <w:pStyle w:val="Prrafo"/>
      </w:pPr>
      <w:r w:rsidRPr="008E6AE2">
        <w:t>Despite this decision and its immediate mandatory nature, following barriers to abortion access persist and have been common since 2006:</w:t>
      </w:r>
    </w:p>
    <w:p w14:paraId="2B7764EC" w14:textId="3CFDEA1C" w:rsidR="00F00451" w:rsidRPr="008E6AE2" w:rsidRDefault="00F66BDA" w:rsidP="00F00451">
      <w:pPr>
        <w:pStyle w:val="Romanos"/>
        <w:ind w:left="1134"/>
        <w:rPr>
          <w:rFonts w:cs="Times New Roman"/>
          <w:lang w:val="en-US"/>
        </w:rPr>
      </w:pPr>
      <w:r w:rsidRPr="008E6AE2">
        <w:rPr>
          <w:rFonts w:cs="Times New Roman"/>
          <w:b/>
          <w:bCs/>
          <w:lang w:val="en-US"/>
        </w:rPr>
        <w:t>Lack of awareness and enforcement of the legal framework</w:t>
      </w:r>
      <w:r w:rsidRPr="008E6AE2">
        <w:rPr>
          <w:rFonts w:cs="Times New Roman"/>
          <w:lang w:val="en-US"/>
        </w:rPr>
        <w:t>: Many health providers are unaware of or fail to comply with the CCC ruling and MoH resolution, particularly regarding the urgency of service provision.</w:t>
      </w:r>
      <w:r w:rsidR="00AA0E05" w:rsidRPr="008E6AE2">
        <w:rPr>
          <w:rFonts w:cs="Times New Roman"/>
          <w:lang w:val="en-US"/>
        </w:rPr>
        <w:t xml:space="preserve"> In Santander, over half of the public health institutions failed to respond to formal information requests, reflecting a culture of administrative opacity. This ruling has had differentiated impacts across regions, with departments like Cauca, Santander and Norte de Santander showing both progress and persistent barriers in implementation.</w:t>
      </w:r>
    </w:p>
    <w:p w14:paraId="188CADB9" w14:textId="1D64562C" w:rsidR="00F00451" w:rsidRPr="008E6AE2" w:rsidRDefault="00F66BDA" w:rsidP="00F00451">
      <w:pPr>
        <w:pStyle w:val="Romanos"/>
        <w:ind w:left="1134"/>
        <w:rPr>
          <w:rFonts w:cs="Times New Roman"/>
          <w:lang w:val="en-US"/>
        </w:rPr>
      </w:pPr>
      <w:r w:rsidRPr="008E6AE2">
        <w:rPr>
          <w:rFonts w:cs="Times New Roman"/>
          <w:b/>
          <w:bCs/>
          <w:lang w:val="en-US"/>
        </w:rPr>
        <w:t>Restrictive interpretations of the law:</w:t>
      </w:r>
      <w:r w:rsidRPr="008E6AE2">
        <w:rPr>
          <w:rFonts w:cs="Times New Roman"/>
          <w:lang w:val="en-US"/>
        </w:rPr>
        <w:t xml:space="preserve"> Health professionals often apply narrow or incorrect interpretations, causing unjustified delays in appointments with psychologists, gynecologists, or social workers, hindering compliance with the five-day service window established by the CCC.</w:t>
      </w:r>
      <w:r w:rsidR="00AA0E05" w:rsidRPr="008E6AE2">
        <w:rPr>
          <w:rFonts w:cs="Times New Roman"/>
          <w:lang w:val="en-US"/>
        </w:rPr>
        <w:t xml:space="preserve"> </w:t>
      </w:r>
    </w:p>
    <w:p w14:paraId="45A77DDE" w14:textId="38F4AB81" w:rsidR="00F00451" w:rsidRPr="008E6AE2" w:rsidRDefault="00F66BDA" w:rsidP="00F00451">
      <w:pPr>
        <w:pStyle w:val="Romanos"/>
        <w:ind w:left="1134"/>
        <w:rPr>
          <w:rFonts w:cs="Times New Roman"/>
          <w:lang w:val="en-US"/>
        </w:rPr>
      </w:pPr>
      <w:r w:rsidRPr="008E6AE2">
        <w:rPr>
          <w:rFonts w:cs="Times New Roman"/>
          <w:b/>
          <w:bCs/>
          <w:lang w:val="en-US"/>
        </w:rPr>
        <w:t>Deficiencies in service provision:</w:t>
      </w:r>
      <w:r w:rsidRPr="008E6AE2">
        <w:rPr>
          <w:rFonts w:cs="Times New Roman"/>
          <w:lang w:val="en-US"/>
        </w:rPr>
        <w:t xml:space="preserve"> There are persistent gaps in the health system, including shortages of abortion medications and the need to travel to other cities, which delay or prevent access to care.</w:t>
      </w:r>
      <w:r w:rsidR="00AA0E05" w:rsidRPr="008E6AE2">
        <w:rPr>
          <w:rFonts w:cs="Times New Roman"/>
          <w:lang w:val="en-US"/>
        </w:rPr>
        <w:t xml:space="preserve"> </w:t>
      </w:r>
    </w:p>
    <w:p w14:paraId="7B11399D" w14:textId="2D4A9573" w:rsidR="00F66BDA" w:rsidRPr="008E6AE2" w:rsidRDefault="00F66BDA" w:rsidP="00F00451">
      <w:pPr>
        <w:pStyle w:val="Romanos"/>
        <w:ind w:left="1134"/>
        <w:rPr>
          <w:rFonts w:cs="Times New Roman"/>
          <w:lang w:val="en-US"/>
        </w:rPr>
      </w:pPr>
      <w:r w:rsidRPr="008E6AE2">
        <w:rPr>
          <w:rFonts w:cs="Times New Roman"/>
          <w:b/>
          <w:bCs/>
          <w:lang w:val="en-US"/>
        </w:rPr>
        <w:t>Lack of official data and transparency:</w:t>
      </w:r>
      <w:r w:rsidRPr="008E6AE2">
        <w:rPr>
          <w:rFonts w:cs="Times New Roman"/>
          <w:lang w:val="en-US"/>
        </w:rPr>
        <w:t xml:space="preserve"> The absence of official figures from the Ministry of Health hampers monitoring and accountability regarding the implementation of abortion services.</w:t>
      </w:r>
      <w:r w:rsidR="00AA0E05" w:rsidRPr="008E6AE2">
        <w:rPr>
          <w:rFonts w:cs="Times New Roman"/>
          <w:lang w:val="en-US"/>
        </w:rPr>
        <w:t xml:space="preserve"> </w:t>
      </w:r>
    </w:p>
    <w:p w14:paraId="21828638" w14:textId="149E375E" w:rsidR="00EE1C5E" w:rsidRPr="008E6AE2" w:rsidRDefault="00F00451" w:rsidP="0047080B">
      <w:pPr>
        <w:pStyle w:val="Prrafo"/>
      </w:pPr>
      <w:r w:rsidRPr="008E6AE2">
        <w:t>Considering</w:t>
      </w:r>
      <w:r w:rsidR="00F66BDA" w:rsidRPr="008E6AE2">
        <w:t xml:space="preserve"> these challenges, while Colombia has made important normative progress in expanding access to abortion, concrete measures are still needed to ensure effective, nationwide implementation and full compliance with the Committee’s recommendations under the ICESCR.</w:t>
      </w:r>
      <w:r w:rsidR="00AA0E05" w:rsidRPr="008E6AE2">
        <w:t xml:space="preserve"> This includes addressing regional disparities and ensuring that departments like Cauca, Santander, and Norte de Santander receive targeted support to overcome structural and institutional barriers.</w:t>
      </w:r>
    </w:p>
    <w:p w14:paraId="50FF36BF" w14:textId="44781364" w:rsidR="00EE1C5E" w:rsidRPr="008E6AE2" w:rsidRDefault="00EE1C5E" w:rsidP="0073458A">
      <w:pPr>
        <w:pStyle w:val="Heading1"/>
        <w:rPr>
          <w:lang w:val="en-US"/>
        </w:rPr>
      </w:pPr>
      <w:r w:rsidRPr="008E6AE2">
        <w:rPr>
          <w:lang w:val="en-US"/>
        </w:rPr>
        <w:t xml:space="preserve">Recommendations </w:t>
      </w:r>
    </w:p>
    <w:p w14:paraId="3310022A" w14:textId="33C1EFF7" w:rsidR="00EE1C5E" w:rsidRPr="008E6AE2" w:rsidRDefault="00EE1C5E" w:rsidP="002809F4">
      <w:pPr>
        <w:pStyle w:val="Prrafo"/>
      </w:pPr>
      <w:r w:rsidRPr="008E6AE2">
        <w:t>We respectfully suggest the Committee make the following recommendations to Colombia:</w:t>
      </w:r>
    </w:p>
    <w:p w14:paraId="4E1B3B6C" w14:textId="53955F13" w:rsidR="00EE1C5E" w:rsidRPr="008E6AE2" w:rsidRDefault="00EE1C5E" w:rsidP="0073458A">
      <w:pPr>
        <w:pStyle w:val="Heading2"/>
        <w:rPr>
          <w:lang w:val="en-US"/>
        </w:rPr>
      </w:pPr>
      <w:r w:rsidRPr="008E6AE2">
        <w:rPr>
          <w:lang w:val="en-US"/>
        </w:rPr>
        <w:t>Regarding the recognition of Reproductive and Sexual Violence during the CAC</w:t>
      </w:r>
    </w:p>
    <w:p w14:paraId="37861B34" w14:textId="67436DC0" w:rsidR="00EE1C5E" w:rsidRPr="008E6AE2" w:rsidRDefault="00EA6B8D" w:rsidP="00466E29">
      <w:pPr>
        <w:pStyle w:val="Prrafo"/>
      </w:pPr>
      <w:r w:rsidRPr="008E6AE2">
        <w:t>Colombia must recognize the existence of violations of women’s sexual and reproductive rights both within and beyond the context of the armed conflict, including forced contraception, abortion, and motherhood, as documented by the JEP and the Truth Commission.</w:t>
      </w:r>
    </w:p>
    <w:p w14:paraId="42095BEF" w14:textId="0800C6FD" w:rsidR="00837A6B" w:rsidRPr="008E6AE2" w:rsidRDefault="00837A6B" w:rsidP="00466E29">
      <w:pPr>
        <w:pStyle w:val="Prrafo"/>
      </w:pPr>
      <w:r w:rsidRPr="008E6AE2">
        <w:lastRenderedPageBreak/>
        <w:t>Ensure the implementation of the Truth Commission’s recommendations on reproductive violence, including the reform of the Victims’ Assistance and Reparation Policy, as urged by the Committee for Monitoring and Follow-up (CSM) in its 2024 report.</w:t>
      </w:r>
    </w:p>
    <w:p w14:paraId="6D69BCA1" w14:textId="5CC2D904" w:rsidR="00EE1C5E" w:rsidRPr="008E6AE2" w:rsidRDefault="00747C7A" w:rsidP="45A096CC">
      <w:pPr>
        <w:pStyle w:val="Prrafo"/>
      </w:pPr>
      <w:r>
        <w:t xml:space="preserve">Call </w:t>
      </w:r>
      <w:r w:rsidR="00F25DFB">
        <w:t>on the</w:t>
      </w:r>
      <w:r w:rsidR="3A63323F">
        <w:t xml:space="preserve"> JEP to</w:t>
      </w:r>
      <w:r>
        <w:t xml:space="preserve"> continue its recognition</w:t>
      </w:r>
      <w:r w:rsidR="3A63323F">
        <w:t xml:space="preserve"> and investigat</w:t>
      </w:r>
      <w:r>
        <w:t>ion of</w:t>
      </w:r>
      <w:r w:rsidR="3A63323F">
        <w:t xml:space="preserve"> reproductive violence as a distinct and systematic </w:t>
      </w:r>
      <w:r>
        <w:t xml:space="preserve">form of </w:t>
      </w:r>
      <w:r w:rsidR="000D32B2">
        <w:t>gender-based</w:t>
      </w:r>
      <w:r>
        <w:t xml:space="preserve"> violence</w:t>
      </w:r>
      <w:r w:rsidR="3A63323F">
        <w:t>, in line with the findings of the Truth Commission (CEV). This includes ensuring that such patterns are addressed not only in Macrocase 11, but also across other proceedings, as evidenced in Macrocases 05 and 07.</w:t>
      </w:r>
    </w:p>
    <w:p w14:paraId="5CCCEC8F" w14:textId="79CDC4FA" w:rsidR="00EE1C5E" w:rsidRPr="008E6AE2" w:rsidRDefault="00EE1C5E" w:rsidP="008D3C28">
      <w:pPr>
        <w:pStyle w:val="Prrafo"/>
        <w:rPr>
          <w:rFonts w:eastAsia="Calibri"/>
        </w:rPr>
      </w:pPr>
      <w:r w:rsidRPr="008E6AE2">
        <w:rPr>
          <w:rFonts w:eastAsia="Calibri"/>
        </w:rPr>
        <w:t xml:space="preserve">Adopt effective mechanisms to defend women’s sexual and reproductive rights, even out of the context of the CAC. Colombia must review the current legislation, </w:t>
      </w:r>
      <w:r w:rsidR="00EA6B8D" w:rsidRPr="008E6AE2">
        <w:rPr>
          <w:rFonts w:eastAsia="Calibri"/>
        </w:rPr>
        <w:t>which lacks specific provisions to</w:t>
      </w:r>
      <w:r w:rsidR="005228B0" w:rsidRPr="008E6AE2">
        <w:rPr>
          <w:shd w:val="clear" w:color="auto" w:fill="FAFAFA"/>
        </w:rPr>
        <w:t xml:space="preserve"> ensure comprehensive reparation for </w:t>
      </w:r>
      <w:r w:rsidR="00EA6B8D" w:rsidRPr="008E6AE2">
        <w:rPr>
          <w:rFonts w:eastAsia="Calibri"/>
        </w:rPr>
        <w:t>reproductive violence occurring in peacetime or outside armed group structures</w:t>
      </w:r>
      <w:r w:rsidRPr="008E6AE2">
        <w:rPr>
          <w:rFonts w:eastAsia="Calibri"/>
        </w:rPr>
        <w:t>.</w:t>
      </w:r>
    </w:p>
    <w:p w14:paraId="7BDFA4FE" w14:textId="2B60AB7A" w:rsidR="00EE1C5E" w:rsidRPr="008E6AE2" w:rsidRDefault="00EE1C5E" w:rsidP="0073458A">
      <w:pPr>
        <w:pStyle w:val="Heading2"/>
        <w:rPr>
          <w:lang w:val="en-US"/>
        </w:rPr>
      </w:pPr>
      <w:r w:rsidRPr="008E6AE2">
        <w:rPr>
          <w:lang w:val="en-US"/>
        </w:rPr>
        <w:t>Regarding the i</w:t>
      </w:r>
      <w:r w:rsidRPr="008E6AE2">
        <w:rPr>
          <w:rStyle w:val="normaltextrun"/>
          <w:shd w:val="clear" w:color="auto" w:fill="FFFFFF"/>
          <w:lang w:val="en-US"/>
        </w:rPr>
        <w:t>mpacts of PECIG on reproductive rights</w:t>
      </w:r>
      <w:r w:rsidRPr="008E6AE2">
        <w:rPr>
          <w:rStyle w:val="eop"/>
          <w:shd w:val="clear" w:color="auto" w:fill="FFFFFF"/>
          <w:lang w:val="en-US"/>
        </w:rPr>
        <w:t> </w:t>
      </w:r>
    </w:p>
    <w:p w14:paraId="619467DB" w14:textId="3DDE0E1D" w:rsidR="00EE1C5E" w:rsidRPr="008E6AE2" w:rsidRDefault="3F16A2A9" w:rsidP="0073458A">
      <w:pPr>
        <w:pStyle w:val="Prrafo"/>
      </w:pPr>
      <w:r w:rsidRPr="008E6AE2">
        <w:rPr>
          <w:rStyle w:val="Strong"/>
          <w:shd w:val="clear" w:color="auto" w:fill="FAFAFA"/>
        </w:rPr>
        <w:t> </w:t>
      </w:r>
      <w:r w:rsidR="515B62EA" w:rsidRPr="008E6AE2">
        <w:t>A</w:t>
      </w:r>
      <w:r w:rsidRPr="008E6AE2">
        <w:t>dopt a permanent ban on the use of glyphosate for crop eradication purposes, including both aerial and ground-based spraying, due to its documented impacts on reproductive health and rights.</w:t>
      </w:r>
      <w:r w:rsidR="0CFC8B79" w:rsidRPr="008E6AE2">
        <w:t xml:space="preserve"> This includes the recent reactivation of terrestrial spraying under the PECAT program in 2025.</w:t>
      </w:r>
    </w:p>
    <w:p w14:paraId="1561156D" w14:textId="63240453" w:rsidR="00EE1C5E" w:rsidRPr="008E6AE2" w:rsidRDefault="1628EA9D" w:rsidP="006E13A6">
      <w:pPr>
        <w:pStyle w:val="Prrafo"/>
      </w:pPr>
      <w:r w:rsidRPr="008E6AE2">
        <w:t>Adopt effective compensation measures, managed by an impartial entity</w:t>
      </w:r>
      <w:r w:rsidR="00EE1C5E" w:rsidRPr="008E6AE2">
        <w:rPr>
          <w:rStyle w:val="EndnoteReference"/>
        </w:rPr>
        <w:endnoteReference w:id="64"/>
      </w:r>
      <w:r w:rsidRPr="008E6AE2">
        <w:t xml:space="preserve"> for victims of PECIG, particularly affected women.  For instance, </w:t>
      </w:r>
      <w:r w:rsidR="0CFC8B79" w:rsidRPr="008E6AE2">
        <w:t xml:space="preserve">by expanding the existing administrative compensation system to include health and reproductive </w:t>
      </w:r>
      <w:r w:rsidR="73EDB294" w:rsidRPr="008E6AE2">
        <w:t>harms and</w:t>
      </w:r>
      <w:r w:rsidR="0CFC8B79" w:rsidRPr="008E6AE2">
        <w:t xml:space="preserve"> removing limitations that exclude victims of reproductive damage</w:t>
      </w:r>
      <w:r w:rsidRPr="008E6AE2">
        <w:t>.</w:t>
      </w:r>
    </w:p>
    <w:p w14:paraId="43927BBB" w14:textId="52CC4E9F" w:rsidR="00EE1C5E" w:rsidRPr="008E6AE2" w:rsidRDefault="1628EA9D" w:rsidP="003C3218">
      <w:pPr>
        <w:pStyle w:val="Prrafo"/>
      </w:pPr>
      <w:r w:rsidRPr="008E6AE2">
        <w:t>Pr</w:t>
      </w:r>
      <w:r w:rsidR="7A870E01" w:rsidRPr="008E6AE2">
        <w:t>otect and guarantee</w:t>
      </w:r>
      <w:r w:rsidRPr="008E6AE2">
        <w:t xml:space="preserve"> victim’s right to initiate judicial proceedings for adequate compensation in case administrative measures are insufficient.  </w:t>
      </w:r>
      <w:r w:rsidR="3E15C39D" w:rsidRPr="008E6AE2">
        <w:t>A</w:t>
      </w:r>
      <w:r w:rsidRPr="008E6AE2">
        <w:t xml:space="preserve">dopt procedural rules in favor of the victim, </w:t>
      </w:r>
      <w:r w:rsidR="0CFC8B79" w:rsidRPr="008E6AE2">
        <w:t>including the reversal of the burden of proof and the reduction of evidentiary requirements in glyphosate-related health claims</w:t>
      </w:r>
      <w:r w:rsidRPr="008E6AE2">
        <w:t>.</w:t>
      </w:r>
      <w:r w:rsidR="00EE1C5E" w:rsidRPr="008E6AE2">
        <w:rPr>
          <w:rStyle w:val="EndnoteReference"/>
        </w:rPr>
        <w:endnoteReference w:id="65"/>
      </w:r>
    </w:p>
    <w:p w14:paraId="55868D74" w14:textId="564EEA42" w:rsidR="00837A6B" w:rsidRPr="008E6AE2" w:rsidRDefault="00837A6B" w:rsidP="003C3218">
      <w:pPr>
        <w:pStyle w:val="Prrafo"/>
      </w:pPr>
      <w:r w:rsidRPr="008E6AE2">
        <w:t>Refrain from reactivating or expanding the use of glyphosate in ground-based eradication operations, such as those carried out under the PECAT program.</w:t>
      </w:r>
      <w:r w:rsidR="00EA6B8D" w:rsidRPr="008E6AE2">
        <w:t xml:space="preserve"> The 2025 contract signed by the Ministry of Defense contradicts prior commitments and poses renewed risks to reproductive health.</w:t>
      </w:r>
    </w:p>
    <w:p w14:paraId="1D233EF1" w14:textId="7565E37C" w:rsidR="00EE1C5E" w:rsidRPr="008E6AE2" w:rsidRDefault="00EE1C5E" w:rsidP="00337E0D">
      <w:pPr>
        <w:pStyle w:val="Heading2"/>
        <w:rPr>
          <w:lang w:val="en-US"/>
        </w:rPr>
      </w:pPr>
      <w:r w:rsidRPr="008E6AE2">
        <w:rPr>
          <w:lang w:val="en-US"/>
        </w:rPr>
        <w:t>Regarding the VTP</w:t>
      </w:r>
    </w:p>
    <w:p w14:paraId="012D804E" w14:textId="0E4DCA82" w:rsidR="00EE1C5E" w:rsidRPr="008E6AE2" w:rsidRDefault="1628EA9D" w:rsidP="00801EBF">
      <w:pPr>
        <w:pStyle w:val="Prrafo"/>
      </w:pPr>
      <w:r w:rsidRPr="008E6AE2">
        <w:t>Require all the healthcare actors</w:t>
      </w:r>
      <w:r w:rsidR="00EE1C5E" w:rsidRPr="008E6AE2">
        <w:rPr>
          <w:rStyle w:val="EndnoteReference"/>
        </w:rPr>
        <w:endnoteReference w:id="66"/>
      </w:r>
      <w:r w:rsidRPr="008E6AE2">
        <w:t xml:space="preserve"> to fully comply with their obligation to provide accurate and timely information on VTP</w:t>
      </w:r>
      <w:r w:rsidR="0CFC8B79" w:rsidRPr="008E6AE2">
        <w:t>, including the legal framework established by Ruling C-055 of 2022 and Resolution 051 of 2023</w:t>
      </w:r>
      <w:r w:rsidRPr="008E6AE2">
        <w:t>.</w:t>
      </w:r>
    </w:p>
    <w:p w14:paraId="499FE217" w14:textId="767F75F2" w:rsidR="00EE1C5E" w:rsidRPr="008E6AE2" w:rsidRDefault="7B77CF6F" w:rsidP="00F71A97">
      <w:pPr>
        <w:pStyle w:val="Prrafo"/>
      </w:pPr>
      <w:r w:rsidRPr="008E6AE2">
        <w:rPr>
          <w:shd w:val="clear" w:color="auto" w:fill="FAFAFA"/>
        </w:rPr>
        <w:t>Guarantee</w:t>
      </w:r>
      <w:r w:rsidRPr="008E6AE2">
        <w:t xml:space="preserve"> </w:t>
      </w:r>
      <w:r w:rsidRPr="008E6AE2">
        <w:rPr>
          <w:shd w:val="clear" w:color="auto" w:fill="FAFAFA"/>
        </w:rPr>
        <w:t>the provision of VTP services across all levels of healthcare, with particular emphasis on rural and remote areas where delays and the absence of trained personnel continue to increase gestational age and restrict access. It is also imperative to ensure access for women subject to intersecting forms of discrimination, such as migrant and Afro-descendant women.</w:t>
      </w:r>
    </w:p>
    <w:p w14:paraId="15B15737" w14:textId="5E385DEC" w:rsidR="00EE1C5E" w:rsidRPr="008E6AE2" w:rsidRDefault="0CFC8B79" w:rsidP="00B94FBA">
      <w:pPr>
        <w:pStyle w:val="Prrafo"/>
      </w:pPr>
      <w:r>
        <w:lastRenderedPageBreak/>
        <w:t>Implement a comprehensive and updated information system on VTP, with a differential and territorial approach, generating best practices in data collection. This system must include disaggregated data on gestational age, affiliation status, and population groups, including migrants and ethnic minorities</w:t>
      </w:r>
      <w:r w:rsidR="26D1CBDD">
        <w:t>, while respecting patient privacy and confidentiality</w:t>
      </w:r>
      <w:r>
        <w:t>.</w:t>
      </w:r>
    </w:p>
    <w:p w14:paraId="4F6B832A" w14:textId="42299AE7" w:rsidR="00801EBF" w:rsidRPr="008E6AE2" w:rsidRDefault="1628EA9D" w:rsidP="00801EBF">
      <w:pPr>
        <w:pStyle w:val="Prrafo"/>
      </w:pPr>
      <w:r w:rsidRPr="008E6AE2">
        <w:t>Urge the Attorney General's Office to update its Directive 006/2016</w:t>
      </w:r>
      <w:r w:rsidR="00EE1C5E" w:rsidRPr="008E6AE2">
        <w:rPr>
          <w:rStyle w:val="EndnoteReference"/>
        </w:rPr>
        <w:endnoteReference w:id="67"/>
      </w:r>
      <w:r w:rsidR="0CFC8B79" w:rsidRPr="008E6AE2">
        <w:t xml:space="preserve"> to align with the current legal framework and ensure protection against criminalization and procedural delays</w:t>
      </w:r>
      <w:r w:rsidRPr="008E6AE2">
        <w:t>.</w:t>
      </w:r>
    </w:p>
    <w:p w14:paraId="6A93C636" w14:textId="7C456113" w:rsidR="00801EBF" w:rsidRPr="008E6AE2" w:rsidRDefault="71D58404" w:rsidP="00801EBF">
      <w:pPr>
        <w:pStyle w:val="Prrafo"/>
      </w:pPr>
      <w:commentRangeStart w:id="1"/>
      <w:commentRangeStart w:id="2"/>
      <w:r>
        <w:t>Comply with</w:t>
      </w:r>
      <w:r w:rsidR="12AA82EE">
        <w:t xml:space="preserve"> the</w:t>
      </w:r>
      <w:r>
        <w:t xml:space="preserve"> </w:t>
      </w:r>
      <w:r w:rsidR="5D08C899">
        <w:t xml:space="preserve">WHO </w:t>
      </w:r>
      <w:r w:rsidR="155AB676">
        <w:t>Guidelines on</w:t>
      </w:r>
      <w:r w:rsidR="5D08C899">
        <w:t xml:space="preserve"> abortion</w:t>
      </w:r>
      <w:r>
        <w:t xml:space="preserve">. </w:t>
      </w:r>
      <w:commentRangeEnd w:id="1"/>
      <w:r w:rsidR="00801EBF">
        <w:rPr>
          <w:rStyle w:val="CommentReference"/>
        </w:rPr>
        <w:commentReference w:id="1"/>
      </w:r>
      <w:commentRangeEnd w:id="2"/>
      <w:r w:rsidR="00801EBF">
        <w:rPr>
          <w:rStyle w:val="CommentReference"/>
        </w:rPr>
        <w:commentReference w:id="2"/>
      </w:r>
    </w:p>
    <w:p w14:paraId="0F95B352" w14:textId="5AA21804" w:rsidR="00801EBF" w:rsidRPr="008E6AE2" w:rsidRDefault="71D58404" w:rsidP="00801EBF">
      <w:pPr>
        <w:pStyle w:val="Prrafo"/>
      </w:pPr>
      <w:r>
        <w:t>Encourage entities with inspection</w:t>
      </w:r>
      <w:r w:rsidR="28F501C4">
        <w:t xml:space="preserve"> and</w:t>
      </w:r>
      <w:r>
        <w:t xml:space="preserve"> control functions in health matters to investigate and sanction healthcare </w:t>
      </w:r>
      <w:r w:rsidR="28F501C4">
        <w:t xml:space="preserve">actors </w:t>
      </w:r>
      <w:r>
        <w:t>that</w:t>
      </w:r>
      <w:r w:rsidR="23D271C5">
        <w:t xml:space="preserve"> </w:t>
      </w:r>
      <w:r w:rsidR="738B83ED">
        <w:t>perpetuate</w:t>
      </w:r>
      <w:r>
        <w:t xml:space="preserve"> </w:t>
      </w:r>
      <w:r w:rsidR="7FC6B005">
        <w:t xml:space="preserve">barriers to accessing </w:t>
      </w:r>
      <w:r w:rsidR="1540957A">
        <w:t>VTP</w:t>
      </w:r>
      <w:r w:rsidR="0CFC8B79">
        <w:t>, including delays, misinformation, and violations of confidentiality and autonomy</w:t>
      </w:r>
      <w:r w:rsidR="23D271C5">
        <w:t>.</w:t>
      </w:r>
      <w:r>
        <w:t xml:space="preserve"> </w:t>
      </w:r>
    </w:p>
    <w:p w14:paraId="281EFDA0" w14:textId="12478447" w:rsidR="001237C7" w:rsidRPr="008E6AE2" w:rsidRDefault="001237C7" w:rsidP="1BEF2AF4">
      <w:pPr>
        <w:pStyle w:val="Prrafo"/>
        <w:numPr>
          <w:ilvl w:val="0"/>
          <w:numId w:val="0"/>
        </w:numPr>
      </w:pPr>
      <w:r w:rsidRPr="008E6AE2">
        <w:t>We appreciate the Committee’s longstanding commitment to reproductive rights. If you have any questions, or would like further information, please do not hesitate to contact the undersigned.</w:t>
      </w:r>
    </w:p>
    <w:tbl>
      <w:tblPr>
        <w:tblStyle w:val="TableGrid"/>
        <w:tblW w:w="9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3119"/>
        <w:gridCol w:w="2835"/>
        <w:gridCol w:w="567"/>
        <w:gridCol w:w="2599"/>
      </w:tblGrid>
      <w:tr w:rsidR="008E6AE2" w:rsidRPr="008E6AE2" w14:paraId="3BF5FF7F" w14:textId="77777777" w:rsidTr="53ACDAD9">
        <w:tc>
          <w:tcPr>
            <w:tcW w:w="3119" w:type="dxa"/>
          </w:tcPr>
          <w:p w14:paraId="175B1562" w14:textId="77777777" w:rsidR="00800931" w:rsidRPr="008E6AE2" w:rsidRDefault="001237C7">
            <w:pPr>
              <w:rPr>
                <w:rFonts w:cs="Times New Roman"/>
                <w:lang w:val="en-US"/>
              </w:rPr>
            </w:pPr>
            <w:r w:rsidRPr="008E6AE2">
              <w:rPr>
                <w:rFonts w:cs="Times New Roman"/>
                <w:lang w:val="en-US"/>
              </w:rPr>
              <w:t>Sincerely,</w:t>
            </w:r>
          </w:p>
          <w:p w14:paraId="465FD1ED" w14:textId="77777777" w:rsidR="00800931" w:rsidRPr="008E6AE2" w:rsidRDefault="00800931">
            <w:pPr>
              <w:rPr>
                <w:rFonts w:cs="Times New Roman"/>
                <w:lang w:val="en-US"/>
              </w:rPr>
            </w:pPr>
          </w:p>
          <w:p w14:paraId="75BE8189" w14:textId="1C500F18" w:rsidR="00800931" w:rsidRPr="008E6AE2" w:rsidRDefault="00800931">
            <w:pPr>
              <w:rPr>
                <w:rFonts w:cs="Times New Roman"/>
                <w:lang w:val="en-US"/>
              </w:rPr>
            </w:pPr>
          </w:p>
        </w:tc>
        <w:tc>
          <w:tcPr>
            <w:tcW w:w="3402" w:type="dxa"/>
            <w:gridSpan w:val="2"/>
          </w:tcPr>
          <w:p w14:paraId="287C6E44" w14:textId="66760919" w:rsidR="00800931" w:rsidRPr="008E6AE2" w:rsidRDefault="00800931">
            <w:pPr>
              <w:rPr>
                <w:rFonts w:cs="Times New Roman"/>
                <w:lang w:val="en-US"/>
              </w:rPr>
            </w:pPr>
          </w:p>
        </w:tc>
        <w:tc>
          <w:tcPr>
            <w:tcW w:w="2599" w:type="dxa"/>
          </w:tcPr>
          <w:p w14:paraId="489EE62B" w14:textId="77777777" w:rsidR="00800931" w:rsidRPr="008E6AE2" w:rsidRDefault="00800931">
            <w:pPr>
              <w:rPr>
                <w:rFonts w:cs="Times New Roman"/>
                <w:lang w:val="en-US"/>
              </w:rPr>
            </w:pPr>
          </w:p>
          <w:p w14:paraId="12F0D3B2" w14:textId="35B2C278" w:rsidR="00800931" w:rsidRPr="008E6AE2" w:rsidRDefault="00800931">
            <w:pPr>
              <w:rPr>
                <w:rFonts w:cs="Times New Roman"/>
                <w:lang w:val="en-US"/>
              </w:rPr>
            </w:pPr>
          </w:p>
        </w:tc>
      </w:tr>
      <w:tr w:rsidR="008E6AE2" w:rsidRPr="008E6AE2" w14:paraId="55F42159" w14:textId="77777777" w:rsidTr="53ACDAD9">
        <w:tc>
          <w:tcPr>
            <w:tcW w:w="3119" w:type="dxa"/>
          </w:tcPr>
          <w:p w14:paraId="67578EF0" w14:textId="77777777" w:rsidR="00800931" w:rsidRPr="00F647F8" w:rsidRDefault="00800931">
            <w:pPr>
              <w:rPr>
                <w:rFonts w:cs="Times New Roman"/>
                <w:b/>
                <w:lang w:val="en-US"/>
              </w:rPr>
            </w:pPr>
            <w:r w:rsidRPr="00F647F8">
              <w:rPr>
                <w:rFonts w:cs="Times New Roman"/>
                <w:b/>
                <w:lang w:val="en-US"/>
              </w:rPr>
              <w:t xml:space="preserve">Catalina Martinez Coral </w:t>
            </w:r>
          </w:p>
          <w:p w14:paraId="25138B4B" w14:textId="77777777" w:rsidR="00800931" w:rsidRPr="00F647F8" w:rsidRDefault="00800931">
            <w:pPr>
              <w:rPr>
                <w:rFonts w:cs="Times New Roman"/>
                <w:lang w:val="en-US"/>
              </w:rPr>
            </w:pPr>
            <w:r w:rsidRPr="00F647F8">
              <w:rPr>
                <w:rFonts w:cs="Times New Roman"/>
                <w:lang w:val="en-US"/>
              </w:rPr>
              <w:t>Regional Director</w:t>
            </w:r>
          </w:p>
          <w:p w14:paraId="6B6DDF18" w14:textId="77777777" w:rsidR="00362075" w:rsidRPr="00F647F8" w:rsidRDefault="00800931">
            <w:pPr>
              <w:rPr>
                <w:rFonts w:cs="Times New Roman"/>
                <w:lang w:val="en-US"/>
              </w:rPr>
            </w:pPr>
            <w:r w:rsidRPr="00F647F8">
              <w:rPr>
                <w:rFonts w:cs="Times New Roman"/>
                <w:lang w:val="en-US"/>
              </w:rPr>
              <w:t xml:space="preserve">LAC Program </w:t>
            </w:r>
          </w:p>
          <w:p w14:paraId="4379CF73" w14:textId="6EB3310E" w:rsidR="00800931" w:rsidRPr="008E6AE2" w:rsidRDefault="00800931">
            <w:pPr>
              <w:rPr>
                <w:rFonts w:cs="Times New Roman"/>
                <w:lang w:val="en-US"/>
              </w:rPr>
            </w:pPr>
            <w:r w:rsidRPr="008E6AE2">
              <w:rPr>
                <w:rFonts w:cs="Times New Roman"/>
                <w:lang w:val="en-US"/>
              </w:rPr>
              <w:t>Center for Reproductive Rights</w:t>
            </w:r>
          </w:p>
        </w:tc>
        <w:tc>
          <w:tcPr>
            <w:tcW w:w="2835" w:type="dxa"/>
          </w:tcPr>
          <w:p w14:paraId="40E4A12B" w14:textId="65C48058" w:rsidR="00362075" w:rsidRPr="008E6AE2" w:rsidRDefault="00E26FDD" w:rsidP="00362075">
            <w:pPr>
              <w:rPr>
                <w:rFonts w:cs="Times New Roman"/>
                <w:b/>
                <w:bCs/>
                <w:lang w:val="es-CO"/>
              </w:rPr>
            </w:pPr>
            <w:r w:rsidRPr="008E6AE2">
              <w:rPr>
                <w:rFonts w:cs="Times New Roman"/>
                <w:b/>
                <w:bCs/>
                <w:lang w:val="es-CO"/>
              </w:rPr>
              <w:t>Johana Durán Gómez</w:t>
            </w:r>
          </w:p>
          <w:p w14:paraId="5EB3E781" w14:textId="4386C56F" w:rsidR="00362075" w:rsidRPr="008E6AE2" w:rsidRDefault="00E26FDD" w:rsidP="00362075">
            <w:pPr>
              <w:rPr>
                <w:rFonts w:cs="Times New Roman"/>
                <w:lang w:val="es-CO"/>
              </w:rPr>
            </w:pPr>
            <w:r w:rsidRPr="008E6AE2">
              <w:rPr>
                <w:rFonts w:cs="Times New Roman"/>
                <w:lang w:val="es-CO"/>
              </w:rPr>
              <w:t>Director</w:t>
            </w:r>
          </w:p>
          <w:p w14:paraId="4F7BEBEE" w14:textId="1CB727D6" w:rsidR="00362075" w:rsidRPr="008E6AE2" w:rsidRDefault="00362075" w:rsidP="00362075">
            <w:pPr>
              <w:rPr>
                <w:rFonts w:cs="Times New Roman"/>
                <w:lang w:val="es-CO"/>
              </w:rPr>
            </w:pPr>
            <w:r w:rsidRPr="008E6AE2">
              <w:rPr>
                <w:rFonts w:cs="Times New Roman"/>
                <w:lang w:val="es-CO"/>
              </w:rPr>
              <w:t>Fundación Mujer y Futuro</w:t>
            </w:r>
          </w:p>
          <w:p w14:paraId="0D5A6319" w14:textId="25DB3BF4" w:rsidR="00800931" w:rsidRPr="008E6AE2" w:rsidRDefault="00800931">
            <w:pPr>
              <w:rPr>
                <w:rFonts w:cs="Times New Roman"/>
                <w:lang w:val="es-CO"/>
              </w:rPr>
            </w:pPr>
          </w:p>
        </w:tc>
        <w:tc>
          <w:tcPr>
            <w:tcW w:w="3166" w:type="dxa"/>
            <w:gridSpan w:val="2"/>
          </w:tcPr>
          <w:p w14:paraId="2C52D75C" w14:textId="1458F703" w:rsidR="00362075" w:rsidRPr="008E6AE2" w:rsidRDefault="07BD950C">
            <w:pPr>
              <w:rPr>
                <w:rFonts w:cs="Times New Roman"/>
                <w:b/>
                <w:bCs/>
                <w:lang w:val="es-CO"/>
              </w:rPr>
            </w:pPr>
            <w:commentRangeStart w:id="3"/>
            <w:r w:rsidRPr="53ACDAD9">
              <w:rPr>
                <w:rFonts w:cs="Times New Roman"/>
                <w:b/>
                <w:bCs/>
                <w:lang w:val="es-CO"/>
              </w:rPr>
              <w:t>Zully Meneses</w:t>
            </w:r>
            <w:r w:rsidR="4CC1950C" w:rsidRPr="53ACDAD9">
              <w:rPr>
                <w:rFonts w:cs="Times New Roman"/>
                <w:b/>
                <w:bCs/>
                <w:lang w:val="es-CO"/>
              </w:rPr>
              <w:t xml:space="preserve"> Hernández</w:t>
            </w:r>
            <w:commentRangeEnd w:id="3"/>
            <w:r w:rsidR="00BA66C6">
              <w:rPr>
                <w:rStyle w:val="CommentReference"/>
              </w:rPr>
              <w:commentReference w:id="3"/>
            </w:r>
          </w:p>
          <w:p w14:paraId="6B3FF3AD" w14:textId="0F3373C8" w:rsidR="00362075" w:rsidRPr="008E6AE2" w:rsidRDefault="00BA66C6">
            <w:pPr>
              <w:rPr>
                <w:rFonts w:cs="Times New Roman"/>
                <w:lang w:val="es-CO"/>
              </w:rPr>
            </w:pPr>
            <w:r w:rsidRPr="008E6AE2">
              <w:rPr>
                <w:rFonts w:cs="Times New Roman"/>
                <w:lang w:val="es-CO"/>
              </w:rPr>
              <w:t>Director</w:t>
            </w:r>
          </w:p>
          <w:p w14:paraId="20A430E2" w14:textId="3BC2665B" w:rsidR="00362075" w:rsidRPr="008E6AE2" w:rsidRDefault="73EDB294">
            <w:pPr>
              <w:rPr>
                <w:rFonts w:cs="Times New Roman"/>
                <w:lang w:val="es-CO"/>
              </w:rPr>
            </w:pPr>
            <w:r w:rsidRPr="53ACDAD9">
              <w:rPr>
                <w:rFonts w:cs="Times New Roman"/>
                <w:lang w:val="es-CO"/>
              </w:rPr>
              <w:t xml:space="preserve">Corporación </w:t>
            </w:r>
            <w:r w:rsidR="6807036E" w:rsidRPr="53ACDAD9">
              <w:rPr>
                <w:rFonts w:cs="Times New Roman"/>
                <w:lang w:val="es-CO"/>
              </w:rPr>
              <w:t xml:space="preserve">de Mujeres </w:t>
            </w:r>
            <w:r w:rsidRPr="53ACDAD9">
              <w:rPr>
                <w:rFonts w:cs="Times New Roman"/>
                <w:lang w:val="es-CO"/>
              </w:rPr>
              <w:t>Eco Feminista</w:t>
            </w:r>
            <w:r w:rsidR="208C710B" w:rsidRPr="53ACDAD9">
              <w:rPr>
                <w:rFonts w:cs="Times New Roman"/>
                <w:lang w:val="es-CO"/>
              </w:rPr>
              <w:t>s</w:t>
            </w:r>
            <w:r w:rsidRPr="53ACDAD9">
              <w:rPr>
                <w:rFonts w:cs="Times New Roman"/>
                <w:lang w:val="es-CO"/>
              </w:rPr>
              <w:t xml:space="preserve"> Comunitar</w:t>
            </w:r>
          </w:p>
        </w:tc>
      </w:tr>
    </w:tbl>
    <w:p w14:paraId="5C1A07E2" w14:textId="77777777" w:rsidR="00650A34" w:rsidRPr="008E6AE2" w:rsidRDefault="00650A34">
      <w:pPr>
        <w:rPr>
          <w:rFonts w:cs="Times New Roman"/>
          <w:lang w:val="es-CO"/>
        </w:rPr>
      </w:pPr>
    </w:p>
    <w:sectPr w:rsidR="00650A34" w:rsidRPr="008E6AE2">
      <w:headerReference w:type="default" r:id="rId16"/>
      <w:footerReference w:type="default" r:id="rId17"/>
      <w:pgSz w:w="12240" w:h="15840"/>
      <w:pgMar w:top="1418" w:right="1701" w:bottom="1418" w:left="1701"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Estelle Wagner" w:date="2025-08-05T14:14:00Z" w:initials="EW">
    <w:p w14:paraId="52FC69A3" w14:textId="20EE09A1" w:rsidR="00732A7D" w:rsidRDefault="00D729A3">
      <w:pPr>
        <w:pStyle w:val="CommentText"/>
      </w:pPr>
      <w:r>
        <w:rPr>
          <w:rStyle w:val="CommentReference"/>
        </w:rPr>
        <w:annotationRef/>
      </w:r>
      <w:r w:rsidRPr="5D65B976">
        <w:t xml:space="preserve">This should appear in the text in the section we are referring to (and where it should be explained how this is not yet happening) as well as in the recommendations section. </w:t>
      </w:r>
    </w:p>
  </w:comment>
  <w:comment w:id="2" w:author="Tania Agosti [2]" w:date="2025-08-05T17:32:00Z" w:initials="TA">
    <w:p w14:paraId="4C91138B" w14:textId="126B7A6F" w:rsidR="00732A7D" w:rsidRDefault="00D729A3">
      <w:pPr>
        <w:pStyle w:val="CommentText"/>
      </w:pPr>
      <w:r>
        <w:rPr>
          <w:rStyle w:val="CommentReference"/>
        </w:rPr>
        <w:annotationRef/>
      </w:r>
      <w:r w:rsidRPr="3C06C50F">
        <w:t>Added standards on WHO and accessibility across the territory, including remote areas</w:t>
      </w:r>
    </w:p>
  </w:comment>
  <w:comment w:id="3" w:author="Usuario 1" w:date="2025-08-01T15:25:00Z" w:initials="U1">
    <w:p w14:paraId="656FD2B1" w14:textId="77777777" w:rsidR="00BA66C6" w:rsidRDefault="00BA66C6" w:rsidP="00BA66C6">
      <w:r>
        <w:rPr>
          <w:rStyle w:val="CommentReference"/>
        </w:rPr>
        <w:annotationRef/>
      </w:r>
      <w:r>
        <w:rPr>
          <w:sz w:val="20"/>
          <w:szCs w:val="20"/>
        </w:rPr>
        <w:t xml:space="preserve">Confirma el lunes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FC69A3" w15:done="1"/>
  <w15:commentEx w15:paraId="4C91138B" w15:paraIdParent="52FC69A3" w15:done="1"/>
  <w15:commentEx w15:paraId="656FD2B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7599EE" w16cex:dateUtc="2025-08-05T12:14:00Z"/>
  <w16cex:commentExtensible w16cex:durableId="77185F57" w16cex:dateUtc="2025-08-05T15:32:00Z"/>
  <w16cex:commentExtensible w16cex:durableId="0188A0CD" w16cex:dateUtc="2025-08-01T20: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FC69A3" w16cid:durableId="357599EE"/>
  <w16cid:commentId w16cid:paraId="4C91138B" w16cid:durableId="77185F57"/>
  <w16cid:commentId w16cid:paraId="656FD2B1" w16cid:durableId="0188A0C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CE2A5" w14:textId="77777777" w:rsidR="00231A24" w:rsidRDefault="00231A24" w:rsidP="008116B4">
      <w:pPr>
        <w:spacing w:after="0" w:line="240" w:lineRule="auto"/>
      </w:pPr>
      <w:r>
        <w:separator/>
      </w:r>
    </w:p>
  </w:endnote>
  <w:endnote w:type="continuationSeparator" w:id="0">
    <w:p w14:paraId="14F0A54A" w14:textId="77777777" w:rsidR="00231A24" w:rsidRDefault="00231A24" w:rsidP="008116B4">
      <w:pPr>
        <w:spacing w:after="0" w:line="240" w:lineRule="auto"/>
      </w:pPr>
      <w:r>
        <w:continuationSeparator/>
      </w:r>
    </w:p>
  </w:endnote>
  <w:endnote w:type="continuationNotice" w:id="1">
    <w:p w14:paraId="2F301919" w14:textId="77777777" w:rsidR="00231A24" w:rsidRDefault="00231A24">
      <w:pPr>
        <w:spacing w:after="0" w:line="240" w:lineRule="auto"/>
      </w:pPr>
    </w:p>
  </w:endnote>
  <w:endnote w:id="2">
    <w:p w14:paraId="679CB3D4" w14:textId="30BF42F1" w:rsidR="00EE1C5E" w:rsidRPr="00B15F96" w:rsidRDefault="00EE1C5E" w:rsidP="00B15F96">
      <w:pPr>
        <w:pStyle w:val="EndnoteText"/>
        <w:rPr>
          <w:rFonts w:cs="Times New Roman"/>
          <w:sz w:val="16"/>
          <w:szCs w:val="16"/>
          <w:lang w:val="en-US"/>
        </w:rPr>
      </w:pPr>
      <w:r w:rsidRPr="00A257AF">
        <w:rPr>
          <w:rStyle w:val="EndnoteReference"/>
          <w:rFonts w:cs="Times New Roman"/>
          <w:sz w:val="16"/>
          <w:szCs w:val="16"/>
        </w:rPr>
        <w:endnoteRef/>
      </w:r>
      <w:r w:rsidRPr="00A257AF">
        <w:rPr>
          <w:rFonts w:cs="Times New Roman"/>
          <w:sz w:val="16"/>
          <w:szCs w:val="16"/>
          <w:lang w:val="en-US"/>
        </w:rPr>
        <w:t xml:space="preserve"> </w:t>
      </w:r>
      <w:r w:rsidRPr="00B15F96">
        <w:rPr>
          <w:rFonts w:eastAsia="Calibri" w:cs="Times New Roman"/>
          <w:sz w:val="16"/>
          <w:szCs w:val="16"/>
          <w:lang w:val="en-US"/>
        </w:rPr>
        <w:t>The Center for Reproductive Rights is an international non-profit legal organization that advocates for the recognition of reproductive freedom as a human right, which all states are legally obligated to respect, protect, and fulfill. </w:t>
      </w:r>
    </w:p>
  </w:endnote>
  <w:endnote w:id="3">
    <w:p w14:paraId="48137877" w14:textId="350C7A17" w:rsidR="00FE786B" w:rsidRPr="00D729A3" w:rsidRDefault="00FE786B">
      <w:pPr>
        <w:pStyle w:val="EndnoteText"/>
        <w:rPr>
          <w:sz w:val="17"/>
          <w:szCs w:val="17"/>
        </w:rPr>
      </w:pPr>
      <w:r w:rsidRPr="00FE786B">
        <w:rPr>
          <w:rStyle w:val="EndnoteReference"/>
          <w:sz w:val="17"/>
          <w:szCs w:val="17"/>
        </w:rPr>
        <w:endnoteRef/>
      </w:r>
      <w:r w:rsidRPr="00FE786B">
        <w:rPr>
          <w:sz w:val="17"/>
          <w:szCs w:val="17"/>
        </w:rPr>
        <w:t xml:space="preserve"> </w:t>
      </w:r>
      <w:hyperlink r:id="rId1" w:history="1">
        <w:r w:rsidRPr="00FE786B">
          <w:rPr>
            <w:rStyle w:val="Hyperlink"/>
            <w:sz w:val="17"/>
            <w:szCs w:val="17"/>
          </w:rPr>
          <w:t>Corporación Eco Feminista Comunitar</w:t>
        </w:r>
      </w:hyperlink>
    </w:p>
  </w:endnote>
  <w:endnote w:id="4">
    <w:p w14:paraId="1A39220C" w14:textId="48323D29" w:rsidR="00D729A3" w:rsidRPr="00D729A3" w:rsidRDefault="00D729A3">
      <w:pPr>
        <w:pStyle w:val="EndnoteText"/>
        <w:rPr>
          <w:sz w:val="17"/>
          <w:szCs w:val="17"/>
        </w:rPr>
      </w:pPr>
      <w:r>
        <w:rPr>
          <w:rStyle w:val="EndnoteReference"/>
        </w:rPr>
        <w:endnoteRef/>
      </w:r>
      <w:r>
        <w:t xml:space="preserve"> </w:t>
      </w:r>
      <w:hyperlink r:id="rId2" w:history="1">
        <w:r w:rsidRPr="00D729A3">
          <w:rPr>
            <w:rStyle w:val="Hyperlink"/>
            <w:sz w:val="17"/>
            <w:szCs w:val="17"/>
          </w:rPr>
          <w:t>Inicio - Fundación Mujer &amp; Futuro</w:t>
        </w:r>
      </w:hyperlink>
    </w:p>
  </w:endnote>
  <w:endnote w:id="5">
    <w:p w14:paraId="456A1CC7" w14:textId="77777777" w:rsidR="00436E2A" w:rsidRPr="00B15F96" w:rsidRDefault="00436E2A"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Law 599/2000</w:t>
      </w:r>
    </w:p>
  </w:endnote>
  <w:endnote w:id="6">
    <w:p w14:paraId="6FB2A356" w14:textId="55C35B30"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Colombian Criminal Code Law 599 of 200 Article 139.  </w:t>
      </w:r>
    </w:p>
  </w:endnote>
  <w:endnote w:id="7">
    <w:p w14:paraId="7F8F6F86" w14:textId="021183C4"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Decree 588/17. </w:t>
      </w:r>
      <w:hyperlink r:id="rId3" w:history="1">
        <w:r w:rsidRPr="00B15F96">
          <w:rPr>
            <w:rStyle w:val="Hyperlink"/>
            <w:rFonts w:cs="Times New Roman"/>
            <w:sz w:val="16"/>
            <w:szCs w:val="16"/>
            <w:lang w:val="en-US"/>
          </w:rPr>
          <w:t>https://www.funcionpublica.gov.co/eva/gestornormativo/norma.php?i=80633</w:t>
        </w:r>
      </w:hyperlink>
      <w:r w:rsidRPr="00B15F96">
        <w:rPr>
          <w:rFonts w:cs="Times New Roman"/>
          <w:sz w:val="16"/>
          <w:szCs w:val="16"/>
          <w:lang w:val="en-US"/>
        </w:rPr>
        <w:t xml:space="preserve"> </w:t>
      </w:r>
    </w:p>
  </w:endnote>
  <w:endnote w:id="8">
    <w:p w14:paraId="53A034A7" w14:textId="78EA2757"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362075" w:rsidRPr="00B15F96">
        <w:rPr>
          <w:rFonts w:cs="Times New Roman"/>
          <w:sz w:val="16"/>
          <w:szCs w:val="16"/>
          <w:lang w:val="en-US"/>
        </w:rPr>
        <w:t xml:space="preserve">Chapter “My body is the truth”. Colombian Truth Commission. </w:t>
      </w:r>
      <w:hyperlink r:id="rId4" w:history="1">
        <w:r w:rsidR="00362075" w:rsidRPr="00B15F96">
          <w:rPr>
            <w:rStyle w:val="Hyperlink"/>
            <w:rFonts w:cs="Times New Roman"/>
            <w:sz w:val="16"/>
            <w:szCs w:val="16"/>
            <w:lang w:val="en-US"/>
          </w:rPr>
          <w:t>https://comisiondelaverdad.co/</w:t>
        </w:r>
      </w:hyperlink>
      <w:r w:rsidR="00362075" w:rsidRPr="00B15F96">
        <w:rPr>
          <w:rFonts w:cs="Times New Roman"/>
          <w:sz w:val="16"/>
          <w:szCs w:val="16"/>
          <w:lang w:val="en-US"/>
        </w:rPr>
        <w:t xml:space="preserve"> </w:t>
      </w:r>
    </w:p>
  </w:endnote>
  <w:endnote w:id="9">
    <w:p w14:paraId="5EECF8A2" w14:textId="34FB29B6"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Chapter </w:t>
      </w:r>
      <w:r w:rsidR="00362075" w:rsidRPr="00B15F96">
        <w:rPr>
          <w:rFonts w:cs="Times New Roman"/>
          <w:sz w:val="16"/>
          <w:szCs w:val="16"/>
          <w:lang w:val="en-US"/>
        </w:rPr>
        <w:t>“My</w:t>
      </w:r>
      <w:r w:rsidRPr="00B15F96">
        <w:rPr>
          <w:rFonts w:cs="Times New Roman"/>
          <w:sz w:val="16"/>
          <w:szCs w:val="16"/>
          <w:lang w:val="en-US"/>
        </w:rPr>
        <w:t xml:space="preserve"> body is the truth”. Colombian Truth Commission. </w:t>
      </w:r>
      <w:hyperlink r:id="rId5" w:history="1">
        <w:r w:rsidRPr="00B15F96">
          <w:rPr>
            <w:rStyle w:val="Hyperlink"/>
            <w:rFonts w:cs="Times New Roman"/>
            <w:sz w:val="16"/>
            <w:szCs w:val="16"/>
            <w:lang w:val="en-US"/>
          </w:rPr>
          <w:t>https://comisiondelaverdad.co/</w:t>
        </w:r>
      </w:hyperlink>
      <w:r w:rsidRPr="00B15F96">
        <w:rPr>
          <w:rFonts w:cs="Times New Roman"/>
          <w:sz w:val="16"/>
          <w:szCs w:val="16"/>
          <w:lang w:val="en-US"/>
        </w:rPr>
        <w:t xml:space="preserve"> </w:t>
      </w:r>
    </w:p>
  </w:endnote>
  <w:endnote w:id="10">
    <w:p w14:paraId="367555A4" w14:textId="203D7359" w:rsidR="53ACDAD9" w:rsidRPr="00B15F96" w:rsidRDefault="53ACDAD9" w:rsidP="00B15F96">
      <w:pPr>
        <w:spacing w:after="0" w:line="240" w:lineRule="auto"/>
        <w:rPr>
          <w:rFonts w:cs="Times New Roman"/>
          <w:sz w:val="16"/>
          <w:szCs w:val="16"/>
          <w:lang w:val="en-US"/>
        </w:rPr>
      </w:pPr>
      <w:r w:rsidRPr="00B15F96">
        <w:rPr>
          <w:rFonts w:cs="Times New Roman"/>
          <w:sz w:val="16"/>
          <w:szCs w:val="16"/>
        </w:rPr>
        <w:endnoteRef/>
      </w:r>
      <w:r w:rsidRPr="00B15F96">
        <w:rPr>
          <w:rFonts w:cs="Times New Roman"/>
          <w:sz w:val="16"/>
          <w:szCs w:val="16"/>
          <w:lang w:val="en-US"/>
        </w:rPr>
        <w:t xml:space="preserve"> Chapter “My body is the truth”. </w:t>
      </w:r>
      <w:r w:rsidRPr="00F647F8">
        <w:rPr>
          <w:rFonts w:cs="Times New Roman"/>
          <w:sz w:val="16"/>
          <w:szCs w:val="16"/>
          <w:lang w:val="it-IT"/>
        </w:rPr>
        <w:t xml:space="preserve">Colombian Truth Commission. </w:t>
      </w:r>
      <w:hyperlink r:id="rId6">
        <w:r w:rsidRPr="00F647F8">
          <w:rPr>
            <w:rStyle w:val="Hyperlink"/>
            <w:rFonts w:cs="Times New Roman"/>
            <w:sz w:val="16"/>
            <w:szCs w:val="16"/>
            <w:lang w:val="it-IT"/>
          </w:rPr>
          <w:t>https://comisiondelaverdad.co/,</w:t>
        </w:r>
      </w:hyperlink>
      <w:r w:rsidRPr="00F647F8">
        <w:rPr>
          <w:rFonts w:cs="Times New Roman"/>
          <w:sz w:val="16"/>
          <w:szCs w:val="16"/>
          <w:lang w:val="it-IT"/>
        </w:rPr>
        <w:t xml:space="preserve"> pags. </w:t>
      </w:r>
      <w:r w:rsidRPr="00B15F96">
        <w:rPr>
          <w:rFonts w:cs="Times New Roman"/>
          <w:sz w:val="16"/>
          <w:szCs w:val="16"/>
          <w:lang w:val="en-US"/>
        </w:rPr>
        <w:t>325 to 329</w:t>
      </w:r>
    </w:p>
  </w:endnote>
  <w:endnote w:id="11">
    <w:p w14:paraId="0C68B123" w14:textId="14B553A2" w:rsidR="53ACDAD9" w:rsidRPr="00B15F96" w:rsidRDefault="53ACDAD9" w:rsidP="00B15F96">
      <w:pPr>
        <w:spacing w:after="0" w:line="240" w:lineRule="auto"/>
        <w:rPr>
          <w:rFonts w:cs="Times New Roman"/>
          <w:sz w:val="16"/>
          <w:szCs w:val="16"/>
          <w:lang w:val="en-US"/>
        </w:rPr>
      </w:pPr>
      <w:r w:rsidRPr="00B15F96">
        <w:rPr>
          <w:rFonts w:cs="Times New Roman"/>
          <w:sz w:val="16"/>
          <w:szCs w:val="16"/>
        </w:rPr>
        <w:endnoteRef/>
      </w:r>
      <w:r w:rsidRPr="00B15F96">
        <w:rPr>
          <w:rFonts w:cs="Times New Roman"/>
          <w:sz w:val="16"/>
          <w:szCs w:val="16"/>
          <w:lang w:val="en-US"/>
        </w:rPr>
        <w:t xml:space="preserve"> Chapter “My body is the truth”. Colombian Truth Commission. </w:t>
      </w:r>
      <w:hyperlink r:id="rId7">
        <w:r w:rsidRPr="00B15F96">
          <w:rPr>
            <w:rStyle w:val="Hyperlink"/>
            <w:rFonts w:cs="Times New Roman"/>
            <w:sz w:val="16"/>
            <w:szCs w:val="16"/>
            <w:lang w:val="en-US"/>
          </w:rPr>
          <w:t>https://comisiondelaverdad.co/</w:t>
        </w:r>
      </w:hyperlink>
      <w:r w:rsidRPr="00B15F96">
        <w:rPr>
          <w:rFonts w:cs="Times New Roman"/>
          <w:sz w:val="16"/>
          <w:szCs w:val="16"/>
          <w:lang w:val="en-US"/>
        </w:rPr>
        <w:t xml:space="preserve"> pags. 58, 59</w:t>
      </w:r>
    </w:p>
  </w:endnote>
  <w:endnote w:id="12">
    <w:p w14:paraId="75FB9E49" w14:textId="463C218C" w:rsidR="00436E2A" w:rsidRPr="00B15F96" w:rsidRDefault="00436E2A" w:rsidP="00B15F96">
      <w:pPr>
        <w:pStyle w:val="EndnoteText"/>
        <w:rPr>
          <w:rFonts w:cs="Times New Roman"/>
          <w:sz w:val="16"/>
          <w:szCs w:val="16"/>
          <w:lang w:val="en-US"/>
        </w:rPr>
      </w:pPr>
      <w:r w:rsidRPr="00B15F96">
        <w:rPr>
          <w:rStyle w:val="EndnoteReference"/>
          <w:rFonts w:cs="Times New Roman"/>
          <w:sz w:val="16"/>
          <w:szCs w:val="16"/>
        </w:rPr>
        <w:endnoteRef/>
      </w:r>
      <w:r w:rsidR="009A65B1" w:rsidRPr="00B15F96">
        <w:rPr>
          <w:rFonts w:cs="Times New Roman"/>
          <w:sz w:val="16"/>
          <w:szCs w:val="16"/>
          <w:lang w:val="en-US"/>
        </w:rPr>
        <w:t>Second Monitoring Report. Committee for Monitoring and Oversight of the Implementation of the Recommendations for Non-Repetition of the Armed Conflict. Available at: https://www.comisiondelaverdad.co/sites/default/files/2024-07/SEGUNDO%20INFORME%20DE%20SEGUIMIENTO%20Y%20MONITOREO%20-%20CSM.pdf</w:t>
      </w:r>
    </w:p>
  </w:endnote>
  <w:endnote w:id="13">
    <w:p w14:paraId="083FBD3A" w14:textId="59A2B07A" w:rsidR="00057489" w:rsidRPr="00B15F96" w:rsidRDefault="00057489"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 xml:space="preserve">Special Jurisdiction for Peace (JEP). JEP opens Macro-case 11, investigating gender-based violence, including sexual and reproductive violence, and crimes committed out of prejudice. September 27, 2023. Press Room. Available at: </w:t>
      </w:r>
      <w:hyperlink r:id="rId8" w:history="1">
        <w:r w:rsidR="009A65B1" w:rsidRPr="00B15F96">
          <w:rPr>
            <w:rStyle w:val="Hyperlink"/>
            <w:rFonts w:cs="Times New Roman"/>
            <w:sz w:val="16"/>
            <w:szCs w:val="16"/>
            <w:lang w:val="en-US"/>
          </w:rPr>
          <w:t>https://www.jep.gov.co/Sala-de-Prensa/Paginas/-la-jep-abre-macrocaso-11-que-investiga-la-violencia-basada-en-genero-incluyendo-violencia-sexual-y-reproductiva-y-crimenes.aspx</w:t>
        </w:r>
      </w:hyperlink>
      <w:r w:rsidR="009A65B1" w:rsidRPr="00B15F96">
        <w:rPr>
          <w:rFonts w:cs="Times New Roman"/>
          <w:sz w:val="16"/>
          <w:szCs w:val="16"/>
          <w:lang w:val="en-US"/>
        </w:rPr>
        <w:t xml:space="preserve"> </w:t>
      </w:r>
    </w:p>
  </w:endnote>
  <w:endnote w:id="14">
    <w:p w14:paraId="781D6B27" w14:textId="77777777" w:rsidR="009A65B1" w:rsidRPr="00B15F96" w:rsidRDefault="00436E2A"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Special Jurisdiction for Peace (JEP). Main statistics. Historical accumulation. Last updated: September 6, 2024.</w:t>
      </w:r>
    </w:p>
    <w:p w14:paraId="1652225C" w14:textId="319ED920" w:rsidR="00436E2A" w:rsidRPr="00B15F96" w:rsidRDefault="009A65B1" w:rsidP="00B15F96">
      <w:pPr>
        <w:pStyle w:val="EndnoteText"/>
        <w:rPr>
          <w:rFonts w:cs="Times New Roman"/>
          <w:sz w:val="16"/>
          <w:szCs w:val="16"/>
          <w:lang w:val="en-US"/>
        </w:rPr>
      </w:pPr>
      <w:r w:rsidRPr="00B15F96">
        <w:rPr>
          <w:rFonts w:cs="Times New Roman"/>
          <w:sz w:val="16"/>
          <w:szCs w:val="16"/>
          <w:lang w:val="en-US"/>
        </w:rPr>
        <w:t xml:space="preserve">Available at: </w:t>
      </w:r>
      <w:hyperlink r:id="rId9" w:history="1">
        <w:r w:rsidRPr="00B15F96">
          <w:rPr>
            <w:rStyle w:val="Hyperlink"/>
            <w:rFonts w:cs="Times New Roman"/>
            <w:sz w:val="16"/>
            <w:szCs w:val="16"/>
            <w:lang w:val="en-US"/>
          </w:rPr>
          <w:t>https://www.jep.gov.co/jepcifras/JEP-en-cifras-06-septiembre-2024.pdf</w:t>
        </w:r>
      </w:hyperlink>
      <w:r w:rsidRPr="00B15F96">
        <w:rPr>
          <w:rFonts w:cs="Times New Roman"/>
          <w:sz w:val="16"/>
          <w:szCs w:val="16"/>
          <w:lang w:val="en-US"/>
        </w:rPr>
        <w:t xml:space="preserve"> </w:t>
      </w:r>
    </w:p>
  </w:endnote>
  <w:endnote w:id="15">
    <w:p w14:paraId="69BEA7DF" w14:textId="46B901C7" w:rsidR="00436E2A" w:rsidRPr="00B15F96" w:rsidRDefault="00436E2A"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Special Jurisdiction for Peace (JEP). Chamber for the Acknowledgment of Truth, Responsibility, and Determination of Facts and Conduct. Order 266 of October 11, 2021. Macro-case 05. File No. 9002794-97.2018.0.00.0001; Order No. 05 of October 9, 2024. Macro-case 07. File No. 9006310-91.2019.0.00.0001</w:t>
      </w:r>
    </w:p>
  </w:endnote>
  <w:endnote w:id="16">
    <w:p w14:paraId="40534CDB" w14:textId="3193106C" w:rsidR="53ACDAD9" w:rsidRPr="00B15F96" w:rsidRDefault="53ACDAD9" w:rsidP="00B15F96">
      <w:pPr>
        <w:spacing w:after="0" w:line="240" w:lineRule="auto"/>
        <w:rPr>
          <w:rFonts w:cs="Times New Roman"/>
          <w:sz w:val="16"/>
          <w:szCs w:val="16"/>
          <w:lang w:val="en-US"/>
        </w:rPr>
      </w:pPr>
      <w:r w:rsidRPr="00B15F96">
        <w:rPr>
          <w:rFonts w:cs="Times New Roman"/>
          <w:sz w:val="16"/>
          <w:szCs w:val="16"/>
        </w:rPr>
        <w:endnoteRef/>
      </w:r>
      <w:r w:rsidRPr="00B15F96">
        <w:rPr>
          <w:rFonts w:cs="Times New Roman"/>
          <w:sz w:val="16"/>
          <w:szCs w:val="16"/>
          <w:lang w:val="en-US"/>
        </w:rPr>
        <w:t xml:space="preserve"> Special Jurisdiction for Peace (JEP). Chamber for the Acknowledgment of Truth, Responsibility, and Determination of Facts and Conducts. Ruling 266 of October 11, 2021. Macrocase 05. File No. 9002794-97.2018.0.00.0001.</w:t>
      </w:r>
    </w:p>
    <w:p w14:paraId="7564301A" w14:textId="3E87D807" w:rsidR="53ACDAD9" w:rsidRPr="00B15F96" w:rsidRDefault="53ACDAD9" w:rsidP="00B15F96">
      <w:pPr>
        <w:spacing w:after="0" w:line="240" w:lineRule="auto"/>
        <w:rPr>
          <w:rFonts w:cs="Times New Roman"/>
          <w:sz w:val="16"/>
          <w:szCs w:val="16"/>
          <w:lang w:val="en-US"/>
        </w:rPr>
      </w:pPr>
    </w:p>
  </w:endnote>
  <w:endnote w:id="17">
    <w:p w14:paraId="283A6950" w14:textId="7C16DCB5" w:rsidR="53ACDAD9" w:rsidRPr="00B15F96" w:rsidRDefault="53ACDAD9" w:rsidP="00B15F96">
      <w:pPr>
        <w:spacing w:after="0" w:line="240" w:lineRule="auto"/>
        <w:rPr>
          <w:rFonts w:cs="Times New Roman"/>
          <w:sz w:val="16"/>
          <w:szCs w:val="16"/>
          <w:lang w:val="en-US"/>
        </w:rPr>
      </w:pPr>
      <w:r w:rsidRPr="00B15F96">
        <w:rPr>
          <w:rFonts w:cs="Times New Roman"/>
          <w:sz w:val="16"/>
          <w:szCs w:val="16"/>
          <w:lang w:val="en-US"/>
        </w:rPr>
        <w:endnoteRef/>
      </w:r>
      <w:r w:rsidRPr="00B15F96">
        <w:rPr>
          <w:rFonts w:cs="Times New Roman"/>
          <w:sz w:val="16"/>
          <w:szCs w:val="16"/>
          <w:lang w:val="en-US"/>
        </w:rPr>
        <w:t xml:space="preserve"> Special Jurisdiction for Peace (JEP). Chamber for the Acknowledgment of Truth, Responsibility, and Determination of Facts and Conducts. Ruling No. 05 of October 9, 2024. Macrocase 07. File No. 9006310-91.2019.0.00.0001.</w:t>
      </w:r>
    </w:p>
  </w:endnote>
  <w:endnote w:id="18">
    <w:p w14:paraId="0BF31DCC" w14:textId="68E170BF" w:rsidR="00A257AF" w:rsidRPr="00B15F96" w:rsidRDefault="00A257AF"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Special Jurisdiction for Peace. Victims are accredited to participate in JEP’s #Case11. @jep_colombia. December 18, 2024. Available at </w:t>
      </w:r>
      <w:hyperlink r:id="rId10" w:anchor=":~:text=%C2%BFQui%C3%A9nes%20se%20pueden%20acreditar%20en,identidad%20o%20expresi%C3%B3n%20de%20g%C3%A9nero" w:history="1">
        <w:r w:rsidRPr="00B15F96">
          <w:rPr>
            <w:rStyle w:val="Hyperlink"/>
            <w:rFonts w:cs="Times New Roman"/>
            <w:sz w:val="16"/>
            <w:szCs w:val="16"/>
            <w:lang w:val="en-US"/>
          </w:rPr>
          <w:t>https://www.jep.gov.co/macrocasos/caso11.html#:~:text=%C2%BFQui%C3%A9nes%20se%20pueden%20acreditar%20en,identidad%20o%20expresi%C3%B3n%20de%20g%C3%A9nero</w:t>
        </w:r>
      </w:hyperlink>
      <w:r w:rsidRPr="00B15F96">
        <w:rPr>
          <w:rFonts w:cs="Times New Roman"/>
          <w:sz w:val="16"/>
          <w:szCs w:val="16"/>
          <w:lang w:val="en-US"/>
        </w:rPr>
        <w:t xml:space="preserve"> </w:t>
      </w:r>
    </w:p>
  </w:endnote>
  <w:endnote w:id="19">
    <w:p w14:paraId="419CC152" w14:textId="14DDD476" w:rsidR="00A257AF" w:rsidRPr="00B15F96" w:rsidRDefault="00A257AF" w:rsidP="00B15F96">
      <w:pPr>
        <w:pStyle w:val="EndnoteText"/>
        <w:rPr>
          <w:rFonts w:cs="Times New Roman"/>
          <w:sz w:val="16"/>
          <w:szCs w:val="16"/>
          <w:lang w:val="en-US"/>
        </w:rPr>
      </w:pPr>
      <w:r w:rsidRPr="00B15F96">
        <w:rPr>
          <w:rStyle w:val="EndnoteReference"/>
          <w:rFonts w:cs="Times New Roman"/>
          <w:sz w:val="16"/>
          <w:szCs w:val="16"/>
        </w:rPr>
        <w:endnoteRef/>
      </w:r>
      <w:r w:rsidR="15DA505E" w:rsidRPr="00B15F96">
        <w:rPr>
          <w:rFonts w:cs="Times New Roman"/>
          <w:sz w:val="16"/>
          <w:szCs w:val="16"/>
          <w:lang w:val="en-US"/>
        </w:rPr>
        <w:t xml:space="preserve"> </w:t>
      </w:r>
      <w:r w:rsidR="15DA505E" w:rsidRPr="15DA505E">
        <w:rPr>
          <w:rFonts w:ascii="Segoe UI" w:eastAsia="Segoe UI" w:hAnsi="Segoe UI" w:cs="Segoe UI"/>
          <w:color w:val="333333"/>
          <w:sz w:val="18"/>
          <w:szCs w:val="18"/>
          <w:lang w:val="en-US"/>
        </w:rPr>
        <w:t xml:space="preserve">The Investigation and Prosecution Unit IPU,  is the investigative body within the JEP, responsible for investigating and prosecuting those accountable for these crimes before the Peace Tribunal. See </w:t>
      </w:r>
      <w:r w:rsidR="15DA505E" w:rsidRPr="00B15F96">
        <w:rPr>
          <w:rFonts w:cs="Times New Roman"/>
          <w:sz w:val="16"/>
          <w:szCs w:val="16"/>
          <w:lang w:val="en-US"/>
        </w:rPr>
        <w:t xml:space="preserve">Special Jurisdiction for Peace. AOG Agreement No. 002 of 2025, “By which guidelines are adopted for the implementation of a procedural efficiency strategy between the SRVR, the SDSJ, and the UIA.” Available at: </w:t>
      </w:r>
      <w:hyperlink r:id="rId11" w:history="1">
        <w:r w:rsidR="15DA505E" w:rsidRPr="00B15F96">
          <w:rPr>
            <w:rStyle w:val="Hyperlink"/>
            <w:rFonts w:cs="Times New Roman"/>
            <w:sz w:val="16"/>
            <w:szCs w:val="16"/>
            <w:lang w:val="en-US"/>
          </w:rPr>
          <w:t>https://www.jep.gov.co/organosgobierno/Acuerdo%20AOG%2002%20de%202025.pdf</w:t>
        </w:r>
      </w:hyperlink>
      <w:r w:rsidR="15DA505E" w:rsidRPr="15DA505E">
        <w:rPr>
          <w:rFonts w:cs="Times New Roman"/>
          <w:sz w:val="16"/>
          <w:szCs w:val="16"/>
          <w:lang w:val="en-US"/>
        </w:rPr>
        <w:t xml:space="preserve"> </w:t>
      </w:r>
    </w:p>
  </w:endnote>
  <w:endnote w:id="20">
    <w:p w14:paraId="3D7B2EAD" w14:textId="77777777"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CNE. Resolution No. 0001 of February 11, 1994 (see:  </w:t>
      </w:r>
      <w:hyperlink r:id="rId12" w:history="1">
        <w:r w:rsidRPr="00B15F96">
          <w:rPr>
            <w:rStyle w:val="Hyperlink"/>
            <w:rFonts w:cs="Times New Roman"/>
            <w:sz w:val="16"/>
            <w:szCs w:val="16"/>
            <w:lang w:val="en-US"/>
          </w:rPr>
          <w:t>https://www.suin-juriscol.gov.co/viewDocument.asp?id=4027413</w:t>
        </w:r>
      </w:hyperlink>
      <w:r w:rsidRPr="00B15F96">
        <w:rPr>
          <w:rFonts w:cs="Times New Roman"/>
          <w:sz w:val="16"/>
          <w:szCs w:val="16"/>
          <w:lang w:val="en-US"/>
        </w:rPr>
        <w:t>).  </w:t>
      </w:r>
    </w:p>
  </w:endnote>
  <w:endnote w:id="21">
    <w:p w14:paraId="0A5C7D3C" w14:textId="33280327"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The damages to women's reproductive health stand out among the multiple harmful effects generated by PECIG.  According to scientific research, glyphosate is linked to innumerable harmful effects on reproductive health, including impacts on fertility, miscarriages, perinatal effects, and transgenerational effects (Universidad del Valle y Centro de Derechos Reproductivos. </w:t>
      </w:r>
      <w:r w:rsidRPr="00B15F96">
        <w:rPr>
          <w:rFonts w:cs="Times New Roman"/>
          <w:sz w:val="16"/>
          <w:szCs w:val="16"/>
        </w:rPr>
        <w:t>“</w:t>
      </w:r>
      <w:r w:rsidRPr="00B15F96">
        <w:rPr>
          <w:rFonts w:cs="Times New Roman"/>
          <w:i/>
          <w:iCs/>
          <w:sz w:val="16"/>
          <w:szCs w:val="16"/>
        </w:rPr>
        <w:t xml:space="preserve">Efectos del glifosato en la salud reproductiva humana”, </w:t>
      </w:r>
      <w:r w:rsidRPr="00B15F96">
        <w:rPr>
          <w:rFonts w:cs="Times New Roman"/>
          <w:sz w:val="16"/>
          <w:szCs w:val="16"/>
        </w:rPr>
        <w:t xml:space="preserve">2020. Page 40 et seq. </w:t>
      </w:r>
      <w:r w:rsidRPr="00B15F96">
        <w:rPr>
          <w:rFonts w:cs="Times New Roman"/>
          <w:sz w:val="16"/>
          <w:szCs w:val="16"/>
          <w:lang w:val="en-US"/>
        </w:rPr>
        <w:t xml:space="preserve">(See: </w:t>
      </w:r>
      <w:hyperlink r:id="rId13" w:history="1">
        <w:r w:rsidRPr="00B15F96">
          <w:rPr>
            <w:rStyle w:val="Hyperlink"/>
            <w:rFonts w:cs="Times New Roman"/>
            <w:sz w:val="16"/>
            <w:szCs w:val="16"/>
            <w:lang w:val="en-US"/>
          </w:rPr>
          <w:t>https://bit.ly/3L71fsu</w:t>
        </w:r>
      </w:hyperlink>
      <w:r w:rsidRPr="00B15F96">
        <w:rPr>
          <w:rFonts w:cs="Times New Roman"/>
          <w:sz w:val="16"/>
          <w:szCs w:val="16"/>
          <w:lang w:val="en-US"/>
        </w:rPr>
        <w:t xml:space="preserve">).  The herbicide also has a negative impact on cancer rates and causes neurodevelopmental disorders, pregnancy outcomes, and birth defects, among others (Federación Internacional de Ginecología y Obstetricia, Removal of glyphosate from global usage (2019). (See: </w:t>
      </w:r>
      <w:hyperlink r:id="rId14" w:history="1">
        <w:r w:rsidRPr="00B15F96">
          <w:rPr>
            <w:rStyle w:val="Hyperlink"/>
            <w:rFonts w:cs="Times New Roman"/>
            <w:sz w:val="16"/>
            <w:szCs w:val="16"/>
            <w:lang w:val="en-US"/>
          </w:rPr>
          <w:t>https://bit.ly/3rlyWhy</w:t>
        </w:r>
      </w:hyperlink>
      <w:r w:rsidRPr="00B15F96">
        <w:rPr>
          <w:rFonts w:cs="Times New Roman"/>
          <w:sz w:val="16"/>
          <w:szCs w:val="16"/>
          <w:lang w:val="en-US"/>
        </w:rPr>
        <w:t xml:space="preserve">).  </w:t>
      </w:r>
    </w:p>
  </w:endnote>
  <w:endnote w:id="22">
    <w:p w14:paraId="276C6794" w14:textId="77777777" w:rsidR="009A65B1"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ONIC; PCN; FENSUAGRO – CUT. “Evaluation of aerial spraying in Colombia. Destruction of rural areas by Plan Colombia”. August 2022, p. 18 et seq.</w:t>
      </w:r>
    </w:p>
    <w:p w14:paraId="48FC6291" w14:textId="1C1EAEC3" w:rsidR="00EE1C5E" w:rsidRPr="00B15F96" w:rsidRDefault="009A65B1" w:rsidP="00B15F96">
      <w:pPr>
        <w:pStyle w:val="EndnoteText"/>
        <w:rPr>
          <w:rFonts w:cs="Times New Roman"/>
          <w:sz w:val="16"/>
          <w:szCs w:val="16"/>
          <w:lang w:val="en-US"/>
        </w:rPr>
      </w:pPr>
      <w:r w:rsidRPr="00B15F96">
        <w:rPr>
          <w:rFonts w:cs="Times New Roman"/>
          <w:sz w:val="16"/>
          <w:szCs w:val="16"/>
          <w:lang w:val="en-US"/>
        </w:rPr>
        <w:t xml:space="preserve">Available at: </w:t>
      </w:r>
      <w:hyperlink r:id="rId15" w:history="1">
        <w:r w:rsidRPr="00B15F96">
          <w:rPr>
            <w:rStyle w:val="Hyperlink"/>
            <w:rFonts w:cs="Times New Roman"/>
            <w:sz w:val="16"/>
            <w:szCs w:val="16"/>
            <w:lang w:val="en-US"/>
          </w:rPr>
          <w:t>https://indepaz.org.co/wp-content/uploads/2015/05/ONIC-Otros_Evaluacion_de_las_Fumigaciones_en_Colombia_2002.pdf</w:t>
        </w:r>
      </w:hyperlink>
      <w:r w:rsidRPr="00B15F96">
        <w:rPr>
          <w:rFonts w:cs="Times New Roman"/>
          <w:sz w:val="16"/>
          <w:szCs w:val="16"/>
          <w:lang w:val="en-US"/>
        </w:rPr>
        <w:t xml:space="preserve"> </w:t>
      </w:r>
    </w:p>
  </w:endnote>
  <w:endnote w:id="23">
    <w:p w14:paraId="63B6D16E" w14:textId="77777777" w:rsidR="008556D3" w:rsidRPr="00B15F96" w:rsidRDefault="008556D3"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p>
  </w:endnote>
  <w:endnote w:id="24">
    <w:p w14:paraId="29DB36BD" w14:textId="77777777" w:rsidR="009A65B1"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El Tiempo. “109 rulings against the State due to glyphosate spraying”. December 19, 2020.</w:t>
      </w:r>
    </w:p>
    <w:p w14:paraId="59CFB1FF" w14:textId="77777777" w:rsidR="009A65B1" w:rsidRPr="00B15F96" w:rsidRDefault="009A65B1" w:rsidP="00B15F96">
      <w:pPr>
        <w:pStyle w:val="EndnoteText"/>
        <w:rPr>
          <w:rFonts w:cs="Times New Roman"/>
          <w:sz w:val="16"/>
          <w:szCs w:val="16"/>
          <w:lang w:val="en-US"/>
        </w:rPr>
      </w:pPr>
      <w:r w:rsidRPr="00B15F96">
        <w:rPr>
          <w:rFonts w:cs="Times New Roman"/>
          <w:sz w:val="16"/>
          <w:szCs w:val="16"/>
          <w:lang w:val="en-US"/>
        </w:rPr>
        <w:t>Available at: https://www.eltiempo.com/justicia/investigacion/condenas-contra-colombia-por-fumigaciones-con-glifosato-555811</w:t>
      </w:r>
    </w:p>
    <w:p w14:paraId="53884805" w14:textId="0FEC6C77" w:rsidR="00EE1C5E" w:rsidRPr="00B15F96" w:rsidRDefault="009A65B1" w:rsidP="00B15F96">
      <w:pPr>
        <w:pStyle w:val="EndnoteText"/>
        <w:rPr>
          <w:rFonts w:cs="Times New Roman"/>
          <w:sz w:val="16"/>
          <w:szCs w:val="16"/>
          <w:lang w:val="en-US"/>
        </w:rPr>
      </w:pPr>
      <w:r w:rsidRPr="00B15F96">
        <w:rPr>
          <w:rFonts w:cs="Times New Roman"/>
          <w:sz w:val="16"/>
          <w:szCs w:val="16"/>
          <w:lang w:val="en-US"/>
        </w:rPr>
        <w:t>Also hosted on the official website of ANDJE: https://www.defensajuridica.gov.co/Paginas/DefaultOLD.aspx</w:t>
      </w:r>
    </w:p>
  </w:endnote>
  <w:endnote w:id="25">
    <w:p w14:paraId="531A2DBD" w14:textId="62C53C82" w:rsidR="008556D3" w:rsidRPr="00B15F96" w:rsidRDefault="008556D3"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 xml:space="preserve">Among the </w:t>
      </w:r>
      <w:r w:rsidR="00362075" w:rsidRPr="00B15F96">
        <w:rPr>
          <w:rFonts w:cs="Times New Roman"/>
          <w:sz w:val="16"/>
          <w:szCs w:val="16"/>
          <w:lang w:val="en-US"/>
        </w:rPr>
        <w:t>Top 10</w:t>
      </w:r>
      <w:r w:rsidR="009A65B1" w:rsidRPr="00B15F96">
        <w:rPr>
          <w:rFonts w:cs="Times New Roman"/>
          <w:sz w:val="16"/>
          <w:szCs w:val="16"/>
          <w:lang w:val="en-US"/>
        </w:rPr>
        <w:t xml:space="preserve"> largest active lawsuits against Colombia.</w:t>
      </w:r>
    </w:p>
  </w:endnote>
  <w:endnote w:id="26">
    <w:p w14:paraId="765E30FF" w14:textId="7C2558D5" w:rsidR="008556D3" w:rsidRPr="00B15F96" w:rsidRDefault="008556D3"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National Agency for Legal Defense of the State. Litigation Report – Second Quarter 2025, p. 16. Available at: https://www.defensajuridica.gov.co/gestion/informes/informes_litigiosidad_2025/Informe_de_litigiosidad_segundo_trimestre_2025_230725.pdf</w:t>
      </w:r>
    </w:p>
  </w:endnote>
  <w:endnote w:id="27">
    <w:p w14:paraId="47A9ADFF" w14:textId="77777777" w:rsidR="009A65B1"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Report No. 76/18 – Petition 1453-08 – Admissibility Report. Yaneth Valderrama and Family v. Colombia</w:t>
      </w:r>
    </w:p>
    <w:p w14:paraId="501F75F4" w14:textId="65A3BE89" w:rsidR="00EE1C5E" w:rsidRPr="00B15F96" w:rsidRDefault="009A65B1" w:rsidP="00B15F96">
      <w:pPr>
        <w:pStyle w:val="EndnoteText"/>
        <w:rPr>
          <w:rFonts w:cs="Times New Roman"/>
          <w:sz w:val="16"/>
          <w:szCs w:val="16"/>
          <w:lang w:val="en-US"/>
        </w:rPr>
      </w:pPr>
      <w:r w:rsidRPr="00B15F96">
        <w:rPr>
          <w:rFonts w:cs="Times New Roman"/>
          <w:sz w:val="16"/>
          <w:szCs w:val="16"/>
          <w:lang w:val="en-US"/>
        </w:rPr>
        <w:t xml:space="preserve">Available at: </w:t>
      </w:r>
      <w:hyperlink r:id="rId16" w:history="1">
        <w:r w:rsidRPr="00B15F96">
          <w:rPr>
            <w:rStyle w:val="Hyperlink"/>
            <w:rFonts w:cs="Times New Roman"/>
            <w:sz w:val="16"/>
            <w:szCs w:val="16"/>
            <w:lang w:val="en-US"/>
          </w:rPr>
          <w:t>https://www.oas.org/es/cidh/decisiones/2018/COAD1453-08ES.pdf</w:t>
        </w:r>
      </w:hyperlink>
      <w:r w:rsidRPr="00B15F96">
        <w:rPr>
          <w:rFonts w:cs="Times New Roman"/>
          <w:sz w:val="16"/>
          <w:szCs w:val="16"/>
          <w:lang w:val="en-US"/>
        </w:rPr>
        <w:t xml:space="preserve"> </w:t>
      </w:r>
    </w:p>
  </w:endnote>
  <w:endnote w:id="28">
    <w:p w14:paraId="04852C79" w14:textId="77777777" w:rsidR="009A65B1" w:rsidRPr="00F647F8"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 xml:space="preserve">Report No. 125/17 – Petition 1477-08 – Admissibility Report. </w:t>
      </w:r>
      <w:r w:rsidR="009A65B1" w:rsidRPr="00F647F8">
        <w:rPr>
          <w:rFonts w:cs="Times New Roman"/>
          <w:sz w:val="16"/>
          <w:szCs w:val="16"/>
          <w:lang w:val="en-US"/>
        </w:rPr>
        <w:t>Henry Torres et al. v. Colombia</w:t>
      </w:r>
    </w:p>
    <w:p w14:paraId="4FD429EA" w14:textId="0407D2A3" w:rsidR="00EE1C5E" w:rsidRPr="00B15F96" w:rsidRDefault="009A65B1" w:rsidP="00B15F96">
      <w:pPr>
        <w:pStyle w:val="EndnoteText"/>
        <w:rPr>
          <w:rFonts w:cs="Times New Roman"/>
          <w:sz w:val="16"/>
          <w:szCs w:val="16"/>
          <w:lang w:val="en-US"/>
        </w:rPr>
      </w:pPr>
      <w:r w:rsidRPr="00B15F96">
        <w:rPr>
          <w:rFonts w:cs="Times New Roman"/>
          <w:sz w:val="16"/>
          <w:szCs w:val="16"/>
          <w:lang w:val="en-US"/>
        </w:rPr>
        <w:t>Available at: https://www.oas.org/es/cidh/decisiones/2017/COAD1477-08ES.pdf</w:t>
      </w:r>
    </w:p>
  </w:endnote>
  <w:endnote w:id="29">
    <w:p w14:paraId="6DB5F593" w14:textId="27266CE6"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Amended by Resolution No. 0008 of 2007)</w:t>
      </w:r>
    </w:p>
  </w:endnote>
  <w:endnote w:id="30">
    <w:p w14:paraId="58BB7FAF" w14:textId="34E8EC1F"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Lyons, K. M. Chemical warfare in Colombia, ecologies of evidence and senti-acting practices of justice. Universitas Humanistica. 2017. Page 271 (See: </w:t>
      </w:r>
      <w:hyperlink r:id="rId17" w:history="1">
        <w:r w:rsidRPr="00B15F96">
          <w:rPr>
            <w:rStyle w:val="Hyperlink"/>
            <w:rFonts w:cs="Times New Roman"/>
            <w:sz w:val="16"/>
            <w:szCs w:val="16"/>
            <w:lang w:val="en-US"/>
          </w:rPr>
          <w:t>https://bit.ly/3ft5Oz5</w:t>
        </w:r>
      </w:hyperlink>
      <w:r w:rsidRPr="00B15F96">
        <w:rPr>
          <w:rFonts w:cs="Times New Roman"/>
          <w:sz w:val="16"/>
          <w:szCs w:val="16"/>
          <w:lang w:val="en-US"/>
        </w:rPr>
        <w:t>).</w:t>
      </w:r>
    </w:p>
  </w:endnote>
  <w:endnote w:id="31">
    <w:p w14:paraId="29E5E77E" w14:textId="461CA018"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CNE. Resolution 0008 of 2007 (see: </w:t>
      </w:r>
      <w:hyperlink r:id="rId18" w:history="1">
        <w:r w:rsidRPr="00B15F96">
          <w:rPr>
            <w:rStyle w:val="Hyperlink"/>
            <w:rFonts w:cs="Times New Roman"/>
            <w:sz w:val="16"/>
            <w:szCs w:val="16"/>
            <w:lang w:val="en-US"/>
          </w:rPr>
          <w:t>https://www.suin-juriscol.gov.co/viewDocument.asp?ruta=Resolucion/30031838</w:t>
        </w:r>
      </w:hyperlink>
      <w:r w:rsidRPr="00B15F96">
        <w:rPr>
          <w:rFonts w:cs="Times New Roman"/>
          <w:sz w:val="16"/>
          <w:szCs w:val="16"/>
          <w:lang w:val="en-US"/>
        </w:rPr>
        <w:t xml:space="preserve">). </w:t>
      </w:r>
    </w:p>
  </w:endnote>
  <w:endnote w:id="32">
    <w:p w14:paraId="03061E94" w14:textId="600BF66C"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CNE. Resolution 0008 of 2007. Article 1. Scope. (see: </w:t>
      </w:r>
      <w:hyperlink r:id="rId19" w:history="1">
        <w:r w:rsidRPr="00B15F96">
          <w:rPr>
            <w:rStyle w:val="Hyperlink"/>
            <w:rFonts w:cs="Times New Roman"/>
            <w:sz w:val="16"/>
            <w:szCs w:val="16"/>
            <w:lang w:val="en-US"/>
          </w:rPr>
          <w:t>https://www.suin-juriscol.gov.co/viewDocument.asp?ruta=Resolucion/30031838</w:t>
        </w:r>
      </w:hyperlink>
      <w:r w:rsidRPr="00B15F96">
        <w:rPr>
          <w:rFonts w:cs="Times New Roman"/>
          <w:sz w:val="16"/>
          <w:szCs w:val="16"/>
          <w:lang w:val="en-US"/>
        </w:rPr>
        <w:t xml:space="preserve">). </w:t>
      </w:r>
    </w:p>
  </w:endnote>
  <w:endnote w:id="33">
    <w:p w14:paraId="33681FAC" w14:textId="77777777"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CNE. Resolution 0008 of 2007. Article 2. Competent authority. (see: </w:t>
      </w:r>
      <w:hyperlink r:id="rId20" w:history="1">
        <w:r w:rsidRPr="00B15F96">
          <w:rPr>
            <w:rStyle w:val="Hyperlink"/>
            <w:rFonts w:cs="Times New Roman"/>
            <w:sz w:val="16"/>
            <w:szCs w:val="16"/>
            <w:lang w:val="en-US"/>
          </w:rPr>
          <w:t>https://www.suin-juriscol.gov.co/viewDocument.asp?ruta=Resolucion/30031838</w:t>
        </w:r>
      </w:hyperlink>
      <w:r w:rsidRPr="00B15F96">
        <w:rPr>
          <w:rFonts w:cs="Times New Roman"/>
          <w:sz w:val="16"/>
          <w:szCs w:val="16"/>
          <w:lang w:val="en-US"/>
        </w:rPr>
        <w:t xml:space="preserve">). </w:t>
      </w:r>
    </w:p>
  </w:endnote>
  <w:endnote w:id="34">
    <w:p w14:paraId="37951C58" w14:textId="6EE46294" w:rsidR="00EE1C5E" w:rsidRPr="00F07938"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s-CO"/>
        </w:rPr>
        <w:t xml:space="preserve"> Council State. Sala Plena de lo Contencioso Administrativo. Decisión. Núm. 25000-23-25-000-2001-0022-02(AP)IJ de 19 de octubre de 2004. See also: Council State. </w:t>
      </w:r>
      <w:r w:rsidRPr="00B15F96">
        <w:rPr>
          <w:rFonts w:cs="Times New Roman"/>
          <w:sz w:val="16"/>
          <w:szCs w:val="16"/>
        </w:rPr>
        <w:t xml:space="preserve">Sala de lo Contencioso administrativo – Sección Cuarta. </w:t>
      </w:r>
      <w:r w:rsidRPr="00F07938">
        <w:rPr>
          <w:rFonts w:cs="Times New Roman"/>
          <w:sz w:val="16"/>
          <w:szCs w:val="16"/>
          <w:lang w:val="en-US"/>
        </w:rPr>
        <w:t>Decisión. Núm. 18001-23-31-000-2004-00612-01(AC) de 31 de marzo de 2005. </w:t>
      </w:r>
    </w:p>
  </w:endnote>
  <w:endnote w:id="35">
    <w:p w14:paraId="7AD43FDD" w14:textId="09F66713" w:rsidR="00EE1C5E" w:rsidRPr="00F07938"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F07938">
        <w:rPr>
          <w:rFonts w:cs="Times New Roman"/>
          <w:sz w:val="16"/>
          <w:szCs w:val="16"/>
          <w:lang w:val="en-US"/>
        </w:rPr>
        <w:t xml:space="preserve"> CNE. Resolution 006 of May 29, 2015 (see; </w:t>
      </w:r>
      <w:hyperlink r:id="rId21" w:history="1">
        <w:r w:rsidRPr="00F07938">
          <w:rPr>
            <w:rStyle w:val="Hyperlink"/>
            <w:rFonts w:cs="Times New Roman"/>
            <w:sz w:val="16"/>
            <w:szCs w:val="16"/>
            <w:lang w:val="en-US"/>
          </w:rPr>
          <w:t>https://bit.ly/3GzUQUp</w:t>
        </w:r>
      </w:hyperlink>
      <w:r w:rsidRPr="00F07938">
        <w:rPr>
          <w:rFonts w:cs="Times New Roman"/>
          <w:sz w:val="16"/>
          <w:szCs w:val="16"/>
          <w:lang w:val="en-US"/>
        </w:rPr>
        <w:t>).</w:t>
      </w:r>
    </w:p>
  </w:endnote>
  <w:endnote w:id="36">
    <w:p w14:paraId="09779879" w14:textId="28082DB3"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Constitutional Court. Decision T-236 of April 21, 2017. M.P. Aquiles Arrieta. (See: </w:t>
      </w:r>
      <w:hyperlink r:id="rId22" w:history="1">
        <w:r w:rsidRPr="00B15F96">
          <w:rPr>
            <w:rStyle w:val="Hyperlink"/>
            <w:rFonts w:cs="Times New Roman"/>
            <w:sz w:val="16"/>
            <w:szCs w:val="16"/>
            <w:lang w:val="en-US"/>
          </w:rPr>
          <w:t>https://bit.ly/3KeWpJH</w:t>
        </w:r>
      </w:hyperlink>
      <w:r w:rsidRPr="00B15F96">
        <w:rPr>
          <w:rFonts w:cs="Times New Roman"/>
          <w:sz w:val="16"/>
          <w:szCs w:val="16"/>
          <w:lang w:val="en-US"/>
        </w:rPr>
        <w:t xml:space="preserve">). </w:t>
      </w:r>
    </w:p>
  </w:endnote>
  <w:endnote w:id="37">
    <w:p w14:paraId="663010CC" w14:textId="4184D97F"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Decr</w:t>
      </w:r>
      <w:r w:rsidR="00362075" w:rsidRPr="00B15F96">
        <w:rPr>
          <w:rFonts w:cs="Times New Roman"/>
          <w:sz w:val="16"/>
          <w:szCs w:val="16"/>
          <w:lang w:val="en-US"/>
        </w:rPr>
        <w:t>ee</w:t>
      </w:r>
      <w:r w:rsidRPr="00B15F96">
        <w:rPr>
          <w:rFonts w:cs="Times New Roman"/>
          <w:sz w:val="16"/>
          <w:szCs w:val="16"/>
          <w:lang w:val="en-US"/>
        </w:rPr>
        <w:t xml:space="preserve"> 380 of 2021. See: </w:t>
      </w:r>
      <w:hyperlink r:id="rId23" w:history="1">
        <w:r w:rsidRPr="00B15F96">
          <w:rPr>
            <w:rStyle w:val="Hyperlink"/>
            <w:rFonts w:cs="Times New Roman"/>
            <w:sz w:val="16"/>
            <w:szCs w:val="16"/>
            <w:lang w:val="en-US"/>
          </w:rPr>
          <w:t>https://www.alcaldiabogota.gov.co/sisjur/normas/Norma1.jsp?i=120402&amp;dt=S</w:t>
        </w:r>
      </w:hyperlink>
      <w:r w:rsidRPr="00B15F96">
        <w:rPr>
          <w:rFonts w:cs="Times New Roman"/>
          <w:sz w:val="16"/>
          <w:szCs w:val="16"/>
          <w:lang w:val="en-US"/>
        </w:rPr>
        <w:t xml:space="preserve"> </w:t>
      </w:r>
    </w:p>
  </w:endnote>
  <w:endnote w:id="38">
    <w:p w14:paraId="1A1766E3" w14:textId="77777777" w:rsidR="009A65B1"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Senate of the Republic. “Bill would prohibit the use of glyphosate for illicit crop eradication”. March 2023.</w:t>
      </w:r>
    </w:p>
    <w:p w14:paraId="07CF166A" w14:textId="0ED2C02D" w:rsidR="00EE1C5E" w:rsidRPr="00B15F96" w:rsidRDefault="009A65B1" w:rsidP="00B15F96">
      <w:pPr>
        <w:pStyle w:val="EndnoteText"/>
        <w:rPr>
          <w:rFonts w:cs="Times New Roman"/>
          <w:sz w:val="16"/>
          <w:szCs w:val="16"/>
          <w:lang w:val="en-US"/>
        </w:rPr>
      </w:pPr>
      <w:r w:rsidRPr="00B15F96">
        <w:rPr>
          <w:rFonts w:cs="Times New Roman"/>
          <w:sz w:val="16"/>
          <w:szCs w:val="16"/>
          <w:lang w:val="en-US"/>
        </w:rPr>
        <w:t>Available at: https://www.senado.gov.co/index.php/el-senado/noticias/4380-proyecto-de-ley-prohibiria-uso-de-glifosato-para-erradicacion-de-cultivos-ilicitos</w:t>
      </w:r>
    </w:p>
  </w:endnote>
  <w:endnote w:id="39">
    <w:p w14:paraId="3A998B78" w14:textId="77777777" w:rsidR="009A65B1"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009A65B1" w:rsidRPr="00B15F96">
        <w:rPr>
          <w:rFonts w:cs="Times New Roman"/>
          <w:sz w:val="16"/>
          <w:szCs w:val="16"/>
          <w:lang w:val="en-US"/>
        </w:rPr>
        <w:t xml:space="preserve"> Draft Decree repealing Decree 380 of 2021.</w:t>
      </w:r>
    </w:p>
    <w:p w14:paraId="22FFAA3C" w14:textId="2F8847B2" w:rsidR="00EE1C5E" w:rsidRPr="00B15F96" w:rsidRDefault="009A65B1" w:rsidP="00B15F96">
      <w:pPr>
        <w:pStyle w:val="EndnoteText"/>
        <w:rPr>
          <w:rFonts w:cs="Times New Roman"/>
          <w:sz w:val="16"/>
          <w:szCs w:val="16"/>
          <w:lang w:val="en-US"/>
        </w:rPr>
      </w:pPr>
      <w:r w:rsidRPr="00B15F96">
        <w:rPr>
          <w:rFonts w:cs="Times New Roman"/>
          <w:sz w:val="16"/>
          <w:szCs w:val="16"/>
          <w:lang w:val="en-US"/>
        </w:rPr>
        <w:t>Available at: https://www.sucop.gov.co/entidades/minjusticia/Normativa?IDNorma=12014</w:t>
      </w:r>
    </w:p>
  </w:endnote>
  <w:endnote w:id="40">
    <w:p w14:paraId="08BDABA0" w14:textId="77777777" w:rsidR="005228B0" w:rsidRPr="00B15F96" w:rsidRDefault="005228B0"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Explanatory memorandum of the Draft Decree repealing Decree 380 of 2021. Pages 9 and 10. (see: </w:t>
      </w:r>
      <w:hyperlink r:id="rId24" w:history="1">
        <w:r w:rsidRPr="00B15F96">
          <w:rPr>
            <w:rStyle w:val="Hyperlink"/>
            <w:rFonts w:cs="Times New Roman"/>
            <w:sz w:val="16"/>
            <w:szCs w:val="16"/>
            <w:lang w:val="en-US"/>
          </w:rPr>
          <w:t>https://www.sucop.gov.co/formulacion_/Procesos/Norma%201667583336922/Memoria%20justificativa%20del%20proyecto%20PN-2022-12014.pdf</w:t>
        </w:r>
      </w:hyperlink>
      <w:r w:rsidRPr="00B15F96">
        <w:rPr>
          <w:rFonts w:cs="Times New Roman"/>
          <w:sz w:val="16"/>
          <w:szCs w:val="16"/>
          <w:lang w:val="en-US"/>
        </w:rPr>
        <w:t xml:space="preserve">) </w:t>
      </w:r>
    </w:p>
  </w:endnote>
  <w:endnote w:id="41">
    <w:p w14:paraId="7924CA4C" w14:textId="77777777" w:rsidR="005228B0" w:rsidRPr="00B15F96" w:rsidRDefault="005228B0"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Explanatory memorandum of the Draft Decree repealing Decree 380 of 2021. Pages 2 and 7. (see: </w:t>
      </w:r>
      <w:hyperlink r:id="rId25" w:history="1">
        <w:r w:rsidRPr="00B15F96">
          <w:rPr>
            <w:rStyle w:val="Hyperlink"/>
            <w:rFonts w:cs="Times New Roman"/>
            <w:sz w:val="16"/>
            <w:szCs w:val="16"/>
            <w:lang w:val="en-US"/>
          </w:rPr>
          <w:t>https://www.sucop.gov.co/formulacion_/Procesos/Norma%201667583336922/Memoria%20justificativa%20del%20proyecto%20PN-2022-12014.pdf</w:t>
        </w:r>
      </w:hyperlink>
      <w:r w:rsidRPr="00B15F96">
        <w:rPr>
          <w:rFonts w:cs="Times New Roman"/>
          <w:sz w:val="16"/>
          <w:szCs w:val="16"/>
          <w:lang w:val="en-US"/>
        </w:rPr>
        <w:t>).</w:t>
      </w:r>
    </w:p>
  </w:endnote>
  <w:endnote w:id="42">
    <w:p w14:paraId="3AD4009E" w14:textId="77777777" w:rsidR="009A65B1"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Senate of the Republic. “Bill would prohibit the use of glyphosate for illicit crop eradication”. March 2023.</w:t>
      </w:r>
    </w:p>
    <w:p w14:paraId="4A1CB414" w14:textId="0C363C11" w:rsidR="00EE1C5E" w:rsidRPr="00B15F96" w:rsidRDefault="009A65B1" w:rsidP="00B15F96">
      <w:pPr>
        <w:pStyle w:val="EndnoteText"/>
        <w:rPr>
          <w:rFonts w:cs="Times New Roman"/>
          <w:sz w:val="16"/>
          <w:szCs w:val="16"/>
          <w:lang w:val="en-US"/>
        </w:rPr>
      </w:pPr>
      <w:r w:rsidRPr="00B15F96">
        <w:rPr>
          <w:rFonts w:cs="Times New Roman"/>
          <w:sz w:val="16"/>
          <w:szCs w:val="16"/>
          <w:lang w:val="en-US"/>
        </w:rPr>
        <w:t xml:space="preserve">Available at: </w:t>
      </w:r>
      <w:hyperlink r:id="rId26" w:history="1">
        <w:r w:rsidRPr="00B15F96">
          <w:rPr>
            <w:rStyle w:val="Hyperlink"/>
            <w:rFonts w:cs="Times New Roman"/>
            <w:sz w:val="16"/>
            <w:szCs w:val="16"/>
            <w:lang w:val="en-US"/>
          </w:rPr>
          <w:t>https://www.senado.gov.co/index.php/el-senado/noticias/4380-proyecto-de-ley-prohibiria-uso-de-glifosato-para-erradicacion-de-cultivos-ilicitos</w:t>
        </w:r>
      </w:hyperlink>
      <w:r w:rsidRPr="00B15F96">
        <w:rPr>
          <w:rFonts w:cs="Times New Roman"/>
          <w:sz w:val="16"/>
          <w:szCs w:val="16"/>
          <w:lang w:val="en-US"/>
        </w:rPr>
        <w:t xml:space="preserve"> </w:t>
      </w:r>
    </w:p>
  </w:endnote>
  <w:endnote w:id="43">
    <w:p w14:paraId="51C1AF98" w14:textId="77777777" w:rsidR="009A65B1" w:rsidRPr="00B15F96" w:rsidRDefault="00EE27B8"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Poder Legislativo. </w:t>
      </w:r>
      <w:r w:rsidR="009A65B1" w:rsidRPr="00B15F96">
        <w:rPr>
          <w:rFonts w:cs="Times New Roman"/>
          <w:sz w:val="16"/>
          <w:szCs w:val="16"/>
          <w:lang w:val="en-US"/>
        </w:rPr>
        <w:t>Legislative Branch. Bill seeking to ban aerial spraying with herbicides was shelved. May 26, 2025.</w:t>
      </w:r>
    </w:p>
    <w:p w14:paraId="072325A6" w14:textId="454C092A" w:rsidR="00EE27B8" w:rsidRPr="00B15F96" w:rsidRDefault="009A65B1" w:rsidP="00B15F96">
      <w:pPr>
        <w:pStyle w:val="EndnoteText"/>
        <w:rPr>
          <w:rFonts w:cs="Times New Roman"/>
          <w:sz w:val="16"/>
          <w:szCs w:val="16"/>
          <w:lang w:val="en-US"/>
        </w:rPr>
      </w:pPr>
      <w:r w:rsidRPr="00B15F96">
        <w:rPr>
          <w:rFonts w:cs="Times New Roman"/>
          <w:sz w:val="16"/>
          <w:szCs w:val="16"/>
          <w:lang w:val="en-US"/>
        </w:rPr>
        <w:t xml:space="preserve">Available at: </w:t>
      </w:r>
      <w:hyperlink r:id="rId27" w:history="1">
        <w:r w:rsidRPr="00B15F96">
          <w:rPr>
            <w:rStyle w:val="Hyperlink"/>
            <w:rFonts w:cs="Times New Roman"/>
            <w:sz w:val="16"/>
            <w:szCs w:val="16"/>
            <w:lang w:val="en-US"/>
          </w:rPr>
          <w:t>https://poderlegislativo.camara.gov.co/2025/05/26/archivado-proyecto-que-buscaba-prohibir-la-aspersion-aerea-con-herbicidas/</w:t>
        </w:r>
      </w:hyperlink>
      <w:r w:rsidRPr="00B15F96">
        <w:rPr>
          <w:rFonts w:cs="Times New Roman"/>
          <w:sz w:val="16"/>
          <w:szCs w:val="16"/>
          <w:lang w:val="en-US"/>
        </w:rPr>
        <w:t xml:space="preserve"> Senate of the Republic. Bill</w:t>
      </w:r>
      <w:r w:rsidR="00EE27B8" w:rsidRPr="00B15F96">
        <w:rPr>
          <w:rFonts w:cs="Times New Roman"/>
          <w:sz w:val="16"/>
          <w:szCs w:val="16"/>
          <w:lang w:val="en-US"/>
        </w:rPr>
        <w:t xml:space="preserve"> 287/23</w:t>
      </w:r>
      <w:r w:rsidRPr="00B15F96">
        <w:rPr>
          <w:rFonts w:cs="Times New Roman"/>
          <w:sz w:val="16"/>
          <w:szCs w:val="16"/>
          <w:lang w:val="en-US"/>
        </w:rPr>
        <w:t xml:space="preserve"> Actual State</w:t>
      </w:r>
      <w:r w:rsidR="00EE27B8" w:rsidRPr="00B15F96">
        <w:rPr>
          <w:rFonts w:cs="Times New Roman"/>
          <w:sz w:val="16"/>
          <w:szCs w:val="16"/>
          <w:lang w:val="en-US"/>
        </w:rPr>
        <w:t xml:space="preserve">. </w:t>
      </w:r>
      <w:hyperlink r:id="rId28" w:history="1">
        <w:r w:rsidR="00EE27B8" w:rsidRPr="00B15F96">
          <w:rPr>
            <w:rStyle w:val="Hyperlink"/>
            <w:rFonts w:cs="Times New Roman"/>
            <w:sz w:val="16"/>
            <w:szCs w:val="16"/>
            <w:lang w:val="en-US"/>
          </w:rPr>
          <w:t>https://leyes.senado.gov.co/proyectos/index.php/proyectos-ley/cuatrenio-2022-2026/2022-2023/article/302-por-medio-de-la-cual-se-prohibe-el-uso-del-glifosato-y-sus-derivados-para-la-erradicacion-de-cultivos-de-uso-ilicito-en-el-territorio-nacional-y-se-dictan-otras-disposiciones</w:t>
        </w:r>
      </w:hyperlink>
      <w:r w:rsidR="00EE27B8" w:rsidRPr="00B15F96">
        <w:rPr>
          <w:rFonts w:cs="Times New Roman"/>
          <w:sz w:val="16"/>
          <w:szCs w:val="16"/>
          <w:lang w:val="en-US"/>
        </w:rPr>
        <w:t xml:space="preserve"> </w:t>
      </w:r>
    </w:p>
  </w:endnote>
  <w:endnote w:id="44">
    <w:p w14:paraId="7198BF37" w14:textId="77777777" w:rsidR="009A65B1" w:rsidRPr="00B15F96" w:rsidRDefault="000C4D30"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Bogotá City Council. Petro Government formalized the purchase of glyphosate for more than COP 2 billion. June 11, 2025.</w:t>
      </w:r>
    </w:p>
    <w:p w14:paraId="655C7DC0" w14:textId="0BAC0AF8" w:rsidR="000C4D30" w:rsidRPr="00B15F96" w:rsidRDefault="009A65B1" w:rsidP="00B15F96">
      <w:pPr>
        <w:pStyle w:val="EndnoteText"/>
        <w:rPr>
          <w:rFonts w:cs="Times New Roman"/>
          <w:sz w:val="16"/>
          <w:szCs w:val="16"/>
          <w:lang w:val="en-US"/>
        </w:rPr>
      </w:pPr>
      <w:r w:rsidRPr="00B15F96">
        <w:rPr>
          <w:rFonts w:cs="Times New Roman"/>
          <w:sz w:val="16"/>
          <w:szCs w:val="16"/>
          <w:lang w:val="en-US"/>
        </w:rPr>
        <w:t>Available at: https://concejodebogota.gov.co/gobierno-petro-oficializo-la-compra-de-glifosato-por-mas-de-2-000/cbogota/2025-06-11/170840.php</w:t>
      </w:r>
    </w:p>
  </w:endnote>
  <w:endnote w:id="45">
    <w:p w14:paraId="1749DB33" w14:textId="48A1900E" w:rsidR="00EE27B8" w:rsidRPr="00B15F96" w:rsidRDefault="00EE27B8"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9A65B1" w:rsidRPr="00B15F96">
        <w:rPr>
          <w:rFonts w:cs="Times New Roman"/>
          <w:sz w:val="16"/>
          <w:szCs w:val="16"/>
          <w:lang w:val="en-US"/>
        </w:rPr>
        <w:t>Ministry of National Defense. Resolution No. 522 of May 28, 2025</w:t>
      </w:r>
    </w:p>
  </w:endnote>
  <w:endnote w:id="46">
    <w:p w14:paraId="01D180EA" w14:textId="5F20D749" w:rsidR="53A9CF57" w:rsidRPr="00DA35DB" w:rsidRDefault="53A9CF57">
      <w:pPr>
        <w:rPr>
          <w:rFonts w:eastAsia="Times New Roman" w:cs="Times New Roman"/>
          <w:lang w:val="en-US"/>
        </w:rPr>
      </w:pPr>
      <w:r>
        <w:endnoteRef/>
      </w:r>
      <w:r w:rsidR="256D4949" w:rsidRPr="00DA35DB">
        <w:rPr>
          <w:lang w:val="en-US"/>
        </w:rPr>
        <w:t xml:space="preserve"> </w:t>
      </w:r>
      <w:r w:rsidR="256D4949" w:rsidRPr="256D4949">
        <w:rPr>
          <w:rFonts w:eastAsia="Times New Roman" w:cs="Times New Roman"/>
          <w:sz w:val="16"/>
          <w:szCs w:val="16"/>
          <w:lang w:val="en-US"/>
        </w:rPr>
        <w:t xml:space="preserve">Republic of Ecuador Ministry of Foreign Affairs. Application for the Introduction of Proceedings. Addressed to the Secretary of the International Court of Justice. </w:t>
      </w:r>
      <w:r w:rsidR="256D4949" w:rsidRPr="00DA35DB">
        <w:rPr>
          <w:rFonts w:eastAsia="Times New Roman" w:cs="Times New Roman"/>
          <w:sz w:val="16"/>
          <w:szCs w:val="16"/>
          <w:lang w:val="en-US"/>
        </w:rPr>
        <w:t xml:space="preserve">Page 8.(see: </w:t>
      </w:r>
      <w:r w:rsidR="256D4949">
        <w:t>﷟</w:t>
      </w:r>
      <w:r w:rsidR="256D4949" w:rsidRPr="00DA35DB">
        <w:rPr>
          <w:lang w:val="en-US"/>
        </w:rPr>
        <w:t>HYPERLINK "https://bit.ly/3KgDkqu"</w:t>
      </w:r>
      <w:r w:rsidR="256D4949" w:rsidRPr="00DA35DB">
        <w:rPr>
          <w:rStyle w:val="Hyperlink"/>
          <w:rFonts w:eastAsia="Times New Roman" w:cs="Times New Roman"/>
          <w:color w:val="0563C1"/>
          <w:sz w:val="16"/>
          <w:szCs w:val="16"/>
          <w:lang w:val="en-US"/>
        </w:rPr>
        <w:t>https://bit.ly/3KgDkqu</w:t>
      </w:r>
      <w:r w:rsidR="256D4949" w:rsidRPr="00DA35DB">
        <w:rPr>
          <w:rFonts w:eastAsia="Times New Roman" w:cs="Times New Roman"/>
          <w:color w:val="0563C1"/>
          <w:sz w:val="16"/>
          <w:szCs w:val="16"/>
          <w:u w:val="single"/>
          <w:lang w:val="en-US"/>
        </w:rPr>
        <w:t>).</w:t>
      </w:r>
    </w:p>
  </w:endnote>
  <w:endnote w:id="47">
    <w:p w14:paraId="47818D6C" w14:textId="52A52B0C"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"(i) When the continuation of the pregnancy constitutes a danger to the life or health of the woman, certified by a physician; (ii) When there is a serious malformation of the fetus that makes its life unviable, certified by a physician; and, (iii) When the pregnancy is the result of conduct, duly denounced, constituting carnal access or sexual act without consent, abusive or artificial insemination or transfer of fertilized egg without consent, or incest"</w:t>
      </w:r>
    </w:p>
  </w:endnote>
  <w:endnote w:id="48">
    <w:p w14:paraId="6AD03588" w14:textId="510B4581" w:rsidR="53ACDAD9" w:rsidRPr="00B15F96" w:rsidRDefault="53ACDAD9" w:rsidP="00B15F96">
      <w:pPr>
        <w:spacing w:after="0" w:line="240" w:lineRule="auto"/>
        <w:rPr>
          <w:rFonts w:eastAsia="Times New Roman" w:cs="Times New Roman"/>
          <w:sz w:val="16"/>
          <w:szCs w:val="16"/>
          <w:lang w:val="en-US"/>
        </w:rPr>
      </w:pPr>
      <w:r w:rsidRPr="00B15F96">
        <w:rPr>
          <w:rFonts w:cs="Times New Roman"/>
          <w:sz w:val="16"/>
          <w:szCs w:val="16"/>
        </w:rPr>
        <w:endnoteRef/>
      </w:r>
      <w:r w:rsidRPr="00B15F96">
        <w:rPr>
          <w:rFonts w:cs="Times New Roman"/>
          <w:sz w:val="16"/>
          <w:szCs w:val="16"/>
          <w:lang w:val="en-US"/>
        </w:rPr>
        <w:t xml:space="preserve"> </w:t>
      </w:r>
      <w:r w:rsidRPr="00F07938">
        <w:rPr>
          <w:rFonts w:cs="Times New Roman"/>
          <w:sz w:val="16"/>
          <w:szCs w:val="16"/>
          <w:lang w:val="en-US"/>
        </w:rPr>
        <w:t xml:space="preserve"> </w:t>
      </w:r>
      <w:r w:rsidRPr="00F07938">
        <w:rPr>
          <w:rFonts w:eastAsia="Times New Roman" w:cs="Times New Roman"/>
          <w:sz w:val="16"/>
          <w:szCs w:val="16"/>
          <w:lang w:val="en-US"/>
        </w:rPr>
        <w:t>CESCR Committee, Gen. Comment No. 22, paras. 10, 25 and 34; CESCR Committee, Gen. Comment No. 14, para. 12; See also, ICCPR arts. 7 and 17, CEDAW art. 12 and Gen. Recommendation No. 24)</w:t>
      </w:r>
    </w:p>
  </w:endnote>
  <w:endnote w:id="49">
    <w:p w14:paraId="52B4631C" w14:textId="77777777" w:rsidR="00F66BDA" w:rsidRPr="00B15F96" w:rsidRDefault="00F66BDA" w:rsidP="00B15F96">
      <w:pPr>
        <w:pStyle w:val="Prrafo"/>
        <w:numPr>
          <w:ilvl w:val="0"/>
          <w:numId w:val="0"/>
        </w:numPr>
        <w:spacing w:after="0" w:line="240" w:lineRule="auto"/>
        <w:jc w:val="left"/>
        <w:rPr>
          <w:b/>
          <w:sz w:val="16"/>
          <w:szCs w:val="16"/>
        </w:rPr>
      </w:pPr>
      <w:r w:rsidRPr="00B15F96">
        <w:rPr>
          <w:rStyle w:val="EndnoteReference"/>
          <w:sz w:val="16"/>
          <w:szCs w:val="16"/>
        </w:rPr>
        <w:endnoteRef/>
      </w:r>
      <w:r w:rsidRPr="00B15F96">
        <w:rPr>
          <w:sz w:val="16"/>
          <w:szCs w:val="16"/>
        </w:rPr>
        <w:t xml:space="preserve"> Resolution 051 of 2023: </w:t>
      </w:r>
      <w:hyperlink r:id="rId29" w:history="1">
        <w:r w:rsidRPr="00B15F96">
          <w:rPr>
            <w:rStyle w:val="Hyperlink"/>
            <w:sz w:val="16"/>
            <w:szCs w:val="16"/>
          </w:rPr>
          <w:t>https://www.minsalud.gov.co/Normatividad_Nuevo/Resoluci%C3%B3n%20No.%20051%20de%202023.pdf</w:t>
        </w:r>
      </w:hyperlink>
      <w:r w:rsidRPr="00B15F96">
        <w:rPr>
          <w:sz w:val="16"/>
          <w:szCs w:val="16"/>
        </w:rPr>
        <w:t xml:space="preserve"> This Resolution includes the most important pillars for the guarantee of the women´s reproductive rights, among which we highlight the right to decide freely, since the resolution expressly establishes that minors may decide on their voluntary termination of pregnancy without the need for authorization from third parties and, in turn, persons with disabilities may give their consent with the use of reasonable supports and adjustments that may be required. Additionally, the Resolution establishes that comprehensive health care is considered essential and urgent, so it must be carried out immediately, and only in exceptional cases there will be a period of up to 5 calendar days to terminate the pregnancy.</w:t>
      </w:r>
    </w:p>
  </w:endnote>
  <w:endnote w:id="50">
    <w:p w14:paraId="155D9C3C" w14:textId="070D1EA0" w:rsidR="0067448C" w:rsidRPr="00B15F96" w:rsidRDefault="0067448C"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A257AF" w:rsidRPr="00B15F96">
        <w:rPr>
          <w:rFonts w:cs="Times New Roman"/>
          <w:sz w:val="16"/>
          <w:szCs w:val="16"/>
          <w:lang w:val="en-US"/>
        </w:rPr>
        <w:t xml:space="preserve">Office of the Attorney General of the Nation. Directive 0009 of 2023, “By which general guidelines are established for the investigation and prosecution of the crime of abortion.” Available at: </w:t>
      </w:r>
      <w:hyperlink r:id="rId30" w:history="1">
        <w:r w:rsidR="00A257AF" w:rsidRPr="00B15F96">
          <w:rPr>
            <w:rStyle w:val="Hyperlink"/>
            <w:rFonts w:cs="Times New Roman"/>
            <w:sz w:val="16"/>
            <w:szCs w:val="16"/>
            <w:lang w:val="en-US"/>
          </w:rPr>
          <w:t>https://www.fiscalia.gov.co/colombia/wp-content/uploads/2023-DIRECTIVA-0009-INV-Y-JUD-DEL-ABORTO.pdf</w:t>
        </w:r>
      </w:hyperlink>
      <w:r w:rsidR="00A257AF" w:rsidRPr="00B15F96">
        <w:rPr>
          <w:rFonts w:cs="Times New Roman"/>
          <w:sz w:val="16"/>
          <w:szCs w:val="16"/>
          <w:lang w:val="en-US"/>
        </w:rPr>
        <w:t xml:space="preserve"> </w:t>
      </w:r>
    </w:p>
  </w:endnote>
  <w:endnote w:id="51">
    <w:p w14:paraId="687C97DD" w14:textId="61B7829C" w:rsidR="0067448C" w:rsidRPr="00B15F96" w:rsidRDefault="0067448C"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A257AF" w:rsidRPr="00B15F96">
        <w:rPr>
          <w:rFonts w:cs="Times New Roman"/>
          <w:sz w:val="16"/>
          <w:szCs w:val="16"/>
          <w:lang w:val="en-US"/>
        </w:rPr>
        <w:t xml:space="preserve">Superintendence of Health. External Circular 2024150000000009-5 of 2024. Available at: </w:t>
      </w:r>
      <w:hyperlink r:id="rId31" w:history="1">
        <w:r w:rsidR="00A257AF" w:rsidRPr="00B15F96">
          <w:rPr>
            <w:rStyle w:val="Hyperlink"/>
            <w:rFonts w:cs="Times New Roman"/>
            <w:sz w:val="16"/>
            <w:szCs w:val="16"/>
            <w:lang w:val="en-US"/>
          </w:rPr>
          <w:t>https://docs.supersalud.gov.co/PortalWeb/Juridica/CircularesExterna/Circular%20externa%20n%C3%BAmero%202024150000000009-5%20de%20%202024.pdf</w:t>
        </w:r>
      </w:hyperlink>
      <w:r w:rsidR="00A257AF" w:rsidRPr="00B15F96">
        <w:rPr>
          <w:rFonts w:cs="Times New Roman"/>
          <w:sz w:val="16"/>
          <w:szCs w:val="16"/>
          <w:lang w:val="en-US"/>
        </w:rPr>
        <w:t xml:space="preserve"> </w:t>
      </w:r>
    </w:p>
  </w:endnote>
  <w:endnote w:id="52">
    <w:p w14:paraId="44BA29A9" w14:textId="77777777" w:rsidR="00F00451" w:rsidRPr="00B15F96" w:rsidRDefault="00F00451"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Colombian organization that defends women's reproductive rights,</w:t>
      </w:r>
    </w:p>
  </w:endnote>
  <w:endnote w:id="53">
    <w:p w14:paraId="00169EC9" w14:textId="77777777" w:rsidR="00F00451" w:rsidRPr="00B15F96" w:rsidRDefault="00F00451" w:rsidP="00B15F96">
      <w:pPr>
        <w:spacing w:after="0" w:line="240" w:lineRule="auto"/>
        <w:outlineLvl w:val="1"/>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Since 2006, La Mesa por la Vida y la Salud de las Mujeres has had a legal support area to provide legal advice and free and specialized accompaniment to women on the administrative and legal mechanisms and procedures to access abortion, either due to the denial of the procedure or the imposition of barriers to access. From that year to 2022, La Mesa has assisted more than 1,800 women from different parts of Colombia.</w:t>
      </w:r>
    </w:p>
  </w:endnote>
  <w:endnote w:id="54">
    <w:p w14:paraId="7B0A5935" w14:textId="54E57177" w:rsidR="00F00451" w:rsidRPr="00F07938" w:rsidRDefault="00F00451" w:rsidP="00B15F96">
      <w:pPr>
        <w:pStyle w:val="Textonotaalfinal1"/>
        <w:rPr>
          <w:rFonts w:cs="Times New Roman"/>
          <w:sz w:val="16"/>
          <w:szCs w:val="16"/>
          <w:lang w:val="fr-FR"/>
        </w:rPr>
      </w:pPr>
      <w:r w:rsidRPr="00B15F96">
        <w:rPr>
          <w:rStyle w:val="EndnoteReference"/>
          <w:rFonts w:cs="Times New Roman"/>
          <w:sz w:val="16"/>
          <w:szCs w:val="16"/>
        </w:rPr>
        <w:endnoteRef/>
      </w:r>
      <w:r w:rsidRPr="00B15F96">
        <w:rPr>
          <w:rFonts w:cs="Times New Roman"/>
          <w:sz w:val="16"/>
          <w:szCs w:val="16"/>
          <w:lang w:val="es-CO"/>
        </w:rPr>
        <w:t xml:space="preserve"> </w:t>
      </w:r>
      <w:r w:rsidR="00362075" w:rsidRPr="00B15F96">
        <w:rPr>
          <w:rFonts w:cs="Times New Roman"/>
          <w:sz w:val="16"/>
          <w:szCs w:val="16"/>
          <w:lang w:val="es-CO"/>
        </w:rPr>
        <w:t>Mesa por la Vida y la Salud de las Mujeres.</w:t>
      </w:r>
      <w:r w:rsidRPr="00B15F96">
        <w:rPr>
          <w:rFonts w:cs="Times New Roman"/>
          <w:sz w:val="16"/>
          <w:szCs w:val="16"/>
          <w:lang w:val="es-CO"/>
        </w:rPr>
        <w:t xml:space="preserve"> “Barreras para la garantía de la Interrupción Voluntaria del Embarazo (IVE) Una propuesta de reclasificación”. </w:t>
      </w:r>
      <w:r w:rsidRPr="00F07938">
        <w:rPr>
          <w:rFonts w:cs="Times New Roman"/>
          <w:sz w:val="16"/>
          <w:szCs w:val="16"/>
          <w:lang w:val="fr-FR"/>
        </w:rPr>
        <w:t xml:space="preserve">Available: https://despenalizaciondelaborto.org.co/wp-content/uploads/2025/04/INFORME_IVE_2025.pdf </w:t>
      </w:r>
    </w:p>
  </w:endnote>
  <w:endnote w:id="55">
    <w:p w14:paraId="000089C3" w14:textId="77777777" w:rsidR="00F00451" w:rsidRPr="00B15F96" w:rsidRDefault="00F00451" w:rsidP="00B15F96">
      <w:pPr>
        <w:pStyle w:val="Textonotaalfinal1"/>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Id. P. 8. In most cases, immigrants do not have a valid ID for the affiliation process. </w:t>
      </w:r>
    </w:p>
  </w:endnote>
  <w:endnote w:id="56">
    <w:p w14:paraId="68D92B8E" w14:textId="058BD86B" w:rsidR="009A65B1" w:rsidRPr="00B15F96" w:rsidRDefault="009A65B1" w:rsidP="00B15F96">
      <w:pPr>
        <w:pStyle w:val="Textonotaalfinal1"/>
        <w:rPr>
          <w:rFonts w:cs="Times New Roman"/>
          <w:sz w:val="16"/>
          <w:szCs w:val="16"/>
          <w:lang w:val="es-CO"/>
        </w:rPr>
      </w:pPr>
      <w:r w:rsidRPr="00B15F96">
        <w:rPr>
          <w:rStyle w:val="EndnoteReference"/>
          <w:rFonts w:cs="Times New Roman"/>
          <w:sz w:val="16"/>
          <w:szCs w:val="16"/>
        </w:rPr>
        <w:endnoteRef/>
      </w:r>
      <w:r w:rsidRPr="00B15F96">
        <w:rPr>
          <w:rFonts w:cs="Times New Roman"/>
          <w:sz w:val="16"/>
          <w:szCs w:val="16"/>
          <w:lang w:val="en-US"/>
        </w:rPr>
        <w:t xml:space="preserve"> Comunitar. (2025). Statistics on sexual and reproductive rights in Cauca. </w:t>
      </w:r>
      <w:r w:rsidRPr="00B15F96">
        <w:rPr>
          <w:rFonts w:cs="Times New Roman"/>
          <w:sz w:val="16"/>
          <w:szCs w:val="16"/>
          <w:lang w:val="es-CO"/>
        </w:rPr>
        <w:t>Popayán: Corporación de Mujeres Ecofeministas Comunitar</w:t>
      </w:r>
    </w:p>
  </w:endnote>
  <w:endnote w:id="57">
    <w:p w14:paraId="0B4F2439" w14:textId="0BF4FFA6" w:rsidR="009A65B1" w:rsidRPr="00B15F96" w:rsidRDefault="009A65B1" w:rsidP="00B15F96">
      <w:pPr>
        <w:pStyle w:val="Textonotaalfinal1"/>
        <w:rPr>
          <w:rFonts w:cs="Times New Roman"/>
          <w:sz w:val="16"/>
          <w:szCs w:val="16"/>
          <w:lang w:val="en-US"/>
        </w:rPr>
      </w:pPr>
      <w:r w:rsidRPr="00B15F96">
        <w:rPr>
          <w:rFonts w:cs="Times New Roman"/>
          <w:sz w:val="16"/>
          <w:szCs w:val="16"/>
          <w:lang w:val="es-CO"/>
        </w:rPr>
        <w:endnoteRef/>
      </w:r>
      <w:r w:rsidRPr="00B15F96">
        <w:rPr>
          <w:rFonts w:cs="Times New Roman"/>
          <w:sz w:val="16"/>
          <w:szCs w:val="16"/>
          <w:lang w:val="es-CO"/>
        </w:rPr>
        <w:t xml:space="preserve"> Fundación Mujer y Futuro. </w:t>
      </w:r>
      <w:r w:rsidRPr="00B15F96">
        <w:rPr>
          <w:rFonts w:cs="Times New Roman"/>
          <w:sz w:val="16"/>
          <w:szCs w:val="16"/>
          <w:lang w:val="en-US"/>
        </w:rPr>
        <w:t>(2025). Advocacy report on the guarantee of access to Voluntary Termination of Pregnancy (VTP) in the department of Santander: A call for harmonious collaboration and inter-institutional action. Bucaramanga: FMF.</w:t>
      </w:r>
    </w:p>
  </w:endnote>
  <w:endnote w:id="58">
    <w:p w14:paraId="533D3D37" w14:textId="0EF20DC5" w:rsidR="00EE1C5E" w:rsidRPr="00B15F96" w:rsidRDefault="00EE1C5E" w:rsidP="00B15F96">
      <w:pPr>
        <w:pStyle w:val="Textonotaalfinal1"/>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Id. P. 9</w:t>
      </w:r>
    </w:p>
  </w:endnote>
  <w:endnote w:id="59">
    <w:p w14:paraId="6F6243AA" w14:textId="50A35FF8" w:rsidR="00EE1C5E" w:rsidRPr="00B15F96" w:rsidRDefault="00EE1C5E" w:rsidP="00B15F96">
      <w:pPr>
        <w:pStyle w:val="Textonotaalfinal1"/>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Id. P. 10</w:t>
      </w:r>
    </w:p>
  </w:endnote>
  <w:endnote w:id="60">
    <w:p w14:paraId="6C6B052B" w14:textId="23734808" w:rsidR="53ACDAD9" w:rsidRPr="00B15F96" w:rsidRDefault="53ACDAD9" w:rsidP="00B15F96">
      <w:pPr>
        <w:pStyle w:val="Prrafo"/>
        <w:numPr>
          <w:ilvl w:val="0"/>
          <w:numId w:val="0"/>
        </w:numPr>
        <w:spacing w:after="0" w:line="240" w:lineRule="auto"/>
        <w:rPr>
          <w:rFonts w:eastAsia="Times New Roman"/>
          <w:color w:val="000000" w:themeColor="text1"/>
          <w:sz w:val="16"/>
          <w:szCs w:val="16"/>
        </w:rPr>
      </w:pPr>
      <w:r w:rsidRPr="00B15F96">
        <w:rPr>
          <w:sz w:val="16"/>
          <w:szCs w:val="16"/>
        </w:rPr>
        <w:endnoteRef/>
      </w:r>
      <w:r w:rsidRPr="00B15F96">
        <w:rPr>
          <w:sz w:val="16"/>
          <w:szCs w:val="16"/>
        </w:rPr>
        <w:t xml:space="preserve"> </w:t>
      </w:r>
      <w:r w:rsidRPr="00B15F96">
        <w:rPr>
          <w:rFonts w:eastAsia="Times New Roman"/>
          <w:color w:val="000000" w:themeColor="text1"/>
          <w:sz w:val="16"/>
          <w:szCs w:val="16"/>
        </w:rPr>
        <w:t>CESCR Committee, Gen. Comment No. 22, paras. 12-21; CESCR Committee, Gen. Comment No. 14, para. 12.</w:t>
      </w:r>
    </w:p>
  </w:endnote>
  <w:endnote w:id="61">
    <w:p w14:paraId="64A20B36" w14:textId="2306057F" w:rsidR="53ACDAD9" w:rsidRPr="00B15F96" w:rsidRDefault="53ACDAD9" w:rsidP="00B15F96">
      <w:pPr>
        <w:pStyle w:val="Prrafo"/>
        <w:numPr>
          <w:ilvl w:val="0"/>
          <w:numId w:val="0"/>
        </w:numPr>
        <w:spacing w:after="0" w:line="240" w:lineRule="auto"/>
        <w:rPr>
          <w:rFonts w:eastAsia="Times New Roman"/>
          <w:color w:val="000000" w:themeColor="text1"/>
          <w:sz w:val="16"/>
          <w:szCs w:val="16"/>
        </w:rPr>
      </w:pPr>
      <w:r w:rsidRPr="00B15F96">
        <w:rPr>
          <w:sz w:val="16"/>
          <w:szCs w:val="16"/>
        </w:rPr>
        <w:endnoteRef/>
      </w:r>
      <w:r w:rsidRPr="00B15F96">
        <w:rPr>
          <w:sz w:val="16"/>
          <w:szCs w:val="16"/>
        </w:rPr>
        <w:t xml:space="preserve"> </w:t>
      </w:r>
      <w:r w:rsidRPr="00B15F96">
        <w:rPr>
          <w:rFonts w:eastAsia="Times New Roman"/>
          <w:color w:val="000000" w:themeColor="text1"/>
          <w:sz w:val="16"/>
          <w:szCs w:val="16"/>
        </w:rPr>
        <w:t xml:space="preserve">CESCR Committee, Gen. Comment No. 22, paras. 14, 40, 45; </w:t>
      </w:r>
      <w:r w:rsidRPr="00B15F96">
        <w:rPr>
          <w:rFonts w:eastAsia="Times New Roman"/>
          <w:i/>
          <w:iCs/>
          <w:color w:val="000000" w:themeColor="text1"/>
          <w:sz w:val="16"/>
          <w:szCs w:val="16"/>
        </w:rPr>
        <w:t>See also</w:t>
      </w:r>
      <w:r w:rsidRPr="00B15F96">
        <w:rPr>
          <w:rFonts w:eastAsia="Times New Roman"/>
          <w:color w:val="000000" w:themeColor="text1"/>
          <w:sz w:val="16"/>
          <w:szCs w:val="16"/>
        </w:rPr>
        <w:t xml:space="preserve"> CESCR Committee, Gen. Comment No. 14, paras. 33, 36-37.</w:t>
      </w:r>
    </w:p>
  </w:endnote>
  <w:endnote w:id="62">
    <w:p w14:paraId="6C095E60" w14:textId="04050790" w:rsidR="53ACDAD9" w:rsidRPr="00B15F96" w:rsidRDefault="53ACDAD9" w:rsidP="00B15F96">
      <w:pPr>
        <w:spacing w:after="0" w:line="240" w:lineRule="auto"/>
        <w:rPr>
          <w:rFonts w:eastAsia="Times New Roman" w:cs="Times New Roman"/>
          <w:color w:val="000000" w:themeColor="text1"/>
          <w:sz w:val="16"/>
          <w:szCs w:val="16"/>
          <w:lang w:val="en-US"/>
        </w:rPr>
      </w:pPr>
      <w:r w:rsidRPr="00B15F96">
        <w:rPr>
          <w:rFonts w:cs="Times New Roman"/>
          <w:sz w:val="16"/>
          <w:szCs w:val="16"/>
        </w:rPr>
        <w:endnoteRef/>
      </w:r>
      <w:r w:rsidRPr="00B15F96">
        <w:rPr>
          <w:rFonts w:cs="Times New Roman"/>
          <w:sz w:val="16"/>
          <w:szCs w:val="16"/>
          <w:lang w:val="en-US"/>
        </w:rPr>
        <w:t xml:space="preserve"> </w:t>
      </w:r>
      <w:r w:rsidRPr="00B15F96">
        <w:rPr>
          <w:rFonts w:eastAsia="Times New Roman" w:cs="Times New Roman"/>
          <w:color w:val="000000" w:themeColor="text1"/>
          <w:sz w:val="16"/>
          <w:szCs w:val="16"/>
          <w:lang w:val="en-US"/>
        </w:rPr>
        <w:t xml:space="preserve">WHO, </w:t>
      </w:r>
      <w:r w:rsidRPr="00B15F96">
        <w:rPr>
          <w:rFonts w:eastAsia="Times New Roman" w:cs="Times New Roman"/>
          <w:i/>
          <w:iCs/>
          <w:color w:val="000000" w:themeColor="text1"/>
          <w:sz w:val="16"/>
          <w:szCs w:val="16"/>
          <w:lang w:val="en-US"/>
        </w:rPr>
        <w:t>Abortion Care Guideline</w:t>
      </w:r>
      <w:r w:rsidRPr="00B15F96">
        <w:rPr>
          <w:rFonts w:eastAsia="Times New Roman" w:cs="Times New Roman"/>
          <w:color w:val="000000" w:themeColor="text1"/>
          <w:sz w:val="16"/>
          <w:szCs w:val="16"/>
          <w:lang w:val="en-US"/>
        </w:rPr>
        <w:t xml:space="preserve"> 26 (2022), p. 59 and generally</w:t>
      </w:r>
    </w:p>
  </w:endnote>
  <w:endnote w:id="63">
    <w:p w14:paraId="55E226E0" w14:textId="77F97292" w:rsidR="53ACDAD9" w:rsidRPr="00B15F96" w:rsidRDefault="53ACDAD9" w:rsidP="00B15F96">
      <w:pPr>
        <w:pStyle w:val="Prrafo"/>
        <w:numPr>
          <w:ilvl w:val="0"/>
          <w:numId w:val="0"/>
        </w:numPr>
        <w:spacing w:after="0" w:line="240" w:lineRule="auto"/>
        <w:rPr>
          <w:rFonts w:eastAsia="Times New Roman"/>
          <w:sz w:val="16"/>
          <w:szCs w:val="16"/>
        </w:rPr>
      </w:pPr>
      <w:r w:rsidRPr="00B15F96">
        <w:rPr>
          <w:sz w:val="16"/>
          <w:szCs w:val="16"/>
        </w:rPr>
        <w:endnoteRef/>
      </w:r>
      <w:r w:rsidRPr="00B15F96">
        <w:rPr>
          <w:sz w:val="16"/>
          <w:szCs w:val="16"/>
        </w:rPr>
        <w:t xml:space="preserve"> </w:t>
      </w:r>
      <w:r w:rsidRPr="00B15F96">
        <w:rPr>
          <w:rFonts w:eastAsia="Times New Roman"/>
          <w:sz w:val="16"/>
          <w:szCs w:val="16"/>
        </w:rPr>
        <w:t>CESCR Committee, Gen. Comment No. 22, para. 16.</w:t>
      </w:r>
    </w:p>
  </w:endnote>
  <w:endnote w:id="64">
    <w:p w14:paraId="22B9DC82" w14:textId="070D3DE2"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Different from the National Police or any other that has participated in the PECIG.</w:t>
      </w:r>
    </w:p>
  </w:endnote>
  <w:endnote w:id="65">
    <w:p w14:paraId="7F3DB49D" w14:textId="347D1E18"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w:t>
      </w:r>
      <w:r w:rsidR="00362075" w:rsidRPr="00B15F96">
        <w:rPr>
          <w:rFonts w:cs="Times New Roman"/>
          <w:sz w:val="16"/>
          <w:szCs w:val="16"/>
          <w:lang w:val="en-US"/>
        </w:rPr>
        <w:t>E.g.</w:t>
      </w:r>
      <w:r w:rsidRPr="00B15F96">
        <w:rPr>
          <w:rFonts w:cs="Times New Roman"/>
          <w:sz w:val="16"/>
          <w:szCs w:val="16"/>
          <w:lang w:val="en-US"/>
        </w:rPr>
        <w:t>, the rule that the State must prove the absence of connection between exposure and health/reproductive damages.</w:t>
      </w:r>
    </w:p>
  </w:endnote>
  <w:endnote w:id="66">
    <w:p w14:paraId="2B7052E2" w14:textId="7EABD614" w:rsidR="00EE1C5E" w:rsidRPr="00B15F96" w:rsidRDefault="00EE1C5E" w:rsidP="00B15F96">
      <w:pPr>
        <w:pStyle w:val="EndnoteText"/>
        <w:rPr>
          <w:rFonts w:cs="Times New Roman"/>
          <w:sz w:val="16"/>
          <w:szCs w:val="16"/>
          <w:lang w:val="en-US"/>
        </w:rPr>
      </w:pPr>
      <w:r w:rsidRPr="00B15F96">
        <w:rPr>
          <w:rStyle w:val="EndnoteReference"/>
          <w:rFonts w:cs="Times New Roman"/>
          <w:sz w:val="16"/>
          <w:szCs w:val="16"/>
        </w:rPr>
        <w:endnoteRef/>
      </w:r>
      <w:r w:rsidRPr="00B15F96">
        <w:rPr>
          <w:rFonts w:cs="Times New Roman"/>
          <w:sz w:val="16"/>
          <w:szCs w:val="16"/>
          <w:lang w:val="en-US"/>
        </w:rPr>
        <w:t xml:space="preserve"> Including the Ministry of Health</w:t>
      </w:r>
    </w:p>
  </w:endnote>
  <w:endnote w:id="67">
    <w:p w14:paraId="2AFDA9D7" w14:textId="35D7B330" w:rsidR="00EE1C5E" w:rsidRPr="00B15F96" w:rsidRDefault="00EE1C5E" w:rsidP="00B15F96">
      <w:pPr>
        <w:pStyle w:val="Prrafo"/>
        <w:numPr>
          <w:ilvl w:val="0"/>
          <w:numId w:val="0"/>
        </w:numPr>
        <w:spacing w:after="0" w:line="240" w:lineRule="auto"/>
        <w:jc w:val="left"/>
        <w:rPr>
          <w:sz w:val="16"/>
          <w:szCs w:val="16"/>
        </w:rPr>
      </w:pPr>
      <w:r w:rsidRPr="00B15F96">
        <w:rPr>
          <w:rStyle w:val="EndnoteReference"/>
          <w:sz w:val="16"/>
          <w:szCs w:val="16"/>
        </w:rPr>
        <w:endnoteRef/>
      </w:r>
      <w:r w:rsidRPr="00B15F96">
        <w:rPr>
          <w:sz w:val="16"/>
          <w:szCs w:val="16"/>
        </w:rPr>
        <w:t>guidelines for the investigation and prosecution of the crime of abortion.</w:t>
      </w:r>
    </w:p>
    <w:p w14:paraId="00DB4E32" w14:textId="60696F00" w:rsidR="00EE1C5E" w:rsidRPr="00B15F96" w:rsidRDefault="00EE1C5E" w:rsidP="00B15F96">
      <w:pPr>
        <w:pStyle w:val="EndnoteText"/>
        <w:rPr>
          <w:rFonts w:cs="Times New Roman"/>
          <w:sz w:val="16"/>
          <w:szCs w:val="16"/>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6584313"/>
      <w:docPartObj>
        <w:docPartGallery w:val="Page Numbers (Bottom of Page)"/>
        <w:docPartUnique/>
      </w:docPartObj>
    </w:sdtPr>
    <w:sdtEndPr>
      <w:rPr>
        <w:noProof/>
      </w:rPr>
    </w:sdtEndPr>
    <w:sdtContent>
      <w:p w14:paraId="46BFB02A" w14:textId="77777777" w:rsidR="00DB2DF2" w:rsidRDefault="00C42F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D61DDD" w14:textId="77777777" w:rsidR="00DB2DF2" w:rsidRDefault="00DB2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8EDEC" w14:textId="77777777" w:rsidR="00231A24" w:rsidRDefault="00231A24" w:rsidP="008116B4">
      <w:pPr>
        <w:spacing w:after="0" w:line="240" w:lineRule="auto"/>
      </w:pPr>
      <w:r>
        <w:separator/>
      </w:r>
    </w:p>
  </w:footnote>
  <w:footnote w:type="continuationSeparator" w:id="0">
    <w:p w14:paraId="3D9E2D5C" w14:textId="77777777" w:rsidR="00231A24" w:rsidRDefault="00231A24" w:rsidP="008116B4">
      <w:pPr>
        <w:spacing w:after="0" w:line="240" w:lineRule="auto"/>
      </w:pPr>
      <w:r>
        <w:continuationSeparator/>
      </w:r>
    </w:p>
  </w:footnote>
  <w:footnote w:type="continuationNotice" w:id="1">
    <w:p w14:paraId="21B6FB27" w14:textId="77777777" w:rsidR="00231A24" w:rsidRDefault="00231A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72CD4" w14:textId="77777777" w:rsidR="00F07938" w:rsidRDefault="00A548AA">
    <w:pPr>
      <w:pStyle w:val="Header"/>
    </w:pPr>
    <w:r w:rsidRPr="00362075">
      <w:rPr>
        <w:noProof/>
      </w:rPr>
      <w:drawing>
        <wp:anchor distT="0" distB="0" distL="114300" distR="114300" simplePos="0" relativeHeight="251658240" behindDoc="0" locked="0" layoutInCell="1" allowOverlap="1" wp14:anchorId="58EB1E80" wp14:editId="004641A4">
          <wp:simplePos x="0" y="0"/>
          <wp:positionH relativeFrom="column">
            <wp:posOffset>2337435</wp:posOffset>
          </wp:positionH>
          <wp:positionV relativeFrom="paragraph">
            <wp:posOffset>-95885</wp:posOffset>
          </wp:positionV>
          <wp:extent cx="979805" cy="610870"/>
          <wp:effectExtent l="0" t="0" r="0" b="0"/>
          <wp:wrapSquare wrapText="bothSides"/>
          <wp:docPr id="18511642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164290" name=""/>
                  <pic:cNvPicPr/>
                </pic:nvPicPr>
                <pic:blipFill>
                  <a:blip r:embed="rId1">
                    <a:extLst>
                      <a:ext uri="{28A0092B-C50C-407E-A947-70E740481C1C}">
                        <a14:useLocalDpi xmlns:a14="http://schemas.microsoft.com/office/drawing/2010/main" val="0"/>
                      </a:ext>
                    </a:extLst>
                  </a:blip>
                  <a:stretch>
                    <a:fillRect/>
                  </a:stretch>
                </pic:blipFill>
                <pic:spPr>
                  <a:xfrm>
                    <a:off x="0" y="0"/>
                    <a:ext cx="979805" cy="610870"/>
                  </a:xfrm>
                  <a:prstGeom prst="rect">
                    <a:avLst/>
                  </a:prstGeom>
                </pic:spPr>
              </pic:pic>
            </a:graphicData>
          </a:graphic>
          <wp14:sizeRelH relativeFrom="page">
            <wp14:pctWidth>0</wp14:pctWidth>
          </wp14:sizeRelH>
          <wp14:sizeRelV relativeFrom="page">
            <wp14:pctHeight>0</wp14:pctHeight>
          </wp14:sizeRelV>
        </wp:anchor>
      </w:drawing>
    </w:r>
    <w:r w:rsidR="00BA66C6">
      <w:rPr>
        <w:noProof/>
      </w:rPr>
      <w:drawing>
        <wp:anchor distT="0" distB="0" distL="114300" distR="114300" simplePos="0" relativeHeight="251658241" behindDoc="0" locked="0" layoutInCell="1" allowOverlap="1" wp14:anchorId="1CBF9928" wp14:editId="48953B2E">
          <wp:simplePos x="0" y="0"/>
          <wp:positionH relativeFrom="column">
            <wp:posOffset>4906645</wp:posOffset>
          </wp:positionH>
          <wp:positionV relativeFrom="paragraph">
            <wp:posOffset>-113665</wp:posOffset>
          </wp:positionV>
          <wp:extent cx="541655" cy="538480"/>
          <wp:effectExtent l="0" t="0" r="4445" b="0"/>
          <wp:wrapSquare wrapText="bothSides"/>
          <wp:docPr id="10707212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721296" name="Imagen 1070721296"/>
                  <pic:cNvPicPr/>
                </pic:nvPicPr>
                <pic:blipFill>
                  <a:blip r:embed="rId2">
                    <a:extLst>
                      <a:ext uri="{28A0092B-C50C-407E-A947-70E740481C1C}">
                        <a14:useLocalDpi xmlns:a14="http://schemas.microsoft.com/office/drawing/2010/main" val="0"/>
                      </a:ext>
                    </a:extLst>
                  </a:blip>
                  <a:stretch>
                    <a:fillRect/>
                  </a:stretch>
                </pic:blipFill>
                <pic:spPr>
                  <a:xfrm>
                    <a:off x="0" y="0"/>
                    <a:ext cx="541655" cy="538480"/>
                  </a:xfrm>
                  <a:prstGeom prst="rect">
                    <a:avLst/>
                  </a:prstGeom>
                </pic:spPr>
              </pic:pic>
            </a:graphicData>
          </a:graphic>
          <wp14:sizeRelH relativeFrom="page">
            <wp14:pctWidth>0</wp14:pctWidth>
          </wp14:sizeRelH>
          <wp14:sizeRelV relativeFrom="page">
            <wp14:pctHeight>0</wp14:pctHeight>
          </wp14:sizeRelV>
        </wp:anchor>
      </w:drawing>
    </w:r>
    <w:r w:rsidR="00E90ADF">
      <w:rPr>
        <w:noProof/>
      </w:rPr>
      <w:drawing>
        <wp:inline distT="0" distB="0" distL="0" distR="0" wp14:anchorId="571F9040" wp14:editId="70EDB878">
          <wp:extent cx="1301211" cy="477672"/>
          <wp:effectExtent l="0" t="0" r="0" b="0"/>
          <wp:docPr id="1" name="Imagen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
                    <a:extLst>
                      <a:ext uri="{28A0092B-C50C-407E-A947-70E740481C1C}">
                        <a14:useLocalDpi xmlns:a14="http://schemas.microsoft.com/office/drawing/2010/main" val="0"/>
                      </a:ext>
                    </a:extLst>
                  </a:blip>
                  <a:stretch>
                    <a:fillRect/>
                  </a:stretch>
                </pic:blipFill>
                <pic:spPr>
                  <a:xfrm>
                    <a:off x="0" y="0"/>
                    <a:ext cx="1309650" cy="480770"/>
                  </a:xfrm>
                  <a:prstGeom prst="rect">
                    <a:avLst/>
                  </a:prstGeom>
                </pic:spPr>
              </pic:pic>
            </a:graphicData>
          </a:graphic>
        </wp:inline>
      </w:drawing>
    </w:r>
    <w:r w:rsidR="00362075" w:rsidRPr="00362075">
      <w:rPr>
        <w:noProof/>
      </w:rPr>
      <w:t xml:space="preserve"> </w:t>
    </w:r>
    <w:r w:rsidR="00BA66C6" w:rsidRPr="00BA66C6">
      <w:t xml:space="preserve"> </w:t>
    </w:r>
  </w:p>
  <w:p w14:paraId="5D356EC7" w14:textId="77777777" w:rsidR="00F07938" w:rsidRDefault="00F07938">
    <w:pPr>
      <w:pStyle w:val="Header"/>
    </w:pPr>
  </w:p>
  <w:p w14:paraId="4EA1FA4F" w14:textId="2A8F7983" w:rsidR="00442BCB" w:rsidRDefault="00F65BAF">
    <w:pPr>
      <w:pStyle w:val="Header"/>
    </w:pP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51D88"/>
    <w:multiLevelType w:val="hybridMultilevel"/>
    <w:tmpl w:val="FE58142A"/>
    <w:lvl w:ilvl="0" w:tplc="F75ADD32">
      <w:start w:val="1"/>
      <w:numFmt w:val="decimal"/>
      <w:lvlText w:val="%1."/>
      <w:lvlJc w:val="left"/>
      <w:pPr>
        <w:ind w:left="720" w:hanging="36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7A06F2"/>
    <w:multiLevelType w:val="hybridMultilevel"/>
    <w:tmpl w:val="E1120B76"/>
    <w:lvl w:ilvl="0" w:tplc="FAC87038">
      <w:start w:val="1"/>
      <w:numFmt w:val="decimal"/>
      <w:pStyle w:val="Prrafo"/>
      <w:lvlText w:val="[%1]."/>
      <w:lvlJc w:val="left"/>
      <w:pPr>
        <w:ind w:left="360" w:hanging="360"/>
      </w:pPr>
      <w:rPr>
        <w:rFonts w:ascii="Times New Roman" w:hAnsi="Times New Roman" w:cs="Times New Roman" w:hint="default"/>
        <w:b w:val="0"/>
        <w:i w:val="0"/>
        <w:caps w:val="0"/>
        <w:strike w:val="0"/>
        <w:dstrike w:val="0"/>
        <w:vanish w:val="0"/>
        <w:sz w:val="22"/>
        <w:szCs w:val="22"/>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363D35"/>
    <w:multiLevelType w:val="hybridMultilevel"/>
    <w:tmpl w:val="AA086348"/>
    <w:lvl w:ilvl="0" w:tplc="2BCE028A">
      <w:start w:val="3"/>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DB3A2F"/>
    <w:multiLevelType w:val="hybridMultilevel"/>
    <w:tmpl w:val="76E47FAE"/>
    <w:lvl w:ilvl="0" w:tplc="BA062660">
      <w:start w:val="1"/>
      <w:numFmt w:val="lowerRoman"/>
      <w:pStyle w:val="Romanos"/>
      <w:lvlText w:val="%1."/>
      <w:lvlJc w:val="right"/>
      <w:pPr>
        <w:ind w:left="154" w:hanging="360"/>
      </w:pPr>
    </w:lvl>
    <w:lvl w:ilvl="1" w:tplc="240A0019" w:tentative="1">
      <w:start w:val="1"/>
      <w:numFmt w:val="lowerLetter"/>
      <w:lvlText w:val="%2."/>
      <w:lvlJc w:val="left"/>
      <w:pPr>
        <w:ind w:left="874" w:hanging="360"/>
      </w:pPr>
    </w:lvl>
    <w:lvl w:ilvl="2" w:tplc="240A001B" w:tentative="1">
      <w:start w:val="1"/>
      <w:numFmt w:val="lowerRoman"/>
      <w:lvlText w:val="%3."/>
      <w:lvlJc w:val="right"/>
      <w:pPr>
        <w:ind w:left="1594" w:hanging="180"/>
      </w:pPr>
    </w:lvl>
    <w:lvl w:ilvl="3" w:tplc="240A000F" w:tentative="1">
      <w:start w:val="1"/>
      <w:numFmt w:val="decimal"/>
      <w:lvlText w:val="%4."/>
      <w:lvlJc w:val="left"/>
      <w:pPr>
        <w:ind w:left="2314" w:hanging="360"/>
      </w:pPr>
    </w:lvl>
    <w:lvl w:ilvl="4" w:tplc="240A0019" w:tentative="1">
      <w:start w:val="1"/>
      <w:numFmt w:val="lowerLetter"/>
      <w:lvlText w:val="%5."/>
      <w:lvlJc w:val="left"/>
      <w:pPr>
        <w:ind w:left="3034" w:hanging="360"/>
      </w:pPr>
    </w:lvl>
    <w:lvl w:ilvl="5" w:tplc="240A001B" w:tentative="1">
      <w:start w:val="1"/>
      <w:numFmt w:val="lowerRoman"/>
      <w:lvlText w:val="%6."/>
      <w:lvlJc w:val="right"/>
      <w:pPr>
        <w:ind w:left="3754" w:hanging="180"/>
      </w:pPr>
    </w:lvl>
    <w:lvl w:ilvl="6" w:tplc="240A000F" w:tentative="1">
      <w:start w:val="1"/>
      <w:numFmt w:val="decimal"/>
      <w:lvlText w:val="%7."/>
      <w:lvlJc w:val="left"/>
      <w:pPr>
        <w:ind w:left="4474" w:hanging="360"/>
      </w:pPr>
    </w:lvl>
    <w:lvl w:ilvl="7" w:tplc="240A0019" w:tentative="1">
      <w:start w:val="1"/>
      <w:numFmt w:val="lowerLetter"/>
      <w:lvlText w:val="%8."/>
      <w:lvlJc w:val="left"/>
      <w:pPr>
        <w:ind w:left="5194" w:hanging="360"/>
      </w:pPr>
    </w:lvl>
    <w:lvl w:ilvl="8" w:tplc="240A001B" w:tentative="1">
      <w:start w:val="1"/>
      <w:numFmt w:val="lowerRoman"/>
      <w:lvlText w:val="%9."/>
      <w:lvlJc w:val="right"/>
      <w:pPr>
        <w:ind w:left="5914" w:hanging="180"/>
      </w:pPr>
    </w:lvl>
  </w:abstractNum>
  <w:abstractNum w:abstractNumId="4" w15:restartNumberingAfterBreak="0">
    <w:nsid w:val="59DB5CAB"/>
    <w:multiLevelType w:val="multilevel"/>
    <w:tmpl w:val="BB26121A"/>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360" w:hanging="360"/>
      </w:pPr>
      <w:rPr>
        <w:rFonts w:hint="default"/>
        <w:b/>
        <w:bCs w:val="0"/>
        <w:lang w:val="es-U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654027D7"/>
    <w:multiLevelType w:val="multilevel"/>
    <w:tmpl w:val="17FED07C"/>
    <w:lvl w:ilvl="0">
      <w:start w:val="1"/>
      <w:numFmt w:val="decimal"/>
      <w:lvlText w:val="%1."/>
      <w:lvlJc w:val="left"/>
      <w:pPr>
        <w:ind w:left="360" w:hanging="360"/>
      </w:pPr>
      <w:rPr>
        <w:rFonts w:hint="default"/>
        <w:b/>
        <w:bCs w:val="0"/>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19333457">
    <w:abstractNumId w:val="5"/>
  </w:num>
  <w:num w:numId="2" w16cid:durableId="1656372168">
    <w:abstractNumId w:val="1"/>
  </w:num>
  <w:num w:numId="3" w16cid:durableId="20012267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2278821">
    <w:abstractNumId w:val="4"/>
  </w:num>
  <w:num w:numId="5" w16cid:durableId="2056197252">
    <w:abstractNumId w:val="0"/>
  </w:num>
  <w:num w:numId="6" w16cid:durableId="19205681">
    <w:abstractNumId w:val="3"/>
  </w:num>
  <w:num w:numId="7" w16cid:durableId="2029289315">
    <w:abstractNumId w:val="4"/>
  </w:num>
  <w:num w:numId="8" w16cid:durableId="781070447">
    <w:abstractNumId w:val="4"/>
  </w:num>
  <w:num w:numId="9" w16cid:durableId="1037389246">
    <w:abstractNumId w:val="3"/>
    <w:lvlOverride w:ilvl="0">
      <w:startOverride w:val="1"/>
    </w:lvlOverride>
  </w:num>
  <w:num w:numId="10" w16cid:durableId="2012831557">
    <w:abstractNumId w:val="4"/>
  </w:num>
  <w:num w:numId="11" w16cid:durableId="2139831469">
    <w:abstractNumId w:val="4"/>
  </w:num>
  <w:num w:numId="12" w16cid:durableId="1839954994">
    <w:abstractNumId w:val="1"/>
    <w:lvlOverride w:ilvl="0">
      <w:startOverride w:val="1"/>
    </w:lvlOverride>
  </w:num>
  <w:num w:numId="13" w16cid:durableId="1382051621">
    <w:abstractNumId w:val="1"/>
  </w:num>
  <w:num w:numId="14" w16cid:durableId="440956268">
    <w:abstractNumId w:val="1"/>
    <w:lvlOverride w:ilvl="0">
      <w:startOverride w:val="1"/>
    </w:lvlOverride>
  </w:num>
  <w:num w:numId="15" w16cid:durableId="2108965217">
    <w:abstractNumId w:val="1"/>
  </w:num>
  <w:num w:numId="16" w16cid:durableId="1655330756">
    <w:abstractNumId w:val="2"/>
  </w:num>
  <w:num w:numId="17" w16cid:durableId="1031341797">
    <w:abstractNumId w:val="1"/>
  </w:num>
  <w:num w:numId="18" w16cid:durableId="114955966">
    <w:abstractNumId w:val="1"/>
  </w:num>
  <w:num w:numId="19" w16cid:durableId="186432062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stelle Wagner">
    <w15:presenceInfo w15:providerId="AD" w15:userId="S::wagnere@reprorights.org::99452378-fda1-4856-a507-f8fd88a13135"/>
  </w15:person>
  <w15:person w15:author="Tania Agosti [2]">
    <w15:presenceInfo w15:providerId="AD" w15:userId="S::tagosti@reprorights.org::e940b387-6d03-4c50-a8ad-b7f5cf88aa03"/>
  </w15:person>
  <w15:person w15:author="Usuario 1">
    <w15:presenceInfo w15:providerId="None" w15:userId="Usuario 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E8BD0F"/>
    <w:rsid w:val="000006B7"/>
    <w:rsid w:val="000009E3"/>
    <w:rsid w:val="00002399"/>
    <w:rsid w:val="000024C6"/>
    <w:rsid w:val="00003F70"/>
    <w:rsid w:val="00004EED"/>
    <w:rsid w:val="00004F05"/>
    <w:rsid w:val="00006177"/>
    <w:rsid w:val="000066D7"/>
    <w:rsid w:val="00006C49"/>
    <w:rsid w:val="0000779A"/>
    <w:rsid w:val="000104A0"/>
    <w:rsid w:val="00010D95"/>
    <w:rsid w:val="000118C5"/>
    <w:rsid w:val="00011F8E"/>
    <w:rsid w:val="00012D0F"/>
    <w:rsid w:val="00013A5B"/>
    <w:rsid w:val="000144F4"/>
    <w:rsid w:val="00015265"/>
    <w:rsid w:val="00015A25"/>
    <w:rsid w:val="00015B3E"/>
    <w:rsid w:val="00015E4E"/>
    <w:rsid w:val="00016A31"/>
    <w:rsid w:val="000177D5"/>
    <w:rsid w:val="0001798D"/>
    <w:rsid w:val="000203D7"/>
    <w:rsid w:val="000204FA"/>
    <w:rsid w:val="00020804"/>
    <w:rsid w:val="00020C30"/>
    <w:rsid w:val="000211C7"/>
    <w:rsid w:val="0002128D"/>
    <w:rsid w:val="00021DDF"/>
    <w:rsid w:val="00021F6A"/>
    <w:rsid w:val="000234BA"/>
    <w:rsid w:val="00024437"/>
    <w:rsid w:val="000255C9"/>
    <w:rsid w:val="0002592D"/>
    <w:rsid w:val="00026423"/>
    <w:rsid w:val="0002670E"/>
    <w:rsid w:val="0003079B"/>
    <w:rsid w:val="00032A37"/>
    <w:rsid w:val="00032DA3"/>
    <w:rsid w:val="000351AB"/>
    <w:rsid w:val="00035CEA"/>
    <w:rsid w:val="00035FF2"/>
    <w:rsid w:val="000371CD"/>
    <w:rsid w:val="00037752"/>
    <w:rsid w:val="000378FE"/>
    <w:rsid w:val="000418E3"/>
    <w:rsid w:val="00042824"/>
    <w:rsid w:val="000428EB"/>
    <w:rsid w:val="00043C7C"/>
    <w:rsid w:val="000440D0"/>
    <w:rsid w:val="00045705"/>
    <w:rsid w:val="00046288"/>
    <w:rsid w:val="00046D32"/>
    <w:rsid w:val="0004779A"/>
    <w:rsid w:val="00050086"/>
    <w:rsid w:val="0005015D"/>
    <w:rsid w:val="000510D8"/>
    <w:rsid w:val="00051175"/>
    <w:rsid w:val="0005198E"/>
    <w:rsid w:val="00052F19"/>
    <w:rsid w:val="0005386E"/>
    <w:rsid w:val="00053A16"/>
    <w:rsid w:val="00054568"/>
    <w:rsid w:val="00057489"/>
    <w:rsid w:val="00057900"/>
    <w:rsid w:val="00057C9B"/>
    <w:rsid w:val="0006000D"/>
    <w:rsid w:val="0006019D"/>
    <w:rsid w:val="00060588"/>
    <w:rsid w:val="00062992"/>
    <w:rsid w:val="00063753"/>
    <w:rsid w:val="00063BBB"/>
    <w:rsid w:val="00063E9A"/>
    <w:rsid w:val="00063F2B"/>
    <w:rsid w:val="00063F6C"/>
    <w:rsid w:val="00064305"/>
    <w:rsid w:val="00065610"/>
    <w:rsid w:val="0006578A"/>
    <w:rsid w:val="00066E83"/>
    <w:rsid w:val="00070843"/>
    <w:rsid w:val="00070A86"/>
    <w:rsid w:val="000711F0"/>
    <w:rsid w:val="0007207F"/>
    <w:rsid w:val="00072259"/>
    <w:rsid w:val="0007279A"/>
    <w:rsid w:val="00073645"/>
    <w:rsid w:val="00074747"/>
    <w:rsid w:val="00074EE4"/>
    <w:rsid w:val="0007502C"/>
    <w:rsid w:val="0007584F"/>
    <w:rsid w:val="000759C3"/>
    <w:rsid w:val="00075C44"/>
    <w:rsid w:val="00075E33"/>
    <w:rsid w:val="00076171"/>
    <w:rsid w:val="00076385"/>
    <w:rsid w:val="00077AD5"/>
    <w:rsid w:val="000806C7"/>
    <w:rsid w:val="0008076D"/>
    <w:rsid w:val="00081853"/>
    <w:rsid w:val="000833C1"/>
    <w:rsid w:val="0008363F"/>
    <w:rsid w:val="00083BDC"/>
    <w:rsid w:val="00083F65"/>
    <w:rsid w:val="00084000"/>
    <w:rsid w:val="00084F01"/>
    <w:rsid w:val="0008512C"/>
    <w:rsid w:val="000863D2"/>
    <w:rsid w:val="0008704B"/>
    <w:rsid w:val="00087939"/>
    <w:rsid w:val="00090215"/>
    <w:rsid w:val="00090C32"/>
    <w:rsid w:val="00091585"/>
    <w:rsid w:val="0009211D"/>
    <w:rsid w:val="00092442"/>
    <w:rsid w:val="00092C91"/>
    <w:rsid w:val="00092D98"/>
    <w:rsid w:val="00094995"/>
    <w:rsid w:val="00094DFB"/>
    <w:rsid w:val="00095C61"/>
    <w:rsid w:val="00096389"/>
    <w:rsid w:val="00096A42"/>
    <w:rsid w:val="00097664"/>
    <w:rsid w:val="00097E43"/>
    <w:rsid w:val="000A0767"/>
    <w:rsid w:val="000A07BD"/>
    <w:rsid w:val="000A1D50"/>
    <w:rsid w:val="000A303B"/>
    <w:rsid w:val="000A4748"/>
    <w:rsid w:val="000A4AF4"/>
    <w:rsid w:val="000A5A97"/>
    <w:rsid w:val="000A5CBA"/>
    <w:rsid w:val="000A6492"/>
    <w:rsid w:val="000A6D8A"/>
    <w:rsid w:val="000A7A35"/>
    <w:rsid w:val="000A7DBE"/>
    <w:rsid w:val="000B09F9"/>
    <w:rsid w:val="000B1902"/>
    <w:rsid w:val="000B2ABA"/>
    <w:rsid w:val="000B2F71"/>
    <w:rsid w:val="000B3B1C"/>
    <w:rsid w:val="000B4390"/>
    <w:rsid w:val="000B4C53"/>
    <w:rsid w:val="000B575D"/>
    <w:rsid w:val="000B58A0"/>
    <w:rsid w:val="000B5FE8"/>
    <w:rsid w:val="000C0895"/>
    <w:rsid w:val="000C095A"/>
    <w:rsid w:val="000C132E"/>
    <w:rsid w:val="000C2135"/>
    <w:rsid w:val="000C2E07"/>
    <w:rsid w:val="000C4B3F"/>
    <w:rsid w:val="000C4D30"/>
    <w:rsid w:val="000C5270"/>
    <w:rsid w:val="000C718D"/>
    <w:rsid w:val="000C7863"/>
    <w:rsid w:val="000D276E"/>
    <w:rsid w:val="000D296E"/>
    <w:rsid w:val="000D32B2"/>
    <w:rsid w:val="000D59C4"/>
    <w:rsid w:val="000D66E4"/>
    <w:rsid w:val="000D6E60"/>
    <w:rsid w:val="000E0732"/>
    <w:rsid w:val="000E0819"/>
    <w:rsid w:val="000E0A96"/>
    <w:rsid w:val="000E1075"/>
    <w:rsid w:val="000E1EB6"/>
    <w:rsid w:val="000E246D"/>
    <w:rsid w:val="000E2E5E"/>
    <w:rsid w:val="000E33EA"/>
    <w:rsid w:val="000E5881"/>
    <w:rsid w:val="000E5F07"/>
    <w:rsid w:val="000E76F1"/>
    <w:rsid w:val="000E7BFB"/>
    <w:rsid w:val="000F0678"/>
    <w:rsid w:val="000F0830"/>
    <w:rsid w:val="000F3285"/>
    <w:rsid w:val="000F526E"/>
    <w:rsid w:val="000F52D8"/>
    <w:rsid w:val="000F5696"/>
    <w:rsid w:val="000F7112"/>
    <w:rsid w:val="000F7DE7"/>
    <w:rsid w:val="00103837"/>
    <w:rsid w:val="00103EBD"/>
    <w:rsid w:val="00104008"/>
    <w:rsid w:val="001054AF"/>
    <w:rsid w:val="0010578F"/>
    <w:rsid w:val="001059A7"/>
    <w:rsid w:val="001071E5"/>
    <w:rsid w:val="001113D5"/>
    <w:rsid w:val="001115A0"/>
    <w:rsid w:val="00111626"/>
    <w:rsid w:val="00113A70"/>
    <w:rsid w:val="00114C99"/>
    <w:rsid w:val="00117759"/>
    <w:rsid w:val="00117FF9"/>
    <w:rsid w:val="00120467"/>
    <w:rsid w:val="00120959"/>
    <w:rsid w:val="00120AF2"/>
    <w:rsid w:val="0012141A"/>
    <w:rsid w:val="00121702"/>
    <w:rsid w:val="001237C7"/>
    <w:rsid w:val="00123DC2"/>
    <w:rsid w:val="00123DFB"/>
    <w:rsid w:val="00124F57"/>
    <w:rsid w:val="00125552"/>
    <w:rsid w:val="00125587"/>
    <w:rsid w:val="00125902"/>
    <w:rsid w:val="00125B9F"/>
    <w:rsid w:val="00126AC1"/>
    <w:rsid w:val="001270DB"/>
    <w:rsid w:val="001275D4"/>
    <w:rsid w:val="00130546"/>
    <w:rsid w:val="001311C8"/>
    <w:rsid w:val="00131411"/>
    <w:rsid w:val="0013260D"/>
    <w:rsid w:val="00132B09"/>
    <w:rsid w:val="0013343B"/>
    <w:rsid w:val="001337C8"/>
    <w:rsid w:val="00135871"/>
    <w:rsid w:val="001359E5"/>
    <w:rsid w:val="00135F8F"/>
    <w:rsid w:val="00136CA3"/>
    <w:rsid w:val="00137BBC"/>
    <w:rsid w:val="00137CEB"/>
    <w:rsid w:val="00140168"/>
    <w:rsid w:val="001401A1"/>
    <w:rsid w:val="001407AD"/>
    <w:rsid w:val="001415CA"/>
    <w:rsid w:val="00141AC0"/>
    <w:rsid w:val="00142405"/>
    <w:rsid w:val="00142E07"/>
    <w:rsid w:val="0014343C"/>
    <w:rsid w:val="0014563C"/>
    <w:rsid w:val="001464D8"/>
    <w:rsid w:val="001466D6"/>
    <w:rsid w:val="0015031C"/>
    <w:rsid w:val="00150DB1"/>
    <w:rsid w:val="0015181E"/>
    <w:rsid w:val="001519D7"/>
    <w:rsid w:val="00152369"/>
    <w:rsid w:val="00152489"/>
    <w:rsid w:val="001525D1"/>
    <w:rsid w:val="00152A28"/>
    <w:rsid w:val="00153926"/>
    <w:rsid w:val="001547B6"/>
    <w:rsid w:val="001560B4"/>
    <w:rsid w:val="00157D2A"/>
    <w:rsid w:val="00157D44"/>
    <w:rsid w:val="0016163B"/>
    <w:rsid w:val="00161B58"/>
    <w:rsid w:val="00161E1C"/>
    <w:rsid w:val="00162031"/>
    <w:rsid w:val="001624B8"/>
    <w:rsid w:val="001625F5"/>
    <w:rsid w:val="00163427"/>
    <w:rsid w:val="001638F8"/>
    <w:rsid w:val="00163A92"/>
    <w:rsid w:val="0016445B"/>
    <w:rsid w:val="00164474"/>
    <w:rsid w:val="00165023"/>
    <w:rsid w:val="00166221"/>
    <w:rsid w:val="00170F8D"/>
    <w:rsid w:val="00171278"/>
    <w:rsid w:val="00171C33"/>
    <w:rsid w:val="00171D0F"/>
    <w:rsid w:val="00172364"/>
    <w:rsid w:val="00173323"/>
    <w:rsid w:val="001751E4"/>
    <w:rsid w:val="00177121"/>
    <w:rsid w:val="0017794D"/>
    <w:rsid w:val="001802FD"/>
    <w:rsid w:val="00180B05"/>
    <w:rsid w:val="001814E4"/>
    <w:rsid w:val="00183409"/>
    <w:rsid w:val="0018348A"/>
    <w:rsid w:val="001839EC"/>
    <w:rsid w:val="001843C0"/>
    <w:rsid w:val="00184588"/>
    <w:rsid w:val="00184B9E"/>
    <w:rsid w:val="001852DE"/>
    <w:rsid w:val="00190ED7"/>
    <w:rsid w:val="00190F6B"/>
    <w:rsid w:val="00192BD6"/>
    <w:rsid w:val="00192FC2"/>
    <w:rsid w:val="001937B0"/>
    <w:rsid w:val="0019383F"/>
    <w:rsid w:val="00194271"/>
    <w:rsid w:val="001943C7"/>
    <w:rsid w:val="001949C7"/>
    <w:rsid w:val="00195C59"/>
    <w:rsid w:val="00196FDA"/>
    <w:rsid w:val="00197BD1"/>
    <w:rsid w:val="001A03F9"/>
    <w:rsid w:val="001A0625"/>
    <w:rsid w:val="001A08E6"/>
    <w:rsid w:val="001A120A"/>
    <w:rsid w:val="001A17FE"/>
    <w:rsid w:val="001A3EA4"/>
    <w:rsid w:val="001A475C"/>
    <w:rsid w:val="001A5ED0"/>
    <w:rsid w:val="001A5F8E"/>
    <w:rsid w:val="001A7A7F"/>
    <w:rsid w:val="001B09A4"/>
    <w:rsid w:val="001B1F69"/>
    <w:rsid w:val="001B2D8A"/>
    <w:rsid w:val="001B2DAA"/>
    <w:rsid w:val="001B44BB"/>
    <w:rsid w:val="001B4753"/>
    <w:rsid w:val="001B4F5E"/>
    <w:rsid w:val="001B5567"/>
    <w:rsid w:val="001B5650"/>
    <w:rsid w:val="001B5930"/>
    <w:rsid w:val="001B59CC"/>
    <w:rsid w:val="001B736E"/>
    <w:rsid w:val="001B7BED"/>
    <w:rsid w:val="001B7CFD"/>
    <w:rsid w:val="001B7DA8"/>
    <w:rsid w:val="001B7E0F"/>
    <w:rsid w:val="001B7EC8"/>
    <w:rsid w:val="001B7FA8"/>
    <w:rsid w:val="001C03D0"/>
    <w:rsid w:val="001C050B"/>
    <w:rsid w:val="001C0A0B"/>
    <w:rsid w:val="001C156D"/>
    <w:rsid w:val="001C4DF4"/>
    <w:rsid w:val="001C7374"/>
    <w:rsid w:val="001C756B"/>
    <w:rsid w:val="001D1640"/>
    <w:rsid w:val="001D2681"/>
    <w:rsid w:val="001D3804"/>
    <w:rsid w:val="001D56C2"/>
    <w:rsid w:val="001D5D76"/>
    <w:rsid w:val="001D6904"/>
    <w:rsid w:val="001D6919"/>
    <w:rsid w:val="001D79B6"/>
    <w:rsid w:val="001E0262"/>
    <w:rsid w:val="001E1557"/>
    <w:rsid w:val="001E1D28"/>
    <w:rsid w:val="001E48C7"/>
    <w:rsid w:val="001E4D61"/>
    <w:rsid w:val="001E4F1B"/>
    <w:rsid w:val="001E5C61"/>
    <w:rsid w:val="001E6678"/>
    <w:rsid w:val="001E764B"/>
    <w:rsid w:val="001F0550"/>
    <w:rsid w:val="001F138C"/>
    <w:rsid w:val="001F207F"/>
    <w:rsid w:val="001F335E"/>
    <w:rsid w:val="001F36CB"/>
    <w:rsid w:val="001F37D0"/>
    <w:rsid w:val="001F3BB2"/>
    <w:rsid w:val="001F3FB2"/>
    <w:rsid w:val="001F4592"/>
    <w:rsid w:val="001F552F"/>
    <w:rsid w:val="001F6DD8"/>
    <w:rsid w:val="001F74CF"/>
    <w:rsid w:val="002001E1"/>
    <w:rsid w:val="00200364"/>
    <w:rsid w:val="00200B67"/>
    <w:rsid w:val="00201502"/>
    <w:rsid w:val="00201A56"/>
    <w:rsid w:val="002022FC"/>
    <w:rsid w:val="00202767"/>
    <w:rsid w:val="002027CA"/>
    <w:rsid w:val="00202F66"/>
    <w:rsid w:val="00204472"/>
    <w:rsid w:val="00204A5B"/>
    <w:rsid w:val="002057C2"/>
    <w:rsid w:val="00205F63"/>
    <w:rsid w:val="00207780"/>
    <w:rsid w:val="00207DFA"/>
    <w:rsid w:val="00207F63"/>
    <w:rsid w:val="00210141"/>
    <w:rsid w:val="00210FE5"/>
    <w:rsid w:val="00211284"/>
    <w:rsid w:val="00211C0B"/>
    <w:rsid w:val="002130FE"/>
    <w:rsid w:val="00213B27"/>
    <w:rsid w:val="00213E4F"/>
    <w:rsid w:val="002143E5"/>
    <w:rsid w:val="002147D7"/>
    <w:rsid w:val="002150E4"/>
    <w:rsid w:val="00215151"/>
    <w:rsid w:val="00215633"/>
    <w:rsid w:val="00216A03"/>
    <w:rsid w:val="00216E57"/>
    <w:rsid w:val="002172A6"/>
    <w:rsid w:val="00217C81"/>
    <w:rsid w:val="00220060"/>
    <w:rsid w:val="00220205"/>
    <w:rsid w:val="002204C5"/>
    <w:rsid w:val="0022222B"/>
    <w:rsid w:val="00222460"/>
    <w:rsid w:val="00223661"/>
    <w:rsid w:val="0022494F"/>
    <w:rsid w:val="00224EC3"/>
    <w:rsid w:val="00225EFB"/>
    <w:rsid w:val="002267A1"/>
    <w:rsid w:val="00226816"/>
    <w:rsid w:val="00227255"/>
    <w:rsid w:val="00230888"/>
    <w:rsid w:val="002314D3"/>
    <w:rsid w:val="00231A24"/>
    <w:rsid w:val="00232106"/>
    <w:rsid w:val="00232A9D"/>
    <w:rsid w:val="00232CE7"/>
    <w:rsid w:val="00233A66"/>
    <w:rsid w:val="00233FCB"/>
    <w:rsid w:val="00235F02"/>
    <w:rsid w:val="0023740D"/>
    <w:rsid w:val="0023742F"/>
    <w:rsid w:val="00237F2D"/>
    <w:rsid w:val="00242551"/>
    <w:rsid w:val="002435B8"/>
    <w:rsid w:val="00244870"/>
    <w:rsid w:val="0024528E"/>
    <w:rsid w:val="0024541B"/>
    <w:rsid w:val="00245D4C"/>
    <w:rsid w:val="0024693C"/>
    <w:rsid w:val="0024717D"/>
    <w:rsid w:val="00247C7B"/>
    <w:rsid w:val="00247FC7"/>
    <w:rsid w:val="00250A0A"/>
    <w:rsid w:val="002510FD"/>
    <w:rsid w:val="00251943"/>
    <w:rsid w:val="00252420"/>
    <w:rsid w:val="002554FA"/>
    <w:rsid w:val="002556FD"/>
    <w:rsid w:val="00255D5A"/>
    <w:rsid w:val="00255F95"/>
    <w:rsid w:val="002568D7"/>
    <w:rsid w:val="002571E0"/>
    <w:rsid w:val="00257469"/>
    <w:rsid w:val="002574B5"/>
    <w:rsid w:val="002577B2"/>
    <w:rsid w:val="00257A61"/>
    <w:rsid w:val="00261F37"/>
    <w:rsid w:val="0026230F"/>
    <w:rsid w:val="002623A3"/>
    <w:rsid w:val="00263ABC"/>
    <w:rsid w:val="00264139"/>
    <w:rsid w:val="00265090"/>
    <w:rsid w:val="002654D3"/>
    <w:rsid w:val="002660FA"/>
    <w:rsid w:val="002663AE"/>
    <w:rsid w:val="0026662E"/>
    <w:rsid w:val="002667A6"/>
    <w:rsid w:val="0026752F"/>
    <w:rsid w:val="002711DC"/>
    <w:rsid w:val="00273FBB"/>
    <w:rsid w:val="00274FE2"/>
    <w:rsid w:val="00275AD9"/>
    <w:rsid w:val="002768A9"/>
    <w:rsid w:val="0028067D"/>
    <w:rsid w:val="002807DC"/>
    <w:rsid w:val="002809F4"/>
    <w:rsid w:val="00280C14"/>
    <w:rsid w:val="00280D68"/>
    <w:rsid w:val="002812EE"/>
    <w:rsid w:val="00283991"/>
    <w:rsid w:val="00284291"/>
    <w:rsid w:val="00286025"/>
    <w:rsid w:val="00286BE9"/>
    <w:rsid w:val="0029042D"/>
    <w:rsid w:val="00291381"/>
    <w:rsid w:val="00291524"/>
    <w:rsid w:val="00291D67"/>
    <w:rsid w:val="00291D91"/>
    <w:rsid w:val="00292385"/>
    <w:rsid w:val="002924B1"/>
    <w:rsid w:val="00292CDE"/>
    <w:rsid w:val="00293926"/>
    <w:rsid w:val="00293D22"/>
    <w:rsid w:val="00295A91"/>
    <w:rsid w:val="00295DDF"/>
    <w:rsid w:val="002961F4"/>
    <w:rsid w:val="00296ECE"/>
    <w:rsid w:val="0029745E"/>
    <w:rsid w:val="00297C1C"/>
    <w:rsid w:val="002A0F0B"/>
    <w:rsid w:val="002A149C"/>
    <w:rsid w:val="002A2092"/>
    <w:rsid w:val="002A2E80"/>
    <w:rsid w:val="002A3413"/>
    <w:rsid w:val="002A3805"/>
    <w:rsid w:val="002A3CEF"/>
    <w:rsid w:val="002A4318"/>
    <w:rsid w:val="002A451D"/>
    <w:rsid w:val="002A46AD"/>
    <w:rsid w:val="002A483F"/>
    <w:rsid w:val="002B0D54"/>
    <w:rsid w:val="002B15E2"/>
    <w:rsid w:val="002B18A7"/>
    <w:rsid w:val="002B19E1"/>
    <w:rsid w:val="002B26CE"/>
    <w:rsid w:val="002B2887"/>
    <w:rsid w:val="002B2C64"/>
    <w:rsid w:val="002B354A"/>
    <w:rsid w:val="002B39D2"/>
    <w:rsid w:val="002B3DDA"/>
    <w:rsid w:val="002B4001"/>
    <w:rsid w:val="002B413C"/>
    <w:rsid w:val="002B59A3"/>
    <w:rsid w:val="002B5C7A"/>
    <w:rsid w:val="002B6B5F"/>
    <w:rsid w:val="002B6E84"/>
    <w:rsid w:val="002B798E"/>
    <w:rsid w:val="002B7D00"/>
    <w:rsid w:val="002C24AB"/>
    <w:rsid w:val="002C2D9D"/>
    <w:rsid w:val="002C3465"/>
    <w:rsid w:val="002C3917"/>
    <w:rsid w:val="002C3A95"/>
    <w:rsid w:val="002C454B"/>
    <w:rsid w:val="002C57D7"/>
    <w:rsid w:val="002C6111"/>
    <w:rsid w:val="002C6A09"/>
    <w:rsid w:val="002C7589"/>
    <w:rsid w:val="002C7748"/>
    <w:rsid w:val="002C79DE"/>
    <w:rsid w:val="002D0965"/>
    <w:rsid w:val="002D1781"/>
    <w:rsid w:val="002D1E54"/>
    <w:rsid w:val="002D20D8"/>
    <w:rsid w:val="002D26D7"/>
    <w:rsid w:val="002D2EF4"/>
    <w:rsid w:val="002D30AF"/>
    <w:rsid w:val="002D30C2"/>
    <w:rsid w:val="002D3A74"/>
    <w:rsid w:val="002D3CA8"/>
    <w:rsid w:val="002D48B5"/>
    <w:rsid w:val="002D4D99"/>
    <w:rsid w:val="002D4E21"/>
    <w:rsid w:val="002D5987"/>
    <w:rsid w:val="002D6632"/>
    <w:rsid w:val="002D6986"/>
    <w:rsid w:val="002D69AA"/>
    <w:rsid w:val="002D6AEA"/>
    <w:rsid w:val="002E08AA"/>
    <w:rsid w:val="002E093E"/>
    <w:rsid w:val="002E12A8"/>
    <w:rsid w:val="002E1D65"/>
    <w:rsid w:val="002E24C9"/>
    <w:rsid w:val="002E259F"/>
    <w:rsid w:val="002E292D"/>
    <w:rsid w:val="002E3A02"/>
    <w:rsid w:val="002E3AF4"/>
    <w:rsid w:val="002E5B86"/>
    <w:rsid w:val="002E5BFF"/>
    <w:rsid w:val="002E6B56"/>
    <w:rsid w:val="002E6F2C"/>
    <w:rsid w:val="002F015E"/>
    <w:rsid w:val="002F0983"/>
    <w:rsid w:val="002F148F"/>
    <w:rsid w:val="002F1F54"/>
    <w:rsid w:val="002F2950"/>
    <w:rsid w:val="002F29A5"/>
    <w:rsid w:val="002F2E6A"/>
    <w:rsid w:val="002F3570"/>
    <w:rsid w:val="002F43AE"/>
    <w:rsid w:val="002F4672"/>
    <w:rsid w:val="002F69DA"/>
    <w:rsid w:val="002F6ABA"/>
    <w:rsid w:val="002F79EC"/>
    <w:rsid w:val="002F94A0"/>
    <w:rsid w:val="00300442"/>
    <w:rsid w:val="00300494"/>
    <w:rsid w:val="003011CB"/>
    <w:rsid w:val="0030167D"/>
    <w:rsid w:val="00301C30"/>
    <w:rsid w:val="00302400"/>
    <w:rsid w:val="00302BFD"/>
    <w:rsid w:val="0030387D"/>
    <w:rsid w:val="00303AC3"/>
    <w:rsid w:val="003045B6"/>
    <w:rsid w:val="00304BDE"/>
    <w:rsid w:val="00305837"/>
    <w:rsid w:val="003058FE"/>
    <w:rsid w:val="003107D2"/>
    <w:rsid w:val="00310F13"/>
    <w:rsid w:val="00313000"/>
    <w:rsid w:val="0031351E"/>
    <w:rsid w:val="00313E43"/>
    <w:rsid w:val="00314149"/>
    <w:rsid w:val="003165B5"/>
    <w:rsid w:val="0031C1A4"/>
    <w:rsid w:val="00320560"/>
    <w:rsid w:val="00320A8B"/>
    <w:rsid w:val="00321AD9"/>
    <w:rsid w:val="003220DB"/>
    <w:rsid w:val="0032275C"/>
    <w:rsid w:val="003229E9"/>
    <w:rsid w:val="00323AA5"/>
    <w:rsid w:val="00323D2F"/>
    <w:rsid w:val="003272CB"/>
    <w:rsid w:val="003272F1"/>
    <w:rsid w:val="00327C8E"/>
    <w:rsid w:val="0033025D"/>
    <w:rsid w:val="003304D3"/>
    <w:rsid w:val="00330DD9"/>
    <w:rsid w:val="00332AFC"/>
    <w:rsid w:val="00332C30"/>
    <w:rsid w:val="00332F56"/>
    <w:rsid w:val="003340BC"/>
    <w:rsid w:val="00334ADD"/>
    <w:rsid w:val="00334F0A"/>
    <w:rsid w:val="003365E5"/>
    <w:rsid w:val="00337550"/>
    <w:rsid w:val="0033767B"/>
    <w:rsid w:val="00337E0D"/>
    <w:rsid w:val="00340BA5"/>
    <w:rsid w:val="003418E4"/>
    <w:rsid w:val="00342E48"/>
    <w:rsid w:val="00343073"/>
    <w:rsid w:val="0034385D"/>
    <w:rsid w:val="00345B7B"/>
    <w:rsid w:val="003466CA"/>
    <w:rsid w:val="00346D17"/>
    <w:rsid w:val="00346FB4"/>
    <w:rsid w:val="0034757A"/>
    <w:rsid w:val="00350E93"/>
    <w:rsid w:val="0035174B"/>
    <w:rsid w:val="00351B42"/>
    <w:rsid w:val="00351EC7"/>
    <w:rsid w:val="00351F1A"/>
    <w:rsid w:val="003527C3"/>
    <w:rsid w:val="00352859"/>
    <w:rsid w:val="00352C41"/>
    <w:rsid w:val="003539C5"/>
    <w:rsid w:val="003554D3"/>
    <w:rsid w:val="003555A9"/>
    <w:rsid w:val="0035642D"/>
    <w:rsid w:val="003564DB"/>
    <w:rsid w:val="00356D08"/>
    <w:rsid w:val="003571E4"/>
    <w:rsid w:val="00360445"/>
    <w:rsid w:val="003608C7"/>
    <w:rsid w:val="00360ACD"/>
    <w:rsid w:val="00360DCB"/>
    <w:rsid w:val="00362075"/>
    <w:rsid w:val="00362786"/>
    <w:rsid w:val="00362A25"/>
    <w:rsid w:val="003632BB"/>
    <w:rsid w:val="00365190"/>
    <w:rsid w:val="003655AF"/>
    <w:rsid w:val="00366342"/>
    <w:rsid w:val="003677E7"/>
    <w:rsid w:val="003678D0"/>
    <w:rsid w:val="0037095C"/>
    <w:rsid w:val="00370B73"/>
    <w:rsid w:val="00374F62"/>
    <w:rsid w:val="00375282"/>
    <w:rsid w:val="003753C5"/>
    <w:rsid w:val="00375666"/>
    <w:rsid w:val="003779D4"/>
    <w:rsid w:val="00377D13"/>
    <w:rsid w:val="00380156"/>
    <w:rsid w:val="00380C87"/>
    <w:rsid w:val="00380E5B"/>
    <w:rsid w:val="0038152C"/>
    <w:rsid w:val="00382B5D"/>
    <w:rsid w:val="003837A9"/>
    <w:rsid w:val="00383978"/>
    <w:rsid w:val="00383F14"/>
    <w:rsid w:val="003853E7"/>
    <w:rsid w:val="00385648"/>
    <w:rsid w:val="003859A5"/>
    <w:rsid w:val="00385B84"/>
    <w:rsid w:val="0038798E"/>
    <w:rsid w:val="00390239"/>
    <w:rsid w:val="00390A78"/>
    <w:rsid w:val="00390E3D"/>
    <w:rsid w:val="00391363"/>
    <w:rsid w:val="0039177B"/>
    <w:rsid w:val="0039260A"/>
    <w:rsid w:val="00392867"/>
    <w:rsid w:val="00393808"/>
    <w:rsid w:val="00394685"/>
    <w:rsid w:val="003946BA"/>
    <w:rsid w:val="00395340"/>
    <w:rsid w:val="003956E7"/>
    <w:rsid w:val="00395752"/>
    <w:rsid w:val="00395C02"/>
    <w:rsid w:val="00395CB0"/>
    <w:rsid w:val="00396BA1"/>
    <w:rsid w:val="003974E0"/>
    <w:rsid w:val="00397827"/>
    <w:rsid w:val="00397BAC"/>
    <w:rsid w:val="00397D76"/>
    <w:rsid w:val="003A16F0"/>
    <w:rsid w:val="003A17C5"/>
    <w:rsid w:val="003A2EB5"/>
    <w:rsid w:val="003A3C9E"/>
    <w:rsid w:val="003A50B0"/>
    <w:rsid w:val="003A5823"/>
    <w:rsid w:val="003A5FF3"/>
    <w:rsid w:val="003A624E"/>
    <w:rsid w:val="003A62FB"/>
    <w:rsid w:val="003A67AC"/>
    <w:rsid w:val="003A6AB9"/>
    <w:rsid w:val="003A6B7B"/>
    <w:rsid w:val="003B0350"/>
    <w:rsid w:val="003B04D2"/>
    <w:rsid w:val="003B05CD"/>
    <w:rsid w:val="003B069E"/>
    <w:rsid w:val="003B06E6"/>
    <w:rsid w:val="003B1037"/>
    <w:rsid w:val="003B10BA"/>
    <w:rsid w:val="003B11DE"/>
    <w:rsid w:val="003B1258"/>
    <w:rsid w:val="003B154A"/>
    <w:rsid w:val="003B155C"/>
    <w:rsid w:val="003B1CCF"/>
    <w:rsid w:val="003B2262"/>
    <w:rsid w:val="003B28B2"/>
    <w:rsid w:val="003B368C"/>
    <w:rsid w:val="003B3849"/>
    <w:rsid w:val="003B43BC"/>
    <w:rsid w:val="003B4DC1"/>
    <w:rsid w:val="003B5BAD"/>
    <w:rsid w:val="003B65AD"/>
    <w:rsid w:val="003B672F"/>
    <w:rsid w:val="003B6D59"/>
    <w:rsid w:val="003B7082"/>
    <w:rsid w:val="003B7E5E"/>
    <w:rsid w:val="003C07D3"/>
    <w:rsid w:val="003C0C34"/>
    <w:rsid w:val="003C10A9"/>
    <w:rsid w:val="003C1A10"/>
    <w:rsid w:val="003C24CA"/>
    <w:rsid w:val="003C3218"/>
    <w:rsid w:val="003C4C83"/>
    <w:rsid w:val="003C528F"/>
    <w:rsid w:val="003C5379"/>
    <w:rsid w:val="003C53A6"/>
    <w:rsid w:val="003C54CF"/>
    <w:rsid w:val="003C5B73"/>
    <w:rsid w:val="003C659E"/>
    <w:rsid w:val="003C6605"/>
    <w:rsid w:val="003C682D"/>
    <w:rsid w:val="003C7786"/>
    <w:rsid w:val="003D0FAD"/>
    <w:rsid w:val="003D13D1"/>
    <w:rsid w:val="003D19C8"/>
    <w:rsid w:val="003D3541"/>
    <w:rsid w:val="003D3F51"/>
    <w:rsid w:val="003D4DA7"/>
    <w:rsid w:val="003D58EF"/>
    <w:rsid w:val="003D7B61"/>
    <w:rsid w:val="003D7CB7"/>
    <w:rsid w:val="003E181C"/>
    <w:rsid w:val="003E3D7F"/>
    <w:rsid w:val="003E4C0C"/>
    <w:rsid w:val="003E52D0"/>
    <w:rsid w:val="003E5990"/>
    <w:rsid w:val="003E6960"/>
    <w:rsid w:val="003E6B00"/>
    <w:rsid w:val="003E7566"/>
    <w:rsid w:val="003F086A"/>
    <w:rsid w:val="003F10F3"/>
    <w:rsid w:val="003F1E4F"/>
    <w:rsid w:val="003F2752"/>
    <w:rsid w:val="003F27DC"/>
    <w:rsid w:val="003F2FE7"/>
    <w:rsid w:val="003F3E06"/>
    <w:rsid w:val="003F49CE"/>
    <w:rsid w:val="003F657B"/>
    <w:rsid w:val="003F69BD"/>
    <w:rsid w:val="003F77C7"/>
    <w:rsid w:val="004015FF"/>
    <w:rsid w:val="00401DEC"/>
    <w:rsid w:val="0040231F"/>
    <w:rsid w:val="0040372D"/>
    <w:rsid w:val="00404005"/>
    <w:rsid w:val="00404204"/>
    <w:rsid w:val="0040494B"/>
    <w:rsid w:val="004049EA"/>
    <w:rsid w:val="004067F9"/>
    <w:rsid w:val="00406B27"/>
    <w:rsid w:val="00407FE6"/>
    <w:rsid w:val="00410082"/>
    <w:rsid w:val="004102FA"/>
    <w:rsid w:val="004105FD"/>
    <w:rsid w:val="00411756"/>
    <w:rsid w:val="00412D56"/>
    <w:rsid w:val="0041343D"/>
    <w:rsid w:val="00413A82"/>
    <w:rsid w:val="0041676F"/>
    <w:rsid w:val="00417260"/>
    <w:rsid w:val="00420676"/>
    <w:rsid w:val="00421A81"/>
    <w:rsid w:val="004222CF"/>
    <w:rsid w:val="0042240C"/>
    <w:rsid w:val="00423268"/>
    <w:rsid w:val="004234B6"/>
    <w:rsid w:val="00424D05"/>
    <w:rsid w:val="0042560A"/>
    <w:rsid w:val="00425B31"/>
    <w:rsid w:val="00426130"/>
    <w:rsid w:val="00426AE2"/>
    <w:rsid w:val="00426F78"/>
    <w:rsid w:val="00427077"/>
    <w:rsid w:val="004275AB"/>
    <w:rsid w:val="0042768D"/>
    <w:rsid w:val="00427C8C"/>
    <w:rsid w:val="0043089D"/>
    <w:rsid w:val="00430F85"/>
    <w:rsid w:val="00431197"/>
    <w:rsid w:val="00431C97"/>
    <w:rsid w:val="00432156"/>
    <w:rsid w:val="00432AA8"/>
    <w:rsid w:val="00433657"/>
    <w:rsid w:val="00434A22"/>
    <w:rsid w:val="00435A29"/>
    <w:rsid w:val="00435B3A"/>
    <w:rsid w:val="00436536"/>
    <w:rsid w:val="00436701"/>
    <w:rsid w:val="0043683A"/>
    <w:rsid w:val="00436E2A"/>
    <w:rsid w:val="00437EAB"/>
    <w:rsid w:val="00441BBD"/>
    <w:rsid w:val="00442BCB"/>
    <w:rsid w:val="00444EBA"/>
    <w:rsid w:val="00445905"/>
    <w:rsid w:val="0044653F"/>
    <w:rsid w:val="004469B2"/>
    <w:rsid w:val="00447348"/>
    <w:rsid w:val="00447992"/>
    <w:rsid w:val="00447DB7"/>
    <w:rsid w:val="0045394D"/>
    <w:rsid w:val="00453C1E"/>
    <w:rsid w:val="00454693"/>
    <w:rsid w:val="00454C43"/>
    <w:rsid w:val="004552AC"/>
    <w:rsid w:val="00456418"/>
    <w:rsid w:val="004570EE"/>
    <w:rsid w:val="004572A6"/>
    <w:rsid w:val="00457B1C"/>
    <w:rsid w:val="004600F7"/>
    <w:rsid w:val="00460374"/>
    <w:rsid w:val="00460870"/>
    <w:rsid w:val="00460B98"/>
    <w:rsid w:val="00461036"/>
    <w:rsid w:val="00461CC8"/>
    <w:rsid w:val="00461ED6"/>
    <w:rsid w:val="004630D8"/>
    <w:rsid w:val="0046532A"/>
    <w:rsid w:val="00465807"/>
    <w:rsid w:val="00466D62"/>
    <w:rsid w:val="00466E29"/>
    <w:rsid w:val="004673EF"/>
    <w:rsid w:val="00467653"/>
    <w:rsid w:val="0047080B"/>
    <w:rsid w:val="00470A4C"/>
    <w:rsid w:val="00470B6B"/>
    <w:rsid w:val="0047150A"/>
    <w:rsid w:val="00472144"/>
    <w:rsid w:val="00473471"/>
    <w:rsid w:val="00473F08"/>
    <w:rsid w:val="00474263"/>
    <w:rsid w:val="00474416"/>
    <w:rsid w:val="004755EF"/>
    <w:rsid w:val="00476EE0"/>
    <w:rsid w:val="004771C6"/>
    <w:rsid w:val="004777D8"/>
    <w:rsid w:val="004812BC"/>
    <w:rsid w:val="004812E0"/>
    <w:rsid w:val="00482F50"/>
    <w:rsid w:val="004851F7"/>
    <w:rsid w:val="004855B2"/>
    <w:rsid w:val="0048697E"/>
    <w:rsid w:val="00486A4F"/>
    <w:rsid w:val="00487F57"/>
    <w:rsid w:val="004905F3"/>
    <w:rsid w:val="00490D39"/>
    <w:rsid w:val="00490D71"/>
    <w:rsid w:val="00491B8D"/>
    <w:rsid w:val="00492DC1"/>
    <w:rsid w:val="00494FFC"/>
    <w:rsid w:val="00495505"/>
    <w:rsid w:val="004957E5"/>
    <w:rsid w:val="00495C8E"/>
    <w:rsid w:val="0049777A"/>
    <w:rsid w:val="00497831"/>
    <w:rsid w:val="004A182E"/>
    <w:rsid w:val="004A1DF3"/>
    <w:rsid w:val="004A2449"/>
    <w:rsid w:val="004A294F"/>
    <w:rsid w:val="004A3061"/>
    <w:rsid w:val="004A392C"/>
    <w:rsid w:val="004A442D"/>
    <w:rsid w:val="004A4909"/>
    <w:rsid w:val="004A4C62"/>
    <w:rsid w:val="004A52B2"/>
    <w:rsid w:val="004A6519"/>
    <w:rsid w:val="004B0A04"/>
    <w:rsid w:val="004B1C65"/>
    <w:rsid w:val="004B24F5"/>
    <w:rsid w:val="004B3178"/>
    <w:rsid w:val="004B383C"/>
    <w:rsid w:val="004B3DA4"/>
    <w:rsid w:val="004B46C6"/>
    <w:rsid w:val="004B4A4C"/>
    <w:rsid w:val="004B6043"/>
    <w:rsid w:val="004B6AA1"/>
    <w:rsid w:val="004B6D4A"/>
    <w:rsid w:val="004B735C"/>
    <w:rsid w:val="004B73B6"/>
    <w:rsid w:val="004B7C64"/>
    <w:rsid w:val="004C00A5"/>
    <w:rsid w:val="004C20AF"/>
    <w:rsid w:val="004C262E"/>
    <w:rsid w:val="004C45D5"/>
    <w:rsid w:val="004C4A7A"/>
    <w:rsid w:val="004C68EB"/>
    <w:rsid w:val="004C7CB9"/>
    <w:rsid w:val="004D1A31"/>
    <w:rsid w:val="004D27E9"/>
    <w:rsid w:val="004D3FFD"/>
    <w:rsid w:val="004D4A91"/>
    <w:rsid w:val="004D4C37"/>
    <w:rsid w:val="004E04DD"/>
    <w:rsid w:val="004E0E79"/>
    <w:rsid w:val="004E126A"/>
    <w:rsid w:val="004E2B9C"/>
    <w:rsid w:val="004E2DA7"/>
    <w:rsid w:val="004E3022"/>
    <w:rsid w:val="004E5B52"/>
    <w:rsid w:val="004E5D65"/>
    <w:rsid w:val="004E5F67"/>
    <w:rsid w:val="004E6688"/>
    <w:rsid w:val="004F147F"/>
    <w:rsid w:val="004F1520"/>
    <w:rsid w:val="004F1978"/>
    <w:rsid w:val="004F4197"/>
    <w:rsid w:val="004F4375"/>
    <w:rsid w:val="004F5354"/>
    <w:rsid w:val="004F640B"/>
    <w:rsid w:val="004F6505"/>
    <w:rsid w:val="004F6E40"/>
    <w:rsid w:val="004F6FB7"/>
    <w:rsid w:val="004F7FF8"/>
    <w:rsid w:val="00500472"/>
    <w:rsid w:val="00500805"/>
    <w:rsid w:val="005045C4"/>
    <w:rsid w:val="00506854"/>
    <w:rsid w:val="00507323"/>
    <w:rsid w:val="0050735D"/>
    <w:rsid w:val="005115EB"/>
    <w:rsid w:val="00511C3C"/>
    <w:rsid w:val="005124CB"/>
    <w:rsid w:val="0051267D"/>
    <w:rsid w:val="005127DB"/>
    <w:rsid w:val="00512822"/>
    <w:rsid w:val="005128DB"/>
    <w:rsid w:val="005129AF"/>
    <w:rsid w:val="00512A07"/>
    <w:rsid w:val="005130EE"/>
    <w:rsid w:val="00513D6A"/>
    <w:rsid w:val="005144FC"/>
    <w:rsid w:val="00514D21"/>
    <w:rsid w:val="005160CA"/>
    <w:rsid w:val="0051624B"/>
    <w:rsid w:val="005170C9"/>
    <w:rsid w:val="0051761E"/>
    <w:rsid w:val="00517639"/>
    <w:rsid w:val="00517B2C"/>
    <w:rsid w:val="00520429"/>
    <w:rsid w:val="0052149D"/>
    <w:rsid w:val="0052185B"/>
    <w:rsid w:val="005228B0"/>
    <w:rsid w:val="00523173"/>
    <w:rsid w:val="00524039"/>
    <w:rsid w:val="00525050"/>
    <w:rsid w:val="00526C84"/>
    <w:rsid w:val="00526E77"/>
    <w:rsid w:val="00527763"/>
    <w:rsid w:val="00530380"/>
    <w:rsid w:val="00533C8D"/>
    <w:rsid w:val="00533E1C"/>
    <w:rsid w:val="00533E3A"/>
    <w:rsid w:val="00533F7D"/>
    <w:rsid w:val="00534EEF"/>
    <w:rsid w:val="0053596A"/>
    <w:rsid w:val="00536B11"/>
    <w:rsid w:val="00537A89"/>
    <w:rsid w:val="005403D4"/>
    <w:rsid w:val="005409C8"/>
    <w:rsid w:val="00541DB6"/>
    <w:rsid w:val="0054228A"/>
    <w:rsid w:val="00542BB7"/>
    <w:rsid w:val="00542F4B"/>
    <w:rsid w:val="00543148"/>
    <w:rsid w:val="005432C7"/>
    <w:rsid w:val="00543D82"/>
    <w:rsid w:val="00545AE8"/>
    <w:rsid w:val="005468BB"/>
    <w:rsid w:val="00546F80"/>
    <w:rsid w:val="00547286"/>
    <w:rsid w:val="00547459"/>
    <w:rsid w:val="00547795"/>
    <w:rsid w:val="00547E6F"/>
    <w:rsid w:val="00547F4A"/>
    <w:rsid w:val="005502A4"/>
    <w:rsid w:val="00550C8A"/>
    <w:rsid w:val="00551E5F"/>
    <w:rsid w:val="00552EE4"/>
    <w:rsid w:val="00553D20"/>
    <w:rsid w:val="00553F24"/>
    <w:rsid w:val="005548E8"/>
    <w:rsid w:val="00555482"/>
    <w:rsid w:val="00555E8B"/>
    <w:rsid w:val="0055664E"/>
    <w:rsid w:val="005602CB"/>
    <w:rsid w:val="005603AE"/>
    <w:rsid w:val="00560EE4"/>
    <w:rsid w:val="005615BA"/>
    <w:rsid w:val="00561872"/>
    <w:rsid w:val="00565104"/>
    <w:rsid w:val="00565212"/>
    <w:rsid w:val="005655C8"/>
    <w:rsid w:val="00567A8F"/>
    <w:rsid w:val="0057194E"/>
    <w:rsid w:val="005726A4"/>
    <w:rsid w:val="00573194"/>
    <w:rsid w:val="0057354F"/>
    <w:rsid w:val="0057382D"/>
    <w:rsid w:val="0057411B"/>
    <w:rsid w:val="005757F5"/>
    <w:rsid w:val="0057599F"/>
    <w:rsid w:val="005764EA"/>
    <w:rsid w:val="0057754E"/>
    <w:rsid w:val="00580067"/>
    <w:rsid w:val="00580378"/>
    <w:rsid w:val="005849BE"/>
    <w:rsid w:val="00585DF8"/>
    <w:rsid w:val="00586B2B"/>
    <w:rsid w:val="005877EF"/>
    <w:rsid w:val="00587BF4"/>
    <w:rsid w:val="00590061"/>
    <w:rsid w:val="005905B6"/>
    <w:rsid w:val="005915DF"/>
    <w:rsid w:val="005922CD"/>
    <w:rsid w:val="005933FF"/>
    <w:rsid w:val="00593B6F"/>
    <w:rsid w:val="0059400D"/>
    <w:rsid w:val="00594700"/>
    <w:rsid w:val="00594D78"/>
    <w:rsid w:val="00595CB0"/>
    <w:rsid w:val="005962A8"/>
    <w:rsid w:val="0059642F"/>
    <w:rsid w:val="00596E22"/>
    <w:rsid w:val="00596FD4"/>
    <w:rsid w:val="0059739A"/>
    <w:rsid w:val="00597E6E"/>
    <w:rsid w:val="005A06BB"/>
    <w:rsid w:val="005A0DCE"/>
    <w:rsid w:val="005A1CAF"/>
    <w:rsid w:val="005A25F2"/>
    <w:rsid w:val="005A2802"/>
    <w:rsid w:val="005A28BA"/>
    <w:rsid w:val="005A3C34"/>
    <w:rsid w:val="005A579E"/>
    <w:rsid w:val="005A6AA2"/>
    <w:rsid w:val="005A6BC4"/>
    <w:rsid w:val="005A6E86"/>
    <w:rsid w:val="005B0C06"/>
    <w:rsid w:val="005B1867"/>
    <w:rsid w:val="005B2199"/>
    <w:rsid w:val="005B2710"/>
    <w:rsid w:val="005B2A5A"/>
    <w:rsid w:val="005B315A"/>
    <w:rsid w:val="005B434D"/>
    <w:rsid w:val="005B4C6E"/>
    <w:rsid w:val="005B5295"/>
    <w:rsid w:val="005B565B"/>
    <w:rsid w:val="005B5BF6"/>
    <w:rsid w:val="005C1695"/>
    <w:rsid w:val="005C19DA"/>
    <w:rsid w:val="005C1AA8"/>
    <w:rsid w:val="005C23ED"/>
    <w:rsid w:val="005C2896"/>
    <w:rsid w:val="005C2B02"/>
    <w:rsid w:val="005C30D1"/>
    <w:rsid w:val="005C3E9F"/>
    <w:rsid w:val="005C45D1"/>
    <w:rsid w:val="005C4706"/>
    <w:rsid w:val="005C56CC"/>
    <w:rsid w:val="005C691A"/>
    <w:rsid w:val="005C6B7A"/>
    <w:rsid w:val="005C6DE0"/>
    <w:rsid w:val="005C719D"/>
    <w:rsid w:val="005C755F"/>
    <w:rsid w:val="005C7F45"/>
    <w:rsid w:val="005D09C5"/>
    <w:rsid w:val="005D276F"/>
    <w:rsid w:val="005D33FC"/>
    <w:rsid w:val="005D3990"/>
    <w:rsid w:val="005D3A6B"/>
    <w:rsid w:val="005D3C6D"/>
    <w:rsid w:val="005D40D0"/>
    <w:rsid w:val="005D4DCA"/>
    <w:rsid w:val="005D7B18"/>
    <w:rsid w:val="005E0751"/>
    <w:rsid w:val="005E0A81"/>
    <w:rsid w:val="005E1B14"/>
    <w:rsid w:val="005E235B"/>
    <w:rsid w:val="005E2810"/>
    <w:rsid w:val="005E30F9"/>
    <w:rsid w:val="005E3363"/>
    <w:rsid w:val="005E3D48"/>
    <w:rsid w:val="005E42E8"/>
    <w:rsid w:val="005E44CD"/>
    <w:rsid w:val="005E6854"/>
    <w:rsid w:val="005E7827"/>
    <w:rsid w:val="005F0636"/>
    <w:rsid w:val="005F0ABB"/>
    <w:rsid w:val="005F386F"/>
    <w:rsid w:val="005F3D50"/>
    <w:rsid w:val="005F3DF8"/>
    <w:rsid w:val="005F3E3B"/>
    <w:rsid w:val="005F3F06"/>
    <w:rsid w:val="005F41AA"/>
    <w:rsid w:val="005F4C29"/>
    <w:rsid w:val="005F6A77"/>
    <w:rsid w:val="005F7688"/>
    <w:rsid w:val="005F7A45"/>
    <w:rsid w:val="0060034D"/>
    <w:rsid w:val="00601978"/>
    <w:rsid w:val="0060249E"/>
    <w:rsid w:val="00602582"/>
    <w:rsid w:val="0060280A"/>
    <w:rsid w:val="00604004"/>
    <w:rsid w:val="0060476C"/>
    <w:rsid w:val="00604BDD"/>
    <w:rsid w:val="006057FA"/>
    <w:rsid w:val="00605B93"/>
    <w:rsid w:val="00606C35"/>
    <w:rsid w:val="0060728E"/>
    <w:rsid w:val="00607339"/>
    <w:rsid w:val="006079BD"/>
    <w:rsid w:val="006107F3"/>
    <w:rsid w:val="00610A2B"/>
    <w:rsid w:val="0061128B"/>
    <w:rsid w:val="006116D4"/>
    <w:rsid w:val="0061173E"/>
    <w:rsid w:val="00611E40"/>
    <w:rsid w:val="006125CF"/>
    <w:rsid w:val="0061295B"/>
    <w:rsid w:val="0061344C"/>
    <w:rsid w:val="00613714"/>
    <w:rsid w:val="00613907"/>
    <w:rsid w:val="00613939"/>
    <w:rsid w:val="0061442D"/>
    <w:rsid w:val="00615018"/>
    <w:rsid w:val="00617C29"/>
    <w:rsid w:val="00617C32"/>
    <w:rsid w:val="006208AF"/>
    <w:rsid w:val="00621D85"/>
    <w:rsid w:val="00622528"/>
    <w:rsid w:val="00622AC7"/>
    <w:rsid w:val="00622F33"/>
    <w:rsid w:val="00625591"/>
    <w:rsid w:val="00626AA2"/>
    <w:rsid w:val="00626CF3"/>
    <w:rsid w:val="00627A15"/>
    <w:rsid w:val="00630651"/>
    <w:rsid w:val="006320C0"/>
    <w:rsid w:val="0063212B"/>
    <w:rsid w:val="00632242"/>
    <w:rsid w:val="00632DEA"/>
    <w:rsid w:val="00633563"/>
    <w:rsid w:val="00633D6F"/>
    <w:rsid w:val="00634849"/>
    <w:rsid w:val="00634F91"/>
    <w:rsid w:val="0063610F"/>
    <w:rsid w:val="006362B6"/>
    <w:rsid w:val="00637D48"/>
    <w:rsid w:val="0064039C"/>
    <w:rsid w:val="006417FC"/>
    <w:rsid w:val="006428BF"/>
    <w:rsid w:val="00644843"/>
    <w:rsid w:val="00644F38"/>
    <w:rsid w:val="006464E5"/>
    <w:rsid w:val="006467E6"/>
    <w:rsid w:val="00647E30"/>
    <w:rsid w:val="00650A34"/>
    <w:rsid w:val="006519C3"/>
    <w:rsid w:val="00651FD7"/>
    <w:rsid w:val="00652906"/>
    <w:rsid w:val="00653922"/>
    <w:rsid w:val="00654A9B"/>
    <w:rsid w:val="00655180"/>
    <w:rsid w:val="00655360"/>
    <w:rsid w:val="00656A30"/>
    <w:rsid w:val="00656ACB"/>
    <w:rsid w:val="00657EB2"/>
    <w:rsid w:val="006615AE"/>
    <w:rsid w:val="00661BC2"/>
    <w:rsid w:val="006628CE"/>
    <w:rsid w:val="006629E7"/>
    <w:rsid w:val="006632F4"/>
    <w:rsid w:val="0066336B"/>
    <w:rsid w:val="00663967"/>
    <w:rsid w:val="00664C3F"/>
    <w:rsid w:val="0066552F"/>
    <w:rsid w:val="0066592A"/>
    <w:rsid w:val="00665C4B"/>
    <w:rsid w:val="00665C81"/>
    <w:rsid w:val="006668E6"/>
    <w:rsid w:val="00667134"/>
    <w:rsid w:val="00667CAB"/>
    <w:rsid w:val="00667DCD"/>
    <w:rsid w:val="00667E21"/>
    <w:rsid w:val="00670BA4"/>
    <w:rsid w:val="00671461"/>
    <w:rsid w:val="006716E4"/>
    <w:rsid w:val="00671D48"/>
    <w:rsid w:val="00673198"/>
    <w:rsid w:val="00673DE9"/>
    <w:rsid w:val="0067448C"/>
    <w:rsid w:val="00674B3A"/>
    <w:rsid w:val="00674BD1"/>
    <w:rsid w:val="00675032"/>
    <w:rsid w:val="006757A3"/>
    <w:rsid w:val="006763B2"/>
    <w:rsid w:val="00677244"/>
    <w:rsid w:val="0067727D"/>
    <w:rsid w:val="006773DB"/>
    <w:rsid w:val="00680C8F"/>
    <w:rsid w:val="00681E87"/>
    <w:rsid w:val="00682FB7"/>
    <w:rsid w:val="00683733"/>
    <w:rsid w:val="00683B0F"/>
    <w:rsid w:val="00684736"/>
    <w:rsid w:val="006851AD"/>
    <w:rsid w:val="006857CF"/>
    <w:rsid w:val="006862E4"/>
    <w:rsid w:val="00686EEC"/>
    <w:rsid w:val="006873D8"/>
    <w:rsid w:val="00687EE1"/>
    <w:rsid w:val="00690B4C"/>
    <w:rsid w:val="0069218C"/>
    <w:rsid w:val="006929F7"/>
    <w:rsid w:val="00692E65"/>
    <w:rsid w:val="00692F65"/>
    <w:rsid w:val="006933EF"/>
    <w:rsid w:val="00693410"/>
    <w:rsid w:val="00695D97"/>
    <w:rsid w:val="00696CE6"/>
    <w:rsid w:val="006A025F"/>
    <w:rsid w:val="006A1FFE"/>
    <w:rsid w:val="006A22A0"/>
    <w:rsid w:val="006A27AA"/>
    <w:rsid w:val="006A2F6D"/>
    <w:rsid w:val="006A30DD"/>
    <w:rsid w:val="006A3A2E"/>
    <w:rsid w:val="006A5152"/>
    <w:rsid w:val="006A567D"/>
    <w:rsid w:val="006A69E1"/>
    <w:rsid w:val="006A6EA7"/>
    <w:rsid w:val="006A7AE7"/>
    <w:rsid w:val="006B030A"/>
    <w:rsid w:val="006B0487"/>
    <w:rsid w:val="006B24C4"/>
    <w:rsid w:val="006B271F"/>
    <w:rsid w:val="006B2E1F"/>
    <w:rsid w:val="006B313A"/>
    <w:rsid w:val="006B3BB4"/>
    <w:rsid w:val="006B3E5F"/>
    <w:rsid w:val="006B4221"/>
    <w:rsid w:val="006B4D9F"/>
    <w:rsid w:val="006B586B"/>
    <w:rsid w:val="006B7827"/>
    <w:rsid w:val="006C06F4"/>
    <w:rsid w:val="006C16D0"/>
    <w:rsid w:val="006C1D78"/>
    <w:rsid w:val="006C2B7F"/>
    <w:rsid w:val="006C3C59"/>
    <w:rsid w:val="006C3CE7"/>
    <w:rsid w:val="006C6CCC"/>
    <w:rsid w:val="006C7242"/>
    <w:rsid w:val="006D3B1D"/>
    <w:rsid w:val="006D3F70"/>
    <w:rsid w:val="006D3F84"/>
    <w:rsid w:val="006D5D59"/>
    <w:rsid w:val="006D6AD5"/>
    <w:rsid w:val="006D7BF6"/>
    <w:rsid w:val="006E03B4"/>
    <w:rsid w:val="006E13A6"/>
    <w:rsid w:val="006E190C"/>
    <w:rsid w:val="006E2A33"/>
    <w:rsid w:val="006E2E67"/>
    <w:rsid w:val="006E2FEA"/>
    <w:rsid w:val="006E315D"/>
    <w:rsid w:val="006E396B"/>
    <w:rsid w:val="006E49F6"/>
    <w:rsid w:val="006E5461"/>
    <w:rsid w:val="006E5FDD"/>
    <w:rsid w:val="006E6476"/>
    <w:rsid w:val="006E7602"/>
    <w:rsid w:val="006F0435"/>
    <w:rsid w:val="006F0535"/>
    <w:rsid w:val="006F0D0E"/>
    <w:rsid w:val="006F1FF4"/>
    <w:rsid w:val="006F2629"/>
    <w:rsid w:val="006F2878"/>
    <w:rsid w:val="006F28E5"/>
    <w:rsid w:val="006F29A9"/>
    <w:rsid w:val="006F3B9A"/>
    <w:rsid w:val="006F4291"/>
    <w:rsid w:val="006F4A8A"/>
    <w:rsid w:val="006F4EB6"/>
    <w:rsid w:val="006F773F"/>
    <w:rsid w:val="007004D6"/>
    <w:rsid w:val="007016EC"/>
    <w:rsid w:val="00701F86"/>
    <w:rsid w:val="007023D5"/>
    <w:rsid w:val="00703999"/>
    <w:rsid w:val="00703A46"/>
    <w:rsid w:val="00704299"/>
    <w:rsid w:val="007042C9"/>
    <w:rsid w:val="00704499"/>
    <w:rsid w:val="00705D38"/>
    <w:rsid w:val="00706638"/>
    <w:rsid w:val="00706755"/>
    <w:rsid w:val="00706F03"/>
    <w:rsid w:val="00707387"/>
    <w:rsid w:val="00713616"/>
    <w:rsid w:val="00713DD0"/>
    <w:rsid w:val="00714ACA"/>
    <w:rsid w:val="007153E6"/>
    <w:rsid w:val="007170E2"/>
    <w:rsid w:val="00717D22"/>
    <w:rsid w:val="00720B58"/>
    <w:rsid w:val="00721295"/>
    <w:rsid w:val="00721395"/>
    <w:rsid w:val="0072160A"/>
    <w:rsid w:val="00722291"/>
    <w:rsid w:val="00723614"/>
    <w:rsid w:val="00723784"/>
    <w:rsid w:val="00723B12"/>
    <w:rsid w:val="00724043"/>
    <w:rsid w:val="00725315"/>
    <w:rsid w:val="00726BFA"/>
    <w:rsid w:val="00726ED1"/>
    <w:rsid w:val="00727A4F"/>
    <w:rsid w:val="00730641"/>
    <w:rsid w:val="00730B25"/>
    <w:rsid w:val="00731993"/>
    <w:rsid w:val="00731A49"/>
    <w:rsid w:val="00732289"/>
    <w:rsid w:val="00732A7D"/>
    <w:rsid w:val="0073458A"/>
    <w:rsid w:val="00734ABC"/>
    <w:rsid w:val="00735009"/>
    <w:rsid w:val="00736533"/>
    <w:rsid w:val="00736BFC"/>
    <w:rsid w:val="00737BF6"/>
    <w:rsid w:val="00740BFC"/>
    <w:rsid w:val="00742549"/>
    <w:rsid w:val="00743188"/>
    <w:rsid w:val="00743C67"/>
    <w:rsid w:val="007455CB"/>
    <w:rsid w:val="00745D72"/>
    <w:rsid w:val="00746243"/>
    <w:rsid w:val="00746CB6"/>
    <w:rsid w:val="007476D1"/>
    <w:rsid w:val="00747C7A"/>
    <w:rsid w:val="00750BED"/>
    <w:rsid w:val="00751740"/>
    <w:rsid w:val="00751807"/>
    <w:rsid w:val="0075248A"/>
    <w:rsid w:val="0075248D"/>
    <w:rsid w:val="00752D5F"/>
    <w:rsid w:val="00753712"/>
    <w:rsid w:val="00754709"/>
    <w:rsid w:val="00754D70"/>
    <w:rsid w:val="007564FD"/>
    <w:rsid w:val="00756802"/>
    <w:rsid w:val="00756A6E"/>
    <w:rsid w:val="00756DD5"/>
    <w:rsid w:val="0076147D"/>
    <w:rsid w:val="00761581"/>
    <w:rsid w:val="00762606"/>
    <w:rsid w:val="00762913"/>
    <w:rsid w:val="00762C58"/>
    <w:rsid w:val="007637AC"/>
    <w:rsid w:val="00765230"/>
    <w:rsid w:val="00765527"/>
    <w:rsid w:val="0076558C"/>
    <w:rsid w:val="00767720"/>
    <w:rsid w:val="00767A25"/>
    <w:rsid w:val="00767B37"/>
    <w:rsid w:val="00767C1D"/>
    <w:rsid w:val="0077007E"/>
    <w:rsid w:val="00773702"/>
    <w:rsid w:val="00773712"/>
    <w:rsid w:val="0077375B"/>
    <w:rsid w:val="00773EE4"/>
    <w:rsid w:val="0077549E"/>
    <w:rsid w:val="00780000"/>
    <w:rsid w:val="007802D4"/>
    <w:rsid w:val="00780502"/>
    <w:rsid w:val="007805D6"/>
    <w:rsid w:val="00780F5D"/>
    <w:rsid w:val="00781BED"/>
    <w:rsid w:val="00782061"/>
    <w:rsid w:val="0078244D"/>
    <w:rsid w:val="0078289E"/>
    <w:rsid w:val="00784713"/>
    <w:rsid w:val="00785377"/>
    <w:rsid w:val="0078538B"/>
    <w:rsid w:val="00785687"/>
    <w:rsid w:val="00785C1B"/>
    <w:rsid w:val="00786153"/>
    <w:rsid w:val="00786446"/>
    <w:rsid w:val="007867E2"/>
    <w:rsid w:val="00787794"/>
    <w:rsid w:val="007903CB"/>
    <w:rsid w:val="007915A0"/>
    <w:rsid w:val="007918DF"/>
    <w:rsid w:val="00791AA6"/>
    <w:rsid w:val="00791EC1"/>
    <w:rsid w:val="00791F06"/>
    <w:rsid w:val="00791F5E"/>
    <w:rsid w:val="00791FFA"/>
    <w:rsid w:val="00792060"/>
    <w:rsid w:val="0079239A"/>
    <w:rsid w:val="0079251E"/>
    <w:rsid w:val="0079258C"/>
    <w:rsid w:val="00792594"/>
    <w:rsid w:val="007934F9"/>
    <w:rsid w:val="00793DC5"/>
    <w:rsid w:val="00794F8E"/>
    <w:rsid w:val="00796207"/>
    <w:rsid w:val="00796F1D"/>
    <w:rsid w:val="00797403"/>
    <w:rsid w:val="00797417"/>
    <w:rsid w:val="00797F17"/>
    <w:rsid w:val="007A1F9F"/>
    <w:rsid w:val="007A21C6"/>
    <w:rsid w:val="007A2412"/>
    <w:rsid w:val="007A43FE"/>
    <w:rsid w:val="007A499D"/>
    <w:rsid w:val="007A4F2E"/>
    <w:rsid w:val="007A52E3"/>
    <w:rsid w:val="007A60AC"/>
    <w:rsid w:val="007A6145"/>
    <w:rsid w:val="007A6318"/>
    <w:rsid w:val="007A699A"/>
    <w:rsid w:val="007A6A1C"/>
    <w:rsid w:val="007A6A93"/>
    <w:rsid w:val="007A6F81"/>
    <w:rsid w:val="007B0E27"/>
    <w:rsid w:val="007B10CB"/>
    <w:rsid w:val="007B308A"/>
    <w:rsid w:val="007B3631"/>
    <w:rsid w:val="007B37C3"/>
    <w:rsid w:val="007B4993"/>
    <w:rsid w:val="007B4C2C"/>
    <w:rsid w:val="007B5B61"/>
    <w:rsid w:val="007B5E64"/>
    <w:rsid w:val="007B6C91"/>
    <w:rsid w:val="007B6CA8"/>
    <w:rsid w:val="007B70B6"/>
    <w:rsid w:val="007B72FC"/>
    <w:rsid w:val="007B7CBF"/>
    <w:rsid w:val="007B7EF3"/>
    <w:rsid w:val="007B7F0D"/>
    <w:rsid w:val="007C0599"/>
    <w:rsid w:val="007C0822"/>
    <w:rsid w:val="007C17B9"/>
    <w:rsid w:val="007C24C2"/>
    <w:rsid w:val="007C283C"/>
    <w:rsid w:val="007C31A6"/>
    <w:rsid w:val="007C3A8F"/>
    <w:rsid w:val="007C41FD"/>
    <w:rsid w:val="007C4C2C"/>
    <w:rsid w:val="007C529C"/>
    <w:rsid w:val="007C6C46"/>
    <w:rsid w:val="007C7352"/>
    <w:rsid w:val="007D0495"/>
    <w:rsid w:val="007D09DD"/>
    <w:rsid w:val="007D1002"/>
    <w:rsid w:val="007D1946"/>
    <w:rsid w:val="007D2F96"/>
    <w:rsid w:val="007D39F6"/>
    <w:rsid w:val="007D5A30"/>
    <w:rsid w:val="007D652D"/>
    <w:rsid w:val="007D6894"/>
    <w:rsid w:val="007D6CE9"/>
    <w:rsid w:val="007D7558"/>
    <w:rsid w:val="007D787C"/>
    <w:rsid w:val="007E0BE5"/>
    <w:rsid w:val="007E0C71"/>
    <w:rsid w:val="007E2CF3"/>
    <w:rsid w:val="007E53B4"/>
    <w:rsid w:val="007E6809"/>
    <w:rsid w:val="007E7215"/>
    <w:rsid w:val="007E76AC"/>
    <w:rsid w:val="007F0396"/>
    <w:rsid w:val="007F0459"/>
    <w:rsid w:val="007F06EC"/>
    <w:rsid w:val="007F0A03"/>
    <w:rsid w:val="007F0E60"/>
    <w:rsid w:val="007F12ED"/>
    <w:rsid w:val="007F1F12"/>
    <w:rsid w:val="007F250B"/>
    <w:rsid w:val="007F2F4C"/>
    <w:rsid w:val="007F30BA"/>
    <w:rsid w:val="007F3688"/>
    <w:rsid w:val="007F480C"/>
    <w:rsid w:val="007F553F"/>
    <w:rsid w:val="007F60C3"/>
    <w:rsid w:val="007F6186"/>
    <w:rsid w:val="007F6252"/>
    <w:rsid w:val="007F6388"/>
    <w:rsid w:val="007F6668"/>
    <w:rsid w:val="007F6A92"/>
    <w:rsid w:val="007F708A"/>
    <w:rsid w:val="007F78B2"/>
    <w:rsid w:val="00800931"/>
    <w:rsid w:val="00800C9D"/>
    <w:rsid w:val="00800E17"/>
    <w:rsid w:val="008010FD"/>
    <w:rsid w:val="00801B6C"/>
    <w:rsid w:val="00801EBF"/>
    <w:rsid w:val="00802101"/>
    <w:rsid w:val="00802693"/>
    <w:rsid w:val="008026C3"/>
    <w:rsid w:val="008049B4"/>
    <w:rsid w:val="00805B82"/>
    <w:rsid w:val="0080778A"/>
    <w:rsid w:val="00807AFC"/>
    <w:rsid w:val="0081003B"/>
    <w:rsid w:val="008101E2"/>
    <w:rsid w:val="00810495"/>
    <w:rsid w:val="008116B4"/>
    <w:rsid w:val="00811AE5"/>
    <w:rsid w:val="00811C07"/>
    <w:rsid w:val="0081287B"/>
    <w:rsid w:val="0081383C"/>
    <w:rsid w:val="00813FCE"/>
    <w:rsid w:val="008141BE"/>
    <w:rsid w:val="0081440E"/>
    <w:rsid w:val="0081463B"/>
    <w:rsid w:val="00814E35"/>
    <w:rsid w:val="00815D30"/>
    <w:rsid w:val="00816173"/>
    <w:rsid w:val="00816422"/>
    <w:rsid w:val="00816F02"/>
    <w:rsid w:val="00817598"/>
    <w:rsid w:val="00817C77"/>
    <w:rsid w:val="00820896"/>
    <w:rsid w:val="00824EC0"/>
    <w:rsid w:val="00826B91"/>
    <w:rsid w:val="00826DD5"/>
    <w:rsid w:val="00830122"/>
    <w:rsid w:val="008309A6"/>
    <w:rsid w:val="00831992"/>
    <w:rsid w:val="00832BC5"/>
    <w:rsid w:val="00832CBE"/>
    <w:rsid w:val="008335C6"/>
    <w:rsid w:val="00833617"/>
    <w:rsid w:val="00833D7E"/>
    <w:rsid w:val="0083424C"/>
    <w:rsid w:val="0083438A"/>
    <w:rsid w:val="00835519"/>
    <w:rsid w:val="00836624"/>
    <w:rsid w:val="0083696A"/>
    <w:rsid w:val="00836E64"/>
    <w:rsid w:val="00836F92"/>
    <w:rsid w:val="008370DF"/>
    <w:rsid w:val="008375A8"/>
    <w:rsid w:val="00837A6B"/>
    <w:rsid w:val="00840530"/>
    <w:rsid w:val="008418F1"/>
    <w:rsid w:val="00843F32"/>
    <w:rsid w:val="00846060"/>
    <w:rsid w:val="00846121"/>
    <w:rsid w:val="00846B28"/>
    <w:rsid w:val="00851697"/>
    <w:rsid w:val="00851A01"/>
    <w:rsid w:val="008534A9"/>
    <w:rsid w:val="008534C0"/>
    <w:rsid w:val="0085384A"/>
    <w:rsid w:val="00853A5E"/>
    <w:rsid w:val="00853EA7"/>
    <w:rsid w:val="00853F2D"/>
    <w:rsid w:val="008547B4"/>
    <w:rsid w:val="00854802"/>
    <w:rsid w:val="008556D3"/>
    <w:rsid w:val="008558D0"/>
    <w:rsid w:val="00855F4D"/>
    <w:rsid w:val="00856028"/>
    <w:rsid w:val="0085713F"/>
    <w:rsid w:val="008575F6"/>
    <w:rsid w:val="00857E2F"/>
    <w:rsid w:val="00860569"/>
    <w:rsid w:val="00860683"/>
    <w:rsid w:val="00860D48"/>
    <w:rsid w:val="00860D85"/>
    <w:rsid w:val="00860FFD"/>
    <w:rsid w:val="0086112F"/>
    <w:rsid w:val="00861433"/>
    <w:rsid w:val="00861C59"/>
    <w:rsid w:val="00862458"/>
    <w:rsid w:val="00863D21"/>
    <w:rsid w:val="00863DBA"/>
    <w:rsid w:val="008648E9"/>
    <w:rsid w:val="00865899"/>
    <w:rsid w:val="00865F25"/>
    <w:rsid w:val="00867482"/>
    <w:rsid w:val="00867D36"/>
    <w:rsid w:val="00870170"/>
    <w:rsid w:val="00870D85"/>
    <w:rsid w:val="00872AA2"/>
    <w:rsid w:val="00873880"/>
    <w:rsid w:val="00874CD0"/>
    <w:rsid w:val="00874D85"/>
    <w:rsid w:val="00874F4C"/>
    <w:rsid w:val="00875C01"/>
    <w:rsid w:val="00876E86"/>
    <w:rsid w:val="00876F43"/>
    <w:rsid w:val="00880706"/>
    <w:rsid w:val="00880995"/>
    <w:rsid w:val="00880E0B"/>
    <w:rsid w:val="00884056"/>
    <w:rsid w:val="008841A9"/>
    <w:rsid w:val="0088442D"/>
    <w:rsid w:val="008849C0"/>
    <w:rsid w:val="0088504A"/>
    <w:rsid w:val="00885475"/>
    <w:rsid w:val="008904D4"/>
    <w:rsid w:val="00890FE5"/>
    <w:rsid w:val="00891635"/>
    <w:rsid w:val="00891D4B"/>
    <w:rsid w:val="008921C6"/>
    <w:rsid w:val="00892D39"/>
    <w:rsid w:val="00892F23"/>
    <w:rsid w:val="00893717"/>
    <w:rsid w:val="008949DD"/>
    <w:rsid w:val="008965D3"/>
    <w:rsid w:val="00897566"/>
    <w:rsid w:val="00897924"/>
    <w:rsid w:val="008A0280"/>
    <w:rsid w:val="008A097D"/>
    <w:rsid w:val="008A52C9"/>
    <w:rsid w:val="008A5E93"/>
    <w:rsid w:val="008A623F"/>
    <w:rsid w:val="008A7275"/>
    <w:rsid w:val="008B232A"/>
    <w:rsid w:val="008B3CEF"/>
    <w:rsid w:val="008B4E51"/>
    <w:rsid w:val="008B54D5"/>
    <w:rsid w:val="008B5DD8"/>
    <w:rsid w:val="008B616C"/>
    <w:rsid w:val="008B63E7"/>
    <w:rsid w:val="008B665A"/>
    <w:rsid w:val="008B72C7"/>
    <w:rsid w:val="008B778F"/>
    <w:rsid w:val="008B7A62"/>
    <w:rsid w:val="008B7D27"/>
    <w:rsid w:val="008C00B8"/>
    <w:rsid w:val="008C1535"/>
    <w:rsid w:val="008C1715"/>
    <w:rsid w:val="008C216B"/>
    <w:rsid w:val="008C2319"/>
    <w:rsid w:val="008C5D63"/>
    <w:rsid w:val="008C650A"/>
    <w:rsid w:val="008C6A75"/>
    <w:rsid w:val="008C6E10"/>
    <w:rsid w:val="008C7DEA"/>
    <w:rsid w:val="008D1568"/>
    <w:rsid w:val="008D1720"/>
    <w:rsid w:val="008D19DC"/>
    <w:rsid w:val="008D27C3"/>
    <w:rsid w:val="008D3941"/>
    <w:rsid w:val="008D3C28"/>
    <w:rsid w:val="008D403B"/>
    <w:rsid w:val="008D5398"/>
    <w:rsid w:val="008D59E4"/>
    <w:rsid w:val="008D5DF4"/>
    <w:rsid w:val="008D64EC"/>
    <w:rsid w:val="008D6DFD"/>
    <w:rsid w:val="008D7D1C"/>
    <w:rsid w:val="008E008C"/>
    <w:rsid w:val="008E1039"/>
    <w:rsid w:val="008E138A"/>
    <w:rsid w:val="008E153B"/>
    <w:rsid w:val="008E17D5"/>
    <w:rsid w:val="008E2779"/>
    <w:rsid w:val="008E3780"/>
    <w:rsid w:val="008E3EB6"/>
    <w:rsid w:val="008E4427"/>
    <w:rsid w:val="008E4968"/>
    <w:rsid w:val="008E57B2"/>
    <w:rsid w:val="008E63E9"/>
    <w:rsid w:val="008E6AE2"/>
    <w:rsid w:val="008E6CE8"/>
    <w:rsid w:val="008F00A9"/>
    <w:rsid w:val="008F00CC"/>
    <w:rsid w:val="008F1899"/>
    <w:rsid w:val="008F1F1E"/>
    <w:rsid w:val="008F2FF9"/>
    <w:rsid w:val="008F3B94"/>
    <w:rsid w:val="008F3EEE"/>
    <w:rsid w:val="008F526A"/>
    <w:rsid w:val="008F59B2"/>
    <w:rsid w:val="008F7392"/>
    <w:rsid w:val="008F74FD"/>
    <w:rsid w:val="008F75A5"/>
    <w:rsid w:val="0090253F"/>
    <w:rsid w:val="0090318E"/>
    <w:rsid w:val="00903AC8"/>
    <w:rsid w:val="00904AC4"/>
    <w:rsid w:val="00904D73"/>
    <w:rsid w:val="00905A39"/>
    <w:rsid w:val="009063D4"/>
    <w:rsid w:val="0090652C"/>
    <w:rsid w:val="009067D7"/>
    <w:rsid w:val="00906CAD"/>
    <w:rsid w:val="00907B46"/>
    <w:rsid w:val="00910123"/>
    <w:rsid w:val="00910AE9"/>
    <w:rsid w:val="00911C06"/>
    <w:rsid w:val="0091240C"/>
    <w:rsid w:val="00913F67"/>
    <w:rsid w:val="00914115"/>
    <w:rsid w:val="009145CB"/>
    <w:rsid w:val="00914B8C"/>
    <w:rsid w:val="00915791"/>
    <w:rsid w:val="00915FCA"/>
    <w:rsid w:val="00916182"/>
    <w:rsid w:val="0091628C"/>
    <w:rsid w:val="00916634"/>
    <w:rsid w:val="0091683E"/>
    <w:rsid w:val="009168EE"/>
    <w:rsid w:val="00917447"/>
    <w:rsid w:val="00920140"/>
    <w:rsid w:val="009209F8"/>
    <w:rsid w:val="00920C50"/>
    <w:rsid w:val="00921BD9"/>
    <w:rsid w:val="009224E5"/>
    <w:rsid w:val="00923AAA"/>
    <w:rsid w:val="009272FE"/>
    <w:rsid w:val="009301BA"/>
    <w:rsid w:val="00930BDF"/>
    <w:rsid w:val="00932697"/>
    <w:rsid w:val="009326F9"/>
    <w:rsid w:val="00932796"/>
    <w:rsid w:val="009334C9"/>
    <w:rsid w:val="00934814"/>
    <w:rsid w:val="00935195"/>
    <w:rsid w:val="00935484"/>
    <w:rsid w:val="00935B60"/>
    <w:rsid w:val="009367B5"/>
    <w:rsid w:val="00936AFF"/>
    <w:rsid w:val="00937F64"/>
    <w:rsid w:val="00937FB1"/>
    <w:rsid w:val="009407D1"/>
    <w:rsid w:val="00940FDF"/>
    <w:rsid w:val="00941003"/>
    <w:rsid w:val="0094122D"/>
    <w:rsid w:val="00941C0A"/>
    <w:rsid w:val="00941F36"/>
    <w:rsid w:val="009425E0"/>
    <w:rsid w:val="00942FB4"/>
    <w:rsid w:val="00944979"/>
    <w:rsid w:val="00944B27"/>
    <w:rsid w:val="00944EBE"/>
    <w:rsid w:val="00944EDA"/>
    <w:rsid w:val="009455D8"/>
    <w:rsid w:val="009459F5"/>
    <w:rsid w:val="00945F7E"/>
    <w:rsid w:val="009466F9"/>
    <w:rsid w:val="00946D82"/>
    <w:rsid w:val="009472C5"/>
    <w:rsid w:val="00947495"/>
    <w:rsid w:val="009504BC"/>
    <w:rsid w:val="00950A41"/>
    <w:rsid w:val="009511BD"/>
    <w:rsid w:val="00951CFB"/>
    <w:rsid w:val="00951D05"/>
    <w:rsid w:val="00951D16"/>
    <w:rsid w:val="00952648"/>
    <w:rsid w:val="00954717"/>
    <w:rsid w:val="00954FC1"/>
    <w:rsid w:val="009552C4"/>
    <w:rsid w:val="0095548D"/>
    <w:rsid w:val="00957044"/>
    <w:rsid w:val="009570C8"/>
    <w:rsid w:val="00957DB9"/>
    <w:rsid w:val="00962077"/>
    <w:rsid w:val="009624B2"/>
    <w:rsid w:val="009628F5"/>
    <w:rsid w:val="00962961"/>
    <w:rsid w:val="00963F5C"/>
    <w:rsid w:val="00965C40"/>
    <w:rsid w:val="0096608D"/>
    <w:rsid w:val="00966EFB"/>
    <w:rsid w:val="0096737D"/>
    <w:rsid w:val="009679B5"/>
    <w:rsid w:val="00970200"/>
    <w:rsid w:val="009702BE"/>
    <w:rsid w:val="0097052F"/>
    <w:rsid w:val="00970D45"/>
    <w:rsid w:val="0097157F"/>
    <w:rsid w:val="00971FC2"/>
    <w:rsid w:val="00972917"/>
    <w:rsid w:val="00973589"/>
    <w:rsid w:val="009753C2"/>
    <w:rsid w:val="00975DF7"/>
    <w:rsid w:val="0098102F"/>
    <w:rsid w:val="00982016"/>
    <w:rsid w:val="009826C7"/>
    <w:rsid w:val="0098315E"/>
    <w:rsid w:val="009848A5"/>
    <w:rsid w:val="00984E4B"/>
    <w:rsid w:val="00985B15"/>
    <w:rsid w:val="009910DA"/>
    <w:rsid w:val="00992348"/>
    <w:rsid w:val="00992718"/>
    <w:rsid w:val="009935BB"/>
    <w:rsid w:val="00994C15"/>
    <w:rsid w:val="009958C3"/>
    <w:rsid w:val="00996641"/>
    <w:rsid w:val="00997508"/>
    <w:rsid w:val="009979D6"/>
    <w:rsid w:val="009A07C4"/>
    <w:rsid w:val="009A148A"/>
    <w:rsid w:val="009A217F"/>
    <w:rsid w:val="009A3216"/>
    <w:rsid w:val="009A460B"/>
    <w:rsid w:val="009A5C5D"/>
    <w:rsid w:val="009A65B1"/>
    <w:rsid w:val="009A676F"/>
    <w:rsid w:val="009A6C1D"/>
    <w:rsid w:val="009B06DC"/>
    <w:rsid w:val="009B0B3C"/>
    <w:rsid w:val="009B27DA"/>
    <w:rsid w:val="009B3A34"/>
    <w:rsid w:val="009B5666"/>
    <w:rsid w:val="009B5826"/>
    <w:rsid w:val="009B70FF"/>
    <w:rsid w:val="009C06E8"/>
    <w:rsid w:val="009C08D1"/>
    <w:rsid w:val="009C0AEF"/>
    <w:rsid w:val="009C1EFD"/>
    <w:rsid w:val="009C2C18"/>
    <w:rsid w:val="009C34E9"/>
    <w:rsid w:val="009C3BE8"/>
    <w:rsid w:val="009C690E"/>
    <w:rsid w:val="009C6AFE"/>
    <w:rsid w:val="009C728F"/>
    <w:rsid w:val="009D0204"/>
    <w:rsid w:val="009D0842"/>
    <w:rsid w:val="009D1084"/>
    <w:rsid w:val="009D11C8"/>
    <w:rsid w:val="009D25DA"/>
    <w:rsid w:val="009D2849"/>
    <w:rsid w:val="009D315F"/>
    <w:rsid w:val="009D4351"/>
    <w:rsid w:val="009D453D"/>
    <w:rsid w:val="009D5234"/>
    <w:rsid w:val="009D58EC"/>
    <w:rsid w:val="009D5EC2"/>
    <w:rsid w:val="009E038E"/>
    <w:rsid w:val="009E155A"/>
    <w:rsid w:val="009E1EC5"/>
    <w:rsid w:val="009E29F7"/>
    <w:rsid w:val="009E2C23"/>
    <w:rsid w:val="009E384A"/>
    <w:rsid w:val="009E3A2D"/>
    <w:rsid w:val="009E4E1F"/>
    <w:rsid w:val="009E4FDE"/>
    <w:rsid w:val="009E5818"/>
    <w:rsid w:val="009E64DF"/>
    <w:rsid w:val="009F0254"/>
    <w:rsid w:val="009F052E"/>
    <w:rsid w:val="009F0A01"/>
    <w:rsid w:val="009F0CC9"/>
    <w:rsid w:val="009F211E"/>
    <w:rsid w:val="009F2259"/>
    <w:rsid w:val="009F24B1"/>
    <w:rsid w:val="009F293B"/>
    <w:rsid w:val="009F2E71"/>
    <w:rsid w:val="009F3480"/>
    <w:rsid w:val="009F4002"/>
    <w:rsid w:val="009F44E1"/>
    <w:rsid w:val="009F4801"/>
    <w:rsid w:val="009F5217"/>
    <w:rsid w:val="009F6130"/>
    <w:rsid w:val="009F6597"/>
    <w:rsid w:val="009F703D"/>
    <w:rsid w:val="009F7FCF"/>
    <w:rsid w:val="00A00049"/>
    <w:rsid w:val="00A00B32"/>
    <w:rsid w:val="00A01B39"/>
    <w:rsid w:val="00A02122"/>
    <w:rsid w:val="00A02EBE"/>
    <w:rsid w:val="00A03754"/>
    <w:rsid w:val="00A044AF"/>
    <w:rsid w:val="00A044C9"/>
    <w:rsid w:val="00A04C08"/>
    <w:rsid w:val="00A058B5"/>
    <w:rsid w:val="00A0608B"/>
    <w:rsid w:val="00A06BF7"/>
    <w:rsid w:val="00A077E2"/>
    <w:rsid w:val="00A11231"/>
    <w:rsid w:val="00A11A3E"/>
    <w:rsid w:val="00A11BB8"/>
    <w:rsid w:val="00A12925"/>
    <w:rsid w:val="00A13D9A"/>
    <w:rsid w:val="00A14ADA"/>
    <w:rsid w:val="00A14B5B"/>
    <w:rsid w:val="00A152B1"/>
    <w:rsid w:val="00A164D9"/>
    <w:rsid w:val="00A16822"/>
    <w:rsid w:val="00A16C8D"/>
    <w:rsid w:val="00A16DAF"/>
    <w:rsid w:val="00A174ED"/>
    <w:rsid w:val="00A20CA8"/>
    <w:rsid w:val="00A222BF"/>
    <w:rsid w:val="00A23285"/>
    <w:rsid w:val="00A23AD9"/>
    <w:rsid w:val="00A24829"/>
    <w:rsid w:val="00A257AF"/>
    <w:rsid w:val="00A27261"/>
    <w:rsid w:val="00A2755E"/>
    <w:rsid w:val="00A27D65"/>
    <w:rsid w:val="00A31789"/>
    <w:rsid w:val="00A31DCA"/>
    <w:rsid w:val="00A321B3"/>
    <w:rsid w:val="00A32290"/>
    <w:rsid w:val="00A33D2F"/>
    <w:rsid w:val="00A34354"/>
    <w:rsid w:val="00A35D14"/>
    <w:rsid w:val="00A3726A"/>
    <w:rsid w:val="00A45CB9"/>
    <w:rsid w:val="00A46641"/>
    <w:rsid w:val="00A4776F"/>
    <w:rsid w:val="00A51334"/>
    <w:rsid w:val="00A51802"/>
    <w:rsid w:val="00A52443"/>
    <w:rsid w:val="00A5311C"/>
    <w:rsid w:val="00A547F9"/>
    <w:rsid w:val="00A548AA"/>
    <w:rsid w:val="00A55BEA"/>
    <w:rsid w:val="00A55D35"/>
    <w:rsid w:val="00A56556"/>
    <w:rsid w:val="00A577FA"/>
    <w:rsid w:val="00A6000B"/>
    <w:rsid w:val="00A60014"/>
    <w:rsid w:val="00A603B3"/>
    <w:rsid w:val="00A60895"/>
    <w:rsid w:val="00A61955"/>
    <w:rsid w:val="00A61CDB"/>
    <w:rsid w:val="00A61E9C"/>
    <w:rsid w:val="00A62687"/>
    <w:rsid w:val="00A639DE"/>
    <w:rsid w:val="00A654A6"/>
    <w:rsid w:val="00A658A9"/>
    <w:rsid w:val="00A6644B"/>
    <w:rsid w:val="00A66573"/>
    <w:rsid w:val="00A66707"/>
    <w:rsid w:val="00A670CB"/>
    <w:rsid w:val="00A677B7"/>
    <w:rsid w:val="00A67E36"/>
    <w:rsid w:val="00A705D6"/>
    <w:rsid w:val="00A70A50"/>
    <w:rsid w:val="00A711FE"/>
    <w:rsid w:val="00A72EF7"/>
    <w:rsid w:val="00A73649"/>
    <w:rsid w:val="00A74261"/>
    <w:rsid w:val="00A743D7"/>
    <w:rsid w:val="00A748F9"/>
    <w:rsid w:val="00A75F98"/>
    <w:rsid w:val="00A766A7"/>
    <w:rsid w:val="00A774B4"/>
    <w:rsid w:val="00A8024B"/>
    <w:rsid w:val="00A80C85"/>
    <w:rsid w:val="00A8106C"/>
    <w:rsid w:val="00A814FE"/>
    <w:rsid w:val="00A82984"/>
    <w:rsid w:val="00A82ACF"/>
    <w:rsid w:val="00A82E3A"/>
    <w:rsid w:val="00A832E4"/>
    <w:rsid w:val="00A83852"/>
    <w:rsid w:val="00A8456E"/>
    <w:rsid w:val="00A8686B"/>
    <w:rsid w:val="00A86C54"/>
    <w:rsid w:val="00A87149"/>
    <w:rsid w:val="00A90F91"/>
    <w:rsid w:val="00A916B0"/>
    <w:rsid w:val="00A92274"/>
    <w:rsid w:val="00A924A3"/>
    <w:rsid w:val="00A9657D"/>
    <w:rsid w:val="00A9685D"/>
    <w:rsid w:val="00A96A03"/>
    <w:rsid w:val="00A96BD5"/>
    <w:rsid w:val="00AA0E05"/>
    <w:rsid w:val="00AA131C"/>
    <w:rsid w:val="00AA1C65"/>
    <w:rsid w:val="00AA2A00"/>
    <w:rsid w:val="00AA2C52"/>
    <w:rsid w:val="00AA325C"/>
    <w:rsid w:val="00AA3500"/>
    <w:rsid w:val="00AA35BA"/>
    <w:rsid w:val="00AA61B3"/>
    <w:rsid w:val="00AA73C0"/>
    <w:rsid w:val="00AA746F"/>
    <w:rsid w:val="00AB2B21"/>
    <w:rsid w:val="00AB3BA9"/>
    <w:rsid w:val="00AB3DE4"/>
    <w:rsid w:val="00AB3F6B"/>
    <w:rsid w:val="00AB447B"/>
    <w:rsid w:val="00AB46DF"/>
    <w:rsid w:val="00AB4730"/>
    <w:rsid w:val="00AB5172"/>
    <w:rsid w:val="00AB561A"/>
    <w:rsid w:val="00AB5B07"/>
    <w:rsid w:val="00AB6B86"/>
    <w:rsid w:val="00AB6D14"/>
    <w:rsid w:val="00AB6E57"/>
    <w:rsid w:val="00AB754D"/>
    <w:rsid w:val="00AC07D8"/>
    <w:rsid w:val="00AC1291"/>
    <w:rsid w:val="00AC1809"/>
    <w:rsid w:val="00AC1905"/>
    <w:rsid w:val="00AC1F1C"/>
    <w:rsid w:val="00AC28E4"/>
    <w:rsid w:val="00AC2B19"/>
    <w:rsid w:val="00AC33E3"/>
    <w:rsid w:val="00AC3F77"/>
    <w:rsid w:val="00AC400B"/>
    <w:rsid w:val="00AC421E"/>
    <w:rsid w:val="00AC4641"/>
    <w:rsid w:val="00AC487B"/>
    <w:rsid w:val="00AC4BF7"/>
    <w:rsid w:val="00AC4ED2"/>
    <w:rsid w:val="00AC5026"/>
    <w:rsid w:val="00AC5590"/>
    <w:rsid w:val="00AC583E"/>
    <w:rsid w:val="00AC5A88"/>
    <w:rsid w:val="00AC6A57"/>
    <w:rsid w:val="00AC724A"/>
    <w:rsid w:val="00AC7354"/>
    <w:rsid w:val="00AC7755"/>
    <w:rsid w:val="00AC788C"/>
    <w:rsid w:val="00AC798D"/>
    <w:rsid w:val="00AD0F34"/>
    <w:rsid w:val="00AD1148"/>
    <w:rsid w:val="00AD22B3"/>
    <w:rsid w:val="00AD2745"/>
    <w:rsid w:val="00AD2FEE"/>
    <w:rsid w:val="00AD3BF1"/>
    <w:rsid w:val="00AD4910"/>
    <w:rsid w:val="00AD5BEF"/>
    <w:rsid w:val="00AD5CCD"/>
    <w:rsid w:val="00AD767E"/>
    <w:rsid w:val="00AE016F"/>
    <w:rsid w:val="00AE0429"/>
    <w:rsid w:val="00AE054B"/>
    <w:rsid w:val="00AE093C"/>
    <w:rsid w:val="00AE0A16"/>
    <w:rsid w:val="00AE0C81"/>
    <w:rsid w:val="00AE13D0"/>
    <w:rsid w:val="00AE1C45"/>
    <w:rsid w:val="00AE2821"/>
    <w:rsid w:val="00AE301A"/>
    <w:rsid w:val="00AE4C1B"/>
    <w:rsid w:val="00AE4C59"/>
    <w:rsid w:val="00AE5527"/>
    <w:rsid w:val="00AE585F"/>
    <w:rsid w:val="00AE631D"/>
    <w:rsid w:val="00AE7A8F"/>
    <w:rsid w:val="00AE7AD9"/>
    <w:rsid w:val="00AF19BB"/>
    <w:rsid w:val="00AF21D3"/>
    <w:rsid w:val="00AF3B92"/>
    <w:rsid w:val="00AF51A5"/>
    <w:rsid w:val="00AF52BB"/>
    <w:rsid w:val="00AF63DB"/>
    <w:rsid w:val="00AF67F9"/>
    <w:rsid w:val="00AF7B2E"/>
    <w:rsid w:val="00AF7D5C"/>
    <w:rsid w:val="00B00CBB"/>
    <w:rsid w:val="00B010D5"/>
    <w:rsid w:val="00B01328"/>
    <w:rsid w:val="00B0158C"/>
    <w:rsid w:val="00B01A03"/>
    <w:rsid w:val="00B02311"/>
    <w:rsid w:val="00B02C20"/>
    <w:rsid w:val="00B02F7D"/>
    <w:rsid w:val="00B033C4"/>
    <w:rsid w:val="00B0340F"/>
    <w:rsid w:val="00B03E7C"/>
    <w:rsid w:val="00B0401D"/>
    <w:rsid w:val="00B0460C"/>
    <w:rsid w:val="00B04D4C"/>
    <w:rsid w:val="00B0561A"/>
    <w:rsid w:val="00B05E05"/>
    <w:rsid w:val="00B0798F"/>
    <w:rsid w:val="00B105A2"/>
    <w:rsid w:val="00B11456"/>
    <w:rsid w:val="00B11EF0"/>
    <w:rsid w:val="00B11F95"/>
    <w:rsid w:val="00B11FC4"/>
    <w:rsid w:val="00B13078"/>
    <w:rsid w:val="00B13759"/>
    <w:rsid w:val="00B139B8"/>
    <w:rsid w:val="00B1400A"/>
    <w:rsid w:val="00B1486F"/>
    <w:rsid w:val="00B15F96"/>
    <w:rsid w:val="00B1636F"/>
    <w:rsid w:val="00B1647D"/>
    <w:rsid w:val="00B166DE"/>
    <w:rsid w:val="00B16B8F"/>
    <w:rsid w:val="00B16D44"/>
    <w:rsid w:val="00B1744C"/>
    <w:rsid w:val="00B21926"/>
    <w:rsid w:val="00B22180"/>
    <w:rsid w:val="00B23964"/>
    <w:rsid w:val="00B2456E"/>
    <w:rsid w:val="00B254B6"/>
    <w:rsid w:val="00B25EC3"/>
    <w:rsid w:val="00B25FF2"/>
    <w:rsid w:val="00B260A8"/>
    <w:rsid w:val="00B26271"/>
    <w:rsid w:val="00B266AE"/>
    <w:rsid w:val="00B2779C"/>
    <w:rsid w:val="00B27CEC"/>
    <w:rsid w:val="00B30F86"/>
    <w:rsid w:val="00B31045"/>
    <w:rsid w:val="00B31236"/>
    <w:rsid w:val="00B3183E"/>
    <w:rsid w:val="00B31854"/>
    <w:rsid w:val="00B31A4D"/>
    <w:rsid w:val="00B3292F"/>
    <w:rsid w:val="00B32F21"/>
    <w:rsid w:val="00B33B31"/>
    <w:rsid w:val="00B35419"/>
    <w:rsid w:val="00B3618F"/>
    <w:rsid w:val="00B36662"/>
    <w:rsid w:val="00B3675F"/>
    <w:rsid w:val="00B36BA0"/>
    <w:rsid w:val="00B37613"/>
    <w:rsid w:val="00B37AC6"/>
    <w:rsid w:val="00B37D23"/>
    <w:rsid w:val="00B40295"/>
    <w:rsid w:val="00B402BF"/>
    <w:rsid w:val="00B405AA"/>
    <w:rsid w:val="00B40673"/>
    <w:rsid w:val="00B40B11"/>
    <w:rsid w:val="00B40BCC"/>
    <w:rsid w:val="00B410E3"/>
    <w:rsid w:val="00B41524"/>
    <w:rsid w:val="00B41CFD"/>
    <w:rsid w:val="00B426B5"/>
    <w:rsid w:val="00B433C2"/>
    <w:rsid w:val="00B4422D"/>
    <w:rsid w:val="00B443F7"/>
    <w:rsid w:val="00B44A3B"/>
    <w:rsid w:val="00B44EF3"/>
    <w:rsid w:val="00B454AE"/>
    <w:rsid w:val="00B46142"/>
    <w:rsid w:val="00B46272"/>
    <w:rsid w:val="00B47F78"/>
    <w:rsid w:val="00B50CDA"/>
    <w:rsid w:val="00B51E14"/>
    <w:rsid w:val="00B522B9"/>
    <w:rsid w:val="00B529E4"/>
    <w:rsid w:val="00B53221"/>
    <w:rsid w:val="00B5337A"/>
    <w:rsid w:val="00B545CF"/>
    <w:rsid w:val="00B54E12"/>
    <w:rsid w:val="00B56538"/>
    <w:rsid w:val="00B57490"/>
    <w:rsid w:val="00B575F2"/>
    <w:rsid w:val="00B57C43"/>
    <w:rsid w:val="00B603B5"/>
    <w:rsid w:val="00B60A26"/>
    <w:rsid w:val="00B60CED"/>
    <w:rsid w:val="00B6109F"/>
    <w:rsid w:val="00B61122"/>
    <w:rsid w:val="00B61365"/>
    <w:rsid w:val="00B61843"/>
    <w:rsid w:val="00B619C0"/>
    <w:rsid w:val="00B6471A"/>
    <w:rsid w:val="00B6526D"/>
    <w:rsid w:val="00B6536A"/>
    <w:rsid w:val="00B65CE1"/>
    <w:rsid w:val="00B70456"/>
    <w:rsid w:val="00B709AA"/>
    <w:rsid w:val="00B72C45"/>
    <w:rsid w:val="00B7460F"/>
    <w:rsid w:val="00B803BF"/>
    <w:rsid w:val="00B808EB"/>
    <w:rsid w:val="00B811B0"/>
    <w:rsid w:val="00B816A6"/>
    <w:rsid w:val="00B822D9"/>
    <w:rsid w:val="00B8251F"/>
    <w:rsid w:val="00B83CD6"/>
    <w:rsid w:val="00B83D68"/>
    <w:rsid w:val="00B84179"/>
    <w:rsid w:val="00B85334"/>
    <w:rsid w:val="00B8566A"/>
    <w:rsid w:val="00B86570"/>
    <w:rsid w:val="00B868BF"/>
    <w:rsid w:val="00B878DD"/>
    <w:rsid w:val="00B87E4D"/>
    <w:rsid w:val="00B901AE"/>
    <w:rsid w:val="00B913CF"/>
    <w:rsid w:val="00B91D97"/>
    <w:rsid w:val="00B91F22"/>
    <w:rsid w:val="00B91FDD"/>
    <w:rsid w:val="00B930EE"/>
    <w:rsid w:val="00B936B0"/>
    <w:rsid w:val="00B93B59"/>
    <w:rsid w:val="00B94576"/>
    <w:rsid w:val="00B94FBA"/>
    <w:rsid w:val="00B951F2"/>
    <w:rsid w:val="00B95390"/>
    <w:rsid w:val="00B96EC5"/>
    <w:rsid w:val="00B97538"/>
    <w:rsid w:val="00B97899"/>
    <w:rsid w:val="00BA01ED"/>
    <w:rsid w:val="00BA159B"/>
    <w:rsid w:val="00BA1D21"/>
    <w:rsid w:val="00BA1DB7"/>
    <w:rsid w:val="00BA3365"/>
    <w:rsid w:val="00BA3F77"/>
    <w:rsid w:val="00BA425C"/>
    <w:rsid w:val="00BA5EB9"/>
    <w:rsid w:val="00BA66C6"/>
    <w:rsid w:val="00BA673A"/>
    <w:rsid w:val="00BA68A0"/>
    <w:rsid w:val="00BA6EC4"/>
    <w:rsid w:val="00BA79CA"/>
    <w:rsid w:val="00BB0427"/>
    <w:rsid w:val="00BB05D1"/>
    <w:rsid w:val="00BB0701"/>
    <w:rsid w:val="00BB0988"/>
    <w:rsid w:val="00BB2579"/>
    <w:rsid w:val="00BB279A"/>
    <w:rsid w:val="00BB3D79"/>
    <w:rsid w:val="00BB4BB3"/>
    <w:rsid w:val="00BB4C1B"/>
    <w:rsid w:val="00BB4D6D"/>
    <w:rsid w:val="00BB5D8F"/>
    <w:rsid w:val="00BB67F2"/>
    <w:rsid w:val="00BB70F5"/>
    <w:rsid w:val="00BB7D85"/>
    <w:rsid w:val="00BC0B0A"/>
    <w:rsid w:val="00BC25AB"/>
    <w:rsid w:val="00BC33BB"/>
    <w:rsid w:val="00BC3512"/>
    <w:rsid w:val="00BC4FE3"/>
    <w:rsid w:val="00BC5371"/>
    <w:rsid w:val="00BC5A18"/>
    <w:rsid w:val="00BC6385"/>
    <w:rsid w:val="00BC6D10"/>
    <w:rsid w:val="00BC7327"/>
    <w:rsid w:val="00BC7A15"/>
    <w:rsid w:val="00BC7A23"/>
    <w:rsid w:val="00BC7B48"/>
    <w:rsid w:val="00BD137E"/>
    <w:rsid w:val="00BD1566"/>
    <w:rsid w:val="00BD1DED"/>
    <w:rsid w:val="00BD4C84"/>
    <w:rsid w:val="00BD708F"/>
    <w:rsid w:val="00BE07E4"/>
    <w:rsid w:val="00BE182E"/>
    <w:rsid w:val="00BE2E06"/>
    <w:rsid w:val="00BE3FB4"/>
    <w:rsid w:val="00BE453C"/>
    <w:rsid w:val="00BE4A96"/>
    <w:rsid w:val="00BE5141"/>
    <w:rsid w:val="00BE5F0B"/>
    <w:rsid w:val="00BE71C2"/>
    <w:rsid w:val="00BF0C1D"/>
    <w:rsid w:val="00BF16B2"/>
    <w:rsid w:val="00BF1725"/>
    <w:rsid w:val="00BF186E"/>
    <w:rsid w:val="00BF2BFB"/>
    <w:rsid w:val="00BF4414"/>
    <w:rsid w:val="00BF56CA"/>
    <w:rsid w:val="00BF592E"/>
    <w:rsid w:val="00BF5F2A"/>
    <w:rsid w:val="00BF6E31"/>
    <w:rsid w:val="00BF6E65"/>
    <w:rsid w:val="00BF75F8"/>
    <w:rsid w:val="00BF7BAC"/>
    <w:rsid w:val="00C0177C"/>
    <w:rsid w:val="00C03D2F"/>
    <w:rsid w:val="00C0437F"/>
    <w:rsid w:val="00C044A4"/>
    <w:rsid w:val="00C04D6C"/>
    <w:rsid w:val="00C0500B"/>
    <w:rsid w:val="00C06098"/>
    <w:rsid w:val="00C07385"/>
    <w:rsid w:val="00C07C10"/>
    <w:rsid w:val="00C07DE6"/>
    <w:rsid w:val="00C114B2"/>
    <w:rsid w:val="00C11B84"/>
    <w:rsid w:val="00C11CFC"/>
    <w:rsid w:val="00C1305C"/>
    <w:rsid w:val="00C131BA"/>
    <w:rsid w:val="00C14308"/>
    <w:rsid w:val="00C14428"/>
    <w:rsid w:val="00C14791"/>
    <w:rsid w:val="00C15284"/>
    <w:rsid w:val="00C16604"/>
    <w:rsid w:val="00C16F2B"/>
    <w:rsid w:val="00C173C8"/>
    <w:rsid w:val="00C174D7"/>
    <w:rsid w:val="00C178C6"/>
    <w:rsid w:val="00C17B2D"/>
    <w:rsid w:val="00C202EE"/>
    <w:rsid w:val="00C20505"/>
    <w:rsid w:val="00C20BCB"/>
    <w:rsid w:val="00C20DE6"/>
    <w:rsid w:val="00C232AB"/>
    <w:rsid w:val="00C23A0B"/>
    <w:rsid w:val="00C24FCA"/>
    <w:rsid w:val="00C254DB"/>
    <w:rsid w:val="00C257C4"/>
    <w:rsid w:val="00C25E40"/>
    <w:rsid w:val="00C267A1"/>
    <w:rsid w:val="00C27E72"/>
    <w:rsid w:val="00C302FA"/>
    <w:rsid w:val="00C31DBE"/>
    <w:rsid w:val="00C324E7"/>
    <w:rsid w:val="00C33111"/>
    <w:rsid w:val="00C35C62"/>
    <w:rsid w:val="00C35E41"/>
    <w:rsid w:val="00C3634F"/>
    <w:rsid w:val="00C368D0"/>
    <w:rsid w:val="00C36DA3"/>
    <w:rsid w:val="00C36FE9"/>
    <w:rsid w:val="00C37BDD"/>
    <w:rsid w:val="00C37FC1"/>
    <w:rsid w:val="00C41D83"/>
    <w:rsid w:val="00C42960"/>
    <w:rsid w:val="00C42F0A"/>
    <w:rsid w:val="00C433B3"/>
    <w:rsid w:val="00C43C92"/>
    <w:rsid w:val="00C43FD1"/>
    <w:rsid w:val="00C4407D"/>
    <w:rsid w:val="00C442DE"/>
    <w:rsid w:val="00C44494"/>
    <w:rsid w:val="00C4472B"/>
    <w:rsid w:val="00C44DBD"/>
    <w:rsid w:val="00C44F26"/>
    <w:rsid w:val="00C45248"/>
    <w:rsid w:val="00C46076"/>
    <w:rsid w:val="00C46D88"/>
    <w:rsid w:val="00C47049"/>
    <w:rsid w:val="00C4747D"/>
    <w:rsid w:val="00C47A83"/>
    <w:rsid w:val="00C505A4"/>
    <w:rsid w:val="00C50A5B"/>
    <w:rsid w:val="00C51C50"/>
    <w:rsid w:val="00C53B10"/>
    <w:rsid w:val="00C54713"/>
    <w:rsid w:val="00C561B9"/>
    <w:rsid w:val="00C6152C"/>
    <w:rsid w:val="00C61D6D"/>
    <w:rsid w:val="00C62513"/>
    <w:rsid w:val="00C63676"/>
    <w:rsid w:val="00C63F78"/>
    <w:rsid w:val="00C63F9B"/>
    <w:rsid w:val="00C643FB"/>
    <w:rsid w:val="00C64A0D"/>
    <w:rsid w:val="00C651D6"/>
    <w:rsid w:val="00C6533D"/>
    <w:rsid w:val="00C658EE"/>
    <w:rsid w:val="00C66B57"/>
    <w:rsid w:val="00C67815"/>
    <w:rsid w:val="00C679D3"/>
    <w:rsid w:val="00C7130B"/>
    <w:rsid w:val="00C72192"/>
    <w:rsid w:val="00C72BB4"/>
    <w:rsid w:val="00C72CC2"/>
    <w:rsid w:val="00C73418"/>
    <w:rsid w:val="00C745AF"/>
    <w:rsid w:val="00C75793"/>
    <w:rsid w:val="00C7727C"/>
    <w:rsid w:val="00C77482"/>
    <w:rsid w:val="00C77615"/>
    <w:rsid w:val="00C8023F"/>
    <w:rsid w:val="00C80A8C"/>
    <w:rsid w:val="00C82980"/>
    <w:rsid w:val="00C82A30"/>
    <w:rsid w:val="00C8440E"/>
    <w:rsid w:val="00C869D2"/>
    <w:rsid w:val="00C8734B"/>
    <w:rsid w:val="00C8750D"/>
    <w:rsid w:val="00C87B9B"/>
    <w:rsid w:val="00C87BA3"/>
    <w:rsid w:val="00C87EB7"/>
    <w:rsid w:val="00C917A8"/>
    <w:rsid w:val="00C93C82"/>
    <w:rsid w:val="00C9487A"/>
    <w:rsid w:val="00C94EB5"/>
    <w:rsid w:val="00C95424"/>
    <w:rsid w:val="00C95927"/>
    <w:rsid w:val="00C96675"/>
    <w:rsid w:val="00C96B3A"/>
    <w:rsid w:val="00C9795F"/>
    <w:rsid w:val="00C97B42"/>
    <w:rsid w:val="00CA0EAC"/>
    <w:rsid w:val="00CA1304"/>
    <w:rsid w:val="00CA209E"/>
    <w:rsid w:val="00CA516A"/>
    <w:rsid w:val="00CA57F4"/>
    <w:rsid w:val="00CA656D"/>
    <w:rsid w:val="00CA67C1"/>
    <w:rsid w:val="00CA69BB"/>
    <w:rsid w:val="00CA6A9E"/>
    <w:rsid w:val="00CA741C"/>
    <w:rsid w:val="00CA7F83"/>
    <w:rsid w:val="00CB03BC"/>
    <w:rsid w:val="00CB0452"/>
    <w:rsid w:val="00CB0F1C"/>
    <w:rsid w:val="00CB1073"/>
    <w:rsid w:val="00CB1320"/>
    <w:rsid w:val="00CB2C4C"/>
    <w:rsid w:val="00CB2E8F"/>
    <w:rsid w:val="00CB3BA9"/>
    <w:rsid w:val="00CB3EE9"/>
    <w:rsid w:val="00CB40DD"/>
    <w:rsid w:val="00CB452A"/>
    <w:rsid w:val="00CB4E03"/>
    <w:rsid w:val="00CB5E21"/>
    <w:rsid w:val="00CB6A88"/>
    <w:rsid w:val="00CB7692"/>
    <w:rsid w:val="00CB7E1D"/>
    <w:rsid w:val="00CC09B3"/>
    <w:rsid w:val="00CC0EAC"/>
    <w:rsid w:val="00CC13C6"/>
    <w:rsid w:val="00CC1784"/>
    <w:rsid w:val="00CC1E95"/>
    <w:rsid w:val="00CC2DFF"/>
    <w:rsid w:val="00CC38AB"/>
    <w:rsid w:val="00CC429D"/>
    <w:rsid w:val="00CC5BE0"/>
    <w:rsid w:val="00CC707D"/>
    <w:rsid w:val="00CC7454"/>
    <w:rsid w:val="00CC787F"/>
    <w:rsid w:val="00CD0C7F"/>
    <w:rsid w:val="00CD0FDE"/>
    <w:rsid w:val="00CD1274"/>
    <w:rsid w:val="00CD236C"/>
    <w:rsid w:val="00CD3984"/>
    <w:rsid w:val="00CD4590"/>
    <w:rsid w:val="00CD4849"/>
    <w:rsid w:val="00CD4D58"/>
    <w:rsid w:val="00CD5002"/>
    <w:rsid w:val="00CD51D7"/>
    <w:rsid w:val="00CD5544"/>
    <w:rsid w:val="00CD55AE"/>
    <w:rsid w:val="00CD5C37"/>
    <w:rsid w:val="00CD6629"/>
    <w:rsid w:val="00CD6FB6"/>
    <w:rsid w:val="00CD73F9"/>
    <w:rsid w:val="00CE01CD"/>
    <w:rsid w:val="00CE0535"/>
    <w:rsid w:val="00CE0E19"/>
    <w:rsid w:val="00CE105C"/>
    <w:rsid w:val="00CE1399"/>
    <w:rsid w:val="00CE1875"/>
    <w:rsid w:val="00CE1C4E"/>
    <w:rsid w:val="00CE2363"/>
    <w:rsid w:val="00CE2765"/>
    <w:rsid w:val="00CE2F10"/>
    <w:rsid w:val="00CE38BD"/>
    <w:rsid w:val="00CE3D7D"/>
    <w:rsid w:val="00CE4F2D"/>
    <w:rsid w:val="00CE53D3"/>
    <w:rsid w:val="00CE553E"/>
    <w:rsid w:val="00CE585C"/>
    <w:rsid w:val="00CE5BC1"/>
    <w:rsid w:val="00CE789C"/>
    <w:rsid w:val="00CF038A"/>
    <w:rsid w:val="00CF0687"/>
    <w:rsid w:val="00CF1CB8"/>
    <w:rsid w:val="00CF259E"/>
    <w:rsid w:val="00CF27F8"/>
    <w:rsid w:val="00CF2F4E"/>
    <w:rsid w:val="00CF369D"/>
    <w:rsid w:val="00CF462C"/>
    <w:rsid w:val="00CF5438"/>
    <w:rsid w:val="00CF55CE"/>
    <w:rsid w:val="00CF59F2"/>
    <w:rsid w:val="00CF5A64"/>
    <w:rsid w:val="00CF6929"/>
    <w:rsid w:val="00CF6990"/>
    <w:rsid w:val="00CF6CD6"/>
    <w:rsid w:val="00D00024"/>
    <w:rsid w:val="00D01718"/>
    <w:rsid w:val="00D025F1"/>
    <w:rsid w:val="00D02681"/>
    <w:rsid w:val="00D0405E"/>
    <w:rsid w:val="00D04D91"/>
    <w:rsid w:val="00D05B9E"/>
    <w:rsid w:val="00D06156"/>
    <w:rsid w:val="00D062E0"/>
    <w:rsid w:val="00D068E1"/>
    <w:rsid w:val="00D07339"/>
    <w:rsid w:val="00D07487"/>
    <w:rsid w:val="00D078CA"/>
    <w:rsid w:val="00D12122"/>
    <w:rsid w:val="00D138A1"/>
    <w:rsid w:val="00D13B3D"/>
    <w:rsid w:val="00D141B8"/>
    <w:rsid w:val="00D15D81"/>
    <w:rsid w:val="00D16107"/>
    <w:rsid w:val="00D16255"/>
    <w:rsid w:val="00D16F01"/>
    <w:rsid w:val="00D20A2A"/>
    <w:rsid w:val="00D20E35"/>
    <w:rsid w:val="00D217C3"/>
    <w:rsid w:val="00D228EE"/>
    <w:rsid w:val="00D23054"/>
    <w:rsid w:val="00D24327"/>
    <w:rsid w:val="00D2481D"/>
    <w:rsid w:val="00D249BA"/>
    <w:rsid w:val="00D263A2"/>
    <w:rsid w:val="00D272E3"/>
    <w:rsid w:val="00D27988"/>
    <w:rsid w:val="00D27A41"/>
    <w:rsid w:val="00D27B60"/>
    <w:rsid w:val="00D30A56"/>
    <w:rsid w:val="00D31599"/>
    <w:rsid w:val="00D318C1"/>
    <w:rsid w:val="00D31EFC"/>
    <w:rsid w:val="00D32316"/>
    <w:rsid w:val="00D3307D"/>
    <w:rsid w:val="00D33873"/>
    <w:rsid w:val="00D33935"/>
    <w:rsid w:val="00D33A70"/>
    <w:rsid w:val="00D33B33"/>
    <w:rsid w:val="00D352CE"/>
    <w:rsid w:val="00D35535"/>
    <w:rsid w:val="00D3702D"/>
    <w:rsid w:val="00D40333"/>
    <w:rsid w:val="00D40766"/>
    <w:rsid w:val="00D4094A"/>
    <w:rsid w:val="00D438BA"/>
    <w:rsid w:val="00D43A5E"/>
    <w:rsid w:val="00D43BA7"/>
    <w:rsid w:val="00D4505D"/>
    <w:rsid w:val="00D45520"/>
    <w:rsid w:val="00D45D85"/>
    <w:rsid w:val="00D45DBD"/>
    <w:rsid w:val="00D45F28"/>
    <w:rsid w:val="00D46C9F"/>
    <w:rsid w:val="00D477C6"/>
    <w:rsid w:val="00D47D16"/>
    <w:rsid w:val="00D47DD7"/>
    <w:rsid w:val="00D50F98"/>
    <w:rsid w:val="00D52779"/>
    <w:rsid w:val="00D5343E"/>
    <w:rsid w:val="00D53452"/>
    <w:rsid w:val="00D535A5"/>
    <w:rsid w:val="00D53C95"/>
    <w:rsid w:val="00D552C6"/>
    <w:rsid w:val="00D55C5B"/>
    <w:rsid w:val="00D5686C"/>
    <w:rsid w:val="00D56ED0"/>
    <w:rsid w:val="00D57AA1"/>
    <w:rsid w:val="00D57EFE"/>
    <w:rsid w:val="00D57FB6"/>
    <w:rsid w:val="00D603A4"/>
    <w:rsid w:val="00D608EC"/>
    <w:rsid w:val="00D612F8"/>
    <w:rsid w:val="00D62789"/>
    <w:rsid w:val="00D62EAE"/>
    <w:rsid w:val="00D63609"/>
    <w:rsid w:val="00D63652"/>
    <w:rsid w:val="00D6383E"/>
    <w:rsid w:val="00D639AF"/>
    <w:rsid w:val="00D641FA"/>
    <w:rsid w:val="00D65688"/>
    <w:rsid w:val="00D659D0"/>
    <w:rsid w:val="00D6617D"/>
    <w:rsid w:val="00D670B6"/>
    <w:rsid w:val="00D67DF1"/>
    <w:rsid w:val="00D67F1E"/>
    <w:rsid w:val="00D70829"/>
    <w:rsid w:val="00D71440"/>
    <w:rsid w:val="00D729A3"/>
    <w:rsid w:val="00D74157"/>
    <w:rsid w:val="00D74792"/>
    <w:rsid w:val="00D75AB8"/>
    <w:rsid w:val="00D77058"/>
    <w:rsid w:val="00D77E08"/>
    <w:rsid w:val="00D80EA7"/>
    <w:rsid w:val="00D8144B"/>
    <w:rsid w:val="00D816D5"/>
    <w:rsid w:val="00D81BC5"/>
    <w:rsid w:val="00D821F7"/>
    <w:rsid w:val="00D82CEC"/>
    <w:rsid w:val="00D82D63"/>
    <w:rsid w:val="00D84362"/>
    <w:rsid w:val="00D847C1"/>
    <w:rsid w:val="00D8517C"/>
    <w:rsid w:val="00D864DC"/>
    <w:rsid w:val="00D86721"/>
    <w:rsid w:val="00D86937"/>
    <w:rsid w:val="00D86B49"/>
    <w:rsid w:val="00D86BCA"/>
    <w:rsid w:val="00D87926"/>
    <w:rsid w:val="00D87C3C"/>
    <w:rsid w:val="00D90014"/>
    <w:rsid w:val="00D90475"/>
    <w:rsid w:val="00D90CC9"/>
    <w:rsid w:val="00D90D23"/>
    <w:rsid w:val="00D9116E"/>
    <w:rsid w:val="00D91BED"/>
    <w:rsid w:val="00D9337A"/>
    <w:rsid w:val="00D94354"/>
    <w:rsid w:val="00D9568F"/>
    <w:rsid w:val="00D95C6A"/>
    <w:rsid w:val="00D95FE8"/>
    <w:rsid w:val="00D962F6"/>
    <w:rsid w:val="00D979B3"/>
    <w:rsid w:val="00DA0579"/>
    <w:rsid w:val="00DA071F"/>
    <w:rsid w:val="00DA0939"/>
    <w:rsid w:val="00DA0A69"/>
    <w:rsid w:val="00DA178F"/>
    <w:rsid w:val="00DA21FE"/>
    <w:rsid w:val="00DA35DB"/>
    <w:rsid w:val="00DA3B2F"/>
    <w:rsid w:val="00DA41C5"/>
    <w:rsid w:val="00DA4FD7"/>
    <w:rsid w:val="00DA5491"/>
    <w:rsid w:val="00DA5DBF"/>
    <w:rsid w:val="00DA6B09"/>
    <w:rsid w:val="00DA6BA0"/>
    <w:rsid w:val="00DA6E1B"/>
    <w:rsid w:val="00DA708A"/>
    <w:rsid w:val="00DA77E9"/>
    <w:rsid w:val="00DB00B1"/>
    <w:rsid w:val="00DB0BEF"/>
    <w:rsid w:val="00DB0F79"/>
    <w:rsid w:val="00DB12FD"/>
    <w:rsid w:val="00DB13A5"/>
    <w:rsid w:val="00DB2DF2"/>
    <w:rsid w:val="00DB4CAA"/>
    <w:rsid w:val="00DB6156"/>
    <w:rsid w:val="00DB6173"/>
    <w:rsid w:val="00DB6FB0"/>
    <w:rsid w:val="00DC01A4"/>
    <w:rsid w:val="00DC027E"/>
    <w:rsid w:val="00DC0D1A"/>
    <w:rsid w:val="00DC1217"/>
    <w:rsid w:val="00DC12DF"/>
    <w:rsid w:val="00DC1BEC"/>
    <w:rsid w:val="00DC1E04"/>
    <w:rsid w:val="00DC2944"/>
    <w:rsid w:val="00DC410F"/>
    <w:rsid w:val="00DC5D01"/>
    <w:rsid w:val="00DC6319"/>
    <w:rsid w:val="00DC6893"/>
    <w:rsid w:val="00DC7410"/>
    <w:rsid w:val="00DD34A5"/>
    <w:rsid w:val="00DD3805"/>
    <w:rsid w:val="00DD41D0"/>
    <w:rsid w:val="00DD481F"/>
    <w:rsid w:val="00DD5006"/>
    <w:rsid w:val="00DE0131"/>
    <w:rsid w:val="00DE022D"/>
    <w:rsid w:val="00DE0ABF"/>
    <w:rsid w:val="00DE18D2"/>
    <w:rsid w:val="00DE1941"/>
    <w:rsid w:val="00DE2B45"/>
    <w:rsid w:val="00DE3D30"/>
    <w:rsid w:val="00DE435D"/>
    <w:rsid w:val="00DE441E"/>
    <w:rsid w:val="00DE471C"/>
    <w:rsid w:val="00DE5B73"/>
    <w:rsid w:val="00DE6267"/>
    <w:rsid w:val="00DE706C"/>
    <w:rsid w:val="00DE7074"/>
    <w:rsid w:val="00DE75A5"/>
    <w:rsid w:val="00DE7ABE"/>
    <w:rsid w:val="00DE7C93"/>
    <w:rsid w:val="00DE7DE6"/>
    <w:rsid w:val="00DF0C60"/>
    <w:rsid w:val="00DF0DEC"/>
    <w:rsid w:val="00DF1732"/>
    <w:rsid w:val="00DF1C41"/>
    <w:rsid w:val="00DF1D24"/>
    <w:rsid w:val="00DF2A9A"/>
    <w:rsid w:val="00DF305B"/>
    <w:rsid w:val="00DF340A"/>
    <w:rsid w:val="00DF383C"/>
    <w:rsid w:val="00DF3BBF"/>
    <w:rsid w:val="00DF5004"/>
    <w:rsid w:val="00DF5A42"/>
    <w:rsid w:val="00DF607A"/>
    <w:rsid w:val="00DF6AA2"/>
    <w:rsid w:val="00DF74C9"/>
    <w:rsid w:val="00E001FA"/>
    <w:rsid w:val="00E0026A"/>
    <w:rsid w:val="00E012B2"/>
    <w:rsid w:val="00E01740"/>
    <w:rsid w:val="00E01FCC"/>
    <w:rsid w:val="00E03BB3"/>
    <w:rsid w:val="00E04ED2"/>
    <w:rsid w:val="00E056A4"/>
    <w:rsid w:val="00E05D7E"/>
    <w:rsid w:val="00E05E66"/>
    <w:rsid w:val="00E06244"/>
    <w:rsid w:val="00E062C1"/>
    <w:rsid w:val="00E066D2"/>
    <w:rsid w:val="00E07156"/>
    <w:rsid w:val="00E073F1"/>
    <w:rsid w:val="00E074CE"/>
    <w:rsid w:val="00E105CD"/>
    <w:rsid w:val="00E10DB3"/>
    <w:rsid w:val="00E10FCF"/>
    <w:rsid w:val="00E111E9"/>
    <w:rsid w:val="00E112BA"/>
    <w:rsid w:val="00E11B0B"/>
    <w:rsid w:val="00E127CE"/>
    <w:rsid w:val="00E1286C"/>
    <w:rsid w:val="00E13B62"/>
    <w:rsid w:val="00E13C8E"/>
    <w:rsid w:val="00E14A3C"/>
    <w:rsid w:val="00E154A9"/>
    <w:rsid w:val="00E155CF"/>
    <w:rsid w:val="00E1568E"/>
    <w:rsid w:val="00E16442"/>
    <w:rsid w:val="00E16870"/>
    <w:rsid w:val="00E17050"/>
    <w:rsid w:val="00E177F9"/>
    <w:rsid w:val="00E178ED"/>
    <w:rsid w:val="00E201E4"/>
    <w:rsid w:val="00E20FED"/>
    <w:rsid w:val="00E21530"/>
    <w:rsid w:val="00E224D3"/>
    <w:rsid w:val="00E2380C"/>
    <w:rsid w:val="00E2453B"/>
    <w:rsid w:val="00E24FFD"/>
    <w:rsid w:val="00E2503C"/>
    <w:rsid w:val="00E25DB4"/>
    <w:rsid w:val="00E260E5"/>
    <w:rsid w:val="00E263D8"/>
    <w:rsid w:val="00E26B45"/>
    <w:rsid w:val="00E26FDD"/>
    <w:rsid w:val="00E274FB"/>
    <w:rsid w:val="00E27F4C"/>
    <w:rsid w:val="00E30677"/>
    <w:rsid w:val="00E30825"/>
    <w:rsid w:val="00E30F16"/>
    <w:rsid w:val="00E30F66"/>
    <w:rsid w:val="00E31A5A"/>
    <w:rsid w:val="00E32869"/>
    <w:rsid w:val="00E329AC"/>
    <w:rsid w:val="00E32DD9"/>
    <w:rsid w:val="00E33954"/>
    <w:rsid w:val="00E346B4"/>
    <w:rsid w:val="00E35C20"/>
    <w:rsid w:val="00E36D9B"/>
    <w:rsid w:val="00E37151"/>
    <w:rsid w:val="00E372A7"/>
    <w:rsid w:val="00E3748C"/>
    <w:rsid w:val="00E401BB"/>
    <w:rsid w:val="00E4160A"/>
    <w:rsid w:val="00E4180E"/>
    <w:rsid w:val="00E41A9D"/>
    <w:rsid w:val="00E41EE8"/>
    <w:rsid w:val="00E422D5"/>
    <w:rsid w:val="00E422E4"/>
    <w:rsid w:val="00E42CB2"/>
    <w:rsid w:val="00E4383C"/>
    <w:rsid w:val="00E4433A"/>
    <w:rsid w:val="00E45733"/>
    <w:rsid w:val="00E45F69"/>
    <w:rsid w:val="00E4632F"/>
    <w:rsid w:val="00E4672E"/>
    <w:rsid w:val="00E46B47"/>
    <w:rsid w:val="00E47498"/>
    <w:rsid w:val="00E50178"/>
    <w:rsid w:val="00E504C7"/>
    <w:rsid w:val="00E50900"/>
    <w:rsid w:val="00E518B3"/>
    <w:rsid w:val="00E5228D"/>
    <w:rsid w:val="00E52868"/>
    <w:rsid w:val="00E52DE1"/>
    <w:rsid w:val="00E5348E"/>
    <w:rsid w:val="00E53ADD"/>
    <w:rsid w:val="00E54515"/>
    <w:rsid w:val="00E547EF"/>
    <w:rsid w:val="00E554F9"/>
    <w:rsid w:val="00E55DEB"/>
    <w:rsid w:val="00E563C5"/>
    <w:rsid w:val="00E56428"/>
    <w:rsid w:val="00E5666E"/>
    <w:rsid w:val="00E60961"/>
    <w:rsid w:val="00E63872"/>
    <w:rsid w:val="00E6403A"/>
    <w:rsid w:val="00E640D3"/>
    <w:rsid w:val="00E64CEA"/>
    <w:rsid w:val="00E64D30"/>
    <w:rsid w:val="00E6575A"/>
    <w:rsid w:val="00E65BDB"/>
    <w:rsid w:val="00E66943"/>
    <w:rsid w:val="00E67B25"/>
    <w:rsid w:val="00E7052B"/>
    <w:rsid w:val="00E721F3"/>
    <w:rsid w:val="00E729BC"/>
    <w:rsid w:val="00E731F9"/>
    <w:rsid w:val="00E737DF"/>
    <w:rsid w:val="00E7665B"/>
    <w:rsid w:val="00E7728A"/>
    <w:rsid w:val="00E82301"/>
    <w:rsid w:val="00E85C57"/>
    <w:rsid w:val="00E85F26"/>
    <w:rsid w:val="00E865F0"/>
    <w:rsid w:val="00E86952"/>
    <w:rsid w:val="00E870DB"/>
    <w:rsid w:val="00E879D7"/>
    <w:rsid w:val="00E90ADF"/>
    <w:rsid w:val="00E90C6C"/>
    <w:rsid w:val="00E9169C"/>
    <w:rsid w:val="00E924CD"/>
    <w:rsid w:val="00E930A6"/>
    <w:rsid w:val="00E931A0"/>
    <w:rsid w:val="00E9327D"/>
    <w:rsid w:val="00E93803"/>
    <w:rsid w:val="00E93988"/>
    <w:rsid w:val="00E94A7C"/>
    <w:rsid w:val="00E95384"/>
    <w:rsid w:val="00E969FE"/>
    <w:rsid w:val="00E96C2B"/>
    <w:rsid w:val="00E96D84"/>
    <w:rsid w:val="00E97AAA"/>
    <w:rsid w:val="00EA0107"/>
    <w:rsid w:val="00EA020E"/>
    <w:rsid w:val="00EA0448"/>
    <w:rsid w:val="00EA2514"/>
    <w:rsid w:val="00EA4106"/>
    <w:rsid w:val="00EA44FA"/>
    <w:rsid w:val="00EA47D5"/>
    <w:rsid w:val="00EA5A3D"/>
    <w:rsid w:val="00EA6B8D"/>
    <w:rsid w:val="00EA7560"/>
    <w:rsid w:val="00EB07ED"/>
    <w:rsid w:val="00EB0D61"/>
    <w:rsid w:val="00EB37AE"/>
    <w:rsid w:val="00EB50C1"/>
    <w:rsid w:val="00EC1241"/>
    <w:rsid w:val="00EC1659"/>
    <w:rsid w:val="00EC1DCF"/>
    <w:rsid w:val="00EC377A"/>
    <w:rsid w:val="00EC4029"/>
    <w:rsid w:val="00EC46C7"/>
    <w:rsid w:val="00EC4748"/>
    <w:rsid w:val="00EC51EC"/>
    <w:rsid w:val="00EC572A"/>
    <w:rsid w:val="00EC70C8"/>
    <w:rsid w:val="00ED0A81"/>
    <w:rsid w:val="00ED138F"/>
    <w:rsid w:val="00ED1455"/>
    <w:rsid w:val="00ED198A"/>
    <w:rsid w:val="00ED19BB"/>
    <w:rsid w:val="00ED35EC"/>
    <w:rsid w:val="00ED4CC2"/>
    <w:rsid w:val="00ED5999"/>
    <w:rsid w:val="00ED59EC"/>
    <w:rsid w:val="00ED5D5D"/>
    <w:rsid w:val="00ED734B"/>
    <w:rsid w:val="00EE0551"/>
    <w:rsid w:val="00EE1C5E"/>
    <w:rsid w:val="00EE2082"/>
    <w:rsid w:val="00EE20F8"/>
    <w:rsid w:val="00EE27B8"/>
    <w:rsid w:val="00EE34DC"/>
    <w:rsid w:val="00EE4B5B"/>
    <w:rsid w:val="00EE630E"/>
    <w:rsid w:val="00EE6BE6"/>
    <w:rsid w:val="00EE7899"/>
    <w:rsid w:val="00EF1229"/>
    <w:rsid w:val="00EF17E6"/>
    <w:rsid w:val="00EF1C35"/>
    <w:rsid w:val="00EF1D7E"/>
    <w:rsid w:val="00EF1F27"/>
    <w:rsid w:val="00EF46C4"/>
    <w:rsid w:val="00EF56E2"/>
    <w:rsid w:val="00EF5718"/>
    <w:rsid w:val="00EF5AAD"/>
    <w:rsid w:val="00EF5EBC"/>
    <w:rsid w:val="00EF6555"/>
    <w:rsid w:val="00EF7082"/>
    <w:rsid w:val="00F00451"/>
    <w:rsid w:val="00F00871"/>
    <w:rsid w:val="00F01DFE"/>
    <w:rsid w:val="00F02491"/>
    <w:rsid w:val="00F026F3"/>
    <w:rsid w:val="00F02855"/>
    <w:rsid w:val="00F02E30"/>
    <w:rsid w:val="00F032B0"/>
    <w:rsid w:val="00F03325"/>
    <w:rsid w:val="00F03377"/>
    <w:rsid w:val="00F034D4"/>
    <w:rsid w:val="00F04BED"/>
    <w:rsid w:val="00F05959"/>
    <w:rsid w:val="00F05F4F"/>
    <w:rsid w:val="00F077F1"/>
    <w:rsid w:val="00F07938"/>
    <w:rsid w:val="00F10B0D"/>
    <w:rsid w:val="00F10C10"/>
    <w:rsid w:val="00F11227"/>
    <w:rsid w:val="00F11305"/>
    <w:rsid w:val="00F122C5"/>
    <w:rsid w:val="00F1364E"/>
    <w:rsid w:val="00F1374C"/>
    <w:rsid w:val="00F13C2D"/>
    <w:rsid w:val="00F13C8E"/>
    <w:rsid w:val="00F142ED"/>
    <w:rsid w:val="00F14507"/>
    <w:rsid w:val="00F146F0"/>
    <w:rsid w:val="00F166EB"/>
    <w:rsid w:val="00F167B7"/>
    <w:rsid w:val="00F16E83"/>
    <w:rsid w:val="00F2057E"/>
    <w:rsid w:val="00F20986"/>
    <w:rsid w:val="00F210DB"/>
    <w:rsid w:val="00F21E0E"/>
    <w:rsid w:val="00F22115"/>
    <w:rsid w:val="00F226E9"/>
    <w:rsid w:val="00F23028"/>
    <w:rsid w:val="00F24795"/>
    <w:rsid w:val="00F25DFB"/>
    <w:rsid w:val="00F25F41"/>
    <w:rsid w:val="00F2620A"/>
    <w:rsid w:val="00F3022B"/>
    <w:rsid w:val="00F31564"/>
    <w:rsid w:val="00F31A62"/>
    <w:rsid w:val="00F329A6"/>
    <w:rsid w:val="00F32ADA"/>
    <w:rsid w:val="00F32FF8"/>
    <w:rsid w:val="00F349AD"/>
    <w:rsid w:val="00F34AC7"/>
    <w:rsid w:val="00F363A2"/>
    <w:rsid w:val="00F36A0A"/>
    <w:rsid w:val="00F36BAA"/>
    <w:rsid w:val="00F370B4"/>
    <w:rsid w:val="00F413DE"/>
    <w:rsid w:val="00F41DB0"/>
    <w:rsid w:val="00F42532"/>
    <w:rsid w:val="00F4357D"/>
    <w:rsid w:val="00F44A53"/>
    <w:rsid w:val="00F45886"/>
    <w:rsid w:val="00F45BBB"/>
    <w:rsid w:val="00F45F5A"/>
    <w:rsid w:val="00F46D39"/>
    <w:rsid w:val="00F47E63"/>
    <w:rsid w:val="00F50834"/>
    <w:rsid w:val="00F523E6"/>
    <w:rsid w:val="00F52579"/>
    <w:rsid w:val="00F53ADA"/>
    <w:rsid w:val="00F53D53"/>
    <w:rsid w:val="00F55B8E"/>
    <w:rsid w:val="00F55C9B"/>
    <w:rsid w:val="00F57638"/>
    <w:rsid w:val="00F57961"/>
    <w:rsid w:val="00F6039C"/>
    <w:rsid w:val="00F60B3C"/>
    <w:rsid w:val="00F61B16"/>
    <w:rsid w:val="00F61CE3"/>
    <w:rsid w:val="00F6266D"/>
    <w:rsid w:val="00F630B4"/>
    <w:rsid w:val="00F647F8"/>
    <w:rsid w:val="00F64E21"/>
    <w:rsid w:val="00F65321"/>
    <w:rsid w:val="00F65BAF"/>
    <w:rsid w:val="00F65E4C"/>
    <w:rsid w:val="00F66921"/>
    <w:rsid w:val="00F66B54"/>
    <w:rsid w:val="00F66BDA"/>
    <w:rsid w:val="00F6727F"/>
    <w:rsid w:val="00F6734C"/>
    <w:rsid w:val="00F67A02"/>
    <w:rsid w:val="00F71130"/>
    <w:rsid w:val="00F71A97"/>
    <w:rsid w:val="00F723F0"/>
    <w:rsid w:val="00F72A55"/>
    <w:rsid w:val="00F75170"/>
    <w:rsid w:val="00F75DA4"/>
    <w:rsid w:val="00F75FD5"/>
    <w:rsid w:val="00F76C3B"/>
    <w:rsid w:val="00F77E76"/>
    <w:rsid w:val="00F8006E"/>
    <w:rsid w:val="00F81535"/>
    <w:rsid w:val="00F82C00"/>
    <w:rsid w:val="00F82C45"/>
    <w:rsid w:val="00F8362D"/>
    <w:rsid w:val="00F845DF"/>
    <w:rsid w:val="00F8495F"/>
    <w:rsid w:val="00F84BC1"/>
    <w:rsid w:val="00F84BDE"/>
    <w:rsid w:val="00F8628D"/>
    <w:rsid w:val="00F864AF"/>
    <w:rsid w:val="00F87D7F"/>
    <w:rsid w:val="00F91612"/>
    <w:rsid w:val="00F9255A"/>
    <w:rsid w:val="00F935FB"/>
    <w:rsid w:val="00F95160"/>
    <w:rsid w:val="00F9565F"/>
    <w:rsid w:val="00F95ADC"/>
    <w:rsid w:val="00F96B31"/>
    <w:rsid w:val="00F96D8C"/>
    <w:rsid w:val="00FA0C83"/>
    <w:rsid w:val="00FA125F"/>
    <w:rsid w:val="00FA17C3"/>
    <w:rsid w:val="00FA1B9F"/>
    <w:rsid w:val="00FA1C36"/>
    <w:rsid w:val="00FA1FA0"/>
    <w:rsid w:val="00FA2E4C"/>
    <w:rsid w:val="00FA3120"/>
    <w:rsid w:val="00FA5FE3"/>
    <w:rsid w:val="00FA65F0"/>
    <w:rsid w:val="00FA6BAA"/>
    <w:rsid w:val="00FA7B40"/>
    <w:rsid w:val="00FB05D8"/>
    <w:rsid w:val="00FB0A12"/>
    <w:rsid w:val="00FB0B7D"/>
    <w:rsid w:val="00FB28BD"/>
    <w:rsid w:val="00FB2AE0"/>
    <w:rsid w:val="00FB2C9D"/>
    <w:rsid w:val="00FB30E4"/>
    <w:rsid w:val="00FB31E4"/>
    <w:rsid w:val="00FB402B"/>
    <w:rsid w:val="00FB56E6"/>
    <w:rsid w:val="00FB5789"/>
    <w:rsid w:val="00FC025D"/>
    <w:rsid w:val="00FC02FB"/>
    <w:rsid w:val="00FC22D6"/>
    <w:rsid w:val="00FC3913"/>
    <w:rsid w:val="00FC4CB6"/>
    <w:rsid w:val="00FC4DB1"/>
    <w:rsid w:val="00FC4E4F"/>
    <w:rsid w:val="00FC53A1"/>
    <w:rsid w:val="00FC5A73"/>
    <w:rsid w:val="00FC602F"/>
    <w:rsid w:val="00FC631C"/>
    <w:rsid w:val="00FC71D4"/>
    <w:rsid w:val="00FC748A"/>
    <w:rsid w:val="00FC79FD"/>
    <w:rsid w:val="00FD016A"/>
    <w:rsid w:val="00FD143F"/>
    <w:rsid w:val="00FD3530"/>
    <w:rsid w:val="00FD3900"/>
    <w:rsid w:val="00FD5611"/>
    <w:rsid w:val="00FD615B"/>
    <w:rsid w:val="00FD619C"/>
    <w:rsid w:val="00FD632C"/>
    <w:rsid w:val="00FD6522"/>
    <w:rsid w:val="00FE1EF8"/>
    <w:rsid w:val="00FE240A"/>
    <w:rsid w:val="00FE3A20"/>
    <w:rsid w:val="00FE3CAC"/>
    <w:rsid w:val="00FE3DA9"/>
    <w:rsid w:val="00FE4AEB"/>
    <w:rsid w:val="00FE4C78"/>
    <w:rsid w:val="00FE5D65"/>
    <w:rsid w:val="00FE63E7"/>
    <w:rsid w:val="00FE6A7A"/>
    <w:rsid w:val="00FE786B"/>
    <w:rsid w:val="00FE7DA5"/>
    <w:rsid w:val="00FF0635"/>
    <w:rsid w:val="00FF0A3A"/>
    <w:rsid w:val="00FF0EBE"/>
    <w:rsid w:val="00FF13C8"/>
    <w:rsid w:val="00FF267F"/>
    <w:rsid w:val="00FF2CEB"/>
    <w:rsid w:val="00FF2F7A"/>
    <w:rsid w:val="00FF3215"/>
    <w:rsid w:val="00FF38FE"/>
    <w:rsid w:val="00FF3DB8"/>
    <w:rsid w:val="00FF5DB8"/>
    <w:rsid w:val="00FF7233"/>
    <w:rsid w:val="00FF7B59"/>
    <w:rsid w:val="010CEB5B"/>
    <w:rsid w:val="010FFD6E"/>
    <w:rsid w:val="016C1BE8"/>
    <w:rsid w:val="016FA216"/>
    <w:rsid w:val="0185D284"/>
    <w:rsid w:val="01AE7B0C"/>
    <w:rsid w:val="01C260A9"/>
    <w:rsid w:val="01C4EBC2"/>
    <w:rsid w:val="01F93E8C"/>
    <w:rsid w:val="022E233C"/>
    <w:rsid w:val="02DD6410"/>
    <w:rsid w:val="0337C758"/>
    <w:rsid w:val="037C7B60"/>
    <w:rsid w:val="039371BA"/>
    <w:rsid w:val="03B2DF38"/>
    <w:rsid w:val="03B4B693"/>
    <w:rsid w:val="03BE82B6"/>
    <w:rsid w:val="03D98D93"/>
    <w:rsid w:val="03E6BECA"/>
    <w:rsid w:val="040B064F"/>
    <w:rsid w:val="0418DA46"/>
    <w:rsid w:val="0423A089"/>
    <w:rsid w:val="045C1459"/>
    <w:rsid w:val="04633C70"/>
    <w:rsid w:val="0498D127"/>
    <w:rsid w:val="04A1AF6A"/>
    <w:rsid w:val="04BA9518"/>
    <w:rsid w:val="04CB3382"/>
    <w:rsid w:val="04D0C1C5"/>
    <w:rsid w:val="0595D0D3"/>
    <w:rsid w:val="059E05C9"/>
    <w:rsid w:val="05D702F5"/>
    <w:rsid w:val="0641B985"/>
    <w:rsid w:val="0645BF79"/>
    <w:rsid w:val="066D727C"/>
    <w:rsid w:val="0680608F"/>
    <w:rsid w:val="06987A9F"/>
    <w:rsid w:val="06B39199"/>
    <w:rsid w:val="06FA926D"/>
    <w:rsid w:val="06FF367F"/>
    <w:rsid w:val="07151C31"/>
    <w:rsid w:val="0723A0B8"/>
    <w:rsid w:val="0738F9E7"/>
    <w:rsid w:val="074A404E"/>
    <w:rsid w:val="075E655F"/>
    <w:rsid w:val="077A1188"/>
    <w:rsid w:val="07A7E1F9"/>
    <w:rsid w:val="07B3DE88"/>
    <w:rsid w:val="07B6005B"/>
    <w:rsid w:val="07BD950C"/>
    <w:rsid w:val="07DF5A96"/>
    <w:rsid w:val="07E1C3CF"/>
    <w:rsid w:val="07EE2A57"/>
    <w:rsid w:val="07F3D686"/>
    <w:rsid w:val="07FE9266"/>
    <w:rsid w:val="0807CA50"/>
    <w:rsid w:val="080B75FB"/>
    <w:rsid w:val="0810F898"/>
    <w:rsid w:val="081A4B82"/>
    <w:rsid w:val="0848EE35"/>
    <w:rsid w:val="089B1D69"/>
    <w:rsid w:val="08A9B25A"/>
    <w:rsid w:val="08DF1602"/>
    <w:rsid w:val="08ED6727"/>
    <w:rsid w:val="094A1721"/>
    <w:rsid w:val="094AD23F"/>
    <w:rsid w:val="09885B94"/>
    <w:rsid w:val="09D20BC6"/>
    <w:rsid w:val="09FB3881"/>
    <w:rsid w:val="0A039312"/>
    <w:rsid w:val="0A208234"/>
    <w:rsid w:val="0A585F39"/>
    <w:rsid w:val="0A600B09"/>
    <w:rsid w:val="0AF96DBB"/>
    <w:rsid w:val="0AFEB7E9"/>
    <w:rsid w:val="0B111E9C"/>
    <w:rsid w:val="0B147550"/>
    <w:rsid w:val="0B44C1A6"/>
    <w:rsid w:val="0B77883E"/>
    <w:rsid w:val="0BB4E901"/>
    <w:rsid w:val="0BD4B06F"/>
    <w:rsid w:val="0C06A7E7"/>
    <w:rsid w:val="0C2970A1"/>
    <w:rsid w:val="0C2D95D5"/>
    <w:rsid w:val="0C4BF55B"/>
    <w:rsid w:val="0C66DDAC"/>
    <w:rsid w:val="0C75AA3A"/>
    <w:rsid w:val="0C7AAD21"/>
    <w:rsid w:val="0CA3925E"/>
    <w:rsid w:val="0CAC0BE8"/>
    <w:rsid w:val="0CFC8B79"/>
    <w:rsid w:val="0D47CEF1"/>
    <w:rsid w:val="0D738A22"/>
    <w:rsid w:val="0D769BE1"/>
    <w:rsid w:val="0D803FB4"/>
    <w:rsid w:val="0D8744EF"/>
    <w:rsid w:val="0D8F1691"/>
    <w:rsid w:val="0DD1AC60"/>
    <w:rsid w:val="0DEDF58B"/>
    <w:rsid w:val="0E1C294A"/>
    <w:rsid w:val="0E3782C5"/>
    <w:rsid w:val="0E5AE625"/>
    <w:rsid w:val="0E63DF9D"/>
    <w:rsid w:val="0E831BB9"/>
    <w:rsid w:val="0E8858F9"/>
    <w:rsid w:val="0E95D306"/>
    <w:rsid w:val="0EA92F11"/>
    <w:rsid w:val="0EB8B12D"/>
    <w:rsid w:val="0EC572C4"/>
    <w:rsid w:val="0EDCDB31"/>
    <w:rsid w:val="0F183BA3"/>
    <w:rsid w:val="0F2418A2"/>
    <w:rsid w:val="0F2E0670"/>
    <w:rsid w:val="0F40FF72"/>
    <w:rsid w:val="0F4B9F8C"/>
    <w:rsid w:val="0FB288A3"/>
    <w:rsid w:val="0FDC995D"/>
    <w:rsid w:val="101D59D7"/>
    <w:rsid w:val="10232D88"/>
    <w:rsid w:val="1035761E"/>
    <w:rsid w:val="1051481E"/>
    <w:rsid w:val="105F8E98"/>
    <w:rsid w:val="1081C8CC"/>
    <w:rsid w:val="108CE663"/>
    <w:rsid w:val="10B483D1"/>
    <w:rsid w:val="110E8603"/>
    <w:rsid w:val="110FD7A5"/>
    <w:rsid w:val="113BFF27"/>
    <w:rsid w:val="114F6E55"/>
    <w:rsid w:val="11774A01"/>
    <w:rsid w:val="1178E75B"/>
    <w:rsid w:val="117E38C0"/>
    <w:rsid w:val="118293F1"/>
    <w:rsid w:val="119A7330"/>
    <w:rsid w:val="11B0096A"/>
    <w:rsid w:val="1216DD0C"/>
    <w:rsid w:val="122AB279"/>
    <w:rsid w:val="123FC64F"/>
    <w:rsid w:val="128366E4"/>
    <w:rsid w:val="12A7714C"/>
    <w:rsid w:val="12AA82EE"/>
    <w:rsid w:val="12D65A57"/>
    <w:rsid w:val="13A5446E"/>
    <w:rsid w:val="13A586E7"/>
    <w:rsid w:val="14093EE9"/>
    <w:rsid w:val="142514C3"/>
    <w:rsid w:val="14285188"/>
    <w:rsid w:val="14569300"/>
    <w:rsid w:val="1460E772"/>
    <w:rsid w:val="147F095A"/>
    <w:rsid w:val="14A240E2"/>
    <w:rsid w:val="14E4025F"/>
    <w:rsid w:val="15132AD6"/>
    <w:rsid w:val="1528B50D"/>
    <w:rsid w:val="1540957A"/>
    <w:rsid w:val="154F62F3"/>
    <w:rsid w:val="155AB676"/>
    <w:rsid w:val="15911EAE"/>
    <w:rsid w:val="15AEEA6D"/>
    <w:rsid w:val="15DA505E"/>
    <w:rsid w:val="1628EA9D"/>
    <w:rsid w:val="1666AC80"/>
    <w:rsid w:val="166D2C71"/>
    <w:rsid w:val="16899988"/>
    <w:rsid w:val="168E0ED2"/>
    <w:rsid w:val="16A2E36F"/>
    <w:rsid w:val="16AFE643"/>
    <w:rsid w:val="16DD6F1B"/>
    <w:rsid w:val="16E08FC7"/>
    <w:rsid w:val="16EE6F34"/>
    <w:rsid w:val="1703E447"/>
    <w:rsid w:val="1704FF81"/>
    <w:rsid w:val="1723D397"/>
    <w:rsid w:val="17327F68"/>
    <w:rsid w:val="1750EB30"/>
    <w:rsid w:val="1763D1AE"/>
    <w:rsid w:val="17655B34"/>
    <w:rsid w:val="178B7952"/>
    <w:rsid w:val="1792958E"/>
    <w:rsid w:val="17B0D642"/>
    <w:rsid w:val="17C52F8C"/>
    <w:rsid w:val="17D6E5A9"/>
    <w:rsid w:val="17D9782C"/>
    <w:rsid w:val="17E7F130"/>
    <w:rsid w:val="183F84CE"/>
    <w:rsid w:val="1844F36E"/>
    <w:rsid w:val="189537D8"/>
    <w:rsid w:val="189FBE2A"/>
    <w:rsid w:val="18A0145E"/>
    <w:rsid w:val="18BEAC4B"/>
    <w:rsid w:val="18CAC8D4"/>
    <w:rsid w:val="18DAFB0A"/>
    <w:rsid w:val="18DF0877"/>
    <w:rsid w:val="1945328A"/>
    <w:rsid w:val="1996EC04"/>
    <w:rsid w:val="19BB1329"/>
    <w:rsid w:val="19BBB81A"/>
    <w:rsid w:val="19D4C2E6"/>
    <w:rsid w:val="1A15E002"/>
    <w:rsid w:val="1A680A1B"/>
    <w:rsid w:val="1AC3F155"/>
    <w:rsid w:val="1ACEE36A"/>
    <w:rsid w:val="1B1C2415"/>
    <w:rsid w:val="1B3B8CDE"/>
    <w:rsid w:val="1B52F77B"/>
    <w:rsid w:val="1B5FB63E"/>
    <w:rsid w:val="1B66339C"/>
    <w:rsid w:val="1B8DE507"/>
    <w:rsid w:val="1B9F02BA"/>
    <w:rsid w:val="1BA71950"/>
    <w:rsid w:val="1BEF2AF4"/>
    <w:rsid w:val="1C09F316"/>
    <w:rsid w:val="1C2FCCE0"/>
    <w:rsid w:val="1C775386"/>
    <w:rsid w:val="1C871AB6"/>
    <w:rsid w:val="1C88C03B"/>
    <w:rsid w:val="1C8E456A"/>
    <w:rsid w:val="1CA6F9CC"/>
    <w:rsid w:val="1D79DFA1"/>
    <w:rsid w:val="1D99D17B"/>
    <w:rsid w:val="1DA4E74C"/>
    <w:rsid w:val="1DB1ABB6"/>
    <w:rsid w:val="1DB7A64E"/>
    <w:rsid w:val="1DC5F244"/>
    <w:rsid w:val="1DFBCCA9"/>
    <w:rsid w:val="1E5FC66C"/>
    <w:rsid w:val="1E81999A"/>
    <w:rsid w:val="1E8C1A4C"/>
    <w:rsid w:val="1E8C8746"/>
    <w:rsid w:val="1EA19006"/>
    <w:rsid w:val="1EAB4EC8"/>
    <w:rsid w:val="1EB8E3CB"/>
    <w:rsid w:val="1EE190C6"/>
    <w:rsid w:val="1EE8BD0F"/>
    <w:rsid w:val="1F1DD97C"/>
    <w:rsid w:val="1F20709D"/>
    <w:rsid w:val="1F3EC043"/>
    <w:rsid w:val="1F930CF4"/>
    <w:rsid w:val="1FD63E41"/>
    <w:rsid w:val="2010B179"/>
    <w:rsid w:val="20464C9F"/>
    <w:rsid w:val="208C710B"/>
    <w:rsid w:val="20A28F5B"/>
    <w:rsid w:val="20C46AF8"/>
    <w:rsid w:val="20D98029"/>
    <w:rsid w:val="20EACE01"/>
    <w:rsid w:val="2103892F"/>
    <w:rsid w:val="21062C05"/>
    <w:rsid w:val="2106F442"/>
    <w:rsid w:val="21290328"/>
    <w:rsid w:val="2137ED5E"/>
    <w:rsid w:val="214E8A47"/>
    <w:rsid w:val="2153208F"/>
    <w:rsid w:val="21BF421B"/>
    <w:rsid w:val="2206A7CD"/>
    <w:rsid w:val="22173CDB"/>
    <w:rsid w:val="2226F16F"/>
    <w:rsid w:val="2263615F"/>
    <w:rsid w:val="2278C568"/>
    <w:rsid w:val="227AC828"/>
    <w:rsid w:val="2289CEED"/>
    <w:rsid w:val="22B4012D"/>
    <w:rsid w:val="22FFE888"/>
    <w:rsid w:val="23275450"/>
    <w:rsid w:val="2355115E"/>
    <w:rsid w:val="235A17EA"/>
    <w:rsid w:val="2382CAE3"/>
    <w:rsid w:val="238E6962"/>
    <w:rsid w:val="23AE2A71"/>
    <w:rsid w:val="23BC24E7"/>
    <w:rsid w:val="23C88838"/>
    <w:rsid w:val="23CCF445"/>
    <w:rsid w:val="23D271C5"/>
    <w:rsid w:val="23D4ACD1"/>
    <w:rsid w:val="24094761"/>
    <w:rsid w:val="240BC83A"/>
    <w:rsid w:val="241120EB"/>
    <w:rsid w:val="24928F76"/>
    <w:rsid w:val="24A6B8DE"/>
    <w:rsid w:val="24A91A8C"/>
    <w:rsid w:val="24A9ECC3"/>
    <w:rsid w:val="24AD3747"/>
    <w:rsid w:val="250AC001"/>
    <w:rsid w:val="252184B2"/>
    <w:rsid w:val="2521E1AC"/>
    <w:rsid w:val="2547D713"/>
    <w:rsid w:val="256C40E3"/>
    <w:rsid w:val="256D4949"/>
    <w:rsid w:val="25BDB39B"/>
    <w:rsid w:val="25CD81BD"/>
    <w:rsid w:val="25E1E7EA"/>
    <w:rsid w:val="25E220D2"/>
    <w:rsid w:val="25E9B08F"/>
    <w:rsid w:val="25F75811"/>
    <w:rsid w:val="25FA0E25"/>
    <w:rsid w:val="26034935"/>
    <w:rsid w:val="2604B834"/>
    <w:rsid w:val="2625CC2E"/>
    <w:rsid w:val="26679334"/>
    <w:rsid w:val="26825C83"/>
    <w:rsid w:val="26CC08A0"/>
    <w:rsid w:val="26D1CBDD"/>
    <w:rsid w:val="26E29CA7"/>
    <w:rsid w:val="2701D5AF"/>
    <w:rsid w:val="2718990B"/>
    <w:rsid w:val="2725A66F"/>
    <w:rsid w:val="273E4B7F"/>
    <w:rsid w:val="276A8C98"/>
    <w:rsid w:val="27702F3F"/>
    <w:rsid w:val="277EDB15"/>
    <w:rsid w:val="27AC3BE1"/>
    <w:rsid w:val="27AD4A35"/>
    <w:rsid w:val="27B87D91"/>
    <w:rsid w:val="27EB3756"/>
    <w:rsid w:val="2802144F"/>
    <w:rsid w:val="28029E7E"/>
    <w:rsid w:val="2812A04D"/>
    <w:rsid w:val="2838F7D4"/>
    <w:rsid w:val="283B6571"/>
    <w:rsid w:val="2840B41D"/>
    <w:rsid w:val="2856685C"/>
    <w:rsid w:val="285F344A"/>
    <w:rsid w:val="286DD1AA"/>
    <w:rsid w:val="28875ECB"/>
    <w:rsid w:val="2889D366"/>
    <w:rsid w:val="289A0236"/>
    <w:rsid w:val="28A29E9C"/>
    <w:rsid w:val="28A370A1"/>
    <w:rsid w:val="28B7D634"/>
    <w:rsid w:val="28CC317A"/>
    <w:rsid w:val="28F501C4"/>
    <w:rsid w:val="2938E312"/>
    <w:rsid w:val="29B19159"/>
    <w:rsid w:val="29BFBD97"/>
    <w:rsid w:val="29ECAD25"/>
    <w:rsid w:val="2A0F90E1"/>
    <w:rsid w:val="2A2A43AA"/>
    <w:rsid w:val="2A3C1613"/>
    <w:rsid w:val="2A3DCB1F"/>
    <w:rsid w:val="2A3EBB5E"/>
    <w:rsid w:val="2A52820A"/>
    <w:rsid w:val="2A6FFF6C"/>
    <w:rsid w:val="2ACE8F99"/>
    <w:rsid w:val="2B40E79E"/>
    <w:rsid w:val="2B61DB09"/>
    <w:rsid w:val="2B70AB93"/>
    <w:rsid w:val="2B725138"/>
    <w:rsid w:val="2B775B78"/>
    <w:rsid w:val="2C61E0E5"/>
    <w:rsid w:val="2C628AAB"/>
    <w:rsid w:val="2C7C3695"/>
    <w:rsid w:val="2C88F558"/>
    <w:rsid w:val="2C8A2E89"/>
    <w:rsid w:val="2CAF7104"/>
    <w:rsid w:val="2D05D006"/>
    <w:rsid w:val="2D6F9E8C"/>
    <w:rsid w:val="2D791351"/>
    <w:rsid w:val="2DD772A3"/>
    <w:rsid w:val="2E0157BF"/>
    <w:rsid w:val="2E2B1ED6"/>
    <w:rsid w:val="2E3F1980"/>
    <w:rsid w:val="2E8A0DE3"/>
    <w:rsid w:val="2EB39381"/>
    <w:rsid w:val="2EC38D4B"/>
    <w:rsid w:val="2F2AD43C"/>
    <w:rsid w:val="2F3AF0AE"/>
    <w:rsid w:val="2F3E0A99"/>
    <w:rsid w:val="2F578A8A"/>
    <w:rsid w:val="2F84F88A"/>
    <w:rsid w:val="2F89175B"/>
    <w:rsid w:val="2F8C48FC"/>
    <w:rsid w:val="2FCF21F6"/>
    <w:rsid w:val="2FE88505"/>
    <w:rsid w:val="2FF2FB3E"/>
    <w:rsid w:val="2FFC2ACD"/>
    <w:rsid w:val="301DBDAB"/>
    <w:rsid w:val="30206D80"/>
    <w:rsid w:val="302A85BC"/>
    <w:rsid w:val="302E3E91"/>
    <w:rsid w:val="30708644"/>
    <w:rsid w:val="309294C2"/>
    <w:rsid w:val="30968604"/>
    <w:rsid w:val="3098BE5D"/>
    <w:rsid w:val="30AB734D"/>
    <w:rsid w:val="30C1C38E"/>
    <w:rsid w:val="30D228EB"/>
    <w:rsid w:val="30E79099"/>
    <w:rsid w:val="30FBA477"/>
    <w:rsid w:val="31172572"/>
    <w:rsid w:val="311E54A0"/>
    <w:rsid w:val="31724DAE"/>
    <w:rsid w:val="31AFD75B"/>
    <w:rsid w:val="31D645D9"/>
    <w:rsid w:val="31DEC5DE"/>
    <w:rsid w:val="31E94FC6"/>
    <w:rsid w:val="320313B7"/>
    <w:rsid w:val="320744E9"/>
    <w:rsid w:val="321F80C1"/>
    <w:rsid w:val="3221BE70"/>
    <w:rsid w:val="322E5222"/>
    <w:rsid w:val="325DFC42"/>
    <w:rsid w:val="32B823EE"/>
    <w:rsid w:val="32B8EDEA"/>
    <w:rsid w:val="336543CC"/>
    <w:rsid w:val="3378DE6C"/>
    <w:rsid w:val="33DF913B"/>
    <w:rsid w:val="33EB27E1"/>
    <w:rsid w:val="3409FA20"/>
    <w:rsid w:val="3426FCB6"/>
    <w:rsid w:val="347AC048"/>
    <w:rsid w:val="34C3C138"/>
    <w:rsid w:val="34C93DF3"/>
    <w:rsid w:val="35240631"/>
    <w:rsid w:val="353091EE"/>
    <w:rsid w:val="359373B6"/>
    <w:rsid w:val="35A0ED6F"/>
    <w:rsid w:val="35A15222"/>
    <w:rsid w:val="35E48E28"/>
    <w:rsid w:val="36229C40"/>
    <w:rsid w:val="363AFFE2"/>
    <w:rsid w:val="365BB8C0"/>
    <w:rsid w:val="366EF446"/>
    <w:rsid w:val="367F7DDB"/>
    <w:rsid w:val="368424BA"/>
    <w:rsid w:val="36A34DE7"/>
    <w:rsid w:val="36C603C0"/>
    <w:rsid w:val="36D85D52"/>
    <w:rsid w:val="36E08F59"/>
    <w:rsid w:val="36F27A89"/>
    <w:rsid w:val="372FABE8"/>
    <w:rsid w:val="3747E9A8"/>
    <w:rsid w:val="37F2599E"/>
    <w:rsid w:val="381B4054"/>
    <w:rsid w:val="3845CC2A"/>
    <w:rsid w:val="3851B256"/>
    <w:rsid w:val="385E546F"/>
    <w:rsid w:val="386540DD"/>
    <w:rsid w:val="387002C6"/>
    <w:rsid w:val="389C0DC7"/>
    <w:rsid w:val="389F5F7C"/>
    <w:rsid w:val="38B4B848"/>
    <w:rsid w:val="38BA8AB9"/>
    <w:rsid w:val="38C579CC"/>
    <w:rsid w:val="38E0F15E"/>
    <w:rsid w:val="39026F8C"/>
    <w:rsid w:val="39340642"/>
    <w:rsid w:val="39AF5EE4"/>
    <w:rsid w:val="39E5B81F"/>
    <w:rsid w:val="39F8A1E6"/>
    <w:rsid w:val="3A32C28F"/>
    <w:rsid w:val="3A3FA1BA"/>
    <w:rsid w:val="3A61ADF5"/>
    <w:rsid w:val="3A63323F"/>
    <w:rsid w:val="3A653327"/>
    <w:rsid w:val="3A7583F9"/>
    <w:rsid w:val="3A976741"/>
    <w:rsid w:val="3ABBAA31"/>
    <w:rsid w:val="3ADE39C0"/>
    <w:rsid w:val="3B3AF479"/>
    <w:rsid w:val="3B572FC9"/>
    <w:rsid w:val="3B775A93"/>
    <w:rsid w:val="3BBD4449"/>
    <w:rsid w:val="3BC3E5A0"/>
    <w:rsid w:val="3BDDBEE5"/>
    <w:rsid w:val="3C3BA833"/>
    <w:rsid w:val="3C438043"/>
    <w:rsid w:val="3C4CFD56"/>
    <w:rsid w:val="3C5C72C0"/>
    <w:rsid w:val="3CB7014B"/>
    <w:rsid w:val="3CCD6EFE"/>
    <w:rsid w:val="3CD6ACB4"/>
    <w:rsid w:val="3CFA4F8D"/>
    <w:rsid w:val="3D52D06B"/>
    <w:rsid w:val="3D6DD057"/>
    <w:rsid w:val="3DE3957F"/>
    <w:rsid w:val="3E15C39D"/>
    <w:rsid w:val="3E4B7A7C"/>
    <w:rsid w:val="3E54C1F5"/>
    <w:rsid w:val="3E85E66D"/>
    <w:rsid w:val="3EB849A3"/>
    <w:rsid w:val="3EBC552C"/>
    <w:rsid w:val="3EC7E4ED"/>
    <w:rsid w:val="3ED16968"/>
    <w:rsid w:val="3EE21C1F"/>
    <w:rsid w:val="3F0F79DE"/>
    <w:rsid w:val="3F16A2A9"/>
    <w:rsid w:val="3F6B1760"/>
    <w:rsid w:val="3F6F91AD"/>
    <w:rsid w:val="3FB84649"/>
    <w:rsid w:val="4014E4EA"/>
    <w:rsid w:val="401D373B"/>
    <w:rsid w:val="401F505F"/>
    <w:rsid w:val="4027BFF1"/>
    <w:rsid w:val="4028EE44"/>
    <w:rsid w:val="403DB838"/>
    <w:rsid w:val="404200F6"/>
    <w:rsid w:val="408A3CF5"/>
    <w:rsid w:val="408CD0AF"/>
    <w:rsid w:val="40978D06"/>
    <w:rsid w:val="40A69CB2"/>
    <w:rsid w:val="40F6B693"/>
    <w:rsid w:val="411F6255"/>
    <w:rsid w:val="412295F6"/>
    <w:rsid w:val="412AB0D6"/>
    <w:rsid w:val="412D99EA"/>
    <w:rsid w:val="413169EE"/>
    <w:rsid w:val="4133DBEB"/>
    <w:rsid w:val="4144DCF6"/>
    <w:rsid w:val="414F18C8"/>
    <w:rsid w:val="41AB6224"/>
    <w:rsid w:val="41E78D1D"/>
    <w:rsid w:val="41F61365"/>
    <w:rsid w:val="420FBCE5"/>
    <w:rsid w:val="424BE229"/>
    <w:rsid w:val="428B7AE7"/>
    <w:rsid w:val="428D2392"/>
    <w:rsid w:val="4325738D"/>
    <w:rsid w:val="4343496E"/>
    <w:rsid w:val="43A0DFED"/>
    <w:rsid w:val="43F286C3"/>
    <w:rsid w:val="43F8144B"/>
    <w:rsid w:val="43FA98EE"/>
    <w:rsid w:val="43FB30ED"/>
    <w:rsid w:val="4414DEBA"/>
    <w:rsid w:val="44349096"/>
    <w:rsid w:val="4447BDC1"/>
    <w:rsid w:val="44554C0C"/>
    <w:rsid w:val="44771AAC"/>
    <w:rsid w:val="449B1EFF"/>
    <w:rsid w:val="449EC8C2"/>
    <w:rsid w:val="44D8886C"/>
    <w:rsid w:val="44E3835C"/>
    <w:rsid w:val="45126EEA"/>
    <w:rsid w:val="45365840"/>
    <w:rsid w:val="454047E4"/>
    <w:rsid w:val="45557684"/>
    <w:rsid w:val="45744EF2"/>
    <w:rsid w:val="45A096CC"/>
    <w:rsid w:val="45B77D23"/>
    <w:rsid w:val="45DA42A0"/>
    <w:rsid w:val="45DB71D9"/>
    <w:rsid w:val="45E03CEF"/>
    <w:rsid w:val="463DD9C2"/>
    <w:rsid w:val="4667320B"/>
    <w:rsid w:val="4685F311"/>
    <w:rsid w:val="46A61AD9"/>
    <w:rsid w:val="47102ECE"/>
    <w:rsid w:val="47398670"/>
    <w:rsid w:val="473EBBB2"/>
    <w:rsid w:val="474B6317"/>
    <w:rsid w:val="4753A25A"/>
    <w:rsid w:val="477B929F"/>
    <w:rsid w:val="4783C465"/>
    <w:rsid w:val="47C90ED6"/>
    <w:rsid w:val="47CF2E10"/>
    <w:rsid w:val="47E3CA19"/>
    <w:rsid w:val="47F900AD"/>
    <w:rsid w:val="47FB2BC1"/>
    <w:rsid w:val="48052541"/>
    <w:rsid w:val="480D2D8B"/>
    <w:rsid w:val="4821C372"/>
    <w:rsid w:val="483167A3"/>
    <w:rsid w:val="48624BD3"/>
    <w:rsid w:val="4865C8BB"/>
    <w:rsid w:val="4869329D"/>
    <w:rsid w:val="48D51B4C"/>
    <w:rsid w:val="48E49C35"/>
    <w:rsid w:val="48EF3C26"/>
    <w:rsid w:val="48F63183"/>
    <w:rsid w:val="4926822F"/>
    <w:rsid w:val="493053BC"/>
    <w:rsid w:val="4946AA94"/>
    <w:rsid w:val="496411FA"/>
    <w:rsid w:val="4988F102"/>
    <w:rsid w:val="49C74A0C"/>
    <w:rsid w:val="49D84602"/>
    <w:rsid w:val="49F51D6B"/>
    <w:rsid w:val="49FC21DA"/>
    <w:rsid w:val="4A06AB23"/>
    <w:rsid w:val="4A10776A"/>
    <w:rsid w:val="4A114408"/>
    <w:rsid w:val="4A147834"/>
    <w:rsid w:val="4A23F034"/>
    <w:rsid w:val="4A3219A7"/>
    <w:rsid w:val="4A5FB538"/>
    <w:rsid w:val="4A97DF3F"/>
    <w:rsid w:val="4ABA4DEE"/>
    <w:rsid w:val="4AC836EF"/>
    <w:rsid w:val="4AC87F56"/>
    <w:rsid w:val="4ACA235A"/>
    <w:rsid w:val="4ACD06BE"/>
    <w:rsid w:val="4AEE77DC"/>
    <w:rsid w:val="4B0793FB"/>
    <w:rsid w:val="4B134A28"/>
    <w:rsid w:val="4B13F678"/>
    <w:rsid w:val="4B1B65A2"/>
    <w:rsid w:val="4C00A20B"/>
    <w:rsid w:val="4C2E03E9"/>
    <w:rsid w:val="4C533BAA"/>
    <w:rsid w:val="4C70E2D1"/>
    <w:rsid w:val="4C805E6C"/>
    <w:rsid w:val="4C81A8A8"/>
    <w:rsid w:val="4C984DD1"/>
    <w:rsid w:val="4CAFFB8E"/>
    <w:rsid w:val="4CC1950C"/>
    <w:rsid w:val="4CC5F2C8"/>
    <w:rsid w:val="4CC99240"/>
    <w:rsid w:val="4CF798BC"/>
    <w:rsid w:val="4CF9EB00"/>
    <w:rsid w:val="4CFCCC34"/>
    <w:rsid w:val="4D010BDC"/>
    <w:rsid w:val="4D0FFD7C"/>
    <w:rsid w:val="4D1147AF"/>
    <w:rsid w:val="4D19ED64"/>
    <w:rsid w:val="4D817FA5"/>
    <w:rsid w:val="4DC29562"/>
    <w:rsid w:val="4DE53E35"/>
    <w:rsid w:val="4DF47B10"/>
    <w:rsid w:val="4DFC44F3"/>
    <w:rsid w:val="4E16500C"/>
    <w:rsid w:val="4E39402D"/>
    <w:rsid w:val="4E4F64FB"/>
    <w:rsid w:val="4E502156"/>
    <w:rsid w:val="4E84FF38"/>
    <w:rsid w:val="4EAA4668"/>
    <w:rsid w:val="4EB12740"/>
    <w:rsid w:val="4EC4673F"/>
    <w:rsid w:val="4ECC4220"/>
    <w:rsid w:val="4EF12D9F"/>
    <w:rsid w:val="4F03BD1C"/>
    <w:rsid w:val="4F131A3F"/>
    <w:rsid w:val="4F822DA6"/>
    <w:rsid w:val="4F866040"/>
    <w:rsid w:val="4FBBBCA5"/>
    <w:rsid w:val="4FBC0EB2"/>
    <w:rsid w:val="4FCA2E03"/>
    <w:rsid w:val="4FFD0316"/>
    <w:rsid w:val="5000D1D7"/>
    <w:rsid w:val="5013ACFA"/>
    <w:rsid w:val="502B146E"/>
    <w:rsid w:val="504BBFC5"/>
    <w:rsid w:val="506BC453"/>
    <w:rsid w:val="50771954"/>
    <w:rsid w:val="5080E6F1"/>
    <w:rsid w:val="50BBF771"/>
    <w:rsid w:val="50CC850C"/>
    <w:rsid w:val="50E739DA"/>
    <w:rsid w:val="50F1383D"/>
    <w:rsid w:val="50F6F6D0"/>
    <w:rsid w:val="50FE962D"/>
    <w:rsid w:val="5139B82B"/>
    <w:rsid w:val="51499175"/>
    <w:rsid w:val="515B62EA"/>
    <w:rsid w:val="5167937C"/>
    <w:rsid w:val="516D4A08"/>
    <w:rsid w:val="51B01334"/>
    <w:rsid w:val="51E33388"/>
    <w:rsid w:val="51E66F28"/>
    <w:rsid w:val="5214CABC"/>
    <w:rsid w:val="52200C25"/>
    <w:rsid w:val="523411BB"/>
    <w:rsid w:val="52611EA4"/>
    <w:rsid w:val="526FE344"/>
    <w:rsid w:val="528D9044"/>
    <w:rsid w:val="528F6484"/>
    <w:rsid w:val="52950F36"/>
    <w:rsid w:val="52967D80"/>
    <w:rsid w:val="52AC3A8B"/>
    <w:rsid w:val="52D975AE"/>
    <w:rsid w:val="52ED72F6"/>
    <w:rsid w:val="5300A4E4"/>
    <w:rsid w:val="538D634D"/>
    <w:rsid w:val="53A9CF57"/>
    <w:rsid w:val="53ACDAD9"/>
    <w:rsid w:val="53FE5399"/>
    <w:rsid w:val="540E30B4"/>
    <w:rsid w:val="54598BF0"/>
    <w:rsid w:val="54610BBC"/>
    <w:rsid w:val="5480CB97"/>
    <w:rsid w:val="54F7D903"/>
    <w:rsid w:val="5507CC33"/>
    <w:rsid w:val="55149609"/>
    <w:rsid w:val="5526F768"/>
    <w:rsid w:val="553E5B35"/>
    <w:rsid w:val="556EE352"/>
    <w:rsid w:val="557D07F6"/>
    <w:rsid w:val="55975D36"/>
    <w:rsid w:val="559FEE78"/>
    <w:rsid w:val="55B0A208"/>
    <w:rsid w:val="55BB47EF"/>
    <w:rsid w:val="55CA1764"/>
    <w:rsid w:val="55D85E5E"/>
    <w:rsid w:val="55DFDEA2"/>
    <w:rsid w:val="560D23B5"/>
    <w:rsid w:val="5618075B"/>
    <w:rsid w:val="563525C0"/>
    <w:rsid w:val="565177CC"/>
    <w:rsid w:val="566515CB"/>
    <w:rsid w:val="5668C515"/>
    <w:rsid w:val="5699013D"/>
    <w:rsid w:val="56AA00F8"/>
    <w:rsid w:val="56CA4EA8"/>
    <w:rsid w:val="56D7EBBB"/>
    <w:rsid w:val="56F6D594"/>
    <w:rsid w:val="57165CEE"/>
    <w:rsid w:val="572DCC04"/>
    <w:rsid w:val="5780D935"/>
    <w:rsid w:val="579929C0"/>
    <w:rsid w:val="57E26D9B"/>
    <w:rsid w:val="5808777A"/>
    <w:rsid w:val="5841EC41"/>
    <w:rsid w:val="588515EA"/>
    <w:rsid w:val="5896C2C0"/>
    <w:rsid w:val="58C33F30"/>
    <w:rsid w:val="58D65B25"/>
    <w:rsid w:val="58ED7909"/>
    <w:rsid w:val="592BD087"/>
    <w:rsid w:val="5957F5DB"/>
    <w:rsid w:val="598B032B"/>
    <w:rsid w:val="59D072AA"/>
    <w:rsid w:val="59E62C77"/>
    <w:rsid w:val="59EF2A16"/>
    <w:rsid w:val="5A017A2D"/>
    <w:rsid w:val="5A39CD9A"/>
    <w:rsid w:val="5A7C360B"/>
    <w:rsid w:val="5A940F11"/>
    <w:rsid w:val="5B02756A"/>
    <w:rsid w:val="5B06B9BA"/>
    <w:rsid w:val="5B6F7775"/>
    <w:rsid w:val="5B7E00D7"/>
    <w:rsid w:val="5B91089E"/>
    <w:rsid w:val="5BA240EF"/>
    <w:rsid w:val="5BBED2F7"/>
    <w:rsid w:val="5BEDA172"/>
    <w:rsid w:val="5C046B0E"/>
    <w:rsid w:val="5C1006BC"/>
    <w:rsid w:val="5C1642B7"/>
    <w:rsid w:val="5C1E803F"/>
    <w:rsid w:val="5C2D0FCA"/>
    <w:rsid w:val="5C4E2924"/>
    <w:rsid w:val="5C75C910"/>
    <w:rsid w:val="5C84E914"/>
    <w:rsid w:val="5C867E18"/>
    <w:rsid w:val="5CB241A5"/>
    <w:rsid w:val="5CC28162"/>
    <w:rsid w:val="5CC3AABC"/>
    <w:rsid w:val="5D008B50"/>
    <w:rsid w:val="5D025E4A"/>
    <w:rsid w:val="5D08C899"/>
    <w:rsid w:val="5D1A583F"/>
    <w:rsid w:val="5D1E93EA"/>
    <w:rsid w:val="5D50FFE3"/>
    <w:rsid w:val="5D697F2E"/>
    <w:rsid w:val="5D7DABDE"/>
    <w:rsid w:val="5DB6BFEF"/>
    <w:rsid w:val="5DDE2D3D"/>
    <w:rsid w:val="5E220C12"/>
    <w:rsid w:val="5E3CDC07"/>
    <w:rsid w:val="5E46991D"/>
    <w:rsid w:val="5E737AAB"/>
    <w:rsid w:val="5E89DDB1"/>
    <w:rsid w:val="5EA3FFEF"/>
    <w:rsid w:val="5EEB1CFC"/>
    <w:rsid w:val="5EF56BC5"/>
    <w:rsid w:val="5EF7846E"/>
    <w:rsid w:val="5F01505A"/>
    <w:rsid w:val="5F01E779"/>
    <w:rsid w:val="5F42D564"/>
    <w:rsid w:val="5F470BEA"/>
    <w:rsid w:val="5F51C3E2"/>
    <w:rsid w:val="5F631A86"/>
    <w:rsid w:val="5F794990"/>
    <w:rsid w:val="5FEE656B"/>
    <w:rsid w:val="6013C954"/>
    <w:rsid w:val="602CC51B"/>
    <w:rsid w:val="607A4C91"/>
    <w:rsid w:val="609556A1"/>
    <w:rsid w:val="609CD3AA"/>
    <w:rsid w:val="60BC90D7"/>
    <w:rsid w:val="60E82584"/>
    <w:rsid w:val="6181A0BC"/>
    <w:rsid w:val="6190B0DD"/>
    <w:rsid w:val="6194F1DC"/>
    <w:rsid w:val="61C3E725"/>
    <w:rsid w:val="620D952E"/>
    <w:rsid w:val="62ACF212"/>
    <w:rsid w:val="62F4DDCE"/>
    <w:rsid w:val="62F7153D"/>
    <w:rsid w:val="63765F3E"/>
    <w:rsid w:val="637AFE1C"/>
    <w:rsid w:val="6391FEF4"/>
    <w:rsid w:val="63A241FB"/>
    <w:rsid w:val="63DC4908"/>
    <w:rsid w:val="63FFA482"/>
    <w:rsid w:val="640F9FD7"/>
    <w:rsid w:val="6419EAE4"/>
    <w:rsid w:val="641AA76B"/>
    <w:rsid w:val="6441BEC2"/>
    <w:rsid w:val="6442BFD5"/>
    <w:rsid w:val="6455D7C4"/>
    <w:rsid w:val="6464FB17"/>
    <w:rsid w:val="646AF214"/>
    <w:rsid w:val="64AEF6D4"/>
    <w:rsid w:val="64C1F312"/>
    <w:rsid w:val="64D43BBD"/>
    <w:rsid w:val="64DD1D57"/>
    <w:rsid w:val="653D87C4"/>
    <w:rsid w:val="654E2EEE"/>
    <w:rsid w:val="65511034"/>
    <w:rsid w:val="655B3E12"/>
    <w:rsid w:val="658C28C1"/>
    <w:rsid w:val="65BE7219"/>
    <w:rsid w:val="65BE8A3F"/>
    <w:rsid w:val="65C9027A"/>
    <w:rsid w:val="65D81B21"/>
    <w:rsid w:val="65F62F1C"/>
    <w:rsid w:val="65F7E7B6"/>
    <w:rsid w:val="66520270"/>
    <w:rsid w:val="668DB9C9"/>
    <w:rsid w:val="66CCB124"/>
    <w:rsid w:val="66E433CA"/>
    <w:rsid w:val="66F8D9A1"/>
    <w:rsid w:val="6740623B"/>
    <w:rsid w:val="675817A0"/>
    <w:rsid w:val="6784F66C"/>
    <w:rsid w:val="67C3BD25"/>
    <w:rsid w:val="6807036E"/>
    <w:rsid w:val="6811B696"/>
    <w:rsid w:val="682B50E9"/>
    <w:rsid w:val="68465AD1"/>
    <w:rsid w:val="685F647E"/>
    <w:rsid w:val="68CB3102"/>
    <w:rsid w:val="68D40906"/>
    <w:rsid w:val="68FB3003"/>
    <w:rsid w:val="68FFD7EC"/>
    <w:rsid w:val="69139B9B"/>
    <w:rsid w:val="691E2746"/>
    <w:rsid w:val="6926B6CB"/>
    <w:rsid w:val="692F7363"/>
    <w:rsid w:val="695E7387"/>
    <w:rsid w:val="695F4FD6"/>
    <w:rsid w:val="697F9B70"/>
    <w:rsid w:val="698993BA"/>
    <w:rsid w:val="69BB803D"/>
    <w:rsid w:val="6A2802D9"/>
    <w:rsid w:val="6A49742D"/>
    <w:rsid w:val="6AEAEE63"/>
    <w:rsid w:val="6B19E00F"/>
    <w:rsid w:val="6B2ADD94"/>
    <w:rsid w:val="6B5F6819"/>
    <w:rsid w:val="6B812EAC"/>
    <w:rsid w:val="6B961881"/>
    <w:rsid w:val="6BB8CA2D"/>
    <w:rsid w:val="6BD70494"/>
    <w:rsid w:val="6C4F8712"/>
    <w:rsid w:val="6C5162D3"/>
    <w:rsid w:val="6C523446"/>
    <w:rsid w:val="6C5F0636"/>
    <w:rsid w:val="6C6450F6"/>
    <w:rsid w:val="6C8F252D"/>
    <w:rsid w:val="6C9E96F3"/>
    <w:rsid w:val="6CA37A86"/>
    <w:rsid w:val="6CC48AAE"/>
    <w:rsid w:val="6CC72253"/>
    <w:rsid w:val="6D037821"/>
    <w:rsid w:val="6D2B4819"/>
    <w:rsid w:val="6D2C709B"/>
    <w:rsid w:val="6D384A7E"/>
    <w:rsid w:val="6D768F8D"/>
    <w:rsid w:val="6D916FE0"/>
    <w:rsid w:val="6DACEC41"/>
    <w:rsid w:val="6DB0F9AD"/>
    <w:rsid w:val="6DC941F4"/>
    <w:rsid w:val="6DD769CD"/>
    <w:rsid w:val="6DE87533"/>
    <w:rsid w:val="6DF096C9"/>
    <w:rsid w:val="6DF1EA4D"/>
    <w:rsid w:val="6E00F568"/>
    <w:rsid w:val="6E1A955D"/>
    <w:rsid w:val="6E44968A"/>
    <w:rsid w:val="6E61C6DA"/>
    <w:rsid w:val="6E628494"/>
    <w:rsid w:val="6E6FCFBB"/>
    <w:rsid w:val="6E82EB23"/>
    <w:rsid w:val="6E886D59"/>
    <w:rsid w:val="6E89CCF8"/>
    <w:rsid w:val="6E90268E"/>
    <w:rsid w:val="6E933E83"/>
    <w:rsid w:val="6EA9BE85"/>
    <w:rsid w:val="6EF16282"/>
    <w:rsid w:val="6EFBC9E3"/>
    <w:rsid w:val="6EFF95E7"/>
    <w:rsid w:val="6F1D7814"/>
    <w:rsid w:val="6F2201ED"/>
    <w:rsid w:val="6F2F6D24"/>
    <w:rsid w:val="6F5AC57D"/>
    <w:rsid w:val="6FB27A3E"/>
    <w:rsid w:val="6FB4B97B"/>
    <w:rsid w:val="6FF88769"/>
    <w:rsid w:val="6FFBA2CC"/>
    <w:rsid w:val="7040158B"/>
    <w:rsid w:val="70411951"/>
    <w:rsid w:val="704243D3"/>
    <w:rsid w:val="70461EDF"/>
    <w:rsid w:val="704DF760"/>
    <w:rsid w:val="7053B3DC"/>
    <w:rsid w:val="70804F39"/>
    <w:rsid w:val="708E7B51"/>
    <w:rsid w:val="709DE91A"/>
    <w:rsid w:val="70CF9EB6"/>
    <w:rsid w:val="70FCD03B"/>
    <w:rsid w:val="7106F388"/>
    <w:rsid w:val="71105F3A"/>
    <w:rsid w:val="7127924E"/>
    <w:rsid w:val="7172AB68"/>
    <w:rsid w:val="71D58404"/>
    <w:rsid w:val="71F80410"/>
    <w:rsid w:val="71F92A9B"/>
    <w:rsid w:val="72417B33"/>
    <w:rsid w:val="7245CA49"/>
    <w:rsid w:val="726FB324"/>
    <w:rsid w:val="727A7E78"/>
    <w:rsid w:val="727E4B23"/>
    <w:rsid w:val="7280B23D"/>
    <w:rsid w:val="72A800CA"/>
    <w:rsid w:val="72CFE7A1"/>
    <w:rsid w:val="73095E37"/>
    <w:rsid w:val="7313C6A9"/>
    <w:rsid w:val="732603F0"/>
    <w:rsid w:val="7359CA2D"/>
    <w:rsid w:val="73668FB8"/>
    <w:rsid w:val="737F1604"/>
    <w:rsid w:val="738B83ED"/>
    <w:rsid w:val="739966DE"/>
    <w:rsid w:val="73A2D5B9"/>
    <w:rsid w:val="73A79A96"/>
    <w:rsid w:val="73AA2278"/>
    <w:rsid w:val="73EDB294"/>
    <w:rsid w:val="74033596"/>
    <w:rsid w:val="740D7971"/>
    <w:rsid w:val="74195A23"/>
    <w:rsid w:val="7443D12B"/>
    <w:rsid w:val="745A86A2"/>
    <w:rsid w:val="7466C3A1"/>
    <w:rsid w:val="749920F0"/>
    <w:rsid w:val="74C63CF4"/>
    <w:rsid w:val="754AAF38"/>
    <w:rsid w:val="7590381B"/>
    <w:rsid w:val="75A0F5CF"/>
    <w:rsid w:val="75C8130A"/>
    <w:rsid w:val="76235BC9"/>
    <w:rsid w:val="7623ABF6"/>
    <w:rsid w:val="7642660C"/>
    <w:rsid w:val="766D690F"/>
    <w:rsid w:val="76702E30"/>
    <w:rsid w:val="76875CFB"/>
    <w:rsid w:val="76BE55E0"/>
    <w:rsid w:val="7708F8AC"/>
    <w:rsid w:val="775599F1"/>
    <w:rsid w:val="77623BCE"/>
    <w:rsid w:val="77744491"/>
    <w:rsid w:val="77DEC2A4"/>
    <w:rsid w:val="77F1FFCA"/>
    <w:rsid w:val="77FAF29A"/>
    <w:rsid w:val="780E5E24"/>
    <w:rsid w:val="786B33A6"/>
    <w:rsid w:val="78A442C0"/>
    <w:rsid w:val="78A62ACE"/>
    <w:rsid w:val="7934E873"/>
    <w:rsid w:val="794580D5"/>
    <w:rsid w:val="79525617"/>
    <w:rsid w:val="7965FF3A"/>
    <w:rsid w:val="798F3A2B"/>
    <w:rsid w:val="79A34A44"/>
    <w:rsid w:val="79AC9FC1"/>
    <w:rsid w:val="79BAA485"/>
    <w:rsid w:val="79CDA3E2"/>
    <w:rsid w:val="7A3524AD"/>
    <w:rsid w:val="7A4099C7"/>
    <w:rsid w:val="7A56FFB6"/>
    <w:rsid w:val="7A65E332"/>
    <w:rsid w:val="7A681E78"/>
    <w:rsid w:val="7A703E28"/>
    <w:rsid w:val="7A78BCB3"/>
    <w:rsid w:val="7A8627D5"/>
    <w:rsid w:val="7A870E01"/>
    <w:rsid w:val="7A99D56C"/>
    <w:rsid w:val="7A9AC79C"/>
    <w:rsid w:val="7ABEA985"/>
    <w:rsid w:val="7AE2874D"/>
    <w:rsid w:val="7AEB731F"/>
    <w:rsid w:val="7B3D106A"/>
    <w:rsid w:val="7B77CF6F"/>
    <w:rsid w:val="7B856D97"/>
    <w:rsid w:val="7BA5FD97"/>
    <w:rsid w:val="7BCCA225"/>
    <w:rsid w:val="7BCF745C"/>
    <w:rsid w:val="7BE8676B"/>
    <w:rsid w:val="7BF010F6"/>
    <w:rsid w:val="7C2737BF"/>
    <w:rsid w:val="7C28EF8F"/>
    <w:rsid w:val="7C7C8AB2"/>
    <w:rsid w:val="7C91A12E"/>
    <w:rsid w:val="7C9DE934"/>
    <w:rsid w:val="7CF2B4D7"/>
    <w:rsid w:val="7D05B510"/>
    <w:rsid w:val="7D0F7C66"/>
    <w:rsid w:val="7D1D103C"/>
    <w:rsid w:val="7D2418B0"/>
    <w:rsid w:val="7D25451D"/>
    <w:rsid w:val="7D54DE46"/>
    <w:rsid w:val="7D5CFE7A"/>
    <w:rsid w:val="7D7F5D6D"/>
    <w:rsid w:val="7DCB138E"/>
    <w:rsid w:val="7DE51923"/>
    <w:rsid w:val="7DF26064"/>
    <w:rsid w:val="7DF4029E"/>
    <w:rsid w:val="7E027EAA"/>
    <w:rsid w:val="7E29AAE2"/>
    <w:rsid w:val="7E2F616F"/>
    <w:rsid w:val="7E650046"/>
    <w:rsid w:val="7E890411"/>
    <w:rsid w:val="7E9D2EDC"/>
    <w:rsid w:val="7EBA071D"/>
    <w:rsid w:val="7EF1394C"/>
    <w:rsid w:val="7F09699E"/>
    <w:rsid w:val="7F0E0EF4"/>
    <w:rsid w:val="7F0F7B6B"/>
    <w:rsid w:val="7F36C7DB"/>
    <w:rsid w:val="7F458419"/>
    <w:rsid w:val="7F8A96C0"/>
    <w:rsid w:val="7F9E0D00"/>
    <w:rsid w:val="7FAE9476"/>
    <w:rsid w:val="7FC6B005"/>
    <w:rsid w:val="7FD22705"/>
    <w:rsid w:val="7FF3413C"/>
    <w:rsid w:val="7FFC61B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F73A9C"/>
  <w15:chartTrackingRefBased/>
  <w15:docId w15:val="{5B5F8724-8ABA-41DB-A2DF-28D453440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58A"/>
    <w:rPr>
      <w:rFonts w:ascii="Times New Roman" w:hAnsi="Times New Roman"/>
    </w:rPr>
  </w:style>
  <w:style w:type="paragraph" w:styleId="Heading1">
    <w:name w:val="heading 1"/>
    <w:basedOn w:val="Normal"/>
    <w:next w:val="Normal"/>
    <w:link w:val="Heading1Char"/>
    <w:uiPriority w:val="9"/>
    <w:qFormat/>
    <w:rsid w:val="00D979B3"/>
    <w:pPr>
      <w:numPr>
        <w:numId w:val="4"/>
      </w:numPr>
      <w:spacing w:line="240" w:lineRule="auto"/>
      <w:contextualSpacing/>
      <w:outlineLvl w:val="0"/>
    </w:pPr>
    <w:rPr>
      <w:rFonts w:eastAsia="Times New Roman" w:cs="Times New Roman"/>
      <w:b/>
      <w:lang w:val="es-US"/>
    </w:rPr>
  </w:style>
  <w:style w:type="paragraph" w:styleId="Heading2">
    <w:name w:val="heading 2"/>
    <w:basedOn w:val="Normal"/>
    <w:next w:val="Normal"/>
    <w:link w:val="Heading2Char"/>
    <w:uiPriority w:val="9"/>
    <w:unhideWhenUsed/>
    <w:qFormat/>
    <w:rsid w:val="002D4E21"/>
    <w:pPr>
      <w:keepNext/>
      <w:keepLines/>
      <w:numPr>
        <w:ilvl w:val="1"/>
        <w:numId w:val="4"/>
      </w:numPr>
      <w:spacing w:before="40" w:after="240"/>
      <w:ind w:left="786"/>
      <w:outlineLvl w:val="1"/>
    </w:pPr>
    <w:rPr>
      <w:rFonts w:eastAsia="Times New Roman" w:cs="Times New Roman"/>
      <w:b/>
      <w:bCs/>
      <w:i/>
      <w:iCs/>
      <w:lang w:val="es-C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116B4"/>
    <w:pPr>
      <w:tabs>
        <w:tab w:val="center" w:pos="4419"/>
        <w:tab w:val="right" w:pos="8838"/>
      </w:tabs>
      <w:spacing w:after="0" w:line="240" w:lineRule="auto"/>
    </w:pPr>
  </w:style>
  <w:style w:type="character" w:customStyle="1" w:styleId="FooterChar">
    <w:name w:val="Footer Char"/>
    <w:basedOn w:val="DefaultParagraphFont"/>
    <w:link w:val="Footer"/>
    <w:uiPriority w:val="99"/>
    <w:rsid w:val="008116B4"/>
  </w:style>
  <w:style w:type="paragraph" w:customStyle="1" w:styleId="Textonotaalfinal1">
    <w:name w:val="Texto nota al final1"/>
    <w:basedOn w:val="Normal"/>
    <w:next w:val="EndnoteText"/>
    <w:link w:val="TextonotaalfinalCar"/>
    <w:uiPriority w:val="99"/>
    <w:semiHidden/>
    <w:unhideWhenUsed/>
    <w:rsid w:val="008116B4"/>
    <w:pPr>
      <w:spacing w:after="0" w:line="240" w:lineRule="auto"/>
    </w:pPr>
    <w:rPr>
      <w:sz w:val="20"/>
      <w:szCs w:val="20"/>
    </w:rPr>
  </w:style>
  <w:style w:type="character" w:customStyle="1" w:styleId="TextonotaalfinalCar">
    <w:name w:val="Texto nota al final Car"/>
    <w:aliases w:val="en Car,2_G Car"/>
    <w:basedOn w:val="DefaultParagraphFont"/>
    <w:link w:val="Textonotaalfinal1"/>
    <w:rsid w:val="008116B4"/>
    <w:rPr>
      <w:sz w:val="20"/>
      <w:szCs w:val="20"/>
    </w:rPr>
  </w:style>
  <w:style w:type="character" w:styleId="EndnoteReference">
    <w:name w:val="endnote reference"/>
    <w:aliases w:val="1_G"/>
    <w:basedOn w:val="DefaultParagraphFont"/>
    <w:uiPriority w:val="99"/>
    <w:unhideWhenUsed/>
    <w:qFormat/>
    <w:rsid w:val="008116B4"/>
    <w:rPr>
      <w:vertAlign w:val="superscript"/>
    </w:rPr>
  </w:style>
  <w:style w:type="character" w:customStyle="1" w:styleId="Hipervnculo1">
    <w:name w:val="Hipervínculo1"/>
    <w:basedOn w:val="DefaultParagraphFont"/>
    <w:uiPriority w:val="99"/>
    <w:unhideWhenUsed/>
    <w:rsid w:val="008116B4"/>
    <w:rPr>
      <w:color w:val="0563C1"/>
      <w:u w:val="single"/>
    </w:rPr>
  </w:style>
  <w:style w:type="table" w:customStyle="1" w:styleId="Tablaconcuadrcula1">
    <w:name w:val="Tabla con cuadrícula1"/>
    <w:basedOn w:val="TableNormal"/>
    <w:next w:val="TableGrid"/>
    <w:uiPriority w:val="39"/>
    <w:rsid w:val="008116B4"/>
    <w:pPr>
      <w:spacing w:after="0" w:line="240" w:lineRule="auto"/>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8116B4"/>
  </w:style>
  <w:style w:type="paragraph" w:styleId="EndnoteText">
    <w:name w:val="endnote text"/>
    <w:aliases w:val="en,2_G"/>
    <w:basedOn w:val="Normal"/>
    <w:link w:val="EndnoteTextChar"/>
    <w:unhideWhenUsed/>
    <w:qFormat/>
    <w:rsid w:val="008116B4"/>
    <w:pPr>
      <w:spacing w:after="0" w:line="240" w:lineRule="auto"/>
    </w:pPr>
    <w:rPr>
      <w:sz w:val="20"/>
      <w:szCs w:val="20"/>
    </w:rPr>
  </w:style>
  <w:style w:type="character" w:customStyle="1" w:styleId="EndnoteTextChar">
    <w:name w:val="Endnote Text Char"/>
    <w:aliases w:val="en Char,2_G Char"/>
    <w:basedOn w:val="DefaultParagraphFont"/>
    <w:link w:val="EndnoteText"/>
    <w:uiPriority w:val="99"/>
    <w:semiHidden/>
    <w:rsid w:val="008116B4"/>
    <w:rPr>
      <w:sz w:val="20"/>
      <w:szCs w:val="20"/>
    </w:rPr>
  </w:style>
  <w:style w:type="character" w:styleId="Hyperlink">
    <w:name w:val="Hyperlink"/>
    <w:basedOn w:val="DefaultParagraphFont"/>
    <w:uiPriority w:val="99"/>
    <w:unhideWhenUsed/>
    <w:rsid w:val="008116B4"/>
    <w:rPr>
      <w:color w:val="0563C1" w:themeColor="hyperlink"/>
      <w:u w:val="single"/>
    </w:rPr>
  </w:style>
  <w:style w:type="table" w:styleId="TableGrid">
    <w:name w:val="Table Grid"/>
    <w:basedOn w:val="TableNormal"/>
    <w:uiPriority w:val="39"/>
    <w:rsid w:val="0081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
    <w:name w:val="Párrafo"/>
    <w:basedOn w:val="Normal"/>
    <w:rsid w:val="00CE789C"/>
    <w:pPr>
      <w:numPr>
        <w:numId w:val="2"/>
      </w:numPr>
      <w:jc w:val="both"/>
    </w:pPr>
    <w:rPr>
      <w:rFonts w:cs="Times New Roman"/>
      <w:lang w:val="en-US"/>
    </w:rPr>
  </w:style>
  <w:style w:type="character" w:customStyle="1" w:styleId="Heading1Char">
    <w:name w:val="Heading 1 Char"/>
    <w:basedOn w:val="DefaultParagraphFont"/>
    <w:link w:val="Heading1"/>
    <w:uiPriority w:val="9"/>
    <w:rsid w:val="00A46641"/>
    <w:rPr>
      <w:rFonts w:ascii="Times New Roman" w:eastAsia="Times New Roman" w:hAnsi="Times New Roman" w:cs="Times New Roman"/>
      <w:b/>
      <w:lang w:val="es-US"/>
    </w:rPr>
  </w:style>
  <w:style w:type="paragraph" w:styleId="Header">
    <w:name w:val="header"/>
    <w:basedOn w:val="Normal"/>
    <w:link w:val="HeaderChar"/>
    <w:uiPriority w:val="99"/>
    <w:unhideWhenUsed/>
    <w:rsid w:val="003D58EF"/>
    <w:pPr>
      <w:tabs>
        <w:tab w:val="center" w:pos="4419"/>
        <w:tab w:val="right" w:pos="8838"/>
      </w:tabs>
      <w:spacing w:after="0" w:line="240" w:lineRule="auto"/>
    </w:pPr>
  </w:style>
  <w:style w:type="character" w:customStyle="1" w:styleId="HeaderChar">
    <w:name w:val="Header Char"/>
    <w:basedOn w:val="DefaultParagraphFont"/>
    <w:link w:val="Header"/>
    <w:uiPriority w:val="99"/>
    <w:rsid w:val="003D58EF"/>
  </w:style>
  <w:style w:type="character" w:styleId="CommentReference">
    <w:name w:val="annotation reference"/>
    <w:basedOn w:val="DefaultParagraphFont"/>
    <w:uiPriority w:val="99"/>
    <w:semiHidden/>
    <w:unhideWhenUsed/>
    <w:rsid w:val="00D670B6"/>
    <w:rPr>
      <w:sz w:val="16"/>
      <w:szCs w:val="16"/>
    </w:rPr>
  </w:style>
  <w:style w:type="paragraph" w:styleId="CommentText">
    <w:name w:val="annotation text"/>
    <w:basedOn w:val="Normal"/>
    <w:link w:val="CommentTextChar"/>
    <w:uiPriority w:val="99"/>
    <w:unhideWhenUsed/>
    <w:rsid w:val="00D670B6"/>
    <w:pPr>
      <w:spacing w:line="240" w:lineRule="auto"/>
    </w:pPr>
    <w:rPr>
      <w:sz w:val="20"/>
      <w:szCs w:val="20"/>
    </w:rPr>
  </w:style>
  <w:style w:type="character" w:customStyle="1" w:styleId="CommentTextChar">
    <w:name w:val="Comment Text Char"/>
    <w:basedOn w:val="DefaultParagraphFont"/>
    <w:link w:val="CommentText"/>
    <w:uiPriority w:val="99"/>
    <w:rsid w:val="00D670B6"/>
    <w:rPr>
      <w:sz w:val="20"/>
      <w:szCs w:val="20"/>
    </w:rPr>
  </w:style>
  <w:style w:type="paragraph" w:styleId="CommentSubject">
    <w:name w:val="annotation subject"/>
    <w:basedOn w:val="CommentText"/>
    <w:next w:val="CommentText"/>
    <w:link w:val="CommentSubjectChar"/>
    <w:uiPriority w:val="99"/>
    <w:semiHidden/>
    <w:unhideWhenUsed/>
    <w:rsid w:val="00D670B6"/>
    <w:rPr>
      <w:b/>
      <w:bCs/>
    </w:rPr>
  </w:style>
  <w:style w:type="character" w:customStyle="1" w:styleId="CommentSubjectChar">
    <w:name w:val="Comment Subject Char"/>
    <w:basedOn w:val="CommentTextChar"/>
    <w:link w:val="CommentSubject"/>
    <w:uiPriority w:val="99"/>
    <w:semiHidden/>
    <w:rsid w:val="00D670B6"/>
    <w:rPr>
      <w:b/>
      <w:bCs/>
      <w:sz w:val="20"/>
      <w:szCs w:val="20"/>
    </w:rPr>
  </w:style>
  <w:style w:type="character" w:customStyle="1" w:styleId="Heading2Char">
    <w:name w:val="Heading 2 Char"/>
    <w:basedOn w:val="DefaultParagraphFont"/>
    <w:link w:val="Heading2"/>
    <w:uiPriority w:val="9"/>
    <w:rsid w:val="00875C01"/>
    <w:rPr>
      <w:rFonts w:ascii="Times New Roman" w:eastAsia="Times New Roman" w:hAnsi="Times New Roman" w:cs="Times New Roman"/>
      <w:b/>
      <w:bCs/>
      <w:i/>
      <w:iCs/>
      <w:lang w:val="es-CO"/>
    </w:rPr>
  </w:style>
  <w:style w:type="paragraph" w:styleId="FootnoteText">
    <w:name w:val="footnote text"/>
    <w:basedOn w:val="Normal"/>
    <w:link w:val="FootnoteTextChar"/>
    <w:uiPriority w:val="99"/>
    <w:unhideWhenUsed/>
    <w:rsid w:val="00875C01"/>
    <w:pPr>
      <w:spacing w:after="0" w:line="240" w:lineRule="auto"/>
    </w:pPr>
    <w:rPr>
      <w:sz w:val="20"/>
      <w:szCs w:val="20"/>
    </w:rPr>
  </w:style>
  <w:style w:type="character" w:customStyle="1" w:styleId="FootnoteTextChar">
    <w:name w:val="Footnote Text Char"/>
    <w:basedOn w:val="DefaultParagraphFont"/>
    <w:link w:val="FootnoteText"/>
    <w:uiPriority w:val="99"/>
    <w:rsid w:val="00875C01"/>
    <w:rPr>
      <w:rFonts w:ascii="Times New Roman" w:hAnsi="Times New Roman"/>
      <w:sz w:val="20"/>
      <w:szCs w:val="20"/>
    </w:rPr>
  </w:style>
  <w:style w:type="character" w:styleId="FootnoteReference">
    <w:name w:val="footnote reference"/>
    <w:basedOn w:val="DefaultParagraphFont"/>
    <w:uiPriority w:val="99"/>
    <w:semiHidden/>
    <w:unhideWhenUsed/>
    <w:rsid w:val="00875C01"/>
    <w:rPr>
      <w:vertAlign w:val="superscript"/>
    </w:rPr>
  </w:style>
  <w:style w:type="paragraph" w:styleId="ListParagraph">
    <w:name w:val="List Paragraph"/>
    <w:basedOn w:val="Normal"/>
    <w:link w:val="ListParagraphChar"/>
    <w:uiPriority w:val="34"/>
    <w:qFormat/>
    <w:rsid w:val="00786153"/>
    <w:pPr>
      <w:spacing w:after="200" w:line="360" w:lineRule="auto"/>
      <w:ind w:left="720"/>
      <w:contextualSpacing/>
    </w:pPr>
    <w:rPr>
      <w:rFonts w:ascii="Arial" w:hAnsi="Arial"/>
      <w:kern w:val="2"/>
      <w:lang w:val="es-CO"/>
      <w14:ligatures w14:val="standardContextual"/>
    </w:rPr>
  </w:style>
  <w:style w:type="paragraph" w:customStyle="1" w:styleId="Romanos">
    <w:name w:val="Romanos"/>
    <w:basedOn w:val="ListParagraph"/>
    <w:link w:val="RomanosCar"/>
    <w:qFormat/>
    <w:rsid w:val="00431197"/>
    <w:pPr>
      <w:numPr>
        <w:numId w:val="6"/>
      </w:numPr>
      <w:spacing w:line="259" w:lineRule="auto"/>
      <w:contextualSpacing w:val="0"/>
      <w:jc w:val="both"/>
    </w:pPr>
    <w:rPr>
      <w:rFonts w:ascii="Times New Roman" w:hAnsi="Times New Roman"/>
    </w:rPr>
  </w:style>
  <w:style w:type="character" w:customStyle="1" w:styleId="ListParagraphChar">
    <w:name w:val="List Paragraph Char"/>
    <w:basedOn w:val="DefaultParagraphFont"/>
    <w:link w:val="ListParagraph"/>
    <w:uiPriority w:val="34"/>
    <w:rsid w:val="00D078CA"/>
    <w:rPr>
      <w:rFonts w:ascii="Arial" w:hAnsi="Arial"/>
      <w:kern w:val="2"/>
      <w:lang w:val="es-CO"/>
      <w14:ligatures w14:val="standardContextual"/>
    </w:rPr>
  </w:style>
  <w:style w:type="character" w:customStyle="1" w:styleId="RomanosCar">
    <w:name w:val="Romanos Car"/>
    <w:basedOn w:val="ListParagraphChar"/>
    <w:link w:val="Romanos"/>
    <w:rsid w:val="00D078CA"/>
    <w:rPr>
      <w:rFonts w:ascii="Times New Roman" w:hAnsi="Times New Roman"/>
      <w:kern w:val="2"/>
      <w:lang w:val="es-CO"/>
      <w14:ligatures w14:val="standardContextual"/>
    </w:rPr>
  </w:style>
  <w:style w:type="character" w:styleId="UnresolvedMention">
    <w:name w:val="Unresolved Mention"/>
    <w:basedOn w:val="DefaultParagraphFont"/>
    <w:uiPriority w:val="99"/>
    <w:semiHidden/>
    <w:unhideWhenUsed/>
    <w:rsid w:val="009702BE"/>
    <w:rPr>
      <w:color w:val="605E5C"/>
      <w:shd w:val="clear" w:color="auto" w:fill="E1DFDD"/>
    </w:rPr>
  </w:style>
  <w:style w:type="character" w:customStyle="1" w:styleId="normaltextrun">
    <w:name w:val="normaltextrun"/>
    <w:basedOn w:val="DefaultParagraphFont"/>
    <w:rsid w:val="00A45CB9"/>
  </w:style>
  <w:style w:type="character" w:customStyle="1" w:styleId="eop">
    <w:name w:val="eop"/>
    <w:basedOn w:val="DefaultParagraphFont"/>
    <w:rsid w:val="00A45CB9"/>
  </w:style>
  <w:style w:type="character" w:styleId="Mention">
    <w:name w:val="Mention"/>
    <w:basedOn w:val="DefaultParagraphFont"/>
    <w:uiPriority w:val="99"/>
    <w:unhideWhenUsed/>
    <w:rsid w:val="00F142ED"/>
    <w:rPr>
      <w:color w:val="2B579A"/>
      <w:shd w:val="clear" w:color="auto" w:fill="E1DFDD"/>
    </w:rPr>
  </w:style>
  <w:style w:type="character" w:styleId="FollowedHyperlink">
    <w:name w:val="FollowedHyperlink"/>
    <w:basedOn w:val="DefaultParagraphFont"/>
    <w:uiPriority w:val="99"/>
    <w:semiHidden/>
    <w:unhideWhenUsed/>
    <w:rsid w:val="001071E5"/>
    <w:rPr>
      <w:color w:val="954F72" w:themeColor="followedHyperlink"/>
      <w:u w:val="single"/>
    </w:rPr>
  </w:style>
  <w:style w:type="character" w:styleId="Strong">
    <w:name w:val="Strong"/>
    <w:basedOn w:val="DefaultParagraphFont"/>
    <w:uiPriority w:val="22"/>
    <w:qFormat/>
    <w:rsid w:val="002D69AA"/>
    <w:rPr>
      <w:b/>
      <w:bCs/>
    </w:rPr>
  </w:style>
  <w:style w:type="paragraph" w:styleId="NormalWeb">
    <w:name w:val="Normal (Web)"/>
    <w:basedOn w:val="Normal"/>
    <w:uiPriority w:val="99"/>
    <w:semiHidden/>
    <w:unhideWhenUsed/>
    <w:rsid w:val="00E201E4"/>
    <w:rPr>
      <w:rFonts w:cs="Times New Roman"/>
      <w:sz w:val="24"/>
      <w:szCs w:val="24"/>
    </w:rPr>
  </w:style>
  <w:style w:type="paragraph" w:styleId="Revision">
    <w:name w:val="Revision"/>
    <w:hidden/>
    <w:uiPriority w:val="99"/>
    <w:semiHidden/>
    <w:rsid w:val="00B951F2"/>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98326">
      <w:bodyDiv w:val="1"/>
      <w:marLeft w:val="0"/>
      <w:marRight w:val="0"/>
      <w:marTop w:val="0"/>
      <w:marBottom w:val="0"/>
      <w:divBdr>
        <w:top w:val="none" w:sz="0" w:space="0" w:color="auto"/>
        <w:left w:val="none" w:sz="0" w:space="0" w:color="auto"/>
        <w:bottom w:val="none" w:sz="0" w:space="0" w:color="auto"/>
        <w:right w:val="none" w:sz="0" w:space="0" w:color="auto"/>
      </w:divBdr>
    </w:div>
    <w:div w:id="603611779">
      <w:bodyDiv w:val="1"/>
      <w:marLeft w:val="0"/>
      <w:marRight w:val="0"/>
      <w:marTop w:val="0"/>
      <w:marBottom w:val="0"/>
      <w:divBdr>
        <w:top w:val="none" w:sz="0" w:space="0" w:color="auto"/>
        <w:left w:val="none" w:sz="0" w:space="0" w:color="auto"/>
        <w:bottom w:val="none" w:sz="0" w:space="0" w:color="auto"/>
        <w:right w:val="none" w:sz="0" w:space="0" w:color="auto"/>
      </w:divBdr>
    </w:div>
    <w:div w:id="966355619">
      <w:bodyDiv w:val="1"/>
      <w:marLeft w:val="0"/>
      <w:marRight w:val="0"/>
      <w:marTop w:val="0"/>
      <w:marBottom w:val="0"/>
      <w:divBdr>
        <w:top w:val="none" w:sz="0" w:space="0" w:color="auto"/>
        <w:left w:val="none" w:sz="0" w:space="0" w:color="auto"/>
        <w:bottom w:val="none" w:sz="0" w:space="0" w:color="auto"/>
        <w:right w:val="none" w:sz="0" w:space="0" w:color="auto"/>
      </w:divBdr>
    </w:div>
    <w:div w:id="1084375878">
      <w:bodyDiv w:val="1"/>
      <w:marLeft w:val="0"/>
      <w:marRight w:val="0"/>
      <w:marTop w:val="0"/>
      <w:marBottom w:val="0"/>
      <w:divBdr>
        <w:top w:val="none" w:sz="0" w:space="0" w:color="auto"/>
        <w:left w:val="none" w:sz="0" w:space="0" w:color="auto"/>
        <w:bottom w:val="none" w:sz="0" w:space="0" w:color="auto"/>
        <w:right w:val="none" w:sz="0" w:space="0" w:color="auto"/>
      </w:divBdr>
    </w:div>
    <w:div w:id="1092776380">
      <w:bodyDiv w:val="1"/>
      <w:marLeft w:val="0"/>
      <w:marRight w:val="0"/>
      <w:marTop w:val="0"/>
      <w:marBottom w:val="0"/>
      <w:divBdr>
        <w:top w:val="none" w:sz="0" w:space="0" w:color="auto"/>
        <w:left w:val="none" w:sz="0" w:space="0" w:color="auto"/>
        <w:bottom w:val="none" w:sz="0" w:space="0" w:color="auto"/>
        <w:right w:val="none" w:sz="0" w:space="0" w:color="auto"/>
      </w:divBdr>
    </w:div>
    <w:div w:id="1460755883">
      <w:bodyDiv w:val="1"/>
      <w:marLeft w:val="0"/>
      <w:marRight w:val="0"/>
      <w:marTop w:val="0"/>
      <w:marBottom w:val="0"/>
      <w:divBdr>
        <w:top w:val="none" w:sz="0" w:space="0" w:color="auto"/>
        <w:left w:val="none" w:sz="0" w:space="0" w:color="auto"/>
        <w:bottom w:val="none" w:sz="0" w:space="0" w:color="auto"/>
        <w:right w:val="none" w:sz="0" w:space="0" w:color="auto"/>
      </w:divBdr>
    </w:div>
    <w:div w:id="1485928119">
      <w:bodyDiv w:val="1"/>
      <w:marLeft w:val="0"/>
      <w:marRight w:val="0"/>
      <w:marTop w:val="0"/>
      <w:marBottom w:val="0"/>
      <w:divBdr>
        <w:top w:val="none" w:sz="0" w:space="0" w:color="auto"/>
        <w:left w:val="none" w:sz="0" w:space="0" w:color="auto"/>
        <w:bottom w:val="none" w:sz="0" w:space="0" w:color="auto"/>
        <w:right w:val="none" w:sz="0" w:space="0" w:color="auto"/>
      </w:divBdr>
    </w:div>
    <w:div w:id="1538272337">
      <w:bodyDiv w:val="1"/>
      <w:marLeft w:val="0"/>
      <w:marRight w:val="0"/>
      <w:marTop w:val="0"/>
      <w:marBottom w:val="0"/>
      <w:divBdr>
        <w:top w:val="none" w:sz="0" w:space="0" w:color="auto"/>
        <w:left w:val="none" w:sz="0" w:space="0" w:color="auto"/>
        <w:bottom w:val="none" w:sz="0" w:space="0" w:color="auto"/>
        <w:right w:val="none" w:sz="0" w:space="0" w:color="auto"/>
      </w:divBdr>
    </w:div>
    <w:div w:id="205168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_rels/endnotes.xml.rels><?xml version="1.0" encoding="UTF-8" standalone="yes"?>
<Relationships xmlns="http://schemas.openxmlformats.org/package/2006/relationships"><Relationship Id="rId8" Type="http://schemas.openxmlformats.org/officeDocument/2006/relationships/hyperlink" Target="https://www.jep.gov.co/Sala-de-Prensa/Paginas/-la-jep-abre-macrocaso-11-que-investiga-la-violencia-basada-en-genero-incluyendo-violencia-sexual-y-reproductiva-y-crimenes.aspx" TargetMode="External"/><Relationship Id="rId13" Type="http://schemas.openxmlformats.org/officeDocument/2006/relationships/hyperlink" Target="https://bit.ly/3L71fsu" TargetMode="External"/><Relationship Id="rId18" Type="http://schemas.openxmlformats.org/officeDocument/2006/relationships/hyperlink" Target="https://www.suin-juriscol.gov.co/viewDocument.asp?ruta=Resolucion/30031838" TargetMode="External"/><Relationship Id="rId26" Type="http://schemas.openxmlformats.org/officeDocument/2006/relationships/hyperlink" Target="https://www.senado.gov.co/index.php/el-senado/noticias/4380-proyecto-de-ley-prohibiria-uso-de-glifosato-para-erradicacion-de-cultivos-ilicitos" TargetMode="External"/><Relationship Id="rId3" Type="http://schemas.openxmlformats.org/officeDocument/2006/relationships/hyperlink" Target="https://www.funcionpublica.gov.co/eva/gestornormativo/norma.php?i=80633" TargetMode="External"/><Relationship Id="rId21" Type="http://schemas.openxmlformats.org/officeDocument/2006/relationships/hyperlink" Target="https://bit.ly/3GzUQUp" TargetMode="External"/><Relationship Id="rId7" Type="http://schemas.openxmlformats.org/officeDocument/2006/relationships/hyperlink" Target="https://comisiondelaverdad.co/" TargetMode="External"/><Relationship Id="rId12" Type="http://schemas.openxmlformats.org/officeDocument/2006/relationships/hyperlink" Target="https://www.suin-juriscol.gov.co/viewDocument.asp?id=4027413" TargetMode="External"/><Relationship Id="rId17" Type="http://schemas.openxmlformats.org/officeDocument/2006/relationships/hyperlink" Target="https://bit.ly/3ft5Oz5" TargetMode="External"/><Relationship Id="rId25" Type="http://schemas.openxmlformats.org/officeDocument/2006/relationships/hyperlink" Target="https://www.sucop.gov.co/formulacion_/Procesos/Norma%201667583336922/Memoria%20justificativa%20del%20proyecto%20PN-2022-12014.pdf" TargetMode="External"/><Relationship Id="rId2" Type="http://schemas.openxmlformats.org/officeDocument/2006/relationships/hyperlink" Target="https://mujeryfuturo.org/" TargetMode="External"/><Relationship Id="rId16" Type="http://schemas.openxmlformats.org/officeDocument/2006/relationships/hyperlink" Target="https://www.oas.org/es/cidh/decisiones/2018/COAD1453-08ES.pdf" TargetMode="External"/><Relationship Id="rId20" Type="http://schemas.openxmlformats.org/officeDocument/2006/relationships/hyperlink" Target="https://www.suin-juriscol.gov.co/viewDocument.asp?ruta=Resolucion/30031838" TargetMode="External"/><Relationship Id="rId29" Type="http://schemas.openxmlformats.org/officeDocument/2006/relationships/hyperlink" Target="https://www.minsalud.gov.co/Normatividad_Nuevo/Resoluci%C3%B3n%20No.%20051%20de%202023.pdf" TargetMode="External"/><Relationship Id="rId1" Type="http://schemas.openxmlformats.org/officeDocument/2006/relationships/hyperlink" Target="https://www.comunitar.org.co/" TargetMode="External"/><Relationship Id="rId6" Type="http://schemas.openxmlformats.org/officeDocument/2006/relationships/hyperlink" Target="https://comisiondelaverdad.co/," TargetMode="External"/><Relationship Id="rId11" Type="http://schemas.openxmlformats.org/officeDocument/2006/relationships/hyperlink" Target="https://www.jep.gov.co/organosgobierno/Acuerdo%20AOG%2002%20de%202025.pdf" TargetMode="External"/><Relationship Id="rId24" Type="http://schemas.openxmlformats.org/officeDocument/2006/relationships/hyperlink" Target="https://www.sucop.gov.co/formulacion_/Procesos/Norma%201667583336922/Memoria%20justificativa%20del%20proyecto%20PN-2022-12014.pdf" TargetMode="External"/><Relationship Id="rId5" Type="http://schemas.openxmlformats.org/officeDocument/2006/relationships/hyperlink" Target="https://comisiondelaverdad.co/" TargetMode="External"/><Relationship Id="rId15" Type="http://schemas.openxmlformats.org/officeDocument/2006/relationships/hyperlink" Target="https://indepaz.org.co/wp-content/uploads/2015/05/ONIC-Otros_Evaluacion_de_las_Fumigaciones_en_Colombia_2002.pdf" TargetMode="External"/><Relationship Id="rId23" Type="http://schemas.openxmlformats.org/officeDocument/2006/relationships/hyperlink" Target="https://www.alcaldiabogota.gov.co/sisjur/normas/Norma1.jsp?i=120402&amp;dt=S" TargetMode="External"/><Relationship Id="rId28" Type="http://schemas.openxmlformats.org/officeDocument/2006/relationships/hyperlink" Target="https://leyes.senado.gov.co/proyectos/index.php/proyectos-ley/cuatrenio-2022-2026/2022-2023/article/302-por-medio-de-la-cual-se-prohibe-el-uso-del-glifosato-y-sus-derivados-para-la-erradicacion-de-cultivos-de-uso-ilicito-en-el-territorio-nacional-y-se-dictan-otras-disposiciones" TargetMode="External"/><Relationship Id="rId10" Type="http://schemas.openxmlformats.org/officeDocument/2006/relationships/hyperlink" Target="https://www.jep.gov.co/macrocasos/caso11.html" TargetMode="External"/><Relationship Id="rId19" Type="http://schemas.openxmlformats.org/officeDocument/2006/relationships/hyperlink" Target="https://www.suin-juriscol.gov.co/viewDocument.asp?ruta=Resolucion/30031838" TargetMode="External"/><Relationship Id="rId31" Type="http://schemas.openxmlformats.org/officeDocument/2006/relationships/hyperlink" Target="https://docs.supersalud.gov.co/PortalWeb/Juridica/CircularesExterna/Circular%20externa%20n%C3%BAmero%202024150000000009-5%20de%20%202024.pdf" TargetMode="External"/><Relationship Id="rId4" Type="http://schemas.openxmlformats.org/officeDocument/2006/relationships/hyperlink" Target="https://comisiondelaverdad.co/" TargetMode="External"/><Relationship Id="rId9" Type="http://schemas.openxmlformats.org/officeDocument/2006/relationships/hyperlink" Target="https://www.jep.gov.co/jepcifras/JEP-en-cifras-06-septiembre-2024.pdf" TargetMode="External"/><Relationship Id="rId14" Type="http://schemas.openxmlformats.org/officeDocument/2006/relationships/hyperlink" Target="https://bit.ly/3rlyWhy" TargetMode="External"/><Relationship Id="rId22" Type="http://schemas.openxmlformats.org/officeDocument/2006/relationships/hyperlink" Target="https://bit.ly/3KeWpJH" TargetMode="External"/><Relationship Id="rId27" Type="http://schemas.openxmlformats.org/officeDocument/2006/relationships/hyperlink" Target="https://poderlegislativo.camara.gov.co/2025/05/26/archivado-proyecto-que-buscaba-prohibir-la-aspersion-aerea-con-herbicidas/" TargetMode="External"/><Relationship Id="rId30" Type="http://schemas.openxmlformats.org/officeDocument/2006/relationships/hyperlink" Target="https://www.fiscalia.gov.co/colombia/wp-content/uploads/2023-DIRECTIVA-0009-INV-Y-JUD-DEL-ABORTO.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5420c68d-3a28-4a0e-822e-6cbf27b7375d" xsi:nil="true"/>
    <lcf76f155ced4ddcb4097134ff3c332f xmlns="11d9c3d8-88ca-41c8-819f-23186d238f58">
      <Terms xmlns="http://schemas.microsoft.com/office/infopath/2007/PartnerControls"/>
    </lcf76f155ced4ddcb4097134ff3c332f>
    <TCconlaquesepag_x00f3_ xmlns="11d9c3d8-88ca-41c8-819f-23186d238f58">
      <UserInfo>
        <DisplayName/>
        <AccountId xsi:nil="true"/>
        <AccountType/>
      </UserInfo>
    </TCconlaquesepag_x00f3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5.xml><?xml version="1.0" encoding="utf-8"?>
<ct:contentTypeSchema xmlns:ct="http://schemas.microsoft.com/office/2006/metadata/contentType" xmlns:ma="http://schemas.microsoft.com/office/2006/metadata/properties/metaAttributes" ct:_="" ma:_="" ma:contentTypeName="Documento" ma:contentTypeID="0x01010030575A62FAE047498B4F442CB92FEF4F" ma:contentTypeVersion="15" ma:contentTypeDescription="Crear nuevo documento." ma:contentTypeScope="" ma:versionID="26df78b42df677f28ffa6b59b773a729">
  <xsd:schema xmlns:xsd="http://www.w3.org/2001/XMLSchema" xmlns:xs="http://www.w3.org/2001/XMLSchema" xmlns:p="http://schemas.microsoft.com/office/2006/metadata/properties" xmlns:ns2="11d9c3d8-88ca-41c8-819f-23186d238f58" xmlns:ns3="5420c68d-3a28-4a0e-822e-6cbf27b7375d" targetNamespace="http://schemas.microsoft.com/office/2006/metadata/properties" ma:root="true" ma:fieldsID="f161de5503bcd879af9b66f8e9204cff" ns2:_="" ns3:_="">
    <xsd:import namespace="11d9c3d8-88ca-41c8-819f-23186d238f58"/>
    <xsd:import namespace="5420c68d-3a28-4a0e-822e-6cbf27b73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Cconlaquesepag_x00f3_"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9c3d8-88ca-41c8-819f-23186d238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Cconlaquesepag_x00f3_" ma:index="20" nillable="true" ma:displayName="TC con la que se pagó" ma:format="Dropdown" ma:list="UserInfo" ma:SharePointGroup="0" ma:internalName="TCconlaquesepag_x00f3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20c68d-3a28-4a0e-822e-6cbf27b7375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7775c86-caa7-4152-8d46-119e0788e48e}" ma:internalName="TaxCatchAll" ma:showField="CatchAllData" ma:web="5420c68d-3a28-4a0e-822e-6cbf27b73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79E694-AB60-4AFE-80D8-107BC44788BA}">
  <ds:schemaRefs>
    <ds:schemaRef ds:uri="http://schemas.openxmlformats.org/officeDocument/2006/bibliography"/>
  </ds:schemaRefs>
</ds:datastoreItem>
</file>

<file path=customXml/itemProps2.xml><?xml version="1.0" encoding="utf-8"?>
<ds:datastoreItem xmlns:ds="http://schemas.openxmlformats.org/officeDocument/2006/customXml" ds:itemID="{DAA5F139-CD01-4A28-9A2B-177F3545A30C}">
  <ds:schemaRefs>
    <ds:schemaRef ds:uri="http://schemas.microsoft.com/office/2006/metadata/properties"/>
    <ds:schemaRef ds:uri="http://schemas.microsoft.com/office/infopath/2007/PartnerControls"/>
    <ds:schemaRef ds:uri="5420c68d-3a28-4a0e-822e-6cbf27b7375d"/>
    <ds:schemaRef ds:uri="11d9c3d8-88ca-41c8-819f-23186d238f58"/>
  </ds:schemaRefs>
</ds:datastoreItem>
</file>

<file path=customXml/itemProps3.xml><?xml version="1.0" encoding="utf-8"?>
<ds:datastoreItem xmlns:ds="http://schemas.openxmlformats.org/officeDocument/2006/customXml" ds:itemID="{0CB3E16F-430A-441F-BF22-8DCE8A235B53}">
  <ds:schemaRefs>
    <ds:schemaRef ds:uri="http://schemas.microsoft.com/sharepoint/v3/contenttype/forms"/>
  </ds:schemaRefs>
</ds:datastoreItem>
</file>

<file path=customXml/itemProps4.xml><?xml version="1.0" encoding="utf-8"?>
<ds:datastoreItem xmlns:ds="http://schemas.openxmlformats.org/officeDocument/2006/customXml" ds:itemID="{865A6CE9-F28C-4455-BC14-BB8D386FFF57}">
  <ds:schemaRefs>
    <ds:schemaRef ds:uri="http://www.imanage.com/work/xmlschema"/>
  </ds:schemaRefs>
</ds:datastoreItem>
</file>

<file path=customXml/itemProps5.xml><?xml version="1.0" encoding="utf-8"?>
<ds:datastoreItem xmlns:ds="http://schemas.openxmlformats.org/officeDocument/2006/customXml" ds:itemID="{92AC20CA-0566-4346-B5E0-76FA6C55D8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9c3d8-88ca-41c8-819f-23186d238f58"/>
    <ds:schemaRef ds:uri="5420c68d-3a28-4a0e-822e-6cbf27b73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3617</Words>
  <Characters>21772</Characters>
  <Application>Microsoft Office Word</Application>
  <DocSecurity>0</DocSecurity>
  <Lines>338</Lines>
  <Paragraphs>92</Paragraphs>
  <ScaleCrop>false</ScaleCrop>
  <Company/>
  <LinksUpToDate>false</LinksUpToDate>
  <CharactersWithSpaces>25323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Velásquez Sarmiento</dc:creator>
  <cp:keywords/>
  <dc:description/>
  <cp:lastModifiedBy>Tania Agosti</cp:lastModifiedBy>
  <cp:revision>11</cp:revision>
  <dcterms:created xsi:type="dcterms:W3CDTF">2025-08-06T09:00:00Z</dcterms:created>
  <dcterms:modified xsi:type="dcterms:W3CDTF">2025-08-06T09:13:00Z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877cc60ad43686747355db45ebe00354bb1ca125e79fd9bacda0d7a26d9cbe83</vt:lpwstr>
  </property>
  <property fmtid="{D5CDD505-2E9C-101B-9397-08002B2CF9AE}" pid="3" name="ContentTypeId">
    <vt:lpwstr>0x01010030575A62FAE047498B4F442CB92FEF4F</vt:lpwstr>
  </property>
  <property fmtid="{D5CDD505-2E9C-101B-9397-08002B2CF9AE}" pid="4" name="MediaServiceImageTags">
    <vt:lpwstr/>
  </property>
</Properties>
</file>