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C5DB8" w14:textId="77777777" w:rsidR="008672B6" w:rsidRDefault="008672B6">
      <w:pPr>
        <w:spacing w:after="80"/>
        <w:jc w:val="center"/>
        <w:rPr>
          <w:b/>
          <w:sz w:val="28"/>
          <w:szCs w:val="28"/>
        </w:rPr>
      </w:pPr>
      <w:bookmarkStart w:id="0" w:name="_GoBack"/>
      <w:bookmarkEnd w:id="0"/>
    </w:p>
    <w:p w14:paraId="5C15103C" w14:textId="1964AF78" w:rsidR="007927D3" w:rsidRDefault="00597F88">
      <w:pPr>
        <w:spacing w:after="80"/>
        <w:jc w:val="center"/>
        <w:rPr>
          <w:b/>
          <w:sz w:val="28"/>
          <w:szCs w:val="28"/>
        </w:rPr>
      </w:pPr>
      <w:r>
        <w:rPr>
          <w:b/>
          <w:sz w:val="28"/>
          <w:szCs w:val="28"/>
        </w:rPr>
        <w:t>Informe de la situación del</w:t>
      </w:r>
    </w:p>
    <w:p w14:paraId="2F1CC84E" w14:textId="77777777" w:rsidR="007927D3" w:rsidRDefault="00597F88">
      <w:pPr>
        <w:spacing w:after="80"/>
        <w:jc w:val="center"/>
        <w:rPr>
          <w:b/>
          <w:sz w:val="28"/>
          <w:szCs w:val="28"/>
        </w:rPr>
      </w:pPr>
      <w:r>
        <w:rPr>
          <w:b/>
          <w:sz w:val="28"/>
          <w:szCs w:val="28"/>
        </w:rPr>
        <w:t>Derecho Humano al Agua y</w:t>
      </w:r>
    </w:p>
    <w:p w14:paraId="7E3D317F" w14:textId="77777777" w:rsidR="007927D3" w:rsidRDefault="00597F88">
      <w:pPr>
        <w:spacing w:after="80"/>
        <w:jc w:val="center"/>
        <w:rPr>
          <w:b/>
          <w:sz w:val="28"/>
          <w:szCs w:val="28"/>
        </w:rPr>
      </w:pPr>
      <w:r>
        <w:rPr>
          <w:b/>
          <w:sz w:val="28"/>
          <w:szCs w:val="28"/>
        </w:rPr>
        <w:t>Saneamiento en Guatemala</w:t>
      </w:r>
    </w:p>
    <w:p w14:paraId="0CA0DB30" w14:textId="77777777" w:rsidR="007927D3" w:rsidRDefault="00597F88">
      <w:pPr>
        <w:rPr>
          <w:sz w:val="22"/>
          <w:szCs w:val="22"/>
        </w:rPr>
      </w:pPr>
      <w:r>
        <w:rPr>
          <w:sz w:val="22"/>
          <w:szCs w:val="22"/>
        </w:rPr>
        <w:t xml:space="preserve"> </w:t>
      </w:r>
    </w:p>
    <w:p w14:paraId="6E91F3F1" w14:textId="77777777" w:rsidR="007A43D4" w:rsidRDefault="007A43D4">
      <w:pPr>
        <w:jc w:val="left"/>
        <w:rPr>
          <w:sz w:val="22"/>
          <w:szCs w:val="22"/>
          <w:u w:val="single"/>
        </w:rPr>
      </w:pPr>
    </w:p>
    <w:p w14:paraId="12057245" w14:textId="2BE796D3" w:rsidR="007927D3" w:rsidRDefault="00597F88">
      <w:pPr>
        <w:jc w:val="left"/>
        <w:rPr>
          <w:sz w:val="22"/>
          <w:szCs w:val="22"/>
          <w:u w:val="single"/>
        </w:rPr>
      </w:pPr>
      <w:r>
        <w:rPr>
          <w:sz w:val="22"/>
          <w:szCs w:val="22"/>
          <w:u w:val="single"/>
        </w:rPr>
        <w:t>Organizaciones de la coalición:</w:t>
      </w:r>
    </w:p>
    <w:p w14:paraId="22120B86" w14:textId="77777777" w:rsidR="007A43D4" w:rsidRDefault="007A43D4">
      <w:pPr>
        <w:rPr>
          <w:sz w:val="22"/>
          <w:szCs w:val="22"/>
          <w:u w:val="single"/>
        </w:rPr>
      </w:pPr>
    </w:p>
    <w:p w14:paraId="75FD6C86" w14:textId="704855D7" w:rsidR="007927D3" w:rsidRDefault="00597F88">
      <w:pPr>
        <w:rPr>
          <w:sz w:val="22"/>
          <w:szCs w:val="22"/>
        </w:rPr>
      </w:pPr>
      <w:r>
        <w:rPr>
          <w:sz w:val="22"/>
          <w:szCs w:val="22"/>
          <w:u w:val="single"/>
        </w:rPr>
        <w:t>Pastoral de la Tierra de la Diócesis de San Marcos (PTSM):</w:t>
      </w:r>
      <w:r>
        <w:rPr>
          <w:sz w:val="22"/>
          <w:szCs w:val="22"/>
        </w:rPr>
        <w:t xml:space="preserve"> Es una comisión de la Pastoral Social que acompaña y facilita la construcción de políticas y estrategias con agricultores/as, comunidades y con el pueblo mam, sipakapense y mestiza empobrecida, excluidos, que, como parte del pueblo y movimiento social en </w:t>
      </w:r>
      <w:r>
        <w:rPr>
          <w:sz w:val="22"/>
          <w:szCs w:val="22"/>
        </w:rPr>
        <w:t>el departamento, promueve el Buen Vivir en armonía con la Madre Tierra.</w:t>
      </w:r>
    </w:p>
    <w:p w14:paraId="1D1182E4" w14:textId="77777777" w:rsidR="007A43D4" w:rsidRDefault="007A43D4">
      <w:pPr>
        <w:rPr>
          <w:sz w:val="22"/>
          <w:szCs w:val="22"/>
          <w:u w:val="single"/>
        </w:rPr>
      </w:pPr>
    </w:p>
    <w:p w14:paraId="16393802" w14:textId="2950D53E" w:rsidR="007927D3" w:rsidRDefault="00597F88">
      <w:pPr>
        <w:rPr>
          <w:sz w:val="22"/>
          <w:szCs w:val="22"/>
        </w:rPr>
      </w:pPr>
      <w:r>
        <w:rPr>
          <w:sz w:val="22"/>
          <w:szCs w:val="22"/>
          <w:u w:val="single"/>
        </w:rPr>
        <w:t>Fundación Tierra Nuestra (FUNDATIERRA):</w:t>
      </w:r>
      <w:r>
        <w:rPr>
          <w:sz w:val="22"/>
          <w:szCs w:val="22"/>
        </w:rPr>
        <w:t xml:space="preserve"> acompaña desde el año 2013 la construcción de estrategias de cambio y de formación de sujetos políticos en territorios campesinos, indígenas y </w:t>
      </w:r>
      <w:r>
        <w:rPr>
          <w:sz w:val="22"/>
          <w:szCs w:val="22"/>
        </w:rPr>
        <w:t>rurales empobrecidos en el Occidente de Guatemala. Participó en 2014 en informe alternativo sobre aplicación del PIDESC.</w:t>
      </w:r>
    </w:p>
    <w:p w14:paraId="325B4581" w14:textId="77777777" w:rsidR="007A43D4" w:rsidRDefault="007A43D4">
      <w:pPr>
        <w:rPr>
          <w:sz w:val="22"/>
          <w:szCs w:val="22"/>
          <w:u w:val="single"/>
        </w:rPr>
      </w:pPr>
    </w:p>
    <w:p w14:paraId="2C266AC9" w14:textId="43D736BA" w:rsidR="007927D3" w:rsidRDefault="00597F88">
      <w:pPr>
        <w:rPr>
          <w:sz w:val="22"/>
          <w:szCs w:val="22"/>
        </w:rPr>
      </w:pPr>
      <w:r>
        <w:rPr>
          <w:sz w:val="22"/>
          <w:szCs w:val="22"/>
          <w:u w:val="single"/>
        </w:rPr>
        <w:t>Servicios Jurídicos y Sociales (SERJUS):</w:t>
      </w:r>
      <w:r>
        <w:rPr>
          <w:sz w:val="22"/>
          <w:szCs w:val="22"/>
        </w:rPr>
        <w:t xml:space="preserve"> acompaña y participa en la reconstrucción, el fortalecimiento y la articulación de las comuni</w:t>
      </w:r>
      <w:r>
        <w:rPr>
          <w:sz w:val="22"/>
          <w:szCs w:val="22"/>
        </w:rPr>
        <w:t>dades rurales y urbanas de Guatemala como sujetos políticos.</w:t>
      </w:r>
    </w:p>
    <w:p w14:paraId="1FAED773" w14:textId="77777777" w:rsidR="007A43D4" w:rsidRDefault="007A43D4">
      <w:pPr>
        <w:rPr>
          <w:sz w:val="22"/>
          <w:szCs w:val="22"/>
          <w:u w:val="single"/>
        </w:rPr>
      </w:pPr>
    </w:p>
    <w:p w14:paraId="58DB747D" w14:textId="728627B9" w:rsidR="007927D3" w:rsidRDefault="00597F88">
      <w:pPr>
        <w:rPr>
          <w:sz w:val="22"/>
          <w:szCs w:val="22"/>
        </w:rPr>
      </w:pPr>
      <w:r>
        <w:rPr>
          <w:sz w:val="22"/>
          <w:szCs w:val="22"/>
          <w:u w:val="single"/>
        </w:rPr>
        <w:t>Coordinación de ONG y Cooperativas (CONGCOOP):</w:t>
      </w:r>
      <w:r>
        <w:rPr>
          <w:sz w:val="22"/>
          <w:szCs w:val="22"/>
        </w:rPr>
        <w:t xml:space="preserve"> Es una coordinación de ONG y Cooperativas, fortalecida en su articulación interna como actor social que contribuye en la construcción de un país do</w:t>
      </w:r>
      <w:r>
        <w:rPr>
          <w:sz w:val="22"/>
          <w:szCs w:val="22"/>
        </w:rPr>
        <w:t>nde los cuatro pueblos (Maya, garífuna, Xinca y Mestizo) las mujeres, el movimiento popular y social, asumen de forma positiva, dinámica y colectiva el protagonismo en la construcción de una sociedad, donde se respetan los derechos humanos colectivos e ind</w:t>
      </w:r>
      <w:r>
        <w:rPr>
          <w:sz w:val="22"/>
          <w:szCs w:val="22"/>
        </w:rPr>
        <w:t>ividuales y prevalecen condiciones de vida digna.</w:t>
      </w:r>
    </w:p>
    <w:p w14:paraId="468E98F9" w14:textId="77777777" w:rsidR="007A43D4" w:rsidRDefault="007A43D4">
      <w:pPr>
        <w:rPr>
          <w:sz w:val="22"/>
          <w:szCs w:val="22"/>
          <w:u w:val="single"/>
        </w:rPr>
      </w:pPr>
    </w:p>
    <w:p w14:paraId="3A45C163" w14:textId="678F5A5A" w:rsidR="008672B6" w:rsidRDefault="00597F88">
      <w:pPr>
        <w:rPr>
          <w:sz w:val="22"/>
          <w:szCs w:val="22"/>
        </w:rPr>
      </w:pPr>
      <w:r>
        <w:rPr>
          <w:sz w:val="22"/>
          <w:szCs w:val="22"/>
          <w:u w:val="single"/>
        </w:rPr>
        <w:t>Plataforma Internacional Contra la Impunidad (PICI</w:t>
      </w:r>
      <w:r>
        <w:rPr>
          <w:sz w:val="22"/>
          <w:szCs w:val="22"/>
        </w:rPr>
        <w:t>): Es una alianza estratégica de organizaciones de la sociedad civil europeas y centroamericanas que apoyan e impulsan procesos de incidencia para la plena</w:t>
      </w:r>
      <w:r>
        <w:rPr>
          <w:sz w:val="22"/>
          <w:szCs w:val="22"/>
        </w:rPr>
        <w:t xml:space="preserve"> vigencia de los derechos humanos individuales y colectivos, con la visión de construir sociedades más justas en Centroamérica. Nuestras acciones a nivel internacional se complementan con las acciones locales de acompañamiento a las personas Defensoras de </w:t>
      </w:r>
      <w:r>
        <w:rPr>
          <w:sz w:val="22"/>
          <w:szCs w:val="22"/>
        </w:rPr>
        <w:t>Derechos Humanos en la mejora de las condiciones en las que trabajan y en su lucha contra la impunidad.</w:t>
      </w:r>
    </w:p>
    <w:p w14:paraId="4BFAB499" w14:textId="6BEF3682" w:rsidR="008672B6" w:rsidRDefault="008672B6">
      <w:pPr>
        <w:rPr>
          <w:sz w:val="22"/>
          <w:szCs w:val="22"/>
        </w:rPr>
      </w:pPr>
    </w:p>
    <w:p w14:paraId="530B0CC4" w14:textId="69F598A3" w:rsidR="008672B6" w:rsidRDefault="008672B6">
      <w:pPr>
        <w:rPr>
          <w:sz w:val="22"/>
          <w:szCs w:val="22"/>
        </w:rPr>
      </w:pPr>
    </w:p>
    <w:p w14:paraId="0DED9277" w14:textId="6E188C43" w:rsidR="008672B6" w:rsidRDefault="008672B6">
      <w:pPr>
        <w:rPr>
          <w:sz w:val="22"/>
          <w:szCs w:val="22"/>
        </w:rPr>
      </w:pPr>
    </w:p>
    <w:p w14:paraId="3EC9C68C" w14:textId="5DD2CB63" w:rsidR="008672B6" w:rsidRDefault="008672B6">
      <w:pPr>
        <w:rPr>
          <w:sz w:val="22"/>
          <w:szCs w:val="22"/>
        </w:rPr>
      </w:pPr>
    </w:p>
    <w:p w14:paraId="7AD18FB2" w14:textId="54828DBC" w:rsidR="008672B6" w:rsidRDefault="008672B6">
      <w:pPr>
        <w:rPr>
          <w:sz w:val="22"/>
          <w:szCs w:val="22"/>
        </w:rPr>
      </w:pPr>
    </w:p>
    <w:p w14:paraId="7C9F46E6" w14:textId="77777777" w:rsidR="007927D3" w:rsidRDefault="007927D3">
      <w:pPr>
        <w:rPr>
          <w:sz w:val="22"/>
          <w:szCs w:val="22"/>
        </w:rPr>
      </w:pPr>
    </w:p>
    <w:p w14:paraId="781FFD76" w14:textId="6E180E40" w:rsidR="00701E45" w:rsidRPr="007A43D4" w:rsidRDefault="00597F88" w:rsidP="007A43D4">
      <w:pPr>
        <w:jc w:val="right"/>
        <w:rPr>
          <w:sz w:val="22"/>
          <w:szCs w:val="22"/>
          <w:highlight w:val="white"/>
        </w:rPr>
      </w:pPr>
      <w:r>
        <w:rPr>
          <w:sz w:val="22"/>
          <w:szCs w:val="22"/>
          <w:highlight w:val="white"/>
        </w:rPr>
        <w:lastRenderedPageBreak/>
        <w:t>Agosto 2022</w:t>
      </w:r>
    </w:p>
    <w:p w14:paraId="2A0D11ED" w14:textId="77777777" w:rsidR="0049134E" w:rsidRDefault="0049134E" w:rsidP="0049134E">
      <w:pPr>
        <w:spacing w:after="0"/>
        <w:jc w:val="right"/>
        <w:rPr>
          <w:sz w:val="22"/>
          <w:szCs w:val="22"/>
          <w:highlight w:val="white"/>
        </w:rPr>
      </w:pPr>
    </w:p>
    <w:p w14:paraId="527586AA" w14:textId="77777777" w:rsidR="0049134E" w:rsidRDefault="0049134E" w:rsidP="0049134E">
      <w:pPr>
        <w:spacing w:after="0"/>
        <w:jc w:val="right"/>
        <w:rPr>
          <w:sz w:val="22"/>
          <w:szCs w:val="22"/>
          <w:highlight w:val="white"/>
        </w:rPr>
      </w:pPr>
    </w:p>
    <w:p w14:paraId="01BC123C" w14:textId="77777777" w:rsidR="0049134E" w:rsidRPr="00DA0D32" w:rsidRDefault="0049134E" w:rsidP="0049134E">
      <w:pPr>
        <w:pStyle w:val="ListParagraph"/>
        <w:numPr>
          <w:ilvl w:val="0"/>
          <w:numId w:val="2"/>
        </w:numPr>
        <w:spacing w:after="0"/>
        <w:rPr>
          <w:b/>
          <w:sz w:val="22"/>
          <w:szCs w:val="22"/>
        </w:rPr>
      </w:pPr>
      <w:r w:rsidRPr="00DA0D32">
        <w:rPr>
          <w:b/>
          <w:sz w:val="22"/>
          <w:szCs w:val="22"/>
        </w:rPr>
        <w:t>PRESENTACIÓN DEL INFORME</w:t>
      </w:r>
    </w:p>
    <w:p w14:paraId="27143F8C" w14:textId="77777777" w:rsidR="0049134E" w:rsidRPr="00DA0D32" w:rsidRDefault="0049134E" w:rsidP="0049134E">
      <w:pPr>
        <w:pStyle w:val="ListParagraph"/>
        <w:spacing w:after="0"/>
        <w:rPr>
          <w:b/>
          <w:sz w:val="22"/>
          <w:szCs w:val="22"/>
        </w:rPr>
      </w:pPr>
    </w:p>
    <w:p w14:paraId="4ED696BB" w14:textId="77777777" w:rsidR="0049134E" w:rsidRDefault="0049134E" w:rsidP="0049134E">
      <w:pPr>
        <w:spacing w:after="0"/>
        <w:ind w:hanging="357"/>
        <w:rPr>
          <w:sz w:val="22"/>
          <w:szCs w:val="22"/>
        </w:rPr>
      </w:pPr>
      <w:r>
        <w:rPr>
          <w:sz w:val="22"/>
          <w:szCs w:val="22"/>
        </w:rPr>
        <w:t>1.</w:t>
      </w:r>
      <w:r>
        <w:rPr>
          <w:sz w:val="14"/>
          <w:szCs w:val="14"/>
        </w:rPr>
        <w:t xml:space="preserve"> </w:t>
      </w:r>
      <w:r>
        <w:rPr>
          <w:sz w:val="14"/>
          <w:szCs w:val="14"/>
        </w:rPr>
        <w:tab/>
      </w:r>
      <w:r>
        <w:rPr>
          <w:sz w:val="22"/>
          <w:szCs w:val="22"/>
        </w:rPr>
        <w:t>El presente informe aporta contenidos sobre la problemática y las correspondientes observaciones sobre el acceso al agua como derecho humano, esencial para garantizar derechos humanos fundamentales de la ciudadanía guatemalteca y poner en evidencia las amenazas y acciones de hecho de violación del criterio constitucional que considera al agua como bien de dominio público.</w:t>
      </w:r>
    </w:p>
    <w:p w14:paraId="19616F9C" w14:textId="77777777" w:rsidR="0049134E" w:rsidRDefault="0049134E" w:rsidP="0049134E">
      <w:pPr>
        <w:spacing w:after="0"/>
        <w:ind w:hanging="360"/>
        <w:rPr>
          <w:sz w:val="22"/>
          <w:szCs w:val="22"/>
        </w:rPr>
      </w:pPr>
      <w:r>
        <w:rPr>
          <w:sz w:val="22"/>
          <w:szCs w:val="22"/>
        </w:rPr>
        <w:t>2.</w:t>
      </w:r>
      <w:r>
        <w:rPr>
          <w:sz w:val="14"/>
          <w:szCs w:val="14"/>
        </w:rPr>
        <w:t xml:space="preserve"> </w:t>
      </w:r>
      <w:r>
        <w:rPr>
          <w:sz w:val="14"/>
          <w:szCs w:val="14"/>
        </w:rPr>
        <w:tab/>
      </w:r>
      <w:r>
        <w:rPr>
          <w:sz w:val="22"/>
          <w:szCs w:val="22"/>
        </w:rPr>
        <w:t>Guatemala a pesar de contar con un importante potencial del recurso hídrico dilapida la disponibilidad del mismo, con una débil gobernanza, con vacíos en la implementación de políticas públicas, con un enfoque normativo contradictorio que constitucionalmente reconoce el agua como bien público pero que  reconoce</w:t>
      </w:r>
      <w:r>
        <w:rPr>
          <w:strike/>
          <w:sz w:val="22"/>
          <w:szCs w:val="22"/>
        </w:rPr>
        <w:t>r</w:t>
      </w:r>
      <w:r>
        <w:rPr>
          <w:sz w:val="22"/>
          <w:szCs w:val="22"/>
        </w:rPr>
        <w:t xml:space="preserve"> legalmente derechos privados sobre las aguas valorada como mercancía, y prioriza el uso para riego y la industria frente al consumo humano y una limitada asignación presupuestaria que no garantiza el acceso al agua y saneamiento, teniendo repercusiones en la contaminación de fuentes disponibles y generando una gran disparidad campo-ciudad en la calidad y cobertura del suministro, como entre los asentamientos precarios y los desarrollos urbanos.</w:t>
      </w:r>
    </w:p>
    <w:p w14:paraId="4A0367D2" w14:textId="77777777" w:rsidR="0049134E" w:rsidRDefault="0049134E" w:rsidP="0049134E">
      <w:pPr>
        <w:spacing w:after="0"/>
        <w:ind w:hanging="360"/>
        <w:rPr>
          <w:sz w:val="22"/>
          <w:szCs w:val="22"/>
        </w:rPr>
      </w:pPr>
      <w:r>
        <w:rPr>
          <w:sz w:val="22"/>
          <w:szCs w:val="22"/>
        </w:rPr>
        <w:t>3.</w:t>
      </w:r>
      <w:r>
        <w:rPr>
          <w:sz w:val="14"/>
          <w:szCs w:val="14"/>
        </w:rPr>
        <w:t xml:space="preserve"> </w:t>
      </w:r>
      <w:r>
        <w:rPr>
          <w:sz w:val="14"/>
          <w:szCs w:val="14"/>
        </w:rPr>
        <w:tab/>
      </w:r>
      <w:r>
        <w:rPr>
          <w:sz w:val="22"/>
          <w:szCs w:val="22"/>
        </w:rPr>
        <w:t>Las amenazas que se enfrentan con relación a los bienes hídricos, tanto por fenómenos naturales, antropogénicos y como efecto del cambio climático provocan una relación socio-ambiental contradictoria, que deriva en una crisis y vulnerabilidad sistémica muy alta</w:t>
      </w:r>
      <w:r>
        <w:rPr>
          <w:color w:val="0563C1"/>
          <w:vertAlign w:val="superscript"/>
        </w:rPr>
        <w:t xml:space="preserve"> [1]</w:t>
      </w:r>
      <w:r>
        <w:rPr>
          <w:sz w:val="10"/>
          <w:szCs w:val="10"/>
        </w:rPr>
        <w:t>.</w:t>
      </w:r>
      <w:r>
        <w:rPr>
          <w:sz w:val="22"/>
          <w:szCs w:val="22"/>
        </w:rPr>
        <w:t xml:space="preserve"> Esta se evidencia en el pobre desempeño en las dimensiones socio-cultural, ambiental, económica y por supuesto, en la político-institucional, dejando a la población en un permanente estado de indefensión. A estas condiciones se suman, un ejercicio autoritario del poder público que tiende a limitar los derechos de la población, uno de ellos es la capacidad de respuesta del Estado con relación a garantizar el derecho al agua potable y al saneamiento</w:t>
      </w:r>
      <w:bookmarkStart w:id="1" w:name="_Hlk112574748"/>
      <w:r>
        <w:rPr>
          <w:color w:val="0563C1"/>
          <w:sz w:val="22"/>
          <w:szCs w:val="22"/>
          <w:vertAlign w:val="superscript"/>
        </w:rPr>
        <w:t>[2]</w:t>
      </w:r>
      <w:r>
        <w:rPr>
          <w:sz w:val="10"/>
          <w:szCs w:val="10"/>
        </w:rPr>
        <w:t>,</w:t>
      </w:r>
      <w:bookmarkEnd w:id="1"/>
      <w:r>
        <w:rPr>
          <w:sz w:val="22"/>
          <w:szCs w:val="22"/>
        </w:rPr>
        <w:t xml:space="preserve"> generando desproporcionadas disparidades a favor de un modelo económico generador de graves afectaciones al medio ambiente y la sostenibilidad del territorio nacional.</w:t>
      </w:r>
    </w:p>
    <w:p w14:paraId="7FB2CD4F" w14:textId="77777777" w:rsidR="0049134E" w:rsidRDefault="0049134E" w:rsidP="0049134E">
      <w:pPr>
        <w:spacing w:after="0"/>
        <w:ind w:hanging="360"/>
        <w:rPr>
          <w:sz w:val="22"/>
          <w:szCs w:val="22"/>
        </w:rPr>
      </w:pPr>
      <w:r>
        <w:rPr>
          <w:sz w:val="22"/>
          <w:szCs w:val="22"/>
        </w:rPr>
        <w:t>4.</w:t>
      </w:r>
      <w:r>
        <w:rPr>
          <w:sz w:val="14"/>
          <w:szCs w:val="14"/>
        </w:rPr>
        <w:t xml:space="preserve"> </w:t>
      </w:r>
      <w:r>
        <w:rPr>
          <w:sz w:val="14"/>
          <w:szCs w:val="14"/>
        </w:rPr>
        <w:tab/>
      </w:r>
      <w:r>
        <w:rPr>
          <w:sz w:val="22"/>
          <w:szCs w:val="22"/>
        </w:rPr>
        <w:t>Este vacío jurídico legal, la débil gobernanza con la ausencia de una política pública que marque las prioridades para garantizar el derecho humano al agua, posibilita zonas sin control, ni fiscalización a favor de los agentes privados para el despojo a las comunidades indígenas de los bienes naturales alrededor del agua, siendo un factor de tensión social especialmente en las áreas rurales del país en donde han surgido iniciativas de defensa de los territorios y los bienes naturales englobados en la defensa de madre tierra, como factor esencial de la cosmovisión de los pueblos indígenas. Recibiendo como respuesta del Estado la fuerza de su poder punitivo, haciendo uso de la manipulación de la justicia como recurso ilícito para hacer valer el interés privado de empresas.</w:t>
      </w:r>
    </w:p>
    <w:p w14:paraId="097B50BB" w14:textId="77777777" w:rsidR="0049134E" w:rsidRDefault="0049134E" w:rsidP="0049134E">
      <w:pPr>
        <w:spacing w:after="0"/>
        <w:ind w:hanging="360"/>
        <w:rPr>
          <w:sz w:val="22"/>
          <w:szCs w:val="22"/>
        </w:rPr>
      </w:pPr>
      <w:r>
        <w:rPr>
          <w:sz w:val="22"/>
          <w:szCs w:val="22"/>
        </w:rPr>
        <w:t>5.</w:t>
      </w:r>
      <w:r>
        <w:rPr>
          <w:sz w:val="14"/>
          <w:szCs w:val="14"/>
        </w:rPr>
        <w:t xml:space="preserve"> </w:t>
      </w:r>
      <w:r>
        <w:rPr>
          <w:sz w:val="14"/>
          <w:szCs w:val="14"/>
        </w:rPr>
        <w:tab/>
      </w:r>
      <w:r>
        <w:rPr>
          <w:sz w:val="22"/>
          <w:szCs w:val="22"/>
        </w:rPr>
        <w:t>El agua es un recurso en disputa en Guatemala la tensión radica entre un bien público o un recurso mercantil. Esa tensión se ve reflejada en una limitada política de apoyo a sistemas de riego para beneficio de familias campesinas, que vendría a dinamizar la economía local y procurar mejores condiciones de vida para comunidades rurales; contra sistemas de riego implementados por la agroindustria de la palma aceitera y la caña de azúcar, quienes desvían ríos y se apropian de fuentes de agua, sin sanción, ni intervención estatal, en detrimento de las familias campesinas e indígenas de la costa sur, el valle del Polochic y las comunidades en torno a la Franja Transversal del Norte.</w:t>
      </w:r>
    </w:p>
    <w:p w14:paraId="5AD4C151" w14:textId="77777777" w:rsidR="0049134E" w:rsidRDefault="0049134E" w:rsidP="0049134E">
      <w:pPr>
        <w:spacing w:after="0"/>
        <w:ind w:hanging="360"/>
        <w:rPr>
          <w:sz w:val="22"/>
          <w:szCs w:val="22"/>
        </w:rPr>
      </w:pPr>
      <w:r>
        <w:rPr>
          <w:sz w:val="22"/>
          <w:szCs w:val="22"/>
        </w:rPr>
        <w:t>6.</w:t>
      </w:r>
      <w:r>
        <w:rPr>
          <w:sz w:val="14"/>
          <w:szCs w:val="14"/>
        </w:rPr>
        <w:t xml:space="preserve"> </w:t>
      </w:r>
      <w:r>
        <w:rPr>
          <w:sz w:val="14"/>
          <w:szCs w:val="14"/>
        </w:rPr>
        <w:tab/>
      </w:r>
      <w:r>
        <w:rPr>
          <w:sz w:val="22"/>
          <w:szCs w:val="22"/>
        </w:rPr>
        <w:t xml:space="preserve">Este documento es un esfuerzo para que las “Observaciones Finales” a ser dirigidas al Estado de Guatemala establezcan la naturaleza fundamental del derecho humanos al agua como transversal e interseccional como un derecho humano esencial para que los Estados hagan efectivo el compromiso establecido en el Pacto DESC de </w:t>
      </w:r>
      <w:r>
        <w:rPr>
          <w:i/>
          <w:sz w:val="22"/>
          <w:szCs w:val="22"/>
        </w:rPr>
        <w:t>asegurar a los hombres y a las mujeres [les otorga] igual título a gozar de todos los derechos económicos, sociales y culturales enunciados en el Pacto</w:t>
      </w:r>
      <w:r>
        <w:rPr>
          <w:sz w:val="22"/>
          <w:szCs w:val="22"/>
        </w:rPr>
        <w:t>. Por esas razones ponemos a consideración del CDESC en el cuarto examen periódico de Guatemala durante el 72° examen del CESCR, observaciones relacionadas con el derecho humano al agua para ser dirigidas al Estado de Guatemala.</w:t>
      </w:r>
    </w:p>
    <w:p w14:paraId="2F0920C9" w14:textId="77777777" w:rsidR="0049134E" w:rsidRDefault="0049134E" w:rsidP="0049134E">
      <w:pPr>
        <w:spacing w:after="0"/>
        <w:ind w:hanging="360"/>
        <w:rPr>
          <w:sz w:val="22"/>
          <w:szCs w:val="22"/>
        </w:rPr>
      </w:pPr>
    </w:p>
    <w:p w14:paraId="0C3B8921" w14:textId="77777777" w:rsidR="0049134E" w:rsidRDefault="0049134E" w:rsidP="0049134E">
      <w:pPr>
        <w:spacing w:after="0"/>
        <w:ind w:hanging="360"/>
        <w:rPr>
          <w:b/>
          <w:sz w:val="22"/>
          <w:szCs w:val="22"/>
        </w:rPr>
      </w:pPr>
      <w:r>
        <w:rPr>
          <w:b/>
          <w:sz w:val="22"/>
          <w:szCs w:val="22"/>
        </w:rPr>
        <w:t>B.</w:t>
      </w:r>
      <w:r>
        <w:rPr>
          <w:sz w:val="14"/>
          <w:szCs w:val="14"/>
        </w:rPr>
        <w:t xml:space="preserve">    </w:t>
      </w:r>
      <w:r>
        <w:rPr>
          <w:b/>
          <w:sz w:val="22"/>
          <w:szCs w:val="22"/>
        </w:rPr>
        <w:t>DISPONIBILIDAD/OFERTA Y DEMANDA DEL AGUA</w:t>
      </w:r>
    </w:p>
    <w:p w14:paraId="63085CC0" w14:textId="77777777" w:rsidR="0049134E" w:rsidRDefault="0049134E" w:rsidP="0049134E">
      <w:pPr>
        <w:spacing w:after="0"/>
        <w:rPr>
          <w:b/>
          <w:sz w:val="22"/>
          <w:szCs w:val="22"/>
        </w:rPr>
      </w:pPr>
      <w:r>
        <w:rPr>
          <w:b/>
          <w:sz w:val="22"/>
          <w:szCs w:val="22"/>
        </w:rPr>
        <w:t>B.1 Disminución del ingreso del agua y aumento de la demanda</w:t>
      </w:r>
    </w:p>
    <w:p w14:paraId="52DB2091" w14:textId="77777777" w:rsidR="0049134E" w:rsidRDefault="0049134E" w:rsidP="0049134E">
      <w:pPr>
        <w:spacing w:after="0"/>
        <w:rPr>
          <w:b/>
          <w:sz w:val="22"/>
          <w:szCs w:val="22"/>
        </w:rPr>
      </w:pPr>
    </w:p>
    <w:p w14:paraId="3B7D4D51" w14:textId="77777777" w:rsidR="0049134E" w:rsidRDefault="0049134E" w:rsidP="0049134E">
      <w:pPr>
        <w:spacing w:after="0"/>
        <w:ind w:hanging="360"/>
        <w:rPr>
          <w:sz w:val="22"/>
          <w:szCs w:val="22"/>
        </w:rPr>
      </w:pPr>
      <w:r>
        <w:rPr>
          <w:sz w:val="22"/>
          <w:szCs w:val="22"/>
        </w:rPr>
        <w:t>7.</w:t>
      </w:r>
      <w:r>
        <w:rPr>
          <w:sz w:val="14"/>
          <w:szCs w:val="14"/>
        </w:rPr>
        <w:t xml:space="preserve"> </w:t>
      </w:r>
      <w:r>
        <w:rPr>
          <w:sz w:val="14"/>
          <w:szCs w:val="14"/>
        </w:rPr>
        <w:tab/>
      </w:r>
      <w:r>
        <w:rPr>
          <w:sz w:val="22"/>
          <w:szCs w:val="22"/>
        </w:rPr>
        <w:t>A nivel nacional, el balance hídrico es favorable: en el año 2015 se consumió el 22.5% de la disponibilidad de recursos hídricos en tres vertientes</w:t>
      </w:r>
      <w:r>
        <w:rPr>
          <w:color w:val="0563C1"/>
          <w:sz w:val="22"/>
          <w:szCs w:val="22"/>
          <w:vertAlign w:val="superscript"/>
        </w:rPr>
        <w:t>[3]</w:t>
      </w:r>
      <w:r>
        <w:rPr>
          <w:sz w:val="10"/>
          <w:szCs w:val="10"/>
        </w:rPr>
        <w:t>,</w:t>
      </w:r>
      <w:r>
        <w:rPr>
          <w:sz w:val="22"/>
          <w:szCs w:val="22"/>
        </w:rPr>
        <w:t>: Pacífico, Caribe y Golfo de México. A pesar de este balance favorable, la disponibilidad hídrica anual per cápita está por debajo del umbral de los 1,700 metros cúbicos</w:t>
      </w:r>
      <w:r>
        <w:rPr>
          <w:color w:val="0563C1"/>
          <w:sz w:val="22"/>
          <w:szCs w:val="22"/>
          <w:vertAlign w:val="superscript"/>
        </w:rPr>
        <w:t>[4]</w:t>
      </w:r>
      <w:r>
        <w:rPr>
          <w:sz w:val="22"/>
          <w:szCs w:val="22"/>
        </w:rPr>
        <w:t>,</w:t>
      </w:r>
      <w:r w:rsidRPr="00EC554D">
        <w:rPr>
          <w:sz w:val="22"/>
          <w:szCs w:val="22"/>
        </w:rPr>
        <w:t xml:space="preserve"> </w:t>
      </w:r>
      <w:r>
        <w:rPr>
          <w:sz w:val="22"/>
          <w:szCs w:val="22"/>
        </w:rPr>
        <w:t>según el Programa de las Naciones Unidas para el Desarrollo (PNUD), con menos de 1,000 metros cúbicos ya puede hablarse de escasez de agua, siendo de preocupación este dato contradictorio de contar un balance hídrico favorable, con limitado acceso per cápita.</w:t>
      </w:r>
    </w:p>
    <w:p w14:paraId="510BF2D1" w14:textId="77777777" w:rsidR="0049134E" w:rsidRDefault="0049134E" w:rsidP="0049134E">
      <w:pPr>
        <w:spacing w:after="0"/>
        <w:ind w:hanging="360"/>
        <w:rPr>
          <w:sz w:val="22"/>
          <w:szCs w:val="22"/>
        </w:rPr>
      </w:pPr>
      <w:r>
        <w:rPr>
          <w:sz w:val="22"/>
          <w:szCs w:val="22"/>
        </w:rPr>
        <w:t>8.</w:t>
      </w:r>
      <w:r w:rsidRPr="00EC554D">
        <w:rPr>
          <w:sz w:val="22"/>
          <w:szCs w:val="22"/>
        </w:rPr>
        <w:t xml:space="preserve"> </w:t>
      </w:r>
      <w:r w:rsidRPr="00EC554D">
        <w:rPr>
          <w:sz w:val="22"/>
          <w:szCs w:val="22"/>
        </w:rPr>
        <w:tab/>
      </w:r>
      <w:r>
        <w:rPr>
          <w:sz w:val="22"/>
          <w:szCs w:val="22"/>
        </w:rPr>
        <w:t>Estudios técnicos estiman una disminución del 25% de la precipitación anual para finales del siglo</w:t>
      </w:r>
      <w:r>
        <w:rPr>
          <w:color w:val="0563C1"/>
          <w:sz w:val="22"/>
          <w:szCs w:val="22"/>
          <w:vertAlign w:val="superscript"/>
        </w:rPr>
        <w:t>[5]</w:t>
      </w:r>
      <w:r w:rsidRPr="00EC554D">
        <w:rPr>
          <w:sz w:val="22"/>
          <w:szCs w:val="22"/>
        </w:rPr>
        <w:t>.</w:t>
      </w:r>
      <w:r>
        <w:rPr>
          <w:sz w:val="22"/>
          <w:szCs w:val="22"/>
        </w:rPr>
        <w:t xml:space="preserve"> Se proyecta que la disponibilidad total de agua en Guatemala podría disminuir un 25 % en 2030, un 31 % en 2050 y un 62 % en 2100, respecto al año 2000. La disponibilidad de agua per cápita podría pasar de 12,197 a 1,467 m3 por habitante al año hacia el año 2100</w:t>
      </w:r>
      <w:r>
        <w:rPr>
          <w:color w:val="0563C1"/>
          <w:sz w:val="22"/>
          <w:szCs w:val="22"/>
          <w:vertAlign w:val="superscript"/>
        </w:rPr>
        <w:t>[6]</w:t>
      </w:r>
      <w:r>
        <w:rPr>
          <w:sz w:val="22"/>
          <w:szCs w:val="22"/>
        </w:rPr>
        <w:t>.</w:t>
      </w:r>
      <w:r w:rsidRPr="00EC554D">
        <w:rPr>
          <w:sz w:val="22"/>
          <w:szCs w:val="22"/>
        </w:rPr>
        <w:t xml:space="preserve"> </w:t>
      </w:r>
      <w:r>
        <w:rPr>
          <w:sz w:val="22"/>
          <w:szCs w:val="22"/>
        </w:rPr>
        <w:t>El escenario se complicaría severamente para varias cuencas del país.</w:t>
      </w:r>
    </w:p>
    <w:p w14:paraId="526F2653" w14:textId="77777777" w:rsidR="0049134E" w:rsidRDefault="0049134E" w:rsidP="0049134E">
      <w:pPr>
        <w:spacing w:after="0"/>
        <w:ind w:hanging="360"/>
        <w:rPr>
          <w:sz w:val="22"/>
          <w:szCs w:val="22"/>
        </w:rPr>
      </w:pPr>
    </w:p>
    <w:p w14:paraId="0D1E154C" w14:textId="77777777" w:rsidR="0049134E" w:rsidRDefault="0049134E" w:rsidP="0049134E">
      <w:pPr>
        <w:spacing w:after="0"/>
        <w:rPr>
          <w:b/>
          <w:sz w:val="22"/>
          <w:szCs w:val="22"/>
        </w:rPr>
      </w:pPr>
      <w:r>
        <w:rPr>
          <w:b/>
          <w:sz w:val="22"/>
          <w:szCs w:val="22"/>
        </w:rPr>
        <w:t>B.2 Inequidad en el acceso</w:t>
      </w:r>
    </w:p>
    <w:p w14:paraId="5623C19A" w14:textId="77777777" w:rsidR="0049134E" w:rsidRDefault="0049134E" w:rsidP="0049134E">
      <w:pPr>
        <w:spacing w:after="0"/>
        <w:rPr>
          <w:b/>
          <w:sz w:val="22"/>
          <w:szCs w:val="22"/>
        </w:rPr>
      </w:pPr>
    </w:p>
    <w:p w14:paraId="34C7053E" w14:textId="77777777" w:rsidR="0049134E" w:rsidRDefault="0049134E" w:rsidP="0049134E">
      <w:pPr>
        <w:spacing w:after="0"/>
        <w:ind w:hanging="360"/>
        <w:rPr>
          <w:sz w:val="22"/>
          <w:szCs w:val="22"/>
        </w:rPr>
      </w:pPr>
      <w:r>
        <w:rPr>
          <w:sz w:val="22"/>
          <w:szCs w:val="22"/>
        </w:rPr>
        <w:t>9.</w:t>
      </w:r>
      <w:r>
        <w:rPr>
          <w:sz w:val="14"/>
          <w:szCs w:val="14"/>
        </w:rPr>
        <w:t xml:space="preserve"> </w:t>
      </w:r>
      <w:r>
        <w:rPr>
          <w:sz w:val="14"/>
          <w:szCs w:val="14"/>
        </w:rPr>
        <w:tab/>
      </w:r>
      <w:r>
        <w:rPr>
          <w:sz w:val="22"/>
          <w:szCs w:val="22"/>
        </w:rPr>
        <w:t>Según el Censo 2018, el 59.0%, de los hogares obtuvo el agua potable para consumo por tubería red dentro de la vivienda, otros lo consiguen de la siguiente manera: el 14.8% por tubería red fuera de la vivienda, pero en el terreno; el 3.2% como fuente de agua el chorro público; el 12.2% la consiguió a través de pozo perforado público o privado y el 10.9 % de los hogares lo hizo por otro medio, como agua de lluvia, de un río, manantial o nacimiento, de camión o tonel u otra fuente</w:t>
      </w:r>
      <w:r>
        <w:rPr>
          <w:color w:val="00B0F0"/>
          <w:sz w:val="22"/>
          <w:szCs w:val="22"/>
          <w:vertAlign w:val="superscript"/>
        </w:rPr>
        <w:t xml:space="preserve"> [7]</w:t>
      </w:r>
      <w:r>
        <w:rPr>
          <w:sz w:val="22"/>
          <w:szCs w:val="22"/>
        </w:rPr>
        <w:t>.</w:t>
      </w:r>
    </w:p>
    <w:p w14:paraId="5220DC43" w14:textId="77777777" w:rsidR="0049134E" w:rsidRDefault="0049134E" w:rsidP="0049134E">
      <w:pPr>
        <w:spacing w:after="0"/>
        <w:ind w:hanging="360"/>
        <w:rPr>
          <w:sz w:val="22"/>
          <w:szCs w:val="22"/>
        </w:rPr>
      </w:pPr>
      <w:r>
        <w:rPr>
          <w:sz w:val="22"/>
          <w:szCs w:val="22"/>
        </w:rPr>
        <w:t>10.</w:t>
      </w:r>
      <w:r>
        <w:rPr>
          <w:sz w:val="14"/>
          <w:szCs w:val="14"/>
        </w:rPr>
        <w:t xml:space="preserve">  </w:t>
      </w:r>
      <w:r>
        <w:rPr>
          <w:sz w:val="22"/>
          <w:szCs w:val="22"/>
        </w:rPr>
        <w:t>El Objetivo 6 de los Objetivos de Desarrollo Sostenible (ODS) contempla indicadores para mejorar la proporción de población que utiliza fuentes mejoradas de abastecimiento de agua potable, que los Estados deberían lograr. La Meta 6.1 busca el acceso universal y equitativo al agua potable a un precio asequible para todos, al año 2030. En el año 2014 el 76.3% de la población tuvo acceso a las siguientes fuentes de agua mejorado: Tubería dentro de la vivienda, Tubería fuera de la vivienda y Chorro público. Es preocupante que entre el año 2014 y 2018 la tendencia fue negativa, la cobertura bajó a 75.6%</w:t>
      </w:r>
      <w:r>
        <w:rPr>
          <w:color w:val="0563C1"/>
          <w:vertAlign w:val="superscript"/>
        </w:rPr>
        <w:t>[8]</w:t>
      </w:r>
      <w:r>
        <w:rPr>
          <w:sz w:val="16"/>
          <w:szCs w:val="16"/>
        </w:rPr>
        <w:t xml:space="preserve">. </w:t>
      </w:r>
      <w:r>
        <w:rPr>
          <w:sz w:val="22"/>
          <w:szCs w:val="22"/>
        </w:rPr>
        <w:t>Y solo queda la mitad del período completo, para lograr el acceso universal y equitativo al agua potable, del año 2015 al 2030. Cabe recordar que Guatemala incumplió con la meta de los Objetivos de Desarrollo del Milenio (ODM) sobre acceso al agua.</w:t>
      </w:r>
      <w:r>
        <w:rPr>
          <w:color w:val="0563C1"/>
          <w:vertAlign w:val="superscript"/>
        </w:rPr>
        <w:t>[9]</w:t>
      </w:r>
      <w:r>
        <w:rPr>
          <w:sz w:val="22"/>
          <w:szCs w:val="22"/>
        </w:rPr>
        <w:t xml:space="preserve"> En lugar de reducir a la mitad la falta de acceso al agua, de 71.0% en el año 2000 sólo logró un 76.3% en 2014 – la meta inalcanzada fue de 85.5%.</w:t>
      </w:r>
    </w:p>
    <w:p w14:paraId="51AECDC8" w14:textId="77777777" w:rsidR="0049134E" w:rsidRDefault="0049134E" w:rsidP="0049134E">
      <w:pPr>
        <w:spacing w:after="0"/>
        <w:ind w:hanging="360"/>
        <w:rPr>
          <w:sz w:val="22"/>
          <w:szCs w:val="22"/>
        </w:rPr>
      </w:pPr>
    </w:p>
    <w:p w14:paraId="3A194A86" w14:textId="77777777" w:rsidR="0049134E" w:rsidRDefault="0049134E" w:rsidP="0049134E">
      <w:pPr>
        <w:spacing w:after="0"/>
        <w:jc w:val="center"/>
        <w:rPr>
          <w:i/>
          <w:sz w:val="22"/>
          <w:szCs w:val="22"/>
        </w:rPr>
      </w:pPr>
      <w:r>
        <w:rPr>
          <w:i/>
          <w:sz w:val="22"/>
          <w:szCs w:val="22"/>
        </w:rPr>
        <w:t>Tabla 1: Población que utiliza fuentes mejoradas de abastecimiento de agua potable</w:t>
      </w:r>
    </w:p>
    <w:tbl>
      <w:tblPr>
        <w:tblW w:w="8790" w:type="dxa"/>
        <w:tblBorders>
          <w:top w:val="nil"/>
          <w:left w:val="nil"/>
          <w:bottom w:val="nil"/>
          <w:right w:val="nil"/>
          <w:insideH w:val="nil"/>
          <w:insideV w:val="nil"/>
        </w:tblBorders>
        <w:tblLayout w:type="fixed"/>
        <w:tblLook w:val="0600" w:firstRow="0" w:lastRow="0" w:firstColumn="0" w:lastColumn="0" w:noHBand="1" w:noVBand="1"/>
      </w:tblPr>
      <w:tblGrid>
        <w:gridCol w:w="1380"/>
        <w:gridCol w:w="1515"/>
        <w:gridCol w:w="1515"/>
        <w:gridCol w:w="1515"/>
        <w:gridCol w:w="1515"/>
        <w:gridCol w:w="1350"/>
      </w:tblGrid>
      <w:tr w:rsidR="0049134E" w14:paraId="3306A7B2" w14:textId="77777777" w:rsidTr="00FF27C9">
        <w:trPr>
          <w:trHeight w:val="606"/>
        </w:trPr>
        <w:tc>
          <w:tcPr>
            <w:tcW w:w="1380"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774CBA7D" w14:textId="77777777" w:rsidR="0049134E" w:rsidRDefault="0049134E" w:rsidP="00FF27C9">
            <w:pPr>
              <w:spacing w:after="0"/>
              <w:jc w:val="center"/>
              <w:rPr>
                <w:b/>
                <w:sz w:val="22"/>
                <w:szCs w:val="22"/>
              </w:rPr>
            </w:pPr>
          </w:p>
        </w:tc>
        <w:tc>
          <w:tcPr>
            <w:tcW w:w="151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559B3602" w14:textId="77777777" w:rsidR="0049134E" w:rsidRDefault="0049134E" w:rsidP="00FF27C9">
            <w:pPr>
              <w:spacing w:after="0"/>
              <w:jc w:val="center"/>
              <w:rPr>
                <w:b/>
                <w:sz w:val="22"/>
                <w:szCs w:val="22"/>
              </w:rPr>
            </w:pPr>
            <w:r>
              <w:rPr>
                <w:b/>
                <w:sz w:val="22"/>
                <w:szCs w:val="22"/>
              </w:rPr>
              <w:t>ENCOVI 2000</w:t>
            </w:r>
          </w:p>
        </w:tc>
        <w:tc>
          <w:tcPr>
            <w:tcW w:w="151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3E73DA72" w14:textId="77777777" w:rsidR="0049134E" w:rsidRDefault="0049134E" w:rsidP="00FF27C9">
            <w:pPr>
              <w:spacing w:after="0"/>
              <w:jc w:val="center"/>
              <w:rPr>
                <w:b/>
                <w:sz w:val="22"/>
                <w:szCs w:val="22"/>
              </w:rPr>
            </w:pPr>
            <w:r>
              <w:rPr>
                <w:b/>
                <w:sz w:val="22"/>
                <w:szCs w:val="22"/>
              </w:rPr>
              <w:t>ENCOVI 2006</w:t>
            </w:r>
          </w:p>
        </w:tc>
        <w:tc>
          <w:tcPr>
            <w:tcW w:w="151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7D901A95" w14:textId="77777777" w:rsidR="0049134E" w:rsidRDefault="0049134E" w:rsidP="00FF27C9">
            <w:pPr>
              <w:spacing w:after="0"/>
              <w:jc w:val="center"/>
              <w:rPr>
                <w:b/>
                <w:sz w:val="22"/>
                <w:szCs w:val="22"/>
              </w:rPr>
            </w:pPr>
            <w:r>
              <w:rPr>
                <w:b/>
                <w:sz w:val="22"/>
                <w:szCs w:val="22"/>
              </w:rPr>
              <w:t>ENCOVI 2011</w:t>
            </w:r>
          </w:p>
        </w:tc>
        <w:tc>
          <w:tcPr>
            <w:tcW w:w="151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1C58B7CC" w14:textId="77777777" w:rsidR="0049134E" w:rsidRDefault="0049134E" w:rsidP="00FF27C9">
            <w:pPr>
              <w:spacing w:after="0"/>
              <w:jc w:val="center"/>
              <w:rPr>
                <w:b/>
                <w:sz w:val="22"/>
                <w:szCs w:val="22"/>
              </w:rPr>
            </w:pPr>
            <w:r>
              <w:rPr>
                <w:b/>
                <w:sz w:val="22"/>
                <w:szCs w:val="22"/>
              </w:rPr>
              <w:t>ENCOVI 2014</w:t>
            </w:r>
          </w:p>
        </w:tc>
        <w:tc>
          <w:tcPr>
            <w:tcW w:w="1350"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128FD5B8" w14:textId="77777777" w:rsidR="0049134E" w:rsidRDefault="0049134E" w:rsidP="00FF27C9">
            <w:pPr>
              <w:spacing w:after="0"/>
              <w:jc w:val="center"/>
              <w:rPr>
                <w:b/>
                <w:sz w:val="22"/>
                <w:szCs w:val="22"/>
              </w:rPr>
            </w:pPr>
            <w:r>
              <w:rPr>
                <w:b/>
                <w:sz w:val="22"/>
                <w:szCs w:val="22"/>
              </w:rPr>
              <w:t>Censo 2018</w:t>
            </w:r>
          </w:p>
        </w:tc>
      </w:tr>
      <w:tr w:rsidR="0049134E" w14:paraId="596C95E6" w14:textId="77777777" w:rsidTr="00FF27C9">
        <w:trPr>
          <w:trHeight w:val="312"/>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5C25D1" w14:textId="77777777" w:rsidR="0049134E" w:rsidRDefault="0049134E" w:rsidP="00FF27C9">
            <w:pPr>
              <w:spacing w:after="0"/>
              <w:jc w:val="center"/>
              <w:rPr>
                <w:sz w:val="22"/>
                <w:szCs w:val="22"/>
              </w:rPr>
            </w:pPr>
            <w:r>
              <w:rPr>
                <w:sz w:val="22"/>
                <w:szCs w:val="22"/>
              </w:rPr>
              <w:t>Área urbana</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672387B5" w14:textId="77777777" w:rsidR="0049134E" w:rsidRDefault="0049134E" w:rsidP="00FF27C9">
            <w:pPr>
              <w:spacing w:after="0"/>
              <w:jc w:val="center"/>
              <w:rPr>
                <w:sz w:val="22"/>
                <w:szCs w:val="22"/>
              </w:rPr>
            </w:pPr>
            <w:r>
              <w:rPr>
                <w:sz w:val="22"/>
                <w:szCs w:val="22"/>
              </w:rPr>
              <w:t>90.9%</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591A2137" w14:textId="77777777" w:rsidR="0049134E" w:rsidRDefault="0049134E" w:rsidP="00FF27C9">
            <w:pPr>
              <w:spacing w:after="0"/>
              <w:jc w:val="center"/>
              <w:rPr>
                <w:sz w:val="22"/>
                <w:szCs w:val="22"/>
              </w:rPr>
            </w:pPr>
            <w:r>
              <w:rPr>
                <w:sz w:val="22"/>
                <w:szCs w:val="22"/>
              </w:rPr>
              <w:t>90.6%</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5A791B7D" w14:textId="77777777" w:rsidR="0049134E" w:rsidRDefault="0049134E" w:rsidP="00FF27C9">
            <w:pPr>
              <w:spacing w:after="0"/>
              <w:jc w:val="center"/>
              <w:rPr>
                <w:sz w:val="22"/>
                <w:szCs w:val="22"/>
              </w:rPr>
            </w:pPr>
            <w:r>
              <w:rPr>
                <w:sz w:val="22"/>
                <w:szCs w:val="22"/>
              </w:rPr>
              <w:t>90.8%</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73206273" w14:textId="77777777" w:rsidR="0049134E" w:rsidRDefault="0049134E" w:rsidP="00FF27C9">
            <w:pPr>
              <w:spacing w:after="0"/>
              <w:jc w:val="center"/>
              <w:rPr>
                <w:sz w:val="22"/>
                <w:szCs w:val="22"/>
              </w:rPr>
            </w:pPr>
            <w:r>
              <w:rPr>
                <w:sz w:val="22"/>
                <w:szCs w:val="22"/>
              </w:rPr>
              <w:t>89.0%</w:t>
            </w:r>
          </w:p>
        </w:tc>
        <w:tc>
          <w:tcPr>
            <w:tcW w:w="1350" w:type="dxa"/>
            <w:tcBorders>
              <w:top w:val="nil"/>
              <w:left w:val="nil"/>
              <w:bottom w:val="single" w:sz="8" w:space="0" w:color="000000"/>
              <w:right w:val="single" w:sz="8" w:space="0" w:color="000000"/>
            </w:tcBorders>
            <w:tcMar>
              <w:top w:w="100" w:type="dxa"/>
              <w:left w:w="100" w:type="dxa"/>
              <w:bottom w:w="100" w:type="dxa"/>
              <w:right w:w="100" w:type="dxa"/>
            </w:tcMar>
          </w:tcPr>
          <w:p w14:paraId="3C6DC007" w14:textId="77777777" w:rsidR="0049134E" w:rsidRDefault="0049134E" w:rsidP="00FF27C9">
            <w:pPr>
              <w:spacing w:after="0"/>
              <w:jc w:val="center"/>
              <w:rPr>
                <w:sz w:val="22"/>
                <w:szCs w:val="22"/>
              </w:rPr>
            </w:pPr>
            <w:r>
              <w:rPr>
                <w:sz w:val="22"/>
                <w:szCs w:val="22"/>
              </w:rPr>
              <w:t>86.4%</w:t>
            </w:r>
          </w:p>
        </w:tc>
      </w:tr>
      <w:tr w:rsidR="0049134E" w14:paraId="18B9765D" w14:textId="77777777" w:rsidTr="00FF27C9">
        <w:trPr>
          <w:trHeight w:val="263"/>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BF6BBA" w14:textId="77777777" w:rsidR="0049134E" w:rsidRDefault="0049134E" w:rsidP="00FF27C9">
            <w:pPr>
              <w:spacing w:after="0"/>
              <w:jc w:val="center"/>
              <w:rPr>
                <w:sz w:val="22"/>
                <w:szCs w:val="22"/>
              </w:rPr>
            </w:pPr>
            <w:r>
              <w:rPr>
                <w:sz w:val="22"/>
                <w:szCs w:val="22"/>
              </w:rPr>
              <w:t>Área rural</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0B9489E0" w14:textId="77777777" w:rsidR="0049134E" w:rsidRDefault="0049134E" w:rsidP="00FF27C9">
            <w:pPr>
              <w:spacing w:after="0"/>
              <w:jc w:val="center"/>
              <w:rPr>
                <w:sz w:val="22"/>
                <w:szCs w:val="22"/>
              </w:rPr>
            </w:pPr>
            <w:r>
              <w:rPr>
                <w:sz w:val="22"/>
                <w:szCs w:val="22"/>
              </w:rPr>
              <w:t>58.4%</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5C7A1EE7" w14:textId="77777777" w:rsidR="0049134E" w:rsidRDefault="0049134E" w:rsidP="00FF27C9">
            <w:pPr>
              <w:spacing w:after="0"/>
              <w:jc w:val="center"/>
              <w:rPr>
                <w:sz w:val="22"/>
                <w:szCs w:val="22"/>
              </w:rPr>
            </w:pPr>
            <w:r>
              <w:rPr>
                <w:sz w:val="22"/>
                <w:szCs w:val="22"/>
              </w:rPr>
              <w:t>64.0%</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54007D87" w14:textId="77777777" w:rsidR="0049134E" w:rsidRDefault="0049134E" w:rsidP="00FF27C9">
            <w:pPr>
              <w:spacing w:after="0"/>
              <w:jc w:val="center"/>
              <w:rPr>
                <w:sz w:val="22"/>
                <w:szCs w:val="22"/>
              </w:rPr>
            </w:pPr>
            <w:r>
              <w:rPr>
                <w:sz w:val="22"/>
                <w:szCs w:val="22"/>
              </w:rPr>
              <w:t>59.4%</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31DC7651" w14:textId="77777777" w:rsidR="0049134E" w:rsidRDefault="0049134E" w:rsidP="00FF27C9">
            <w:pPr>
              <w:spacing w:after="0"/>
              <w:jc w:val="center"/>
              <w:rPr>
                <w:sz w:val="22"/>
                <w:szCs w:val="22"/>
              </w:rPr>
            </w:pPr>
            <w:r>
              <w:rPr>
                <w:sz w:val="22"/>
                <w:szCs w:val="22"/>
              </w:rPr>
              <w:t>63.9%</w:t>
            </w:r>
          </w:p>
        </w:tc>
        <w:tc>
          <w:tcPr>
            <w:tcW w:w="1350" w:type="dxa"/>
            <w:tcBorders>
              <w:top w:val="nil"/>
              <w:left w:val="nil"/>
              <w:bottom w:val="single" w:sz="8" w:space="0" w:color="000000"/>
              <w:right w:val="single" w:sz="8" w:space="0" w:color="000000"/>
            </w:tcBorders>
            <w:tcMar>
              <w:top w:w="100" w:type="dxa"/>
              <w:left w:w="100" w:type="dxa"/>
              <w:bottom w:w="100" w:type="dxa"/>
              <w:right w:w="100" w:type="dxa"/>
            </w:tcMar>
          </w:tcPr>
          <w:p w14:paraId="71B3C5D5" w14:textId="77777777" w:rsidR="0049134E" w:rsidRDefault="0049134E" w:rsidP="00FF27C9">
            <w:pPr>
              <w:spacing w:after="0"/>
              <w:jc w:val="center"/>
              <w:rPr>
                <w:sz w:val="22"/>
                <w:szCs w:val="22"/>
              </w:rPr>
            </w:pPr>
            <w:r>
              <w:rPr>
                <w:sz w:val="22"/>
                <w:szCs w:val="22"/>
              </w:rPr>
              <w:t>63.1%</w:t>
            </w:r>
          </w:p>
        </w:tc>
      </w:tr>
      <w:tr w:rsidR="0049134E" w14:paraId="70045003" w14:textId="77777777" w:rsidTr="00FF27C9">
        <w:trPr>
          <w:trHeight w:val="389"/>
        </w:trPr>
        <w:tc>
          <w:tcPr>
            <w:tcW w:w="13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DFE9C8A" w14:textId="77777777" w:rsidR="0049134E" w:rsidRDefault="0049134E" w:rsidP="00FF27C9">
            <w:pPr>
              <w:spacing w:after="0"/>
              <w:jc w:val="center"/>
              <w:rPr>
                <w:b/>
                <w:sz w:val="22"/>
                <w:szCs w:val="22"/>
              </w:rPr>
            </w:pPr>
            <w:r>
              <w:rPr>
                <w:b/>
                <w:sz w:val="22"/>
                <w:szCs w:val="22"/>
              </w:rPr>
              <w:t>Global</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4BC809F0" w14:textId="77777777" w:rsidR="0049134E" w:rsidRDefault="0049134E" w:rsidP="00FF27C9">
            <w:pPr>
              <w:spacing w:after="0"/>
              <w:jc w:val="center"/>
              <w:rPr>
                <w:b/>
                <w:sz w:val="22"/>
                <w:szCs w:val="22"/>
              </w:rPr>
            </w:pPr>
            <w:r>
              <w:rPr>
                <w:b/>
                <w:sz w:val="22"/>
                <w:szCs w:val="22"/>
              </w:rPr>
              <w:t>71.0%</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543211AE" w14:textId="77777777" w:rsidR="0049134E" w:rsidRDefault="0049134E" w:rsidP="00FF27C9">
            <w:pPr>
              <w:spacing w:after="0"/>
              <w:jc w:val="center"/>
              <w:rPr>
                <w:b/>
                <w:sz w:val="22"/>
                <w:szCs w:val="22"/>
              </w:rPr>
            </w:pPr>
            <w:r>
              <w:rPr>
                <w:b/>
                <w:sz w:val="22"/>
                <w:szCs w:val="22"/>
              </w:rPr>
              <w:t>76.8%</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1FDD23B8" w14:textId="77777777" w:rsidR="0049134E" w:rsidRDefault="0049134E" w:rsidP="00FF27C9">
            <w:pPr>
              <w:spacing w:after="0"/>
              <w:jc w:val="center"/>
              <w:rPr>
                <w:b/>
                <w:sz w:val="22"/>
                <w:szCs w:val="22"/>
              </w:rPr>
            </w:pPr>
            <w:r>
              <w:rPr>
                <w:b/>
                <w:sz w:val="22"/>
                <w:szCs w:val="22"/>
              </w:rPr>
              <w:t>74.6%</w:t>
            </w:r>
          </w:p>
        </w:tc>
        <w:tc>
          <w:tcPr>
            <w:tcW w:w="1515" w:type="dxa"/>
            <w:tcBorders>
              <w:top w:val="nil"/>
              <w:left w:val="nil"/>
              <w:bottom w:val="single" w:sz="8" w:space="0" w:color="000000"/>
              <w:right w:val="single" w:sz="8" w:space="0" w:color="000000"/>
            </w:tcBorders>
            <w:tcMar>
              <w:top w:w="100" w:type="dxa"/>
              <w:left w:w="100" w:type="dxa"/>
              <w:bottom w:w="100" w:type="dxa"/>
              <w:right w:w="100" w:type="dxa"/>
            </w:tcMar>
          </w:tcPr>
          <w:p w14:paraId="01B005B7" w14:textId="77777777" w:rsidR="0049134E" w:rsidRDefault="0049134E" w:rsidP="00FF27C9">
            <w:pPr>
              <w:spacing w:after="0"/>
              <w:jc w:val="center"/>
              <w:rPr>
                <w:b/>
                <w:sz w:val="22"/>
                <w:szCs w:val="22"/>
              </w:rPr>
            </w:pPr>
            <w:r>
              <w:rPr>
                <w:b/>
                <w:sz w:val="22"/>
                <w:szCs w:val="22"/>
              </w:rPr>
              <w:t>76.3%</w:t>
            </w:r>
          </w:p>
        </w:tc>
        <w:tc>
          <w:tcPr>
            <w:tcW w:w="1350" w:type="dxa"/>
            <w:tcBorders>
              <w:top w:val="nil"/>
              <w:left w:val="nil"/>
              <w:bottom w:val="single" w:sz="8" w:space="0" w:color="000000"/>
              <w:right w:val="single" w:sz="8" w:space="0" w:color="000000"/>
            </w:tcBorders>
            <w:tcMar>
              <w:top w:w="100" w:type="dxa"/>
              <w:left w:w="100" w:type="dxa"/>
              <w:bottom w:w="100" w:type="dxa"/>
              <w:right w:w="100" w:type="dxa"/>
            </w:tcMar>
          </w:tcPr>
          <w:p w14:paraId="58D7F5FA" w14:textId="77777777" w:rsidR="0049134E" w:rsidRDefault="0049134E" w:rsidP="00FF27C9">
            <w:pPr>
              <w:spacing w:after="0"/>
              <w:jc w:val="center"/>
              <w:rPr>
                <w:b/>
                <w:sz w:val="22"/>
                <w:szCs w:val="22"/>
              </w:rPr>
            </w:pPr>
            <w:r>
              <w:rPr>
                <w:b/>
                <w:sz w:val="22"/>
                <w:szCs w:val="22"/>
              </w:rPr>
              <w:t>75.6%</w:t>
            </w:r>
          </w:p>
        </w:tc>
      </w:tr>
    </w:tbl>
    <w:p w14:paraId="707E6BE9" w14:textId="77777777" w:rsidR="0049134E" w:rsidRDefault="0049134E" w:rsidP="0049134E">
      <w:pPr>
        <w:spacing w:after="0"/>
        <w:rPr>
          <w:i/>
          <w:sz w:val="22"/>
          <w:szCs w:val="22"/>
        </w:rPr>
      </w:pPr>
      <w:r>
        <w:rPr>
          <w:i/>
          <w:sz w:val="22"/>
          <w:szCs w:val="22"/>
        </w:rPr>
        <w:t>Elaboración propia, datos de encuestas nacionales de condiciones de vida y censos de población</w:t>
      </w:r>
    </w:p>
    <w:p w14:paraId="3CFECE58" w14:textId="77777777" w:rsidR="0049134E" w:rsidRDefault="0049134E" w:rsidP="0049134E">
      <w:pPr>
        <w:spacing w:after="0"/>
        <w:rPr>
          <w:i/>
          <w:sz w:val="22"/>
          <w:szCs w:val="22"/>
        </w:rPr>
      </w:pPr>
      <w:r>
        <w:rPr>
          <w:i/>
          <w:sz w:val="22"/>
          <w:szCs w:val="22"/>
        </w:rPr>
        <w:t>y habitación</w:t>
      </w:r>
    </w:p>
    <w:p w14:paraId="163ED3D2" w14:textId="77777777" w:rsidR="0049134E" w:rsidRDefault="0049134E" w:rsidP="0049134E">
      <w:pPr>
        <w:spacing w:after="0"/>
        <w:rPr>
          <w:i/>
          <w:sz w:val="22"/>
          <w:szCs w:val="22"/>
        </w:rPr>
      </w:pPr>
    </w:p>
    <w:p w14:paraId="0350EE91" w14:textId="77777777" w:rsidR="0049134E" w:rsidRDefault="0049134E" w:rsidP="0049134E">
      <w:pPr>
        <w:spacing w:after="0"/>
        <w:ind w:hanging="360"/>
        <w:rPr>
          <w:color w:val="0563C1"/>
          <w:sz w:val="22"/>
          <w:szCs w:val="22"/>
          <w:vertAlign w:val="superscript"/>
        </w:rPr>
      </w:pPr>
      <w:r>
        <w:rPr>
          <w:sz w:val="32"/>
          <w:szCs w:val="32"/>
          <w:vertAlign w:val="superscript"/>
        </w:rPr>
        <w:t>11.</w:t>
      </w:r>
      <w:r>
        <w:rPr>
          <w:color w:val="0563C1"/>
          <w:vertAlign w:val="superscript"/>
        </w:rPr>
        <w:t xml:space="preserve"> </w:t>
      </w:r>
      <w:r>
        <w:rPr>
          <w:sz w:val="22"/>
          <w:szCs w:val="22"/>
        </w:rPr>
        <w:t>Estos datos revelan la brecha de acceso al agua en las áreas urbana y rural del país. Mientras 86.4% de la población del área urbana tiene acceso a fuentes mejoradas de abastecimiento de agua potable en el año 2018, en área rural sólo son 63.1%. Desde el año 2000, la brecha sólo parcialmente se ha reducido. Entonces el 90.9% del área urbana tenía acceso a fuentes mejoradas de abastecimiento de agua potable, en área rural sólo 58.4%.</w:t>
      </w:r>
      <w:r>
        <w:rPr>
          <w:color w:val="0563C1"/>
          <w:sz w:val="22"/>
          <w:szCs w:val="22"/>
          <w:vertAlign w:val="superscript"/>
        </w:rPr>
        <w:t>[10]</w:t>
      </w:r>
    </w:p>
    <w:p w14:paraId="52DCEAE5" w14:textId="77777777" w:rsidR="0049134E" w:rsidRDefault="0049134E" w:rsidP="0049134E">
      <w:pPr>
        <w:spacing w:after="0"/>
        <w:ind w:hanging="360"/>
        <w:rPr>
          <w:sz w:val="22"/>
          <w:szCs w:val="22"/>
        </w:rPr>
      </w:pPr>
      <w:r>
        <w:rPr>
          <w:sz w:val="22"/>
          <w:szCs w:val="22"/>
        </w:rPr>
        <w:t>12.</w:t>
      </w:r>
      <w:r>
        <w:rPr>
          <w:sz w:val="14"/>
          <w:szCs w:val="14"/>
        </w:rPr>
        <w:t xml:space="preserve">  </w:t>
      </w:r>
      <w:r>
        <w:rPr>
          <w:sz w:val="22"/>
          <w:szCs w:val="22"/>
        </w:rPr>
        <w:t xml:space="preserve">A partir del análisis del acceso al agua para la población campesina indígena, se tomó de referencia los municipios con mayor población indígena. Se concluye inequidad en el acceso al agua: en el 20% de estos </w:t>
      </w:r>
      <w:r>
        <w:rPr>
          <w:sz w:val="22"/>
          <w:szCs w:val="22"/>
        </w:rPr>
        <w:lastRenderedPageBreak/>
        <w:t>municipios sólo el 74.1% de los hogares tienen acceso al agua mejorada, el 25.9% carece de acceso al agua mejorada</w:t>
      </w:r>
      <w:r>
        <w:rPr>
          <w:color w:val="0563C1"/>
          <w:vertAlign w:val="superscript"/>
        </w:rPr>
        <w:t>[11]</w:t>
      </w:r>
      <w:r>
        <w:rPr>
          <w:sz w:val="22"/>
          <w:szCs w:val="22"/>
        </w:rPr>
        <w:t>.</w:t>
      </w:r>
    </w:p>
    <w:p w14:paraId="002C3235" w14:textId="77777777" w:rsidR="0049134E" w:rsidRDefault="0049134E" w:rsidP="0049134E">
      <w:pPr>
        <w:spacing w:after="0"/>
        <w:ind w:hanging="360"/>
        <w:rPr>
          <w:sz w:val="22"/>
          <w:szCs w:val="22"/>
        </w:rPr>
      </w:pPr>
      <w:r>
        <w:rPr>
          <w:sz w:val="22"/>
          <w:szCs w:val="22"/>
        </w:rPr>
        <w:t>13.</w:t>
      </w:r>
      <w:r>
        <w:rPr>
          <w:sz w:val="14"/>
          <w:szCs w:val="14"/>
        </w:rPr>
        <w:t xml:space="preserve">  </w:t>
      </w:r>
      <w:r>
        <w:rPr>
          <w:sz w:val="22"/>
          <w:szCs w:val="22"/>
        </w:rPr>
        <w:t>Es importante tener presente, que sólo dos de cada tres hogares con acceso al agua lo reciben a diario, mientras que el 17.1% tiene acceso cada dos días o más. Similares limitaciones se observan en la disponibilidad durante el día: sólo 57.9% tuvo acceso las 24 horas, mientras que el 11.8% menos de 4 horas al día</w:t>
      </w:r>
      <w:r>
        <w:rPr>
          <w:color w:val="0563C1"/>
          <w:vertAlign w:val="superscript"/>
        </w:rPr>
        <w:t xml:space="preserve"> [12]</w:t>
      </w:r>
      <w:r>
        <w:rPr>
          <w:sz w:val="22"/>
          <w:szCs w:val="22"/>
        </w:rPr>
        <w:t>.</w:t>
      </w:r>
    </w:p>
    <w:p w14:paraId="3A8ECBA9" w14:textId="77777777" w:rsidR="0049134E" w:rsidRDefault="0049134E" w:rsidP="0049134E">
      <w:pPr>
        <w:spacing w:after="0"/>
        <w:ind w:hanging="360"/>
        <w:rPr>
          <w:sz w:val="22"/>
          <w:szCs w:val="22"/>
        </w:rPr>
      </w:pPr>
    </w:p>
    <w:p w14:paraId="1327D2EA" w14:textId="77777777" w:rsidR="0049134E" w:rsidRDefault="0049134E" w:rsidP="0049134E">
      <w:pPr>
        <w:spacing w:after="0"/>
        <w:rPr>
          <w:b/>
          <w:sz w:val="22"/>
          <w:szCs w:val="22"/>
        </w:rPr>
      </w:pPr>
      <w:r>
        <w:rPr>
          <w:b/>
          <w:sz w:val="22"/>
          <w:szCs w:val="22"/>
        </w:rPr>
        <w:t>B.3 Calidad del agua para el consumo humano</w:t>
      </w:r>
    </w:p>
    <w:p w14:paraId="79D30590" w14:textId="77777777" w:rsidR="0049134E" w:rsidRDefault="0049134E" w:rsidP="0049134E">
      <w:pPr>
        <w:spacing w:after="0"/>
        <w:rPr>
          <w:b/>
          <w:sz w:val="22"/>
          <w:szCs w:val="22"/>
        </w:rPr>
      </w:pPr>
    </w:p>
    <w:p w14:paraId="2F896C1C" w14:textId="77777777" w:rsidR="0049134E" w:rsidRDefault="0049134E" w:rsidP="0049134E">
      <w:pPr>
        <w:spacing w:after="0"/>
        <w:ind w:hanging="360"/>
        <w:rPr>
          <w:sz w:val="10"/>
          <w:szCs w:val="10"/>
        </w:rPr>
      </w:pPr>
      <w:r>
        <w:rPr>
          <w:sz w:val="22"/>
          <w:szCs w:val="22"/>
        </w:rPr>
        <w:t>14.</w:t>
      </w:r>
      <w:r>
        <w:rPr>
          <w:sz w:val="14"/>
          <w:szCs w:val="14"/>
        </w:rPr>
        <w:t xml:space="preserve">  </w:t>
      </w:r>
      <w:r>
        <w:rPr>
          <w:sz w:val="22"/>
          <w:szCs w:val="22"/>
        </w:rPr>
        <w:t>Entre el derecho humano al agua y el derecho a la salud existe una estrecha relación marcada en disposiciones constitucionales y el Código de Salud</w:t>
      </w:r>
      <w:r>
        <w:rPr>
          <w:color w:val="0563C1"/>
          <w:sz w:val="26"/>
          <w:szCs w:val="26"/>
          <w:vertAlign w:val="superscript"/>
        </w:rPr>
        <w:t>[13]</w:t>
      </w:r>
      <w:r>
        <w:rPr>
          <w:sz w:val="22"/>
          <w:szCs w:val="22"/>
        </w:rPr>
        <w:t xml:space="preserve"> y reafirmada en varias resoluciones de la Corte de Constitucionalidad (CC), al considerar que el Estado, para otorgar suficiente reconocimiento al derecho a la salud, debe implementar políticas o leyes que aseguren entre otras cosas el agua potable</w:t>
      </w:r>
      <w:r>
        <w:rPr>
          <w:color w:val="0563C1"/>
          <w:vertAlign w:val="superscript"/>
        </w:rPr>
        <w:t xml:space="preserve"> [14]</w:t>
      </w:r>
      <w:r>
        <w:rPr>
          <w:sz w:val="22"/>
          <w:szCs w:val="22"/>
        </w:rPr>
        <w:t>. La CC, además, ha resaltado la relación del agua con el derecho a la alimentación. El Estado debe adoptar medidas apropiadas que combatan la malnutrición de la niñez como suministrar agua potable, teniendo en cuenta los peligros y riesgos de contaminación del medio ambiente</w:t>
      </w:r>
      <w:r>
        <w:rPr>
          <w:color w:val="0563C1"/>
          <w:sz w:val="22"/>
          <w:szCs w:val="22"/>
          <w:vertAlign w:val="superscript"/>
        </w:rPr>
        <w:t xml:space="preserve"> [15]</w:t>
      </w:r>
      <w:r>
        <w:rPr>
          <w:sz w:val="10"/>
          <w:szCs w:val="10"/>
        </w:rPr>
        <w:t xml:space="preserve"> </w:t>
      </w:r>
      <w:r>
        <w:rPr>
          <w:color w:val="0563C1"/>
          <w:sz w:val="22"/>
          <w:szCs w:val="22"/>
          <w:vertAlign w:val="superscript"/>
        </w:rPr>
        <w:t>[16]</w:t>
      </w:r>
      <w:r>
        <w:rPr>
          <w:sz w:val="10"/>
          <w:szCs w:val="10"/>
        </w:rPr>
        <w:t>.</w:t>
      </w:r>
    </w:p>
    <w:p w14:paraId="46053F52" w14:textId="77777777" w:rsidR="0049134E" w:rsidRDefault="0049134E" w:rsidP="0049134E">
      <w:pPr>
        <w:spacing w:after="0"/>
        <w:ind w:hanging="360"/>
        <w:rPr>
          <w:sz w:val="10"/>
          <w:szCs w:val="10"/>
        </w:rPr>
      </w:pPr>
      <w:r>
        <w:rPr>
          <w:sz w:val="22"/>
          <w:szCs w:val="22"/>
        </w:rPr>
        <w:t>15.</w:t>
      </w:r>
      <w:r>
        <w:rPr>
          <w:sz w:val="14"/>
          <w:szCs w:val="14"/>
        </w:rPr>
        <w:t xml:space="preserve">  </w:t>
      </w:r>
      <w:r>
        <w:rPr>
          <w:sz w:val="22"/>
          <w:szCs w:val="22"/>
        </w:rPr>
        <w:t>En el plano internacional, la CIDH ha resuelto que las afectaciones especiales del derecho a la salud, a la alimentación y el acceso al agua limpia impactan de manera aguda en el derecho a una existencia digna y en las condiciones básicas para el ejercicio de otros derechos. El derecho de los pueblos indígenas a sus tierras ancestrales y al uso y disfrute de los recursos naturales están vinculados con la obtención de alimento y el acceso a agua</w:t>
      </w:r>
      <w:r>
        <w:rPr>
          <w:color w:val="0563C1"/>
          <w:sz w:val="22"/>
          <w:szCs w:val="22"/>
          <w:vertAlign w:val="superscript"/>
        </w:rPr>
        <w:t xml:space="preserve"> [17]</w:t>
      </w:r>
      <w:r>
        <w:rPr>
          <w:sz w:val="10"/>
          <w:szCs w:val="10"/>
        </w:rPr>
        <w:t>.</w:t>
      </w:r>
    </w:p>
    <w:p w14:paraId="525AFBC3" w14:textId="77777777" w:rsidR="0049134E" w:rsidRDefault="0049134E" w:rsidP="0049134E">
      <w:pPr>
        <w:spacing w:after="0"/>
        <w:ind w:hanging="360"/>
        <w:rPr>
          <w:sz w:val="22"/>
          <w:szCs w:val="22"/>
        </w:rPr>
      </w:pPr>
      <w:r>
        <w:rPr>
          <w:sz w:val="22"/>
          <w:szCs w:val="22"/>
        </w:rPr>
        <w:t>16.</w:t>
      </w:r>
      <w:r>
        <w:rPr>
          <w:sz w:val="14"/>
          <w:szCs w:val="14"/>
        </w:rPr>
        <w:t xml:space="preserve">  </w:t>
      </w:r>
      <w:r>
        <w:rPr>
          <w:sz w:val="22"/>
          <w:szCs w:val="22"/>
        </w:rPr>
        <w:t>La calidad del agua, las condiciones físico-químicas, son aspectos relevantes. Se estima que solo el 15 % del agua abastecida por los sistemas de red es desinfectada previamente de acuerdo con los parámetros mínimos que exigen las normas y que solo el 25% de los municipios cuentan con algún sistema de desinfección, desconociéndose el estado de funcionamiento de los mismos</w:t>
      </w:r>
      <w:r>
        <w:rPr>
          <w:color w:val="00B0F0"/>
          <w:vertAlign w:val="superscript"/>
        </w:rPr>
        <w:t xml:space="preserve"> [18]</w:t>
      </w:r>
      <w:r>
        <w:rPr>
          <w:sz w:val="22"/>
          <w:szCs w:val="22"/>
        </w:rPr>
        <w:t>. Entre los años 2012 y 2021 el Ministerio de Salud Pública y Asistencia Social de Guatemala (MSPAS) tomó más de 1.4 millones muestras de cloro residual a sistemas de agua y pozos mecánicos. Sólo el 12.4% mostró niveles adecuados de cloro residual</w:t>
      </w:r>
      <w:r>
        <w:rPr>
          <w:color w:val="00B0F0"/>
          <w:vertAlign w:val="superscript"/>
        </w:rPr>
        <w:t xml:space="preserve"> [19]</w:t>
      </w:r>
      <w:r>
        <w:rPr>
          <w:sz w:val="22"/>
          <w:szCs w:val="22"/>
        </w:rPr>
        <w:t>. En los últimos 5 años se tomaron en promedio 188 mil muestras anuales, muy insuficiente (5.7%), en comparación al total de 3.3 millones de hogares.</w:t>
      </w:r>
    </w:p>
    <w:p w14:paraId="077952EB" w14:textId="77777777" w:rsidR="0049134E" w:rsidRPr="00EE6D74" w:rsidRDefault="0049134E" w:rsidP="0049134E">
      <w:pPr>
        <w:spacing w:after="0"/>
        <w:ind w:hanging="360"/>
        <w:rPr>
          <w:sz w:val="22"/>
          <w:szCs w:val="22"/>
        </w:rPr>
      </w:pPr>
      <w:r>
        <w:rPr>
          <w:sz w:val="22"/>
          <w:szCs w:val="22"/>
        </w:rPr>
        <w:t>17. El MSPAS, a través del Sistema Integral de Atención en Salud (SIAS), realiza el control de calidad de agua suministrada, sin embargo, la escasez de recursos y la débil capacidad de sanción han llevado a que el sistema, carezca de efectividad. Entre 2012 y 2021 el MSPAS vigiló casi 281 mil sistemas de abastecimiento de agua y pozos mecánicos, estando 29.3% con contaminación bacteriológica</w:t>
      </w:r>
      <w:r>
        <w:rPr>
          <w:color w:val="00B0F0"/>
          <w:vertAlign w:val="superscript"/>
        </w:rPr>
        <w:t>[20]</w:t>
      </w:r>
      <w:r>
        <w:rPr>
          <w:sz w:val="22"/>
          <w:szCs w:val="22"/>
        </w:rPr>
        <w:t>.</w:t>
      </w:r>
    </w:p>
    <w:p w14:paraId="546EA423" w14:textId="77777777" w:rsidR="0049134E" w:rsidRDefault="0049134E" w:rsidP="0049134E">
      <w:pPr>
        <w:spacing w:after="0"/>
        <w:ind w:hanging="360"/>
        <w:rPr>
          <w:color w:val="0563C1"/>
          <w:vertAlign w:val="superscript"/>
        </w:rPr>
      </w:pPr>
    </w:p>
    <w:p w14:paraId="339BB758" w14:textId="77777777" w:rsidR="0049134E" w:rsidRPr="00DA0D32" w:rsidRDefault="0049134E" w:rsidP="0049134E">
      <w:pPr>
        <w:pStyle w:val="ListParagraph"/>
        <w:numPr>
          <w:ilvl w:val="0"/>
          <w:numId w:val="2"/>
        </w:numPr>
        <w:spacing w:after="0"/>
        <w:rPr>
          <w:b/>
          <w:sz w:val="22"/>
          <w:szCs w:val="22"/>
        </w:rPr>
      </w:pPr>
      <w:r w:rsidRPr="00DA0D32">
        <w:rPr>
          <w:b/>
          <w:sz w:val="22"/>
          <w:szCs w:val="22"/>
        </w:rPr>
        <w:t>CONTAMINACIÓN DEL AGUA</w:t>
      </w:r>
    </w:p>
    <w:p w14:paraId="77D582A2" w14:textId="77777777" w:rsidR="0049134E" w:rsidRPr="00DA0D32" w:rsidRDefault="0049134E" w:rsidP="0049134E">
      <w:pPr>
        <w:pStyle w:val="ListParagraph"/>
        <w:spacing w:after="0"/>
        <w:rPr>
          <w:b/>
          <w:sz w:val="22"/>
          <w:szCs w:val="22"/>
        </w:rPr>
      </w:pPr>
    </w:p>
    <w:p w14:paraId="55016E9F" w14:textId="77777777" w:rsidR="0049134E" w:rsidRDefault="0049134E" w:rsidP="0049134E">
      <w:pPr>
        <w:spacing w:after="0"/>
        <w:rPr>
          <w:b/>
          <w:sz w:val="22"/>
          <w:szCs w:val="22"/>
        </w:rPr>
      </w:pPr>
      <w:r>
        <w:rPr>
          <w:b/>
          <w:sz w:val="22"/>
          <w:szCs w:val="22"/>
        </w:rPr>
        <w:t>C.1 Situación de las principales fuentes de agua</w:t>
      </w:r>
    </w:p>
    <w:p w14:paraId="32FDA7A6" w14:textId="77777777" w:rsidR="0049134E" w:rsidRDefault="0049134E" w:rsidP="0049134E">
      <w:pPr>
        <w:spacing w:after="0"/>
        <w:rPr>
          <w:b/>
          <w:sz w:val="22"/>
          <w:szCs w:val="22"/>
        </w:rPr>
      </w:pPr>
    </w:p>
    <w:p w14:paraId="481555A2" w14:textId="77777777" w:rsidR="0049134E" w:rsidRDefault="0049134E" w:rsidP="0049134E">
      <w:pPr>
        <w:shd w:val="clear" w:color="auto" w:fill="FFFFFF"/>
        <w:spacing w:after="0"/>
        <w:ind w:hanging="360"/>
        <w:rPr>
          <w:sz w:val="22"/>
          <w:szCs w:val="22"/>
        </w:rPr>
      </w:pPr>
      <w:r>
        <w:rPr>
          <w:sz w:val="22"/>
          <w:szCs w:val="22"/>
        </w:rPr>
        <w:t>18.</w:t>
      </w:r>
      <w:r>
        <w:rPr>
          <w:sz w:val="14"/>
          <w:szCs w:val="14"/>
        </w:rPr>
        <w:t xml:space="preserve">  </w:t>
      </w:r>
      <w:r>
        <w:rPr>
          <w:sz w:val="22"/>
          <w:szCs w:val="22"/>
        </w:rPr>
        <w:t xml:space="preserve">El ministro de Ambiente y Recursos Naturales, Sydney Samuels, (2016-2020) aseguró que el 95% del agua se desperdicia en Guatemala debido a la contaminación ambiental. Los altos niveles de contaminación, incluso con metales pesados, hacen que el 95 por ciento del agua que se produce en Guatemala sea inutilizable. La mala calidad del agua impacta en la vida de miles de personas que dependen del agua de los ríos, los cuales son afectados por la acumulación de basura, que hace que el vital líquido no sea apto ni para la recreación y mucho menos para el riego de cultivos o el consumo humano. De acuerdo con expertos, los efectos de la contaminación de los afluentes se reflejan en los altos índices de desnutrición y diarrea, principalmente en niños. El Ministerio de Salud registra que 143 niños murieron en 2016 por este mal. El problema se intensifica en sectores donde no llueve mucho; por ejemplo, en municipios de los 11 departamentos que forman el Corredor Seco, pues en esos lugares, pese a que corren algunos ríos, los pobladores no pueden aprovechar el agua debido a la contaminación, empeorando la seguridad alimentaria de las </w:t>
      </w:r>
      <w:bookmarkStart w:id="2" w:name="_Hlk112497259"/>
      <w:bookmarkStart w:id="3" w:name="_Hlk112495133"/>
      <w:r>
        <w:rPr>
          <w:sz w:val="22"/>
          <w:szCs w:val="22"/>
        </w:rPr>
        <w:t>familias</w:t>
      </w:r>
      <w:r>
        <w:rPr>
          <w:color w:val="00B0F0"/>
          <w:vertAlign w:val="superscript"/>
        </w:rPr>
        <w:t xml:space="preserve"> [21]</w:t>
      </w:r>
      <w:r>
        <w:rPr>
          <w:sz w:val="22"/>
          <w:szCs w:val="22"/>
        </w:rPr>
        <w:t>.</w:t>
      </w:r>
      <w:bookmarkEnd w:id="2"/>
    </w:p>
    <w:bookmarkEnd w:id="3"/>
    <w:p w14:paraId="758308E1" w14:textId="77777777" w:rsidR="0049134E" w:rsidRDefault="0049134E" w:rsidP="0049134E">
      <w:pPr>
        <w:shd w:val="clear" w:color="auto" w:fill="FFFFFF"/>
        <w:spacing w:after="0"/>
        <w:ind w:hanging="360"/>
        <w:rPr>
          <w:sz w:val="22"/>
          <w:szCs w:val="22"/>
        </w:rPr>
      </w:pPr>
      <w:r>
        <w:rPr>
          <w:sz w:val="22"/>
          <w:szCs w:val="22"/>
        </w:rPr>
        <w:t>19.</w:t>
      </w:r>
      <w:r>
        <w:rPr>
          <w:sz w:val="14"/>
          <w:szCs w:val="14"/>
        </w:rPr>
        <w:t xml:space="preserve">  </w:t>
      </w:r>
      <w:r>
        <w:rPr>
          <w:sz w:val="22"/>
          <w:szCs w:val="22"/>
        </w:rPr>
        <w:t>La forma de consumir el agua en Guatemala es riesgosa y en un futuro próximo podría faltar. Según el Centro de Estudio Urbanos y Rurales de la Universidad de San Carlos (CEUR)</w:t>
      </w:r>
      <w:r>
        <w:rPr>
          <w:color w:val="00B0F0"/>
          <w:vertAlign w:val="superscript"/>
        </w:rPr>
        <w:t>[22]</w:t>
      </w:r>
      <w:r>
        <w:rPr>
          <w:sz w:val="22"/>
          <w:szCs w:val="22"/>
        </w:rPr>
        <w:t xml:space="preserve">. En un estudio hidrogeológico que </w:t>
      </w:r>
      <w:r>
        <w:rPr>
          <w:sz w:val="22"/>
          <w:szCs w:val="22"/>
        </w:rPr>
        <w:lastRenderedPageBreak/>
        <w:t>se realizó en el país en 1979, la profundidad de los pozos estaba alrededor de los 300 pies, ahora la profundidad es de 1200 a 1500 pies, un indicador de la sobreexplotación de este recurso. En la ciudad Guatemala, el caso del agua superficial, parte del caudal de Pixcayá, que llega a la planta de tratamiento de EMPAGUA, y que proviene de Chimaltenango, en donde existe demasiada contaminación debido a que se vierten aguas negras y se usan tintes para actividades de maquila textil. Además, el mayor uso de bienes hídricos empleados en la agricultura, es agua residual ya no puede ser tratada para su reutilización por la cantidad de químicos que contiene y la problemática aumenta los costos de purificación. Actualmente las cuencas de las que se surte la Ciudad de Guatemala son amenazadas por una serie de problemas sociales, económicos y ambientales, principalmente por el desfogue de todas las aguas residuales de la actividad humana, económica e industrial</w:t>
      </w:r>
      <w:r>
        <w:rPr>
          <w:color w:val="00B0F0"/>
          <w:vertAlign w:val="superscript"/>
        </w:rPr>
        <w:t xml:space="preserve"> [23]</w:t>
      </w:r>
      <w:r>
        <w:rPr>
          <w:sz w:val="22"/>
          <w:szCs w:val="22"/>
        </w:rPr>
        <w:t>.</w:t>
      </w:r>
    </w:p>
    <w:p w14:paraId="3EF8A88F" w14:textId="77777777" w:rsidR="0049134E" w:rsidRPr="00EE6D74" w:rsidRDefault="0049134E" w:rsidP="0049134E">
      <w:pPr>
        <w:spacing w:after="0"/>
        <w:rPr>
          <w:b/>
          <w:sz w:val="22"/>
          <w:szCs w:val="22"/>
        </w:rPr>
      </w:pPr>
    </w:p>
    <w:p w14:paraId="64674380" w14:textId="77777777" w:rsidR="0049134E" w:rsidRDefault="0049134E" w:rsidP="0049134E">
      <w:pPr>
        <w:spacing w:after="0"/>
        <w:rPr>
          <w:b/>
          <w:sz w:val="22"/>
          <w:szCs w:val="22"/>
        </w:rPr>
      </w:pPr>
      <w:r>
        <w:rPr>
          <w:b/>
          <w:sz w:val="22"/>
          <w:szCs w:val="22"/>
        </w:rPr>
        <w:t>C.2</w:t>
      </w:r>
      <w:r w:rsidRPr="00EE6D74">
        <w:rPr>
          <w:b/>
          <w:sz w:val="22"/>
          <w:szCs w:val="22"/>
        </w:rPr>
        <w:t xml:space="preserve">  </w:t>
      </w:r>
      <w:r>
        <w:rPr>
          <w:b/>
          <w:sz w:val="22"/>
          <w:szCs w:val="22"/>
        </w:rPr>
        <w:t>Vertederos y tratamiento de desechos</w:t>
      </w:r>
    </w:p>
    <w:p w14:paraId="68955F43" w14:textId="77777777" w:rsidR="0049134E" w:rsidRDefault="0049134E" w:rsidP="0049134E">
      <w:pPr>
        <w:spacing w:after="0"/>
        <w:ind w:hanging="360"/>
        <w:rPr>
          <w:color w:val="00B0F0"/>
          <w:vertAlign w:val="superscript"/>
        </w:rPr>
      </w:pPr>
      <w:r>
        <w:rPr>
          <w:sz w:val="28"/>
          <w:szCs w:val="28"/>
          <w:vertAlign w:val="superscript"/>
        </w:rPr>
        <w:t>20</w:t>
      </w:r>
      <w:r>
        <w:rPr>
          <w:sz w:val="50"/>
          <w:szCs w:val="50"/>
          <w:vertAlign w:val="superscript"/>
        </w:rPr>
        <w:t>.</w:t>
      </w:r>
      <w:r>
        <w:rPr>
          <w:color w:val="0563C1"/>
          <w:vertAlign w:val="superscript"/>
        </w:rPr>
        <w:tab/>
      </w:r>
      <w:r>
        <w:rPr>
          <w:sz w:val="22"/>
          <w:szCs w:val="22"/>
        </w:rPr>
        <w:t>El manejo de desechos sólidos es otra problemática severa que afecta de manera directa a la contaminación del agua y el suelo. Distintos sectores sociales valoran la reciente aprobación del “Reglamento para la Gestión Integral de los Residuos y Desechos Sólidos Comunes” (Acuerdo Gubernativo 164-2021), aunque de manera contradictoria se realizó la derogación de disposiciones que prohíben el uso y distribución de bolsas, platos y vasos plásticos, entre otros (AG 189-2019). Actualmente, muchos municipios carecen de rellenos sanitarios, separación de desechos, plantas de tratamiento, entre otras medidas. La segunda ciudad más grande del país, Quetzaltenango, en los últimos años deposita sus desechos sólidos en un área protegida municipal, a pesar de frecuentes protestas de las comunidades indígenas aledañas al vertedero municipal</w:t>
      </w:r>
      <w:r>
        <w:rPr>
          <w:color w:val="0563C1"/>
          <w:vertAlign w:val="superscript"/>
        </w:rPr>
        <w:t xml:space="preserve"> [24]</w:t>
      </w:r>
      <w:r>
        <w:rPr>
          <w:sz w:val="22"/>
          <w:szCs w:val="22"/>
        </w:rPr>
        <w:t>. Por su parte el país vecino, Honduras se queja de toneladas de residuos plásticos que provienen del río Motagua de Guatemala y dañan las playas turísticas de la costa atlántica de ese país.</w:t>
      </w:r>
      <w:r>
        <w:rPr>
          <w:color w:val="00B0F0"/>
          <w:vertAlign w:val="superscript"/>
        </w:rPr>
        <w:t>[25]</w:t>
      </w:r>
    </w:p>
    <w:p w14:paraId="45747E68" w14:textId="77777777" w:rsidR="0049134E" w:rsidRDefault="0049134E" w:rsidP="0049134E">
      <w:pPr>
        <w:spacing w:after="0"/>
        <w:ind w:hanging="360"/>
        <w:rPr>
          <w:sz w:val="22"/>
          <w:szCs w:val="22"/>
        </w:rPr>
      </w:pPr>
      <w:r>
        <w:rPr>
          <w:sz w:val="22"/>
          <w:szCs w:val="22"/>
        </w:rPr>
        <w:t>21.</w:t>
      </w:r>
      <w:r>
        <w:rPr>
          <w:sz w:val="14"/>
          <w:szCs w:val="14"/>
        </w:rPr>
        <w:t xml:space="preserve">  </w:t>
      </w:r>
      <w:r>
        <w:rPr>
          <w:sz w:val="22"/>
          <w:szCs w:val="22"/>
        </w:rPr>
        <w:t>El manejo inadecuado de los desechos sólidos, no solo afecta de manera importante las Aguas subterráneas. Los datos estadísticos reflejan que el 60% de los hogares en el área urbana reciben los servicios de tren de aseo y solamente el 5% de los hogares rurales; únicamente el 35% de los desechos sólidos domiciliares son depositados en rellenos sanitarios</w:t>
      </w:r>
      <w:r>
        <w:rPr>
          <w:color w:val="00B0F0"/>
          <w:vertAlign w:val="superscript"/>
        </w:rPr>
        <w:t xml:space="preserve"> [26]</w:t>
      </w:r>
      <w:r>
        <w:rPr>
          <w:sz w:val="22"/>
          <w:szCs w:val="22"/>
        </w:rPr>
        <w:t>, el resto queda expuesto en el ambiente, lo que genera mayor contaminación y problemas de salud a la población.</w:t>
      </w:r>
    </w:p>
    <w:p w14:paraId="2122394B" w14:textId="77777777" w:rsidR="0049134E" w:rsidRDefault="0049134E" w:rsidP="0049134E">
      <w:pPr>
        <w:spacing w:after="0"/>
        <w:ind w:hanging="360"/>
        <w:rPr>
          <w:color w:val="0563C1"/>
          <w:vertAlign w:val="superscript"/>
        </w:rPr>
      </w:pPr>
      <w:r>
        <w:rPr>
          <w:sz w:val="30"/>
          <w:szCs w:val="30"/>
          <w:vertAlign w:val="superscript"/>
        </w:rPr>
        <w:t>22.</w:t>
      </w:r>
      <w:r>
        <w:rPr>
          <w:color w:val="0563C1"/>
          <w:vertAlign w:val="superscript"/>
        </w:rPr>
        <w:tab/>
      </w:r>
      <w:r>
        <w:rPr>
          <w:sz w:val="22"/>
          <w:szCs w:val="22"/>
        </w:rPr>
        <w:t xml:space="preserve">La contaminación de aguas es generalizada en el país. De las 334 municipalidades, menos del 10% cuentan con plantas de tratamiento. En total se encuentran registradas aproximadamente 49 plantas de tratamiento de </w:t>
      </w:r>
      <w:r w:rsidRPr="00D45100">
        <w:rPr>
          <w:sz w:val="22"/>
          <w:szCs w:val="22"/>
        </w:rPr>
        <w:t>aguas servidas, sin embargo, seis de ellas están fuera de servicio, otras funcionan parcial o inadecuadamente y solamente unas quince se encuentran actualmente funcionando. Veintitrés (casi el 50%) de las plantas mencionadas anteriormente se encuentran en el área metropolitana, el resto están distribuidas en los otros municipios del país. Por otro lado, la contaminación que afecta a la mayoría de los principales ríos del país, disminuye la disponibilidad de agua. De los 223 centros urbanos de más de 2,000 habitantes con sistema de drenaje, solo 24 aplican alguna clase de tratamiento a sus aguas residuales (la mayoría primario), el resto la</w:t>
      </w:r>
      <w:r>
        <w:rPr>
          <w:sz w:val="22"/>
          <w:szCs w:val="22"/>
        </w:rPr>
        <w:t xml:space="preserve"> descarga directamente a los ríos.</w:t>
      </w:r>
      <w:r>
        <w:rPr>
          <w:color w:val="0563C1"/>
          <w:vertAlign w:val="superscript"/>
        </w:rPr>
        <w:t>[27]</w:t>
      </w:r>
    </w:p>
    <w:p w14:paraId="38FCC019" w14:textId="77777777" w:rsidR="0049134E" w:rsidRDefault="0049134E" w:rsidP="0049134E">
      <w:pPr>
        <w:spacing w:after="0"/>
        <w:ind w:hanging="360"/>
        <w:rPr>
          <w:color w:val="0563C1"/>
          <w:vertAlign w:val="superscript"/>
        </w:rPr>
      </w:pPr>
    </w:p>
    <w:p w14:paraId="53624E5B" w14:textId="77777777" w:rsidR="0049134E" w:rsidRDefault="0049134E" w:rsidP="0049134E">
      <w:pPr>
        <w:spacing w:after="0"/>
        <w:rPr>
          <w:b/>
          <w:sz w:val="22"/>
          <w:szCs w:val="22"/>
        </w:rPr>
      </w:pPr>
      <w:r>
        <w:rPr>
          <w:b/>
          <w:sz w:val="22"/>
          <w:szCs w:val="22"/>
        </w:rPr>
        <w:t>C.3 El agua en comunidades rurales</w:t>
      </w:r>
    </w:p>
    <w:p w14:paraId="7D64D9A3" w14:textId="77777777" w:rsidR="0049134E" w:rsidRDefault="0049134E" w:rsidP="0049134E">
      <w:pPr>
        <w:spacing w:after="0"/>
        <w:rPr>
          <w:b/>
          <w:sz w:val="22"/>
          <w:szCs w:val="22"/>
        </w:rPr>
      </w:pPr>
    </w:p>
    <w:p w14:paraId="55B9C18C" w14:textId="77777777" w:rsidR="002335B0" w:rsidRDefault="0049134E" w:rsidP="002335B0">
      <w:pPr>
        <w:spacing w:after="0"/>
        <w:ind w:hanging="360"/>
        <w:rPr>
          <w:sz w:val="22"/>
          <w:szCs w:val="22"/>
        </w:rPr>
      </w:pPr>
      <w:r>
        <w:rPr>
          <w:sz w:val="22"/>
          <w:szCs w:val="22"/>
        </w:rPr>
        <w:t>23.</w:t>
      </w:r>
      <w:r>
        <w:rPr>
          <w:sz w:val="14"/>
          <w:szCs w:val="14"/>
        </w:rPr>
        <w:t xml:space="preserve"> </w:t>
      </w:r>
      <w:r>
        <w:rPr>
          <w:sz w:val="22"/>
          <w:szCs w:val="22"/>
        </w:rPr>
        <w:t>Si se analiza el acceso y medios de abastecimiento por hogar a nivel nacional, de estos servicios por área geográfica, se develan profundas desigualdades para el área rural, pues el acceso es significativamente menor. Esto compromete no solamente su derecho al agua, sino que acrecienta las barreras para la realización del derecho a la salud y a la alimentación adecuada de la población en general, además de vulnerar los derechos de las mujeres y niñas, al ser ellas las “encargadas” de proveer este recurso vital para los usos domésticos, limitándose en otras actividades como la educación y la participación social. Adicionalmente, contraviene la recomendación que se le hizo al Estado de Guatemala en el segundo Examen Periódico Universal, referente al acceso a agua potable en áreas rurales</w:t>
      </w:r>
      <w:r>
        <w:rPr>
          <w:color w:val="0563C1"/>
          <w:vertAlign w:val="superscript"/>
        </w:rPr>
        <w:t>[28]</w:t>
      </w:r>
      <w:r>
        <w:rPr>
          <w:sz w:val="22"/>
          <w:szCs w:val="22"/>
        </w:rPr>
        <w:t>.</w:t>
      </w:r>
    </w:p>
    <w:p w14:paraId="6C171F04" w14:textId="77777777" w:rsidR="002335B0" w:rsidRDefault="002335B0" w:rsidP="002335B0">
      <w:pPr>
        <w:spacing w:after="0"/>
        <w:ind w:hanging="360"/>
        <w:rPr>
          <w:sz w:val="22"/>
          <w:szCs w:val="22"/>
        </w:rPr>
      </w:pPr>
    </w:p>
    <w:p w14:paraId="497E03B1" w14:textId="0115291D" w:rsidR="002335B0" w:rsidRPr="002335B0" w:rsidRDefault="002335B0" w:rsidP="002335B0">
      <w:pPr>
        <w:spacing w:after="0"/>
        <w:ind w:hanging="360"/>
        <w:rPr>
          <w:sz w:val="22"/>
          <w:szCs w:val="22"/>
        </w:rPr>
      </w:pPr>
      <w:r w:rsidRPr="00F75C21">
        <w:rPr>
          <w:color w:val="000000" w:themeColor="text1"/>
          <w:sz w:val="22"/>
          <w:szCs w:val="22"/>
        </w:rPr>
        <w:t xml:space="preserve">24. En Guatemala las condiciones de vida de las mujeres, marcan brechas de desigualdad profundas a lo largo de sus vidas, determinadas por el patriarcado y el colonialismo. Las estructuras culturales del colonismo siguen </w:t>
      </w:r>
      <w:r w:rsidRPr="00F75C21">
        <w:rPr>
          <w:color w:val="000000" w:themeColor="text1"/>
          <w:sz w:val="22"/>
          <w:szCs w:val="22"/>
        </w:rPr>
        <w:lastRenderedPageBreak/>
        <w:t>presentes y se expresan en la política con un modelo autoritario, centralista y de exclusión a la mujer. La escacez de agua potable entubada</w:t>
      </w:r>
      <w:r w:rsidR="0061110B" w:rsidRPr="00F75C21">
        <w:rPr>
          <w:color w:val="000000" w:themeColor="text1"/>
          <w:sz w:val="22"/>
          <w:szCs w:val="22"/>
        </w:rPr>
        <w:t xml:space="preserve"> y a sistema de tratamiento de aguas residuales esta asociado con</w:t>
      </w:r>
      <w:r w:rsidRPr="00F75C21">
        <w:rPr>
          <w:color w:val="000000" w:themeColor="text1"/>
          <w:sz w:val="22"/>
          <w:szCs w:val="22"/>
        </w:rPr>
        <w:t xml:space="preserve"> el hambre, </w:t>
      </w:r>
      <w:r w:rsidR="0061110B" w:rsidRPr="00F75C21">
        <w:rPr>
          <w:color w:val="000000" w:themeColor="text1"/>
          <w:sz w:val="22"/>
          <w:szCs w:val="22"/>
        </w:rPr>
        <w:t xml:space="preserve">la proliferación de </w:t>
      </w:r>
      <w:r w:rsidRPr="00F75C21">
        <w:rPr>
          <w:color w:val="000000" w:themeColor="text1"/>
          <w:sz w:val="22"/>
          <w:szCs w:val="22"/>
        </w:rPr>
        <w:t xml:space="preserve">asentamientos humanos improvisados, con un defícit </w:t>
      </w:r>
      <w:r w:rsidR="0061110B" w:rsidRPr="00F75C21">
        <w:rPr>
          <w:color w:val="000000" w:themeColor="text1"/>
          <w:sz w:val="22"/>
          <w:szCs w:val="22"/>
        </w:rPr>
        <w:t>h</w:t>
      </w:r>
      <w:r w:rsidRPr="00F75C21">
        <w:rPr>
          <w:color w:val="000000" w:themeColor="text1"/>
          <w:sz w:val="22"/>
          <w:szCs w:val="22"/>
        </w:rPr>
        <w:t>abitacional</w:t>
      </w:r>
      <w:r w:rsidR="0061110B" w:rsidRPr="00F75C21">
        <w:rPr>
          <w:color w:val="000000" w:themeColor="text1"/>
          <w:sz w:val="22"/>
          <w:szCs w:val="22"/>
        </w:rPr>
        <w:t xml:space="preserve"> y a la inseguridad que se vive en zonas precarias. El modelo extractivista </w:t>
      </w:r>
      <w:r w:rsidRPr="00F75C21">
        <w:rPr>
          <w:color w:val="000000" w:themeColor="text1"/>
          <w:sz w:val="22"/>
          <w:szCs w:val="22"/>
        </w:rPr>
        <w:t>tiene</w:t>
      </w:r>
      <w:r w:rsidR="0061110B" w:rsidRPr="00F75C21">
        <w:rPr>
          <w:color w:val="000000" w:themeColor="text1"/>
          <w:sz w:val="22"/>
          <w:szCs w:val="22"/>
        </w:rPr>
        <w:t xml:space="preserve"> una alta incidencia en </w:t>
      </w:r>
      <w:r w:rsidRPr="00F75C21">
        <w:rPr>
          <w:color w:val="000000" w:themeColor="text1"/>
          <w:sz w:val="22"/>
          <w:szCs w:val="22"/>
        </w:rPr>
        <w:t>generar estas condiciones</w:t>
      </w:r>
      <w:r w:rsidR="0061110B" w:rsidRPr="00F75C21">
        <w:rPr>
          <w:color w:val="000000" w:themeColor="text1"/>
          <w:sz w:val="22"/>
          <w:szCs w:val="22"/>
        </w:rPr>
        <w:t xml:space="preserve"> de exclusión por</w:t>
      </w:r>
      <w:r w:rsidRPr="00F75C21">
        <w:rPr>
          <w:color w:val="000000" w:themeColor="text1"/>
          <w:sz w:val="22"/>
          <w:szCs w:val="22"/>
        </w:rPr>
        <w:t xml:space="preserve"> ser parte</w:t>
      </w:r>
      <w:r w:rsidR="0061110B" w:rsidRPr="00F75C21">
        <w:rPr>
          <w:color w:val="000000" w:themeColor="text1"/>
          <w:sz w:val="22"/>
          <w:szCs w:val="22"/>
        </w:rPr>
        <w:t xml:space="preserve"> beneficiaria</w:t>
      </w:r>
      <w:r w:rsidRPr="00F75C21">
        <w:rPr>
          <w:color w:val="000000" w:themeColor="text1"/>
          <w:sz w:val="22"/>
          <w:szCs w:val="22"/>
        </w:rPr>
        <w:t xml:space="preserve"> de</w:t>
      </w:r>
      <w:r w:rsidR="0061110B" w:rsidRPr="00F75C21">
        <w:rPr>
          <w:color w:val="000000" w:themeColor="text1"/>
          <w:sz w:val="22"/>
          <w:szCs w:val="22"/>
        </w:rPr>
        <w:t xml:space="preserve"> esta</w:t>
      </w:r>
      <w:r w:rsidRPr="00F75C21">
        <w:rPr>
          <w:color w:val="000000" w:themeColor="text1"/>
          <w:sz w:val="22"/>
          <w:szCs w:val="22"/>
        </w:rPr>
        <w:t xml:space="preserve"> estructura desigual</w:t>
      </w:r>
      <w:r w:rsidRPr="0061110B">
        <w:rPr>
          <w:color w:val="4472C4" w:themeColor="accent1"/>
          <w:sz w:val="22"/>
          <w:szCs w:val="22"/>
        </w:rPr>
        <w:t>.</w:t>
      </w:r>
      <w:r w:rsidRPr="0061110B">
        <w:rPr>
          <w:color w:val="4472C4" w:themeColor="accent1"/>
          <w:vertAlign w:val="superscript"/>
        </w:rPr>
        <w:t>[29]</w:t>
      </w:r>
      <w:r w:rsidRPr="0061110B">
        <w:rPr>
          <w:color w:val="4472C4" w:themeColor="accent1"/>
          <w:sz w:val="22"/>
          <w:szCs w:val="22"/>
        </w:rPr>
        <w:t>.</w:t>
      </w:r>
    </w:p>
    <w:p w14:paraId="524F3C57" w14:textId="77777777" w:rsidR="0049134E" w:rsidRDefault="0049134E" w:rsidP="0049134E">
      <w:pPr>
        <w:spacing w:after="0"/>
        <w:ind w:hanging="360"/>
        <w:rPr>
          <w:sz w:val="22"/>
          <w:szCs w:val="22"/>
        </w:rPr>
      </w:pPr>
    </w:p>
    <w:p w14:paraId="44CABDAE" w14:textId="77777777" w:rsidR="0049134E" w:rsidRDefault="0049134E" w:rsidP="0049134E">
      <w:pPr>
        <w:spacing w:after="0"/>
        <w:rPr>
          <w:b/>
          <w:sz w:val="22"/>
          <w:szCs w:val="22"/>
        </w:rPr>
      </w:pPr>
      <w:r>
        <w:rPr>
          <w:b/>
          <w:sz w:val="22"/>
          <w:szCs w:val="22"/>
        </w:rPr>
        <w:t>C.4</w:t>
      </w:r>
      <w:r>
        <w:rPr>
          <w:sz w:val="14"/>
          <w:szCs w:val="14"/>
        </w:rPr>
        <w:t xml:space="preserve">  </w:t>
      </w:r>
      <w:r>
        <w:rPr>
          <w:b/>
          <w:sz w:val="22"/>
          <w:szCs w:val="22"/>
        </w:rPr>
        <w:t>El agua en las concentraciones urbanas</w:t>
      </w:r>
    </w:p>
    <w:p w14:paraId="30DBA184" w14:textId="77777777" w:rsidR="0049134E" w:rsidRDefault="0049134E" w:rsidP="0049134E">
      <w:pPr>
        <w:spacing w:after="0"/>
        <w:rPr>
          <w:b/>
          <w:sz w:val="22"/>
          <w:szCs w:val="22"/>
        </w:rPr>
      </w:pPr>
    </w:p>
    <w:p w14:paraId="74D00E9B" w14:textId="77777777" w:rsidR="0049134E" w:rsidRDefault="0049134E" w:rsidP="0049134E">
      <w:pPr>
        <w:spacing w:after="0"/>
        <w:ind w:hanging="360"/>
        <w:rPr>
          <w:sz w:val="22"/>
          <w:szCs w:val="22"/>
        </w:rPr>
      </w:pPr>
      <w:r>
        <w:rPr>
          <w:sz w:val="22"/>
          <w:szCs w:val="22"/>
        </w:rPr>
        <w:t>25.</w:t>
      </w:r>
      <w:r>
        <w:rPr>
          <w:sz w:val="14"/>
          <w:szCs w:val="14"/>
        </w:rPr>
        <w:t xml:space="preserve">  </w:t>
      </w:r>
      <w:r>
        <w:rPr>
          <w:sz w:val="22"/>
          <w:szCs w:val="22"/>
        </w:rPr>
        <w:t>La población no goza del derecho al saneamiento. Según Censo 2018, el 55.6% de los hogares cuentan con inodoro conectado a una red de drenajes o a una fosa séptica; 39.7% que ocupan excusado lavable, letrina o pozo ciego y un 4.8% no tienen servicio sanitario</w:t>
      </w:r>
      <w:r>
        <w:rPr>
          <w:color w:val="0563C1"/>
          <w:vertAlign w:val="superscript"/>
        </w:rPr>
        <w:t>[30]</w:t>
      </w:r>
      <w:r>
        <w:rPr>
          <w:sz w:val="22"/>
          <w:szCs w:val="22"/>
        </w:rPr>
        <w:t>.</w:t>
      </w:r>
    </w:p>
    <w:p w14:paraId="6CCD3F5A" w14:textId="77777777" w:rsidR="0049134E" w:rsidRDefault="0049134E" w:rsidP="0049134E">
      <w:pPr>
        <w:spacing w:after="0"/>
        <w:ind w:hanging="360"/>
        <w:rPr>
          <w:i/>
          <w:sz w:val="22"/>
          <w:szCs w:val="22"/>
        </w:rPr>
      </w:pPr>
      <w:r>
        <w:rPr>
          <w:sz w:val="22"/>
          <w:szCs w:val="22"/>
        </w:rPr>
        <w:t>26.</w:t>
      </w:r>
      <w:r>
        <w:rPr>
          <w:sz w:val="14"/>
          <w:szCs w:val="14"/>
        </w:rPr>
        <w:t xml:space="preserve">  </w:t>
      </w:r>
      <w:r>
        <w:rPr>
          <w:sz w:val="22"/>
          <w:szCs w:val="22"/>
        </w:rPr>
        <w:t>Los ODM y los ODS contemplan indicadores para mejorar la proporción de población con acceso a servicios de saneamiento mejorados, que los Estados deberían lograr, respectivamente Meta 7 C y ODS 6. El acceso a servicios de saneamiento mejorados como indicador 7.9, suma los siguientes tipos de servicios sanitarios: Inodoro conectado a red de drenajes, Inodoro conectado a fosa séptica, y Excusado lavable. Preocupa que el acceso a servicios de saneamiento mejorados no haya mejorado significativamente en los últimos veinte años. En 2000: 39.5%; en 2011: 51.1%; en 2018: 58.0%. Guatemala no ha logrado la Meta 7 C de los ODM y muestra una débil tendencia para cumplir la meta 6.2 de los ODS</w:t>
      </w:r>
      <w:bookmarkStart w:id="4" w:name="_Hlk112578685"/>
      <w:r>
        <w:rPr>
          <w:color w:val="0563C1"/>
          <w:vertAlign w:val="superscript"/>
        </w:rPr>
        <w:t>[31]</w:t>
      </w:r>
      <w:bookmarkEnd w:id="4"/>
      <w:r>
        <w:rPr>
          <w:sz w:val="22"/>
          <w:szCs w:val="22"/>
        </w:rPr>
        <w:t xml:space="preserve">. </w:t>
      </w:r>
    </w:p>
    <w:p w14:paraId="19044108" w14:textId="77777777" w:rsidR="0049134E" w:rsidRDefault="0049134E" w:rsidP="0049134E">
      <w:pPr>
        <w:spacing w:after="0"/>
        <w:ind w:hanging="360"/>
        <w:rPr>
          <w:i/>
          <w:sz w:val="22"/>
          <w:szCs w:val="22"/>
        </w:rPr>
      </w:pPr>
    </w:p>
    <w:p w14:paraId="533F8195" w14:textId="77777777" w:rsidR="0049134E" w:rsidRDefault="0049134E" w:rsidP="0049134E">
      <w:pPr>
        <w:spacing w:after="0"/>
        <w:jc w:val="center"/>
        <w:rPr>
          <w:i/>
          <w:sz w:val="22"/>
          <w:szCs w:val="22"/>
        </w:rPr>
      </w:pPr>
      <w:bookmarkStart w:id="5" w:name="_Hlk112569123"/>
      <w:r>
        <w:rPr>
          <w:i/>
          <w:sz w:val="22"/>
          <w:szCs w:val="22"/>
        </w:rPr>
        <w:t>Tabla 2: Población con acceso a servicios de saneamiento mejorados</w:t>
      </w:r>
    </w:p>
    <w:bookmarkEnd w:id="5"/>
    <w:tbl>
      <w:tblPr>
        <w:tblW w:w="9057" w:type="dxa"/>
        <w:tblBorders>
          <w:top w:val="nil"/>
          <w:left w:val="nil"/>
          <w:bottom w:val="nil"/>
          <w:right w:val="nil"/>
          <w:insideH w:val="nil"/>
          <w:insideV w:val="nil"/>
        </w:tblBorders>
        <w:tblLayout w:type="fixed"/>
        <w:tblLook w:val="0600" w:firstRow="0" w:lastRow="0" w:firstColumn="0" w:lastColumn="0" w:noHBand="1" w:noVBand="1"/>
      </w:tblPr>
      <w:tblGrid>
        <w:gridCol w:w="1422"/>
        <w:gridCol w:w="1561"/>
        <w:gridCol w:w="1561"/>
        <w:gridCol w:w="1561"/>
        <w:gridCol w:w="1561"/>
        <w:gridCol w:w="1391"/>
      </w:tblGrid>
      <w:tr w:rsidR="0049134E" w:rsidRPr="000F17C7" w14:paraId="2138FC5E" w14:textId="77777777" w:rsidTr="00FF27C9">
        <w:trPr>
          <w:trHeight w:val="305"/>
        </w:trPr>
        <w:tc>
          <w:tcPr>
            <w:tcW w:w="1422"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14:paraId="465B1B61" w14:textId="77777777" w:rsidR="0049134E" w:rsidRPr="000F17C7" w:rsidRDefault="0049134E" w:rsidP="00FF27C9">
            <w:pPr>
              <w:spacing w:after="0"/>
              <w:jc w:val="center"/>
              <w:rPr>
                <w:b/>
                <w:sz w:val="22"/>
                <w:szCs w:val="22"/>
              </w:rPr>
            </w:pPr>
          </w:p>
        </w:tc>
        <w:tc>
          <w:tcPr>
            <w:tcW w:w="1561"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30362172" w14:textId="77777777" w:rsidR="0049134E" w:rsidRPr="000F17C7" w:rsidRDefault="0049134E" w:rsidP="00FF27C9">
            <w:pPr>
              <w:spacing w:after="0"/>
              <w:jc w:val="center"/>
              <w:rPr>
                <w:b/>
                <w:sz w:val="22"/>
                <w:szCs w:val="22"/>
              </w:rPr>
            </w:pPr>
            <w:r w:rsidRPr="000F17C7">
              <w:rPr>
                <w:b/>
                <w:sz w:val="22"/>
                <w:szCs w:val="22"/>
              </w:rPr>
              <w:t>ENCOVI 2000</w:t>
            </w:r>
          </w:p>
        </w:tc>
        <w:tc>
          <w:tcPr>
            <w:tcW w:w="1561"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27ADD7A6" w14:textId="77777777" w:rsidR="0049134E" w:rsidRPr="000F17C7" w:rsidRDefault="0049134E" w:rsidP="00FF27C9">
            <w:pPr>
              <w:spacing w:after="0"/>
              <w:jc w:val="center"/>
              <w:rPr>
                <w:b/>
                <w:sz w:val="22"/>
                <w:szCs w:val="22"/>
              </w:rPr>
            </w:pPr>
            <w:r w:rsidRPr="000F17C7">
              <w:rPr>
                <w:b/>
                <w:sz w:val="22"/>
                <w:szCs w:val="22"/>
              </w:rPr>
              <w:t>ENCOVI 2006</w:t>
            </w:r>
          </w:p>
        </w:tc>
        <w:tc>
          <w:tcPr>
            <w:tcW w:w="1561"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5336CED9" w14:textId="77777777" w:rsidR="0049134E" w:rsidRPr="000F17C7" w:rsidRDefault="0049134E" w:rsidP="00FF27C9">
            <w:pPr>
              <w:spacing w:after="0"/>
              <w:jc w:val="center"/>
              <w:rPr>
                <w:b/>
                <w:sz w:val="22"/>
                <w:szCs w:val="22"/>
              </w:rPr>
            </w:pPr>
            <w:r w:rsidRPr="000F17C7">
              <w:rPr>
                <w:b/>
                <w:sz w:val="22"/>
                <w:szCs w:val="22"/>
              </w:rPr>
              <w:t>ENCOVI 2011</w:t>
            </w:r>
          </w:p>
        </w:tc>
        <w:tc>
          <w:tcPr>
            <w:tcW w:w="1561"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78AA48F9" w14:textId="77777777" w:rsidR="0049134E" w:rsidRPr="000F17C7" w:rsidRDefault="0049134E" w:rsidP="00FF27C9">
            <w:pPr>
              <w:spacing w:after="0"/>
              <w:jc w:val="center"/>
              <w:rPr>
                <w:b/>
                <w:sz w:val="22"/>
                <w:szCs w:val="22"/>
              </w:rPr>
            </w:pPr>
            <w:r w:rsidRPr="000F17C7">
              <w:rPr>
                <w:b/>
                <w:sz w:val="22"/>
                <w:szCs w:val="22"/>
              </w:rPr>
              <w:t>ENCOVI 2014</w:t>
            </w:r>
          </w:p>
        </w:tc>
        <w:tc>
          <w:tcPr>
            <w:tcW w:w="1391"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14:paraId="37BE791C" w14:textId="77777777" w:rsidR="0049134E" w:rsidRPr="000F17C7" w:rsidRDefault="0049134E" w:rsidP="00FF27C9">
            <w:pPr>
              <w:spacing w:after="0"/>
              <w:jc w:val="center"/>
              <w:rPr>
                <w:b/>
                <w:sz w:val="22"/>
                <w:szCs w:val="22"/>
              </w:rPr>
            </w:pPr>
            <w:r w:rsidRPr="000F17C7">
              <w:rPr>
                <w:b/>
                <w:sz w:val="22"/>
                <w:szCs w:val="22"/>
              </w:rPr>
              <w:t>Censo 2018</w:t>
            </w:r>
          </w:p>
        </w:tc>
      </w:tr>
      <w:tr w:rsidR="0049134E" w:rsidRPr="000F17C7" w14:paraId="79A14E6B" w14:textId="77777777" w:rsidTr="00FF27C9">
        <w:trPr>
          <w:trHeight w:val="151"/>
        </w:trPr>
        <w:tc>
          <w:tcPr>
            <w:tcW w:w="142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23669C8" w14:textId="77777777" w:rsidR="0049134E" w:rsidRPr="000F17C7" w:rsidRDefault="0049134E" w:rsidP="00FF27C9">
            <w:pPr>
              <w:spacing w:after="0"/>
              <w:jc w:val="center"/>
              <w:rPr>
                <w:sz w:val="22"/>
                <w:szCs w:val="22"/>
              </w:rPr>
            </w:pPr>
            <w:r w:rsidRPr="000F17C7">
              <w:rPr>
                <w:sz w:val="22"/>
                <w:szCs w:val="22"/>
              </w:rPr>
              <w:t>Área urbana</w:t>
            </w:r>
          </w:p>
        </w:tc>
        <w:tc>
          <w:tcPr>
            <w:tcW w:w="1561" w:type="dxa"/>
            <w:tcBorders>
              <w:top w:val="nil"/>
              <w:left w:val="nil"/>
              <w:bottom w:val="single" w:sz="8" w:space="0" w:color="000000"/>
              <w:right w:val="single" w:sz="8" w:space="0" w:color="000000"/>
            </w:tcBorders>
            <w:tcMar>
              <w:top w:w="100" w:type="dxa"/>
              <w:left w:w="100" w:type="dxa"/>
              <w:bottom w:w="100" w:type="dxa"/>
              <w:right w:w="100" w:type="dxa"/>
            </w:tcMar>
          </w:tcPr>
          <w:p w14:paraId="1C84EA03" w14:textId="77777777" w:rsidR="0049134E" w:rsidRPr="000F17C7" w:rsidRDefault="0049134E" w:rsidP="00FF27C9">
            <w:pPr>
              <w:spacing w:after="0"/>
              <w:jc w:val="center"/>
              <w:rPr>
                <w:sz w:val="22"/>
                <w:szCs w:val="22"/>
              </w:rPr>
            </w:pPr>
            <w:r w:rsidRPr="000F17C7">
              <w:rPr>
                <w:sz w:val="22"/>
                <w:szCs w:val="22"/>
              </w:rPr>
              <w:t>81.2%</w:t>
            </w:r>
          </w:p>
        </w:tc>
        <w:tc>
          <w:tcPr>
            <w:tcW w:w="1561" w:type="dxa"/>
            <w:tcBorders>
              <w:top w:val="nil"/>
              <w:left w:val="nil"/>
              <w:bottom w:val="single" w:sz="8" w:space="0" w:color="000000"/>
              <w:right w:val="single" w:sz="8" w:space="0" w:color="000000"/>
            </w:tcBorders>
            <w:tcMar>
              <w:top w:w="100" w:type="dxa"/>
              <w:left w:w="100" w:type="dxa"/>
              <w:bottom w:w="100" w:type="dxa"/>
              <w:right w:w="100" w:type="dxa"/>
            </w:tcMar>
          </w:tcPr>
          <w:p w14:paraId="32122C17" w14:textId="77777777" w:rsidR="0049134E" w:rsidRPr="000F17C7" w:rsidRDefault="0049134E" w:rsidP="00FF27C9">
            <w:pPr>
              <w:spacing w:after="0"/>
              <w:jc w:val="center"/>
              <w:rPr>
                <w:sz w:val="22"/>
                <w:szCs w:val="22"/>
              </w:rPr>
            </w:pPr>
            <w:r w:rsidRPr="000F17C7">
              <w:rPr>
                <w:sz w:val="22"/>
                <w:szCs w:val="22"/>
              </w:rPr>
              <w:t>79.3%</w:t>
            </w:r>
          </w:p>
        </w:tc>
        <w:tc>
          <w:tcPr>
            <w:tcW w:w="1561" w:type="dxa"/>
            <w:tcBorders>
              <w:top w:val="nil"/>
              <w:left w:val="nil"/>
              <w:bottom w:val="single" w:sz="8" w:space="0" w:color="000000"/>
              <w:right w:val="single" w:sz="8" w:space="0" w:color="000000"/>
            </w:tcBorders>
            <w:tcMar>
              <w:top w:w="100" w:type="dxa"/>
              <w:left w:w="100" w:type="dxa"/>
              <w:bottom w:w="100" w:type="dxa"/>
              <w:right w:w="100" w:type="dxa"/>
            </w:tcMar>
          </w:tcPr>
          <w:p w14:paraId="7E322E44" w14:textId="77777777" w:rsidR="0049134E" w:rsidRPr="000F17C7" w:rsidRDefault="0049134E" w:rsidP="00FF27C9">
            <w:pPr>
              <w:spacing w:after="0"/>
              <w:jc w:val="center"/>
              <w:rPr>
                <w:sz w:val="22"/>
                <w:szCs w:val="22"/>
              </w:rPr>
            </w:pPr>
            <w:r w:rsidRPr="000F17C7">
              <w:rPr>
                <w:sz w:val="22"/>
                <w:szCs w:val="22"/>
              </w:rPr>
              <w:t>81.9%</w:t>
            </w:r>
          </w:p>
        </w:tc>
        <w:tc>
          <w:tcPr>
            <w:tcW w:w="1561" w:type="dxa"/>
            <w:tcBorders>
              <w:top w:val="nil"/>
              <w:left w:val="nil"/>
              <w:bottom w:val="single" w:sz="8" w:space="0" w:color="000000"/>
              <w:right w:val="single" w:sz="8" w:space="0" w:color="000000"/>
            </w:tcBorders>
            <w:tcMar>
              <w:top w:w="100" w:type="dxa"/>
              <w:left w:w="100" w:type="dxa"/>
              <w:bottom w:w="100" w:type="dxa"/>
              <w:right w:w="100" w:type="dxa"/>
            </w:tcMar>
          </w:tcPr>
          <w:p w14:paraId="6625E495" w14:textId="77777777" w:rsidR="0049134E" w:rsidRPr="000F17C7" w:rsidRDefault="0049134E" w:rsidP="00FF27C9">
            <w:pPr>
              <w:spacing w:after="0"/>
              <w:jc w:val="center"/>
              <w:rPr>
                <w:sz w:val="22"/>
                <w:szCs w:val="22"/>
              </w:rPr>
            </w:pPr>
            <w:r w:rsidRPr="000F17C7">
              <w:rPr>
                <w:sz w:val="22"/>
                <w:szCs w:val="22"/>
              </w:rPr>
              <w:t>81.5%</w:t>
            </w:r>
          </w:p>
        </w:tc>
        <w:tc>
          <w:tcPr>
            <w:tcW w:w="1391" w:type="dxa"/>
            <w:tcBorders>
              <w:top w:val="nil"/>
              <w:left w:val="nil"/>
              <w:bottom w:val="single" w:sz="8" w:space="0" w:color="000000"/>
              <w:right w:val="single" w:sz="8" w:space="0" w:color="000000"/>
            </w:tcBorders>
            <w:tcMar>
              <w:top w:w="100" w:type="dxa"/>
              <w:left w:w="100" w:type="dxa"/>
              <w:bottom w:w="100" w:type="dxa"/>
              <w:right w:w="100" w:type="dxa"/>
            </w:tcMar>
          </w:tcPr>
          <w:p w14:paraId="56BF07F6" w14:textId="77777777" w:rsidR="0049134E" w:rsidRPr="000F17C7" w:rsidRDefault="0049134E" w:rsidP="00FF27C9">
            <w:pPr>
              <w:spacing w:after="0"/>
              <w:jc w:val="center"/>
              <w:rPr>
                <w:sz w:val="22"/>
                <w:szCs w:val="22"/>
              </w:rPr>
            </w:pPr>
            <w:r w:rsidRPr="000F17C7">
              <w:rPr>
                <w:sz w:val="22"/>
                <w:szCs w:val="22"/>
              </w:rPr>
              <w:t>79.2%</w:t>
            </w:r>
          </w:p>
        </w:tc>
      </w:tr>
      <w:tr w:rsidR="0049134E" w:rsidRPr="000F17C7" w14:paraId="427A5433" w14:textId="77777777" w:rsidTr="00FF27C9">
        <w:trPr>
          <w:trHeight w:val="63"/>
        </w:trPr>
        <w:tc>
          <w:tcPr>
            <w:tcW w:w="142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C4A47D9" w14:textId="77777777" w:rsidR="0049134E" w:rsidRPr="000F17C7" w:rsidRDefault="0049134E" w:rsidP="00FF27C9">
            <w:pPr>
              <w:spacing w:after="0"/>
              <w:jc w:val="center"/>
              <w:rPr>
                <w:sz w:val="22"/>
                <w:szCs w:val="22"/>
              </w:rPr>
            </w:pPr>
            <w:r w:rsidRPr="000F17C7">
              <w:rPr>
                <w:sz w:val="22"/>
                <w:szCs w:val="22"/>
              </w:rPr>
              <w:t>Área rural</w:t>
            </w:r>
          </w:p>
        </w:tc>
        <w:tc>
          <w:tcPr>
            <w:tcW w:w="1561" w:type="dxa"/>
            <w:tcBorders>
              <w:top w:val="nil"/>
              <w:left w:val="nil"/>
              <w:bottom w:val="single" w:sz="8" w:space="0" w:color="000000"/>
              <w:right w:val="single" w:sz="8" w:space="0" w:color="000000"/>
            </w:tcBorders>
            <w:tcMar>
              <w:top w:w="100" w:type="dxa"/>
              <w:left w:w="100" w:type="dxa"/>
              <w:bottom w:w="100" w:type="dxa"/>
              <w:right w:w="100" w:type="dxa"/>
            </w:tcMar>
          </w:tcPr>
          <w:p w14:paraId="08B315BE" w14:textId="77777777" w:rsidR="0049134E" w:rsidRPr="000F17C7" w:rsidRDefault="0049134E" w:rsidP="00FF27C9">
            <w:pPr>
              <w:spacing w:after="0"/>
              <w:jc w:val="center"/>
              <w:rPr>
                <w:sz w:val="22"/>
                <w:szCs w:val="22"/>
              </w:rPr>
            </w:pPr>
            <w:r w:rsidRPr="000F17C7">
              <w:rPr>
                <w:sz w:val="22"/>
                <w:szCs w:val="22"/>
              </w:rPr>
              <w:t>13.1%</w:t>
            </w:r>
          </w:p>
        </w:tc>
        <w:tc>
          <w:tcPr>
            <w:tcW w:w="1561" w:type="dxa"/>
            <w:tcBorders>
              <w:top w:val="nil"/>
              <w:left w:val="nil"/>
              <w:bottom w:val="single" w:sz="8" w:space="0" w:color="000000"/>
              <w:right w:val="single" w:sz="8" w:space="0" w:color="000000"/>
            </w:tcBorders>
            <w:tcMar>
              <w:top w:w="100" w:type="dxa"/>
              <w:left w:w="100" w:type="dxa"/>
              <w:bottom w:w="100" w:type="dxa"/>
              <w:right w:w="100" w:type="dxa"/>
            </w:tcMar>
          </w:tcPr>
          <w:p w14:paraId="5955DF8E" w14:textId="77777777" w:rsidR="0049134E" w:rsidRPr="000F17C7" w:rsidRDefault="0049134E" w:rsidP="00FF27C9">
            <w:pPr>
              <w:spacing w:after="0"/>
              <w:jc w:val="center"/>
              <w:rPr>
                <w:sz w:val="22"/>
                <w:szCs w:val="22"/>
              </w:rPr>
            </w:pPr>
            <w:r w:rsidRPr="000F17C7">
              <w:rPr>
                <w:sz w:val="22"/>
                <w:szCs w:val="22"/>
              </w:rPr>
              <w:t>19.4%</w:t>
            </w:r>
          </w:p>
        </w:tc>
        <w:tc>
          <w:tcPr>
            <w:tcW w:w="1561" w:type="dxa"/>
            <w:tcBorders>
              <w:top w:val="nil"/>
              <w:left w:val="nil"/>
              <w:bottom w:val="single" w:sz="8" w:space="0" w:color="000000"/>
              <w:right w:val="single" w:sz="8" w:space="0" w:color="000000"/>
            </w:tcBorders>
            <w:tcMar>
              <w:top w:w="100" w:type="dxa"/>
              <w:left w:w="100" w:type="dxa"/>
              <w:bottom w:w="100" w:type="dxa"/>
              <w:right w:w="100" w:type="dxa"/>
            </w:tcMar>
          </w:tcPr>
          <w:p w14:paraId="4E6E3A01" w14:textId="77777777" w:rsidR="0049134E" w:rsidRPr="000F17C7" w:rsidRDefault="0049134E" w:rsidP="00FF27C9">
            <w:pPr>
              <w:spacing w:after="0"/>
              <w:jc w:val="center"/>
              <w:rPr>
                <w:sz w:val="22"/>
                <w:szCs w:val="22"/>
              </w:rPr>
            </w:pPr>
            <w:r w:rsidRPr="000F17C7">
              <w:rPr>
                <w:sz w:val="22"/>
                <w:szCs w:val="22"/>
              </w:rPr>
              <w:t>22.2%</w:t>
            </w:r>
          </w:p>
        </w:tc>
        <w:tc>
          <w:tcPr>
            <w:tcW w:w="1561" w:type="dxa"/>
            <w:tcBorders>
              <w:top w:val="nil"/>
              <w:left w:val="nil"/>
              <w:bottom w:val="single" w:sz="8" w:space="0" w:color="000000"/>
              <w:right w:val="single" w:sz="8" w:space="0" w:color="000000"/>
            </w:tcBorders>
            <w:tcMar>
              <w:top w:w="100" w:type="dxa"/>
              <w:left w:w="100" w:type="dxa"/>
              <w:bottom w:w="100" w:type="dxa"/>
              <w:right w:w="100" w:type="dxa"/>
            </w:tcMar>
          </w:tcPr>
          <w:p w14:paraId="75B41605" w14:textId="77777777" w:rsidR="0049134E" w:rsidRPr="000F17C7" w:rsidRDefault="0049134E" w:rsidP="00FF27C9">
            <w:pPr>
              <w:spacing w:after="0"/>
              <w:jc w:val="center"/>
              <w:rPr>
                <w:sz w:val="22"/>
                <w:szCs w:val="22"/>
              </w:rPr>
            </w:pPr>
            <w:r w:rsidRPr="000F17C7">
              <w:rPr>
                <w:sz w:val="22"/>
                <w:szCs w:val="22"/>
              </w:rPr>
              <w:t>25.7%</w:t>
            </w:r>
          </w:p>
        </w:tc>
        <w:tc>
          <w:tcPr>
            <w:tcW w:w="1391" w:type="dxa"/>
            <w:tcBorders>
              <w:top w:val="nil"/>
              <w:left w:val="nil"/>
              <w:bottom w:val="single" w:sz="8" w:space="0" w:color="000000"/>
              <w:right w:val="single" w:sz="8" w:space="0" w:color="000000"/>
            </w:tcBorders>
            <w:tcMar>
              <w:top w:w="100" w:type="dxa"/>
              <w:left w:w="100" w:type="dxa"/>
              <w:bottom w:w="100" w:type="dxa"/>
              <w:right w:w="100" w:type="dxa"/>
            </w:tcMar>
          </w:tcPr>
          <w:p w14:paraId="18BDBFF8" w14:textId="77777777" w:rsidR="0049134E" w:rsidRPr="000F17C7" w:rsidRDefault="0049134E" w:rsidP="00FF27C9">
            <w:pPr>
              <w:spacing w:after="0"/>
              <w:jc w:val="center"/>
              <w:rPr>
                <w:sz w:val="22"/>
                <w:szCs w:val="22"/>
              </w:rPr>
            </w:pPr>
            <w:r w:rsidRPr="000F17C7">
              <w:rPr>
                <w:sz w:val="22"/>
                <w:szCs w:val="22"/>
              </w:rPr>
              <w:t>33.4%</w:t>
            </w:r>
          </w:p>
        </w:tc>
      </w:tr>
      <w:tr w:rsidR="0049134E" w:rsidRPr="000F17C7" w14:paraId="04EF813D" w14:textId="77777777" w:rsidTr="00FF27C9">
        <w:trPr>
          <w:trHeight w:val="238"/>
        </w:trPr>
        <w:tc>
          <w:tcPr>
            <w:tcW w:w="142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9FD10D3" w14:textId="77777777" w:rsidR="0049134E" w:rsidRPr="000F17C7" w:rsidRDefault="0049134E" w:rsidP="00FF27C9">
            <w:pPr>
              <w:spacing w:after="0"/>
              <w:jc w:val="center"/>
              <w:rPr>
                <w:b/>
                <w:sz w:val="22"/>
                <w:szCs w:val="22"/>
              </w:rPr>
            </w:pPr>
            <w:r w:rsidRPr="000F17C7">
              <w:rPr>
                <w:b/>
                <w:sz w:val="22"/>
                <w:szCs w:val="22"/>
              </w:rPr>
              <w:t>Global</w:t>
            </w:r>
          </w:p>
        </w:tc>
        <w:tc>
          <w:tcPr>
            <w:tcW w:w="1561" w:type="dxa"/>
            <w:tcBorders>
              <w:top w:val="nil"/>
              <w:left w:val="nil"/>
              <w:bottom w:val="single" w:sz="8" w:space="0" w:color="000000"/>
              <w:right w:val="single" w:sz="8" w:space="0" w:color="000000"/>
            </w:tcBorders>
            <w:tcMar>
              <w:top w:w="100" w:type="dxa"/>
              <w:left w:w="100" w:type="dxa"/>
              <w:bottom w:w="100" w:type="dxa"/>
              <w:right w:w="100" w:type="dxa"/>
            </w:tcMar>
          </w:tcPr>
          <w:p w14:paraId="2C7B68DD" w14:textId="77777777" w:rsidR="0049134E" w:rsidRPr="000F17C7" w:rsidRDefault="0049134E" w:rsidP="00FF27C9">
            <w:pPr>
              <w:spacing w:after="0"/>
              <w:jc w:val="center"/>
              <w:rPr>
                <w:b/>
                <w:sz w:val="22"/>
                <w:szCs w:val="22"/>
              </w:rPr>
            </w:pPr>
            <w:r w:rsidRPr="000F17C7">
              <w:rPr>
                <w:b/>
                <w:sz w:val="22"/>
                <w:szCs w:val="22"/>
              </w:rPr>
              <w:t>39.5%</w:t>
            </w:r>
          </w:p>
        </w:tc>
        <w:tc>
          <w:tcPr>
            <w:tcW w:w="1561" w:type="dxa"/>
            <w:tcBorders>
              <w:top w:val="nil"/>
              <w:left w:val="nil"/>
              <w:bottom w:val="single" w:sz="8" w:space="0" w:color="000000"/>
              <w:right w:val="single" w:sz="8" w:space="0" w:color="000000"/>
            </w:tcBorders>
            <w:tcMar>
              <w:top w:w="100" w:type="dxa"/>
              <w:left w:w="100" w:type="dxa"/>
              <w:bottom w:w="100" w:type="dxa"/>
              <w:right w:w="100" w:type="dxa"/>
            </w:tcMar>
          </w:tcPr>
          <w:p w14:paraId="1572A394" w14:textId="77777777" w:rsidR="0049134E" w:rsidRPr="000F17C7" w:rsidRDefault="0049134E" w:rsidP="00FF27C9">
            <w:pPr>
              <w:spacing w:after="0"/>
              <w:jc w:val="center"/>
              <w:rPr>
                <w:b/>
                <w:sz w:val="22"/>
                <w:szCs w:val="22"/>
              </w:rPr>
            </w:pPr>
            <w:r w:rsidRPr="000F17C7">
              <w:rPr>
                <w:b/>
                <w:sz w:val="22"/>
                <w:szCs w:val="22"/>
              </w:rPr>
              <w:t>48.2%</w:t>
            </w:r>
          </w:p>
        </w:tc>
        <w:tc>
          <w:tcPr>
            <w:tcW w:w="1561" w:type="dxa"/>
            <w:tcBorders>
              <w:top w:val="nil"/>
              <w:left w:val="nil"/>
              <w:bottom w:val="single" w:sz="8" w:space="0" w:color="000000"/>
              <w:right w:val="single" w:sz="8" w:space="0" w:color="000000"/>
            </w:tcBorders>
            <w:tcMar>
              <w:top w:w="100" w:type="dxa"/>
              <w:left w:w="100" w:type="dxa"/>
              <w:bottom w:w="100" w:type="dxa"/>
              <w:right w:w="100" w:type="dxa"/>
            </w:tcMar>
          </w:tcPr>
          <w:p w14:paraId="69FA2E91" w14:textId="77777777" w:rsidR="0049134E" w:rsidRPr="000F17C7" w:rsidRDefault="0049134E" w:rsidP="00FF27C9">
            <w:pPr>
              <w:spacing w:after="0"/>
              <w:jc w:val="center"/>
              <w:rPr>
                <w:b/>
                <w:sz w:val="22"/>
                <w:szCs w:val="22"/>
              </w:rPr>
            </w:pPr>
            <w:r w:rsidRPr="000F17C7">
              <w:rPr>
                <w:b/>
                <w:sz w:val="22"/>
                <w:szCs w:val="22"/>
              </w:rPr>
              <w:t>51.1%</w:t>
            </w:r>
          </w:p>
        </w:tc>
        <w:tc>
          <w:tcPr>
            <w:tcW w:w="1561" w:type="dxa"/>
            <w:tcBorders>
              <w:top w:val="nil"/>
              <w:left w:val="nil"/>
              <w:bottom w:val="single" w:sz="8" w:space="0" w:color="000000"/>
              <w:right w:val="single" w:sz="8" w:space="0" w:color="000000"/>
            </w:tcBorders>
            <w:tcMar>
              <w:top w:w="100" w:type="dxa"/>
              <w:left w:w="100" w:type="dxa"/>
              <w:bottom w:w="100" w:type="dxa"/>
              <w:right w:w="100" w:type="dxa"/>
            </w:tcMar>
          </w:tcPr>
          <w:p w14:paraId="3DD96DA8" w14:textId="77777777" w:rsidR="0049134E" w:rsidRPr="000F17C7" w:rsidRDefault="0049134E" w:rsidP="00FF27C9">
            <w:pPr>
              <w:spacing w:after="0"/>
              <w:jc w:val="center"/>
              <w:rPr>
                <w:b/>
                <w:sz w:val="22"/>
                <w:szCs w:val="22"/>
              </w:rPr>
            </w:pPr>
            <w:r w:rsidRPr="000F17C7">
              <w:rPr>
                <w:b/>
                <w:sz w:val="22"/>
                <w:szCs w:val="22"/>
              </w:rPr>
              <w:t>53.3%</w:t>
            </w:r>
          </w:p>
        </w:tc>
        <w:tc>
          <w:tcPr>
            <w:tcW w:w="1391" w:type="dxa"/>
            <w:tcBorders>
              <w:top w:val="nil"/>
              <w:left w:val="nil"/>
              <w:bottom w:val="single" w:sz="8" w:space="0" w:color="000000"/>
              <w:right w:val="single" w:sz="8" w:space="0" w:color="000000"/>
            </w:tcBorders>
            <w:tcMar>
              <w:top w:w="100" w:type="dxa"/>
              <w:left w:w="100" w:type="dxa"/>
              <w:bottom w:w="100" w:type="dxa"/>
              <w:right w:w="100" w:type="dxa"/>
            </w:tcMar>
          </w:tcPr>
          <w:p w14:paraId="59509EF8" w14:textId="77777777" w:rsidR="0049134E" w:rsidRPr="000F17C7" w:rsidRDefault="0049134E" w:rsidP="00FF27C9">
            <w:pPr>
              <w:spacing w:after="0"/>
              <w:jc w:val="center"/>
              <w:rPr>
                <w:b/>
                <w:sz w:val="22"/>
                <w:szCs w:val="22"/>
              </w:rPr>
            </w:pPr>
            <w:r w:rsidRPr="000F17C7">
              <w:rPr>
                <w:b/>
                <w:sz w:val="22"/>
                <w:szCs w:val="22"/>
              </w:rPr>
              <w:t>58.0%</w:t>
            </w:r>
          </w:p>
        </w:tc>
      </w:tr>
    </w:tbl>
    <w:p w14:paraId="733DBF46" w14:textId="77777777" w:rsidR="0049134E" w:rsidRPr="00910833" w:rsidRDefault="0049134E" w:rsidP="0049134E">
      <w:pPr>
        <w:spacing w:after="0"/>
        <w:rPr>
          <w:i/>
          <w:sz w:val="20"/>
          <w:szCs w:val="20"/>
        </w:rPr>
      </w:pPr>
      <w:r w:rsidRPr="00910833">
        <w:rPr>
          <w:i/>
          <w:sz w:val="20"/>
          <w:szCs w:val="20"/>
        </w:rPr>
        <w:t xml:space="preserve">Elaboración propia, datos de encuestas nacionales de condiciones de vida y censos de población y Habitación. </w:t>
      </w:r>
    </w:p>
    <w:p w14:paraId="22DFD086" w14:textId="77777777" w:rsidR="0049134E" w:rsidRPr="00910833" w:rsidRDefault="0049134E" w:rsidP="0049134E">
      <w:pPr>
        <w:spacing w:after="0"/>
        <w:rPr>
          <w:color w:val="0563C1"/>
          <w:sz w:val="20"/>
          <w:szCs w:val="20"/>
          <w:vertAlign w:val="superscript"/>
        </w:rPr>
      </w:pPr>
      <w:r w:rsidRPr="00096BFC">
        <w:rPr>
          <w:i/>
          <w:sz w:val="20"/>
          <w:szCs w:val="20"/>
        </w:rPr>
        <w:t>Entre la realidad urbana y realidad rural se observa una importante brecha. Mientras 79.2% de la población del área urbana tiene acceso a servicios de saneamiento mejorados en el año 2018, en área rural sólo son 33.4%. Desde el año 2000 la brecha sólo parcialmente se ha reducido. Entonces el 81.2% del área urbana tenía acceso a servicios de saneamiento mejorados, en área rural tan sólo 13.1%.</w:t>
      </w:r>
      <w:r w:rsidRPr="00096BFC">
        <w:rPr>
          <w:i/>
          <w:color w:val="0563C1"/>
          <w:sz w:val="20"/>
          <w:szCs w:val="20"/>
          <w:vertAlign w:val="superscript"/>
        </w:rPr>
        <w:t>[</w:t>
      </w:r>
      <w:r w:rsidRPr="00096BFC">
        <w:rPr>
          <w:color w:val="0563C1"/>
          <w:sz w:val="20"/>
          <w:szCs w:val="20"/>
          <w:vertAlign w:val="superscript"/>
        </w:rPr>
        <w:t>32]</w:t>
      </w:r>
    </w:p>
    <w:p w14:paraId="7F4F7453" w14:textId="77777777" w:rsidR="0049134E" w:rsidRPr="00910833" w:rsidRDefault="0049134E" w:rsidP="0049134E">
      <w:pPr>
        <w:spacing w:after="0"/>
        <w:rPr>
          <w:i/>
          <w:sz w:val="20"/>
          <w:szCs w:val="20"/>
        </w:rPr>
      </w:pPr>
    </w:p>
    <w:p w14:paraId="262E9794" w14:textId="77777777" w:rsidR="0049134E" w:rsidRDefault="0049134E" w:rsidP="0049134E">
      <w:pPr>
        <w:spacing w:after="0"/>
        <w:ind w:hanging="360"/>
        <w:rPr>
          <w:sz w:val="22"/>
          <w:szCs w:val="22"/>
        </w:rPr>
      </w:pPr>
      <w:r>
        <w:rPr>
          <w:sz w:val="22"/>
          <w:szCs w:val="22"/>
        </w:rPr>
        <w:t>27. A pesar de la existencia del “Reglamento de las Descargas y Rehúso de Aguas Residuales” (Acuerdo Gubernativo 236-2006), la referida norma desde que se aprobó ya era deficiente en los parámetros establecidos, comparados con normativa similar de otros países, pero además ha sido reformada varias veces para debilitar disposiciones o retrasar plazos para la implementación gradual que se proponía. Por lo tanto, se carece de sustanciales avances en el tratamiento de aguas residuales.</w:t>
      </w:r>
    </w:p>
    <w:p w14:paraId="6479D351" w14:textId="77777777" w:rsidR="0049134E" w:rsidRDefault="0049134E" w:rsidP="0049134E">
      <w:pPr>
        <w:spacing w:after="0"/>
        <w:ind w:hanging="360"/>
        <w:rPr>
          <w:sz w:val="22"/>
          <w:szCs w:val="22"/>
        </w:rPr>
      </w:pPr>
    </w:p>
    <w:p w14:paraId="30ACC05D" w14:textId="77777777" w:rsidR="0049134E" w:rsidRDefault="0049134E" w:rsidP="0049134E">
      <w:pPr>
        <w:spacing w:after="0"/>
        <w:ind w:hanging="360"/>
        <w:rPr>
          <w:b/>
          <w:sz w:val="22"/>
          <w:szCs w:val="22"/>
        </w:rPr>
      </w:pPr>
      <w:r>
        <w:rPr>
          <w:b/>
          <w:sz w:val="22"/>
          <w:szCs w:val="22"/>
        </w:rPr>
        <w:t>D.</w:t>
      </w:r>
      <w:r>
        <w:rPr>
          <w:sz w:val="14"/>
          <w:szCs w:val="14"/>
        </w:rPr>
        <w:t xml:space="preserve">    </w:t>
      </w:r>
      <w:r>
        <w:rPr>
          <w:b/>
          <w:sz w:val="22"/>
          <w:szCs w:val="22"/>
        </w:rPr>
        <w:t>PRINCIPALES USOS DEL AGUA</w:t>
      </w:r>
    </w:p>
    <w:p w14:paraId="6E5C85E0" w14:textId="77777777" w:rsidR="0049134E" w:rsidRDefault="0049134E" w:rsidP="0049134E">
      <w:pPr>
        <w:spacing w:after="0"/>
        <w:ind w:hanging="360"/>
        <w:rPr>
          <w:b/>
          <w:sz w:val="22"/>
          <w:szCs w:val="22"/>
        </w:rPr>
      </w:pPr>
    </w:p>
    <w:p w14:paraId="6E88D743" w14:textId="77777777" w:rsidR="0049134E" w:rsidRPr="006D196D" w:rsidRDefault="0049134E" w:rsidP="0049134E">
      <w:pPr>
        <w:spacing w:after="0"/>
        <w:ind w:hanging="360"/>
        <w:rPr>
          <w:sz w:val="22"/>
          <w:szCs w:val="22"/>
        </w:rPr>
      </w:pPr>
      <w:r w:rsidRPr="00A77CB6">
        <w:rPr>
          <w:sz w:val="22"/>
          <w:szCs w:val="22"/>
        </w:rPr>
        <w:t>28. Del volumen total de agua que se usa en el país (poco más de 15 000 millones de m3), el 39 % es para agricultura, el 50 % para la industria (pero el 84 % de este total es para el beneficio de café), el 0.5 % es para servicios, el 3 % es para los hogares y el resto es para otras actividades. Del uso agrícola, cerca del 90 % es para riego. Del total de agua usada para riego, la caña de azúcar utiliza el 36 %, la palma africana el 25 %, el banano el 15 % y el resto otros cultivos. Los primeros tres cultivos utilizan el 76 % del total de agua para riego en el país</w:t>
      </w:r>
      <w:r w:rsidRPr="00A77CB6">
        <w:rPr>
          <w:color w:val="0563C1"/>
          <w:vertAlign w:val="superscript"/>
        </w:rPr>
        <w:t>[33]</w:t>
      </w:r>
      <w:r w:rsidRPr="00A77CB6">
        <w:rPr>
          <w:sz w:val="22"/>
          <w:szCs w:val="22"/>
        </w:rPr>
        <w:t>.</w:t>
      </w:r>
    </w:p>
    <w:p w14:paraId="12B70CF8" w14:textId="77777777" w:rsidR="0049134E" w:rsidRPr="006D196D" w:rsidRDefault="0049134E" w:rsidP="0049134E">
      <w:pPr>
        <w:spacing w:after="0"/>
        <w:ind w:hanging="360"/>
        <w:rPr>
          <w:sz w:val="22"/>
          <w:szCs w:val="22"/>
        </w:rPr>
      </w:pPr>
      <w:r>
        <w:rPr>
          <w:sz w:val="22"/>
          <w:szCs w:val="22"/>
        </w:rPr>
        <w:t xml:space="preserve">29. </w:t>
      </w:r>
      <w:r w:rsidRPr="00047352">
        <w:rPr>
          <w:sz w:val="22"/>
          <w:szCs w:val="22"/>
        </w:rPr>
        <w:t>E</w:t>
      </w:r>
      <w:r>
        <w:rPr>
          <w:sz w:val="22"/>
          <w:szCs w:val="22"/>
        </w:rPr>
        <w:t>stas cifras dan una muestra del importante aporte del agua a la productividad del país. Por otro lado, demuestran que el sistema actual es insostenible, a criterio de los propios centros de investigación del sector empresarial, según FUNDESA (2012), a nivel de cuencas se presenta un déficit financiero de Q 1,043.23 millones. GWP (2021), estimó que aproximadamente se necesitan USD 1,381.2 millones</w:t>
      </w:r>
      <w:r w:rsidRPr="006D196D">
        <w:rPr>
          <w:sz w:val="22"/>
          <w:szCs w:val="22"/>
        </w:rPr>
        <w:t xml:space="preserve"> para satisfacer las </w:t>
      </w:r>
      <w:r w:rsidRPr="006D196D">
        <w:rPr>
          <w:sz w:val="22"/>
          <w:szCs w:val="22"/>
        </w:rPr>
        <w:lastRenderedPageBreak/>
        <w:t>necesidades de inversión a corto, mediano y largo plazo. Es decir, tomando en cuenta que se utilizan los 15,000 millones de m3 se necesita Q 0.0713 quetzales por cada m3 utilizado para saldar el déficit financiero de a nivel de cuencas y US$ 0.0914 dólares, por cada m3 para cubrir las necesidades de inversión en el país. Por lo que es importante identificar un valor económico al recurso para cubrir los costos de mantenimiento, funcionamiento e inversión en infraestructura y de las instituciones</w:t>
      </w:r>
      <w:r>
        <w:rPr>
          <w:color w:val="0563C1"/>
          <w:sz w:val="22"/>
          <w:szCs w:val="22"/>
          <w:vertAlign w:val="superscript"/>
        </w:rPr>
        <w:t>[34]</w:t>
      </w:r>
      <w:r>
        <w:rPr>
          <w:sz w:val="22"/>
          <w:szCs w:val="22"/>
        </w:rPr>
        <w:t>.</w:t>
      </w:r>
    </w:p>
    <w:p w14:paraId="137941AA" w14:textId="77777777" w:rsidR="0049134E" w:rsidRDefault="0049134E" w:rsidP="0049134E">
      <w:pPr>
        <w:spacing w:after="0"/>
        <w:ind w:hanging="360"/>
        <w:rPr>
          <w:sz w:val="22"/>
          <w:szCs w:val="22"/>
        </w:rPr>
      </w:pPr>
    </w:p>
    <w:p w14:paraId="2DD8D9BF" w14:textId="77777777" w:rsidR="0049134E" w:rsidRDefault="0049134E" w:rsidP="0049134E">
      <w:pPr>
        <w:spacing w:after="0"/>
        <w:ind w:hanging="360"/>
        <w:rPr>
          <w:b/>
          <w:sz w:val="22"/>
          <w:szCs w:val="22"/>
        </w:rPr>
      </w:pPr>
      <w:r>
        <w:rPr>
          <w:b/>
          <w:sz w:val="22"/>
          <w:szCs w:val="22"/>
        </w:rPr>
        <w:t>D.1</w:t>
      </w:r>
      <w:r>
        <w:rPr>
          <w:sz w:val="14"/>
          <w:szCs w:val="14"/>
        </w:rPr>
        <w:t xml:space="preserve"> </w:t>
      </w:r>
      <w:r>
        <w:rPr>
          <w:b/>
          <w:sz w:val="22"/>
          <w:szCs w:val="22"/>
        </w:rPr>
        <w:t>El agua empleada para el riego</w:t>
      </w:r>
    </w:p>
    <w:p w14:paraId="732636B2" w14:textId="77777777" w:rsidR="0049134E" w:rsidRDefault="0049134E" w:rsidP="0049134E">
      <w:pPr>
        <w:spacing w:after="0"/>
        <w:ind w:hanging="360"/>
        <w:rPr>
          <w:b/>
          <w:sz w:val="22"/>
          <w:szCs w:val="22"/>
        </w:rPr>
      </w:pPr>
    </w:p>
    <w:p w14:paraId="1C0D415A" w14:textId="77777777" w:rsidR="0049134E" w:rsidRDefault="0049134E" w:rsidP="0049134E">
      <w:pPr>
        <w:spacing w:after="0"/>
        <w:ind w:hanging="360"/>
        <w:rPr>
          <w:sz w:val="22"/>
          <w:szCs w:val="22"/>
        </w:rPr>
      </w:pPr>
      <w:r>
        <w:rPr>
          <w:sz w:val="22"/>
          <w:szCs w:val="22"/>
        </w:rPr>
        <w:t xml:space="preserve">30. </w:t>
      </w:r>
      <w:r>
        <w:rPr>
          <w:sz w:val="14"/>
          <w:szCs w:val="14"/>
        </w:rPr>
        <w:t xml:space="preserve"> </w:t>
      </w:r>
      <w:r>
        <w:rPr>
          <w:sz w:val="22"/>
          <w:szCs w:val="22"/>
        </w:rPr>
        <w:t>Es urgente asegurar el acceso y administración adecuada del agua para las familias campesinas en subsistencia, infrasubsistencia y sin tierra, para garantizar su derecho al saneamiento, alimentación y lograr la sostenibilidad de las tierras agrícolas. La brecha se amplía con el cierre por parte del Ministerio de Agricultura, Ganadería y Alimentación (MAGA) de apoyos a la agricultura familiar. En su presupuesto vigente del año 2022, tan solo el 3.18% está destinado para proyectos productivos (unos USD 5,875 millones)</w:t>
      </w:r>
      <w:r>
        <w:rPr>
          <w:color w:val="0563C1"/>
          <w:sz w:val="22"/>
          <w:szCs w:val="22"/>
          <w:vertAlign w:val="superscript"/>
        </w:rPr>
        <w:t>[35]</w:t>
      </w:r>
      <w:r>
        <w:rPr>
          <w:sz w:val="22"/>
          <w:szCs w:val="22"/>
        </w:rPr>
        <w:t>.</w:t>
      </w:r>
      <w:r w:rsidRPr="00967133">
        <w:rPr>
          <w:color w:val="0563C1"/>
          <w:sz w:val="22"/>
          <w:szCs w:val="22"/>
          <w:vertAlign w:val="superscript"/>
        </w:rPr>
        <w:t xml:space="preserve"> </w:t>
      </w:r>
    </w:p>
    <w:p w14:paraId="4390E8BF" w14:textId="77777777" w:rsidR="0049134E" w:rsidRDefault="0049134E" w:rsidP="0049134E">
      <w:pPr>
        <w:spacing w:after="0"/>
        <w:ind w:hanging="360"/>
        <w:rPr>
          <w:sz w:val="22"/>
          <w:szCs w:val="22"/>
        </w:rPr>
      </w:pPr>
      <w:r>
        <w:rPr>
          <w:sz w:val="22"/>
          <w:szCs w:val="22"/>
        </w:rPr>
        <w:t>31. Para el fortalecimiento de la administración del agua tan solo se destinaron USD 250 mil con el 17% de ejecución al mes de agosto. El Ministerio únicamente planifica capacitar a 150 productores y proveer el mantenimiento de 2 mil 299 unidades de riego y reservorios (pequeña escala). En cambio, ha destinado USD 21,250 millones para donar 355 mil 555 bolsas de alimentos y USD 6,500 millones para la construcción y reposición de infraestructura de riego a gran escala, con 3.35% de ejecución para el mismo periodo</w:t>
      </w:r>
      <w:bookmarkStart w:id="6" w:name="_Hlk112568145"/>
      <w:r>
        <w:rPr>
          <w:color w:val="0563C1"/>
          <w:sz w:val="22"/>
          <w:szCs w:val="22"/>
          <w:vertAlign w:val="superscript"/>
        </w:rPr>
        <w:t>[3</w:t>
      </w:r>
      <w:bookmarkEnd w:id="6"/>
      <w:r>
        <w:rPr>
          <w:color w:val="0563C1"/>
          <w:sz w:val="22"/>
          <w:szCs w:val="22"/>
          <w:vertAlign w:val="superscript"/>
        </w:rPr>
        <w:t>6]</w:t>
      </w:r>
      <w:r>
        <w:rPr>
          <w:sz w:val="22"/>
          <w:szCs w:val="22"/>
        </w:rPr>
        <w:t>.</w:t>
      </w:r>
    </w:p>
    <w:p w14:paraId="293DB311" w14:textId="77777777" w:rsidR="0049134E" w:rsidRDefault="0049134E" w:rsidP="0049134E">
      <w:pPr>
        <w:spacing w:after="0"/>
        <w:ind w:hanging="360"/>
        <w:rPr>
          <w:sz w:val="22"/>
          <w:szCs w:val="22"/>
        </w:rPr>
      </w:pPr>
      <w:r>
        <w:rPr>
          <w:sz w:val="22"/>
          <w:szCs w:val="22"/>
        </w:rPr>
        <w:t xml:space="preserve">32. </w:t>
      </w:r>
      <w:r>
        <w:rPr>
          <w:sz w:val="14"/>
          <w:szCs w:val="14"/>
        </w:rPr>
        <w:t xml:space="preserve"> </w:t>
      </w:r>
      <w:r>
        <w:rPr>
          <w:sz w:val="22"/>
          <w:szCs w:val="22"/>
        </w:rPr>
        <w:t>Con la limitada inversión en sistema de riego para las familias campesinas, el Estado ha abandonado su política de desarrollo rural, y con ello, los agricultores más pequeños, dedicados a granos básicos y alimentos tradicionales (mayormente indígenas), quienes están ubicados en territorios con altos índices de conflictividad agraria y ambiental, que representan el 65.3% de los hogares rurales y que producen cerca del 70% de los alimentos del país. El Estado concentra su atención en productores excedentarios, mayores y agroexportadoras (39.7% de los productores agrícolas)</w:t>
      </w:r>
      <w:r>
        <w:rPr>
          <w:color w:val="0563C1"/>
          <w:sz w:val="22"/>
          <w:szCs w:val="22"/>
          <w:vertAlign w:val="superscript"/>
        </w:rPr>
        <w:t>[37]</w:t>
      </w:r>
      <w:r>
        <w:rPr>
          <w:sz w:val="22"/>
          <w:szCs w:val="22"/>
        </w:rPr>
        <w:t>.</w:t>
      </w:r>
      <w:r w:rsidRPr="00967133">
        <w:rPr>
          <w:color w:val="0563C1"/>
          <w:sz w:val="22"/>
          <w:szCs w:val="22"/>
          <w:vertAlign w:val="superscript"/>
        </w:rPr>
        <w:t xml:space="preserve"> </w:t>
      </w:r>
    </w:p>
    <w:p w14:paraId="3F0B582F" w14:textId="77777777" w:rsidR="0049134E" w:rsidRDefault="0049134E" w:rsidP="0049134E">
      <w:pPr>
        <w:spacing w:after="0"/>
        <w:ind w:hanging="360"/>
        <w:rPr>
          <w:sz w:val="22"/>
          <w:szCs w:val="22"/>
        </w:rPr>
      </w:pPr>
      <w:r w:rsidRPr="00157E5B">
        <w:rPr>
          <w:sz w:val="22"/>
          <w:szCs w:val="22"/>
        </w:rPr>
        <w:t>3</w:t>
      </w:r>
      <w:r>
        <w:rPr>
          <w:sz w:val="22"/>
          <w:szCs w:val="22"/>
        </w:rPr>
        <w:t xml:space="preserve">3. </w:t>
      </w:r>
      <w:r w:rsidRPr="00157E5B">
        <w:rPr>
          <w:sz w:val="22"/>
          <w:szCs w:val="22"/>
        </w:rPr>
        <w:t>La respuesta 23, de la lista de cuestiones, párrafos 85 al 89 de Guatemala al Comité de Derechos Económicos, Sociales y Culturales relativo a su cuarto informe periódico se encuentra bajo esta lógica de reducción de presupuesto, baja ejecución y marginación del campesinado más necesitado mediante programas asistencialistas, mientras que la inversión productiva e infraestructura del agua se destina a agricultores no prioritarios socioeconómicamente.</w:t>
      </w:r>
    </w:p>
    <w:p w14:paraId="3142E814" w14:textId="77777777" w:rsidR="0049134E" w:rsidRDefault="0049134E" w:rsidP="0049134E">
      <w:pPr>
        <w:spacing w:after="0"/>
        <w:ind w:hanging="360"/>
        <w:rPr>
          <w:sz w:val="22"/>
          <w:szCs w:val="22"/>
        </w:rPr>
      </w:pPr>
    </w:p>
    <w:p w14:paraId="6ECE1B68" w14:textId="77777777" w:rsidR="0049134E" w:rsidRDefault="0049134E" w:rsidP="0049134E">
      <w:pPr>
        <w:spacing w:after="0"/>
        <w:rPr>
          <w:b/>
          <w:sz w:val="22"/>
          <w:szCs w:val="22"/>
        </w:rPr>
      </w:pPr>
      <w:r>
        <w:rPr>
          <w:b/>
          <w:sz w:val="22"/>
          <w:szCs w:val="22"/>
        </w:rPr>
        <w:t>D.2 El agua y la industria</w:t>
      </w:r>
    </w:p>
    <w:p w14:paraId="73FE644E" w14:textId="77777777" w:rsidR="0049134E" w:rsidRDefault="0049134E" w:rsidP="0049134E">
      <w:pPr>
        <w:spacing w:after="0"/>
        <w:rPr>
          <w:b/>
          <w:sz w:val="22"/>
          <w:szCs w:val="22"/>
        </w:rPr>
      </w:pPr>
    </w:p>
    <w:p w14:paraId="015B0A89" w14:textId="77777777" w:rsidR="0049134E" w:rsidRDefault="0049134E" w:rsidP="0049134E">
      <w:pPr>
        <w:spacing w:after="0"/>
        <w:ind w:hanging="360"/>
        <w:rPr>
          <w:sz w:val="12"/>
          <w:szCs w:val="12"/>
        </w:rPr>
      </w:pPr>
      <w:r w:rsidRPr="00A77CB6">
        <w:rPr>
          <w:sz w:val="22"/>
          <w:szCs w:val="22"/>
        </w:rPr>
        <w:t>3</w:t>
      </w:r>
      <w:r>
        <w:rPr>
          <w:sz w:val="22"/>
          <w:szCs w:val="22"/>
        </w:rPr>
        <w:t>4</w:t>
      </w:r>
      <w:r w:rsidRPr="00A77CB6">
        <w:rPr>
          <w:sz w:val="22"/>
          <w:szCs w:val="22"/>
        </w:rPr>
        <w:t>.</w:t>
      </w:r>
      <w:r w:rsidRPr="00A77CB6">
        <w:rPr>
          <w:sz w:val="14"/>
          <w:szCs w:val="14"/>
        </w:rPr>
        <w:t xml:space="preserve">  </w:t>
      </w:r>
      <w:r w:rsidRPr="00A77CB6">
        <w:rPr>
          <w:sz w:val="22"/>
          <w:szCs w:val="22"/>
        </w:rPr>
        <w:t>Según lo expresado en el lanzamiento de la</w:t>
      </w:r>
      <w:hyperlink r:id="rId9">
        <w:r w:rsidRPr="00A77CB6">
          <w:rPr>
            <w:color w:val="1155CC"/>
            <w:sz w:val="22"/>
            <w:szCs w:val="22"/>
          </w:rPr>
          <w:t xml:space="preserve"> </w:t>
        </w:r>
      </w:hyperlink>
      <w:hyperlink r:id="rId10">
        <w:r w:rsidRPr="00A77CB6">
          <w:rPr>
            <w:color w:val="0563C1"/>
            <w:sz w:val="22"/>
            <w:szCs w:val="22"/>
            <w:u w:val="single"/>
          </w:rPr>
          <w:t>Campaña Agua para la Vida</w:t>
        </w:r>
      </w:hyperlink>
      <w:r w:rsidRPr="00A77CB6">
        <w:rPr>
          <w:sz w:val="22"/>
          <w:szCs w:val="22"/>
        </w:rPr>
        <w:t>, en agosto 2022, del total del agua disponible en Guatemala, actualmente se usa y aprovecha solo un 16 %.  De ese porcentaje, el 7 % es usado por las hidroeléctricas para generar energía que se vende al mercado internacional, el 8 % lo usa la industria de monocultivos (caña, palma, banano, hule) así como la minería, y un 1 % es para el consumo humano de agua 16 millones de habitantes de Guatemala</w:t>
      </w:r>
      <w:r w:rsidRPr="00A77CB6">
        <w:rPr>
          <w:color w:val="0563C1"/>
          <w:vertAlign w:val="superscript"/>
        </w:rPr>
        <w:t xml:space="preserve"> [38]</w:t>
      </w:r>
      <w:r w:rsidRPr="00A77CB6">
        <w:rPr>
          <w:sz w:val="12"/>
          <w:szCs w:val="12"/>
        </w:rPr>
        <w:t>.</w:t>
      </w:r>
    </w:p>
    <w:p w14:paraId="1CAFE989" w14:textId="77777777" w:rsidR="0049134E" w:rsidRDefault="0049134E" w:rsidP="0049134E">
      <w:pPr>
        <w:spacing w:after="0"/>
        <w:ind w:hanging="360"/>
        <w:rPr>
          <w:sz w:val="12"/>
          <w:szCs w:val="12"/>
        </w:rPr>
      </w:pPr>
      <w:r>
        <w:rPr>
          <w:sz w:val="22"/>
          <w:szCs w:val="22"/>
        </w:rPr>
        <w:t>35.</w:t>
      </w:r>
      <w:r>
        <w:rPr>
          <w:sz w:val="14"/>
          <w:szCs w:val="14"/>
        </w:rPr>
        <w:t xml:space="preserve">  </w:t>
      </w:r>
      <w:r>
        <w:rPr>
          <w:sz w:val="22"/>
          <w:szCs w:val="22"/>
        </w:rPr>
        <w:t>Los efectos provocados por el extractivismo y la persistencia de un modelo basado en el uso intensivo del suelo arrojan estos datos reveladores: 33 hidroeléctricas instaladas en territorios indígenas; 307 licencias vigentes y 599 en trámite para exploración y explotación minera; 130,000 hectáreas destinadas a la producción de palma aceitera; 796,000  hectáreas para explorar  y explotar petróleo; el funcionamientos de TRECSA, dueña de las líneas de transmisión de 230 Kw por 50 años que pasa por 15 de los 22 departamentos del país; o el hecho de que en una hora una empresa minera gasta el agua que una familia consume por 20 años. Son datos que desmienten el argumento de las empresas extractivas sobre el aporte que dan al desarrollo del país, pero sin poner la atención en los indicadores sociales y niveles de vida de las familias campesinas e indígenas en donde asientan sus inversiones que permanecen sin avances en los últimos 15 años</w:t>
      </w:r>
      <w:r>
        <w:rPr>
          <w:color w:val="0563C1"/>
          <w:vertAlign w:val="superscript"/>
        </w:rPr>
        <w:t>[39]</w:t>
      </w:r>
      <w:r>
        <w:rPr>
          <w:sz w:val="12"/>
          <w:szCs w:val="12"/>
        </w:rPr>
        <w:t>.</w:t>
      </w:r>
    </w:p>
    <w:p w14:paraId="239EF65A" w14:textId="77777777" w:rsidR="0049134E" w:rsidRDefault="0049134E" w:rsidP="0049134E">
      <w:pPr>
        <w:spacing w:after="0"/>
        <w:ind w:hanging="360"/>
        <w:rPr>
          <w:sz w:val="12"/>
          <w:szCs w:val="12"/>
        </w:rPr>
      </w:pPr>
    </w:p>
    <w:p w14:paraId="245DA7E9" w14:textId="77777777" w:rsidR="0049134E" w:rsidRDefault="0049134E" w:rsidP="0049134E">
      <w:pPr>
        <w:spacing w:after="0"/>
        <w:rPr>
          <w:b/>
          <w:sz w:val="22"/>
          <w:szCs w:val="22"/>
        </w:rPr>
      </w:pPr>
      <w:r>
        <w:rPr>
          <w:b/>
          <w:sz w:val="22"/>
          <w:szCs w:val="22"/>
        </w:rPr>
        <w:t>D.3 El agua para consumo humano</w:t>
      </w:r>
    </w:p>
    <w:p w14:paraId="37FF633C" w14:textId="77777777" w:rsidR="0049134E" w:rsidRDefault="0049134E" w:rsidP="0049134E">
      <w:pPr>
        <w:spacing w:after="0"/>
        <w:rPr>
          <w:b/>
          <w:sz w:val="22"/>
          <w:szCs w:val="22"/>
        </w:rPr>
      </w:pPr>
    </w:p>
    <w:p w14:paraId="5B8EBEDD" w14:textId="77777777" w:rsidR="0049134E" w:rsidRDefault="0049134E" w:rsidP="0049134E">
      <w:pPr>
        <w:spacing w:after="0"/>
        <w:ind w:hanging="360"/>
        <w:rPr>
          <w:sz w:val="22"/>
          <w:szCs w:val="22"/>
        </w:rPr>
      </w:pPr>
      <w:r>
        <w:rPr>
          <w:sz w:val="22"/>
          <w:szCs w:val="22"/>
        </w:rPr>
        <w:t>36.</w:t>
      </w:r>
      <w:r>
        <w:rPr>
          <w:sz w:val="14"/>
          <w:szCs w:val="14"/>
        </w:rPr>
        <w:t xml:space="preserve">  </w:t>
      </w:r>
      <w:r>
        <w:rPr>
          <w:sz w:val="22"/>
          <w:szCs w:val="22"/>
        </w:rPr>
        <w:t xml:space="preserve">En el Informe sobre la Ley de Aguas y la regulación del derecho humano al agua en Guatemala, elaborado por Humberto Gobitz, investigador del Banco Interamericano de Desarrollo (BID), presentó cifras </w:t>
      </w:r>
      <w:r>
        <w:rPr>
          <w:sz w:val="22"/>
          <w:szCs w:val="22"/>
        </w:rPr>
        <w:lastRenderedPageBreak/>
        <w:t xml:space="preserve">actualizadas sobre el estado del sector agua y saneamiento según el cual, el 56 de cada 100 guatemaltecos tienen servicio de acceso seguro al agua potable, mientras que más de un millón toman agua de forma no segura y 273 toman agua de fuentes superficiales. Casi cuatro millones de personas no cuentan con un servicio </w:t>
      </w:r>
      <w:r w:rsidRPr="00885B31">
        <w:rPr>
          <w:sz w:val="22"/>
          <w:szCs w:val="22"/>
        </w:rPr>
        <w:t>de saneamiento seguro. Estas cifras indican que el país está lejos de cumplir con la provisión generalizada de servicios de agua potable y saneamiento, 35 años después de haber sido promulgada la Constitución y 24 años después de que se planteara una ruta concreta para la consolidación de la paz; ligada inexorablemente al “combate a la pobreza”. (BID 2020)</w:t>
      </w:r>
      <w:r w:rsidRPr="00885B31">
        <w:rPr>
          <w:color w:val="0563C1"/>
          <w:vertAlign w:val="superscript"/>
        </w:rPr>
        <w:t>[40]</w:t>
      </w:r>
      <w:r w:rsidRPr="00885B31">
        <w:rPr>
          <w:sz w:val="22"/>
          <w:szCs w:val="22"/>
        </w:rPr>
        <w:t>.</w:t>
      </w:r>
    </w:p>
    <w:p w14:paraId="0E3D0027" w14:textId="77777777" w:rsidR="0049134E" w:rsidRDefault="0049134E" w:rsidP="0049134E">
      <w:pPr>
        <w:spacing w:after="0"/>
        <w:ind w:hanging="360"/>
        <w:rPr>
          <w:sz w:val="22"/>
          <w:szCs w:val="22"/>
        </w:rPr>
      </w:pPr>
    </w:p>
    <w:p w14:paraId="553B7FCE" w14:textId="77777777" w:rsidR="0049134E" w:rsidRDefault="0049134E" w:rsidP="0049134E">
      <w:pPr>
        <w:spacing w:after="0"/>
        <w:rPr>
          <w:b/>
          <w:sz w:val="22"/>
          <w:szCs w:val="22"/>
        </w:rPr>
      </w:pPr>
      <w:r>
        <w:rPr>
          <w:b/>
          <w:sz w:val="22"/>
          <w:szCs w:val="22"/>
        </w:rPr>
        <w:t>D. 4 El agua y la seguridad alimentaria</w:t>
      </w:r>
    </w:p>
    <w:p w14:paraId="66A2DF0B" w14:textId="77777777" w:rsidR="0049134E" w:rsidRDefault="0049134E" w:rsidP="0049134E">
      <w:pPr>
        <w:spacing w:after="0"/>
        <w:rPr>
          <w:b/>
          <w:sz w:val="22"/>
          <w:szCs w:val="22"/>
        </w:rPr>
      </w:pPr>
    </w:p>
    <w:p w14:paraId="1153A7B4" w14:textId="77777777" w:rsidR="0049134E" w:rsidRDefault="0049134E" w:rsidP="0049134E">
      <w:pPr>
        <w:spacing w:after="0"/>
        <w:ind w:hanging="360"/>
        <w:rPr>
          <w:sz w:val="22"/>
          <w:szCs w:val="22"/>
        </w:rPr>
      </w:pPr>
      <w:r>
        <w:rPr>
          <w:sz w:val="22"/>
          <w:szCs w:val="22"/>
        </w:rPr>
        <w:t>37.</w:t>
      </w:r>
      <w:r>
        <w:rPr>
          <w:sz w:val="14"/>
          <w:szCs w:val="14"/>
        </w:rPr>
        <w:t xml:space="preserve">  </w:t>
      </w:r>
      <w:r>
        <w:rPr>
          <w:sz w:val="22"/>
          <w:szCs w:val="22"/>
        </w:rPr>
        <w:t>La seguridad alimentaria y nutricional es un problema que aqueja a casi tres cuartas partes de la población guatemalteca que se encuentra ligada a las dificultades de acceso al agua. Los sectores más afectados, son aquellos que combinan las condiciones de ser pueblos indígenas y familias campesinas, con niveles de pobreza y pobreza extrema severos, y que han sido objeto de diversas formas o mecanismos de intervención para tratar de solventar el problema de hambruna que les aqueja.</w:t>
      </w:r>
    </w:p>
    <w:p w14:paraId="51555DC9" w14:textId="77777777" w:rsidR="0049134E" w:rsidRDefault="0049134E" w:rsidP="0049134E">
      <w:pPr>
        <w:spacing w:after="0"/>
        <w:ind w:hanging="360"/>
        <w:rPr>
          <w:sz w:val="22"/>
          <w:szCs w:val="22"/>
        </w:rPr>
      </w:pPr>
      <w:r w:rsidRPr="00B17803">
        <w:rPr>
          <w:sz w:val="22"/>
          <w:szCs w:val="22"/>
        </w:rPr>
        <w:t>3</w:t>
      </w:r>
      <w:r>
        <w:rPr>
          <w:sz w:val="22"/>
          <w:szCs w:val="22"/>
        </w:rPr>
        <w:t>8</w:t>
      </w:r>
      <w:r w:rsidRPr="00B17803">
        <w:rPr>
          <w:sz w:val="22"/>
          <w:szCs w:val="22"/>
        </w:rPr>
        <w:t>.</w:t>
      </w:r>
      <w:r w:rsidRPr="00B17803">
        <w:rPr>
          <w:sz w:val="14"/>
          <w:szCs w:val="14"/>
        </w:rPr>
        <w:t xml:space="preserve">  </w:t>
      </w:r>
      <w:r w:rsidRPr="00B17803">
        <w:rPr>
          <w:sz w:val="22"/>
          <w:szCs w:val="22"/>
        </w:rPr>
        <w:t>En Guatemala aún existen distintos retos para poder garantizar de manera plena el derecho a la alimentación adecuada (DAA) para toda la población y transversalizar ese derecho con el derecho al agua y los demás derechos DESC. Especialmente, debido a las históricas desigualdades y problemas estructurales como la pobreza, la falta de acceso a tierras para pueblos indígenas y campesinos, la falta de acceso a servicios básicos, entre otros. Estas condiciones ocasionaron que las afecciones generadas por la pandemia COVID-19 fueron de mayores proporciones en la población con condiciones de pobreza, a quienes principalmente se les ha complicado el acceso económico a sus alimentos. Esta situación reclama para la recuperación y resiliencia,</w:t>
      </w:r>
      <w:r>
        <w:rPr>
          <w:sz w:val="22"/>
          <w:szCs w:val="22"/>
        </w:rPr>
        <w:t xml:space="preserve"> la participación social</w:t>
      </w:r>
      <w:r>
        <w:rPr>
          <w:color w:val="0563C1"/>
          <w:vertAlign w:val="superscript"/>
        </w:rPr>
        <w:t>[41]</w:t>
      </w:r>
      <w:r>
        <w:rPr>
          <w:sz w:val="22"/>
          <w:szCs w:val="22"/>
        </w:rPr>
        <w:t>.</w:t>
      </w:r>
    </w:p>
    <w:p w14:paraId="52FBC71A" w14:textId="77777777" w:rsidR="0049134E" w:rsidRDefault="0049134E" w:rsidP="0049134E">
      <w:pPr>
        <w:spacing w:after="0"/>
        <w:ind w:hanging="360"/>
        <w:rPr>
          <w:sz w:val="22"/>
          <w:szCs w:val="22"/>
        </w:rPr>
      </w:pPr>
    </w:p>
    <w:p w14:paraId="20121D8B" w14:textId="77777777" w:rsidR="0049134E" w:rsidRDefault="0049134E" w:rsidP="0049134E">
      <w:pPr>
        <w:spacing w:after="0"/>
        <w:ind w:hanging="360"/>
        <w:rPr>
          <w:b/>
          <w:sz w:val="22"/>
          <w:szCs w:val="22"/>
        </w:rPr>
      </w:pPr>
      <w:r>
        <w:rPr>
          <w:b/>
          <w:sz w:val="22"/>
          <w:szCs w:val="22"/>
        </w:rPr>
        <w:t>E.</w:t>
      </w:r>
      <w:r>
        <w:rPr>
          <w:sz w:val="14"/>
          <w:szCs w:val="14"/>
        </w:rPr>
        <w:t xml:space="preserve">    </w:t>
      </w:r>
      <w:r>
        <w:rPr>
          <w:b/>
          <w:sz w:val="22"/>
          <w:szCs w:val="22"/>
        </w:rPr>
        <w:t>EL AGUA DURANTE LA PANDEMIA</w:t>
      </w:r>
    </w:p>
    <w:p w14:paraId="720422F4" w14:textId="77777777" w:rsidR="0049134E" w:rsidRDefault="0049134E" w:rsidP="0049134E">
      <w:pPr>
        <w:spacing w:after="0"/>
        <w:ind w:hanging="360"/>
        <w:rPr>
          <w:b/>
          <w:sz w:val="22"/>
          <w:szCs w:val="22"/>
        </w:rPr>
      </w:pPr>
    </w:p>
    <w:p w14:paraId="23BDD318" w14:textId="77777777" w:rsidR="0049134E" w:rsidRDefault="0049134E" w:rsidP="0049134E">
      <w:pPr>
        <w:spacing w:after="0"/>
        <w:ind w:hanging="360"/>
        <w:rPr>
          <w:b/>
          <w:sz w:val="22"/>
          <w:szCs w:val="22"/>
        </w:rPr>
      </w:pPr>
      <w:r>
        <w:rPr>
          <w:b/>
          <w:sz w:val="22"/>
          <w:szCs w:val="22"/>
        </w:rPr>
        <w:t>E.1</w:t>
      </w:r>
      <w:r>
        <w:rPr>
          <w:sz w:val="14"/>
          <w:szCs w:val="14"/>
        </w:rPr>
        <w:t xml:space="preserve">  </w:t>
      </w:r>
      <w:r>
        <w:rPr>
          <w:b/>
          <w:sz w:val="22"/>
          <w:szCs w:val="22"/>
        </w:rPr>
        <w:t>El agua como recurso para prevenir el contagio.</w:t>
      </w:r>
    </w:p>
    <w:p w14:paraId="4457FB49" w14:textId="77777777" w:rsidR="0049134E" w:rsidRDefault="0049134E" w:rsidP="0049134E">
      <w:pPr>
        <w:spacing w:after="0"/>
        <w:ind w:hanging="360"/>
        <w:rPr>
          <w:b/>
          <w:sz w:val="22"/>
          <w:szCs w:val="22"/>
        </w:rPr>
      </w:pPr>
    </w:p>
    <w:p w14:paraId="7E5008DD" w14:textId="77777777" w:rsidR="0049134E" w:rsidRDefault="0049134E" w:rsidP="0049134E">
      <w:pPr>
        <w:spacing w:after="0"/>
        <w:ind w:hanging="360"/>
        <w:rPr>
          <w:color w:val="0563C1"/>
          <w:vertAlign w:val="superscript"/>
        </w:rPr>
      </w:pPr>
      <w:r w:rsidRPr="00325E9A">
        <w:rPr>
          <w:sz w:val="32"/>
          <w:szCs w:val="32"/>
          <w:vertAlign w:val="superscript"/>
        </w:rPr>
        <w:t>4</w:t>
      </w:r>
      <w:r>
        <w:rPr>
          <w:sz w:val="32"/>
          <w:szCs w:val="32"/>
          <w:vertAlign w:val="superscript"/>
        </w:rPr>
        <w:t>9</w:t>
      </w:r>
      <w:r w:rsidRPr="00325E9A">
        <w:rPr>
          <w:sz w:val="32"/>
          <w:szCs w:val="32"/>
          <w:vertAlign w:val="superscript"/>
        </w:rPr>
        <w:t>.</w:t>
      </w:r>
      <w:r w:rsidRPr="00325E9A">
        <w:rPr>
          <w:color w:val="0563C1"/>
          <w:vertAlign w:val="superscript"/>
        </w:rPr>
        <w:tab/>
      </w:r>
      <w:r w:rsidRPr="00325E9A">
        <w:rPr>
          <w:sz w:val="22"/>
          <w:szCs w:val="22"/>
        </w:rPr>
        <w:t>La calidad de agua afecta directamente a la transmisión de enfermedades de tipo infeccioso, gastrointestinal y en consecuencia diarreica aguda, parasitismo intestinal y otros, siendo la diarreica aguda las primeras 5 causas de morbilidad y mortalidad en el país</w:t>
      </w:r>
      <w:r w:rsidRPr="007A0248">
        <w:rPr>
          <w:color w:val="00B0F0"/>
          <w:sz w:val="22"/>
          <w:szCs w:val="22"/>
          <w:vertAlign w:val="superscript"/>
        </w:rPr>
        <w:t>[42]</w:t>
      </w:r>
      <w:r w:rsidRPr="007A0248">
        <w:rPr>
          <w:sz w:val="22"/>
          <w:szCs w:val="22"/>
        </w:rPr>
        <w:t xml:space="preserve">. </w:t>
      </w:r>
      <w:r w:rsidRPr="00325E9A">
        <w:rPr>
          <w:sz w:val="22"/>
          <w:szCs w:val="22"/>
        </w:rPr>
        <w:t>En los últimos 5 años se registró un promedio de 616 mil Enfermedades Transmitidas por Agua y Alimentos (ETAs), incluyendo 341 mil casos de enfermedad diarreica en menores de 5 años</w:t>
      </w:r>
      <w:bookmarkStart w:id="7" w:name="_Hlk112570692"/>
      <w:r w:rsidRPr="007A0248">
        <w:rPr>
          <w:sz w:val="22"/>
          <w:szCs w:val="22"/>
        </w:rPr>
        <w:t>.</w:t>
      </w:r>
      <w:r w:rsidRPr="007A0248">
        <w:rPr>
          <w:color w:val="0563C1"/>
          <w:sz w:val="22"/>
          <w:szCs w:val="22"/>
          <w:vertAlign w:val="superscript"/>
        </w:rPr>
        <w:t>[43]</w:t>
      </w:r>
    </w:p>
    <w:bookmarkEnd w:id="7"/>
    <w:p w14:paraId="5F711552" w14:textId="77777777" w:rsidR="0049134E" w:rsidRDefault="0049134E" w:rsidP="00E42578">
      <w:pPr>
        <w:spacing w:before="240" w:after="0"/>
        <w:ind w:hanging="357"/>
        <w:rPr>
          <w:sz w:val="22"/>
          <w:szCs w:val="22"/>
        </w:rPr>
      </w:pPr>
      <w:r>
        <w:rPr>
          <w:sz w:val="22"/>
          <w:szCs w:val="22"/>
        </w:rPr>
        <w:t>40.</w:t>
      </w:r>
      <w:r>
        <w:rPr>
          <w:sz w:val="14"/>
          <w:szCs w:val="14"/>
        </w:rPr>
        <w:t xml:space="preserve">  </w:t>
      </w:r>
      <w:r>
        <w:rPr>
          <w:sz w:val="22"/>
          <w:szCs w:val="22"/>
        </w:rPr>
        <w:t>La falta de agua potable, además, limita la prevención de enfermedades como COVID-19. En varios departamentos la situación problemática de establecimientos educativos públicos carentes de agua impide que los estudiantes regresen a clases presenciales. De casi 50 mil centros educativos privados, por cooperativa, municipales y oficiales, el 83.0% no tiene sanitarios, la mitad no tiene drenajes, y el 11.7% no tiene agua. Lo que limita sustancialmente el derecho a la educación de los niños y niñas guatemaltecas, al no poder cumplir los protocolos mínimos de salud, en el marco de la pandemia de COVID-19</w:t>
      </w:r>
      <w:r>
        <w:rPr>
          <w:color w:val="0563C1"/>
          <w:sz w:val="34"/>
          <w:szCs w:val="34"/>
          <w:vertAlign w:val="superscript"/>
        </w:rPr>
        <w:t>[</w:t>
      </w:r>
      <w:r>
        <w:rPr>
          <w:color w:val="0563C1"/>
          <w:vertAlign w:val="superscript"/>
        </w:rPr>
        <w:t>44]</w:t>
      </w:r>
      <w:r>
        <w:rPr>
          <w:sz w:val="22"/>
          <w:szCs w:val="22"/>
        </w:rPr>
        <w:t>.</w:t>
      </w:r>
    </w:p>
    <w:p w14:paraId="104BE18E" w14:textId="77777777" w:rsidR="0049134E" w:rsidRDefault="0049134E" w:rsidP="0049134E">
      <w:pPr>
        <w:spacing w:after="0"/>
        <w:ind w:hanging="360"/>
        <w:rPr>
          <w:sz w:val="22"/>
          <w:szCs w:val="22"/>
        </w:rPr>
      </w:pPr>
    </w:p>
    <w:p w14:paraId="4A18B43D" w14:textId="77777777" w:rsidR="0049134E" w:rsidRDefault="0049134E" w:rsidP="0049134E">
      <w:pPr>
        <w:spacing w:after="0"/>
        <w:ind w:hanging="360"/>
        <w:rPr>
          <w:b/>
          <w:sz w:val="22"/>
          <w:szCs w:val="22"/>
        </w:rPr>
      </w:pPr>
      <w:r>
        <w:rPr>
          <w:b/>
          <w:sz w:val="22"/>
          <w:szCs w:val="22"/>
        </w:rPr>
        <w:t>F.</w:t>
      </w:r>
      <w:r>
        <w:rPr>
          <w:sz w:val="14"/>
          <w:szCs w:val="14"/>
        </w:rPr>
        <w:t xml:space="preserve"> </w:t>
      </w:r>
      <w:r>
        <w:rPr>
          <w:sz w:val="14"/>
          <w:szCs w:val="14"/>
        </w:rPr>
        <w:tab/>
      </w:r>
      <w:r>
        <w:rPr>
          <w:b/>
          <w:sz w:val="22"/>
          <w:szCs w:val="22"/>
        </w:rPr>
        <w:t>POLÍTICA PÚBLICA DEL AGUA</w:t>
      </w:r>
    </w:p>
    <w:p w14:paraId="30C77615" w14:textId="77777777" w:rsidR="0049134E" w:rsidRDefault="0049134E" w:rsidP="0049134E">
      <w:pPr>
        <w:spacing w:after="0"/>
        <w:ind w:hanging="360"/>
        <w:rPr>
          <w:b/>
          <w:sz w:val="22"/>
          <w:szCs w:val="22"/>
        </w:rPr>
      </w:pPr>
    </w:p>
    <w:p w14:paraId="6F09C903" w14:textId="77777777" w:rsidR="0049134E" w:rsidRDefault="0049134E" w:rsidP="0049134E">
      <w:pPr>
        <w:spacing w:after="0"/>
        <w:rPr>
          <w:b/>
          <w:sz w:val="22"/>
          <w:szCs w:val="22"/>
        </w:rPr>
      </w:pPr>
      <w:r>
        <w:rPr>
          <w:b/>
          <w:sz w:val="22"/>
          <w:szCs w:val="22"/>
        </w:rPr>
        <w:t>F.1 El presupuesto para satisfacer un derecho humano</w:t>
      </w:r>
    </w:p>
    <w:p w14:paraId="65715992" w14:textId="77777777" w:rsidR="0049134E" w:rsidRPr="00E42578" w:rsidRDefault="0049134E" w:rsidP="0049134E">
      <w:pPr>
        <w:spacing w:after="0"/>
        <w:rPr>
          <w:b/>
          <w:color w:val="000000" w:themeColor="text1"/>
          <w:sz w:val="22"/>
          <w:szCs w:val="22"/>
        </w:rPr>
      </w:pPr>
    </w:p>
    <w:p w14:paraId="5BEDA775" w14:textId="23539921" w:rsidR="0049134E" w:rsidRPr="00E42578" w:rsidRDefault="007A0248" w:rsidP="00E42578">
      <w:pPr>
        <w:spacing w:after="0"/>
        <w:ind w:hanging="357"/>
        <w:rPr>
          <w:color w:val="000000" w:themeColor="text1"/>
          <w:sz w:val="22"/>
          <w:szCs w:val="22"/>
        </w:rPr>
      </w:pPr>
      <w:r w:rsidRPr="00E42578">
        <w:rPr>
          <w:color w:val="000000" w:themeColor="text1"/>
          <w:sz w:val="22"/>
          <w:szCs w:val="22"/>
        </w:rPr>
        <w:t xml:space="preserve">41. </w:t>
      </w:r>
      <w:r w:rsidR="0049134E" w:rsidRPr="00E42578">
        <w:rPr>
          <w:color w:val="000000" w:themeColor="text1"/>
          <w:sz w:val="22"/>
          <w:szCs w:val="22"/>
        </w:rPr>
        <w:t xml:space="preserve">No </w:t>
      </w:r>
      <w:bookmarkStart w:id="8" w:name="_Hlk112570091"/>
      <w:r w:rsidR="0049134E" w:rsidRPr="00E42578">
        <w:rPr>
          <w:color w:val="000000" w:themeColor="text1"/>
          <w:sz w:val="22"/>
          <w:szCs w:val="22"/>
        </w:rPr>
        <w:t>existe institución del gobierno que tenga las funciones de dirección de una política integral para asegurar</w:t>
      </w:r>
      <w:r w:rsidR="00E42578" w:rsidRPr="00E42578">
        <w:rPr>
          <w:color w:val="000000" w:themeColor="text1"/>
          <w:sz w:val="22"/>
          <w:szCs w:val="22"/>
        </w:rPr>
        <w:t xml:space="preserve"> </w:t>
      </w:r>
      <w:r w:rsidR="0049134E" w:rsidRPr="00E42578">
        <w:rPr>
          <w:color w:val="000000" w:themeColor="text1"/>
          <w:sz w:val="22"/>
          <w:szCs w:val="22"/>
        </w:rPr>
        <w:t xml:space="preserve">el derecho </w:t>
      </w:r>
      <w:bookmarkEnd w:id="8"/>
      <w:r w:rsidR="0049134E" w:rsidRPr="00E42578">
        <w:rPr>
          <w:color w:val="000000" w:themeColor="text1"/>
          <w:sz w:val="22"/>
          <w:szCs w:val="22"/>
        </w:rPr>
        <w:t>al agua que alinee y coordine las diversas competencias, de ministerios, fondos sociales y las municipalidades. La competencia mejor delimitada corresponde al MSPAS entidad que realiza supervisión a diversas entidades con mandato en el sector de agua y saneamiento. Existe el Instituto de Fomento Municipal (INFOM) entidad encargada de la ejecución del proyecto de construcción y/o mejoramiento de sistemas de agua y saneamiento básico, quien ve reducido su presupuesto de inversión en esos rubros.</w:t>
      </w:r>
    </w:p>
    <w:p w14:paraId="473E23D2" w14:textId="480C26B2" w:rsidR="0049134E" w:rsidRPr="00E42578" w:rsidRDefault="0049134E" w:rsidP="0049134E">
      <w:pPr>
        <w:spacing w:after="0"/>
        <w:rPr>
          <w:color w:val="000000" w:themeColor="text1"/>
          <w:sz w:val="22"/>
          <w:szCs w:val="22"/>
        </w:rPr>
      </w:pPr>
      <w:r w:rsidRPr="00E42578">
        <w:rPr>
          <w:color w:val="000000" w:themeColor="text1"/>
          <w:sz w:val="22"/>
          <w:szCs w:val="22"/>
        </w:rPr>
        <w:lastRenderedPageBreak/>
        <w:t>Las políticas públicas implican una relación intrínseca entre el plan y presupuesto, sin embargo, hay carencia de presentación de una planificación</w:t>
      </w:r>
      <w:r w:rsidR="00E42578" w:rsidRPr="00E42578">
        <w:rPr>
          <w:color w:val="000000" w:themeColor="text1"/>
          <w:sz w:val="22"/>
          <w:szCs w:val="22"/>
        </w:rPr>
        <w:t xml:space="preserve"> sobre el agua</w:t>
      </w:r>
      <w:r w:rsidRPr="00E42578">
        <w:rPr>
          <w:color w:val="000000" w:themeColor="text1"/>
          <w:sz w:val="22"/>
          <w:szCs w:val="22"/>
        </w:rPr>
        <w:t xml:space="preserve"> por parte de las municipalidades a la Secretaria General de Planificación y Programación de la Presidencia (SEGEPLAN), según requisitos de la Ley Orgánica del Presupuesto. A su vez, la débil gestión financiera y administrativa por parte del Consejo Departamental de Desarrollo genera una falta de ejecución y previsión de los proyectos encaminados a satisfacer las necesidades sobre el acceso al agua y saneamiento. Representando un ejemplo de desorden institucional, vacíos de dirección y de gobernanza del agua.</w:t>
      </w:r>
    </w:p>
    <w:p w14:paraId="35F113D8" w14:textId="77777777" w:rsidR="0049134E" w:rsidRPr="00F15055" w:rsidRDefault="0049134E" w:rsidP="0049134E">
      <w:pPr>
        <w:spacing w:after="0"/>
        <w:rPr>
          <w:b/>
          <w:color w:val="FF0000"/>
          <w:sz w:val="22"/>
          <w:szCs w:val="22"/>
        </w:rPr>
      </w:pPr>
    </w:p>
    <w:p w14:paraId="7C93162A" w14:textId="7CF3CA5F" w:rsidR="0049134E" w:rsidRDefault="0049134E" w:rsidP="0049134E">
      <w:pPr>
        <w:spacing w:after="0"/>
        <w:ind w:hanging="360"/>
        <w:rPr>
          <w:color w:val="0563C1"/>
          <w:vertAlign w:val="superscript"/>
        </w:rPr>
      </w:pPr>
      <w:r w:rsidRPr="00504D3C">
        <w:rPr>
          <w:sz w:val="22"/>
          <w:szCs w:val="22"/>
        </w:rPr>
        <w:t>4</w:t>
      </w:r>
      <w:r w:rsidR="00E42578">
        <w:rPr>
          <w:sz w:val="22"/>
          <w:szCs w:val="22"/>
        </w:rPr>
        <w:t>2</w:t>
      </w:r>
      <w:r w:rsidRPr="00504D3C">
        <w:rPr>
          <w:sz w:val="22"/>
          <w:szCs w:val="22"/>
        </w:rPr>
        <w:t>.</w:t>
      </w:r>
      <w:r w:rsidRPr="00504D3C">
        <w:rPr>
          <w:sz w:val="14"/>
          <w:szCs w:val="14"/>
        </w:rPr>
        <w:t xml:space="preserve">  </w:t>
      </w:r>
      <w:r>
        <w:rPr>
          <w:sz w:val="22"/>
          <w:szCs w:val="22"/>
        </w:rPr>
        <w:t xml:space="preserve">El Informe Circunstanciado del Procurador de los Derechos Humanos 2017, señala que la baja ejecución financiera que el Instituto de Fomento Municipal (INFOM), ha presentado sostenidamente desde 2014, se relaciona estrechamente a la obligación de las municipalidades, de proveer agua potable y sistemas de alcantarillado, solicitando recursos a esta entidad para su ejecución. En los Consejos de Desarrollo el 73.5% </w:t>
      </w:r>
      <w:r w:rsidRPr="007A634B">
        <w:rPr>
          <w:sz w:val="22"/>
          <w:szCs w:val="22"/>
        </w:rPr>
        <w:t>de los proyectos de agua y saneamiento municipales hasta noviembre de 2017 tenía menos de un 25% de ejecución física y solamente el 15.3 del total de proyectos presentaba una ejecución mayor del 75%.</w:t>
      </w:r>
      <w:r w:rsidRPr="007A634B">
        <w:rPr>
          <w:color w:val="0563C1"/>
          <w:vertAlign w:val="superscript"/>
        </w:rPr>
        <w:t>[45]</w:t>
      </w:r>
      <w:r>
        <w:rPr>
          <w:color w:val="0563C1"/>
          <w:vertAlign w:val="superscript"/>
        </w:rPr>
        <w:t xml:space="preserve"> </w:t>
      </w:r>
    </w:p>
    <w:p w14:paraId="31C63B26" w14:textId="4CA042E1" w:rsidR="0049134E" w:rsidRPr="00F15055" w:rsidRDefault="0049134E" w:rsidP="0049134E">
      <w:pPr>
        <w:spacing w:after="0"/>
        <w:ind w:hanging="360"/>
        <w:rPr>
          <w:color w:val="0563C1"/>
          <w:vertAlign w:val="superscript"/>
        </w:rPr>
      </w:pPr>
      <w:r>
        <w:rPr>
          <w:sz w:val="22"/>
          <w:szCs w:val="22"/>
        </w:rPr>
        <w:t>4</w:t>
      </w:r>
      <w:r w:rsidR="00E42578">
        <w:rPr>
          <w:sz w:val="22"/>
          <w:szCs w:val="22"/>
        </w:rPr>
        <w:t>3</w:t>
      </w:r>
      <w:r>
        <w:rPr>
          <w:sz w:val="22"/>
          <w:szCs w:val="22"/>
        </w:rPr>
        <w:t>. Esta situación no ha variado sustancialmente si se observa la cantidad de proyectos de Agua y Saneamiento ejecutados por distintas entidades del Estado, como se presente en el siguiente cuadro.</w:t>
      </w:r>
    </w:p>
    <w:p w14:paraId="1CD7FE3E" w14:textId="77777777" w:rsidR="0049134E" w:rsidRDefault="0049134E" w:rsidP="0049134E">
      <w:pPr>
        <w:spacing w:after="0"/>
        <w:ind w:hanging="360"/>
        <w:rPr>
          <w:sz w:val="22"/>
          <w:szCs w:val="22"/>
        </w:rPr>
      </w:pPr>
    </w:p>
    <w:p w14:paraId="25415768" w14:textId="77777777" w:rsidR="0049134E" w:rsidRDefault="0049134E" w:rsidP="0049134E">
      <w:pPr>
        <w:spacing w:after="0"/>
        <w:jc w:val="center"/>
        <w:rPr>
          <w:i/>
          <w:sz w:val="22"/>
          <w:szCs w:val="22"/>
        </w:rPr>
      </w:pPr>
      <w:r>
        <w:rPr>
          <w:i/>
          <w:sz w:val="22"/>
          <w:szCs w:val="22"/>
        </w:rPr>
        <w:t>Tabla 3: Financiamiento de Proyectos de Saneamiento y Agua</w:t>
      </w:r>
    </w:p>
    <w:p w14:paraId="56C3042D" w14:textId="77777777" w:rsidR="0049134E" w:rsidRDefault="0049134E" w:rsidP="0049134E">
      <w:pPr>
        <w:spacing w:after="0"/>
        <w:jc w:val="center"/>
        <w:rPr>
          <w:sz w:val="22"/>
          <w:szCs w:val="22"/>
        </w:rPr>
      </w:pPr>
      <w:r>
        <w:rPr>
          <w:i/>
          <w:sz w:val="22"/>
          <w:szCs w:val="22"/>
        </w:rPr>
        <w:t>Ejercicio fiscal 2019-2022</w:t>
      </w:r>
    </w:p>
    <w:tbl>
      <w:tblPr>
        <w:tblW w:w="9485" w:type="dxa"/>
        <w:jc w:val="center"/>
        <w:tblCellMar>
          <w:left w:w="70" w:type="dxa"/>
          <w:right w:w="70" w:type="dxa"/>
        </w:tblCellMar>
        <w:tblLook w:val="04A0" w:firstRow="1" w:lastRow="0" w:firstColumn="1" w:lastColumn="0" w:noHBand="0" w:noVBand="1"/>
      </w:tblPr>
      <w:tblGrid>
        <w:gridCol w:w="1884"/>
        <w:gridCol w:w="1565"/>
        <w:gridCol w:w="1670"/>
        <w:gridCol w:w="1565"/>
        <w:gridCol w:w="1626"/>
        <w:gridCol w:w="1175"/>
      </w:tblGrid>
      <w:tr w:rsidR="0049134E" w:rsidRPr="003502C5" w14:paraId="6FC8B41D" w14:textId="77777777" w:rsidTr="00FF27C9">
        <w:trPr>
          <w:trHeight w:val="579"/>
          <w:jc w:val="center"/>
        </w:trPr>
        <w:tc>
          <w:tcPr>
            <w:tcW w:w="9485" w:type="dxa"/>
            <w:gridSpan w:val="6"/>
            <w:tcBorders>
              <w:top w:val="single" w:sz="8" w:space="0" w:color="auto"/>
              <w:left w:val="single" w:sz="8" w:space="0" w:color="auto"/>
              <w:bottom w:val="single" w:sz="4" w:space="0" w:color="auto"/>
              <w:right w:val="single" w:sz="8" w:space="0" w:color="000000"/>
            </w:tcBorders>
            <w:shd w:val="clear" w:color="000000" w:fill="D6DCE4"/>
            <w:hideMark/>
          </w:tcPr>
          <w:p w14:paraId="1284128F" w14:textId="77777777" w:rsidR="0049134E" w:rsidRPr="003502C5" w:rsidRDefault="0049134E" w:rsidP="00FF27C9">
            <w:pPr>
              <w:spacing w:after="0"/>
              <w:jc w:val="center"/>
              <w:rPr>
                <w:b/>
                <w:bCs/>
                <w:color w:val="000000"/>
                <w:sz w:val="20"/>
                <w:szCs w:val="20"/>
              </w:rPr>
            </w:pPr>
            <w:r w:rsidRPr="003502C5">
              <w:rPr>
                <w:b/>
                <w:bCs/>
                <w:color w:val="000000"/>
                <w:sz w:val="20"/>
                <w:szCs w:val="20"/>
              </w:rPr>
              <w:t>Proyectos Saneamiento/Todas las entidades/Sector Agua y Saneamiento</w:t>
            </w:r>
            <w:r w:rsidRPr="003502C5">
              <w:rPr>
                <w:b/>
                <w:bCs/>
                <w:color w:val="000000"/>
                <w:sz w:val="20"/>
                <w:szCs w:val="20"/>
              </w:rPr>
              <w:br/>
              <w:t>Ejercicio Fiscal 2019-2022</w:t>
            </w:r>
          </w:p>
        </w:tc>
      </w:tr>
      <w:tr w:rsidR="0049134E" w:rsidRPr="003502C5" w14:paraId="2637EF7E" w14:textId="77777777" w:rsidTr="00FF27C9">
        <w:trPr>
          <w:trHeight w:val="633"/>
          <w:jc w:val="center"/>
        </w:trPr>
        <w:tc>
          <w:tcPr>
            <w:tcW w:w="1884" w:type="dxa"/>
            <w:tcBorders>
              <w:top w:val="nil"/>
              <w:left w:val="single" w:sz="8" w:space="0" w:color="auto"/>
              <w:bottom w:val="single" w:sz="4" w:space="0" w:color="auto"/>
              <w:right w:val="single" w:sz="4" w:space="0" w:color="auto"/>
            </w:tcBorders>
            <w:shd w:val="clear" w:color="000000" w:fill="D6DCE4"/>
            <w:hideMark/>
          </w:tcPr>
          <w:p w14:paraId="01B2B746" w14:textId="77777777" w:rsidR="0049134E" w:rsidRPr="003502C5" w:rsidRDefault="0049134E" w:rsidP="00FF27C9">
            <w:pPr>
              <w:spacing w:after="0"/>
              <w:jc w:val="center"/>
              <w:rPr>
                <w:b/>
                <w:bCs/>
                <w:color w:val="000000"/>
                <w:sz w:val="20"/>
                <w:szCs w:val="20"/>
              </w:rPr>
            </w:pPr>
            <w:r w:rsidRPr="003502C5">
              <w:rPr>
                <w:b/>
                <w:bCs/>
                <w:color w:val="000000"/>
                <w:sz w:val="20"/>
                <w:szCs w:val="20"/>
              </w:rPr>
              <w:t xml:space="preserve">NÚMERO DE PROYECTOS </w:t>
            </w:r>
          </w:p>
        </w:tc>
        <w:tc>
          <w:tcPr>
            <w:tcW w:w="1565" w:type="dxa"/>
            <w:tcBorders>
              <w:top w:val="nil"/>
              <w:left w:val="nil"/>
              <w:bottom w:val="single" w:sz="4" w:space="0" w:color="auto"/>
              <w:right w:val="single" w:sz="4" w:space="0" w:color="auto"/>
            </w:tcBorders>
            <w:shd w:val="clear" w:color="000000" w:fill="D6DCE4"/>
            <w:hideMark/>
          </w:tcPr>
          <w:p w14:paraId="402D99EC" w14:textId="77777777" w:rsidR="0049134E" w:rsidRPr="003502C5" w:rsidRDefault="0049134E" w:rsidP="00FF27C9">
            <w:pPr>
              <w:spacing w:after="0"/>
              <w:jc w:val="center"/>
              <w:rPr>
                <w:b/>
                <w:bCs/>
                <w:color w:val="000000"/>
                <w:sz w:val="20"/>
                <w:szCs w:val="20"/>
              </w:rPr>
            </w:pPr>
            <w:r w:rsidRPr="003502C5">
              <w:rPr>
                <w:b/>
                <w:bCs/>
                <w:color w:val="000000"/>
                <w:sz w:val="20"/>
                <w:szCs w:val="20"/>
              </w:rPr>
              <w:t xml:space="preserve"> TOTAL VIGENTE (Q) </w:t>
            </w:r>
          </w:p>
        </w:tc>
        <w:tc>
          <w:tcPr>
            <w:tcW w:w="1670" w:type="dxa"/>
            <w:tcBorders>
              <w:top w:val="nil"/>
              <w:left w:val="nil"/>
              <w:bottom w:val="single" w:sz="4" w:space="0" w:color="auto"/>
              <w:right w:val="single" w:sz="4" w:space="0" w:color="auto"/>
            </w:tcBorders>
            <w:shd w:val="clear" w:color="000000" w:fill="D6DCE4"/>
            <w:hideMark/>
          </w:tcPr>
          <w:p w14:paraId="3076D3FF" w14:textId="77777777" w:rsidR="0049134E" w:rsidRPr="003502C5" w:rsidRDefault="0049134E" w:rsidP="00FF27C9">
            <w:pPr>
              <w:spacing w:after="0"/>
              <w:jc w:val="center"/>
              <w:rPr>
                <w:b/>
                <w:bCs/>
                <w:color w:val="000000"/>
                <w:sz w:val="20"/>
                <w:szCs w:val="20"/>
              </w:rPr>
            </w:pPr>
            <w:r w:rsidRPr="003502C5">
              <w:rPr>
                <w:b/>
                <w:bCs/>
                <w:color w:val="000000"/>
                <w:sz w:val="20"/>
                <w:szCs w:val="20"/>
              </w:rPr>
              <w:t xml:space="preserve"> TOTAL EJECUTADO (Q) </w:t>
            </w:r>
          </w:p>
        </w:tc>
        <w:tc>
          <w:tcPr>
            <w:tcW w:w="1565" w:type="dxa"/>
            <w:tcBorders>
              <w:top w:val="nil"/>
              <w:left w:val="nil"/>
              <w:bottom w:val="single" w:sz="4" w:space="0" w:color="auto"/>
              <w:right w:val="single" w:sz="4" w:space="0" w:color="auto"/>
            </w:tcBorders>
            <w:shd w:val="clear" w:color="000000" w:fill="D6DCE4"/>
            <w:hideMark/>
          </w:tcPr>
          <w:p w14:paraId="59AF9F46" w14:textId="77777777" w:rsidR="0049134E" w:rsidRPr="003502C5" w:rsidRDefault="0049134E" w:rsidP="00FF27C9">
            <w:pPr>
              <w:spacing w:after="0"/>
              <w:jc w:val="center"/>
              <w:rPr>
                <w:b/>
                <w:bCs/>
                <w:color w:val="000000"/>
                <w:sz w:val="20"/>
                <w:szCs w:val="20"/>
              </w:rPr>
            </w:pPr>
            <w:r w:rsidRPr="003502C5">
              <w:rPr>
                <w:b/>
                <w:bCs/>
                <w:color w:val="000000"/>
                <w:sz w:val="20"/>
                <w:szCs w:val="20"/>
              </w:rPr>
              <w:t xml:space="preserve"> PORCENTAJE FINANCIERO EJECUTADO </w:t>
            </w:r>
          </w:p>
        </w:tc>
        <w:tc>
          <w:tcPr>
            <w:tcW w:w="1626" w:type="dxa"/>
            <w:tcBorders>
              <w:top w:val="nil"/>
              <w:left w:val="nil"/>
              <w:bottom w:val="single" w:sz="4" w:space="0" w:color="auto"/>
              <w:right w:val="single" w:sz="4" w:space="0" w:color="auto"/>
            </w:tcBorders>
            <w:shd w:val="clear" w:color="000000" w:fill="D6DCE4"/>
            <w:hideMark/>
          </w:tcPr>
          <w:p w14:paraId="417E1EC4" w14:textId="77777777" w:rsidR="0049134E" w:rsidRPr="003502C5" w:rsidRDefault="0049134E" w:rsidP="00FF27C9">
            <w:pPr>
              <w:spacing w:after="0"/>
              <w:jc w:val="center"/>
              <w:rPr>
                <w:b/>
                <w:bCs/>
                <w:color w:val="000000"/>
                <w:sz w:val="20"/>
                <w:szCs w:val="20"/>
              </w:rPr>
            </w:pPr>
            <w:r w:rsidRPr="003502C5">
              <w:rPr>
                <w:b/>
                <w:bCs/>
                <w:color w:val="000000"/>
                <w:sz w:val="20"/>
                <w:szCs w:val="20"/>
              </w:rPr>
              <w:t xml:space="preserve"> AVANCE FINANCIERO REPORTADO (%) </w:t>
            </w:r>
          </w:p>
        </w:tc>
        <w:tc>
          <w:tcPr>
            <w:tcW w:w="1175" w:type="dxa"/>
            <w:tcBorders>
              <w:top w:val="nil"/>
              <w:left w:val="nil"/>
              <w:bottom w:val="single" w:sz="4" w:space="0" w:color="auto"/>
              <w:right w:val="single" w:sz="8" w:space="0" w:color="auto"/>
            </w:tcBorders>
            <w:shd w:val="clear" w:color="000000" w:fill="D6DCE4"/>
            <w:hideMark/>
          </w:tcPr>
          <w:p w14:paraId="1E6F12FB" w14:textId="77777777" w:rsidR="0049134E" w:rsidRPr="003502C5" w:rsidRDefault="0049134E" w:rsidP="00FF27C9">
            <w:pPr>
              <w:spacing w:after="0"/>
              <w:jc w:val="center"/>
              <w:rPr>
                <w:b/>
                <w:bCs/>
                <w:color w:val="000000"/>
                <w:sz w:val="20"/>
                <w:szCs w:val="20"/>
              </w:rPr>
            </w:pPr>
            <w:r w:rsidRPr="003502C5">
              <w:rPr>
                <w:b/>
                <w:bCs/>
                <w:color w:val="000000"/>
                <w:sz w:val="20"/>
                <w:szCs w:val="20"/>
              </w:rPr>
              <w:t>AVANCE FÍSICO (%)</w:t>
            </w:r>
          </w:p>
        </w:tc>
      </w:tr>
      <w:tr w:rsidR="0049134E" w:rsidRPr="003502C5" w14:paraId="0FCB8240" w14:textId="77777777" w:rsidTr="00FF27C9">
        <w:trPr>
          <w:trHeight w:val="171"/>
          <w:jc w:val="center"/>
        </w:trPr>
        <w:tc>
          <w:tcPr>
            <w:tcW w:w="1884" w:type="dxa"/>
            <w:tcBorders>
              <w:top w:val="nil"/>
              <w:left w:val="single" w:sz="8" w:space="0" w:color="auto"/>
              <w:bottom w:val="single" w:sz="4" w:space="0" w:color="auto"/>
              <w:right w:val="single" w:sz="4" w:space="0" w:color="auto"/>
            </w:tcBorders>
            <w:shd w:val="clear" w:color="auto" w:fill="auto"/>
            <w:vAlign w:val="bottom"/>
            <w:hideMark/>
          </w:tcPr>
          <w:p w14:paraId="4AEB731D" w14:textId="77777777" w:rsidR="0049134E" w:rsidRPr="003502C5" w:rsidRDefault="0049134E" w:rsidP="00E42578">
            <w:pPr>
              <w:spacing w:before="120" w:after="120"/>
              <w:jc w:val="center"/>
              <w:rPr>
                <w:color w:val="000000"/>
                <w:sz w:val="20"/>
                <w:szCs w:val="20"/>
              </w:rPr>
            </w:pPr>
            <w:r w:rsidRPr="003502C5">
              <w:rPr>
                <w:color w:val="000000"/>
                <w:sz w:val="20"/>
                <w:szCs w:val="20"/>
              </w:rPr>
              <w:t>3,112</w:t>
            </w:r>
          </w:p>
        </w:tc>
        <w:tc>
          <w:tcPr>
            <w:tcW w:w="1565" w:type="dxa"/>
            <w:tcBorders>
              <w:top w:val="nil"/>
              <w:left w:val="nil"/>
              <w:bottom w:val="single" w:sz="4" w:space="0" w:color="auto"/>
              <w:right w:val="single" w:sz="4" w:space="0" w:color="auto"/>
            </w:tcBorders>
            <w:shd w:val="clear" w:color="auto" w:fill="auto"/>
            <w:vAlign w:val="center"/>
            <w:hideMark/>
          </w:tcPr>
          <w:p w14:paraId="45ABFE2B" w14:textId="570099E1" w:rsidR="0049134E" w:rsidRPr="003502C5" w:rsidRDefault="0049134E" w:rsidP="00E42578">
            <w:pPr>
              <w:spacing w:before="120" w:after="120"/>
              <w:jc w:val="center"/>
              <w:rPr>
                <w:color w:val="333333"/>
                <w:sz w:val="20"/>
                <w:szCs w:val="20"/>
              </w:rPr>
            </w:pPr>
            <w:r w:rsidRPr="003502C5">
              <w:rPr>
                <w:color w:val="333333"/>
                <w:sz w:val="20"/>
                <w:szCs w:val="20"/>
              </w:rPr>
              <w:t>3,316,585,965.21</w:t>
            </w:r>
          </w:p>
        </w:tc>
        <w:tc>
          <w:tcPr>
            <w:tcW w:w="1670" w:type="dxa"/>
            <w:tcBorders>
              <w:top w:val="nil"/>
              <w:left w:val="nil"/>
              <w:bottom w:val="single" w:sz="4" w:space="0" w:color="auto"/>
              <w:right w:val="single" w:sz="4" w:space="0" w:color="auto"/>
            </w:tcBorders>
            <w:shd w:val="clear" w:color="auto" w:fill="auto"/>
            <w:vAlign w:val="center"/>
            <w:hideMark/>
          </w:tcPr>
          <w:p w14:paraId="7242A144" w14:textId="4E7C10DB" w:rsidR="0049134E" w:rsidRPr="003502C5" w:rsidRDefault="0049134E" w:rsidP="00E42578">
            <w:pPr>
              <w:spacing w:before="120" w:after="120"/>
              <w:jc w:val="center"/>
              <w:rPr>
                <w:color w:val="333333"/>
                <w:sz w:val="20"/>
                <w:szCs w:val="20"/>
              </w:rPr>
            </w:pPr>
            <w:r w:rsidRPr="003502C5">
              <w:rPr>
                <w:color w:val="333333"/>
                <w:sz w:val="20"/>
                <w:szCs w:val="20"/>
              </w:rPr>
              <w:t>1,964,421,587.00</w:t>
            </w:r>
          </w:p>
        </w:tc>
        <w:tc>
          <w:tcPr>
            <w:tcW w:w="1565" w:type="dxa"/>
            <w:tcBorders>
              <w:top w:val="nil"/>
              <w:left w:val="nil"/>
              <w:bottom w:val="single" w:sz="4" w:space="0" w:color="auto"/>
              <w:right w:val="single" w:sz="4" w:space="0" w:color="auto"/>
            </w:tcBorders>
            <w:shd w:val="clear" w:color="auto" w:fill="auto"/>
            <w:vAlign w:val="bottom"/>
            <w:hideMark/>
          </w:tcPr>
          <w:p w14:paraId="0131B241" w14:textId="6ABAD94D" w:rsidR="0049134E" w:rsidRPr="003502C5" w:rsidRDefault="0049134E" w:rsidP="00E42578">
            <w:pPr>
              <w:spacing w:before="120" w:after="120"/>
              <w:jc w:val="center"/>
              <w:rPr>
                <w:color w:val="000000"/>
                <w:sz w:val="20"/>
                <w:szCs w:val="20"/>
              </w:rPr>
            </w:pPr>
            <w:r w:rsidRPr="003502C5">
              <w:rPr>
                <w:color w:val="000000"/>
                <w:sz w:val="20"/>
                <w:szCs w:val="20"/>
              </w:rPr>
              <w:t>59.23</w:t>
            </w:r>
          </w:p>
        </w:tc>
        <w:tc>
          <w:tcPr>
            <w:tcW w:w="1626" w:type="dxa"/>
            <w:tcBorders>
              <w:top w:val="nil"/>
              <w:left w:val="nil"/>
              <w:bottom w:val="single" w:sz="4" w:space="0" w:color="auto"/>
              <w:right w:val="single" w:sz="4" w:space="0" w:color="auto"/>
            </w:tcBorders>
            <w:shd w:val="clear" w:color="auto" w:fill="auto"/>
            <w:vAlign w:val="center"/>
            <w:hideMark/>
          </w:tcPr>
          <w:p w14:paraId="6A902786" w14:textId="1E1B9330" w:rsidR="0049134E" w:rsidRPr="003502C5" w:rsidRDefault="0049134E" w:rsidP="00E42578">
            <w:pPr>
              <w:spacing w:before="120" w:after="120"/>
              <w:jc w:val="center"/>
              <w:rPr>
                <w:color w:val="333333"/>
                <w:sz w:val="20"/>
                <w:szCs w:val="20"/>
              </w:rPr>
            </w:pPr>
            <w:r w:rsidRPr="003502C5">
              <w:rPr>
                <w:color w:val="333333"/>
                <w:sz w:val="20"/>
                <w:szCs w:val="20"/>
              </w:rPr>
              <w:t>35.02</w:t>
            </w:r>
          </w:p>
        </w:tc>
        <w:tc>
          <w:tcPr>
            <w:tcW w:w="1175" w:type="dxa"/>
            <w:tcBorders>
              <w:top w:val="nil"/>
              <w:left w:val="nil"/>
              <w:bottom w:val="single" w:sz="4" w:space="0" w:color="auto"/>
              <w:right w:val="single" w:sz="8" w:space="0" w:color="auto"/>
            </w:tcBorders>
            <w:shd w:val="clear" w:color="auto" w:fill="auto"/>
            <w:vAlign w:val="center"/>
            <w:hideMark/>
          </w:tcPr>
          <w:p w14:paraId="37493D90" w14:textId="1520D722" w:rsidR="0049134E" w:rsidRPr="003502C5" w:rsidRDefault="0049134E" w:rsidP="00E42578">
            <w:pPr>
              <w:spacing w:before="120" w:after="120"/>
              <w:jc w:val="center"/>
              <w:rPr>
                <w:color w:val="333333"/>
                <w:sz w:val="20"/>
                <w:szCs w:val="20"/>
              </w:rPr>
            </w:pPr>
            <w:r w:rsidRPr="003502C5">
              <w:rPr>
                <w:color w:val="333333"/>
                <w:sz w:val="20"/>
                <w:szCs w:val="20"/>
              </w:rPr>
              <w:t>39.79</w:t>
            </w:r>
          </w:p>
        </w:tc>
      </w:tr>
      <w:tr w:rsidR="0049134E" w:rsidRPr="003502C5" w14:paraId="65A19DFF" w14:textId="77777777" w:rsidTr="00FF27C9">
        <w:trPr>
          <w:trHeight w:val="986"/>
          <w:jc w:val="center"/>
        </w:trPr>
        <w:tc>
          <w:tcPr>
            <w:tcW w:w="9485" w:type="dxa"/>
            <w:gridSpan w:val="6"/>
            <w:tcBorders>
              <w:top w:val="single" w:sz="4" w:space="0" w:color="auto"/>
              <w:left w:val="single" w:sz="8" w:space="0" w:color="auto"/>
              <w:bottom w:val="single" w:sz="8" w:space="0" w:color="auto"/>
              <w:right w:val="single" w:sz="8" w:space="0" w:color="000000"/>
            </w:tcBorders>
            <w:shd w:val="clear" w:color="auto" w:fill="auto"/>
            <w:hideMark/>
          </w:tcPr>
          <w:p w14:paraId="0D5088ED" w14:textId="77777777" w:rsidR="0049134E" w:rsidRPr="003502C5" w:rsidRDefault="0049134E" w:rsidP="00FF27C9">
            <w:pPr>
              <w:spacing w:after="0"/>
              <w:jc w:val="left"/>
              <w:rPr>
                <w:color w:val="000000"/>
                <w:sz w:val="20"/>
                <w:szCs w:val="20"/>
              </w:rPr>
            </w:pPr>
            <w:r w:rsidRPr="003502C5">
              <w:rPr>
                <w:color w:val="000000"/>
                <w:sz w:val="20"/>
                <w:szCs w:val="20"/>
              </w:rPr>
              <w:t>Fuente: Elaboración propia con datos de SEGEPLAN. Entidades participantes: Gobiernos Locales, Consejos de Desarrollo, Municipalidades, Instituto de Fomento Municipal, CONFEDERACION DEPORTIVA AUTONOMA DE GUATEMALA, IGSS.  Proyectos de construcción, mantenimiento de agua potable; construcción y mantenimiento de infraestructura para aguas pluviales y aguas residuales.</w:t>
            </w:r>
          </w:p>
        </w:tc>
      </w:tr>
      <w:tr w:rsidR="0049134E" w:rsidRPr="003502C5" w14:paraId="5670AE96" w14:textId="77777777" w:rsidTr="00FF27C9">
        <w:trPr>
          <w:trHeight w:val="269"/>
          <w:jc w:val="center"/>
        </w:trPr>
        <w:tc>
          <w:tcPr>
            <w:tcW w:w="9485" w:type="dxa"/>
            <w:gridSpan w:val="6"/>
            <w:tcBorders>
              <w:top w:val="nil"/>
              <w:left w:val="nil"/>
              <w:bottom w:val="nil"/>
              <w:right w:val="nil"/>
            </w:tcBorders>
            <w:shd w:val="clear" w:color="auto" w:fill="auto"/>
            <w:noWrap/>
            <w:vAlign w:val="bottom"/>
            <w:hideMark/>
          </w:tcPr>
          <w:p w14:paraId="04373ECB" w14:textId="77777777" w:rsidR="0049134E" w:rsidRPr="003502C5" w:rsidRDefault="0049134E" w:rsidP="00FF27C9">
            <w:pPr>
              <w:spacing w:after="0"/>
              <w:jc w:val="left"/>
              <w:rPr>
                <w:color w:val="000000"/>
                <w:sz w:val="20"/>
                <w:szCs w:val="20"/>
              </w:rPr>
            </w:pPr>
          </w:p>
        </w:tc>
      </w:tr>
      <w:tr w:rsidR="0049134E" w:rsidRPr="003502C5" w14:paraId="1851C179" w14:textId="77777777" w:rsidTr="00FF27C9">
        <w:trPr>
          <w:trHeight w:val="80"/>
          <w:jc w:val="center"/>
        </w:trPr>
        <w:tc>
          <w:tcPr>
            <w:tcW w:w="1884" w:type="dxa"/>
            <w:tcBorders>
              <w:top w:val="nil"/>
              <w:left w:val="nil"/>
              <w:bottom w:val="nil"/>
              <w:right w:val="nil"/>
            </w:tcBorders>
            <w:shd w:val="clear" w:color="auto" w:fill="auto"/>
            <w:noWrap/>
            <w:vAlign w:val="bottom"/>
            <w:hideMark/>
          </w:tcPr>
          <w:p w14:paraId="3BE69D37" w14:textId="77777777" w:rsidR="0049134E" w:rsidRPr="003502C5" w:rsidRDefault="0049134E" w:rsidP="00FF27C9">
            <w:pPr>
              <w:spacing w:after="0"/>
              <w:jc w:val="left"/>
              <w:rPr>
                <w:sz w:val="20"/>
                <w:szCs w:val="20"/>
              </w:rPr>
            </w:pPr>
          </w:p>
        </w:tc>
        <w:tc>
          <w:tcPr>
            <w:tcW w:w="1565" w:type="dxa"/>
            <w:tcBorders>
              <w:top w:val="nil"/>
              <w:left w:val="nil"/>
              <w:bottom w:val="nil"/>
              <w:right w:val="nil"/>
            </w:tcBorders>
            <w:shd w:val="clear" w:color="auto" w:fill="auto"/>
            <w:noWrap/>
            <w:vAlign w:val="bottom"/>
            <w:hideMark/>
          </w:tcPr>
          <w:p w14:paraId="192A0FF7" w14:textId="77777777" w:rsidR="0049134E" w:rsidRPr="003502C5" w:rsidRDefault="0049134E" w:rsidP="00FF27C9">
            <w:pPr>
              <w:spacing w:after="0"/>
              <w:jc w:val="left"/>
              <w:rPr>
                <w:sz w:val="20"/>
                <w:szCs w:val="20"/>
              </w:rPr>
            </w:pPr>
          </w:p>
        </w:tc>
        <w:tc>
          <w:tcPr>
            <w:tcW w:w="1670" w:type="dxa"/>
            <w:tcBorders>
              <w:top w:val="nil"/>
              <w:left w:val="nil"/>
              <w:bottom w:val="nil"/>
              <w:right w:val="nil"/>
            </w:tcBorders>
            <w:shd w:val="clear" w:color="auto" w:fill="auto"/>
            <w:noWrap/>
            <w:vAlign w:val="bottom"/>
            <w:hideMark/>
          </w:tcPr>
          <w:p w14:paraId="7DB3270E" w14:textId="77777777" w:rsidR="0049134E" w:rsidRPr="003502C5" w:rsidRDefault="0049134E" w:rsidP="00FF27C9">
            <w:pPr>
              <w:spacing w:after="0"/>
              <w:jc w:val="left"/>
              <w:rPr>
                <w:sz w:val="20"/>
                <w:szCs w:val="20"/>
              </w:rPr>
            </w:pPr>
          </w:p>
        </w:tc>
        <w:tc>
          <w:tcPr>
            <w:tcW w:w="1565" w:type="dxa"/>
            <w:tcBorders>
              <w:top w:val="nil"/>
              <w:left w:val="nil"/>
              <w:bottom w:val="nil"/>
              <w:right w:val="nil"/>
            </w:tcBorders>
            <w:shd w:val="clear" w:color="auto" w:fill="auto"/>
            <w:noWrap/>
            <w:vAlign w:val="bottom"/>
            <w:hideMark/>
          </w:tcPr>
          <w:p w14:paraId="5CEE4A5B" w14:textId="77777777" w:rsidR="0049134E" w:rsidRPr="003502C5" w:rsidRDefault="0049134E" w:rsidP="00FF27C9">
            <w:pPr>
              <w:spacing w:after="0"/>
              <w:jc w:val="left"/>
              <w:rPr>
                <w:sz w:val="20"/>
                <w:szCs w:val="20"/>
              </w:rPr>
            </w:pPr>
          </w:p>
        </w:tc>
        <w:tc>
          <w:tcPr>
            <w:tcW w:w="1626" w:type="dxa"/>
            <w:tcBorders>
              <w:top w:val="nil"/>
              <w:left w:val="nil"/>
              <w:bottom w:val="nil"/>
              <w:right w:val="nil"/>
            </w:tcBorders>
            <w:shd w:val="clear" w:color="auto" w:fill="auto"/>
            <w:noWrap/>
            <w:vAlign w:val="bottom"/>
            <w:hideMark/>
          </w:tcPr>
          <w:p w14:paraId="3CA77214" w14:textId="77777777" w:rsidR="0049134E" w:rsidRPr="003502C5" w:rsidRDefault="0049134E" w:rsidP="00FF27C9">
            <w:pPr>
              <w:spacing w:after="0"/>
              <w:jc w:val="left"/>
              <w:rPr>
                <w:sz w:val="20"/>
                <w:szCs w:val="20"/>
              </w:rPr>
            </w:pPr>
          </w:p>
        </w:tc>
        <w:tc>
          <w:tcPr>
            <w:tcW w:w="1175" w:type="dxa"/>
            <w:tcBorders>
              <w:top w:val="nil"/>
              <w:left w:val="nil"/>
              <w:bottom w:val="nil"/>
              <w:right w:val="nil"/>
            </w:tcBorders>
            <w:shd w:val="clear" w:color="auto" w:fill="auto"/>
            <w:noWrap/>
            <w:vAlign w:val="bottom"/>
            <w:hideMark/>
          </w:tcPr>
          <w:p w14:paraId="7ED04E1E" w14:textId="77777777" w:rsidR="0049134E" w:rsidRPr="003502C5" w:rsidRDefault="0049134E" w:rsidP="00FF27C9">
            <w:pPr>
              <w:spacing w:after="0"/>
              <w:jc w:val="left"/>
              <w:rPr>
                <w:sz w:val="20"/>
                <w:szCs w:val="20"/>
              </w:rPr>
            </w:pPr>
          </w:p>
        </w:tc>
      </w:tr>
      <w:tr w:rsidR="0049134E" w:rsidRPr="003502C5" w14:paraId="7CC190CD" w14:textId="77777777" w:rsidTr="00FF27C9">
        <w:trPr>
          <w:trHeight w:val="755"/>
          <w:jc w:val="center"/>
        </w:trPr>
        <w:tc>
          <w:tcPr>
            <w:tcW w:w="9485" w:type="dxa"/>
            <w:gridSpan w:val="6"/>
            <w:tcBorders>
              <w:top w:val="single" w:sz="8" w:space="0" w:color="auto"/>
              <w:left w:val="single" w:sz="8" w:space="0" w:color="auto"/>
              <w:bottom w:val="single" w:sz="4" w:space="0" w:color="auto"/>
              <w:right w:val="single" w:sz="8" w:space="0" w:color="000000"/>
            </w:tcBorders>
            <w:shd w:val="clear" w:color="000000" w:fill="D6DCE4"/>
            <w:hideMark/>
          </w:tcPr>
          <w:p w14:paraId="1377FA14" w14:textId="77777777" w:rsidR="0049134E" w:rsidRPr="003502C5" w:rsidRDefault="0049134E" w:rsidP="00FF27C9">
            <w:pPr>
              <w:spacing w:after="0"/>
              <w:jc w:val="center"/>
              <w:rPr>
                <w:b/>
                <w:bCs/>
                <w:color w:val="000000"/>
                <w:sz w:val="20"/>
                <w:szCs w:val="20"/>
              </w:rPr>
            </w:pPr>
            <w:r w:rsidRPr="003502C5">
              <w:rPr>
                <w:b/>
                <w:bCs/>
                <w:color w:val="000000"/>
                <w:sz w:val="20"/>
                <w:szCs w:val="20"/>
              </w:rPr>
              <w:t>Proyectos Agua/Todas las entidades/Sector Agua y Saneamiento</w:t>
            </w:r>
            <w:r w:rsidRPr="003502C5">
              <w:rPr>
                <w:b/>
                <w:bCs/>
                <w:color w:val="000000"/>
                <w:sz w:val="20"/>
                <w:szCs w:val="20"/>
              </w:rPr>
              <w:br/>
              <w:t>Ejercicio Fiscal 2019-2022</w:t>
            </w:r>
          </w:p>
        </w:tc>
      </w:tr>
      <w:tr w:rsidR="0049134E" w:rsidRPr="003502C5" w14:paraId="1808B698" w14:textId="77777777" w:rsidTr="00FF27C9">
        <w:trPr>
          <w:trHeight w:val="566"/>
          <w:jc w:val="center"/>
        </w:trPr>
        <w:tc>
          <w:tcPr>
            <w:tcW w:w="1884" w:type="dxa"/>
            <w:tcBorders>
              <w:top w:val="nil"/>
              <w:left w:val="single" w:sz="8" w:space="0" w:color="auto"/>
              <w:bottom w:val="single" w:sz="4" w:space="0" w:color="auto"/>
              <w:right w:val="single" w:sz="4" w:space="0" w:color="auto"/>
            </w:tcBorders>
            <w:shd w:val="clear" w:color="000000" w:fill="D6DCE4"/>
            <w:hideMark/>
          </w:tcPr>
          <w:p w14:paraId="28DD09E0" w14:textId="77777777" w:rsidR="0049134E" w:rsidRPr="003502C5" w:rsidRDefault="0049134E" w:rsidP="00FF27C9">
            <w:pPr>
              <w:spacing w:after="0"/>
              <w:jc w:val="center"/>
              <w:rPr>
                <w:b/>
                <w:bCs/>
                <w:color w:val="000000"/>
                <w:sz w:val="20"/>
                <w:szCs w:val="20"/>
              </w:rPr>
            </w:pPr>
            <w:r w:rsidRPr="003502C5">
              <w:rPr>
                <w:b/>
                <w:bCs/>
                <w:color w:val="000000"/>
                <w:sz w:val="20"/>
                <w:szCs w:val="20"/>
              </w:rPr>
              <w:t xml:space="preserve">NÚMERO DE PROYECTOS </w:t>
            </w:r>
          </w:p>
        </w:tc>
        <w:tc>
          <w:tcPr>
            <w:tcW w:w="1565" w:type="dxa"/>
            <w:tcBorders>
              <w:top w:val="nil"/>
              <w:left w:val="nil"/>
              <w:bottom w:val="single" w:sz="4" w:space="0" w:color="auto"/>
              <w:right w:val="single" w:sz="4" w:space="0" w:color="auto"/>
            </w:tcBorders>
            <w:shd w:val="clear" w:color="000000" w:fill="D6DCE4"/>
            <w:hideMark/>
          </w:tcPr>
          <w:p w14:paraId="42D0A486" w14:textId="77777777" w:rsidR="0049134E" w:rsidRPr="003502C5" w:rsidRDefault="0049134E" w:rsidP="00FF27C9">
            <w:pPr>
              <w:spacing w:after="0"/>
              <w:jc w:val="center"/>
              <w:rPr>
                <w:b/>
                <w:bCs/>
                <w:color w:val="000000"/>
                <w:sz w:val="20"/>
                <w:szCs w:val="20"/>
              </w:rPr>
            </w:pPr>
            <w:r w:rsidRPr="003502C5">
              <w:rPr>
                <w:b/>
                <w:bCs/>
                <w:color w:val="000000"/>
                <w:sz w:val="20"/>
                <w:szCs w:val="20"/>
              </w:rPr>
              <w:t xml:space="preserve"> TOTAL VIGENTE (Q) </w:t>
            </w:r>
          </w:p>
        </w:tc>
        <w:tc>
          <w:tcPr>
            <w:tcW w:w="1670" w:type="dxa"/>
            <w:tcBorders>
              <w:top w:val="nil"/>
              <w:left w:val="nil"/>
              <w:bottom w:val="single" w:sz="4" w:space="0" w:color="auto"/>
              <w:right w:val="single" w:sz="4" w:space="0" w:color="auto"/>
            </w:tcBorders>
            <w:shd w:val="clear" w:color="000000" w:fill="D6DCE4"/>
            <w:hideMark/>
          </w:tcPr>
          <w:p w14:paraId="594493D3" w14:textId="77777777" w:rsidR="0049134E" w:rsidRPr="003502C5" w:rsidRDefault="0049134E" w:rsidP="00FF27C9">
            <w:pPr>
              <w:spacing w:after="0"/>
              <w:jc w:val="center"/>
              <w:rPr>
                <w:b/>
                <w:bCs/>
                <w:color w:val="000000"/>
                <w:sz w:val="20"/>
                <w:szCs w:val="20"/>
              </w:rPr>
            </w:pPr>
            <w:r w:rsidRPr="003502C5">
              <w:rPr>
                <w:b/>
                <w:bCs/>
                <w:color w:val="000000"/>
                <w:sz w:val="20"/>
                <w:szCs w:val="20"/>
              </w:rPr>
              <w:t xml:space="preserve"> TOTAL EJECUTADO (Q) </w:t>
            </w:r>
          </w:p>
        </w:tc>
        <w:tc>
          <w:tcPr>
            <w:tcW w:w="1565" w:type="dxa"/>
            <w:tcBorders>
              <w:top w:val="nil"/>
              <w:left w:val="nil"/>
              <w:bottom w:val="single" w:sz="4" w:space="0" w:color="auto"/>
              <w:right w:val="single" w:sz="4" w:space="0" w:color="auto"/>
            </w:tcBorders>
            <w:shd w:val="clear" w:color="000000" w:fill="D6DCE4"/>
            <w:hideMark/>
          </w:tcPr>
          <w:p w14:paraId="36E7FC1D" w14:textId="77777777" w:rsidR="0049134E" w:rsidRPr="003502C5" w:rsidRDefault="0049134E" w:rsidP="00FF27C9">
            <w:pPr>
              <w:spacing w:after="0"/>
              <w:jc w:val="center"/>
              <w:rPr>
                <w:b/>
                <w:bCs/>
                <w:color w:val="000000"/>
                <w:sz w:val="20"/>
                <w:szCs w:val="20"/>
              </w:rPr>
            </w:pPr>
            <w:r w:rsidRPr="003502C5">
              <w:rPr>
                <w:b/>
                <w:bCs/>
                <w:color w:val="000000"/>
                <w:sz w:val="20"/>
                <w:szCs w:val="20"/>
              </w:rPr>
              <w:t xml:space="preserve"> PORCENTAJE EJECUTADO (Q) </w:t>
            </w:r>
          </w:p>
        </w:tc>
        <w:tc>
          <w:tcPr>
            <w:tcW w:w="1626" w:type="dxa"/>
            <w:tcBorders>
              <w:top w:val="nil"/>
              <w:left w:val="nil"/>
              <w:bottom w:val="single" w:sz="4" w:space="0" w:color="auto"/>
              <w:right w:val="single" w:sz="4" w:space="0" w:color="auto"/>
            </w:tcBorders>
            <w:shd w:val="clear" w:color="000000" w:fill="D6DCE4"/>
            <w:hideMark/>
          </w:tcPr>
          <w:p w14:paraId="7CBFC50A" w14:textId="77777777" w:rsidR="0049134E" w:rsidRPr="003502C5" w:rsidRDefault="0049134E" w:rsidP="00FF27C9">
            <w:pPr>
              <w:spacing w:after="0"/>
              <w:jc w:val="center"/>
              <w:rPr>
                <w:b/>
                <w:bCs/>
                <w:color w:val="000000"/>
                <w:sz w:val="20"/>
                <w:szCs w:val="20"/>
              </w:rPr>
            </w:pPr>
            <w:r w:rsidRPr="003502C5">
              <w:rPr>
                <w:b/>
                <w:bCs/>
                <w:color w:val="000000"/>
                <w:sz w:val="20"/>
                <w:szCs w:val="20"/>
              </w:rPr>
              <w:t xml:space="preserve"> AVANCE FINANCIERO REPORTADO (%) </w:t>
            </w:r>
          </w:p>
        </w:tc>
        <w:tc>
          <w:tcPr>
            <w:tcW w:w="1175" w:type="dxa"/>
            <w:tcBorders>
              <w:top w:val="nil"/>
              <w:left w:val="nil"/>
              <w:bottom w:val="single" w:sz="4" w:space="0" w:color="auto"/>
              <w:right w:val="single" w:sz="8" w:space="0" w:color="auto"/>
            </w:tcBorders>
            <w:shd w:val="clear" w:color="000000" w:fill="D6DCE4"/>
            <w:hideMark/>
          </w:tcPr>
          <w:p w14:paraId="63F70F09" w14:textId="77777777" w:rsidR="0049134E" w:rsidRPr="003502C5" w:rsidRDefault="0049134E" w:rsidP="00FF27C9">
            <w:pPr>
              <w:spacing w:after="0"/>
              <w:jc w:val="center"/>
              <w:rPr>
                <w:b/>
                <w:bCs/>
                <w:color w:val="000000"/>
                <w:sz w:val="20"/>
                <w:szCs w:val="20"/>
              </w:rPr>
            </w:pPr>
            <w:r w:rsidRPr="003502C5">
              <w:rPr>
                <w:b/>
                <w:bCs/>
                <w:color w:val="000000"/>
                <w:sz w:val="20"/>
                <w:szCs w:val="20"/>
              </w:rPr>
              <w:t>AVANCE FÍSICO (%)</w:t>
            </w:r>
          </w:p>
        </w:tc>
      </w:tr>
      <w:tr w:rsidR="0049134E" w:rsidRPr="003502C5" w14:paraId="0893CAF1" w14:textId="77777777" w:rsidTr="00A871A5">
        <w:trPr>
          <w:trHeight w:val="567"/>
          <w:jc w:val="center"/>
        </w:trPr>
        <w:tc>
          <w:tcPr>
            <w:tcW w:w="1884" w:type="dxa"/>
            <w:tcBorders>
              <w:top w:val="nil"/>
              <w:left w:val="single" w:sz="8" w:space="0" w:color="auto"/>
              <w:bottom w:val="single" w:sz="4" w:space="0" w:color="auto"/>
              <w:right w:val="single" w:sz="4" w:space="0" w:color="auto"/>
            </w:tcBorders>
            <w:shd w:val="clear" w:color="auto" w:fill="auto"/>
            <w:vAlign w:val="bottom"/>
            <w:hideMark/>
          </w:tcPr>
          <w:p w14:paraId="2151B565" w14:textId="77777777" w:rsidR="0049134E" w:rsidRPr="003502C5" w:rsidRDefault="0049134E" w:rsidP="00A871A5">
            <w:pPr>
              <w:spacing w:before="120" w:after="120"/>
              <w:jc w:val="center"/>
              <w:rPr>
                <w:color w:val="000000"/>
                <w:sz w:val="20"/>
                <w:szCs w:val="20"/>
              </w:rPr>
            </w:pPr>
            <w:r w:rsidRPr="003502C5">
              <w:rPr>
                <w:color w:val="000000"/>
                <w:sz w:val="20"/>
                <w:szCs w:val="20"/>
              </w:rPr>
              <w:t>6,505</w:t>
            </w:r>
          </w:p>
        </w:tc>
        <w:tc>
          <w:tcPr>
            <w:tcW w:w="1565" w:type="dxa"/>
            <w:tcBorders>
              <w:top w:val="nil"/>
              <w:left w:val="nil"/>
              <w:bottom w:val="single" w:sz="4" w:space="0" w:color="auto"/>
              <w:right w:val="single" w:sz="4" w:space="0" w:color="auto"/>
            </w:tcBorders>
            <w:shd w:val="clear" w:color="auto" w:fill="auto"/>
            <w:hideMark/>
          </w:tcPr>
          <w:p w14:paraId="1EC746C2" w14:textId="77777777" w:rsidR="0049134E" w:rsidRPr="003502C5" w:rsidRDefault="0049134E" w:rsidP="00A871A5">
            <w:pPr>
              <w:spacing w:before="120" w:after="120"/>
              <w:jc w:val="center"/>
              <w:rPr>
                <w:color w:val="000000"/>
                <w:sz w:val="20"/>
                <w:szCs w:val="20"/>
              </w:rPr>
            </w:pPr>
            <w:r w:rsidRPr="003502C5">
              <w:rPr>
                <w:color w:val="000000"/>
                <w:sz w:val="20"/>
                <w:szCs w:val="20"/>
              </w:rPr>
              <w:t>6,091,584,835.78</w:t>
            </w:r>
          </w:p>
        </w:tc>
        <w:tc>
          <w:tcPr>
            <w:tcW w:w="1670" w:type="dxa"/>
            <w:tcBorders>
              <w:top w:val="nil"/>
              <w:left w:val="nil"/>
              <w:bottom w:val="single" w:sz="4" w:space="0" w:color="auto"/>
              <w:right w:val="single" w:sz="4" w:space="0" w:color="auto"/>
            </w:tcBorders>
            <w:shd w:val="clear" w:color="auto" w:fill="auto"/>
            <w:hideMark/>
          </w:tcPr>
          <w:p w14:paraId="3243CC58" w14:textId="77777777" w:rsidR="0049134E" w:rsidRPr="003502C5" w:rsidRDefault="0049134E" w:rsidP="00A871A5">
            <w:pPr>
              <w:spacing w:before="120" w:after="120"/>
              <w:jc w:val="center"/>
              <w:rPr>
                <w:color w:val="000000"/>
                <w:sz w:val="20"/>
                <w:szCs w:val="20"/>
              </w:rPr>
            </w:pPr>
            <w:r w:rsidRPr="003502C5">
              <w:rPr>
                <w:color w:val="000000"/>
                <w:sz w:val="20"/>
                <w:szCs w:val="20"/>
              </w:rPr>
              <w:t>3,502,086,733.02</w:t>
            </w:r>
          </w:p>
        </w:tc>
        <w:tc>
          <w:tcPr>
            <w:tcW w:w="1565" w:type="dxa"/>
            <w:tcBorders>
              <w:top w:val="nil"/>
              <w:left w:val="nil"/>
              <w:bottom w:val="single" w:sz="4" w:space="0" w:color="auto"/>
              <w:right w:val="single" w:sz="4" w:space="0" w:color="auto"/>
            </w:tcBorders>
            <w:shd w:val="clear" w:color="auto" w:fill="auto"/>
            <w:vAlign w:val="bottom"/>
            <w:hideMark/>
          </w:tcPr>
          <w:p w14:paraId="6E0322F5" w14:textId="77777777" w:rsidR="0049134E" w:rsidRPr="003502C5" w:rsidRDefault="0049134E" w:rsidP="00A871A5">
            <w:pPr>
              <w:spacing w:before="120" w:after="120"/>
              <w:jc w:val="center"/>
              <w:rPr>
                <w:color w:val="000000"/>
                <w:sz w:val="20"/>
                <w:szCs w:val="20"/>
              </w:rPr>
            </w:pPr>
            <w:r w:rsidRPr="003502C5">
              <w:rPr>
                <w:color w:val="000000"/>
                <w:sz w:val="20"/>
                <w:szCs w:val="20"/>
              </w:rPr>
              <w:t>57.49</w:t>
            </w:r>
          </w:p>
        </w:tc>
        <w:tc>
          <w:tcPr>
            <w:tcW w:w="1626" w:type="dxa"/>
            <w:tcBorders>
              <w:top w:val="nil"/>
              <w:left w:val="nil"/>
              <w:bottom w:val="single" w:sz="4" w:space="0" w:color="auto"/>
              <w:right w:val="single" w:sz="4" w:space="0" w:color="auto"/>
            </w:tcBorders>
            <w:shd w:val="clear" w:color="auto" w:fill="auto"/>
            <w:hideMark/>
          </w:tcPr>
          <w:p w14:paraId="6B34578E" w14:textId="77777777" w:rsidR="0049134E" w:rsidRPr="003502C5" w:rsidRDefault="0049134E" w:rsidP="00A871A5">
            <w:pPr>
              <w:spacing w:before="120" w:after="120"/>
              <w:jc w:val="center"/>
              <w:rPr>
                <w:color w:val="000000"/>
                <w:sz w:val="20"/>
                <w:szCs w:val="20"/>
              </w:rPr>
            </w:pPr>
            <w:r w:rsidRPr="003502C5">
              <w:rPr>
                <w:color w:val="000000"/>
                <w:sz w:val="20"/>
                <w:szCs w:val="20"/>
              </w:rPr>
              <w:t>30.03</w:t>
            </w:r>
          </w:p>
        </w:tc>
        <w:tc>
          <w:tcPr>
            <w:tcW w:w="1175" w:type="dxa"/>
            <w:tcBorders>
              <w:top w:val="nil"/>
              <w:left w:val="nil"/>
              <w:bottom w:val="single" w:sz="4" w:space="0" w:color="auto"/>
              <w:right w:val="single" w:sz="8" w:space="0" w:color="auto"/>
            </w:tcBorders>
            <w:shd w:val="clear" w:color="auto" w:fill="auto"/>
            <w:hideMark/>
          </w:tcPr>
          <w:p w14:paraId="429C7DD2" w14:textId="77777777" w:rsidR="0049134E" w:rsidRPr="003502C5" w:rsidRDefault="0049134E" w:rsidP="00A871A5">
            <w:pPr>
              <w:spacing w:before="120" w:after="120"/>
              <w:jc w:val="center"/>
              <w:rPr>
                <w:color w:val="000000"/>
                <w:sz w:val="20"/>
                <w:szCs w:val="20"/>
              </w:rPr>
            </w:pPr>
            <w:r w:rsidRPr="003502C5">
              <w:rPr>
                <w:color w:val="000000"/>
                <w:sz w:val="20"/>
                <w:szCs w:val="20"/>
              </w:rPr>
              <w:t>33.67</w:t>
            </w:r>
          </w:p>
        </w:tc>
      </w:tr>
      <w:tr w:rsidR="0049134E" w:rsidRPr="003502C5" w14:paraId="49A21DB7" w14:textId="77777777" w:rsidTr="00FF27C9">
        <w:trPr>
          <w:trHeight w:val="956"/>
          <w:jc w:val="center"/>
        </w:trPr>
        <w:tc>
          <w:tcPr>
            <w:tcW w:w="9485" w:type="dxa"/>
            <w:gridSpan w:val="6"/>
            <w:tcBorders>
              <w:top w:val="single" w:sz="4" w:space="0" w:color="auto"/>
              <w:left w:val="single" w:sz="8" w:space="0" w:color="auto"/>
              <w:bottom w:val="single" w:sz="8" w:space="0" w:color="auto"/>
              <w:right w:val="single" w:sz="8" w:space="0" w:color="000000"/>
            </w:tcBorders>
            <w:shd w:val="clear" w:color="auto" w:fill="auto"/>
            <w:hideMark/>
          </w:tcPr>
          <w:p w14:paraId="28DD3760" w14:textId="77777777" w:rsidR="0049134E" w:rsidRPr="003502C5" w:rsidRDefault="0049134E" w:rsidP="00FF27C9">
            <w:pPr>
              <w:spacing w:after="0"/>
              <w:jc w:val="left"/>
              <w:rPr>
                <w:color w:val="000000"/>
                <w:sz w:val="20"/>
                <w:szCs w:val="20"/>
              </w:rPr>
            </w:pPr>
            <w:r w:rsidRPr="003502C5">
              <w:rPr>
                <w:color w:val="000000"/>
                <w:sz w:val="20"/>
                <w:szCs w:val="20"/>
              </w:rPr>
              <w:t xml:space="preserve">Fuente: Elaboración propia con datos de SEGEPLAN. Entidades participantes: Gobiernos Locales, Consejos de Desarrollo, Municipalidades, Ministerio de Desarrollo, Ministerio de Comunicaciones Infraestructura y Vivienda, Instituto de Fomento Municipal.  Proyectos de construcción, mantenimiento de agua potable; construcción y mantenimiento de infraestructura para aguas pluviales; construcción y mantenimiento de aguas residuales. </w:t>
            </w:r>
          </w:p>
        </w:tc>
      </w:tr>
    </w:tbl>
    <w:p w14:paraId="6B5AC607" w14:textId="77777777" w:rsidR="0049134E" w:rsidRDefault="0049134E" w:rsidP="0049134E">
      <w:pPr>
        <w:spacing w:after="0"/>
        <w:ind w:hanging="360"/>
        <w:rPr>
          <w:sz w:val="22"/>
          <w:szCs w:val="22"/>
        </w:rPr>
      </w:pPr>
    </w:p>
    <w:p w14:paraId="146BDE80" w14:textId="77777777" w:rsidR="0049134E" w:rsidRDefault="0049134E" w:rsidP="0049134E">
      <w:pPr>
        <w:spacing w:after="0"/>
        <w:ind w:hanging="360"/>
        <w:rPr>
          <w:sz w:val="22"/>
          <w:szCs w:val="22"/>
        </w:rPr>
      </w:pPr>
    </w:p>
    <w:p w14:paraId="094393F8" w14:textId="77777777" w:rsidR="0049134E" w:rsidRDefault="0049134E" w:rsidP="0049134E">
      <w:pPr>
        <w:spacing w:after="0"/>
        <w:rPr>
          <w:b/>
          <w:sz w:val="22"/>
          <w:szCs w:val="22"/>
        </w:rPr>
      </w:pPr>
      <w:r>
        <w:rPr>
          <w:b/>
          <w:sz w:val="22"/>
          <w:szCs w:val="22"/>
        </w:rPr>
        <w:t>F.2 Gobernanza del agua</w:t>
      </w:r>
    </w:p>
    <w:p w14:paraId="00903ECE" w14:textId="77777777" w:rsidR="0049134E" w:rsidRDefault="0049134E" w:rsidP="0049134E">
      <w:pPr>
        <w:spacing w:after="0"/>
        <w:rPr>
          <w:b/>
          <w:sz w:val="22"/>
          <w:szCs w:val="22"/>
        </w:rPr>
      </w:pPr>
    </w:p>
    <w:p w14:paraId="38C610AB" w14:textId="7484026B" w:rsidR="0049134E" w:rsidRPr="00045BF0" w:rsidRDefault="0049134E" w:rsidP="0049134E">
      <w:pPr>
        <w:spacing w:after="0"/>
        <w:ind w:hanging="360"/>
        <w:rPr>
          <w:color w:val="0563C1"/>
          <w:vertAlign w:val="superscript"/>
        </w:rPr>
      </w:pPr>
      <w:r w:rsidRPr="007D545E">
        <w:rPr>
          <w:sz w:val="22"/>
          <w:szCs w:val="22"/>
        </w:rPr>
        <w:t>4</w:t>
      </w:r>
      <w:r w:rsidR="00A71DE6">
        <w:rPr>
          <w:sz w:val="22"/>
          <w:szCs w:val="22"/>
        </w:rPr>
        <w:t>4</w:t>
      </w:r>
      <w:r w:rsidRPr="007D545E">
        <w:rPr>
          <w:sz w:val="22"/>
          <w:szCs w:val="22"/>
        </w:rPr>
        <w:t>.</w:t>
      </w:r>
      <w:r w:rsidRPr="007D545E">
        <w:rPr>
          <w:sz w:val="14"/>
          <w:szCs w:val="14"/>
        </w:rPr>
        <w:t xml:space="preserve">  </w:t>
      </w:r>
      <w:r w:rsidRPr="007D545E">
        <w:rPr>
          <w:sz w:val="22"/>
          <w:szCs w:val="22"/>
        </w:rPr>
        <w:t>De acuerdo con la OCDE (2015</w:t>
      </w:r>
      <w:bookmarkStart w:id="9" w:name="_Hlk112572859"/>
      <w:r w:rsidRPr="007D545E">
        <w:rPr>
          <w:sz w:val="22"/>
          <w:szCs w:val="22"/>
        </w:rPr>
        <w:t>)</w:t>
      </w:r>
      <w:r w:rsidRPr="007D545E">
        <w:rPr>
          <w:color w:val="0563C1"/>
          <w:vertAlign w:val="superscript"/>
        </w:rPr>
        <w:t>[46]</w:t>
      </w:r>
      <w:bookmarkEnd w:id="9"/>
      <w:r w:rsidRPr="007D545E">
        <w:rPr>
          <w:sz w:val="22"/>
          <w:szCs w:val="22"/>
        </w:rPr>
        <w:t xml:space="preserve">, la gobernanza es el abanico de reglas, prácticas y procesos (formales e informales) políticos, institucionales y administrativos a través de los cuales se toman e implementan </w:t>
      </w:r>
      <w:r w:rsidRPr="007D545E">
        <w:rPr>
          <w:sz w:val="22"/>
          <w:szCs w:val="22"/>
        </w:rPr>
        <w:lastRenderedPageBreak/>
        <w:t>decisiones. En un esquema de gobernanza, los intereses de los actores son tomados en consideración, y los tomadores de decisiones rinden cuentas sobre su gestión. La gobernanza efectiva del agua es un medio y una condición de éxito para la gestión integrada y sostenible de los recursos hídricos. Más que un sector, el agua</w:t>
      </w:r>
      <w:r>
        <w:rPr>
          <w:sz w:val="22"/>
          <w:szCs w:val="22"/>
        </w:rPr>
        <w:t xml:space="preserve"> como recurso tiene características que lo hace sensible a la gobernanza: a) el agua vincula actividades, usuarios, regiones y sectores, con importantes diferencias temporales y espaciales, y en dónde los límites administrativos y naturales no necesariamente coinciden; b) la gestión de los recursos hídricos requiere importantes inversiones de capital, donde la coordinación intersectorial y multiusuarios con visión a largo plazo es esencial; c) la política del agua está estrechamente vinculada a temas transversales como el desarrollo económico y regional, el bienestar social, el medio ambiente, la alimentación y energía entre otros; d) la gestión del agua tiene una naturaleza policéntrica, asociada a las características específicas de cada cuenca o acuífero, y su efectividad requiere necesariamente del real compromiso de los involucrados.</w:t>
      </w:r>
    </w:p>
    <w:p w14:paraId="217A53EE" w14:textId="3156D591" w:rsidR="0049134E" w:rsidRPr="00A871A5" w:rsidRDefault="0049134E" w:rsidP="0049134E">
      <w:pPr>
        <w:spacing w:after="0"/>
        <w:ind w:hanging="360"/>
        <w:rPr>
          <w:color w:val="000000" w:themeColor="text1"/>
          <w:sz w:val="22"/>
          <w:szCs w:val="22"/>
        </w:rPr>
      </w:pPr>
      <w:r w:rsidRPr="00402A12">
        <w:rPr>
          <w:sz w:val="22"/>
          <w:szCs w:val="22"/>
        </w:rPr>
        <w:t>4</w:t>
      </w:r>
      <w:r w:rsidR="00A71DE6">
        <w:rPr>
          <w:sz w:val="22"/>
          <w:szCs w:val="22"/>
        </w:rPr>
        <w:t>5</w:t>
      </w:r>
      <w:r w:rsidRPr="00402A12">
        <w:rPr>
          <w:sz w:val="22"/>
          <w:szCs w:val="22"/>
        </w:rPr>
        <w:t>.</w:t>
      </w:r>
      <w:r w:rsidRPr="00402A12">
        <w:rPr>
          <w:sz w:val="14"/>
          <w:szCs w:val="14"/>
        </w:rPr>
        <w:t xml:space="preserve">  </w:t>
      </w:r>
      <w:r w:rsidRPr="00402A12">
        <w:rPr>
          <w:sz w:val="22"/>
          <w:szCs w:val="22"/>
        </w:rPr>
        <w:t xml:space="preserve">Definida así, la gobernanza del agua es inexistente en Guatemala como política de Estado; no obstante, existen esfuerzos comunitarios provenientes de las prácticas ancestrales de los pueblos indígenas, de gestión de los recursos hídricos para generar el desarrollo de las localidades, el bienestar social y ambiental. Un ejemplo de ello es la gobernanza del agua realizada por los pueblos indígenas de Totonicapán y experiencias exitosas en </w:t>
      </w:r>
      <w:r w:rsidRPr="00A871A5">
        <w:rPr>
          <w:color w:val="000000" w:themeColor="text1"/>
          <w:sz w:val="22"/>
          <w:szCs w:val="22"/>
        </w:rPr>
        <w:t>San Marcos y el Ixcán)</w:t>
      </w:r>
      <w:r w:rsidRPr="00A871A5">
        <w:rPr>
          <w:color w:val="000000" w:themeColor="text1"/>
          <w:vertAlign w:val="superscript"/>
        </w:rPr>
        <w:t>[47]</w:t>
      </w:r>
      <w:r w:rsidRPr="00A871A5">
        <w:rPr>
          <w:color w:val="000000" w:themeColor="text1"/>
          <w:sz w:val="22"/>
          <w:szCs w:val="22"/>
        </w:rPr>
        <w:t xml:space="preserve">. </w:t>
      </w:r>
    </w:p>
    <w:p w14:paraId="6CF28E4D" w14:textId="5A700DA2" w:rsidR="0049134E" w:rsidRPr="0036496D" w:rsidRDefault="0049134E" w:rsidP="0049134E">
      <w:pPr>
        <w:spacing w:after="0"/>
        <w:ind w:hanging="360"/>
        <w:rPr>
          <w:color w:val="2F5496" w:themeColor="accent1" w:themeShade="BF"/>
          <w:vertAlign w:val="superscript"/>
        </w:rPr>
      </w:pPr>
      <w:r w:rsidRPr="00A871A5">
        <w:rPr>
          <w:color w:val="000000" w:themeColor="text1"/>
        </w:rPr>
        <w:t>4</w:t>
      </w:r>
      <w:r w:rsidR="00A71DE6">
        <w:rPr>
          <w:color w:val="000000" w:themeColor="text1"/>
        </w:rPr>
        <w:t>6</w:t>
      </w:r>
      <w:r w:rsidRPr="00A871A5">
        <w:rPr>
          <w:color w:val="000000" w:themeColor="text1"/>
        </w:rPr>
        <w:t>. Los resultados de la “Encuesta sobre temas ambientales con énfasis en cambio climático, agua y conservación del medio ambiente” relacionados a la opinión de la población guatemalteca sobre cómo debería administrarse el agua en el país, realizada por el Observatorio Económico Sostenible de USAID y la Universidad del Valle de Guatemala expresan que: a) La mayoría de la población apoya una nueva institucionalidad para gobernar el agua en Guatemala. b) Un 72 % de la población está de acuerdo o muy de acuerdo con que son necesarias leyes nuevas y más complejas para administrar el agua, mientras sólo un 20 % está en desacuerdo o muy en desacuerdo. c) Las zonas urbanas están significativamente más de acuerdo que las zonas rurales, y el Altiplano lo está menos que la Costa, Región Metropolitana y el Norte y Oriente. d) En general las personas prefieren una gobernanza en manos de autoridades locales. Un 71 % de la población cree que la autoridad sobre el agua la deberían tener municipalidades y comités locales de agua. Un 16 % cree que la deberían tener varias instituciones coordinadas y un 13 % (significativamente menos) que la debería tener el Gobierno Central</w:t>
      </w:r>
      <w:r w:rsidRPr="0036496D">
        <w:rPr>
          <w:color w:val="2F5496" w:themeColor="accent1" w:themeShade="BF"/>
        </w:rPr>
        <w:t>.</w:t>
      </w:r>
      <w:r w:rsidRPr="0036496D">
        <w:rPr>
          <w:color w:val="2F5496" w:themeColor="accent1" w:themeShade="BF"/>
          <w:vertAlign w:val="superscript"/>
        </w:rPr>
        <w:t>[4</w:t>
      </w:r>
      <w:r>
        <w:rPr>
          <w:color w:val="2F5496" w:themeColor="accent1" w:themeShade="BF"/>
          <w:vertAlign w:val="superscript"/>
        </w:rPr>
        <w:t>8</w:t>
      </w:r>
      <w:r w:rsidRPr="0036496D">
        <w:rPr>
          <w:color w:val="2F5496" w:themeColor="accent1" w:themeShade="BF"/>
          <w:vertAlign w:val="superscript"/>
        </w:rPr>
        <w:t>]</w:t>
      </w:r>
    </w:p>
    <w:p w14:paraId="304A0CB2" w14:textId="77777777" w:rsidR="0049134E" w:rsidRDefault="0049134E" w:rsidP="0049134E">
      <w:pPr>
        <w:spacing w:after="0"/>
        <w:ind w:hanging="360"/>
        <w:rPr>
          <w:sz w:val="22"/>
          <w:szCs w:val="22"/>
        </w:rPr>
      </w:pPr>
    </w:p>
    <w:p w14:paraId="23D5D1B9" w14:textId="77777777" w:rsidR="0049134E" w:rsidRDefault="0049134E" w:rsidP="0049134E">
      <w:pPr>
        <w:spacing w:after="0"/>
        <w:rPr>
          <w:b/>
          <w:sz w:val="22"/>
          <w:szCs w:val="22"/>
        </w:rPr>
      </w:pPr>
      <w:r>
        <w:rPr>
          <w:b/>
          <w:sz w:val="22"/>
          <w:szCs w:val="22"/>
        </w:rPr>
        <w:t>F.3 Normativa del agua como derecho humano</w:t>
      </w:r>
    </w:p>
    <w:p w14:paraId="5CDB5D81" w14:textId="77777777" w:rsidR="0049134E" w:rsidRDefault="0049134E" w:rsidP="0049134E">
      <w:pPr>
        <w:spacing w:after="0"/>
        <w:rPr>
          <w:b/>
          <w:sz w:val="22"/>
          <w:szCs w:val="22"/>
        </w:rPr>
      </w:pPr>
    </w:p>
    <w:p w14:paraId="669EF9A6" w14:textId="6D74F93D" w:rsidR="0049134E" w:rsidRDefault="0049134E" w:rsidP="0049134E">
      <w:pPr>
        <w:spacing w:after="0"/>
        <w:ind w:hanging="360"/>
        <w:rPr>
          <w:sz w:val="22"/>
          <w:szCs w:val="22"/>
        </w:rPr>
      </w:pPr>
      <w:r w:rsidRPr="00402A12">
        <w:rPr>
          <w:sz w:val="22"/>
          <w:szCs w:val="22"/>
        </w:rPr>
        <w:t>4</w:t>
      </w:r>
      <w:r w:rsidR="00A71DE6">
        <w:rPr>
          <w:sz w:val="22"/>
          <w:szCs w:val="22"/>
        </w:rPr>
        <w:t>7</w:t>
      </w:r>
      <w:r w:rsidRPr="00402A12">
        <w:rPr>
          <w:sz w:val="22"/>
          <w:szCs w:val="22"/>
        </w:rPr>
        <w:t>. La inexistencia de una ley específica que regule el uso, acceso y disponibilidad del agua, ha dado paso a una sistemática violación de este derecho, en especial a comunidades cercanas a agroindustrias, hidroeléctricas y proyectos de explotación de minerales. Las constantes denuncias por parte de las comunidades y organizaciones sociales, por contaminación y acaparamiento de agua, sin avances claros, han obligado a plantear acciones constitucionales para amparar los derechos humanos y los vacíos legales en especial del derecho al agua.</w:t>
      </w:r>
      <w:r w:rsidRPr="00402A12">
        <w:rPr>
          <w:color w:val="0563C1"/>
          <w:vertAlign w:val="superscript"/>
        </w:rPr>
        <w:t xml:space="preserve">[49] </w:t>
      </w:r>
      <w:r w:rsidRPr="00402A12">
        <w:rPr>
          <w:sz w:val="22"/>
          <w:szCs w:val="22"/>
        </w:rPr>
        <w:t>Es a través de estos mecanismos que se ha ido construyendo jurisprudencia e ir avanzando en la construcción de medidas para limitar el abuso de poder de los funcionarios públicos que, protegidos con</w:t>
      </w:r>
      <w:r>
        <w:rPr>
          <w:sz w:val="22"/>
          <w:szCs w:val="22"/>
        </w:rPr>
        <w:t xml:space="preserve"> acuerdos gubernamentales espurios, violan el principio constitucional que reza: “el agua es un bien público”.</w:t>
      </w:r>
    </w:p>
    <w:p w14:paraId="7BDC42B2" w14:textId="4F47153D" w:rsidR="0049134E" w:rsidRDefault="0049134E" w:rsidP="0049134E">
      <w:pPr>
        <w:spacing w:after="0"/>
        <w:ind w:hanging="360"/>
        <w:rPr>
          <w:sz w:val="22"/>
          <w:szCs w:val="22"/>
        </w:rPr>
      </w:pPr>
      <w:r>
        <w:rPr>
          <w:sz w:val="22"/>
          <w:szCs w:val="22"/>
        </w:rPr>
        <w:t>4</w:t>
      </w:r>
      <w:r w:rsidR="00A71DE6">
        <w:rPr>
          <w:sz w:val="22"/>
          <w:szCs w:val="22"/>
        </w:rPr>
        <w:t>8</w:t>
      </w:r>
      <w:r>
        <w:rPr>
          <w:sz w:val="22"/>
          <w:szCs w:val="22"/>
        </w:rPr>
        <w:t>.</w:t>
      </w:r>
      <w:r>
        <w:rPr>
          <w:sz w:val="14"/>
          <w:szCs w:val="14"/>
        </w:rPr>
        <w:t xml:space="preserve">  </w:t>
      </w:r>
      <w:r>
        <w:rPr>
          <w:sz w:val="22"/>
          <w:szCs w:val="22"/>
        </w:rPr>
        <w:t xml:space="preserve">La ausencia de un marco regulatorio específico y de políticas para el manejo del recurso hídrico </w:t>
      </w:r>
      <w:r w:rsidRPr="00444AAB">
        <w:rPr>
          <w:sz w:val="22"/>
          <w:szCs w:val="22"/>
        </w:rPr>
        <w:t>ha creado un vacío en la institucionalidad del agua, convirtiendo la gestión del agua en procesos desorganizados y con traslape de competencias entre las municipalidades e instancias ambientales e instancias de explotación productiva del Ejecutivo. La frágil y fragmentada institucionalidad provoca una gobernanza del agua al margen de un enfoque de derechos humanos y proclive a la mercantilización.</w:t>
      </w:r>
      <w:r w:rsidRPr="00444AAB">
        <w:rPr>
          <w:color w:val="0563C1"/>
          <w:vertAlign w:val="superscript"/>
        </w:rPr>
        <w:t>[</w:t>
      </w:r>
      <w:r>
        <w:rPr>
          <w:color w:val="0563C1"/>
          <w:vertAlign w:val="superscript"/>
        </w:rPr>
        <w:t>50</w:t>
      </w:r>
      <w:r w:rsidRPr="00444AAB">
        <w:rPr>
          <w:color w:val="0563C1"/>
          <w:vertAlign w:val="superscript"/>
        </w:rPr>
        <w:t xml:space="preserve">] </w:t>
      </w:r>
      <w:r w:rsidRPr="00444AAB">
        <w:rPr>
          <w:sz w:val="22"/>
          <w:szCs w:val="22"/>
        </w:rPr>
        <w:t xml:space="preserve"> </w:t>
      </w:r>
      <w:r w:rsidRPr="00C946D9">
        <w:rPr>
          <w:sz w:val="22"/>
          <w:szCs w:val="22"/>
        </w:rPr>
        <w:t>El abstenerse de esas obligaciones establecidas en la Ley del Organismo Ejecutivo y la Ley de Protección y Mejoramiento del Medio Ambiente es el factor determinante en el deficiente manejo de aguas residuales, contaminación de cuencas y fuentes de agua, de las iniciativas marginales de inversión pública para la renovación del recurso hídrico y en las carencias en la calidad de acceso al agua potable en población de escasos recursos, en las áreas rurales del país.</w:t>
      </w:r>
    </w:p>
    <w:p w14:paraId="4BF7AE5C" w14:textId="6642EAC7" w:rsidR="0049134E" w:rsidRPr="00EE38C8" w:rsidRDefault="0049134E" w:rsidP="0049134E">
      <w:pPr>
        <w:spacing w:after="0"/>
        <w:ind w:hanging="360"/>
        <w:rPr>
          <w:sz w:val="22"/>
          <w:szCs w:val="22"/>
        </w:rPr>
      </w:pPr>
      <w:r>
        <w:rPr>
          <w:sz w:val="22"/>
          <w:szCs w:val="22"/>
        </w:rPr>
        <w:lastRenderedPageBreak/>
        <w:t>4</w:t>
      </w:r>
      <w:r w:rsidR="00C946D9">
        <w:rPr>
          <w:sz w:val="22"/>
          <w:szCs w:val="22"/>
        </w:rPr>
        <w:t>9</w:t>
      </w:r>
      <w:r>
        <w:rPr>
          <w:sz w:val="22"/>
          <w:szCs w:val="22"/>
        </w:rPr>
        <w:t>.</w:t>
      </w:r>
      <w:r>
        <w:rPr>
          <w:sz w:val="14"/>
          <w:szCs w:val="14"/>
        </w:rPr>
        <w:t xml:space="preserve">  </w:t>
      </w:r>
      <w:r>
        <w:rPr>
          <w:sz w:val="22"/>
          <w:szCs w:val="22"/>
        </w:rPr>
        <w:t xml:space="preserve">La dispersión normativa, los vacíos institucionales en la gobernanza nacional y municipal y la emisión de disposiciones legales contradictorias con el principio del agua como un derecho, demandan la aprobación de una ley marco del agua que se fundamente sobre el derecho humano al agua y saneamiento; así como, la derogación o reforma de leyes ordinarias y reglamentos que reconocen derechos privados sobre las aguas del </w:t>
      </w:r>
      <w:r w:rsidRPr="00EE38C8">
        <w:rPr>
          <w:sz w:val="22"/>
          <w:szCs w:val="22"/>
        </w:rPr>
        <w:t>país y otorgan competencias a entidades públicas, estos aspectos contradicen el principio constitucional que todas las aguas son bienes de dominio público y la declaración del agua como un derecho humano.</w:t>
      </w:r>
    </w:p>
    <w:p w14:paraId="77E8D776" w14:textId="1B76C504" w:rsidR="0049134E" w:rsidRPr="00EE38C8" w:rsidRDefault="00C946D9" w:rsidP="0049134E">
      <w:pPr>
        <w:spacing w:after="0"/>
        <w:ind w:hanging="360"/>
        <w:rPr>
          <w:sz w:val="22"/>
          <w:szCs w:val="22"/>
        </w:rPr>
      </w:pPr>
      <w:r>
        <w:rPr>
          <w:sz w:val="22"/>
          <w:szCs w:val="22"/>
        </w:rPr>
        <w:t>50</w:t>
      </w:r>
      <w:r w:rsidR="0049134E" w:rsidRPr="00EE38C8">
        <w:rPr>
          <w:sz w:val="22"/>
          <w:szCs w:val="22"/>
        </w:rPr>
        <w:t>.</w:t>
      </w:r>
      <w:r w:rsidR="0049134E" w:rsidRPr="00EE38C8">
        <w:rPr>
          <w:sz w:val="14"/>
          <w:szCs w:val="14"/>
        </w:rPr>
        <w:t xml:space="preserve">  </w:t>
      </w:r>
      <w:r w:rsidR="0049134E" w:rsidRPr="00EE38C8">
        <w:rPr>
          <w:sz w:val="22"/>
          <w:szCs w:val="22"/>
        </w:rPr>
        <w:t>Desde la promulgación de la actual Constitución Política de la República de Guatemala (CPRG), hace 37 años, está pendiente la emisión de una ley específica que regulará el régimen de agua, teniendo como base que las aguas son bienes de dominio público y que su aprovechamiento, uso y goce, debe otorgarse de acuerdo con el interés social</w:t>
      </w:r>
      <w:r w:rsidR="0049134E" w:rsidRPr="00EE38C8">
        <w:rPr>
          <w:color w:val="0563C1"/>
          <w:sz w:val="22"/>
          <w:szCs w:val="22"/>
          <w:vertAlign w:val="superscript"/>
        </w:rPr>
        <w:t>[51]</w:t>
      </w:r>
      <w:r w:rsidR="0049134E" w:rsidRPr="00EE38C8">
        <w:rPr>
          <w:sz w:val="22"/>
          <w:szCs w:val="22"/>
        </w:rPr>
        <w:t>.</w:t>
      </w:r>
    </w:p>
    <w:p w14:paraId="3A9EB41E" w14:textId="229469EC" w:rsidR="0049134E" w:rsidRPr="003502C5" w:rsidRDefault="0049134E" w:rsidP="0049134E">
      <w:pPr>
        <w:spacing w:after="0"/>
        <w:ind w:hanging="360"/>
        <w:rPr>
          <w:sz w:val="22"/>
          <w:szCs w:val="22"/>
        </w:rPr>
      </w:pPr>
      <w:r w:rsidRPr="00EE38C8">
        <w:rPr>
          <w:sz w:val="22"/>
          <w:szCs w:val="22"/>
        </w:rPr>
        <w:t>5</w:t>
      </w:r>
      <w:r w:rsidR="00C946D9">
        <w:rPr>
          <w:sz w:val="22"/>
          <w:szCs w:val="22"/>
        </w:rPr>
        <w:t>1</w:t>
      </w:r>
      <w:r w:rsidRPr="00EE38C8">
        <w:rPr>
          <w:sz w:val="22"/>
          <w:szCs w:val="22"/>
        </w:rPr>
        <w:t>.</w:t>
      </w:r>
      <w:r w:rsidRPr="00EE38C8">
        <w:rPr>
          <w:sz w:val="14"/>
          <w:szCs w:val="14"/>
        </w:rPr>
        <w:t xml:space="preserve">  </w:t>
      </w:r>
      <w:r w:rsidRPr="00EE38C8">
        <w:rPr>
          <w:sz w:val="22"/>
          <w:szCs w:val="22"/>
        </w:rPr>
        <w:t>Desde 1985 se han redactado numerosas iniciativas de ley sobre el agua. La gran mayoría de iniciativas fueron</w:t>
      </w:r>
      <w:r>
        <w:rPr>
          <w:sz w:val="22"/>
          <w:szCs w:val="22"/>
        </w:rPr>
        <w:t xml:space="preserve"> presentadas sin suficiente participación de la ciudadanía, sin consultar a los pueblos indígenas, ni a las autoridades indígenas. Como consecuencia de la falta de consensos, </w:t>
      </w:r>
      <w:r w:rsidRPr="003502C5">
        <w:rPr>
          <w:sz w:val="22"/>
          <w:szCs w:val="22"/>
        </w:rPr>
        <w:t>hasta la fecha no se ha aprobado ninguna ley del agua.</w:t>
      </w:r>
      <w:r w:rsidRPr="003502C5">
        <w:rPr>
          <w:color w:val="0563C1"/>
          <w:sz w:val="22"/>
          <w:szCs w:val="22"/>
          <w:vertAlign w:val="superscript"/>
        </w:rPr>
        <w:t>[</w:t>
      </w:r>
      <w:r>
        <w:rPr>
          <w:color w:val="0563C1"/>
          <w:sz w:val="22"/>
          <w:szCs w:val="22"/>
          <w:vertAlign w:val="superscript"/>
        </w:rPr>
        <w:t>52</w:t>
      </w:r>
      <w:r w:rsidRPr="003502C5">
        <w:rPr>
          <w:color w:val="0563C1"/>
          <w:sz w:val="22"/>
          <w:szCs w:val="22"/>
          <w:vertAlign w:val="superscript"/>
        </w:rPr>
        <w:t>]</w:t>
      </w:r>
      <w:r w:rsidRPr="003502C5">
        <w:rPr>
          <w:sz w:val="22"/>
          <w:szCs w:val="22"/>
        </w:rPr>
        <w:t>.</w:t>
      </w:r>
    </w:p>
    <w:p w14:paraId="7570AC40" w14:textId="2CE5E9BF" w:rsidR="0049134E" w:rsidRDefault="0049134E" w:rsidP="0049134E">
      <w:pPr>
        <w:spacing w:after="0"/>
        <w:ind w:hanging="360"/>
        <w:rPr>
          <w:sz w:val="22"/>
          <w:szCs w:val="22"/>
        </w:rPr>
      </w:pPr>
      <w:r w:rsidRPr="003502C5">
        <w:rPr>
          <w:sz w:val="22"/>
          <w:szCs w:val="22"/>
        </w:rPr>
        <w:t>5</w:t>
      </w:r>
      <w:r w:rsidR="00C946D9">
        <w:rPr>
          <w:sz w:val="22"/>
          <w:szCs w:val="22"/>
        </w:rPr>
        <w:t>2</w:t>
      </w:r>
      <w:r w:rsidRPr="003502C5">
        <w:rPr>
          <w:sz w:val="22"/>
          <w:szCs w:val="22"/>
        </w:rPr>
        <w:t>.</w:t>
      </w:r>
      <w:r w:rsidRPr="003502C5">
        <w:rPr>
          <w:sz w:val="14"/>
          <w:szCs w:val="14"/>
        </w:rPr>
        <w:t xml:space="preserve">  </w:t>
      </w:r>
      <w:r w:rsidRPr="003502C5">
        <w:rPr>
          <w:sz w:val="22"/>
          <w:szCs w:val="22"/>
        </w:rPr>
        <w:t>La iniciativa de ley 5161 tiene mayor probabilidad de seguir el curso de formación de ley, por contar con dictamen favorable</w:t>
      </w:r>
      <w:r w:rsidRPr="003502C5">
        <w:rPr>
          <w:color w:val="0070C0"/>
          <w:sz w:val="26"/>
          <w:szCs w:val="26"/>
          <w:vertAlign w:val="superscript"/>
        </w:rPr>
        <w:t>[</w:t>
      </w:r>
      <w:r>
        <w:rPr>
          <w:color w:val="0070C0"/>
          <w:sz w:val="26"/>
          <w:szCs w:val="26"/>
          <w:vertAlign w:val="superscript"/>
        </w:rPr>
        <w:t>53</w:t>
      </w:r>
      <w:r w:rsidRPr="003502C5">
        <w:rPr>
          <w:color w:val="0070C0"/>
          <w:sz w:val="26"/>
          <w:szCs w:val="26"/>
          <w:vertAlign w:val="superscript"/>
        </w:rPr>
        <w:t>]</w:t>
      </w:r>
      <w:r w:rsidRPr="003502C5">
        <w:rPr>
          <w:sz w:val="22"/>
          <w:szCs w:val="22"/>
        </w:rPr>
        <w:t>. Sin embargo, ésta no reconoce el derecho humano al agua; contempla una entidad reguladora del bien agua sin representación de pueblos indígenas. Distintas expresiones sociales han señalado que no fue consensuada. Privilegia el régimen privado de aguas en vez de concebirse como bienes de dominio público.</w:t>
      </w:r>
    </w:p>
    <w:p w14:paraId="7E8D0CC8" w14:textId="75D086CD" w:rsidR="0049134E" w:rsidRDefault="0049134E" w:rsidP="0049134E">
      <w:pPr>
        <w:spacing w:after="0"/>
        <w:ind w:hanging="360"/>
        <w:rPr>
          <w:sz w:val="22"/>
          <w:szCs w:val="22"/>
        </w:rPr>
      </w:pPr>
      <w:r w:rsidRPr="000E45CC">
        <w:rPr>
          <w:sz w:val="22"/>
          <w:szCs w:val="22"/>
        </w:rPr>
        <w:t>5</w:t>
      </w:r>
      <w:r w:rsidR="00C946D9">
        <w:rPr>
          <w:sz w:val="22"/>
          <w:szCs w:val="22"/>
        </w:rPr>
        <w:t>3</w:t>
      </w:r>
      <w:r w:rsidRPr="000E45CC">
        <w:rPr>
          <w:sz w:val="22"/>
          <w:szCs w:val="22"/>
        </w:rPr>
        <w:t>.</w:t>
      </w:r>
      <w:r w:rsidRPr="000E45CC">
        <w:rPr>
          <w:sz w:val="14"/>
          <w:szCs w:val="14"/>
        </w:rPr>
        <w:t xml:space="preserve">  </w:t>
      </w:r>
      <w:r w:rsidRPr="000E45CC">
        <w:rPr>
          <w:sz w:val="22"/>
          <w:szCs w:val="22"/>
        </w:rPr>
        <w:t>A principios de 2022, el Consejo Nacional de Cambio Climático instaló una mesa para redactar una nueva iniciativa de ley de agua</w:t>
      </w:r>
      <w:r w:rsidRPr="000E45CC">
        <w:rPr>
          <w:color w:val="0563C1"/>
          <w:vertAlign w:val="superscript"/>
        </w:rPr>
        <w:t>[54]</w:t>
      </w:r>
      <w:r w:rsidRPr="000E45CC">
        <w:rPr>
          <w:sz w:val="12"/>
          <w:szCs w:val="12"/>
        </w:rPr>
        <w:t>.</w:t>
      </w:r>
      <w:r w:rsidRPr="000E45CC">
        <w:rPr>
          <w:sz w:val="22"/>
          <w:szCs w:val="22"/>
        </w:rPr>
        <w:t xml:space="preserve"> Pero este Consejo, encabezado por el Organismo Ejecutivo, carece de representatividad y legitimidad: entre otros, integra tres representantes de gremios empresariales, pero ninguna autoridad indígena, tampoco cuenta con representación campesina (según obligaría la ley) y sólo hay</w:t>
      </w:r>
      <w:r>
        <w:rPr>
          <w:sz w:val="22"/>
          <w:szCs w:val="22"/>
        </w:rPr>
        <w:t xml:space="preserve"> una organización indígena. Se estima que el Consejo además carece de mandato y expertise, pues, son delegaciones y responsabilidades con enfoque en el cambio climático, no sobre el agua.</w:t>
      </w:r>
    </w:p>
    <w:p w14:paraId="0430467A" w14:textId="616AD5C6" w:rsidR="0049134E" w:rsidRDefault="0049134E" w:rsidP="0049134E">
      <w:pPr>
        <w:spacing w:after="0"/>
        <w:ind w:hanging="360"/>
        <w:rPr>
          <w:sz w:val="22"/>
          <w:szCs w:val="22"/>
        </w:rPr>
      </w:pPr>
      <w:r>
        <w:rPr>
          <w:sz w:val="22"/>
          <w:szCs w:val="22"/>
        </w:rPr>
        <w:t>5</w:t>
      </w:r>
      <w:r w:rsidR="00C946D9">
        <w:rPr>
          <w:sz w:val="22"/>
          <w:szCs w:val="22"/>
        </w:rPr>
        <w:t>4</w:t>
      </w:r>
      <w:r>
        <w:rPr>
          <w:sz w:val="22"/>
          <w:szCs w:val="22"/>
        </w:rPr>
        <w:t>.</w:t>
      </w:r>
      <w:r>
        <w:rPr>
          <w:sz w:val="14"/>
          <w:szCs w:val="14"/>
        </w:rPr>
        <w:t xml:space="preserve">  </w:t>
      </w:r>
      <w:r>
        <w:rPr>
          <w:sz w:val="22"/>
          <w:szCs w:val="22"/>
        </w:rPr>
        <w:t>Los pueblos indígenas han construido de forma colectiva parámetros fundamentales para una Ley Marco de Agua en Guatemala, contenidas en la iniciativa de ley 5070 “Ley marco del agua”</w:t>
      </w:r>
      <w:r w:rsidRPr="000E45CC">
        <w:rPr>
          <w:color w:val="0563C1"/>
          <w:vertAlign w:val="superscript"/>
        </w:rPr>
        <w:t xml:space="preserve"> [5</w:t>
      </w:r>
      <w:r>
        <w:rPr>
          <w:color w:val="0563C1"/>
          <w:vertAlign w:val="superscript"/>
        </w:rPr>
        <w:t>5</w:t>
      </w:r>
      <w:r w:rsidRPr="000E45CC">
        <w:rPr>
          <w:color w:val="0563C1"/>
          <w:vertAlign w:val="superscript"/>
        </w:rPr>
        <w:t>]</w:t>
      </w:r>
      <w:r>
        <w:rPr>
          <w:color w:val="0563C1"/>
          <w:sz w:val="34"/>
          <w:szCs w:val="34"/>
          <w:vertAlign w:val="superscript"/>
        </w:rPr>
        <w:t xml:space="preserve"> </w:t>
      </w:r>
      <w:r>
        <w:rPr>
          <w:sz w:val="22"/>
          <w:szCs w:val="22"/>
        </w:rPr>
        <w:t xml:space="preserve">presentada en el año 2016 y hasta la fecha archivada por el Congreso de la República. Es la iniciativa de ley que actualmente mejor reconoce las diversas dimensiones del derecho humano al agua y saneamiento. El contenido de puntos medulares para asegurar el agua como derecho  son: a) Protección de toda el agua existente, superficial, </w:t>
      </w:r>
      <w:r w:rsidRPr="000E45CC">
        <w:rPr>
          <w:sz w:val="22"/>
          <w:szCs w:val="22"/>
        </w:rPr>
        <w:t>subterránea, residual y atmosférica en sus formas y estados; b) Garantizar el Derecho Humano al Agua y al Saneamiento; c) Derecho a almacenar agua;  d) Acceso a la justicia en materia agua en propio idioma; e) Reconocer el derecho, administración  y prácticas de Pueblos Indígenas sobre el agua; f) El agua es de dominio público; g) Crear una autoridad del agua tomando en cuenta a los Pueblos Indígenas; h) Ante cualquier aprovechamiento del agua se debe realizar proceso de consulta; i) Quien provoque contaminación debe cesar la actividad y reparar el daño; j) Eliminar cualquier ley  o acuerdo que atente contra el Derecho Humano al agua; k) Gestión del agua en base a necesidades diferenciadas; l) Declarar el agua como un ser vivo y sagrado sujeto de derechos; m) Tomar en cuenta la percepción material y espiritual de los pueblos</w:t>
      </w:r>
      <w:r>
        <w:rPr>
          <w:sz w:val="22"/>
          <w:szCs w:val="22"/>
        </w:rPr>
        <w:t xml:space="preserve"> indígenas sobre el agua; n) Tomar en cuenta observaciones, resoluciones, declaraciones sentencias de la CIDH y ONU.</w:t>
      </w:r>
    </w:p>
    <w:p w14:paraId="4B0C6680" w14:textId="11F5744D" w:rsidR="0049134E" w:rsidRDefault="0049134E" w:rsidP="0049134E">
      <w:pPr>
        <w:spacing w:after="0"/>
        <w:ind w:hanging="360"/>
        <w:rPr>
          <w:sz w:val="22"/>
          <w:szCs w:val="22"/>
        </w:rPr>
      </w:pPr>
      <w:r>
        <w:rPr>
          <w:sz w:val="22"/>
          <w:szCs w:val="22"/>
        </w:rPr>
        <w:t>5</w:t>
      </w:r>
      <w:r w:rsidR="00C946D9">
        <w:rPr>
          <w:sz w:val="22"/>
          <w:szCs w:val="22"/>
        </w:rPr>
        <w:t>5</w:t>
      </w:r>
      <w:r>
        <w:rPr>
          <w:sz w:val="22"/>
          <w:szCs w:val="22"/>
        </w:rPr>
        <w:t>.</w:t>
      </w:r>
      <w:r>
        <w:rPr>
          <w:sz w:val="14"/>
          <w:szCs w:val="14"/>
        </w:rPr>
        <w:t xml:space="preserve">  </w:t>
      </w:r>
      <w:r>
        <w:rPr>
          <w:sz w:val="22"/>
          <w:szCs w:val="22"/>
        </w:rPr>
        <w:t>En los últimos años autoridades de pueblos indígenas y sociedad civil han impulsado la revisión de varias normas que violan el derecho al agua y el mandato constitucional de una norma específica que regula el régimen de agua como bien público. Resoluciones de la Corte de Constitucionalidad (CC) derogaron normas del Ministerio de Ambiente y Recursos Naturales (MARN)</w:t>
      </w:r>
      <w:r>
        <w:rPr>
          <w:color w:val="0563C1"/>
          <w:vertAlign w:val="superscript"/>
        </w:rPr>
        <w:t>[56]</w:t>
      </w:r>
      <w:r>
        <w:rPr>
          <w:sz w:val="22"/>
          <w:szCs w:val="22"/>
        </w:rPr>
        <w:t>. Así mismo se encuentran en curso cinco recursos de inconstitucionalidad en contra de otras normas, pendientes de una resolución que proteja el derecho al agua</w:t>
      </w:r>
      <w:r>
        <w:rPr>
          <w:color w:val="0563C1"/>
          <w:vertAlign w:val="superscript"/>
        </w:rPr>
        <w:t>[57]</w:t>
      </w:r>
      <w:r>
        <w:rPr>
          <w:sz w:val="22"/>
          <w:szCs w:val="22"/>
        </w:rPr>
        <w:t>.</w:t>
      </w:r>
    </w:p>
    <w:p w14:paraId="35C50E79" w14:textId="67DAB002" w:rsidR="0049134E" w:rsidRDefault="0049134E" w:rsidP="0049134E">
      <w:pPr>
        <w:spacing w:after="0"/>
        <w:ind w:hanging="360"/>
        <w:rPr>
          <w:sz w:val="22"/>
          <w:szCs w:val="22"/>
        </w:rPr>
      </w:pPr>
      <w:r>
        <w:rPr>
          <w:sz w:val="22"/>
          <w:szCs w:val="22"/>
        </w:rPr>
        <w:t>5</w:t>
      </w:r>
      <w:r w:rsidR="00C946D9">
        <w:rPr>
          <w:sz w:val="22"/>
          <w:szCs w:val="22"/>
        </w:rPr>
        <w:t>6</w:t>
      </w:r>
      <w:r>
        <w:rPr>
          <w:sz w:val="22"/>
          <w:szCs w:val="22"/>
        </w:rPr>
        <w:t>.</w:t>
      </w:r>
      <w:r>
        <w:rPr>
          <w:sz w:val="14"/>
          <w:szCs w:val="14"/>
        </w:rPr>
        <w:t xml:space="preserve">  </w:t>
      </w:r>
      <w:r>
        <w:rPr>
          <w:sz w:val="22"/>
          <w:szCs w:val="22"/>
        </w:rPr>
        <w:t xml:space="preserve">En 2018 el Gobierno de Guatemala firmó el Acuerdo sobre el Acceso a la Información, la Participación Pública y el Acceso a la Justicia en Asuntos Ambientales en América Latina y el Caribe, mejor conocido como “Acuerdo de Escazú”. Sin embargo, pese a contemplar una visión clara y pionera en derechos de acceso a la información, la participación, la justicia, Guatemala aún no ratifica este Acuerdo; pese a ser una valiosa herramienta para acceder a la información en torno al agua, además de obligar al Estado a promover la </w:t>
      </w:r>
      <w:r>
        <w:rPr>
          <w:sz w:val="22"/>
          <w:szCs w:val="22"/>
        </w:rPr>
        <w:lastRenderedPageBreak/>
        <w:t>participación en las decisiones que afectan al agua, en particular en la elaboración de planes y programas que garanticen el acceso a la justicia hídrica como elemento de la justicia ambiental. Este acuerdo es además vinculante con la protección de defensores de los derechos ambientales y al agua.</w:t>
      </w:r>
    </w:p>
    <w:p w14:paraId="63C906DB" w14:textId="34AF8221" w:rsidR="0049134E" w:rsidRDefault="0049134E" w:rsidP="0049134E">
      <w:pPr>
        <w:spacing w:after="0"/>
        <w:ind w:hanging="360"/>
        <w:rPr>
          <w:sz w:val="22"/>
          <w:szCs w:val="22"/>
        </w:rPr>
      </w:pPr>
      <w:r>
        <w:rPr>
          <w:sz w:val="22"/>
          <w:szCs w:val="22"/>
        </w:rPr>
        <w:t>5</w:t>
      </w:r>
      <w:r w:rsidR="00C946D9">
        <w:rPr>
          <w:sz w:val="22"/>
          <w:szCs w:val="22"/>
        </w:rPr>
        <w:t>7</w:t>
      </w:r>
      <w:r>
        <w:rPr>
          <w:sz w:val="22"/>
          <w:szCs w:val="22"/>
        </w:rPr>
        <w:t>.</w:t>
      </w:r>
      <w:r>
        <w:rPr>
          <w:sz w:val="14"/>
          <w:szCs w:val="14"/>
        </w:rPr>
        <w:t xml:space="preserve">  </w:t>
      </w:r>
      <w:r>
        <w:rPr>
          <w:sz w:val="22"/>
          <w:szCs w:val="22"/>
        </w:rPr>
        <w:t>Entre los años 2008 al 2012 existía el Gabinete Específico del Agua conformado por varias instituciones públicas, entonces dejó funcionar este Gabinete. Entre otros, diseñó y formuló la Política Nacional del Agua de Guatemala y su Estrategia. Sin embargo, el gobierno de turno no publicó el Acuerdo Gubernativo 517-2011 de su aprobación, en consecuencia, la Política no entró en vigor. En vez de una política amplia, el siguiente gobierno adoptó la Política Nacional del Sector de Agua Potable y Saneamiento (Acuerdo Gubernativo 418-2013). Al respecto de esta y otras políticas públicas vinculadas a los ODS, en su reciente informe, SEGEPLAN expresó que “</w:t>
      </w:r>
      <w:r>
        <w:rPr>
          <w:i/>
          <w:sz w:val="22"/>
          <w:szCs w:val="22"/>
        </w:rPr>
        <w:t>se desconoce el avance y/o cumplimiento de metas</w:t>
      </w:r>
      <w:r>
        <w:rPr>
          <w:sz w:val="22"/>
          <w:szCs w:val="22"/>
        </w:rPr>
        <w:t>”</w:t>
      </w:r>
      <w:r>
        <w:rPr>
          <w:color w:val="0563C1"/>
          <w:vertAlign w:val="superscript"/>
        </w:rPr>
        <w:t>[58]</w:t>
      </w:r>
      <w:r>
        <w:rPr>
          <w:sz w:val="22"/>
          <w:szCs w:val="22"/>
        </w:rPr>
        <w:t>. Desde entonces las políticas públicas sobre el tema del agua carecen de avance y atención por parte de los últimos gobiernos.</w:t>
      </w:r>
    </w:p>
    <w:p w14:paraId="3218E3AA" w14:textId="77777777" w:rsidR="0049134E" w:rsidRDefault="0049134E" w:rsidP="0049134E">
      <w:pPr>
        <w:spacing w:after="0"/>
        <w:ind w:hanging="360"/>
        <w:rPr>
          <w:sz w:val="22"/>
          <w:szCs w:val="22"/>
        </w:rPr>
      </w:pPr>
    </w:p>
    <w:p w14:paraId="7FE2BE01" w14:textId="77777777" w:rsidR="0049134E" w:rsidRDefault="0049134E" w:rsidP="0049134E">
      <w:pPr>
        <w:spacing w:after="0"/>
        <w:rPr>
          <w:b/>
          <w:sz w:val="22"/>
          <w:szCs w:val="22"/>
        </w:rPr>
      </w:pPr>
      <w:r>
        <w:rPr>
          <w:b/>
          <w:sz w:val="22"/>
          <w:szCs w:val="22"/>
        </w:rPr>
        <w:t>F.4 Agua como ser vivo y sujeto de derecho, en el marco de la Cosmovisión Maya</w:t>
      </w:r>
    </w:p>
    <w:p w14:paraId="38A036FB" w14:textId="77777777" w:rsidR="0049134E" w:rsidRDefault="0049134E" w:rsidP="0049134E">
      <w:pPr>
        <w:spacing w:after="0"/>
        <w:rPr>
          <w:b/>
          <w:sz w:val="22"/>
          <w:szCs w:val="22"/>
        </w:rPr>
      </w:pPr>
    </w:p>
    <w:p w14:paraId="756A1685" w14:textId="0122637F" w:rsidR="0049134E" w:rsidRDefault="0049134E" w:rsidP="0049134E">
      <w:pPr>
        <w:spacing w:after="0"/>
        <w:ind w:hanging="360"/>
        <w:rPr>
          <w:sz w:val="22"/>
          <w:szCs w:val="22"/>
        </w:rPr>
      </w:pPr>
      <w:r>
        <w:rPr>
          <w:sz w:val="22"/>
          <w:szCs w:val="22"/>
        </w:rPr>
        <w:t>5</w:t>
      </w:r>
      <w:r w:rsidR="00C946D9">
        <w:rPr>
          <w:sz w:val="22"/>
          <w:szCs w:val="22"/>
        </w:rPr>
        <w:t>8</w:t>
      </w:r>
      <w:r>
        <w:rPr>
          <w:sz w:val="22"/>
          <w:szCs w:val="22"/>
        </w:rPr>
        <w:t>.</w:t>
      </w:r>
      <w:r>
        <w:rPr>
          <w:sz w:val="14"/>
          <w:szCs w:val="14"/>
        </w:rPr>
        <w:t xml:space="preserve"> </w:t>
      </w:r>
      <w:r>
        <w:rPr>
          <w:sz w:val="22"/>
          <w:szCs w:val="22"/>
        </w:rPr>
        <w:t>El agua es concebida por los Pueblos Indígenas, en una relación espiritual y cultural, como ente viviente y sagrado que merece respeto y agradecimiento. En el agua, la lluvia, lagos y mares vienen del cielo y reposan en las entrañas de la madre tierra, el agua como elemento que hace posible la vida se manifiesta en el espíritu protector del Nahual Imox</w:t>
      </w:r>
      <w:r>
        <w:rPr>
          <w:color w:val="0563C1"/>
          <w:sz w:val="22"/>
          <w:szCs w:val="22"/>
          <w:vertAlign w:val="superscript"/>
        </w:rPr>
        <w:t>[59]</w:t>
      </w:r>
      <w:r>
        <w:rPr>
          <w:sz w:val="22"/>
          <w:szCs w:val="22"/>
        </w:rPr>
        <w:t>. Dialogando constantemente con el cosmos se manifiestan los ciclos de la abuela luna con el agua y la madre tierra, por ello, el agua tiene su propia dinámica, su propio ciclo de vida natural, permitiendo su libre movimiento y nunca intervenir en su afectación.</w:t>
      </w:r>
    </w:p>
    <w:p w14:paraId="01EED645" w14:textId="4FFF9D26" w:rsidR="0049134E" w:rsidRDefault="0049134E" w:rsidP="0049134E">
      <w:pPr>
        <w:spacing w:after="0"/>
        <w:ind w:hanging="360"/>
        <w:rPr>
          <w:sz w:val="22"/>
          <w:szCs w:val="22"/>
        </w:rPr>
      </w:pPr>
      <w:r>
        <w:rPr>
          <w:sz w:val="22"/>
          <w:szCs w:val="22"/>
        </w:rPr>
        <w:t>5</w:t>
      </w:r>
      <w:r w:rsidR="00C946D9">
        <w:rPr>
          <w:sz w:val="22"/>
          <w:szCs w:val="22"/>
        </w:rPr>
        <w:t>9</w:t>
      </w:r>
      <w:r>
        <w:rPr>
          <w:sz w:val="22"/>
          <w:szCs w:val="22"/>
        </w:rPr>
        <w:t>.</w:t>
      </w:r>
      <w:r>
        <w:rPr>
          <w:sz w:val="14"/>
          <w:szCs w:val="14"/>
        </w:rPr>
        <w:t xml:space="preserve">  </w:t>
      </w:r>
      <w:r>
        <w:rPr>
          <w:sz w:val="22"/>
          <w:szCs w:val="22"/>
        </w:rPr>
        <w:t>En la resolución del  Expediente 452-2019 la CC exhortó al Congreso de la República en un plazo razonable emitir una ley específica del régimen del agua tomando  en cuenta “</w:t>
      </w:r>
      <w:r>
        <w:rPr>
          <w:i/>
          <w:sz w:val="22"/>
          <w:szCs w:val="22"/>
        </w:rPr>
        <w:t>i) la naturaleza fundamental del derecho al agua; ii) la singular percepción –material y espiritual– de los pueblos indígenas sobre el agua; y iii) lo expresado sobre ese tema en observaciones, resoluciones y declaraciones emanados de órganos de la Organización de Naciones Unidas y sentencias de la Corte Interamericana de Derechos Humanos, así como en otros estándares internacionales.</w:t>
      </w:r>
      <w:r>
        <w:rPr>
          <w:sz w:val="22"/>
          <w:szCs w:val="22"/>
        </w:rPr>
        <w:t>”</w:t>
      </w:r>
      <w:r>
        <w:rPr>
          <w:color w:val="0563C1"/>
          <w:vertAlign w:val="superscript"/>
        </w:rPr>
        <w:t>[60]</w:t>
      </w:r>
      <w:r>
        <w:rPr>
          <w:sz w:val="22"/>
          <w:szCs w:val="22"/>
        </w:rPr>
        <w:t>.</w:t>
      </w:r>
    </w:p>
    <w:p w14:paraId="429EC28C" w14:textId="5151BB82" w:rsidR="0049134E" w:rsidRDefault="00C946D9" w:rsidP="0049134E">
      <w:pPr>
        <w:spacing w:after="0"/>
        <w:ind w:hanging="360"/>
        <w:rPr>
          <w:sz w:val="22"/>
          <w:szCs w:val="22"/>
        </w:rPr>
      </w:pPr>
      <w:r>
        <w:rPr>
          <w:sz w:val="22"/>
          <w:szCs w:val="22"/>
        </w:rPr>
        <w:t>60</w:t>
      </w:r>
      <w:r w:rsidR="0049134E">
        <w:rPr>
          <w:sz w:val="22"/>
          <w:szCs w:val="22"/>
        </w:rPr>
        <w:t>.</w:t>
      </w:r>
      <w:r w:rsidR="0049134E">
        <w:rPr>
          <w:sz w:val="14"/>
          <w:szCs w:val="14"/>
        </w:rPr>
        <w:t xml:space="preserve">  </w:t>
      </w:r>
      <w:r w:rsidR="0049134E">
        <w:rPr>
          <w:sz w:val="22"/>
          <w:szCs w:val="22"/>
        </w:rPr>
        <w:t>Hasta la fecha el Congreso no ha cumplido este mandato, ya que el actual régimen de aguas existente omite las formas colectivas de relación espiritual y cultural de los Pueblos Indígenas con aguas en su territorio, tal como lo regula el Convenio 169 en relación a tomar decisiones sobre asuntos que afecten sus intereses.</w:t>
      </w:r>
    </w:p>
    <w:p w14:paraId="5F9A5884" w14:textId="78BB056E" w:rsidR="0049134E" w:rsidRDefault="0049134E" w:rsidP="0049134E">
      <w:pPr>
        <w:spacing w:after="0"/>
        <w:ind w:hanging="360"/>
        <w:rPr>
          <w:sz w:val="22"/>
          <w:szCs w:val="22"/>
        </w:rPr>
      </w:pPr>
      <w:r>
        <w:rPr>
          <w:sz w:val="22"/>
          <w:szCs w:val="22"/>
        </w:rPr>
        <w:t>6</w:t>
      </w:r>
      <w:r w:rsidR="00C946D9">
        <w:rPr>
          <w:sz w:val="22"/>
          <w:szCs w:val="22"/>
        </w:rPr>
        <w:t>1</w:t>
      </w:r>
      <w:r>
        <w:rPr>
          <w:sz w:val="22"/>
          <w:szCs w:val="22"/>
        </w:rPr>
        <w:t>.</w:t>
      </w:r>
      <w:r>
        <w:rPr>
          <w:sz w:val="14"/>
          <w:szCs w:val="14"/>
        </w:rPr>
        <w:t xml:space="preserve">  </w:t>
      </w:r>
      <w:r>
        <w:rPr>
          <w:sz w:val="22"/>
          <w:szCs w:val="22"/>
        </w:rPr>
        <w:t>El 12 de octubre del 2019 las autoridades ancestrales del municipio de Sololá, declararon el Lago de Atitlán como un ser vivo, sagrado, sujeto de derechos</w:t>
      </w:r>
      <w:r>
        <w:rPr>
          <w:color w:val="0563C1"/>
          <w:vertAlign w:val="superscript"/>
        </w:rPr>
        <w:t>[61]</w:t>
      </w:r>
      <w:r>
        <w:rPr>
          <w:sz w:val="22"/>
          <w:szCs w:val="22"/>
        </w:rPr>
        <w:t>. A la vez, autoridades mayas ancestrales de occidente, autoridades indígenas del lago de Atitlán y representantes de comunidades del norte y oriente del país, presentaron ante la Corte de Constitucionalidad, un alegato de inconstitucionalidad por omisión. La petición a la CC es una declaración del agua como un ser vivo. Consideran que las normas que regulan el agua actualmente, están descontextualizadas en relación a los estándares internacionales, los cuales reconocen el agua como un elemento espiritual y un ser vivo; lo que hace que haya una relación propia de la cosmovisión de los pueblos indígenas con el agua, evitando legislar o desarrollar con medidas de hecho el uso del agua como  objeto susceptible de apropiación para intereses mercantiles, así como lo plantean varias iniciativas de ley presentadas al  Congreso de la República de Guatemala</w:t>
      </w:r>
      <w:r>
        <w:rPr>
          <w:color w:val="0563C1"/>
          <w:sz w:val="22"/>
          <w:szCs w:val="22"/>
          <w:vertAlign w:val="superscript"/>
        </w:rPr>
        <w:t>[62</w:t>
      </w:r>
      <w:r>
        <w:rPr>
          <w:color w:val="0563C1"/>
          <w:vertAlign w:val="superscript"/>
        </w:rPr>
        <w:t>]</w:t>
      </w:r>
      <w:r>
        <w:rPr>
          <w:sz w:val="22"/>
          <w:szCs w:val="22"/>
        </w:rPr>
        <w:t>.</w:t>
      </w:r>
    </w:p>
    <w:p w14:paraId="3F42A0C3" w14:textId="77777777" w:rsidR="0049134E" w:rsidRDefault="0049134E" w:rsidP="0049134E">
      <w:pPr>
        <w:spacing w:after="0"/>
        <w:rPr>
          <w:sz w:val="22"/>
          <w:szCs w:val="22"/>
        </w:rPr>
      </w:pPr>
      <w:r>
        <w:rPr>
          <w:sz w:val="22"/>
          <w:szCs w:val="22"/>
        </w:rPr>
        <w:t xml:space="preserve"> </w:t>
      </w:r>
    </w:p>
    <w:p w14:paraId="7A1E2663" w14:textId="77777777" w:rsidR="0049134E" w:rsidRDefault="0049134E" w:rsidP="0049134E">
      <w:pPr>
        <w:spacing w:after="0"/>
        <w:ind w:hanging="360"/>
        <w:rPr>
          <w:b/>
          <w:sz w:val="22"/>
          <w:szCs w:val="22"/>
        </w:rPr>
      </w:pPr>
      <w:r>
        <w:rPr>
          <w:b/>
          <w:sz w:val="22"/>
          <w:szCs w:val="22"/>
        </w:rPr>
        <w:t>G.</w:t>
      </w:r>
      <w:r>
        <w:rPr>
          <w:sz w:val="14"/>
          <w:szCs w:val="14"/>
        </w:rPr>
        <w:t xml:space="preserve">    </w:t>
      </w:r>
      <w:r>
        <w:rPr>
          <w:b/>
          <w:sz w:val="22"/>
          <w:szCs w:val="22"/>
        </w:rPr>
        <w:t>CRIMINALIZACIÓN DE LÍDERES</w:t>
      </w:r>
    </w:p>
    <w:p w14:paraId="71B3A417" w14:textId="77777777" w:rsidR="0049134E" w:rsidRDefault="0049134E" w:rsidP="0049134E">
      <w:pPr>
        <w:spacing w:after="0"/>
        <w:ind w:hanging="360"/>
        <w:rPr>
          <w:b/>
          <w:sz w:val="22"/>
          <w:szCs w:val="22"/>
        </w:rPr>
      </w:pPr>
    </w:p>
    <w:p w14:paraId="13AAF793" w14:textId="77777777" w:rsidR="0049134E" w:rsidRDefault="0049134E" w:rsidP="0049134E">
      <w:pPr>
        <w:spacing w:after="0"/>
        <w:rPr>
          <w:b/>
          <w:sz w:val="22"/>
          <w:szCs w:val="22"/>
        </w:rPr>
      </w:pPr>
      <w:r>
        <w:rPr>
          <w:b/>
          <w:sz w:val="22"/>
          <w:szCs w:val="22"/>
        </w:rPr>
        <w:t>G.1 Reacción del poder político y económico ante la demanda del agua como derecho</w:t>
      </w:r>
    </w:p>
    <w:p w14:paraId="20E88790" w14:textId="77777777" w:rsidR="0049134E" w:rsidRDefault="0049134E" w:rsidP="0049134E">
      <w:pPr>
        <w:spacing w:after="0"/>
        <w:rPr>
          <w:b/>
          <w:sz w:val="22"/>
          <w:szCs w:val="22"/>
        </w:rPr>
      </w:pPr>
    </w:p>
    <w:p w14:paraId="13A56BE4" w14:textId="6BDBEB78" w:rsidR="0049134E" w:rsidRDefault="0049134E" w:rsidP="0049134E">
      <w:pPr>
        <w:spacing w:after="0"/>
        <w:ind w:hanging="360"/>
        <w:rPr>
          <w:sz w:val="22"/>
          <w:szCs w:val="22"/>
          <w:highlight w:val="white"/>
        </w:rPr>
      </w:pPr>
      <w:r>
        <w:rPr>
          <w:sz w:val="22"/>
          <w:szCs w:val="22"/>
          <w:highlight w:val="white"/>
        </w:rPr>
        <w:t>6</w:t>
      </w:r>
      <w:r w:rsidR="00C946D9">
        <w:rPr>
          <w:sz w:val="22"/>
          <w:szCs w:val="22"/>
          <w:highlight w:val="white"/>
        </w:rPr>
        <w:t>2</w:t>
      </w:r>
      <w:r>
        <w:rPr>
          <w:sz w:val="22"/>
          <w:szCs w:val="22"/>
          <w:highlight w:val="white"/>
        </w:rPr>
        <w:t>.</w:t>
      </w:r>
      <w:r>
        <w:rPr>
          <w:sz w:val="14"/>
          <w:szCs w:val="14"/>
          <w:highlight w:val="white"/>
        </w:rPr>
        <w:t xml:space="preserve">  </w:t>
      </w:r>
      <w:r>
        <w:rPr>
          <w:sz w:val="22"/>
          <w:szCs w:val="22"/>
          <w:highlight w:val="white"/>
        </w:rPr>
        <w:t xml:space="preserve">Los proyectos empresariales que requieren del uso industrial del agua en sectores de energía, minería y agro industria, utilizan el recurso hídrico aprovechando la desregulación y la debilidad en la supervisión del Estado hacia las empresas privadas, evidenciando incompetencia para hacer valer la debida diligencia de estas empresas con los derechos humanos. Siendo estos proyectos un factor que aumenta la vulnerabilidad de la población y comunidades que reclaman la atención a preocupaciones sentidas relacionadas con utilización del recurso hídrico sin </w:t>
      </w:r>
      <w:r>
        <w:rPr>
          <w:sz w:val="22"/>
          <w:szCs w:val="22"/>
        </w:rPr>
        <w:t>consulta a los pueblos indígenas</w:t>
      </w:r>
      <w:r>
        <w:rPr>
          <w:color w:val="0563C1"/>
          <w:sz w:val="22"/>
          <w:szCs w:val="22"/>
          <w:vertAlign w:val="superscript"/>
        </w:rPr>
        <w:t>[63]</w:t>
      </w:r>
      <w:r>
        <w:rPr>
          <w:sz w:val="22"/>
          <w:szCs w:val="22"/>
          <w:highlight w:val="white"/>
        </w:rPr>
        <w:t>.</w:t>
      </w:r>
    </w:p>
    <w:p w14:paraId="4C28D5BB" w14:textId="6FDBF5A6" w:rsidR="0049134E" w:rsidRDefault="0049134E" w:rsidP="0049134E">
      <w:pPr>
        <w:spacing w:after="0"/>
        <w:ind w:hanging="360"/>
        <w:rPr>
          <w:sz w:val="22"/>
          <w:szCs w:val="22"/>
          <w:highlight w:val="white"/>
        </w:rPr>
      </w:pPr>
      <w:r>
        <w:rPr>
          <w:sz w:val="22"/>
          <w:szCs w:val="22"/>
          <w:highlight w:val="white"/>
        </w:rPr>
        <w:lastRenderedPageBreak/>
        <w:t>6</w:t>
      </w:r>
      <w:r w:rsidR="00C946D9">
        <w:rPr>
          <w:sz w:val="22"/>
          <w:szCs w:val="22"/>
          <w:highlight w:val="white"/>
        </w:rPr>
        <w:t>3</w:t>
      </w:r>
      <w:r>
        <w:rPr>
          <w:sz w:val="22"/>
          <w:szCs w:val="22"/>
          <w:highlight w:val="white"/>
        </w:rPr>
        <w:t>.</w:t>
      </w:r>
      <w:r>
        <w:rPr>
          <w:sz w:val="14"/>
          <w:szCs w:val="14"/>
          <w:highlight w:val="white"/>
        </w:rPr>
        <w:t xml:space="preserve">  </w:t>
      </w:r>
      <w:r>
        <w:rPr>
          <w:sz w:val="22"/>
          <w:szCs w:val="22"/>
          <w:highlight w:val="white"/>
        </w:rPr>
        <w:t>El reclamo de derechos tiene como reacción la utilización de patrones de violencia en el marco de megaproyectos, con el uso de recursos ilícitos por medio de estigmatización y manipulación de la justicia, militarización, la declaración de estados de sitio y el encarcelamiento y asesinato de personas defensoras, documentados de manera amplia por mecanismos nacionales e internacionales de derechos humanos.</w:t>
      </w:r>
    </w:p>
    <w:p w14:paraId="559C40D9" w14:textId="77777777" w:rsidR="0049134E" w:rsidRDefault="0049134E" w:rsidP="0049134E">
      <w:pPr>
        <w:spacing w:after="0"/>
        <w:ind w:hanging="360"/>
        <w:rPr>
          <w:sz w:val="22"/>
          <w:szCs w:val="22"/>
          <w:highlight w:val="white"/>
        </w:rPr>
      </w:pPr>
    </w:p>
    <w:p w14:paraId="66709D78" w14:textId="77777777" w:rsidR="0049134E" w:rsidRDefault="0049134E" w:rsidP="0049134E">
      <w:pPr>
        <w:pStyle w:val="Heading2"/>
        <w:keepNext w:val="0"/>
        <w:keepLines w:val="0"/>
        <w:spacing w:before="0" w:after="0"/>
        <w:rPr>
          <w:b/>
          <w:sz w:val="22"/>
          <w:szCs w:val="22"/>
          <w:u w:val="none"/>
        </w:rPr>
      </w:pPr>
      <w:r>
        <w:rPr>
          <w:b/>
          <w:sz w:val="22"/>
          <w:szCs w:val="22"/>
          <w:u w:val="none"/>
        </w:rPr>
        <w:t>G.2 Datos de personas y comunidades defensoras del medio ambiente criminalizados</w:t>
      </w:r>
    </w:p>
    <w:p w14:paraId="0956003B" w14:textId="77777777" w:rsidR="0049134E" w:rsidRPr="007862C3" w:rsidRDefault="0049134E" w:rsidP="0049134E"/>
    <w:p w14:paraId="43537FAC" w14:textId="190A91BC" w:rsidR="0049134E" w:rsidRDefault="0049134E" w:rsidP="0049134E">
      <w:pPr>
        <w:spacing w:after="0"/>
        <w:ind w:hanging="360"/>
        <w:rPr>
          <w:sz w:val="22"/>
          <w:szCs w:val="22"/>
        </w:rPr>
      </w:pPr>
      <w:r>
        <w:rPr>
          <w:sz w:val="22"/>
          <w:szCs w:val="22"/>
        </w:rPr>
        <w:t>6</w:t>
      </w:r>
      <w:r w:rsidR="00C946D9">
        <w:rPr>
          <w:sz w:val="22"/>
          <w:szCs w:val="22"/>
        </w:rPr>
        <w:t>4</w:t>
      </w:r>
      <w:r>
        <w:rPr>
          <w:sz w:val="22"/>
          <w:szCs w:val="22"/>
        </w:rPr>
        <w:t>.</w:t>
      </w:r>
      <w:r>
        <w:rPr>
          <w:sz w:val="14"/>
          <w:szCs w:val="14"/>
        </w:rPr>
        <w:t xml:space="preserve">  </w:t>
      </w:r>
      <w:r>
        <w:rPr>
          <w:sz w:val="22"/>
          <w:szCs w:val="22"/>
        </w:rPr>
        <w:t>De acuerdo a la Unidad de Protección a Defensoras y Defensores de Derechos Humanos de Guatemala (UDEFEGUA), en el año 2021 se registraron 1,002 agresiones (348 defensoras, 535 defensores y 119 organizaciones) incluyendo 11 asesinatos. UDEFEGUA observa al menos las siguientes condiciones características del Estado autoritario: captura institucional, alineación de los tres poderes del Estado, desmantelamiento de la institucionalidad pública, incremento de la violencia y la represión, militarización de la vida civil y conservadurismo. Según el tipo de persona defensora de derechos humanos, quiénes mayor cantidad de agresiones sufrieron durante el año 2021 fueron operadores y operadoras de justicia, personal del Ministerio Público y del Organismo Judicial. Entre las personas defensoras del agua agredidas por la defensa de ese derecho humano se encuentran:  campesinos (83), defensa de territorio (64), ambientalistas (32), desarrollo (27) y pueblos indígenas (19). Los principales tipos de agresiones fueron difamación, hostigamiento y denuncia jurídica sin fundamento</w:t>
      </w:r>
      <w:r>
        <w:rPr>
          <w:color w:val="0563C1"/>
          <w:sz w:val="22"/>
          <w:szCs w:val="22"/>
          <w:vertAlign w:val="superscript"/>
        </w:rPr>
        <w:t>[64]</w:t>
      </w:r>
      <w:r>
        <w:rPr>
          <w:sz w:val="22"/>
          <w:szCs w:val="22"/>
        </w:rPr>
        <w:t>.</w:t>
      </w:r>
    </w:p>
    <w:p w14:paraId="7555B1B6" w14:textId="77777777" w:rsidR="0049134E" w:rsidRDefault="0049134E" w:rsidP="0049134E">
      <w:pPr>
        <w:spacing w:after="0"/>
        <w:ind w:hanging="360"/>
        <w:rPr>
          <w:sz w:val="22"/>
          <w:szCs w:val="22"/>
        </w:rPr>
      </w:pPr>
    </w:p>
    <w:p w14:paraId="738F9737" w14:textId="77777777" w:rsidR="0049134E" w:rsidRDefault="0049134E" w:rsidP="0049134E">
      <w:pPr>
        <w:spacing w:after="0"/>
        <w:ind w:hanging="360"/>
        <w:rPr>
          <w:sz w:val="22"/>
          <w:szCs w:val="22"/>
          <w:highlight w:val="yellow"/>
        </w:rPr>
      </w:pPr>
    </w:p>
    <w:p w14:paraId="66A8FBCF" w14:textId="77777777" w:rsidR="0049134E" w:rsidRDefault="0049134E" w:rsidP="0049134E">
      <w:pPr>
        <w:pStyle w:val="Heading1"/>
        <w:keepNext w:val="0"/>
        <w:keepLines w:val="0"/>
        <w:spacing w:before="0" w:after="0"/>
        <w:rPr>
          <w:sz w:val="22"/>
          <w:szCs w:val="22"/>
          <w:highlight w:val="white"/>
        </w:rPr>
      </w:pPr>
      <w:r>
        <w:rPr>
          <w:sz w:val="22"/>
          <w:szCs w:val="22"/>
          <w:highlight w:val="white"/>
        </w:rPr>
        <w:t>H.</w:t>
      </w:r>
      <w:r>
        <w:rPr>
          <w:b w:val="0"/>
          <w:sz w:val="14"/>
          <w:szCs w:val="14"/>
          <w:highlight w:val="white"/>
        </w:rPr>
        <w:t xml:space="preserve">        </w:t>
      </w:r>
      <w:r>
        <w:rPr>
          <w:b w:val="0"/>
          <w:sz w:val="14"/>
          <w:szCs w:val="14"/>
          <w:highlight w:val="white"/>
        </w:rPr>
        <w:tab/>
      </w:r>
      <w:r>
        <w:rPr>
          <w:sz w:val="22"/>
          <w:szCs w:val="22"/>
          <w:highlight w:val="white"/>
        </w:rPr>
        <w:t>RECOMENDACIONES</w:t>
      </w:r>
    </w:p>
    <w:p w14:paraId="7BD12483" w14:textId="77777777" w:rsidR="0049134E" w:rsidRPr="006060D2" w:rsidRDefault="0049134E" w:rsidP="0049134E">
      <w:pPr>
        <w:rPr>
          <w:highlight w:val="white"/>
        </w:rPr>
      </w:pPr>
    </w:p>
    <w:p w14:paraId="2172C082" w14:textId="32FFD0DD" w:rsidR="0049134E" w:rsidRDefault="0049134E" w:rsidP="0049134E">
      <w:pPr>
        <w:spacing w:after="0"/>
        <w:ind w:hanging="360"/>
        <w:rPr>
          <w:sz w:val="22"/>
          <w:szCs w:val="22"/>
          <w:highlight w:val="white"/>
        </w:rPr>
      </w:pPr>
      <w:r>
        <w:rPr>
          <w:sz w:val="22"/>
          <w:szCs w:val="22"/>
          <w:highlight w:val="white"/>
        </w:rPr>
        <w:t>6</w:t>
      </w:r>
      <w:r w:rsidR="00C946D9">
        <w:rPr>
          <w:sz w:val="22"/>
          <w:szCs w:val="22"/>
          <w:highlight w:val="white"/>
        </w:rPr>
        <w:t>5</w:t>
      </w:r>
      <w:r>
        <w:rPr>
          <w:sz w:val="22"/>
          <w:szCs w:val="22"/>
          <w:highlight w:val="white"/>
        </w:rPr>
        <w:t>.</w:t>
      </w:r>
      <w:r>
        <w:rPr>
          <w:sz w:val="14"/>
          <w:szCs w:val="14"/>
          <w:highlight w:val="white"/>
        </w:rPr>
        <w:t xml:space="preserve"> </w:t>
      </w:r>
      <w:r>
        <w:rPr>
          <w:sz w:val="22"/>
          <w:szCs w:val="22"/>
          <w:highlight w:val="white"/>
        </w:rPr>
        <w:t xml:space="preserve">A la luz de lo anterior, las organizaciones que presentan este Informe, alientan al Comité de Derechos Económicos, Sociales y Culturales, en el actual período de revisión de los informes del Estado de Guatemala sobre los compromisos establecidos con el Pacto DESC, a tomar en consideración estas recomendaciones, con la intención de darle un sentido de coherencia al cumplimiento de sus obligaciones relacionadas con ser garante del derecho humano al agua. </w:t>
      </w:r>
    </w:p>
    <w:p w14:paraId="4A500C13" w14:textId="65DC5B56" w:rsidR="0049134E" w:rsidRDefault="0049134E" w:rsidP="0049134E">
      <w:pPr>
        <w:spacing w:after="0"/>
        <w:ind w:hanging="360"/>
        <w:rPr>
          <w:sz w:val="22"/>
          <w:szCs w:val="22"/>
          <w:highlight w:val="white"/>
        </w:rPr>
      </w:pPr>
      <w:r>
        <w:rPr>
          <w:sz w:val="22"/>
          <w:szCs w:val="22"/>
          <w:highlight w:val="white"/>
        </w:rPr>
        <w:t>6</w:t>
      </w:r>
      <w:r w:rsidR="00C946D9">
        <w:rPr>
          <w:sz w:val="22"/>
          <w:szCs w:val="22"/>
          <w:highlight w:val="white"/>
        </w:rPr>
        <w:t>6</w:t>
      </w:r>
      <w:r>
        <w:rPr>
          <w:sz w:val="22"/>
          <w:szCs w:val="22"/>
          <w:highlight w:val="white"/>
        </w:rPr>
        <w:t>. En el espíritu y resoluciones sobre el bloque de constitucionalidad entre el derecho internacional de los derechos humanos con el derecho interno. El derecho humano al agua está recogido en la Constitución Política de la República de Guatemala y se requiere aplicarlo a todas las personas, especialmente en comunidades indígenas y familias campesinas, con el fin de reducir la morbilidad y mortalidad por la falta de agua potable.</w:t>
      </w:r>
    </w:p>
    <w:p w14:paraId="7BEC0E5D" w14:textId="57C903D6" w:rsidR="0049134E" w:rsidRDefault="0049134E" w:rsidP="0049134E">
      <w:pPr>
        <w:spacing w:after="0"/>
        <w:ind w:hanging="360"/>
        <w:rPr>
          <w:sz w:val="22"/>
          <w:szCs w:val="22"/>
          <w:highlight w:val="white"/>
        </w:rPr>
      </w:pPr>
      <w:r>
        <w:rPr>
          <w:sz w:val="22"/>
          <w:szCs w:val="22"/>
          <w:highlight w:val="white"/>
        </w:rPr>
        <w:t>6</w:t>
      </w:r>
      <w:r w:rsidR="00C946D9">
        <w:rPr>
          <w:sz w:val="22"/>
          <w:szCs w:val="22"/>
          <w:highlight w:val="white"/>
        </w:rPr>
        <w:t>7</w:t>
      </w:r>
      <w:r>
        <w:rPr>
          <w:sz w:val="22"/>
          <w:szCs w:val="22"/>
          <w:highlight w:val="white"/>
        </w:rPr>
        <w:t>.</w:t>
      </w:r>
      <w:r>
        <w:rPr>
          <w:sz w:val="14"/>
          <w:szCs w:val="14"/>
          <w:highlight w:val="white"/>
        </w:rPr>
        <w:t xml:space="preserve"> </w:t>
      </w:r>
      <w:r>
        <w:rPr>
          <w:sz w:val="22"/>
          <w:szCs w:val="22"/>
          <w:highlight w:val="white"/>
        </w:rPr>
        <w:t>Una Ley de Aguas ampliamente consensuada, especialmente con los pueblos indígenas, que reconozca de manera explícita el derecho humano al agua y el recurso hídrico como bien común, estableciendo mecanismos claros de participación de autoridades indígenas en decisiones relacionadas con el empleo o gestión del agua.</w:t>
      </w:r>
    </w:p>
    <w:p w14:paraId="29F00158" w14:textId="399F9A6D" w:rsidR="0049134E" w:rsidRDefault="0049134E" w:rsidP="0049134E">
      <w:pPr>
        <w:spacing w:after="0"/>
        <w:ind w:hanging="360"/>
        <w:rPr>
          <w:sz w:val="22"/>
          <w:szCs w:val="22"/>
          <w:highlight w:val="white"/>
        </w:rPr>
      </w:pPr>
      <w:r>
        <w:rPr>
          <w:sz w:val="22"/>
          <w:szCs w:val="22"/>
          <w:highlight w:val="white"/>
        </w:rPr>
        <w:t>6</w:t>
      </w:r>
      <w:r w:rsidR="00C946D9">
        <w:rPr>
          <w:sz w:val="22"/>
          <w:szCs w:val="22"/>
          <w:highlight w:val="white"/>
        </w:rPr>
        <w:t>8</w:t>
      </w:r>
      <w:r>
        <w:rPr>
          <w:sz w:val="22"/>
          <w:szCs w:val="22"/>
          <w:highlight w:val="white"/>
        </w:rPr>
        <w:t>.</w:t>
      </w:r>
      <w:r>
        <w:rPr>
          <w:sz w:val="14"/>
          <w:szCs w:val="14"/>
          <w:highlight w:val="white"/>
        </w:rPr>
        <w:t xml:space="preserve">  </w:t>
      </w:r>
      <w:r>
        <w:rPr>
          <w:sz w:val="22"/>
          <w:szCs w:val="22"/>
          <w:highlight w:val="white"/>
        </w:rPr>
        <w:t>Hacer referencia a la política pública de acceso a agua y saneamiento con enfoque de derechos, estableciendo competencias entre entidades gubernamentales, municipalidades y mecanismos de toma de decisión con participación de los pueblos indígenas, para monitorear el adecuado cumplimiento del derecho humano al agua y saneamiento, superando la brecha de acceso de las áreas rurales y comunidades campesinas, encaminada al acceso universal y equitativo al agua potable y servicios de saneamiento e higiene adecuados.</w:t>
      </w:r>
    </w:p>
    <w:p w14:paraId="777054AC" w14:textId="42603B1C" w:rsidR="0049134E" w:rsidRDefault="0049134E" w:rsidP="0049134E">
      <w:pPr>
        <w:spacing w:after="0"/>
        <w:ind w:hanging="360"/>
        <w:rPr>
          <w:sz w:val="22"/>
          <w:szCs w:val="22"/>
          <w:highlight w:val="white"/>
        </w:rPr>
      </w:pPr>
      <w:r>
        <w:rPr>
          <w:sz w:val="22"/>
          <w:szCs w:val="22"/>
          <w:highlight w:val="white"/>
        </w:rPr>
        <w:t>6</w:t>
      </w:r>
      <w:r w:rsidR="00C946D9">
        <w:rPr>
          <w:sz w:val="22"/>
          <w:szCs w:val="22"/>
          <w:highlight w:val="white"/>
        </w:rPr>
        <w:t>9</w:t>
      </w:r>
      <w:r>
        <w:rPr>
          <w:sz w:val="22"/>
          <w:szCs w:val="22"/>
          <w:highlight w:val="white"/>
        </w:rPr>
        <w:t>.</w:t>
      </w:r>
      <w:r>
        <w:rPr>
          <w:sz w:val="14"/>
          <w:szCs w:val="14"/>
          <w:highlight w:val="white"/>
        </w:rPr>
        <w:t xml:space="preserve">  </w:t>
      </w:r>
      <w:r>
        <w:rPr>
          <w:sz w:val="22"/>
          <w:szCs w:val="22"/>
          <w:highlight w:val="white"/>
        </w:rPr>
        <w:t>Adoptar medidas que aseguren el derecho al acceso a tierras ancestrales, reforzando sistemas tradicionales de uso y administración del agua como un ente sagrado y un ser vivo, sujeto de derechos. Así mismo, generar las condiciones para el reconocimiento del derecho maya, promoviendo el derecho colectivo del agua que trascienda el enfoque material de un bien estratégico nacional hacia la relación armónica, de respeto y existencia de la cultura y los valores sobre el agua, a partir de la cosmovisión maya y de los pueblos indígenas que habitan Guatemala.</w:t>
      </w:r>
    </w:p>
    <w:p w14:paraId="2B6D442B" w14:textId="3077A0E8" w:rsidR="0049134E" w:rsidRDefault="00C946D9" w:rsidP="0049134E">
      <w:pPr>
        <w:spacing w:after="0"/>
        <w:ind w:hanging="360"/>
        <w:rPr>
          <w:sz w:val="22"/>
          <w:szCs w:val="22"/>
          <w:highlight w:val="white"/>
        </w:rPr>
      </w:pPr>
      <w:r>
        <w:rPr>
          <w:sz w:val="22"/>
          <w:szCs w:val="22"/>
          <w:highlight w:val="white"/>
        </w:rPr>
        <w:t>70</w:t>
      </w:r>
      <w:r w:rsidR="0049134E">
        <w:rPr>
          <w:sz w:val="22"/>
          <w:szCs w:val="22"/>
          <w:highlight w:val="white"/>
        </w:rPr>
        <w:t>.</w:t>
      </w:r>
      <w:r w:rsidR="0049134E">
        <w:rPr>
          <w:sz w:val="14"/>
          <w:szCs w:val="14"/>
          <w:highlight w:val="white"/>
        </w:rPr>
        <w:t xml:space="preserve">  </w:t>
      </w:r>
      <w:r w:rsidR="0049134E">
        <w:rPr>
          <w:sz w:val="22"/>
          <w:szCs w:val="22"/>
          <w:highlight w:val="white"/>
        </w:rPr>
        <w:t xml:space="preserve">Establecer una moratoria sobre hidroeléctricas, minería y monocultivos, esta moratoria a la minería metálica permitirá realizar las evaluaciones ambientales estratégicas para conocer la factibilidad de estas actividades extractivas en Guatemala y sus impactos en limitar el acceso al derecho humano del agua. Esta moratoria debe quedar vigente hasta tener establecidos los límites del aprovechamiento de agua por parte de proyectos </w:t>
      </w:r>
      <w:r w:rsidR="0049134E">
        <w:rPr>
          <w:sz w:val="22"/>
          <w:szCs w:val="22"/>
          <w:highlight w:val="white"/>
        </w:rPr>
        <w:lastRenderedPageBreak/>
        <w:t>empresariales cuando son afectados los derechos de comunidades indígenas y campesinas, al establecimiento de consultas previas, libres e informadas.</w:t>
      </w:r>
    </w:p>
    <w:p w14:paraId="19DCFEDD" w14:textId="4CBA630A" w:rsidR="0049134E" w:rsidRDefault="0049134E" w:rsidP="0049134E">
      <w:pPr>
        <w:spacing w:after="0"/>
        <w:ind w:hanging="360"/>
        <w:rPr>
          <w:sz w:val="22"/>
          <w:szCs w:val="22"/>
          <w:highlight w:val="white"/>
        </w:rPr>
      </w:pPr>
      <w:r>
        <w:rPr>
          <w:sz w:val="22"/>
          <w:szCs w:val="22"/>
          <w:highlight w:val="white"/>
        </w:rPr>
        <w:t>7</w:t>
      </w:r>
      <w:r w:rsidR="00C946D9">
        <w:rPr>
          <w:sz w:val="22"/>
          <w:szCs w:val="22"/>
          <w:highlight w:val="white"/>
        </w:rPr>
        <w:t>1</w:t>
      </w:r>
      <w:r>
        <w:rPr>
          <w:sz w:val="22"/>
          <w:szCs w:val="22"/>
          <w:highlight w:val="white"/>
        </w:rPr>
        <w:t>.</w:t>
      </w:r>
      <w:r>
        <w:rPr>
          <w:sz w:val="14"/>
          <w:szCs w:val="14"/>
          <w:highlight w:val="white"/>
        </w:rPr>
        <w:t xml:space="preserve">  </w:t>
      </w:r>
      <w:r>
        <w:rPr>
          <w:sz w:val="22"/>
          <w:szCs w:val="22"/>
          <w:highlight w:val="white"/>
        </w:rPr>
        <w:t>Demandar al Congreso de la República la pronta ratificación del Protocolo Facultativo del Pacto Internacional de Derechos Económicos, Sociales y Culturales (PIDESC), la ratificación de dicho protocolo dará la potestad a personas y comunidades presentar quejas ante el Comité de Derechos Económicos, Sociales y Culturales (Comité DESC), respecto de violaciones al derecho de acceso al agua provocado por empresas, en detrimento de la calidad y cantidad necesarias para el consumo humano. Finalmente, hacer un llamado al Estado de Guatemala a la coherencia con convenios y acuerdos ambientales aprobados y su compromiso con la ratificación del Acuerdo Regional sobre el Acceso a la Información, la Participación Pública y el Acceso a la Justicia en Asuntos Ambientales en América Latina y el Caribe, también conocido como “Acuerdo de Escazú” como una herramienta que fortalecerá su compromiso con el derecho humano al agua.</w:t>
      </w:r>
    </w:p>
    <w:p w14:paraId="4E2A2493" w14:textId="77777777" w:rsidR="0049134E" w:rsidRDefault="0049134E" w:rsidP="0049134E">
      <w:pPr>
        <w:spacing w:after="0"/>
        <w:rPr>
          <w:highlight w:val="white"/>
        </w:rPr>
      </w:pPr>
      <w:r>
        <w:rPr>
          <w:highlight w:val="white"/>
        </w:rPr>
        <w:t xml:space="preserve"> </w:t>
      </w:r>
    </w:p>
    <w:p w14:paraId="41C9EF66" w14:textId="77777777" w:rsidR="0049134E" w:rsidRDefault="00597F88" w:rsidP="0049134E">
      <w:pPr>
        <w:spacing w:after="0"/>
        <w:jc w:val="center"/>
      </w:pPr>
      <w:r>
        <w:rPr>
          <w:noProof/>
        </w:rPr>
        <w:pict w14:anchorId="0094DC53">
          <v:rect id="_x0000_i1025" alt="" style="width:441.9pt;height:.05pt;mso-width-percent:0;mso-height-percent:0;mso-width-percent:0;mso-height-percent:0" o:hralign="center" o:hrstd="t" o:hr="t" fillcolor="#a0a0a0" stroked="f"/>
        </w:pict>
      </w:r>
    </w:p>
    <w:p w14:paraId="7AF1E748" w14:textId="77777777" w:rsidR="0049134E" w:rsidRDefault="0049134E" w:rsidP="0049134E">
      <w:pPr>
        <w:spacing w:after="0"/>
        <w:rPr>
          <w:sz w:val="20"/>
          <w:szCs w:val="20"/>
        </w:rPr>
      </w:pPr>
      <w:r>
        <w:rPr>
          <w:color w:val="0563C1"/>
          <w:sz w:val="34"/>
          <w:szCs w:val="34"/>
          <w:vertAlign w:val="superscript"/>
        </w:rPr>
        <w:t>[1]</w:t>
      </w:r>
      <w:r>
        <w:rPr>
          <w:sz w:val="20"/>
          <w:szCs w:val="20"/>
        </w:rPr>
        <w:t xml:space="preserve"> Instituto de Investigación y Proyección sobre Ambiente Natural y Sociedad de la Universidad Rafael Landivar, </w:t>
      </w:r>
      <w:r>
        <w:rPr>
          <w:i/>
          <w:sz w:val="20"/>
          <w:szCs w:val="20"/>
        </w:rPr>
        <w:t>“Bases conceptuales y metodológicas para el análisis territorial del riesgo en Guatemala: énfasis en vulnerabilidad sistémica y amenazas climáticas”</w:t>
      </w:r>
      <w:r>
        <w:rPr>
          <w:sz w:val="20"/>
          <w:szCs w:val="20"/>
        </w:rPr>
        <w:t xml:space="preserve"> (Guatemala: Universidad Rafael Landívar, Editorial Cara Parens, 2020).</w:t>
      </w:r>
    </w:p>
    <w:p w14:paraId="2D429D15" w14:textId="77777777" w:rsidR="0049134E" w:rsidRDefault="0049134E" w:rsidP="0049134E">
      <w:pPr>
        <w:spacing w:after="0"/>
        <w:rPr>
          <w:sz w:val="20"/>
          <w:szCs w:val="20"/>
        </w:rPr>
      </w:pPr>
      <w:r>
        <w:rPr>
          <w:color w:val="0563C1"/>
          <w:sz w:val="34"/>
          <w:szCs w:val="34"/>
          <w:vertAlign w:val="superscript"/>
        </w:rPr>
        <w:t>[2]</w:t>
      </w:r>
      <w:r>
        <w:rPr>
          <w:sz w:val="20"/>
          <w:szCs w:val="20"/>
        </w:rPr>
        <w:t xml:space="preserve"> Instituto de Agricultura, Recursos Naturales y Ambiente de la Universidad Rafael Landívar, (2021), </w:t>
      </w:r>
      <w:r>
        <w:rPr>
          <w:i/>
          <w:sz w:val="20"/>
          <w:szCs w:val="20"/>
        </w:rPr>
        <w:t xml:space="preserve">Ensayo “Crisis del Agua, Riesgo vital y Ley de Aguas”, </w:t>
      </w:r>
      <w:r>
        <w:rPr>
          <w:sz w:val="20"/>
          <w:szCs w:val="20"/>
        </w:rPr>
        <w:t>(Juventino Gálvez, IARNA, 2021), página 3.</w:t>
      </w:r>
    </w:p>
    <w:p w14:paraId="6F910611" w14:textId="77777777" w:rsidR="0049134E" w:rsidRPr="00713AFD" w:rsidRDefault="0049134E" w:rsidP="0049134E">
      <w:pPr>
        <w:spacing w:after="0"/>
        <w:rPr>
          <w:sz w:val="20"/>
          <w:szCs w:val="20"/>
        </w:rPr>
      </w:pPr>
      <w:r>
        <w:rPr>
          <w:color w:val="0563C1"/>
          <w:sz w:val="34"/>
          <w:szCs w:val="34"/>
          <w:vertAlign w:val="superscript"/>
        </w:rPr>
        <w:t>[3]</w:t>
      </w:r>
      <w:r>
        <w:rPr>
          <w:sz w:val="20"/>
          <w:szCs w:val="20"/>
        </w:rPr>
        <w:t xml:space="preserve"> Instituto de Agricultura, Recursos Naturales y Ambiente de la Universidad Rafael Landívar, (2015), </w:t>
      </w:r>
      <w:r>
        <w:rPr>
          <w:i/>
          <w:sz w:val="20"/>
          <w:szCs w:val="20"/>
        </w:rPr>
        <w:t>Balance hidrológico de las subcuencas de la República de Guatemala. Bases fundamentales para la gestión del agua con visión a largo plazo</w:t>
      </w:r>
      <w:r>
        <w:rPr>
          <w:sz w:val="20"/>
          <w:szCs w:val="20"/>
        </w:rPr>
        <w:t xml:space="preserve"> (Guatemala: IARNA, 2015).</w:t>
      </w:r>
      <w:r w:rsidRPr="00713AFD">
        <w:rPr>
          <w:sz w:val="20"/>
          <w:szCs w:val="20"/>
        </w:rPr>
        <w:t xml:space="preserve"> Dispuesto en:</w:t>
      </w:r>
      <w:r w:rsidRPr="00713AFD">
        <w:t xml:space="preserve"> </w:t>
      </w:r>
      <w:hyperlink r:id="rId11" w:history="1">
        <w:r w:rsidRPr="00713AFD">
          <w:rPr>
            <w:color w:val="0563C1" w:themeColor="hyperlink"/>
            <w:sz w:val="20"/>
            <w:szCs w:val="20"/>
            <w:u w:val="single"/>
          </w:rPr>
          <w:t>https://www.url.edu.gt/publicacionesurl/FileCS.ashx?Id=40416</w:t>
        </w:r>
      </w:hyperlink>
      <w:r w:rsidRPr="00713AFD">
        <w:rPr>
          <w:sz w:val="20"/>
          <w:szCs w:val="20"/>
        </w:rPr>
        <w:t>. 20 de agosto de 2022</w:t>
      </w:r>
    </w:p>
    <w:p w14:paraId="29A2B968" w14:textId="77777777" w:rsidR="0049134E" w:rsidRDefault="0049134E" w:rsidP="0049134E">
      <w:pPr>
        <w:spacing w:after="0"/>
        <w:rPr>
          <w:sz w:val="20"/>
          <w:szCs w:val="20"/>
        </w:rPr>
      </w:pPr>
      <w:r>
        <w:rPr>
          <w:color w:val="0563C1"/>
          <w:sz w:val="34"/>
          <w:szCs w:val="34"/>
          <w:vertAlign w:val="superscript"/>
        </w:rPr>
        <w:t>[4]</w:t>
      </w:r>
      <w:r>
        <w:rPr>
          <w:sz w:val="20"/>
          <w:szCs w:val="20"/>
        </w:rPr>
        <w:t xml:space="preserve"> Idem.pág.28</w:t>
      </w:r>
    </w:p>
    <w:p w14:paraId="62AF8EBD" w14:textId="77777777" w:rsidR="0049134E" w:rsidRDefault="0049134E" w:rsidP="0049134E">
      <w:pPr>
        <w:spacing w:after="0"/>
        <w:rPr>
          <w:sz w:val="20"/>
          <w:szCs w:val="20"/>
        </w:rPr>
      </w:pPr>
      <w:r>
        <w:rPr>
          <w:color w:val="0563C1"/>
          <w:sz w:val="34"/>
          <w:szCs w:val="34"/>
          <w:vertAlign w:val="superscript"/>
        </w:rPr>
        <w:t>[5]</w:t>
      </w:r>
      <w:r>
        <w:rPr>
          <w:sz w:val="20"/>
          <w:szCs w:val="20"/>
        </w:rPr>
        <w:t xml:space="preserve"> Universidad de San Carlos de Guatemala, Facultad de Agronomía, Instituto de Investigaciones Agroeconómicas y Ambientales: Es</w:t>
      </w:r>
      <w:r>
        <w:rPr>
          <w:i/>
          <w:sz w:val="20"/>
          <w:szCs w:val="20"/>
        </w:rPr>
        <w:t>cenarios de Cambio Climático para Guatemala C.A.</w:t>
      </w:r>
      <w:r>
        <w:rPr>
          <w:sz w:val="20"/>
          <w:szCs w:val="20"/>
        </w:rPr>
        <w:t>, Guatemala (2020), página 104.</w:t>
      </w:r>
    </w:p>
    <w:p w14:paraId="0403DF33" w14:textId="77777777" w:rsidR="0049134E" w:rsidRDefault="0049134E" w:rsidP="0049134E">
      <w:pPr>
        <w:spacing w:after="0"/>
        <w:rPr>
          <w:sz w:val="20"/>
          <w:szCs w:val="20"/>
        </w:rPr>
      </w:pPr>
      <w:r>
        <w:rPr>
          <w:color w:val="0563C1"/>
          <w:sz w:val="34"/>
          <w:szCs w:val="34"/>
          <w:vertAlign w:val="superscript"/>
        </w:rPr>
        <w:t>[6]</w:t>
      </w:r>
      <w:r>
        <w:rPr>
          <w:sz w:val="20"/>
          <w:szCs w:val="20"/>
        </w:rPr>
        <w:t xml:space="preserve"> Basterrechea, M., &amp; Guerra Noriega, A., “Recursos hídricos” en </w:t>
      </w:r>
      <w:r>
        <w:rPr>
          <w:i/>
          <w:sz w:val="20"/>
          <w:szCs w:val="20"/>
        </w:rPr>
        <w:t>Primer reporte de evaluación del conocimiento sobre cambio climático en Guatemala</w:t>
      </w:r>
      <w:r>
        <w:rPr>
          <w:sz w:val="20"/>
          <w:szCs w:val="20"/>
        </w:rPr>
        <w:t>, coords. E. J. Castellanos, y otros (Guatemala: Editorial Univ.UVG, 2019), página 103.</w:t>
      </w:r>
    </w:p>
    <w:p w14:paraId="239668A4" w14:textId="77777777" w:rsidR="0049134E" w:rsidRDefault="0049134E" w:rsidP="0049134E">
      <w:pPr>
        <w:spacing w:after="0"/>
        <w:jc w:val="left"/>
        <w:rPr>
          <w:sz w:val="20"/>
          <w:szCs w:val="20"/>
        </w:rPr>
      </w:pPr>
      <w:r>
        <w:rPr>
          <w:color w:val="0563C1"/>
          <w:sz w:val="34"/>
          <w:szCs w:val="34"/>
          <w:vertAlign w:val="superscript"/>
        </w:rPr>
        <w:t>[7]</w:t>
      </w:r>
      <w:r>
        <w:rPr>
          <w:sz w:val="20"/>
          <w:szCs w:val="20"/>
        </w:rPr>
        <w:t xml:space="preserve"> Instituto Nacional de Estadística (INE), </w:t>
      </w:r>
      <w:r>
        <w:rPr>
          <w:i/>
          <w:sz w:val="20"/>
          <w:szCs w:val="20"/>
        </w:rPr>
        <w:t>VII Censo Nacional de Población y VII de Vivienda</w:t>
      </w:r>
      <w:r>
        <w:rPr>
          <w:sz w:val="20"/>
          <w:szCs w:val="20"/>
        </w:rPr>
        <w:t xml:space="preserve"> (Guatemala: INE, 2018)</w:t>
      </w:r>
    </w:p>
    <w:p w14:paraId="5C392F7F" w14:textId="77777777" w:rsidR="0049134E" w:rsidRDefault="0049134E" w:rsidP="0049134E">
      <w:pPr>
        <w:spacing w:after="0"/>
        <w:rPr>
          <w:sz w:val="20"/>
          <w:szCs w:val="20"/>
        </w:rPr>
      </w:pPr>
      <w:r>
        <w:rPr>
          <w:color w:val="0563C1"/>
          <w:sz w:val="34"/>
          <w:szCs w:val="34"/>
          <w:vertAlign w:val="superscript"/>
        </w:rPr>
        <w:t>[8]</w:t>
      </w:r>
      <w:r>
        <w:rPr>
          <w:sz w:val="20"/>
          <w:szCs w:val="20"/>
        </w:rPr>
        <w:t xml:space="preserve"> Instituto Nacional de Estadística (INE), </w:t>
      </w:r>
      <w:r>
        <w:rPr>
          <w:i/>
          <w:sz w:val="20"/>
          <w:szCs w:val="20"/>
        </w:rPr>
        <w:t>Encuestas Nacionales de Condiciones de Vida</w:t>
      </w:r>
      <w:r>
        <w:rPr>
          <w:sz w:val="20"/>
          <w:szCs w:val="20"/>
        </w:rPr>
        <w:t xml:space="preserve"> (Guatemala: INE, 2000 y 2011); INE, </w:t>
      </w:r>
      <w:r>
        <w:rPr>
          <w:i/>
          <w:sz w:val="20"/>
          <w:szCs w:val="20"/>
        </w:rPr>
        <w:t>VII Censo Nacional de Población y VII de Vivienda</w:t>
      </w:r>
      <w:r>
        <w:rPr>
          <w:sz w:val="20"/>
          <w:szCs w:val="20"/>
        </w:rPr>
        <w:t>.</w:t>
      </w:r>
    </w:p>
    <w:p w14:paraId="18E005C3" w14:textId="77777777" w:rsidR="0049134E" w:rsidRDefault="0049134E" w:rsidP="0049134E">
      <w:pPr>
        <w:spacing w:after="0"/>
        <w:rPr>
          <w:sz w:val="20"/>
          <w:szCs w:val="20"/>
        </w:rPr>
      </w:pPr>
      <w:r>
        <w:rPr>
          <w:color w:val="0563C1"/>
          <w:sz w:val="34"/>
          <w:szCs w:val="34"/>
          <w:vertAlign w:val="superscript"/>
        </w:rPr>
        <w:t>[9]</w:t>
      </w:r>
      <w:r>
        <w:rPr>
          <w:sz w:val="20"/>
          <w:szCs w:val="20"/>
        </w:rPr>
        <w:t xml:space="preserve"> Secretaría de Planificación y Programación de la Presidencia (SEGEPLAN), Informe final de cumplimiento de los Objetivos de Desarrollo del Milenio (Guatemala: SEGEPLAN, 2015) página 311</w:t>
      </w:r>
    </w:p>
    <w:p w14:paraId="6549CF85" w14:textId="77777777" w:rsidR="0049134E" w:rsidRDefault="0049134E" w:rsidP="0049134E">
      <w:pPr>
        <w:spacing w:after="0"/>
        <w:rPr>
          <w:sz w:val="20"/>
          <w:szCs w:val="20"/>
        </w:rPr>
      </w:pPr>
      <w:r>
        <w:rPr>
          <w:color w:val="0563C1"/>
          <w:sz w:val="34"/>
          <w:szCs w:val="34"/>
          <w:vertAlign w:val="superscript"/>
        </w:rPr>
        <w:t>[10]</w:t>
      </w:r>
      <w:r>
        <w:rPr>
          <w:sz w:val="20"/>
          <w:szCs w:val="20"/>
        </w:rPr>
        <w:t xml:space="preserve"> INE, </w:t>
      </w:r>
      <w:r>
        <w:rPr>
          <w:i/>
          <w:sz w:val="20"/>
          <w:szCs w:val="20"/>
        </w:rPr>
        <w:t>Encuesta Nacional de Condiciones de Vida</w:t>
      </w:r>
      <w:r>
        <w:rPr>
          <w:sz w:val="20"/>
          <w:szCs w:val="20"/>
        </w:rPr>
        <w:t xml:space="preserve"> (2000); INE, </w:t>
      </w:r>
      <w:r>
        <w:rPr>
          <w:i/>
          <w:sz w:val="20"/>
          <w:szCs w:val="20"/>
        </w:rPr>
        <w:t>VII Censo Nacional de Población y VII de Vivienda</w:t>
      </w:r>
      <w:r>
        <w:rPr>
          <w:sz w:val="20"/>
          <w:szCs w:val="20"/>
        </w:rPr>
        <w:t>.</w:t>
      </w:r>
    </w:p>
    <w:p w14:paraId="5BAB1EAC" w14:textId="77777777" w:rsidR="0049134E" w:rsidRDefault="0049134E" w:rsidP="0049134E">
      <w:pPr>
        <w:spacing w:after="0"/>
        <w:rPr>
          <w:sz w:val="20"/>
          <w:szCs w:val="20"/>
        </w:rPr>
      </w:pPr>
      <w:r>
        <w:rPr>
          <w:color w:val="0563C1"/>
          <w:sz w:val="34"/>
          <w:szCs w:val="34"/>
          <w:vertAlign w:val="superscript"/>
        </w:rPr>
        <w:t>[11]</w:t>
      </w:r>
      <w:r>
        <w:rPr>
          <w:sz w:val="20"/>
          <w:szCs w:val="20"/>
        </w:rPr>
        <w:t xml:space="preserve"> Análisis propio a partir de datos del Censo 2018. Fuente: INE </w:t>
      </w:r>
      <w:r>
        <w:rPr>
          <w:i/>
          <w:sz w:val="20"/>
          <w:szCs w:val="20"/>
        </w:rPr>
        <w:t>VII Censo Nacional de Población y VII de Vivienda</w:t>
      </w:r>
      <w:r>
        <w:rPr>
          <w:sz w:val="20"/>
          <w:szCs w:val="20"/>
        </w:rPr>
        <w:t>.</w:t>
      </w:r>
    </w:p>
    <w:p w14:paraId="4EC481E7" w14:textId="77777777" w:rsidR="0049134E" w:rsidRDefault="0049134E" w:rsidP="0049134E">
      <w:pPr>
        <w:spacing w:after="0"/>
        <w:rPr>
          <w:sz w:val="20"/>
          <w:szCs w:val="20"/>
        </w:rPr>
      </w:pPr>
      <w:r>
        <w:rPr>
          <w:color w:val="0563C1"/>
          <w:sz w:val="34"/>
          <w:szCs w:val="34"/>
          <w:vertAlign w:val="superscript"/>
        </w:rPr>
        <w:t>[12]</w:t>
      </w:r>
      <w:r>
        <w:rPr>
          <w:sz w:val="20"/>
          <w:szCs w:val="20"/>
        </w:rPr>
        <w:t xml:space="preserve"> INE </w:t>
      </w:r>
      <w:r>
        <w:rPr>
          <w:i/>
          <w:sz w:val="20"/>
          <w:szCs w:val="20"/>
        </w:rPr>
        <w:t>Encuesta Nacional de Condiciones de Vida</w:t>
      </w:r>
      <w:r>
        <w:rPr>
          <w:sz w:val="20"/>
          <w:szCs w:val="20"/>
        </w:rPr>
        <w:t xml:space="preserve"> (2014).</w:t>
      </w:r>
    </w:p>
    <w:p w14:paraId="63B85774" w14:textId="77777777" w:rsidR="0049134E" w:rsidRDefault="0049134E" w:rsidP="0049134E">
      <w:pPr>
        <w:spacing w:after="0"/>
        <w:rPr>
          <w:sz w:val="20"/>
          <w:szCs w:val="20"/>
        </w:rPr>
      </w:pPr>
      <w:r>
        <w:rPr>
          <w:color w:val="0563C1"/>
          <w:sz w:val="34"/>
          <w:szCs w:val="34"/>
          <w:vertAlign w:val="superscript"/>
        </w:rPr>
        <w:t>[13]</w:t>
      </w:r>
      <w:r>
        <w:rPr>
          <w:sz w:val="20"/>
          <w:szCs w:val="20"/>
        </w:rPr>
        <w:t xml:space="preserve"> Art.78 del Código de Salud (Decreto Número 90-97) mandata a impulsar una política prioritaria y de necesidad pública, que garantice el acceso y cobertura universal de la población a los servicios de agua potable, con énfasis en la gestión de las propias comunidades para garantizar el manejo sostenible del recurso.</w:t>
      </w:r>
    </w:p>
    <w:p w14:paraId="31FFE37E" w14:textId="77777777" w:rsidR="0049134E" w:rsidRDefault="0049134E" w:rsidP="0049134E">
      <w:pPr>
        <w:spacing w:after="0"/>
        <w:rPr>
          <w:sz w:val="20"/>
          <w:szCs w:val="20"/>
        </w:rPr>
      </w:pPr>
      <w:r>
        <w:rPr>
          <w:color w:val="0563C1"/>
          <w:sz w:val="34"/>
          <w:szCs w:val="34"/>
          <w:vertAlign w:val="superscript"/>
        </w:rPr>
        <w:t>[14]</w:t>
      </w:r>
      <w:r>
        <w:rPr>
          <w:sz w:val="20"/>
          <w:szCs w:val="20"/>
        </w:rPr>
        <w:t xml:space="preserve"> Expediente 1453-2015.</w:t>
      </w:r>
    </w:p>
    <w:p w14:paraId="40C73742" w14:textId="77777777" w:rsidR="0049134E" w:rsidRDefault="0049134E" w:rsidP="0049134E">
      <w:pPr>
        <w:spacing w:after="0"/>
        <w:rPr>
          <w:sz w:val="20"/>
          <w:szCs w:val="20"/>
        </w:rPr>
      </w:pPr>
      <w:r>
        <w:rPr>
          <w:color w:val="0563C1"/>
          <w:sz w:val="34"/>
          <w:szCs w:val="34"/>
          <w:vertAlign w:val="superscript"/>
        </w:rPr>
        <w:t>[15]</w:t>
      </w:r>
      <w:r>
        <w:rPr>
          <w:sz w:val="20"/>
          <w:szCs w:val="20"/>
        </w:rPr>
        <w:t xml:space="preserve"> Expediente 1302-2018; Expediente 277-2015.</w:t>
      </w:r>
    </w:p>
    <w:p w14:paraId="359FBAB1" w14:textId="77777777" w:rsidR="0049134E" w:rsidRDefault="0049134E" w:rsidP="0049134E">
      <w:pPr>
        <w:spacing w:after="0"/>
        <w:rPr>
          <w:sz w:val="20"/>
          <w:szCs w:val="20"/>
        </w:rPr>
      </w:pPr>
      <w:r>
        <w:rPr>
          <w:color w:val="0563C1"/>
          <w:sz w:val="34"/>
          <w:szCs w:val="34"/>
          <w:vertAlign w:val="superscript"/>
        </w:rPr>
        <w:t>[16]</w:t>
      </w:r>
      <w:r>
        <w:rPr>
          <w:sz w:val="20"/>
          <w:szCs w:val="20"/>
        </w:rPr>
        <w:t xml:space="preserve"> Proyecto "El derecho humano al agua: Debates y desafíos" Un proyecto de Plaza Pública con apoyo de la Asociación de Amigos de Plaza Pública y OXFAM Guatemala, noviembre de 2020</w:t>
      </w:r>
    </w:p>
    <w:p w14:paraId="4BC9D85D" w14:textId="77777777" w:rsidR="0049134E" w:rsidRDefault="0049134E" w:rsidP="0049134E">
      <w:pPr>
        <w:spacing w:after="0"/>
        <w:rPr>
          <w:sz w:val="20"/>
          <w:szCs w:val="20"/>
        </w:rPr>
      </w:pPr>
      <w:r>
        <w:rPr>
          <w:color w:val="0563C1"/>
          <w:sz w:val="34"/>
          <w:szCs w:val="34"/>
          <w:vertAlign w:val="superscript"/>
        </w:rPr>
        <w:lastRenderedPageBreak/>
        <w:t>[17]</w:t>
      </w:r>
      <w:r>
        <w:rPr>
          <w:sz w:val="20"/>
          <w:szCs w:val="20"/>
        </w:rPr>
        <w:t xml:space="preserve"> Caso Comunidad Indígena Yakye Axa Vs. Paraguay. Fondo, Reparaciones y Costas, 2005.</w:t>
      </w:r>
    </w:p>
    <w:p w14:paraId="197E4D3E" w14:textId="77777777" w:rsidR="0049134E" w:rsidRDefault="0049134E" w:rsidP="0049134E">
      <w:pPr>
        <w:spacing w:after="0"/>
        <w:jc w:val="left"/>
        <w:rPr>
          <w:sz w:val="20"/>
          <w:szCs w:val="20"/>
        </w:rPr>
      </w:pPr>
      <w:r>
        <w:rPr>
          <w:color w:val="0563C1"/>
          <w:sz w:val="34"/>
          <w:szCs w:val="34"/>
          <w:vertAlign w:val="superscript"/>
        </w:rPr>
        <w:t>[18]</w:t>
      </w:r>
      <w:r>
        <w:rPr>
          <w:sz w:val="20"/>
          <w:szCs w:val="20"/>
        </w:rPr>
        <w:t xml:space="preserve"> Emilio Lentini, </w:t>
      </w:r>
      <w:r>
        <w:rPr>
          <w:i/>
          <w:sz w:val="20"/>
          <w:szCs w:val="20"/>
        </w:rPr>
        <w:t>Servicio de agua potable y saneamiento en Guatemala: beneficios potenciales y determinantes de éxito</w:t>
      </w:r>
      <w:r>
        <w:rPr>
          <w:sz w:val="20"/>
          <w:szCs w:val="20"/>
        </w:rPr>
        <w:t xml:space="preserve"> (Santiago de Chile: Naciones Unidas, 2010) página 14. Y Según Rodríguez Samper 2008.</w:t>
      </w:r>
    </w:p>
    <w:p w14:paraId="1D65F4C1" w14:textId="77777777" w:rsidR="0049134E" w:rsidRDefault="0049134E" w:rsidP="0049134E">
      <w:pPr>
        <w:spacing w:after="0"/>
        <w:rPr>
          <w:sz w:val="20"/>
          <w:szCs w:val="20"/>
        </w:rPr>
      </w:pPr>
      <w:r>
        <w:rPr>
          <w:color w:val="0563C1"/>
          <w:sz w:val="34"/>
          <w:szCs w:val="34"/>
          <w:vertAlign w:val="superscript"/>
        </w:rPr>
        <w:t>[19]</w:t>
      </w:r>
      <w:r>
        <w:rPr>
          <w:sz w:val="20"/>
          <w:szCs w:val="20"/>
        </w:rPr>
        <w:t xml:space="preserve"> Ministerio de Salud Pública y Asistencia Social (MSPAS), Respuesta a solicitud de información pública en Expediente UNIP-SI-0933-2022, resolución del 16/5/2022.</w:t>
      </w:r>
    </w:p>
    <w:p w14:paraId="6B6B508D" w14:textId="77777777" w:rsidR="0049134E" w:rsidRDefault="0049134E" w:rsidP="0049134E">
      <w:pPr>
        <w:spacing w:after="0"/>
        <w:rPr>
          <w:sz w:val="20"/>
          <w:szCs w:val="20"/>
        </w:rPr>
      </w:pPr>
      <w:r>
        <w:rPr>
          <w:color w:val="0563C1"/>
          <w:sz w:val="34"/>
          <w:szCs w:val="34"/>
          <w:vertAlign w:val="superscript"/>
        </w:rPr>
        <w:t>[20]</w:t>
      </w:r>
      <w:r>
        <w:rPr>
          <w:sz w:val="20"/>
          <w:szCs w:val="20"/>
        </w:rPr>
        <w:t xml:space="preserve"> Idem.</w:t>
      </w:r>
    </w:p>
    <w:p w14:paraId="0EFE1328" w14:textId="77777777" w:rsidR="0049134E" w:rsidRDefault="0049134E" w:rsidP="0049134E">
      <w:pPr>
        <w:spacing w:after="0"/>
        <w:rPr>
          <w:sz w:val="20"/>
          <w:szCs w:val="20"/>
        </w:rPr>
      </w:pPr>
      <w:r>
        <w:rPr>
          <w:color w:val="0563C1"/>
          <w:sz w:val="34"/>
          <w:szCs w:val="34"/>
          <w:vertAlign w:val="superscript"/>
        </w:rPr>
        <w:t>[21]</w:t>
      </w:r>
      <w:r>
        <w:rPr>
          <w:sz w:val="20"/>
          <w:szCs w:val="20"/>
        </w:rPr>
        <w:t xml:space="preserve"> Prensa Libre, 7 de agosto de 2017. Versión digital. Dispuesto en:</w:t>
      </w:r>
      <w:hyperlink r:id="rId12">
        <w:r>
          <w:rPr>
            <w:color w:val="1155CC"/>
            <w:sz w:val="20"/>
            <w:szCs w:val="20"/>
          </w:rPr>
          <w:t xml:space="preserve"> </w:t>
        </w:r>
      </w:hyperlink>
      <w:hyperlink r:id="rId13">
        <w:r>
          <w:rPr>
            <w:color w:val="0563C1"/>
            <w:sz w:val="20"/>
            <w:szCs w:val="20"/>
            <w:u w:val="single"/>
          </w:rPr>
          <w:t>https://www.prensalibre.com/ciudades/el-95-del-agua-se-desperdicia-en-guatemala-debido-a-contaminacion-ambiental/</w:t>
        </w:r>
      </w:hyperlink>
      <w:r>
        <w:rPr>
          <w:sz w:val="20"/>
          <w:szCs w:val="20"/>
        </w:rPr>
        <w:t>. 18 de agosto de 2022.</w:t>
      </w:r>
    </w:p>
    <w:p w14:paraId="4431A898" w14:textId="77777777" w:rsidR="0049134E" w:rsidRDefault="0049134E" w:rsidP="0049134E">
      <w:pPr>
        <w:spacing w:after="0"/>
        <w:jc w:val="left"/>
        <w:rPr>
          <w:sz w:val="20"/>
          <w:szCs w:val="20"/>
        </w:rPr>
      </w:pPr>
      <w:r>
        <w:rPr>
          <w:color w:val="0563C1"/>
          <w:sz w:val="34"/>
          <w:szCs w:val="34"/>
          <w:vertAlign w:val="superscript"/>
        </w:rPr>
        <w:t>[22]</w:t>
      </w:r>
      <w:r>
        <w:rPr>
          <w:sz w:val="20"/>
          <w:szCs w:val="20"/>
        </w:rPr>
        <w:t xml:space="preserve"> CEUR 2021, dispuesto en:</w:t>
      </w:r>
      <w:hyperlink r:id="rId14">
        <w:r>
          <w:rPr>
            <w:color w:val="1155CC"/>
            <w:sz w:val="20"/>
            <w:szCs w:val="20"/>
          </w:rPr>
          <w:t xml:space="preserve"> </w:t>
        </w:r>
      </w:hyperlink>
      <w:hyperlink r:id="rId15">
        <w:r>
          <w:rPr>
            <w:color w:val="0563C1"/>
            <w:sz w:val="20"/>
            <w:szCs w:val="20"/>
          </w:rPr>
          <w:t>https://soy.usac.edu.gt/?p=16007</w:t>
        </w:r>
      </w:hyperlink>
      <w:r>
        <w:rPr>
          <w:sz w:val="20"/>
          <w:szCs w:val="20"/>
        </w:rPr>
        <w:t>. 20 de agosto de 2022.</w:t>
      </w:r>
    </w:p>
    <w:p w14:paraId="401D9880" w14:textId="77777777" w:rsidR="0049134E" w:rsidRDefault="0049134E" w:rsidP="0049134E">
      <w:pPr>
        <w:spacing w:after="0"/>
        <w:jc w:val="left"/>
        <w:rPr>
          <w:sz w:val="20"/>
          <w:szCs w:val="20"/>
        </w:rPr>
      </w:pPr>
      <w:r>
        <w:rPr>
          <w:color w:val="0563C1"/>
          <w:sz w:val="34"/>
          <w:szCs w:val="34"/>
          <w:vertAlign w:val="superscript"/>
        </w:rPr>
        <w:t>[23]</w:t>
      </w:r>
      <w:r>
        <w:rPr>
          <w:sz w:val="20"/>
          <w:szCs w:val="20"/>
        </w:rPr>
        <w:t xml:space="preserve"> CEUR 2021, óp.cit.</w:t>
      </w:r>
    </w:p>
    <w:p w14:paraId="4A7032B4" w14:textId="77777777" w:rsidR="0049134E" w:rsidRDefault="0049134E" w:rsidP="0049134E">
      <w:pPr>
        <w:spacing w:after="0"/>
        <w:rPr>
          <w:sz w:val="20"/>
          <w:szCs w:val="20"/>
        </w:rPr>
      </w:pPr>
      <w:r>
        <w:rPr>
          <w:color w:val="0563C1"/>
          <w:sz w:val="34"/>
          <w:szCs w:val="34"/>
          <w:vertAlign w:val="superscript"/>
        </w:rPr>
        <w:t>[24]</w:t>
      </w:r>
      <w:r>
        <w:rPr>
          <w:sz w:val="20"/>
          <w:szCs w:val="20"/>
        </w:rPr>
        <w:t xml:space="preserve"> Portal de Recursos para Prensa - Secretaría de Comunicación Social de la Presidencia, “MARN denuncia mal manejo de residuos en vertedero de Quetzaltenango”,</w:t>
      </w:r>
      <w:hyperlink r:id="rId16">
        <w:r>
          <w:rPr>
            <w:color w:val="1155CC"/>
            <w:sz w:val="20"/>
            <w:szCs w:val="20"/>
          </w:rPr>
          <w:t xml:space="preserve"> </w:t>
        </w:r>
      </w:hyperlink>
      <w:hyperlink r:id="rId17">
        <w:r>
          <w:rPr>
            <w:color w:val="0563C1"/>
            <w:sz w:val="20"/>
            <w:szCs w:val="20"/>
            <w:u w:val="single"/>
          </w:rPr>
          <w:t>https://prensa.gob.gt/comunicado/marn-denuncia-mal-manejo-de-residuos-en-vertedero-de-quetzaltenango</w:t>
        </w:r>
      </w:hyperlink>
      <w:r>
        <w:rPr>
          <w:sz w:val="20"/>
          <w:szCs w:val="20"/>
        </w:rPr>
        <w:t xml:space="preserve"> , (consultado el 9/5/2022).</w:t>
      </w:r>
    </w:p>
    <w:p w14:paraId="4D55F2D0" w14:textId="77777777" w:rsidR="0049134E" w:rsidRDefault="0049134E" w:rsidP="0049134E">
      <w:pPr>
        <w:spacing w:after="0"/>
        <w:rPr>
          <w:sz w:val="20"/>
          <w:szCs w:val="20"/>
        </w:rPr>
      </w:pPr>
      <w:r>
        <w:rPr>
          <w:color w:val="0563C1"/>
          <w:sz w:val="34"/>
          <w:szCs w:val="34"/>
          <w:vertAlign w:val="superscript"/>
        </w:rPr>
        <w:t>[25]</w:t>
      </w:r>
      <w:r>
        <w:rPr>
          <w:sz w:val="20"/>
          <w:szCs w:val="20"/>
        </w:rPr>
        <w:t xml:space="preserve"> Prensa Libre, “Honduras desmiente a Guatemala y dice que río Motagua sigue arrastrando toneladas de basura a sus playas”,</w:t>
      </w:r>
      <w:hyperlink r:id="rId18">
        <w:r>
          <w:rPr>
            <w:color w:val="1155CC"/>
            <w:sz w:val="20"/>
            <w:szCs w:val="20"/>
          </w:rPr>
          <w:t xml:space="preserve"> </w:t>
        </w:r>
      </w:hyperlink>
      <w:hyperlink r:id="rId19">
        <w:r>
          <w:rPr>
            <w:color w:val="0563C1"/>
            <w:sz w:val="20"/>
            <w:szCs w:val="20"/>
            <w:u w:val="single"/>
          </w:rPr>
          <w:t>https://www.prensalibre.com/guatemala/comunitario/honduras-desmiente-a-guatemala-y-dice-que-rio-motagua-sigue-arrastrando-toneladas-de-basura-a-sus-playas/</w:t>
        </w:r>
      </w:hyperlink>
      <w:r>
        <w:rPr>
          <w:sz w:val="20"/>
          <w:szCs w:val="20"/>
        </w:rPr>
        <w:t xml:space="preserve"> (consultado el 9/5/2022)</w:t>
      </w:r>
    </w:p>
    <w:p w14:paraId="75510414" w14:textId="77777777" w:rsidR="0049134E" w:rsidRDefault="0049134E" w:rsidP="0049134E">
      <w:pPr>
        <w:spacing w:after="0"/>
        <w:jc w:val="left"/>
        <w:rPr>
          <w:sz w:val="20"/>
          <w:szCs w:val="20"/>
        </w:rPr>
      </w:pPr>
      <w:r>
        <w:rPr>
          <w:color w:val="0563C1"/>
          <w:sz w:val="34"/>
          <w:szCs w:val="34"/>
          <w:vertAlign w:val="superscript"/>
        </w:rPr>
        <w:t>[26]</w:t>
      </w:r>
      <w:r>
        <w:rPr>
          <w:sz w:val="20"/>
          <w:szCs w:val="20"/>
        </w:rPr>
        <w:t xml:space="preserve"> Sistema de Naciones Unidas en Guatemala: Guatemala: </w:t>
      </w:r>
      <w:r>
        <w:rPr>
          <w:i/>
          <w:sz w:val="20"/>
          <w:szCs w:val="20"/>
        </w:rPr>
        <w:t>Análisis de situación del País</w:t>
      </w:r>
      <w:r>
        <w:rPr>
          <w:sz w:val="20"/>
          <w:szCs w:val="20"/>
        </w:rPr>
        <w:t xml:space="preserve">. Página 56 e Instituto Nacional de Estadística (INE), </w:t>
      </w:r>
      <w:r>
        <w:rPr>
          <w:i/>
          <w:sz w:val="20"/>
          <w:szCs w:val="20"/>
        </w:rPr>
        <w:t>VII Censo Nacional de Población y VII de Vivienda</w:t>
      </w:r>
      <w:r>
        <w:rPr>
          <w:sz w:val="20"/>
          <w:szCs w:val="20"/>
        </w:rPr>
        <w:t xml:space="preserve"> (Guatemala: INE, 2018).</w:t>
      </w:r>
    </w:p>
    <w:p w14:paraId="40167065" w14:textId="77777777" w:rsidR="0049134E" w:rsidRDefault="0049134E" w:rsidP="0049134E">
      <w:pPr>
        <w:spacing w:after="0"/>
        <w:rPr>
          <w:sz w:val="20"/>
          <w:szCs w:val="20"/>
        </w:rPr>
      </w:pPr>
      <w:r>
        <w:rPr>
          <w:color w:val="0563C1"/>
          <w:sz w:val="34"/>
          <w:szCs w:val="34"/>
          <w:vertAlign w:val="superscript"/>
        </w:rPr>
        <w:t>[27]</w:t>
      </w:r>
      <w:r>
        <w:rPr>
          <w:sz w:val="20"/>
          <w:szCs w:val="20"/>
        </w:rPr>
        <w:t xml:space="preserve"> Situación del Recurso Hídrico en Guatemala, Universidad Rafael Landívar Facultad de Ciencias Ambientales y Agrícolas –FCAA– IARNA, Pág. 21, noviembre 2005.</w:t>
      </w:r>
    </w:p>
    <w:p w14:paraId="37E2B9B8" w14:textId="77777777" w:rsidR="0049134E" w:rsidRDefault="0049134E" w:rsidP="0049134E">
      <w:pPr>
        <w:spacing w:after="0"/>
        <w:rPr>
          <w:sz w:val="20"/>
          <w:szCs w:val="20"/>
        </w:rPr>
      </w:pPr>
      <w:r>
        <w:rPr>
          <w:color w:val="0563C1"/>
          <w:sz w:val="34"/>
          <w:szCs w:val="34"/>
          <w:vertAlign w:val="superscript"/>
        </w:rPr>
        <w:t>[28]</w:t>
      </w:r>
      <w:r>
        <w:rPr>
          <w:sz w:val="20"/>
          <w:szCs w:val="20"/>
        </w:rPr>
        <w:t xml:space="preserve"> Procurador de los Derechos. </w:t>
      </w:r>
      <w:r>
        <w:rPr>
          <w:i/>
          <w:sz w:val="20"/>
          <w:szCs w:val="20"/>
        </w:rPr>
        <w:t>Humanos, Informe Anual Circunstanciado de la Situación de los Derechos Humamos</w:t>
      </w:r>
      <w:r>
        <w:rPr>
          <w:sz w:val="20"/>
          <w:szCs w:val="20"/>
        </w:rPr>
        <w:t>. Guatemala 2019. Página 438.</w:t>
      </w:r>
    </w:p>
    <w:p w14:paraId="0FFB9852" w14:textId="77777777" w:rsidR="0049134E" w:rsidRDefault="0049134E" w:rsidP="0049134E">
      <w:pPr>
        <w:spacing w:after="0"/>
        <w:rPr>
          <w:sz w:val="20"/>
          <w:szCs w:val="20"/>
        </w:rPr>
      </w:pPr>
      <w:r>
        <w:rPr>
          <w:color w:val="0563C1"/>
          <w:sz w:val="34"/>
          <w:szCs w:val="34"/>
          <w:vertAlign w:val="superscript"/>
        </w:rPr>
        <w:t>[29]</w:t>
      </w:r>
      <w:r>
        <w:rPr>
          <w:sz w:val="20"/>
          <w:szCs w:val="20"/>
        </w:rPr>
        <w:t xml:space="preserve"> Alianza Política Sector de Mujeres. </w:t>
      </w:r>
      <w:r>
        <w:rPr>
          <w:i/>
          <w:sz w:val="20"/>
          <w:szCs w:val="20"/>
        </w:rPr>
        <w:t>Extractivismo: Despojo Histórico de los cuerpos, vida de las mujeres</w:t>
      </w:r>
      <w:r>
        <w:rPr>
          <w:sz w:val="20"/>
          <w:szCs w:val="20"/>
        </w:rPr>
        <w:t>. Guatemala 2018. Dispuesto en</w:t>
      </w:r>
      <w:hyperlink r:id="rId20">
        <w:r>
          <w:rPr>
            <w:color w:val="1155CC"/>
            <w:sz w:val="20"/>
            <w:szCs w:val="20"/>
          </w:rPr>
          <w:t xml:space="preserve"> </w:t>
        </w:r>
      </w:hyperlink>
      <w:hyperlink r:id="rId21">
        <w:r>
          <w:rPr>
            <w:color w:val="0563C1"/>
            <w:sz w:val="20"/>
            <w:szCs w:val="20"/>
            <w:u w:val="single"/>
          </w:rPr>
          <w:t>https://www.sectordemujeres.org.gt/wp-content/uploads/2021/01/180626-Informe-extractivismo.pdf</w:t>
        </w:r>
      </w:hyperlink>
      <w:r>
        <w:rPr>
          <w:sz w:val="20"/>
          <w:szCs w:val="20"/>
        </w:rPr>
        <w:t>. 22 de agosto de 2022.</w:t>
      </w:r>
    </w:p>
    <w:p w14:paraId="420F3869" w14:textId="77777777" w:rsidR="0049134E" w:rsidRDefault="0049134E" w:rsidP="0049134E">
      <w:pPr>
        <w:spacing w:after="0"/>
        <w:rPr>
          <w:sz w:val="20"/>
          <w:szCs w:val="20"/>
        </w:rPr>
      </w:pPr>
      <w:r>
        <w:rPr>
          <w:color w:val="0563C1"/>
          <w:sz w:val="34"/>
          <w:szCs w:val="34"/>
          <w:vertAlign w:val="superscript"/>
        </w:rPr>
        <w:t>[30]</w:t>
      </w:r>
      <w:r>
        <w:rPr>
          <w:sz w:val="20"/>
          <w:szCs w:val="20"/>
        </w:rPr>
        <w:t xml:space="preserve"> INE, </w:t>
      </w:r>
      <w:r>
        <w:rPr>
          <w:i/>
          <w:sz w:val="20"/>
          <w:szCs w:val="20"/>
        </w:rPr>
        <w:t>Encuesta Nacional de Condiciones de Vida</w:t>
      </w:r>
      <w:r>
        <w:rPr>
          <w:sz w:val="20"/>
          <w:szCs w:val="20"/>
        </w:rPr>
        <w:t xml:space="preserve"> (2000); INE, </w:t>
      </w:r>
      <w:r>
        <w:rPr>
          <w:i/>
          <w:sz w:val="20"/>
          <w:szCs w:val="20"/>
        </w:rPr>
        <w:t>VII Censo Nacional de Población y VII de Vivienda</w:t>
      </w:r>
      <w:r>
        <w:rPr>
          <w:sz w:val="20"/>
          <w:szCs w:val="20"/>
        </w:rPr>
        <w:t>.</w:t>
      </w:r>
    </w:p>
    <w:p w14:paraId="5CF3FDF1" w14:textId="77777777" w:rsidR="0049134E" w:rsidRDefault="0049134E" w:rsidP="0049134E">
      <w:pPr>
        <w:spacing w:after="0"/>
        <w:rPr>
          <w:sz w:val="20"/>
          <w:szCs w:val="20"/>
        </w:rPr>
      </w:pPr>
      <w:r>
        <w:rPr>
          <w:color w:val="0563C1"/>
          <w:sz w:val="34"/>
          <w:szCs w:val="34"/>
          <w:vertAlign w:val="superscript"/>
        </w:rPr>
        <w:t>[31]</w:t>
      </w:r>
      <w:r>
        <w:rPr>
          <w:sz w:val="20"/>
          <w:szCs w:val="20"/>
        </w:rPr>
        <w:t xml:space="preserve"> SEGEPLAN 2015. </w:t>
      </w:r>
      <w:r>
        <w:rPr>
          <w:i/>
          <w:sz w:val="20"/>
          <w:szCs w:val="20"/>
        </w:rPr>
        <w:t>Informe final de cumplimiento de los Objetivos de Desarrollo del Milenio</w:t>
      </w:r>
      <w:r>
        <w:rPr>
          <w:sz w:val="20"/>
          <w:szCs w:val="20"/>
        </w:rPr>
        <w:t>. Guatemala, páginas 315 y 316.</w:t>
      </w:r>
    </w:p>
    <w:p w14:paraId="1761F2AD" w14:textId="77777777" w:rsidR="0049134E" w:rsidRDefault="0049134E" w:rsidP="0049134E">
      <w:pPr>
        <w:spacing w:after="0"/>
        <w:rPr>
          <w:sz w:val="20"/>
          <w:szCs w:val="20"/>
        </w:rPr>
      </w:pPr>
      <w:r>
        <w:rPr>
          <w:color w:val="0563C1"/>
          <w:sz w:val="34"/>
          <w:szCs w:val="34"/>
          <w:vertAlign w:val="superscript"/>
        </w:rPr>
        <w:t>[32]</w:t>
      </w:r>
      <w:r>
        <w:rPr>
          <w:sz w:val="20"/>
          <w:szCs w:val="20"/>
        </w:rPr>
        <w:t xml:space="preserve"> ENCOVI 2018.</w:t>
      </w:r>
    </w:p>
    <w:p w14:paraId="23A78E72" w14:textId="77777777" w:rsidR="0049134E" w:rsidRDefault="0049134E" w:rsidP="0049134E">
      <w:pPr>
        <w:spacing w:after="0"/>
        <w:rPr>
          <w:sz w:val="20"/>
          <w:szCs w:val="20"/>
        </w:rPr>
      </w:pPr>
      <w:r>
        <w:rPr>
          <w:color w:val="0563C1"/>
          <w:sz w:val="34"/>
          <w:szCs w:val="34"/>
          <w:vertAlign w:val="superscript"/>
        </w:rPr>
        <w:t>[33]</w:t>
      </w:r>
      <w:r>
        <w:rPr>
          <w:sz w:val="20"/>
          <w:szCs w:val="20"/>
        </w:rPr>
        <w:t xml:space="preserve"> Día Mundial del Agua Boletín Socioambiental, IARNA, VRIP, Universidad Rafael Landívar, página 8.</w:t>
      </w:r>
    </w:p>
    <w:p w14:paraId="6E107CB5" w14:textId="77777777" w:rsidR="0049134E" w:rsidRDefault="0049134E" w:rsidP="0049134E">
      <w:pPr>
        <w:spacing w:after="0"/>
        <w:rPr>
          <w:sz w:val="20"/>
          <w:szCs w:val="20"/>
        </w:rPr>
      </w:pPr>
      <w:r>
        <w:rPr>
          <w:color w:val="0563C1"/>
          <w:sz w:val="34"/>
          <w:szCs w:val="34"/>
          <w:vertAlign w:val="superscript"/>
        </w:rPr>
        <w:t>[34]</w:t>
      </w:r>
      <w:r>
        <w:rPr>
          <w:sz w:val="20"/>
          <w:szCs w:val="20"/>
        </w:rPr>
        <w:t xml:space="preserve"> ¿Hay escasez económica del agua? Mecanismos Económicos y Financieros para la Gestión de los Recursos Hídricos en Guatemala, Asociación de Investigación y Estudios Sociales. Noviembre 2021, Página 9.</w:t>
      </w:r>
    </w:p>
    <w:p w14:paraId="098D2F08" w14:textId="77777777" w:rsidR="0049134E" w:rsidRDefault="0049134E" w:rsidP="0049134E">
      <w:pPr>
        <w:spacing w:after="0"/>
        <w:rPr>
          <w:sz w:val="20"/>
          <w:szCs w:val="20"/>
        </w:rPr>
      </w:pPr>
      <w:r>
        <w:rPr>
          <w:color w:val="0563C1"/>
          <w:sz w:val="34"/>
          <w:szCs w:val="34"/>
          <w:vertAlign w:val="superscript"/>
        </w:rPr>
        <w:t>[35]</w:t>
      </w:r>
      <w:r>
        <w:rPr>
          <w:sz w:val="20"/>
          <w:szCs w:val="20"/>
        </w:rPr>
        <w:t xml:space="preserve"> CONGECOOP-ID. Monitoreo del presupuesto del Maga. Guatemala 2022. </w:t>
      </w:r>
    </w:p>
    <w:p w14:paraId="08520261" w14:textId="77777777" w:rsidR="0049134E" w:rsidRDefault="0049134E" w:rsidP="0049134E">
      <w:pPr>
        <w:spacing w:after="0"/>
        <w:rPr>
          <w:sz w:val="20"/>
          <w:szCs w:val="20"/>
        </w:rPr>
      </w:pPr>
      <w:r>
        <w:rPr>
          <w:color w:val="0563C1"/>
          <w:sz w:val="34"/>
          <w:szCs w:val="34"/>
          <w:vertAlign w:val="superscript"/>
        </w:rPr>
        <w:t>[36]</w:t>
      </w:r>
      <w:r>
        <w:rPr>
          <w:sz w:val="20"/>
          <w:szCs w:val="20"/>
        </w:rPr>
        <w:t xml:space="preserve"> Ídem. </w:t>
      </w:r>
    </w:p>
    <w:p w14:paraId="4D31E6C1" w14:textId="77777777" w:rsidR="0049134E" w:rsidRDefault="0049134E" w:rsidP="0049134E">
      <w:pPr>
        <w:spacing w:after="0"/>
        <w:rPr>
          <w:sz w:val="20"/>
          <w:szCs w:val="20"/>
        </w:rPr>
      </w:pPr>
      <w:r>
        <w:rPr>
          <w:color w:val="0563C1"/>
          <w:sz w:val="34"/>
          <w:szCs w:val="34"/>
          <w:vertAlign w:val="superscript"/>
        </w:rPr>
        <w:t>[37]</w:t>
      </w:r>
      <w:r>
        <w:rPr>
          <w:sz w:val="20"/>
          <w:szCs w:val="20"/>
        </w:rPr>
        <w:t xml:space="preserve"> Ídem. </w:t>
      </w:r>
    </w:p>
    <w:p w14:paraId="0E6E57B4" w14:textId="77777777" w:rsidR="0049134E" w:rsidRDefault="0049134E" w:rsidP="0049134E">
      <w:pPr>
        <w:spacing w:after="0"/>
        <w:rPr>
          <w:sz w:val="20"/>
          <w:szCs w:val="20"/>
        </w:rPr>
      </w:pPr>
      <w:bookmarkStart w:id="10" w:name="_Hlk112568344"/>
      <w:r>
        <w:rPr>
          <w:color w:val="0563C1"/>
          <w:sz w:val="34"/>
          <w:szCs w:val="34"/>
          <w:vertAlign w:val="superscript"/>
        </w:rPr>
        <w:t>[38]</w:t>
      </w:r>
      <w:r>
        <w:rPr>
          <w:sz w:val="20"/>
          <w:szCs w:val="20"/>
        </w:rPr>
        <w:t xml:space="preserve"> Plaza Pública</w:t>
      </w:r>
      <w:r>
        <w:rPr>
          <w:i/>
          <w:sz w:val="20"/>
          <w:szCs w:val="20"/>
        </w:rPr>
        <w:t>. Sin agua no hay lluvia.</w:t>
      </w:r>
      <w:r>
        <w:rPr>
          <w:sz w:val="20"/>
          <w:szCs w:val="20"/>
        </w:rPr>
        <w:t xml:space="preserve"> Dispuesto en:</w:t>
      </w:r>
      <w:hyperlink r:id="rId22">
        <w:r>
          <w:rPr>
            <w:color w:val="1155CC"/>
            <w:sz w:val="20"/>
            <w:szCs w:val="20"/>
          </w:rPr>
          <w:t xml:space="preserve"> </w:t>
        </w:r>
      </w:hyperlink>
      <w:hyperlink r:id="rId23">
        <w:r>
          <w:rPr>
            <w:color w:val="0563C1"/>
            <w:sz w:val="20"/>
            <w:szCs w:val="20"/>
            <w:u w:val="single"/>
          </w:rPr>
          <w:t>https://www.plazapublica.com.gt/content/sin-agua-no-hay-vida</w:t>
        </w:r>
      </w:hyperlink>
      <w:r>
        <w:rPr>
          <w:sz w:val="20"/>
          <w:szCs w:val="20"/>
        </w:rPr>
        <w:t>. 22 de agosto de 2022.</w:t>
      </w:r>
    </w:p>
    <w:p w14:paraId="3A2742D9" w14:textId="77777777" w:rsidR="0049134E" w:rsidRDefault="0049134E" w:rsidP="0049134E">
      <w:pPr>
        <w:spacing w:after="0"/>
        <w:rPr>
          <w:i/>
          <w:sz w:val="20"/>
          <w:szCs w:val="20"/>
        </w:rPr>
      </w:pPr>
      <w:r>
        <w:rPr>
          <w:color w:val="0563C1"/>
          <w:sz w:val="34"/>
          <w:szCs w:val="34"/>
          <w:vertAlign w:val="superscript"/>
        </w:rPr>
        <w:t>[39]</w:t>
      </w:r>
      <w:r>
        <w:rPr>
          <w:sz w:val="20"/>
          <w:szCs w:val="20"/>
        </w:rPr>
        <w:t xml:space="preserve"> Alianza Política Sector de Mujeres 2018. </w:t>
      </w:r>
      <w:r>
        <w:rPr>
          <w:i/>
          <w:sz w:val="20"/>
          <w:szCs w:val="20"/>
        </w:rPr>
        <w:t>Opci. Pág. 70</w:t>
      </w:r>
    </w:p>
    <w:bookmarkEnd w:id="10"/>
    <w:p w14:paraId="0F3C49FD" w14:textId="77777777" w:rsidR="0049134E" w:rsidRDefault="0049134E" w:rsidP="0049134E">
      <w:pPr>
        <w:spacing w:after="0"/>
        <w:rPr>
          <w:sz w:val="20"/>
          <w:szCs w:val="20"/>
        </w:rPr>
      </w:pPr>
      <w:r>
        <w:rPr>
          <w:color w:val="0563C1"/>
          <w:sz w:val="34"/>
          <w:szCs w:val="34"/>
          <w:vertAlign w:val="superscript"/>
        </w:rPr>
        <w:t>[40]</w:t>
      </w:r>
      <w:r>
        <w:rPr>
          <w:sz w:val="20"/>
          <w:szCs w:val="20"/>
        </w:rPr>
        <w:t xml:space="preserve"> Plaza Pública. </w:t>
      </w:r>
      <w:r>
        <w:rPr>
          <w:i/>
          <w:sz w:val="20"/>
          <w:szCs w:val="20"/>
        </w:rPr>
        <w:t xml:space="preserve">La ley de aguas y la regulación del derecho humano al agua en Guatemala: Debates y desafíos. </w:t>
      </w:r>
      <w:r>
        <w:rPr>
          <w:sz w:val="20"/>
          <w:szCs w:val="20"/>
        </w:rPr>
        <w:t>Guatemala 2020. Pág. 16.</w:t>
      </w:r>
    </w:p>
    <w:p w14:paraId="16EF2982" w14:textId="77777777" w:rsidR="0049134E" w:rsidRDefault="0049134E" w:rsidP="0049134E">
      <w:pPr>
        <w:spacing w:after="0"/>
        <w:rPr>
          <w:sz w:val="20"/>
          <w:szCs w:val="20"/>
        </w:rPr>
      </w:pPr>
      <w:r>
        <w:rPr>
          <w:color w:val="0563C1"/>
          <w:sz w:val="34"/>
          <w:szCs w:val="34"/>
          <w:vertAlign w:val="superscript"/>
        </w:rPr>
        <w:lastRenderedPageBreak/>
        <w:t>[41]</w:t>
      </w:r>
      <w:r>
        <w:rPr>
          <w:sz w:val="20"/>
          <w:szCs w:val="20"/>
        </w:rPr>
        <w:t xml:space="preserve"> Informe Circunstanciado del Procurador de los Derechos 2020. Guatemala. Página 413</w:t>
      </w:r>
    </w:p>
    <w:p w14:paraId="70181559" w14:textId="77777777" w:rsidR="0049134E" w:rsidRDefault="0049134E" w:rsidP="0049134E">
      <w:pPr>
        <w:spacing w:after="0"/>
        <w:rPr>
          <w:sz w:val="20"/>
          <w:szCs w:val="20"/>
        </w:rPr>
      </w:pPr>
    </w:p>
    <w:p w14:paraId="66F7EF37" w14:textId="77777777" w:rsidR="0049134E" w:rsidRDefault="0049134E" w:rsidP="0049134E">
      <w:pPr>
        <w:spacing w:after="0"/>
        <w:rPr>
          <w:sz w:val="20"/>
          <w:szCs w:val="20"/>
        </w:rPr>
      </w:pPr>
    </w:p>
    <w:p w14:paraId="50A102CC" w14:textId="77777777" w:rsidR="0049134E" w:rsidRDefault="0049134E" w:rsidP="0049134E">
      <w:pPr>
        <w:spacing w:after="0"/>
        <w:jc w:val="left"/>
        <w:rPr>
          <w:color w:val="0563C1"/>
          <w:sz w:val="34"/>
          <w:szCs w:val="34"/>
          <w:vertAlign w:val="superscript"/>
        </w:rPr>
      </w:pPr>
    </w:p>
    <w:p w14:paraId="4BF52294" w14:textId="77777777" w:rsidR="0049134E" w:rsidRDefault="0049134E" w:rsidP="0049134E">
      <w:pPr>
        <w:spacing w:after="0"/>
        <w:jc w:val="left"/>
        <w:rPr>
          <w:sz w:val="20"/>
          <w:szCs w:val="20"/>
        </w:rPr>
      </w:pPr>
      <w:r>
        <w:rPr>
          <w:color w:val="0563C1"/>
          <w:sz w:val="34"/>
          <w:szCs w:val="34"/>
          <w:vertAlign w:val="superscript"/>
        </w:rPr>
        <w:t>[42]</w:t>
      </w:r>
      <w:r>
        <w:rPr>
          <w:sz w:val="20"/>
          <w:szCs w:val="20"/>
        </w:rPr>
        <w:t xml:space="preserve"> Página de Organización Panamericana la Salud, “Agua y saneamiento”,</w:t>
      </w:r>
      <w:hyperlink r:id="rId24">
        <w:r>
          <w:rPr>
            <w:color w:val="1155CC"/>
            <w:sz w:val="20"/>
            <w:szCs w:val="20"/>
          </w:rPr>
          <w:t xml:space="preserve"> </w:t>
        </w:r>
      </w:hyperlink>
      <w:hyperlink r:id="rId25">
        <w:r>
          <w:rPr>
            <w:color w:val="0563C1"/>
            <w:sz w:val="20"/>
            <w:szCs w:val="20"/>
          </w:rPr>
          <w:t>https://www.paho.org/es/noticias/19-8-2015-agua-saneamiento</w:t>
        </w:r>
      </w:hyperlink>
      <w:r>
        <w:rPr>
          <w:sz w:val="20"/>
          <w:szCs w:val="20"/>
        </w:rPr>
        <w:t xml:space="preserve"> (consultado 10/5/2022). Y Lentini, </w:t>
      </w:r>
      <w:r>
        <w:rPr>
          <w:i/>
          <w:sz w:val="20"/>
          <w:szCs w:val="20"/>
        </w:rPr>
        <w:t>Servicio de agua potable y saneamiento en Guatemala</w:t>
      </w:r>
      <w:r>
        <w:rPr>
          <w:sz w:val="20"/>
          <w:szCs w:val="20"/>
        </w:rPr>
        <w:t>.</w:t>
      </w:r>
    </w:p>
    <w:p w14:paraId="163C52C6" w14:textId="77777777" w:rsidR="0049134E" w:rsidRDefault="0049134E" w:rsidP="0049134E">
      <w:pPr>
        <w:spacing w:after="0"/>
        <w:rPr>
          <w:sz w:val="20"/>
          <w:szCs w:val="20"/>
        </w:rPr>
      </w:pPr>
      <w:bookmarkStart w:id="11" w:name="_Hlk112571376"/>
      <w:r>
        <w:rPr>
          <w:color w:val="0563C1"/>
          <w:sz w:val="34"/>
          <w:szCs w:val="34"/>
          <w:vertAlign w:val="superscript"/>
        </w:rPr>
        <w:t>[43]</w:t>
      </w:r>
      <w:r>
        <w:rPr>
          <w:sz w:val="20"/>
          <w:szCs w:val="20"/>
        </w:rPr>
        <w:t xml:space="preserve"> Ministerio de Salud Pública y Asistencia Social (MSPAS), “Salas situacionales” de vigilancia epidemiológico,</w:t>
      </w:r>
      <w:hyperlink r:id="rId26">
        <w:r>
          <w:rPr>
            <w:color w:val="1155CC"/>
            <w:sz w:val="20"/>
            <w:szCs w:val="20"/>
          </w:rPr>
          <w:t xml:space="preserve"> </w:t>
        </w:r>
      </w:hyperlink>
      <w:hyperlink r:id="rId27">
        <w:r>
          <w:rPr>
            <w:color w:val="0563C1"/>
            <w:sz w:val="20"/>
            <w:szCs w:val="20"/>
          </w:rPr>
          <w:t>http://epidemiologia.mspas.gob.gt/informacion/salas-situacionales/vigilancia-epidemiologica</w:t>
        </w:r>
      </w:hyperlink>
      <w:r>
        <w:rPr>
          <w:sz w:val="20"/>
          <w:szCs w:val="20"/>
        </w:rPr>
        <w:t xml:space="preserve"> (consultado el 9/5/2022).</w:t>
      </w:r>
    </w:p>
    <w:bookmarkEnd w:id="11"/>
    <w:p w14:paraId="23402297" w14:textId="77777777" w:rsidR="0049134E" w:rsidRDefault="0049134E" w:rsidP="0049134E">
      <w:pPr>
        <w:spacing w:after="0"/>
        <w:jc w:val="left"/>
        <w:rPr>
          <w:sz w:val="20"/>
          <w:szCs w:val="20"/>
        </w:rPr>
      </w:pPr>
      <w:r>
        <w:rPr>
          <w:color w:val="0563C1"/>
          <w:sz w:val="34"/>
          <w:szCs w:val="34"/>
          <w:vertAlign w:val="superscript"/>
        </w:rPr>
        <w:t>[44]</w:t>
      </w:r>
      <w:hyperlink r:id="rId28">
        <w:r>
          <w:rPr>
            <w:color w:val="1155CC"/>
            <w:sz w:val="20"/>
            <w:szCs w:val="20"/>
          </w:rPr>
          <w:t xml:space="preserve"> </w:t>
        </w:r>
      </w:hyperlink>
      <w:hyperlink r:id="rId29">
        <w:r>
          <w:rPr>
            <w:color w:val="0563C1"/>
            <w:sz w:val="20"/>
            <w:szCs w:val="20"/>
          </w:rPr>
          <w:t>https://www.ojoconmipisto.com/de-cada-100-centros-educativos-83-no-tienen-sanitarios-para-los-alumnos/</w:t>
        </w:r>
      </w:hyperlink>
      <w:r>
        <w:rPr>
          <w:sz w:val="20"/>
          <w:szCs w:val="20"/>
        </w:rPr>
        <w:t xml:space="preserve"> (consultado el 8/8/2022).</w:t>
      </w:r>
    </w:p>
    <w:p w14:paraId="6E7BB838" w14:textId="77777777" w:rsidR="0049134E" w:rsidRDefault="0049134E" w:rsidP="0049134E">
      <w:pPr>
        <w:spacing w:after="0"/>
        <w:rPr>
          <w:sz w:val="20"/>
          <w:szCs w:val="20"/>
        </w:rPr>
      </w:pPr>
      <w:r>
        <w:rPr>
          <w:color w:val="0563C1"/>
          <w:sz w:val="34"/>
          <w:szCs w:val="34"/>
          <w:vertAlign w:val="superscript"/>
        </w:rPr>
        <w:t>[45]</w:t>
      </w:r>
      <w:r>
        <w:rPr>
          <w:sz w:val="20"/>
          <w:szCs w:val="20"/>
        </w:rPr>
        <w:t xml:space="preserve"> Informe Circunstanciado del Procurador de los Derechos Humanos 2017.  Pág. 349</w:t>
      </w:r>
    </w:p>
    <w:p w14:paraId="1B57337B" w14:textId="77777777" w:rsidR="0049134E" w:rsidRDefault="0049134E" w:rsidP="0049134E">
      <w:pPr>
        <w:spacing w:after="0"/>
        <w:rPr>
          <w:sz w:val="20"/>
          <w:szCs w:val="20"/>
        </w:rPr>
      </w:pPr>
      <w:r>
        <w:rPr>
          <w:color w:val="0563C1"/>
          <w:sz w:val="34"/>
          <w:szCs w:val="34"/>
          <w:vertAlign w:val="superscript"/>
        </w:rPr>
        <w:t>[46]</w:t>
      </w:r>
      <w:r>
        <w:rPr>
          <w:sz w:val="20"/>
          <w:szCs w:val="20"/>
        </w:rPr>
        <w:t xml:space="preserve"> OCDE 2015. Principios de gobernanza del agua. Dispuesto en: </w:t>
      </w:r>
      <w:hyperlink r:id="rId30" w:history="1">
        <w:r w:rsidRPr="00792DBE">
          <w:rPr>
            <w:rStyle w:val="Hyperlink"/>
            <w:sz w:val="20"/>
            <w:szCs w:val="20"/>
          </w:rPr>
          <w:t>https://www.oecd.org/cfe/regionaldevelopment/OECD-Principles-Water-spanish.pdf</w:t>
        </w:r>
      </w:hyperlink>
      <w:r>
        <w:rPr>
          <w:sz w:val="20"/>
          <w:szCs w:val="20"/>
        </w:rPr>
        <w:t>. 27/08/2022.</w:t>
      </w:r>
    </w:p>
    <w:p w14:paraId="7B5EC854" w14:textId="77777777" w:rsidR="0049134E" w:rsidRDefault="0049134E" w:rsidP="0049134E">
      <w:pPr>
        <w:spacing w:after="0"/>
        <w:rPr>
          <w:sz w:val="20"/>
          <w:szCs w:val="20"/>
        </w:rPr>
      </w:pPr>
      <w:r>
        <w:rPr>
          <w:color w:val="0563C1"/>
          <w:sz w:val="34"/>
          <w:szCs w:val="34"/>
          <w:vertAlign w:val="superscript"/>
        </w:rPr>
        <w:t>[47]</w:t>
      </w:r>
      <w:r>
        <w:t xml:space="preserve">Yu’am. Gobernanza comunitaria del agua en el altiplano occidental de Guatemala. </w:t>
      </w:r>
      <w:hyperlink r:id="rId31" w:anchor=":~:text=En%20Totonicapán%20existe%20un%20sistema,con%20su%20propio%20sistema%20legítimo" w:history="1">
        <w:r w:rsidRPr="004B3349">
          <w:rPr>
            <w:rStyle w:val="Hyperlink"/>
            <w:sz w:val="34"/>
            <w:szCs w:val="34"/>
            <w:vertAlign w:val="superscript"/>
          </w:rPr>
          <w:t>https://www.revistayuam.com/gobernanza-comunitaria-del-agua-en-el-altiplano-occidental-de-guatemala/#:~:text=En%20Totonicapán%20existe%20un%20sistema,con%20su%20propio%20sistema%20legítimo</w:t>
        </w:r>
      </w:hyperlink>
      <w:r w:rsidRPr="0080673D">
        <w:rPr>
          <w:color w:val="0563C1"/>
          <w:sz w:val="34"/>
          <w:szCs w:val="34"/>
          <w:vertAlign w:val="superscript"/>
        </w:rPr>
        <w:t>.</w:t>
      </w:r>
      <w:r>
        <w:rPr>
          <w:sz w:val="20"/>
          <w:szCs w:val="20"/>
        </w:rPr>
        <w:t xml:space="preserve"> </w:t>
      </w:r>
    </w:p>
    <w:p w14:paraId="7E3825C3" w14:textId="77777777" w:rsidR="0049134E" w:rsidRDefault="0049134E" w:rsidP="0049134E">
      <w:pPr>
        <w:spacing w:after="0"/>
        <w:rPr>
          <w:sz w:val="20"/>
          <w:szCs w:val="20"/>
        </w:rPr>
      </w:pPr>
      <w:r>
        <w:rPr>
          <w:color w:val="0563C1"/>
          <w:sz w:val="34"/>
          <w:szCs w:val="34"/>
          <w:vertAlign w:val="superscript"/>
        </w:rPr>
        <w:t>[48]</w:t>
      </w:r>
      <w:r>
        <w:rPr>
          <w:sz w:val="20"/>
          <w:szCs w:val="20"/>
        </w:rPr>
        <w:t xml:space="preserve"> UVG 2019. Observatorio económico sostenible. Agua en Guatemala, Institucionalidad y Financiamiento. </w:t>
      </w:r>
      <w:r w:rsidRPr="003D3C4F">
        <w:rPr>
          <w:sz w:val="20"/>
          <w:szCs w:val="20"/>
        </w:rPr>
        <w:t xml:space="preserve">Dispuesto en: </w:t>
      </w:r>
      <w:hyperlink r:id="rId32" w:history="1">
        <w:r w:rsidRPr="003D3C4F">
          <w:rPr>
            <w:color w:val="0000FF"/>
            <w:sz w:val="20"/>
            <w:szCs w:val="20"/>
            <w:u w:val="single"/>
          </w:rPr>
          <w:t>Print (cloudinary.com)</w:t>
        </w:r>
      </w:hyperlink>
      <w:r w:rsidRPr="003D3C4F">
        <w:rPr>
          <w:sz w:val="20"/>
          <w:szCs w:val="20"/>
        </w:rPr>
        <w:t xml:space="preserve"> 27</w:t>
      </w:r>
      <w:r w:rsidRPr="00695C1C">
        <w:rPr>
          <w:sz w:val="20"/>
          <w:szCs w:val="20"/>
        </w:rPr>
        <w:t>/08/2022</w:t>
      </w:r>
      <w:r>
        <w:t>.</w:t>
      </w:r>
    </w:p>
    <w:p w14:paraId="4B0DB5BB" w14:textId="77777777" w:rsidR="0049134E" w:rsidRDefault="0049134E" w:rsidP="0049134E">
      <w:pPr>
        <w:pStyle w:val="Heading1"/>
        <w:shd w:val="clear" w:color="auto" w:fill="FFFFFF"/>
        <w:spacing w:before="0" w:after="0"/>
        <w:rPr>
          <w:rFonts w:cs="Times New Roman"/>
          <w:b w:val="0"/>
          <w:bCs/>
          <w:sz w:val="20"/>
          <w:szCs w:val="20"/>
        </w:rPr>
      </w:pPr>
      <w:r>
        <w:rPr>
          <w:color w:val="0563C1"/>
          <w:sz w:val="34"/>
          <w:szCs w:val="34"/>
          <w:vertAlign w:val="superscript"/>
        </w:rPr>
        <w:t>[49]</w:t>
      </w:r>
      <w:r>
        <w:rPr>
          <w:sz w:val="20"/>
          <w:szCs w:val="20"/>
        </w:rPr>
        <w:t xml:space="preserve"> </w:t>
      </w:r>
      <w:r w:rsidRPr="008D03AD">
        <w:rPr>
          <w:rFonts w:cs="Times New Roman"/>
          <w:b w:val="0"/>
          <w:bCs/>
          <w:sz w:val="20"/>
          <w:szCs w:val="20"/>
        </w:rPr>
        <w:t xml:space="preserve">elDiario.es. </w:t>
      </w:r>
      <w:r w:rsidRPr="008D03AD">
        <w:rPr>
          <w:rFonts w:eastAsia="Times New Roman" w:cs="Times New Roman"/>
          <w:b w:val="0"/>
          <w:bCs/>
          <w:color w:val="090909"/>
          <w:kern w:val="36"/>
          <w:sz w:val="20"/>
          <w:szCs w:val="20"/>
        </w:rPr>
        <w:t xml:space="preserve">Una empresa del grupo ACS, acusada de ser “cómplice de un desastre medioambiental” en Guatemala. </w:t>
      </w:r>
      <w:r w:rsidRPr="008D03AD">
        <w:rPr>
          <w:rFonts w:cs="Times New Roman"/>
          <w:b w:val="0"/>
          <w:bCs/>
          <w:sz w:val="20"/>
          <w:szCs w:val="20"/>
        </w:rPr>
        <w:t xml:space="preserve">Dispuesto en: </w:t>
      </w:r>
      <w:hyperlink r:id="rId33" w:history="1">
        <w:r w:rsidRPr="008D03AD">
          <w:rPr>
            <w:rStyle w:val="Hyperlink"/>
            <w:rFonts w:cs="Times New Roman"/>
            <w:b w:val="0"/>
            <w:bCs/>
            <w:sz w:val="20"/>
            <w:szCs w:val="20"/>
          </w:rPr>
          <w:t>https://www.eldiario.es/desalambre/medio-ambiente-acaparamiento-guatemala-alta-vera-paz-cahabon-acs-florentino-perez_1_3913324.html</w:t>
        </w:r>
      </w:hyperlink>
      <w:r w:rsidRPr="008D03AD">
        <w:rPr>
          <w:rFonts w:cs="Times New Roman"/>
          <w:b w:val="0"/>
          <w:bCs/>
          <w:sz w:val="20"/>
          <w:szCs w:val="20"/>
        </w:rPr>
        <w:t>. 27/08/2022.</w:t>
      </w:r>
    </w:p>
    <w:p w14:paraId="6801A591" w14:textId="77777777" w:rsidR="0049134E" w:rsidRDefault="0049134E" w:rsidP="0049134E">
      <w:pPr>
        <w:spacing w:after="0"/>
      </w:pPr>
      <w:r>
        <w:rPr>
          <w:color w:val="0563C1"/>
          <w:sz w:val="34"/>
          <w:szCs w:val="34"/>
          <w:vertAlign w:val="superscript"/>
        </w:rPr>
        <w:t>[50]</w:t>
      </w:r>
      <w:r>
        <w:rPr>
          <w:sz w:val="20"/>
          <w:szCs w:val="20"/>
        </w:rPr>
        <w:t xml:space="preserve"> Plaza Pública 2019, La Crisis del Agua es un Proyecto de Estado. Guatemla. Dispuesto en: </w:t>
      </w:r>
      <w:hyperlink r:id="rId34" w:history="1">
        <w:r w:rsidRPr="00986445">
          <w:rPr>
            <w:color w:val="0000FF"/>
            <w:u w:val="single"/>
          </w:rPr>
          <w:t>La crisis del agua es un proyecto de Estado | AguaCero (plazapublica.com.gt)</w:t>
        </w:r>
      </w:hyperlink>
      <w:r>
        <w:t>. 27/08/2022</w:t>
      </w:r>
    </w:p>
    <w:p w14:paraId="22399554" w14:textId="77777777" w:rsidR="0049134E" w:rsidRDefault="0049134E" w:rsidP="0049134E">
      <w:pPr>
        <w:spacing w:after="0"/>
        <w:rPr>
          <w:sz w:val="20"/>
          <w:szCs w:val="20"/>
        </w:rPr>
      </w:pPr>
      <w:r>
        <w:rPr>
          <w:color w:val="0563C1"/>
          <w:sz w:val="34"/>
          <w:szCs w:val="34"/>
          <w:vertAlign w:val="superscript"/>
        </w:rPr>
        <w:t>[51]</w:t>
      </w:r>
      <w:r>
        <w:rPr>
          <w:sz w:val="20"/>
          <w:szCs w:val="20"/>
        </w:rPr>
        <w:t xml:space="preserve"> Constitución Política de la República de Guatemala. Artículo 127.</w:t>
      </w:r>
    </w:p>
    <w:p w14:paraId="16226F57" w14:textId="77777777" w:rsidR="0049134E" w:rsidRDefault="0049134E" w:rsidP="0049134E">
      <w:pPr>
        <w:spacing w:after="0"/>
        <w:rPr>
          <w:sz w:val="20"/>
          <w:szCs w:val="20"/>
        </w:rPr>
      </w:pPr>
      <w:r>
        <w:rPr>
          <w:color w:val="0563C1"/>
          <w:sz w:val="34"/>
          <w:szCs w:val="34"/>
          <w:vertAlign w:val="superscript"/>
        </w:rPr>
        <w:t>[52]</w:t>
      </w:r>
      <w:r>
        <w:rPr>
          <w:sz w:val="20"/>
          <w:szCs w:val="20"/>
        </w:rPr>
        <w:t xml:space="preserve"> Prensa Libre Congreso suma 27 iniciativas para regular el uso del agua. 20 de septiembre de 2016. Dispuesto en: </w:t>
      </w:r>
      <w:hyperlink r:id="rId35" w:history="1">
        <w:r w:rsidRPr="005C2B15">
          <w:rPr>
            <w:color w:val="0000FF"/>
            <w:u w:val="single"/>
          </w:rPr>
          <w:t>Congreso suma 27 iniciativas para regular el uso del agua (prensalibre.com)</w:t>
        </w:r>
      </w:hyperlink>
      <w:r w:rsidRPr="005C2B15">
        <w:t xml:space="preserve"> </w:t>
      </w:r>
      <w:r>
        <w:t xml:space="preserve">27/08/2022. </w:t>
      </w:r>
    </w:p>
    <w:p w14:paraId="42161C72" w14:textId="77777777" w:rsidR="0049134E" w:rsidRDefault="0049134E" w:rsidP="0049134E">
      <w:pPr>
        <w:spacing w:after="0"/>
        <w:rPr>
          <w:sz w:val="20"/>
          <w:szCs w:val="20"/>
        </w:rPr>
      </w:pPr>
      <w:r>
        <w:rPr>
          <w:color w:val="0563C1"/>
          <w:sz w:val="34"/>
          <w:szCs w:val="34"/>
          <w:vertAlign w:val="superscript"/>
        </w:rPr>
        <w:t>[53]</w:t>
      </w:r>
      <w:r>
        <w:rPr>
          <w:sz w:val="20"/>
          <w:szCs w:val="20"/>
        </w:rPr>
        <w:t xml:space="preserve"> Congreso de la República, Iniciativa de ley número 5161,</w:t>
      </w:r>
      <w:hyperlink r:id="rId36" w:history="1">
        <w:r w:rsidRPr="00340B61">
          <w:rPr>
            <w:rStyle w:val="Hyperlink"/>
            <w:sz w:val="20"/>
            <w:szCs w:val="20"/>
          </w:rPr>
          <w:t xml:space="preserve"> </w:t>
        </w:r>
      </w:hyperlink>
      <w:hyperlink r:id="rId37">
        <w:r>
          <w:rPr>
            <w:color w:val="0563C1"/>
            <w:sz w:val="20"/>
            <w:szCs w:val="20"/>
          </w:rPr>
          <w:t>https://www.congreso.gob.gt/detalle_pdf/iniciativas/4263</w:t>
        </w:r>
      </w:hyperlink>
      <w:r>
        <w:rPr>
          <w:sz w:val="20"/>
          <w:szCs w:val="20"/>
        </w:rPr>
        <w:t xml:space="preserve"> (consultado el 6/5/2022).</w:t>
      </w:r>
    </w:p>
    <w:p w14:paraId="654E11F6" w14:textId="77777777" w:rsidR="0049134E" w:rsidRDefault="0049134E" w:rsidP="0049134E">
      <w:pPr>
        <w:spacing w:after="0"/>
        <w:rPr>
          <w:sz w:val="20"/>
          <w:szCs w:val="20"/>
        </w:rPr>
      </w:pPr>
      <w:r>
        <w:rPr>
          <w:color w:val="0563C1"/>
          <w:sz w:val="34"/>
          <w:szCs w:val="34"/>
          <w:vertAlign w:val="superscript"/>
        </w:rPr>
        <w:t>[54]</w:t>
      </w:r>
      <w:r>
        <w:rPr>
          <w:sz w:val="20"/>
          <w:szCs w:val="20"/>
        </w:rPr>
        <w:t xml:space="preserve"> Secretaría de Planificación y Programación de la Presidencia (SEGEPLAN), “Se aprueba mesa técnica para formular proyecto de ley sobre el régimen de aguas”,</w:t>
      </w:r>
      <w:hyperlink r:id="rId38">
        <w:r>
          <w:rPr>
            <w:sz w:val="20"/>
            <w:szCs w:val="20"/>
          </w:rPr>
          <w:t xml:space="preserve"> </w:t>
        </w:r>
      </w:hyperlink>
      <w:hyperlink r:id="rId39">
        <w:r>
          <w:rPr>
            <w:color w:val="1155CC"/>
            <w:sz w:val="20"/>
            <w:szCs w:val="20"/>
          </w:rPr>
          <w:t xml:space="preserve"> </w:t>
        </w:r>
      </w:hyperlink>
      <w:hyperlink r:id="rId40">
        <w:r>
          <w:rPr>
            <w:color w:val="0563C1"/>
            <w:sz w:val="20"/>
            <w:szCs w:val="20"/>
          </w:rPr>
          <w:t>https://www.segeplan.gob.gt/nportal/index.php/sala-de-prensa/2016-01-26-18-14-30/noticias/2360-se-aprueba-mesa-tecnica-para-formular-proyecto-de-ley-sobre-el-regimen-de-aguas</w:t>
        </w:r>
      </w:hyperlink>
      <w:r>
        <w:rPr>
          <w:sz w:val="20"/>
          <w:szCs w:val="20"/>
        </w:rPr>
        <w:t xml:space="preserve"> (consultado el 6/5/2022).</w:t>
      </w:r>
    </w:p>
    <w:p w14:paraId="7F13EE51" w14:textId="77777777" w:rsidR="0049134E" w:rsidRDefault="0049134E" w:rsidP="0049134E">
      <w:pPr>
        <w:spacing w:after="0"/>
        <w:rPr>
          <w:sz w:val="20"/>
          <w:szCs w:val="20"/>
        </w:rPr>
      </w:pPr>
    </w:p>
    <w:p w14:paraId="3AAAA578" w14:textId="77777777" w:rsidR="0049134E" w:rsidRDefault="0049134E" w:rsidP="0049134E">
      <w:pPr>
        <w:spacing w:after="0"/>
        <w:rPr>
          <w:sz w:val="20"/>
          <w:szCs w:val="20"/>
        </w:rPr>
      </w:pPr>
      <w:r>
        <w:rPr>
          <w:color w:val="0563C1"/>
          <w:sz w:val="34"/>
          <w:szCs w:val="34"/>
          <w:vertAlign w:val="superscript"/>
        </w:rPr>
        <w:t>[54]</w:t>
      </w:r>
      <w:r>
        <w:rPr>
          <w:sz w:val="20"/>
          <w:szCs w:val="20"/>
        </w:rPr>
        <w:t xml:space="preserve"> Congreso de la República, Iniciativa de ley número 5070,</w:t>
      </w:r>
      <w:hyperlink r:id="rId41">
        <w:r>
          <w:rPr>
            <w:color w:val="1155CC"/>
            <w:sz w:val="20"/>
            <w:szCs w:val="20"/>
          </w:rPr>
          <w:t xml:space="preserve"> </w:t>
        </w:r>
      </w:hyperlink>
      <w:hyperlink r:id="rId42">
        <w:r>
          <w:rPr>
            <w:color w:val="0563C1"/>
            <w:sz w:val="20"/>
            <w:szCs w:val="20"/>
          </w:rPr>
          <w:t>https://www.congreso.gob.gt/detalle_pdf/iniciativas/5235</w:t>
        </w:r>
      </w:hyperlink>
      <w:r>
        <w:rPr>
          <w:sz w:val="20"/>
          <w:szCs w:val="20"/>
        </w:rPr>
        <w:t xml:space="preserve"> (consultado el 9/5/2022).</w:t>
      </w:r>
    </w:p>
    <w:p w14:paraId="3F9AB2CD" w14:textId="77777777" w:rsidR="0049134E" w:rsidRDefault="0049134E" w:rsidP="0049134E">
      <w:pPr>
        <w:spacing w:after="0"/>
        <w:rPr>
          <w:sz w:val="20"/>
          <w:szCs w:val="20"/>
        </w:rPr>
      </w:pPr>
      <w:r>
        <w:rPr>
          <w:color w:val="0563C1"/>
          <w:sz w:val="34"/>
          <w:szCs w:val="34"/>
          <w:vertAlign w:val="superscript"/>
        </w:rPr>
        <w:t>[56]</w:t>
      </w:r>
      <w:r>
        <w:rPr>
          <w:sz w:val="20"/>
          <w:szCs w:val="20"/>
        </w:rPr>
        <w:t xml:space="preserve"> Fueron declaradas inconstitucionales Expediente 5785-2017 Acuerdo Ministerial 335-2016, Expediente 5786-2017, Acuerdo Gubernativo 50-2015)</w:t>
      </w:r>
    </w:p>
    <w:p w14:paraId="2CCA43E2" w14:textId="77777777" w:rsidR="0049134E" w:rsidRDefault="0049134E" w:rsidP="0049134E">
      <w:pPr>
        <w:spacing w:after="0"/>
        <w:rPr>
          <w:sz w:val="20"/>
          <w:szCs w:val="20"/>
        </w:rPr>
      </w:pPr>
      <w:r>
        <w:rPr>
          <w:color w:val="0563C1"/>
          <w:sz w:val="34"/>
          <w:szCs w:val="34"/>
          <w:vertAlign w:val="superscript"/>
        </w:rPr>
        <w:t>[57]</w:t>
      </w:r>
      <w:r>
        <w:rPr>
          <w:sz w:val="20"/>
          <w:szCs w:val="20"/>
        </w:rPr>
        <w:t xml:space="preserve"> Inconstitucionalidades: Expediente 4604-2020 Ley General de Electricidad; Expediente 6030-2021 Acuerdo Gubernativo 18-2021 Viceministro del Agua; Expediente 6794-2021 Acuerdo Gubernativo 19-2021 Disposiciones para promover la Protección y Conservación de Cuencas Hidrográficas; Expedientes 6795-2021 y 6796-2021 artículos del Acuerdo Gubernativo 73-2021 Reglamento Orgánico Interno del MARN.</w:t>
      </w:r>
    </w:p>
    <w:p w14:paraId="669AEDAC" w14:textId="77777777" w:rsidR="0049134E" w:rsidRDefault="0049134E" w:rsidP="0049134E">
      <w:pPr>
        <w:spacing w:after="0"/>
        <w:rPr>
          <w:sz w:val="20"/>
          <w:szCs w:val="20"/>
        </w:rPr>
      </w:pPr>
      <w:r>
        <w:rPr>
          <w:color w:val="0563C1"/>
          <w:sz w:val="34"/>
          <w:szCs w:val="34"/>
          <w:vertAlign w:val="superscript"/>
        </w:rPr>
        <w:lastRenderedPageBreak/>
        <w:t>[58]</w:t>
      </w:r>
      <w:r>
        <w:rPr>
          <w:sz w:val="20"/>
          <w:szCs w:val="20"/>
        </w:rPr>
        <w:t xml:space="preserve"> Secretaría de Planificación y Programación de la Presidencia (SEGEPLAN), </w:t>
      </w:r>
      <w:r>
        <w:rPr>
          <w:i/>
          <w:sz w:val="20"/>
          <w:szCs w:val="20"/>
        </w:rPr>
        <w:t>ODS en Guatemala - III Revisión Nacional Voluntaria</w:t>
      </w:r>
      <w:r>
        <w:rPr>
          <w:sz w:val="20"/>
          <w:szCs w:val="20"/>
        </w:rPr>
        <w:t xml:space="preserve"> (Guatemala: SEGEPLAN, 2021). página 68</w:t>
      </w:r>
    </w:p>
    <w:p w14:paraId="609CBEA4" w14:textId="77777777" w:rsidR="0049134E" w:rsidRDefault="0049134E" w:rsidP="0049134E">
      <w:pPr>
        <w:spacing w:after="0"/>
        <w:rPr>
          <w:sz w:val="20"/>
          <w:szCs w:val="20"/>
        </w:rPr>
      </w:pPr>
      <w:r>
        <w:rPr>
          <w:color w:val="0563C1"/>
          <w:sz w:val="34"/>
          <w:szCs w:val="34"/>
          <w:vertAlign w:val="superscript"/>
        </w:rPr>
        <w:t>[59]</w:t>
      </w:r>
      <w:r>
        <w:rPr>
          <w:sz w:val="20"/>
          <w:szCs w:val="20"/>
        </w:rPr>
        <w:t xml:space="preserve"> El Nahual Imox es uno de los 20 nahuales o signos de los días del calendario sagrado Cholq’ij, el cual está compuesto por 260 días divididos en 13 meses. Los nahuales conectan con la energía del universo, son protectores o cuidadores que acompaña a cada elemento de la naturaleza. El Nahual Imox es el principio y la fuerza del mar, de los ríos y los lagos.</w:t>
      </w:r>
    </w:p>
    <w:p w14:paraId="784A8DA4" w14:textId="77777777" w:rsidR="0049134E" w:rsidRDefault="0049134E" w:rsidP="0049134E">
      <w:pPr>
        <w:spacing w:after="0"/>
        <w:rPr>
          <w:sz w:val="20"/>
          <w:szCs w:val="20"/>
        </w:rPr>
      </w:pPr>
      <w:r>
        <w:rPr>
          <w:color w:val="0563C1"/>
          <w:sz w:val="34"/>
          <w:szCs w:val="34"/>
          <w:vertAlign w:val="superscript"/>
        </w:rPr>
        <w:t>[60]</w:t>
      </w:r>
      <w:r>
        <w:rPr>
          <w:sz w:val="20"/>
          <w:szCs w:val="20"/>
        </w:rPr>
        <w:t xml:space="preserve"> CC, Resolución a Amparo Expediente 452-2019, del 7/11/2019.</w:t>
      </w:r>
    </w:p>
    <w:p w14:paraId="5F28B447" w14:textId="77777777" w:rsidR="0049134E" w:rsidRDefault="0049134E" w:rsidP="0049134E">
      <w:pPr>
        <w:spacing w:after="0"/>
        <w:jc w:val="left"/>
        <w:rPr>
          <w:sz w:val="20"/>
          <w:szCs w:val="20"/>
        </w:rPr>
      </w:pPr>
      <w:r>
        <w:rPr>
          <w:color w:val="0563C1"/>
          <w:sz w:val="34"/>
          <w:szCs w:val="34"/>
          <w:vertAlign w:val="superscript"/>
        </w:rPr>
        <w:t>[61]</w:t>
      </w:r>
      <w:r>
        <w:rPr>
          <w:sz w:val="20"/>
          <w:szCs w:val="20"/>
        </w:rPr>
        <w:t xml:space="preserve"> laCuerda, “Atitlán declarada ser vivo por las mujeres y una comunidad en resistencia”,</w:t>
      </w:r>
      <w:hyperlink r:id="rId43">
        <w:r>
          <w:rPr>
            <w:color w:val="1155CC"/>
            <w:sz w:val="20"/>
            <w:szCs w:val="20"/>
          </w:rPr>
          <w:t xml:space="preserve"> </w:t>
        </w:r>
      </w:hyperlink>
      <w:hyperlink r:id="rId44">
        <w:r>
          <w:rPr>
            <w:color w:val="0563C1"/>
            <w:sz w:val="20"/>
            <w:szCs w:val="20"/>
          </w:rPr>
          <w:t>https://lacuerda.gt/2020/01/09/atitlan-declarada-ser-vivo-por-las-mujeres-y-una-comunidad-en-resistencia/</w:t>
        </w:r>
      </w:hyperlink>
      <w:r>
        <w:rPr>
          <w:sz w:val="20"/>
          <w:szCs w:val="20"/>
        </w:rPr>
        <w:t xml:space="preserve"> (10/5/22)</w:t>
      </w:r>
    </w:p>
    <w:p w14:paraId="3798F09E" w14:textId="77777777" w:rsidR="0049134E" w:rsidRDefault="0049134E" w:rsidP="0049134E">
      <w:pPr>
        <w:spacing w:after="0"/>
        <w:jc w:val="left"/>
        <w:rPr>
          <w:sz w:val="20"/>
          <w:szCs w:val="20"/>
        </w:rPr>
      </w:pPr>
      <w:r>
        <w:rPr>
          <w:color w:val="0563C1"/>
          <w:sz w:val="34"/>
          <w:szCs w:val="34"/>
          <w:vertAlign w:val="superscript"/>
        </w:rPr>
        <w:t>[62]</w:t>
      </w:r>
      <w:r>
        <w:rPr>
          <w:sz w:val="20"/>
          <w:szCs w:val="20"/>
        </w:rPr>
        <w:t xml:space="preserve"> Prensa Comunitaria, “Vista pública para que se reconozcan los derechos del agua”,</w:t>
      </w:r>
      <w:hyperlink r:id="rId45">
        <w:r>
          <w:rPr>
            <w:color w:val="1155CC"/>
            <w:sz w:val="20"/>
            <w:szCs w:val="20"/>
          </w:rPr>
          <w:t xml:space="preserve"> </w:t>
        </w:r>
      </w:hyperlink>
      <w:hyperlink r:id="rId46">
        <w:r>
          <w:rPr>
            <w:color w:val="0563C1"/>
            <w:sz w:val="20"/>
            <w:szCs w:val="20"/>
          </w:rPr>
          <w:t>https://www.prensacomunitaria.org/vista-publica-para-que-se-reconozcan-los-derechos-del-agua/</w:t>
        </w:r>
      </w:hyperlink>
      <w:r>
        <w:rPr>
          <w:sz w:val="20"/>
          <w:szCs w:val="20"/>
        </w:rPr>
        <w:t xml:space="preserve"> (consultado el 10/5/2022).</w:t>
      </w:r>
    </w:p>
    <w:p w14:paraId="0153BBAA" w14:textId="77777777" w:rsidR="0049134E" w:rsidRDefault="0049134E" w:rsidP="0049134E">
      <w:pPr>
        <w:spacing w:after="0"/>
        <w:rPr>
          <w:sz w:val="20"/>
          <w:szCs w:val="20"/>
        </w:rPr>
      </w:pPr>
      <w:r>
        <w:rPr>
          <w:color w:val="0563C1"/>
          <w:sz w:val="34"/>
          <w:szCs w:val="34"/>
          <w:vertAlign w:val="superscript"/>
        </w:rPr>
        <w:t>[63]</w:t>
      </w:r>
      <w:r>
        <w:rPr>
          <w:sz w:val="20"/>
          <w:szCs w:val="20"/>
        </w:rPr>
        <w:t xml:space="preserve"> Las consultas a pueblos indígenas según el Convenio 169 de la Organización Internacional del Trabajo (OIT) y declaraciones de las Naciones Unidas y Americana sobre los Pueblos Indígenas son un tema pendiente.</w:t>
      </w:r>
    </w:p>
    <w:p w14:paraId="04530935" w14:textId="77777777" w:rsidR="0049134E" w:rsidRDefault="0049134E" w:rsidP="0049134E">
      <w:pPr>
        <w:spacing w:after="0"/>
        <w:jc w:val="left"/>
        <w:rPr>
          <w:sz w:val="20"/>
          <w:szCs w:val="20"/>
        </w:rPr>
      </w:pPr>
      <w:r>
        <w:rPr>
          <w:color w:val="0563C1"/>
          <w:sz w:val="34"/>
          <w:szCs w:val="34"/>
          <w:vertAlign w:val="superscript"/>
        </w:rPr>
        <w:t>[64]</w:t>
      </w:r>
      <w:r>
        <w:rPr>
          <w:sz w:val="20"/>
          <w:szCs w:val="20"/>
        </w:rPr>
        <w:t xml:space="preserve"> Unidad de Protección a Defensoras y Defensores de Derechos Humanos de Guatemala (2022): INFORME Situación de personas, organizaciones y comunidades defensoras de derechos humanos en Guatemala, 2021</w:t>
      </w:r>
    </w:p>
    <w:p w14:paraId="586B3A0E" w14:textId="249F169C" w:rsidR="00CE73E2" w:rsidRDefault="00CE73E2">
      <w:pPr>
        <w:spacing w:after="0"/>
        <w:ind w:left="1080" w:hanging="360"/>
        <w:rPr>
          <w:sz w:val="22"/>
          <w:szCs w:val="22"/>
        </w:rPr>
      </w:pPr>
    </w:p>
    <w:p w14:paraId="19949397" w14:textId="77777777" w:rsidR="007927D3" w:rsidRDefault="007927D3">
      <w:pPr>
        <w:spacing w:after="0"/>
        <w:ind w:left="1080" w:hanging="360"/>
        <w:rPr>
          <w:sz w:val="22"/>
          <w:szCs w:val="22"/>
        </w:rPr>
      </w:pPr>
    </w:p>
    <w:sectPr w:rsidR="007927D3">
      <w:headerReference w:type="default" r:id="rId47"/>
      <w:pgSz w:w="12240" w:h="15840"/>
      <w:pgMar w:top="1304" w:right="1361" w:bottom="1304" w:left="136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C3C5DB" w14:textId="77777777" w:rsidR="00851F3F" w:rsidRDefault="00851F3F">
      <w:pPr>
        <w:spacing w:after="0"/>
      </w:pPr>
      <w:r>
        <w:separator/>
      </w:r>
    </w:p>
  </w:endnote>
  <w:endnote w:type="continuationSeparator" w:id="0">
    <w:p w14:paraId="409502B8" w14:textId="77777777" w:rsidR="00851F3F" w:rsidRDefault="00851F3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EEDCE8" w14:textId="77777777" w:rsidR="00851F3F" w:rsidRDefault="00851F3F">
      <w:pPr>
        <w:spacing w:after="0"/>
      </w:pPr>
      <w:r>
        <w:separator/>
      </w:r>
    </w:p>
  </w:footnote>
  <w:footnote w:type="continuationSeparator" w:id="0">
    <w:p w14:paraId="036C1A8C" w14:textId="77777777" w:rsidR="00851F3F" w:rsidRDefault="00851F3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34995" w14:textId="4A3CB440" w:rsidR="007927D3" w:rsidRDefault="00D126EE">
    <w:r w:rsidRPr="00445ECC">
      <w:rPr>
        <w:noProof/>
        <w:lang w:val="en-GB" w:eastAsia="en-GB"/>
      </w:rPr>
      <w:drawing>
        <wp:anchor distT="0" distB="0" distL="114300" distR="114300" simplePos="0" relativeHeight="251665408" behindDoc="0" locked="0" layoutInCell="1" allowOverlap="1" wp14:anchorId="504870E0" wp14:editId="603F5703">
          <wp:simplePos x="0" y="0"/>
          <wp:positionH relativeFrom="column">
            <wp:posOffset>3600345</wp:posOffset>
          </wp:positionH>
          <wp:positionV relativeFrom="paragraph">
            <wp:posOffset>-365760</wp:posOffset>
          </wp:positionV>
          <wp:extent cx="728345" cy="728345"/>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0800000" flipH="1" flipV="1">
                    <a:off x="0" y="0"/>
                    <a:ext cx="728345" cy="7283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68480" behindDoc="0" locked="0" layoutInCell="1" allowOverlap="1" wp14:anchorId="1AC44BFB" wp14:editId="15DBE640">
          <wp:simplePos x="0" y="0"/>
          <wp:positionH relativeFrom="column">
            <wp:posOffset>34290</wp:posOffset>
          </wp:positionH>
          <wp:positionV relativeFrom="paragraph">
            <wp:posOffset>-287655</wp:posOffset>
          </wp:positionV>
          <wp:extent cx="456565" cy="542925"/>
          <wp:effectExtent l="0" t="0" r="635" b="317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a:extLst>
                      <a:ext uri="{28A0092B-C50C-407E-A947-70E740481C1C}">
                        <a14:useLocalDpi xmlns:a14="http://schemas.microsoft.com/office/drawing/2010/main" val="0"/>
                      </a:ext>
                    </a:extLst>
                  </a:blip>
                  <a:stretch>
                    <a:fillRect/>
                  </a:stretch>
                </pic:blipFill>
                <pic:spPr>
                  <a:xfrm>
                    <a:off x="0" y="0"/>
                    <a:ext cx="456565" cy="542925"/>
                  </a:xfrm>
                  <a:prstGeom prst="rect">
                    <a:avLst/>
                  </a:prstGeom>
                </pic:spPr>
              </pic:pic>
            </a:graphicData>
          </a:graphic>
          <wp14:sizeRelH relativeFrom="page">
            <wp14:pctWidth>0</wp14:pctWidth>
          </wp14:sizeRelH>
          <wp14:sizeRelV relativeFrom="page">
            <wp14:pctHeight>0</wp14:pctHeight>
          </wp14:sizeRelV>
        </wp:anchor>
      </w:drawing>
    </w:r>
    <w:r w:rsidR="008672B6" w:rsidRPr="007635C1">
      <w:rPr>
        <w:noProof/>
        <w:lang w:val="en-GB" w:eastAsia="en-GB"/>
      </w:rPr>
      <w:drawing>
        <wp:anchor distT="0" distB="0" distL="114300" distR="114300" simplePos="0" relativeHeight="251667456" behindDoc="0" locked="0" layoutInCell="1" allowOverlap="1" wp14:anchorId="6E98EA8D" wp14:editId="30A83645">
          <wp:simplePos x="0" y="0"/>
          <wp:positionH relativeFrom="column">
            <wp:posOffset>4766945</wp:posOffset>
          </wp:positionH>
          <wp:positionV relativeFrom="paragraph">
            <wp:posOffset>-162560</wp:posOffset>
          </wp:positionV>
          <wp:extent cx="1124263" cy="420270"/>
          <wp:effectExtent l="0" t="0" r="0" b="0"/>
          <wp:wrapSquare wrapText="bothSides"/>
          <wp:docPr id="5" name="Marcador de contenido 4">
            <a:extLst xmlns:a="http://schemas.openxmlformats.org/drawingml/2006/main">
              <a:ext uri="{FF2B5EF4-FFF2-40B4-BE49-F238E27FC236}">
                <a16:creationId xmlns:a16="http://schemas.microsoft.com/office/drawing/2014/main" id="{C7EDCE45-0D74-3CB5-58F9-2B62FBE2CC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cador de contenido 4">
                    <a:extLst>
                      <a:ext uri="{FF2B5EF4-FFF2-40B4-BE49-F238E27FC236}">
                        <a16:creationId xmlns:a16="http://schemas.microsoft.com/office/drawing/2014/main" id="{C7EDCE45-0D74-3CB5-58F9-2B62FBE2CCBC}"/>
                      </a:ext>
                    </a:extLst>
                  </pic:cNvPr>
                  <pic:cNvPicPr>
                    <a:picLocks noChangeAspect="1"/>
                  </pic:cNvPicPr>
                </pic:nvPicPr>
                <pic:blipFill rotWithShape="1">
                  <a:blip r:embed="rId3">
                    <a:extLst>
                      <a:ext uri="{28A0092B-C50C-407E-A947-70E740481C1C}">
                        <a14:useLocalDpi xmlns:a14="http://schemas.microsoft.com/office/drawing/2010/main" val="0"/>
                      </a:ext>
                    </a:extLst>
                  </a:blip>
                  <a:srcRect l="1040"/>
                  <a:stretch/>
                </pic:blipFill>
                <pic:spPr>
                  <a:xfrm>
                    <a:off x="0" y="0"/>
                    <a:ext cx="1124263" cy="420270"/>
                  </a:xfrm>
                  <a:prstGeom prst="rect">
                    <a:avLst/>
                  </a:prstGeom>
                </pic:spPr>
              </pic:pic>
            </a:graphicData>
          </a:graphic>
          <wp14:sizeRelH relativeFrom="page">
            <wp14:pctWidth>0</wp14:pctWidth>
          </wp14:sizeRelH>
          <wp14:sizeRelV relativeFrom="page">
            <wp14:pctHeight>0</wp14:pctHeight>
          </wp14:sizeRelV>
        </wp:anchor>
      </w:drawing>
    </w:r>
    <w:r w:rsidR="008672B6" w:rsidRPr="00445ECC">
      <w:rPr>
        <w:noProof/>
        <w:lang w:val="en-GB" w:eastAsia="en-GB"/>
      </w:rPr>
      <w:drawing>
        <wp:anchor distT="0" distB="0" distL="114300" distR="114300" simplePos="0" relativeHeight="251663360" behindDoc="0" locked="0" layoutInCell="1" allowOverlap="1" wp14:anchorId="0AC4B1CD" wp14:editId="3B89B346">
          <wp:simplePos x="0" y="0"/>
          <wp:positionH relativeFrom="column">
            <wp:posOffset>2090420</wp:posOffset>
          </wp:positionH>
          <wp:positionV relativeFrom="paragraph">
            <wp:posOffset>-248285</wp:posOffset>
          </wp:positionV>
          <wp:extent cx="1003935" cy="50101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03935" cy="501015"/>
                  </a:xfrm>
                  <a:prstGeom prst="rect">
                    <a:avLst/>
                  </a:prstGeom>
                  <a:noFill/>
                  <a:ln>
                    <a:noFill/>
                  </a:ln>
                </pic:spPr>
              </pic:pic>
            </a:graphicData>
          </a:graphic>
          <wp14:sizeRelH relativeFrom="page">
            <wp14:pctWidth>0</wp14:pctWidth>
          </wp14:sizeRelH>
          <wp14:sizeRelV relativeFrom="page">
            <wp14:pctHeight>0</wp14:pctHeight>
          </wp14:sizeRelV>
        </wp:anchor>
      </w:drawing>
    </w:r>
    <w:r w:rsidR="008672B6" w:rsidRPr="00445ECC">
      <w:rPr>
        <w:noProof/>
        <w:lang w:val="en-GB" w:eastAsia="en-GB"/>
      </w:rPr>
      <w:drawing>
        <wp:anchor distT="0" distB="0" distL="114300" distR="114300" simplePos="0" relativeHeight="251661312" behindDoc="0" locked="0" layoutInCell="1" allowOverlap="1" wp14:anchorId="290A4941" wp14:editId="029D7A54">
          <wp:simplePos x="0" y="0"/>
          <wp:positionH relativeFrom="column">
            <wp:posOffset>1036955</wp:posOffset>
          </wp:positionH>
          <wp:positionV relativeFrom="paragraph">
            <wp:posOffset>-334010</wp:posOffset>
          </wp:positionV>
          <wp:extent cx="653415" cy="64833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53415" cy="6483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2E2411"/>
    <w:multiLevelType w:val="multilevel"/>
    <w:tmpl w:val="A78E7BE0"/>
    <w:lvl w:ilvl="0">
      <w:start w:val="1"/>
      <w:numFmt w:val="decimal"/>
      <w:pStyle w:val="Norm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B4B79A7"/>
    <w:multiLevelType w:val="hybridMultilevel"/>
    <w:tmpl w:val="69E26DFE"/>
    <w:lvl w:ilvl="0" w:tplc="F7C62BDE">
      <w:start w:val="1"/>
      <w:numFmt w:val="upperLetter"/>
      <w:lvlText w:val="%1."/>
      <w:lvlJc w:val="left"/>
      <w:pPr>
        <w:ind w:left="0" w:hanging="360"/>
      </w:pPr>
      <w:rPr>
        <w:rFonts w:hint="default"/>
      </w:rPr>
    </w:lvl>
    <w:lvl w:ilvl="1" w:tplc="100A0019" w:tentative="1">
      <w:start w:val="1"/>
      <w:numFmt w:val="lowerLetter"/>
      <w:lvlText w:val="%2."/>
      <w:lvlJc w:val="left"/>
      <w:pPr>
        <w:ind w:left="720" w:hanging="360"/>
      </w:pPr>
    </w:lvl>
    <w:lvl w:ilvl="2" w:tplc="100A001B" w:tentative="1">
      <w:start w:val="1"/>
      <w:numFmt w:val="lowerRoman"/>
      <w:lvlText w:val="%3."/>
      <w:lvlJc w:val="right"/>
      <w:pPr>
        <w:ind w:left="1440" w:hanging="180"/>
      </w:pPr>
    </w:lvl>
    <w:lvl w:ilvl="3" w:tplc="100A000F" w:tentative="1">
      <w:start w:val="1"/>
      <w:numFmt w:val="decimal"/>
      <w:lvlText w:val="%4."/>
      <w:lvlJc w:val="left"/>
      <w:pPr>
        <w:ind w:left="2160" w:hanging="360"/>
      </w:pPr>
    </w:lvl>
    <w:lvl w:ilvl="4" w:tplc="100A0019" w:tentative="1">
      <w:start w:val="1"/>
      <w:numFmt w:val="lowerLetter"/>
      <w:lvlText w:val="%5."/>
      <w:lvlJc w:val="left"/>
      <w:pPr>
        <w:ind w:left="2880" w:hanging="360"/>
      </w:pPr>
    </w:lvl>
    <w:lvl w:ilvl="5" w:tplc="100A001B" w:tentative="1">
      <w:start w:val="1"/>
      <w:numFmt w:val="lowerRoman"/>
      <w:lvlText w:val="%6."/>
      <w:lvlJc w:val="right"/>
      <w:pPr>
        <w:ind w:left="3600" w:hanging="180"/>
      </w:pPr>
    </w:lvl>
    <w:lvl w:ilvl="6" w:tplc="100A000F" w:tentative="1">
      <w:start w:val="1"/>
      <w:numFmt w:val="decimal"/>
      <w:lvlText w:val="%7."/>
      <w:lvlJc w:val="left"/>
      <w:pPr>
        <w:ind w:left="4320" w:hanging="360"/>
      </w:pPr>
    </w:lvl>
    <w:lvl w:ilvl="7" w:tplc="100A0019" w:tentative="1">
      <w:start w:val="1"/>
      <w:numFmt w:val="lowerLetter"/>
      <w:lvlText w:val="%8."/>
      <w:lvlJc w:val="left"/>
      <w:pPr>
        <w:ind w:left="5040" w:hanging="360"/>
      </w:pPr>
    </w:lvl>
    <w:lvl w:ilvl="8" w:tplc="100A001B" w:tentative="1">
      <w:start w:val="1"/>
      <w:numFmt w:val="lowerRoman"/>
      <w:lvlText w:val="%9."/>
      <w:lvlJc w:val="right"/>
      <w:pPr>
        <w:ind w:left="57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7D3"/>
    <w:rsid w:val="00045BF0"/>
    <w:rsid w:val="00047352"/>
    <w:rsid w:val="00103015"/>
    <w:rsid w:val="00136202"/>
    <w:rsid w:val="00166B62"/>
    <w:rsid w:val="0017150D"/>
    <w:rsid w:val="001F4B31"/>
    <w:rsid w:val="002335B0"/>
    <w:rsid w:val="002E0464"/>
    <w:rsid w:val="003018F4"/>
    <w:rsid w:val="003502C5"/>
    <w:rsid w:val="00373D36"/>
    <w:rsid w:val="003A041B"/>
    <w:rsid w:val="003D3C4F"/>
    <w:rsid w:val="004156EC"/>
    <w:rsid w:val="00421C4C"/>
    <w:rsid w:val="004324EB"/>
    <w:rsid w:val="00444AAB"/>
    <w:rsid w:val="0049134E"/>
    <w:rsid w:val="004B219D"/>
    <w:rsid w:val="0058208B"/>
    <w:rsid w:val="00597F88"/>
    <w:rsid w:val="005B1F1D"/>
    <w:rsid w:val="005C2B15"/>
    <w:rsid w:val="0061110B"/>
    <w:rsid w:val="00695C1C"/>
    <w:rsid w:val="006B6AD5"/>
    <w:rsid w:val="006F49D4"/>
    <w:rsid w:val="00701E45"/>
    <w:rsid w:val="00713AFD"/>
    <w:rsid w:val="007207C4"/>
    <w:rsid w:val="007525B8"/>
    <w:rsid w:val="007927D3"/>
    <w:rsid w:val="007A0248"/>
    <w:rsid w:val="007A1E75"/>
    <w:rsid w:val="007A43D4"/>
    <w:rsid w:val="00844D14"/>
    <w:rsid w:val="0084558F"/>
    <w:rsid w:val="00851F3F"/>
    <w:rsid w:val="00857E8F"/>
    <w:rsid w:val="008672B6"/>
    <w:rsid w:val="008B618C"/>
    <w:rsid w:val="008D03AD"/>
    <w:rsid w:val="00951B95"/>
    <w:rsid w:val="00952517"/>
    <w:rsid w:val="00986445"/>
    <w:rsid w:val="009B13CB"/>
    <w:rsid w:val="00A07781"/>
    <w:rsid w:val="00A71DE6"/>
    <w:rsid w:val="00A86237"/>
    <w:rsid w:val="00A871A5"/>
    <w:rsid w:val="00AE2CAE"/>
    <w:rsid w:val="00B50822"/>
    <w:rsid w:val="00B727A5"/>
    <w:rsid w:val="00C84D3A"/>
    <w:rsid w:val="00C946D9"/>
    <w:rsid w:val="00CD410C"/>
    <w:rsid w:val="00CE73E2"/>
    <w:rsid w:val="00CF1C8A"/>
    <w:rsid w:val="00D0521E"/>
    <w:rsid w:val="00D126EE"/>
    <w:rsid w:val="00D210D9"/>
    <w:rsid w:val="00DF2A1C"/>
    <w:rsid w:val="00DF7BE4"/>
    <w:rsid w:val="00E31883"/>
    <w:rsid w:val="00E42578"/>
    <w:rsid w:val="00E93666"/>
    <w:rsid w:val="00F451C4"/>
    <w:rsid w:val="00F61348"/>
    <w:rsid w:val="00F75C21"/>
    <w:rsid w:val="00F86626"/>
    <w:rsid w:val="00FD19E9"/>
    <w:rsid w:val="00FF2460"/>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280876B"/>
  <w15:docId w15:val="{3E5BB831-1E07-4C0B-A069-4B6D1F258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GT" w:eastAsia="es-GT"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24A"/>
  </w:style>
  <w:style w:type="paragraph" w:styleId="Heading1">
    <w:name w:val="heading 1"/>
    <w:basedOn w:val="Normal"/>
    <w:next w:val="Normal"/>
    <w:link w:val="Heading1Char"/>
    <w:uiPriority w:val="9"/>
    <w:qFormat/>
    <w:rsid w:val="00414CE8"/>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14CE8"/>
    <w:pPr>
      <w:keepNext/>
      <w:keepLines/>
      <w:spacing w:before="40"/>
      <w:outlineLvl w:val="1"/>
    </w:pPr>
    <w:rPr>
      <w:rFonts w:eastAsiaTheme="majorEastAsia" w:cstheme="majorBidi"/>
      <w:szCs w:val="26"/>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E00AE8"/>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00AE8"/>
    <w:rPr>
      <w:rFonts w:ascii="Times New Roman" w:eastAsiaTheme="majorEastAsia" w:hAnsi="Times New Roman" w:cstheme="majorBidi"/>
      <w:sz w:val="24"/>
      <w:szCs w:val="26"/>
      <w:u w:val="single"/>
    </w:rPr>
  </w:style>
  <w:style w:type="paragraph" w:styleId="ListParagraph">
    <w:name w:val="List Paragraph"/>
    <w:basedOn w:val="Normal"/>
    <w:link w:val="ListParagraphChar"/>
    <w:uiPriority w:val="34"/>
    <w:qFormat/>
    <w:rsid w:val="00414CE8"/>
    <w:pPr>
      <w:contextualSpacing/>
    </w:pPr>
  </w:style>
  <w:style w:type="paragraph" w:styleId="FootnoteText">
    <w:name w:val="footnote text"/>
    <w:basedOn w:val="Normal"/>
    <w:link w:val="FootnoteTextChar"/>
    <w:uiPriority w:val="99"/>
    <w:unhideWhenUsed/>
    <w:rsid w:val="00010C0B"/>
    <w:pPr>
      <w:spacing w:after="0"/>
      <w:jc w:val="left"/>
    </w:pPr>
    <w:rPr>
      <w:sz w:val="20"/>
      <w:szCs w:val="20"/>
    </w:rPr>
  </w:style>
  <w:style w:type="character" w:customStyle="1" w:styleId="FootnoteTextChar">
    <w:name w:val="Footnote Text Char"/>
    <w:basedOn w:val="DefaultParagraphFont"/>
    <w:link w:val="FootnoteText"/>
    <w:uiPriority w:val="99"/>
    <w:rsid w:val="00010C0B"/>
    <w:rPr>
      <w:rFonts w:ascii="Times New Roman" w:hAnsi="Times New Roman"/>
      <w:sz w:val="20"/>
      <w:szCs w:val="20"/>
    </w:rPr>
  </w:style>
  <w:style w:type="character" w:styleId="FootnoteReference">
    <w:name w:val="footnote reference"/>
    <w:basedOn w:val="DefaultParagraphFont"/>
    <w:uiPriority w:val="99"/>
    <w:semiHidden/>
    <w:unhideWhenUsed/>
    <w:rsid w:val="0042024A"/>
    <w:rPr>
      <w:vertAlign w:val="superscript"/>
    </w:rPr>
  </w:style>
  <w:style w:type="paragraph" w:customStyle="1" w:styleId="Normal2">
    <w:name w:val="Normal 2"/>
    <w:basedOn w:val="ListParagraph"/>
    <w:link w:val="Normal2Car"/>
    <w:qFormat/>
    <w:rsid w:val="0042024A"/>
    <w:pPr>
      <w:numPr>
        <w:numId w:val="1"/>
      </w:numPr>
      <w:ind w:left="714" w:hanging="357"/>
      <w:contextualSpacing w:val="0"/>
    </w:pPr>
  </w:style>
  <w:style w:type="character" w:customStyle="1" w:styleId="ListParagraphChar">
    <w:name w:val="List Paragraph Char"/>
    <w:basedOn w:val="DefaultParagraphFont"/>
    <w:link w:val="ListParagraph"/>
    <w:uiPriority w:val="34"/>
    <w:rsid w:val="0042024A"/>
    <w:rPr>
      <w:rFonts w:ascii="Times New Roman" w:hAnsi="Times New Roman"/>
      <w:sz w:val="24"/>
    </w:rPr>
  </w:style>
  <w:style w:type="character" w:customStyle="1" w:styleId="Normal2Car">
    <w:name w:val="Normal 2 Car"/>
    <w:basedOn w:val="ListParagraphChar"/>
    <w:link w:val="Normal2"/>
    <w:rsid w:val="0042024A"/>
    <w:rPr>
      <w:rFonts w:ascii="Times New Roman" w:hAnsi="Times New Roman"/>
      <w:sz w:val="24"/>
    </w:rPr>
  </w:style>
  <w:style w:type="character" w:styleId="CommentReference">
    <w:name w:val="annotation reference"/>
    <w:basedOn w:val="DefaultParagraphFont"/>
    <w:uiPriority w:val="99"/>
    <w:semiHidden/>
    <w:unhideWhenUsed/>
    <w:rsid w:val="0076214A"/>
    <w:rPr>
      <w:sz w:val="16"/>
      <w:szCs w:val="16"/>
    </w:rPr>
  </w:style>
  <w:style w:type="paragraph" w:styleId="CommentText">
    <w:name w:val="annotation text"/>
    <w:basedOn w:val="Normal"/>
    <w:link w:val="CommentTextChar"/>
    <w:uiPriority w:val="99"/>
    <w:unhideWhenUsed/>
    <w:rsid w:val="0076214A"/>
    <w:rPr>
      <w:sz w:val="20"/>
      <w:szCs w:val="20"/>
    </w:rPr>
  </w:style>
  <w:style w:type="character" w:customStyle="1" w:styleId="CommentTextChar">
    <w:name w:val="Comment Text Char"/>
    <w:basedOn w:val="DefaultParagraphFont"/>
    <w:link w:val="CommentText"/>
    <w:uiPriority w:val="99"/>
    <w:rsid w:val="0076214A"/>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6214A"/>
    <w:rPr>
      <w:b/>
      <w:bCs/>
    </w:rPr>
  </w:style>
  <w:style w:type="character" w:customStyle="1" w:styleId="CommentSubjectChar">
    <w:name w:val="Comment Subject Char"/>
    <w:basedOn w:val="CommentTextChar"/>
    <w:link w:val="CommentSubject"/>
    <w:uiPriority w:val="99"/>
    <w:semiHidden/>
    <w:rsid w:val="0076214A"/>
    <w:rPr>
      <w:rFonts w:ascii="Times New Roman" w:hAnsi="Times New Roman"/>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025F0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25F09"/>
    <w:pPr>
      <w:spacing w:after="200"/>
    </w:pPr>
    <w:rPr>
      <w:i/>
      <w:iCs/>
      <w:color w:val="44546A" w:themeColor="text2"/>
      <w:sz w:val="18"/>
      <w:szCs w:val="18"/>
    </w:rPr>
  </w:style>
  <w:style w:type="character" w:styleId="Hyperlink">
    <w:name w:val="Hyperlink"/>
    <w:basedOn w:val="DefaultParagraphFont"/>
    <w:uiPriority w:val="99"/>
    <w:unhideWhenUsed/>
    <w:rsid w:val="00813551"/>
    <w:rPr>
      <w:color w:val="0563C1" w:themeColor="hyperlink"/>
      <w:u w:val="single"/>
    </w:rPr>
  </w:style>
  <w:style w:type="character" w:customStyle="1" w:styleId="UnresolvedMention">
    <w:name w:val="Unresolved Mention"/>
    <w:basedOn w:val="DefaultParagraphFont"/>
    <w:uiPriority w:val="99"/>
    <w:semiHidden/>
    <w:unhideWhenUsed/>
    <w:rsid w:val="00813551"/>
    <w:rPr>
      <w:color w:val="605E5C"/>
      <w:shd w:val="clear" w:color="auto" w:fill="E1DFDD"/>
    </w:rPr>
  </w:style>
  <w:style w:type="table" w:customStyle="1" w:styleId="a">
    <w:basedOn w:val="TableNormal2"/>
    <w:tblPr>
      <w:tblStyleRowBandSize w:val="1"/>
      <w:tblStyleColBandSize w:val="1"/>
      <w:tblCellMar>
        <w:top w:w="100" w:type="dxa"/>
        <w:left w:w="100" w:type="dxa"/>
        <w:bottom w:w="100" w:type="dxa"/>
        <w:right w:w="100" w:type="dxa"/>
      </w:tblCellMar>
    </w:tblPr>
  </w:style>
  <w:style w:type="table" w:customStyle="1" w:styleId="a0">
    <w:basedOn w:val="TableNormal2"/>
    <w:tblPr>
      <w:tblStyleRowBandSize w:val="1"/>
      <w:tblStyleColBandSize w:val="1"/>
      <w:tblCellMar>
        <w:top w:w="100" w:type="dxa"/>
        <w:left w:w="100" w:type="dxa"/>
        <w:bottom w:w="100" w:type="dxa"/>
        <w:right w:w="100" w:type="dxa"/>
      </w:tblCellMar>
    </w:tblPr>
  </w:style>
  <w:style w:type="paragraph" w:styleId="EndnoteText">
    <w:name w:val="endnote text"/>
    <w:basedOn w:val="Normal"/>
    <w:link w:val="EndnoteTextChar"/>
    <w:uiPriority w:val="99"/>
    <w:semiHidden/>
    <w:unhideWhenUsed/>
    <w:rsid w:val="00F61348"/>
    <w:pPr>
      <w:spacing w:after="0"/>
    </w:pPr>
    <w:rPr>
      <w:sz w:val="20"/>
      <w:szCs w:val="20"/>
    </w:rPr>
  </w:style>
  <w:style w:type="character" w:customStyle="1" w:styleId="EndnoteTextChar">
    <w:name w:val="Endnote Text Char"/>
    <w:basedOn w:val="DefaultParagraphFont"/>
    <w:link w:val="EndnoteText"/>
    <w:uiPriority w:val="99"/>
    <w:semiHidden/>
    <w:rsid w:val="00F61348"/>
    <w:rPr>
      <w:sz w:val="20"/>
      <w:szCs w:val="20"/>
    </w:rPr>
  </w:style>
  <w:style w:type="character" w:styleId="EndnoteReference">
    <w:name w:val="endnote reference"/>
    <w:basedOn w:val="DefaultParagraphFont"/>
    <w:uiPriority w:val="99"/>
    <w:semiHidden/>
    <w:unhideWhenUsed/>
    <w:rsid w:val="00F61348"/>
    <w:rPr>
      <w:vertAlign w:val="superscript"/>
    </w:rPr>
  </w:style>
  <w:style w:type="paragraph" w:styleId="Header">
    <w:name w:val="header"/>
    <w:basedOn w:val="Normal"/>
    <w:link w:val="HeaderChar"/>
    <w:uiPriority w:val="99"/>
    <w:unhideWhenUsed/>
    <w:rsid w:val="008672B6"/>
    <w:pPr>
      <w:tabs>
        <w:tab w:val="center" w:pos="4419"/>
        <w:tab w:val="right" w:pos="8838"/>
      </w:tabs>
      <w:spacing w:after="0"/>
    </w:pPr>
  </w:style>
  <w:style w:type="character" w:customStyle="1" w:styleId="HeaderChar">
    <w:name w:val="Header Char"/>
    <w:basedOn w:val="DefaultParagraphFont"/>
    <w:link w:val="Header"/>
    <w:uiPriority w:val="99"/>
    <w:rsid w:val="008672B6"/>
  </w:style>
  <w:style w:type="paragraph" w:styleId="Footer">
    <w:name w:val="footer"/>
    <w:basedOn w:val="Normal"/>
    <w:link w:val="FooterChar"/>
    <w:uiPriority w:val="99"/>
    <w:unhideWhenUsed/>
    <w:rsid w:val="008672B6"/>
    <w:pPr>
      <w:tabs>
        <w:tab w:val="center" w:pos="4419"/>
        <w:tab w:val="right" w:pos="8838"/>
      </w:tabs>
      <w:spacing w:after="0"/>
    </w:pPr>
  </w:style>
  <w:style w:type="character" w:customStyle="1" w:styleId="FooterChar">
    <w:name w:val="Footer Char"/>
    <w:basedOn w:val="DefaultParagraphFont"/>
    <w:link w:val="Footer"/>
    <w:uiPriority w:val="99"/>
    <w:rsid w:val="00867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308600">
      <w:bodyDiv w:val="1"/>
      <w:marLeft w:val="0"/>
      <w:marRight w:val="0"/>
      <w:marTop w:val="0"/>
      <w:marBottom w:val="0"/>
      <w:divBdr>
        <w:top w:val="none" w:sz="0" w:space="0" w:color="auto"/>
        <w:left w:val="none" w:sz="0" w:space="0" w:color="auto"/>
        <w:bottom w:val="none" w:sz="0" w:space="0" w:color="auto"/>
        <w:right w:val="none" w:sz="0" w:space="0" w:color="auto"/>
      </w:divBdr>
    </w:div>
    <w:div w:id="7310085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rensalibre.com/ciudades/el-95-del-agua-se-desperdicia-en-guatemala-debido-a-contaminacion-ambiental/" TargetMode="External"/><Relationship Id="rId18" Type="http://schemas.openxmlformats.org/officeDocument/2006/relationships/hyperlink" Target="https://www.prensalibre.com/guatemala/comunitario/honduras-desmiente-a-guatemala-y-dice-que-rio-motagua-sigue-arrastrando-toneladas-de-basura-a-sus-playas/" TargetMode="External"/><Relationship Id="rId26" Type="http://schemas.openxmlformats.org/officeDocument/2006/relationships/hyperlink" Target="http://epidemiologia.mspas.gob.gt/informacion/salas-situacionales/vigilancia-epidemiologica" TargetMode="External"/><Relationship Id="rId39" Type="http://schemas.openxmlformats.org/officeDocument/2006/relationships/hyperlink" Target="https://www.segeplan.gob.gt/nportal/index.php/sala-de-prensa/2016-01-26-18-14-30/noticias/2360-se-aprueba-mesa-tecnica-para-formular-proyecto-de-ley-sobre-el-regimen-de-aguas" TargetMode="External"/><Relationship Id="rId21" Type="http://schemas.openxmlformats.org/officeDocument/2006/relationships/hyperlink" Target="https://www.sectordemujeres.org.gt/wp-content/uploads/2021/01/180626-Informe-extractivismo.pdf" TargetMode="External"/><Relationship Id="rId34" Type="http://schemas.openxmlformats.org/officeDocument/2006/relationships/hyperlink" Target="https://aguacero.plazapublica.com.gt/content/la-crisis-del-agua-es-un-proyecto-de-estado" TargetMode="External"/><Relationship Id="rId42" Type="http://schemas.openxmlformats.org/officeDocument/2006/relationships/hyperlink" Target="https://www.congreso.gob.gt/detalle_pdf/iniciativas/5235" TargetMode="External"/><Relationship Id="rId47" Type="http://schemas.openxmlformats.org/officeDocument/2006/relationships/header" Target="header1.xml"/><Relationship Id="rId50"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prensa.gob.gt/comunicado/marn-denuncia-mal-manejo-de-residuos-en-vertedero-de-quetzaltenango" TargetMode="External"/><Relationship Id="rId29" Type="http://schemas.openxmlformats.org/officeDocument/2006/relationships/hyperlink" Target="https://www.ojoconmipisto.com/de-cada-100-centros-educativos-83-no-tienen-sanitarios-para-los-alumnos/" TargetMode="External"/><Relationship Id="rId11" Type="http://schemas.openxmlformats.org/officeDocument/2006/relationships/hyperlink" Target="https://www.url.edu.gt/publicacionesurl/FileCS.ashx?Id=40416" TargetMode="External"/><Relationship Id="rId24" Type="http://schemas.openxmlformats.org/officeDocument/2006/relationships/hyperlink" Target="https://www.paho.org/es/noticias/19-8-2015-agua-saneamiento" TargetMode="External"/><Relationship Id="rId32" Type="http://schemas.openxmlformats.org/officeDocument/2006/relationships/hyperlink" Target="https://res.cloudinary.com/webuvg/image/upload/v1597094745/WEB/Investigacion/Centros%20de%20investigaci%C3%B3n/Observatorio%20Econ%C3%B3mico%20Sostenible/Publicaciones/Brief_Final_Agua_encuesta_y_politica_2019.pdf" TargetMode="External"/><Relationship Id="rId37" Type="http://schemas.openxmlformats.org/officeDocument/2006/relationships/hyperlink" Target="https://www.congreso.gob.gt/detalle_pdf/iniciativas/4263" TargetMode="External"/><Relationship Id="rId40" Type="http://schemas.openxmlformats.org/officeDocument/2006/relationships/hyperlink" Target="https://www.segeplan.gob.gt/nportal/index.php/sala-de-prensa/2016-01-26-18-14-30/noticias/2360-se-aprueba-mesa-tecnica-para-formular-proyecto-de-ley-sobre-el-regimen-de-aguas" TargetMode="External"/><Relationship Id="rId45" Type="http://schemas.openxmlformats.org/officeDocument/2006/relationships/hyperlink" Target="https://www.prensacomunitaria.org/vista-publica-para-que-se-reconozcan-los-derechos-del-agua/" TargetMode="External"/><Relationship Id="rId5" Type="http://schemas.openxmlformats.org/officeDocument/2006/relationships/settings" Target="settings.xml"/><Relationship Id="rId15" Type="http://schemas.openxmlformats.org/officeDocument/2006/relationships/hyperlink" Target="https://soy.usac.edu.gt/?p=16007" TargetMode="External"/><Relationship Id="rId23" Type="http://schemas.openxmlformats.org/officeDocument/2006/relationships/hyperlink" Target="https://www.plazapublica.com.gt/content/sin-agua-no-hay-vida" TargetMode="External"/><Relationship Id="rId28" Type="http://schemas.openxmlformats.org/officeDocument/2006/relationships/hyperlink" Target="https://www.ojoconmipisto.com/de-cada-100-centros-educativos-83-no-tienen-sanitarios-para-los-alumnos/" TargetMode="External"/><Relationship Id="rId36" Type="http://schemas.openxmlformats.org/officeDocument/2006/relationships/hyperlink" Target="file:///C:\Users\Azar&#237;as\Downloads\" TargetMode="External"/><Relationship Id="rId49" Type="http://schemas.openxmlformats.org/officeDocument/2006/relationships/theme" Target="theme/theme1.xml"/><Relationship Id="rId10" Type="http://schemas.openxmlformats.org/officeDocument/2006/relationships/hyperlink" Target="https://aguaparalavida.webnode.es/" TargetMode="External"/><Relationship Id="rId19" Type="http://schemas.openxmlformats.org/officeDocument/2006/relationships/hyperlink" Target="https://www.prensalibre.com/guatemala/comunitario/honduras-desmiente-a-guatemala-y-dice-que-rio-motagua-sigue-arrastrando-toneladas-de-basura-a-sus-playas/" TargetMode="External"/><Relationship Id="rId31" Type="http://schemas.openxmlformats.org/officeDocument/2006/relationships/hyperlink" Target="https://www.revistayuam.com/gobernanza-comunitaria-del-agua-en-el-altiplano-occidental-de-guatemala/" TargetMode="External"/><Relationship Id="rId44" Type="http://schemas.openxmlformats.org/officeDocument/2006/relationships/hyperlink" Target="https://lacuerda.gt/2020/01/09/atitlan-declarada-ser-vivo-por-las-mujeres-y-una-comunidad-en-resistencia/" TargetMode="External"/><Relationship Id="rId52"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hyperlink" Target="https://aguaparalavida.webnode.es/" TargetMode="External"/><Relationship Id="rId14" Type="http://schemas.openxmlformats.org/officeDocument/2006/relationships/hyperlink" Target="https://soy.usac.edu.gt/?p=16007" TargetMode="External"/><Relationship Id="rId22" Type="http://schemas.openxmlformats.org/officeDocument/2006/relationships/hyperlink" Target="https://www.plazapublica.com.gt/content/sin-agua-no-hay-vida" TargetMode="External"/><Relationship Id="rId27" Type="http://schemas.openxmlformats.org/officeDocument/2006/relationships/hyperlink" Target="http://epidemiologia.mspas.gob.gt/informacion/salas-situacionales/vigilancia-epidemiologica" TargetMode="External"/><Relationship Id="rId30" Type="http://schemas.openxmlformats.org/officeDocument/2006/relationships/hyperlink" Target="https://www.oecd.org/cfe/regionaldevelopment/OECD-Principles-Water-spanish.pdf" TargetMode="External"/><Relationship Id="rId35" Type="http://schemas.openxmlformats.org/officeDocument/2006/relationships/hyperlink" Target="https://www.prensalibre.com/guatemala/politica/congreso-suma-27-iniciativas-para-regular-uso-del-agua/" TargetMode="External"/><Relationship Id="rId43" Type="http://schemas.openxmlformats.org/officeDocument/2006/relationships/hyperlink" Target="https://lacuerda.gt/2020/01/09/atitlan-declarada-ser-vivo-por-las-mujeres-y-una-comunidad-en-resistencia/" TargetMode="External"/><Relationship Id="rId48"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customXml" Target="../customXml/item4.xml"/><Relationship Id="rId3" Type="http://schemas.openxmlformats.org/officeDocument/2006/relationships/numbering" Target="numbering.xml"/><Relationship Id="rId12" Type="http://schemas.openxmlformats.org/officeDocument/2006/relationships/hyperlink" Target="https://www.prensalibre.com/ciudades/el-95-del-agua-se-desperdicia-en-guatemala-debido-a-contaminacion-ambiental/" TargetMode="External"/><Relationship Id="rId17" Type="http://schemas.openxmlformats.org/officeDocument/2006/relationships/hyperlink" Target="https://prensa.gob.gt/comunicado/marn-denuncia-mal-manejo-de-residuos-en-vertedero-de-quetzaltenango" TargetMode="External"/><Relationship Id="rId25" Type="http://schemas.openxmlformats.org/officeDocument/2006/relationships/hyperlink" Target="https://www.paho.org/es/noticias/19-8-2015-agua-saneamiento" TargetMode="External"/><Relationship Id="rId33" Type="http://schemas.openxmlformats.org/officeDocument/2006/relationships/hyperlink" Target="https://www.eldiario.es/desalambre/medio-ambiente-acaparamiento-guatemala-alta-vera-paz-cahabon-acs-florentino-perez_1_3913324.html" TargetMode="External"/><Relationship Id="rId38" Type="http://schemas.openxmlformats.org/officeDocument/2006/relationships/hyperlink" Target="https://www.segeplan.gob.gt/nportal/index.php/sala-de-prensa/2016-01-26-18-14-30/noticias/2360-se-aprueba-mesa-tecnica-para-formular-proyecto-de-ley-sobre-el-regimen-de-aguas" TargetMode="External"/><Relationship Id="rId46" Type="http://schemas.openxmlformats.org/officeDocument/2006/relationships/hyperlink" Target="https://www.prensacomunitaria.org/vista-publica-para-que-se-reconozcan-los-derechos-del-agua/" TargetMode="External"/><Relationship Id="rId20" Type="http://schemas.openxmlformats.org/officeDocument/2006/relationships/hyperlink" Target="https://www.sectordemujeres.org.gt/wp-content/uploads/2021/01/180626-Informe-extractivismo.pdf" TargetMode="External"/><Relationship Id="rId41" Type="http://schemas.openxmlformats.org/officeDocument/2006/relationships/hyperlink" Target="https://www.congreso.gob.gt/detalle_pdf/iniciativas/5235"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2nebwCEbl+Bpk4QZ0+xyCEv68lw==">AMUW2mVdA3f9RWa6UvGE1FImJa7M/Tn8U7UX3p5y6ur4XZwGLE6C+oz/TMc9jMRFBNi7UIWrm5BIlu8cXGND6OACu5MQZ7bWG20Bw/Z+v8q5y1lA0aYLV+FfGwYWvvTetrtKyQxlqucXy1Nbe37VLp9ixroRdmpz2Q==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b:Source>
    <b:Tag>CEU21</b:Tag>
    <b:SourceType>Book</b:SourceType>
    <b:Guid>{4F9FAA61-D060-4FC2-90FD-D17310E8CDD7}</b:Guid>
    <b:Author>
      <b:Author>
        <b:NameList>
          <b:Person>
            <b:Last>CEUR</b:Last>
          </b:Person>
        </b:NameList>
      </b:Author>
    </b:Author>
    <b:Title>Contaminación de las fuentes de agua</b:Title>
    <b:Year>2021</b:Year>
    <b:City>Guatemala</b:City>
    <b:Publisher>Editorial Universitaria</b:Publisher>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9FCBA12-B02B-4008-A416-97F862A9D6CD}">
  <ds:schemaRefs>
    <ds:schemaRef ds:uri="http://schemas.openxmlformats.org/officeDocument/2006/bibliography"/>
  </ds:schemaRefs>
</ds:datastoreItem>
</file>

<file path=customXml/itemProps3.xml><?xml version="1.0" encoding="utf-8"?>
<ds:datastoreItem xmlns:ds="http://schemas.openxmlformats.org/officeDocument/2006/customXml" ds:itemID="{A909BFA7-DD8E-4C8B-86D6-8BCF983E50C4}"/>
</file>

<file path=customXml/itemProps4.xml><?xml version="1.0" encoding="utf-8"?>
<ds:datastoreItem xmlns:ds="http://schemas.openxmlformats.org/officeDocument/2006/customXml" ds:itemID="{D75CC3EA-41CF-4667-9DE3-ECDB08032C9E}"/>
</file>

<file path=customXml/itemProps5.xml><?xml version="1.0" encoding="utf-8"?>
<ds:datastoreItem xmlns:ds="http://schemas.openxmlformats.org/officeDocument/2006/customXml" ds:itemID="{1875401C-3816-4294-B2EF-4BFB84455D55}"/>
</file>

<file path=docProps/app.xml><?xml version="1.0" encoding="utf-8"?>
<Properties xmlns="http://schemas.openxmlformats.org/officeDocument/2006/extended-properties" xmlns:vt="http://schemas.openxmlformats.org/officeDocument/2006/docPropsVTypes">
  <Template>Normal.dotm</Template>
  <TotalTime>0</TotalTime>
  <Pages>17</Pages>
  <Words>10246</Words>
  <Characters>58404</Characters>
  <Application>Microsoft Office Word</Application>
  <DocSecurity>0</DocSecurity>
  <Lines>486</Lines>
  <Paragraphs>137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Wolfgang Krenmayr</dc:creator>
  <cp:lastModifiedBy>REYNAUD Céline</cp:lastModifiedBy>
  <cp:revision>2</cp:revision>
  <dcterms:created xsi:type="dcterms:W3CDTF">2022-08-29T07:13:00Z</dcterms:created>
  <dcterms:modified xsi:type="dcterms:W3CDTF">2022-08-29T07:13:00Z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