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66A02" w14:textId="49AD77AE" w:rsidR="00441739" w:rsidRPr="00CE4CAB" w:rsidRDefault="00441739" w:rsidP="00441739">
      <w:pPr>
        <w:ind w:right="-720"/>
        <w:rPr>
          <w:b/>
          <w:bCs/>
          <w:lang w:val="en-GB"/>
        </w:rPr>
      </w:pPr>
      <w:r w:rsidRPr="00CE4CAB">
        <w:rPr>
          <w:b/>
          <w:bCs/>
          <w:lang w:val="en-GB"/>
        </w:rPr>
        <w:t xml:space="preserve">TrialWatch </w:t>
      </w:r>
      <w:r w:rsidR="006C5F54">
        <w:rPr>
          <w:b/>
          <w:bCs/>
          <w:lang w:val="en-GB"/>
        </w:rPr>
        <w:t xml:space="preserve">and Institute for Criminal Justice Reform </w:t>
      </w:r>
      <w:r w:rsidRPr="00CE4CAB">
        <w:rPr>
          <w:b/>
          <w:bCs/>
          <w:lang w:val="en-GB"/>
        </w:rPr>
        <w:t>Submission to the UN Human Rights Committee, 1</w:t>
      </w:r>
      <w:r>
        <w:rPr>
          <w:b/>
          <w:bCs/>
          <w:lang w:val="en-GB"/>
        </w:rPr>
        <w:t>40</w:t>
      </w:r>
      <w:r w:rsidRPr="00CE4CAB">
        <w:rPr>
          <w:b/>
          <w:bCs/>
          <w:lang w:val="en-GB"/>
        </w:rPr>
        <w:t xml:space="preserve">th Session, </w:t>
      </w:r>
      <w:r>
        <w:rPr>
          <w:b/>
          <w:bCs/>
          <w:lang w:val="en-GB"/>
        </w:rPr>
        <w:t>March 2024</w:t>
      </w:r>
      <w:r w:rsidRPr="00CE4CAB">
        <w:rPr>
          <w:b/>
          <w:bCs/>
          <w:lang w:val="en-GB"/>
        </w:rPr>
        <w:t xml:space="preserve">: Review of </w:t>
      </w:r>
      <w:r>
        <w:rPr>
          <w:b/>
          <w:bCs/>
          <w:lang w:val="en-GB"/>
        </w:rPr>
        <w:t>Indonesia</w:t>
      </w:r>
    </w:p>
    <w:p w14:paraId="437D94C9" w14:textId="77777777" w:rsidR="00441739" w:rsidRPr="00CE4CAB" w:rsidRDefault="00441739" w:rsidP="00441739">
      <w:pPr>
        <w:ind w:right="-720"/>
        <w:rPr>
          <w:lang w:val="en-GB"/>
        </w:rPr>
      </w:pPr>
    </w:p>
    <w:p w14:paraId="43C1B67D" w14:textId="77777777" w:rsidR="00441739" w:rsidRPr="00CE4CAB" w:rsidRDefault="00441739" w:rsidP="00441739">
      <w:pPr>
        <w:ind w:right="-720"/>
        <w:jc w:val="both"/>
        <w:rPr>
          <w:b/>
          <w:bCs/>
          <w:lang w:val="en-GB"/>
        </w:rPr>
      </w:pPr>
      <w:r w:rsidRPr="00CE4CAB">
        <w:rPr>
          <w:b/>
          <w:bCs/>
          <w:lang w:val="en-GB"/>
        </w:rPr>
        <w:t>Executive Summary</w:t>
      </w:r>
    </w:p>
    <w:p w14:paraId="7982C095" w14:textId="77777777" w:rsidR="00441739" w:rsidRPr="00CE4CAB" w:rsidRDefault="00441739" w:rsidP="00441739">
      <w:pPr>
        <w:ind w:right="-720"/>
        <w:jc w:val="both"/>
        <w:rPr>
          <w:lang w:val="en-GB"/>
        </w:rPr>
      </w:pPr>
    </w:p>
    <w:p w14:paraId="282318E7" w14:textId="1F3643C1" w:rsidR="00441739" w:rsidRDefault="00441739" w:rsidP="00441739">
      <w:pPr>
        <w:ind w:right="-720"/>
        <w:jc w:val="both"/>
        <w:rPr>
          <w:lang w:val="en-GB"/>
        </w:rPr>
      </w:pPr>
      <w:r w:rsidRPr="00CE4CAB">
        <w:rPr>
          <w:lang w:val="en-GB"/>
        </w:rPr>
        <w:t>TrialWatch,</w:t>
      </w:r>
      <w:r w:rsidR="00AB706F">
        <w:rPr>
          <w:rStyle w:val="FootnoteReference"/>
          <w:lang w:val="en-GB"/>
        </w:rPr>
        <w:footnoteReference w:id="1"/>
      </w:r>
      <w:r w:rsidRPr="00CE4CAB">
        <w:rPr>
          <w:lang w:val="en-GB"/>
        </w:rPr>
        <w:t xml:space="preserve"> an initiative of the Clooney Foundation for Justice, </w:t>
      </w:r>
      <w:r w:rsidR="006C5F54">
        <w:rPr>
          <w:lang w:val="en-GB"/>
        </w:rPr>
        <w:t>and the Institute for Criminal Justice Reform</w:t>
      </w:r>
      <w:r w:rsidR="006C5F54">
        <w:rPr>
          <w:rStyle w:val="FootnoteReference"/>
          <w:lang w:val="en-GB"/>
        </w:rPr>
        <w:footnoteReference w:id="2"/>
      </w:r>
      <w:r w:rsidR="0075030B">
        <w:rPr>
          <w:lang w:val="en-GB"/>
        </w:rPr>
        <w:t xml:space="preserve"> (ICJR)</w:t>
      </w:r>
      <w:r w:rsidR="006C5F54">
        <w:rPr>
          <w:lang w:val="en-GB"/>
        </w:rPr>
        <w:t xml:space="preserve"> </w:t>
      </w:r>
      <w:r w:rsidRPr="00CE4CAB">
        <w:rPr>
          <w:lang w:val="en-GB"/>
        </w:rPr>
        <w:t xml:space="preserve">present this submission to the UN Human Rights Committee in advance of its review of compliance by </w:t>
      </w:r>
      <w:r>
        <w:rPr>
          <w:lang w:val="en-GB"/>
        </w:rPr>
        <w:t>Indonesia</w:t>
      </w:r>
      <w:r w:rsidRPr="00CE4CAB">
        <w:rPr>
          <w:lang w:val="en-GB"/>
        </w:rPr>
        <w:t xml:space="preserve"> with the International Covenant on Civil and Political Rights.</w:t>
      </w:r>
      <w:r w:rsidR="00D971DC">
        <w:rPr>
          <w:lang w:val="en-GB"/>
        </w:rPr>
        <w:t xml:space="preserve"> </w:t>
      </w:r>
      <w:r w:rsidR="00CB46CD">
        <w:rPr>
          <w:lang w:val="en-GB"/>
        </w:rPr>
        <w:t>The</w:t>
      </w:r>
      <w:r w:rsidR="004D1D85">
        <w:rPr>
          <w:lang w:val="en-GB"/>
        </w:rPr>
        <w:t xml:space="preserve"> submission </w:t>
      </w:r>
      <w:r w:rsidR="00FF6B65">
        <w:rPr>
          <w:lang w:val="en-GB"/>
        </w:rPr>
        <w:t xml:space="preserve">provides </w:t>
      </w:r>
      <w:r w:rsidR="00FB13E1">
        <w:rPr>
          <w:lang w:val="en-GB"/>
        </w:rPr>
        <w:t>new</w:t>
      </w:r>
      <w:r w:rsidR="004D1D85">
        <w:rPr>
          <w:lang w:val="en-GB"/>
        </w:rPr>
        <w:t xml:space="preserve"> data on </w:t>
      </w:r>
      <w:r w:rsidR="00FB13E1">
        <w:rPr>
          <w:lang w:val="en-GB"/>
        </w:rPr>
        <w:t>how</w:t>
      </w:r>
      <w:r w:rsidR="004D1D85">
        <w:rPr>
          <w:lang w:val="en-GB"/>
        </w:rPr>
        <w:t xml:space="preserve"> Indonesia’s Electronic Information and Transactions Law </w:t>
      </w:r>
      <w:r w:rsidR="00D971DC">
        <w:rPr>
          <w:lang w:val="en-GB"/>
        </w:rPr>
        <w:t xml:space="preserve">(EIT Law) </w:t>
      </w:r>
      <w:r w:rsidR="00FB13E1">
        <w:rPr>
          <w:lang w:val="en-GB"/>
        </w:rPr>
        <w:t>has been implemented following adoption of a Joint Decree</w:t>
      </w:r>
      <w:r w:rsidR="00AC4D88">
        <w:rPr>
          <w:lang w:val="en-GB"/>
        </w:rPr>
        <w:t xml:space="preserve"> </w:t>
      </w:r>
      <w:r w:rsidR="00FB13E1">
        <w:rPr>
          <w:lang w:val="en-GB"/>
        </w:rPr>
        <w:t xml:space="preserve">meant to curb </w:t>
      </w:r>
      <w:r w:rsidR="00FF6B65">
        <w:rPr>
          <w:lang w:val="en-GB"/>
        </w:rPr>
        <w:t>violations of the right to freedom of expression. Specifically, the</w:t>
      </w:r>
      <w:r w:rsidR="00CB46CD">
        <w:rPr>
          <w:lang w:val="en-GB"/>
        </w:rPr>
        <w:t xml:space="preserve"> </w:t>
      </w:r>
      <w:r w:rsidR="00FF6B65">
        <w:rPr>
          <w:lang w:val="en-GB"/>
        </w:rPr>
        <w:t xml:space="preserve">data </w:t>
      </w:r>
      <w:r w:rsidR="00AC4D88">
        <w:rPr>
          <w:lang w:val="en-GB"/>
        </w:rPr>
        <w:t>suggests</w:t>
      </w:r>
      <w:r w:rsidR="00CB46CD">
        <w:rPr>
          <w:lang w:val="en-GB"/>
        </w:rPr>
        <w:t xml:space="preserve"> </w:t>
      </w:r>
      <w:r w:rsidR="00AC4D88">
        <w:rPr>
          <w:lang w:val="en-GB"/>
        </w:rPr>
        <w:t xml:space="preserve">that the Joint Decree has </w:t>
      </w:r>
      <w:r w:rsidR="00D971DC">
        <w:rPr>
          <w:lang w:val="en-GB"/>
        </w:rPr>
        <w:t>largely been</w:t>
      </w:r>
      <w:r w:rsidR="00AC4D88">
        <w:rPr>
          <w:lang w:val="en-GB"/>
        </w:rPr>
        <w:t xml:space="preserve"> ignored by police and prosecutors</w:t>
      </w:r>
      <w:r w:rsidR="00FF6B65">
        <w:rPr>
          <w:lang w:val="en-GB"/>
        </w:rPr>
        <w:t xml:space="preserve"> and that </w:t>
      </w:r>
      <w:r w:rsidR="0018136F">
        <w:rPr>
          <w:lang w:val="en-GB"/>
        </w:rPr>
        <w:t xml:space="preserve">prosecutions inconsistent with </w:t>
      </w:r>
      <w:r w:rsidR="00FF6B65">
        <w:rPr>
          <w:lang w:val="en-GB"/>
        </w:rPr>
        <w:t>the right to freedom of expression have continued.</w:t>
      </w:r>
      <w:r w:rsidR="00AC4D88">
        <w:rPr>
          <w:lang w:val="en-GB"/>
        </w:rPr>
        <w:t xml:space="preserve">  On this basis, </w:t>
      </w:r>
      <w:r w:rsidR="00FB13E1">
        <w:rPr>
          <w:lang w:val="en-GB"/>
        </w:rPr>
        <w:t>we urge</w:t>
      </w:r>
      <w:r w:rsidR="004D1D85">
        <w:rPr>
          <w:lang w:val="en-GB"/>
        </w:rPr>
        <w:t xml:space="preserve"> </w:t>
      </w:r>
      <w:r w:rsidR="00AC4D88">
        <w:rPr>
          <w:lang w:val="en-GB"/>
        </w:rPr>
        <w:t xml:space="preserve">the </w:t>
      </w:r>
      <w:r w:rsidR="004D1D85">
        <w:rPr>
          <w:lang w:val="en-GB"/>
        </w:rPr>
        <w:t>Committee to</w:t>
      </w:r>
      <w:r w:rsidR="00FB13E1">
        <w:rPr>
          <w:lang w:val="en-GB"/>
        </w:rPr>
        <w:t xml:space="preserve"> </w:t>
      </w:r>
      <w:r w:rsidR="00AC4D88">
        <w:rPr>
          <w:lang w:val="en-GB"/>
        </w:rPr>
        <w:t>ask</w:t>
      </w:r>
      <w:r w:rsidR="00FB13E1">
        <w:rPr>
          <w:lang w:val="en-GB"/>
        </w:rPr>
        <w:t xml:space="preserve"> the Government of Indonesia </w:t>
      </w:r>
      <w:r w:rsidR="00AC4D88">
        <w:rPr>
          <w:lang w:val="en-GB"/>
        </w:rPr>
        <w:t>for details on</w:t>
      </w:r>
      <w:r w:rsidR="005B3A3C">
        <w:rPr>
          <w:lang w:val="en-GB"/>
        </w:rPr>
        <w:t xml:space="preserve"> what steps it will take going forward to</w:t>
      </w:r>
      <w:r w:rsidR="00FF6B65">
        <w:rPr>
          <w:lang w:val="en-GB"/>
        </w:rPr>
        <w:t xml:space="preserve"> ensure</w:t>
      </w:r>
      <w:r w:rsidR="005B3A3C">
        <w:rPr>
          <w:lang w:val="en-GB"/>
        </w:rPr>
        <w:t xml:space="preserve"> </w:t>
      </w:r>
      <w:r w:rsidR="00FF6B65">
        <w:rPr>
          <w:lang w:val="en-GB"/>
        </w:rPr>
        <w:t>that the right to freedom of expression is respected and that protected speech is not criminalized</w:t>
      </w:r>
      <w:r w:rsidR="005B3A3C">
        <w:rPr>
          <w:lang w:val="en-GB"/>
        </w:rPr>
        <w:t>.</w:t>
      </w:r>
      <w:r w:rsidR="00AC4D88">
        <w:rPr>
          <w:lang w:val="en-GB"/>
        </w:rPr>
        <w:t xml:space="preserve"> Further, we urge the Committee to ask the Government of Indonesia how it will ensure that any </w:t>
      </w:r>
      <w:r w:rsidR="00571F05">
        <w:rPr>
          <w:lang w:val="en-GB"/>
        </w:rPr>
        <w:t>additional implementation</w:t>
      </w:r>
      <w:r w:rsidR="005B3A3C">
        <w:rPr>
          <w:lang w:val="en-GB"/>
        </w:rPr>
        <w:t xml:space="preserve"> guidelines, whether in the context of the revised EIT Law or in the context of </w:t>
      </w:r>
      <w:r w:rsidR="00BC545F">
        <w:rPr>
          <w:lang w:val="en-GB"/>
        </w:rPr>
        <w:t>Indonesia’s</w:t>
      </w:r>
      <w:r w:rsidR="00AC4D88">
        <w:rPr>
          <w:lang w:val="en-GB"/>
        </w:rPr>
        <w:t xml:space="preserve"> new criminal code</w:t>
      </w:r>
      <w:r w:rsidR="005B3A3C">
        <w:rPr>
          <w:lang w:val="en-GB"/>
        </w:rPr>
        <w:t>,</w:t>
      </w:r>
      <w:r w:rsidR="00AC4D88">
        <w:rPr>
          <w:lang w:val="en-GB"/>
        </w:rPr>
        <w:t xml:space="preserve"> will be </w:t>
      </w:r>
      <w:r w:rsidR="00C9412F">
        <w:rPr>
          <w:lang w:val="en-GB"/>
        </w:rPr>
        <w:t xml:space="preserve">put into practice by the relevant authorities </w:t>
      </w:r>
      <w:r w:rsidR="00AC4D88">
        <w:rPr>
          <w:lang w:val="en-GB"/>
        </w:rPr>
        <w:t xml:space="preserve">and </w:t>
      </w:r>
      <w:r w:rsidR="0018136F">
        <w:rPr>
          <w:lang w:val="en-GB"/>
        </w:rPr>
        <w:t xml:space="preserve">respect for them </w:t>
      </w:r>
      <w:r w:rsidR="00AC4D88">
        <w:rPr>
          <w:lang w:val="en-GB"/>
        </w:rPr>
        <w:t>monitored.</w:t>
      </w:r>
    </w:p>
    <w:p w14:paraId="4BA01F0F" w14:textId="77777777" w:rsidR="00B02D90" w:rsidRDefault="00B02D90" w:rsidP="00441739">
      <w:pPr>
        <w:ind w:right="-720"/>
        <w:jc w:val="both"/>
        <w:rPr>
          <w:lang w:val="en-GB"/>
        </w:rPr>
      </w:pPr>
    </w:p>
    <w:p w14:paraId="04F5167E" w14:textId="59C8BD60" w:rsidR="00CB46CD" w:rsidRDefault="00B02D90" w:rsidP="00571F05">
      <w:pPr>
        <w:ind w:right="-720"/>
        <w:jc w:val="both"/>
      </w:pPr>
      <w:r w:rsidRPr="008B0EBC">
        <w:rPr>
          <w:lang w:val="en-GB"/>
        </w:rPr>
        <w:t xml:space="preserve">In </w:t>
      </w:r>
      <w:r w:rsidR="0065735F">
        <w:rPr>
          <w:lang w:val="en-GB"/>
        </w:rPr>
        <w:t>the Committee’s</w:t>
      </w:r>
      <w:r w:rsidR="00C36BF7" w:rsidRPr="008B0EBC">
        <w:rPr>
          <w:lang w:val="en-GB"/>
        </w:rPr>
        <w:t xml:space="preserve"> List of Issues</w:t>
      </w:r>
      <w:r w:rsidR="00D75F69">
        <w:rPr>
          <w:lang w:val="en-GB"/>
        </w:rPr>
        <w:t xml:space="preserve"> (the List)</w:t>
      </w:r>
      <w:r w:rsidR="0065735F">
        <w:rPr>
          <w:lang w:val="en-GB"/>
        </w:rPr>
        <w:t>, the Committee request</w:t>
      </w:r>
      <w:r w:rsidR="00CB46CD">
        <w:rPr>
          <w:lang w:val="en-GB"/>
        </w:rPr>
        <w:t>ed</w:t>
      </w:r>
      <w:r w:rsidRPr="008B0EBC">
        <w:rPr>
          <w:lang w:val="en-GB"/>
        </w:rPr>
        <w:t xml:space="preserve"> </w:t>
      </w:r>
      <w:r w:rsidR="0075030B">
        <w:rPr>
          <w:lang w:val="en-GB"/>
        </w:rPr>
        <w:t xml:space="preserve">that </w:t>
      </w:r>
      <w:r w:rsidRPr="008B0EBC">
        <w:rPr>
          <w:lang w:val="en-GB"/>
        </w:rPr>
        <w:t>Indonesia</w:t>
      </w:r>
      <w:r w:rsidR="0065735F">
        <w:rPr>
          <w:lang w:val="en-GB"/>
        </w:rPr>
        <w:t xml:space="preserve"> </w:t>
      </w:r>
      <w:r w:rsidRPr="008B0EBC">
        <w:rPr>
          <w:lang w:val="en-GB"/>
        </w:rPr>
        <w:t>address “</w:t>
      </w:r>
      <w:r w:rsidRPr="008B0EBC">
        <w:t>concerns that the criminalization of defamation and the arbitrary application of the provisions in the law on electronic information and transactions and the Criminal Code</w:t>
      </w:r>
      <w:r w:rsidR="00C36BF7" w:rsidRPr="008B0EBC">
        <w:t xml:space="preserve"> … </w:t>
      </w:r>
      <w:r w:rsidRPr="008B0EBC">
        <w:t>are used to curtail the freedom of expression</w:t>
      </w:r>
      <w:r w:rsidR="0065735F">
        <w:t>.</w:t>
      </w:r>
      <w:r w:rsidRPr="008B0EBC">
        <w:t>”</w:t>
      </w:r>
      <w:r w:rsidR="0065735F">
        <w:rPr>
          <w:rStyle w:val="FootnoteReference"/>
        </w:rPr>
        <w:footnoteReference w:id="3"/>
      </w:r>
      <w:r w:rsidRPr="008B0EBC">
        <w:t xml:space="preserve"> </w:t>
      </w:r>
      <w:r w:rsidR="00CB46CD">
        <w:t xml:space="preserve">It also specifically </w:t>
      </w:r>
      <w:r w:rsidR="00BC545F">
        <w:t>sought</w:t>
      </w:r>
      <w:r w:rsidR="00CB46CD">
        <w:t xml:space="preserve"> </w:t>
      </w:r>
      <w:r w:rsidR="00CB46CD" w:rsidRPr="00BD449D">
        <w:t>“information on the number of prosecutions related to freedom of expression under the law on electronic information and transactions and the Criminal Code</w:t>
      </w:r>
      <w:r w:rsidR="00D971DC">
        <w:t>.</w:t>
      </w:r>
      <w:r w:rsidR="00CB46CD">
        <w:t>”</w:t>
      </w:r>
      <w:r w:rsidR="009E10CB">
        <w:rPr>
          <w:rStyle w:val="FootnoteReference"/>
        </w:rPr>
        <w:footnoteReference w:id="4"/>
      </w:r>
    </w:p>
    <w:p w14:paraId="4EF70869" w14:textId="77777777" w:rsidR="00CB46CD" w:rsidRDefault="00CB46CD" w:rsidP="00C36BF7">
      <w:pPr>
        <w:pStyle w:val="Default"/>
      </w:pPr>
    </w:p>
    <w:p w14:paraId="0089EE27" w14:textId="2AE86DFE" w:rsidR="00CB46CD" w:rsidRDefault="0065735F" w:rsidP="00D8752B">
      <w:pPr>
        <w:ind w:right="-720"/>
        <w:jc w:val="both"/>
      </w:pPr>
      <w:r>
        <w:t>In its reply</w:t>
      </w:r>
      <w:r w:rsidR="00D75F69">
        <w:t xml:space="preserve"> (</w:t>
      </w:r>
      <w:r w:rsidR="0075030B">
        <w:t xml:space="preserve">the </w:t>
      </w:r>
      <w:r w:rsidR="00D75F69">
        <w:t>Response)</w:t>
      </w:r>
      <w:r>
        <w:t>, Indonesia</w:t>
      </w:r>
      <w:r w:rsidR="00C36BF7" w:rsidRPr="008B0EBC">
        <w:t xml:space="preserve"> “acknowledge</w:t>
      </w:r>
      <w:r w:rsidR="00216EAD">
        <w:t>[d]</w:t>
      </w:r>
      <w:r w:rsidR="00C36BF7" w:rsidRPr="008B0EBC">
        <w:t xml:space="preserve"> the current challenges in applying the Law and t</w:t>
      </w:r>
      <w:r>
        <w:t>[</w:t>
      </w:r>
      <w:proofErr w:type="spellStart"/>
      <w:r>
        <w:t>ook</w:t>
      </w:r>
      <w:proofErr w:type="spellEnd"/>
      <w:r>
        <w:t>]</w:t>
      </w:r>
      <w:r w:rsidR="00C36BF7" w:rsidRPr="008B0EBC">
        <w:t xml:space="preserve"> note of the concerns related to the use of this Law</w:t>
      </w:r>
      <w:r w:rsidR="00CB46CD">
        <w:t>.</w:t>
      </w:r>
      <w:r w:rsidR="00C36BF7" w:rsidRPr="008B0EBC">
        <w:t>”</w:t>
      </w:r>
      <w:r>
        <w:rPr>
          <w:rStyle w:val="FootnoteReference"/>
        </w:rPr>
        <w:footnoteReference w:id="5"/>
      </w:r>
      <w:r w:rsidR="00C36BF7" w:rsidRPr="008B0EBC">
        <w:t xml:space="preserve"> Indonesia </w:t>
      </w:r>
      <w:r w:rsidR="004D1D85">
        <w:t>further</w:t>
      </w:r>
      <w:r w:rsidR="004D1D85" w:rsidRPr="008B0EBC">
        <w:t xml:space="preserve"> </w:t>
      </w:r>
      <w:r w:rsidR="00216EAD">
        <w:t>elaborated</w:t>
      </w:r>
      <w:r w:rsidR="00C36BF7" w:rsidRPr="008B0EBC">
        <w:t xml:space="preserve"> that it was “engaged in a continuous process to evaluate and refine the implementation of EIT Law,” primarily </w:t>
      </w:r>
      <w:r w:rsidR="004D1D85">
        <w:t>through</w:t>
      </w:r>
      <w:r w:rsidR="004D1D85" w:rsidRPr="008B0EBC">
        <w:t xml:space="preserve"> </w:t>
      </w:r>
      <w:r w:rsidR="00C36BF7" w:rsidRPr="008B0EBC">
        <w:t xml:space="preserve">its efforts to “formulate a Joint Decree, which is expected to supplement law enforcement officials with implementation guidelines for this Law” as well as </w:t>
      </w:r>
      <w:r w:rsidR="00216EAD">
        <w:t xml:space="preserve">through </w:t>
      </w:r>
      <w:r w:rsidR="00C36BF7" w:rsidRPr="008B0EBC">
        <w:t>“recommending several articles in the EIT Law to be revised.”</w:t>
      </w:r>
      <w:r>
        <w:rPr>
          <w:rStyle w:val="FootnoteReference"/>
        </w:rPr>
        <w:footnoteReference w:id="6"/>
      </w:r>
      <w:r w:rsidR="00C36BF7" w:rsidRPr="008B0EBC">
        <w:t xml:space="preserve"> </w:t>
      </w:r>
    </w:p>
    <w:p w14:paraId="05719E03" w14:textId="77777777" w:rsidR="00CB46CD" w:rsidRDefault="00CB46CD" w:rsidP="00C36BF7">
      <w:pPr>
        <w:pStyle w:val="Default"/>
      </w:pPr>
    </w:p>
    <w:p w14:paraId="249FE43E" w14:textId="41FE7AEA" w:rsidR="00C36BF7" w:rsidRPr="008B0EBC" w:rsidRDefault="00CB46CD" w:rsidP="00D8752B">
      <w:pPr>
        <w:ind w:right="-720"/>
        <w:jc w:val="both"/>
      </w:pPr>
      <w:r>
        <w:lastRenderedPageBreak/>
        <w:t>Indonesia did not, however, provide the requested figures. This short submission fills this gap with data that shows how</w:t>
      </w:r>
      <w:r w:rsidR="0065735F">
        <w:t xml:space="preserve"> </w:t>
      </w:r>
      <w:r w:rsidR="0065735F" w:rsidRPr="0065735F">
        <w:rPr>
          <w:b/>
          <w:bCs/>
        </w:rPr>
        <w:t xml:space="preserve">even </w:t>
      </w:r>
      <w:r w:rsidR="00C36BF7" w:rsidRPr="0065735F">
        <w:rPr>
          <w:b/>
          <w:bCs/>
        </w:rPr>
        <w:t xml:space="preserve">though the Joint Decree has now been </w:t>
      </w:r>
      <w:r w:rsidR="0075030B">
        <w:rPr>
          <w:b/>
          <w:bCs/>
        </w:rPr>
        <w:t>introduced</w:t>
      </w:r>
      <w:r w:rsidR="0065735F">
        <w:rPr>
          <w:b/>
          <w:bCs/>
        </w:rPr>
        <w:t xml:space="preserve"> </w:t>
      </w:r>
      <w:r w:rsidR="00C36BF7" w:rsidRPr="0065735F">
        <w:rPr>
          <w:b/>
          <w:bCs/>
        </w:rPr>
        <w:t>and the EIT Law has now been revised, there remains serious cause for concern</w:t>
      </w:r>
      <w:r w:rsidR="0065735F">
        <w:t>.</w:t>
      </w:r>
    </w:p>
    <w:p w14:paraId="19B4653A" w14:textId="77777777" w:rsidR="004A2D47" w:rsidRPr="008B0EBC" w:rsidRDefault="004A2D47" w:rsidP="00C36BF7">
      <w:pPr>
        <w:pStyle w:val="Default"/>
      </w:pPr>
    </w:p>
    <w:p w14:paraId="53D5A492" w14:textId="203DE19F" w:rsidR="004430DE" w:rsidRDefault="006C5F54" w:rsidP="006C5F54">
      <w:pPr>
        <w:ind w:right="-720"/>
        <w:jc w:val="both"/>
        <w:rPr>
          <w:rFonts w:eastAsiaTheme="minorHAnsi"/>
          <w:color w:val="000000"/>
          <w14:ligatures w14:val="standardContextual"/>
        </w:rPr>
      </w:pPr>
      <w:r w:rsidRPr="00CE4CAB">
        <w:rPr>
          <w:lang w:val="en-GB"/>
        </w:rPr>
        <w:t>TrialWatch monitor</w:t>
      </w:r>
      <w:r w:rsidR="00D971DC">
        <w:rPr>
          <w:lang w:val="en-GB"/>
        </w:rPr>
        <w:t>ed</w:t>
      </w:r>
      <w:r w:rsidR="004430DE">
        <w:rPr>
          <w:lang w:val="en-GB"/>
        </w:rPr>
        <w:t xml:space="preserve"> implementation of the EIT </w:t>
      </w:r>
      <w:r w:rsidR="00130F64">
        <w:rPr>
          <w:lang w:val="en-GB"/>
        </w:rPr>
        <w:t>L</w:t>
      </w:r>
      <w:r w:rsidR="004430DE">
        <w:rPr>
          <w:lang w:val="en-GB"/>
        </w:rPr>
        <w:t xml:space="preserve">aw </w:t>
      </w:r>
      <w:r w:rsidR="00D971DC">
        <w:rPr>
          <w:lang w:val="en-GB"/>
        </w:rPr>
        <w:t>before</w:t>
      </w:r>
      <w:r w:rsidR="004430DE">
        <w:rPr>
          <w:lang w:val="en-GB"/>
        </w:rPr>
        <w:t xml:space="preserve"> </w:t>
      </w:r>
      <w:r w:rsidR="00D971DC">
        <w:rPr>
          <w:lang w:val="en-GB"/>
        </w:rPr>
        <w:t xml:space="preserve">the </w:t>
      </w:r>
      <w:r w:rsidR="004430DE">
        <w:rPr>
          <w:lang w:val="en-GB"/>
        </w:rPr>
        <w:t>adoption of the Joint Decree, having</w:t>
      </w:r>
      <w:r w:rsidRPr="00CE4CAB">
        <w:rPr>
          <w:lang w:val="en-GB"/>
        </w:rPr>
        <w:t xml:space="preserve"> analysed </w:t>
      </w:r>
      <w:r w:rsidR="004430DE">
        <w:rPr>
          <w:lang w:val="en-GB"/>
        </w:rPr>
        <w:t xml:space="preserve">two </w:t>
      </w:r>
      <w:r>
        <w:rPr>
          <w:lang w:val="en-GB"/>
        </w:rPr>
        <w:t>completed cyberdefamation</w:t>
      </w:r>
      <w:r w:rsidRPr="00CE4CAB">
        <w:rPr>
          <w:lang w:val="en-GB"/>
        </w:rPr>
        <w:t xml:space="preserve"> trials in </w:t>
      </w:r>
      <w:r>
        <w:rPr>
          <w:lang w:val="en-GB"/>
        </w:rPr>
        <w:t>Indonesia</w:t>
      </w:r>
      <w:r w:rsidRPr="00CE4CAB">
        <w:rPr>
          <w:lang w:val="en-GB"/>
        </w:rPr>
        <w:t xml:space="preserve">: </w:t>
      </w:r>
      <w:r w:rsidR="004430DE">
        <w:rPr>
          <w:lang w:val="en-GB"/>
        </w:rPr>
        <w:t xml:space="preserve">those of </w:t>
      </w:r>
      <w:r>
        <w:rPr>
          <w:lang w:val="en-GB"/>
        </w:rPr>
        <w:t xml:space="preserve">journalist Muhammad </w:t>
      </w:r>
      <w:proofErr w:type="spellStart"/>
      <w:r>
        <w:rPr>
          <w:lang w:val="en-GB"/>
        </w:rPr>
        <w:t>Asrul</w:t>
      </w:r>
      <w:proofErr w:type="spellEnd"/>
      <w:r>
        <w:rPr>
          <w:lang w:val="en-GB"/>
        </w:rPr>
        <w:t xml:space="preserve"> for his reporting on alleged corruption by </w:t>
      </w:r>
      <w:r w:rsidR="002903BD">
        <w:rPr>
          <w:lang w:val="en-GB"/>
        </w:rPr>
        <w:t>a</w:t>
      </w:r>
      <w:r>
        <w:rPr>
          <w:lang w:val="en-GB"/>
        </w:rPr>
        <w:t xml:space="preserve"> </w:t>
      </w:r>
      <w:r w:rsidR="0091159F">
        <w:rPr>
          <w:lang w:val="en-GB"/>
        </w:rPr>
        <w:t>political figure</w:t>
      </w:r>
      <w:r w:rsidR="0065735F">
        <w:rPr>
          <w:rStyle w:val="FootnoteReference"/>
          <w:lang w:val="en-GB"/>
        </w:rPr>
        <w:footnoteReference w:id="7"/>
      </w:r>
      <w:r w:rsidRPr="00CE4CAB">
        <w:rPr>
          <w:lang w:val="en-GB"/>
        </w:rPr>
        <w:t xml:space="preserve"> </w:t>
      </w:r>
      <w:r w:rsidR="004430DE">
        <w:rPr>
          <w:lang w:val="en-GB"/>
        </w:rPr>
        <w:t>and</w:t>
      </w:r>
      <w:r w:rsidRPr="00CE4CAB">
        <w:rPr>
          <w:lang w:val="en-GB"/>
        </w:rPr>
        <w:t xml:space="preserve"> of</w:t>
      </w:r>
      <w:r>
        <w:rPr>
          <w:lang w:val="en-GB"/>
        </w:rPr>
        <w:t xml:space="preserve"> Stella Monica for criticizing the treatment she received from a dermatology clinic</w:t>
      </w:r>
      <w:r w:rsidR="004430DE">
        <w:rPr>
          <w:lang w:val="en-GB"/>
        </w:rPr>
        <w:t>.</w:t>
      </w:r>
      <w:r w:rsidR="0065735F">
        <w:rPr>
          <w:rStyle w:val="FootnoteReference"/>
          <w:lang w:val="en-GB"/>
        </w:rPr>
        <w:footnoteReference w:id="8"/>
      </w:r>
      <w:r w:rsidRPr="00CE4CAB">
        <w:rPr>
          <w:lang w:val="en-GB"/>
        </w:rPr>
        <w:t xml:space="preserve"> </w:t>
      </w:r>
      <w:r>
        <w:rPr>
          <w:rFonts w:eastAsiaTheme="minorHAnsi"/>
          <w:color w:val="000000"/>
          <w14:ligatures w14:val="standardContextual"/>
        </w:rPr>
        <w:t xml:space="preserve">Since 2022, </w:t>
      </w:r>
      <w:r w:rsidR="0065735F">
        <w:rPr>
          <w:rFonts w:eastAsiaTheme="minorHAnsi"/>
          <w:color w:val="000000"/>
          <w14:ligatures w14:val="standardContextual"/>
        </w:rPr>
        <w:t>ICJR</w:t>
      </w:r>
      <w:r>
        <w:rPr>
          <w:rFonts w:eastAsiaTheme="minorHAnsi"/>
          <w:color w:val="000000"/>
          <w14:ligatures w14:val="standardContextual"/>
        </w:rPr>
        <w:t xml:space="preserve"> and TrialWatch have partnered to collect data on </w:t>
      </w:r>
      <w:r w:rsidR="008F0A27">
        <w:rPr>
          <w:rFonts w:eastAsiaTheme="minorHAnsi"/>
          <w:color w:val="000000"/>
          <w14:ligatures w14:val="standardContextual"/>
        </w:rPr>
        <w:t xml:space="preserve">online </w:t>
      </w:r>
      <w:r w:rsidR="0065735F">
        <w:rPr>
          <w:rFonts w:eastAsiaTheme="minorHAnsi"/>
          <w:color w:val="000000"/>
          <w14:ligatures w14:val="standardContextual"/>
        </w:rPr>
        <w:t>defamation and hate speech</w:t>
      </w:r>
      <w:r w:rsidR="001671A2">
        <w:rPr>
          <w:rFonts w:eastAsiaTheme="minorHAnsi"/>
          <w:color w:val="000000"/>
          <w14:ligatures w14:val="standardContextual"/>
        </w:rPr>
        <w:t xml:space="preserve"> cases</w:t>
      </w:r>
      <w:r w:rsidR="0065735F">
        <w:rPr>
          <w:rFonts w:eastAsiaTheme="minorHAnsi"/>
          <w:color w:val="000000"/>
          <w14:ligatures w14:val="standardContextual"/>
        </w:rPr>
        <w:t xml:space="preserve"> brought under the EIT Law</w:t>
      </w:r>
      <w:r>
        <w:rPr>
          <w:rFonts w:eastAsiaTheme="minorHAnsi"/>
          <w:color w:val="000000"/>
          <w14:ligatures w14:val="standardContextual"/>
        </w:rPr>
        <w:t xml:space="preserve"> that were either initiated after the </w:t>
      </w:r>
      <w:r w:rsidR="004D1D85">
        <w:rPr>
          <w:rFonts w:eastAsiaTheme="minorHAnsi"/>
          <w:color w:val="000000"/>
          <w14:ligatures w14:val="standardContextual"/>
        </w:rPr>
        <w:t xml:space="preserve">adoption </w:t>
      </w:r>
      <w:r>
        <w:rPr>
          <w:rFonts w:eastAsiaTheme="minorHAnsi"/>
          <w:color w:val="000000"/>
          <w14:ligatures w14:val="standardContextual"/>
        </w:rPr>
        <w:t xml:space="preserve">of the Joint Decree or in which the trial did not start until after the </w:t>
      </w:r>
      <w:r w:rsidR="004D1D85">
        <w:rPr>
          <w:rFonts w:eastAsiaTheme="minorHAnsi"/>
          <w:color w:val="000000"/>
          <w14:ligatures w14:val="standardContextual"/>
        </w:rPr>
        <w:t xml:space="preserve">adoption </w:t>
      </w:r>
      <w:r>
        <w:rPr>
          <w:rFonts w:eastAsiaTheme="minorHAnsi"/>
          <w:color w:val="000000"/>
          <w14:ligatures w14:val="standardContextual"/>
        </w:rPr>
        <w:t xml:space="preserve">of the Joint Decree. </w:t>
      </w:r>
      <w:proofErr w:type="spellStart"/>
      <w:r w:rsidR="004430DE">
        <w:rPr>
          <w:lang w:val="en-GB"/>
        </w:rPr>
        <w:t>TrialWatch</w:t>
      </w:r>
      <w:proofErr w:type="spellEnd"/>
      <w:r w:rsidR="004430DE">
        <w:rPr>
          <w:lang w:val="en-GB"/>
        </w:rPr>
        <w:t xml:space="preserve"> also monitored</w:t>
      </w:r>
      <w:r w:rsidR="004430DE" w:rsidRPr="00CE4CAB">
        <w:rPr>
          <w:lang w:val="en-GB"/>
        </w:rPr>
        <w:t xml:space="preserve"> the</w:t>
      </w:r>
      <w:r w:rsidR="008F0A27">
        <w:rPr>
          <w:lang w:val="en-GB"/>
        </w:rPr>
        <w:t xml:space="preserve"> cyberdefamation</w:t>
      </w:r>
      <w:r w:rsidR="004430DE" w:rsidRPr="00CE4CAB">
        <w:rPr>
          <w:lang w:val="en-GB"/>
        </w:rPr>
        <w:t xml:space="preserve"> trial of </w:t>
      </w:r>
      <w:r w:rsidR="004430DE">
        <w:rPr>
          <w:lang w:val="en-GB"/>
        </w:rPr>
        <w:t xml:space="preserve">human rights defenders </w:t>
      </w:r>
      <w:proofErr w:type="spellStart"/>
      <w:r w:rsidR="004430DE">
        <w:rPr>
          <w:lang w:val="en-GB"/>
        </w:rPr>
        <w:t>Fatia</w:t>
      </w:r>
      <w:proofErr w:type="spellEnd"/>
      <w:r w:rsidR="004430DE">
        <w:rPr>
          <w:lang w:val="en-GB"/>
        </w:rPr>
        <w:t xml:space="preserve"> </w:t>
      </w:r>
      <w:proofErr w:type="spellStart"/>
      <w:r w:rsidR="004430DE">
        <w:rPr>
          <w:lang w:val="en-GB"/>
        </w:rPr>
        <w:t>Maulidiyanti</w:t>
      </w:r>
      <w:proofErr w:type="spellEnd"/>
      <w:r w:rsidR="004430DE">
        <w:rPr>
          <w:lang w:val="en-GB"/>
        </w:rPr>
        <w:t xml:space="preserve"> and </w:t>
      </w:r>
      <w:proofErr w:type="spellStart"/>
      <w:r w:rsidR="004430DE" w:rsidRPr="006C5F54">
        <w:rPr>
          <w:rFonts w:eastAsiaTheme="minorHAnsi"/>
          <w:color w:val="000000"/>
          <w14:ligatures w14:val="standardContextual"/>
        </w:rPr>
        <w:t>Haris</w:t>
      </w:r>
      <w:proofErr w:type="spellEnd"/>
      <w:r w:rsidR="004430DE" w:rsidRPr="006C5F54">
        <w:rPr>
          <w:rFonts w:eastAsiaTheme="minorHAnsi"/>
          <w:color w:val="000000"/>
          <w14:ligatures w14:val="standardContextual"/>
        </w:rPr>
        <w:t xml:space="preserve"> </w:t>
      </w:r>
      <w:proofErr w:type="spellStart"/>
      <w:r w:rsidR="004430DE" w:rsidRPr="006C5F54">
        <w:rPr>
          <w:rFonts w:eastAsiaTheme="minorHAnsi"/>
          <w:color w:val="000000"/>
          <w14:ligatures w14:val="standardContextual"/>
        </w:rPr>
        <w:t>Azhar</w:t>
      </w:r>
      <w:proofErr w:type="spellEnd"/>
      <w:r w:rsidR="004430DE" w:rsidRPr="006C5F54">
        <w:rPr>
          <w:rFonts w:eastAsiaTheme="minorHAnsi"/>
          <w:color w:val="000000"/>
          <w14:ligatures w14:val="standardContextual"/>
        </w:rPr>
        <w:t xml:space="preserve"> for discussing public reporting on government officials</w:t>
      </w:r>
      <w:r w:rsidR="004430DE">
        <w:rPr>
          <w:rFonts w:eastAsiaTheme="minorHAnsi"/>
          <w:color w:val="000000"/>
          <w14:ligatures w14:val="standardContextual"/>
        </w:rPr>
        <w:t>’</w:t>
      </w:r>
      <w:r w:rsidR="004430DE" w:rsidRPr="006C5F54">
        <w:rPr>
          <w:rFonts w:eastAsiaTheme="minorHAnsi"/>
          <w:color w:val="000000"/>
          <w14:ligatures w14:val="standardContextual"/>
        </w:rPr>
        <w:t xml:space="preserve"> alleged role in mining operations in Papua</w:t>
      </w:r>
      <w:r w:rsidR="004430DE">
        <w:rPr>
          <w:rFonts w:eastAsiaTheme="minorHAnsi"/>
          <w:color w:val="000000"/>
          <w14:ligatures w14:val="standardContextual"/>
        </w:rPr>
        <w:t xml:space="preserve">, which was based on </w:t>
      </w:r>
      <w:r w:rsidR="00D971DC">
        <w:rPr>
          <w:rFonts w:eastAsiaTheme="minorHAnsi"/>
          <w:color w:val="000000"/>
          <w14:ligatures w14:val="standardContextual"/>
        </w:rPr>
        <w:t xml:space="preserve">charges brought </w:t>
      </w:r>
      <w:r w:rsidR="004430DE">
        <w:rPr>
          <w:rFonts w:eastAsiaTheme="minorHAnsi"/>
          <w:color w:val="000000"/>
          <w14:ligatures w14:val="standardContextual"/>
        </w:rPr>
        <w:t>after adoption of the Joint Decree.</w:t>
      </w:r>
      <w:r w:rsidR="004430DE">
        <w:rPr>
          <w:rStyle w:val="FootnoteReference"/>
          <w:rFonts w:eastAsiaTheme="minorHAnsi"/>
          <w:color w:val="000000"/>
          <w14:ligatures w14:val="standardContextual"/>
        </w:rPr>
        <w:footnoteReference w:id="9"/>
      </w:r>
      <w:r w:rsidR="004430DE">
        <w:rPr>
          <w:rFonts w:eastAsiaTheme="minorHAnsi"/>
          <w:color w:val="000000"/>
          <w14:ligatures w14:val="standardContextual"/>
        </w:rPr>
        <w:t xml:space="preserve">  </w:t>
      </w:r>
    </w:p>
    <w:p w14:paraId="08B54E58" w14:textId="77777777" w:rsidR="004430DE" w:rsidRDefault="004430DE" w:rsidP="006C5F54">
      <w:pPr>
        <w:ind w:right="-720"/>
        <w:jc w:val="both"/>
        <w:rPr>
          <w:rFonts w:eastAsiaTheme="minorHAnsi"/>
          <w:color w:val="000000"/>
          <w14:ligatures w14:val="standardContextual"/>
        </w:rPr>
      </w:pPr>
    </w:p>
    <w:p w14:paraId="2808265D" w14:textId="225D002A" w:rsidR="00B20CFF" w:rsidRPr="00BD449D" w:rsidRDefault="006C5F54" w:rsidP="00571F05">
      <w:pPr>
        <w:ind w:right="-720"/>
        <w:jc w:val="both"/>
      </w:pPr>
      <w:r>
        <w:t xml:space="preserve">The </w:t>
      </w:r>
      <w:r w:rsidR="0065735F">
        <w:t xml:space="preserve">analysis that follows is based on </w:t>
      </w:r>
      <w:r w:rsidR="002903BD">
        <w:t>findings from these projects</w:t>
      </w:r>
      <w:r w:rsidR="00C9412F">
        <w:t>, including data showing that in online defamation and hate speech cases</w:t>
      </w:r>
      <w:r w:rsidR="007201D1">
        <w:t xml:space="preserve"> </w:t>
      </w:r>
      <w:r w:rsidR="00C9412F">
        <w:t xml:space="preserve">identified by ICJR </w:t>
      </w:r>
      <w:r w:rsidR="005B3A3C">
        <w:t xml:space="preserve">and TrialWatch </w:t>
      </w:r>
      <w:r w:rsidR="007201D1">
        <w:t xml:space="preserve">that were initiated or pursued </w:t>
      </w:r>
      <w:r w:rsidR="005B3A3C">
        <w:t xml:space="preserve">under the EIT Law </w:t>
      </w:r>
      <w:r w:rsidR="007201D1">
        <w:t xml:space="preserve">after the </w:t>
      </w:r>
      <w:r w:rsidR="00C9412F">
        <w:t xml:space="preserve">adoption of the Joint Decree, </w:t>
      </w:r>
      <w:r w:rsidR="00C9412F" w:rsidRPr="00D8752B">
        <w:rPr>
          <w:b/>
          <w:bCs/>
        </w:rPr>
        <w:t xml:space="preserve">a </w:t>
      </w:r>
      <w:r w:rsidR="00C9412F" w:rsidRPr="00940A91">
        <w:rPr>
          <w:b/>
          <w:bCs/>
        </w:rPr>
        <w:t xml:space="preserve">startling </w:t>
      </w:r>
      <w:r w:rsidR="009E10CB">
        <w:rPr>
          <w:b/>
          <w:bCs/>
        </w:rPr>
        <w:t>88</w:t>
      </w:r>
      <w:r w:rsidR="00C9412F" w:rsidRPr="00940A91">
        <w:rPr>
          <w:b/>
          <w:bCs/>
        </w:rPr>
        <w:t xml:space="preserve"> percent </w:t>
      </w:r>
      <w:r w:rsidR="00D41DA0">
        <w:rPr>
          <w:b/>
          <w:bCs/>
        </w:rPr>
        <w:t>appear</w:t>
      </w:r>
      <w:r w:rsidR="007201D1">
        <w:rPr>
          <w:b/>
          <w:bCs/>
        </w:rPr>
        <w:t xml:space="preserve"> </w:t>
      </w:r>
      <w:r w:rsidR="00D41DA0">
        <w:rPr>
          <w:b/>
          <w:bCs/>
        </w:rPr>
        <w:t>likely to</w:t>
      </w:r>
      <w:r w:rsidR="00C9412F">
        <w:rPr>
          <w:b/>
          <w:bCs/>
        </w:rPr>
        <w:t xml:space="preserve"> </w:t>
      </w:r>
      <w:r w:rsidR="005B3A3C">
        <w:rPr>
          <w:b/>
          <w:bCs/>
        </w:rPr>
        <w:t xml:space="preserve">have </w:t>
      </w:r>
      <w:r w:rsidR="007201D1">
        <w:rPr>
          <w:b/>
          <w:bCs/>
        </w:rPr>
        <w:t>been</w:t>
      </w:r>
      <w:r w:rsidR="00D97178">
        <w:rPr>
          <w:b/>
          <w:bCs/>
        </w:rPr>
        <w:t xml:space="preserve"> </w:t>
      </w:r>
      <w:r w:rsidR="00275E06">
        <w:rPr>
          <w:b/>
          <w:bCs/>
        </w:rPr>
        <w:t>meant to be</w:t>
      </w:r>
      <w:r w:rsidR="007201D1">
        <w:rPr>
          <w:b/>
          <w:bCs/>
        </w:rPr>
        <w:t xml:space="preserve"> excluded by the </w:t>
      </w:r>
      <w:r w:rsidR="00C9412F" w:rsidRPr="0075030B">
        <w:rPr>
          <w:b/>
          <w:bCs/>
        </w:rPr>
        <w:t>Joint Decree</w:t>
      </w:r>
      <w:r w:rsidR="00C9412F">
        <w:t xml:space="preserve">. </w:t>
      </w:r>
      <w:r w:rsidR="007201D1">
        <w:t>As such, w</w:t>
      </w:r>
      <w:r w:rsidR="007C1A50">
        <w:t xml:space="preserve">hile the Joint Decree is an important step forward insofar as it marks an effort to bring the EIT </w:t>
      </w:r>
      <w:r w:rsidR="00D971DC">
        <w:t>L</w:t>
      </w:r>
      <w:r w:rsidR="007C1A50">
        <w:t>aw into greater alignment with international standards</w:t>
      </w:r>
      <w:r w:rsidR="00C9412F">
        <w:t xml:space="preserve"> on freedom of expression</w:t>
      </w:r>
      <w:r w:rsidR="007C1A50">
        <w:t xml:space="preserve">, </w:t>
      </w:r>
      <w:r w:rsidR="00C9412F">
        <w:t xml:space="preserve">these findings indicate </w:t>
      </w:r>
      <w:r w:rsidR="005B3A3C">
        <w:t xml:space="preserve">that it has </w:t>
      </w:r>
      <w:r w:rsidR="003947CF">
        <w:t>not been</w:t>
      </w:r>
      <w:r w:rsidR="005B3A3C">
        <w:t xml:space="preserve"> effective</w:t>
      </w:r>
      <w:r w:rsidR="00C9412F">
        <w:t xml:space="preserve">. </w:t>
      </w:r>
      <w:r w:rsidR="005B3A3C">
        <w:t>And g</w:t>
      </w:r>
      <w:r w:rsidR="00130F64">
        <w:t xml:space="preserve">iven that the revised EIT Law </w:t>
      </w:r>
      <w:r w:rsidR="007201D1">
        <w:t xml:space="preserve">remedies </w:t>
      </w:r>
      <w:r w:rsidR="005B3A3C">
        <w:t xml:space="preserve">some but not </w:t>
      </w:r>
      <w:proofErr w:type="gramStart"/>
      <w:r w:rsidR="005B3A3C">
        <w:t>all of</w:t>
      </w:r>
      <w:proofErr w:type="gramEnd"/>
      <w:r w:rsidR="005B3A3C">
        <w:t xml:space="preserve"> the problems of the</w:t>
      </w:r>
      <w:r w:rsidR="007201D1">
        <w:t xml:space="preserve"> previous iteration</w:t>
      </w:r>
      <w:r w:rsidR="00130F64">
        <w:t>, the</w:t>
      </w:r>
      <w:r w:rsidR="00C9412F">
        <w:t xml:space="preserve"> threat of abusive prosecutions persists</w:t>
      </w:r>
      <w:r w:rsidR="00130F64">
        <w:t xml:space="preserve">. This is also true for the </w:t>
      </w:r>
      <w:r w:rsidR="00C9412F">
        <w:t xml:space="preserve">new Criminal Code, which </w:t>
      </w:r>
      <w:r w:rsidR="00130F64">
        <w:t xml:space="preserve">will </w:t>
      </w:r>
      <w:r w:rsidR="00C9412F">
        <w:t>replace the EIT Law in 2026</w:t>
      </w:r>
      <w:r w:rsidR="005B3A3C">
        <w:t xml:space="preserve"> and</w:t>
      </w:r>
      <w:r w:rsidR="00130F64">
        <w:t xml:space="preserve"> which contains </w:t>
      </w:r>
      <w:r w:rsidR="005B3A3C">
        <w:t xml:space="preserve">defamation and hate speech </w:t>
      </w:r>
      <w:r w:rsidR="00130F64">
        <w:t>provisions inconsistent with international standards on freedom of expression</w:t>
      </w:r>
      <w:r w:rsidR="005B3A3C">
        <w:t xml:space="preserve">. </w:t>
      </w:r>
      <w:r w:rsidR="003947CF">
        <w:t xml:space="preserve">Thus, it is </w:t>
      </w:r>
      <w:proofErr w:type="gramStart"/>
      <w:r w:rsidR="003947CF">
        <w:t>all the more</w:t>
      </w:r>
      <w:proofErr w:type="gramEnd"/>
      <w:r w:rsidR="003947CF">
        <w:t xml:space="preserve"> important to understand how the Government of Indonesia will ensure </w:t>
      </w:r>
      <w:r w:rsidR="00E511B5">
        <w:t xml:space="preserve">that protected speech is not criminalized, including how it will </w:t>
      </w:r>
      <w:r w:rsidR="003D5C17">
        <w:t>improve</w:t>
      </w:r>
      <w:r w:rsidR="00E511B5">
        <w:t xml:space="preserve"> implementation of any limiting guidelines going forward. </w:t>
      </w:r>
      <w:r w:rsidR="00B20CFF">
        <w:t xml:space="preserve">  </w:t>
      </w:r>
    </w:p>
    <w:p w14:paraId="6B9C759E" w14:textId="77777777" w:rsidR="0065735F" w:rsidRDefault="0065735F" w:rsidP="006C5F54">
      <w:pPr>
        <w:ind w:right="-720"/>
        <w:jc w:val="both"/>
      </w:pPr>
    </w:p>
    <w:p w14:paraId="341B7E98" w14:textId="6A3E74BD" w:rsidR="0065735F" w:rsidRPr="0065735F" w:rsidRDefault="003B0B80" w:rsidP="006C5F54">
      <w:pPr>
        <w:ind w:right="-720"/>
        <w:jc w:val="both"/>
        <w:rPr>
          <w:b/>
          <w:bCs/>
          <w:lang w:val="en-GB"/>
        </w:rPr>
      </w:pPr>
      <w:r>
        <w:rPr>
          <w:b/>
          <w:bCs/>
        </w:rPr>
        <w:t xml:space="preserve">Background and </w:t>
      </w:r>
      <w:r w:rsidR="0065735F" w:rsidRPr="0065735F">
        <w:rPr>
          <w:b/>
          <w:bCs/>
        </w:rPr>
        <w:t>Analysis</w:t>
      </w:r>
    </w:p>
    <w:p w14:paraId="0809C6EE" w14:textId="77777777" w:rsidR="007D5A57" w:rsidRPr="006C5F54" w:rsidRDefault="007D5A57" w:rsidP="00C36BF7">
      <w:pPr>
        <w:pStyle w:val="Default"/>
        <w:rPr>
          <w:lang w:val="en-GB"/>
        </w:rPr>
      </w:pPr>
    </w:p>
    <w:p w14:paraId="58368C8E" w14:textId="1AFE9878" w:rsidR="00AB2969" w:rsidRDefault="002903BD" w:rsidP="00C36BF7">
      <w:pPr>
        <w:pStyle w:val="Default"/>
        <w:rPr>
          <w:i/>
          <w:iCs/>
        </w:rPr>
      </w:pPr>
      <w:r>
        <w:rPr>
          <w:i/>
          <w:iCs/>
        </w:rPr>
        <w:t>EIT</w:t>
      </w:r>
      <w:r w:rsidR="00AB2969" w:rsidRPr="00094875">
        <w:rPr>
          <w:i/>
          <w:iCs/>
        </w:rPr>
        <w:t xml:space="preserve"> Law </w:t>
      </w:r>
    </w:p>
    <w:p w14:paraId="1C3A654B" w14:textId="77777777" w:rsidR="00D8752B" w:rsidRDefault="00D8752B" w:rsidP="008F0A27">
      <w:pPr>
        <w:ind w:right="-720"/>
        <w:jc w:val="both"/>
      </w:pPr>
      <w:bookmarkStart w:id="0" w:name="_Ref141034597"/>
    </w:p>
    <w:p w14:paraId="4D4C8C02" w14:textId="09DDC77B" w:rsidR="005B4CC4" w:rsidRDefault="007D5A57" w:rsidP="008F0A27">
      <w:pPr>
        <w:ind w:right="-720"/>
        <w:jc w:val="both"/>
        <w:rPr>
          <w:lang w:val="en-GB"/>
        </w:rPr>
      </w:pPr>
      <w:r w:rsidRPr="008218C8">
        <w:t xml:space="preserve">The </w:t>
      </w:r>
      <w:r w:rsidR="0091159F" w:rsidRPr="008218C8">
        <w:t>2</w:t>
      </w:r>
      <w:r w:rsidRPr="008218C8">
        <w:t xml:space="preserve">008 </w:t>
      </w:r>
      <w:r w:rsidR="002903BD">
        <w:t>EIT</w:t>
      </w:r>
      <w:r w:rsidRPr="008218C8">
        <w:t xml:space="preserve"> Law regulates online transactions</w:t>
      </w:r>
      <w:r w:rsidR="007201D1">
        <w:t>.</w:t>
      </w:r>
      <w:r w:rsidR="005B4CC4" w:rsidRPr="008218C8">
        <w:rPr>
          <w:rStyle w:val="FootnoteReference"/>
          <w:lang w:val="en-GB"/>
        </w:rPr>
        <w:footnoteReference w:id="10"/>
      </w:r>
      <w:r w:rsidR="007201D1">
        <w:t xml:space="preserve"> H</w:t>
      </w:r>
      <w:r w:rsidR="005B4CC4">
        <w:t xml:space="preserve">owever, two of its provisions </w:t>
      </w:r>
      <w:proofErr w:type="gramStart"/>
      <w:r w:rsidR="005B4CC4">
        <w:t>in particular have</w:t>
      </w:r>
      <w:proofErr w:type="gramEnd"/>
      <w:r w:rsidR="005B4CC4">
        <w:t xml:space="preserve"> frequently been used to criminalize speech.</w:t>
      </w:r>
      <w:r w:rsidRPr="008218C8">
        <w:t xml:space="preserve"> Article 27(3), together with Article 45(1), provide</w:t>
      </w:r>
      <w:r w:rsidR="002563CB">
        <w:t>s</w:t>
      </w:r>
      <w:r w:rsidRPr="008218C8">
        <w:t xml:space="preserve"> that “[a]</w:t>
      </w:r>
      <w:proofErr w:type="spellStart"/>
      <w:r w:rsidRPr="008218C8">
        <w:t>ny</w:t>
      </w:r>
      <w:proofErr w:type="spellEnd"/>
      <w:r w:rsidRPr="008218C8">
        <w:t xml:space="preserve"> person who knowingly and without authority distributes and/or transmits and/or causes to be accessible Electronic Information and/or Electronic Documents with contents of </w:t>
      </w:r>
      <w:r w:rsidR="00292CAB">
        <w:t>affronts</w:t>
      </w:r>
      <w:r w:rsidRPr="008218C8">
        <w:t xml:space="preserve"> and/or defamation” can be</w:t>
      </w:r>
      <w:r w:rsidR="00631BFE">
        <w:t xml:space="preserve"> criminally prosecuted, and</w:t>
      </w:r>
      <w:r w:rsidRPr="008218C8">
        <w:t xml:space="preserve"> </w:t>
      </w:r>
      <w:r w:rsidR="00631BFE">
        <w:t xml:space="preserve">potentially </w:t>
      </w:r>
      <w:r w:rsidRPr="008218C8">
        <w:t xml:space="preserve">imprisoned (as initially adopted, for up to six years) </w:t>
      </w:r>
      <w:r w:rsidR="00367F00">
        <w:t>or</w:t>
      </w:r>
      <w:r w:rsidR="00367F00" w:rsidRPr="008218C8">
        <w:t xml:space="preserve"> </w:t>
      </w:r>
      <w:r w:rsidRPr="008218C8">
        <w:t>fined.</w:t>
      </w:r>
      <w:r w:rsidRPr="008218C8">
        <w:rPr>
          <w:rStyle w:val="FootnoteReference"/>
          <w:lang w:val="en-GB"/>
        </w:rPr>
        <w:footnoteReference w:id="11"/>
      </w:r>
      <w:r w:rsidR="00292CAB">
        <w:rPr>
          <w:lang w:val="en-GB"/>
        </w:rPr>
        <w:t xml:space="preserve"> </w:t>
      </w:r>
    </w:p>
    <w:p w14:paraId="2842B002" w14:textId="074CBD26" w:rsidR="00E56B4C" w:rsidRPr="008218C8" w:rsidRDefault="005B4CC4" w:rsidP="00D8752B">
      <w:pPr>
        <w:ind w:right="-720"/>
        <w:jc w:val="both"/>
      </w:pPr>
      <w:r>
        <w:rPr>
          <w:lang w:val="en-GB"/>
        </w:rPr>
        <w:lastRenderedPageBreak/>
        <w:t xml:space="preserve">As initially adopted, </w:t>
      </w:r>
      <w:r>
        <w:t>t</w:t>
      </w:r>
      <w:r w:rsidR="002563CB">
        <w:t>his Article</w:t>
      </w:r>
      <w:r w:rsidR="00292CAB">
        <w:t xml:space="preserve"> </w:t>
      </w:r>
      <w:r w:rsidR="007201D1">
        <w:t>– in contravention of</w:t>
      </w:r>
      <w:r w:rsidR="00582F70">
        <w:t xml:space="preserve"> the right to freedom of expression – </w:t>
      </w:r>
      <w:r w:rsidR="00E56B4C" w:rsidRPr="008218C8">
        <w:t>criminalize</w:t>
      </w:r>
      <w:r>
        <w:t>d</w:t>
      </w:r>
      <w:r w:rsidR="00E56B4C" w:rsidRPr="008218C8">
        <w:t xml:space="preserve"> insul</w:t>
      </w:r>
      <w:r w:rsidR="00292CAB">
        <w:t>ts</w:t>
      </w:r>
      <w:r w:rsidR="002563CB">
        <w:t>,</w:t>
      </w:r>
      <w:r w:rsidR="002563CB" w:rsidRPr="008218C8">
        <w:rPr>
          <w:rStyle w:val="FootnoteReference"/>
        </w:rPr>
        <w:footnoteReference w:id="12"/>
      </w:r>
      <w:r w:rsidR="00582F70">
        <w:t xml:space="preserve"> applied a potential prison sentence to allegedly defamatory speech,</w:t>
      </w:r>
      <w:r w:rsidR="00582F70">
        <w:rPr>
          <w:rStyle w:val="FootnoteReference"/>
        </w:rPr>
        <w:footnoteReference w:id="13"/>
      </w:r>
      <w:r w:rsidR="00582F70">
        <w:t xml:space="preserve"> </w:t>
      </w:r>
      <w:r w:rsidR="002563CB">
        <w:t xml:space="preserve"> </w:t>
      </w:r>
      <w:r>
        <w:t>swept very</w:t>
      </w:r>
      <w:r w:rsidR="002563CB">
        <w:t xml:space="preserve"> widely, including </w:t>
      </w:r>
      <w:r w:rsidR="00582F70">
        <w:t xml:space="preserve">to encompass ‘contents’ that might entail </w:t>
      </w:r>
      <w:r w:rsidR="000C6C2B">
        <w:t>value judgments</w:t>
      </w:r>
      <w:r w:rsidR="00FF680E">
        <w:rPr>
          <w:rStyle w:val="FootnoteReference"/>
        </w:rPr>
        <w:footnoteReference w:id="14"/>
      </w:r>
      <w:r w:rsidR="000C6C2B">
        <w:t xml:space="preserve"> a</w:t>
      </w:r>
      <w:r w:rsidR="007723BE">
        <w:t xml:space="preserve">nd even </w:t>
      </w:r>
      <w:r w:rsidR="002563CB">
        <w:t xml:space="preserve">private </w:t>
      </w:r>
      <w:r w:rsidR="00582F70">
        <w:t>messages</w:t>
      </w:r>
      <w:r w:rsidR="002563CB">
        <w:t xml:space="preserve">, and </w:t>
      </w:r>
      <w:r>
        <w:t>did</w:t>
      </w:r>
      <w:r w:rsidR="002563CB">
        <w:t xml:space="preserve"> not squarely permit a public-interest defense</w:t>
      </w:r>
      <w:r w:rsidR="002563CB" w:rsidRPr="008218C8">
        <w:rPr>
          <w:rStyle w:val="FootnoteReference"/>
        </w:rPr>
        <w:footnoteReference w:id="15"/>
      </w:r>
      <w:r w:rsidR="008E720A">
        <w:t xml:space="preserve"> or a defense of truth.</w:t>
      </w:r>
      <w:r w:rsidR="008E720A">
        <w:rPr>
          <w:rStyle w:val="FootnoteReference"/>
        </w:rPr>
        <w:footnoteReference w:id="16"/>
      </w:r>
      <w:r w:rsidR="00292CAB">
        <w:t xml:space="preserve"> </w:t>
      </w:r>
    </w:p>
    <w:bookmarkEnd w:id="0"/>
    <w:p w14:paraId="0DE6C61C" w14:textId="77777777" w:rsidR="00D8752B" w:rsidRDefault="00D8752B" w:rsidP="00E87260">
      <w:pPr>
        <w:autoSpaceDE w:val="0"/>
        <w:autoSpaceDN w:val="0"/>
        <w:adjustRightInd w:val="0"/>
      </w:pPr>
    </w:p>
    <w:p w14:paraId="4B8E70A1" w14:textId="44C2595A" w:rsidR="00E87260" w:rsidRDefault="00527056" w:rsidP="00D8752B">
      <w:pPr>
        <w:ind w:right="-720"/>
        <w:jc w:val="both"/>
        <w:rPr>
          <w:rStyle w:val="MSGENFONTSTYLENAMETEMPLATEROLENUMBERMSGENFONTSTYLENAMEBYROLETEXT2MSGENFONTSTYLEMODIFERSIZE12"/>
          <w:rFonts w:eastAsiaTheme="minorHAnsi"/>
          <w:color w:val="000000" w:themeColor="text1"/>
        </w:rPr>
      </w:pPr>
      <w:r w:rsidRPr="008218C8">
        <w:t xml:space="preserve">Article 28(2) provides </w:t>
      </w:r>
      <w:r w:rsidR="002B4035" w:rsidRPr="008218C8">
        <w:t xml:space="preserve">that </w:t>
      </w:r>
      <w:r w:rsidR="002B4035" w:rsidRPr="008218C8">
        <w:rPr>
          <w:rStyle w:val="MSGENFONTSTYLENAMETEMPLATEROLENUMBERMSGENFONTSTYLENAMEBYROLETEXT2MSGENFONTSTYLEMODIFERSIZE12"/>
          <w:rFonts w:eastAsiaTheme="minorHAnsi"/>
        </w:rPr>
        <w:t>“a</w:t>
      </w:r>
      <w:r w:rsidR="002B4035" w:rsidRPr="008218C8">
        <w:rPr>
          <w:rStyle w:val="MSGENFONTSTYLENAMETEMPLATEROLENUMBERMSGENFONTSTYLENAMEBYROLETEXT2MSGENFONTSTYLEMODIFERSIZE12"/>
        </w:rPr>
        <w:t>ny person</w:t>
      </w:r>
      <w:r w:rsidR="002B4035" w:rsidRPr="008218C8">
        <w:rPr>
          <w:rStyle w:val="MSGENFONTSTYLENAMETEMPLATEROLENUMBERMSGENFONTSTYLENAMEBYROLETEXT2MSGENFONTSTYLEMODIFERSIZE12"/>
          <w:rFonts w:eastAsiaTheme="minorHAnsi"/>
        </w:rPr>
        <w:t xml:space="preserve"> who</w:t>
      </w:r>
      <w:r w:rsidR="002B4035" w:rsidRPr="008218C8">
        <w:rPr>
          <w:rStyle w:val="MSGENFONTSTYLENAMETEMPLATEROLENUMBERMSGENFONTSTYLENAMEBYROLETEXT2MSGENFONTSTYLEMODIFERSIZE12"/>
        </w:rPr>
        <w:t xml:space="preserve"> knowingly and without authority disseminat</w:t>
      </w:r>
      <w:r w:rsidR="002B4035" w:rsidRPr="008218C8">
        <w:rPr>
          <w:rStyle w:val="MSGENFONTSTYLENAMETEMPLATEROLENUMBERMSGENFONTSTYLENAMEBYROLETEXT2MSGENFONTSTYLEMODIFERSIZE12"/>
          <w:rFonts w:eastAsiaTheme="minorHAnsi"/>
        </w:rPr>
        <w:t>es</w:t>
      </w:r>
      <w:r w:rsidR="002B4035" w:rsidRPr="008218C8">
        <w:rPr>
          <w:rStyle w:val="MSGENFONTSTYLENAMETEMPLATEROLENUMBERMSGENFONTSTYLENAMEBYROLETEXT2MSGENFONTSTYLEMODIFERSIZE12"/>
        </w:rPr>
        <w:t xml:space="preserve"> information </w:t>
      </w:r>
      <w:r w:rsidR="00920F74" w:rsidRPr="008218C8">
        <w:rPr>
          <w:rStyle w:val="MSGENFONTSTYLENAMETEMPLATEROLENUMBERMSGENFONTSTYLENAMEBYROLETEXT2MSGENFONTSTYLEMODIFERSIZE12"/>
        </w:rPr>
        <w:t>aimed at causing</w:t>
      </w:r>
      <w:r w:rsidR="002B4035" w:rsidRPr="008218C8">
        <w:rPr>
          <w:rStyle w:val="MSGENFONTSTYLENAMETEMPLATEROLENUMBERMSGENFONTSTYLENAMEBYROLETEXT2MSGENFONTSTYLEMODIFERSIZE12"/>
        </w:rPr>
        <w:t xml:space="preserve"> hatred or hostility among individuals and/or </w:t>
      </w:r>
      <w:r w:rsidR="002B4035" w:rsidRPr="008218C8">
        <w:rPr>
          <w:rStyle w:val="MSGENFONTSTYLENAMETEMPLATEROLENUMBERMSGENFONTSTYLENAMEBYROLETEXT2MSGENFONTSTYLEMODIFERSIZE12"/>
          <w:rFonts w:eastAsiaTheme="minorHAnsi"/>
        </w:rPr>
        <w:t>certain</w:t>
      </w:r>
      <w:r w:rsidR="002B4035" w:rsidRPr="008218C8">
        <w:rPr>
          <w:rStyle w:val="MSGENFONTSTYLENAMETEMPLATEROLENUMBERMSGENFONTSTYLENAMEBYROLETEXT2MSGENFONTSTYLEMODIFERSIZE12"/>
        </w:rPr>
        <w:t xml:space="preserve"> groups based</w:t>
      </w:r>
      <w:r w:rsidR="002B4035">
        <w:rPr>
          <w:rStyle w:val="MSGENFONTSTYLENAMETEMPLATEROLENUMBERMSGENFONTSTYLENAMEBYROLETEXT2MSGENFONTSTYLEMODIFERSIZE12"/>
        </w:rPr>
        <w:t xml:space="preserve"> on ethnicity, religion, race, or </w:t>
      </w:r>
      <w:r w:rsidR="007569C3">
        <w:rPr>
          <w:rStyle w:val="MSGENFONTSTYLENAMETEMPLATEROLENUMBERMSGENFONTSTYLENAMEBYROLETEXT2MSGENFONTSTYLEMODIFERSIZE12"/>
        </w:rPr>
        <w:t xml:space="preserve">intergroup </w:t>
      </w:r>
      <w:r w:rsidR="002903BD" w:rsidRPr="008218C8">
        <w:t>[</w:t>
      </w:r>
      <w:r w:rsidR="002903BD">
        <w:t>a term that refers to different types of social groupings</w:t>
      </w:r>
      <w:r w:rsidR="002903BD" w:rsidRPr="008218C8">
        <w:t>]</w:t>
      </w:r>
      <w:r w:rsidR="002B4035">
        <w:rPr>
          <w:rStyle w:val="MSGENFONTSTYLENAMETEMPLATEROLENUMBERMSGENFONTSTYLENAMEBYROLETEXT2MSGENFONTSTYLEMODIFERSIZE12"/>
          <w:rFonts w:eastAsiaTheme="minorHAnsi"/>
        </w:rPr>
        <w:t xml:space="preserve">” can be </w:t>
      </w:r>
      <w:r w:rsidR="00631BFE">
        <w:rPr>
          <w:rStyle w:val="MSGENFONTSTYLENAMETEMPLATEROLENUMBERMSGENFONTSTYLENAMEBYROLETEXT2MSGENFONTSTYLEMODIFERSIZE12"/>
          <w:rFonts w:eastAsiaTheme="minorHAnsi"/>
        </w:rPr>
        <w:t xml:space="preserve">prosecuted, and potentially </w:t>
      </w:r>
      <w:r w:rsidR="002B4035">
        <w:rPr>
          <w:rStyle w:val="MSGENFONTSTYLENAMETEMPLATEROLENUMBERMSGENFONTSTYLENAMEBYROLETEXT2MSGENFONTSTYLEMODIFERSIZE12"/>
          <w:rFonts w:eastAsiaTheme="minorHAnsi"/>
        </w:rPr>
        <w:t xml:space="preserve">imprisoned (as initially adopted, for up to six years) or fined. </w:t>
      </w:r>
      <w:r w:rsidR="002563CB">
        <w:rPr>
          <w:rStyle w:val="MSGENFONTSTYLENAMETEMPLATEROLENUMBERMSGENFONTSTYLENAMEBYROLETEXT2MSGENFONTSTYLEMODIFERSIZE12"/>
          <w:rFonts w:eastAsiaTheme="minorHAnsi"/>
        </w:rPr>
        <w:t>T</w:t>
      </w:r>
      <w:r w:rsidR="00871CDB">
        <w:rPr>
          <w:rStyle w:val="MSGENFONTSTYLENAMETEMPLATEROLENUMBERMSGENFONTSTYLENAMEBYROLETEXT2MSGENFONTSTYLEMODIFERSIZE12"/>
          <w:rFonts w:eastAsiaTheme="minorHAnsi"/>
        </w:rPr>
        <w:t>he threshold for Article 28(2) prosecutions</w:t>
      </w:r>
      <w:r w:rsidR="00631BFE">
        <w:rPr>
          <w:rStyle w:val="MSGENFONTSTYLENAMETEMPLATEROLENUMBERMSGENFONTSTYLENAMEBYROLETEXT2MSGENFONTSTYLEMODIFERSIZE12"/>
          <w:rFonts w:eastAsiaTheme="minorHAnsi"/>
        </w:rPr>
        <w:t xml:space="preserve"> </w:t>
      </w:r>
      <w:r w:rsidR="00871CDB">
        <w:rPr>
          <w:rStyle w:val="MSGENFONTSTYLENAMETEMPLATEROLENUMBERMSGENFONTSTYLENAMEBYROLETEXT2MSGENFONTSTYLEMODIFERSIZE12"/>
          <w:rFonts w:eastAsiaTheme="minorHAnsi"/>
        </w:rPr>
        <w:t>is startlingly low</w:t>
      </w:r>
      <w:r w:rsidR="002563CB">
        <w:rPr>
          <w:rStyle w:val="MSGENFONTSTYLENAMETEMPLATEROLENUMBERMSGENFONTSTYLENAMEBYROLETEXT2MSGENFONTSTYLEMODIFERSIZE12"/>
          <w:rFonts w:eastAsiaTheme="minorHAnsi"/>
        </w:rPr>
        <w:t>, as</w:t>
      </w:r>
      <w:r w:rsidR="00871CDB">
        <w:rPr>
          <w:rStyle w:val="MSGENFONTSTYLENAMETEMPLATEROLENUMBERMSGENFONTSTYLENAMEBYROLETEXT2MSGENFONTSTYLEMODIFERSIZE12"/>
          <w:rFonts w:eastAsiaTheme="minorHAnsi"/>
        </w:rPr>
        <w:t xml:space="preserve"> the</w:t>
      </w:r>
      <w:r w:rsidR="006262D6">
        <w:rPr>
          <w:rStyle w:val="MSGENFONTSTYLENAMETEMPLATEROLENUMBERMSGENFONTSTYLENAMEBYROLETEXT2MSGENFONTSTYLEMODIFERSIZE12"/>
          <w:rFonts w:eastAsiaTheme="minorHAnsi"/>
        </w:rPr>
        <w:t xml:space="preserve"> term</w:t>
      </w:r>
      <w:r w:rsidR="002B4035">
        <w:rPr>
          <w:rStyle w:val="MSGENFONTSTYLENAMETEMPLATEROLENUMBERMSGENFONTSTYLENAMEBYROLETEXT2MSGENFONTSTYLEMODIFERSIZE12"/>
          <w:rFonts w:eastAsiaTheme="minorHAnsi"/>
        </w:rPr>
        <w:t xml:space="preserve"> “</w:t>
      </w:r>
      <w:r w:rsidR="007569C3">
        <w:rPr>
          <w:rStyle w:val="MSGENFONTSTYLENAMETEMPLATEROLENUMBERMSGENFONTSTYLENAMEBYROLETEXT2MSGENFONTSTYLEMODIFERSIZE12"/>
          <w:rFonts w:eastAsiaTheme="minorHAnsi"/>
        </w:rPr>
        <w:t>intergroup</w:t>
      </w:r>
      <w:r w:rsidR="002B4035">
        <w:rPr>
          <w:rStyle w:val="MSGENFONTSTYLENAMETEMPLATEROLENUMBERMSGENFONTSTYLENAMEBYROLETEXT2MSGENFONTSTYLEMODIFERSIZE12"/>
          <w:rFonts w:eastAsiaTheme="minorHAnsi"/>
        </w:rPr>
        <w:t>”</w:t>
      </w:r>
      <w:r w:rsidR="00871CDB">
        <w:rPr>
          <w:rStyle w:val="MSGENFONTSTYLENAMETEMPLATEROLENUMBERMSGENFONTSTYLENAMEBYROLETEXT2MSGENFONTSTYLEMODIFERSIZE12"/>
          <w:rFonts w:eastAsiaTheme="minorHAnsi"/>
        </w:rPr>
        <w:t xml:space="preserve"> </w:t>
      </w:r>
      <w:r w:rsidR="002563CB">
        <w:rPr>
          <w:rStyle w:val="MSGENFONTSTYLENAMETEMPLATEROLENUMBERMSGENFONTSTYLENAMEBYROLETEXT2MSGENFONTSTYLEMODIFERSIZE12"/>
          <w:rFonts w:eastAsiaTheme="minorHAnsi"/>
        </w:rPr>
        <w:t>has been understood to include, for instance,</w:t>
      </w:r>
      <w:r w:rsidR="002B4035">
        <w:rPr>
          <w:rStyle w:val="MSGENFONTSTYLENAMETEMPLATEROLENUMBERMSGENFONTSTYLENAMEBYROLETEXT2MSGENFONTSTYLEMODIFERSIZE12"/>
          <w:rFonts w:eastAsiaTheme="minorHAnsi"/>
        </w:rPr>
        <w:t xml:space="preserve"> </w:t>
      </w:r>
      <w:r w:rsidR="00871CDB">
        <w:rPr>
          <w:rStyle w:val="MSGENFONTSTYLENAMETEMPLATEROLENUMBERMSGENFONTSTYLENAMEBYROLETEXT2MSGENFONTSTYLEMODIFERSIZE12"/>
          <w:rFonts w:eastAsiaTheme="minorHAnsi"/>
        </w:rPr>
        <w:t xml:space="preserve">individuals affiliated with </w:t>
      </w:r>
      <w:r w:rsidR="002B4035">
        <w:rPr>
          <w:rStyle w:val="MSGENFONTSTYLENAMETEMPLATEROLENUMBERMSGENFONTSTYLENAMEBYROLETEXT2MSGENFONTSTYLEMODIFERSIZE12"/>
          <w:rFonts w:eastAsiaTheme="minorHAnsi"/>
        </w:rPr>
        <w:t xml:space="preserve">professional organizations, </w:t>
      </w:r>
      <w:r w:rsidR="008C3221">
        <w:rPr>
          <w:rStyle w:val="MSGENFONTSTYLENAMETEMPLATEROLENUMBERMSGENFONTSTYLENAMEBYROLETEXT2MSGENFONTSTYLEMODIFERSIZE12"/>
          <w:rFonts w:eastAsiaTheme="minorHAnsi"/>
        </w:rPr>
        <w:t xml:space="preserve">sports teams, </w:t>
      </w:r>
      <w:r w:rsidR="00915A83">
        <w:rPr>
          <w:rStyle w:val="MSGENFONTSTYLENAMETEMPLATEROLENUMBERMSGENFONTSTYLENAMEBYROLETEXT2MSGENFONTSTYLEMODIFERSIZE12"/>
          <w:rFonts w:eastAsiaTheme="minorHAnsi"/>
        </w:rPr>
        <w:t xml:space="preserve">political parties, </w:t>
      </w:r>
      <w:r w:rsidR="006262D6">
        <w:rPr>
          <w:rStyle w:val="MSGENFONTSTYLENAMETEMPLATEROLENUMBERMSGENFONTSTYLENAMEBYROLETEXT2MSGENFONTSTYLEMODIFERSIZE12"/>
          <w:rFonts w:eastAsiaTheme="minorHAnsi"/>
        </w:rPr>
        <w:t xml:space="preserve">and </w:t>
      </w:r>
      <w:r w:rsidR="008C3221">
        <w:rPr>
          <w:rStyle w:val="MSGENFONTSTYLENAMETEMPLATEROLENUMBERMSGENFONTSTYLENAMEBYROLETEXT2MSGENFONTSTYLEMODIFERSIZE12"/>
          <w:rFonts w:eastAsiaTheme="minorHAnsi"/>
        </w:rPr>
        <w:t>government offic</w:t>
      </w:r>
      <w:r w:rsidR="00871CDB">
        <w:rPr>
          <w:rStyle w:val="MSGENFONTSTYLENAMETEMPLATEROLENUMBERMSGENFONTSTYLENAMEBYROLETEXT2MSGENFONTSTYLEMODIFERSIZE12"/>
          <w:rFonts w:eastAsiaTheme="minorHAnsi"/>
        </w:rPr>
        <w:t>es</w:t>
      </w:r>
      <w:r w:rsidR="002563CB">
        <w:rPr>
          <w:rStyle w:val="MSGENFONTSTYLENAMETEMPLATEROLENUMBERMSGENFONTSTYLENAMEBYROLETEXT2MSGENFONTSTYLEMODIFERSIZE12"/>
          <w:rFonts w:eastAsiaTheme="minorHAnsi"/>
        </w:rPr>
        <w:t>.</w:t>
      </w:r>
      <w:r w:rsidR="00631BFE">
        <w:rPr>
          <w:rStyle w:val="FootnoteReference"/>
          <w:lang w:bidi="en-US"/>
        </w:rPr>
        <w:footnoteReference w:id="17"/>
      </w:r>
      <w:r w:rsidR="002B4035">
        <w:rPr>
          <w:rStyle w:val="MSGENFONTSTYLENAMETEMPLATEROLENUMBERMSGENFONTSTYLENAMEBYROLETEXT2MSGENFONTSTYLEMODIFERSIZE12"/>
          <w:rFonts w:eastAsiaTheme="minorHAnsi"/>
        </w:rPr>
        <w:t xml:space="preserve"> </w:t>
      </w:r>
      <w:r w:rsidR="002563CB">
        <w:rPr>
          <w:rStyle w:val="MSGENFONTSTYLENAMETEMPLATEROLENUMBERMSGENFONTSTYLENAMEBYROLETEXT2MSGENFONTSTYLEMODIFERSIZE12"/>
          <w:rFonts w:eastAsiaTheme="minorHAnsi"/>
        </w:rPr>
        <w:t xml:space="preserve">Further, the law does </w:t>
      </w:r>
      <w:r w:rsidR="009E181C" w:rsidRPr="00871CDB">
        <w:rPr>
          <w:rStyle w:val="MSGENFONTSTYLENAMETEMPLATEROLENUMBERMSGENFONTSTYLENAMEBYROLETEXT2MSGENFONTSTYLEMODIFERSIZE12"/>
          <w:rFonts w:eastAsiaTheme="minorHAnsi"/>
          <w:color w:val="000000" w:themeColor="text1"/>
        </w:rPr>
        <w:t>not define key terms such as “hatred” and “hostility</w:t>
      </w:r>
      <w:r w:rsidR="003D5C17">
        <w:rPr>
          <w:rStyle w:val="MSGENFONTSTYLENAMETEMPLATEROLENUMBERMSGENFONTSTYLENAMEBYROLETEXT2MSGENFONTSTYLEMODIFERSIZE12"/>
          <w:rFonts w:eastAsiaTheme="minorHAnsi"/>
          <w:color w:val="000000" w:themeColor="text1"/>
        </w:rPr>
        <w:t>.”</w:t>
      </w:r>
      <w:r w:rsidR="002563CB">
        <w:rPr>
          <w:rStyle w:val="FootnoteReference"/>
          <w:rFonts w:eastAsiaTheme="minorHAnsi"/>
          <w:color w:val="000000" w:themeColor="text1"/>
          <w:lang w:bidi="en-US"/>
        </w:rPr>
        <w:footnoteReference w:id="18"/>
      </w:r>
      <w:r w:rsidR="002563CB">
        <w:rPr>
          <w:rStyle w:val="MSGENFONTSTYLENAMETEMPLATEROLENUMBERMSGENFONTSTYLENAMEBYROLETEXT2MSGENFONTSTYLEMODIFERSIZE12"/>
          <w:rFonts w:eastAsiaTheme="minorHAnsi"/>
          <w:color w:val="000000" w:themeColor="text1"/>
        </w:rPr>
        <w:t xml:space="preserve"> </w:t>
      </w:r>
    </w:p>
    <w:p w14:paraId="79882A50" w14:textId="0227061D" w:rsidR="007D5A57" w:rsidRDefault="00E87260" w:rsidP="00D8752B">
      <w:pPr>
        <w:ind w:right="-720"/>
        <w:jc w:val="both"/>
      </w:pPr>
      <w:r>
        <w:rPr>
          <w:rFonts w:eastAsiaTheme="minorHAnsi"/>
          <w:color w:val="000000" w:themeColor="text1"/>
          <w:lang w:bidi="en-US"/>
        </w:rPr>
        <w:br/>
        <w:t xml:space="preserve">As </w:t>
      </w:r>
      <w:r w:rsidR="00367F00">
        <w:rPr>
          <w:rStyle w:val="MSGENFONTSTYLENAMETEMPLATEROLENUMBERMSGENFONTSTYLENAMEBYROLETEXT2MSGENFONTSTYLEMODIFERSIZE12"/>
          <w:rFonts w:eastAsiaTheme="minorHAnsi"/>
          <w:color w:val="000000" w:themeColor="text1"/>
        </w:rPr>
        <w:t>drafted</w:t>
      </w:r>
      <w:r>
        <w:rPr>
          <w:rStyle w:val="MSGENFONTSTYLENAMETEMPLATEROLENUMBERMSGENFONTSTYLENAMEBYROLETEXT2MSGENFONTSTYLEMODIFERSIZE12"/>
          <w:rFonts w:eastAsiaTheme="minorHAnsi"/>
          <w:color w:val="000000" w:themeColor="text1"/>
        </w:rPr>
        <w:t>, Article 28(2)</w:t>
      </w:r>
      <w:r w:rsidR="00367F00">
        <w:rPr>
          <w:rStyle w:val="MSGENFONTSTYLENAMETEMPLATEROLENUMBERMSGENFONTSTYLENAMEBYROLETEXT2MSGENFONTSTYLEMODIFERSIZE12"/>
          <w:rFonts w:eastAsiaTheme="minorHAnsi"/>
          <w:color w:val="000000" w:themeColor="text1"/>
        </w:rPr>
        <w:t xml:space="preserve"> </w:t>
      </w:r>
      <w:r>
        <w:rPr>
          <w:rStyle w:val="MSGENFONTSTYLENAMETEMPLATEROLENUMBERMSGENFONTSTYLENAMEBYROLETEXT2MSGENFONTSTYLEMODIFERSIZE12"/>
          <w:rFonts w:eastAsiaTheme="minorHAnsi"/>
          <w:color w:val="000000" w:themeColor="text1"/>
        </w:rPr>
        <w:t>did</w:t>
      </w:r>
      <w:r w:rsidR="00871CDB" w:rsidRPr="00273601">
        <w:rPr>
          <w:rStyle w:val="MSGENFONTSTYLENAMETEMPLATEROLENUMBERMSGENFONTSTYLENAMEBYROLETEXT2MSGENFONTSTYLEMODIFERSIZE12"/>
          <w:rFonts w:eastAsiaTheme="minorHAnsi"/>
        </w:rPr>
        <w:t xml:space="preserve"> not </w:t>
      </w:r>
      <w:r w:rsidR="008E720A">
        <w:rPr>
          <w:rStyle w:val="MSGENFONTSTYLENAMETEMPLATEROLENUMBERMSGENFONTSTYLENAMEBYROLETEXT2MSGENFONTSTYLEMODIFERSIZE12"/>
          <w:rFonts w:eastAsiaTheme="minorHAnsi"/>
        </w:rPr>
        <w:t xml:space="preserve">explicitly </w:t>
      </w:r>
      <w:r w:rsidR="00871CDB" w:rsidRPr="00273601">
        <w:rPr>
          <w:rStyle w:val="MSGENFONTSTYLENAMETEMPLATEROLENUMBERMSGENFONTSTYLENAMEBYROLETEXT2MSGENFONTSTYLEMODIFERSIZE12"/>
          <w:rFonts w:eastAsiaTheme="minorHAnsi"/>
        </w:rPr>
        <w:t>require either intent to incite or an imminent risk of harm</w:t>
      </w:r>
      <w:r w:rsidR="00871CDB">
        <w:rPr>
          <w:rStyle w:val="MSGENFONTSTYLENAMETEMPLATEROLENUMBERMSGENFONTSTYLENAMEBYROLETEXT2MSGENFONTSTYLEMODIFERSIZE12"/>
          <w:rFonts w:eastAsiaTheme="minorHAnsi"/>
        </w:rPr>
        <w:t xml:space="preserve"> to the target group</w:t>
      </w:r>
      <w:r w:rsidR="002563CB">
        <w:rPr>
          <w:rStyle w:val="MSGENFONTSTYLENAMETEMPLATEROLENUMBERMSGENFONTSTYLENAMEBYROLETEXT2MSGENFONTSTYLEMODIFERSIZE12"/>
          <w:rFonts w:eastAsiaTheme="minorHAnsi"/>
        </w:rPr>
        <w:t>.</w:t>
      </w:r>
      <w:r w:rsidR="0032152C">
        <w:rPr>
          <w:rStyle w:val="FootnoteReference"/>
          <w:rFonts w:eastAsiaTheme="minorHAnsi"/>
          <w:color w:val="000000"/>
          <w:lang w:bidi="en-US"/>
        </w:rPr>
        <w:footnoteReference w:id="19"/>
      </w:r>
      <w:r w:rsidR="00871CDB">
        <w:rPr>
          <w:rStyle w:val="MSGENFONTSTYLENAMETEMPLATEROLENUMBERMSGENFONTSTYLENAMEBYROLETEXT2MSGENFONTSTYLEMODIFERSIZE12"/>
          <w:rFonts w:eastAsiaTheme="minorHAnsi"/>
        </w:rPr>
        <w:t xml:space="preserve"> </w:t>
      </w:r>
      <w:r w:rsidR="00E56B4C" w:rsidRPr="00871CDB">
        <w:rPr>
          <w:rStyle w:val="MSGENFONTSTYLENAMETEMPLATEROLENUMBERMSGENFONTSTYLENAMEBYROLETEXT2MSGENFONTSTYLEMODIFERSIZE12"/>
          <w:rFonts w:eastAsiaTheme="minorHAnsi"/>
        </w:rPr>
        <w:t>Finally, Article 28(2)</w:t>
      </w:r>
      <w:r w:rsidR="00367F00">
        <w:rPr>
          <w:rStyle w:val="MSGENFONTSTYLENAMETEMPLATEROLENUMBERMSGENFONTSTYLENAMEBYROLETEXT2MSGENFONTSTYLEMODIFERSIZE12"/>
          <w:rFonts w:eastAsiaTheme="minorHAnsi"/>
        </w:rPr>
        <w:t xml:space="preserve"> </w:t>
      </w:r>
      <w:r w:rsidR="00E56B4C" w:rsidRPr="00871CDB">
        <w:rPr>
          <w:rStyle w:val="MSGENFONTSTYLENAMETEMPLATEROLENUMBERMSGENFONTSTYLENAMEBYROLETEXT2MSGENFONTSTYLEMODIFERSIZE12"/>
          <w:rFonts w:eastAsiaTheme="minorHAnsi"/>
        </w:rPr>
        <w:t>criminalize</w:t>
      </w:r>
      <w:r>
        <w:rPr>
          <w:rStyle w:val="MSGENFONTSTYLENAMETEMPLATEROLENUMBERMSGENFONTSTYLENAMEBYROLETEXT2MSGENFONTSTYLEMODIFERSIZE12"/>
          <w:rFonts w:eastAsiaTheme="minorHAnsi"/>
        </w:rPr>
        <w:t>d</w:t>
      </w:r>
      <w:r w:rsidR="00E56B4C" w:rsidRPr="00871CDB">
        <w:rPr>
          <w:rStyle w:val="MSGENFONTSTYLENAMETEMPLATEROLENUMBERMSGENFONTSTYLENAMEBYROLETEXT2MSGENFONTSTYLEMODIFERSIZE12"/>
          <w:rFonts w:eastAsiaTheme="minorHAnsi"/>
        </w:rPr>
        <w:t xml:space="preserve"> the </w:t>
      </w:r>
      <w:r w:rsidR="002563CB">
        <w:rPr>
          <w:rStyle w:val="MSGENFONTSTYLENAMETEMPLATEROLENUMBERMSGENFONTSTYLENAMEBYROLETEXT2MSGENFONTSTYLEMODIFERSIZE12"/>
          <w:rFonts w:eastAsiaTheme="minorHAnsi"/>
        </w:rPr>
        <w:t>‘</w:t>
      </w:r>
      <w:r w:rsidR="00E56B4C" w:rsidRPr="00871CDB">
        <w:rPr>
          <w:rStyle w:val="MSGENFONTSTYLENAMETEMPLATEROLENUMBERMSGENFONTSTYLENAMEBYROLETEXT2MSGENFONTSTYLEMODIFERSIZE12"/>
          <w:rFonts w:eastAsiaTheme="minorHAnsi"/>
        </w:rPr>
        <w:t>dissemination</w:t>
      </w:r>
      <w:r w:rsidR="002563CB">
        <w:rPr>
          <w:rStyle w:val="MSGENFONTSTYLENAMETEMPLATEROLENUMBERMSGENFONTSTYLENAMEBYROLETEXT2MSGENFONTSTYLEMODIFERSIZE12"/>
          <w:rFonts w:eastAsiaTheme="minorHAnsi"/>
        </w:rPr>
        <w:t>’</w:t>
      </w:r>
      <w:r w:rsidR="00E56B4C" w:rsidRPr="00871CDB">
        <w:rPr>
          <w:rStyle w:val="MSGENFONTSTYLENAMETEMPLATEROLENUMBERMSGENFONTSTYLENAMEBYROLETEXT2MSGENFONTSTYLEMODIFERSIZE12"/>
          <w:rFonts w:eastAsiaTheme="minorHAnsi"/>
        </w:rPr>
        <w:t xml:space="preserve"> of information causing hatred but </w:t>
      </w:r>
      <w:r>
        <w:rPr>
          <w:rStyle w:val="MSGENFONTSTYLENAMETEMPLATEROLENUMBERMSGENFONTSTYLENAMEBYROLETEXT2MSGENFONTSTYLEMODIFERSIZE12"/>
          <w:rFonts w:eastAsiaTheme="minorHAnsi"/>
        </w:rPr>
        <w:t>did</w:t>
      </w:r>
      <w:r w:rsidRPr="00871CDB">
        <w:rPr>
          <w:rStyle w:val="MSGENFONTSTYLENAMETEMPLATEROLENUMBERMSGENFONTSTYLENAMEBYROLETEXT2MSGENFONTSTYLEMODIFERSIZE12"/>
          <w:rFonts w:eastAsiaTheme="minorHAnsi"/>
        </w:rPr>
        <w:t xml:space="preserve"> </w:t>
      </w:r>
      <w:r w:rsidR="00E56B4C" w:rsidRPr="00871CDB">
        <w:rPr>
          <w:rStyle w:val="MSGENFONTSTYLENAMETEMPLATEROLENUMBERMSGENFONTSTYLENAMEBYROLETEXT2MSGENFONTSTYLEMODIFERSIZE12"/>
          <w:rFonts w:eastAsiaTheme="minorHAnsi"/>
        </w:rPr>
        <w:t>not require that this information be made public</w:t>
      </w:r>
      <w:r w:rsidR="002563CB">
        <w:rPr>
          <w:rStyle w:val="MSGENFONTSTYLENAMETEMPLATEROLENUMBERMSGENFONTSTYLENAMEBYROLETEXT2MSGENFONTSTYLEMODIFERSIZE12"/>
          <w:rFonts w:eastAsiaTheme="minorHAnsi"/>
        </w:rPr>
        <w:t>,</w:t>
      </w:r>
      <w:r w:rsidR="005D0EB5">
        <w:rPr>
          <w:rStyle w:val="FootnoteReference"/>
        </w:rPr>
        <w:footnoteReference w:id="20"/>
      </w:r>
      <w:r w:rsidR="002563CB">
        <w:t xml:space="preserve"> thus opening the door to prosecutions for private messages.</w:t>
      </w:r>
      <w:r w:rsidR="00E56B4C" w:rsidRPr="00871CDB">
        <w:t xml:space="preserve"> </w:t>
      </w:r>
    </w:p>
    <w:p w14:paraId="185CD91E" w14:textId="77777777" w:rsidR="00D92E63" w:rsidRDefault="00D92E63" w:rsidP="00E87260">
      <w:pPr>
        <w:autoSpaceDE w:val="0"/>
        <w:autoSpaceDN w:val="0"/>
        <w:adjustRightInd w:val="0"/>
      </w:pPr>
    </w:p>
    <w:p w14:paraId="1265F99A" w14:textId="187FF625" w:rsidR="00D92E63" w:rsidRPr="00582F70" w:rsidRDefault="00D92E63" w:rsidP="00E87260">
      <w:pPr>
        <w:autoSpaceDE w:val="0"/>
        <w:autoSpaceDN w:val="0"/>
        <w:adjustRightInd w:val="0"/>
        <w:rPr>
          <w:rFonts w:eastAsiaTheme="minorHAnsi"/>
          <w:i/>
          <w:iCs/>
          <w:color w:val="000000"/>
          <w:lang w:bidi="en-US"/>
        </w:rPr>
      </w:pPr>
      <w:r>
        <w:rPr>
          <w:i/>
          <w:iCs/>
        </w:rPr>
        <w:t>2016 Amendments</w:t>
      </w:r>
    </w:p>
    <w:p w14:paraId="58A7246F" w14:textId="77777777" w:rsidR="002903BD" w:rsidRDefault="002903BD" w:rsidP="003A78AF">
      <w:pPr>
        <w:pStyle w:val="Default"/>
      </w:pPr>
    </w:p>
    <w:p w14:paraId="390D5DAE" w14:textId="2BA60D4C" w:rsidR="003A78AF" w:rsidRPr="009D064E" w:rsidRDefault="00747E86" w:rsidP="00571F05">
      <w:pPr>
        <w:ind w:right="-720"/>
        <w:jc w:val="both"/>
      </w:pPr>
      <w:r>
        <w:t>Of a total of 118 EIT Law criminal cases filed from 2008-2015, 90 percent were defamation cases, with numbers “steadily increasing</w:t>
      </w:r>
      <w:r w:rsidR="00954FD3">
        <w:t>,</w:t>
      </w:r>
      <w:r>
        <w:t>”</w:t>
      </w:r>
      <w:r w:rsidR="007723BE">
        <w:rPr>
          <w:rStyle w:val="FootnoteReference"/>
        </w:rPr>
        <w:footnoteReference w:id="21"/>
      </w:r>
      <w:r w:rsidR="00954FD3">
        <w:t xml:space="preserve"> according to reports.</w:t>
      </w:r>
      <w:r>
        <w:t xml:space="preserve"> </w:t>
      </w:r>
      <w:r w:rsidR="00635953">
        <w:t xml:space="preserve">In response to concerns about the vagueness of the </w:t>
      </w:r>
      <w:r>
        <w:t xml:space="preserve">EIT </w:t>
      </w:r>
      <w:r w:rsidR="007723BE">
        <w:t>L</w:t>
      </w:r>
      <w:r>
        <w:t xml:space="preserve">aw </w:t>
      </w:r>
      <w:r w:rsidR="00635953">
        <w:t>and its potentially arbitrary application</w:t>
      </w:r>
      <w:r>
        <w:t xml:space="preserve">, </w:t>
      </w:r>
      <w:r w:rsidR="005D0EB5">
        <w:t>the</w:t>
      </w:r>
      <w:r w:rsidR="00954FD3">
        <w:t xml:space="preserve"> Indonesian</w:t>
      </w:r>
      <w:r w:rsidR="005D0EB5">
        <w:t xml:space="preserve"> </w:t>
      </w:r>
      <w:r w:rsidR="007D5A57" w:rsidRPr="008B0EBC">
        <w:t xml:space="preserve">legislature amended </w:t>
      </w:r>
      <w:r w:rsidR="00635953">
        <w:t>Article 27(3) in</w:t>
      </w:r>
      <w:r w:rsidR="007D5A57" w:rsidRPr="008B0EBC">
        <w:t xml:space="preserve"> November 2016</w:t>
      </w:r>
      <w:r w:rsidR="005D0EB5">
        <w:t>,</w:t>
      </w:r>
      <w:r w:rsidR="008C3221">
        <w:rPr>
          <w:rStyle w:val="FootnoteReference"/>
        </w:rPr>
        <w:footnoteReference w:id="22"/>
      </w:r>
      <w:r w:rsidR="007D5A57" w:rsidRPr="008B0EBC">
        <w:t xml:space="preserve"> reducing the maximum penalties for defamation to a four-year term of imprisonment </w:t>
      </w:r>
      <w:r w:rsidR="007D5A57" w:rsidRPr="008B0EBC">
        <w:lastRenderedPageBreak/>
        <w:t>(down from six years) and/or a fine of IDR 750 million (down from IDR 1 billion).</w:t>
      </w:r>
      <w:r w:rsidR="007D5A57" w:rsidRPr="003A78AF">
        <w:rPr>
          <w:rStyle w:val="FootnoteReference"/>
          <w:lang w:val="en-GB"/>
        </w:rPr>
        <w:footnoteReference w:id="23"/>
      </w:r>
      <w:r w:rsidR="007D5A57" w:rsidRPr="003A78AF">
        <w:rPr>
          <w:rStyle w:val="FootnoteReference"/>
          <w:lang w:val="en-GB"/>
        </w:rPr>
        <w:t xml:space="preserve"> </w:t>
      </w:r>
      <w:r w:rsidR="007D5A57" w:rsidRPr="008B0EBC">
        <w:t xml:space="preserve"> The 2016 amendments also confirmed </w:t>
      </w:r>
      <w:r w:rsidR="003A78AF">
        <w:t xml:space="preserve">a decision from the Indonesian </w:t>
      </w:r>
      <w:r w:rsidR="007D5A57" w:rsidRPr="008B0EBC">
        <w:t xml:space="preserve">Constitutional Court holding that Article 27(3) should be interpreted with reference to Articles 310 </w:t>
      </w:r>
      <w:r w:rsidR="000C6C2B">
        <w:t xml:space="preserve">- </w:t>
      </w:r>
      <w:r w:rsidR="007D5A57" w:rsidRPr="008B0EBC">
        <w:t>31</w:t>
      </w:r>
      <w:r w:rsidR="000C6C2B">
        <w:t>2</w:t>
      </w:r>
      <w:r w:rsidR="007D5A57" w:rsidRPr="008B0EBC">
        <w:t xml:space="preserve"> of the</w:t>
      </w:r>
      <w:r w:rsidR="007D5A57">
        <w:t xml:space="preserve"> </w:t>
      </w:r>
      <w:r w:rsidR="005D0EB5">
        <w:t>Criminal Code</w:t>
      </w:r>
      <w:r w:rsidR="007D5A57">
        <w:t xml:space="preserve"> (the defamation provisions of the </w:t>
      </w:r>
      <w:r w:rsidR="005D0EB5">
        <w:t>Criminal Code</w:t>
      </w:r>
      <w:r w:rsidR="007D5A57">
        <w:t xml:space="preserve">), </w:t>
      </w:r>
      <w:r w:rsidR="003A78AF">
        <w:t>which</w:t>
      </w:r>
      <w:r w:rsidR="003A78AF" w:rsidRPr="005D0EB5">
        <w:t xml:space="preserve"> </w:t>
      </w:r>
      <w:r w:rsidR="005231EF" w:rsidRPr="005D0EB5">
        <w:t>state that “neither slander nor libel shall exist as far as the principal obviously has acted in the general interest</w:t>
      </w:r>
      <w:r w:rsidR="005D0EB5">
        <w:t>.</w:t>
      </w:r>
      <w:r w:rsidR="005231EF" w:rsidRPr="005D0EB5">
        <w:t>”</w:t>
      </w:r>
      <w:bookmarkStart w:id="1" w:name="_Ref142058056"/>
      <w:r w:rsidR="007D5A57" w:rsidRPr="005D0EB5">
        <w:rPr>
          <w:rStyle w:val="FootnoteReference"/>
          <w:lang w:val="en-GB"/>
        </w:rPr>
        <w:footnoteReference w:id="24"/>
      </w:r>
      <w:bookmarkEnd w:id="1"/>
      <w:r w:rsidR="003A78AF" w:rsidRPr="003A78AF">
        <w:rPr>
          <w:rStyle w:val="FootnoteReference"/>
          <w:lang w:val="en-GB"/>
        </w:rPr>
        <w:t xml:space="preserve"> </w:t>
      </w:r>
      <w:r w:rsidR="008E720A">
        <w:rPr>
          <w:lang w:val="en-GB"/>
        </w:rPr>
        <w:t>In addition to a public interest exception</w:t>
      </w:r>
      <w:r w:rsidR="00303AC5">
        <w:rPr>
          <w:lang w:val="en-GB"/>
        </w:rPr>
        <w:t>,</w:t>
      </w:r>
      <w:r w:rsidR="008E720A">
        <w:rPr>
          <w:lang w:val="en-GB"/>
        </w:rPr>
        <w:t xml:space="preserve"> the defamation provisions in the </w:t>
      </w:r>
      <w:r w:rsidR="00303AC5">
        <w:rPr>
          <w:lang w:val="en-GB"/>
        </w:rPr>
        <w:t>C</w:t>
      </w:r>
      <w:r w:rsidR="008E720A">
        <w:rPr>
          <w:lang w:val="en-GB"/>
        </w:rPr>
        <w:t xml:space="preserve">riminal </w:t>
      </w:r>
      <w:r w:rsidR="00303AC5">
        <w:rPr>
          <w:lang w:val="en-GB"/>
        </w:rPr>
        <w:t>C</w:t>
      </w:r>
      <w:r w:rsidR="008E720A">
        <w:rPr>
          <w:lang w:val="en-GB"/>
        </w:rPr>
        <w:t xml:space="preserve">ode </w:t>
      </w:r>
      <w:r w:rsidR="00303AC5">
        <w:rPr>
          <w:lang w:val="en-GB"/>
        </w:rPr>
        <w:t>establish a</w:t>
      </w:r>
      <w:r w:rsidR="008E720A">
        <w:rPr>
          <w:lang w:val="en-GB"/>
        </w:rPr>
        <w:t xml:space="preserve"> partial </w:t>
      </w:r>
      <w:proofErr w:type="spellStart"/>
      <w:r w:rsidR="008E720A">
        <w:rPr>
          <w:lang w:val="en-GB"/>
        </w:rPr>
        <w:t>defense</w:t>
      </w:r>
      <w:proofErr w:type="spellEnd"/>
      <w:r w:rsidR="008E720A">
        <w:rPr>
          <w:lang w:val="en-GB"/>
        </w:rPr>
        <w:t xml:space="preserve"> of truth.</w:t>
      </w:r>
      <w:r w:rsidR="008E720A">
        <w:rPr>
          <w:rStyle w:val="FootnoteReference"/>
          <w:lang w:val="en-GB"/>
        </w:rPr>
        <w:footnoteReference w:id="25"/>
      </w:r>
      <w:r w:rsidR="008E720A">
        <w:rPr>
          <w:lang w:val="en-GB"/>
        </w:rPr>
        <w:t xml:space="preserve"> </w:t>
      </w:r>
      <w:r w:rsidR="005D0EB5">
        <w:rPr>
          <w:lang w:val="en-GB"/>
        </w:rPr>
        <w:t xml:space="preserve">As such, the </w:t>
      </w:r>
      <w:r w:rsidR="00DE4E18">
        <w:rPr>
          <w:lang w:val="en-GB"/>
        </w:rPr>
        <w:t xml:space="preserve">2016 </w:t>
      </w:r>
      <w:r w:rsidR="005D0EB5">
        <w:rPr>
          <w:lang w:val="en-GB"/>
        </w:rPr>
        <w:t>amendments excluded public interest speech</w:t>
      </w:r>
      <w:r w:rsidR="008E720A">
        <w:rPr>
          <w:lang w:val="en-GB"/>
        </w:rPr>
        <w:t xml:space="preserve"> and, in certain situations, true statements</w:t>
      </w:r>
      <w:r w:rsidR="005D0EB5">
        <w:rPr>
          <w:lang w:val="en-GB"/>
        </w:rPr>
        <w:t xml:space="preserve"> from the remit of Article 27(3). </w:t>
      </w:r>
      <w:r>
        <w:t>Article 28(2)</w:t>
      </w:r>
      <w:r w:rsidR="00954FD3">
        <w:t>, on the other hand,</w:t>
      </w:r>
      <w:r>
        <w:t xml:space="preserve"> was not amended.</w:t>
      </w:r>
    </w:p>
    <w:p w14:paraId="59BA1ACF" w14:textId="77777777" w:rsidR="003A78AF" w:rsidRDefault="003A78AF" w:rsidP="00635953">
      <w:pPr>
        <w:pStyle w:val="Default"/>
      </w:pPr>
    </w:p>
    <w:p w14:paraId="5BFB6F23" w14:textId="39D26E34" w:rsidR="00D11EB9" w:rsidRDefault="007D5A57" w:rsidP="00D11EB9">
      <w:pPr>
        <w:ind w:right="-720"/>
        <w:jc w:val="both"/>
      </w:pPr>
      <w:r>
        <w:t xml:space="preserve">Since the 2016 amendments, </w:t>
      </w:r>
      <w:r w:rsidR="00C148E0">
        <w:t xml:space="preserve">as Indonesia </w:t>
      </w:r>
      <w:r w:rsidR="003A78AF">
        <w:t xml:space="preserve">noted </w:t>
      </w:r>
      <w:r w:rsidR="00C148E0">
        <w:t xml:space="preserve">in </w:t>
      </w:r>
      <w:r w:rsidR="0071379E">
        <w:t>its Response</w:t>
      </w:r>
      <w:r w:rsidR="00C148E0">
        <w:t xml:space="preserve">, </w:t>
      </w:r>
      <w:r>
        <w:t>the need for further reform</w:t>
      </w:r>
      <w:r w:rsidR="00635953">
        <w:t xml:space="preserve"> </w:t>
      </w:r>
      <w:r>
        <w:t xml:space="preserve">has been acknowledged. </w:t>
      </w:r>
      <w:r w:rsidR="004B2FFE">
        <w:t xml:space="preserve">While defamation cases </w:t>
      </w:r>
      <w:r w:rsidR="00E07A9D">
        <w:t>continued to surge following the amendments</w:t>
      </w:r>
      <w:r w:rsidR="004B2FFE">
        <w:t xml:space="preserve">, </w:t>
      </w:r>
      <w:r w:rsidR="00E07A9D">
        <w:t xml:space="preserve">hate speech cases also </w:t>
      </w:r>
      <w:r w:rsidR="00954FD3">
        <w:t xml:space="preserve">reportedly </w:t>
      </w:r>
      <w:r w:rsidR="00E07A9D">
        <w:t>spiked, particularly in relation to criticism of the government for its COVID-19 policies.</w:t>
      </w:r>
      <w:r w:rsidR="00E07A9D">
        <w:rPr>
          <w:rStyle w:val="FootnoteReference"/>
        </w:rPr>
        <w:footnoteReference w:id="26"/>
      </w:r>
      <w:r w:rsidR="00747E86">
        <w:t xml:space="preserve"> </w:t>
      </w:r>
      <w:r>
        <w:t xml:space="preserve"> </w:t>
      </w:r>
      <w:r w:rsidR="00D11EB9">
        <w:t>As stated by Freedom House in its 2021 review of internet freedom in Indonesia, in addition to employing Article 27(3) the authorities “</w:t>
      </w:r>
      <w:r w:rsidR="00D11EB9" w:rsidRPr="00D11EB9">
        <w:t>increasingly targeted online discourse that is critical of the government by labelling it hate speech, which could potentially limit the willingness of journalists and users to criticize the government online</w:t>
      </w:r>
      <w:r w:rsidR="00D11EB9">
        <w:t>.”</w:t>
      </w:r>
      <w:r w:rsidR="00D11EB9">
        <w:rPr>
          <w:rStyle w:val="FootnoteReference"/>
        </w:rPr>
        <w:footnoteReference w:id="27"/>
      </w:r>
      <w:r w:rsidR="00D11EB9">
        <w:t xml:space="preserve"> According to </w:t>
      </w:r>
      <w:r w:rsidR="005D0EB5">
        <w:t>ICJR</w:t>
      </w:r>
      <w:r w:rsidR="00D11EB9">
        <w:t>, 768 people were charged under the EIT Law from 2016-2020, with 37 percent of these cases brought under Article 27(3) and 28 percent under Article 28(2).</w:t>
      </w:r>
      <w:r w:rsidR="00D11EB9">
        <w:rPr>
          <w:rStyle w:val="FootnoteReference"/>
        </w:rPr>
        <w:footnoteReference w:id="28"/>
      </w:r>
      <w:r w:rsidR="00D11EB9">
        <w:t xml:space="preserve"> Nearly 97 percent of the cases resulted in convictions.</w:t>
      </w:r>
      <w:r w:rsidR="00D11EB9">
        <w:rPr>
          <w:rStyle w:val="FootnoteReference"/>
        </w:rPr>
        <w:footnoteReference w:id="29"/>
      </w:r>
    </w:p>
    <w:p w14:paraId="142FD3F1" w14:textId="77777777" w:rsidR="00871CDB" w:rsidRDefault="00871CDB" w:rsidP="00D11EB9">
      <w:pPr>
        <w:ind w:right="-720"/>
        <w:jc w:val="both"/>
      </w:pPr>
    </w:p>
    <w:p w14:paraId="4F90F3D0" w14:textId="29680EAD" w:rsidR="00871CDB" w:rsidRPr="00871CDB" w:rsidRDefault="00871CDB" w:rsidP="00D11EB9">
      <w:pPr>
        <w:ind w:right="-720"/>
        <w:jc w:val="both"/>
        <w:rPr>
          <w:i/>
          <w:iCs/>
        </w:rPr>
      </w:pPr>
      <w:r w:rsidRPr="00871CDB">
        <w:rPr>
          <w:i/>
          <w:iCs/>
        </w:rPr>
        <w:t>Joint Decree</w:t>
      </w:r>
    </w:p>
    <w:p w14:paraId="76032BC1" w14:textId="77777777" w:rsidR="00D11EB9" w:rsidRDefault="00D11EB9" w:rsidP="00D11EB9">
      <w:pPr>
        <w:ind w:right="-720"/>
        <w:jc w:val="both"/>
        <w:rPr>
          <w:rFonts w:ascii="Open Sans" w:hAnsi="Open Sans" w:cs="Open Sans"/>
          <w:color w:val="36404C"/>
          <w:sz w:val="27"/>
          <w:szCs w:val="27"/>
          <w:shd w:val="clear" w:color="auto" w:fill="FFFFFF"/>
        </w:rPr>
      </w:pPr>
    </w:p>
    <w:p w14:paraId="6DB5D2B6" w14:textId="582546BC" w:rsidR="007D5A57" w:rsidRDefault="007D5A57" w:rsidP="00155C08">
      <w:pPr>
        <w:ind w:right="-720"/>
        <w:jc w:val="both"/>
      </w:pPr>
      <w:r w:rsidRPr="00771262">
        <w:t xml:space="preserve">In </w:t>
      </w:r>
      <w:r>
        <w:t xml:space="preserve">February 2021, President </w:t>
      </w:r>
      <w:r w:rsidR="002903BD">
        <w:t xml:space="preserve">Joko </w:t>
      </w:r>
      <w:r>
        <w:t xml:space="preserve">Widodo </w:t>
      </w:r>
      <w:r w:rsidRPr="00E83885">
        <w:t>urg</w:t>
      </w:r>
      <w:r>
        <w:t>ed</w:t>
      </w:r>
      <w:r w:rsidRPr="00E83885">
        <w:t xml:space="preserve"> Indonesia’s military and police leadership to “improve supervision to ensure that the implementation of the Electronic Information and Transactions (ITE) Law can be in compliance with the principle of accountability and provide the public [</w:t>
      </w:r>
      <w:r>
        <w:t>a</w:t>
      </w:r>
      <w:r w:rsidRPr="00E83885">
        <w:t>]</w:t>
      </w:r>
      <w:r>
        <w:t xml:space="preserve"> </w:t>
      </w:r>
      <w:r w:rsidRPr="00E83885">
        <w:t>sense of justice….”</w:t>
      </w:r>
      <w:r w:rsidRPr="00E83885">
        <w:rPr>
          <w:rStyle w:val="FootnoteReference"/>
        </w:rPr>
        <w:footnoteReference w:id="30"/>
      </w:r>
    </w:p>
    <w:p w14:paraId="5CBC9F78" w14:textId="77777777" w:rsidR="00635953" w:rsidRDefault="00635953" w:rsidP="00635953">
      <w:pPr>
        <w:pStyle w:val="Default"/>
      </w:pPr>
    </w:p>
    <w:p w14:paraId="7361877A" w14:textId="037A9C20" w:rsidR="007D5A57" w:rsidRDefault="007D5A57" w:rsidP="00025AAE">
      <w:pPr>
        <w:ind w:right="-720"/>
        <w:jc w:val="both"/>
      </w:pPr>
      <w:r>
        <w:t>Pursuant to the President’s public comments</w:t>
      </w:r>
      <w:r w:rsidRPr="00E83885">
        <w:t xml:space="preserve">, </w:t>
      </w:r>
      <w:r>
        <w:t xml:space="preserve">in February 2021 </w:t>
      </w:r>
      <w:r w:rsidRPr="00E83885">
        <w:t xml:space="preserve">the Chief of </w:t>
      </w:r>
      <w:r>
        <w:t xml:space="preserve">the </w:t>
      </w:r>
      <w:r w:rsidRPr="00E83885">
        <w:t>National Police</w:t>
      </w:r>
      <w:r>
        <w:t xml:space="preserve"> issued a circular to police officers instructing them to “</w:t>
      </w:r>
      <w:r w:rsidRPr="00316773">
        <w:t xml:space="preserve">use discretion when investigating reports of digital infringements, and </w:t>
      </w:r>
      <w:r>
        <w:t xml:space="preserve">to </w:t>
      </w:r>
      <w:proofErr w:type="spellStart"/>
      <w:r w:rsidRPr="00316773">
        <w:t>prioritise</w:t>
      </w:r>
      <w:proofErr w:type="spellEnd"/>
      <w:r w:rsidRPr="00316773">
        <w:t xml:space="preserve"> </w:t>
      </w:r>
      <w:r>
        <w:t>‘</w:t>
      </w:r>
      <w:r w:rsidRPr="00316773">
        <w:t>restorative justice</w:t>
      </w:r>
      <w:r>
        <w:t>’</w:t>
      </w:r>
      <w:r w:rsidRPr="00316773">
        <w:t xml:space="preserve"> such as mediation rather than prosecutio</w:t>
      </w:r>
      <w:r>
        <w:t>n.”</w:t>
      </w:r>
      <w:r w:rsidRPr="00E83885">
        <w:rPr>
          <w:rStyle w:val="FootnoteReference"/>
        </w:rPr>
        <w:footnoteReference w:id="31"/>
      </w:r>
      <w:r w:rsidRPr="00E83885">
        <w:t xml:space="preserve"> </w:t>
      </w:r>
      <w:r>
        <w:t xml:space="preserve">In June 2021, the Chief of the National Police, the </w:t>
      </w:r>
      <w:r w:rsidRPr="00E83885">
        <w:t>Attorney General,</w:t>
      </w:r>
      <w:r>
        <w:t xml:space="preserve"> and</w:t>
      </w:r>
      <w:r w:rsidRPr="00E83885">
        <w:t xml:space="preserve"> </w:t>
      </w:r>
      <w:r>
        <w:t xml:space="preserve">the </w:t>
      </w:r>
      <w:r w:rsidRPr="00E83885">
        <w:t>Minister of Communication and Information Technology issued a Joint Decree (</w:t>
      </w:r>
      <w:r>
        <w:t xml:space="preserve">the </w:t>
      </w:r>
      <w:r w:rsidRPr="00635953">
        <w:t>Joint Decree</w:t>
      </w:r>
      <w:r w:rsidRPr="00E83885">
        <w:t>), providing some guidance on</w:t>
      </w:r>
      <w:r>
        <w:t xml:space="preserve"> (limiting)</w:t>
      </w:r>
      <w:r w:rsidRPr="00E83885">
        <w:t xml:space="preserve"> interpretation</w:t>
      </w:r>
      <w:r>
        <w:t>s</w:t>
      </w:r>
      <w:r w:rsidRPr="00E83885">
        <w:t xml:space="preserve"> of the </w:t>
      </w:r>
      <w:r w:rsidR="00FF4465">
        <w:t>EIT</w:t>
      </w:r>
      <w:r w:rsidR="00FF4465" w:rsidRPr="00E83885">
        <w:t xml:space="preserve"> </w:t>
      </w:r>
      <w:r>
        <w:t>L</w:t>
      </w:r>
      <w:r w:rsidRPr="00E83885">
        <w:t>a</w:t>
      </w:r>
      <w:r>
        <w:t>w.</w:t>
      </w:r>
      <w:r>
        <w:rPr>
          <w:rStyle w:val="FootnoteReference"/>
        </w:rPr>
        <w:footnoteReference w:id="32"/>
      </w:r>
      <w:r w:rsidR="006A3303">
        <w:t xml:space="preserve"> Notably, </w:t>
      </w:r>
      <w:r w:rsidR="000C6C2B">
        <w:t xml:space="preserve">however, </w:t>
      </w:r>
      <w:r w:rsidR="006A3303">
        <w:t xml:space="preserve">the Joint Decree </w:t>
      </w:r>
      <w:r w:rsidR="000C6C2B">
        <w:t xml:space="preserve">is </w:t>
      </w:r>
      <w:r w:rsidR="006A3303">
        <w:t>not binding</w:t>
      </w:r>
      <w:r w:rsidR="00981580">
        <w:t xml:space="preserve"> to the same extent as a law (it is akin to an internal regulation)</w:t>
      </w:r>
      <w:r w:rsidR="006A3303">
        <w:rPr>
          <w:rStyle w:val="FootnoteReference"/>
        </w:rPr>
        <w:footnoteReference w:id="33"/>
      </w:r>
      <w:r w:rsidR="006A3303">
        <w:t xml:space="preserve"> and was not </w:t>
      </w:r>
      <w:r w:rsidR="00FF4465">
        <w:t xml:space="preserve">adopted </w:t>
      </w:r>
      <w:r w:rsidR="006A3303">
        <w:t xml:space="preserve">by the Supreme Court or any other representative of the court system, meaning it </w:t>
      </w:r>
      <w:r w:rsidR="000C6C2B">
        <w:t xml:space="preserve">could be understood as </w:t>
      </w:r>
      <w:r w:rsidR="006A3303">
        <w:t>appl</w:t>
      </w:r>
      <w:r w:rsidR="000C6C2B">
        <w:t>ying only</w:t>
      </w:r>
      <w:r w:rsidR="006A3303">
        <w:t xml:space="preserve"> to police and prosecutors </w:t>
      </w:r>
      <w:r w:rsidR="000C6C2B">
        <w:t xml:space="preserve">and </w:t>
      </w:r>
      <w:r w:rsidR="006A3303">
        <w:t>not necessarily to the courts.</w:t>
      </w:r>
      <w:r w:rsidR="006A3303">
        <w:rPr>
          <w:rStyle w:val="FootnoteReference"/>
        </w:rPr>
        <w:footnoteReference w:id="34"/>
      </w:r>
      <w:r w:rsidR="006A3303">
        <w:t xml:space="preserve"> </w:t>
      </w:r>
      <w:r w:rsidR="00BD7BB9">
        <w:t xml:space="preserve"> </w:t>
      </w:r>
    </w:p>
    <w:p w14:paraId="6A4049B4" w14:textId="77777777" w:rsidR="00635953" w:rsidRDefault="00635953" w:rsidP="00635953">
      <w:pPr>
        <w:jc w:val="both"/>
      </w:pPr>
    </w:p>
    <w:p w14:paraId="22028FAE" w14:textId="6B0A9602" w:rsidR="0075030B" w:rsidRDefault="007D5A57" w:rsidP="00025AAE">
      <w:pPr>
        <w:ind w:right="-720"/>
        <w:jc w:val="both"/>
      </w:pPr>
      <w:r>
        <w:t>Among other things, the Joint Decree clarifie</w:t>
      </w:r>
      <w:r w:rsidR="008D6315">
        <w:t>s</w:t>
      </w:r>
      <w:r>
        <w:t xml:space="preserve"> that </w:t>
      </w:r>
      <w:r w:rsidRPr="00F878EF">
        <w:t>speech</w:t>
      </w:r>
      <w:r w:rsidR="00635953">
        <w:t xml:space="preserve"> </w:t>
      </w:r>
      <w:r w:rsidRPr="00F878EF">
        <w:t>cannot be defamatory “</w:t>
      </w:r>
      <w:r w:rsidR="00635953">
        <w:rPr>
          <w:rStyle w:val="MSGENFONTSTYLENAMETEMPLATEROLENUMBERMSGENFONTSTYLENAMEBYROLETEXT2"/>
        </w:rPr>
        <w:t>if the content being transmitted, distributed, and/or made accessible falls under the category of insult, mockery, and/or inappropriate expressions.” The Joint Decree further provide</w:t>
      </w:r>
      <w:r w:rsidR="008D6315">
        <w:rPr>
          <w:rStyle w:val="MSGENFONTSTYLENAMETEMPLATEROLENUMBERMSGENFONTSTYLENAMEBYROLETEXT2"/>
        </w:rPr>
        <w:t>s</w:t>
      </w:r>
      <w:r w:rsidR="00635953">
        <w:rPr>
          <w:rStyle w:val="MSGENFONTSTYLENAMETEMPLATEROLENUMBERMSGENFONTSTYLENAMEBYROLETEXT2"/>
        </w:rPr>
        <w:t xml:space="preserve"> that </w:t>
      </w:r>
      <w:r w:rsidR="00703D39">
        <w:rPr>
          <w:rStyle w:val="MSGENFONTSTYLENAMETEMPLATEROLENUMBERMSGENFONTSTYLENAMEBYROLETEXT2"/>
        </w:rPr>
        <w:t>speech cannot be defamatory if the content “</w:t>
      </w:r>
      <w:r w:rsidR="00703D39">
        <w:t xml:space="preserve">is derived from an assessment, opinion, </w:t>
      </w:r>
      <w:r w:rsidR="00703D39" w:rsidRPr="00E83885">
        <w:t>[</w:t>
      </w:r>
      <w:r w:rsidR="00703D39">
        <w:t>or</w:t>
      </w:r>
      <w:r w:rsidR="00703D39" w:rsidRPr="00E83885">
        <w:t>]</w:t>
      </w:r>
      <w:r w:rsidR="00703D39">
        <w:t xml:space="preserve"> evaluation results” or in the “</w:t>
      </w:r>
      <w:r w:rsidRPr="00F878EF">
        <w:rPr>
          <w:shd w:val="clear" w:color="auto" w:fill="FFFFFF"/>
        </w:rPr>
        <w:t xml:space="preserve">form of judgments, opinions, </w:t>
      </w:r>
      <w:r w:rsidR="00703D39" w:rsidRPr="00E83885">
        <w:t>[</w:t>
      </w:r>
      <w:r w:rsidR="00703D39">
        <w:t>or</w:t>
      </w:r>
      <w:r w:rsidR="00703D39" w:rsidRPr="00E83885">
        <w:t>]</w:t>
      </w:r>
      <w:r w:rsidR="00703D39">
        <w:t xml:space="preserve"> </w:t>
      </w:r>
      <w:r w:rsidRPr="00F878EF">
        <w:rPr>
          <w:shd w:val="clear" w:color="auto" w:fill="FFFFFF"/>
        </w:rPr>
        <w:t>evaluation results</w:t>
      </w:r>
      <w:r w:rsidRPr="00F878EF">
        <w:t>”</w:t>
      </w:r>
      <w:r w:rsidR="00981580">
        <w:t xml:space="preserve"> and that speech </w:t>
      </w:r>
      <w:r w:rsidR="00025AAE">
        <w:t>cannot be</w:t>
      </w:r>
      <w:r w:rsidR="00981580">
        <w:t xml:space="preserve"> defamatory if it </w:t>
      </w:r>
      <w:r w:rsidR="00981580" w:rsidRPr="00110E91">
        <w:t>is a “fact” i.</w:t>
      </w:r>
      <w:r w:rsidR="00981580">
        <w:t>e., true.</w:t>
      </w:r>
      <w:r w:rsidR="00703D39">
        <w:t xml:space="preserve"> </w:t>
      </w:r>
    </w:p>
    <w:p w14:paraId="034D3A12" w14:textId="77777777" w:rsidR="0075030B" w:rsidRDefault="0075030B" w:rsidP="0075030B">
      <w:pPr>
        <w:jc w:val="both"/>
      </w:pPr>
    </w:p>
    <w:p w14:paraId="3C47FE3B" w14:textId="0EB861DF" w:rsidR="00BD7BB9" w:rsidRPr="0075030B" w:rsidRDefault="00D56195" w:rsidP="00025AAE">
      <w:pPr>
        <w:ind w:right="-720"/>
        <w:jc w:val="both"/>
        <w:rPr>
          <w:color w:val="000000"/>
          <w:lang w:bidi="en-US"/>
        </w:rPr>
      </w:pPr>
      <w:r>
        <w:t>With respect to media freedom</w:t>
      </w:r>
      <w:r w:rsidR="00703D39">
        <w:t xml:space="preserve">, the </w:t>
      </w:r>
      <w:r w:rsidR="00C148E0">
        <w:t xml:space="preserve">Joint Decree </w:t>
      </w:r>
      <w:bookmarkStart w:id="2" w:name="_Hlk130329266"/>
      <w:r w:rsidR="00703D39">
        <w:t>state</w:t>
      </w:r>
      <w:r w:rsidR="008D6315">
        <w:t xml:space="preserve">s </w:t>
      </w:r>
      <w:r w:rsidR="00703D39">
        <w:t xml:space="preserve">that if a </w:t>
      </w:r>
      <w:r w:rsidR="00703D39">
        <w:rPr>
          <w:rFonts w:cs="Helvetica"/>
        </w:rPr>
        <w:t xml:space="preserve">press institution published </w:t>
      </w:r>
      <w:r w:rsidR="0071379E">
        <w:rPr>
          <w:rFonts w:cs="Helvetica"/>
        </w:rPr>
        <w:t xml:space="preserve">the </w:t>
      </w:r>
      <w:r w:rsidR="00703D39">
        <w:rPr>
          <w:rFonts w:cs="Helvetica"/>
        </w:rPr>
        <w:t>material under dispute, then the Press Law (</w:t>
      </w:r>
      <w:r w:rsidR="00FF4465">
        <w:rPr>
          <w:rFonts w:cs="Helvetica"/>
        </w:rPr>
        <w:t xml:space="preserve">pursuant to </w:t>
      </w:r>
      <w:r w:rsidR="00703D39">
        <w:rPr>
          <w:rFonts w:cs="Helvetica"/>
        </w:rPr>
        <w:t xml:space="preserve">which Indonesia’s </w:t>
      </w:r>
      <w:r w:rsidR="00703D39" w:rsidRPr="0040646B">
        <w:rPr>
          <w:rFonts w:cs="Helvetica"/>
        </w:rPr>
        <w:t xml:space="preserve">Press Council </w:t>
      </w:r>
      <w:r w:rsidR="00703D39">
        <w:rPr>
          <w:rFonts w:cs="Helvetica"/>
        </w:rPr>
        <w:t>mediates and settles</w:t>
      </w:r>
      <w:r w:rsidR="00703D39" w:rsidRPr="0040646B">
        <w:rPr>
          <w:rFonts w:cs="Helvetica"/>
        </w:rPr>
        <w:t xml:space="preserve"> disputes between the media and public</w:t>
      </w:r>
      <w:r w:rsidR="00703D39">
        <w:rPr>
          <w:rFonts w:cs="Helvetica"/>
        </w:rPr>
        <w:t xml:space="preserve"> outside of the criminal justice system), not the </w:t>
      </w:r>
      <w:r w:rsidR="003A47BF">
        <w:rPr>
          <w:rFonts w:cs="Helvetica"/>
        </w:rPr>
        <w:t>EIT L</w:t>
      </w:r>
      <w:r w:rsidR="00703D39">
        <w:rPr>
          <w:rFonts w:cs="Helvetica"/>
        </w:rPr>
        <w:t>aw, should be applied</w:t>
      </w:r>
      <w:bookmarkEnd w:id="2"/>
      <w:r w:rsidR="00703D39">
        <w:rPr>
          <w:rFonts w:cs="Helvetica"/>
        </w:rPr>
        <w:t>.</w:t>
      </w:r>
      <w:r w:rsidR="00703D39">
        <w:rPr>
          <w:rStyle w:val="FootnoteReference"/>
          <w:rFonts w:cs="Helvetica"/>
        </w:rPr>
        <w:footnoteReference w:id="35"/>
      </w:r>
      <w:r w:rsidR="00703D39">
        <w:rPr>
          <w:rFonts w:cs="Helvetica"/>
        </w:rPr>
        <w:t xml:space="preserve"> </w:t>
      </w:r>
      <w:r>
        <w:rPr>
          <w:rFonts w:cs="Helvetica"/>
        </w:rPr>
        <w:t>And finally, the Joint Decree provides that in Article 27(3) cases the speech in question must be made public, as opposed to transmitted in private messages or limited group chats.</w:t>
      </w:r>
      <w:r w:rsidR="004D24F5">
        <w:rPr>
          <w:rStyle w:val="FootnoteReference"/>
        </w:rPr>
        <w:footnoteReference w:id="36"/>
      </w:r>
    </w:p>
    <w:p w14:paraId="4979A741" w14:textId="77777777" w:rsidR="0071379E" w:rsidRDefault="0071379E" w:rsidP="0071379E">
      <w:pPr>
        <w:rPr>
          <w:rFonts w:cs="Helvetica"/>
        </w:rPr>
      </w:pPr>
    </w:p>
    <w:p w14:paraId="4AFB5E1C" w14:textId="384C8F91" w:rsidR="00FF4465" w:rsidRDefault="00BD7BB9" w:rsidP="00025AAE">
      <w:pPr>
        <w:ind w:right="-720"/>
        <w:jc w:val="both"/>
        <w:rPr>
          <w:rStyle w:val="MSGENFONTSTYLENAMETEMPLATEROLENUMBERMSGENFONTSTYLENAMEBYROLETEXT2MSGENFONTSTYLEMODIFERSIZE12"/>
        </w:rPr>
      </w:pPr>
      <w:r>
        <w:rPr>
          <w:rFonts w:cs="Helvetica"/>
        </w:rPr>
        <w:t xml:space="preserve">With respect to </w:t>
      </w:r>
      <w:r w:rsidR="0038585F">
        <w:rPr>
          <w:rFonts w:cs="Helvetica"/>
        </w:rPr>
        <w:t xml:space="preserve">Article 28(2), </w:t>
      </w:r>
      <w:r w:rsidR="00FC2F09">
        <w:rPr>
          <w:rFonts w:cs="Helvetica"/>
        </w:rPr>
        <w:t>the Joint Decree</w:t>
      </w:r>
      <w:r w:rsidR="00693F5E">
        <w:rPr>
          <w:rFonts w:cs="Helvetica"/>
        </w:rPr>
        <w:t xml:space="preserve"> </w:t>
      </w:r>
      <w:r w:rsidR="0071379E">
        <w:rPr>
          <w:rFonts w:cs="Helvetica"/>
        </w:rPr>
        <w:t xml:space="preserve">explicitly </w:t>
      </w:r>
      <w:r w:rsidR="00693F5E">
        <w:rPr>
          <w:rFonts w:cs="Helvetica"/>
        </w:rPr>
        <w:t>requires that intent be established</w:t>
      </w:r>
      <w:r w:rsidR="00392E29">
        <w:rPr>
          <w:rFonts w:cs="Helvetica"/>
        </w:rPr>
        <w:t xml:space="preserve">: </w:t>
      </w:r>
      <w:r w:rsidR="00693F5E">
        <w:rPr>
          <w:rFonts w:cs="Helvetica"/>
        </w:rPr>
        <w:t>“</w:t>
      </w:r>
      <w:r w:rsidR="00693F5E">
        <w:rPr>
          <w:rStyle w:val="MSGENFONTSTYLENAMETEMPLATEROLENUMBERMSGENFONTSTYLENAMEBYROLETEXT2MSGENFONTSTYLEMODIFERSIZE12"/>
        </w:rPr>
        <w:t xml:space="preserve">The deed prohibited under this article is </w:t>
      </w:r>
      <w:r w:rsidR="00693F5E" w:rsidRPr="003A47BF">
        <w:rPr>
          <w:rStyle w:val="MSGENFONTSTYLENAMETEMPLATEROLENUMBERMSGENFONTSTYLENAMEBYROLETEXT2MSGENFONTSTYLEMODIFERSIZE12"/>
          <w:i/>
          <w:iCs/>
        </w:rPr>
        <w:t>where the motive is to incite hatred</w:t>
      </w:r>
      <w:r w:rsidR="00693F5E">
        <w:rPr>
          <w:rStyle w:val="MSGENFONTSTYLENAMETEMPLATEROLENUMBERMSGENFONTSTYLENAMEBYROLETEXT2MSGENFONTSTYLEMODIFERSIZE12"/>
        </w:rPr>
        <w:t xml:space="preserve"> and/or animosity based on ethnic, religious, racial, or group sentiments. Law enforcement authorities must prove this motive by establishing that the content calls, influences, motivates, incites/pits people against each other </w:t>
      </w:r>
      <w:proofErr w:type="gramStart"/>
      <w:r w:rsidR="00693F5E" w:rsidRPr="003A47BF">
        <w:rPr>
          <w:rStyle w:val="MSGENFONTSTYLENAMETEMPLATEROLENUMBERMSGENFONTSTYLENAMEBYROLETEXT2MSGENFONTSTYLEMODIFERSIZE12"/>
          <w:i/>
          <w:iCs/>
        </w:rPr>
        <w:t>in order to</w:t>
      </w:r>
      <w:proofErr w:type="gramEnd"/>
      <w:r w:rsidR="00693F5E" w:rsidRPr="003A47BF">
        <w:rPr>
          <w:rStyle w:val="MSGENFONTSTYLENAMETEMPLATEROLENUMBERMSGENFONTSTYLENAMEBYROLETEXT2MSGENFONTSTYLEMODIFERSIZE12"/>
          <w:i/>
          <w:iCs/>
        </w:rPr>
        <w:t xml:space="preserve"> create hatred and/or hostility</w:t>
      </w:r>
      <w:r w:rsidR="00693F5E">
        <w:rPr>
          <w:rStyle w:val="MSGENFONTSTYLENAMETEMPLATEROLENUMBERMSGENFONTSTYLENAMEBYROLETEXT2MSGENFONTSTYLEMODIFERSIZE12"/>
        </w:rPr>
        <w:t>.” And although the Decree does not require an imminent risk of harm</w:t>
      </w:r>
      <w:r w:rsidR="0075030B">
        <w:rPr>
          <w:rStyle w:val="MSGENFONTSTYLENAMETEMPLATEROLENUMBERMSGENFONTSTYLENAMEBYROLETEXT2MSGENFONTSTYLEMODIFERSIZE12"/>
        </w:rPr>
        <w:t>,</w:t>
      </w:r>
      <w:r w:rsidR="00693F5E">
        <w:rPr>
          <w:rStyle w:val="MSGENFONTSTYLENAMETEMPLATEROLENUMBERMSGENFONTSTYLENAMEBYROLETEXT2MSGENFONTSTYLEMODIFERSIZE12"/>
        </w:rPr>
        <w:t xml:space="preserve"> it does </w:t>
      </w:r>
      <w:r w:rsidR="00DD368B">
        <w:rPr>
          <w:rStyle w:val="MSGENFONTSTYLENAMETEMPLATEROLENUMBERMSGENFONTSTYLENAMEBYROLETEXT2MSGENFONTSTYLEMODIFERSIZE12"/>
        </w:rPr>
        <w:t>identify categories of speech that should be excluded from</w:t>
      </w:r>
      <w:r w:rsidR="00693F5E">
        <w:rPr>
          <w:rStyle w:val="MSGENFONTSTYLENAMETEMPLATEROLENUMBERMSGENFONTSTYLENAMEBYROLETEXT2MSGENFONTSTYLEMODIFERSIZE12"/>
        </w:rPr>
        <w:t xml:space="preserve"> Article 28(2) prosecutions, stating that “conveyance of opinion, non-consenting statement or dislike towards an individual or group of society does not constitute </w:t>
      </w:r>
      <w:r w:rsidR="00693F5E">
        <w:rPr>
          <w:rStyle w:val="MSGENFONTSTYLENAMETEMPLATEROLENUMBERMSGENFONTSTYLENAMEBYROLETEXT2MSGENFONTSTYLEMODIFERSIZE12"/>
        </w:rPr>
        <w:lastRenderedPageBreak/>
        <w:t>a prohibited action</w:t>
      </w:r>
      <w:r w:rsidR="00DD368B">
        <w:rPr>
          <w:rStyle w:val="MSGENFONTSTYLENAMETEMPLATEROLENUMBERMSGENFONTSTYLENAMEBYROLETEXT2MSGENFONTSTYLEMODIFERSIZE12"/>
        </w:rPr>
        <w:t>.</w:t>
      </w:r>
      <w:r w:rsidR="00693F5E">
        <w:rPr>
          <w:rStyle w:val="MSGENFONTSTYLENAMETEMPLATEROLENUMBERMSGENFONTSTYLENAMEBYROLETEXT2MSGENFONTSTYLEMODIFERSIZE12"/>
        </w:rPr>
        <w:t>”</w:t>
      </w:r>
      <w:r w:rsidR="00A8543A">
        <w:rPr>
          <w:rStyle w:val="MSGENFONTSTYLENAMETEMPLATEROLENUMBERMSGENFONTSTYLENAMEBYROLETEXT2MSGENFONTSTYLEMODIFERSIZE12"/>
        </w:rPr>
        <w:t xml:space="preserve"> Finally,</w:t>
      </w:r>
      <w:r w:rsidR="0071379E">
        <w:rPr>
          <w:rStyle w:val="MSGENFONTSTYLENAMETEMPLATEROLENUMBERMSGENFONTSTYLENAMEBYROLETEXT2MSGENFONTSTYLEMODIFERSIZE12"/>
        </w:rPr>
        <w:t xml:space="preserve"> as</w:t>
      </w:r>
      <w:r w:rsidR="00A8543A">
        <w:rPr>
          <w:rStyle w:val="MSGENFONTSTYLENAMETEMPLATEROLENUMBERMSGENFONTSTYLENAMEBYROLETEXT2MSGENFONTSTYLEMODIFERSIZE12"/>
        </w:rPr>
        <w:t xml:space="preserve"> with Article 27(3), the </w:t>
      </w:r>
      <w:r w:rsidR="00392E29">
        <w:rPr>
          <w:rStyle w:val="MSGENFONTSTYLENAMETEMPLATEROLENUMBERMSGENFONTSTYLENAMEBYROLETEXT2MSGENFONTSTYLEMODIFERSIZE12"/>
        </w:rPr>
        <w:t xml:space="preserve">Joint </w:t>
      </w:r>
      <w:r w:rsidR="00A8543A">
        <w:rPr>
          <w:rStyle w:val="MSGENFONTSTYLENAMETEMPLATEROLENUMBERMSGENFONTSTYLENAMEBYROLETEXT2MSGENFONTSTYLEMODIFERSIZE12"/>
        </w:rPr>
        <w:t>Decree requires that the speech in question be made public.</w:t>
      </w:r>
      <w:r w:rsidR="004D24F5">
        <w:rPr>
          <w:rStyle w:val="MSGENFONTSTYLENAMETEMPLATEROLENUMBERMSGENFONTSTYLENAMEBYROLETEXT2MSGENFONTSTYLEMODIFERSIZE12"/>
        </w:rPr>
        <w:t xml:space="preserve"> </w:t>
      </w:r>
    </w:p>
    <w:p w14:paraId="000B307E" w14:textId="77777777" w:rsidR="00FF4465" w:rsidRDefault="00FF4465" w:rsidP="0071379E">
      <w:pPr>
        <w:rPr>
          <w:rStyle w:val="MSGENFONTSTYLENAMETEMPLATEROLENUMBERMSGENFONTSTYLENAMEBYROLETEXT2MSGENFONTSTYLEMODIFERSIZE12"/>
        </w:rPr>
      </w:pPr>
    </w:p>
    <w:p w14:paraId="2E6997DC" w14:textId="5088A235" w:rsidR="000C6C2B" w:rsidRDefault="002B7242" w:rsidP="00025AAE">
      <w:pPr>
        <w:ind w:right="-720"/>
        <w:jc w:val="both"/>
        <w:rPr>
          <w:rStyle w:val="MSGENFONTSTYLENAMETEMPLATEROLENUMBERMSGENFONTSTYLENAMEBYROLETEXT2MSGENFONTSTYLEMODIFERSIZE12"/>
        </w:rPr>
      </w:pPr>
      <w:r>
        <w:rPr>
          <w:rStyle w:val="MSGENFONTSTYLENAMETEMPLATEROLENUMBERMSGENFONTSTYLENAMEBYROLETEXT2MSGENFONTSTYLEMODIFERSIZE12"/>
        </w:rPr>
        <w:t xml:space="preserve">Following these successive changes, </w:t>
      </w:r>
      <w:r w:rsidR="003B0B80">
        <w:rPr>
          <w:rStyle w:val="MSGENFONTSTYLENAMETEMPLATEROLENUMBERMSGENFONTSTYLENAMEBYROLETEXT2MSGENFONTSTYLEMODIFERSIZE12"/>
        </w:rPr>
        <w:t>some</w:t>
      </w:r>
      <w:r>
        <w:rPr>
          <w:rStyle w:val="MSGENFONTSTYLENAMETEMPLATEROLENUMBERMSGENFONTSTYLENAMEBYROLETEXT2MSGENFONTSTYLEMODIFERSIZE12"/>
        </w:rPr>
        <w:t xml:space="preserve"> of the concerns identified above have ostensibly </w:t>
      </w:r>
      <w:r w:rsidR="000C6C2B">
        <w:rPr>
          <w:rStyle w:val="MSGENFONTSTYLENAMETEMPLATEROLENUMBERMSGENFONTSTYLENAMEBYROLETEXT2MSGENFONTSTYLEMODIFERSIZE12"/>
        </w:rPr>
        <w:t xml:space="preserve">been </w:t>
      </w:r>
      <w:r>
        <w:rPr>
          <w:rStyle w:val="MSGENFONTSTYLENAMETEMPLATEROLENUMBERMSGENFONTSTYLENAMEBYROLETEXT2MSGENFONTSTYLEMODIFERSIZE12"/>
        </w:rPr>
        <w:t>mitigated at least in part</w:t>
      </w:r>
      <w:r w:rsidR="000C6C2B">
        <w:rPr>
          <w:rStyle w:val="MSGENFONTSTYLENAMETEMPLATEROLENUMBERMSGENFONTSTYLENAMEBYROLETEXT2MSGENFONTSTYLEMODIFERSIZE12"/>
        </w:rPr>
        <w:t>:</w:t>
      </w:r>
    </w:p>
    <w:p w14:paraId="7EEF86DB" w14:textId="77777777" w:rsidR="000C6C2B" w:rsidRDefault="000C6C2B" w:rsidP="0071379E">
      <w:pPr>
        <w:rPr>
          <w:rStyle w:val="MSGENFONTSTYLENAMETEMPLATEROLENUMBERMSGENFONTSTYLENAMEBYROLETEXT2MSGENFONTSTYLEMODIFERSIZE12"/>
        </w:rPr>
      </w:pPr>
    </w:p>
    <w:p w14:paraId="409CBB8E" w14:textId="04135843" w:rsidR="000C6C2B" w:rsidRPr="00571F05" w:rsidRDefault="000C6C2B" w:rsidP="000C6C2B">
      <w:pPr>
        <w:pStyle w:val="ListParagraph"/>
        <w:numPr>
          <w:ilvl w:val="0"/>
          <w:numId w:val="6"/>
        </w:numPr>
        <w:rPr>
          <w:color w:val="000000"/>
          <w:lang w:bidi="en-US"/>
        </w:rPr>
      </w:pPr>
      <w:r>
        <w:rPr>
          <w:rStyle w:val="MSGENFONTSTYLENAMETEMPLATEROLENUMBERMSGENFONTSTYLENAMEBYROLETEXT2MSGENFONTSTYLEMODIFERSIZE12"/>
        </w:rPr>
        <w:t xml:space="preserve">With respect to Article 27(3), </w:t>
      </w:r>
      <w:r>
        <w:t xml:space="preserve">insults, </w:t>
      </w:r>
      <w:r w:rsidR="00981580">
        <w:t xml:space="preserve">true statements, </w:t>
      </w:r>
      <w:r>
        <w:t>opinions and value judgments, and private messages are excluded by the Joint Decree, and public-interest speech protected by the 2016 amendments.</w:t>
      </w:r>
      <w:r w:rsidRPr="002563CB">
        <w:rPr>
          <w:rStyle w:val="FootnoteReference"/>
        </w:rPr>
        <w:t xml:space="preserve"> </w:t>
      </w:r>
    </w:p>
    <w:p w14:paraId="1D4DACAC" w14:textId="384F3A78" w:rsidR="000C6C2B" w:rsidRDefault="000C6C2B" w:rsidP="00571F05">
      <w:pPr>
        <w:pStyle w:val="ListParagraph"/>
        <w:numPr>
          <w:ilvl w:val="0"/>
          <w:numId w:val="6"/>
        </w:numPr>
        <w:rPr>
          <w:rStyle w:val="MSGENFONTSTYLENAMETEMPLATEROLENUMBERMSGENFONTSTYLENAMEBYROLETEXT2MSGENFONTSTYLEMODIFERSIZE12"/>
        </w:rPr>
      </w:pPr>
      <w:r>
        <w:t>With respect to Article 28(2), intent is</w:t>
      </w:r>
      <w:r w:rsidR="00FB0F52">
        <w:t xml:space="preserve"> </w:t>
      </w:r>
      <w:r>
        <w:t xml:space="preserve">required to be </w:t>
      </w:r>
      <w:r w:rsidR="00DD368B">
        <w:t xml:space="preserve">proven </w:t>
      </w:r>
      <w:r>
        <w:t xml:space="preserve">by the Joint Decree, and private speech excluded. </w:t>
      </w:r>
    </w:p>
    <w:p w14:paraId="021A5943" w14:textId="77777777" w:rsidR="000C6C2B" w:rsidRDefault="000C6C2B" w:rsidP="0071379E">
      <w:pPr>
        <w:rPr>
          <w:rStyle w:val="MSGENFONTSTYLENAMETEMPLATEROLENUMBERMSGENFONTSTYLENAMEBYROLETEXT2MSGENFONTSTYLEMODIFERSIZE12"/>
        </w:rPr>
      </w:pPr>
    </w:p>
    <w:p w14:paraId="0CB4356A" w14:textId="533B15AD" w:rsidR="00455DDF" w:rsidRDefault="00FB0F52" w:rsidP="00025AAE">
      <w:pPr>
        <w:ind w:right="-720"/>
        <w:jc w:val="both"/>
        <w:rPr>
          <w:rStyle w:val="MSGENFONTSTYLENAMETEMPLATEROLENUMBERMSGENFONTSTYLENAMEBYROLETEXT2MSGENFONTSTYLEMODIFERSIZE12"/>
        </w:rPr>
      </w:pPr>
      <w:r>
        <w:rPr>
          <w:rStyle w:val="MSGENFONTSTYLENAMETEMPLATEROLENUMBERMSGENFONTSTYLENAMEBYROLETEXT2MSGENFONTSTYLEMODIFERSIZE12"/>
        </w:rPr>
        <w:t xml:space="preserve">While these changes have left unaddressed several important concerns, such as the potential for imprisonment for defamation and the wide sweep of the groups protected by Article 28(2), </w:t>
      </w:r>
      <w:r w:rsidR="00535E68">
        <w:rPr>
          <w:rStyle w:val="MSGENFONTSTYLENAMETEMPLATEROLENUMBERMSGENFONTSTYLENAMEBYROLETEXT2MSGENFONTSTYLEMODIFERSIZE12"/>
        </w:rPr>
        <w:t>equally important is understand</w:t>
      </w:r>
      <w:r w:rsidR="00DD368B">
        <w:rPr>
          <w:rStyle w:val="MSGENFONTSTYLENAMETEMPLATEROLENUMBERMSGENFONTSTYLENAMEBYROLETEXT2MSGENFONTSTYLEMODIFERSIZE12"/>
        </w:rPr>
        <w:t>ing</w:t>
      </w:r>
      <w:r w:rsidR="00535E68">
        <w:rPr>
          <w:rStyle w:val="MSGENFONTSTYLENAMETEMPLATEROLENUMBERMSGENFONTSTYLENAMEBYROLETEXT2MSGENFONTSTYLEMODIFERSIZE12"/>
        </w:rPr>
        <w:t xml:space="preserve"> whether the Joint Decree is </w:t>
      </w:r>
      <w:proofErr w:type="gramStart"/>
      <w:r w:rsidR="00535E68">
        <w:rPr>
          <w:rStyle w:val="MSGENFONTSTYLENAMETEMPLATEROLENUMBERMSGENFONTSTYLENAMEBYROLETEXT2MSGENFONTSTYLEMODIFERSIZE12"/>
        </w:rPr>
        <w:t>actually being</w:t>
      </w:r>
      <w:proofErr w:type="gramEnd"/>
      <w:r w:rsidR="00535E68">
        <w:rPr>
          <w:rStyle w:val="MSGENFONTSTYLENAMETEMPLATEROLENUMBERMSGENFONTSTYLENAMEBYROLETEXT2MSGENFONTSTYLEMODIFERSIZE12"/>
        </w:rPr>
        <w:t xml:space="preserve"> implemented in practice.</w:t>
      </w:r>
      <w:r>
        <w:rPr>
          <w:rStyle w:val="MSGENFONTSTYLENAMETEMPLATEROLENUMBERMSGENFONTSTYLENAMEBYROLETEXT2MSGENFONTSTYLEMODIFERSIZE12"/>
        </w:rPr>
        <w:t xml:space="preserve"> </w:t>
      </w:r>
    </w:p>
    <w:p w14:paraId="2541692F" w14:textId="77777777" w:rsidR="0075030B" w:rsidRDefault="0075030B" w:rsidP="0071379E">
      <w:pPr>
        <w:rPr>
          <w:rStyle w:val="MSGENFONTSTYLENAMETEMPLATEROLENUMBERMSGENFONTSTYLENAMEBYROLETEXT2MSGENFONTSTYLEMODIFERSIZE12"/>
        </w:rPr>
      </w:pPr>
    </w:p>
    <w:p w14:paraId="431FF5D9" w14:textId="468DEA86" w:rsidR="0075030B" w:rsidRPr="0075030B" w:rsidRDefault="0075030B" w:rsidP="0071379E">
      <w:pPr>
        <w:rPr>
          <w:rFonts w:cs="Helvetica"/>
          <w:i/>
          <w:iCs/>
        </w:rPr>
      </w:pPr>
      <w:r w:rsidRPr="0075030B">
        <w:rPr>
          <w:rStyle w:val="MSGENFONTSTYLENAMETEMPLATEROLENUMBERMSGENFONTSTYLENAMEBYROLETEXT2MSGENFONTSTYLEMODIFERSIZE12"/>
          <w:i/>
          <w:iCs/>
        </w:rPr>
        <w:t>Ineffectiveness of the Joint Decree</w:t>
      </w:r>
    </w:p>
    <w:p w14:paraId="2D4D14A3" w14:textId="77777777" w:rsidR="0071379E" w:rsidRDefault="0071379E" w:rsidP="0071379E">
      <w:pPr>
        <w:jc w:val="both"/>
      </w:pPr>
    </w:p>
    <w:p w14:paraId="17159E8F" w14:textId="3E5698C5" w:rsidR="00FB13E1" w:rsidRDefault="008D6315" w:rsidP="00025AAE">
      <w:pPr>
        <w:ind w:right="-720"/>
        <w:jc w:val="both"/>
      </w:pPr>
      <w:r>
        <w:t>Despite the rights-positive approach in the Joint Decree, d</w:t>
      </w:r>
      <w:r w:rsidR="001D612B">
        <w:t xml:space="preserve">ata collected by TrialWatch reveals that the authorities have largely disregarded </w:t>
      </w:r>
      <w:r w:rsidR="0071379E">
        <w:t>it</w:t>
      </w:r>
      <w:r>
        <w:t xml:space="preserve">, meaning that </w:t>
      </w:r>
      <w:r w:rsidR="00981580">
        <w:t>the</w:t>
      </w:r>
      <w:r w:rsidR="00DD368B">
        <w:t xml:space="preserve"> Response</w:t>
      </w:r>
      <w:r w:rsidR="00981580">
        <w:t>’s reliance</w:t>
      </w:r>
      <w:r w:rsidR="00DD368B">
        <w:t xml:space="preserve"> </w:t>
      </w:r>
      <w:r>
        <w:t xml:space="preserve">on the Joint Decree as the solution to problems with the EIT Law </w:t>
      </w:r>
      <w:r w:rsidR="00981580">
        <w:t>is</w:t>
      </w:r>
      <w:r w:rsidR="00FB13E1">
        <w:t xml:space="preserve"> </w:t>
      </w:r>
      <w:r>
        <w:t xml:space="preserve">misplaced. </w:t>
      </w:r>
    </w:p>
    <w:p w14:paraId="7E86D816" w14:textId="77777777" w:rsidR="00FB13E1" w:rsidRDefault="00FB13E1" w:rsidP="0071379E">
      <w:pPr>
        <w:jc w:val="both"/>
      </w:pPr>
    </w:p>
    <w:p w14:paraId="6FEA6711" w14:textId="36AF6BF4" w:rsidR="00693F5E" w:rsidRDefault="008D6315" w:rsidP="00025AAE">
      <w:pPr>
        <w:ind w:right="-720"/>
        <w:jc w:val="both"/>
      </w:pPr>
      <w:r>
        <w:t>Specifically,</w:t>
      </w:r>
      <w:r w:rsidR="001D612B">
        <w:t xml:space="preserve"> TrialWatch, in conjunction with </w:t>
      </w:r>
      <w:r w:rsidR="0075030B">
        <w:t xml:space="preserve">ICJR, </w:t>
      </w:r>
      <w:r w:rsidR="001D612B">
        <w:t>has identified</w:t>
      </w:r>
      <w:r w:rsidR="004D24F5">
        <w:rPr>
          <w:rStyle w:val="FootnoteReference"/>
        </w:rPr>
        <w:footnoteReference w:id="37"/>
      </w:r>
      <w:r w:rsidR="001D612B">
        <w:t xml:space="preserve"> </w:t>
      </w:r>
      <w:r w:rsidR="00940A91">
        <w:t>a total of 38</w:t>
      </w:r>
      <w:r w:rsidR="001D612B">
        <w:t xml:space="preserve"> Article 27(3) cases</w:t>
      </w:r>
      <w:r w:rsidR="00693F5E">
        <w:t xml:space="preserve"> and </w:t>
      </w:r>
      <w:r w:rsidR="00940A91">
        <w:t>24</w:t>
      </w:r>
      <w:r w:rsidR="00693F5E">
        <w:t xml:space="preserve"> Article 28(2)</w:t>
      </w:r>
      <w:r w:rsidR="001D612B">
        <w:t xml:space="preserve"> </w:t>
      </w:r>
      <w:r w:rsidR="00940A91">
        <w:t xml:space="preserve">cases </w:t>
      </w:r>
      <w:r w:rsidR="001D612B">
        <w:t xml:space="preserve">that were either initiated after the </w:t>
      </w:r>
      <w:r w:rsidR="00FB13E1">
        <w:t xml:space="preserve">adoption </w:t>
      </w:r>
      <w:r w:rsidR="001D612B">
        <w:t xml:space="preserve">of the Joint Decree or </w:t>
      </w:r>
      <w:r w:rsidR="00693F5E">
        <w:t>that did not go to trial until after the</w:t>
      </w:r>
      <w:r w:rsidR="001D612B">
        <w:t xml:space="preserve"> Joint Decree was </w:t>
      </w:r>
      <w:r w:rsidR="002B7242">
        <w:t>adopted</w:t>
      </w:r>
      <w:r w:rsidR="001D612B">
        <w:t xml:space="preserve">. </w:t>
      </w:r>
      <w:proofErr w:type="gramStart"/>
      <w:r w:rsidR="00693F5E">
        <w:t>On the whole</w:t>
      </w:r>
      <w:proofErr w:type="gramEnd"/>
      <w:r w:rsidR="00693F5E">
        <w:t xml:space="preserve">, </w:t>
      </w:r>
      <w:r w:rsidR="00693F5E" w:rsidRPr="00940A91">
        <w:rPr>
          <w:b/>
          <w:bCs/>
        </w:rPr>
        <w:t xml:space="preserve">a startling </w:t>
      </w:r>
      <w:r w:rsidR="00E511B5">
        <w:rPr>
          <w:b/>
          <w:bCs/>
        </w:rPr>
        <w:t>88</w:t>
      </w:r>
      <w:r w:rsidR="00940A91" w:rsidRPr="00940A91">
        <w:rPr>
          <w:b/>
          <w:bCs/>
        </w:rPr>
        <w:t xml:space="preserve"> percent</w:t>
      </w:r>
      <w:r w:rsidR="00693F5E" w:rsidRPr="00940A91">
        <w:rPr>
          <w:b/>
          <w:bCs/>
        </w:rPr>
        <w:t xml:space="preserve"> </w:t>
      </w:r>
      <w:r w:rsidR="002B7242">
        <w:rPr>
          <w:b/>
          <w:bCs/>
        </w:rPr>
        <w:t xml:space="preserve">appear to </w:t>
      </w:r>
      <w:r w:rsidR="00DD368B">
        <w:rPr>
          <w:b/>
          <w:bCs/>
        </w:rPr>
        <w:t xml:space="preserve">have </w:t>
      </w:r>
      <w:r w:rsidR="002B7242">
        <w:rPr>
          <w:b/>
          <w:bCs/>
        </w:rPr>
        <w:t xml:space="preserve">been initiated or pursued despite </w:t>
      </w:r>
      <w:r w:rsidR="00FB13E1">
        <w:rPr>
          <w:b/>
          <w:bCs/>
        </w:rPr>
        <w:t xml:space="preserve">ostensibly </w:t>
      </w:r>
      <w:r w:rsidR="00981580">
        <w:rPr>
          <w:b/>
          <w:bCs/>
        </w:rPr>
        <w:t xml:space="preserve">being </w:t>
      </w:r>
      <w:r w:rsidR="00FB13E1">
        <w:rPr>
          <w:b/>
          <w:bCs/>
        </w:rPr>
        <w:t xml:space="preserve">excluded </w:t>
      </w:r>
      <w:r w:rsidR="002B7242">
        <w:rPr>
          <w:b/>
          <w:bCs/>
        </w:rPr>
        <w:t>by</w:t>
      </w:r>
      <w:r w:rsidR="00693F5E" w:rsidRPr="00940A91">
        <w:rPr>
          <w:b/>
          <w:bCs/>
        </w:rPr>
        <w:t xml:space="preserve"> the</w:t>
      </w:r>
      <w:r w:rsidR="00693F5E">
        <w:t xml:space="preserve"> </w:t>
      </w:r>
      <w:r w:rsidR="00693F5E" w:rsidRPr="0075030B">
        <w:rPr>
          <w:b/>
          <w:bCs/>
        </w:rPr>
        <w:t>Joint Decree</w:t>
      </w:r>
      <w:r w:rsidR="00693F5E">
        <w:t>.</w:t>
      </w:r>
      <w:r w:rsidR="00896A35">
        <w:rPr>
          <w:rStyle w:val="FootnoteReference"/>
        </w:rPr>
        <w:footnoteReference w:id="38"/>
      </w:r>
      <w:r w:rsidR="00693F5E">
        <w:t xml:space="preserve"> Further, </w:t>
      </w:r>
      <w:r w:rsidR="002B7242">
        <w:t xml:space="preserve">in </w:t>
      </w:r>
      <w:r w:rsidR="00940A91" w:rsidRPr="00FB4234">
        <w:rPr>
          <w:b/>
          <w:bCs/>
        </w:rPr>
        <w:t xml:space="preserve">40 percent of the cases </w:t>
      </w:r>
      <w:r w:rsidR="002B7242">
        <w:rPr>
          <w:b/>
          <w:bCs/>
        </w:rPr>
        <w:t xml:space="preserve">the speech at issue </w:t>
      </w:r>
      <w:r w:rsidR="006101A9">
        <w:rPr>
          <w:b/>
          <w:bCs/>
        </w:rPr>
        <w:t xml:space="preserve">appears to have </w:t>
      </w:r>
      <w:r w:rsidR="00693F5E" w:rsidRPr="00FB4234">
        <w:rPr>
          <w:b/>
          <w:bCs/>
        </w:rPr>
        <w:t xml:space="preserve">concerned </w:t>
      </w:r>
      <w:r w:rsidR="00940A91" w:rsidRPr="00FB4234">
        <w:rPr>
          <w:b/>
          <w:bCs/>
        </w:rPr>
        <w:t>matters of public interest</w:t>
      </w:r>
      <w:r w:rsidR="00940A91">
        <w:t xml:space="preserve">, </w:t>
      </w:r>
      <w:r w:rsidR="006101A9">
        <w:t>suggesting that the 2016 amendments are also not being applied</w:t>
      </w:r>
      <w:r w:rsidR="00940A91">
        <w:t xml:space="preserve">. Troublingly, in almost a quarter of cases the </w:t>
      </w:r>
      <w:r w:rsidR="0075030B" w:rsidRPr="0075030B">
        <w:rPr>
          <w:b/>
          <w:bCs/>
        </w:rPr>
        <w:t>private</w:t>
      </w:r>
      <w:r w:rsidR="0075030B">
        <w:t xml:space="preserve"> </w:t>
      </w:r>
      <w:r w:rsidR="00940A91" w:rsidRPr="00FB4234">
        <w:rPr>
          <w:b/>
          <w:bCs/>
        </w:rPr>
        <w:t xml:space="preserve">complainant who initiated the case was affiliated with the police, the government, or </w:t>
      </w:r>
      <w:r w:rsidR="0071379E">
        <w:rPr>
          <w:b/>
          <w:bCs/>
        </w:rPr>
        <w:t>a</w:t>
      </w:r>
      <w:r w:rsidR="00940A91" w:rsidRPr="00FB4234">
        <w:rPr>
          <w:b/>
          <w:bCs/>
        </w:rPr>
        <w:t xml:space="preserve"> prosecutor’s office.</w:t>
      </w:r>
      <w:r w:rsidR="00940A91">
        <w:t xml:space="preserve"> </w:t>
      </w:r>
    </w:p>
    <w:p w14:paraId="1B27616F" w14:textId="77777777" w:rsidR="00940A91" w:rsidRDefault="00940A91" w:rsidP="0071379E">
      <w:pPr>
        <w:jc w:val="both"/>
      </w:pPr>
    </w:p>
    <w:p w14:paraId="5BE519DD" w14:textId="0FB3E6DD" w:rsidR="00FB13E1" w:rsidRDefault="00940A91" w:rsidP="00025AAE">
      <w:pPr>
        <w:ind w:right="-720"/>
        <w:jc w:val="both"/>
      </w:pPr>
      <w:r>
        <w:t xml:space="preserve">With respect to Article 27(3) specifically, </w:t>
      </w:r>
      <w:r w:rsidR="006101A9">
        <w:t>i</w:t>
      </w:r>
      <w:r>
        <w:t xml:space="preserve">n </w:t>
      </w:r>
      <w:r w:rsidRPr="00FB4234">
        <w:rPr>
          <w:b/>
          <w:bCs/>
        </w:rPr>
        <w:t xml:space="preserve">more than </w:t>
      </w:r>
      <w:r w:rsidR="00E511B5">
        <w:rPr>
          <w:b/>
          <w:bCs/>
        </w:rPr>
        <w:t>40</w:t>
      </w:r>
      <w:r w:rsidRPr="00FB4234">
        <w:rPr>
          <w:b/>
          <w:bCs/>
        </w:rPr>
        <w:t xml:space="preserve"> percent of the cases identified the speech </w:t>
      </w:r>
      <w:r w:rsidR="00FB13E1">
        <w:rPr>
          <w:b/>
          <w:bCs/>
        </w:rPr>
        <w:t>appears to have been</w:t>
      </w:r>
      <w:r w:rsidR="00FB13E1" w:rsidRPr="00FB4234">
        <w:rPr>
          <w:b/>
          <w:bCs/>
        </w:rPr>
        <w:t xml:space="preserve"> </w:t>
      </w:r>
      <w:r w:rsidRPr="00FB4234">
        <w:rPr>
          <w:b/>
          <w:bCs/>
        </w:rPr>
        <w:t xml:space="preserve">an opinion or assessment </w:t>
      </w:r>
      <w:r w:rsidRPr="004D24F5">
        <w:t>a</w:t>
      </w:r>
      <w:r>
        <w:t xml:space="preserve">nd thus should not have been criminalized. Likewise, almost a quarter of the Article 27(3) cases involved insults or inappropriate words. </w:t>
      </w:r>
    </w:p>
    <w:p w14:paraId="7A29C9C1" w14:textId="77777777" w:rsidR="00FB13E1" w:rsidRDefault="00FB13E1" w:rsidP="0071379E">
      <w:pPr>
        <w:jc w:val="both"/>
      </w:pPr>
    </w:p>
    <w:p w14:paraId="1F05D7A9" w14:textId="121E3A27" w:rsidR="007B543C" w:rsidRPr="00110E91" w:rsidRDefault="00FB13E1" w:rsidP="00025AAE">
      <w:pPr>
        <w:ind w:right="-720"/>
        <w:jc w:val="both"/>
        <w:rPr>
          <w:sz w:val="20"/>
          <w:szCs w:val="20"/>
        </w:rPr>
      </w:pPr>
      <w:r>
        <w:t>For instance, in 2021, after adoption of the Joint Decree,</w:t>
      </w:r>
      <w:r w:rsidR="007B543C">
        <w:t xml:space="preserve"> journalist and activist Ismail </w:t>
      </w:r>
      <w:proofErr w:type="spellStart"/>
      <w:r w:rsidR="007B543C">
        <w:t>Marzuki</w:t>
      </w:r>
      <w:proofErr w:type="spellEnd"/>
      <w:r w:rsidR="007B543C">
        <w:t xml:space="preserve"> was </w:t>
      </w:r>
      <w:r w:rsidR="0071379E">
        <w:t xml:space="preserve">prosecuted </w:t>
      </w:r>
      <w:r w:rsidR="003A47BF">
        <w:t>under</w:t>
      </w:r>
      <w:r w:rsidR="007B543C">
        <w:t xml:space="preserve"> Article 27(3) for a </w:t>
      </w:r>
      <w:r w:rsidR="0071379E">
        <w:t xml:space="preserve">social media video </w:t>
      </w:r>
      <w:r w:rsidR="000A46A5">
        <w:t xml:space="preserve">in </w:t>
      </w:r>
      <w:r w:rsidR="007B543C">
        <w:t xml:space="preserve">which he criticized </w:t>
      </w:r>
      <w:r w:rsidR="00761897">
        <w:t>the wife of a</w:t>
      </w:r>
      <w:r w:rsidR="007B543C">
        <w:t xml:space="preserve"> political figure for failing to preserve </w:t>
      </w:r>
      <w:r w:rsidR="002F0372">
        <w:t xml:space="preserve">a </w:t>
      </w:r>
      <w:r w:rsidR="007B543C">
        <w:t>heritage site</w:t>
      </w:r>
      <w:r w:rsidR="00025AAE">
        <w:t xml:space="preserve"> </w:t>
      </w:r>
      <w:r w:rsidR="007B543C">
        <w:t>and used mocki</w:t>
      </w:r>
      <w:r w:rsidR="007B543C" w:rsidRPr="00110E91">
        <w:t xml:space="preserve">ng terms to describe </w:t>
      </w:r>
      <w:r w:rsidR="00761897" w:rsidRPr="00110E91">
        <w:t>her</w:t>
      </w:r>
      <w:r w:rsidR="007B543C" w:rsidRPr="00110E91">
        <w:t>.</w:t>
      </w:r>
      <w:r w:rsidR="00761897" w:rsidRPr="00110E91">
        <w:rPr>
          <w:rStyle w:val="FootnoteReference"/>
        </w:rPr>
        <w:footnoteReference w:id="39"/>
      </w:r>
      <w:r w:rsidR="007B543C" w:rsidRPr="00110E91">
        <w:t xml:space="preserve"> He was convicted in</w:t>
      </w:r>
      <w:r w:rsidR="000A46A5" w:rsidRPr="00110E91">
        <w:t xml:space="preserve"> 2023 </w:t>
      </w:r>
      <w:r w:rsidR="000A46A5" w:rsidRPr="00110E91">
        <w:lastRenderedPageBreak/>
        <w:t xml:space="preserve">and sentenced to six months </w:t>
      </w:r>
      <w:r w:rsidR="000A46A5" w:rsidRPr="00110E91">
        <w:t>in prison, despite the fact that the speech</w:t>
      </w:r>
      <w:r w:rsidRPr="00110E91">
        <w:t xml:space="preserve"> appeared to</w:t>
      </w:r>
      <w:r w:rsidR="000A46A5" w:rsidRPr="00110E91">
        <w:t xml:space="preserve"> concern a matter of public interest, </w:t>
      </w:r>
      <w:r w:rsidR="00025AAE" w:rsidRPr="00110E91">
        <w:t xml:space="preserve">that </w:t>
      </w:r>
      <w:r w:rsidR="000A46A5" w:rsidRPr="00110E91">
        <w:t xml:space="preserve">the speech was an assessment/opinion, </w:t>
      </w:r>
      <w:r w:rsidR="0071379E" w:rsidRPr="00110E91">
        <w:t xml:space="preserve">and </w:t>
      </w:r>
      <w:r w:rsidR="00025AAE" w:rsidRPr="00110E91">
        <w:t xml:space="preserve">that </w:t>
      </w:r>
      <w:r w:rsidR="00762F01" w:rsidRPr="00110E91">
        <w:t xml:space="preserve">any </w:t>
      </w:r>
      <w:r w:rsidR="0071379E" w:rsidRPr="00110E91">
        <w:t>insults therein should not have sparked a prosecution</w:t>
      </w:r>
      <w:r w:rsidR="000A46A5" w:rsidRPr="00110E91">
        <w:t xml:space="preserve">. </w:t>
      </w:r>
      <w:r w:rsidR="007B543C" w:rsidRPr="00110E91">
        <w:t xml:space="preserve"> </w:t>
      </w:r>
    </w:p>
    <w:p w14:paraId="662F48CF" w14:textId="325877E4" w:rsidR="00693F5E" w:rsidRPr="00110E91" w:rsidRDefault="007B543C" w:rsidP="000A46A5">
      <w:pPr>
        <w:ind w:left="709"/>
        <w:jc w:val="both"/>
      </w:pPr>
      <w:r w:rsidRPr="00110E91">
        <w:rPr>
          <w:sz w:val="20"/>
          <w:szCs w:val="20"/>
        </w:rPr>
        <w:tab/>
      </w:r>
      <w:r w:rsidRPr="00110E91">
        <w:rPr>
          <w:sz w:val="20"/>
          <w:szCs w:val="20"/>
        </w:rPr>
        <w:tab/>
      </w:r>
    </w:p>
    <w:p w14:paraId="3718CFF9" w14:textId="1FA279EE" w:rsidR="007B543C" w:rsidRPr="0071379E" w:rsidRDefault="00693F5E" w:rsidP="00110E91">
      <w:pPr>
        <w:tabs>
          <w:tab w:val="left" w:pos="2880"/>
        </w:tabs>
        <w:ind w:right="-720"/>
        <w:jc w:val="both"/>
        <w:rPr>
          <w:vertAlign w:val="superscript"/>
        </w:rPr>
      </w:pPr>
      <w:r w:rsidRPr="00110E91">
        <w:rPr>
          <w:b/>
          <w:bCs/>
        </w:rPr>
        <w:t xml:space="preserve">With respect to Article 28(2), </w:t>
      </w:r>
      <w:r w:rsidR="00FB4234" w:rsidRPr="00110E91">
        <w:rPr>
          <w:b/>
          <w:bCs/>
        </w:rPr>
        <w:t xml:space="preserve">100 percent of the cases </w:t>
      </w:r>
      <w:r w:rsidR="00FB13E1" w:rsidRPr="00110E91">
        <w:rPr>
          <w:b/>
          <w:bCs/>
        </w:rPr>
        <w:t xml:space="preserve">appear to be inconsistent with </w:t>
      </w:r>
      <w:r w:rsidR="00FB4234" w:rsidRPr="00110E91">
        <w:rPr>
          <w:b/>
          <w:bCs/>
        </w:rPr>
        <w:t>the Joint Decree</w:t>
      </w:r>
      <w:r w:rsidR="00025AAE" w:rsidRPr="00110E91">
        <w:rPr>
          <w:b/>
          <w:bCs/>
        </w:rPr>
        <w:t>.</w:t>
      </w:r>
      <w:r w:rsidR="00FB4234" w:rsidRPr="00110E91">
        <w:t xml:space="preserve"> </w:t>
      </w:r>
      <w:r w:rsidR="008D3F7E" w:rsidRPr="00110E91">
        <w:t>Based</w:t>
      </w:r>
      <w:r w:rsidR="00EF3AEC" w:rsidRPr="00110E91">
        <w:t xml:space="preserve"> on analysis of the speech at issue</w:t>
      </w:r>
      <w:r w:rsidR="00981580" w:rsidRPr="00110E91">
        <w:t>,</w:t>
      </w:r>
      <w:r w:rsidR="00762F01" w:rsidRPr="00110E91">
        <w:t xml:space="preserve"> at least as publicly reported,</w:t>
      </w:r>
      <w:r w:rsidR="00EF3AEC" w:rsidRPr="00110E91">
        <w:t xml:space="preserve"> in none of the cases was there an evident intent to incite </w:t>
      </w:r>
      <w:r w:rsidR="00EF3AEC" w:rsidRPr="00110E91">
        <w:t>hatred</w:t>
      </w:r>
      <w:r w:rsidR="008D3F7E" w:rsidRPr="00110E91">
        <w:t>.</w:t>
      </w:r>
      <w:r w:rsidR="008D3F7E" w:rsidRPr="00110E91">
        <w:rPr>
          <w:b/>
          <w:bCs/>
        </w:rPr>
        <w:t xml:space="preserve"> </w:t>
      </w:r>
      <w:r w:rsidR="008D3F7E" w:rsidRPr="00110E91">
        <w:t xml:space="preserve">And in over 60 percent of the cases the targeted group was professional, based on political party, or based on government affiliation. </w:t>
      </w:r>
      <w:r w:rsidR="00EF3AEC" w:rsidRPr="00110E91">
        <w:rPr>
          <w:bCs/>
        </w:rPr>
        <w:t xml:space="preserve"> </w:t>
      </w:r>
      <w:r w:rsidR="00E56B4C" w:rsidRPr="00110E91">
        <w:rPr>
          <w:bCs/>
        </w:rPr>
        <w:t xml:space="preserve">In one </w:t>
      </w:r>
      <w:r w:rsidR="00FB13E1" w:rsidRPr="00110E91">
        <w:rPr>
          <w:bCs/>
        </w:rPr>
        <w:t>case</w:t>
      </w:r>
      <w:r w:rsidR="0071379E" w:rsidRPr="00110E91">
        <w:rPr>
          <w:bCs/>
        </w:rPr>
        <w:t xml:space="preserve">, </w:t>
      </w:r>
      <w:r w:rsidR="00E56B4C" w:rsidRPr="00110E91">
        <w:rPr>
          <w:bCs/>
        </w:rPr>
        <w:t xml:space="preserve">three </w:t>
      </w:r>
      <w:r w:rsidR="004D24F5" w:rsidRPr="00110E91">
        <w:rPr>
          <w:bCs/>
        </w:rPr>
        <w:t>individuals</w:t>
      </w:r>
      <w:r w:rsidR="00E56B4C" w:rsidRPr="00110E91">
        <w:rPr>
          <w:bCs/>
        </w:rPr>
        <w:t xml:space="preserve"> were reported </w:t>
      </w:r>
      <w:r w:rsidR="000A46A5" w:rsidRPr="00110E91">
        <w:rPr>
          <w:bCs/>
        </w:rPr>
        <w:t xml:space="preserve">for violating Article 28(2) </w:t>
      </w:r>
      <w:r w:rsidR="00FB13E1" w:rsidRPr="00110E91">
        <w:rPr>
          <w:bCs/>
        </w:rPr>
        <w:t xml:space="preserve">after </w:t>
      </w:r>
      <w:r w:rsidR="000A46A5" w:rsidRPr="00110E91">
        <w:rPr>
          <w:bCs/>
        </w:rPr>
        <w:t xml:space="preserve">posting tweets </w:t>
      </w:r>
      <w:r w:rsidR="00EF14A5" w:rsidRPr="00110E91">
        <w:rPr>
          <w:bCs/>
        </w:rPr>
        <w:t>joking</w:t>
      </w:r>
      <w:r w:rsidR="00EF14A5">
        <w:rPr>
          <w:bCs/>
        </w:rPr>
        <w:t xml:space="preserve"> about</w:t>
      </w:r>
      <w:r w:rsidR="000A46A5" w:rsidRPr="0071379E">
        <w:rPr>
          <w:bCs/>
        </w:rPr>
        <w:t xml:space="preserve"> the police enriching themselves with items confiscated from suspects.</w:t>
      </w:r>
      <w:r w:rsidR="00EF14A5">
        <w:rPr>
          <w:rStyle w:val="FootnoteReference"/>
          <w:bCs/>
        </w:rPr>
        <w:footnoteReference w:id="40"/>
      </w:r>
      <w:r w:rsidR="000A46A5" w:rsidRPr="0071379E">
        <w:rPr>
          <w:bCs/>
        </w:rPr>
        <w:t xml:space="preserve"> Two of the accused </w:t>
      </w:r>
      <w:r w:rsidR="004D24F5">
        <w:rPr>
          <w:bCs/>
        </w:rPr>
        <w:t xml:space="preserve">(the investigation against the third was </w:t>
      </w:r>
      <w:r w:rsidR="00025AAE">
        <w:rPr>
          <w:bCs/>
        </w:rPr>
        <w:t>terminated</w:t>
      </w:r>
      <w:r w:rsidR="004D24F5">
        <w:rPr>
          <w:bCs/>
        </w:rPr>
        <w:t xml:space="preserve">) </w:t>
      </w:r>
      <w:r w:rsidR="000A46A5" w:rsidRPr="0071379E">
        <w:rPr>
          <w:bCs/>
        </w:rPr>
        <w:t>are awaiting trial.</w:t>
      </w:r>
      <w:r w:rsidR="00761897">
        <w:rPr>
          <w:rStyle w:val="FootnoteReference"/>
          <w:bCs/>
        </w:rPr>
        <w:footnoteReference w:id="41"/>
      </w:r>
      <w:r w:rsidR="00761897" w:rsidRPr="0071379E">
        <w:rPr>
          <w:bCs/>
        </w:rPr>
        <w:t xml:space="preserve"> </w:t>
      </w:r>
      <w:r w:rsidR="000A46A5" w:rsidRPr="0071379E">
        <w:rPr>
          <w:bCs/>
        </w:rPr>
        <w:t xml:space="preserve"> In another recent case, </w:t>
      </w:r>
      <w:r w:rsidR="004D24F5">
        <w:rPr>
          <w:bCs/>
        </w:rPr>
        <w:t xml:space="preserve">activist </w:t>
      </w:r>
      <w:r w:rsidR="007B543C" w:rsidRPr="0071379E">
        <w:t xml:space="preserve">Thomas </w:t>
      </w:r>
      <w:proofErr w:type="spellStart"/>
      <w:r w:rsidR="007B543C" w:rsidRPr="0071379E">
        <w:t>Madilis</w:t>
      </w:r>
      <w:proofErr w:type="spellEnd"/>
      <w:r w:rsidR="000A46A5" w:rsidRPr="0071379E">
        <w:t xml:space="preserve"> was reported for violating Article 28(2) </w:t>
      </w:r>
      <w:r w:rsidR="0071379E">
        <w:t>on the basis of</w:t>
      </w:r>
      <w:r w:rsidR="000A46A5" w:rsidRPr="0071379E">
        <w:t xml:space="preserve"> Facebook post</w:t>
      </w:r>
      <w:r w:rsidR="0071379E">
        <w:t>s</w:t>
      </w:r>
      <w:r w:rsidR="000A46A5" w:rsidRPr="0071379E">
        <w:t xml:space="preserve"> that criticized the local police for </w:t>
      </w:r>
      <w:r w:rsidR="004D24F5">
        <w:t>prioritizing</w:t>
      </w:r>
      <w:r w:rsidR="000A46A5" w:rsidRPr="0071379E">
        <w:t xml:space="preserve"> eating contests (the local police had recently publicized that they won a nutmeg juice and </w:t>
      </w:r>
      <w:r w:rsidR="004D24F5">
        <w:t>congee</w:t>
      </w:r>
      <w:r w:rsidR="000A46A5" w:rsidRPr="0071379E">
        <w:t xml:space="preserve"> eating contest) instead of </w:t>
      </w:r>
      <w:r w:rsidR="002D7120">
        <w:t>other</w:t>
      </w:r>
      <w:r w:rsidR="000A46A5" w:rsidRPr="0071379E">
        <w:t xml:space="preserve"> issues.</w:t>
      </w:r>
      <w:r w:rsidR="00652004">
        <w:rPr>
          <w:rStyle w:val="FootnoteReference"/>
        </w:rPr>
        <w:footnoteReference w:id="42"/>
      </w:r>
      <w:r w:rsidR="000A46A5" w:rsidRPr="0071379E">
        <w:t xml:space="preserve"> He was detained for three days and the criminal charges against him were dropped only when he posted an apology video and signed a letter promising not to repeat similar acts.</w:t>
      </w:r>
      <w:r w:rsidR="00761897" w:rsidRPr="00761897">
        <w:rPr>
          <w:rStyle w:val="FootnoteReference"/>
        </w:rPr>
        <w:t xml:space="preserve"> </w:t>
      </w:r>
      <w:r w:rsidR="00761897">
        <w:rPr>
          <w:rStyle w:val="FootnoteReference"/>
        </w:rPr>
        <w:footnoteReference w:id="43"/>
      </w:r>
      <w:r w:rsidR="00761897" w:rsidRPr="0071379E" w:rsidDel="00E47243">
        <w:t xml:space="preserve"> </w:t>
      </w:r>
      <w:r w:rsidR="007B543C" w:rsidRPr="0071379E">
        <w:t xml:space="preserve"> </w:t>
      </w:r>
    </w:p>
    <w:p w14:paraId="32E2C252" w14:textId="77777777" w:rsidR="00BD449D" w:rsidRDefault="00BD449D" w:rsidP="00110E91">
      <w:pPr>
        <w:tabs>
          <w:tab w:val="left" w:pos="2880"/>
        </w:tabs>
        <w:jc w:val="both"/>
      </w:pPr>
    </w:p>
    <w:p w14:paraId="475E7673" w14:textId="37D0B299" w:rsidR="00BD449D" w:rsidRPr="00BD449D" w:rsidRDefault="00BD449D" w:rsidP="00110E91">
      <w:pPr>
        <w:tabs>
          <w:tab w:val="left" w:pos="2880"/>
        </w:tabs>
        <w:jc w:val="both"/>
        <w:rPr>
          <w:i/>
          <w:iCs/>
        </w:rPr>
      </w:pPr>
      <w:r w:rsidRPr="00BD449D">
        <w:rPr>
          <w:i/>
          <w:iCs/>
        </w:rPr>
        <w:t>Recent Case Developments</w:t>
      </w:r>
      <w:r w:rsidR="002D7120">
        <w:rPr>
          <w:i/>
          <w:iCs/>
        </w:rPr>
        <w:t xml:space="preserve"> </w:t>
      </w:r>
    </w:p>
    <w:p w14:paraId="1D55FB08" w14:textId="77777777" w:rsidR="00436C2A" w:rsidRDefault="00436C2A" w:rsidP="00110E91">
      <w:pPr>
        <w:tabs>
          <w:tab w:val="left" w:pos="2880"/>
        </w:tabs>
        <w:jc w:val="both"/>
      </w:pPr>
    </w:p>
    <w:p w14:paraId="77AE1AAE" w14:textId="40A797C7" w:rsidR="00BD449D" w:rsidRDefault="003A47BF" w:rsidP="00110E91">
      <w:pPr>
        <w:tabs>
          <w:tab w:val="left" w:pos="2880"/>
        </w:tabs>
        <w:ind w:right="-720"/>
        <w:jc w:val="both"/>
      </w:pPr>
      <w:r>
        <w:t xml:space="preserve">In </w:t>
      </w:r>
      <w:r w:rsidR="00C54887">
        <w:t>one example of the confluence of these concerns, in 2023</w:t>
      </w:r>
      <w:r w:rsidR="001D612B">
        <w:t xml:space="preserve"> </w:t>
      </w:r>
      <w:r>
        <w:t xml:space="preserve">an </w:t>
      </w:r>
      <w:r w:rsidR="001D612B">
        <w:t xml:space="preserve">Indonesian court </w:t>
      </w:r>
      <w:r w:rsidR="00C54887">
        <w:t xml:space="preserve">heard a case against </w:t>
      </w:r>
      <w:r w:rsidR="001D612B">
        <w:t>two human rights defenders</w:t>
      </w:r>
      <w:r w:rsidR="007D6A4A">
        <w:t xml:space="preserve">, </w:t>
      </w:r>
      <w:proofErr w:type="spellStart"/>
      <w:r w:rsidR="007D6A4A">
        <w:t>Fatia</w:t>
      </w:r>
      <w:proofErr w:type="spellEnd"/>
      <w:r w:rsidR="007D6A4A">
        <w:t xml:space="preserve"> </w:t>
      </w:r>
      <w:proofErr w:type="spellStart"/>
      <w:r w:rsidR="007D6A4A">
        <w:t>Maulidiyanti</w:t>
      </w:r>
      <w:proofErr w:type="spellEnd"/>
      <w:r w:rsidR="007D6A4A">
        <w:t xml:space="preserve"> and </w:t>
      </w:r>
      <w:proofErr w:type="spellStart"/>
      <w:r w:rsidR="007D6A4A">
        <w:t>Haris</w:t>
      </w:r>
      <w:proofErr w:type="spellEnd"/>
      <w:r w:rsidR="007D6A4A">
        <w:t xml:space="preserve"> </w:t>
      </w:r>
      <w:proofErr w:type="spellStart"/>
      <w:r w:rsidR="007D6A4A">
        <w:t>Azhar</w:t>
      </w:r>
      <w:proofErr w:type="spellEnd"/>
      <w:r w:rsidR="00C54887">
        <w:t>, under Article 27(3)</w:t>
      </w:r>
      <w:r w:rsidR="00EF3AEC">
        <w:t>.</w:t>
      </w:r>
      <w:r w:rsidR="00C54887">
        <w:rPr>
          <w:rStyle w:val="FootnoteReference"/>
        </w:rPr>
        <w:footnoteReference w:id="44"/>
      </w:r>
      <w:r w:rsidR="00C54887">
        <w:t xml:space="preserve"> </w:t>
      </w:r>
      <w:r w:rsidR="00ED42DA">
        <w:t>The prosecution</w:t>
      </w:r>
      <w:r w:rsidR="00EF3AEC">
        <w:t xml:space="preserve"> was based on</w:t>
      </w:r>
      <w:r w:rsidR="00C54887">
        <w:t xml:space="preserve"> </w:t>
      </w:r>
      <w:r w:rsidR="00C55E7C">
        <w:t>comments they made on a You</w:t>
      </w:r>
      <w:r w:rsidR="007D6A4A">
        <w:t>T</w:t>
      </w:r>
      <w:r w:rsidR="00C55E7C">
        <w:t>ube show</w:t>
      </w:r>
      <w:r w:rsidR="00C54887">
        <w:t xml:space="preserve"> discussing</w:t>
      </w:r>
      <w:r w:rsidR="00C55E7C">
        <w:t xml:space="preserve"> a report by a coalition of NGOs </w:t>
      </w:r>
      <w:r w:rsidR="00ED42DA">
        <w:t>about</w:t>
      </w:r>
      <w:r w:rsidR="00B86B87">
        <w:t xml:space="preserve"> </w:t>
      </w:r>
      <w:r w:rsidR="00FB13E1">
        <w:t>alleged financial ties between</w:t>
      </w:r>
      <w:r w:rsidR="00B86B87">
        <w:t xml:space="preserve"> government officials, including a minister, </w:t>
      </w:r>
      <w:r w:rsidR="00FB13E1">
        <w:t xml:space="preserve">and </w:t>
      </w:r>
      <w:r w:rsidR="00B86B87">
        <w:t>mining operations in Papua</w:t>
      </w:r>
      <w:r w:rsidR="00C55E7C">
        <w:t xml:space="preserve">. </w:t>
      </w:r>
      <w:r w:rsidR="00B86B87">
        <w:t xml:space="preserve">The minister filed the criminal complaint that sparked the prosecution. In addition to alleging that </w:t>
      </w:r>
      <w:proofErr w:type="spellStart"/>
      <w:r w:rsidR="00B86B87">
        <w:t>Maulidiyanti</w:t>
      </w:r>
      <w:proofErr w:type="spellEnd"/>
      <w:r w:rsidR="00B86B87">
        <w:t xml:space="preserve"> and </w:t>
      </w:r>
      <w:proofErr w:type="spellStart"/>
      <w:r w:rsidR="00B86B87">
        <w:t>Azhar’s</w:t>
      </w:r>
      <w:proofErr w:type="spellEnd"/>
      <w:r w:rsidR="00B86B87">
        <w:t xml:space="preserve"> remarks had impugned the </w:t>
      </w:r>
      <w:r w:rsidR="00ED42DA">
        <w:t>m</w:t>
      </w:r>
      <w:r w:rsidR="00B86B87">
        <w:t xml:space="preserve">inister’s </w:t>
      </w:r>
      <w:r w:rsidR="007D6A4A">
        <w:t>reputation</w:t>
      </w:r>
      <w:r w:rsidR="00B86B87">
        <w:t xml:space="preserve">, the prosecution alleged that their use of the word “Lord” to refer to the minister was insulting and should be punished under Article 27(3). </w:t>
      </w:r>
    </w:p>
    <w:p w14:paraId="24807C23" w14:textId="77777777" w:rsidR="00C54887" w:rsidRDefault="00C54887" w:rsidP="00110E91">
      <w:pPr>
        <w:tabs>
          <w:tab w:val="left" w:pos="2880"/>
        </w:tabs>
        <w:jc w:val="both"/>
      </w:pPr>
    </w:p>
    <w:p w14:paraId="27845AD7" w14:textId="70756401" w:rsidR="00C54887" w:rsidRDefault="00C54887" w:rsidP="00110E91">
      <w:pPr>
        <w:tabs>
          <w:tab w:val="left" w:pos="2880"/>
        </w:tabs>
        <w:ind w:right="-720"/>
        <w:jc w:val="both"/>
      </w:pPr>
      <w:r>
        <w:t>The comments at issue concerned a matter of public interest (mining operations and human rights in Papua), and thus under the 2016 amendments should not have been considered defamatory. The comments also constituted an opinion, or assessment</w:t>
      </w:r>
      <w:r w:rsidR="00496DC8">
        <w:t>,</w:t>
      </w:r>
      <w:r>
        <w:t xml:space="preserve"> and the prosecution appears to have sought to criminalize the </w:t>
      </w:r>
      <w:r>
        <w:lastRenderedPageBreak/>
        <w:t>use of the word “Lord</w:t>
      </w:r>
      <w:r w:rsidR="00EF3AEC">
        <w:t>”</w:t>
      </w:r>
      <w:r>
        <w:t xml:space="preserve"> on the ground that it was insulting—both of which should have meant the case was pretermitted under the Joint Decree.</w:t>
      </w:r>
    </w:p>
    <w:p w14:paraId="1E55405B" w14:textId="77777777" w:rsidR="00C54887" w:rsidRDefault="00C54887" w:rsidP="00436C2A">
      <w:pPr>
        <w:jc w:val="both"/>
      </w:pPr>
    </w:p>
    <w:p w14:paraId="5D5DFAAC" w14:textId="555CABDD" w:rsidR="00C54887" w:rsidRDefault="00C54887" w:rsidP="00025AAE">
      <w:pPr>
        <w:ind w:right="-720"/>
        <w:jc w:val="both"/>
      </w:pPr>
      <w:r>
        <w:t xml:space="preserve">In welcome news, the court acquitted </w:t>
      </w:r>
      <w:proofErr w:type="spellStart"/>
      <w:r>
        <w:t>Maulidiyanti</w:t>
      </w:r>
      <w:proofErr w:type="spellEnd"/>
      <w:r>
        <w:t xml:space="preserve"> and </w:t>
      </w:r>
      <w:proofErr w:type="spellStart"/>
      <w:r>
        <w:t>Azhar</w:t>
      </w:r>
      <w:proofErr w:type="spellEnd"/>
      <w:r>
        <w:t>,</w:t>
      </w:r>
      <w:r w:rsidR="00EF3AEC">
        <w:rPr>
          <w:rStyle w:val="FootnoteReference"/>
        </w:rPr>
        <w:footnoteReference w:id="45"/>
      </w:r>
      <w:r>
        <w:t xml:space="preserve"> based in part on the factors identified in the Joint Decree</w:t>
      </w:r>
      <w:r w:rsidR="00EF3AEC">
        <w:t xml:space="preserve"> that the police and prosecution ignored</w:t>
      </w:r>
      <w:r>
        <w:t>. This example shows how the Joint Decree has the potential to help protect the right to freedom of expression, but also how the failure of the police and prosecutors to implement the Joint Decree can have serious consequences for defendants.</w:t>
      </w:r>
    </w:p>
    <w:p w14:paraId="2C5E212C" w14:textId="77777777" w:rsidR="00BD449D" w:rsidRDefault="00BD449D" w:rsidP="00436C2A">
      <w:pPr>
        <w:jc w:val="both"/>
      </w:pPr>
    </w:p>
    <w:p w14:paraId="747191D0" w14:textId="18E1E02B" w:rsidR="001D612B" w:rsidRDefault="00C54887" w:rsidP="00025AAE">
      <w:pPr>
        <w:ind w:right="-720"/>
        <w:jc w:val="both"/>
      </w:pPr>
      <w:r>
        <w:t>In this case,</w:t>
      </w:r>
      <w:r w:rsidR="00B86B87">
        <w:t xml:space="preserve"> </w:t>
      </w:r>
      <w:proofErr w:type="spellStart"/>
      <w:r w:rsidR="00B86B87">
        <w:t>Maulidiyanti</w:t>
      </w:r>
      <w:proofErr w:type="spellEnd"/>
      <w:r w:rsidR="00B86B87">
        <w:t xml:space="preserve"> and </w:t>
      </w:r>
      <w:proofErr w:type="spellStart"/>
      <w:r w:rsidR="00B86B87">
        <w:t>Azhar</w:t>
      </w:r>
      <w:proofErr w:type="spellEnd"/>
      <w:r w:rsidR="00B86B87">
        <w:t xml:space="preserve"> were subjected to three years of criminal proceedings, draining their time, energy, and resources. </w:t>
      </w:r>
      <w:proofErr w:type="spellStart"/>
      <w:r w:rsidR="00B86B87">
        <w:t>Maulidiyanti</w:t>
      </w:r>
      <w:proofErr w:type="spellEnd"/>
      <w:r w:rsidR="00B86B87">
        <w:t>, who</w:t>
      </w:r>
      <w:r w:rsidR="003A47BF">
        <w:t xml:space="preserve"> previously</w:t>
      </w:r>
      <w:r w:rsidR="00B86B87">
        <w:t xml:space="preserve"> headed an NGO, left her </w:t>
      </w:r>
      <w:r w:rsidR="008D3F7E">
        <w:t xml:space="preserve">position during the </w:t>
      </w:r>
      <w:r w:rsidR="00D8752B">
        <w:t>proceedings</w:t>
      </w:r>
      <w:r w:rsidR="00B86B87">
        <w:t xml:space="preserve">. And even though the court </w:t>
      </w:r>
      <w:r w:rsidR="003A47BF">
        <w:t xml:space="preserve">ultimately </w:t>
      </w:r>
      <w:r w:rsidR="00B86B87">
        <w:t xml:space="preserve">acquitted </w:t>
      </w:r>
      <w:proofErr w:type="spellStart"/>
      <w:r w:rsidR="00BD449D">
        <w:t>Maulidiyanti</w:t>
      </w:r>
      <w:proofErr w:type="spellEnd"/>
      <w:r w:rsidR="00BD449D">
        <w:t xml:space="preserve"> and </w:t>
      </w:r>
      <w:proofErr w:type="spellStart"/>
      <w:r w:rsidR="00BD449D">
        <w:t>Azhar</w:t>
      </w:r>
      <w:proofErr w:type="spellEnd"/>
      <w:r w:rsidR="00B86B87">
        <w:t xml:space="preserve">, the prosecution has now appealed </w:t>
      </w:r>
      <w:r w:rsidR="007D6A4A">
        <w:t xml:space="preserve">the verdict </w:t>
      </w:r>
      <w:r w:rsidR="00B86B87">
        <w:t xml:space="preserve">and </w:t>
      </w:r>
      <w:r w:rsidR="00AC4D88">
        <w:t>the defendants are still under threat</w:t>
      </w:r>
      <w:r w:rsidR="00151573">
        <w:t>, particularly given that, as mentioned above, it not clear whether the Joint Decree applies to courts to the extent it does police and prosecutors.</w:t>
      </w:r>
    </w:p>
    <w:p w14:paraId="73041328" w14:textId="77777777" w:rsidR="00B86B87" w:rsidRDefault="00B86B87" w:rsidP="00436C2A">
      <w:pPr>
        <w:jc w:val="both"/>
      </w:pPr>
    </w:p>
    <w:p w14:paraId="0C6934B0" w14:textId="6FCB32F3" w:rsidR="00C148E0" w:rsidRDefault="00151573" w:rsidP="00025AAE">
      <w:pPr>
        <w:ind w:right="-720"/>
        <w:jc w:val="both"/>
      </w:pPr>
      <w:r>
        <w:t>Indeed, in</w:t>
      </w:r>
      <w:r w:rsidR="00436C2A">
        <w:t xml:space="preserve"> another case monitored by TrialWatch</w:t>
      </w:r>
      <w:r>
        <w:t xml:space="preserve"> the court disregarded the Joint Decree. In 2020, </w:t>
      </w:r>
      <w:r w:rsidR="005231EF">
        <w:t xml:space="preserve">journalist </w:t>
      </w:r>
      <w:r w:rsidR="001D612B">
        <w:t xml:space="preserve">Muhammad </w:t>
      </w:r>
      <w:proofErr w:type="spellStart"/>
      <w:r w:rsidR="001D612B">
        <w:t>Asrul</w:t>
      </w:r>
      <w:proofErr w:type="spellEnd"/>
      <w:r w:rsidR="001D612B">
        <w:t xml:space="preserve"> was </w:t>
      </w:r>
      <w:r w:rsidR="005231EF">
        <w:t xml:space="preserve">charged </w:t>
      </w:r>
      <w:r>
        <w:t>under</w:t>
      </w:r>
      <w:r w:rsidR="005231EF">
        <w:t xml:space="preserve"> Article 27(3) for a series of </w:t>
      </w:r>
      <w:r w:rsidR="000C5AA1">
        <w:t xml:space="preserve">news </w:t>
      </w:r>
      <w:r w:rsidR="005231EF">
        <w:t xml:space="preserve">articles he wrote about alleged corruption </w:t>
      </w:r>
      <w:r w:rsidR="003A47BF">
        <w:t>by the son of a</w:t>
      </w:r>
      <w:r w:rsidR="005231EF">
        <w:t xml:space="preserve"> local mayor. </w:t>
      </w:r>
      <w:r>
        <w:t xml:space="preserve">Although the charges were brought prior to the adoption of the Joint Decree, the judgment was issued afterwards: in </w:t>
      </w:r>
      <w:r w:rsidR="000C5AA1">
        <w:t>November 2021</w:t>
      </w:r>
      <w:r w:rsidR="005231EF">
        <w:t xml:space="preserve"> </w:t>
      </w:r>
      <w:proofErr w:type="spellStart"/>
      <w:r>
        <w:t>Asrul</w:t>
      </w:r>
      <w:proofErr w:type="spellEnd"/>
      <w:r>
        <w:t xml:space="preserve"> </w:t>
      </w:r>
      <w:r w:rsidR="000C5AA1">
        <w:t>was convicted and</w:t>
      </w:r>
      <w:r w:rsidR="005231EF">
        <w:t xml:space="preserve"> </w:t>
      </w:r>
      <w:r w:rsidR="001D612B">
        <w:t>sentenced to three months in prison.</w:t>
      </w:r>
      <w:r w:rsidR="001D612B">
        <w:rPr>
          <w:rStyle w:val="FootnoteReference"/>
        </w:rPr>
        <w:footnoteReference w:id="46"/>
      </w:r>
      <w:r w:rsidR="001D612B">
        <w:t xml:space="preserve"> </w:t>
      </w:r>
      <w:r w:rsidR="003A47BF">
        <w:t>Despite</w:t>
      </w:r>
      <w:r w:rsidR="00436C2A">
        <w:t xml:space="preserve"> </w:t>
      </w:r>
      <w:r w:rsidR="003A47BF">
        <w:t>defense arguments that</w:t>
      </w:r>
      <w:r w:rsidR="005231EF">
        <w:t xml:space="preserve"> </w:t>
      </w:r>
      <w:proofErr w:type="spellStart"/>
      <w:r w:rsidR="005231EF">
        <w:t>Asrul</w:t>
      </w:r>
      <w:proofErr w:type="spellEnd"/>
      <w:r w:rsidR="005231EF">
        <w:t xml:space="preserve"> </w:t>
      </w:r>
      <w:r w:rsidR="000C5AA1">
        <w:t>should not have been prosecuted at all g</w:t>
      </w:r>
      <w:r w:rsidR="005231EF">
        <w:t>iven</w:t>
      </w:r>
      <w:r w:rsidR="000C5AA1">
        <w:t xml:space="preserve"> that the Joint Decree protected journalistic products like news articles from Article 27(3) charges, the court still found </w:t>
      </w:r>
      <w:proofErr w:type="spellStart"/>
      <w:r w:rsidR="000C5AA1">
        <w:t>Asrul</w:t>
      </w:r>
      <w:proofErr w:type="spellEnd"/>
      <w:r w:rsidR="000C5AA1">
        <w:t xml:space="preserve"> guilty.</w:t>
      </w:r>
      <w:r w:rsidR="007D6A4A">
        <w:rPr>
          <w:rStyle w:val="FootnoteReference"/>
        </w:rPr>
        <w:footnoteReference w:id="47"/>
      </w:r>
      <w:r w:rsidR="000C5AA1">
        <w:t xml:space="preserve"> Notably, </w:t>
      </w:r>
      <w:proofErr w:type="spellStart"/>
      <w:r w:rsidR="000C5AA1">
        <w:t>Asrul</w:t>
      </w:r>
      <w:proofErr w:type="spellEnd"/>
      <w:r w:rsidR="000C5AA1">
        <w:t xml:space="preserve"> was also charged with violating Article 28(2), an example of how the authorities can alternate between the two provisions to target dissenting speech.</w:t>
      </w:r>
    </w:p>
    <w:p w14:paraId="14140339" w14:textId="77777777" w:rsidR="00E07A9D" w:rsidRDefault="00E07A9D" w:rsidP="00441739">
      <w:pPr>
        <w:ind w:right="-720"/>
        <w:jc w:val="both"/>
        <w:rPr>
          <w:b/>
          <w:bCs/>
          <w:lang w:val="en-GB"/>
        </w:rPr>
      </w:pPr>
    </w:p>
    <w:p w14:paraId="5F350A0C" w14:textId="689E1838" w:rsidR="009A76F5" w:rsidRDefault="009A76F5" w:rsidP="00441739">
      <w:pPr>
        <w:ind w:right="-720"/>
        <w:jc w:val="both"/>
        <w:rPr>
          <w:b/>
          <w:bCs/>
          <w:lang w:val="en-GB"/>
        </w:rPr>
      </w:pPr>
      <w:r>
        <w:rPr>
          <w:b/>
          <w:bCs/>
          <w:lang w:val="en-GB"/>
        </w:rPr>
        <w:t>Criminal Code and EIT Law Revision</w:t>
      </w:r>
    </w:p>
    <w:p w14:paraId="51BD30D2" w14:textId="77777777" w:rsidR="00FA7F0F" w:rsidRDefault="00FA7F0F" w:rsidP="00441739">
      <w:pPr>
        <w:ind w:right="-720"/>
        <w:jc w:val="both"/>
        <w:rPr>
          <w:b/>
          <w:bCs/>
          <w:lang w:val="en-GB"/>
        </w:rPr>
      </w:pPr>
    </w:p>
    <w:p w14:paraId="17A0E0BF" w14:textId="64C4A797" w:rsidR="00B20CFF" w:rsidRDefault="00FA7F0F" w:rsidP="00B20CFF">
      <w:pPr>
        <w:ind w:right="-720"/>
        <w:jc w:val="both"/>
      </w:pPr>
      <w:r w:rsidRPr="00FA7F0F">
        <w:rPr>
          <w:szCs w:val="20"/>
        </w:rPr>
        <w:t xml:space="preserve">The </w:t>
      </w:r>
      <w:r w:rsidR="005D4B72">
        <w:rPr>
          <w:szCs w:val="20"/>
        </w:rPr>
        <w:t xml:space="preserve">recent </w:t>
      </w:r>
      <w:r w:rsidRPr="00FA7F0F">
        <w:rPr>
          <w:szCs w:val="20"/>
        </w:rPr>
        <w:t xml:space="preserve">revisions of the Indonesian Criminal Code and EIT Law </w:t>
      </w:r>
      <w:r w:rsidR="00B20CFF">
        <w:rPr>
          <w:szCs w:val="20"/>
        </w:rPr>
        <w:t xml:space="preserve">also </w:t>
      </w:r>
      <w:r w:rsidRPr="00FA7F0F">
        <w:rPr>
          <w:szCs w:val="20"/>
        </w:rPr>
        <w:t>do not address the concerns expressed by the Committee, for the reasons detailed below.</w:t>
      </w:r>
      <w:r w:rsidR="00B20CFF">
        <w:rPr>
          <w:szCs w:val="20"/>
        </w:rPr>
        <w:t xml:space="preserve">  </w:t>
      </w:r>
      <w:r w:rsidR="00B20CFF">
        <w:t>And while the government plans to introduce implementing guidelines that may include additional limiting criteria, akin to the Joint Decree and in line with international standards, it is unclear how it will ensure that these guidelines will be effective given the fact that the Joint Decree appears to have been regularly flouted.</w:t>
      </w:r>
    </w:p>
    <w:p w14:paraId="13953628" w14:textId="77777777" w:rsidR="00FA7F0F" w:rsidRDefault="00FA7F0F" w:rsidP="00441739">
      <w:pPr>
        <w:ind w:right="-720"/>
        <w:jc w:val="both"/>
        <w:rPr>
          <w:szCs w:val="20"/>
        </w:rPr>
      </w:pPr>
    </w:p>
    <w:p w14:paraId="3535F681" w14:textId="50718F71" w:rsidR="00D8752B" w:rsidRPr="00110E91" w:rsidRDefault="00FA7F0F" w:rsidP="00FA7F0F">
      <w:pPr>
        <w:ind w:right="-720"/>
        <w:jc w:val="both"/>
      </w:pPr>
      <w:r>
        <w:t>O</w:t>
      </w:r>
      <w:r w:rsidRPr="003A12B5">
        <w:t xml:space="preserve">n December </w:t>
      </w:r>
      <w:r w:rsidR="007D6A4A">
        <w:t xml:space="preserve">6, </w:t>
      </w:r>
      <w:r w:rsidRPr="003A12B5">
        <w:t xml:space="preserve">2022, the Indonesian parliament unanimously passed </w:t>
      </w:r>
      <w:r>
        <w:t>a new Criminal Code</w:t>
      </w:r>
      <w:r w:rsidRPr="003A12B5">
        <w:t xml:space="preserve"> repealing the current </w:t>
      </w:r>
      <w:r>
        <w:t>Criminal Code,</w:t>
      </w:r>
      <w:r w:rsidRPr="003A12B5">
        <w:t xml:space="preserve"> which </w:t>
      </w:r>
      <w:proofErr w:type="gramStart"/>
      <w:r w:rsidRPr="003A12B5">
        <w:t>dates back to</w:t>
      </w:r>
      <w:proofErr w:type="gramEnd"/>
      <w:r w:rsidRPr="003A12B5">
        <w:t xml:space="preserve"> the Dutch colonial period.  </w:t>
      </w:r>
      <w:r>
        <w:t>Among other changes, t</w:t>
      </w:r>
      <w:r w:rsidRPr="003A12B5">
        <w:t xml:space="preserve">he </w:t>
      </w:r>
      <w:r>
        <w:t>n</w:t>
      </w:r>
      <w:r w:rsidRPr="003A12B5">
        <w:t xml:space="preserve">ew </w:t>
      </w:r>
      <w:r>
        <w:t>Criminal Code</w:t>
      </w:r>
      <w:r w:rsidRPr="003A12B5">
        <w:t xml:space="preserve">, which is due to come into force </w:t>
      </w:r>
      <w:r>
        <w:t>in</w:t>
      </w:r>
      <w:r w:rsidRPr="003A12B5">
        <w:t xml:space="preserve"> </w:t>
      </w:r>
      <w:r w:rsidR="007D6A4A">
        <w:t>the beginning of 2026</w:t>
      </w:r>
      <w:r w:rsidRPr="003A12B5">
        <w:t>,</w:t>
      </w:r>
      <w:r>
        <w:rPr>
          <w:rStyle w:val="FootnoteReference"/>
        </w:rPr>
        <w:footnoteReference w:id="48"/>
      </w:r>
      <w:r w:rsidRPr="003A12B5">
        <w:t xml:space="preserve"> amends the provisions on defamation.  </w:t>
      </w:r>
    </w:p>
    <w:p w14:paraId="25839561" w14:textId="2C618B9E" w:rsidR="009C0CB1" w:rsidRDefault="00FA7F0F" w:rsidP="00FA7F0F">
      <w:pPr>
        <w:ind w:right="-720"/>
        <w:jc w:val="both"/>
        <w:rPr>
          <w:iCs/>
        </w:rPr>
      </w:pPr>
      <w:r w:rsidRPr="003A12B5">
        <w:rPr>
          <w:iCs/>
        </w:rPr>
        <w:lastRenderedPageBreak/>
        <w:t xml:space="preserve">The defamation provisions in the </w:t>
      </w:r>
      <w:r>
        <w:rPr>
          <w:iCs/>
        </w:rPr>
        <w:t>n</w:t>
      </w:r>
      <w:r w:rsidRPr="003A12B5">
        <w:rPr>
          <w:iCs/>
        </w:rPr>
        <w:t xml:space="preserve">ew </w:t>
      </w:r>
      <w:r>
        <w:rPr>
          <w:iCs/>
        </w:rPr>
        <w:t>Criminal Code</w:t>
      </w:r>
      <w:r w:rsidRPr="003A12B5">
        <w:rPr>
          <w:iCs/>
        </w:rPr>
        <w:t xml:space="preserve"> </w:t>
      </w:r>
      <w:r w:rsidR="007158ED">
        <w:rPr>
          <w:iCs/>
        </w:rPr>
        <w:t>state that</w:t>
      </w:r>
      <w:r w:rsidRPr="003A12B5">
        <w:rPr>
          <w:iCs/>
        </w:rPr>
        <w:t xml:space="preserve"> </w:t>
      </w:r>
      <w:r>
        <w:rPr>
          <w:iCs/>
        </w:rPr>
        <w:t>“[a]</w:t>
      </w:r>
      <w:proofErr w:type="spellStart"/>
      <w:r w:rsidRPr="00BF752D">
        <w:t>ny</w:t>
      </w:r>
      <w:proofErr w:type="spellEnd"/>
      <w:r w:rsidRPr="00BF752D">
        <w:t xml:space="preserve"> person by oral means assaulting the honor or reputation of another person by conveying an accusation of a matter, with the intent for such matter to be known publicly</w:t>
      </w:r>
      <w:r w:rsidRPr="005D4B72">
        <w:t>, shall be punishable for defamation” for up to nine months of imprisonment or fines.</w:t>
      </w:r>
      <w:r w:rsidRPr="005D4B72">
        <w:rPr>
          <w:rStyle w:val="FootnoteReference"/>
        </w:rPr>
        <w:footnoteReference w:id="49"/>
      </w:r>
      <w:r w:rsidRPr="005D4B72">
        <w:t xml:space="preserve">  If the challenged expression is “broadcast, displayed, or placed in a public area,”</w:t>
      </w:r>
      <w:r w:rsidRPr="005D4B72">
        <w:rPr>
          <w:iCs/>
        </w:rPr>
        <w:t xml:space="preserve"> individuals face an increased penalty of up to one year and six months of imprisonment or fines.</w:t>
      </w:r>
      <w:r w:rsidRPr="005D4B72">
        <w:rPr>
          <w:rStyle w:val="FootnoteReference"/>
          <w:iCs/>
        </w:rPr>
        <w:footnoteReference w:id="50"/>
      </w:r>
      <w:r w:rsidRPr="005D4B72">
        <w:rPr>
          <w:iCs/>
        </w:rPr>
        <w:t xml:space="preserve"> Any of these penalties may be increased by one-third when the challenged expression is “</w:t>
      </w:r>
      <w:r w:rsidRPr="005D4B72">
        <w:t xml:space="preserve">committed </w:t>
      </w:r>
      <w:r w:rsidRPr="005D4B72">
        <w:rPr>
          <w:iCs/>
        </w:rPr>
        <w:t>by means of information technology,”</w:t>
      </w:r>
      <w:r w:rsidRPr="005D4B72">
        <w:rPr>
          <w:rStyle w:val="FootnoteReference"/>
          <w:iCs/>
        </w:rPr>
        <w:footnoteReference w:id="51"/>
      </w:r>
      <w:r w:rsidRPr="005D4B72">
        <w:rPr>
          <w:iCs/>
        </w:rPr>
        <w:t xml:space="preserve"> or “</w:t>
      </w:r>
      <w:r w:rsidRPr="005D4B72">
        <w:t>if the person against whom the derogation or false accusation is [made is] a public official performing their lawful duty</w:t>
      </w:r>
      <w:r w:rsidRPr="005D4B72">
        <w:rPr>
          <w:iCs/>
        </w:rPr>
        <w:t>.”</w:t>
      </w:r>
      <w:r w:rsidRPr="005D4B72">
        <w:rPr>
          <w:rStyle w:val="FootnoteReference"/>
          <w:iCs/>
        </w:rPr>
        <w:footnoteReference w:id="52"/>
      </w:r>
      <w:r w:rsidRPr="005D4B72">
        <w:rPr>
          <w:iCs/>
        </w:rPr>
        <w:t xml:space="preserve"> </w:t>
      </w:r>
    </w:p>
    <w:p w14:paraId="4679424B" w14:textId="77777777" w:rsidR="009C0CB1" w:rsidRDefault="009C0CB1" w:rsidP="00FA7F0F">
      <w:pPr>
        <w:ind w:right="-720"/>
        <w:jc w:val="both"/>
        <w:rPr>
          <w:iCs/>
        </w:rPr>
      </w:pPr>
    </w:p>
    <w:p w14:paraId="7FA0C6FE" w14:textId="0992AC67" w:rsidR="00FA7F0F" w:rsidRPr="009C0CB1" w:rsidRDefault="007158ED" w:rsidP="00FA7F0F">
      <w:pPr>
        <w:ind w:right="-720"/>
        <w:jc w:val="both"/>
        <w:rPr>
          <w:color w:val="000000" w:themeColor="text1"/>
        </w:rPr>
      </w:pPr>
      <w:r w:rsidRPr="005D4B72">
        <w:rPr>
          <w:iCs/>
        </w:rPr>
        <w:t xml:space="preserve">The hate speech provision in the new Criminal </w:t>
      </w:r>
      <w:r w:rsidRPr="009C0CB1">
        <w:rPr>
          <w:iCs/>
          <w:color w:val="000000" w:themeColor="text1"/>
        </w:rPr>
        <w:t xml:space="preserve">Code provides that </w:t>
      </w:r>
      <w:r w:rsidR="00920F74" w:rsidRPr="009C0CB1">
        <w:rPr>
          <w:iCs/>
          <w:color w:val="000000" w:themeColor="text1"/>
        </w:rPr>
        <w:t>“</w:t>
      </w:r>
      <w:r w:rsidR="00920F74" w:rsidRPr="009C0CB1">
        <w:rPr>
          <w:color w:val="000000" w:themeColor="text1"/>
        </w:rPr>
        <w:t>anyone who broadcasts, shows, or attaches writing or pictures so that they are visible to the public or plays recordings so that they are heard, or disseminates by means of information technology, with the intent to make the content known by the public where the speech therein contains statements of hostility against one or several groups of the Indonesian population based on race, nationality, ethnicity, skin color, religion, belief, gender, mental or physical disability that results in violence against people or property shall be punished by a maximum of 4(four) years imprisonment or a maximum fine.”</w:t>
      </w:r>
      <w:r w:rsidR="009C0CB1">
        <w:rPr>
          <w:rStyle w:val="FootnoteReference"/>
          <w:color w:val="000000" w:themeColor="text1"/>
        </w:rPr>
        <w:footnoteReference w:id="53"/>
      </w:r>
    </w:p>
    <w:p w14:paraId="6A198403" w14:textId="77777777" w:rsidR="00920F74" w:rsidRPr="005D4B72" w:rsidRDefault="00920F74" w:rsidP="00FA7F0F">
      <w:pPr>
        <w:ind w:right="-720"/>
        <w:jc w:val="both"/>
      </w:pPr>
    </w:p>
    <w:p w14:paraId="6AF9F3F1" w14:textId="675E3175" w:rsidR="00FA7F0F" w:rsidRDefault="00FA7F0F" w:rsidP="00FA7F0F">
      <w:pPr>
        <w:ind w:right="-720"/>
        <w:jc w:val="both"/>
      </w:pPr>
      <w:r>
        <w:t xml:space="preserve">The new Criminal Code’s provisions on defamation </w:t>
      </w:r>
      <w:r w:rsidR="007158ED">
        <w:t xml:space="preserve">and hate speech </w:t>
      </w:r>
      <w:r>
        <w:t xml:space="preserve">address both online and offline speech, meaning that </w:t>
      </w:r>
      <w:r w:rsidR="007158ED">
        <w:t xml:space="preserve">Articles 27(3) and 28(2) of the </w:t>
      </w:r>
      <w:r>
        <w:t>EIT Law</w:t>
      </w:r>
      <w:r w:rsidR="007158ED">
        <w:t xml:space="preserve"> </w:t>
      </w:r>
      <w:r>
        <w:t>will be subsumed by the code come 202</w:t>
      </w:r>
      <w:r w:rsidR="00D545C3">
        <w:t>6</w:t>
      </w:r>
      <w:r>
        <w:t xml:space="preserve">.  </w:t>
      </w:r>
      <w:r w:rsidR="007158ED">
        <w:t xml:space="preserve">With respect to cyberdefamation, the </w:t>
      </w:r>
      <w:r>
        <w:t xml:space="preserve">new Criminal </w:t>
      </w:r>
      <w:r w:rsidR="008D6315">
        <w:t>Code</w:t>
      </w:r>
      <w:r>
        <w:t xml:space="preserve"> reduces the potential prison sentence as compared to the </w:t>
      </w:r>
      <w:r w:rsidR="00D545C3">
        <w:t>EIT</w:t>
      </w:r>
      <w:r>
        <w:t xml:space="preserve"> Law.  It also explicitly codifies the public</w:t>
      </w:r>
      <w:r w:rsidR="00B20CFF">
        <w:t>-</w:t>
      </w:r>
      <w:r>
        <w:t>interest speech</w:t>
      </w:r>
      <w:r w:rsidR="005D4B72">
        <w:t xml:space="preserve"> exception</w:t>
      </w:r>
      <w:r>
        <w:t xml:space="preserve"> in the context of cyber defamation. </w:t>
      </w:r>
      <w:r>
        <w:rPr>
          <w:iCs/>
        </w:rPr>
        <w:t>Specifically, the new provisions broadly import the standards of existing Articles 310-312 and more clearly apply them to cyber speech.</w:t>
      </w:r>
      <w:r w:rsidRPr="003A12B5">
        <w:rPr>
          <w:iCs/>
        </w:rPr>
        <w:t xml:space="preserve">  </w:t>
      </w:r>
    </w:p>
    <w:p w14:paraId="7D6406E1" w14:textId="77777777" w:rsidR="008D6315" w:rsidRDefault="008D6315" w:rsidP="008D6315">
      <w:pPr>
        <w:ind w:right="-720"/>
        <w:jc w:val="both"/>
      </w:pPr>
    </w:p>
    <w:p w14:paraId="650E382D" w14:textId="11076918" w:rsidR="00B20CFF" w:rsidRDefault="00FA7F0F" w:rsidP="008D6315">
      <w:pPr>
        <w:ind w:right="-720"/>
        <w:jc w:val="both"/>
      </w:pPr>
      <w:r>
        <w:t xml:space="preserve">On the other hand, the </w:t>
      </w:r>
      <w:r w:rsidR="008D6315">
        <w:t>new Criminal Code</w:t>
      </w:r>
      <w:r>
        <w:t xml:space="preserve"> does </w:t>
      </w:r>
      <w:r w:rsidR="00ED42DA">
        <w:t xml:space="preserve">not </w:t>
      </w:r>
      <w:r w:rsidR="009B5939">
        <w:t xml:space="preserve">contain the safeguards of the Joint Decree: </w:t>
      </w:r>
      <w:r w:rsidR="00ED42DA">
        <w:t xml:space="preserve">it does </w:t>
      </w:r>
      <w:r>
        <w:t>not distinguish between facts and opinions, stating</w:t>
      </w:r>
      <w:r w:rsidR="00900517">
        <w:t xml:space="preserve"> only</w:t>
      </w:r>
      <w:r>
        <w:t xml:space="preserve"> that its defamation provisions apply to “accusations of a matter</w:t>
      </w:r>
      <w:r w:rsidR="008D6315">
        <w:t>,</w:t>
      </w:r>
      <w:r>
        <w:t>”</w:t>
      </w:r>
      <w:r w:rsidR="008D6315">
        <w:t xml:space="preserve"> does not exclude insults and inappropriate words from its remit, and do</w:t>
      </w:r>
      <w:r w:rsidR="00D545C3">
        <w:t>es</w:t>
      </w:r>
      <w:r w:rsidR="008D6315">
        <w:t xml:space="preserve"> not offer any specific protections for journalists.</w:t>
      </w:r>
      <w:r>
        <w:t xml:space="preserve"> </w:t>
      </w:r>
      <w:r w:rsidRPr="003A12B5">
        <w:t xml:space="preserve"> </w:t>
      </w:r>
      <w:r w:rsidR="002D7120">
        <w:t xml:space="preserve">Moreover, </w:t>
      </w:r>
      <w:r w:rsidR="00ED42DA">
        <w:t xml:space="preserve">it provides </w:t>
      </w:r>
      <w:r w:rsidR="008A3407">
        <w:t>for only a</w:t>
      </w:r>
      <w:r w:rsidR="00ED42DA">
        <w:t xml:space="preserve"> partial defense of truth</w:t>
      </w:r>
      <w:r w:rsidR="008A3407">
        <w:rPr>
          <w:rStyle w:val="FootnoteReference"/>
        </w:rPr>
        <w:footnoteReference w:id="54"/>
      </w:r>
      <w:r w:rsidR="00ED42DA">
        <w:t xml:space="preserve"> and</w:t>
      </w:r>
      <w:r w:rsidR="002D7120">
        <w:t xml:space="preserve"> increase</w:t>
      </w:r>
      <w:r w:rsidR="00ED42DA">
        <w:t>s</w:t>
      </w:r>
      <w:r w:rsidR="002D7120">
        <w:t xml:space="preserve"> the penalty for defamation if the speech concerns a public official, in direct contradiction of this Committee’s comments on the heightened value of speech concerning public figures.</w:t>
      </w:r>
      <w:r w:rsidR="005F3F29">
        <w:t xml:space="preserve"> </w:t>
      </w:r>
      <w:r w:rsidR="00E312C6">
        <w:t>Notably,</w:t>
      </w:r>
      <w:r w:rsidR="003A2688">
        <w:t xml:space="preserve"> </w:t>
      </w:r>
      <w:r w:rsidR="00E312C6">
        <w:t>t</w:t>
      </w:r>
      <w:r w:rsidR="005F3F29">
        <w:t xml:space="preserve">he Code </w:t>
      </w:r>
      <w:r w:rsidR="00BF4178">
        <w:t>includes separate</w:t>
      </w:r>
      <w:r w:rsidR="005F3F29">
        <w:t xml:space="preserve"> </w:t>
      </w:r>
      <w:r w:rsidR="004F669F">
        <w:t>Articles providing for a</w:t>
      </w:r>
      <w:r w:rsidR="005F3F29">
        <w:t xml:space="preserve"> three</w:t>
      </w:r>
      <w:r w:rsidR="004F669F">
        <w:t>-</w:t>
      </w:r>
      <w:r w:rsidR="005F3F29">
        <w:t>year prison sentenc</w:t>
      </w:r>
      <w:r w:rsidR="004B2047">
        <w:t>e</w:t>
      </w:r>
      <w:r w:rsidR="005F3F29">
        <w:t xml:space="preserve"> where an individual </w:t>
      </w:r>
      <w:r w:rsidR="00AC59A4">
        <w:t xml:space="preserve">“attacks the honor or dignity” </w:t>
      </w:r>
      <w:r w:rsidR="00AC59A4">
        <w:t xml:space="preserve">of the </w:t>
      </w:r>
      <w:r w:rsidR="005F3F29">
        <w:t>President or Vice-President</w:t>
      </w:r>
      <w:r w:rsidR="004B2047">
        <w:t xml:space="preserve"> and a four</w:t>
      </w:r>
      <w:r w:rsidR="004F669F">
        <w:t>-</w:t>
      </w:r>
      <w:r w:rsidR="004B2047">
        <w:t xml:space="preserve">year prison sentence where </w:t>
      </w:r>
      <w:r w:rsidR="004F669F">
        <w:t xml:space="preserve">an individual intentionally makes such </w:t>
      </w:r>
      <w:r w:rsidR="004B2047">
        <w:t xml:space="preserve">comments </w:t>
      </w:r>
      <w:r w:rsidR="004F669F">
        <w:t>known to the</w:t>
      </w:r>
      <w:r w:rsidR="004B2047">
        <w:t xml:space="preserve"> public</w:t>
      </w:r>
      <w:r w:rsidR="005F3F29">
        <w:t>.</w:t>
      </w:r>
      <w:r w:rsidR="004B2047">
        <w:rPr>
          <w:rStyle w:val="FootnoteReference"/>
        </w:rPr>
        <w:footnoteReference w:id="55"/>
      </w:r>
    </w:p>
    <w:p w14:paraId="17DDDD9D" w14:textId="77777777" w:rsidR="007158ED" w:rsidRDefault="007158ED" w:rsidP="008D6315">
      <w:pPr>
        <w:ind w:right="-720"/>
        <w:jc w:val="both"/>
      </w:pPr>
    </w:p>
    <w:p w14:paraId="4848FBD5" w14:textId="6555F479" w:rsidR="007158ED" w:rsidRDefault="007158ED" w:rsidP="008D6315">
      <w:pPr>
        <w:ind w:right="-720"/>
        <w:jc w:val="both"/>
      </w:pPr>
      <w:r>
        <w:t xml:space="preserve">With respect to hate speech, </w:t>
      </w:r>
      <w:r w:rsidR="005D4B72">
        <w:t>the</w:t>
      </w:r>
      <w:r w:rsidR="00920F74">
        <w:t xml:space="preserve"> new provision reduces the penalty to four years</w:t>
      </w:r>
      <w:r w:rsidR="005D4B72">
        <w:t xml:space="preserve">, </w:t>
      </w:r>
      <w:r w:rsidR="00920F74">
        <w:t>specifies the groups that are covered by the law</w:t>
      </w:r>
      <w:r w:rsidR="00B20CFF">
        <w:t xml:space="preserve"> (appearing to exclude </w:t>
      </w:r>
      <w:r w:rsidR="00151573">
        <w:t xml:space="preserve">professional </w:t>
      </w:r>
      <w:r w:rsidR="00B20CFF">
        <w:t>groups like the police</w:t>
      </w:r>
      <w:r w:rsidR="00151573">
        <w:t xml:space="preserve"> and political parties</w:t>
      </w:r>
      <w:r w:rsidR="00B20CFF">
        <w:t>)</w:t>
      </w:r>
      <w:r w:rsidR="00920F74">
        <w:t>,</w:t>
      </w:r>
      <w:r w:rsidR="005D4B72" w:rsidRPr="005D4B72">
        <w:t xml:space="preserve"> </w:t>
      </w:r>
      <w:r w:rsidR="005D4B72">
        <w:t>and includes a requirement that violence or property damage result from the speech</w:t>
      </w:r>
      <w:r w:rsidR="003E39D5">
        <w:t xml:space="preserve"> in question</w:t>
      </w:r>
      <w:r w:rsidR="005D4B72">
        <w:t>.</w:t>
      </w:r>
      <w:r w:rsidR="00920F74">
        <w:t xml:space="preserve"> </w:t>
      </w:r>
      <w:r w:rsidR="003E39D5">
        <w:t xml:space="preserve">However, </w:t>
      </w:r>
      <w:r w:rsidR="00B20CFF">
        <w:t>t</w:t>
      </w:r>
      <w:r w:rsidR="003E39D5">
        <w:t xml:space="preserve">he </w:t>
      </w:r>
      <w:r w:rsidR="003E39D5">
        <w:lastRenderedPageBreak/>
        <w:t>provision</w:t>
      </w:r>
      <w:r w:rsidR="009F70EE">
        <w:t xml:space="preserve"> does not define the term “hostility” and</w:t>
      </w:r>
      <w:r w:rsidR="00920F74">
        <w:t xml:space="preserve"> limits intent to “intent to make public” as opposed to intent to incite</w:t>
      </w:r>
      <w:r w:rsidR="00656CB7">
        <w:t>, thus omitting a core requirement under international standards</w:t>
      </w:r>
      <w:r w:rsidR="00920F74">
        <w:t xml:space="preserve">. </w:t>
      </w:r>
    </w:p>
    <w:p w14:paraId="2FE3D5B5" w14:textId="77777777" w:rsidR="007158ED" w:rsidRPr="003A12B5" w:rsidRDefault="007158ED" w:rsidP="008D6315">
      <w:pPr>
        <w:ind w:right="-720"/>
        <w:jc w:val="both"/>
      </w:pPr>
    </w:p>
    <w:p w14:paraId="21242D8F" w14:textId="66082D1A" w:rsidR="00B20CFF" w:rsidRDefault="003D46D9" w:rsidP="00BE3435">
      <w:pPr>
        <w:ind w:right="-720"/>
        <w:jc w:val="both"/>
      </w:pPr>
      <w:r>
        <w:t>As noted above, the new Criminal Code will not come into force until early 2026. In the meantime, the Indonesian government has</w:t>
      </w:r>
      <w:r w:rsidR="002D57BC">
        <w:t xml:space="preserve"> </w:t>
      </w:r>
      <w:r w:rsidR="00B20CFF">
        <w:t xml:space="preserve">worked </w:t>
      </w:r>
      <w:r>
        <w:t>on revising the EIT Law, forming a task</w:t>
      </w:r>
      <w:r w:rsidR="00FA7F0F" w:rsidRPr="003A12B5">
        <w:t xml:space="preserve"> force to draft recommendations </w:t>
      </w:r>
      <w:r w:rsidR="00FA7F0F">
        <w:t xml:space="preserve">for </w:t>
      </w:r>
      <w:r w:rsidR="009C0CB1">
        <w:t>amendments</w:t>
      </w:r>
      <w:r w:rsidR="003E39D5">
        <w:t xml:space="preserve"> that w</w:t>
      </w:r>
      <w:r w:rsidR="00AE6BE6">
        <w:t>ill</w:t>
      </w:r>
      <w:r w:rsidR="00BE3435">
        <w:t xml:space="preserve"> </w:t>
      </w:r>
      <w:r w:rsidR="00FA7F0F">
        <w:t xml:space="preserve">govern between the date of adoption and the date the </w:t>
      </w:r>
      <w:r w:rsidR="000F708E">
        <w:t>n</w:t>
      </w:r>
      <w:r w:rsidR="00FA7F0F">
        <w:t xml:space="preserve">ew </w:t>
      </w:r>
      <w:r w:rsidR="00BE3435">
        <w:t>Criminal Code</w:t>
      </w:r>
      <w:r w:rsidR="00FA7F0F">
        <w:t xml:space="preserve"> takes effect</w:t>
      </w:r>
      <w:r w:rsidR="00FA7F0F" w:rsidRPr="003A12B5">
        <w:t>.</w:t>
      </w:r>
      <w:r w:rsidR="00FA7F0F">
        <w:rPr>
          <w:rStyle w:val="FootnoteReference"/>
          <w:iCs/>
        </w:rPr>
        <w:footnoteReference w:id="56"/>
      </w:r>
      <w:r w:rsidR="00FA7F0F" w:rsidRPr="003A12B5">
        <w:t xml:space="preserve"> </w:t>
      </w:r>
      <w:r w:rsidR="008124EC">
        <w:t xml:space="preserve"> </w:t>
      </w:r>
      <w:r w:rsidR="00BE3435">
        <w:t xml:space="preserve">On </w:t>
      </w:r>
      <w:r w:rsidR="00BE3435" w:rsidRPr="000F708E">
        <w:t>December 5, 2023</w:t>
      </w:r>
      <w:r w:rsidR="009C0CB1">
        <w:t>,</w:t>
      </w:r>
      <w:r w:rsidR="00BE3435" w:rsidRPr="000F708E">
        <w:t xml:space="preserve"> Indonesia’s parliament </w:t>
      </w:r>
      <w:r w:rsidR="00BE3435">
        <w:t>approved</w:t>
      </w:r>
      <w:r w:rsidR="00BE3435" w:rsidRPr="000F708E">
        <w:t xml:space="preserve"> </w:t>
      </w:r>
      <w:r w:rsidR="00B20CFF">
        <w:t xml:space="preserve">an </w:t>
      </w:r>
      <w:r w:rsidR="00BE3435" w:rsidRPr="000F708E">
        <w:t xml:space="preserve">amendment </w:t>
      </w:r>
      <w:r w:rsidR="00B20CFF">
        <w:t>to</w:t>
      </w:r>
      <w:r w:rsidR="00B20CFF" w:rsidRPr="000F708E">
        <w:t xml:space="preserve"> </w:t>
      </w:r>
      <w:r w:rsidR="00BE3435" w:rsidRPr="000F708E">
        <w:t xml:space="preserve">the </w:t>
      </w:r>
      <w:r w:rsidR="00AE6BE6">
        <w:t xml:space="preserve">EIT </w:t>
      </w:r>
      <w:r w:rsidR="00BE3435" w:rsidRPr="000F708E">
        <w:t xml:space="preserve">Law. </w:t>
      </w:r>
      <w:r w:rsidR="00B20CFF">
        <w:t xml:space="preserve">With the adoption of this amendment, </w:t>
      </w:r>
      <w:r w:rsidR="008D3F7E">
        <w:t>it is unclear whether the Joint Decree is still in force</w:t>
      </w:r>
      <w:r w:rsidR="00656CB7">
        <w:t xml:space="preserve"> or if new guidelines will be introduced</w:t>
      </w:r>
      <w:r w:rsidR="008D3F7E">
        <w:t>.</w:t>
      </w:r>
    </w:p>
    <w:p w14:paraId="557C7418" w14:textId="77777777" w:rsidR="00B20CFF" w:rsidRDefault="00B20CFF" w:rsidP="00BE3435">
      <w:pPr>
        <w:ind w:right="-720"/>
        <w:jc w:val="both"/>
      </w:pPr>
    </w:p>
    <w:p w14:paraId="48C86D68" w14:textId="77777777" w:rsidR="00257A04" w:rsidRDefault="000F708E" w:rsidP="00BE3435">
      <w:pPr>
        <w:ind w:right="-720"/>
        <w:jc w:val="both"/>
      </w:pPr>
      <w:r w:rsidRPr="000F708E">
        <w:t xml:space="preserve">Article 27(3) as amended </w:t>
      </w:r>
      <w:r w:rsidR="009B5939">
        <w:t xml:space="preserve">(now Article 27A) </w:t>
      </w:r>
      <w:r w:rsidRPr="000F708E">
        <w:t xml:space="preserve">reduces the prison sentence for cyberdefamation from four years to two years in prison. </w:t>
      </w:r>
      <w:r w:rsidR="007F0C2A">
        <w:t>Moreover</w:t>
      </w:r>
      <w:r w:rsidRPr="000F708E">
        <w:t xml:space="preserve">, the provision </w:t>
      </w:r>
      <w:r>
        <w:t xml:space="preserve">explicitly provides for </w:t>
      </w:r>
      <w:r w:rsidR="009C0CB1">
        <w:t>a</w:t>
      </w:r>
      <w:r>
        <w:t xml:space="preserve"> public interest </w:t>
      </w:r>
      <w:r w:rsidR="009C0CB1">
        <w:t>exception</w:t>
      </w:r>
      <w:r w:rsidR="00FA7F0F">
        <w:t>.</w:t>
      </w:r>
      <w:r w:rsidR="00FA7F0F">
        <w:rPr>
          <w:rStyle w:val="FootnoteReference"/>
          <w:iCs/>
        </w:rPr>
        <w:footnoteReference w:id="57"/>
      </w:r>
      <w:r w:rsidR="00AE6BE6">
        <w:t xml:space="preserve"> </w:t>
      </w:r>
      <w:r w:rsidR="002D57BC">
        <w:t xml:space="preserve">However, serious gaps remain. </w:t>
      </w:r>
      <w:r w:rsidR="0054462B">
        <w:t>Commentary on</w:t>
      </w:r>
      <w:r w:rsidR="009B5939">
        <w:t xml:space="preserve"> Article 27A </w:t>
      </w:r>
      <w:r w:rsidR="0054462B">
        <w:t>limits the public interest exception, stating that any criticism of the government must</w:t>
      </w:r>
      <w:r w:rsidR="00AE6BE6">
        <w:t xml:space="preserve"> be “constructive” and </w:t>
      </w:r>
      <w:r w:rsidR="0054462B">
        <w:t>in the form of “supervision, correction, and suggestions in the public interest”</w:t>
      </w:r>
      <w:r w:rsidR="00AE6BE6">
        <w:t>: this</w:t>
      </w:r>
      <w:r w:rsidR="007F0C2A">
        <w:t xml:space="preserve"> affords the</w:t>
      </w:r>
      <w:r w:rsidR="00AE6BE6">
        <w:t xml:space="preserve"> authorities discretion to </w:t>
      </w:r>
      <w:r w:rsidR="00257A04">
        <w:t>deem</w:t>
      </w:r>
      <w:r w:rsidR="00AE6BE6">
        <w:t xml:space="preserve"> legitimate criticism unconstructive</w:t>
      </w:r>
      <w:r w:rsidR="007F0C2A">
        <w:t xml:space="preserve"> or not </w:t>
      </w:r>
      <w:r w:rsidR="0054462B">
        <w:t xml:space="preserve">delivered in an appropriate manner </w:t>
      </w:r>
      <w:r w:rsidR="00AE6BE6">
        <w:t xml:space="preserve">and is </w:t>
      </w:r>
      <w:r w:rsidR="007F0C2A">
        <w:t xml:space="preserve">thus </w:t>
      </w:r>
      <w:r w:rsidR="00AE6BE6">
        <w:t>susceptible to abuse.</w:t>
      </w:r>
      <w:r w:rsidR="00C33202">
        <w:rPr>
          <w:rStyle w:val="FootnoteReference"/>
        </w:rPr>
        <w:footnoteReference w:id="58"/>
      </w:r>
      <w:r w:rsidR="00AE6BE6">
        <w:t xml:space="preserve"> </w:t>
      </w:r>
    </w:p>
    <w:p w14:paraId="1BDE038D" w14:textId="77777777" w:rsidR="00257A04" w:rsidRDefault="00257A04" w:rsidP="00BE3435">
      <w:pPr>
        <w:ind w:right="-720"/>
        <w:jc w:val="both"/>
      </w:pPr>
    </w:p>
    <w:p w14:paraId="18412585" w14:textId="6D4674C7" w:rsidR="00FA7F0F" w:rsidRDefault="00AE6BE6" w:rsidP="00BE3435">
      <w:pPr>
        <w:ind w:right="-720"/>
        <w:jc w:val="both"/>
      </w:pPr>
      <w:r>
        <w:t>Further, unlike the Joint Decree</w:t>
      </w:r>
      <w:r w:rsidR="00AC59A4">
        <w:t>,</w:t>
      </w:r>
      <w:r w:rsidR="0075030B">
        <w:t xml:space="preserve"> </w:t>
      </w:r>
      <w:r>
        <w:t>Article 27</w:t>
      </w:r>
      <w:r w:rsidR="009B5939">
        <w:t>A</w:t>
      </w:r>
      <w:r>
        <w:t xml:space="preserve"> does not specify that insults should not be criminalized: </w:t>
      </w:r>
      <w:r w:rsidR="0008720C">
        <w:t>while Article 27A eliminates Article 27(3)’s language regarding “</w:t>
      </w:r>
      <w:r w:rsidR="0008720C" w:rsidRPr="008218C8">
        <w:t xml:space="preserve">contents of </w:t>
      </w:r>
      <w:r w:rsidR="0008720C">
        <w:t>affronts” and replaces it with the requirement of an “accusation</w:t>
      </w:r>
      <w:r w:rsidR="009F70EE">
        <w:t xml:space="preserve">” (ostensibly some sort of defamatory remark), </w:t>
      </w:r>
      <w:r w:rsidR="0008720C">
        <w:t>the commentary on Article 27(A) states that the provision encompasses insults.</w:t>
      </w:r>
      <w:r w:rsidR="0008720C">
        <w:rPr>
          <w:rStyle w:val="FootnoteReference"/>
        </w:rPr>
        <w:footnoteReference w:id="59"/>
      </w:r>
      <w:r w:rsidR="0008720C">
        <w:t xml:space="preserve"> It is thus possible that </w:t>
      </w:r>
      <w:r w:rsidR="0008720C">
        <w:rPr>
          <w:lang w:bidi="en-US"/>
        </w:rPr>
        <w:t>l</w:t>
      </w:r>
      <w:r w:rsidR="0008720C" w:rsidRPr="00163596">
        <w:rPr>
          <w:lang w:bidi="en-US"/>
        </w:rPr>
        <w:t>aw enforcement authorities</w:t>
      </w:r>
      <w:r w:rsidR="0008720C">
        <w:rPr>
          <w:lang w:bidi="en-US"/>
        </w:rPr>
        <w:t xml:space="preserve"> will focus more on alleged insults rather than on defamation. </w:t>
      </w:r>
      <w:r w:rsidR="00DC391B">
        <w:t xml:space="preserve">Neither the new Criminal Code </w:t>
      </w:r>
      <w:r w:rsidR="00BD7BB9">
        <w:t>n</w:t>
      </w:r>
      <w:r w:rsidR="00DC391B">
        <w:t xml:space="preserve">or the </w:t>
      </w:r>
      <w:r w:rsidR="00BD7BB9">
        <w:t xml:space="preserve">revised </w:t>
      </w:r>
      <w:r w:rsidR="007F0C2A">
        <w:t>EIT</w:t>
      </w:r>
      <w:r w:rsidR="00DC391B">
        <w:t xml:space="preserve"> Law provide </w:t>
      </w:r>
      <w:r w:rsidR="009C0CB1">
        <w:t xml:space="preserve">the </w:t>
      </w:r>
      <w:r w:rsidR="00DC391B">
        <w:t xml:space="preserve">specific protections for journalistic products that were contained in the Joint Decree. </w:t>
      </w:r>
    </w:p>
    <w:p w14:paraId="7A64B965" w14:textId="77777777" w:rsidR="003D46D9" w:rsidRDefault="003D46D9" w:rsidP="00BE3435">
      <w:pPr>
        <w:ind w:right="-720"/>
        <w:jc w:val="both"/>
      </w:pPr>
    </w:p>
    <w:p w14:paraId="78957FB0" w14:textId="7427EBB8" w:rsidR="00A76C57" w:rsidRDefault="003D46D9" w:rsidP="008124EC">
      <w:pPr>
        <w:ind w:right="-720"/>
        <w:jc w:val="both"/>
        <w:rPr>
          <w:rFonts w:eastAsiaTheme="minorHAnsi"/>
          <w14:ligatures w14:val="standardContextual"/>
        </w:rPr>
      </w:pPr>
      <w:r w:rsidRPr="00CC3E3F">
        <w:t>Article 28(2) as amended provides that “</w:t>
      </w:r>
      <w:r w:rsidR="008124EC">
        <w:rPr>
          <w:rFonts w:eastAsiaTheme="minorHAnsi"/>
          <w14:ligatures w14:val="standardContextual"/>
        </w:rPr>
        <w:t>a</w:t>
      </w:r>
      <w:r w:rsidR="00CC3E3F" w:rsidRPr="00CC3E3F">
        <w:rPr>
          <w:rFonts w:eastAsiaTheme="minorHAnsi"/>
          <w14:ligatures w14:val="standardContextual"/>
        </w:rPr>
        <w:t>ny person who intentionally and without rights incites, invites,</w:t>
      </w:r>
      <w:r w:rsidR="008124EC">
        <w:rPr>
          <w:rFonts w:eastAsiaTheme="minorHAnsi"/>
          <w14:ligatures w14:val="standardContextual"/>
        </w:rPr>
        <w:t xml:space="preserve"> </w:t>
      </w:r>
      <w:r w:rsidR="00CC3E3F" w:rsidRPr="00CC3E3F">
        <w:rPr>
          <w:rFonts w:eastAsiaTheme="minorHAnsi"/>
          <w14:ligatures w14:val="standardContextual"/>
        </w:rPr>
        <w:t>or influences so as to move other people to distribute and/or transmit information that is intended to cause hatred</w:t>
      </w:r>
      <w:r w:rsidR="008124EC">
        <w:rPr>
          <w:rFonts w:eastAsiaTheme="minorHAnsi"/>
          <w14:ligatures w14:val="standardContextual"/>
        </w:rPr>
        <w:t xml:space="preserve"> </w:t>
      </w:r>
      <w:r w:rsidR="00CC3E3F" w:rsidRPr="00CC3E3F">
        <w:rPr>
          <w:rFonts w:eastAsiaTheme="minorHAnsi"/>
          <w14:ligatures w14:val="standardContextual"/>
        </w:rPr>
        <w:t xml:space="preserve">or hostility towards certain individuals and/or community groups based on </w:t>
      </w:r>
      <w:r w:rsidR="00A76C57">
        <w:rPr>
          <w:rFonts w:eastAsiaTheme="minorHAnsi"/>
          <w14:ligatures w14:val="standardContextual"/>
        </w:rPr>
        <w:t>race, nationality, ethnicity, skin color, religion, beliefs, gender, mental disability, or physical disability</w:t>
      </w:r>
      <w:r w:rsidR="00CC3E3F" w:rsidRPr="00CC3E3F">
        <w:rPr>
          <w:rFonts w:eastAsiaTheme="minorHAnsi"/>
          <w14:ligatures w14:val="standardContextual"/>
        </w:rPr>
        <w:t xml:space="preserve"> which is done through the means of Electronic Information, and/or Electronic Documents.” The </w:t>
      </w:r>
      <w:r w:rsidR="00A76C57">
        <w:rPr>
          <w:rFonts w:eastAsiaTheme="minorHAnsi"/>
          <w14:ligatures w14:val="standardContextual"/>
        </w:rPr>
        <w:t>revised provision is a step forward</w:t>
      </w:r>
      <w:r w:rsidR="00D10AF7">
        <w:rPr>
          <w:rFonts w:eastAsiaTheme="minorHAnsi"/>
          <w14:ligatures w14:val="standardContextual"/>
        </w:rPr>
        <w:t>—</w:t>
      </w:r>
      <w:r w:rsidR="001D3CC9">
        <w:rPr>
          <w:rFonts w:eastAsiaTheme="minorHAnsi"/>
          <w14:ligatures w14:val="standardContextual"/>
        </w:rPr>
        <w:t>like the Criminal Code, it specifies target groups. On the other hand, it still does not require intent to incite hatred</w:t>
      </w:r>
      <w:r w:rsidR="00D10AF7">
        <w:rPr>
          <w:rFonts w:eastAsiaTheme="minorHAnsi"/>
          <w14:ligatures w14:val="standardContextual"/>
        </w:rPr>
        <w:t>—</w:t>
      </w:r>
      <w:r w:rsidR="001D3CC9">
        <w:rPr>
          <w:rFonts w:eastAsiaTheme="minorHAnsi"/>
          <w14:ligatures w14:val="standardContextual"/>
        </w:rPr>
        <w:t>it instead requires intent to influence others to distribute and/or transmit inciting material, an attenuated and confusing form of intent susceptible to abuse by the authorities</w:t>
      </w:r>
      <w:r w:rsidR="00CC3E3F" w:rsidRPr="00CC3E3F">
        <w:rPr>
          <w:rFonts w:eastAsiaTheme="minorHAnsi"/>
          <w14:ligatures w14:val="standardContextual"/>
        </w:rPr>
        <w:t>.</w:t>
      </w:r>
      <w:r w:rsidR="001D3CC9">
        <w:rPr>
          <w:rFonts w:eastAsiaTheme="minorHAnsi"/>
          <w14:ligatures w14:val="standardContextual"/>
        </w:rPr>
        <w:t xml:space="preserve"> </w:t>
      </w:r>
      <w:r w:rsidR="00CC3E3F" w:rsidRPr="00CC3E3F">
        <w:rPr>
          <w:rFonts w:eastAsiaTheme="minorHAnsi"/>
          <w14:ligatures w14:val="standardContextual"/>
        </w:rPr>
        <w:t xml:space="preserve"> </w:t>
      </w:r>
      <w:r w:rsidR="001D3CC9">
        <w:rPr>
          <w:rFonts w:eastAsiaTheme="minorHAnsi"/>
          <w14:ligatures w14:val="standardContextual"/>
        </w:rPr>
        <w:t>Further,</w:t>
      </w:r>
      <w:r w:rsidR="00CC3E3F" w:rsidRPr="00CC3E3F">
        <w:rPr>
          <w:rFonts w:eastAsiaTheme="minorHAnsi"/>
          <w14:ligatures w14:val="standardContextual"/>
        </w:rPr>
        <w:t xml:space="preserve"> there is no </w:t>
      </w:r>
      <w:r w:rsidR="00A76C57">
        <w:rPr>
          <w:rFonts w:eastAsiaTheme="minorHAnsi"/>
          <w14:ligatures w14:val="standardContextual"/>
        </w:rPr>
        <w:t xml:space="preserve">requirement of imminent or resulting harm, </w:t>
      </w:r>
      <w:r w:rsidR="00CC3E3F" w:rsidRPr="00CC3E3F">
        <w:rPr>
          <w:rFonts w:eastAsiaTheme="minorHAnsi"/>
          <w14:ligatures w14:val="standardContextual"/>
        </w:rPr>
        <w:t>as is the case in the new Criminal Code</w:t>
      </w:r>
      <w:r w:rsidR="009C0CB1">
        <w:rPr>
          <w:rFonts w:eastAsiaTheme="minorHAnsi"/>
          <w14:ligatures w14:val="standardContextual"/>
        </w:rPr>
        <w:t>,</w:t>
      </w:r>
      <w:r w:rsidR="00A76C57">
        <w:rPr>
          <w:rFonts w:eastAsiaTheme="minorHAnsi"/>
          <w14:ligatures w14:val="standardContextual"/>
        </w:rPr>
        <w:t xml:space="preserve"> and the revised </w:t>
      </w:r>
      <w:r w:rsidR="00AC32AE">
        <w:rPr>
          <w:rFonts w:eastAsiaTheme="minorHAnsi"/>
          <w14:ligatures w14:val="standardContextual"/>
        </w:rPr>
        <w:t>EIT Law, like the new Criminal Code,</w:t>
      </w:r>
      <w:r w:rsidR="00A76C57">
        <w:rPr>
          <w:rFonts w:eastAsiaTheme="minorHAnsi"/>
          <w14:ligatures w14:val="standardContextual"/>
        </w:rPr>
        <w:t xml:space="preserve"> </w:t>
      </w:r>
      <w:r w:rsidR="00AC32AE">
        <w:rPr>
          <w:rFonts w:eastAsiaTheme="minorHAnsi"/>
          <w14:ligatures w14:val="standardContextual"/>
        </w:rPr>
        <w:t xml:space="preserve">lacks </w:t>
      </w:r>
      <w:r w:rsidR="00CC3E3F" w:rsidRPr="00CC3E3F">
        <w:rPr>
          <w:rFonts w:eastAsiaTheme="minorHAnsi"/>
          <w14:ligatures w14:val="standardContextual"/>
        </w:rPr>
        <w:t xml:space="preserve">definitions for key terms like hatred and hostility. </w:t>
      </w:r>
    </w:p>
    <w:p w14:paraId="1AC45048" w14:textId="7E60C6DE" w:rsidR="00A76C57" w:rsidRDefault="00A76C57" w:rsidP="00CC3E3F">
      <w:pPr>
        <w:autoSpaceDE w:val="0"/>
        <w:autoSpaceDN w:val="0"/>
        <w:adjustRightInd w:val="0"/>
        <w:rPr>
          <w:rFonts w:eastAsiaTheme="minorHAnsi"/>
          <w14:ligatures w14:val="standardContextual"/>
        </w:rPr>
      </w:pPr>
    </w:p>
    <w:p w14:paraId="5C013E0E" w14:textId="762D68D1" w:rsidR="007F0C2A" w:rsidRPr="007F0C2A" w:rsidRDefault="00B20CFF" w:rsidP="007F0C2A">
      <w:pPr>
        <w:ind w:right="-720"/>
        <w:jc w:val="both"/>
        <w:rPr>
          <w:rFonts w:eastAsiaTheme="minorHAnsi"/>
          <w14:ligatures w14:val="standardContextual"/>
        </w:rPr>
      </w:pPr>
      <w:r>
        <w:rPr>
          <w:rFonts w:eastAsiaTheme="minorHAnsi"/>
          <w14:ligatures w14:val="standardContextual"/>
        </w:rPr>
        <w:t xml:space="preserve">This matrix of provisions—from the Joint Decree to the amended EIT Law to the new </w:t>
      </w:r>
      <w:r w:rsidR="00151573">
        <w:rPr>
          <w:rFonts w:eastAsiaTheme="minorHAnsi"/>
          <w14:ligatures w14:val="standardContextual"/>
        </w:rPr>
        <w:t>C</w:t>
      </w:r>
      <w:r>
        <w:rPr>
          <w:rFonts w:eastAsiaTheme="minorHAnsi"/>
          <w14:ligatures w14:val="standardContextual"/>
        </w:rPr>
        <w:t xml:space="preserve">riminal </w:t>
      </w:r>
      <w:r w:rsidR="00151573">
        <w:rPr>
          <w:rFonts w:eastAsiaTheme="minorHAnsi"/>
          <w14:ligatures w14:val="standardContextual"/>
        </w:rPr>
        <w:t>C</w:t>
      </w:r>
      <w:r>
        <w:rPr>
          <w:rFonts w:eastAsiaTheme="minorHAnsi"/>
          <w14:ligatures w14:val="standardContextual"/>
        </w:rPr>
        <w:t>ode—</w:t>
      </w:r>
      <w:r w:rsidR="00257A04">
        <w:rPr>
          <w:rFonts w:eastAsiaTheme="minorHAnsi"/>
          <w14:ligatures w14:val="standardContextual"/>
        </w:rPr>
        <w:t>demonstrates the</w:t>
      </w:r>
      <w:r>
        <w:rPr>
          <w:rFonts w:eastAsiaTheme="minorHAnsi"/>
          <w14:ligatures w14:val="standardContextual"/>
        </w:rPr>
        <w:t xml:space="preserve"> critical importance of</w:t>
      </w:r>
      <w:r w:rsidR="00257A04">
        <w:rPr>
          <w:rFonts w:eastAsiaTheme="minorHAnsi"/>
          <w14:ligatures w14:val="standardContextual"/>
        </w:rPr>
        <w:t xml:space="preserve"> either incorporating rights-protective limitations into law or ensuring that</w:t>
      </w:r>
      <w:r>
        <w:rPr>
          <w:rFonts w:eastAsiaTheme="minorHAnsi"/>
          <w14:ligatures w14:val="standardContextual"/>
        </w:rPr>
        <w:t xml:space="preserve"> implementing guidance</w:t>
      </w:r>
      <w:r w:rsidR="00257A04">
        <w:rPr>
          <w:rFonts w:eastAsiaTheme="minorHAnsi"/>
          <w14:ligatures w14:val="standardContextual"/>
        </w:rPr>
        <w:t xml:space="preserve"> is enforced</w:t>
      </w:r>
      <w:r w:rsidR="009F70EE">
        <w:rPr>
          <w:rFonts w:eastAsiaTheme="minorHAnsi"/>
          <w14:ligatures w14:val="standardContextual"/>
        </w:rPr>
        <w:t xml:space="preserve"> and monitored</w:t>
      </w:r>
      <w:r w:rsidR="00257A04">
        <w:rPr>
          <w:rFonts w:eastAsiaTheme="minorHAnsi"/>
          <w14:ligatures w14:val="standardContextual"/>
        </w:rPr>
        <w:t>.</w:t>
      </w:r>
    </w:p>
    <w:p w14:paraId="413E901E" w14:textId="77777777" w:rsidR="00257A04" w:rsidRPr="009F70EE" w:rsidRDefault="00257A04" w:rsidP="00441739">
      <w:pPr>
        <w:ind w:right="-720"/>
        <w:jc w:val="both"/>
        <w:rPr>
          <w:b/>
          <w:bCs/>
        </w:rPr>
      </w:pPr>
    </w:p>
    <w:p w14:paraId="785F2E6C" w14:textId="77777777" w:rsidR="004616AA" w:rsidRDefault="004616AA" w:rsidP="00441739">
      <w:pPr>
        <w:ind w:right="-720"/>
        <w:jc w:val="both"/>
        <w:rPr>
          <w:b/>
          <w:bCs/>
          <w:lang w:val="en-GB"/>
        </w:rPr>
      </w:pPr>
    </w:p>
    <w:p w14:paraId="5256B195" w14:textId="77777777" w:rsidR="004616AA" w:rsidRDefault="004616AA" w:rsidP="00441739">
      <w:pPr>
        <w:ind w:right="-720"/>
        <w:jc w:val="both"/>
        <w:rPr>
          <w:b/>
          <w:bCs/>
          <w:lang w:val="en-GB"/>
        </w:rPr>
      </w:pPr>
    </w:p>
    <w:p w14:paraId="621AB7E9" w14:textId="79DA9A19" w:rsidR="00441739" w:rsidRPr="00CE4CAB" w:rsidRDefault="00441739" w:rsidP="00441739">
      <w:pPr>
        <w:ind w:right="-720"/>
        <w:jc w:val="both"/>
        <w:rPr>
          <w:b/>
          <w:bCs/>
          <w:lang w:val="en-GB"/>
        </w:rPr>
      </w:pPr>
      <w:r w:rsidRPr="00CE4CAB">
        <w:rPr>
          <w:b/>
          <w:bCs/>
          <w:lang w:val="en-GB"/>
        </w:rPr>
        <w:lastRenderedPageBreak/>
        <w:t>Recommendations</w:t>
      </w:r>
    </w:p>
    <w:p w14:paraId="360E525E" w14:textId="77777777" w:rsidR="00441739" w:rsidRPr="00CE4CAB" w:rsidRDefault="00441739" w:rsidP="00441739">
      <w:pPr>
        <w:ind w:right="-720"/>
        <w:jc w:val="both"/>
        <w:rPr>
          <w:lang w:val="en-GB"/>
        </w:rPr>
      </w:pPr>
    </w:p>
    <w:p w14:paraId="22B72DAF" w14:textId="78CC4A86" w:rsidR="00441739" w:rsidRDefault="00441739" w:rsidP="00441739">
      <w:pPr>
        <w:ind w:right="-720"/>
        <w:jc w:val="both"/>
        <w:rPr>
          <w:lang w:val="en-GB"/>
        </w:rPr>
      </w:pPr>
      <w:r w:rsidRPr="00CE4CAB">
        <w:rPr>
          <w:lang w:val="en-GB"/>
        </w:rPr>
        <w:t xml:space="preserve">We encourage the Committee to ask the following questions during its review of </w:t>
      </w:r>
      <w:r w:rsidR="00380F04">
        <w:rPr>
          <w:lang w:val="en-GB"/>
        </w:rPr>
        <w:t>Indonesia</w:t>
      </w:r>
      <w:r w:rsidRPr="00CE4CAB">
        <w:rPr>
          <w:lang w:val="en-GB"/>
        </w:rPr>
        <w:t>:</w:t>
      </w:r>
    </w:p>
    <w:p w14:paraId="3DA672CB" w14:textId="77777777" w:rsidR="004616AA" w:rsidRPr="00CE4CAB" w:rsidRDefault="004616AA" w:rsidP="00441739">
      <w:pPr>
        <w:ind w:right="-720"/>
        <w:jc w:val="both"/>
        <w:rPr>
          <w:lang w:val="en-GB"/>
        </w:rPr>
      </w:pPr>
    </w:p>
    <w:p w14:paraId="68604C1E" w14:textId="4F0E328B" w:rsidR="00441739" w:rsidRDefault="00265BD9" w:rsidP="00441739">
      <w:pPr>
        <w:pStyle w:val="ListParagraph"/>
        <w:numPr>
          <w:ilvl w:val="0"/>
          <w:numId w:val="1"/>
        </w:numPr>
        <w:ind w:right="-720"/>
        <w:jc w:val="both"/>
        <w:rPr>
          <w:lang w:val="en-GB"/>
        </w:rPr>
      </w:pPr>
      <w:r>
        <w:rPr>
          <w:lang w:val="en-GB"/>
        </w:rPr>
        <w:t xml:space="preserve">Can Indonesia address reports that the Joint Decree has not been effective and clarify </w:t>
      </w:r>
      <w:r w:rsidR="00B20CFF">
        <w:rPr>
          <w:lang w:val="en-GB"/>
        </w:rPr>
        <w:t>how it supervises compliance with the Joint Decree</w:t>
      </w:r>
      <w:r>
        <w:rPr>
          <w:lang w:val="en-GB"/>
        </w:rPr>
        <w:t>?</w:t>
      </w:r>
    </w:p>
    <w:p w14:paraId="4E6A58D0" w14:textId="77777777" w:rsidR="00257A04" w:rsidRDefault="00257A04" w:rsidP="00257A04">
      <w:pPr>
        <w:pStyle w:val="ListParagraph"/>
        <w:ind w:right="-720"/>
        <w:jc w:val="both"/>
        <w:rPr>
          <w:lang w:val="en-GB"/>
        </w:rPr>
      </w:pPr>
    </w:p>
    <w:p w14:paraId="2C20DF34" w14:textId="0EC98D40" w:rsidR="00441739" w:rsidRDefault="00265BD9" w:rsidP="00441739">
      <w:pPr>
        <w:pStyle w:val="ListParagraph"/>
        <w:numPr>
          <w:ilvl w:val="0"/>
          <w:numId w:val="1"/>
        </w:numPr>
        <w:ind w:right="-720"/>
        <w:jc w:val="both"/>
        <w:rPr>
          <w:lang w:val="en-GB"/>
        </w:rPr>
      </w:pPr>
      <w:r>
        <w:rPr>
          <w:lang w:val="en-GB"/>
        </w:rPr>
        <w:t>Given that the revised Criminal Code’s defamation provisions</w:t>
      </w:r>
      <w:r w:rsidR="00B20CFF">
        <w:rPr>
          <w:lang w:val="en-GB"/>
        </w:rPr>
        <w:t>, as well as the amended EIT Law,</w:t>
      </w:r>
      <w:r>
        <w:rPr>
          <w:lang w:val="en-GB"/>
        </w:rPr>
        <w:t xml:space="preserve"> lack key protections of the Joint Decree such as protections for insults, opinions/</w:t>
      </w:r>
      <w:proofErr w:type="gramStart"/>
      <w:r>
        <w:rPr>
          <w:lang w:val="en-GB"/>
        </w:rPr>
        <w:t>assessments</w:t>
      </w:r>
      <w:proofErr w:type="gramEnd"/>
      <w:r>
        <w:rPr>
          <w:lang w:val="en-GB"/>
        </w:rPr>
        <w:t xml:space="preserve"> and journalistic products, can Indonesia explain what measures it will take to ensure that such speech is not criminalized, in line with the Covenant?</w:t>
      </w:r>
    </w:p>
    <w:p w14:paraId="3ED38FA7" w14:textId="77777777" w:rsidR="00257A04" w:rsidRPr="009F70EE" w:rsidRDefault="00257A04" w:rsidP="009F70EE">
      <w:pPr>
        <w:ind w:right="-720"/>
        <w:jc w:val="both"/>
        <w:rPr>
          <w:lang w:val="en-GB"/>
        </w:rPr>
      </w:pPr>
    </w:p>
    <w:p w14:paraId="19DFEC98" w14:textId="21C73CC7" w:rsidR="005824B6" w:rsidRDefault="005824B6" w:rsidP="005824B6">
      <w:pPr>
        <w:pStyle w:val="ListParagraph"/>
        <w:numPr>
          <w:ilvl w:val="0"/>
          <w:numId w:val="1"/>
        </w:numPr>
        <w:ind w:right="-720"/>
        <w:jc w:val="both"/>
        <w:rPr>
          <w:lang w:val="en-GB"/>
        </w:rPr>
      </w:pPr>
      <w:r>
        <w:rPr>
          <w:lang w:val="en-GB"/>
        </w:rPr>
        <w:t>Given that the revised Criminal Code’s hate speech provision, as well as the amended EIT Law, lack key requirements in the Joint Decree such as the need to prove intent to incite, and also lack definitions for the terms “hatred” or “hostility,” can Indonesia explain what measures it will take to ensure that only the most severe cases of hate speech are criminalized, in line with the Covenant?</w:t>
      </w:r>
    </w:p>
    <w:p w14:paraId="5661E330" w14:textId="77777777" w:rsidR="00257A04" w:rsidRDefault="00257A04" w:rsidP="00257A04">
      <w:pPr>
        <w:pStyle w:val="ListParagraph"/>
        <w:ind w:right="-720"/>
        <w:jc w:val="both"/>
        <w:rPr>
          <w:lang w:val="en-GB"/>
        </w:rPr>
      </w:pPr>
    </w:p>
    <w:p w14:paraId="43ACBCDF" w14:textId="77BD3968" w:rsidR="005824B6" w:rsidRDefault="005824B6" w:rsidP="005824B6">
      <w:pPr>
        <w:pStyle w:val="ListParagraph"/>
        <w:numPr>
          <w:ilvl w:val="0"/>
          <w:numId w:val="1"/>
        </w:numPr>
        <w:ind w:right="-720"/>
        <w:jc w:val="both"/>
        <w:rPr>
          <w:lang w:val="en-GB"/>
        </w:rPr>
      </w:pPr>
      <w:proofErr w:type="gramStart"/>
      <w:r>
        <w:rPr>
          <w:lang w:val="en-GB"/>
        </w:rPr>
        <w:t>In light of</w:t>
      </w:r>
      <w:proofErr w:type="gramEnd"/>
      <w:r>
        <w:rPr>
          <w:lang w:val="en-GB"/>
        </w:rPr>
        <w:t xml:space="preserve"> the Joint Decree’s reported ineffectiveness to date with respect to defamation and hate speech, will Indonesia consider incorporating the protections provided in the Joint Decree into law as amendments to the EIT Law and</w:t>
      </w:r>
      <w:r w:rsidR="00FB46CD">
        <w:rPr>
          <w:lang w:val="en-GB"/>
        </w:rPr>
        <w:t>/or</w:t>
      </w:r>
      <w:r>
        <w:rPr>
          <w:lang w:val="en-GB"/>
        </w:rPr>
        <w:t xml:space="preserve"> the new Criminal Code?</w:t>
      </w:r>
    </w:p>
    <w:p w14:paraId="0282B8FB" w14:textId="77777777" w:rsidR="00257A04" w:rsidRPr="009F70EE" w:rsidRDefault="00257A04" w:rsidP="009F70EE">
      <w:pPr>
        <w:ind w:right="-720"/>
        <w:jc w:val="both"/>
        <w:rPr>
          <w:lang w:val="en-GB"/>
        </w:rPr>
      </w:pPr>
    </w:p>
    <w:p w14:paraId="6E430561" w14:textId="1ADA91A1" w:rsidR="007F7ADD" w:rsidRDefault="00323B90" w:rsidP="00257A04">
      <w:pPr>
        <w:pStyle w:val="ListParagraph"/>
        <w:numPr>
          <w:ilvl w:val="0"/>
          <w:numId w:val="1"/>
        </w:numPr>
        <w:ind w:right="-720"/>
        <w:jc w:val="both"/>
        <w:rPr>
          <w:lang w:val="en-GB"/>
        </w:rPr>
      </w:pPr>
      <w:r>
        <w:rPr>
          <w:lang w:val="en-GB"/>
        </w:rPr>
        <w:t xml:space="preserve">If </w:t>
      </w:r>
      <w:r w:rsidR="00AC59A4">
        <w:rPr>
          <w:lang w:val="en-GB"/>
        </w:rPr>
        <w:t>Indonesia</w:t>
      </w:r>
      <w:r>
        <w:rPr>
          <w:lang w:val="en-GB"/>
        </w:rPr>
        <w:t xml:space="preserve"> </w:t>
      </w:r>
      <w:r w:rsidR="005824B6">
        <w:rPr>
          <w:lang w:val="en-GB"/>
        </w:rPr>
        <w:t>instead intends to</w:t>
      </w:r>
      <w:r>
        <w:rPr>
          <w:lang w:val="en-GB"/>
        </w:rPr>
        <w:t xml:space="preserve"> adopt implementing guid</w:t>
      </w:r>
      <w:r w:rsidRPr="00257A04">
        <w:rPr>
          <w:lang w:val="en-GB"/>
        </w:rPr>
        <w:t xml:space="preserve">elines either for the new Criminal Code or the amended EIT Law, </w:t>
      </w:r>
      <w:r w:rsidR="00AC59A4">
        <w:rPr>
          <w:lang w:val="en-GB"/>
        </w:rPr>
        <w:t xml:space="preserve">can Indonesia </w:t>
      </w:r>
      <w:r w:rsidRPr="00257A04">
        <w:rPr>
          <w:lang w:val="en-GB"/>
        </w:rPr>
        <w:t xml:space="preserve">explain how </w:t>
      </w:r>
      <w:r w:rsidR="007F7ADD" w:rsidRPr="00257A04">
        <w:rPr>
          <w:lang w:val="en-GB"/>
        </w:rPr>
        <w:t xml:space="preserve">it will ensure that </w:t>
      </w:r>
      <w:r w:rsidRPr="00257A04">
        <w:rPr>
          <w:lang w:val="en-GB"/>
        </w:rPr>
        <w:t xml:space="preserve">these guidelines </w:t>
      </w:r>
      <w:r w:rsidR="007F7ADD" w:rsidRPr="00257A04">
        <w:rPr>
          <w:lang w:val="en-GB"/>
        </w:rPr>
        <w:t>are</w:t>
      </w:r>
      <w:r w:rsidRPr="00257A04">
        <w:rPr>
          <w:lang w:val="en-GB"/>
        </w:rPr>
        <w:t xml:space="preserve"> </w:t>
      </w:r>
      <w:r w:rsidR="007F7ADD" w:rsidRPr="00257A04">
        <w:rPr>
          <w:lang w:val="en-GB"/>
        </w:rPr>
        <w:t xml:space="preserve">put into practice </w:t>
      </w:r>
      <w:r w:rsidRPr="00257A04">
        <w:rPr>
          <w:lang w:val="en-GB"/>
        </w:rPr>
        <w:t>and their implementation monitored?</w:t>
      </w:r>
    </w:p>
    <w:p w14:paraId="0A932E48" w14:textId="77777777" w:rsidR="00257A04" w:rsidRPr="00257A04" w:rsidRDefault="00257A04" w:rsidP="00257A04">
      <w:pPr>
        <w:pStyle w:val="ListParagraph"/>
        <w:ind w:right="-720"/>
        <w:jc w:val="both"/>
        <w:rPr>
          <w:lang w:val="en-GB"/>
        </w:rPr>
      </w:pPr>
    </w:p>
    <w:p w14:paraId="1E8BA907" w14:textId="77777777" w:rsidR="007F7ADD" w:rsidRDefault="007F7ADD" w:rsidP="007F7ADD">
      <w:pPr>
        <w:pStyle w:val="ListParagraph"/>
        <w:numPr>
          <w:ilvl w:val="0"/>
          <w:numId w:val="1"/>
        </w:numPr>
        <w:ind w:right="-720"/>
        <w:jc w:val="both"/>
        <w:rPr>
          <w:lang w:val="en-GB"/>
        </w:rPr>
      </w:pPr>
      <w:r>
        <w:rPr>
          <w:lang w:val="en-GB"/>
        </w:rPr>
        <w:t xml:space="preserve">Will accused persons in ongoing cases under the previous version of the EIT Law receive the benefit of the EIT Law amendments and if so, what steps will Indonesia take to ensure that the police, prosecutors, and courts </w:t>
      </w:r>
      <w:proofErr w:type="gramStart"/>
      <w:r>
        <w:rPr>
          <w:lang w:val="en-GB"/>
        </w:rPr>
        <w:t>take action</w:t>
      </w:r>
      <w:proofErr w:type="gramEnd"/>
      <w:r>
        <w:rPr>
          <w:lang w:val="en-GB"/>
        </w:rPr>
        <w:t xml:space="preserve"> in this regard?</w:t>
      </w:r>
    </w:p>
    <w:p w14:paraId="6F11184E" w14:textId="1C1FE48A" w:rsidR="001309FA" w:rsidRPr="00441739" w:rsidRDefault="001309FA" w:rsidP="00571F05">
      <w:pPr>
        <w:pStyle w:val="ListParagraph"/>
        <w:ind w:right="-720"/>
        <w:jc w:val="both"/>
        <w:rPr>
          <w:lang w:val="en-GB"/>
        </w:rPr>
      </w:pPr>
    </w:p>
    <w:sectPr w:rsidR="001309FA" w:rsidRPr="004417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C823A" w14:textId="77777777" w:rsidR="005B37E3" w:rsidRDefault="005B37E3" w:rsidP="00441739">
      <w:r>
        <w:separator/>
      </w:r>
    </w:p>
  </w:endnote>
  <w:endnote w:type="continuationSeparator" w:id="0">
    <w:p w14:paraId="6F304EA2" w14:textId="77777777" w:rsidR="005B37E3" w:rsidRDefault="005B37E3" w:rsidP="00441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8DC3D" w14:textId="77777777" w:rsidR="005B37E3" w:rsidRDefault="005B37E3" w:rsidP="00441739">
      <w:r>
        <w:separator/>
      </w:r>
    </w:p>
  </w:footnote>
  <w:footnote w:type="continuationSeparator" w:id="0">
    <w:p w14:paraId="77DAC521" w14:textId="77777777" w:rsidR="005B37E3" w:rsidRDefault="005B37E3" w:rsidP="00441739">
      <w:r>
        <w:continuationSeparator/>
      </w:r>
    </w:p>
  </w:footnote>
  <w:footnote w:id="1">
    <w:p w14:paraId="137BFE01" w14:textId="65077206" w:rsidR="00AB706F" w:rsidRPr="0091159F" w:rsidRDefault="00AB706F" w:rsidP="004616AA">
      <w:pPr>
        <w:jc w:val="both"/>
        <w:rPr>
          <w:sz w:val="20"/>
          <w:szCs w:val="20"/>
        </w:rPr>
      </w:pPr>
      <w:r w:rsidRPr="0091159F">
        <w:rPr>
          <w:rStyle w:val="FootnoteReference"/>
          <w:sz w:val="20"/>
          <w:szCs w:val="20"/>
        </w:rPr>
        <w:footnoteRef/>
      </w:r>
      <w:r w:rsidRPr="0091159F">
        <w:rPr>
          <w:sz w:val="20"/>
          <w:szCs w:val="20"/>
        </w:rPr>
        <w:t xml:space="preserve"> CFJ is an organization founded by George and Amal Clooney to advocate for justice through </w:t>
      </w:r>
      <w:r w:rsidRPr="0091159F">
        <w:rPr>
          <w:sz w:val="20"/>
          <w:szCs w:val="20"/>
          <w:lang w:val="en-GB"/>
        </w:rPr>
        <w:t>accountability</w:t>
      </w:r>
      <w:r w:rsidRPr="0091159F">
        <w:rPr>
          <w:sz w:val="20"/>
          <w:szCs w:val="20"/>
        </w:rPr>
        <w:t xml:space="preserve"> for human rights abuses.  TrialWatch is a CFJ initiative with the mission of exposing injustice, helping to free individuals unjustly detained, and promoting the rule of law around the world. TrialWatch monitors criminal trials globally against those who are most vulnerable, including journalists and human rights defenders, and advocates for the rights of the unfairly prosecuted or convicted.  </w:t>
      </w:r>
    </w:p>
  </w:footnote>
  <w:footnote w:id="2">
    <w:p w14:paraId="0E6DCBF4" w14:textId="3C791EE8" w:rsidR="006C5F54" w:rsidRPr="00571F05" w:rsidRDefault="006C5F54" w:rsidP="003D5C17">
      <w:pPr>
        <w:pStyle w:val="FootnoteText"/>
        <w:jc w:val="both"/>
        <w:rPr>
          <w:lang w:val="id-ID"/>
        </w:rPr>
      </w:pPr>
      <w:r w:rsidRPr="0091159F">
        <w:rPr>
          <w:rStyle w:val="FootnoteReference"/>
        </w:rPr>
        <w:footnoteRef/>
      </w:r>
      <w:r w:rsidRPr="0091159F">
        <w:t xml:space="preserve"> </w:t>
      </w:r>
      <w:r w:rsidR="00761897" w:rsidRPr="00E458E7">
        <w:rPr>
          <w:lang w:val="en"/>
        </w:rPr>
        <w:t xml:space="preserve">The Institute for Criminal Justice Reform (ICJR) is an independent research institute established in 2007. ICJR focuses on criminal law and justice reform, and general law reform in Indonesia. ICJR takes the initiative by providing support in the context of establishing respect for the Rule of Law and, at the same time, establishing a human rights culture in </w:t>
      </w:r>
      <w:r w:rsidR="00761897">
        <w:rPr>
          <w:lang w:val="en"/>
        </w:rPr>
        <w:t xml:space="preserve">the </w:t>
      </w:r>
      <w:r w:rsidR="00761897" w:rsidRPr="00E458E7">
        <w:rPr>
          <w:lang w:val="en"/>
        </w:rPr>
        <w:t>criminal justice system.</w:t>
      </w:r>
    </w:p>
  </w:footnote>
  <w:footnote w:id="3">
    <w:p w14:paraId="6DDFBA3B" w14:textId="6323DA96" w:rsidR="0065735F" w:rsidRPr="0091159F" w:rsidRDefault="0065735F" w:rsidP="003D5C17">
      <w:pPr>
        <w:pStyle w:val="FootnoteText"/>
        <w:jc w:val="both"/>
      </w:pPr>
      <w:r w:rsidRPr="0091159F">
        <w:rPr>
          <w:rStyle w:val="FootnoteReference"/>
        </w:rPr>
        <w:footnoteRef/>
      </w:r>
      <w:r w:rsidRPr="0091159F">
        <w:t xml:space="preserve"> UN Human </w:t>
      </w:r>
      <w:r w:rsidR="00926103" w:rsidRPr="0091159F">
        <w:t>Rights Committee</w:t>
      </w:r>
      <w:r w:rsidR="0091159F" w:rsidRPr="0091159F">
        <w:t>, List of Issues Prior to the Submission of the Second Periodic Report of Indonesia, September 2, 2020, UN Doc. CCPR/C/IDN/QPR/2, para. 19.</w:t>
      </w:r>
    </w:p>
  </w:footnote>
  <w:footnote w:id="4">
    <w:p w14:paraId="0515EBB6" w14:textId="622409DF" w:rsidR="009E10CB" w:rsidRPr="009E10CB" w:rsidRDefault="009E10CB" w:rsidP="003D5C17">
      <w:pPr>
        <w:pStyle w:val="FootnoteText"/>
        <w:jc w:val="both"/>
      </w:pPr>
      <w:r>
        <w:rPr>
          <w:rStyle w:val="FootnoteReference"/>
        </w:rPr>
        <w:footnoteRef/>
      </w:r>
      <w:r>
        <w:t xml:space="preserve"> </w:t>
      </w:r>
      <w:r w:rsidRPr="00571F05">
        <w:rPr>
          <w:i/>
          <w:iCs/>
        </w:rPr>
        <w:t>Id</w:t>
      </w:r>
      <w:r w:rsidRPr="00571F05">
        <w:t>.</w:t>
      </w:r>
    </w:p>
  </w:footnote>
  <w:footnote w:id="5">
    <w:p w14:paraId="2E804672" w14:textId="25844B2E" w:rsidR="0065735F" w:rsidRPr="0091159F" w:rsidRDefault="0065735F" w:rsidP="003D5C17">
      <w:pPr>
        <w:pStyle w:val="Default"/>
        <w:jc w:val="both"/>
        <w:rPr>
          <w:sz w:val="20"/>
          <w:szCs w:val="20"/>
        </w:rPr>
      </w:pPr>
      <w:r w:rsidRPr="0091159F">
        <w:rPr>
          <w:rStyle w:val="FootnoteReference"/>
          <w:sz w:val="20"/>
          <w:szCs w:val="20"/>
        </w:rPr>
        <w:footnoteRef/>
      </w:r>
      <w:r w:rsidRPr="0091159F">
        <w:rPr>
          <w:sz w:val="20"/>
          <w:szCs w:val="20"/>
        </w:rPr>
        <w:t xml:space="preserve"> </w:t>
      </w:r>
      <w:r w:rsidR="0091159F" w:rsidRPr="0091159F">
        <w:rPr>
          <w:sz w:val="20"/>
          <w:szCs w:val="20"/>
        </w:rPr>
        <w:t xml:space="preserve">UN Human Rights Committee, Second </w:t>
      </w:r>
      <w:r w:rsidR="0091159F">
        <w:rPr>
          <w:sz w:val="20"/>
          <w:szCs w:val="20"/>
        </w:rPr>
        <w:t>P</w:t>
      </w:r>
      <w:r w:rsidR="0091159F" w:rsidRPr="0091159F">
        <w:rPr>
          <w:sz w:val="20"/>
          <w:szCs w:val="20"/>
        </w:rPr>
        <w:t xml:space="preserve">eriodic </w:t>
      </w:r>
      <w:r w:rsidR="0091159F">
        <w:rPr>
          <w:sz w:val="20"/>
          <w:szCs w:val="20"/>
        </w:rPr>
        <w:t>R</w:t>
      </w:r>
      <w:r w:rsidR="0091159F" w:rsidRPr="0091159F">
        <w:rPr>
          <w:sz w:val="20"/>
          <w:szCs w:val="20"/>
        </w:rPr>
        <w:t xml:space="preserve">eport </w:t>
      </w:r>
      <w:r w:rsidR="0091159F">
        <w:rPr>
          <w:sz w:val="20"/>
          <w:szCs w:val="20"/>
        </w:rPr>
        <w:t>S</w:t>
      </w:r>
      <w:r w:rsidR="0091159F" w:rsidRPr="0091159F">
        <w:rPr>
          <w:sz w:val="20"/>
          <w:szCs w:val="20"/>
        </w:rPr>
        <w:t xml:space="preserve">ubmitted by Indonesia under </w:t>
      </w:r>
      <w:r w:rsidR="0091159F">
        <w:rPr>
          <w:sz w:val="20"/>
          <w:szCs w:val="20"/>
        </w:rPr>
        <w:t>A</w:t>
      </w:r>
      <w:r w:rsidR="0091159F" w:rsidRPr="0091159F">
        <w:rPr>
          <w:sz w:val="20"/>
          <w:szCs w:val="20"/>
        </w:rPr>
        <w:t xml:space="preserve">rticle 40 of the Covenant </w:t>
      </w:r>
      <w:r w:rsidR="0091159F">
        <w:rPr>
          <w:sz w:val="20"/>
          <w:szCs w:val="20"/>
        </w:rPr>
        <w:t>P</w:t>
      </w:r>
      <w:r w:rsidR="0091159F" w:rsidRPr="0091159F">
        <w:rPr>
          <w:sz w:val="20"/>
          <w:szCs w:val="20"/>
        </w:rPr>
        <w:t xml:space="preserve">ursuant to the </w:t>
      </w:r>
      <w:r w:rsidR="0091159F">
        <w:rPr>
          <w:sz w:val="20"/>
          <w:szCs w:val="20"/>
        </w:rPr>
        <w:t>O</w:t>
      </w:r>
      <w:r w:rsidR="0091159F" w:rsidRPr="0091159F">
        <w:rPr>
          <w:sz w:val="20"/>
          <w:szCs w:val="20"/>
        </w:rPr>
        <w:t xml:space="preserve">ptional </w:t>
      </w:r>
      <w:r w:rsidR="0091159F">
        <w:rPr>
          <w:sz w:val="20"/>
          <w:szCs w:val="20"/>
        </w:rPr>
        <w:t>R</w:t>
      </w:r>
      <w:r w:rsidR="0091159F" w:rsidRPr="0091159F">
        <w:rPr>
          <w:sz w:val="20"/>
          <w:szCs w:val="20"/>
        </w:rPr>
        <w:t xml:space="preserve">eporting </w:t>
      </w:r>
      <w:r w:rsidR="0091159F">
        <w:rPr>
          <w:sz w:val="20"/>
          <w:szCs w:val="20"/>
        </w:rPr>
        <w:t>P</w:t>
      </w:r>
      <w:r w:rsidR="0091159F" w:rsidRPr="0091159F">
        <w:rPr>
          <w:sz w:val="20"/>
          <w:szCs w:val="20"/>
        </w:rPr>
        <w:t>rocedure, May 27, 2022, UN Doc. CCPR/C/IDN/ 2, para. 222.</w:t>
      </w:r>
    </w:p>
  </w:footnote>
  <w:footnote w:id="6">
    <w:p w14:paraId="74D95C92" w14:textId="769A9731" w:rsidR="0065735F" w:rsidRPr="0091159F" w:rsidRDefault="0065735F" w:rsidP="003D5C17">
      <w:pPr>
        <w:pStyle w:val="FootnoteText"/>
        <w:jc w:val="both"/>
      </w:pPr>
      <w:r w:rsidRPr="0091159F">
        <w:rPr>
          <w:rStyle w:val="FootnoteReference"/>
        </w:rPr>
        <w:footnoteRef/>
      </w:r>
      <w:r w:rsidRPr="0091159F">
        <w:t xml:space="preserve"> </w:t>
      </w:r>
      <w:r w:rsidR="0091159F" w:rsidRPr="0091159F">
        <w:rPr>
          <w:i/>
          <w:iCs/>
        </w:rPr>
        <w:t>Id</w:t>
      </w:r>
      <w:r w:rsidR="0091159F" w:rsidRPr="0091159F">
        <w:t xml:space="preserve">. at paras. 223-224. </w:t>
      </w:r>
    </w:p>
  </w:footnote>
  <w:footnote w:id="7">
    <w:p w14:paraId="20FA51E6" w14:textId="0DFDE75F" w:rsidR="0065735F" w:rsidRPr="0091159F" w:rsidRDefault="0065735F" w:rsidP="003D5C17">
      <w:pPr>
        <w:pStyle w:val="FootnoteText"/>
        <w:jc w:val="both"/>
      </w:pPr>
      <w:r w:rsidRPr="0091159F">
        <w:rPr>
          <w:rStyle w:val="FootnoteReference"/>
        </w:rPr>
        <w:footnoteRef/>
      </w:r>
      <w:r w:rsidRPr="0091159F">
        <w:t xml:space="preserve"> </w:t>
      </w:r>
      <w:r w:rsidR="0091159F" w:rsidRPr="0091159F">
        <w:rPr>
          <w:color w:val="000000" w:themeColor="text1"/>
        </w:rPr>
        <w:t xml:space="preserve">Raphael </w:t>
      </w:r>
      <w:proofErr w:type="spellStart"/>
      <w:r w:rsidR="0091159F" w:rsidRPr="0091159F">
        <w:rPr>
          <w:color w:val="000000" w:themeColor="text1"/>
        </w:rPr>
        <w:t>Oidtmann</w:t>
      </w:r>
      <w:proofErr w:type="spellEnd"/>
      <w:r w:rsidR="0091159F" w:rsidRPr="0091159F">
        <w:rPr>
          <w:color w:val="000000" w:themeColor="text1"/>
        </w:rPr>
        <w:t>, Simon Butt &amp; American Bar Association Center for Human Rights</w:t>
      </w:r>
      <w:r w:rsidR="0091159F" w:rsidRPr="0091159F">
        <w:rPr>
          <w:smallCaps/>
          <w:color w:val="000000" w:themeColor="text1"/>
        </w:rPr>
        <w:t>,</w:t>
      </w:r>
      <w:r w:rsidR="004D1D85">
        <w:rPr>
          <w:smallCaps/>
          <w:color w:val="000000" w:themeColor="text1"/>
        </w:rPr>
        <w:t xml:space="preserve"> </w:t>
      </w:r>
      <w:r w:rsidR="004D1D85">
        <w:rPr>
          <w:color w:val="000000" w:themeColor="text1"/>
        </w:rPr>
        <w:t xml:space="preserve">TrialWatch Fairness Report, </w:t>
      </w:r>
      <w:r w:rsidR="0091159F" w:rsidRPr="0091159F">
        <w:rPr>
          <w:i/>
          <w:iCs/>
          <w:color w:val="000000" w:themeColor="text1"/>
        </w:rPr>
        <w:t xml:space="preserve">Indonesia v. Muhammad </w:t>
      </w:r>
      <w:proofErr w:type="spellStart"/>
      <w:r w:rsidR="0091159F" w:rsidRPr="0091159F">
        <w:rPr>
          <w:i/>
          <w:iCs/>
          <w:color w:val="000000" w:themeColor="text1"/>
        </w:rPr>
        <w:t>Asrul</w:t>
      </w:r>
      <w:proofErr w:type="spellEnd"/>
      <w:r w:rsidR="0091159F" w:rsidRPr="0091159F">
        <w:rPr>
          <w:i/>
          <w:iCs/>
          <w:color w:val="000000" w:themeColor="text1"/>
        </w:rPr>
        <w:t xml:space="preserve"> and Indonesia v. Stella Monica</w:t>
      </w:r>
      <w:r w:rsidR="0091159F" w:rsidRPr="0091159F">
        <w:rPr>
          <w:color w:val="000000" w:themeColor="text1"/>
        </w:rPr>
        <w:t xml:space="preserve">, December 2023, </w:t>
      </w:r>
      <w:r w:rsidR="0091159F" w:rsidRPr="0091159F">
        <w:t>https://www.americanbar.org/content/dam/aba/administrative/human_rights/indonesia-ite-report.pdf.</w:t>
      </w:r>
    </w:p>
  </w:footnote>
  <w:footnote w:id="8">
    <w:p w14:paraId="3AFF18E0" w14:textId="2B8F6209" w:rsidR="0065735F" w:rsidRPr="0091159F" w:rsidRDefault="0065735F" w:rsidP="003D5C17">
      <w:pPr>
        <w:pStyle w:val="FootnoteText"/>
        <w:jc w:val="both"/>
      </w:pPr>
      <w:r w:rsidRPr="0091159F">
        <w:rPr>
          <w:rStyle w:val="FootnoteReference"/>
        </w:rPr>
        <w:footnoteRef/>
      </w:r>
      <w:r w:rsidRPr="0091159F">
        <w:t xml:space="preserve"> </w:t>
      </w:r>
      <w:r w:rsidR="0091159F" w:rsidRPr="0091159F">
        <w:rPr>
          <w:i/>
          <w:iCs/>
        </w:rPr>
        <w:t>Id</w:t>
      </w:r>
      <w:r w:rsidR="0091159F" w:rsidRPr="0091159F">
        <w:t>.</w:t>
      </w:r>
    </w:p>
  </w:footnote>
  <w:footnote w:id="9">
    <w:p w14:paraId="4545B2E2" w14:textId="13352444" w:rsidR="004430DE" w:rsidRPr="0065735F" w:rsidRDefault="004430DE" w:rsidP="003D5C17">
      <w:pPr>
        <w:pStyle w:val="FootnoteText"/>
        <w:jc w:val="both"/>
      </w:pPr>
      <w:r w:rsidRPr="0091159F">
        <w:rPr>
          <w:rStyle w:val="FootnoteReference"/>
        </w:rPr>
        <w:footnoteRef/>
      </w:r>
      <w:r w:rsidRPr="0091159F">
        <w:t xml:space="preserve"> Clooney Foundation for Justice, </w:t>
      </w:r>
      <w:r w:rsidRPr="0091159F">
        <w:rPr>
          <w:i/>
          <w:iCs/>
        </w:rPr>
        <w:t>Indonesian Human Rights Defenders Prosecuted for Defamation Should be Acquitted of Defamation</w:t>
      </w:r>
      <w:r w:rsidRPr="0091159F">
        <w:t xml:space="preserve">, December 5, 2023, </w:t>
      </w:r>
      <w:hyperlink r:id="rId1" w:history="1">
        <w:r w:rsidRPr="00571F05">
          <w:t>https://cfj.org/news/indonesian-human-rights-defenders-prosecuted-for-discussion-of-investigative-report-should-be-acquitted-of-defamation/</w:t>
        </w:r>
      </w:hyperlink>
      <w:r>
        <w:t>.  TrialWatch also submitted an amicus brief to the court in this case.</w:t>
      </w:r>
    </w:p>
  </w:footnote>
  <w:footnote w:id="10">
    <w:p w14:paraId="50EC5783" w14:textId="77777777" w:rsidR="005B4CC4" w:rsidRPr="006262D6" w:rsidRDefault="005B4CC4" w:rsidP="003D5C17">
      <w:pPr>
        <w:pStyle w:val="FootnoteText"/>
        <w:jc w:val="both"/>
        <w:rPr>
          <w:color w:val="000000" w:themeColor="text1"/>
        </w:rPr>
      </w:pPr>
      <w:r w:rsidRPr="006262D6">
        <w:rPr>
          <w:rStyle w:val="FootnoteReference"/>
          <w:color w:val="000000" w:themeColor="text1"/>
        </w:rPr>
        <w:footnoteRef/>
      </w:r>
      <w:r w:rsidRPr="006262D6">
        <w:rPr>
          <w:color w:val="000000" w:themeColor="text1"/>
        </w:rPr>
        <w:t xml:space="preserve"> Law of the Republic of Indonesia No. 11 of 2008 Concerning Electronic Information and Transactions,</w:t>
      </w:r>
      <w:r w:rsidRPr="006262D6">
        <w:rPr>
          <w:i/>
          <w:iCs/>
          <w:color w:val="000000" w:themeColor="text1"/>
        </w:rPr>
        <w:t xml:space="preserve"> </w:t>
      </w:r>
      <w:r w:rsidRPr="006262D6">
        <w:rPr>
          <w:color w:val="000000" w:themeColor="text1"/>
        </w:rPr>
        <w:t>Chapter VII.</w:t>
      </w:r>
    </w:p>
  </w:footnote>
  <w:footnote w:id="11">
    <w:p w14:paraId="6B94B50B" w14:textId="6F168775" w:rsidR="007D5A57" w:rsidRPr="006262D6" w:rsidRDefault="007D5A57" w:rsidP="003D5C17">
      <w:pPr>
        <w:pStyle w:val="FootnoteText"/>
        <w:jc w:val="both"/>
        <w:rPr>
          <w:color w:val="000000" w:themeColor="text1"/>
        </w:rPr>
      </w:pPr>
      <w:r w:rsidRPr="006262D6">
        <w:rPr>
          <w:rStyle w:val="FootnoteReference"/>
          <w:color w:val="000000" w:themeColor="text1"/>
        </w:rPr>
        <w:footnoteRef/>
      </w:r>
      <w:r w:rsidRPr="006262D6">
        <w:rPr>
          <w:color w:val="000000" w:themeColor="text1"/>
        </w:rPr>
        <w:t xml:space="preserve"> </w:t>
      </w:r>
      <w:r w:rsidRPr="006262D6">
        <w:rPr>
          <w:i/>
          <w:color w:val="000000" w:themeColor="text1"/>
        </w:rPr>
        <w:t>Id.</w:t>
      </w:r>
      <w:r w:rsidR="00292CAB" w:rsidRPr="006262D6">
        <w:rPr>
          <w:iCs/>
          <w:color w:val="000000" w:themeColor="text1"/>
        </w:rPr>
        <w:t xml:space="preserve"> at</w:t>
      </w:r>
      <w:r w:rsidRPr="006262D6">
        <w:rPr>
          <w:color w:val="000000" w:themeColor="text1"/>
        </w:rPr>
        <w:t xml:space="preserve"> </w:t>
      </w:r>
      <w:r w:rsidR="00292CAB" w:rsidRPr="006262D6">
        <w:rPr>
          <w:color w:val="000000" w:themeColor="text1"/>
        </w:rPr>
        <w:t>Articles</w:t>
      </w:r>
      <w:r w:rsidRPr="006262D6">
        <w:rPr>
          <w:color w:val="000000" w:themeColor="text1"/>
        </w:rPr>
        <w:t xml:space="preserve"> 27(3), 45(1).</w:t>
      </w:r>
    </w:p>
  </w:footnote>
  <w:footnote w:id="12">
    <w:p w14:paraId="0702E10F" w14:textId="410FDDFE" w:rsidR="002563CB" w:rsidRPr="006262D6" w:rsidRDefault="002563CB" w:rsidP="003D5C17">
      <w:pPr>
        <w:pStyle w:val="FootnoteText"/>
        <w:jc w:val="both"/>
        <w:rPr>
          <w:color w:val="000000" w:themeColor="text1"/>
        </w:rPr>
      </w:pPr>
      <w:r w:rsidRPr="006262D6">
        <w:rPr>
          <w:rStyle w:val="FootnoteReference"/>
          <w:color w:val="000000" w:themeColor="text1"/>
        </w:rPr>
        <w:footnoteRef/>
      </w:r>
      <w:r w:rsidRPr="006262D6">
        <w:rPr>
          <w:color w:val="000000" w:themeColor="text1"/>
        </w:rPr>
        <w:t xml:space="preserve"> UN Human Rights Committee, General Comment No. 34, UN Doc. </w:t>
      </w:r>
      <w:r w:rsidRPr="00571F05">
        <w:rPr>
          <w:color w:val="000000" w:themeColor="text1"/>
          <w:lang w:val="fr-FR"/>
        </w:rPr>
        <w:t xml:space="preserve">CCPR/C/GC/34, </w:t>
      </w:r>
      <w:proofErr w:type="spellStart"/>
      <w:r w:rsidRPr="00571F05">
        <w:rPr>
          <w:color w:val="000000" w:themeColor="text1"/>
          <w:lang w:val="fr-FR"/>
        </w:rPr>
        <w:t>September</w:t>
      </w:r>
      <w:proofErr w:type="spellEnd"/>
      <w:r w:rsidRPr="00571F05">
        <w:rPr>
          <w:color w:val="000000" w:themeColor="text1"/>
          <w:lang w:val="fr-FR"/>
        </w:rPr>
        <w:t xml:space="preserve"> 12, 2011, paras. </w:t>
      </w:r>
      <w:r>
        <w:rPr>
          <w:color w:val="000000" w:themeColor="text1"/>
        </w:rPr>
        <w:t>11, 38</w:t>
      </w:r>
      <w:r w:rsidR="00FF680E">
        <w:rPr>
          <w:color w:val="000000" w:themeColor="text1"/>
        </w:rPr>
        <w:t xml:space="preserve"> (“</w:t>
      </w:r>
      <w:r w:rsidR="00FF680E">
        <w:t>[T]</w:t>
      </w:r>
      <w:r w:rsidR="00FF680E" w:rsidRPr="008218C8">
        <w:t xml:space="preserve">he mere fact that forms of expression </w:t>
      </w:r>
      <w:proofErr w:type="gramStart"/>
      <w:r w:rsidR="00FF680E" w:rsidRPr="008218C8">
        <w:t>are considered to be</w:t>
      </w:r>
      <w:proofErr w:type="gramEnd"/>
      <w:r w:rsidR="00FF680E" w:rsidRPr="008218C8">
        <w:t xml:space="preserve"> insulting …  </w:t>
      </w:r>
      <w:r w:rsidR="00FF680E">
        <w:t xml:space="preserve">is </w:t>
      </w:r>
      <w:r w:rsidR="00FF680E" w:rsidRPr="008218C8">
        <w:t>not sufficient to justify the imposition of penalties</w:t>
      </w:r>
      <w:r w:rsidRPr="006262D6">
        <w:rPr>
          <w:color w:val="000000" w:themeColor="text1"/>
        </w:rPr>
        <w:t>.</w:t>
      </w:r>
      <w:r w:rsidR="00FF680E">
        <w:rPr>
          <w:color w:val="000000" w:themeColor="text1"/>
        </w:rPr>
        <w:t>”).</w:t>
      </w:r>
    </w:p>
  </w:footnote>
  <w:footnote w:id="13">
    <w:p w14:paraId="0223781C" w14:textId="091F3B79" w:rsidR="00582F70" w:rsidRPr="006641A2" w:rsidRDefault="00582F70" w:rsidP="003D5C17">
      <w:pPr>
        <w:pStyle w:val="FootnoteText"/>
        <w:jc w:val="both"/>
        <w:rPr>
          <w:color w:val="000000" w:themeColor="text1"/>
        </w:rPr>
      </w:pPr>
      <w:r w:rsidRPr="006262D6">
        <w:rPr>
          <w:rStyle w:val="FootnoteReference"/>
          <w:color w:val="000000" w:themeColor="text1"/>
        </w:rPr>
        <w:footnoteRef/>
      </w:r>
      <w:r w:rsidRPr="006262D6">
        <w:rPr>
          <w:color w:val="000000" w:themeColor="text1"/>
        </w:rPr>
        <w:t xml:space="preserve"> </w:t>
      </w:r>
      <w:r w:rsidRPr="006262D6">
        <w:rPr>
          <w:i/>
          <w:iCs/>
          <w:color w:val="000000" w:themeColor="text1"/>
        </w:rPr>
        <w:t>Id</w:t>
      </w:r>
      <w:r w:rsidR="006641A2">
        <w:rPr>
          <w:i/>
          <w:iCs/>
          <w:color w:val="000000" w:themeColor="text1"/>
        </w:rPr>
        <w:t xml:space="preserve"> </w:t>
      </w:r>
      <w:r w:rsidR="006641A2" w:rsidRPr="00571F05">
        <w:rPr>
          <w:color w:val="000000" w:themeColor="text1"/>
        </w:rPr>
        <w:t>at para. 47</w:t>
      </w:r>
      <w:r w:rsidRPr="006262D6">
        <w:rPr>
          <w:color w:val="000000" w:themeColor="text1"/>
        </w:rPr>
        <w:t xml:space="preserve"> </w:t>
      </w:r>
      <w:r>
        <w:rPr>
          <w:color w:val="000000" w:themeColor="text1"/>
        </w:rPr>
        <w:t>(“</w:t>
      </w:r>
      <w:r w:rsidRPr="008218C8">
        <w:t xml:space="preserve">States parties should </w:t>
      </w:r>
      <w:r w:rsidRPr="006641A2">
        <w:t xml:space="preserve">consider the decriminalization of </w:t>
      </w:r>
      <w:proofErr w:type="gramStart"/>
      <w:r w:rsidRPr="006641A2">
        <w:t>defamation</w:t>
      </w:r>
      <w:proofErr w:type="gramEnd"/>
      <w:r w:rsidRPr="006641A2">
        <w:t xml:space="preserve"> and, in any case, the application of the criminal law should only be countenanced in the most serious of cases and imprisonment is never an appropriate penalty.”)</w:t>
      </w:r>
      <w:r w:rsidRPr="006641A2">
        <w:rPr>
          <w:color w:val="000000" w:themeColor="text1"/>
        </w:rPr>
        <w:t>.</w:t>
      </w:r>
    </w:p>
  </w:footnote>
  <w:footnote w:id="14">
    <w:p w14:paraId="2C885C78" w14:textId="3FAB4AB2" w:rsidR="00FF680E" w:rsidRPr="006641A2" w:rsidRDefault="00FF680E" w:rsidP="003D5C17">
      <w:pPr>
        <w:pStyle w:val="FootnoteText"/>
        <w:jc w:val="both"/>
      </w:pPr>
      <w:r w:rsidRPr="006641A2">
        <w:rPr>
          <w:rStyle w:val="FootnoteReference"/>
        </w:rPr>
        <w:footnoteRef/>
      </w:r>
      <w:r w:rsidRPr="006641A2">
        <w:t xml:space="preserve"> </w:t>
      </w:r>
      <w:r w:rsidRPr="006641A2">
        <w:rPr>
          <w:i/>
          <w:iCs/>
          <w:color w:val="000000" w:themeColor="text1"/>
        </w:rPr>
        <w:t xml:space="preserve">Id. </w:t>
      </w:r>
      <w:r w:rsidRPr="006641A2">
        <w:rPr>
          <w:color w:val="000000" w:themeColor="text1"/>
        </w:rPr>
        <w:t>at para. 47 (</w:t>
      </w:r>
      <w:r w:rsidRPr="006641A2">
        <w:t>Defamation laws “should not be applied with regard to those forms of expression that are not, of their nature, subject to verification</w:t>
      </w:r>
      <w:r w:rsidRPr="006641A2">
        <w:rPr>
          <w:color w:val="000000" w:themeColor="text1"/>
        </w:rPr>
        <w:t xml:space="preserve">”).  </w:t>
      </w:r>
      <w:r w:rsidRPr="006641A2">
        <w:rPr>
          <w:i/>
          <w:iCs/>
          <w:color w:val="000000" w:themeColor="text1"/>
        </w:rPr>
        <w:t xml:space="preserve">See also </w:t>
      </w:r>
      <w:r w:rsidRPr="006641A2">
        <w:t xml:space="preserve">European Court of Human Rights, </w:t>
      </w:r>
      <w:proofErr w:type="spellStart"/>
      <w:r w:rsidRPr="006641A2">
        <w:rPr>
          <w:rFonts w:asciiTheme="majorBidi" w:hAnsiTheme="majorBidi" w:cstheme="majorBidi"/>
          <w:i/>
          <w:iCs/>
          <w:lang w:val="pt-BR"/>
        </w:rPr>
        <w:t>Fedchenko</w:t>
      </w:r>
      <w:proofErr w:type="spellEnd"/>
      <w:r w:rsidRPr="006641A2">
        <w:rPr>
          <w:rFonts w:asciiTheme="majorBidi" w:hAnsiTheme="majorBidi" w:cstheme="majorBidi"/>
          <w:i/>
          <w:iCs/>
          <w:lang w:val="pt-BR"/>
        </w:rPr>
        <w:t xml:space="preserve"> v. </w:t>
      </w:r>
      <w:proofErr w:type="spellStart"/>
      <w:r w:rsidRPr="006641A2">
        <w:rPr>
          <w:rFonts w:asciiTheme="majorBidi" w:hAnsiTheme="majorBidi" w:cstheme="majorBidi"/>
          <w:i/>
          <w:iCs/>
          <w:lang w:val="pt-BR"/>
        </w:rPr>
        <w:t>Russia</w:t>
      </w:r>
      <w:proofErr w:type="spellEnd"/>
      <w:r w:rsidRPr="006641A2">
        <w:rPr>
          <w:rFonts w:asciiTheme="majorBidi" w:hAnsiTheme="majorBidi" w:cstheme="majorBidi"/>
          <w:lang w:val="pt-BR"/>
        </w:rPr>
        <w:t xml:space="preserve"> (No. 5), App. No. 17229/13, </w:t>
      </w:r>
      <w:proofErr w:type="spellStart"/>
      <w:r w:rsidRPr="006641A2">
        <w:rPr>
          <w:rFonts w:asciiTheme="majorBidi" w:hAnsiTheme="majorBidi" w:cstheme="majorBidi"/>
          <w:lang w:val="pt-BR"/>
        </w:rPr>
        <w:t>October</w:t>
      </w:r>
      <w:proofErr w:type="spellEnd"/>
      <w:r w:rsidRPr="006641A2">
        <w:rPr>
          <w:rFonts w:asciiTheme="majorBidi" w:hAnsiTheme="majorBidi" w:cstheme="majorBidi"/>
          <w:lang w:val="pt-BR"/>
        </w:rPr>
        <w:t xml:space="preserve"> 2, 2018), para. 44 (</w:t>
      </w:r>
      <w:proofErr w:type="spellStart"/>
      <w:r w:rsidRPr="006641A2">
        <w:rPr>
          <w:rFonts w:asciiTheme="majorBidi" w:hAnsiTheme="majorBidi" w:cstheme="majorBidi"/>
          <w:lang w:val="pt-BR"/>
        </w:rPr>
        <w:t>stressing</w:t>
      </w:r>
      <w:proofErr w:type="spellEnd"/>
      <w:r w:rsidRPr="006641A2">
        <w:rPr>
          <w:rFonts w:asciiTheme="majorBidi" w:hAnsiTheme="majorBidi" w:cstheme="majorBidi"/>
          <w:lang w:val="pt-BR"/>
        </w:rPr>
        <w:t xml:space="preserve"> </w:t>
      </w:r>
      <w:r w:rsidRPr="006641A2">
        <w:t>the difference “between statements of fact and value judgments. While the existence of facts can be demonstrated, the truth of value judgments is not susceptible of proof. The requirement to prove the truth of a value judgment is impossible to fulfil and infringes freedom of opinion itself.”).</w:t>
      </w:r>
    </w:p>
  </w:footnote>
  <w:footnote w:id="15">
    <w:p w14:paraId="2EDFDD92" w14:textId="6197699D" w:rsidR="002563CB" w:rsidRPr="00571F05" w:rsidRDefault="002563CB" w:rsidP="003D5C17">
      <w:pPr>
        <w:pStyle w:val="NormalWeb"/>
        <w:spacing w:before="0" w:beforeAutospacing="0" w:after="0" w:afterAutospacing="0"/>
        <w:jc w:val="both"/>
      </w:pPr>
      <w:r w:rsidRPr="008E720A">
        <w:rPr>
          <w:rStyle w:val="FootnoteReference"/>
          <w:rFonts w:asciiTheme="majorBidi" w:hAnsiTheme="majorBidi" w:cstheme="majorBidi"/>
          <w:sz w:val="20"/>
          <w:szCs w:val="20"/>
        </w:rPr>
        <w:footnoteRef/>
      </w:r>
      <w:r w:rsidRPr="008E720A">
        <w:rPr>
          <w:rFonts w:asciiTheme="majorBidi" w:hAnsiTheme="majorBidi" w:cstheme="majorBidi"/>
          <w:sz w:val="20"/>
          <w:szCs w:val="20"/>
        </w:rPr>
        <w:t xml:space="preserve"> </w:t>
      </w:r>
      <w:r w:rsidRPr="008E720A">
        <w:rPr>
          <w:rFonts w:asciiTheme="majorBidi" w:hAnsiTheme="majorBidi" w:cstheme="majorBidi"/>
          <w:i/>
          <w:iCs/>
          <w:sz w:val="20"/>
          <w:szCs w:val="20"/>
        </w:rPr>
        <w:t>Id</w:t>
      </w:r>
      <w:r w:rsidRPr="008E720A">
        <w:rPr>
          <w:rFonts w:asciiTheme="majorBidi" w:hAnsiTheme="majorBidi" w:cstheme="majorBidi"/>
          <w:sz w:val="20"/>
          <w:szCs w:val="20"/>
        </w:rPr>
        <w:t xml:space="preserve">. </w:t>
      </w:r>
      <w:r w:rsidR="006641A2" w:rsidRPr="008E720A">
        <w:rPr>
          <w:rFonts w:asciiTheme="majorBidi" w:hAnsiTheme="majorBidi" w:cstheme="majorBidi"/>
          <w:sz w:val="20"/>
          <w:szCs w:val="20"/>
        </w:rPr>
        <w:t>(</w:t>
      </w:r>
      <w:r w:rsidR="006641A2" w:rsidRPr="008E720A">
        <w:rPr>
          <w:sz w:val="20"/>
          <w:szCs w:val="20"/>
        </w:rPr>
        <w:t xml:space="preserve">“[A] public interest in the subject matter . . . should be recognized as a </w:t>
      </w:r>
      <w:proofErr w:type="spellStart"/>
      <w:r w:rsidR="006641A2" w:rsidRPr="008E720A">
        <w:rPr>
          <w:sz w:val="20"/>
          <w:szCs w:val="20"/>
        </w:rPr>
        <w:t>defence</w:t>
      </w:r>
      <w:proofErr w:type="spellEnd"/>
      <w:r w:rsidR="006641A2" w:rsidRPr="008E720A">
        <w:rPr>
          <w:sz w:val="20"/>
          <w:szCs w:val="20"/>
        </w:rPr>
        <w:t xml:space="preserve">.”)  </w:t>
      </w:r>
    </w:p>
  </w:footnote>
  <w:footnote w:id="16">
    <w:p w14:paraId="46C7E674" w14:textId="3DFC16C8" w:rsidR="008E720A" w:rsidRPr="008E720A" w:rsidRDefault="008E720A" w:rsidP="003D5C17">
      <w:pPr>
        <w:pStyle w:val="NormalWeb"/>
        <w:spacing w:before="0" w:beforeAutospacing="0" w:after="0" w:afterAutospacing="0"/>
        <w:jc w:val="both"/>
      </w:pPr>
      <w:r w:rsidRPr="008E720A">
        <w:rPr>
          <w:rStyle w:val="FootnoteReference"/>
          <w:sz w:val="20"/>
          <w:szCs w:val="20"/>
        </w:rPr>
        <w:footnoteRef/>
      </w:r>
      <w:r w:rsidRPr="008E720A">
        <w:rPr>
          <w:sz w:val="20"/>
          <w:szCs w:val="20"/>
        </w:rPr>
        <w:t xml:space="preserve"> </w:t>
      </w:r>
      <w:r w:rsidRPr="00571F05">
        <w:rPr>
          <w:i/>
          <w:iCs/>
          <w:sz w:val="20"/>
          <w:szCs w:val="20"/>
        </w:rPr>
        <w:t>Id</w:t>
      </w:r>
      <w:r w:rsidRPr="008E720A">
        <w:rPr>
          <w:i/>
          <w:iCs/>
          <w:sz w:val="20"/>
          <w:szCs w:val="20"/>
        </w:rPr>
        <w:t xml:space="preserve">. </w:t>
      </w:r>
      <w:r w:rsidRPr="00275E06">
        <w:rPr>
          <w:sz w:val="20"/>
          <w:szCs w:val="20"/>
        </w:rPr>
        <w:t>(</w:t>
      </w:r>
      <w:r>
        <w:rPr>
          <w:i/>
          <w:iCs/>
          <w:sz w:val="20"/>
          <w:szCs w:val="20"/>
        </w:rPr>
        <w:t>“</w:t>
      </w:r>
      <w:r w:rsidRPr="008E720A">
        <w:rPr>
          <w:sz w:val="20"/>
          <w:szCs w:val="20"/>
        </w:rPr>
        <w:t xml:space="preserve">All such laws, in particular penal defamation laws, should include such </w:t>
      </w:r>
      <w:proofErr w:type="spellStart"/>
      <w:r w:rsidRPr="008E720A">
        <w:rPr>
          <w:sz w:val="20"/>
          <w:szCs w:val="20"/>
        </w:rPr>
        <w:t>defences</w:t>
      </w:r>
      <w:proofErr w:type="spellEnd"/>
      <w:r w:rsidRPr="008E720A">
        <w:rPr>
          <w:sz w:val="20"/>
          <w:szCs w:val="20"/>
        </w:rPr>
        <w:t xml:space="preserve"> as the </w:t>
      </w:r>
      <w:proofErr w:type="spellStart"/>
      <w:r w:rsidRPr="008E720A">
        <w:rPr>
          <w:sz w:val="20"/>
          <w:szCs w:val="20"/>
        </w:rPr>
        <w:t>defence</w:t>
      </w:r>
      <w:proofErr w:type="spellEnd"/>
      <w:r w:rsidRPr="008E720A">
        <w:rPr>
          <w:sz w:val="20"/>
          <w:szCs w:val="20"/>
        </w:rPr>
        <w:t xml:space="preserve"> of truth</w:t>
      </w:r>
      <w:r w:rsidR="0098303F">
        <w:rPr>
          <w:sz w:val="20"/>
          <w:szCs w:val="20"/>
        </w:rPr>
        <w:t>.</w:t>
      </w:r>
      <w:r>
        <w:rPr>
          <w:sz w:val="20"/>
          <w:szCs w:val="20"/>
        </w:rPr>
        <w:t>”)</w:t>
      </w:r>
      <w:r w:rsidRPr="008E720A">
        <w:rPr>
          <w:sz w:val="20"/>
          <w:szCs w:val="20"/>
        </w:rPr>
        <w:t xml:space="preserve"> </w:t>
      </w:r>
    </w:p>
  </w:footnote>
  <w:footnote w:id="17">
    <w:p w14:paraId="05C06621" w14:textId="47CD7FC9" w:rsidR="00631BFE" w:rsidRPr="0032152C" w:rsidRDefault="00631BFE" w:rsidP="003D5C17">
      <w:pPr>
        <w:pStyle w:val="FootnoteText"/>
        <w:jc w:val="both"/>
        <w:rPr>
          <w:color w:val="000000" w:themeColor="text1"/>
        </w:rPr>
      </w:pPr>
      <w:r w:rsidRPr="008E720A">
        <w:rPr>
          <w:rStyle w:val="FootnoteReference"/>
          <w:color w:val="000000" w:themeColor="text1"/>
        </w:rPr>
        <w:footnoteRef/>
      </w:r>
      <w:proofErr w:type="spellStart"/>
      <w:r w:rsidRPr="008E720A">
        <w:rPr>
          <w:color w:val="000000" w:themeColor="text1"/>
        </w:rPr>
        <w:t>Adhigama</w:t>
      </w:r>
      <w:proofErr w:type="spellEnd"/>
      <w:r w:rsidRPr="0032152C">
        <w:rPr>
          <w:color w:val="000000" w:themeColor="text1"/>
        </w:rPr>
        <w:t xml:space="preserve"> Budiman</w:t>
      </w:r>
      <w:r w:rsidR="002A4ED6">
        <w:rPr>
          <w:color w:val="000000" w:themeColor="text1"/>
        </w:rPr>
        <w:t xml:space="preserve"> et al.</w:t>
      </w:r>
      <w:r w:rsidRPr="0032152C">
        <w:rPr>
          <w:color w:val="000000" w:themeColor="text1"/>
        </w:rPr>
        <w:t xml:space="preserve">, </w:t>
      </w:r>
      <w:r w:rsidRPr="0032152C">
        <w:rPr>
          <w:i/>
          <w:iCs/>
          <w:color w:val="000000" w:themeColor="text1"/>
        </w:rPr>
        <w:t>The Indonesian Information and Electronic Transaction Law and EU Perspectives on the Moderation of Online Content</w:t>
      </w:r>
      <w:r w:rsidRPr="0032152C">
        <w:rPr>
          <w:color w:val="000000" w:themeColor="text1"/>
        </w:rPr>
        <w:t>, Delegation of the European Union to Indonesia, 2022, pg</w:t>
      </w:r>
      <w:r>
        <w:rPr>
          <w:color w:val="000000" w:themeColor="text1"/>
        </w:rPr>
        <w:t>.</w:t>
      </w:r>
      <w:r w:rsidRPr="0032152C">
        <w:rPr>
          <w:color w:val="000000" w:themeColor="text1"/>
        </w:rPr>
        <w:t xml:space="preserve"> 8.</w:t>
      </w:r>
    </w:p>
  </w:footnote>
  <w:footnote w:id="18">
    <w:p w14:paraId="482B5E0B" w14:textId="2EF09BDB" w:rsidR="002563CB" w:rsidRDefault="002563CB" w:rsidP="003D5C17">
      <w:pPr>
        <w:pStyle w:val="FootnoteText"/>
        <w:jc w:val="both"/>
      </w:pPr>
      <w:r>
        <w:rPr>
          <w:rStyle w:val="FootnoteReference"/>
        </w:rPr>
        <w:footnoteRef/>
      </w:r>
      <w:r>
        <w:t xml:space="preserve"> </w:t>
      </w:r>
      <w:r w:rsidR="00D97178">
        <w:rPr>
          <w:i/>
          <w:iCs/>
        </w:rPr>
        <w:t xml:space="preserve">Cf. </w:t>
      </w:r>
      <w:r w:rsidR="00E77C1B" w:rsidRPr="00871CDB">
        <w:rPr>
          <w:color w:val="000000" w:themeColor="text1"/>
        </w:rPr>
        <w:t xml:space="preserve">UN Human Rights Council, </w:t>
      </w:r>
      <w:r w:rsidR="00D97178">
        <w:rPr>
          <w:color w:val="000000" w:themeColor="text1"/>
        </w:rPr>
        <w:t xml:space="preserve">Report of the </w:t>
      </w:r>
      <w:r w:rsidR="00E77C1B" w:rsidRPr="00871CDB">
        <w:rPr>
          <w:color w:val="000000" w:themeColor="text1"/>
        </w:rPr>
        <w:t xml:space="preserve">UN High Commissioner for Human Rights on the expert workshops on the prohibition of incitement to national, </w:t>
      </w:r>
      <w:proofErr w:type="gramStart"/>
      <w:r w:rsidR="00E77C1B" w:rsidRPr="00871CDB">
        <w:rPr>
          <w:color w:val="000000" w:themeColor="text1"/>
        </w:rPr>
        <w:t>racial</w:t>
      </w:r>
      <w:proofErr w:type="gramEnd"/>
      <w:r w:rsidR="00E77C1B" w:rsidRPr="00871CDB">
        <w:rPr>
          <w:color w:val="000000" w:themeColor="text1"/>
        </w:rPr>
        <w:t xml:space="preserve"> or religious hatred (Appendix: “Rabat Plan of Action”), UN Doc. A/HRC/22/17/Add.4, January 11, 2013, </w:t>
      </w:r>
      <w:r w:rsidRPr="00871CDB">
        <w:rPr>
          <w:color w:val="000000" w:themeColor="text1"/>
        </w:rPr>
        <w:t xml:space="preserve">para. </w:t>
      </w:r>
      <w:r>
        <w:rPr>
          <w:color w:val="000000" w:themeColor="text1"/>
        </w:rPr>
        <w:t>21.</w:t>
      </w:r>
    </w:p>
  </w:footnote>
  <w:footnote w:id="19">
    <w:p w14:paraId="2F051E99" w14:textId="4516908A" w:rsidR="0032152C" w:rsidRPr="0032152C" w:rsidRDefault="0032152C" w:rsidP="003D5C17">
      <w:pPr>
        <w:pStyle w:val="FootnoteText"/>
        <w:jc w:val="both"/>
      </w:pPr>
      <w:r>
        <w:rPr>
          <w:rStyle w:val="FootnoteReference"/>
        </w:rPr>
        <w:footnoteRef/>
      </w:r>
      <w:r>
        <w:t xml:space="preserve"> </w:t>
      </w:r>
      <w:r w:rsidR="002563CB" w:rsidRPr="002563CB">
        <w:rPr>
          <w:i/>
          <w:iCs/>
        </w:rPr>
        <w:t xml:space="preserve">Compare </w:t>
      </w:r>
      <w:r w:rsidR="002A4ED6" w:rsidRPr="002563CB">
        <w:rPr>
          <w:color w:val="000000" w:themeColor="text1"/>
        </w:rPr>
        <w:t xml:space="preserve">Rabat Plan of Action, </w:t>
      </w:r>
      <w:r w:rsidR="002A4ED6" w:rsidRPr="002563CB">
        <w:rPr>
          <w:i/>
          <w:iCs/>
          <w:color w:val="000000" w:themeColor="text1"/>
        </w:rPr>
        <w:t>supra</w:t>
      </w:r>
      <w:r w:rsidR="002A4ED6" w:rsidRPr="002563CB">
        <w:rPr>
          <w:color w:val="000000" w:themeColor="text1"/>
        </w:rPr>
        <w:t xml:space="preserve">, </w:t>
      </w:r>
      <w:r w:rsidR="002A4ED6" w:rsidRPr="002563CB">
        <w:t>at para. 29(c) and (f)</w:t>
      </w:r>
      <w:r w:rsidR="002A4ED6">
        <w:t xml:space="preserve">, </w:t>
      </w:r>
      <w:r w:rsidR="002A4ED6">
        <w:rPr>
          <w:i/>
          <w:iCs/>
        </w:rPr>
        <w:t xml:space="preserve">with </w:t>
      </w:r>
      <w:proofErr w:type="spellStart"/>
      <w:r w:rsidR="002563CB" w:rsidRPr="002563CB">
        <w:rPr>
          <w:color w:val="000000" w:themeColor="text1"/>
        </w:rPr>
        <w:t>Adhigama</w:t>
      </w:r>
      <w:proofErr w:type="spellEnd"/>
      <w:r w:rsidR="002563CB" w:rsidRPr="002563CB">
        <w:rPr>
          <w:color w:val="000000" w:themeColor="text1"/>
        </w:rPr>
        <w:t xml:space="preserve"> Budiman et al., </w:t>
      </w:r>
      <w:r w:rsidR="002563CB" w:rsidRPr="002563CB">
        <w:rPr>
          <w:i/>
          <w:iCs/>
          <w:color w:val="000000" w:themeColor="text1"/>
        </w:rPr>
        <w:t>supra</w:t>
      </w:r>
      <w:r w:rsidR="002563CB" w:rsidRPr="002563CB">
        <w:rPr>
          <w:color w:val="000000" w:themeColor="text1"/>
        </w:rPr>
        <w:t>, pg. 9 (“</w:t>
      </w:r>
      <w:r w:rsidR="002563CB" w:rsidRPr="007723BE">
        <w:rPr>
          <w:rStyle w:val="MSGENFONTSTYLENAMETEMPLATEROLENUMBERMSGENFONTSTYLENAMEBYROLETEXT2MSGENFONTSTYLEMODIFERSIZE12"/>
          <w:rFonts w:eastAsiaTheme="minorHAnsi"/>
          <w:sz w:val="20"/>
          <w:szCs w:val="20"/>
        </w:rPr>
        <w:t xml:space="preserve">[T]he fundamental problem of Article 28(2) of the EIT Law is that in order for </w:t>
      </w:r>
      <w:proofErr w:type="spellStart"/>
      <w:r w:rsidR="002563CB" w:rsidRPr="007723BE">
        <w:rPr>
          <w:rStyle w:val="MSGENFONTSTYLENAMETEMPLATEROLENUMBERMSGENFONTSTYLENAMEBYROLETEXT2MSGENFONTSTYLEMODIFERSIZE12"/>
          <w:rFonts w:eastAsiaTheme="minorHAnsi"/>
          <w:i/>
          <w:iCs/>
          <w:sz w:val="20"/>
          <w:szCs w:val="20"/>
        </w:rPr>
        <w:t>mens</w:t>
      </w:r>
      <w:proofErr w:type="spellEnd"/>
      <w:r w:rsidR="002563CB" w:rsidRPr="007723BE">
        <w:rPr>
          <w:rStyle w:val="MSGENFONTSTYLENAMETEMPLATEROLENUMBERMSGENFONTSTYLENAMEBYROLETEXT2MSGENFONTSTYLEMODIFERSIZE12"/>
          <w:rFonts w:eastAsiaTheme="minorHAnsi"/>
          <w:i/>
          <w:iCs/>
          <w:sz w:val="20"/>
          <w:szCs w:val="20"/>
        </w:rPr>
        <w:t xml:space="preserve"> rea</w:t>
      </w:r>
      <w:r w:rsidR="002563CB" w:rsidRPr="007723BE">
        <w:rPr>
          <w:rStyle w:val="MSGENFONTSTYLENAMETEMPLATEROLENUMBERMSGENFONTSTYLENAMEBYROLETEXT2MSGENFONTSTYLEMODIFERSIZE12"/>
          <w:rFonts w:eastAsiaTheme="minorHAnsi"/>
          <w:sz w:val="20"/>
          <w:szCs w:val="20"/>
        </w:rPr>
        <w:t xml:space="preserve"> to be fulfilled, the prosecution need only to prove that the defendant had the intention of spreading the content, instead of proving an intent to incite hatred/violence.”</w:t>
      </w:r>
      <w:r w:rsidR="002563CB">
        <w:rPr>
          <w:rStyle w:val="MSGENFONTSTYLENAMETEMPLATEROLENUMBERMSGENFONTSTYLENAMEBYROLETEXT2MSGENFONTSTYLEMODIFERSIZE12"/>
          <w:rFonts w:eastAsiaTheme="minorHAnsi"/>
          <w:sz w:val="20"/>
          <w:szCs w:val="20"/>
        </w:rPr>
        <w:t>)</w:t>
      </w:r>
      <w:r w:rsidRPr="002563CB">
        <w:t>.</w:t>
      </w:r>
    </w:p>
  </w:footnote>
  <w:footnote w:id="20">
    <w:p w14:paraId="1AB7CF5B" w14:textId="33DDAB46" w:rsidR="005D0EB5" w:rsidRPr="005D0EB5" w:rsidRDefault="005D0EB5" w:rsidP="003D5C17">
      <w:pPr>
        <w:pStyle w:val="FootnoteText"/>
        <w:jc w:val="both"/>
      </w:pPr>
      <w:r>
        <w:rPr>
          <w:rStyle w:val="FootnoteReference"/>
        </w:rPr>
        <w:footnoteRef/>
      </w:r>
      <w:r>
        <w:t xml:space="preserve"> </w:t>
      </w:r>
      <w:r w:rsidR="002563CB">
        <w:rPr>
          <w:i/>
          <w:iCs/>
          <w:color w:val="000000" w:themeColor="text1"/>
        </w:rPr>
        <w:t xml:space="preserve">Cf. </w:t>
      </w:r>
      <w:r w:rsidR="002563CB" w:rsidRPr="002563CB">
        <w:rPr>
          <w:color w:val="000000" w:themeColor="text1"/>
        </w:rPr>
        <w:t xml:space="preserve"> Rabat Plan of Action, </w:t>
      </w:r>
      <w:r w:rsidR="002563CB" w:rsidRPr="002563CB">
        <w:rPr>
          <w:i/>
          <w:iCs/>
          <w:color w:val="000000" w:themeColor="text1"/>
        </w:rPr>
        <w:t>supra</w:t>
      </w:r>
      <w:r w:rsidR="002563CB" w:rsidRPr="002563CB">
        <w:rPr>
          <w:color w:val="000000" w:themeColor="text1"/>
        </w:rPr>
        <w:t xml:space="preserve">, </w:t>
      </w:r>
      <w:r>
        <w:rPr>
          <w:color w:val="000000" w:themeColor="text1"/>
        </w:rPr>
        <w:t>at</w:t>
      </w:r>
      <w:r w:rsidRPr="00871CDB">
        <w:rPr>
          <w:color w:val="000000" w:themeColor="text1"/>
        </w:rPr>
        <w:t xml:space="preserve"> para. </w:t>
      </w:r>
      <w:r>
        <w:rPr>
          <w:color w:val="000000" w:themeColor="text1"/>
        </w:rPr>
        <w:t>29(e)</w:t>
      </w:r>
      <w:r w:rsidR="002563CB">
        <w:rPr>
          <w:color w:val="000000" w:themeColor="text1"/>
        </w:rPr>
        <w:t xml:space="preserve"> (</w:t>
      </w:r>
      <w:r w:rsidR="002563CB">
        <w:rPr>
          <w:color w:val="000000" w:themeColor="text1"/>
          <w:lang w:bidi="en-US"/>
        </w:rPr>
        <w:t>discussing the importance of the</w:t>
      </w:r>
      <w:r w:rsidR="002563CB" w:rsidRPr="002563CB">
        <w:rPr>
          <w:color w:val="000000" w:themeColor="text1"/>
          <w:lang w:bidi="en-US"/>
        </w:rPr>
        <w:t xml:space="preserve"> “the reach of the speech act, </w:t>
      </w:r>
      <w:r w:rsidR="002563CB" w:rsidRPr="002563CB">
        <w:rPr>
          <w:color w:val="000000" w:themeColor="text1"/>
        </w:rPr>
        <w:t>its public nature, its magnitude and size of its audienc</w:t>
      </w:r>
      <w:r w:rsidR="002A4ED6">
        <w:rPr>
          <w:color w:val="000000" w:themeColor="text1"/>
        </w:rPr>
        <w:t>e</w:t>
      </w:r>
      <w:r w:rsidR="002563CB" w:rsidRPr="002563CB">
        <w:rPr>
          <w:color w:val="000000" w:themeColor="text1"/>
        </w:rPr>
        <w:t>.”</w:t>
      </w:r>
      <w:r w:rsidR="002563CB">
        <w:rPr>
          <w:color w:val="000000" w:themeColor="text1"/>
        </w:rPr>
        <w:t>).</w:t>
      </w:r>
    </w:p>
  </w:footnote>
  <w:footnote w:id="21">
    <w:p w14:paraId="2932E8BF" w14:textId="14B4FF15" w:rsidR="007723BE" w:rsidRPr="00571F05" w:rsidRDefault="007723BE" w:rsidP="003D5C17">
      <w:pPr>
        <w:pStyle w:val="FootnoteText"/>
        <w:jc w:val="both"/>
        <w:rPr>
          <w:lang w:val="fr-FR"/>
        </w:rPr>
      </w:pPr>
      <w:r>
        <w:rPr>
          <w:rStyle w:val="FootnoteReference"/>
        </w:rPr>
        <w:footnoteRef/>
      </w:r>
      <w:r w:rsidRPr="00571F05">
        <w:rPr>
          <w:lang w:val="fr-FR"/>
        </w:rPr>
        <w:t xml:space="preserve"> </w:t>
      </w:r>
      <w:proofErr w:type="spellStart"/>
      <w:r w:rsidRPr="007723BE">
        <w:rPr>
          <w:color w:val="000000" w:themeColor="text1"/>
          <w:lang w:val="fr-FR"/>
        </w:rPr>
        <w:t>Adhigama</w:t>
      </w:r>
      <w:proofErr w:type="spellEnd"/>
      <w:r w:rsidRPr="007723BE">
        <w:rPr>
          <w:color w:val="000000" w:themeColor="text1"/>
          <w:lang w:val="fr-FR"/>
        </w:rPr>
        <w:t xml:space="preserve"> </w:t>
      </w:r>
      <w:proofErr w:type="spellStart"/>
      <w:r w:rsidRPr="007723BE">
        <w:rPr>
          <w:color w:val="000000" w:themeColor="text1"/>
          <w:lang w:val="fr-FR"/>
        </w:rPr>
        <w:t>Budiman</w:t>
      </w:r>
      <w:proofErr w:type="spellEnd"/>
      <w:r w:rsidRPr="007723BE">
        <w:rPr>
          <w:color w:val="000000" w:themeColor="text1"/>
          <w:lang w:val="fr-FR"/>
        </w:rPr>
        <w:t xml:space="preserve"> et al., </w:t>
      </w:r>
      <w:r w:rsidRPr="007723BE">
        <w:rPr>
          <w:i/>
          <w:iCs/>
          <w:color w:val="000000" w:themeColor="text1"/>
          <w:lang w:val="fr-FR"/>
        </w:rPr>
        <w:t>supra</w:t>
      </w:r>
      <w:r w:rsidRPr="007723BE">
        <w:rPr>
          <w:color w:val="000000" w:themeColor="text1"/>
          <w:lang w:val="fr-FR"/>
        </w:rPr>
        <w:t xml:space="preserve">, </w:t>
      </w:r>
      <w:proofErr w:type="spellStart"/>
      <w:r w:rsidRPr="007723BE">
        <w:rPr>
          <w:lang w:val="fr-FR"/>
        </w:rPr>
        <w:t>pg</w:t>
      </w:r>
      <w:proofErr w:type="spellEnd"/>
      <w:r w:rsidRPr="00B77E39">
        <w:rPr>
          <w:lang w:val="fr-FR"/>
        </w:rPr>
        <w:t>. 13</w:t>
      </w:r>
      <w:r>
        <w:rPr>
          <w:lang w:val="fr-FR"/>
        </w:rPr>
        <w:t>.</w:t>
      </w:r>
    </w:p>
  </w:footnote>
  <w:footnote w:id="22">
    <w:p w14:paraId="5BE35BA3" w14:textId="2AE9D0A4" w:rsidR="008C3221" w:rsidRPr="00571F05" w:rsidRDefault="008C3221" w:rsidP="003D5C17">
      <w:pPr>
        <w:pStyle w:val="FootnoteText"/>
        <w:jc w:val="both"/>
        <w:rPr>
          <w:color w:val="000000" w:themeColor="text1"/>
        </w:rPr>
      </w:pPr>
      <w:r w:rsidRPr="00567402">
        <w:rPr>
          <w:rStyle w:val="FootnoteReference"/>
        </w:rPr>
        <w:footnoteRef/>
      </w:r>
      <w:r w:rsidRPr="00571F05">
        <w:rPr>
          <w:i/>
          <w:iCs/>
        </w:rPr>
        <w:t xml:space="preserve"> </w:t>
      </w:r>
      <w:r w:rsidR="007723BE" w:rsidRPr="00571F05">
        <w:rPr>
          <w:i/>
          <w:iCs/>
          <w:color w:val="000000" w:themeColor="text1"/>
        </w:rPr>
        <w:t>Id</w:t>
      </w:r>
      <w:r w:rsidR="007723BE" w:rsidRPr="00571F05">
        <w:rPr>
          <w:color w:val="000000" w:themeColor="text1"/>
        </w:rPr>
        <w:t>. at</w:t>
      </w:r>
      <w:r w:rsidR="002A4ED6" w:rsidRPr="00571F05">
        <w:rPr>
          <w:color w:val="000000" w:themeColor="text1"/>
        </w:rPr>
        <w:t xml:space="preserve"> </w:t>
      </w:r>
      <w:r w:rsidRPr="00571F05">
        <w:t>pg</w:t>
      </w:r>
      <w:r w:rsidR="007723BE" w:rsidRPr="00571F05">
        <w:t>s</w:t>
      </w:r>
      <w:r w:rsidRPr="00EF3AEC">
        <w:t>. 13</w:t>
      </w:r>
      <w:r w:rsidR="007723BE" w:rsidRPr="00571F05">
        <w:t>-16.</w:t>
      </w:r>
    </w:p>
  </w:footnote>
  <w:footnote w:id="23">
    <w:p w14:paraId="42F24A80" w14:textId="4301AF50" w:rsidR="007D5A57" w:rsidRPr="00567402" w:rsidRDefault="007D5A57" w:rsidP="003D5C17">
      <w:pPr>
        <w:pStyle w:val="FootnoteText"/>
        <w:jc w:val="both"/>
        <w:rPr>
          <w:lang w:val="pt-BR"/>
        </w:rPr>
      </w:pPr>
      <w:r w:rsidRPr="00567402">
        <w:rPr>
          <w:rStyle w:val="FootnoteReference"/>
        </w:rPr>
        <w:footnoteRef/>
      </w:r>
      <w:r w:rsidR="005D0EB5" w:rsidRPr="00567402">
        <w:t xml:space="preserve"> </w:t>
      </w:r>
      <w:proofErr w:type="spellStart"/>
      <w:r w:rsidR="005D0EB5" w:rsidRPr="00567402">
        <w:t>Witara</w:t>
      </w:r>
      <w:proofErr w:type="spellEnd"/>
      <w:r w:rsidR="005D0EB5" w:rsidRPr="00567402">
        <w:t xml:space="preserve"> Cakra Advocates, </w:t>
      </w:r>
      <w:r w:rsidRPr="00567402">
        <w:rPr>
          <w:i/>
          <w:iCs/>
        </w:rPr>
        <w:t>Indonesian Electronic Information and Transactions Law Amended</w:t>
      </w:r>
      <w:r w:rsidRPr="00567402">
        <w:t xml:space="preserve">, </w:t>
      </w:r>
      <w:proofErr w:type="spellStart"/>
      <w:r w:rsidRPr="00567402">
        <w:rPr>
          <w:lang w:val="pt-BR"/>
        </w:rPr>
        <w:t>Dec</w:t>
      </w:r>
      <w:r w:rsidR="00567402" w:rsidRPr="00567402">
        <w:rPr>
          <w:lang w:val="pt-BR"/>
        </w:rPr>
        <w:t>ember</w:t>
      </w:r>
      <w:proofErr w:type="spellEnd"/>
      <w:r w:rsidRPr="00567402">
        <w:rPr>
          <w:lang w:val="pt-BR"/>
        </w:rPr>
        <w:t xml:space="preserve"> 15, 2016, </w:t>
      </w:r>
      <w:hyperlink r:id="rId2" w:history="1">
        <w:r w:rsidR="005D0EB5" w:rsidRPr="00025AAE">
          <w:rPr>
            <w:rFonts w:eastAsiaTheme="minorHAnsi"/>
            <w:color w:val="000000"/>
            <w14:ligatures w14:val="standardContextual"/>
          </w:rPr>
          <w:t>https://www.lexology.com/library/detail.aspx?g=05252af2-1144-462a-9c70-a3abe67d8cd1</w:t>
        </w:r>
      </w:hyperlink>
      <w:r w:rsidRPr="00567402">
        <w:rPr>
          <w:lang w:val="pt-BR"/>
        </w:rPr>
        <w:t>.</w:t>
      </w:r>
      <w:r w:rsidR="00110E91">
        <w:rPr>
          <w:lang w:val="pt-BR"/>
        </w:rPr>
        <w:t xml:space="preserve"> </w:t>
      </w:r>
      <w:r w:rsidR="00CC14AA" w:rsidRPr="00567402">
        <w:rPr>
          <w:i/>
          <w:iCs/>
        </w:rPr>
        <w:t>See also</w:t>
      </w:r>
      <w:r w:rsidR="00CC14AA" w:rsidRPr="00567402">
        <w:t xml:space="preserve"> </w:t>
      </w:r>
      <w:proofErr w:type="spellStart"/>
      <w:r w:rsidR="00CC14AA" w:rsidRPr="00567402">
        <w:rPr>
          <w:color w:val="000000" w:themeColor="text1"/>
        </w:rPr>
        <w:t>Adhigama</w:t>
      </w:r>
      <w:proofErr w:type="spellEnd"/>
      <w:r w:rsidR="00CC14AA" w:rsidRPr="00567402">
        <w:rPr>
          <w:color w:val="000000" w:themeColor="text1"/>
        </w:rPr>
        <w:t xml:space="preserve"> Budiman</w:t>
      </w:r>
      <w:r w:rsidR="0098303F">
        <w:rPr>
          <w:color w:val="000000" w:themeColor="text1"/>
        </w:rPr>
        <w:t xml:space="preserve"> et al.</w:t>
      </w:r>
      <w:r w:rsidR="00CC14AA" w:rsidRPr="00567402">
        <w:rPr>
          <w:color w:val="000000" w:themeColor="text1"/>
        </w:rPr>
        <w:t xml:space="preserve">, </w:t>
      </w:r>
      <w:r w:rsidR="0098303F">
        <w:rPr>
          <w:i/>
          <w:iCs/>
          <w:color w:val="000000" w:themeColor="text1"/>
        </w:rPr>
        <w:t>supra</w:t>
      </w:r>
      <w:r w:rsidR="0098303F">
        <w:rPr>
          <w:color w:val="000000" w:themeColor="text1"/>
        </w:rPr>
        <w:t>,</w:t>
      </w:r>
      <w:r w:rsidR="00CC14AA" w:rsidRPr="00567402">
        <w:rPr>
          <w:color w:val="000000" w:themeColor="text1"/>
        </w:rPr>
        <w:t xml:space="preserve"> pg.</w:t>
      </w:r>
      <w:r w:rsidR="00CC14AA">
        <w:rPr>
          <w:color w:val="000000" w:themeColor="text1"/>
        </w:rPr>
        <w:t xml:space="preserve"> 26.</w:t>
      </w:r>
    </w:p>
  </w:footnote>
  <w:footnote w:id="24">
    <w:p w14:paraId="6420F2BB" w14:textId="7201D1BB" w:rsidR="007D5A57" w:rsidRPr="00567402" w:rsidRDefault="007D5A57" w:rsidP="003D5C17">
      <w:pPr>
        <w:pStyle w:val="Default"/>
        <w:jc w:val="both"/>
        <w:rPr>
          <w:sz w:val="20"/>
          <w:szCs w:val="20"/>
        </w:rPr>
      </w:pPr>
      <w:r w:rsidRPr="00567402">
        <w:rPr>
          <w:rStyle w:val="FootnoteReference"/>
          <w:sz w:val="20"/>
          <w:szCs w:val="20"/>
        </w:rPr>
        <w:footnoteRef/>
      </w:r>
      <w:r w:rsidR="003A78AF" w:rsidRPr="00567402">
        <w:rPr>
          <w:sz w:val="20"/>
          <w:szCs w:val="20"/>
        </w:rPr>
        <w:t xml:space="preserve"> </w:t>
      </w:r>
      <w:proofErr w:type="spellStart"/>
      <w:r w:rsidR="0098303F" w:rsidRPr="00571F05">
        <w:rPr>
          <w:sz w:val="20"/>
          <w:szCs w:val="20"/>
        </w:rPr>
        <w:t>Witara</w:t>
      </w:r>
      <w:proofErr w:type="spellEnd"/>
      <w:r w:rsidR="0098303F" w:rsidRPr="00571F05">
        <w:rPr>
          <w:sz w:val="20"/>
          <w:szCs w:val="20"/>
        </w:rPr>
        <w:t xml:space="preserve"> Cakra Advocates, </w:t>
      </w:r>
      <w:r w:rsidR="0098303F" w:rsidRPr="00571F05">
        <w:rPr>
          <w:i/>
          <w:iCs/>
          <w:sz w:val="20"/>
          <w:szCs w:val="20"/>
        </w:rPr>
        <w:t>Indonesian Electronic Information and Transactions Law Amended</w:t>
      </w:r>
      <w:r w:rsidR="0098303F" w:rsidRPr="00571F05">
        <w:rPr>
          <w:sz w:val="20"/>
          <w:szCs w:val="20"/>
        </w:rPr>
        <w:t xml:space="preserve">, </w:t>
      </w:r>
      <w:proofErr w:type="spellStart"/>
      <w:r w:rsidR="0098303F" w:rsidRPr="00571F05">
        <w:rPr>
          <w:sz w:val="20"/>
          <w:szCs w:val="20"/>
          <w:lang w:val="pt-BR"/>
        </w:rPr>
        <w:t>December</w:t>
      </w:r>
      <w:proofErr w:type="spellEnd"/>
      <w:r w:rsidR="0098303F" w:rsidRPr="00571F05">
        <w:rPr>
          <w:sz w:val="20"/>
          <w:szCs w:val="20"/>
          <w:lang w:val="pt-BR"/>
        </w:rPr>
        <w:t xml:space="preserve"> 15, 2016</w:t>
      </w:r>
      <w:r w:rsidR="0098303F" w:rsidRPr="00025AAE">
        <w:rPr>
          <w:sz w:val="20"/>
          <w:szCs w:val="20"/>
        </w:rPr>
        <w:t xml:space="preserve">, </w:t>
      </w:r>
      <w:hyperlink r:id="rId3" w:history="1">
        <w:r w:rsidR="0098303F" w:rsidRPr="00025AAE">
          <w:rPr>
            <w:sz w:val="20"/>
            <w:szCs w:val="20"/>
          </w:rPr>
          <w:t>https://www.lexology.com/library/detail.aspx?g=05252af2-1144-462a-9c70-a3abe67d8cd1</w:t>
        </w:r>
      </w:hyperlink>
      <w:r w:rsidR="0098303F" w:rsidRPr="00571F05">
        <w:rPr>
          <w:sz w:val="20"/>
          <w:szCs w:val="20"/>
          <w:lang w:val="pt-BR"/>
        </w:rPr>
        <w:t xml:space="preserve">. </w:t>
      </w:r>
      <w:r w:rsidR="0098303F" w:rsidRPr="00571F05">
        <w:rPr>
          <w:i/>
          <w:iCs/>
          <w:sz w:val="20"/>
          <w:szCs w:val="20"/>
        </w:rPr>
        <w:t>See also</w:t>
      </w:r>
      <w:r w:rsidR="0098303F" w:rsidRPr="00571F05">
        <w:rPr>
          <w:sz w:val="20"/>
          <w:szCs w:val="20"/>
        </w:rPr>
        <w:t xml:space="preserve"> </w:t>
      </w:r>
      <w:proofErr w:type="spellStart"/>
      <w:r w:rsidR="0098303F" w:rsidRPr="00571F05">
        <w:rPr>
          <w:color w:val="000000" w:themeColor="text1"/>
          <w:sz w:val="20"/>
          <w:szCs w:val="20"/>
        </w:rPr>
        <w:t>Adhigama</w:t>
      </w:r>
      <w:proofErr w:type="spellEnd"/>
      <w:r w:rsidR="0098303F" w:rsidRPr="00571F05">
        <w:rPr>
          <w:color w:val="000000" w:themeColor="text1"/>
          <w:sz w:val="20"/>
          <w:szCs w:val="20"/>
        </w:rPr>
        <w:t xml:space="preserve"> Budiman et al., </w:t>
      </w:r>
      <w:r w:rsidR="0098303F" w:rsidRPr="00571F05">
        <w:rPr>
          <w:i/>
          <w:iCs/>
          <w:color w:val="000000" w:themeColor="text1"/>
          <w:sz w:val="20"/>
          <w:szCs w:val="20"/>
        </w:rPr>
        <w:t>supra</w:t>
      </w:r>
      <w:r w:rsidR="0098303F" w:rsidRPr="00571F05">
        <w:rPr>
          <w:color w:val="000000" w:themeColor="text1"/>
          <w:sz w:val="20"/>
          <w:szCs w:val="20"/>
        </w:rPr>
        <w:t xml:space="preserve">, </w:t>
      </w:r>
      <w:r w:rsidR="00567402" w:rsidRPr="0098303F">
        <w:rPr>
          <w:color w:val="000000" w:themeColor="text1"/>
          <w:sz w:val="20"/>
          <w:szCs w:val="20"/>
        </w:rPr>
        <w:t>pg</w:t>
      </w:r>
      <w:r w:rsidR="00CC14AA" w:rsidRPr="0098303F">
        <w:rPr>
          <w:color w:val="000000" w:themeColor="text1"/>
          <w:sz w:val="20"/>
          <w:szCs w:val="20"/>
        </w:rPr>
        <w:t>s</w:t>
      </w:r>
      <w:r w:rsidR="00567402" w:rsidRPr="0098303F">
        <w:rPr>
          <w:color w:val="000000" w:themeColor="text1"/>
          <w:sz w:val="20"/>
          <w:szCs w:val="20"/>
        </w:rPr>
        <w:t>. 15</w:t>
      </w:r>
      <w:r w:rsidR="00CC14AA" w:rsidRPr="0098303F">
        <w:rPr>
          <w:color w:val="000000" w:themeColor="text1"/>
          <w:sz w:val="20"/>
          <w:szCs w:val="20"/>
        </w:rPr>
        <w:t>-17</w:t>
      </w:r>
      <w:r w:rsidR="00567402" w:rsidRPr="0098303F">
        <w:rPr>
          <w:color w:val="000000" w:themeColor="text1"/>
          <w:sz w:val="20"/>
          <w:szCs w:val="20"/>
        </w:rPr>
        <w:t>.</w:t>
      </w:r>
    </w:p>
  </w:footnote>
  <w:footnote w:id="25">
    <w:p w14:paraId="6BFB1A00" w14:textId="522D38AF" w:rsidR="008E720A" w:rsidRPr="008E720A" w:rsidRDefault="008E720A" w:rsidP="003D5C17">
      <w:pPr>
        <w:pStyle w:val="FootnoteText"/>
        <w:jc w:val="both"/>
      </w:pPr>
      <w:r>
        <w:rPr>
          <w:rStyle w:val="FootnoteReference"/>
        </w:rPr>
        <w:footnoteRef/>
      </w:r>
      <w:r>
        <w:t xml:space="preserve"> Article 312 provides that </w:t>
      </w:r>
      <w:proofErr w:type="gramStart"/>
      <w:r>
        <w:t xml:space="preserve">in the event </w:t>
      </w:r>
      <w:r w:rsidR="00E511B5">
        <w:t>that</w:t>
      </w:r>
      <w:proofErr w:type="gramEnd"/>
      <w:r w:rsidR="00E511B5">
        <w:t xml:space="preserve"> an</w:t>
      </w:r>
      <w:r>
        <w:t xml:space="preserve"> accused person raises a public interest or necessity defense, the judge may decide whether proof of the truth of the statements is “necessary.” Where truth is at issue, and a defendant fails to prove truth,</w:t>
      </w:r>
      <w:r w:rsidRPr="00BE2626">
        <w:t xml:space="preserve"> </w:t>
      </w:r>
      <w:r>
        <w:t>they may be convicted</w:t>
      </w:r>
      <w:r w:rsidRPr="00BE2626">
        <w:t xml:space="preserve"> on the more severe charge of “calumny” under Article 311</w:t>
      </w:r>
      <w:r>
        <w:t>, which</w:t>
      </w:r>
      <w:r w:rsidRPr="00BE2626">
        <w:t xml:space="preserve"> </w:t>
      </w:r>
      <w:r>
        <w:t>carries</w:t>
      </w:r>
      <w:r w:rsidRPr="00BE2626">
        <w:t xml:space="preserve"> a maximum </w:t>
      </w:r>
      <w:r>
        <w:t xml:space="preserve">sentence </w:t>
      </w:r>
      <w:r w:rsidRPr="00BE2626">
        <w:t>of four years</w:t>
      </w:r>
      <w:r>
        <w:t xml:space="preserve"> (with ‘ordinary’ slander or libel carrying maximum sentences of nine months and one year and four months, respectively)</w:t>
      </w:r>
      <w:r w:rsidRPr="00BE2626">
        <w:t>.</w:t>
      </w:r>
      <w:r>
        <w:t xml:space="preserve"> </w:t>
      </w:r>
    </w:p>
  </w:footnote>
  <w:footnote w:id="26">
    <w:p w14:paraId="0A9F087A" w14:textId="1B7C855C" w:rsidR="00E07A9D" w:rsidRPr="00567402" w:rsidRDefault="00E07A9D" w:rsidP="003D5C17">
      <w:pPr>
        <w:pStyle w:val="Default"/>
        <w:jc w:val="both"/>
        <w:rPr>
          <w:sz w:val="20"/>
          <w:szCs w:val="20"/>
        </w:rPr>
      </w:pPr>
      <w:r w:rsidRPr="00567402">
        <w:rPr>
          <w:rStyle w:val="FootnoteReference"/>
          <w:sz w:val="20"/>
          <w:szCs w:val="20"/>
        </w:rPr>
        <w:footnoteRef/>
      </w:r>
      <w:r w:rsidRPr="00567402">
        <w:rPr>
          <w:sz w:val="20"/>
          <w:szCs w:val="20"/>
        </w:rPr>
        <w:t xml:space="preserve"> </w:t>
      </w:r>
      <w:r w:rsidR="00567402" w:rsidRPr="00567402">
        <w:rPr>
          <w:i/>
          <w:iCs/>
          <w:sz w:val="20"/>
          <w:szCs w:val="20"/>
        </w:rPr>
        <w:t xml:space="preserve">See </w:t>
      </w:r>
      <w:proofErr w:type="spellStart"/>
      <w:r w:rsidR="00567402" w:rsidRPr="00567402">
        <w:rPr>
          <w:sz w:val="20"/>
          <w:szCs w:val="20"/>
        </w:rPr>
        <w:t>Devita</w:t>
      </w:r>
      <w:proofErr w:type="spellEnd"/>
      <w:r w:rsidR="00567402" w:rsidRPr="00567402">
        <w:rPr>
          <w:sz w:val="20"/>
          <w:szCs w:val="20"/>
        </w:rPr>
        <w:t xml:space="preserve"> Kartika Putri, </w:t>
      </w:r>
      <w:r w:rsidR="00567402" w:rsidRPr="00567402">
        <w:rPr>
          <w:i/>
          <w:iCs/>
          <w:sz w:val="20"/>
          <w:szCs w:val="20"/>
        </w:rPr>
        <w:t>Hate Speech and the Harm in Indonesian Judicial Decisions</w:t>
      </w:r>
      <w:r w:rsidR="00567402" w:rsidRPr="00567402">
        <w:rPr>
          <w:sz w:val="20"/>
          <w:szCs w:val="20"/>
        </w:rPr>
        <w:t xml:space="preserve">, October 30, 2023, </w:t>
      </w:r>
      <w:r w:rsidR="00D11EB9" w:rsidRPr="00567402">
        <w:rPr>
          <w:sz w:val="20"/>
          <w:szCs w:val="20"/>
        </w:rPr>
        <w:t>https://www.tandfonline.com/doi/full/10.1080/23311886.2023.2274430</w:t>
      </w:r>
      <w:r w:rsidR="00567402" w:rsidRPr="00567402">
        <w:rPr>
          <w:sz w:val="20"/>
          <w:szCs w:val="20"/>
        </w:rPr>
        <w:t>.</w:t>
      </w:r>
    </w:p>
  </w:footnote>
  <w:footnote w:id="27">
    <w:p w14:paraId="3A602DF7" w14:textId="61096130" w:rsidR="00D11EB9" w:rsidRPr="00567402" w:rsidRDefault="00D11EB9" w:rsidP="003D5C17">
      <w:pPr>
        <w:pStyle w:val="Default"/>
        <w:jc w:val="both"/>
        <w:rPr>
          <w:sz w:val="20"/>
          <w:szCs w:val="20"/>
        </w:rPr>
      </w:pPr>
      <w:r w:rsidRPr="00567402">
        <w:rPr>
          <w:rStyle w:val="FootnoteReference"/>
          <w:sz w:val="20"/>
          <w:szCs w:val="20"/>
        </w:rPr>
        <w:footnoteRef/>
      </w:r>
      <w:r w:rsidR="00567402" w:rsidRPr="00567402">
        <w:rPr>
          <w:sz w:val="20"/>
          <w:szCs w:val="20"/>
        </w:rPr>
        <w:t xml:space="preserve"> Freedom House, </w:t>
      </w:r>
      <w:r w:rsidR="00567402" w:rsidRPr="00567402">
        <w:rPr>
          <w:i/>
          <w:iCs/>
          <w:sz w:val="20"/>
          <w:szCs w:val="20"/>
        </w:rPr>
        <w:t>Freedom on the Net 2021: Indonesia</w:t>
      </w:r>
      <w:r w:rsidR="00567402" w:rsidRPr="00567402">
        <w:rPr>
          <w:sz w:val="20"/>
          <w:szCs w:val="20"/>
        </w:rPr>
        <w:t xml:space="preserve">, 2021, </w:t>
      </w:r>
      <w:r w:rsidRPr="00567402">
        <w:rPr>
          <w:sz w:val="20"/>
          <w:szCs w:val="20"/>
        </w:rPr>
        <w:t xml:space="preserve"> </w:t>
      </w:r>
      <w:hyperlink r:id="rId4" w:history="1">
        <w:r w:rsidRPr="00025AAE">
          <w:rPr>
            <w:rFonts w:eastAsia="Times New Roman"/>
            <w:color w:val="auto"/>
            <w:sz w:val="20"/>
            <w:szCs w:val="20"/>
            <w14:ligatures w14:val="none"/>
          </w:rPr>
          <w:t>https://freedomhouse.org/country/indonesia/freedom-net/2021</w:t>
        </w:r>
      </w:hyperlink>
      <w:r w:rsidRPr="00C85A88">
        <w:rPr>
          <w:i/>
          <w:iCs/>
          <w:sz w:val="20"/>
          <w:szCs w:val="20"/>
        </w:rPr>
        <w:t>. See also</w:t>
      </w:r>
      <w:r w:rsidR="00567402" w:rsidRPr="00567402">
        <w:rPr>
          <w:sz w:val="20"/>
          <w:szCs w:val="20"/>
        </w:rPr>
        <w:t xml:space="preserve"> International Commission of Jurists, </w:t>
      </w:r>
      <w:r w:rsidR="00567402" w:rsidRPr="00025AAE">
        <w:rPr>
          <w:i/>
          <w:iCs/>
          <w:sz w:val="20"/>
          <w:szCs w:val="20"/>
        </w:rPr>
        <w:t>Indonesia: Newly Revised ITE Law Threatens Freedom of Expression and Must Be Amended</w:t>
      </w:r>
      <w:r w:rsidR="00567402" w:rsidRPr="00567402">
        <w:rPr>
          <w:sz w:val="20"/>
          <w:szCs w:val="20"/>
        </w:rPr>
        <w:t>, June 12, 2023</w:t>
      </w:r>
      <w:r w:rsidR="009121A4">
        <w:rPr>
          <w:sz w:val="20"/>
          <w:szCs w:val="20"/>
        </w:rPr>
        <w:t xml:space="preserve"> (“</w:t>
      </w:r>
      <w:r w:rsidR="009121A4" w:rsidRPr="00567402">
        <w:rPr>
          <w:color w:val="001D39"/>
          <w:sz w:val="20"/>
          <w:szCs w:val="20"/>
          <w:shd w:val="clear" w:color="auto" w:fill="FFFFFF"/>
        </w:rPr>
        <w:t>The ICJ notes that the previous criminal hate speech provision in the ITE Law has been applied in an arbitrary manner to</w:t>
      </w:r>
      <w:r w:rsidR="009121A4" w:rsidRPr="00567402">
        <w:rPr>
          <w:rStyle w:val="apple-converted-space"/>
          <w:color w:val="001D39"/>
          <w:sz w:val="20"/>
          <w:szCs w:val="20"/>
          <w:shd w:val="clear" w:color="auto" w:fill="FFFFFF"/>
        </w:rPr>
        <w:t> </w:t>
      </w:r>
      <w:hyperlink r:id="rId5" w:history="1">
        <w:r w:rsidR="009121A4" w:rsidRPr="00567402">
          <w:rPr>
            <w:color w:val="001D39"/>
            <w:sz w:val="20"/>
            <w:szCs w:val="20"/>
            <w:shd w:val="clear" w:color="auto" w:fill="FFFFFF"/>
          </w:rPr>
          <w:t>charge journalists</w:t>
        </w:r>
      </w:hyperlink>
      <w:r w:rsidR="009121A4" w:rsidRPr="00567402">
        <w:rPr>
          <w:sz w:val="20"/>
          <w:szCs w:val="20"/>
        </w:rPr>
        <w:t> </w:t>
      </w:r>
      <w:r w:rsidR="009121A4" w:rsidRPr="00567402">
        <w:rPr>
          <w:color w:val="001D39"/>
          <w:sz w:val="20"/>
          <w:szCs w:val="20"/>
          <w:shd w:val="clear" w:color="auto" w:fill="FFFFFF"/>
        </w:rPr>
        <w:t>and convict forms of</w:t>
      </w:r>
      <w:r w:rsidR="009121A4" w:rsidRPr="00567402">
        <w:rPr>
          <w:sz w:val="20"/>
          <w:szCs w:val="20"/>
        </w:rPr>
        <w:t> </w:t>
      </w:r>
      <w:hyperlink r:id="rId6" w:history="1">
        <w:r w:rsidR="009121A4" w:rsidRPr="00567402">
          <w:rPr>
            <w:color w:val="001D39"/>
            <w:sz w:val="20"/>
            <w:szCs w:val="20"/>
            <w:shd w:val="clear" w:color="auto" w:fill="FFFFFF"/>
          </w:rPr>
          <w:t>expression</w:t>
        </w:r>
      </w:hyperlink>
      <w:r w:rsidR="009121A4" w:rsidRPr="00567402">
        <w:rPr>
          <w:sz w:val="20"/>
          <w:szCs w:val="20"/>
        </w:rPr>
        <w:t> </w:t>
      </w:r>
      <w:r w:rsidR="009121A4" w:rsidRPr="00567402">
        <w:rPr>
          <w:color w:val="001D39"/>
          <w:sz w:val="20"/>
          <w:szCs w:val="20"/>
          <w:shd w:val="clear" w:color="auto" w:fill="FFFFFF"/>
        </w:rPr>
        <w:t>that do not give rise to substantial harm.”</w:t>
      </w:r>
      <w:r w:rsidR="009121A4">
        <w:rPr>
          <w:color w:val="001D39"/>
          <w:sz w:val="20"/>
          <w:szCs w:val="20"/>
          <w:shd w:val="clear" w:color="auto" w:fill="FFFFFF"/>
        </w:rPr>
        <w:t>)</w:t>
      </w:r>
      <w:r w:rsidR="00567402" w:rsidRPr="00567402">
        <w:rPr>
          <w:sz w:val="20"/>
          <w:szCs w:val="20"/>
        </w:rPr>
        <w:t>,</w:t>
      </w:r>
      <w:r w:rsidR="00110E91">
        <w:rPr>
          <w:sz w:val="20"/>
          <w:szCs w:val="20"/>
        </w:rPr>
        <w:t xml:space="preserve"> </w:t>
      </w:r>
      <w:hyperlink r:id="rId7" w:history="1">
        <w:r w:rsidR="00110E91" w:rsidRPr="00110E91">
          <w:rPr>
            <w:rFonts w:asciiTheme="majorBidi" w:hAnsiTheme="majorBidi" w:cstheme="majorBidi"/>
            <w:color w:val="auto"/>
            <w:sz w:val="20"/>
            <w:szCs w:val="20"/>
          </w:rPr>
          <w:t>https://www.icj.org/indonesia-newly-revised-ite-law-threatens-freedom-of-expression-and-must-be-amended/</w:t>
        </w:r>
      </w:hyperlink>
      <w:r w:rsidR="00567402" w:rsidRPr="00110E91">
        <w:rPr>
          <w:rFonts w:asciiTheme="majorBidi" w:eastAsia="Times New Roman" w:hAnsiTheme="majorBidi" w:cstheme="majorBidi"/>
          <w:color w:val="auto"/>
          <w:sz w:val="20"/>
          <w:szCs w:val="20"/>
          <w14:ligatures w14:val="none"/>
        </w:rPr>
        <w:t xml:space="preserve">. </w:t>
      </w:r>
    </w:p>
  </w:footnote>
  <w:footnote w:id="28">
    <w:p w14:paraId="653781A1" w14:textId="1F2D91E4" w:rsidR="00D11EB9" w:rsidRPr="00D11EB9" w:rsidRDefault="00D11EB9" w:rsidP="003D5C17">
      <w:pPr>
        <w:pStyle w:val="FootnoteText"/>
        <w:jc w:val="both"/>
      </w:pPr>
      <w:r>
        <w:rPr>
          <w:rStyle w:val="FootnoteReference"/>
        </w:rPr>
        <w:footnoteRef/>
      </w:r>
      <w:r>
        <w:t xml:space="preserve"> </w:t>
      </w:r>
      <w:r w:rsidR="00567402">
        <w:t xml:space="preserve">Indonesia at Melbourne, </w:t>
      </w:r>
      <w:r w:rsidR="00567402" w:rsidRPr="00567402">
        <w:rPr>
          <w:i/>
          <w:iCs/>
        </w:rPr>
        <w:t>Attempts to Revise Draconian ITE Law Stumble</w:t>
      </w:r>
      <w:r w:rsidR="00567402">
        <w:t xml:space="preserve">, April 1, 2021, </w:t>
      </w:r>
      <w:r w:rsidRPr="00D11EB9">
        <w:t>https://indonesiaatmelbourne.unimelb.edu.au/attempts-to-revise-draconian-ite-law-stumble/</w:t>
      </w:r>
      <w:r w:rsidR="002903BD">
        <w:t>.</w:t>
      </w:r>
    </w:p>
  </w:footnote>
  <w:footnote w:id="29">
    <w:p w14:paraId="3C4B58FB" w14:textId="33B086D9" w:rsidR="00D11EB9" w:rsidRPr="00D11EB9" w:rsidRDefault="00D11EB9" w:rsidP="003D5C17">
      <w:pPr>
        <w:pStyle w:val="FootnoteText"/>
        <w:jc w:val="both"/>
      </w:pPr>
      <w:r>
        <w:rPr>
          <w:rStyle w:val="FootnoteReference"/>
        </w:rPr>
        <w:footnoteRef/>
      </w:r>
      <w:r>
        <w:t xml:space="preserve"> </w:t>
      </w:r>
      <w:r w:rsidR="00567402" w:rsidRPr="00567402">
        <w:rPr>
          <w:i/>
          <w:iCs/>
        </w:rPr>
        <w:t>Id</w:t>
      </w:r>
      <w:r w:rsidR="00567402">
        <w:t>.</w:t>
      </w:r>
    </w:p>
  </w:footnote>
  <w:footnote w:id="30">
    <w:p w14:paraId="5F0CCECB" w14:textId="2EF2DBDD" w:rsidR="007D5A57" w:rsidRPr="009D5C15" w:rsidRDefault="007D5A57" w:rsidP="003D5C17">
      <w:pPr>
        <w:pStyle w:val="FootnoteText"/>
        <w:jc w:val="both"/>
        <w:rPr>
          <w:rFonts w:asciiTheme="majorBidi" w:hAnsiTheme="majorBidi" w:cstheme="majorBidi"/>
        </w:rPr>
      </w:pPr>
      <w:r w:rsidRPr="009D5C15">
        <w:rPr>
          <w:rStyle w:val="FootnoteReference"/>
          <w:rFonts w:asciiTheme="majorBidi" w:hAnsiTheme="majorBidi" w:cstheme="majorBidi"/>
        </w:rPr>
        <w:footnoteRef/>
      </w:r>
      <w:r w:rsidR="00DE4EC3">
        <w:rPr>
          <w:rFonts w:asciiTheme="majorBidi" w:hAnsiTheme="majorBidi" w:cstheme="majorBidi"/>
        </w:rPr>
        <w:t xml:space="preserve"> Office of Assistant to Deputy Cabinet Secretary for State Documents and Translation, </w:t>
      </w:r>
      <w:r w:rsidRPr="009D5C15">
        <w:rPr>
          <w:rFonts w:asciiTheme="majorBidi" w:hAnsiTheme="majorBidi" w:cstheme="majorBidi"/>
          <w:i/>
          <w:iCs/>
        </w:rPr>
        <w:t>President Jokowi: ITE Law Must Fulfill Public Sense of Justice</w:t>
      </w:r>
      <w:r w:rsidRPr="009D5C15">
        <w:rPr>
          <w:rFonts w:asciiTheme="majorBidi" w:hAnsiTheme="majorBidi" w:cstheme="majorBidi"/>
        </w:rPr>
        <w:t>, Feb</w:t>
      </w:r>
      <w:r w:rsidR="00DE4EC3">
        <w:rPr>
          <w:rFonts w:asciiTheme="majorBidi" w:hAnsiTheme="majorBidi" w:cstheme="majorBidi"/>
        </w:rPr>
        <w:t>ruary</w:t>
      </w:r>
      <w:r w:rsidRPr="009D5C15">
        <w:rPr>
          <w:rFonts w:asciiTheme="majorBidi" w:hAnsiTheme="majorBidi" w:cstheme="majorBidi"/>
        </w:rPr>
        <w:t xml:space="preserve"> 15, 202</w:t>
      </w:r>
      <w:r w:rsidR="00DE4EC3">
        <w:rPr>
          <w:rFonts w:asciiTheme="majorBidi" w:hAnsiTheme="majorBidi" w:cstheme="majorBidi"/>
        </w:rPr>
        <w:t>1</w:t>
      </w:r>
      <w:r w:rsidRPr="009D5C15">
        <w:rPr>
          <w:rFonts w:asciiTheme="majorBidi" w:hAnsiTheme="majorBidi" w:cstheme="majorBidi"/>
        </w:rPr>
        <w:t xml:space="preserve">, </w:t>
      </w:r>
      <w:r w:rsidRPr="00DE4EC3">
        <w:rPr>
          <w:rFonts w:asciiTheme="majorBidi" w:hAnsiTheme="majorBidi" w:cstheme="majorBidi"/>
        </w:rPr>
        <w:t>https://setkab.go.id/en/president-jokowi-ite-law-must-fulfill-public-sense-of-justice/.</w:t>
      </w:r>
    </w:p>
  </w:footnote>
  <w:footnote w:id="31">
    <w:p w14:paraId="096619F1" w14:textId="0BDCA575" w:rsidR="007D5A57" w:rsidRPr="00DE4EC3" w:rsidRDefault="007D5A57" w:rsidP="003D5C17">
      <w:pPr>
        <w:pStyle w:val="FootnoteText"/>
        <w:jc w:val="both"/>
        <w:rPr>
          <w:rFonts w:asciiTheme="majorBidi" w:hAnsiTheme="majorBidi" w:cstheme="majorBidi"/>
          <w:smallCaps/>
        </w:rPr>
      </w:pPr>
      <w:r w:rsidRPr="009D5C15">
        <w:rPr>
          <w:rStyle w:val="FootnoteReference"/>
          <w:rFonts w:asciiTheme="majorBidi" w:hAnsiTheme="majorBidi" w:cstheme="majorBidi"/>
        </w:rPr>
        <w:footnoteRef/>
      </w:r>
      <w:r w:rsidR="00DE4EC3">
        <w:rPr>
          <w:rFonts w:asciiTheme="majorBidi" w:hAnsiTheme="majorBidi" w:cstheme="majorBidi"/>
        </w:rPr>
        <w:t xml:space="preserve"> </w:t>
      </w:r>
      <w:r w:rsidRPr="009D5C15">
        <w:rPr>
          <w:rFonts w:asciiTheme="majorBidi" w:hAnsiTheme="majorBidi" w:cstheme="majorBidi"/>
        </w:rPr>
        <w:t xml:space="preserve">Kate Lamb &amp; Stanley </w:t>
      </w:r>
      <w:proofErr w:type="spellStart"/>
      <w:r w:rsidRPr="009D5C15">
        <w:rPr>
          <w:rFonts w:asciiTheme="majorBidi" w:hAnsiTheme="majorBidi" w:cstheme="majorBidi"/>
        </w:rPr>
        <w:t>Widianto</w:t>
      </w:r>
      <w:proofErr w:type="spellEnd"/>
      <w:r w:rsidRPr="009D5C15">
        <w:rPr>
          <w:rFonts w:asciiTheme="majorBidi" w:hAnsiTheme="majorBidi" w:cstheme="majorBidi"/>
        </w:rPr>
        <w:t xml:space="preserve">, </w:t>
      </w:r>
      <w:r w:rsidRPr="009D5C15">
        <w:rPr>
          <w:rFonts w:asciiTheme="majorBidi" w:hAnsiTheme="majorBidi" w:cstheme="majorBidi"/>
          <w:i/>
          <w:iCs/>
        </w:rPr>
        <w:t xml:space="preserve">Indonesia </w:t>
      </w:r>
      <w:r w:rsidR="009121A4">
        <w:rPr>
          <w:rFonts w:asciiTheme="majorBidi" w:hAnsiTheme="majorBidi" w:cstheme="majorBidi"/>
          <w:i/>
          <w:iCs/>
        </w:rPr>
        <w:t>P</w:t>
      </w:r>
      <w:r w:rsidRPr="009D5C15">
        <w:rPr>
          <w:rFonts w:asciiTheme="majorBidi" w:hAnsiTheme="majorBidi" w:cstheme="majorBidi"/>
          <w:i/>
          <w:iCs/>
        </w:rPr>
        <w:t xml:space="preserve">olice </w:t>
      </w:r>
      <w:r w:rsidR="009121A4">
        <w:rPr>
          <w:rFonts w:asciiTheme="majorBidi" w:hAnsiTheme="majorBidi" w:cstheme="majorBidi"/>
          <w:i/>
          <w:iCs/>
        </w:rPr>
        <w:t>C</w:t>
      </w:r>
      <w:r w:rsidRPr="009D5C15">
        <w:rPr>
          <w:rFonts w:asciiTheme="majorBidi" w:hAnsiTheme="majorBidi" w:cstheme="majorBidi"/>
          <w:i/>
          <w:iCs/>
        </w:rPr>
        <w:t xml:space="preserve">hief </w:t>
      </w:r>
      <w:r w:rsidR="009121A4">
        <w:rPr>
          <w:rFonts w:asciiTheme="majorBidi" w:hAnsiTheme="majorBidi" w:cstheme="majorBidi"/>
          <w:i/>
          <w:iCs/>
        </w:rPr>
        <w:t>U</w:t>
      </w:r>
      <w:r w:rsidRPr="009D5C15">
        <w:rPr>
          <w:rFonts w:asciiTheme="majorBidi" w:hAnsiTheme="majorBidi" w:cstheme="majorBidi"/>
          <w:i/>
          <w:iCs/>
        </w:rPr>
        <w:t xml:space="preserve">rges </w:t>
      </w:r>
      <w:r w:rsidR="009121A4">
        <w:rPr>
          <w:rFonts w:asciiTheme="majorBidi" w:hAnsiTheme="majorBidi" w:cstheme="majorBidi"/>
          <w:i/>
          <w:iCs/>
        </w:rPr>
        <w:t>S</w:t>
      </w:r>
      <w:r w:rsidRPr="009D5C15">
        <w:rPr>
          <w:rFonts w:asciiTheme="majorBidi" w:hAnsiTheme="majorBidi" w:cstheme="majorBidi"/>
          <w:i/>
          <w:iCs/>
        </w:rPr>
        <w:t xml:space="preserve">ofter </w:t>
      </w:r>
      <w:r w:rsidR="009121A4">
        <w:rPr>
          <w:rFonts w:asciiTheme="majorBidi" w:hAnsiTheme="majorBidi" w:cstheme="majorBidi"/>
          <w:i/>
          <w:iCs/>
        </w:rPr>
        <w:t>E</w:t>
      </w:r>
      <w:r w:rsidRPr="009D5C15">
        <w:rPr>
          <w:rFonts w:asciiTheme="majorBidi" w:hAnsiTheme="majorBidi" w:cstheme="majorBidi"/>
          <w:i/>
          <w:iCs/>
        </w:rPr>
        <w:t xml:space="preserve">nforcement of </w:t>
      </w:r>
      <w:r w:rsidR="009121A4">
        <w:rPr>
          <w:rFonts w:asciiTheme="majorBidi" w:hAnsiTheme="majorBidi" w:cstheme="majorBidi"/>
          <w:i/>
          <w:iCs/>
        </w:rPr>
        <w:t>C</w:t>
      </w:r>
      <w:r w:rsidRPr="009D5C15">
        <w:rPr>
          <w:rFonts w:asciiTheme="majorBidi" w:hAnsiTheme="majorBidi" w:cstheme="majorBidi"/>
          <w:i/>
          <w:iCs/>
        </w:rPr>
        <w:t xml:space="preserve">ontroversial </w:t>
      </w:r>
      <w:r w:rsidR="009121A4">
        <w:rPr>
          <w:rFonts w:asciiTheme="majorBidi" w:hAnsiTheme="majorBidi" w:cstheme="majorBidi"/>
          <w:i/>
          <w:iCs/>
        </w:rPr>
        <w:t>I</w:t>
      </w:r>
      <w:r w:rsidRPr="009D5C15">
        <w:rPr>
          <w:rFonts w:asciiTheme="majorBidi" w:hAnsiTheme="majorBidi" w:cstheme="majorBidi"/>
          <w:i/>
          <w:iCs/>
        </w:rPr>
        <w:t xml:space="preserve">nternet </w:t>
      </w:r>
      <w:r w:rsidR="009121A4">
        <w:rPr>
          <w:rFonts w:asciiTheme="majorBidi" w:hAnsiTheme="majorBidi" w:cstheme="majorBidi"/>
          <w:i/>
          <w:iCs/>
        </w:rPr>
        <w:t>L</w:t>
      </w:r>
      <w:r w:rsidRPr="009D5C15">
        <w:rPr>
          <w:rFonts w:asciiTheme="majorBidi" w:hAnsiTheme="majorBidi" w:cstheme="majorBidi"/>
          <w:i/>
          <w:iCs/>
        </w:rPr>
        <w:t>aw</w:t>
      </w:r>
      <w:r w:rsidRPr="009D5C15">
        <w:rPr>
          <w:rFonts w:asciiTheme="majorBidi" w:hAnsiTheme="majorBidi" w:cstheme="majorBidi"/>
        </w:rPr>
        <w:t xml:space="preserve">, </w:t>
      </w:r>
      <w:r w:rsidR="00DE4EC3">
        <w:rPr>
          <w:rFonts w:asciiTheme="majorBidi" w:hAnsiTheme="majorBidi" w:cstheme="majorBidi"/>
        </w:rPr>
        <w:t>Reuters, F</w:t>
      </w:r>
      <w:r w:rsidRPr="009D5C15">
        <w:rPr>
          <w:rFonts w:asciiTheme="majorBidi" w:hAnsiTheme="majorBidi" w:cstheme="majorBidi"/>
        </w:rPr>
        <w:t>eb</w:t>
      </w:r>
      <w:r w:rsidR="00DE4EC3">
        <w:rPr>
          <w:rFonts w:asciiTheme="majorBidi" w:hAnsiTheme="majorBidi" w:cstheme="majorBidi"/>
        </w:rPr>
        <w:t>ruary</w:t>
      </w:r>
      <w:r w:rsidRPr="009D5C15">
        <w:rPr>
          <w:rFonts w:asciiTheme="majorBidi" w:hAnsiTheme="majorBidi" w:cstheme="majorBidi"/>
        </w:rPr>
        <w:t xml:space="preserve"> 23, 2021, https://www.reuters.com/article/indonesia-internet-idINKBN2AN0UU.</w:t>
      </w:r>
    </w:p>
  </w:footnote>
  <w:footnote w:id="32">
    <w:p w14:paraId="2CFDDE03" w14:textId="4EB012AE" w:rsidR="007D5A57" w:rsidRPr="009D5C15" w:rsidRDefault="007D5A57" w:rsidP="003D5C17">
      <w:pPr>
        <w:pStyle w:val="FootnoteText"/>
        <w:jc w:val="both"/>
        <w:rPr>
          <w:rFonts w:asciiTheme="majorBidi" w:hAnsiTheme="majorBidi" w:cstheme="majorBidi"/>
        </w:rPr>
      </w:pPr>
      <w:r w:rsidRPr="009D5C15">
        <w:rPr>
          <w:rStyle w:val="FootnoteReference"/>
          <w:rFonts w:asciiTheme="majorBidi" w:hAnsiTheme="majorBidi" w:cstheme="majorBidi"/>
        </w:rPr>
        <w:footnoteRef/>
      </w:r>
      <w:r w:rsidR="00DE4EC3">
        <w:rPr>
          <w:rFonts w:asciiTheme="majorBidi" w:hAnsiTheme="majorBidi" w:cstheme="majorBidi"/>
        </w:rPr>
        <w:t xml:space="preserve"> Voice of Indonesia, </w:t>
      </w:r>
      <w:r w:rsidRPr="009D5C15">
        <w:rPr>
          <w:rFonts w:asciiTheme="majorBidi" w:hAnsiTheme="majorBidi" w:cstheme="majorBidi"/>
          <w:i/>
          <w:iCs/>
        </w:rPr>
        <w:t>ITE Law Implementation Guidelines Signed, Mahfud MD: This Is The Result Of The Discussion</w:t>
      </w:r>
      <w:r w:rsidRPr="009D5C15">
        <w:rPr>
          <w:rFonts w:asciiTheme="majorBidi" w:hAnsiTheme="majorBidi" w:cstheme="majorBidi"/>
        </w:rPr>
        <w:t xml:space="preserve">,  June 23, 2021, </w:t>
      </w:r>
      <w:hyperlink r:id="rId8" w:history="1">
        <w:r w:rsidRPr="00DE4EC3">
          <w:rPr>
            <w:rFonts w:asciiTheme="majorBidi" w:hAnsiTheme="majorBidi" w:cstheme="majorBidi"/>
          </w:rPr>
          <w:t>https://voi.id/en/news/61444/ite-law-implementation-guidelines-signed-mahfud-md-this-is-the-result-of-the-discussion</w:t>
        </w:r>
      </w:hyperlink>
      <w:r w:rsidR="00DE4EC3">
        <w:rPr>
          <w:rFonts w:asciiTheme="majorBidi" w:hAnsiTheme="majorBidi" w:cstheme="majorBidi"/>
        </w:rPr>
        <w:t>.</w:t>
      </w:r>
    </w:p>
  </w:footnote>
  <w:footnote w:id="33">
    <w:p w14:paraId="1AB8C003" w14:textId="71A52B66" w:rsidR="006A3303" w:rsidRPr="006A3303" w:rsidRDefault="006A3303" w:rsidP="003D5C17">
      <w:pPr>
        <w:pStyle w:val="FootnoteText"/>
        <w:jc w:val="both"/>
      </w:pPr>
      <w:r>
        <w:rPr>
          <w:rStyle w:val="FootnoteReference"/>
        </w:rPr>
        <w:footnoteRef/>
      </w:r>
      <w:r>
        <w:t xml:space="preserve"> </w:t>
      </w:r>
      <w:r w:rsidR="00DE4EC3">
        <w:t xml:space="preserve"> Indonesia at Melbourne, </w:t>
      </w:r>
      <w:r w:rsidR="00DE4EC3">
        <w:rPr>
          <w:i/>
          <w:iCs/>
        </w:rPr>
        <w:t>Indonesia Needs a Strong Public Interest Defense to Stem the Tide of Online Defamation Cases</w:t>
      </w:r>
      <w:r w:rsidR="00DE4EC3">
        <w:t xml:space="preserve">, May 10, 2022, </w:t>
      </w:r>
      <w:r w:rsidRPr="006A3303">
        <w:t>https://indonesiaatmelbourne.unimelb.edu.au/indonesia-needs-a-strong-public-interest-defence-to-stem-the-tide-of-online-defamation-cases/</w:t>
      </w:r>
      <w:r w:rsidR="00DE4EC3">
        <w:t>.</w:t>
      </w:r>
    </w:p>
  </w:footnote>
  <w:footnote w:id="34">
    <w:p w14:paraId="04577B0D" w14:textId="687EE46F" w:rsidR="006A3303" w:rsidRPr="006A3303" w:rsidRDefault="006A3303" w:rsidP="003D5C17">
      <w:pPr>
        <w:pStyle w:val="FootnoteText"/>
        <w:jc w:val="both"/>
      </w:pPr>
      <w:r>
        <w:rPr>
          <w:rStyle w:val="FootnoteReference"/>
        </w:rPr>
        <w:footnoteRef/>
      </w:r>
      <w:r>
        <w:t xml:space="preserve"> </w:t>
      </w:r>
      <w:r w:rsidR="00DE4EC3">
        <w:t xml:space="preserve"> Baker McKenzie, </w:t>
      </w:r>
      <w:r w:rsidR="00DE4EC3" w:rsidRPr="00DE4EC3">
        <w:rPr>
          <w:i/>
          <w:iCs/>
        </w:rPr>
        <w:t>Indonesia: Joint Decree Attempts to Unify the Interpretation on Provisions on Prohibited Contents under the EIT Law</w:t>
      </w:r>
      <w:r w:rsidR="00DE4EC3">
        <w:t xml:space="preserve">, 2021, </w:t>
      </w:r>
      <w:r w:rsidRPr="006A3303">
        <w:t>https://www.lexology.com/library/detail.aspx?g=82f6e263-cdc4-444f-bd0e-6fbd7705be7c</w:t>
      </w:r>
      <w:r w:rsidR="00DE4EC3">
        <w:t>.</w:t>
      </w:r>
    </w:p>
  </w:footnote>
  <w:footnote w:id="35">
    <w:p w14:paraId="127D8FEE" w14:textId="458F7016" w:rsidR="00703D39" w:rsidRDefault="00703D39" w:rsidP="003D5C17">
      <w:pPr>
        <w:pStyle w:val="FootnoteText"/>
        <w:ind w:right="720"/>
        <w:jc w:val="both"/>
      </w:pPr>
      <w:r>
        <w:rPr>
          <w:rStyle w:val="FootnoteReference"/>
        </w:rPr>
        <w:footnoteRef/>
      </w:r>
      <w:r>
        <w:t xml:space="preserve"> </w:t>
      </w:r>
      <w:r w:rsidR="004D24F5">
        <w:rPr>
          <w:rFonts w:asciiTheme="majorBidi" w:hAnsiTheme="majorBidi" w:cstheme="majorBidi"/>
        </w:rPr>
        <w:t xml:space="preserve">Voice of Indonesia, </w:t>
      </w:r>
      <w:r w:rsidR="004D24F5" w:rsidRPr="009D5C15">
        <w:rPr>
          <w:rFonts w:asciiTheme="majorBidi" w:hAnsiTheme="majorBidi" w:cstheme="majorBidi"/>
          <w:i/>
          <w:iCs/>
        </w:rPr>
        <w:t>ITE Law Implementation Guidelines Signed, Mahfud MD: This Is The Result Of The Discussion</w:t>
      </w:r>
      <w:r w:rsidR="004D24F5" w:rsidRPr="009D5C15">
        <w:rPr>
          <w:rFonts w:asciiTheme="majorBidi" w:hAnsiTheme="majorBidi" w:cstheme="majorBidi"/>
        </w:rPr>
        <w:t xml:space="preserve">,  June 23, 2021, </w:t>
      </w:r>
      <w:hyperlink r:id="rId9" w:history="1">
        <w:r w:rsidR="004D24F5" w:rsidRPr="00DE4EC3">
          <w:rPr>
            <w:rFonts w:asciiTheme="majorBidi" w:hAnsiTheme="majorBidi" w:cstheme="majorBidi"/>
          </w:rPr>
          <w:t>https://voi.id/en/news/61444/ite-law-implementation-guidelines-signed-mahfud-md-this-is-the-result-of-the-discussion</w:t>
        </w:r>
      </w:hyperlink>
      <w:r w:rsidR="004D24F5">
        <w:rPr>
          <w:rFonts w:asciiTheme="majorBidi" w:hAnsiTheme="majorBidi" w:cstheme="majorBidi"/>
        </w:rPr>
        <w:t>.</w:t>
      </w:r>
    </w:p>
  </w:footnote>
  <w:footnote w:id="36">
    <w:p w14:paraId="5EEFEE57" w14:textId="1B67F02F" w:rsidR="004D24F5" w:rsidRPr="004D24F5" w:rsidRDefault="004D24F5" w:rsidP="003D5C17">
      <w:pPr>
        <w:pStyle w:val="FootnoteText"/>
        <w:jc w:val="both"/>
      </w:pPr>
      <w:r w:rsidRPr="004D24F5">
        <w:rPr>
          <w:rStyle w:val="FootnoteReference"/>
        </w:rPr>
        <w:footnoteRef/>
      </w:r>
      <w:r w:rsidRPr="004D24F5">
        <w:t xml:space="preserve"> The </w:t>
      </w:r>
      <w:r w:rsidR="003B0B80">
        <w:t>Joint Decree</w:t>
      </w:r>
      <w:r w:rsidR="003B0B80" w:rsidRPr="004D24F5">
        <w:t xml:space="preserve"> </w:t>
      </w:r>
      <w:r w:rsidRPr="004D24F5">
        <w:t>also provide</w:t>
      </w:r>
      <w:r w:rsidR="003B0B80">
        <w:t>s</w:t>
      </w:r>
      <w:r w:rsidRPr="004D24F5">
        <w:t xml:space="preserve"> that</w:t>
      </w:r>
      <w:r w:rsidR="00981580">
        <w:t xml:space="preserve"> </w:t>
      </w:r>
      <w:r w:rsidRPr="004D24F5">
        <w:t>only</w:t>
      </w:r>
      <w:r>
        <w:t xml:space="preserve"> </w:t>
      </w:r>
      <w:r w:rsidRPr="004D24F5">
        <w:t>individuals, not businesses or organizations, can file complaints and that the “focus” of Article 27(3) “is not on the feelings of the victim, but rather on the action of the accused.”</w:t>
      </w:r>
      <w:r w:rsidR="00BA1C8F">
        <w:t xml:space="preserve"> Furthermore, the victim themselves should be the complainant, unless they are underage or have a guardian.</w:t>
      </w:r>
    </w:p>
  </w:footnote>
  <w:footnote w:id="37">
    <w:p w14:paraId="512AAC6D" w14:textId="2C782C63" w:rsidR="004D24F5" w:rsidRPr="004D24F5" w:rsidRDefault="004D24F5" w:rsidP="003D5C17">
      <w:pPr>
        <w:pStyle w:val="FootnoteText"/>
        <w:jc w:val="both"/>
      </w:pPr>
      <w:r w:rsidRPr="004D24F5">
        <w:rPr>
          <w:rStyle w:val="FootnoteReference"/>
        </w:rPr>
        <w:footnoteRef/>
      </w:r>
      <w:r w:rsidRPr="004D24F5">
        <w:t xml:space="preserve"> To gather this data, the project relied on media accounts, case documents, and interviews with accused persons and lawyers.</w:t>
      </w:r>
    </w:p>
  </w:footnote>
  <w:footnote w:id="38">
    <w:p w14:paraId="02CD42E4" w14:textId="7C779501" w:rsidR="00896A35" w:rsidRPr="00896A35" w:rsidRDefault="00896A35" w:rsidP="003D5C17">
      <w:pPr>
        <w:pStyle w:val="FootnoteText"/>
        <w:jc w:val="both"/>
      </w:pPr>
      <w:r w:rsidRPr="00110E91">
        <w:rPr>
          <w:rStyle w:val="FootnoteReference"/>
        </w:rPr>
        <w:footnoteRef/>
      </w:r>
      <w:r w:rsidRPr="00110E91">
        <w:t xml:space="preserve"> </w:t>
      </w:r>
      <w:r w:rsidRPr="00110E91">
        <w:rPr>
          <w:color w:val="242424"/>
          <w:shd w:val="clear" w:color="auto" w:fill="FFFFFF"/>
        </w:rPr>
        <w:t xml:space="preserve">In all </w:t>
      </w:r>
      <w:r w:rsidR="009D5C1E" w:rsidRPr="00110E91">
        <w:rPr>
          <w:color w:val="242424"/>
          <w:shd w:val="clear" w:color="auto" w:fill="FFFFFF"/>
        </w:rPr>
        <w:t xml:space="preserve">Article </w:t>
      </w:r>
      <w:r w:rsidRPr="00110E91">
        <w:rPr>
          <w:color w:val="242424"/>
          <w:shd w:val="clear" w:color="auto" w:fill="FFFFFF"/>
        </w:rPr>
        <w:t xml:space="preserve">27(3) cases where the statement in question concerned a ‘verifiable fact’ as opposed to an ‘opinion/assessment’, because the project was not in a position to assess the truth of the </w:t>
      </w:r>
      <w:proofErr w:type="gramStart"/>
      <w:r w:rsidRPr="00110E91">
        <w:rPr>
          <w:color w:val="242424"/>
          <w:shd w:val="clear" w:color="auto" w:fill="FFFFFF"/>
        </w:rPr>
        <w:t>statement</w:t>
      </w:r>
      <w:proofErr w:type="gramEnd"/>
      <w:r w:rsidRPr="00110E91">
        <w:rPr>
          <w:color w:val="242424"/>
          <w:shd w:val="clear" w:color="auto" w:fill="FFFFFF"/>
        </w:rPr>
        <w:t xml:space="preserve"> we treated it as false and thereby not excluded by the Joint Decree on th</w:t>
      </w:r>
      <w:r w:rsidR="00401BF9" w:rsidRPr="00110E91">
        <w:rPr>
          <w:color w:val="242424"/>
          <w:shd w:val="clear" w:color="auto" w:fill="FFFFFF"/>
        </w:rPr>
        <w:t xml:space="preserve">e </w:t>
      </w:r>
      <w:r w:rsidRPr="00110E91">
        <w:rPr>
          <w:color w:val="242424"/>
          <w:shd w:val="clear" w:color="auto" w:fill="FFFFFF"/>
        </w:rPr>
        <w:t>ground</w:t>
      </w:r>
      <w:r w:rsidR="00401BF9" w:rsidRPr="00110E91">
        <w:rPr>
          <w:color w:val="242424"/>
          <w:shd w:val="clear" w:color="auto" w:fill="FFFFFF"/>
        </w:rPr>
        <w:t xml:space="preserve"> of truth.</w:t>
      </w:r>
    </w:p>
  </w:footnote>
  <w:footnote w:id="39">
    <w:p w14:paraId="0A6AC58A" w14:textId="263855E3" w:rsidR="00761897" w:rsidRPr="00761897" w:rsidRDefault="00761897" w:rsidP="003D5C17">
      <w:pPr>
        <w:pStyle w:val="FootnoteText"/>
        <w:jc w:val="both"/>
      </w:pPr>
      <w:r>
        <w:rPr>
          <w:rStyle w:val="FootnoteReference"/>
        </w:rPr>
        <w:footnoteRef/>
      </w:r>
      <w:r>
        <w:t xml:space="preserve"> </w:t>
      </w:r>
      <w:r w:rsidRPr="00AF19F8">
        <w:t xml:space="preserve">Farid </w:t>
      </w:r>
      <w:proofErr w:type="spellStart"/>
      <w:r w:rsidRPr="00AF19F8">
        <w:t>Achyadi</w:t>
      </w:r>
      <w:proofErr w:type="spellEnd"/>
      <w:r w:rsidRPr="00AF19F8">
        <w:t xml:space="preserve"> </w:t>
      </w:r>
      <w:proofErr w:type="spellStart"/>
      <w:r w:rsidRPr="00AF19F8">
        <w:t>Siregar</w:t>
      </w:r>
      <w:proofErr w:type="spellEnd"/>
      <w:r>
        <w:t xml:space="preserve">, </w:t>
      </w:r>
      <w:proofErr w:type="spellStart"/>
      <w:r w:rsidRPr="00BB0F78">
        <w:rPr>
          <w:i/>
          <w:iCs/>
        </w:rPr>
        <w:t>Hina</w:t>
      </w:r>
      <w:proofErr w:type="spellEnd"/>
      <w:r w:rsidRPr="00BB0F78">
        <w:rPr>
          <w:i/>
          <w:iCs/>
        </w:rPr>
        <w:t xml:space="preserve"> </w:t>
      </w:r>
      <w:proofErr w:type="spellStart"/>
      <w:r w:rsidRPr="00BB0F78">
        <w:rPr>
          <w:i/>
          <w:iCs/>
        </w:rPr>
        <w:t>Istri</w:t>
      </w:r>
      <w:proofErr w:type="spellEnd"/>
      <w:r w:rsidRPr="00BB0F78">
        <w:rPr>
          <w:i/>
          <w:iCs/>
        </w:rPr>
        <w:t xml:space="preserve"> </w:t>
      </w:r>
      <w:proofErr w:type="spellStart"/>
      <w:r w:rsidRPr="00BB0F78">
        <w:rPr>
          <w:i/>
          <w:iCs/>
        </w:rPr>
        <w:t>Gubsu</w:t>
      </w:r>
      <w:proofErr w:type="spellEnd"/>
      <w:r w:rsidRPr="00BB0F78">
        <w:rPr>
          <w:i/>
          <w:iCs/>
        </w:rPr>
        <w:t xml:space="preserve"> Edy, </w:t>
      </w:r>
      <w:proofErr w:type="spellStart"/>
      <w:r w:rsidRPr="00BB0F78">
        <w:rPr>
          <w:i/>
          <w:iCs/>
        </w:rPr>
        <w:t>Pria</w:t>
      </w:r>
      <w:proofErr w:type="spellEnd"/>
      <w:r w:rsidRPr="00BB0F78">
        <w:rPr>
          <w:i/>
          <w:iCs/>
        </w:rPr>
        <w:t xml:space="preserve"> di Medan </w:t>
      </w:r>
      <w:proofErr w:type="spellStart"/>
      <w:r w:rsidRPr="00BB0F78">
        <w:rPr>
          <w:i/>
          <w:iCs/>
        </w:rPr>
        <w:t>Divonis</w:t>
      </w:r>
      <w:proofErr w:type="spellEnd"/>
      <w:r w:rsidRPr="00BB0F78">
        <w:rPr>
          <w:i/>
          <w:iCs/>
        </w:rPr>
        <w:t xml:space="preserve"> </w:t>
      </w:r>
      <w:proofErr w:type="spellStart"/>
      <w:r w:rsidRPr="00BB0F78">
        <w:rPr>
          <w:i/>
          <w:iCs/>
        </w:rPr>
        <w:t>Hukuman</w:t>
      </w:r>
      <w:proofErr w:type="spellEnd"/>
      <w:r w:rsidRPr="00BB0F78">
        <w:rPr>
          <w:i/>
          <w:iCs/>
        </w:rPr>
        <w:t xml:space="preserve"> </w:t>
      </w:r>
      <w:proofErr w:type="spellStart"/>
      <w:r w:rsidRPr="00BB0F78">
        <w:rPr>
          <w:i/>
          <w:iCs/>
        </w:rPr>
        <w:t>Percobaan</w:t>
      </w:r>
      <w:proofErr w:type="spellEnd"/>
      <w:r w:rsidRPr="00BB0F78">
        <w:rPr>
          <w:i/>
          <w:iCs/>
        </w:rPr>
        <w:t xml:space="preserve"> (Insult Wife of North Sumatra’s Wife, a Man in Medan Sentenced with Conditional </w:t>
      </w:r>
      <w:r>
        <w:rPr>
          <w:i/>
          <w:iCs/>
        </w:rPr>
        <w:t>Imprisonment)</w:t>
      </w:r>
      <w:r>
        <w:t xml:space="preserve">, April 27, 2023, </w:t>
      </w:r>
      <w:hyperlink r:id="rId10" w:history="1">
        <w:r w:rsidRPr="00025AAE">
          <w:t>https://www.detik.com/sumut/hukum-dan-kriminal/d-6693530/hina-istri-gubsu-edy-pria-di-medan-divonis-hukuman-percobaan</w:t>
        </w:r>
      </w:hyperlink>
      <w:r>
        <w:t>.</w:t>
      </w:r>
    </w:p>
  </w:footnote>
  <w:footnote w:id="40">
    <w:p w14:paraId="1045B465" w14:textId="1C33BD21" w:rsidR="00EF14A5" w:rsidRPr="00EF14A5" w:rsidRDefault="00EF14A5" w:rsidP="003D5C17">
      <w:pPr>
        <w:pStyle w:val="FootnoteText"/>
        <w:jc w:val="both"/>
      </w:pPr>
      <w:r w:rsidRPr="00EF14A5">
        <w:rPr>
          <w:rStyle w:val="FootnoteReference"/>
        </w:rPr>
        <w:footnoteRef/>
      </w:r>
      <w:r w:rsidRPr="00EF14A5">
        <w:t xml:space="preserve"> </w:t>
      </w:r>
      <w:proofErr w:type="spellStart"/>
      <w:r w:rsidRPr="00110E91">
        <w:t>Rakhmad</w:t>
      </w:r>
      <w:proofErr w:type="spellEnd"/>
      <w:r w:rsidRPr="00110E91">
        <w:t xml:space="preserve"> </w:t>
      </w:r>
      <w:proofErr w:type="spellStart"/>
      <w:r w:rsidRPr="00110E91">
        <w:t>Hidayatulloh</w:t>
      </w:r>
      <w:proofErr w:type="spellEnd"/>
      <w:r w:rsidRPr="00110E91">
        <w:t xml:space="preserve"> </w:t>
      </w:r>
      <w:proofErr w:type="spellStart"/>
      <w:r w:rsidRPr="00110E91">
        <w:t>Permana</w:t>
      </w:r>
      <w:proofErr w:type="spellEnd"/>
      <w:r w:rsidRPr="00110E91">
        <w:t xml:space="preserve">, </w:t>
      </w:r>
      <w:proofErr w:type="spellStart"/>
      <w:r w:rsidRPr="00110E91">
        <w:rPr>
          <w:i/>
          <w:iCs/>
        </w:rPr>
        <w:t>Unggahan</w:t>
      </w:r>
      <w:proofErr w:type="spellEnd"/>
      <w:r w:rsidRPr="00110E91">
        <w:rPr>
          <w:i/>
          <w:iCs/>
        </w:rPr>
        <w:t xml:space="preserve"> 'Baju </w:t>
      </w:r>
      <w:proofErr w:type="spellStart"/>
      <w:r w:rsidRPr="00110E91">
        <w:rPr>
          <w:i/>
          <w:iCs/>
        </w:rPr>
        <w:t>Bekas</w:t>
      </w:r>
      <w:proofErr w:type="spellEnd"/>
      <w:r w:rsidRPr="00110E91">
        <w:rPr>
          <w:i/>
          <w:iCs/>
        </w:rPr>
        <w:t xml:space="preserve"> </w:t>
      </w:r>
      <w:proofErr w:type="spellStart"/>
      <w:r w:rsidRPr="00110E91">
        <w:rPr>
          <w:i/>
          <w:iCs/>
        </w:rPr>
        <w:t>Dibawa</w:t>
      </w:r>
      <w:proofErr w:type="spellEnd"/>
      <w:r w:rsidRPr="00110E91">
        <w:rPr>
          <w:i/>
          <w:iCs/>
        </w:rPr>
        <w:t xml:space="preserve"> </w:t>
      </w:r>
      <w:proofErr w:type="spellStart"/>
      <w:r w:rsidRPr="00110E91">
        <w:rPr>
          <w:i/>
          <w:iCs/>
        </w:rPr>
        <w:t>Pulang</w:t>
      </w:r>
      <w:proofErr w:type="spellEnd"/>
      <w:r w:rsidRPr="00110E91">
        <w:rPr>
          <w:i/>
          <w:iCs/>
        </w:rPr>
        <w:t xml:space="preserve">' </w:t>
      </w:r>
      <w:proofErr w:type="spellStart"/>
      <w:r w:rsidRPr="00110E91">
        <w:rPr>
          <w:i/>
          <w:iCs/>
        </w:rPr>
        <w:t>Berujung</w:t>
      </w:r>
      <w:proofErr w:type="spellEnd"/>
      <w:r w:rsidRPr="00110E91">
        <w:rPr>
          <w:i/>
          <w:iCs/>
        </w:rPr>
        <w:t xml:space="preserve"> Admin </w:t>
      </w:r>
      <w:proofErr w:type="spellStart"/>
      <w:r w:rsidRPr="00110E91">
        <w:rPr>
          <w:i/>
          <w:iCs/>
        </w:rPr>
        <w:t>Menfess</w:t>
      </w:r>
      <w:proofErr w:type="spellEnd"/>
      <w:r w:rsidRPr="00110E91">
        <w:rPr>
          <w:i/>
          <w:iCs/>
        </w:rPr>
        <w:t xml:space="preserve"> Masuk </w:t>
      </w:r>
      <w:proofErr w:type="spellStart"/>
      <w:r w:rsidRPr="00110E91">
        <w:rPr>
          <w:i/>
          <w:iCs/>
        </w:rPr>
        <w:t>Tahanan</w:t>
      </w:r>
      <w:proofErr w:type="spellEnd"/>
      <w:r w:rsidRPr="00110E91">
        <w:t xml:space="preserve"> ('Used Clothes Taken Home' Upload Leads to Admin </w:t>
      </w:r>
      <w:proofErr w:type="spellStart"/>
      <w:r w:rsidRPr="00110E91">
        <w:t>Menfess</w:t>
      </w:r>
      <w:proofErr w:type="spellEnd"/>
      <w:r w:rsidRPr="00110E91">
        <w:t xml:space="preserve"> Entering Detention), April 7, 2023, </w:t>
      </w:r>
      <w:hyperlink r:id="rId11" w:history="1">
        <w:r w:rsidRPr="00110E91">
          <w:t>https://news.detik.com/berita/d-6661561/unggahan-baju-bekas-dibawa-pulang-berujung-admin-menfess-masuk-tahanan/2</w:t>
        </w:r>
      </w:hyperlink>
      <w:r w:rsidRPr="00110E91">
        <w:t>.</w:t>
      </w:r>
    </w:p>
  </w:footnote>
  <w:footnote w:id="41">
    <w:p w14:paraId="11C79692" w14:textId="06001C08" w:rsidR="00761897" w:rsidRPr="00FB1CE6" w:rsidRDefault="00761897" w:rsidP="003D5C17">
      <w:pPr>
        <w:pStyle w:val="FootnoteText"/>
        <w:jc w:val="both"/>
      </w:pPr>
      <w:r>
        <w:rPr>
          <w:rStyle w:val="FootnoteReference"/>
        </w:rPr>
        <w:footnoteRef/>
      </w:r>
      <w:r>
        <w:t xml:space="preserve"> </w:t>
      </w:r>
      <w:proofErr w:type="spellStart"/>
      <w:r>
        <w:t>Rizky</w:t>
      </w:r>
      <w:proofErr w:type="spellEnd"/>
      <w:r>
        <w:t xml:space="preserve"> </w:t>
      </w:r>
      <w:proofErr w:type="spellStart"/>
      <w:r>
        <w:t>Syahrial</w:t>
      </w:r>
      <w:proofErr w:type="spellEnd"/>
      <w:r>
        <w:t xml:space="preserve">, </w:t>
      </w:r>
      <w:proofErr w:type="spellStart"/>
      <w:r>
        <w:t>Nursita</w:t>
      </w:r>
      <w:proofErr w:type="spellEnd"/>
      <w:r>
        <w:t xml:space="preserve"> Sari, </w:t>
      </w:r>
      <w:proofErr w:type="spellStart"/>
      <w:r w:rsidRPr="00BB0F78">
        <w:rPr>
          <w:i/>
          <w:iCs/>
        </w:rPr>
        <w:t>Polda</w:t>
      </w:r>
      <w:proofErr w:type="spellEnd"/>
      <w:r w:rsidRPr="00BB0F78">
        <w:rPr>
          <w:i/>
          <w:iCs/>
        </w:rPr>
        <w:t xml:space="preserve"> Metro </w:t>
      </w:r>
      <w:proofErr w:type="spellStart"/>
      <w:r w:rsidRPr="00BB0F78">
        <w:rPr>
          <w:i/>
          <w:iCs/>
        </w:rPr>
        <w:t>Bebaskan</w:t>
      </w:r>
      <w:proofErr w:type="spellEnd"/>
      <w:r w:rsidRPr="00BB0F78">
        <w:rPr>
          <w:i/>
          <w:iCs/>
        </w:rPr>
        <w:t xml:space="preserve"> </w:t>
      </w:r>
      <w:proofErr w:type="spellStart"/>
      <w:r w:rsidRPr="00BB0F78">
        <w:rPr>
          <w:i/>
          <w:iCs/>
        </w:rPr>
        <w:t>Pembuat</w:t>
      </w:r>
      <w:proofErr w:type="spellEnd"/>
      <w:r w:rsidRPr="00BB0F78">
        <w:rPr>
          <w:i/>
          <w:iCs/>
        </w:rPr>
        <w:t xml:space="preserve"> </w:t>
      </w:r>
      <w:proofErr w:type="spellStart"/>
      <w:r w:rsidRPr="00BB0F78">
        <w:rPr>
          <w:i/>
          <w:iCs/>
        </w:rPr>
        <w:t>Hoaks</w:t>
      </w:r>
      <w:proofErr w:type="spellEnd"/>
      <w:r w:rsidRPr="00BB0F78">
        <w:rPr>
          <w:i/>
          <w:iCs/>
        </w:rPr>
        <w:t xml:space="preserve"> Polisi </w:t>
      </w:r>
      <w:proofErr w:type="spellStart"/>
      <w:r w:rsidRPr="00BB0F78">
        <w:rPr>
          <w:i/>
          <w:iCs/>
        </w:rPr>
        <w:t>Tilap</w:t>
      </w:r>
      <w:proofErr w:type="spellEnd"/>
      <w:r w:rsidRPr="00BB0F78">
        <w:rPr>
          <w:i/>
          <w:iCs/>
        </w:rPr>
        <w:t xml:space="preserve"> </w:t>
      </w:r>
      <w:proofErr w:type="spellStart"/>
      <w:r w:rsidRPr="00BB0F78">
        <w:rPr>
          <w:i/>
          <w:iCs/>
        </w:rPr>
        <w:t>Barang</w:t>
      </w:r>
      <w:proofErr w:type="spellEnd"/>
      <w:r w:rsidRPr="00BB0F78">
        <w:rPr>
          <w:i/>
          <w:iCs/>
        </w:rPr>
        <w:t xml:space="preserve"> Bukti Baju </w:t>
      </w:r>
      <w:proofErr w:type="spellStart"/>
      <w:r w:rsidRPr="00BB0F78">
        <w:rPr>
          <w:i/>
          <w:iCs/>
        </w:rPr>
        <w:t>Bekas</w:t>
      </w:r>
      <w:proofErr w:type="spellEnd"/>
      <w:r w:rsidRPr="00BB0F78">
        <w:rPr>
          <w:i/>
          <w:iCs/>
        </w:rPr>
        <w:t xml:space="preserve"> </w:t>
      </w:r>
      <w:proofErr w:type="spellStart"/>
      <w:r w:rsidRPr="00BB0F78">
        <w:rPr>
          <w:i/>
          <w:iCs/>
        </w:rPr>
        <w:t>Impor</w:t>
      </w:r>
      <w:proofErr w:type="spellEnd"/>
      <w:r w:rsidRPr="00BB0F78">
        <w:rPr>
          <w:i/>
          <w:iCs/>
        </w:rPr>
        <w:t xml:space="preserve">, </w:t>
      </w:r>
      <w:proofErr w:type="spellStart"/>
      <w:r w:rsidRPr="00BB0F78">
        <w:rPr>
          <w:i/>
          <w:iCs/>
        </w:rPr>
        <w:t>Ini</w:t>
      </w:r>
      <w:proofErr w:type="spellEnd"/>
      <w:r w:rsidRPr="00BB0F78">
        <w:rPr>
          <w:i/>
          <w:iCs/>
        </w:rPr>
        <w:t xml:space="preserve"> </w:t>
      </w:r>
      <w:proofErr w:type="spellStart"/>
      <w:r w:rsidRPr="00BB0F78">
        <w:rPr>
          <w:i/>
          <w:iCs/>
        </w:rPr>
        <w:t>Alasannya</w:t>
      </w:r>
      <w:proofErr w:type="spellEnd"/>
      <w:r w:rsidRPr="00BB0F78">
        <w:rPr>
          <w:i/>
          <w:iCs/>
        </w:rPr>
        <w:t>’ (Metro Police Frees Hoax Maker about Officer Stealing Evidence of Imported Secondhand Clothes, Here's the Reason)</w:t>
      </w:r>
      <w:r>
        <w:t xml:space="preserve">, August 1, 2023, </w:t>
      </w:r>
      <w:hyperlink r:id="rId12" w:history="1">
        <w:r w:rsidRPr="00025AAE">
          <w:t>https://megapolitan.kompas.com/read/2023/08/01/18311061/polda-metro-bebaskan-pembuat-hoaks-polisi-tilap-barang-bukti-baju-bekas</w:t>
        </w:r>
      </w:hyperlink>
      <w:r w:rsidR="00ED42DA">
        <w:t>.</w:t>
      </w:r>
      <w:r w:rsidR="00EF14A5">
        <w:t xml:space="preserve"> The two accused are also charged under fake news, or ‘hoax’ provisions.</w:t>
      </w:r>
    </w:p>
  </w:footnote>
  <w:footnote w:id="42">
    <w:p w14:paraId="6FCF98D8" w14:textId="6D6A743B" w:rsidR="00652004" w:rsidRPr="00652004" w:rsidRDefault="00652004" w:rsidP="003D5C17">
      <w:pPr>
        <w:pStyle w:val="FootnoteText"/>
        <w:jc w:val="both"/>
      </w:pPr>
      <w:r w:rsidRPr="00652004">
        <w:rPr>
          <w:rStyle w:val="FootnoteReference"/>
        </w:rPr>
        <w:footnoteRef/>
      </w:r>
      <w:r w:rsidRPr="00652004">
        <w:t xml:space="preserve"> </w:t>
      </w:r>
      <w:proofErr w:type="spellStart"/>
      <w:r w:rsidRPr="00110E91">
        <w:t>Winda</w:t>
      </w:r>
      <w:proofErr w:type="spellEnd"/>
      <w:r w:rsidRPr="00110E91">
        <w:t xml:space="preserve"> Herman, </w:t>
      </w:r>
      <w:r w:rsidRPr="00110E91">
        <w:rPr>
          <w:i/>
          <w:iCs/>
        </w:rPr>
        <w:t xml:space="preserve">Polisi </w:t>
      </w:r>
      <w:proofErr w:type="spellStart"/>
      <w:r w:rsidRPr="00110E91">
        <w:rPr>
          <w:i/>
          <w:iCs/>
        </w:rPr>
        <w:t>tangkap</w:t>
      </w:r>
      <w:proofErr w:type="spellEnd"/>
      <w:r w:rsidRPr="00110E91">
        <w:rPr>
          <w:i/>
          <w:iCs/>
        </w:rPr>
        <w:t xml:space="preserve"> pemuda Maluku Tengah </w:t>
      </w:r>
      <w:proofErr w:type="spellStart"/>
      <w:r w:rsidRPr="00110E91">
        <w:rPr>
          <w:i/>
          <w:iCs/>
        </w:rPr>
        <w:t>karena</w:t>
      </w:r>
      <w:proofErr w:type="spellEnd"/>
      <w:r w:rsidRPr="00110E91">
        <w:rPr>
          <w:i/>
          <w:iCs/>
        </w:rPr>
        <w:t xml:space="preserve"> </w:t>
      </w:r>
      <w:proofErr w:type="spellStart"/>
      <w:r w:rsidRPr="00110E91">
        <w:rPr>
          <w:i/>
          <w:iCs/>
        </w:rPr>
        <w:t>hujat</w:t>
      </w:r>
      <w:proofErr w:type="spellEnd"/>
      <w:r w:rsidRPr="00110E91">
        <w:rPr>
          <w:i/>
          <w:iCs/>
        </w:rPr>
        <w:t xml:space="preserve"> TNI-</w:t>
      </w:r>
      <w:proofErr w:type="spellStart"/>
      <w:r w:rsidRPr="00110E91">
        <w:rPr>
          <w:i/>
          <w:iCs/>
        </w:rPr>
        <w:t>Polri</w:t>
      </w:r>
      <w:proofErr w:type="spellEnd"/>
      <w:r w:rsidRPr="00110E91">
        <w:rPr>
          <w:i/>
          <w:iCs/>
        </w:rPr>
        <w:t xml:space="preserve"> di Facebook, </w:t>
      </w:r>
      <w:proofErr w:type="spellStart"/>
      <w:r w:rsidRPr="00110E91">
        <w:rPr>
          <w:i/>
          <w:iCs/>
        </w:rPr>
        <w:t>berikut</w:t>
      </w:r>
      <w:proofErr w:type="spellEnd"/>
      <w:r w:rsidRPr="00110E91">
        <w:rPr>
          <w:i/>
          <w:iCs/>
        </w:rPr>
        <w:t xml:space="preserve"> </w:t>
      </w:r>
      <w:proofErr w:type="spellStart"/>
      <w:r w:rsidRPr="00110E91">
        <w:rPr>
          <w:i/>
          <w:iCs/>
        </w:rPr>
        <w:t>ini</w:t>
      </w:r>
      <w:proofErr w:type="spellEnd"/>
      <w:r w:rsidRPr="00110E91">
        <w:rPr>
          <w:i/>
          <w:iCs/>
        </w:rPr>
        <w:t xml:space="preserve"> </w:t>
      </w:r>
      <w:proofErr w:type="spellStart"/>
      <w:r w:rsidRPr="00110E91">
        <w:rPr>
          <w:i/>
          <w:iCs/>
        </w:rPr>
        <w:t>postingannya</w:t>
      </w:r>
      <w:proofErr w:type="spellEnd"/>
      <w:r w:rsidRPr="00110E91">
        <w:rPr>
          <w:i/>
          <w:iCs/>
        </w:rPr>
        <w:t xml:space="preserve"> </w:t>
      </w:r>
      <w:r w:rsidRPr="00110E91">
        <w:t>(</w:t>
      </w:r>
      <w:r w:rsidRPr="00110E91">
        <w:rPr>
          <w:i/>
          <w:iCs/>
        </w:rPr>
        <w:t>Police arrests Central Moluccan youngster for blasphemy against TNI-</w:t>
      </w:r>
      <w:proofErr w:type="spellStart"/>
      <w:r w:rsidRPr="00110E91">
        <w:rPr>
          <w:i/>
          <w:iCs/>
        </w:rPr>
        <w:t>Polri</w:t>
      </w:r>
      <w:proofErr w:type="spellEnd"/>
      <w:r w:rsidRPr="00110E91">
        <w:rPr>
          <w:i/>
          <w:iCs/>
        </w:rPr>
        <w:t xml:space="preserve"> on Facebook, here is the post</w:t>
      </w:r>
      <w:r>
        <w:rPr>
          <w:i/>
          <w:iCs/>
        </w:rPr>
        <w:t>)</w:t>
      </w:r>
      <w:r w:rsidRPr="00110E91">
        <w:t xml:space="preserve">, June 28, 2022, </w:t>
      </w:r>
      <w:hyperlink r:id="rId13" w:history="1">
        <w:r w:rsidRPr="00110E91">
          <w:t>https://ambon.antaranews.com/berita/126721/polisi-tangkap-pemuda-maluku-tengah-karena-hujat-tni-polri-di-facebook-berikut-ini-postingannya</w:t>
        </w:r>
      </w:hyperlink>
      <w:r w:rsidRPr="00110E91">
        <w:t>.</w:t>
      </w:r>
    </w:p>
  </w:footnote>
  <w:footnote w:id="43">
    <w:p w14:paraId="7477736A" w14:textId="54992C5F" w:rsidR="00761897" w:rsidRDefault="00761897" w:rsidP="003D5C17">
      <w:pPr>
        <w:pStyle w:val="FootnoteText"/>
        <w:jc w:val="both"/>
      </w:pPr>
      <w:r>
        <w:rPr>
          <w:rStyle w:val="FootnoteReference"/>
        </w:rPr>
        <w:footnoteRef/>
      </w:r>
      <w:r>
        <w:t xml:space="preserve"> Ode Alfin </w:t>
      </w:r>
      <w:proofErr w:type="spellStart"/>
      <w:r>
        <w:t>Risanto</w:t>
      </w:r>
      <w:proofErr w:type="spellEnd"/>
      <w:r>
        <w:t xml:space="preserve">, </w:t>
      </w:r>
      <w:proofErr w:type="spellStart"/>
      <w:r w:rsidRPr="00BB0F78">
        <w:rPr>
          <w:i/>
          <w:iCs/>
        </w:rPr>
        <w:t>Sudah</w:t>
      </w:r>
      <w:proofErr w:type="spellEnd"/>
      <w:r w:rsidRPr="00BB0F78">
        <w:rPr>
          <w:i/>
          <w:iCs/>
        </w:rPr>
        <w:t xml:space="preserve"> Minta </w:t>
      </w:r>
      <w:proofErr w:type="spellStart"/>
      <w:r w:rsidRPr="00BB0F78">
        <w:rPr>
          <w:i/>
          <w:iCs/>
        </w:rPr>
        <w:t>Maaf</w:t>
      </w:r>
      <w:proofErr w:type="spellEnd"/>
      <w:r w:rsidRPr="00BB0F78">
        <w:rPr>
          <w:i/>
          <w:iCs/>
        </w:rPr>
        <w:t xml:space="preserve">, Pemuda </w:t>
      </w:r>
      <w:proofErr w:type="spellStart"/>
      <w:r w:rsidRPr="00BB0F78">
        <w:rPr>
          <w:i/>
          <w:iCs/>
        </w:rPr>
        <w:t>Amahai</w:t>
      </w:r>
      <w:proofErr w:type="spellEnd"/>
      <w:r w:rsidRPr="00BB0F78">
        <w:rPr>
          <w:i/>
          <w:iCs/>
        </w:rPr>
        <w:t xml:space="preserve"> yang </w:t>
      </w:r>
      <w:proofErr w:type="spellStart"/>
      <w:r w:rsidRPr="00BB0F78">
        <w:rPr>
          <w:i/>
          <w:iCs/>
        </w:rPr>
        <w:t>Hujat</w:t>
      </w:r>
      <w:proofErr w:type="spellEnd"/>
      <w:r w:rsidRPr="00BB0F78">
        <w:rPr>
          <w:i/>
          <w:iCs/>
        </w:rPr>
        <w:t xml:space="preserve"> </w:t>
      </w:r>
      <w:proofErr w:type="spellStart"/>
      <w:r w:rsidRPr="00BB0F78">
        <w:rPr>
          <w:i/>
          <w:iCs/>
        </w:rPr>
        <w:t>Rekor</w:t>
      </w:r>
      <w:proofErr w:type="spellEnd"/>
      <w:r w:rsidRPr="00BB0F78">
        <w:rPr>
          <w:i/>
          <w:iCs/>
        </w:rPr>
        <w:t xml:space="preserve"> Muri </w:t>
      </w:r>
      <w:proofErr w:type="spellStart"/>
      <w:r w:rsidRPr="00BB0F78">
        <w:rPr>
          <w:i/>
          <w:iCs/>
        </w:rPr>
        <w:t>Minum</w:t>
      </w:r>
      <w:proofErr w:type="spellEnd"/>
      <w:r w:rsidRPr="00BB0F78">
        <w:rPr>
          <w:i/>
          <w:iCs/>
        </w:rPr>
        <w:t xml:space="preserve"> Jus Pala </w:t>
      </w:r>
      <w:proofErr w:type="spellStart"/>
      <w:r w:rsidRPr="00BB0F78">
        <w:rPr>
          <w:i/>
          <w:iCs/>
        </w:rPr>
        <w:t>Akhirnya</w:t>
      </w:r>
      <w:proofErr w:type="spellEnd"/>
      <w:r w:rsidRPr="00BB0F78">
        <w:rPr>
          <w:i/>
          <w:iCs/>
        </w:rPr>
        <w:t xml:space="preserve"> </w:t>
      </w:r>
      <w:proofErr w:type="spellStart"/>
      <w:r w:rsidRPr="00BB0F78">
        <w:rPr>
          <w:i/>
          <w:iCs/>
        </w:rPr>
        <w:t>Dibebaskan</w:t>
      </w:r>
      <w:proofErr w:type="spellEnd"/>
      <w:r w:rsidRPr="00BB0F78">
        <w:rPr>
          <w:i/>
          <w:iCs/>
        </w:rPr>
        <w:t xml:space="preserve"> (Already Apologizing, </w:t>
      </w:r>
      <w:proofErr w:type="spellStart"/>
      <w:r w:rsidRPr="00BB0F78">
        <w:rPr>
          <w:i/>
          <w:iCs/>
        </w:rPr>
        <w:t>Amahai</w:t>
      </w:r>
      <w:proofErr w:type="spellEnd"/>
      <w:r w:rsidRPr="00BB0F78">
        <w:rPr>
          <w:i/>
          <w:iCs/>
        </w:rPr>
        <w:t xml:space="preserve"> Youngster Who Blasphemed Muri's Record for Drinking Nutmeg Juice Finally Freed)</w:t>
      </w:r>
      <w:r>
        <w:rPr>
          <w:i/>
          <w:iCs/>
        </w:rPr>
        <w:t>,</w:t>
      </w:r>
      <w:r w:rsidRPr="0056637B">
        <w:t xml:space="preserve"> June </w:t>
      </w:r>
      <w:r>
        <w:t xml:space="preserve">29, </w:t>
      </w:r>
      <w:r w:rsidRPr="0056637B">
        <w:t>2022</w:t>
      </w:r>
      <w:r>
        <w:t>,</w:t>
      </w:r>
      <w:r w:rsidRPr="0056637B">
        <w:t xml:space="preserve"> </w:t>
      </w:r>
      <w:hyperlink r:id="rId14" w:history="1">
        <w:r w:rsidRPr="00025AAE">
          <w:t>https://ambon.tribunnews.com/2022/06/29/sudah-minta-maaf-pemuda-amahai-yang-hujat-rekor-muri-minum-jus-pala-akhirnya-dibebaskan</w:t>
        </w:r>
      </w:hyperlink>
      <w:r w:rsidR="00ED42DA">
        <w:t>.</w:t>
      </w:r>
      <w:r w:rsidR="00EF14A5">
        <w:t xml:space="preserve"> </w:t>
      </w:r>
    </w:p>
  </w:footnote>
  <w:footnote w:id="44">
    <w:p w14:paraId="7D42D945" w14:textId="2470A934" w:rsidR="00C54887" w:rsidRDefault="00C54887" w:rsidP="003D5C17">
      <w:pPr>
        <w:pStyle w:val="FootnoteText"/>
        <w:jc w:val="both"/>
      </w:pPr>
      <w:r>
        <w:rPr>
          <w:rStyle w:val="FootnoteReference"/>
        </w:rPr>
        <w:footnoteRef/>
      </w:r>
      <w:r>
        <w:t xml:space="preserve"> </w:t>
      </w:r>
      <w:proofErr w:type="spellStart"/>
      <w:r>
        <w:t>Maulidiyanti</w:t>
      </w:r>
      <w:proofErr w:type="spellEnd"/>
      <w:r>
        <w:t xml:space="preserve"> and </w:t>
      </w:r>
      <w:proofErr w:type="spellStart"/>
      <w:r>
        <w:t>Azhar</w:t>
      </w:r>
      <w:proofErr w:type="spellEnd"/>
      <w:r>
        <w:t xml:space="preserve"> were also charged in the alternative under the defamation provision in the Criminal Code and under two fake news provisions.</w:t>
      </w:r>
    </w:p>
  </w:footnote>
  <w:footnote w:id="45">
    <w:p w14:paraId="5F3A1ED7" w14:textId="01EAF47B" w:rsidR="00EF3AEC" w:rsidRPr="00EF3AEC" w:rsidRDefault="00EF3AEC" w:rsidP="003D5C17">
      <w:pPr>
        <w:pStyle w:val="FootnoteText"/>
        <w:jc w:val="both"/>
      </w:pPr>
      <w:r>
        <w:rPr>
          <w:rStyle w:val="FootnoteReference"/>
        </w:rPr>
        <w:footnoteRef/>
      </w:r>
      <w:r>
        <w:t xml:space="preserve"> </w:t>
      </w:r>
      <w:r w:rsidRPr="00571F05">
        <w:t>Tr</w:t>
      </w:r>
      <w:r>
        <w:t>ialWatch Monitor’s Notes, January 8, 2024.</w:t>
      </w:r>
    </w:p>
  </w:footnote>
  <w:footnote w:id="46">
    <w:p w14:paraId="36E49DBE" w14:textId="0B6E23A9" w:rsidR="001D612B" w:rsidRPr="009D5C15" w:rsidRDefault="001D612B" w:rsidP="003D5C17">
      <w:pPr>
        <w:pStyle w:val="FootnoteText"/>
        <w:jc w:val="both"/>
        <w:rPr>
          <w:rFonts w:asciiTheme="majorBidi" w:hAnsiTheme="majorBidi" w:cstheme="majorBidi"/>
        </w:rPr>
      </w:pPr>
      <w:r w:rsidRPr="009D5C15">
        <w:rPr>
          <w:rStyle w:val="FootnoteReference"/>
          <w:rFonts w:asciiTheme="majorBidi" w:hAnsiTheme="majorBidi" w:cstheme="majorBidi"/>
        </w:rPr>
        <w:footnoteRef/>
      </w:r>
      <w:r w:rsidRPr="009D5C15">
        <w:rPr>
          <w:rFonts w:asciiTheme="majorBidi" w:hAnsiTheme="majorBidi" w:cstheme="majorBidi"/>
        </w:rPr>
        <w:t xml:space="preserve"> </w:t>
      </w:r>
      <w:r w:rsidR="007D6A4A" w:rsidRPr="0091159F">
        <w:rPr>
          <w:color w:val="000000" w:themeColor="text1"/>
        </w:rPr>
        <w:t xml:space="preserve">Raphael </w:t>
      </w:r>
      <w:proofErr w:type="spellStart"/>
      <w:r w:rsidR="007D6A4A" w:rsidRPr="0091159F">
        <w:rPr>
          <w:color w:val="000000" w:themeColor="text1"/>
        </w:rPr>
        <w:t>Oidtmann</w:t>
      </w:r>
      <w:proofErr w:type="spellEnd"/>
      <w:r w:rsidR="007D6A4A" w:rsidRPr="0091159F">
        <w:rPr>
          <w:color w:val="000000" w:themeColor="text1"/>
        </w:rPr>
        <w:t>, Simon Butt &amp; American Bar Association Center for Human Rights</w:t>
      </w:r>
      <w:r w:rsidR="00D8752B">
        <w:rPr>
          <w:smallCaps/>
          <w:color w:val="000000" w:themeColor="text1"/>
        </w:rPr>
        <w:t xml:space="preserve">, </w:t>
      </w:r>
      <w:r w:rsidR="00D8752B">
        <w:rPr>
          <w:color w:val="000000" w:themeColor="text1"/>
        </w:rPr>
        <w:t xml:space="preserve">TrialWatch Fairness Report, </w:t>
      </w:r>
      <w:r w:rsidR="007D6A4A" w:rsidRPr="0091159F">
        <w:rPr>
          <w:i/>
          <w:iCs/>
          <w:color w:val="000000" w:themeColor="text1"/>
        </w:rPr>
        <w:t xml:space="preserve">Indonesia v. Muhammad </w:t>
      </w:r>
      <w:proofErr w:type="spellStart"/>
      <w:r w:rsidR="007D6A4A" w:rsidRPr="0091159F">
        <w:rPr>
          <w:i/>
          <w:iCs/>
          <w:color w:val="000000" w:themeColor="text1"/>
        </w:rPr>
        <w:t>Asrul</w:t>
      </w:r>
      <w:proofErr w:type="spellEnd"/>
      <w:r w:rsidR="007D6A4A" w:rsidRPr="0091159F">
        <w:rPr>
          <w:i/>
          <w:iCs/>
          <w:color w:val="000000" w:themeColor="text1"/>
        </w:rPr>
        <w:t xml:space="preserve"> and Indonesia v. Stella Monica</w:t>
      </w:r>
      <w:r w:rsidR="007D6A4A" w:rsidRPr="0091159F">
        <w:rPr>
          <w:color w:val="000000" w:themeColor="text1"/>
        </w:rPr>
        <w:t xml:space="preserve">, December 2023, </w:t>
      </w:r>
      <w:r w:rsidR="007D6A4A" w:rsidRPr="0091159F">
        <w:t>https://www.americanbar.org/content/dam/aba/administrative/human_rights/indonesia-ite-report.pdf.</w:t>
      </w:r>
    </w:p>
  </w:footnote>
  <w:footnote w:id="47">
    <w:p w14:paraId="65894BA9" w14:textId="2964E96A" w:rsidR="007D6A4A" w:rsidRPr="007D6A4A" w:rsidRDefault="007D6A4A" w:rsidP="003D5C17">
      <w:pPr>
        <w:pStyle w:val="FootnoteText"/>
        <w:jc w:val="both"/>
      </w:pPr>
      <w:r>
        <w:rPr>
          <w:rStyle w:val="FootnoteReference"/>
        </w:rPr>
        <w:footnoteRef/>
      </w:r>
      <w:r>
        <w:t xml:space="preserve"> </w:t>
      </w:r>
      <w:r w:rsidRPr="007D6A4A">
        <w:rPr>
          <w:i/>
          <w:iCs/>
        </w:rPr>
        <w:t>Id</w:t>
      </w:r>
      <w:r>
        <w:t>.</w:t>
      </w:r>
    </w:p>
  </w:footnote>
  <w:footnote w:id="48">
    <w:p w14:paraId="1CACA762" w14:textId="1BCF9E4B" w:rsidR="00FA7F0F" w:rsidRPr="005D4B72" w:rsidRDefault="00FA7F0F" w:rsidP="003D5C17">
      <w:pPr>
        <w:pStyle w:val="FootnoteText"/>
        <w:jc w:val="both"/>
      </w:pPr>
      <w:r w:rsidRPr="005D4B72">
        <w:rPr>
          <w:rStyle w:val="FootnoteReference"/>
        </w:rPr>
        <w:footnoteRef/>
      </w:r>
      <w:r w:rsidRPr="005D4B72">
        <w:t xml:space="preserve"> Ananda Teresia, </w:t>
      </w:r>
      <w:r w:rsidRPr="005D4B72">
        <w:rPr>
          <w:i/>
          <w:iCs/>
        </w:rPr>
        <w:t>Indonesia Set to Pass New Criminal Code that will Ban Sex Outside Marriage</w:t>
      </w:r>
      <w:r w:rsidRPr="005D4B72">
        <w:t xml:space="preserve">, </w:t>
      </w:r>
      <w:r w:rsidR="009C0CB1">
        <w:t>Reuters, D</w:t>
      </w:r>
      <w:r w:rsidRPr="005D4B72">
        <w:t>ec</w:t>
      </w:r>
      <w:r w:rsidR="009C0CB1">
        <w:t>ember</w:t>
      </w:r>
      <w:r w:rsidRPr="005D4B72">
        <w:t xml:space="preserve"> 5, 2022, </w:t>
      </w:r>
      <w:hyperlink r:id="rId15" w:history="1">
        <w:r w:rsidRPr="009C0CB1">
          <w:rPr>
            <w:rStyle w:val="Hyperlink"/>
            <w:color w:val="000000" w:themeColor="text1"/>
            <w:u w:val="none"/>
          </w:rPr>
          <w:t>https://www.reuters.com/world/asia-pacific/indonesia-set-pass-new-criminal-code-that-will-ban-sex-outside-marriage-2022-12-05/</w:t>
        </w:r>
      </w:hyperlink>
      <w:r w:rsidRPr="005D4B72">
        <w:t xml:space="preserve"> (“Once ratified, the new code will come into effect in three years' time as the government and related institutions draft related implementing regulations.”);</w:t>
      </w:r>
      <w:r w:rsidR="009C0CB1">
        <w:t xml:space="preserve"> Human Rights Watch,</w:t>
      </w:r>
      <w:r w:rsidRPr="005D4B72">
        <w:t xml:space="preserve"> </w:t>
      </w:r>
      <w:r w:rsidRPr="005D4B72">
        <w:rPr>
          <w:i/>
          <w:iCs/>
        </w:rPr>
        <w:t>Indonesia: New Criminal Code Assaults Rights. Heightened Discrimination Against Religious Minorities, Women, LGBT People</w:t>
      </w:r>
      <w:r w:rsidRPr="005D4B72">
        <w:t>, Jan</w:t>
      </w:r>
      <w:r w:rsidR="009C0CB1">
        <w:t>uary</w:t>
      </w:r>
      <w:r w:rsidRPr="005D4B72">
        <w:t xml:space="preserve"> 1</w:t>
      </w:r>
      <w:r w:rsidRPr="00D545C3">
        <w:rPr>
          <w:color w:val="000000" w:themeColor="text1"/>
        </w:rPr>
        <w:t>2, 2023,</w:t>
      </w:r>
      <w:r w:rsidRPr="00D545C3">
        <w:rPr>
          <w:i/>
          <w:color w:val="000000" w:themeColor="text1"/>
        </w:rPr>
        <w:t xml:space="preserve"> </w:t>
      </w:r>
      <w:hyperlink r:id="rId16" w:anchor=":~:text=On%20December%206%2C%202022%2C%20Indonesia's,violating%20the%20right%20to%20privacy" w:history="1">
        <w:r w:rsidRPr="00F640DC">
          <w:t>h</w:t>
        </w:r>
        <w:r w:rsidRPr="00F640DC">
          <w:t>t</w:t>
        </w:r>
        <w:r w:rsidRPr="00F640DC">
          <w:t>tps://www.hrw.org/news/2023/01/12/indonesia-new-criminal-code-assaults-rights#:~:text=On%20December%206%2C%202022%2C%20Indonesia's,violating%20the%20right%20to%20privacy</w:t>
        </w:r>
      </w:hyperlink>
      <w:r w:rsidRPr="00F640DC">
        <w:t xml:space="preserve"> </w:t>
      </w:r>
      <w:r w:rsidRPr="009C0CB1">
        <w:rPr>
          <w:color w:val="000000" w:themeColor="text1"/>
        </w:rPr>
        <w:t>(</w:t>
      </w:r>
      <w:hyperlink r:id="rId17" w:anchor=":~:text=On%20December%206%2C%202022%2C%20Indonesia's,violating%20the%20right%20to%20privacy." w:history="1">
        <w:r w:rsidRPr="009C0CB1">
          <w:rPr>
            <w:rStyle w:val="Hyperlink"/>
            <w:color w:val="000000" w:themeColor="text1"/>
            <w:u w:val="none"/>
          </w:rPr>
          <w:t>“</w:t>
        </w:r>
      </w:hyperlink>
      <w:r w:rsidRPr="005D4B72">
        <w:t>The law has a three-year transition period before coming into effect.”).</w:t>
      </w:r>
      <w:r w:rsidRPr="005D4B72" w:rsidDel="00CA31CF">
        <w:t xml:space="preserve"> </w:t>
      </w:r>
    </w:p>
  </w:footnote>
  <w:footnote w:id="49">
    <w:p w14:paraId="269E1546" w14:textId="505552A1" w:rsidR="00FA7F0F" w:rsidRPr="009D5C15" w:rsidRDefault="00FA7F0F" w:rsidP="003D5C17">
      <w:pPr>
        <w:pStyle w:val="FootnoteText"/>
        <w:jc w:val="both"/>
        <w:rPr>
          <w:rFonts w:asciiTheme="majorBidi" w:hAnsiTheme="majorBidi" w:cstheme="majorBidi"/>
        </w:rPr>
      </w:pPr>
      <w:r w:rsidRPr="005D4B72">
        <w:rPr>
          <w:rStyle w:val="FootnoteReference"/>
          <w:rFonts w:asciiTheme="majorBidi" w:hAnsiTheme="majorBidi" w:cstheme="majorBidi"/>
        </w:rPr>
        <w:footnoteRef/>
      </w:r>
      <w:r w:rsidRPr="005D4B72">
        <w:rPr>
          <w:rFonts w:asciiTheme="majorBidi" w:hAnsiTheme="majorBidi" w:cstheme="majorBidi"/>
        </w:rPr>
        <w:t xml:space="preserve"> Penal Law of 6 December 2022, </w:t>
      </w:r>
      <w:r w:rsidR="005D4B72" w:rsidRPr="005D4B72">
        <w:rPr>
          <w:rFonts w:asciiTheme="majorBidi" w:hAnsiTheme="majorBidi" w:cstheme="majorBidi"/>
        </w:rPr>
        <w:t>Articles 4</w:t>
      </w:r>
      <w:r w:rsidRPr="005D4B72">
        <w:rPr>
          <w:rFonts w:asciiTheme="majorBidi" w:hAnsiTheme="majorBidi" w:cstheme="majorBidi"/>
        </w:rPr>
        <w:t xml:space="preserve">33(1), 440. </w:t>
      </w:r>
    </w:p>
  </w:footnote>
  <w:footnote w:id="50">
    <w:p w14:paraId="19A2DA86" w14:textId="744FB8C9" w:rsidR="00FA7F0F" w:rsidRPr="009D5C15" w:rsidRDefault="00FA7F0F" w:rsidP="003D5C17">
      <w:pPr>
        <w:pStyle w:val="FootnoteText"/>
        <w:jc w:val="both"/>
        <w:rPr>
          <w:rFonts w:asciiTheme="majorBidi" w:hAnsiTheme="majorBidi" w:cstheme="majorBidi"/>
        </w:rPr>
      </w:pPr>
      <w:r w:rsidRPr="009D5C15">
        <w:rPr>
          <w:rStyle w:val="FootnoteReference"/>
          <w:rFonts w:asciiTheme="majorBidi" w:hAnsiTheme="majorBidi" w:cstheme="majorBidi"/>
        </w:rPr>
        <w:footnoteRef/>
      </w:r>
      <w:r w:rsidRPr="009D5C15">
        <w:rPr>
          <w:rFonts w:asciiTheme="majorBidi" w:hAnsiTheme="majorBidi" w:cstheme="majorBidi"/>
        </w:rPr>
        <w:t xml:space="preserve"> </w:t>
      </w:r>
      <w:r w:rsidRPr="009D5C15">
        <w:rPr>
          <w:rFonts w:asciiTheme="majorBidi" w:hAnsiTheme="majorBidi" w:cstheme="majorBidi"/>
          <w:i/>
          <w:iCs/>
        </w:rPr>
        <w:t>Id</w:t>
      </w:r>
      <w:r w:rsidRPr="009D5C15">
        <w:rPr>
          <w:rFonts w:asciiTheme="majorBidi" w:hAnsiTheme="majorBidi" w:cstheme="majorBidi"/>
        </w:rPr>
        <w:t>.</w:t>
      </w:r>
      <w:r w:rsidR="009C0CB1">
        <w:rPr>
          <w:rFonts w:asciiTheme="majorBidi" w:hAnsiTheme="majorBidi" w:cstheme="majorBidi"/>
        </w:rPr>
        <w:t xml:space="preserve"> at Article</w:t>
      </w:r>
      <w:r w:rsidRPr="009D5C15">
        <w:rPr>
          <w:rFonts w:asciiTheme="majorBidi" w:hAnsiTheme="majorBidi" w:cstheme="majorBidi"/>
        </w:rPr>
        <w:t xml:space="preserve"> 433(2). </w:t>
      </w:r>
    </w:p>
  </w:footnote>
  <w:footnote w:id="51">
    <w:p w14:paraId="17A61415" w14:textId="5518C70A" w:rsidR="00FA7F0F" w:rsidRPr="009D5C15" w:rsidRDefault="00FA7F0F" w:rsidP="003D5C17">
      <w:pPr>
        <w:pStyle w:val="FootnoteText"/>
        <w:jc w:val="both"/>
        <w:rPr>
          <w:rFonts w:asciiTheme="majorBidi" w:hAnsiTheme="majorBidi" w:cstheme="majorBidi"/>
        </w:rPr>
      </w:pPr>
      <w:r w:rsidRPr="009D5C15">
        <w:rPr>
          <w:rStyle w:val="FootnoteReference"/>
          <w:rFonts w:asciiTheme="majorBidi" w:hAnsiTheme="majorBidi" w:cstheme="majorBidi"/>
        </w:rPr>
        <w:footnoteRef/>
      </w:r>
      <w:r w:rsidR="009C0CB1">
        <w:rPr>
          <w:rFonts w:asciiTheme="majorBidi" w:hAnsiTheme="majorBidi" w:cstheme="majorBidi"/>
        </w:rPr>
        <w:t xml:space="preserve"> </w:t>
      </w:r>
      <w:r w:rsidRPr="009D5C15">
        <w:rPr>
          <w:rFonts w:asciiTheme="majorBidi" w:hAnsiTheme="majorBidi" w:cstheme="majorBidi"/>
          <w:i/>
          <w:iCs/>
        </w:rPr>
        <w:t>Id.</w:t>
      </w:r>
      <w:r w:rsidR="009C0CB1">
        <w:rPr>
          <w:rFonts w:asciiTheme="majorBidi" w:hAnsiTheme="majorBidi" w:cstheme="majorBidi"/>
        </w:rPr>
        <w:t xml:space="preserve"> at Article</w:t>
      </w:r>
      <w:r w:rsidRPr="009D5C15">
        <w:rPr>
          <w:rFonts w:asciiTheme="majorBidi" w:hAnsiTheme="majorBidi" w:cstheme="majorBidi"/>
        </w:rPr>
        <w:t xml:space="preserve"> 441(1).</w:t>
      </w:r>
    </w:p>
  </w:footnote>
  <w:footnote w:id="52">
    <w:p w14:paraId="595D3575" w14:textId="445E85A6" w:rsidR="00FA7F0F" w:rsidRPr="009D5C15" w:rsidRDefault="00FA7F0F" w:rsidP="003D5C17">
      <w:pPr>
        <w:pStyle w:val="FootnoteText"/>
        <w:jc w:val="both"/>
        <w:rPr>
          <w:rFonts w:asciiTheme="majorBidi" w:hAnsiTheme="majorBidi" w:cstheme="majorBidi"/>
        </w:rPr>
      </w:pPr>
      <w:r w:rsidRPr="009D5C15">
        <w:rPr>
          <w:rStyle w:val="FootnoteReference"/>
          <w:rFonts w:asciiTheme="majorBidi" w:hAnsiTheme="majorBidi" w:cstheme="majorBidi"/>
        </w:rPr>
        <w:footnoteRef/>
      </w:r>
      <w:r w:rsidRPr="009D5C15">
        <w:rPr>
          <w:rFonts w:asciiTheme="majorBidi" w:hAnsiTheme="majorBidi" w:cstheme="majorBidi"/>
        </w:rPr>
        <w:t xml:space="preserve"> </w:t>
      </w:r>
      <w:r w:rsidRPr="009D5C15">
        <w:rPr>
          <w:rFonts w:asciiTheme="majorBidi" w:hAnsiTheme="majorBidi" w:cstheme="majorBidi"/>
          <w:i/>
          <w:iCs/>
        </w:rPr>
        <w:t>Id.</w:t>
      </w:r>
      <w:r w:rsidR="009C0CB1">
        <w:rPr>
          <w:rFonts w:asciiTheme="majorBidi" w:hAnsiTheme="majorBidi" w:cstheme="majorBidi"/>
        </w:rPr>
        <w:t xml:space="preserve"> at Article </w:t>
      </w:r>
      <w:r w:rsidRPr="009D5C15">
        <w:rPr>
          <w:rFonts w:asciiTheme="majorBidi" w:hAnsiTheme="majorBidi" w:cstheme="majorBidi"/>
        </w:rPr>
        <w:t>441(2).</w:t>
      </w:r>
    </w:p>
  </w:footnote>
  <w:footnote w:id="53">
    <w:p w14:paraId="5AEC9381" w14:textId="67D9BBC9" w:rsidR="009C0CB1" w:rsidRPr="009C0CB1" w:rsidRDefault="009C0CB1" w:rsidP="003D5C17">
      <w:pPr>
        <w:pStyle w:val="FootnoteText"/>
        <w:jc w:val="both"/>
      </w:pPr>
      <w:r>
        <w:rPr>
          <w:rStyle w:val="FootnoteReference"/>
        </w:rPr>
        <w:footnoteRef/>
      </w:r>
      <w:r>
        <w:t xml:space="preserve"> </w:t>
      </w:r>
      <w:r w:rsidRPr="009D5C15">
        <w:rPr>
          <w:rFonts w:asciiTheme="majorBidi" w:hAnsiTheme="majorBidi" w:cstheme="majorBidi"/>
          <w:i/>
          <w:iCs/>
        </w:rPr>
        <w:t>Id.</w:t>
      </w:r>
      <w:r>
        <w:rPr>
          <w:rFonts w:asciiTheme="majorBidi" w:hAnsiTheme="majorBidi" w:cstheme="majorBidi"/>
        </w:rPr>
        <w:t xml:space="preserve"> at Article 243</w:t>
      </w:r>
      <w:r w:rsidRPr="009D5C15">
        <w:rPr>
          <w:rFonts w:asciiTheme="majorBidi" w:hAnsiTheme="majorBidi" w:cstheme="majorBidi"/>
        </w:rPr>
        <w:t>(</w:t>
      </w:r>
      <w:r>
        <w:rPr>
          <w:rFonts w:asciiTheme="majorBidi" w:hAnsiTheme="majorBidi" w:cstheme="majorBidi"/>
        </w:rPr>
        <w:t>1</w:t>
      </w:r>
      <w:r w:rsidRPr="009D5C15">
        <w:rPr>
          <w:rFonts w:asciiTheme="majorBidi" w:hAnsiTheme="majorBidi" w:cstheme="majorBidi"/>
        </w:rPr>
        <w:t>).</w:t>
      </w:r>
    </w:p>
  </w:footnote>
  <w:footnote w:id="54">
    <w:p w14:paraId="56E2E17D" w14:textId="191468D0" w:rsidR="008A3407" w:rsidRPr="008A3407" w:rsidRDefault="008A3407" w:rsidP="003D5C17">
      <w:pPr>
        <w:pStyle w:val="FootnoteText"/>
        <w:jc w:val="both"/>
      </w:pPr>
      <w:r>
        <w:rPr>
          <w:rStyle w:val="FootnoteReference"/>
        </w:rPr>
        <w:footnoteRef/>
      </w:r>
      <w:r>
        <w:t xml:space="preserve"> </w:t>
      </w:r>
      <w:r w:rsidR="005F3F29">
        <w:t>Like the defamation provisions in the previous Criminal Code, Article 434 provides that judges may consider the truth of a statement where the accused person raises certain affirmative defenses. If the statement is found to be untrue the penalty is increased beyond that applicable to ‘ordinary’ defamation.</w:t>
      </w:r>
    </w:p>
  </w:footnote>
  <w:footnote w:id="55">
    <w:p w14:paraId="5A0362E6" w14:textId="75D965A8" w:rsidR="004B2047" w:rsidRPr="004B2047" w:rsidRDefault="004B2047" w:rsidP="003D5C17">
      <w:pPr>
        <w:pStyle w:val="FootnoteText"/>
        <w:jc w:val="both"/>
      </w:pPr>
      <w:r>
        <w:rPr>
          <w:rStyle w:val="FootnoteReference"/>
        </w:rPr>
        <w:footnoteRef/>
      </w:r>
      <w:r>
        <w:t xml:space="preserve"> </w:t>
      </w:r>
      <w:r w:rsidRPr="009D5C15">
        <w:rPr>
          <w:rFonts w:asciiTheme="majorBidi" w:hAnsiTheme="majorBidi" w:cstheme="majorBidi"/>
          <w:i/>
          <w:iCs/>
        </w:rPr>
        <w:t>Id.</w:t>
      </w:r>
      <w:r>
        <w:rPr>
          <w:rFonts w:asciiTheme="majorBidi" w:hAnsiTheme="majorBidi" w:cstheme="majorBidi"/>
        </w:rPr>
        <w:t xml:space="preserve"> at Articles 218-219.</w:t>
      </w:r>
    </w:p>
  </w:footnote>
  <w:footnote w:id="56">
    <w:p w14:paraId="7BF6C489" w14:textId="1F2B74D1" w:rsidR="00FA7F0F" w:rsidRPr="00110E91" w:rsidRDefault="00FA7F0F" w:rsidP="003D5C17">
      <w:pPr>
        <w:pStyle w:val="FootnoteText"/>
        <w:tabs>
          <w:tab w:val="left" w:pos="360"/>
        </w:tabs>
        <w:spacing w:line="276" w:lineRule="auto"/>
        <w:jc w:val="both"/>
        <w:rPr>
          <w:rFonts w:asciiTheme="majorBidi" w:hAnsiTheme="majorBidi" w:cstheme="majorBidi"/>
        </w:rPr>
      </w:pPr>
      <w:r w:rsidRPr="009D5C15">
        <w:rPr>
          <w:rStyle w:val="FootnoteReference"/>
          <w:rFonts w:asciiTheme="majorBidi" w:hAnsiTheme="majorBidi" w:cstheme="majorBidi"/>
        </w:rPr>
        <w:footnoteRef/>
      </w:r>
      <w:r w:rsidRPr="00110E91">
        <w:rPr>
          <w:rFonts w:asciiTheme="majorBidi" w:hAnsiTheme="majorBidi" w:cstheme="majorBidi"/>
        </w:rPr>
        <w:t xml:space="preserve"> </w:t>
      </w:r>
      <w:proofErr w:type="spellStart"/>
      <w:r w:rsidR="00D545C3" w:rsidRPr="00110E91">
        <w:rPr>
          <w:color w:val="000000" w:themeColor="text1"/>
        </w:rPr>
        <w:t>Adhigama</w:t>
      </w:r>
      <w:proofErr w:type="spellEnd"/>
      <w:r w:rsidR="00D545C3" w:rsidRPr="00110E91">
        <w:rPr>
          <w:color w:val="000000" w:themeColor="text1"/>
        </w:rPr>
        <w:t xml:space="preserve"> Budiman</w:t>
      </w:r>
      <w:r w:rsidR="009B7C0B" w:rsidRPr="00110E91">
        <w:rPr>
          <w:color w:val="000000" w:themeColor="text1"/>
        </w:rPr>
        <w:t xml:space="preserve"> et al., </w:t>
      </w:r>
      <w:r w:rsidR="009B7C0B" w:rsidRPr="00110E91">
        <w:rPr>
          <w:i/>
          <w:iCs/>
          <w:color w:val="000000" w:themeColor="text1"/>
        </w:rPr>
        <w:t>supra</w:t>
      </w:r>
      <w:r w:rsidR="00D545C3" w:rsidRPr="00110E91">
        <w:rPr>
          <w:color w:val="000000" w:themeColor="text1"/>
        </w:rPr>
        <w:t>.</w:t>
      </w:r>
    </w:p>
  </w:footnote>
  <w:footnote w:id="57">
    <w:p w14:paraId="2F2059BE" w14:textId="60042E29" w:rsidR="00FA7F0F" w:rsidRPr="009D5C15" w:rsidRDefault="00FA7F0F" w:rsidP="003D5C17">
      <w:pPr>
        <w:pStyle w:val="FootnoteText"/>
        <w:tabs>
          <w:tab w:val="left" w:pos="360"/>
        </w:tabs>
        <w:spacing w:line="276" w:lineRule="auto"/>
        <w:jc w:val="both"/>
        <w:rPr>
          <w:rFonts w:asciiTheme="majorBidi" w:hAnsiTheme="majorBidi" w:cstheme="majorBidi"/>
        </w:rPr>
      </w:pPr>
      <w:r w:rsidRPr="009D5C15">
        <w:rPr>
          <w:rStyle w:val="FootnoteReference"/>
          <w:rFonts w:asciiTheme="majorBidi" w:hAnsiTheme="majorBidi" w:cstheme="majorBidi"/>
        </w:rPr>
        <w:footnoteRef/>
      </w:r>
      <w:r w:rsidRPr="009D5C15">
        <w:rPr>
          <w:rFonts w:asciiTheme="majorBidi" w:hAnsiTheme="majorBidi" w:cstheme="majorBidi"/>
        </w:rPr>
        <w:t xml:space="preserve"> </w:t>
      </w:r>
      <w:r w:rsidR="00EA339C">
        <w:rPr>
          <w:rFonts w:asciiTheme="majorBidi" w:hAnsiTheme="majorBidi" w:cstheme="majorBidi"/>
        </w:rPr>
        <w:t>Amended EIT Law</w:t>
      </w:r>
      <w:r w:rsidR="00D545C3">
        <w:rPr>
          <w:rFonts w:asciiTheme="majorBidi" w:hAnsiTheme="majorBidi" w:cstheme="majorBidi"/>
        </w:rPr>
        <w:t xml:space="preserve">, </w:t>
      </w:r>
      <w:r w:rsidR="00EA339C">
        <w:rPr>
          <w:rFonts w:asciiTheme="majorBidi" w:hAnsiTheme="majorBidi" w:cstheme="majorBidi"/>
        </w:rPr>
        <w:t xml:space="preserve">2024, </w:t>
      </w:r>
      <w:r w:rsidR="00D545C3">
        <w:rPr>
          <w:rFonts w:asciiTheme="majorBidi" w:hAnsiTheme="majorBidi" w:cstheme="majorBidi"/>
        </w:rPr>
        <w:t>Article</w:t>
      </w:r>
      <w:r w:rsidRPr="009D5C15">
        <w:rPr>
          <w:rFonts w:asciiTheme="majorBidi" w:hAnsiTheme="majorBidi" w:cstheme="majorBidi"/>
        </w:rPr>
        <w:t xml:space="preserve"> </w:t>
      </w:r>
      <w:r w:rsidR="0054462B">
        <w:rPr>
          <w:rFonts w:asciiTheme="majorBidi" w:hAnsiTheme="majorBidi" w:cstheme="majorBidi"/>
        </w:rPr>
        <w:t>45(7)(a).</w:t>
      </w:r>
    </w:p>
  </w:footnote>
  <w:footnote w:id="58">
    <w:p w14:paraId="26B47A4A" w14:textId="0156CF04" w:rsidR="00C33202" w:rsidRPr="00C33202" w:rsidRDefault="00C33202" w:rsidP="003D5C17">
      <w:pPr>
        <w:pStyle w:val="FootnoteText"/>
        <w:jc w:val="both"/>
      </w:pPr>
      <w:r>
        <w:rPr>
          <w:rStyle w:val="FootnoteReference"/>
        </w:rPr>
        <w:footnoteRef/>
      </w:r>
      <w:r>
        <w:t xml:space="preserve"> Commentary on the Amended EIT Law.</w:t>
      </w:r>
    </w:p>
  </w:footnote>
  <w:footnote w:id="59">
    <w:p w14:paraId="5B62AF5C" w14:textId="77777777" w:rsidR="0008720C" w:rsidRPr="0054462B" w:rsidRDefault="0008720C" w:rsidP="003D5C17">
      <w:pPr>
        <w:pStyle w:val="FootnoteText"/>
        <w:jc w:val="both"/>
      </w:pPr>
      <w:r>
        <w:rPr>
          <w:rStyle w:val="FootnoteReference"/>
        </w:rPr>
        <w:footnoteRef/>
      </w:r>
      <w:r>
        <w:t xml:space="preserve"> </w:t>
      </w:r>
      <w:r w:rsidRPr="00597969">
        <w:rPr>
          <w:i/>
          <w:iCs/>
        </w:rPr>
        <w:t>Id</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53EC8"/>
    <w:multiLevelType w:val="hybridMultilevel"/>
    <w:tmpl w:val="2576A0F8"/>
    <w:lvl w:ilvl="0" w:tplc="CBB2ED46">
      <w:start w:val="1"/>
      <w:numFmt w:val="decimal"/>
      <w:lvlText w:val="%1."/>
      <w:lvlJc w:val="left"/>
      <w:pPr>
        <w:ind w:left="1440" w:hanging="360"/>
      </w:pPr>
      <w:rPr>
        <w:b w:val="0"/>
        <w:sz w:val="24"/>
        <w:szCs w:val="24"/>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BDF0F48"/>
    <w:multiLevelType w:val="multilevel"/>
    <w:tmpl w:val="DEE0D192"/>
    <w:name w:val="Heading"/>
    <w:lvl w:ilvl="0">
      <w:start w:val="1"/>
      <w:numFmt w:val="upperRoman"/>
      <w:lvlRestart w:val="0"/>
      <w:pStyle w:val="Heading1"/>
      <w:lvlText w:val="%1."/>
      <w:lvlJc w:val="left"/>
      <w:pPr>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upperLetter"/>
      <w:pStyle w:val="Heading2"/>
      <w:lvlText w:val="%2."/>
      <w:lvlJc w:val="left"/>
      <w:pPr>
        <w:ind w:left="1440" w:hanging="720"/>
      </w:pPr>
      <w:rPr>
        <w:rFonts w:ascii="Times New Roman" w:hAnsi="Times New Roman" w:cs="Times New Roman"/>
        <w:b/>
        <w:i w:val="0"/>
        <w:caps w:val="0"/>
        <w:strike w:val="0"/>
        <w:dstrike w:val="0"/>
        <w:vanish w:val="0"/>
        <w:color w:val="auto"/>
        <w:sz w:val="24"/>
        <w:u w:val="none"/>
        <w:vertAlign w:val="baseline"/>
      </w:rPr>
    </w:lvl>
    <w:lvl w:ilvl="2">
      <w:start w:val="1"/>
      <w:numFmt w:val="decimal"/>
      <w:pStyle w:val="Heading3"/>
      <w:lvlText w:val="%3."/>
      <w:lvlJc w:val="left"/>
      <w:pPr>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Heading4"/>
      <w:lvlText w:val="(%4)"/>
      <w:lvlJc w:val="left"/>
      <w:pPr>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Heading5"/>
      <w:lvlText w:val="(%5)"/>
      <w:lvlJc w:val="left"/>
      <w:pPr>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decimal"/>
      <w:pStyle w:val="Heading6"/>
      <w:lvlText w:val="(%6)"/>
      <w:lvlJc w:val="left"/>
      <w:pPr>
        <w:ind w:left="43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Letter"/>
      <w:pStyle w:val="Heading7"/>
      <w:lvlText w:val="%7."/>
      <w:lvlJc w:val="left"/>
      <w:pPr>
        <w:ind w:left="504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Roman"/>
      <w:pStyle w:val="Heading8"/>
      <w:lvlText w:val="%8."/>
      <w:lvlJc w:val="left"/>
      <w:pPr>
        <w:ind w:left="5760" w:hanging="720"/>
      </w:pPr>
      <w:rPr>
        <w:rFonts w:ascii="Times New Roman" w:hAnsi="Times New Roman" w:cs="Times New Roman"/>
        <w:b w:val="0"/>
        <w:i w:val="0"/>
        <w:caps w:val="0"/>
        <w:strike w:val="0"/>
        <w:dstrike w:val="0"/>
        <w:vanish w:val="0"/>
        <w:color w:val="auto"/>
        <w:sz w:val="24"/>
        <w:u w:val="none"/>
        <w:vertAlign w:val="baseline"/>
      </w:rPr>
    </w:lvl>
    <w:lvl w:ilvl="8">
      <w:start w:val="1"/>
      <w:numFmt w:val="decimal"/>
      <w:pStyle w:val="Heading9"/>
      <w:lvlText w:val="%9."/>
      <w:lvlJc w:val="left"/>
      <w:pPr>
        <w:ind w:left="648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 w15:restartNumberingAfterBreak="0">
    <w:nsid w:val="468E6FF2"/>
    <w:multiLevelType w:val="multilevel"/>
    <w:tmpl w:val="F4DEAF40"/>
    <w:lvl w:ilvl="0">
      <w:start w:val="1"/>
      <w:numFmt w:val="decimal"/>
      <w:lvlText w:val="%1."/>
      <w:lvlJc w:val="left"/>
      <w:pPr>
        <w:ind w:left="720" w:hanging="360"/>
      </w:pPr>
      <w:rPr>
        <w:rFonts w:ascii="Times New Roman" w:hAnsi="Times New Roman" w:cs="Times New Roman" w:hint="default"/>
        <w:b/>
        <w:bCs/>
        <w:i w:val="0"/>
        <w:iCs/>
        <w:strike w:val="0"/>
        <w:color w:val="000000" w:themeColor="text1"/>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i/>
        <w:iCs/>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522D3C4E"/>
    <w:multiLevelType w:val="hybridMultilevel"/>
    <w:tmpl w:val="C0561AE8"/>
    <w:lvl w:ilvl="0" w:tplc="52A4B640">
      <w:numFmt w:val="bullet"/>
      <w:lvlText w:val="-"/>
      <w:lvlJc w:val="left"/>
      <w:pPr>
        <w:ind w:left="720" w:hanging="360"/>
      </w:pPr>
      <w:rPr>
        <w:rFonts w:ascii="Aptos" w:eastAsiaTheme="minorHAnsi" w:hAnsi="Aptos" w:cstheme="minorBidi"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C492D61"/>
    <w:multiLevelType w:val="hybridMultilevel"/>
    <w:tmpl w:val="57D60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921646"/>
    <w:multiLevelType w:val="hybridMultilevel"/>
    <w:tmpl w:val="4BCC67B4"/>
    <w:lvl w:ilvl="0" w:tplc="2990086A">
      <w:start w:val="1"/>
      <w:numFmt w:val="decimal"/>
      <w:lvlText w:val="%1."/>
      <w:lvlJc w:val="left"/>
      <w:pPr>
        <w:ind w:left="720" w:hanging="360"/>
      </w:pPr>
      <w:rPr>
        <w:rFonts w:eastAsiaTheme="minorHAnsi" w:cstheme="minorBid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2439788">
    <w:abstractNumId w:val="5"/>
  </w:num>
  <w:num w:numId="2" w16cid:durableId="25565264">
    <w:abstractNumId w:val="0"/>
  </w:num>
  <w:num w:numId="3" w16cid:durableId="213004872">
    <w:abstractNumId w:val="1"/>
  </w:num>
  <w:num w:numId="4" w16cid:durableId="1676221626">
    <w:abstractNumId w:val="2"/>
  </w:num>
  <w:num w:numId="5" w16cid:durableId="843474736">
    <w:abstractNumId w:val="3"/>
  </w:num>
  <w:num w:numId="6" w16cid:durableId="4350967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739"/>
    <w:rsid w:val="00025AAE"/>
    <w:rsid w:val="0007752D"/>
    <w:rsid w:val="00083DD4"/>
    <w:rsid w:val="0008720C"/>
    <w:rsid w:val="00091747"/>
    <w:rsid w:val="00094875"/>
    <w:rsid w:val="000A46A5"/>
    <w:rsid w:val="000C5AA1"/>
    <w:rsid w:val="000C6C2B"/>
    <w:rsid w:val="000F03BB"/>
    <w:rsid w:val="000F708E"/>
    <w:rsid w:val="00110E91"/>
    <w:rsid w:val="00123B86"/>
    <w:rsid w:val="001309FA"/>
    <w:rsid w:val="00130CBE"/>
    <w:rsid w:val="00130F64"/>
    <w:rsid w:val="00151573"/>
    <w:rsid w:val="00155430"/>
    <w:rsid w:val="00155C08"/>
    <w:rsid w:val="001671A2"/>
    <w:rsid w:val="0018136F"/>
    <w:rsid w:val="001C7013"/>
    <w:rsid w:val="001D3CC9"/>
    <w:rsid w:val="001D612B"/>
    <w:rsid w:val="00204558"/>
    <w:rsid w:val="00216EAD"/>
    <w:rsid w:val="00244714"/>
    <w:rsid w:val="002530A4"/>
    <w:rsid w:val="002563CB"/>
    <w:rsid w:val="00257A04"/>
    <w:rsid w:val="00265BD9"/>
    <w:rsid w:val="002730D9"/>
    <w:rsid w:val="00273601"/>
    <w:rsid w:val="00275E06"/>
    <w:rsid w:val="002903BD"/>
    <w:rsid w:val="00292CAB"/>
    <w:rsid w:val="002A4ED6"/>
    <w:rsid w:val="002B4035"/>
    <w:rsid w:val="002B7242"/>
    <w:rsid w:val="002D53F6"/>
    <w:rsid w:val="002D57BC"/>
    <w:rsid w:val="002D7120"/>
    <w:rsid w:val="002E19B1"/>
    <w:rsid w:val="002F0372"/>
    <w:rsid w:val="002F7738"/>
    <w:rsid w:val="00303AC5"/>
    <w:rsid w:val="00304A2C"/>
    <w:rsid w:val="0032152C"/>
    <w:rsid w:val="00323B90"/>
    <w:rsid w:val="00367F00"/>
    <w:rsid w:val="00380F04"/>
    <w:rsid w:val="0038585F"/>
    <w:rsid w:val="00392E29"/>
    <w:rsid w:val="003947CF"/>
    <w:rsid w:val="003A2688"/>
    <w:rsid w:val="003A47BF"/>
    <w:rsid w:val="003A78AF"/>
    <w:rsid w:val="003B0B80"/>
    <w:rsid w:val="003D46D9"/>
    <w:rsid w:val="003D5C17"/>
    <w:rsid w:val="003E39D5"/>
    <w:rsid w:val="00401BF9"/>
    <w:rsid w:val="004025F4"/>
    <w:rsid w:val="00417265"/>
    <w:rsid w:val="00436C2A"/>
    <w:rsid w:val="00441739"/>
    <w:rsid w:val="004430DE"/>
    <w:rsid w:val="00455DDF"/>
    <w:rsid w:val="004616AA"/>
    <w:rsid w:val="00496DC8"/>
    <w:rsid w:val="004A2D47"/>
    <w:rsid w:val="004B2047"/>
    <w:rsid w:val="004B2FFE"/>
    <w:rsid w:val="004D1D85"/>
    <w:rsid w:val="004D24F5"/>
    <w:rsid w:val="004E070E"/>
    <w:rsid w:val="004F669F"/>
    <w:rsid w:val="00511612"/>
    <w:rsid w:val="005135B9"/>
    <w:rsid w:val="005231EF"/>
    <w:rsid w:val="00527056"/>
    <w:rsid w:val="00535E68"/>
    <w:rsid w:val="00537493"/>
    <w:rsid w:val="0054462B"/>
    <w:rsid w:val="00567402"/>
    <w:rsid w:val="00571321"/>
    <w:rsid w:val="00571F05"/>
    <w:rsid w:val="0057474B"/>
    <w:rsid w:val="005824B6"/>
    <w:rsid w:val="00582F70"/>
    <w:rsid w:val="005B37E3"/>
    <w:rsid w:val="005B3A3C"/>
    <w:rsid w:val="005B4CC4"/>
    <w:rsid w:val="005D0EB5"/>
    <w:rsid w:val="005D4B72"/>
    <w:rsid w:val="005F3F29"/>
    <w:rsid w:val="005F6019"/>
    <w:rsid w:val="00602412"/>
    <w:rsid w:val="0060444C"/>
    <w:rsid w:val="006101A9"/>
    <w:rsid w:val="00625D9B"/>
    <w:rsid w:val="006262D6"/>
    <w:rsid w:val="00626BB0"/>
    <w:rsid w:val="00631BFE"/>
    <w:rsid w:val="00635953"/>
    <w:rsid w:val="00652004"/>
    <w:rsid w:val="00655F6A"/>
    <w:rsid w:val="00656CB7"/>
    <w:rsid w:val="0065735F"/>
    <w:rsid w:val="006615C5"/>
    <w:rsid w:val="006624D7"/>
    <w:rsid w:val="006641A2"/>
    <w:rsid w:val="006735D8"/>
    <w:rsid w:val="00693F5E"/>
    <w:rsid w:val="006A3303"/>
    <w:rsid w:val="006C5F54"/>
    <w:rsid w:val="00703D39"/>
    <w:rsid w:val="00704C2E"/>
    <w:rsid w:val="0071379E"/>
    <w:rsid w:val="007158ED"/>
    <w:rsid w:val="00717C25"/>
    <w:rsid w:val="007201D1"/>
    <w:rsid w:val="00742640"/>
    <w:rsid w:val="00746D4B"/>
    <w:rsid w:val="00747E86"/>
    <w:rsid w:val="0075030B"/>
    <w:rsid w:val="007569C3"/>
    <w:rsid w:val="00761897"/>
    <w:rsid w:val="00762F01"/>
    <w:rsid w:val="007723BE"/>
    <w:rsid w:val="00786097"/>
    <w:rsid w:val="007B543C"/>
    <w:rsid w:val="007C1A50"/>
    <w:rsid w:val="007C5C92"/>
    <w:rsid w:val="007D5A57"/>
    <w:rsid w:val="007D6A4A"/>
    <w:rsid w:val="007D7248"/>
    <w:rsid w:val="007F0C2A"/>
    <w:rsid w:val="007F7ADD"/>
    <w:rsid w:val="008124EC"/>
    <w:rsid w:val="008218C8"/>
    <w:rsid w:val="00821B61"/>
    <w:rsid w:val="00835A8C"/>
    <w:rsid w:val="00871CDB"/>
    <w:rsid w:val="00896A35"/>
    <w:rsid w:val="008A3407"/>
    <w:rsid w:val="008B0EBC"/>
    <w:rsid w:val="008C3221"/>
    <w:rsid w:val="008D3F7E"/>
    <w:rsid w:val="008D6315"/>
    <w:rsid w:val="008D7499"/>
    <w:rsid w:val="008E720A"/>
    <w:rsid w:val="008F0A27"/>
    <w:rsid w:val="00900517"/>
    <w:rsid w:val="0090166C"/>
    <w:rsid w:val="0091159F"/>
    <w:rsid w:val="009121A4"/>
    <w:rsid w:val="00915A83"/>
    <w:rsid w:val="0091628C"/>
    <w:rsid w:val="00920F74"/>
    <w:rsid w:val="00926103"/>
    <w:rsid w:val="00940A91"/>
    <w:rsid w:val="00954FD3"/>
    <w:rsid w:val="009644EE"/>
    <w:rsid w:val="00976806"/>
    <w:rsid w:val="009814AC"/>
    <w:rsid w:val="00981580"/>
    <w:rsid w:val="0098303F"/>
    <w:rsid w:val="009A76F5"/>
    <w:rsid w:val="009B515B"/>
    <w:rsid w:val="009B5939"/>
    <w:rsid w:val="009B7C0B"/>
    <w:rsid w:val="009C0CB1"/>
    <w:rsid w:val="009D5C1E"/>
    <w:rsid w:val="009E10CB"/>
    <w:rsid w:val="009E181C"/>
    <w:rsid w:val="009F70EE"/>
    <w:rsid w:val="00A05806"/>
    <w:rsid w:val="00A268C1"/>
    <w:rsid w:val="00A502BF"/>
    <w:rsid w:val="00A50587"/>
    <w:rsid w:val="00A664BD"/>
    <w:rsid w:val="00A66633"/>
    <w:rsid w:val="00A76C57"/>
    <w:rsid w:val="00A800B9"/>
    <w:rsid w:val="00A8543A"/>
    <w:rsid w:val="00A943EB"/>
    <w:rsid w:val="00AB2441"/>
    <w:rsid w:val="00AB2969"/>
    <w:rsid w:val="00AB3E4A"/>
    <w:rsid w:val="00AB706F"/>
    <w:rsid w:val="00AC32AE"/>
    <w:rsid w:val="00AC4D88"/>
    <w:rsid w:val="00AC59A4"/>
    <w:rsid w:val="00AD1477"/>
    <w:rsid w:val="00AE6BE6"/>
    <w:rsid w:val="00AF6505"/>
    <w:rsid w:val="00B026C1"/>
    <w:rsid w:val="00B02D90"/>
    <w:rsid w:val="00B20CFF"/>
    <w:rsid w:val="00B26EA1"/>
    <w:rsid w:val="00B56A34"/>
    <w:rsid w:val="00B66221"/>
    <w:rsid w:val="00B67D5E"/>
    <w:rsid w:val="00B86B87"/>
    <w:rsid w:val="00B87BE7"/>
    <w:rsid w:val="00B91F86"/>
    <w:rsid w:val="00BA1C8F"/>
    <w:rsid w:val="00BC545F"/>
    <w:rsid w:val="00BD449D"/>
    <w:rsid w:val="00BD7BB9"/>
    <w:rsid w:val="00BE3435"/>
    <w:rsid w:val="00BF4178"/>
    <w:rsid w:val="00C148E0"/>
    <w:rsid w:val="00C20126"/>
    <w:rsid w:val="00C30C43"/>
    <w:rsid w:val="00C33202"/>
    <w:rsid w:val="00C36BF7"/>
    <w:rsid w:val="00C54887"/>
    <w:rsid w:val="00C55E7C"/>
    <w:rsid w:val="00C7551F"/>
    <w:rsid w:val="00C85A88"/>
    <w:rsid w:val="00C9412F"/>
    <w:rsid w:val="00CB46CD"/>
    <w:rsid w:val="00CC14AA"/>
    <w:rsid w:val="00CC3E3F"/>
    <w:rsid w:val="00D10AF7"/>
    <w:rsid w:val="00D11EB9"/>
    <w:rsid w:val="00D14AF4"/>
    <w:rsid w:val="00D41DA0"/>
    <w:rsid w:val="00D545C3"/>
    <w:rsid w:val="00D56195"/>
    <w:rsid w:val="00D75F69"/>
    <w:rsid w:val="00D82A0F"/>
    <w:rsid w:val="00D8752B"/>
    <w:rsid w:val="00D91D71"/>
    <w:rsid w:val="00D92E63"/>
    <w:rsid w:val="00D97178"/>
    <w:rsid w:val="00D971DC"/>
    <w:rsid w:val="00DC391B"/>
    <w:rsid w:val="00DD368B"/>
    <w:rsid w:val="00DE3EE0"/>
    <w:rsid w:val="00DE427F"/>
    <w:rsid w:val="00DE4E18"/>
    <w:rsid w:val="00DE4EC3"/>
    <w:rsid w:val="00E07A9D"/>
    <w:rsid w:val="00E312C6"/>
    <w:rsid w:val="00E3590F"/>
    <w:rsid w:val="00E511B5"/>
    <w:rsid w:val="00E518BC"/>
    <w:rsid w:val="00E56B4C"/>
    <w:rsid w:val="00E7350D"/>
    <w:rsid w:val="00E77C1B"/>
    <w:rsid w:val="00E87260"/>
    <w:rsid w:val="00EA339C"/>
    <w:rsid w:val="00ED42DA"/>
    <w:rsid w:val="00EE5034"/>
    <w:rsid w:val="00EF14A5"/>
    <w:rsid w:val="00EF3AEC"/>
    <w:rsid w:val="00F640DC"/>
    <w:rsid w:val="00F97D24"/>
    <w:rsid w:val="00FA7F0F"/>
    <w:rsid w:val="00FB0F52"/>
    <w:rsid w:val="00FB13E1"/>
    <w:rsid w:val="00FB4234"/>
    <w:rsid w:val="00FB46CD"/>
    <w:rsid w:val="00FB7254"/>
    <w:rsid w:val="00FC2F09"/>
    <w:rsid w:val="00FE2C1C"/>
    <w:rsid w:val="00FF4465"/>
    <w:rsid w:val="00FF680E"/>
    <w:rsid w:val="00FF6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91F681"/>
  <w15:chartTrackingRefBased/>
  <w15:docId w15:val="{1BA1D34A-D39E-2C47-AB34-25C598257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2"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739"/>
    <w:rPr>
      <w:rFonts w:ascii="Times New Roman" w:eastAsia="Times New Roman" w:hAnsi="Times New Roman" w:cs="Times New Roman"/>
      <w:kern w:val="0"/>
      <w14:ligatures w14:val="none"/>
    </w:rPr>
  </w:style>
  <w:style w:type="paragraph" w:styleId="Heading1">
    <w:name w:val="heading 1"/>
    <w:basedOn w:val="Normal"/>
    <w:next w:val="BodyText"/>
    <w:link w:val="Heading1Char"/>
    <w:qFormat/>
    <w:rsid w:val="00FA7F0F"/>
    <w:pPr>
      <w:keepNext/>
      <w:numPr>
        <w:numId w:val="3"/>
      </w:numPr>
      <w:spacing w:before="240" w:after="240"/>
      <w:outlineLvl w:val="0"/>
    </w:pPr>
    <w:rPr>
      <w:rFonts w:eastAsiaTheme="minorEastAsia"/>
      <w:szCs w:val="20"/>
    </w:rPr>
  </w:style>
  <w:style w:type="paragraph" w:styleId="Heading2">
    <w:name w:val="heading 2"/>
    <w:basedOn w:val="Normal"/>
    <w:next w:val="BodyText"/>
    <w:link w:val="Heading2Char"/>
    <w:qFormat/>
    <w:rsid w:val="00FA7F0F"/>
    <w:pPr>
      <w:numPr>
        <w:ilvl w:val="1"/>
        <w:numId w:val="3"/>
      </w:numPr>
      <w:spacing w:before="240" w:after="240"/>
      <w:outlineLvl w:val="1"/>
    </w:pPr>
    <w:rPr>
      <w:szCs w:val="20"/>
    </w:rPr>
  </w:style>
  <w:style w:type="paragraph" w:styleId="Heading3">
    <w:name w:val="heading 3"/>
    <w:basedOn w:val="Normal"/>
    <w:next w:val="BodyText"/>
    <w:link w:val="Heading3Char"/>
    <w:qFormat/>
    <w:rsid w:val="00FA7F0F"/>
    <w:pPr>
      <w:numPr>
        <w:ilvl w:val="2"/>
        <w:numId w:val="3"/>
      </w:numPr>
      <w:spacing w:before="240" w:after="240"/>
      <w:outlineLvl w:val="2"/>
    </w:pPr>
    <w:rPr>
      <w:szCs w:val="20"/>
    </w:rPr>
  </w:style>
  <w:style w:type="paragraph" w:styleId="Heading4">
    <w:name w:val="heading 4"/>
    <w:basedOn w:val="Normal"/>
    <w:next w:val="BodyText"/>
    <w:link w:val="Heading4Char"/>
    <w:rsid w:val="00FA7F0F"/>
    <w:pPr>
      <w:numPr>
        <w:ilvl w:val="3"/>
        <w:numId w:val="3"/>
      </w:numPr>
      <w:spacing w:before="240" w:after="240"/>
      <w:outlineLvl w:val="3"/>
    </w:pPr>
    <w:rPr>
      <w:szCs w:val="20"/>
    </w:rPr>
  </w:style>
  <w:style w:type="paragraph" w:styleId="Heading5">
    <w:name w:val="heading 5"/>
    <w:basedOn w:val="Normal"/>
    <w:next w:val="BodyText"/>
    <w:link w:val="Heading5Char"/>
    <w:rsid w:val="00FA7F0F"/>
    <w:pPr>
      <w:numPr>
        <w:ilvl w:val="4"/>
        <w:numId w:val="3"/>
      </w:numPr>
      <w:spacing w:before="240" w:after="240"/>
      <w:outlineLvl w:val="4"/>
    </w:pPr>
    <w:rPr>
      <w:szCs w:val="20"/>
    </w:rPr>
  </w:style>
  <w:style w:type="paragraph" w:styleId="Heading6">
    <w:name w:val="heading 6"/>
    <w:basedOn w:val="Normal"/>
    <w:next w:val="BodyText"/>
    <w:link w:val="Heading6Char"/>
    <w:rsid w:val="00FA7F0F"/>
    <w:pPr>
      <w:numPr>
        <w:ilvl w:val="5"/>
        <w:numId w:val="3"/>
      </w:numPr>
      <w:spacing w:before="240" w:after="240"/>
      <w:outlineLvl w:val="5"/>
    </w:pPr>
    <w:rPr>
      <w:szCs w:val="20"/>
    </w:rPr>
  </w:style>
  <w:style w:type="paragraph" w:styleId="Heading7">
    <w:name w:val="heading 7"/>
    <w:basedOn w:val="Normal"/>
    <w:next w:val="BodyText"/>
    <w:link w:val="Heading7Char"/>
    <w:rsid w:val="00FA7F0F"/>
    <w:pPr>
      <w:numPr>
        <w:ilvl w:val="6"/>
        <w:numId w:val="3"/>
      </w:numPr>
      <w:spacing w:before="240" w:after="240"/>
      <w:outlineLvl w:val="6"/>
    </w:pPr>
    <w:rPr>
      <w:szCs w:val="20"/>
    </w:rPr>
  </w:style>
  <w:style w:type="paragraph" w:styleId="Heading8">
    <w:name w:val="heading 8"/>
    <w:basedOn w:val="Normal"/>
    <w:next w:val="BodyText"/>
    <w:link w:val="Heading8Char"/>
    <w:rsid w:val="00FA7F0F"/>
    <w:pPr>
      <w:numPr>
        <w:ilvl w:val="7"/>
        <w:numId w:val="3"/>
      </w:numPr>
      <w:spacing w:before="240" w:after="240"/>
      <w:outlineLvl w:val="7"/>
    </w:pPr>
    <w:rPr>
      <w:szCs w:val="20"/>
    </w:rPr>
  </w:style>
  <w:style w:type="paragraph" w:styleId="Heading9">
    <w:name w:val="heading 9"/>
    <w:basedOn w:val="Normal"/>
    <w:next w:val="BodyText"/>
    <w:link w:val="Heading9Char"/>
    <w:rsid w:val="00FA7F0F"/>
    <w:pPr>
      <w:numPr>
        <w:ilvl w:val="8"/>
        <w:numId w:val="3"/>
      </w:numPr>
      <w:spacing w:before="240" w:after="240"/>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footnote text,Footnote reference,FA Fu,Footnote Text Char Char Char,Footnote Text Cha,FA Fußnotentext,FA Fuﬂnotentext,Texto nota pie Car,Footnote Text Char Char,Ca,ft"/>
    <w:basedOn w:val="Normal"/>
    <w:link w:val="FootnoteTextChar"/>
    <w:uiPriority w:val="99"/>
    <w:unhideWhenUsed/>
    <w:qFormat/>
    <w:rsid w:val="00441739"/>
    <w:rPr>
      <w:sz w:val="20"/>
      <w:szCs w:val="20"/>
    </w:rPr>
  </w:style>
  <w:style w:type="character" w:customStyle="1" w:styleId="FootnoteTextChar">
    <w:name w:val="Footnote Text Char"/>
    <w:aliases w:val="Footnote Text Char Char Char Char Char Char,Footnote Text Char Char Char Char Char1,footnote text Char,Footnote reference Char,FA Fu Char,Footnote Text Char Char Char Char1,Footnote Text Cha Char,FA Fußnotentext Char,Ca Char,ft Char"/>
    <w:basedOn w:val="DefaultParagraphFont"/>
    <w:link w:val="FootnoteText"/>
    <w:uiPriority w:val="99"/>
    <w:qFormat/>
    <w:rsid w:val="00441739"/>
    <w:rPr>
      <w:rFonts w:ascii="Times New Roman" w:eastAsia="Times New Roman" w:hAnsi="Times New Roman" w:cs="Times New Roman"/>
      <w:kern w:val="0"/>
      <w:sz w:val="20"/>
      <w:szCs w:val="20"/>
      <w14:ligatures w14:val="none"/>
    </w:rPr>
  </w:style>
  <w:style w:type="character" w:styleId="FootnoteReference">
    <w:name w:val="footnote reference"/>
    <w:aliases w:val="Footnotes refss,Texto de nota al pie,Appel note de bas de page,f,Ref,de nota al pie,normal,Footnote number,referencia nota al pie,BVI fnr,4_G,16 Point,Superscript 6 Point,Ref. de nota al pie.,Footnote symbol,Footnote,Texto nota al pi"/>
    <w:basedOn w:val="DefaultParagraphFont"/>
    <w:link w:val="Char2"/>
    <w:uiPriority w:val="99"/>
    <w:unhideWhenUsed/>
    <w:qFormat/>
    <w:rsid w:val="00441739"/>
    <w:rPr>
      <w:vertAlign w:val="superscript"/>
    </w:rPr>
  </w:style>
  <w:style w:type="paragraph" w:customStyle="1" w:styleId="Char2">
    <w:name w:val="Char2"/>
    <w:basedOn w:val="Normal"/>
    <w:link w:val="FootnoteReference"/>
    <w:uiPriority w:val="99"/>
    <w:rsid w:val="00441739"/>
    <w:pPr>
      <w:spacing w:after="160" w:line="240" w:lineRule="exact"/>
    </w:pPr>
    <w:rPr>
      <w:rFonts w:asciiTheme="minorHAnsi" w:eastAsiaTheme="minorHAnsi" w:hAnsiTheme="minorHAnsi" w:cstheme="minorBidi"/>
      <w:kern w:val="2"/>
      <w:vertAlign w:val="superscript"/>
      <w14:ligatures w14:val="standardContextual"/>
    </w:rPr>
  </w:style>
  <w:style w:type="paragraph" w:styleId="ListParagraph">
    <w:name w:val="List Paragraph"/>
    <w:basedOn w:val="Normal"/>
    <w:uiPriority w:val="34"/>
    <w:qFormat/>
    <w:rsid w:val="00441739"/>
    <w:pPr>
      <w:ind w:left="720"/>
      <w:contextualSpacing/>
    </w:pPr>
  </w:style>
  <w:style w:type="paragraph" w:styleId="NormalWeb">
    <w:name w:val="Normal (Web)"/>
    <w:basedOn w:val="Normal"/>
    <w:uiPriority w:val="99"/>
    <w:unhideWhenUsed/>
    <w:rsid w:val="00304A2C"/>
    <w:pPr>
      <w:spacing w:before="100" w:beforeAutospacing="1" w:after="100" w:afterAutospacing="1"/>
    </w:pPr>
  </w:style>
  <w:style w:type="paragraph" w:customStyle="1" w:styleId="Default">
    <w:name w:val="Default"/>
    <w:rsid w:val="00304A2C"/>
    <w:pPr>
      <w:autoSpaceDE w:val="0"/>
      <w:autoSpaceDN w:val="0"/>
      <w:adjustRightInd w:val="0"/>
    </w:pPr>
    <w:rPr>
      <w:rFonts w:ascii="Times New Roman" w:hAnsi="Times New Roman" w:cs="Times New Roman"/>
      <w:color w:val="000000"/>
      <w:kern w:val="0"/>
    </w:rPr>
  </w:style>
  <w:style w:type="paragraph" w:styleId="BodyText">
    <w:name w:val="Body Text"/>
    <w:basedOn w:val="Normal"/>
    <w:link w:val="BodyTextChar"/>
    <w:uiPriority w:val="2"/>
    <w:qFormat/>
    <w:rsid w:val="00AB706F"/>
    <w:pPr>
      <w:spacing w:before="240" w:after="240"/>
      <w:ind w:left="504" w:hanging="504"/>
    </w:pPr>
    <w:rPr>
      <w:szCs w:val="20"/>
    </w:rPr>
  </w:style>
  <w:style w:type="character" w:customStyle="1" w:styleId="BodyTextChar">
    <w:name w:val="Body Text Char"/>
    <w:basedOn w:val="DefaultParagraphFont"/>
    <w:link w:val="BodyText"/>
    <w:uiPriority w:val="2"/>
    <w:rsid w:val="00AB706F"/>
    <w:rPr>
      <w:rFonts w:ascii="Times New Roman" w:eastAsia="Times New Roman" w:hAnsi="Times New Roman" w:cs="Times New Roman"/>
      <w:kern w:val="0"/>
      <w:szCs w:val="20"/>
      <w14:ligatures w14:val="none"/>
    </w:rPr>
  </w:style>
  <w:style w:type="character" w:styleId="Hyperlink">
    <w:name w:val="Hyperlink"/>
    <w:basedOn w:val="DefaultParagraphFont"/>
    <w:uiPriority w:val="99"/>
    <w:unhideWhenUsed/>
    <w:rsid w:val="007D5A57"/>
    <w:rPr>
      <w:color w:val="0563C1" w:themeColor="hyperlink"/>
      <w:u w:val="single"/>
    </w:rPr>
  </w:style>
  <w:style w:type="character" w:customStyle="1" w:styleId="MSGENFONTSTYLENAMETEMPLATEROLENUMBERMSGENFONTSTYLENAMEBYROLETEXT2">
    <w:name w:val="MSG_EN_FONT_STYLE_NAME_TEMPLATE_ROLE_NUMBER MSG_EN_FONT_STYLE_NAME_BY_ROLE_TEXT 2"/>
    <w:basedOn w:val="DefaultParagraphFont"/>
    <w:rsid w:val="0063595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styleId="UnresolvedMention">
    <w:name w:val="Unresolved Mention"/>
    <w:basedOn w:val="DefaultParagraphFont"/>
    <w:uiPriority w:val="99"/>
    <w:semiHidden/>
    <w:unhideWhenUsed/>
    <w:rsid w:val="001D612B"/>
    <w:rPr>
      <w:color w:val="605E5C"/>
      <w:shd w:val="clear" w:color="auto" w:fill="E1DFDD"/>
    </w:rPr>
  </w:style>
  <w:style w:type="character" w:customStyle="1" w:styleId="Heading1Char">
    <w:name w:val="Heading 1 Char"/>
    <w:basedOn w:val="DefaultParagraphFont"/>
    <w:link w:val="Heading1"/>
    <w:rsid w:val="00FA7F0F"/>
    <w:rPr>
      <w:rFonts w:ascii="Times New Roman" w:eastAsiaTheme="minorEastAsia" w:hAnsi="Times New Roman" w:cs="Times New Roman"/>
      <w:kern w:val="0"/>
      <w:szCs w:val="20"/>
      <w14:ligatures w14:val="none"/>
    </w:rPr>
  </w:style>
  <w:style w:type="character" w:customStyle="1" w:styleId="Heading2Char">
    <w:name w:val="Heading 2 Char"/>
    <w:basedOn w:val="DefaultParagraphFont"/>
    <w:link w:val="Heading2"/>
    <w:rsid w:val="00FA7F0F"/>
    <w:rPr>
      <w:rFonts w:ascii="Times New Roman" w:eastAsia="Times New Roman" w:hAnsi="Times New Roman" w:cs="Times New Roman"/>
      <w:kern w:val="0"/>
      <w:szCs w:val="20"/>
      <w14:ligatures w14:val="none"/>
    </w:rPr>
  </w:style>
  <w:style w:type="character" w:customStyle="1" w:styleId="Heading3Char">
    <w:name w:val="Heading 3 Char"/>
    <w:basedOn w:val="DefaultParagraphFont"/>
    <w:link w:val="Heading3"/>
    <w:rsid w:val="00FA7F0F"/>
    <w:rPr>
      <w:rFonts w:ascii="Times New Roman" w:eastAsia="Times New Roman" w:hAnsi="Times New Roman" w:cs="Times New Roman"/>
      <w:kern w:val="0"/>
      <w:szCs w:val="20"/>
      <w14:ligatures w14:val="none"/>
    </w:rPr>
  </w:style>
  <w:style w:type="character" w:customStyle="1" w:styleId="Heading4Char">
    <w:name w:val="Heading 4 Char"/>
    <w:basedOn w:val="DefaultParagraphFont"/>
    <w:link w:val="Heading4"/>
    <w:rsid w:val="00FA7F0F"/>
    <w:rPr>
      <w:rFonts w:ascii="Times New Roman" w:eastAsia="Times New Roman" w:hAnsi="Times New Roman" w:cs="Times New Roman"/>
      <w:kern w:val="0"/>
      <w:szCs w:val="20"/>
      <w14:ligatures w14:val="none"/>
    </w:rPr>
  </w:style>
  <w:style w:type="character" w:customStyle="1" w:styleId="Heading5Char">
    <w:name w:val="Heading 5 Char"/>
    <w:basedOn w:val="DefaultParagraphFont"/>
    <w:link w:val="Heading5"/>
    <w:rsid w:val="00FA7F0F"/>
    <w:rPr>
      <w:rFonts w:ascii="Times New Roman" w:eastAsia="Times New Roman" w:hAnsi="Times New Roman" w:cs="Times New Roman"/>
      <w:kern w:val="0"/>
      <w:szCs w:val="20"/>
      <w14:ligatures w14:val="none"/>
    </w:rPr>
  </w:style>
  <w:style w:type="character" w:customStyle="1" w:styleId="Heading6Char">
    <w:name w:val="Heading 6 Char"/>
    <w:basedOn w:val="DefaultParagraphFont"/>
    <w:link w:val="Heading6"/>
    <w:rsid w:val="00FA7F0F"/>
    <w:rPr>
      <w:rFonts w:ascii="Times New Roman" w:eastAsia="Times New Roman" w:hAnsi="Times New Roman" w:cs="Times New Roman"/>
      <w:kern w:val="0"/>
      <w:szCs w:val="20"/>
      <w14:ligatures w14:val="none"/>
    </w:rPr>
  </w:style>
  <w:style w:type="character" w:customStyle="1" w:styleId="Heading7Char">
    <w:name w:val="Heading 7 Char"/>
    <w:basedOn w:val="DefaultParagraphFont"/>
    <w:link w:val="Heading7"/>
    <w:rsid w:val="00FA7F0F"/>
    <w:rPr>
      <w:rFonts w:ascii="Times New Roman" w:eastAsia="Times New Roman" w:hAnsi="Times New Roman" w:cs="Times New Roman"/>
      <w:kern w:val="0"/>
      <w:szCs w:val="20"/>
      <w14:ligatures w14:val="none"/>
    </w:rPr>
  </w:style>
  <w:style w:type="character" w:customStyle="1" w:styleId="Heading8Char">
    <w:name w:val="Heading 8 Char"/>
    <w:basedOn w:val="DefaultParagraphFont"/>
    <w:link w:val="Heading8"/>
    <w:rsid w:val="00FA7F0F"/>
    <w:rPr>
      <w:rFonts w:ascii="Times New Roman" w:eastAsia="Times New Roman" w:hAnsi="Times New Roman" w:cs="Times New Roman"/>
      <w:kern w:val="0"/>
      <w:szCs w:val="20"/>
      <w14:ligatures w14:val="none"/>
    </w:rPr>
  </w:style>
  <w:style w:type="character" w:customStyle="1" w:styleId="Heading9Char">
    <w:name w:val="Heading 9 Char"/>
    <w:basedOn w:val="DefaultParagraphFont"/>
    <w:link w:val="Heading9"/>
    <w:rsid w:val="00FA7F0F"/>
    <w:rPr>
      <w:rFonts w:ascii="Times New Roman" w:eastAsia="Times New Roman" w:hAnsi="Times New Roman" w:cs="Times New Roman"/>
      <w:kern w:val="0"/>
      <w:szCs w:val="20"/>
      <w14:ligatures w14:val="none"/>
    </w:rPr>
  </w:style>
  <w:style w:type="paragraph" w:customStyle="1" w:styleId="p1">
    <w:name w:val="p1"/>
    <w:basedOn w:val="Normal"/>
    <w:rsid w:val="00BE3435"/>
    <w:pPr>
      <w:spacing w:before="100" w:beforeAutospacing="1" w:after="100" w:afterAutospacing="1"/>
    </w:pPr>
  </w:style>
  <w:style w:type="character" w:customStyle="1" w:styleId="apple-converted-space">
    <w:name w:val="apple-converted-space"/>
    <w:basedOn w:val="DefaultParagraphFont"/>
    <w:rsid w:val="00BE3435"/>
  </w:style>
  <w:style w:type="character" w:customStyle="1" w:styleId="MSGENFONTSTYLENAMETEMPLATEROLENUMBERMSGENFONTSTYLENAMEBYROLETEXT2MSGENFONTSTYLEMODIFERSIZE12">
    <w:name w:val="MSG_EN_FONT_STYLE_NAME_TEMPLATE_ROLE_NUMBER MSG_EN_FONT_STYLE_NAME_BY_ROLE_TEXT 2 + MSG_EN_FONT_STYLE_MODIFER_SIZE 12"/>
    <w:aliases w:val="MSG_EN_FONT_STYLE_MODIFER_ITALIC"/>
    <w:basedOn w:val="DefaultParagraphFont"/>
    <w:rsid w:val="002B403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ref-lnk">
    <w:name w:val="ref-lnk"/>
    <w:basedOn w:val="DefaultParagraphFont"/>
    <w:rsid w:val="007569C3"/>
  </w:style>
  <w:style w:type="character" w:customStyle="1" w:styleId="off-screen">
    <w:name w:val="off-screen"/>
    <w:basedOn w:val="DefaultParagraphFont"/>
    <w:rsid w:val="007569C3"/>
  </w:style>
  <w:style w:type="character" w:styleId="CommentReference">
    <w:name w:val="annotation reference"/>
    <w:basedOn w:val="DefaultParagraphFont"/>
    <w:uiPriority w:val="99"/>
    <w:semiHidden/>
    <w:unhideWhenUsed/>
    <w:rsid w:val="007B543C"/>
    <w:rPr>
      <w:sz w:val="16"/>
      <w:szCs w:val="16"/>
    </w:rPr>
  </w:style>
  <w:style w:type="paragraph" w:styleId="CommentText">
    <w:name w:val="annotation text"/>
    <w:basedOn w:val="Normal"/>
    <w:link w:val="CommentTextChar"/>
    <w:uiPriority w:val="99"/>
    <w:semiHidden/>
    <w:unhideWhenUsed/>
    <w:rsid w:val="00537493"/>
    <w:rPr>
      <w:sz w:val="20"/>
      <w:szCs w:val="20"/>
    </w:rPr>
  </w:style>
  <w:style w:type="character" w:customStyle="1" w:styleId="CommentTextChar">
    <w:name w:val="Comment Text Char"/>
    <w:basedOn w:val="DefaultParagraphFont"/>
    <w:link w:val="CommentText"/>
    <w:uiPriority w:val="99"/>
    <w:semiHidden/>
    <w:rsid w:val="0053749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37493"/>
    <w:rPr>
      <w:b/>
      <w:bCs/>
    </w:rPr>
  </w:style>
  <w:style w:type="character" w:customStyle="1" w:styleId="CommentSubjectChar">
    <w:name w:val="Comment Subject Char"/>
    <w:basedOn w:val="CommentTextChar"/>
    <w:link w:val="CommentSubject"/>
    <w:uiPriority w:val="99"/>
    <w:semiHidden/>
    <w:rsid w:val="00537493"/>
    <w:rPr>
      <w:rFonts w:ascii="Times New Roman" w:eastAsia="Times New Roman" w:hAnsi="Times New Roman" w:cs="Times New Roman"/>
      <w:b/>
      <w:bCs/>
      <w:kern w:val="0"/>
      <w:sz w:val="20"/>
      <w:szCs w:val="20"/>
      <w14:ligatures w14:val="none"/>
    </w:rPr>
  </w:style>
  <w:style w:type="character" w:styleId="FollowedHyperlink">
    <w:name w:val="FollowedHyperlink"/>
    <w:basedOn w:val="DefaultParagraphFont"/>
    <w:uiPriority w:val="99"/>
    <w:semiHidden/>
    <w:unhideWhenUsed/>
    <w:rsid w:val="0032152C"/>
    <w:rPr>
      <w:color w:val="954F72" w:themeColor="followedHyperlink"/>
      <w:u w:val="single"/>
    </w:rPr>
  </w:style>
  <w:style w:type="paragraph" w:styleId="Revision">
    <w:name w:val="Revision"/>
    <w:hidden/>
    <w:uiPriority w:val="99"/>
    <w:semiHidden/>
    <w:rsid w:val="004D1D85"/>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0921">
      <w:bodyDiv w:val="1"/>
      <w:marLeft w:val="0"/>
      <w:marRight w:val="0"/>
      <w:marTop w:val="0"/>
      <w:marBottom w:val="0"/>
      <w:divBdr>
        <w:top w:val="none" w:sz="0" w:space="0" w:color="auto"/>
        <w:left w:val="none" w:sz="0" w:space="0" w:color="auto"/>
        <w:bottom w:val="none" w:sz="0" w:space="0" w:color="auto"/>
        <w:right w:val="none" w:sz="0" w:space="0" w:color="auto"/>
      </w:divBdr>
      <w:divsChild>
        <w:div w:id="488861457">
          <w:marLeft w:val="0"/>
          <w:marRight w:val="0"/>
          <w:marTop w:val="0"/>
          <w:marBottom w:val="0"/>
          <w:divBdr>
            <w:top w:val="none" w:sz="0" w:space="0" w:color="auto"/>
            <w:left w:val="none" w:sz="0" w:space="0" w:color="auto"/>
            <w:bottom w:val="none" w:sz="0" w:space="0" w:color="auto"/>
            <w:right w:val="none" w:sz="0" w:space="0" w:color="auto"/>
          </w:divBdr>
          <w:divsChild>
            <w:div w:id="1235974560">
              <w:marLeft w:val="0"/>
              <w:marRight w:val="0"/>
              <w:marTop w:val="0"/>
              <w:marBottom w:val="0"/>
              <w:divBdr>
                <w:top w:val="none" w:sz="0" w:space="0" w:color="auto"/>
                <w:left w:val="none" w:sz="0" w:space="0" w:color="auto"/>
                <w:bottom w:val="none" w:sz="0" w:space="0" w:color="auto"/>
                <w:right w:val="none" w:sz="0" w:space="0" w:color="auto"/>
              </w:divBdr>
              <w:divsChild>
                <w:div w:id="137792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62490">
      <w:bodyDiv w:val="1"/>
      <w:marLeft w:val="0"/>
      <w:marRight w:val="0"/>
      <w:marTop w:val="0"/>
      <w:marBottom w:val="0"/>
      <w:divBdr>
        <w:top w:val="none" w:sz="0" w:space="0" w:color="auto"/>
        <w:left w:val="none" w:sz="0" w:space="0" w:color="auto"/>
        <w:bottom w:val="none" w:sz="0" w:space="0" w:color="auto"/>
        <w:right w:val="none" w:sz="0" w:space="0" w:color="auto"/>
      </w:divBdr>
    </w:div>
    <w:div w:id="46269250">
      <w:bodyDiv w:val="1"/>
      <w:marLeft w:val="0"/>
      <w:marRight w:val="0"/>
      <w:marTop w:val="0"/>
      <w:marBottom w:val="0"/>
      <w:divBdr>
        <w:top w:val="none" w:sz="0" w:space="0" w:color="auto"/>
        <w:left w:val="none" w:sz="0" w:space="0" w:color="auto"/>
        <w:bottom w:val="none" w:sz="0" w:space="0" w:color="auto"/>
        <w:right w:val="none" w:sz="0" w:space="0" w:color="auto"/>
      </w:divBdr>
      <w:divsChild>
        <w:div w:id="451359781">
          <w:marLeft w:val="0"/>
          <w:marRight w:val="0"/>
          <w:marTop w:val="0"/>
          <w:marBottom w:val="0"/>
          <w:divBdr>
            <w:top w:val="none" w:sz="0" w:space="0" w:color="auto"/>
            <w:left w:val="none" w:sz="0" w:space="0" w:color="auto"/>
            <w:bottom w:val="none" w:sz="0" w:space="0" w:color="auto"/>
            <w:right w:val="none" w:sz="0" w:space="0" w:color="auto"/>
          </w:divBdr>
          <w:divsChild>
            <w:div w:id="283660869">
              <w:marLeft w:val="0"/>
              <w:marRight w:val="0"/>
              <w:marTop w:val="0"/>
              <w:marBottom w:val="0"/>
              <w:divBdr>
                <w:top w:val="none" w:sz="0" w:space="0" w:color="auto"/>
                <w:left w:val="none" w:sz="0" w:space="0" w:color="auto"/>
                <w:bottom w:val="none" w:sz="0" w:space="0" w:color="auto"/>
                <w:right w:val="none" w:sz="0" w:space="0" w:color="auto"/>
              </w:divBdr>
              <w:divsChild>
                <w:div w:id="1511987539">
                  <w:marLeft w:val="0"/>
                  <w:marRight w:val="0"/>
                  <w:marTop w:val="0"/>
                  <w:marBottom w:val="0"/>
                  <w:divBdr>
                    <w:top w:val="none" w:sz="0" w:space="0" w:color="auto"/>
                    <w:left w:val="none" w:sz="0" w:space="0" w:color="auto"/>
                    <w:bottom w:val="none" w:sz="0" w:space="0" w:color="auto"/>
                    <w:right w:val="none" w:sz="0" w:space="0" w:color="auto"/>
                  </w:divBdr>
                </w:div>
              </w:divsChild>
            </w:div>
            <w:div w:id="721173055">
              <w:marLeft w:val="0"/>
              <w:marRight w:val="0"/>
              <w:marTop w:val="0"/>
              <w:marBottom w:val="0"/>
              <w:divBdr>
                <w:top w:val="none" w:sz="0" w:space="0" w:color="auto"/>
                <w:left w:val="none" w:sz="0" w:space="0" w:color="auto"/>
                <w:bottom w:val="none" w:sz="0" w:space="0" w:color="auto"/>
                <w:right w:val="none" w:sz="0" w:space="0" w:color="auto"/>
              </w:divBdr>
              <w:divsChild>
                <w:div w:id="119434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701">
      <w:bodyDiv w:val="1"/>
      <w:marLeft w:val="0"/>
      <w:marRight w:val="0"/>
      <w:marTop w:val="0"/>
      <w:marBottom w:val="0"/>
      <w:divBdr>
        <w:top w:val="none" w:sz="0" w:space="0" w:color="auto"/>
        <w:left w:val="none" w:sz="0" w:space="0" w:color="auto"/>
        <w:bottom w:val="none" w:sz="0" w:space="0" w:color="auto"/>
        <w:right w:val="none" w:sz="0" w:space="0" w:color="auto"/>
      </w:divBdr>
      <w:divsChild>
        <w:div w:id="838883501">
          <w:marLeft w:val="0"/>
          <w:marRight w:val="0"/>
          <w:marTop w:val="0"/>
          <w:marBottom w:val="0"/>
          <w:divBdr>
            <w:top w:val="none" w:sz="0" w:space="0" w:color="auto"/>
            <w:left w:val="none" w:sz="0" w:space="0" w:color="auto"/>
            <w:bottom w:val="none" w:sz="0" w:space="0" w:color="auto"/>
            <w:right w:val="none" w:sz="0" w:space="0" w:color="auto"/>
          </w:divBdr>
          <w:divsChild>
            <w:div w:id="1610964546">
              <w:marLeft w:val="0"/>
              <w:marRight w:val="0"/>
              <w:marTop w:val="0"/>
              <w:marBottom w:val="0"/>
              <w:divBdr>
                <w:top w:val="none" w:sz="0" w:space="0" w:color="auto"/>
                <w:left w:val="none" w:sz="0" w:space="0" w:color="auto"/>
                <w:bottom w:val="none" w:sz="0" w:space="0" w:color="auto"/>
                <w:right w:val="none" w:sz="0" w:space="0" w:color="auto"/>
              </w:divBdr>
              <w:divsChild>
                <w:div w:id="78396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098533">
      <w:bodyDiv w:val="1"/>
      <w:marLeft w:val="0"/>
      <w:marRight w:val="0"/>
      <w:marTop w:val="0"/>
      <w:marBottom w:val="0"/>
      <w:divBdr>
        <w:top w:val="none" w:sz="0" w:space="0" w:color="auto"/>
        <w:left w:val="none" w:sz="0" w:space="0" w:color="auto"/>
        <w:bottom w:val="none" w:sz="0" w:space="0" w:color="auto"/>
        <w:right w:val="none" w:sz="0" w:space="0" w:color="auto"/>
      </w:divBdr>
      <w:divsChild>
        <w:div w:id="96219293">
          <w:marLeft w:val="0"/>
          <w:marRight w:val="0"/>
          <w:marTop w:val="0"/>
          <w:marBottom w:val="0"/>
          <w:divBdr>
            <w:top w:val="none" w:sz="0" w:space="0" w:color="auto"/>
            <w:left w:val="none" w:sz="0" w:space="0" w:color="auto"/>
            <w:bottom w:val="none" w:sz="0" w:space="0" w:color="auto"/>
            <w:right w:val="none" w:sz="0" w:space="0" w:color="auto"/>
          </w:divBdr>
          <w:divsChild>
            <w:div w:id="876553319">
              <w:marLeft w:val="0"/>
              <w:marRight w:val="0"/>
              <w:marTop w:val="0"/>
              <w:marBottom w:val="0"/>
              <w:divBdr>
                <w:top w:val="none" w:sz="0" w:space="0" w:color="auto"/>
                <w:left w:val="none" w:sz="0" w:space="0" w:color="auto"/>
                <w:bottom w:val="none" w:sz="0" w:space="0" w:color="auto"/>
                <w:right w:val="none" w:sz="0" w:space="0" w:color="auto"/>
              </w:divBdr>
              <w:divsChild>
                <w:div w:id="110962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728395">
      <w:bodyDiv w:val="1"/>
      <w:marLeft w:val="0"/>
      <w:marRight w:val="0"/>
      <w:marTop w:val="0"/>
      <w:marBottom w:val="0"/>
      <w:divBdr>
        <w:top w:val="none" w:sz="0" w:space="0" w:color="auto"/>
        <w:left w:val="none" w:sz="0" w:space="0" w:color="auto"/>
        <w:bottom w:val="none" w:sz="0" w:space="0" w:color="auto"/>
        <w:right w:val="none" w:sz="0" w:space="0" w:color="auto"/>
      </w:divBdr>
      <w:divsChild>
        <w:div w:id="224075825">
          <w:marLeft w:val="0"/>
          <w:marRight w:val="0"/>
          <w:marTop w:val="0"/>
          <w:marBottom w:val="0"/>
          <w:divBdr>
            <w:top w:val="none" w:sz="0" w:space="0" w:color="auto"/>
            <w:left w:val="none" w:sz="0" w:space="0" w:color="auto"/>
            <w:bottom w:val="none" w:sz="0" w:space="0" w:color="auto"/>
            <w:right w:val="none" w:sz="0" w:space="0" w:color="auto"/>
          </w:divBdr>
          <w:divsChild>
            <w:div w:id="957640859">
              <w:marLeft w:val="0"/>
              <w:marRight w:val="0"/>
              <w:marTop w:val="0"/>
              <w:marBottom w:val="0"/>
              <w:divBdr>
                <w:top w:val="none" w:sz="0" w:space="0" w:color="auto"/>
                <w:left w:val="none" w:sz="0" w:space="0" w:color="auto"/>
                <w:bottom w:val="none" w:sz="0" w:space="0" w:color="auto"/>
                <w:right w:val="none" w:sz="0" w:space="0" w:color="auto"/>
              </w:divBdr>
              <w:divsChild>
                <w:div w:id="173056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264537">
      <w:bodyDiv w:val="1"/>
      <w:marLeft w:val="0"/>
      <w:marRight w:val="0"/>
      <w:marTop w:val="0"/>
      <w:marBottom w:val="0"/>
      <w:divBdr>
        <w:top w:val="none" w:sz="0" w:space="0" w:color="auto"/>
        <w:left w:val="none" w:sz="0" w:space="0" w:color="auto"/>
        <w:bottom w:val="none" w:sz="0" w:space="0" w:color="auto"/>
        <w:right w:val="none" w:sz="0" w:space="0" w:color="auto"/>
      </w:divBdr>
      <w:divsChild>
        <w:div w:id="1384595328">
          <w:marLeft w:val="0"/>
          <w:marRight w:val="0"/>
          <w:marTop w:val="0"/>
          <w:marBottom w:val="0"/>
          <w:divBdr>
            <w:top w:val="none" w:sz="0" w:space="0" w:color="auto"/>
            <w:left w:val="none" w:sz="0" w:space="0" w:color="auto"/>
            <w:bottom w:val="none" w:sz="0" w:space="0" w:color="auto"/>
            <w:right w:val="none" w:sz="0" w:space="0" w:color="auto"/>
          </w:divBdr>
          <w:divsChild>
            <w:div w:id="161744578">
              <w:marLeft w:val="0"/>
              <w:marRight w:val="0"/>
              <w:marTop w:val="0"/>
              <w:marBottom w:val="0"/>
              <w:divBdr>
                <w:top w:val="none" w:sz="0" w:space="0" w:color="auto"/>
                <w:left w:val="none" w:sz="0" w:space="0" w:color="auto"/>
                <w:bottom w:val="none" w:sz="0" w:space="0" w:color="auto"/>
                <w:right w:val="none" w:sz="0" w:space="0" w:color="auto"/>
              </w:divBdr>
              <w:divsChild>
                <w:div w:id="8083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933157">
      <w:bodyDiv w:val="1"/>
      <w:marLeft w:val="0"/>
      <w:marRight w:val="0"/>
      <w:marTop w:val="0"/>
      <w:marBottom w:val="0"/>
      <w:divBdr>
        <w:top w:val="none" w:sz="0" w:space="0" w:color="auto"/>
        <w:left w:val="none" w:sz="0" w:space="0" w:color="auto"/>
        <w:bottom w:val="none" w:sz="0" w:space="0" w:color="auto"/>
        <w:right w:val="none" w:sz="0" w:space="0" w:color="auto"/>
      </w:divBdr>
    </w:div>
    <w:div w:id="843936207">
      <w:bodyDiv w:val="1"/>
      <w:marLeft w:val="0"/>
      <w:marRight w:val="0"/>
      <w:marTop w:val="0"/>
      <w:marBottom w:val="0"/>
      <w:divBdr>
        <w:top w:val="none" w:sz="0" w:space="0" w:color="auto"/>
        <w:left w:val="none" w:sz="0" w:space="0" w:color="auto"/>
        <w:bottom w:val="none" w:sz="0" w:space="0" w:color="auto"/>
        <w:right w:val="none" w:sz="0" w:space="0" w:color="auto"/>
      </w:divBdr>
      <w:divsChild>
        <w:div w:id="535310784">
          <w:marLeft w:val="0"/>
          <w:marRight w:val="0"/>
          <w:marTop w:val="0"/>
          <w:marBottom w:val="0"/>
          <w:divBdr>
            <w:top w:val="none" w:sz="0" w:space="0" w:color="auto"/>
            <w:left w:val="none" w:sz="0" w:space="0" w:color="auto"/>
            <w:bottom w:val="none" w:sz="0" w:space="0" w:color="auto"/>
            <w:right w:val="none" w:sz="0" w:space="0" w:color="auto"/>
          </w:divBdr>
          <w:divsChild>
            <w:div w:id="1344747538">
              <w:marLeft w:val="0"/>
              <w:marRight w:val="0"/>
              <w:marTop w:val="0"/>
              <w:marBottom w:val="0"/>
              <w:divBdr>
                <w:top w:val="none" w:sz="0" w:space="0" w:color="auto"/>
                <w:left w:val="none" w:sz="0" w:space="0" w:color="auto"/>
                <w:bottom w:val="none" w:sz="0" w:space="0" w:color="auto"/>
                <w:right w:val="none" w:sz="0" w:space="0" w:color="auto"/>
              </w:divBdr>
              <w:divsChild>
                <w:div w:id="36471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171881">
      <w:bodyDiv w:val="1"/>
      <w:marLeft w:val="0"/>
      <w:marRight w:val="0"/>
      <w:marTop w:val="0"/>
      <w:marBottom w:val="0"/>
      <w:divBdr>
        <w:top w:val="none" w:sz="0" w:space="0" w:color="auto"/>
        <w:left w:val="none" w:sz="0" w:space="0" w:color="auto"/>
        <w:bottom w:val="none" w:sz="0" w:space="0" w:color="auto"/>
        <w:right w:val="none" w:sz="0" w:space="0" w:color="auto"/>
      </w:divBdr>
      <w:divsChild>
        <w:div w:id="850873117">
          <w:marLeft w:val="0"/>
          <w:marRight w:val="0"/>
          <w:marTop w:val="0"/>
          <w:marBottom w:val="0"/>
          <w:divBdr>
            <w:top w:val="none" w:sz="0" w:space="0" w:color="auto"/>
            <w:left w:val="none" w:sz="0" w:space="0" w:color="auto"/>
            <w:bottom w:val="none" w:sz="0" w:space="0" w:color="auto"/>
            <w:right w:val="none" w:sz="0" w:space="0" w:color="auto"/>
          </w:divBdr>
          <w:divsChild>
            <w:div w:id="1212889804">
              <w:marLeft w:val="0"/>
              <w:marRight w:val="0"/>
              <w:marTop w:val="0"/>
              <w:marBottom w:val="0"/>
              <w:divBdr>
                <w:top w:val="none" w:sz="0" w:space="0" w:color="auto"/>
                <w:left w:val="none" w:sz="0" w:space="0" w:color="auto"/>
                <w:bottom w:val="none" w:sz="0" w:space="0" w:color="auto"/>
                <w:right w:val="none" w:sz="0" w:space="0" w:color="auto"/>
              </w:divBdr>
              <w:divsChild>
                <w:div w:id="13346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811555">
      <w:bodyDiv w:val="1"/>
      <w:marLeft w:val="0"/>
      <w:marRight w:val="0"/>
      <w:marTop w:val="0"/>
      <w:marBottom w:val="0"/>
      <w:divBdr>
        <w:top w:val="none" w:sz="0" w:space="0" w:color="auto"/>
        <w:left w:val="none" w:sz="0" w:space="0" w:color="auto"/>
        <w:bottom w:val="none" w:sz="0" w:space="0" w:color="auto"/>
        <w:right w:val="none" w:sz="0" w:space="0" w:color="auto"/>
      </w:divBdr>
      <w:divsChild>
        <w:div w:id="1365011532">
          <w:marLeft w:val="0"/>
          <w:marRight w:val="0"/>
          <w:marTop w:val="0"/>
          <w:marBottom w:val="0"/>
          <w:divBdr>
            <w:top w:val="none" w:sz="0" w:space="0" w:color="auto"/>
            <w:left w:val="none" w:sz="0" w:space="0" w:color="auto"/>
            <w:bottom w:val="none" w:sz="0" w:space="0" w:color="auto"/>
            <w:right w:val="none" w:sz="0" w:space="0" w:color="auto"/>
          </w:divBdr>
          <w:divsChild>
            <w:div w:id="1689988475">
              <w:marLeft w:val="0"/>
              <w:marRight w:val="0"/>
              <w:marTop w:val="0"/>
              <w:marBottom w:val="0"/>
              <w:divBdr>
                <w:top w:val="none" w:sz="0" w:space="0" w:color="auto"/>
                <w:left w:val="none" w:sz="0" w:space="0" w:color="auto"/>
                <w:bottom w:val="none" w:sz="0" w:space="0" w:color="auto"/>
                <w:right w:val="none" w:sz="0" w:space="0" w:color="auto"/>
              </w:divBdr>
              <w:divsChild>
                <w:div w:id="179571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799363">
      <w:bodyDiv w:val="1"/>
      <w:marLeft w:val="0"/>
      <w:marRight w:val="0"/>
      <w:marTop w:val="0"/>
      <w:marBottom w:val="0"/>
      <w:divBdr>
        <w:top w:val="none" w:sz="0" w:space="0" w:color="auto"/>
        <w:left w:val="none" w:sz="0" w:space="0" w:color="auto"/>
        <w:bottom w:val="none" w:sz="0" w:space="0" w:color="auto"/>
        <w:right w:val="none" w:sz="0" w:space="0" w:color="auto"/>
      </w:divBdr>
      <w:divsChild>
        <w:div w:id="1567298630">
          <w:marLeft w:val="0"/>
          <w:marRight w:val="0"/>
          <w:marTop w:val="0"/>
          <w:marBottom w:val="0"/>
          <w:divBdr>
            <w:top w:val="none" w:sz="0" w:space="0" w:color="auto"/>
            <w:left w:val="none" w:sz="0" w:space="0" w:color="auto"/>
            <w:bottom w:val="none" w:sz="0" w:space="0" w:color="auto"/>
            <w:right w:val="none" w:sz="0" w:space="0" w:color="auto"/>
          </w:divBdr>
          <w:divsChild>
            <w:div w:id="1504054562">
              <w:marLeft w:val="0"/>
              <w:marRight w:val="0"/>
              <w:marTop w:val="0"/>
              <w:marBottom w:val="0"/>
              <w:divBdr>
                <w:top w:val="none" w:sz="0" w:space="0" w:color="auto"/>
                <w:left w:val="none" w:sz="0" w:space="0" w:color="auto"/>
                <w:bottom w:val="none" w:sz="0" w:space="0" w:color="auto"/>
                <w:right w:val="none" w:sz="0" w:space="0" w:color="auto"/>
              </w:divBdr>
              <w:divsChild>
                <w:div w:id="201722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301460">
      <w:bodyDiv w:val="1"/>
      <w:marLeft w:val="0"/>
      <w:marRight w:val="0"/>
      <w:marTop w:val="0"/>
      <w:marBottom w:val="0"/>
      <w:divBdr>
        <w:top w:val="none" w:sz="0" w:space="0" w:color="auto"/>
        <w:left w:val="none" w:sz="0" w:space="0" w:color="auto"/>
        <w:bottom w:val="none" w:sz="0" w:space="0" w:color="auto"/>
        <w:right w:val="none" w:sz="0" w:space="0" w:color="auto"/>
      </w:divBdr>
    </w:div>
    <w:div w:id="1769037533">
      <w:bodyDiv w:val="1"/>
      <w:marLeft w:val="0"/>
      <w:marRight w:val="0"/>
      <w:marTop w:val="0"/>
      <w:marBottom w:val="0"/>
      <w:divBdr>
        <w:top w:val="none" w:sz="0" w:space="0" w:color="auto"/>
        <w:left w:val="none" w:sz="0" w:space="0" w:color="auto"/>
        <w:bottom w:val="none" w:sz="0" w:space="0" w:color="auto"/>
        <w:right w:val="none" w:sz="0" w:space="0" w:color="auto"/>
      </w:divBdr>
      <w:divsChild>
        <w:div w:id="1361122375">
          <w:marLeft w:val="0"/>
          <w:marRight w:val="0"/>
          <w:marTop w:val="0"/>
          <w:marBottom w:val="0"/>
          <w:divBdr>
            <w:top w:val="none" w:sz="0" w:space="0" w:color="auto"/>
            <w:left w:val="none" w:sz="0" w:space="0" w:color="auto"/>
            <w:bottom w:val="none" w:sz="0" w:space="0" w:color="auto"/>
            <w:right w:val="none" w:sz="0" w:space="0" w:color="auto"/>
          </w:divBdr>
          <w:divsChild>
            <w:div w:id="478959951">
              <w:marLeft w:val="0"/>
              <w:marRight w:val="0"/>
              <w:marTop w:val="0"/>
              <w:marBottom w:val="0"/>
              <w:divBdr>
                <w:top w:val="none" w:sz="0" w:space="0" w:color="auto"/>
                <w:left w:val="none" w:sz="0" w:space="0" w:color="auto"/>
                <w:bottom w:val="none" w:sz="0" w:space="0" w:color="auto"/>
                <w:right w:val="none" w:sz="0" w:space="0" w:color="auto"/>
              </w:divBdr>
              <w:divsChild>
                <w:div w:id="3497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016887">
      <w:bodyDiv w:val="1"/>
      <w:marLeft w:val="0"/>
      <w:marRight w:val="0"/>
      <w:marTop w:val="0"/>
      <w:marBottom w:val="0"/>
      <w:divBdr>
        <w:top w:val="none" w:sz="0" w:space="0" w:color="auto"/>
        <w:left w:val="none" w:sz="0" w:space="0" w:color="auto"/>
        <w:bottom w:val="none" w:sz="0" w:space="0" w:color="auto"/>
        <w:right w:val="none" w:sz="0" w:space="0" w:color="auto"/>
      </w:divBdr>
      <w:divsChild>
        <w:div w:id="502401658">
          <w:marLeft w:val="0"/>
          <w:marRight w:val="0"/>
          <w:marTop w:val="0"/>
          <w:marBottom w:val="0"/>
          <w:divBdr>
            <w:top w:val="none" w:sz="0" w:space="0" w:color="auto"/>
            <w:left w:val="none" w:sz="0" w:space="0" w:color="auto"/>
            <w:bottom w:val="none" w:sz="0" w:space="0" w:color="auto"/>
            <w:right w:val="none" w:sz="0" w:space="0" w:color="auto"/>
          </w:divBdr>
          <w:divsChild>
            <w:div w:id="949362627">
              <w:marLeft w:val="0"/>
              <w:marRight w:val="0"/>
              <w:marTop w:val="0"/>
              <w:marBottom w:val="0"/>
              <w:divBdr>
                <w:top w:val="none" w:sz="0" w:space="0" w:color="auto"/>
                <w:left w:val="none" w:sz="0" w:space="0" w:color="auto"/>
                <w:bottom w:val="none" w:sz="0" w:space="0" w:color="auto"/>
                <w:right w:val="none" w:sz="0" w:space="0" w:color="auto"/>
              </w:divBdr>
              <w:divsChild>
                <w:div w:id="16314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113679">
      <w:bodyDiv w:val="1"/>
      <w:marLeft w:val="0"/>
      <w:marRight w:val="0"/>
      <w:marTop w:val="0"/>
      <w:marBottom w:val="0"/>
      <w:divBdr>
        <w:top w:val="none" w:sz="0" w:space="0" w:color="auto"/>
        <w:left w:val="none" w:sz="0" w:space="0" w:color="auto"/>
        <w:bottom w:val="none" w:sz="0" w:space="0" w:color="auto"/>
        <w:right w:val="none" w:sz="0" w:space="0" w:color="auto"/>
      </w:divBdr>
      <w:divsChild>
        <w:div w:id="1542010046">
          <w:marLeft w:val="0"/>
          <w:marRight w:val="0"/>
          <w:marTop w:val="0"/>
          <w:marBottom w:val="0"/>
          <w:divBdr>
            <w:top w:val="none" w:sz="0" w:space="0" w:color="auto"/>
            <w:left w:val="none" w:sz="0" w:space="0" w:color="auto"/>
            <w:bottom w:val="none" w:sz="0" w:space="0" w:color="auto"/>
            <w:right w:val="none" w:sz="0" w:space="0" w:color="auto"/>
          </w:divBdr>
          <w:divsChild>
            <w:div w:id="430513146">
              <w:marLeft w:val="0"/>
              <w:marRight w:val="0"/>
              <w:marTop w:val="0"/>
              <w:marBottom w:val="0"/>
              <w:divBdr>
                <w:top w:val="none" w:sz="0" w:space="0" w:color="auto"/>
                <w:left w:val="none" w:sz="0" w:space="0" w:color="auto"/>
                <w:bottom w:val="none" w:sz="0" w:space="0" w:color="auto"/>
                <w:right w:val="none" w:sz="0" w:space="0" w:color="auto"/>
              </w:divBdr>
              <w:divsChild>
                <w:div w:id="137226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voi.id/en/news/61444/ite-law-implementation-guidelines-signed-mahfud-md-this-is-the-result-of-the-discussion" TargetMode="External"/><Relationship Id="rId13" Type="http://schemas.openxmlformats.org/officeDocument/2006/relationships/hyperlink" Target="https://ambon.antaranews.com/berita/126721/polisi-tangkap-pemuda-maluku-tengah-karena-hujat-tni-polri-di-facebook-berikut-ini-postingannya" TargetMode="External"/><Relationship Id="rId3" Type="http://schemas.openxmlformats.org/officeDocument/2006/relationships/hyperlink" Target="https://www.lexology.com/library/detail.aspx?g=05252af2-1144-462a-9c70-a3abe67d8cd1" TargetMode="External"/><Relationship Id="rId7" Type="http://schemas.openxmlformats.org/officeDocument/2006/relationships/hyperlink" Target="https://www.icj.org/indonesia-newly-revised-ite-law-threatens-freedom-of-expression-and-must-be-amended/" TargetMode="External"/><Relationship Id="rId12" Type="http://schemas.openxmlformats.org/officeDocument/2006/relationships/hyperlink" Target="https://megapolitan.kompas.com/read/2023/08/01/18311061/polda-metro-bebaskan-pembuat-hoaks-polisi-tilap-barang-bukti-baju-bekas" TargetMode="External"/><Relationship Id="rId17" Type="http://schemas.openxmlformats.org/officeDocument/2006/relationships/hyperlink" Target="https://www.hrw.org/news/2023/01/12/indonesia-new-criminal-code-assaults-rights" TargetMode="External"/><Relationship Id="rId2" Type="http://schemas.openxmlformats.org/officeDocument/2006/relationships/hyperlink" Target="https://www.lexology.com/library/detail.aspx?g=05252af2-1144-462a-9c70-a3abe67d8cd1" TargetMode="External"/><Relationship Id="rId16" Type="http://schemas.openxmlformats.org/officeDocument/2006/relationships/hyperlink" Target="https://www.hrw.org/news/2023/01/12/indonesia-new-criminal-code-assaults-rights" TargetMode="External"/><Relationship Id="rId1" Type="http://schemas.openxmlformats.org/officeDocument/2006/relationships/hyperlink" Target="https://cfj.org/news/indonesian-human-rights-defenders-prosecuted-for-discussion-of-investigative-report-should-be-acquitted-of-defamation/" TargetMode="External"/><Relationship Id="rId6" Type="http://schemas.openxmlformats.org/officeDocument/2006/relationships/hyperlink" Target="https://indonesiaatmelbourne.unimelb.edu.au/blasphemy-cases-highlight-legal-inconsistencies/" TargetMode="External"/><Relationship Id="rId11" Type="http://schemas.openxmlformats.org/officeDocument/2006/relationships/hyperlink" Target="https://news.detik.com/berita/d-6661561/unggahan-baju-bekas-dibawa-pulang-berujung-admin-menfess-masuk-tahanan/2" TargetMode="External"/><Relationship Id="rId5" Type="http://schemas.openxmlformats.org/officeDocument/2006/relationships/hyperlink" Target="https://en.tempo.co/read/1532760/ite-law-criminalization-cases-incriminating-journalists" TargetMode="External"/><Relationship Id="rId15" Type="http://schemas.openxmlformats.org/officeDocument/2006/relationships/hyperlink" Target="https://www.reuters.com/world/asia-pacific/indonesia-set-pass-new-criminal-code-that-will-ban-sex-outside-marriage-2022-12-05/" TargetMode="External"/><Relationship Id="rId10" Type="http://schemas.openxmlformats.org/officeDocument/2006/relationships/hyperlink" Target="https://www.detik.com/sumut/hukum-dan-kriminal/d-6693530/hina-istri-gubsu-edy-pria-di-medan-divonis-hukuman-percobaan" TargetMode="External"/><Relationship Id="rId4" Type="http://schemas.openxmlformats.org/officeDocument/2006/relationships/hyperlink" Target="https://freedomhouse.org/country/indonesia/freedom-net/2021" TargetMode="External"/><Relationship Id="rId9" Type="http://schemas.openxmlformats.org/officeDocument/2006/relationships/hyperlink" Target="https://voi.id/en/news/61444/ite-law-implementation-guidelines-signed-mahfud-md-this-is-the-result-of-the-discussion" TargetMode="External"/><Relationship Id="rId14" Type="http://schemas.openxmlformats.org/officeDocument/2006/relationships/hyperlink" Target="https://ambon.tribunnews.com/2022/06/29/sudah-minta-maaf-pemuda-amahai-yang-hujat-rekor-muri-minum-jus-pala-akhirnya-dibebask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4154</Words>
  <Characters>23678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Delbyck</dc:creator>
  <cp:keywords/>
  <dc:description/>
  <cp:lastModifiedBy>Kyle Delbyck</cp:lastModifiedBy>
  <cp:revision>3</cp:revision>
  <dcterms:created xsi:type="dcterms:W3CDTF">2024-02-05T07:57:00Z</dcterms:created>
  <dcterms:modified xsi:type="dcterms:W3CDTF">2024-02-05T07:58:00Z</dcterms:modified>
</cp:coreProperties>
</file>