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A7F" w:rsidRPr="00DD5260" w:rsidRDefault="004E0A7F" w:rsidP="004E0A7F">
      <w:pPr>
        <w:suppressAutoHyphens/>
        <w:spacing w:after="0" w:line="360" w:lineRule="auto"/>
        <w:rPr>
          <w:rFonts w:ascii="Times New Roman" w:eastAsia="Times New Roman" w:hAnsi="Times New Roman" w:cs="Times New Roman"/>
          <w:b/>
          <w:bCs/>
          <w:i/>
          <w:color w:val="548DD4"/>
          <w:lang w:eastAsia="ar-SA"/>
        </w:rPr>
      </w:pPr>
      <w:r>
        <w:rPr>
          <w:rFonts w:ascii="Times New Roman" w:eastAsia="Times New Roman" w:hAnsi="Times New Roman" w:cs="Times New Roman"/>
          <w:b/>
          <w:bCs/>
          <w:i/>
          <w:noProof/>
          <w:color w:val="548DD4"/>
          <w:lang w:val="es-VE" w:eastAsia="es-VE"/>
        </w:rPr>
        <mc:AlternateContent>
          <mc:Choice Requires="wps">
            <w:drawing>
              <wp:anchor distT="0" distB="0" distL="114300" distR="114300" simplePos="0" relativeHeight="251659264" behindDoc="0" locked="0" layoutInCell="1" allowOverlap="1" wp14:anchorId="1581956D" wp14:editId="274E44AD">
                <wp:simplePos x="0" y="0"/>
                <wp:positionH relativeFrom="column">
                  <wp:posOffset>-1023214</wp:posOffset>
                </wp:positionH>
                <wp:positionV relativeFrom="paragraph">
                  <wp:posOffset>83134</wp:posOffset>
                </wp:positionV>
                <wp:extent cx="3006725" cy="614477"/>
                <wp:effectExtent l="0" t="0" r="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614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0A7F" w:rsidRPr="00463B6A" w:rsidRDefault="004E0A7F" w:rsidP="004E0A7F">
                            <w:pPr>
                              <w:spacing w:after="0" w:line="240" w:lineRule="auto"/>
                              <w:jc w:val="center"/>
                              <w:rPr>
                                <w:rFonts w:ascii="Bookman Old Style" w:hAnsi="Bookman Old Style" w:cs="Arial"/>
                                <w:b/>
                                <w:i/>
                                <w:color w:val="000000"/>
                                <w:sz w:val="20"/>
                                <w:szCs w:val="20"/>
                              </w:rPr>
                            </w:pPr>
                            <w:r w:rsidRPr="00463B6A">
                              <w:rPr>
                                <w:rFonts w:ascii="Bookman Old Style" w:hAnsi="Bookman Old Style" w:cs="Arial"/>
                                <w:b/>
                                <w:i/>
                                <w:color w:val="000000"/>
                                <w:sz w:val="20"/>
                                <w:szCs w:val="20"/>
                              </w:rPr>
                              <w:t xml:space="preserve">República Bolivariana de Venezuela </w:t>
                            </w:r>
                          </w:p>
                          <w:p w:rsidR="004E0A7F" w:rsidRPr="00463B6A" w:rsidRDefault="004E0A7F" w:rsidP="004E0A7F">
                            <w:pPr>
                              <w:spacing w:after="0" w:line="240" w:lineRule="auto"/>
                              <w:jc w:val="center"/>
                              <w:rPr>
                                <w:rFonts w:ascii="Bookman Old Style" w:hAnsi="Bookman Old Style" w:cs="Arial"/>
                                <w:b/>
                                <w:i/>
                                <w:color w:val="000000"/>
                                <w:sz w:val="20"/>
                                <w:szCs w:val="20"/>
                              </w:rPr>
                            </w:pPr>
                            <w:r w:rsidRPr="00463B6A">
                              <w:rPr>
                                <w:rFonts w:ascii="Bookman Old Style" w:hAnsi="Bookman Old Style" w:cs="Arial"/>
                                <w:b/>
                                <w:i/>
                                <w:color w:val="000000"/>
                                <w:sz w:val="20"/>
                                <w:szCs w:val="20"/>
                              </w:rPr>
                              <w:t xml:space="preserve">Poder Ciudadano </w:t>
                            </w:r>
                          </w:p>
                          <w:p w:rsidR="004E0A7F" w:rsidRPr="00196940" w:rsidRDefault="004E0A7F" w:rsidP="004E0A7F">
                            <w:pPr>
                              <w:jc w:val="center"/>
                              <w:rPr>
                                <w:rFonts w:ascii="Calibri" w:hAnsi="Calibri" w:cs="Arial"/>
                                <w:b/>
                                <w:i/>
                                <w:color w:val="002060"/>
                              </w:rPr>
                            </w:pPr>
                            <w:r w:rsidRPr="00463B6A">
                              <w:rPr>
                                <w:rFonts w:ascii="Bookman Old Style" w:hAnsi="Bookman Old Style" w:cs="Arial"/>
                                <w:b/>
                                <w:i/>
                                <w:color w:val="000000"/>
                                <w:sz w:val="20"/>
                                <w:szCs w:val="20"/>
                              </w:rPr>
                              <w:t>Defensoría del Pueblo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9" o:spid="_x0000_s1026" type="#_x0000_t202" style="position:absolute;margin-left:-80.55pt;margin-top:6.55pt;width:236.75pt;height:4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7e5uQIAAMAFAAAOAAAAZHJzL2Uyb0RvYy54bWysVNtunDAQfa/Uf7D8TriEvYDCRgksVaX0&#10;IqX9AC82i1Wwqe1dSKP+e8dmd7NJVKlqywOyPeMzc2aO5+p67Fq0Z0pzKTIcXgQYMVFJysU2w1+/&#10;lN4SI22IoKSVgmX4gWl8vXr75mroUxbJRraUKQQgQqdDn+HGmD71fV01rCP6QvZMgLGWqiMGtmrr&#10;U0UGQO9aPwqCuT9IRXslK6Y1nBaTEa8cfl2zynyqa80MajMMuRn3V+6/sX9/dUXSrSJ9w6tDGuQv&#10;sugIFxD0BFUQQ9BO8VdQHa+U1LI2F5XsfFnXvGKOA7AJgxds7hvSM8cFiqP7U5n0/4OtPu4/K8Rp&#10;hhOMBOmgRfmOUCURZciw0UiU2CINvU7B974HbzPeyhGa7Qjr/k5W3zQSMm+I2LIbpeTQMEIhydDe&#10;9M+uTjjagmyGD5JCNLIz0gGNtepsBaEmCNChWQ+nBkEeqILDS+j4IpphVIFtHsbxYuFCkPR4u1fa&#10;vGOyQ3aRYQUCcOhkf6eNzYakRxcbTMiSt60TQSueHYDjdAKx4aq12SxcTx+TIFkv18vYi6P52ouD&#10;ovBuyjz25mW4mBWXRZ4X4U8bN4zThlPKhA1z1FcY/1n/DkqflHFSmJYtpxbOpqTVdpO3Cu0J6Lt0&#10;36EgZ27+8zRcEYDLC0phFAe3UeKV8+XCi8t45iWLYOkFYXKbzIM4iYvyOaU7Lti/U0IDSG8GPXV0&#10;fsstcN9rbiTtuIEJ0vIuw8uTE0mtBNeCutYawttpfVYKm/5TKaDdx0Y7wVqNTmo142YEFKvijaQP&#10;IF0lQVmgTxh7sGik+oHRACMkw/r7jiiGUftegPwTEKidOW4TzxYRbNS5ZXNuIaICqAwbjKZlbqY5&#10;tesV3zYQaXpwQt7Ak6m5U/NTVoeHBmPCkTqMNDuHzvfO62nwrn4BAAD//wMAUEsDBBQABgAIAAAA&#10;IQBtaPVF3wAAAAsBAAAPAAAAZHJzL2Rvd25yZXYueG1sTI9BT8MwDIXvSPyHyEjctiTbmGhpOiEQ&#10;VxADJu2WNV5b0ThVk63l32NO7GTZ7+n5e8Vm8p044xDbQAb0XIFAqoJrqTbw+fEyuwcRkyVnu0Bo&#10;4AcjbMrrq8LmLoz0judtqgWHUMytgSalPpcyVg16G+ehR2LtGAZvE69DLd1gRw73nVwotZbetsQf&#10;GtvjU4PV9/bkDXy9Hve7lXqrn/1dP4ZJSfKZNOb2Znp8AJFwSv9m+MNndCiZ6RBO5KLoDMz0Wmv2&#10;srLkyY6lXqxAHPigsgxkWcjLDuUvAAAA//8DAFBLAQItABQABgAIAAAAIQC2gziS/gAAAOEBAAAT&#10;AAAAAAAAAAAAAAAAAAAAAABbQ29udGVudF9UeXBlc10ueG1sUEsBAi0AFAAGAAgAAAAhADj9If/W&#10;AAAAlAEAAAsAAAAAAAAAAAAAAAAALwEAAF9yZWxzLy5yZWxzUEsBAi0AFAAGAAgAAAAhAFYvt7m5&#10;AgAAwAUAAA4AAAAAAAAAAAAAAAAALgIAAGRycy9lMm9Eb2MueG1sUEsBAi0AFAAGAAgAAAAhAG1o&#10;9UXfAAAACwEAAA8AAAAAAAAAAAAAAAAAEwUAAGRycy9kb3ducmV2LnhtbFBLBQYAAAAABAAEAPMA&#10;AAAfBgAAAAA=&#10;" filled="f" stroked="f">
                <v:textbox>
                  <w:txbxContent>
                    <w:p w:rsidR="004E0A7F" w:rsidRPr="00463B6A" w:rsidRDefault="004E0A7F" w:rsidP="004E0A7F">
                      <w:pPr>
                        <w:spacing w:after="0" w:line="240" w:lineRule="auto"/>
                        <w:jc w:val="center"/>
                        <w:rPr>
                          <w:rFonts w:ascii="Bookman Old Style" w:hAnsi="Bookman Old Style" w:cs="Arial"/>
                          <w:b/>
                          <w:i/>
                          <w:color w:val="000000"/>
                          <w:sz w:val="20"/>
                          <w:szCs w:val="20"/>
                        </w:rPr>
                      </w:pPr>
                      <w:r w:rsidRPr="00463B6A">
                        <w:rPr>
                          <w:rFonts w:ascii="Bookman Old Style" w:hAnsi="Bookman Old Style" w:cs="Arial"/>
                          <w:b/>
                          <w:i/>
                          <w:color w:val="000000"/>
                          <w:sz w:val="20"/>
                          <w:szCs w:val="20"/>
                        </w:rPr>
                        <w:t xml:space="preserve">República Bolivariana de Venezuela </w:t>
                      </w:r>
                    </w:p>
                    <w:p w:rsidR="004E0A7F" w:rsidRPr="00463B6A" w:rsidRDefault="004E0A7F" w:rsidP="004E0A7F">
                      <w:pPr>
                        <w:spacing w:after="0" w:line="240" w:lineRule="auto"/>
                        <w:jc w:val="center"/>
                        <w:rPr>
                          <w:rFonts w:ascii="Bookman Old Style" w:hAnsi="Bookman Old Style" w:cs="Arial"/>
                          <w:b/>
                          <w:i/>
                          <w:color w:val="000000"/>
                          <w:sz w:val="20"/>
                          <w:szCs w:val="20"/>
                        </w:rPr>
                      </w:pPr>
                      <w:r w:rsidRPr="00463B6A">
                        <w:rPr>
                          <w:rFonts w:ascii="Bookman Old Style" w:hAnsi="Bookman Old Style" w:cs="Arial"/>
                          <w:b/>
                          <w:i/>
                          <w:color w:val="000000"/>
                          <w:sz w:val="20"/>
                          <w:szCs w:val="20"/>
                        </w:rPr>
                        <w:t xml:space="preserve">Poder Ciudadano </w:t>
                      </w:r>
                    </w:p>
                    <w:p w:rsidR="004E0A7F" w:rsidRPr="00196940" w:rsidRDefault="004E0A7F" w:rsidP="004E0A7F">
                      <w:pPr>
                        <w:jc w:val="center"/>
                        <w:rPr>
                          <w:rFonts w:ascii="Calibri" w:hAnsi="Calibri" w:cs="Arial"/>
                          <w:b/>
                          <w:i/>
                          <w:color w:val="002060"/>
                        </w:rPr>
                      </w:pPr>
                      <w:r w:rsidRPr="00463B6A">
                        <w:rPr>
                          <w:rFonts w:ascii="Bookman Old Style" w:hAnsi="Bookman Old Style" w:cs="Arial"/>
                          <w:b/>
                          <w:i/>
                          <w:color w:val="000000"/>
                          <w:sz w:val="20"/>
                          <w:szCs w:val="20"/>
                        </w:rPr>
                        <w:t>Defensoría del Pueblo</w:t>
                      </w:r>
                    </w:p>
                  </w:txbxContent>
                </v:textbox>
              </v:shape>
            </w:pict>
          </mc:Fallback>
        </mc:AlternateContent>
      </w:r>
      <w:r w:rsidRPr="00DD5260">
        <w:rPr>
          <w:rFonts w:ascii="Times New Roman" w:eastAsia="Times New Roman" w:hAnsi="Times New Roman" w:cs="Times New Roman"/>
          <w:lang w:eastAsia="ar-SA"/>
        </w:rPr>
        <w:t xml:space="preserve">                                                                                  </w:t>
      </w:r>
    </w:p>
    <w:p w:rsidR="004E0A7F" w:rsidRPr="00DD5260" w:rsidRDefault="004E0A7F" w:rsidP="004E0A7F">
      <w:pPr>
        <w:tabs>
          <w:tab w:val="center" w:pos="4419"/>
          <w:tab w:val="right" w:pos="8838"/>
        </w:tabs>
        <w:suppressAutoHyphens/>
        <w:spacing w:after="0" w:line="360" w:lineRule="auto"/>
        <w:rPr>
          <w:rFonts w:ascii="Times New Roman" w:eastAsia="Times New Roman" w:hAnsi="Times New Roman" w:cs="Times New Roman"/>
          <w:lang w:eastAsia="ar-SA"/>
        </w:rPr>
      </w:pPr>
      <w:r w:rsidRPr="00DD5260">
        <w:rPr>
          <w:rFonts w:ascii="Times New Roman" w:eastAsia="Times New Roman" w:hAnsi="Times New Roman" w:cs="Times New Roman"/>
          <w:lang w:eastAsia="ar-SA"/>
        </w:rPr>
        <w:t xml:space="preserve">                                                                                                                                                                                                                                        </w:t>
      </w:r>
    </w:p>
    <w:p w:rsidR="004E0A7F" w:rsidRPr="00DD5260" w:rsidRDefault="004E0A7F" w:rsidP="004E0A7F">
      <w:pPr>
        <w:tabs>
          <w:tab w:val="center" w:pos="4419"/>
          <w:tab w:val="right" w:pos="8838"/>
        </w:tabs>
        <w:suppressAutoHyphens/>
        <w:spacing w:after="0" w:line="360" w:lineRule="auto"/>
        <w:rPr>
          <w:rFonts w:ascii="Times New Roman" w:eastAsia="Times New Roman" w:hAnsi="Times New Roman" w:cs="Times New Roman"/>
          <w:b/>
          <w:lang w:eastAsia="ar-SA"/>
        </w:rPr>
      </w:pPr>
      <w:r w:rsidRPr="00DD5260">
        <w:rPr>
          <w:rFonts w:ascii="Times New Roman" w:eastAsia="Times New Roman" w:hAnsi="Times New Roman" w:cs="Times New Roman"/>
          <w:b/>
          <w:lang w:eastAsia="ar-SA"/>
        </w:rPr>
        <w:t xml:space="preserve">          </w:t>
      </w:r>
    </w:p>
    <w:p w:rsidR="004E0A7F" w:rsidRPr="00DD5260" w:rsidRDefault="004E0A7F" w:rsidP="004E0A7F">
      <w:pPr>
        <w:suppressAutoHyphens/>
        <w:spacing w:after="0" w:line="360" w:lineRule="auto"/>
        <w:rPr>
          <w:rFonts w:ascii="Times New Roman" w:eastAsia="Times New Roman" w:hAnsi="Times New Roman" w:cs="Times New Roman"/>
          <w:b/>
          <w:bCs/>
          <w:i/>
          <w:color w:val="548DD4"/>
          <w:lang w:eastAsia="ar-SA"/>
        </w:rPr>
      </w:pPr>
    </w:p>
    <w:p w:rsidR="004E0A7F" w:rsidRPr="00DD5260" w:rsidRDefault="004E0A7F" w:rsidP="004E0A7F">
      <w:pPr>
        <w:suppressAutoHyphens/>
        <w:spacing w:after="0" w:line="360" w:lineRule="auto"/>
        <w:rPr>
          <w:rFonts w:ascii="Times New Roman" w:eastAsia="Times New Roman" w:hAnsi="Times New Roman" w:cs="Times New Roman"/>
          <w:b/>
          <w:i/>
          <w:lang w:eastAsia="ar-SA"/>
        </w:rPr>
      </w:pPr>
    </w:p>
    <w:p w:rsidR="004E0A7F" w:rsidRPr="00DD5260" w:rsidRDefault="004E0A7F" w:rsidP="004E0A7F">
      <w:pPr>
        <w:spacing w:after="0" w:line="360" w:lineRule="auto"/>
        <w:rPr>
          <w:rFonts w:ascii="Times New Roman" w:eastAsia="Calibri" w:hAnsi="Times New Roman" w:cs="Times New Roman"/>
          <w:b/>
          <w:bCs/>
          <w:i/>
          <w:color w:val="548DD4"/>
          <w:lang w:val="es-VE"/>
        </w:rPr>
      </w:pPr>
    </w:p>
    <w:p w:rsidR="004E0A7F" w:rsidRPr="00DD5260" w:rsidRDefault="004E0A7F" w:rsidP="004E0A7F">
      <w:pPr>
        <w:spacing w:after="0" w:line="360" w:lineRule="auto"/>
        <w:rPr>
          <w:rFonts w:ascii="Times New Roman" w:eastAsia="Calibri" w:hAnsi="Times New Roman" w:cs="Times New Roman"/>
          <w:b/>
          <w:i/>
          <w:lang w:val="es-VE"/>
        </w:rPr>
      </w:pPr>
    </w:p>
    <w:p w:rsidR="004E0A7F" w:rsidRPr="00DD5260" w:rsidRDefault="004E0A7F" w:rsidP="004E0A7F">
      <w:pPr>
        <w:spacing w:after="0" w:line="360" w:lineRule="auto"/>
        <w:rPr>
          <w:rFonts w:ascii="Times New Roman" w:eastAsia="Calibri" w:hAnsi="Times New Roman" w:cs="Times New Roman"/>
          <w:b/>
          <w:i/>
          <w:lang w:val="es-VE"/>
        </w:rPr>
      </w:pPr>
    </w:p>
    <w:p w:rsidR="004E0A7F" w:rsidRPr="00DD5260" w:rsidRDefault="004E0A7F" w:rsidP="004E0A7F">
      <w:pPr>
        <w:spacing w:after="0" w:line="360" w:lineRule="auto"/>
        <w:rPr>
          <w:rFonts w:ascii="Times New Roman" w:eastAsia="Calibri" w:hAnsi="Times New Roman" w:cs="Times New Roman"/>
          <w:b/>
          <w:i/>
          <w:lang w:val="es-VE"/>
        </w:rPr>
      </w:pPr>
    </w:p>
    <w:p w:rsidR="004E0A7F" w:rsidRPr="00DD5260" w:rsidRDefault="004E0A7F" w:rsidP="004E0A7F">
      <w:pPr>
        <w:spacing w:after="0" w:line="360" w:lineRule="auto"/>
        <w:rPr>
          <w:rFonts w:ascii="Times New Roman" w:eastAsia="Calibri" w:hAnsi="Times New Roman" w:cs="Times New Roman"/>
          <w:b/>
          <w:i/>
          <w:lang w:val="es-VE"/>
        </w:rPr>
      </w:pPr>
    </w:p>
    <w:p w:rsidR="004E0A7F" w:rsidRPr="00DD5260" w:rsidRDefault="004E0A7F" w:rsidP="004E0A7F">
      <w:pPr>
        <w:spacing w:after="0" w:line="360" w:lineRule="auto"/>
        <w:rPr>
          <w:rFonts w:ascii="Times New Roman" w:eastAsia="Calibri" w:hAnsi="Times New Roman" w:cs="Times New Roman"/>
          <w:b/>
          <w:i/>
          <w:lang w:val="es-VE"/>
        </w:rPr>
      </w:pPr>
    </w:p>
    <w:p w:rsidR="004E0A7F" w:rsidRPr="00DD5260" w:rsidRDefault="004E0A7F" w:rsidP="004E0A7F">
      <w:pPr>
        <w:spacing w:after="0" w:line="360" w:lineRule="auto"/>
        <w:rPr>
          <w:rFonts w:ascii="Times New Roman" w:eastAsia="Calibri" w:hAnsi="Times New Roman" w:cs="Times New Roman"/>
          <w:b/>
          <w:i/>
          <w:lang w:val="es-VE"/>
        </w:rPr>
      </w:pPr>
    </w:p>
    <w:p w:rsidR="004E0A7F" w:rsidRPr="00DD5260" w:rsidRDefault="004E0A7F" w:rsidP="004E0A7F">
      <w:pPr>
        <w:spacing w:after="0" w:line="360" w:lineRule="auto"/>
        <w:rPr>
          <w:rFonts w:ascii="Times New Roman" w:eastAsia="Calibri" w:hAnsi="Times New Roman" w:cs="Times New Roman"/>
          <w:b/>
          <w:lang w:val="es-VE"/>
        </w:rPr>
      </w:pPr>
    </w:p>
    <w:p w:rsidR="004E0A7F" w:rsidRPr="00DD5260" w:rsidRDefault="004E0A7F" w:rsidP="004E0A7F">
      <w:pPr>
        <w:spacing w:after="0" w:line="360" w:lineRule="auto"/>
        <w:jc w:val="center"/>
        <w:rPr>
          <w:rFonts w:ascii="Times New Roman" w:eastAsia="Calibri" w:hAnsi="Times New Roman" w:cs="Times New Roman"/>
          <w:lang w:val="es-VE"/>
        </w:rPr>
      </w:pPr>
      <w:r w:rsidRPr="00DD5260">
        <w:rPr>
          <w:rFonts w:ascii="Times New Roman" w:eastAsia="Calibri" w:hAnsi="Times New Roman" w:cs="Times New Roman"/>
          <w:b/>
          <w:sz w:val="24"/>
          <w:szCs w:val="24"/>
          <w:lang w:val="es-VE"/>
        </w:rPr>
        <w:t xml:space="preserve">Informe de la Defensoría del Pueblo de la República Bolivariana de Venezuela  </w:t>
      </w:r>
      <w:r w:rsidRPr="00DD5260">
        <w:rPr>
          <w:rFonts w:ascii="Times New Roman" w:eastAsia="Times New Roman" w:hAnsi="Times New Roman" w:cs="Times New Roman"/>
          <w:b/>
          <w:sz w:val="24"/>
          <w:szCs w:val="24"/>
          <w:lang w:val="es-VE" w:eastAsia="es-VE"/>
        </w:rPr>
        <w:t xml:space="preserve">al Comité de Derechos Humanos </w:t>
      </w:r>
      <w:r>
        <w:rPr>
          <w:rFonts w:ascii="Times New Roman" w:eastAsia="Times New Roman" w:hAnsi="Times New Roman" w:cs="Times New Roman"/>
          <w:b/>
          <w:sz w:val="24"/>
          <w:szCs w:val="24"/>
          <w:lang w:val="es-VE" w:eastAsia="es-VE"/>
        </w:rPr>
        <w:t>sobre el cumplimiento del</w:t>
      </w:r>
      <w:r w:rsidRPr="00DD5260">
        <w:rPr>
          <w:rFonts w:ascii="Times New Roman" w:eastAsia="Times New Roman" w:hAnsi="Times New Roman" w:cs="Times New Roman"/>
          <w:b/>
          <w:sz w:val="24"/>
          <w:szCs w:val="24"/>
          <w:lang w:val="es-VE" w:eastAsia="es-VE"/>
        </w:rPr>
        <w:t xml:space="preserve"> Pacto Internacional de Derechos Civiles y Políticos</w:t>
      </w:r>
    </w:p>
    <w:p w:rsidR="004E0A7F" w:rsidRPr="00DD5260" w:rsidRDefault="004E0A7F" w:rsidP="004E0A7F">
      <w:pPr>
        <w:spacing w:after="0" w:line="360" w:lineRule="auto"/>
        <w:jc w:val="center"/>
        <w:rPr>
          <w:rFonts w:ascii="Times New Roman" w:eastAsia="Calibri" w:hAnsi="Times New Roman" w:cs="Times New Roman"/>
          <w:lang w:val="es-VE"/>
        </w:rPr>
      </w:pPr>
    </w:p>
    <w:p w:rsidR="004E0A7F" w:rsidRPr="00DD5260" w:rsidRDefault="004E0A7F" w:rsidP="004E0A7F">
      <w:pPr>
        <w:spacing w:after="0" w:line="360" w:lineRule="auto"/>
        <w:jc w:val="center"/>
        <w:rPr>
          <w:rFonts w:ascii="Times New Roman" w:eastAsia="Calibri" w:hAnsi="Times New Roman" w:cs="Times New Roman"/>
          <w:lang w:val="es-VE"/>
        </w:rPr>
      </w:pPr>
    </w:p>
    <w:p w:rsidR="004E0A7F" w:rsidRPr="00DD5260" w:rsidRDefault="004E0A7F" w:rsidP="004E0A7F">
      <w:pPr>
        <w:spacing w:line="360" w:lineRule="auto"/>
        <w:rPr>
          <w:rFonts w:ascii="Times New Roman" w:eastAsia="Calibri" w:hAnsi="Times New Roman" w:cs="Times New Roman"/>
          <w:lang w:val="es-VE"/>
        </w:rPr>
      </w:pPr>
    </w:p>
    <w:p w:rsidR="004E0A7F" w:rsidRPr="00DD5260" w:rsidRDefault="004E0A7F" w:rsidP="004E0A7F">
      <w:pPr>
        <w:spacing w:line="360" w:lineRule="auto"/>
        <w:jc w:val="center"/>
        <w:rPr>
          <w:rFonts w:ascii="Times New Roman" w:eastAsia="Calibri" w:hAnsi="Times New Roman" w:cs="Times New Roman"/>
          <w:lang w:val="es-VE"/>
        </w:rPr>
      </w:pPr>
    </w:p>
    <w:p w:rsidR="004E0A7F" w:rsidRPr="00DD5260" w:rsidRDefault="004E0A7F" w:rsidP="004E0A7F">
      <w:pPr>
        <w:spacing w:line="360" w:lineRule="auto"/>
        <w:jc w:val="center"/>
        <w:rPr>
          <w:rFonts w:ascii="Times New Roman" w:eastAsia="Calibri" w:hAnsi="Times New Roman" w:cs="Times New Roman"/>
          <w:lang w:val="es-VE"/>
        </w:rPr>
      </w:pPr>
    </w:p>
    <w:p w:rsidR="004E0A7F" w:rsidRDefault="004E0A7F" w:rsidP="004E0A7F">
      <w:pPr>
        <w:spacing w:line="360" w:lineRule="auto"/>
        <w:jc w:val="center"/>
        <w:rPr>
          <w:rFonts w:ascii="Times New Roman" w:eastAsia="Calibri" w:hAnsi="Times New Roman" w:cs="Times New Roman"/>
          <w:lang w:val="es-VE"/>
        </w:rPr>
      </w:pPr>
    </w:p>
    <w:p w:rsidR="004E0A7F" w:rsidRDefault="004E0A7F" w:rsidP="004E0A7F">
      <w:pPr>
        <w:spacing w:line="360" w:lineRule="auto"/>
        <w:jc w:val="center"/>
        <w:rPr>
          <w:rFonts w:ascii="Times New Roman" w:eastAsia="Calibri" w:hAnsi="Times New Roman" w:cs="Times New Roman"/>
          <w:lang w:val="es-VE"/>
        </w:rPr>
      </w:pPr>
    </w:p>
    <w:p w:rsidR="004E0A7F" w:rsidRDefault="00BA467C" w:rsidP="004E0A7F">
      <w:pPr>
        <w:spacing w:line="360" w:lineRule="auto"/>
        <w:jc w:val="center"/>
        <w:rPr>
          <w:rFonts w:ascii="Times New Roman" w:eastAsia="Calibri" w:hAnsi="Times New Roman" w:cs="Times New Roman"/>
          <w:lang w:val="es-VE"/>
        </w:rPr>
      </w:pPr>
      <w:r>
        <w:rPr>
          <w:rFonts w:ascii="Times New Roman" w:eastAsia="Calibri" w:hAnsi="Times New Roman" w:cs="Times New Roman"/>
          <w:lang w:val="es-VE"/>
        </w:rPr>
        <w:t>Caracas, 11 de septiembre de 2023</w:t>
      </w:r>
    </w:p>
    <w:p w:rsidR="004E0A7F" w:rsidRPr="00DD5260" w:rsidRDefault="004E0A7F" w:rsidP="004E0A7F">
      <w:pPr>
        <w:spacing w:line="360" w:lineRule="auto"/>
        <w:jc w:val="center"/>
        <w:rPr>
          <w:rFonts w:ascii="Times New Roman" w:eastAsia="Calibri" w:hAnsi="Times New Roman" w:cs="Times New Roman"/>
          <w:lang w:val="es-VE"/>
        </w:rPr>
      </w:pPr>
    </w:p>
    <w:p w:rsidR="004E0A7F" w:rsidRPr="00DD5260" w:rsidRDefault="004E0A7F" w:rsidP="004E0A7F">
      <w:pPr>
        <w:spacing w:line="360" w:lineRule="auto"/>
        <w:jc w:val="center"/>
        <w:rPr>
          <w:rFonts w:ascii="Times New Roman" w:eastAsia="Calibri" w:hAnsi="Times New Roman" w:cs="Times New Roman"/>
          <w:lang w:val="es-VE"/>
        </w:rPr>
      </w:pPr>
    </w:p>
    <w:p w:rsidR="004E0A7F" w:rsidRPr="00DD5260" w:rsidRDefault="004E0A7F" w:rsidP="004E0A7F">
      <w:pPr>
        <w:spacing w:after="0" w:line="240" w:lineRule="auto"/>
        <w:jc w:val="both"/>
        <w:rPr>
          <w:rFonts w:ascii="Times New Roman" w:eastAsia="Times New Roman" w:hAnsi="Times New Roman" w:cs="Times New Roman"/>
          <w:color w:val="202124"/>
          <w:sz w:val="24"/>
          <w:szCs w:val="24"/>
          <w:highlight w:val="white"/>
          <w:lang w:val="es-VE" w:eastAsia="es-VE"/>
        </w:rPr>
      </w:pPr>
    </w:p>
    <w:p w:rsidR="004E0A7F" w:rsidRPr="00DD5260" w:rsidRDefault="004E0A7F" w:rsidP="004E0A7F">
      <w:pPr>
        <w:spacing w:after="0" w:line="240" w:lineRule="auto"/>
        <w:jc w:val="both"/>
        <w:rPr>
          <w:rFonts w:ascii="Times New Roman" w:eastAsia="Times New Roman" w:hAnsi="Times New Roman" w:cs="Times New Roman"/>
          <w:color w:val="202124"/>
          <w:sz w:val="24"/>
          <w:szCs w:val="24"/>
          <w:highlight w:val="white"/>
          <w:lang w:val="es-VE" w:eastAsia="es-VE"/>
        </w:rPr>
      </w:pPr>
      <w:r w:rsidRPr="00DD5260">
        <w:rPr>
          <w:rFonts w:ascii="Times New Roman" w:eastAsia="Times New Roman" w:hAnsi="Times New Roman" w:cs="Times New Roman"/>
          <w:sz w:val="24"/>
          <w:szCs w:val="24"/>
          <w:highlight w:val="white"/>
          <w:lang w:val="es-VE" w:eastAsia="es-VE"/>
        </w:rPr>
        <w:lastRenderedPageBreak/>
        <w:t>A continuación, la Defensoría del Pueblo (</w:t>
      </w:r>
      <w:proofErr w:type="spellStart"/>
      <w:r w:rsidRPr="00DD5260">
        <w:rPr>
          <w:rFonts w:ascii="Times New Roman" w:eastAsia="Times New Roman" w:hAnsi="Times New Roman" w:cs="Times New Roman"/>
          <w:sz w:val="24"/>
          <w:szCs w:val="24"/>
          <w:highlight w:val="white"/>
          <w:lang w:val="es-VE" w:eastAsia="es-VE"/>
        </w:rPr>
        <w:t>DdP</w:t>
      </w:r>
      <w:proofErr w:type="spellEnd"/>
      <w:r w:rsidRPr="00DD5260">
        <w:rPr>
          <w:rFonts w:ascii="Times New Roman" w:eastAsia="Times New Roman" w:hAnsi="Times New Roman" w:cs="Times New Roman"/>
          <w:sz w:val="24"/>
          <w:szCs w:val="24"/>
          <w:highlight w:val="white"/>
          <w:lang w:val="es-VE" w:eastAsia="es-VE"/>
        </w:rPr>
        <w:t xml:space="preserve">) expone sus principales contribuciones acerca </w:t>
      </w:r>
      <w:r w:rsidRPr="00DD5260">
        <w:rPr>
          <w:rFonts w:ascii="Times New Roman" w:eastAsia="Times New Roman" w:hAnsi="Times New Roman" w:cs="Times New Roman"/>
          <w:bCs/>
          <w:sz w:val="24"/>
          <w:szCs w:val="24"/>
          <w:lang w:val="es-VE" w:eastAsia="es-VE"/>
        </w:rPr>
        <w:t xml:space="preserve">del </w:t>
      </w:r>
      <w:r>
        <w:rPr>
          <w:rFonts w:ascii="Times New Roman" w:eastAsia="Times New Roman" w:hAnsi="Times New Roman" w:cs="Times New Roman"/>
          <w:bCs/>
          <w:sz w:val="24"/>
          <w:szCs w:val="24"/>
          <w:lang w:val="es-VE" w:eastAsia="es-VE"/>
        </w:rPr>
        <w:t xml:space="preserve">cumplimiento del </w:t>
      </w:r>
      <w:r w:rsidRPr="00DD5260">
        <w:rPr>
          <w:rFonts w:ascii="Times New Roman" w:eastAsia="Times New Roman" w:hAnsi="Times New Roman" w:cs="Times New Roman"/>
          <w:bCs/>
          <w:sz w:val="24"/>
          <w:szCs w:val="24"/>
          <w:lang w:val="es-VE" w:eastAsia="es-VE"/>
        </w:rPr>
        <w:t>Pacto Internacional de Derechos Civiles y Políticos,</w:t>
      </w:r>
      <w:r w:rsidRPr="00DD5260">
        <w:rPr>
          <w:rFonts w:ascii="Times New Roman" w:eastAsia="Times New Roman" w:hAnsi="Times New Roman" w:cs="Times New Roman"/>
          <w:bCs/>
          <w:sz w:val="24"/>
          <w:szCs w:val="24"/>
          <w:lang w:eastAsia="ar-SA"/>
        </w:rPr>
        <w:t xml:space="preserve"> </w:t>
      </w:r>
      <w:r w:rsidRPr="00DD5260">
        <w:rPr>
          <w:rFonts w:ascii="Times New Roman" w:eastAsia="Times New Roman" w:hAnsi="Times New Roman" w:cs="Times New Roman"/>
          <w:bCs/>
          <w:sz w:val="24"/>
          <w:szCs w:val="24"/>
          <w:lang w:val="es-VE" w:eastAsia="es-VE"/>
        </w:rPr>
        <w:t xml:space="preserve">en virtud de su artículo 40; y la lista de cuestiones relativas al informe </w:t>
      </w:r>
      <w:r>
        <w:rPr>
          <w:rFonts w:ascii="Times New Roman" w:eastAsia="Times New Roman" w:hAnsi="Times New Roman" w:cs="Times New Roman"/>
          <w:bCs/>
          <w:sz w:val="24"/>
          <w:szCs w:val="24"/>
          <w:lang w:val="es-VE" w:eastAsia="es-VE"/>
        </w:rPr>
        <w:t>presentado por</w:t>
      </w:r>
      <w:r w:rsidRPr="00DD5260">
        <w:rPr>
          <w:rFonts w:ascii="Times New Roman" w:eastAsia="Times New Roman" w:hAnsi="Times New Roman" w:cs="Times New Roman"/>
          <w:bCs/>
          <w:sz w:val="24"/>
          <w:szCs w:val="24"/>
          <w:lang w:val="es-VE" w:eastAsia="es-VE"/>
        </w:rPr>
        <w:t xml:space="preserve"> la República Bolivariana de Venezuela. </w:t>
      </w:r>
      <w:r w:rsidR="00BA467C">
        <w:rPr>
          <w:rFonts w:ascii="Times New Roman" w:eastAsia="Times New Roman" w:hAnsi="Times New Roman" w:cs="Times New Roman"/>
          <w:bCs/>
          <w:sz w:val="24"/>
          <w:szCs w:val="24"/>
          <w:lang w:val="es-VE" w:eastAsia="es-VE"/>
        </w:rPr>
        <w:t>Este documento es una actualización del Informe presentado por la Defensoría del Pueblo el 23 de mayo de 2019.</w:t>
      </w:r>
    </w:p>
    <w:p w:rsidR="004E0A7F" w:rsidRPr="00C029E7" w:rsidRDefault="004E0A7F" w:rsidP="004E0A7F">
      <w:pPr>
        <w:keepNext/>
        <w:keepLines/>
        <w:tabs>
          <w:tab w:val="right" w:pos="851"/>
        </w:tabs>
        <w:suppressAutoHyphens/>
        <w:spacing w:before="360" w:after="240" w:line="240" w:lineRule="auto"/>
        <w:ind w:right="1134"/>
        <w:jc w:val="both"/>
        <w:rPr>
          <w:rFonts w:ascii="Times New Roman" w:eastAsia="Times New Roman" w:hAnsi="Times New Roman" w:cs="Times New Roman"/>
          <w:b/>
          <w:sz w:val="24"/>
          <w:szCs w:val="24"/>
          <w:lang w:val="es-ES_tradnl" w:eastAsia="es-ES"/>
        </w:rPr>
      </w:pPr>
      <w:r w:rsidRPr="00C029E7">
        <w:rPr>
          <w:rFonts w:ascii="Times New Roman" w:eastAsia="Times New Roman" w:hAnsi="Times New Roman" w:cs="Times New Roman"/>
          <w:b/>
          <w:sz w:val="24"/>
          <w:szCs w:val="24"/>
          <w:lang w:val="es-ES_tradnl" w:eastAsia="es-ES"/>
        </w:rPr>
        <w:t>Marco constitucional y jurídico de la aplicación del Pacto (art. 2)</w:t>
      </w:r>
    </w:p>
    <w:p w:rsidR="004E0A7F" w:rsidRDefault="004E0A7F" w:rsidP="004E0A7F">
      <w:pPr>
        <w:pStyle w:val="Prrafodelista"/>
        <w:numPr>
          <w:ilvl w:val="0"/>
          <w:numId w:val="1"/>
        </w:numPr>
        <w:spacing w:line="240" w:lineRule="auto"/>
        <w:jc w:val="both"/>
        <w:rPr>
          <w:rFonts w:ascii="Times New Roman" w:hAnsi="Times New Roman" w:cs="Times New Roman"/>
          <w:sz w:val="24"/>
          <w:szCs w:val="24"/>
          <w:lang w:val="es-VE"/>
        </w:rPr>
      </w:pPr>
      <w:r w:rsidRPr="00C029E7">
        <w:rPr>
          <w:rFonts w:ascii="Times New Roman" w:hAnsi="Times New Roman" w:cs="Times New Roman"/>
          <w:sz w:val="24"/>
          <w:szCs w:val="24"/>
          <w:lang w:val="es-VE"/>
        </w:rPr>
        <w:t xml:space="preserve">La Defensoría del Pueblo de la República Bolivariana de Venezuela, </w:t>
      </w:r>
      <w:r>
        <w:rPr>
          <w:rFonts w:ascii="Times New Roman" w:hAnsi="Times New Roman" w:cs="Times New Roman"/>
          <w:sz w:val="24"/>
          <w:szCs w:val="24"/>
          <w:lang w:val="es-VE"/>
        </w:rPr>
        <w:t>fundamenta</w:t>
      </w:r>
      <w:r w:rsidRPr="00C029E7">
        <w:rPr>
          <w:rFonts w:ascii="Times New Roman" w:hAnsi="Times New Roman" w:cs="Times New Roman"/>
          <w:sz w:val="24"/>
          <w:szCs w:val="24"/>
          <w:lang w:val="es-VE"/>
        </w:rPr>
        <w:t xml:space="preserve"> su carácter de Institución Nacional de Derechos Humanos (INDH), autónoma e independiente, con rango constitucional, en los artículos 280, 281, 282 y 283 de la Carta Magna venezolana; forma parte fundamental del Poder Ciudadano, conjuntamente con el Ministerio Público y la Contraloría General de la República, cuyos titulares reunidos ejercen el Consejo Moral Republicano. Todas esas instituciones del Estado venezolano son independientes y en consecuencia gozan de autonomía funcional, financiera y administrativa.</w:t>
      </w:r>
    </w:p>
    <w:p w:rsidR="004E0A7F" w:rsidRPr="00C029E7" w:rsidRDefault="004E0A7F" w:rsidP="004E0A7F">
      <w:pPr>
        <w:pStyle w:val="Prrafodelista"/>
        <w:spacing w:line="240" w:lineRule="auto"/>
        <w:jc w:val="both"/>
        <w:rPr>
          <w:rFonts w:ascii="Times New Roman" w:hAnsi="Times New Roman" w:cs="Times New Roman"/>
          <w:sz w:val="24"/>
          <w:szCs w:val="24"/>
          <w:lang w:val="es-VE"/>
        </w:rPr>
      </w:pPr>
      <w:r w:rsidRPr="00C029E7">
        <w:rPr>
          <w:rFonts w:ascii="Times New Roman" w:hAnsi="Times New Roman" w:cs="Times New Roman"/>
          <w:sz w:val="24"/>
          <w:szCs w:val="24"/>
          <w:lang w:val="es-VE"/>
        </w:rPr>
        <w:t xml:space="preserve"> </w:t>
      </w:r>
    </w:p>
    <w:p w:rsidR="004E0A7F" w:rsidRDefault="004E0A7F" w:rsidP="004E0A7F">
      <w:pPr>
        <w:pStyle w:val="Prrafodelista"/>
        <w:numPr>
          <w:ilvl w:val="0"/>
          <w:numId w:val="1"/>
        </w:numPr>
        <w:spacing w:line="240" w:lineRule="auto"/>
        <w:jc w:val="both"/>
        <w:rPr>
          <w:rFonts w:ascii="Times New Roman" w:hAnsi="Times New Roman" w:cs="Times New Roman"/>
          <w:sz w:val="24"/>
          <w:szCs w:val="24"/>
          <w:lang w:val="es-VE"/>
        </w:rPr>
      </w:pPr>
      <w:r w:rsidRPr="00FB4BAE">
        <w:rPr>
          <w:rFonts w:ascii="Times New Roman" w:hAnsi="Times New Roman" w:cs="Times New Roman"/>
          <w:sz w:val="24"/>
          <w:szCs w:val="24"/>
          <w:lang w:val="es-VE"/>
        </w:rPr>
        <w:t>Las actuaciones de la Defensoría del Pueblo frente a las demandas de la sociedad venezolana, en torno a la defensa y protección de los Derechos Humanos, son enmarcadas estrictamente en nuestro ordenamiento jurídico, léase Constitución Nacional de la República Bolivariana de Venezuela</w:t>
      </w:r>
      <w:r>
        <w:rPr>
          <w:rStyle w:val="Refdenotaalpie"/>
          <w:rFonts w:ascii="Times New Roman" w:hAnsi="Times New Roman" w:cs="Times New Roman"/>
          <w:sz w:val="24"/>
          <w:szCs w:val="24"/>
          <w:lang w:val="es-VE"/>
        </w:rPr>
        <w:footnoteReference w:id="1"/>
      </w:r>
      <w:r w:rsidRPr="00FB4BAE">
        <w:rPr>
          <w:rFonts w:ascii="Times New Roman" w:hAnsi="Times New Roman" w:cs="Times New Roman"/>
          <w:sz w:val="24"/>
          <w:szCs w:val="24"/>
          <w:lang w:val="es-VE"/>
        </w:rPr>
        <w:t xml:space="preserve"> y Ley Orgánica de la Defensoría del Pueblo</w:t>
      </w:r>
      <w:r>
        <w:rPr>
          <w:rStyle w:val="Refdenotaalpie"/>
          <w:rFonts w:ascii="Times New Roman" w:hAnsi="Times New Roman" w:cs="Times New Roman"/>
          <w:sz w:val="24"/>
          <w:szCs w:val="24"/>
          <w:lang w:val="es-VE"/>
        </w:rPr>
        <w:footnoteReference w:id="2"/>
      </w:r>
      <w:r w:rsidRPr="00FB4BAE">
        <w:rPr>
          <w:rFonts w:ascii="Times New Roman" w:hAnsi="Times New Roman" w:cs="Times New Roman"/>
          <w:sz w:val="24"/>
          <w:szCs w:val="24"/>
          <w:lang w:val="es-VE"/>
        </w:rPr>
        <w:t>.</w:t>
      </w:r>
    </w:p>
    <w:p w:rsidR="004E0A7F" w:rsidRPr="00FB4BAE" w:rsidRDefault="004E0A7F" w:rsidP="004E0A7F">
      <w:pPr>
        <w:pStyle w:val="Prrafodelista"/>
        <w:spacing w:line="240" w:lineRule="auto"/>
        <w:jc w:val="both"/>
        <w:rPr>
          <w:rFonts w:ascii="Times New Roman" w:hAnsi="Times New Roman" w:cs="Times New Roman"/>
          <w:sz w:val="24"/>
          <w:szCs w:val="24"/>
          <w:lang w:val="es-VE"/>
        </w:rPr>
      </w:pPr>
      <w:r w:rsidRPr="00FB4BAE">
        <w:rPr>
          <w:rFonts w:ascii="Times New Roman" w:hAnsi="Times New Roman" w:cs="Times New Roman"/>
          <w:sz w:val="24"/>
          <w:szCs w:val="24"/>
          <w:lang w:val="es-VE"/>
        </w:rPr>
        <w:t xml:space="preserve">El compromiso constitucional de la INDH venezolana está apoyado en los tratados y acuerdos internacionales que en materia de Derechos Humanos la República ha </w:t>
      </w:r>
      <w:r>
        <w:rPr>
          <w:rFonts w:ascii="Times New Roman" w:hAnsi="Times New Roman" w:cs="Times New Roman"/>
          <w:sz w:val="24"/>
          <w:szCs w:val="24"/>
          <w:lang w:val="es-VE"/>
        </w:rPr>
        <w:t>ratificado</w:t>
      </w:r>
      <w:r w:rsidRPr="00FB4BAE">
        <w:rPr>
          <w:rFonts w:ascii="Times New Roman" w:hAnsi="Times New Roman" w:cs="Times New Roman"/>
          <w:sz w:val="24"/>
          <w:szCs w:val="24"/>
          <w:lang w:val="es-VE"/>
        </w:rPr>
        <w:t>, en tanto aquellos aporten aún más valor que los avances que haya experimentado el país en esa materia</w:t>
      </w:r>
      <w:r>
        <w:rPr>
          <w:rFonts w:ascii="Times New Roman" w:hAnsi="Times New Roman" w:cs="Times New Roman"/>
          <w:sz w:val="24"/>
          <w:szCs w:val="24"/>
          <w:lang w:val="es-VE"/>
        </w:rPr>
        <w:t>, teniendo siempre como preeminencia la persona humana</w:t>
      </w:r>
      <w:r w:rsidR="00BA467C">
        <w:rPr>
          <w:rFonts w:ascii="Times New Roman" w:hAnsi="Times New Roman" w:cs="Times New Roman"/>
          <w:sz w:val="24"/>
          <w:szCs w:val="24"/>
          <w:lang w:val="es-VE"/>
        </w:rPr>
        <w:t>,</w:t>
      </w:r>
      <w:r>
        <w:rPr>
          <w:rFonts w:ascii="Times New Roman" w:hAnsi="Times New Roman" w:cs="Times New Roman"/>
          <w:sz w:val="24"/>
          <w:szCs w:val="24"/>
          <w:lang w:val="es-VE"/>
        </w:rPr>
        <w:t xml:space="preserve"> sus derechos y dignidad</w:t>
      </w:r>
      <w:r w:rsidRPr="00FB4BAE">
        <w:rPr>
          <w:rFonts w:ascii="Times New Roman" w:hAnsi="Times New Roman" w:cs="Times New Roman"/>
          <w:sz w:val="24"/>
          <w:szCs w:val="24"/>
          <w:lang w:val="es-VE"/>
        </w:rPr>
        <w:t>.</w:t>
      </w:r>
    </w:p>
    <w:p w:rsidR="004E0A7F" w:rsidRPr="00FB4BAE" w:rsidRDefault="004E0A7F" w:rsidP="004E0A7F">
      <w:pPr>
        <w:pStyle w:val="Prrafodelista"/>
        <w:rPr>
          <w:rFonts w:ascii="Times New Roman" w:hAnsi="Times New Roman" w:cs="Times New Roman"/>
          <w:sz w:val="24"/>
          <w:szCs w:val="24"/>
          <w:lang w:val="es-VE"/>
        </w:rPr>
      </w:pPr>
    </w:p>
    <w:p w:rsidR="004E0A7F" w:rsidRDefault="004E0A7F" w:rsidP="004E0A7F">
      <w:pPr>
        <w:pStyle w:val="Prrafodelista"/>
        <w:numPr>
          <w:ilvl w:val="0"/>
          <w:numId w:val="1"/>
        </w:numPr>
        <w:spacing w:line="240" w:lineRule="auto"/>
        <w:jc w:val="both"/>
        <w:rPr>
          <w:rFonts w:ascii="Times New Roman" w:hAnsi="Times New Roman" w:cs="Times New Roman"/>
          <w:sz w:val="24"/>
          <w:szCs w:val="24"/>
          <w:lang w:val="es-VE"/>
        </w:rPr>
      </w:pPr>
      <w:r w:rsidRPr="00D34F15">
        <w:rPr>
          <w:rFonts w:ascii="Times New Roman" w:hAnsi="Times New Roman" w:cs="Times New Roman"/>
          <w:sz w:val="24"/>
          <w:szCs w:val="24"/>
          <w:lang w:val="es-VE"/>
        </w:rPr>
        <w:t>El cuestionamiento a la independen</w:t>
      </w:r>
      <w:r>
        <w:rPr>
          <w:rFonts w:ascii="Times New Roman" w:hAnsi="Times New Roman" w:cs="Times New Roman"/>
          <w:sz w:val="24"/>
          <w:szCs w:val="24"/>
          <w:lang w:val="es-VE"/>
        </w:rPr>
        <w:t>cia de la Defensoría del Pueblo</w:t>
      </w:r>
      <w:r w:rsidRPr="00D34F15">
        <w:rPr>
          <w:rFonts w:ascii="Times New Roman" w:hAnsi="Times New Roman" w:cs="Times New Roman"/>
          <w:sz w:val="24"/>
          <w:szCs w:val="24"/>
          <w:lang w:val="es-VE"/>
        </w:rPr>
        <w:t xml:space="preserve"> hecho por algunas Organizaciones No Gubernamentales (ONG),</w:t>
      </w:r>
      <w:r>
        <w:rPr>
          <w:rFonts w:ascii="Times New Roman" w:hAnsi="Times New Roman" w:cs="Times New Roman"/>
          <w:sz w:val="24"/>
          <w:szCs w:val="24"/>
          <w:lang w:val="es-VE"/>
        </w:rPr>
        <w:t xml:space="preserve"> que atacan a la Institución sistemáticamente</w:t>
      </w:r>
      <w:r w:rsidRPr="00D34F15">
        <w:rPr>
          <w:rFonts w:ascii="Times New Roman" w:hAnsi="Times New Roman" w:cs="Times New Roman"/>
          <w:sz w:val="24"/>
          <w:szCs w:val="24"/>
          <w:lang w:val="es-VE"/>
        </w:rPr>
        <w:t xml:space="preserve"> </w:t>
      </w:r>
      <w:r>
        <w:rPr>
          <w:rFonts w:ascii="Times New Roman" w:hAnsi="Times New Roman" w:cs="Times New Roman"/>
          <w:sz w:val="24"/>
          <w:szCs w:val="24"/>
          <w:lang w:val="es-VE"/>
        </w:rPr>
        <w:t>con recursos y or</w:t>
      </w:r>
      <w:r w:rsidR="00BA467C">
        <w:rPr>
          <w:rFonts w:ascii="Times New Roman" w:hAnsi="Times New Roman" w:cs="Times New Roman"/>
          <w:sz w:val="24"/>
          <w:szCs w:val="24"/>
          <w:lang w:val="es-VE"/>
        </w:rPr>
        <w:t>ientaciones extranjeras, carece</w:t>
      </w:r>
      <w:r>
        <w:rPr>
          <w:rFonts w:ascii="Times New Roman" w:hAnsi="Times New Roman" w:cs="Times New Roman"/>
          <w:sz w:val="24"/>
          <w:szCs w:val="24"/>
          <w:lang w:val="es-VE"/>
        </w:rPr>
        <w:t xml:space="preserve"> de fundamentos sólidos y </w:t>
      </w:r>
      <w:r w:rsidRPr="00D34F15">
        <w:rPr>
          <w:rFonts w:ascii="Times New Roman" w:hAnsi="Times New Roman" w:cs="Times New Roman"/>
          <w:sz w:val="24"/>
          <w:szCs w:val="24"/>
          <w:lang w:val="es-VE"/>
        </w:rPr>
        <w:t xml:space="preserve">a lo largo de sus narrativas </w:t>
      </w:r>
      <w:r>
        <w:rPr>
          <w:rFonts w:ascii="Times New Roman" w:hAnsi="Times New Roman" w:cs="Times New Roman"/>
          <w:sz w:val="24"/>
          <w:szCs w:val="24"/>
          <w:lang w:val="es-VE"/>
        </w:rPr>
        <w:t xml:space="preserve">muestran su parcialidad política </w:t>
      </w:r>
      <w:r w:rsidRPr="00D34F15">
        <w:rPr>
          <w:rFonts w:ascii="Times New Roman" w:hAnsi="Times New Roman" w:cs="Times New Roman"/>
          <w:sz w:val="24"/>
          <w:szCs w:val="24"/>
          <w:lang w:val="es-VE"/>
        </w:rPr>
        <w:t>dejan</w:t>
      </w:r>
      <w:r>
        <w:rPr>
          <w:rFonts w:ascii="Times New Roman" w:hAnsi="Times New Roman" w:cs="Times New Roman"/>
          <w:sz w:val="24"/>
          <w:szCs w:val="24"/>
          <w:lang w:val="es-VE"/>
        </w:rPr>
        <w:t>do</w:t>
      </w:r>
      <w:r w:rsidRPr="00D34F15">
        <w:rPr>
          <w:rFonts w:ascii="Times New Roman" w:hAnsi="Times New Roman" w:cs="Times New Roman"/>
          <w:sz w:val="24"/>
          <w:szCs w:val="24"/>
          <w:lang w:val="es-VE"/>
        </w:rPr>
        <w:t xml:space="preserve"> de lado el ingente esfuerzo desplegado por la Institución para actuar en defensa, protección y promoción de los Derechos Humanos, así como su papel conciliador</w:t>
      </w:r>
      <w:r>
        <w:rPr>
          <w:rFonts w:ascii="Times New Roman" w:hAnsi="Times New Roman" w:cs="Times New Roman"/>
          <w:sz w:val="24"/>
          <w:szCs w:val="24"/>
          <w:lang w:val="es-VE"/>
        </w:rPr>
        <w:t xml:space="preserve"> y mediador</w:t>
      </w:r>
      <w:r w:rsidRPr="00D34F15">
        <w:rPr>
          <w:rFonts w:ascii="Times New Roman" w:hAnsi="Times New Roman" w:cs="Times New Roman"/>
          <w:sz w:val="24"/>
          <w:szCs w:val="24"/>
          <w:lang w:val="es-VE"/>
        </w:rPr>
        <w:t xml:space="preserve"> en el abordaje de los conflictos coyunturales y la búsqueda permanente de espacios para la tolerancia, el diálogo y la promoción de la paz, todo ello sin dejar permearse por imposiciones o posturas de ninguna índole. Es por eso que, al margen de las </w:t>
      </w:r>
      <w:r w:rsidRPr="00D34F15">
        <w:rPr>
          <w:rFonts w:ascii="Times New Roman" w:hAnsi="Times New Roman" w:cs="Times New Roman"/>
          <w:sz w:val="24"/>
          <w:szCs w:val="24"/>
          <w:lang w:val="es-VE"/>
        </w:rPr>
        <w:lastRenderedPageBreak/>
        <w:t xml:space="preserve">afirmaciones hechas por </w:t>
      </w:r>
      <w:r>
        <w:rPr>
          <w:rFonts w:ascii="Times New Roman" w:hAnsi="Times New Roman" w:cs="Times New Roman"/>
          <w:sz w:val="24"/>
          <w:szCs w:val="24"/>
          <w:lang w:val="es-VE"/>
        </w:rPr>
        <w:t>esa</w:t>
      </w:r>
      <w:r w:rsidRPr="00D34F15">
        <w:rPr>
          <w:rFonts w:ascii="Times New Roman" w:hAnsi="Times New Roman" w:cs="Times New Roman"/>
          <w:sz w:val="24"/>
          <w:szCs w:val="24"/>
          <w:lang w:val="es-VE"/>
        </w:rPr>
        <w:t xml:space="preserve">s ONG, esta Defensoría del Pueblo ha venido desarrollando un trabajo incansable en la defensa, promoción y protección de los </w:t>
      </w:r>
      <w:r>
        <w:rPr>
          <w:rFonts w:ascii="Times New Roman" w:hAnsi="Times New Roman" w:cs="Times New Roman"/>
          <w:sz w:val="24"/>
          <w:szCs w:val="24"/>
          <w:lang w:val="es-VE"/>
        </w:rPr>
        <w:t>DDHH</w:t>
      </w:r>
      <w:r w:rsidRPr="00D34F15">
        <w:rPr>
          <w:rFonts w:ascii="Times New Roman" w:hAnsi="Times New Roman" w:cs="Times New Roman"/>
          <w:sz w:val="24"/>
          <w:szCs w:val="24"/>
          <w:lang w:val="es-VE"/>
        </w:rPr>
        <w:t>, lo cual queda plasmado en las cifras y testimonios documentados por esta Institución en sus informes anuales</w:t>
      </w:r>
      <w:r>
        <w:rPr>
          <w:rFonts w:ascii="Times New Roman" w:hAnsi="Times New Roman" w:cs="Times New Roman"/>
          <w:sz w:val="24"/>
          <w:szCs w:val="24"/>
          <w:lang w:val="es-VE"/>
        </w:rPr>
        <w:t xml:space="preserve"> y en los medios de comunicación</w:t>
      </w:r>
      <w:r w:rsidRPr="00D34F15">
        <w:rPr>
          <w:rFonts w:ascii="Times New Roman" w:hAnsi="Times New Roman" w:cs="Times New Roman"/>
          <w:sz w:val="24"/>
          <w:szCs w:val="24"/>
          <w:lang w:val="es-VE"/>
        </w:rPr>
        <w:t xml:space="preserve">. </w:t>
      </w:r>
    </w:p>
    <w:p w:rsidR="004E0A7F" w:rsidRPr="00FB4BAE" w:rsidRDefault="004E0A7F" w:rsidP="004E0A7F">
      <w:pPr>
        <w:pStyle w:val="Prrafodelista"/>
        <w:rPr>
          <w:rFonts w:ascii="Times New Roman" w:hAnsi="Times New Roman" w:cs="Times New Roman"/>
          <w:sz w:val="24"/>
          <w:szCs w:val="24"/>
          <w:lang w:val="es-VE"/>
        </w:rPr>
      </w:pPr>
    </w:p>
    <w:p w:rsidR="004E0A7F" w:rsidRDefault="004E0A7F" w:rsidP="004E0A7F">
      <w:pPr>
        <w:pStyle w:val="Prrafodelista"/>
        <w:numPr>
          <w:ilvl w:val="0"/>
          <w:numId w:val="1"/>
        </w:numPr>
        <w:spacing w:line="240" w:lineRule="auto"/>
        <w:jc w:val="both"/>
        <w:rPr>
          <w:rFonts w:ascii="Times New Roman" w:hAnsi="Times New Roman" w:cs="Times New Roman"/>
          <w:sz w:val="24"/>
          <w:szCs w:val="24"/>
          <w:lang w:val="es-VE"/>
        </w:rPr>
      </w:pPr>
      <w:r w:rsidRPr="00D34F15">
        <w:rPr>
          <w:rFonts w:ascii="Times New Roman" w:hAnsi="Times New Roman" w:cs="Times New Roman"/>
          <w:sz w:val="24"/>
          <w:szCs w:val="24"/>
          <w:lang w:val="es-VE"/>
        </w:rPr>
        <w:t>Sin embargo, debemos reconocer que la Institución no ha escapado de las afectaciones negativas provocadas por las m</w:t>
      </w:r>
      <w:r>
        <w:rPr>
          <w:rFonts w:ascii="Times New Roman" w:hAnsi="Times New Roman" w:cs="Times New Roman"/>
          <w:sz w:val="24"/>
          <w:szCs w:val="24"/>
          <w:lang w:val="es-VE"/>
        </w:rPr>
        <w:t>edidas coercitivas unilaterales</w:t>
      </w:r>
      <w:r w:rsidRPr="00D34F15">
        <w:rPr>
          <w:rFonts w:ascii="Times New Roman" w:hAnsi="Times New Roman" w:cs="Times New Roman"/>
          <w:sz w:val="24"/>
          <w:szCs w:val="24"/>
          <w:lang w:val="es-VE"/>
        </w:rPr>
        <w:t xml:space="preserve"> impuestas</w:t>
      </w:r>
      <w:r>
        <w:rPr>
          <w:rFonts w:ascii="Times New Roman" w:hAnsi="Times New Roman" w:cs="Times New Roman"/>
          <w:sz w:val="24"/>
          <w:szCs w:val="24"/>
          <w:lang w:val="es-VE"/>
        </w:rPr>
        <w:t>,</w:t>
      </w:r>
      <w:r w:rsidRPr="00D34F15">
        <w:rPr>
          <w:rFonts w:ascii="Times New Roman" w:hAnsi="Times New Roman" w:cs="Times New Roman"/>
          <w:sz w:val="24"/>
          <w:szCs w:val="24"/>
          <w:lang w:val="es-VE"/>
        </w:rPr>
        <w:t xml:space="preserve"> principalmente por los</w:t>
      </w:r>
      <w:r>
        <w:rPr>
          <w:rFonts w:ascii="Times New Roman" w:hAnsi="Times New Roman" w:cs="Times New Roman"/>
          <w:sz w:val="24"/>
          <w:szCs w:val="24"/>
          <w:lang w:val="es-VE"/>
        </w:rPr>
        <w:t xml:space="preserve"> Estados Unidos de Norteamérica,</w:t>
      </w:r>
      <w:r w:rsidRPr="00D34F15">
        <w:rPr>
          <w:rFonts w:ascii="Times New Roman" w:hAnsi="Times New Roman" w:cs="Times New Roman"/>
          <w:sz w:val="24"/>
          <w:szCs w:val="24"/>
          <w:lang w:val="es-VE"/>
        </w:rPr>
        <w:t xml:space="preserve"> sobre toda Venezuela. En consecuencia y debido a limitaciones financieras, estratégicamente se han </w:t>
      </w:r>
      <w:r>
        <w:rPr>
          <w:rFonts w:ascii="Times New Roman" w:hAnsi="Times New Roman" w:cs="Times New Roman"/>
          <w:sz w:val="24"/>
          <w:szCs w:val="24"/>
          <w:lang w:val="es-VE"/>
        </w:rPr>
        <w:t>venido reorganizando los planes de trabajo para atender áreas fundamentales y esenciales de esta INDH, teniendo que posponer nuestra</w:t>
      </w:r>
      <w:r w:rsidRPr="00D34F15">
        <w:rPr>
          <w:rFonts w:ascii="Times New Roman" w:hAnsi="Times New Roman" w:cs="Times New Roman"/>
          <w:sz w:val="24"/>
          <w:szCs w:val="24"/>
          <w:lang w:val="es-VE"/>
        </w:rPr>
        <w:t xml:space="preserve"> participación presencial en </w:t>
      </w:r>
      <w:r>
        <w:rPr>
          <w:rFonts w:ascii="Times New Roman" w:hAnsi="Times New Roman" w:cs="Times New Roman"/>
          <w:sz w:val="24"/>
          <w:szCs w:val="24"/>
          <w:lang w:val="es-VE"/>
        </w:rPr>
        <w:t xml:space="preserve">algunos </w:t>
      </w:r>
      <w:r w:rsidRPr="00D34F15">
        <w:rPr>
          <w:rFonts w:ascii="Times New Roman" w:hAnsi="Times New Roman" w:cs="Times New Roman"/>
          <w:sz w:val="24"/>
          <w:szCs w:val="24"/>
          <w:lang w:val="es-VE"/>
        </w:rPr>
        <w:t>foros internacionales.</w:t>
      </w:r>
    </w:p>
    <w:p w:rsidR="004E0A7F" w:rsidRPr="00FB4BAE" w:rsidRDefault="004E0A7F" w:rsidP="004E0A7F">
      <w:pPr>
        <w:pStyle w:val="Prrafodelista"/>
        <w:rPr>
          <w:rFonts w:ascii="Times New Roman" w:hAnsi="Times New Roman" w:cs="Times New Roman"/>
          <w:sz w:val="24"/>
          <w:szCs w:val="24"/>
          <w:lang w:val="es-VE"/>
        </w:rPr>
      </w:pPr>
    </w:p>
    <w:p w:rsidR="004E0A7F" w:rsidRPr="00FB4BAE" w:rsidRDefault="004E0A7F" w:rsidP="004E0A7F">
      <w:pPr>
        <w:pStyle w:val="Prrafodelista"/>
        <w:numPr>
          <w:ilvl w:val="0"/>
          <w:numId w:val="1"/>
        </w:numPr>
        <w:spacing w:line="240" w:lineRule="auto"/>
        <w:jc w:val="both"/>
        <w:rPr>
          <w:rFonts w:ascii="Times New Roman" w:hAnsi="Times New Roman" w:cs="Times New Roman"/>
          <w:sz w:val="24"/>
          <w:szCs w:val="24"/>
          <w:lang w:val="es-VE"/>
        </w:rPr>
      </w:pPr>
      <w:r>
        <w:rPr>
          <w:rFonts w:ascii="Times New Roman" w:hAnsi="Times New Roman" w:cs="Times New Roman"/>
          <w:sz w:val="24"/>
          <w:szCs w:val="24"/>
          <w:lang w:val="es-VE"/>
        </w:rPr>
        <w:t>En consecuencia, d</w:t>
      </w:r>
      <w:r w:rsidRPr="00FB4BAE">
        <w:rPr>
          <w:rFonts w:ascii="Times New Roman" w:hAnsi="Times New Roman" w:cs="Times New Roman"/>
          <w:sz w:val="24"/>
          <w:szCs w:val="24"/>
          <w:lang w:val="es-VE"/>
        </w:rPr>
        <w:t xml:space="preserve">ebido al cerco económico sobre Venezuela, la Defensoría del Pueblo como parte del Estado venezolano ha tenido que reconducir </w:t>
      </w:r>
      <w:r>
        <w:rPr>
          <w:rFonts w:ascii="Times New Roman" w:hAnsi="Times New Roman" w:cs="Times New Roman"/>
          <w:sz w:val="24"/>
          <w:szCs w:val="24"/>
          <w:lang w:val="es-VE"/>
        </w:rPr>
        <w:t>su</w:t>
      </w:r>
      <w:r w:rsidRPr="00FB4BAE">
        <w:rPr>
          <w:rFonts w:ascii="Times New Roman" w:hAnsi="Times New Roman" w:cs="Times New Roman"/>
          <w:sz w:val="24"/>
          <w:szCs w:val="24"/>
          <w:lang w:val="es-VE"/>
        </w:rPr>
        <w:t xml:space="preserve"> presupuesto institucional por la baja en los ingresos del </w:t>
      </w:r>
      <w:r>
        <w:rPr>
          <w:rFonts w:ascii="Times New Roman" w:hAnsi="Times New Roman" w:cs="Times New Roman"/>
          <w:sz w:val="24"/>
          <w:szCs w:val="24"/>
          <w:lang w:val="es-VE"/>
        </w:rPr>
        <w:t>país, para darle prioridad a la atención de las personas que acuden a esta INDH, especialmente en casos donde están afectados niñas, niños y adolescentes</w:t>
      </w:r>
      <w:r w:rsidRPr="00FB4BAE">
        <w:rPr>
          <w:rFonts w:ascii="Times New Roman" w:hAnsi="Times New Roman" w:cs="Times New Roman"/>
          <w:sz w:val="24"/>
          <w:szCs w:val="24"/>
          <w:lang w:val="es-VE"/>
        </w:rPr>
        <w:t>.</w:t>
      </w:r>
    </w:p>
    <w:p w:rsidR="004E0A7F" w:rsidRPr="00DD5260" w:rsidRDefault="004E0A7F" w:rsidP="004E0A7F">
      <w:pPr>
        <w:keepNext/>
        <w:keepLines/>
        <w:tabs>
          <w:tab w:val="right" w:pos="851"/>
        </w:tabs>
        <w:suppressAutoHyphens/>
        <w:spacing w:before="360" w:after="240" w:line="240" w:lineRule="auto"/>
        <w:ind w:right="1134"/>
        <w:jc w:val="both"/>
        <w:rPr>
          <w:rFonts w:ascii="Times New Roman" w:eastAsia="Times New Roman" w:hAnsi="Times New Roman" w:cs="Times New Roman"/>
          <w:b/>
          <w:sz w:val="24"/>
          <w:szCs w:val="24"/>
          <w:lang w:val="es-ES_tradnl" w:eastAsia="es-ES"/>
        </w:rPr>
      </w:pPr>
      <w:r w:rsidRPr="00DD5260">
        <w:rPr>
          <w:rFonts w:ascii="Times New Roman" w:eastAsia="Times New Roman" w:hAnsi="Times New Roman" w:cs="Times New Roman"/>
          <w:b/>
          <w:sz w:val="24"/>
          <w:szCs w:val="24"/>
          <w:lang w:val="es-ES_tradnl" w:eastAsia="es-ES"/>
        </w:rPr>
        <w:t>No discriminación (arts.2, 19, 20, 26)</w:t>
      </w:r>
    </w:p>
    <w:p w:rsidR="004E0A7F" w:rsidRPr="00DD5260" w:rsidRDefault="004E0A7F" w:rsidP="004E0A7F">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DD5260">
        <w:rPr>
          <w:rFonts w:ascii="Times New Roman" w:eastAsia="Calibri" w:hAnsi="Times New Roman" w:cs="Times New Roman"/>
          <w:sz w:val="24"/>
          <w:szCs w:val="24"/>
        </w:rPr>
        <w:t xml:space="preserve">La Institución Nacional de Derechos Humanos (INDH), valora los esfuerzos que hace la República Bolivariana de Venezuela (RBV) para prevenir y sancionar cualquier acto de discriminación, así como actos de violencia en contra de las personas lesbianas, </w:t>
      </w:r>
      <w:proofErr w:type="spellStart"/>
      <w:r w:rsidRPr="00DD5260">
        <w:rPr>
          <w:rFonts w:ascii="Times New Roman" w:eastAsia="Calibri" w:hAnsi="Times New Roman" w:cs="Times New Roman"/>
          <w:sz w:val="24"/>
          <w:szCs w:val="24"/>
        </w:rPr>
        <w:t>gays</w:t>
      </w:r>
      <w:proofErr w:type="spellEnd"/>
      <w:r w:rsidRPr="00DD5260">
        <w:rPr>
          <w:rFonts w:ascii="Times New Roman" w:eastAsia="Calibri" w:hAnsi="Times New Roman" w:cs="Times New Roman"/>
          <w:sz w:val="24"/>
          <w:szCs w:val="24"/>
        </w:rPr>
        <w:t xml:space="preserve">, bisexuales, </w:t>
      </w:r>
      <w:proofErr w:type="spellStart"/>
      <w:r w:rsidRPr="00DD5260">
        <w:rPr>
          <w:rFonts w:ascii="Times New Roman" w:eastAsia="Calibri" w:hAnsi="Times New Roman" w:cs="Times New Roman"/>
          <w:sz w:val="24"/>
          <w:szCs w:val="24"/>
        </w:rPr>
        <w:t>transgé</w:t>
      </w:r>
      <w:r>
        <w:rPr>
          <w:rFonts w:ascii="Times New Roman" w:eastAsia="Calibri" w:hAnsi="Times New Roman" w:cs="Times New Roman"/>
          <w:sz w:val="24"/>
          <w:szCs w:val="24"/>
        </w:rPr>
        <w:t>neros</w:t>
      </w:r>
      <w:proofErr w:type="spellEnd"/>
      <w:r>
        <w:rPr>
          <w:rFonts w:ascii="Times New Roman" w:eastAsia="Calibri" w:hAnsi="Times New Roman" w:cs="Times New Roman"/>
          <w:sz w:val="24"/>
          <w:szCs w:val="24"/>
        </w:rPr>
        <w:t xml:space="preserve"> e intersexuales (LGBTIQ+);</w:t>
      </w:r>
      <w:r w:rsidRPr="00DD5260">
        <w:rPr>
          <w:rFonts w:ascii="Times New Roman" w:eastAsia="Calibri" w:hAnsi="Times New Roman" w:cs="Times New Roman"/>
          <w:sz w:val="24"/>
          <w:szCs w:val="24"/>
        </w:rPr>
        <w:t xml:space="preserve">  la INDH reconoce que la promoción y formación en derechos humanos de las personas </w:t>
      </w:r>
      <w:r>
        <w:rPr>
          <w:rFonts w:ascii="Times New Roman" w:eastAsia="Calibri" w:hAnsi="Times New Roman" w:cs="Times New Roman"/>
          <w:sz w:val="24"/>
          <w:szCs w:val="24"/>
        </w:rPr>
        <w:t>de identidad y orientación sexual diversa</w:t>
      </w:r>
      <w:r w:rsidRPr="00DD5260">
        <w:rPr>
          <w:rFonts w:ascii="Times New Roman" w:eastAsia="Calibri" w:hAnsi="Times New Roman" w:cs="Times New Roman"/>
          <w:sz w:val="24"/>
          <w:szCs w:val="24"/>
        </w:rPr>
        <w:t xml:space="preserve"> ha venido ganando espacios dentro de las distintas instituciones del Estado, incluyendo los cuerpos de seguridad</w:t>
      </w:r>
      <w:r>
        <w:rPr>
          <w:rFonts w:ascii="Times New Roman" w:eastAsia="Calibri" w:hAnsi="Times New Roman" w:cs="Times New Roman"/>
          <w:sz w:val="24"/>
          <w:szCs w:val="24"/>
        </w:rPr>
        <w:t xml:space="preserve">, gracias al trabajo y la constancia de movimientos y organizaciones </w:t>
      </w:r>
      <w:proofErr w:type="spellStart"/>
      <w:r>
        <w:rPr>
          <w:rFonts w:ascii="Times New Roman" w:eastAsia="Calibri" w:hAnsi="Times New Roman" w:cs="Times New Roman"/>
          <w:sz w:val="24"/>
          <w:szCs w:val="24"/>
        </w:rPr>
        <w:t>sexodiversas</w:t>
      </w:r>
      <w:proofErr w:type="spellEnd"/>
      <w:r w:rsidRPr="00DD5260">
        <w:rPr>
          <w:rFonts w:ascii="Times New Roman" w:eastAsia="Calibri" w:hAnsi="Times New Roman" w:cs="Times New Roman"/>
          <w:sz w:val="24"/>
          <w:szCs w:val="24"/>
        </w:rPr>
        <w:t>. También, se observa algunos adelantos en materia legislativa con la promulgación de artículos dentro del marco legal, como la</w:t>
      </w:r>
      <w:r w:rsidRPr="00DD5260">
        <w:rPr>
          <w:rFonts w:ascii="Times New Roman" w:eastAsia="Times New Roman" w:hAnsi="Times New Roman" w:cs="Times New Roman"/>
          <w:sz w:val="24"/>
          <w:szCs w:val="24"/>
          <w:lang w:eastAsia="ar-SA"/>
        </w:rPr>
        <w:t xml:space="preserve"> Ley Orgánica del Trabajo, los Trabajadores y las Trabajadoras</w:t>
      </w:r>
      <w:r w:rsidRPr="00DD5260">
        <w:rPr>
          <w:rFonts w:ascii="Times New Roman" w:eastAsia="Times New Roman" w:hAnsi="Times New Roman" w:cs="Times New Roman"/>
          <w:sz w:val="24"/>
          <w:szCs w:val="24"/>
          <w:vertAlign w:val="superscript"/>
          <w:lang w:eastAsia="ar-SA"/>
        </w:rPr>
        <w:footnoteReference w:id="3"/>
      </w:r>
      <w:r w:rsidRPr="00DD5260">
        <w:rPr>
          <w:rFonts w:ascii="Times New Roman" w:eastAsia="Times New Roman" w:hAnsi="Times New Roman" w:cs="Times New Roman"/>
          <w:sz w:val="24"/>
          <w:szCs w:val="24"/>
          <w:lang w:eastAsia="ar-SA"/>
        </w:rPr>
        <w:t>, Ley Constitucional Contra el Odio, por la Convivencia Pacífica y la Tolerancia</w:t>
      </w:r>
      <w:r w:rsidRPr="00DD5260">
        <w:rPr>
          <w:rFonts w:ascii="Times New Roman" w:eastAsia="Times New Roman" w:hAnsi="Times New Roman" w:cs="Times New Roman"/>
          <w:sz w:val="24"/>
          <w:szCs w:val="24"/>
          <w:vertAlign w:val="superscript"/>
          <w:lang w:eastAsia="ar-SA"/>
        </w:rPr>
        <w:footnoteReference w:id="4"/>
      </w:r>
      <w:r w:rsidRPr="00DD5260">
        <w:rPr>
          <w:rFonts w:ascii="Times New Roman" w:eastAsia="Times New Roman" w:hAnsi="Times New Roman" w:cs="Times New Roman"/>
          <w:sz w:val="24"/>
          <w:szCs w:val="24"/>
          <w:lang w:eastAsia="ar-SA"/>
        </w:rPr>
        <w:t xml:space="preserve">, las cuales protegen a todas las personas sin discriminación alguna. </w:t>
      </w:r>
    </w:p>
    <w:p w:rsidR="004E0A7F" w:rsidRPr="00DD5260" w:rsidRDefault="004E0A7F" w:rsidP="004E0A7F">
      <w:pPr>
        <w:spacing w:line="240" w:lineRule="auto"/>
        <w:ind w:left="709"/>
        <w:jc w:val="both"/>
        <w:rPr>
          <w:rFonts w:ascii="Times New Roman" w:eastAsia="Times New Roman" w:hAnsi="Times New Roman" w:cs="Times New Roman"/>
          <w:sz w:val="24"/>
          <w:szCs w:val="24"/>
          <w:lang w:eastAsia="ar-SA"/>
        </w:rPr>
      </w:pPr>
      <w:r w:rsidRPr="00DD5260">
        <w:rPr>
          <w:rFonts w:ascii="Times New Roman" w:eastAsia="Times New Roman" w:hAnsi="Times New Roman" w:cs="Times New Roman"/>
          <w:sz w:val="24"/>
          <w:szCs w:val="24"/>
          <w:lang w:eastAsia="ar-SA"/>
        </w:rPr>
        <w:t xml:space="preserve">Sin embargo, es imperiosa la necesidad de ampliar el marco jurídico venezolano, a objeto de proteger a las personas de la diversidad sexual con leyes específicas que amparen sus principales motivos de discriminación por su orientación sexual, identidad o expresión de género. Cabe destacar, que Venezuela carece de una legislación en relación al matrimonio o unión legal de hecho de las personas del mismo sexo. </w:t>
      </w:r>
    </w:p>
    <w:p w:rsidR="004E0A7F" w:rsidRPr="00DD5260" w:rsidRDefault="004E0A7F" w:rsidP="004E0A7F">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DD5260">
        <w:rPr>
          <w:rFonts w:ascii="Times New Roman" w:eastAsia="Calibri" w:hAnsi="Times New Roman" w:cs="Times New Roman"/>
          <w:sz w:val="24"/>
          <w:szCs w:val="24"/>
        </w:rPr>
        <w:lastRenderedPageBreak/>
        <w:t>La INDH de Venezuela creó en el año 20</w:t>
      </w:r>
      <w:r>
        <w:rPr>
          <w:rFonts w:ascii="Times New Roman" w:eastAsia="Calibri" w:hAnsi="Times New Roman" w:cs="Times New Roman"/>
          <w:sz w:val="24"/>
          <w:szCs w:val="24"/>
        </w:rPr>
        <w:t>21</w:t>
      </w:r>
      <w:r w:rsidRPr="00DD5260">
        <w:rPr>
          <w:rFonts w:ascii="Times New Roman" w:eastAsia="Calibri" w:hAnsi="Times New Roman" w:cs="Times New Roman"/>
          <w:sz w:val="24"/>
          <w:szCs w:val="24"/>
        </w:rPr>
        <w:t xml:space="preserve"> la Defensoría Delegada Especial con Competencia a nivel Nacional para la Protección de las Personas de la </w:t>
      </w:r>
      <w:proofErr w:type="spellStart"/>
      <w:r w:rsidRPr="00DD5260">
        <w:rPr>
          <w:rFonts w:ascii="Times New Roman" w:eastAsia="Calibri" w:hAnsi="Times New Roman" w:cs="Times New Roman"/>
          <w:sz w:val="24"/>
          <w:szCs w:val="24"/>
        </w:rPr>
        <w:t>Sexodiversidad</w:t>
      </w:r>
      <w:proofErr w:type="spellEnd"/>
      <w:r w:rsidRPr="00DD5260">
        <w:rPr>
          <w:rFonts w:ascii="Times New Roman" w:eastAsia="Calibri" w:hAnsi="Times New Roman" w:cs="Times New Roman"/>
          <w:sz w:val="24"/>
          <w:szCs w:val="24"/>
          <w:vertAlign w:val="superscript"/>
        </w:rPr>
        <w:footnoteReference w:id="5"/>
      </w:r>
      <w:r w:rsidRPr="00DD5260">
        <w:rPr>
          <w:rFonts w:ascii="Times New Roman" w:eastAsia="Calibri" w:hAnsi="Times New Roman" w:cs="Times New Roman"/>
          <w:sz w:val="24"/>
          <w:szCs w:val="24"/>
        </w:rPr>
        <w:t xml:space="preserve">, la cual, coadyuva como órgano técnico especializado en                          la promoción, defensa y vigilancia de los derechos humanos de las personas lesbianas, </w:t>
      </w:r>
      <w:proofErr w:type="spellStart"/>
      <w:r w:rsidRPr="00DD5260">
        <w:rPr>
          <w:rFonts w:ascii="Times New Roman" w:eastAsia="Calibri" w:hAnsi="Times New Roman" w:cs="Times New Roman"/>
          <w:sz w:val="24"/>
          <w:szCs w:val="24"/>
        </w:rPr>
        <w:t>gays</w:t>
      </w:r>
      <w:proofErr w:type="spellEnd"/>
      <w:r w:rsidRPr="00DD5260">
        <w:rPr>
          <w:rFonts w:ascii="Times New Roman" w:eastAsia="Calibri" w:hAnsi="Times New Roman" w:cs="Times New Roman"/>
          <w:sz w:val="24"/>
          <w:szCs w:val="24"/>
        </w:rPr>
        <w:t xml:space="preserve">, bisexuales, </w:t>
      </w:r>
      <w:proofErr w:type="spellStart"/>
      <w:r w:rsidRPr="00DD5260">
        <w:rPr>
          <w:rFonts w:ascii="Times New Roman" w:eastAsia="Calibri" w:hAnsi="Times New Roman" w:cs="Times New Roman"/>
          <w:sz w:val="24"/>
          <w:szCs w:val="24"/>
        </w:rPr>
        <w:t>trans</w:t>
      </w:r>
      <w:proofErr w:type="spellEnd"/>
      <w:r w:rsidRPr="00DD5260">
        <w:rPr>
          <w:rFonts w:ascii="Times New Roman" w:eastAsia="Calibri" w:hAnsi="Times New Roman" w:cs="Times New Roman"/>
          <w:sz w:val="24"/>
          <w:szCs w:val="24"/>
        </w:rPr>
        <w:t xml:space="preserve">, intersexuales, </w:t>
      </w:r>
      <w:proofErr w:type="spellStart"/>
      <w:r w:rsidRPr="00DD5260">
        <w:rPr>
          <w:rFonts w:ascii="Times New Roman" w:eastAsia="Calibri" w:hAnsi="Times New Roman" w:cs="Times New Roman"/>
          <w:sz w:val="24"/>
          <w:szCs w:val="24"/>
        </w:rPr>
        <w:t>queers</w:t>
      </w:r>
      <w:proofErr w:type="spellEnd"/>
      <w:r w:rsidRPr="00DD5260">
        <w:rPr>
          <w:rFonts w:ascii="Times New Roman" w:eastAsia="Calibri" w:hAnsi="Times New Roman" w:cs="Times New Roman"/>
          <w:sz w:val="24"/>
          <w:szCs w:val="24"/>
        </w:rPr>
        <w:t xml:space="preserve">, entre otros disidentes de la </w:t>
      </w:r>
      <w:proofErr w:type="spellStart"/>
      <w:r w:rsidRPr="00DD5260">
        <w:rPr>
          <w:rFonts w:ascii="Times New Roman" w:eastAsia="Calibri" w:hAnsi="Times New Roman" w:cs="Times New Roman"/>
          <w:sz w:val="24"/>
          <w:szCs w:val="24"/>
        </w:rPr>
        <w:t>cis-heteronorma</w:t>
      </w:r>
      <w:proofErr w:type="spellEnd"/>
      <w:r w:rsidRPr="00DD5260">
        <w:rPr>
          <w:rFonts w:ascii="Times New Roman" w:eastAsia="Calibri" w:hAnsi="Times New Roman" w:cs="Times New Roman"/>
          <w:sz w:val="24"/>
          <w:szCs w:val="24"/>
        </w:rPr>
        <w:t xml:space="preserve"> (LGBTIQ+). </w:t>
      </w:r>
    </w:p>
    <w:p w:rsidR="004E0A7F" w:rsidRPr="00DD5260" w:rsidRDefault="004E0A7F" w:rsidP="004E0A7F">
      <w:pPr>
        <w:spacing w:line="240" w:lineRule="auto"/>
        <w:ind w:left="708"/>
        <w:jc w:val="both"/>
        <w:rPr>
          <w:rFonts w:ascii="Times New Roman" w:eastAsia="Times New Roman" w:hAnsi="Times New Roman" w:cs="Times New Roman"/>
          <w:sz w:val="24"/>
          <w:szCs w:val="24"/>
          <w:lang w:eastAsia="ar-SA"/>
        </w:rPr>
      </w:pPr>
      <w:r w:rsidRPr="00DD5260">
        <w:rPr>
          <w:rFonts w:ascii="Times New Roman" w:eastAsia="Calibri" w:hAnsi="Times New Roman" w:cs="Times New Roman"/>
          <w:sz w:val="24"/>
          <w:szCs w:val="24"/>
        </w:rPr>
        <w:t>La</w:t>
      </w:r>
      <w:r>
        <w:rPr>
          <w:rFonts w:ascii="Times New Roman" w:eastAsia="Calibri" w:hAnsi="Times New Roman" w:cs="Times New Roman"/>
          <w:sz w:val="24"/>
          <w:szCs w:val="24"/>
        </w:rPr>
        <w:t xml:space="preserve"> Institución</w:t>
      </w:r>
      <w:r w:rsidRPr="00DD5260">
        <w:rPr>
          <w:rFonts w:ascii="Times New Roman" w:eastAsia="Calibri" w:hAnsi="Times New Roman" w:cs="Times New Roman"/>
          <w:sz w:val="24"/>
          <w:szCs w:val="24"/>
        </w:rPr>
        <w:t xml:space="preserve"> junto </w:t>
      </w:r>
      <w:r>
        <w:rPr>
          <w:rFonts w:ascii="Times New Roman" w:eastAsia="Calibri" w:hAnsi="Times New Roman" w:cs="Times New Roman"/>
          <w:sz w:val="24"/>
          <w:szCs w:val="24"/>
        </w:rPr>
        <w:t>a</w:t>
      </w:r>
      <w:r w:rsidRPr="00DD5260">
        <w:rPr>
          <w:rFonts w:ascii="Times New Roman" w:eastAsia="Calibri" w:hAnsi="Times New Roman" w:cs="Times New Roman"/>
          <w:sz w:val="24"/>
          <w:szCs w:val="24"/>
        </w:rPr>
        <w:t xml:space="preserve"> diferentes movimientos soci</w:t>
      </w:r>
      <w:r>
        <w:rPr>
          <w:rFonts w:ascii="Times New Roman" w:eastAsia="Calibri" w:hAnsi="Times New Roman" w:cs="Times New Roman"/>
          <w:sz w:val="24"/>
          <w:szCs w:val="24"/>
        </w:rPr>
        <w:t>ales</w:t>
      </w:r>
      <w:r w:rsidRPr="00DD5260">
        <w:rPr>
          <w:rFonts w:ascii="Times New Roman" w:eastAsia="Calibri" w:hAnsi="Times New Roman" w:cs="Times New Roman"/>
          <w:sz w:val="24"/>
          <w:szCs w:val="24"/>
        </w:rPr>
        <w:t>, han sostenido reuniones de trabajo a los fines de articular esfuerzos en pro de la promoción</w:t>
      </w:r>
      <w:r>
        <w:rPr>
          <w:rFonts w:ascii="Times New Roman" w:eastAsia="Calibri" w:hAnsi="Times New Roman" w:cs="Times New Roman"/>
          <w:sz w:val="24"/>
          <w:szCs w:val="24"/>
        </w:rPr>
        <w:t xml:space="preserve"> de sus derechos. Cabe destacar</w:t>
      </w:r>
      <w:r w:rsidRPr="00DD5260">
        <w:rPr>
          <w:rFonts w:ascii="Times New Roman" w:eastAsia="Calibri" w:hAnsi="Times New Roman" w:cs="Times New Roman"/>
          <w:sz w:val="24"/>
          <w:szCs w:val="24"/>
        </w:rPr>
        <w:t xml:space="preserve"> que diversos y diversas activistas de estos movimientos se postularon para la elección del o la titular del cargo, siendo escogida una defensora </w:t>
      </w:r>
      <w:r>
        <w:rPr>
          <w:rFonts w:ascii="Times New Roman" w:eastAsia="Calibri" w:hAnsi="Times New Roman" w:cs="Times New Roman"/>
          <w:sz w:val="24"/>
          <w:szCs w:val="24"/>
        </w:rPr>
        <w:t xml:space="preserve">con trayectoria en el activismo en DDHH, </w:t>
      </w:r>
      <w:r w:rsidRPr="00DD5260">
        <w:rPr>
          <w:rFonts w:ascii="Times New Roman" w:eastAsia="Calibri" w:hAnsi="Times New Roman" w:cs="Times New Roman"/>
          <w:sz w:val="24"/>
          <w:szCs w:val="24"/>
        </w:rPr>
        <w:t xml:space="preserve">en el marco de esa convocatoria. </w:t>
      </w:r>
    </w:p>
    <w:p w:rsidR="004E0A7F" w:rsidRPr="00FB4BAE" w:rsidRDefault="004E0A7F" w:rsidP="004E0A7F">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DD5260">
        <w:rPr>
          <w:rFonts w:ascii="Times New Roman" w:eastAsia="Calibri" w:hAnsi="Times New Roman" w:cs="Times New Roman"/>
          <w:sz w:val="24"/>
          <w:szCs w:val="24"/>
        </w:rPr>
        <w:t>La INDH celebra que la Comisión de Registro Civil y Electoral del Consejo Nacional Electoral (CNE), logró reformar al instructivo relativo a los criterios únicos de rectificación de actas o cambio de nombre en sede administrativa</w:t>
      </w:r>
      <w:r w:rsidRPr="00DD5260">
        <w:rPr>
          <w:rFonts w:ascii="Times New Roman" w:eastAsia="Calibri" w:hAnsi="Times New Roman" w:cs="Times New Roman"/>
          <w:sz w:val="24"/>
          <w:szCs w:val="24"/>
          <w:vertAlign w:val="superscript"/>
        </w:rPr>
        <w:footnoteReference w:id="6"/>
      </w:r>
      <w:r w:rsidRPr="00DD5260">
        <w:rPr>
          <w:rFonts w:ascii="Times New Roman" w:eastAsia="Calibri" w:hAnsi="Times New Roman" w:cs="Times New Roman"/>
          <w:sz w:val="24"/>
          <w:szCs w:val="24"/>
        </w:rPr>
        <w:t xml:space="preserve">, lo cual puede evitar la discriminación y el estigma por orientación sexual, identidad y expresión de género. No obstante, se recomienda que se difunda esta información y se </w:t>
      </w:r>
      <w:proofErr w:type="spellStart"/>
      <w:r w:rsidRPr="00DD5260">
        <w:rPr>
          <w:rFonts w:ascii="Times New Roman" w:eastAsia="Calibri" w:hAnsi="Times New Roman" w:cs="Times New Roman"/>
          <w:sz w:val="24"/>
          <w:szCs w:val="24"/>
        </w:rPr>
        <w:t>operativice</w:t>
      </w:r>
      <w:proofErr w:type="spellEnd"/>
      <w:r w:rsidRPr="00DD5260">
        <w:rPr>
          <w:rFonts w:ascii="Times New Roman" w:eastAsia="Calibri" w:hAnsi="Times New Roman" w:cs="Times New Roman"/>
          <w:sz w:val="24"/>
          <w:szCs w:val="24"/>
        </w:rPr>
        <w:t xml:space="preserve"> en la práctica, a objeto de que las personas </w:t>
      </w:r>
      <w:proofErr w:type="spellStart"/>
      <w:r w:rsidRPr="00DD5260">
        <w:rPr>
          <w:rFonts w:ascii="Times New Roman" w:eastAsia="Calibri" w:hAnsi="Times New Roman" w:cs="Times New Roman"/>
          <w:sz w:val="24"/>
          <w:szCs w:val="24"/>
        </w:rPr>
        <w:t>trans</w:t>
      </w:r>
      <w:proofErr w:type="spellEnd"/>
      <w:r w:rsidRPr="00DD5260">
        <w:rPr>
          <w:rFonts w:ascii="Times New Roman" w:eastAsia="Calibri" w:hAnsi="Times New Roman" w:cs="Times New Roman"/>
          <w:sz w:val="24"/>
          <w:szCs w:val="24"/>
        </w:rPr>
        <w:t xml:space="preserve"> e </w:t>
      </w:r>
      <w:proofErr w:type="spellStart"/>
      <w:r w:rsidRPr="00DD5260">
        <w:rPr>
          <w:rFonts w:ascii="Times New Roman" w:eastAsia="Calibri" w:hAnsi="Times New Roman" w:cs="Times New Roman"/>
          <w:sz w:val="24"/>
          <w:szCs w:val="24"/>
        </w:rPr>
        <w:t>intersex</w:t>
      </w:r>
      <w:proofErr w:type="spellEnd"/>
      <w:r w:rsidRPr="00DD5260">
        <w:rPr>
          <w:rFonts w:ascii="Times New Roman" w:eastAsia="Calibri" w:hAnsi="Times New Roman" w:cs="Times New Roman"/>
          <w:sz w:val="24"/>
          <w:szCs w:val="24"/>
        </w:rPr>
        <w:t xml:space="preserve"> se les reivindique sus nombres </w:t>
      </w:r>
      <w:proofErr w:type="spellStart"/>
      <w:r w:rsidRPr="00DD5260">
        <w:rPr>
          <w:rFonts w:ascii="Times New Roman" w:eastAsia="Calibri" w:hAnsi="Times New Roman" w:cs="Times New Roman"/>
          <w:sz w:val="24"/>
          <w:szCs w:val="24"/>
        </w:rPr>
        <w:t>autopercibidos</w:t>
      </w:r>
      <w:proofErr w:type="spellEnd"/>
      <w:r w:rsidRPr="00DD5260">
        <w:rPr>
          <w:rFonts w:ascii="Times New Roman" w:eastAsia="Calibri" w:hAnsi="Times New Roman" w:cs="Times New Roman"/>
          <w:sz w:val="24"/>
          <w:szCs w:val="24"/>
        </w:rPr>
        <w:t xml:space="preserve"> con su expresión de género, y se vincule con la legalidad del disfrute de sus derechos. </w:t>
      </w:r>
    </w:p>
    <w:p w:rsidR="004E0A7F" w:rsidRPr="00DD5260" w:rsidRDefault="004E0A7F" w:rsidP="004E0A7F">
      <w:pPr>
        <w:suppressAutoHyphens/>
        <w:spacing w:after="0" w:line="240" w:lineRule="auto"/>
        <w:ind w:left="720"/>
        <w:jc w:val="both"/>
        <w:rPr>
          <w:rFonts w:ascii="Times New Roman" w:eastAsia="Times New Roman" w:hAnsi="Times New Roman" w:cs="Times New Roman"/>
          <w:sz w:val="24"/>
          <w:szCs w:val="24"/>
          <w:lang w:eastAsia="ar-SA"/>
        </w:rPr>
      </w:pPr>
    </w:p>
    <w:p w:rsidR="004E0A7F" w:rsidRPr="0090508F" w:rsidRDefault="004E0A7F" w:rsidP="004E0A7F">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DD5260">
        <w:rPr>
          <w:rFonts w:ascii="Times New Roman" w:eastAsia="Calibri" w:hAnsi="Times New Roman" w:cs="Times New Roman"/>
          <w:sz w:val="24"/>
          <w:szCs w:val="24"/>
        </w:rPr>
        <w:t>La Defensoría del Pueblo, presentó en 2023 ante la Sala Constitucional del Tribunal Supremo de Justicia (TSJ</w:t>
      </w:r>
      <w:r>
        <w:rPr>
          <w:rFonts w:ascii="Times New Roman" w:eastAsia="Calibri" w:hAnsi="Times New Roman" w:cs="Times New Roman"/>
          <w:sz w:val="24"/>
          <w:szCs w:val="24"/>
        </w:rPr>
        <w:t>) una</w:t>
      </w:r>
      <w:r w:rsidRPr="00DD5260">
        <w:rPr>
          <w:rFonts w:ascii="Times New Roman" w:eastAsia="Calibri" w:hAnsi="Times New Roman" w:cs="Times New Roman"/>
          <w:sz w:val="24"/>
          <w:szCs w:val="24"/>
        </w:rPr>
        <w:t xml:space="preserve"> petición de nulidad</w:t>
      </w:r>
      <w:r w:rsidRPr="00DD5260">
        <w:rPr>
          <w:rFonts w:ascii="Times New Roman" w:eastAsia="Times New Roman" w:hAnsi="Times New Roman" w:cs="Times New Roman"/>
          <w:sz w:val="24"/>
          <w:szCs w:val="24"/>
          <w:lang w:eastAsia="ar-SA"/>
        </w:rPr>
        <w:t xml:space="preserve"> de </w:t>
      </w:r>
      <w:r w:rsidRPr="00DD5260">
        <w:rPr>
          <w:rFonts w:ascii="Times New Roman" w:eastAsia="Calibri" w:hAnsi="Times New Roman" w:cs="Times New Roman"/>
          <w:sz w:val="24"/>
          <w:szCs w:val="24"/>
        </w:rPr>
        <w:t>la disposición contenida en el artículo 565 del Código Orgánico de Justicia Militar, argumentando que carecía de suficiente claridad y precisión jurídica en lo que respecta a la conducta que pretendía sancionar a militares que cometieran "actos sexuales contra natura” e imponía pena de 1 a 3 años de prisión, la cual fue aprobado por la Sala</w:t>
      </w:r>
      <w:r w:rsidRPr="00DD5260">
        <w:rPr>
          <w:rFonts w:ascii="Times New Roman" w:eastAsia="Calibri" w:hAnsi="Times New Roman" w:cs="Times New Roman"/>
          <w:sz w:val="24"/>
          <w:szCs w:val="24"/>
          <w:vertAlign w:val="superscript"/>
        </w:rPr>
        <w:footnoteReference w:id="7"/>
      </w:r>
      <w:r w:rsidRPr="00DD5260">
        <w:rPr>
          <w:rFonts w:ascii="Times New Roman" w:eastAsia="Calibri" w:hAnsi="Times New Roman" w:cs="Times New Roman"/>
          <w:sz w:val="24"/>
          <w:szCs w:val="24"/>
        </w:rPr>
        <w:t>,</w:t>
      </w:r>
      <w:r>
        <w:rPr>
          <w:rFonts w:ascii="Times New Roman" w:eastAsia="Calibri" w:hAnsi="Times New Roman" w:cs="Times New Roman"/>
          <w:sz w:val="24"/>
          <w:szCs w:val="24"/>
        </w:rPr>
        <w:t xml:space="preserve"> anulando dicha disposición</w:t>
      </w:r>
      <w:r w:rsidRPr="00DD5260">
        <w:rPr>
          <w:rFonts w:ascii="Times New Roman" w:eastAsia="Calibri" w:hAnsi="Times New Roman" w:cs="Times New Roman"/>
          <w:sz w:val="24"/>
          <w:szCs w:val="24"/>
        </w:rPr>
        <w:t xml:space="preserve"> la cual es una progresividad en materia de derechos.</w:t>
      </w:r>
    </w:p>
    <w:p w:rsidR="004E0A7F" w:rsidRDefault="004E0A7F" w:rsidP="004E0A7F">
      <w:pPr>
        <w:suppressAutoHyphens/>
        <w:spacing w:after="0" w:line="240" w:lineRule="auto"/>
        <w:ind w:left="720"/>
        <w:jc w:val="both"/>
        <w:rPr>
          <w:rFonts w:ascii="Times New Roman" w:eastAsia="Times New Roman" w:hAnsi="Times New Roman" w:cs="Times New Roman"/>
          <w:sz w:val="24"/>
          <w:szCs w:val="24"/>
          <w:lang w:eastAsia="ar-SA"/>
        </w:rPr>
      </w:pPr>
    </w:p>
    <w:p w:rsidR="004E0A7F" w:rsidRPr="00DD5260" w:rsidRDefault="004E0A7F" w:rsidP="004E0A7F">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DD5260">
        <w:rPr>
          <w:rFonts w:ascii="Times New Roman" w:eastAsia="Times New Roman" w:hAnsi="Times New Roman" w:cs="Times New Roman"/>
          <w:sz w:val="24"/>
          <w:szCs w:val="24"/>
          <w:lang w:eastAsia="ar-SA"/>
        </w:rPr>
        <w:t>La INDH reconoce el avance significativo en el marco jurídico r</w:t>
      </w:r>
      <w:r>
        <w:rPr>
          <w:rFonts w:ascii="Times New Roman" w:eastAsia="Times New Roman" w:hAnsi="Times New Roman" w:cs="Times New Roman"/>
          <w:sz w:val="24"/>
          <w:szCs w:val="24"/>
          <w:lang w:eastAsia="ar-SA"/>
        </w:rPr>
        <w:t>elacionado con la sentencia N</w:t>
      </w:r>
      <w:proofErr w:type="gramStart"/>
      <w:r>
        <w:rPr>
          <w:rFonts w:ascii="Times New Roman" w:eastAsia="Times New Roman" w:hAnsi="Times New Roman" w:cs="Times New Roman"/>
          <w:sz w:val="24"/>
          <w:szCs w:val="24"/>
          <w:lang w:eastAsia="ar-SA"/>
        </w:rPr>
        <w:t>.º</w:t>
      </w:r>
      <w:proofErr w:type="gramEnd"/>
      <w:r w:rsidRPr="00DD5260">
        <w:rPr>
          <w:rFonts w:ascii="Times New Roman" w:eastAsia="Times New Roman" w:hAnsi="Times New Roman" w:cs="Times New Roman"/>
          <w:sz w:val="24"/>
          <w:szCs w:val="24"/>
          <w:lang w:eastAsia="ar-SA"/>
        </w:rPr>
        <w:t>1187</w:t>
      </w:r>
      <w:r>
        <w:rPr>
          <w:rFonts w:ascii="Times New Roman" w:eastAsia="Times New Roman" w:hAnsi="Times New Roman" w:cs="Times New Roman"/>
          <w:sz w:val="24"/>
          <w:szCs w:val="24"/>
          <w:lang w:eastAsia="ar-SA"/>
        </w:rPr>
        <w:t xml:space="preserve"> </w:t>
      </w:r>
      <w:r w:rsidRPr="00DD5260">
        <w:rPr>
          <w:rFonts w:ascii="Times New Roman" w:eastAsia="Times New Roman" w:hAnsi="Times New Roman" w:cs="Times New Roman"/>
          <w:sz w:val="24"/>
          <w:szCs w:val="24"/>
          <w:lang w:eastAsia="ar-SA"/>
        </w:rPr>
        <w:t>de la Sala Constitucional del TSJ</w:t>
      </w:r>
      <w:r w:rsidRPr="00DD5260">
        <w:rPr>
          <w:rFonts w:ascii="Times New Roman" w:eastAsia="Times New Roman" w:hAnsi="Times New Roman" w:cs="Times New Roman"/>
          <w:sz w:val="24"/>
          <w:szCs w:val="24"/>
          <w:vertAlign w:val="superscript"/>
          <w:lang w:eastAsia="ar-SA"/>
        </w:rPr>
        <w:footnoteReference w:id="8"/>
      </w:r>
      <w:r w:rsidRPr="00DD5260">
        <w:rPr>
          <w:rFonts w:ascii="Times New Roman" w:eastAsia="Times New Roman" w:hAnsi="Times New Roman" w:cs="Times New Roman"/>
          <w:sz w:val="24"/>
          <w:szCs w:val="24"/>
          <w:lang w:eastAsia="ar-SA"/>
        </w:rPr>
        <w:t xml:space="preserve"> en el reconocimiento de las familias </w:t>
      </w:r>
      <w:proofErr w:type="spellStart"/>
      <w:r w:rsidRPr="00DD5260">
        <w:rPr>
          <w:rFonts w:ascii="Times New Roman" w:eastAsia="Times New Roman" w:hAnsi="Times New Roman" w:cs="Times New Roman"/>
          <w:sz w:val="24"/>
          <w:szCs w:val="24"/>
          <w:lang w:eastAsia="ar-SA"/>
        </w:rPr>
        <w:t>homoparentales</w:t>
      </w:r>
      <w:proofErr w:type="spellEnd"/>
      <w:r w:rsidRPr="00DD5260">
        <w:rPr>
          <w:rFonts w:ascii="Times New Roman" w:eastAsia="Times New Roman" w:hAnsi="Times New Roman" w:cs="Times New Roman"/>
          <w:sz w:val="24"/>
          <w:szCs w:val="24"/>
          <w:lang w:eastAsia="ar-SA"/>
        </w:rPr>
        <w:t xml:space="preserve">. No </w:t>
      </w:r>
      <w:r w:rsidRPr="00DD5260">
        <w:rPr>
          <w:rFonts w:ascii="Times New Roman" w:eastAsia="Calibri" w:hAnsi="Times New Roman" w:cs="Times New Roman"/>
          <w:sz w:val="24"/>
          <w:szCs w:val="24"/>
        </w:rPr>
        <w:t xml:space="preserve">obstante, la Institución recomienda que la Sentencia sea aplicable para la garantía de derechos de otras familias </w:t>
      </w:r>
      <w:proofErr w:type="spellStart"/>
      <w:r w:rsidRPr="00DD5260">
        <w:rPr>
          <w:rFonts w:ascii="Times New Roman" w:eastAsia="Calibri" w:hAnsi="Times New Roman" w:cs="Times New Roman"/>
          <w:sz w:val="24"/>
          <w:szCs w:val="24"/>
        </w:rPr>
        <w:t>homoparentales</w:t>
      </w:r>
      <w:proofErr w:type="spellEnd"/>
      <w:r w:rsidRPr="00DD5260">
        <w:rPr>
          <w:rFonts w:ascii="Times New Roman" w:eastAsia="Calibri" w:hAnsi="Times New Roman" w:cs="Times New Roman"/>
          <w:sz w:val="24"/>
          <w:szCs w:val="24"/>
        </w:rPr>
        <w:t xml:space="preserve"> y los hijos e hijas nacidos dentro de estas familias.</w:t>
      </w:r>
    </w:p>
    <w:p w:rsidR="004E0A7F" w:rsidRPr="0090508F" w:rsidRDefault="004E0A7F" w:rsidP="004E0A7F">
      <w:pPr>
        <w:suppressAutoHyphens/>
        <w:spacing w:after="0" w:line="240" w:lineRule="auto"/>
        <w:ind w:left="720"/>
        <w:jc w:val="both"/>
        <w:rPr>
          <w:rFonts w:ascii="Times New Roman" w:eastAsia="Times New Roman" w:hAnsi="Times New Roman" w:cs="Times New Roman"/>
          <w:sz w:val="24"/>
          <w:szCs w:val="24"/>
          <w:lang w:eastAsia="ar-SA"/>
        </w:rPr>
      </w:pPr>
    </w:p>
    <w:p w:rsidR="004E0A7F" w:rsidRDefault="004E0A7F" w:rsidP="004E0A7F">
      <w:pPr>
        <w:pStyle w:val="SingleTxtG"/>
        <w:numPr>
          <w:ilvl w:val="0"/>
          <w:numId w:val="1"/>
        </w:numPr>
        <w:spacing w:after="0" w:line="240" w:lineRule="auto"/>
        <w:ind w:right="51"/>
        <w:rPr>
          <w:sz w:val="24"/>
          <w:szCs w:val="24"/>
        </w:rPr>
      </w:pPr>
      <w:r w:rsidRPr="00A15BD3">
        <w:rPr>
          <w:sz w:val="24"/>
          <w:szCs w:val="24"/>
        </w:rPr>
        <w:lastRenderedPageBreak/>
        <w:t>De igual forma</w:t>
      </w:r>
      <w:r w:rsidRPr="00A15BD3">
        <w:rPr>
          <w:sz w:val="24"/>
          <w:szCs w:val="24"/>
          <w:lang w:val="es-ES_tradnl"/>
        </w:rPr>
        <w:t xml:space="preserve"> e</w:t>
      </w:r>
      <w:r w:rsidRPr="00A15BD3">
        <w:rPr>
          <w:sz w:val="24"/>
          <w:szCs w:val="24"/>
        </w:rPr>
        <w:t xml:space="preserve">n 2021, la </w:t>
      </w:r>
      <w:proofErr w:type="spellStart"/>
      <w:r w:rsidRPr="00A15BD3">
        <w:rPr>
          <w:sz w:val="24"/>
          <w:szCs w:val="24"/>
        </w:rPr>
        <w:t>DdP</w:t>
      </w:r>
      <w:proofErr w:type="spellEnd"/>
      <w:r w:rsidRPr="00A15BD3">
        <w:rPr>
          <w:sz w:val="24"/>
          <w:szCs w:val="24"/>
        </w:rPr>
        <w:t xml:space="preserve"> presentó observaciones al proyecto </w:t>
      </w:r>
      <w:r w:rsidRPr="00A15BD3">
        <w:rPr>
          <w:bCs/>
          <w:sz w:val="24"/>
          <w:szCs w:val="24"/>
        </w:rPr>
        <w:t xml:space="preserve">de la Reforma </w:t>
      </w:r>
      <w:r w:rsidRPr="00A15BD3">
        <w:rPr>
          <w:sz w:val="24"/>
          <w:szCs w:val="24"/>
        </w:rPr>
        <w:t>Parcial de la Ley Orgánica Contra la Discriminación Racial. La Asamblea Nacional sancionó la mencionada reforma</w:t>
      </w:r>
      <w:r w:rsidRPr="00A15BD3">
        <w:rPr>
          <w:sz w:val="24"/>
          <w:szCs w:val="24"/>
          <w:vertAlign w:val="superscript"/>
        </w:rPr>
        <w:footnoteReference w:id="9"/>
      </w:r>
      <w:r w:rsidRPr="00A15BD3">
        <w:rPr>
          <w:sz w:val="24"/>
          <w:szCs w:val="24"/>
        </w:rPr>
        <w:t>, incorporando una disposición que ordena garantizar la igualdad y equidad de género en las políticas de prevención, atención y erradicación de la discriminación racial, respetando las características individuales y las necesidades particulares relativas a la diversidad de género (artículo 10).</w:t>
      </w:r>
    </w:p>
    <w:p w:rsidR="004E0A7F" w:rsidRPr="004752C8" w:rsidRDefault="004E0A7F" w:rsidP="004E0A7F">
      <w:pPr>
        <w:keepNext/>
        <w:keepLines/>
        <w:tabs>
          <w:tab w:val="right" w:pos="851"/>
        </w:tabs>
        <w:suppressAutoHyphens/>
        <w:spacing w:before="360" w:after="240" w:line="240" w:lineRule="auto"/>
        <w:ind w:right="1134"/>
        <w:jc w:val="both"/>
        <w:rPr>
          <w:rFonts w:ascii="Times New Roman" w:eastAsia="Times New Roman" w:hAnsi="Times New Roman" w:cs="Times New Roman"/>
          <w:b/>
          <w:sz w:val="24"/>
          <w:szCs w:val="24"/>
          <w:lang w:val="es-ES_tradnl" w:eastAsia="es-ES"/>
        </w:rPr>
      </w:pPr>
      <w:r w:rsidRPr="004752C8">
        <w:rPr>
          <w:rFonts w:ascii="Times New Roman" w:eastAsia="Times New Roman" w:hAnsi="Times New Roman" w:cs="Times New Roman"/>
          <w:b/>
          <w:sz w:val="24"/>
          <w:szCs w:val="24"/>
          <w:lang w:val="es-ES_tradnl" w:eastAsia="es-ES"/>
        </w:rPr>
        <w:t xml:space="preserve">Otras acciones </w:t>
      </w:r>
      <w:proofErr w:type="spellStart"/>
      <w:r w:rsidRPr="004752C8">
        <w:rPr>
          <w:rFonts w:ascii="Times New Roman" w:eastAsia="Times New Roman" w:hAnsi="Times New Roman" w:cs="Times New Roman"/>
          <w:b/>
          <w:sz w:val="24"/>
          <w:szCs w:val="24"/>
          <w:lang w:val="es-ES_tradnl" w:eastAsia="es-ES"/>
        </w:rPr>
        <w:t>defensoriales</w:t>
      </w:r>
      <w:proofErr w:type="spellEnd"/>
      <w:r w:rsidRPr="004752C8">
        <w:rPr>
          <w:rFonts w:ascii="Times New Roman" w:eastAsia="Times New Roman" w:hAnsi="Times New Roman" w:cs="Times New Roman"/>
          <w:b/>
          <w:sz w:val="24"/>
          <w:szCs w:val="24"/>
          <w:lang w:val="es-ES_tradnl" w:eastAsia="es-ES"/>
        </w:rPr>
        <w:t xml:space="preserve"> a favor de la No Discriminación.</w:t>
      </w:r>
    </w:p>
    <w:p w:rsidR="004E0A7F" w:rsidRDefault="004E0A7F" w:rsidP="004E0A7F">
      <w:pPr>
        <w:pStyle w:val="SingleTxtG"/>
        <w:numPr>
          <w:ilvl w:val="0"/>
          <w:numId w:val="1"/>
        </w:numPr>
        <w:spacing w:after="0" w:line="240" w:lineRule="auto"/>
        <w:ind w:right="51"/>
        <w:rPr>
          <w:sz w:val="24"/>
          <w:szCs w:val="24"/>
        </w:rPr>
      </w:pPr>
      <w:r>
        <w:rPr>
          <w:sz w:val="24"/>
          <w:szCs w:val="24"/>
        </w:rPr>
        <w:t>E</w:t>
      </w:r>
      <w:r w:rsidRPr="00A15BD3">
        <w:rPr>
          <w:sz w:val="24"/>
          <w:szCs w:val="24"/>
        </w:rPr>
        <w:t xml:space="preserve">n 2023, la </w:t>
      </w:r>
      <w:proofErr w:type="spellStart"/>
      <w:r w:rsidRPr="00A15BD3">
        <w:rPr>
          <w:sz w:val="24"/>
          <w:szCs w:val="24"/>
        </w:rPr>
        <w:t>DdP</w:t>
      </w:r>
      <w:proofErr w:type="spellEnd"/>
      <w:r w:rsidRPr="00A15BD3">
        <w:rPr>
          <w:sz w:val="24"/>
          <w:szCs w:val="24"/>
        </w:rPr>
        <w:t xml:space="preserve"> presentó observaciones y recomendaciones al proyecto de Ley de </w:t>
      </w:r>
      <w:r w:rsidRPr="00A15BD3">
        <w:rPr>
          <w:rFonts w:eastAsia="Tahoma"/>
          <w:sz w:val="24"/>
          <w:szCs w:val="24"/>
          <w:lang w:eastAsia="es-VE"/>
        </w:rPr>
        <w:t>Atención para las Personas con Trastornos del Espectro Autista (TEA).</w:t>
      </w:r>
      <w:r w:rsidRPr="00A15BD3">
        <w:rPr>
          <w:sz w:val="24"/>
          <w:szCs w:val="24"/>
        </w:rPr>
        <w:t xml:space="preserve"> La Asamblea Nacional sancionó la mencionada ley</w:t>
      </w:r>
      <w:r w:rsidRPr="00A15BD3">
        <w:rPr>
          <w:sz w:val="24"/>
          <w:szCs w:val="24"/>
          <w:vertAlign w:val="superscript"/>
        </w:rPr>
        <w:footnoteReference w:id="10"/>
      </w:r>
      <w:r w:rsidRPr="00A15BD3">
        <w:rPr>
          <w:sz w:val="24"/>
          <w:szCs w:val="24"/>
        </w:rPr>
        <w:t xml:space="preserve">, la cual tiene por objeto garantizar el bienestar de esta población a través de un régimen legal, además de complementar las normas existentes en la materia de conformidad con los derechos consagrados en la CRBV. De igual manera, fomenta la conciencia, formación y capacitación a las familias, comunidades e instituciones, sobre las condiciones de las personas con TEA. Además promueve la participación del poder popular y la comunidad en la atención y desarrollo de los diferentes planes y programas dirigidos a estos ciudadanos. La ley busca garantizar la protección de los TEA en situación de abuso, explotación sexual, esclavitud, servidumbre y trabajo forzoso, así como a su integridad personal y cualquier vulneración o violación a sus derechos.   </w:t>
      </w:r>
    </w:p>
    <w:p w:rsidR="004E0A7F" w:rsidRDefault="004E0A7F" w:rsidP="004E0A7F">
      <w:pPr>
        <w:pStyle w:val="Prrafodelista"/>
        <w:rPr>
          <w:sz w:val="24"/>
          <w:szCs w:val="24"/>
        </w:rPr>
      </w:pPr>
    </w:p>
    <w:p w:rsidR="004E0A7F" w:rsidRPr="00864802" w:rsidRDefault="004E0A7F" w:rsidP="004E0A7F">
      <w:pPr>
        <w:pStyle w:val="SingleTxtG"/>
        <w:numPr>
          <w:ilvl w:val="0"/>
          <w:numId w:val="1"/>
        </w:numPr>
        <w:spacing w:after="0" w:line="240" w:lineRule="auto"/>
        <w:ind w:right="51"/>
        <w:rPr>
          <w:sz w:val="24"/>
          <w:szCs w:val="24"/>
        </w:rPr>
      </w:pPr>
      <w:r>
        <w:rPr>
          <w:sz w:val="24"/>
          <w:szCs w:val="24"/>
        </w:rPr>
        <w:t>L</w:t>
      </w:r>
      <w:r w:rsidRPr="00864802">
        <w:rPr>
          <w:sz w:val="24"/>
          <w:szCs w:val="24"/>
        </w:rPr>
        <w:t xml:space="preserve">a </w:t>
      </w:r>
      <w:proofErr w:type="spellStart"/>
      <w:r w:rsidRPr="00864802">
        <w:rPr>
          <w:sz w:val="24"/>
          <w:szCs w:val="24"/>
        </w:rPr>
        <w:t>DdP</w:t>
      </w:r>
      <w:proofErr w:type="spellEnd"/>
      <w:r w:rsidRPr="00864802">
        <w:rPr>
          <w:sz w:val="24"/>
          <w:szCs w:val="24"/>
        </w:rPr>
        <w:t xml:space="preserve"> presentó </w:t>
      </w:r>
      <w:r>
        <w:rPr>
          <w:sz w:val="24"/>
          <w:szCs w:val="24"/>
        </w:rPr>
        <w:t xml:space="preserve">en el año 2021, </w:t>
      </w:r>
      <w:r w:rsidRPr="00864802">
        <w:rPr>
          <w:sz w:val="24"/>
          <w:szCs w:val="24"/>
        </w:rPr>
        <w:t xml:space="preserve">observaciones a la </w:t>
      </w:r>
      <w:r w:rsidRPr="00864802">
        <w:rPr>
          <w:rStyle w:val="Ninguno"/>
          <w:sz w:val="24"/>
          <w:szCs w:val="24"/>
        </w:rPr>
        <w:t>Ley Orgánica para la Protección y Atención Integral de las Adultas y los Adultos Mayores. L</w:t>
      </w:r>
      <w:r w:rsidRPr="00864802">
        <w:rPr>
          <w:sz w:val="24"/>
          <w:szCs w:val="24"/>
        </w:rPr>
        <w:t>a Asamblea Nacional sancionó la mencionada reforma</w:t>
      </w:r>
      <w:r w:rsidRPr="00864802">
        <w:rPr>
          <w:sz w:val="24"/>
          <w:szCs w:val="24"/>
          <w:vertAlign w:val="superscript"/>
        </w:rPr>
        <w:footnoteReference w:id="11"/>
      </w:r>
      <w:r w:rsidRPr="00864802">
        <w:rPr>
          <w:sz w:val="24"/>
          <w:szCs w:val="24"/>
        </w:rPr>
        <w:t>,</w:t>
      </w:r>
      <w:r w:rsidRPr="00864802">
        <w:rPr>
          <w:color w:val="4D5156"/>
          <w:sz w:val="24"/>
          <w:szCs w:val="24"/>
          <w:shd w:val="clear" w:color="auto" w:fill="FFFFFF"/>
        </w:rPr>
        <w:t xml:space="preserve"> </w:t>
      </w:r>
      <w:r w:rsidRPr="00864802">
        <w:rPr>
          <w:color w:val="000000"/>
          <w:sz w:val="24"/>
          <w:szCs w:val="24"/>
          <w:shd w:val="clear" w:color="auto" w:fill="FFFFFF"/>
        </w:rPr>
        <w:t>la cual tiene por objeto garantizar el respeto a la dignidad humana de las personas adultas</w:t>
      </w:r>
      <w:r w:rsidRPr="00864802">
        <w:rPr>
          <w:color w:val="4D5156"/>
          <w:sz w:val="24"/>
          <w:szCs w:val="24"/>
          <w:shd w:val="clear" w:color="auto" w:fill="FFFFFF"/>
        </w:rPr>
        <w:t xml:space="preserve"> </w:t>
      </w:r>
      <w:r w:rsidRPr="00864802">
        <w:rPr>
          <w:color w:val="000000"/>
          <w:sz w:val="24"/>
          <w:szCs w:val="24"/>
          <w:shd w:val="clear" w:color="auto" w:fill="FFFFFF"/>
        </w:rPr>
        <w:t>mayores y el pleno ejercicio de sus derechos y garantías</w:t>
      </w:r>
      <w:r w:rsidR="002F22A3">
        <w:rPr>
          <w:color w:val="000000"/>
          <w:sz w:val="24"/>
          <w:szCs w:val="24"/>
          <w:shd w:val="clear" w:color="auto" w:fill="FFFFFF"/>
        </w:rPr>
        <w:t>.</w:t>
      </w:r>
      <w:r w:rsidRPr="00864802">
        <w:rPr>
          <w:sz w:val="24"/>
          <w:szCs w:val="24"/>
        </w:rPr>
        <w:t xml:space="preserve"> </w:t>
      </w:r>
    </w:p>
    <w:p w:rsidR="004E0A7F" w:rsidRPr="00DD5260" w:rsidRDefault="004E0A7F" w:rsidP="004E0A7F">
      <w:pPr>
        <w:keepNext/>
        <w:keepLines/>
        <w:tabs>
          <w:tab w:val="right" w:pos="851"/>
        </w:tabs>
        <w:suppressAutoHyphens/>
        <w:spacing w:before="360" w:after="240" w:line="240" w:lineRule="auto"/>
        <w:ind w:right="1134"/>
        <w:jc w:val="both"/>
        <w:rPr>
          <w:rFonts w:ascii="Times New Roman" w:eastAsia="Times New Roman" w:hAnsi="Times New Roman" w:cs="Times New Roman"/>
          <w:b/>
          <w:sz w:val="24"/>
          <w:szCs w:val="24"/>
          <w:lang w:val="es-ES_tradnl" w:eastAsia="es-ES"/>
        </w:rPr>
      </w:pPr>
      <w:r w:rsidRPr="00DD5260">
        <w:rPr>
          <w:rFonts w:ascii="Times New Roman" w:eastAsia="Times New Roman" w:hAnsi="Times New Roman" w:cs="Times New Roman"/>
          <w:b/>
          <w:sz w:val="24"/>
          <w:szCs w:val="24"/>
          <w:lang w:val="es-ES_tradnl" w:eastAsia="es-ES"/>
        </w:rPr>
        <w:tab/>
      </w:r>
      <w:r w:rsidRPr="0090508F">
        <w:rPr>
          <w:rFonts w:ascii="Times New Roman" w:eastAsia="Times New Roman" w:hAnsi="Times New Roman" w:cs="Times New Roman"/>
          <w:b/>
          <w:sz w:val="24"/>
          <w:szCs w:val="24"/>
          <w:lang w:val="es-ES_tradnl" w:eastAsia="es-ES"/>
        </w:rPr>
        <w:t>Igualdad de Géner</w:t>
      </w:r>
      <w:r>
        <w:rPr>
          <w:rFonts w:ascii="Times New Roman" w:eastAsia="Times New Roman" w:hAnsi="Times New Roman" w:cs="Times New Roman"/>
          <w:b/>
          <w:sz w:val="24"/>
          <w:szCs w:val="24"/>
          <w:lang w:val="es-ES_tradnl" w:eastAsia="es-ES"/>
        </w:rPr>
        <w:t>o (art</w:t>
      </w:r>
      <w:r w:rsidRPr="0090508F">
        <w:rPr>
          <w:rFonts w:ascii="Times New Roman" w:eastAsia="Times New Roman" w:hAnsi="Times New Roman" w:cs="Times New Roman"/>
          <w:b/>
          <w:sz w:val="24"/>
          <w:szCs w:val="24"/>
          <w:lang w:val="es-ES_tradnl" w:eastAsia="es-ES"/>
        </w:rPr>
        <w:t>.3</w:t>
      </w:r>
      <w:r w:rsidRPr="00DD5260">
        <w:rPr>
          <w:rFonts w:ascii="Times New Roman" w:eastAsia="Times New Roman" w:hAnsi="Times New Roman" w:cs="Times New Roman"/>
          <w:b/>
          <w:sz w:val="24"/>
          <w:szCs w:val="24"/>
          <w:lang w:val="es-ES_tradnl" w:eastAsia="es-ES"/>
        </w:rPr>
        <w:t>)</w:t>
      </w:r>
    </w:p>
    <w:p w:rsidR="004E0A7F" w:rsidRPr="00DD5260" w:rsidRDefault="004E0A7F" w:rsidP="004E0A7F">
      <w:pPr>
        <w:numPr>
          <w:ilvl w:val="0"/>
          <w:numId w:val="1"/>
        </w:numPr>
        <w:suppressAutoHyphens/>
        <w:spacing w:after="0" w:line="240" w:lineRule="auto"/>
        <w:jc w:val="both"/>
        <w:rPr>
          <w:rFonts w:ascii="Times New Roman" w:eastAsia="Calibri" w:hAnsi="Times New Roman" w:cs="Times New Roman"/>
          <w:kern w:val="2"/>
          <w:sz w:val="24"/>
          <w:szCs w:val="24"/>
          <w:lang w:val="es-VE"/>
        </w:rPr>
      </w:pPr>
      <w:r w:rsidRPr="00DD5260">
        <w:rPr>
          <w:rFonts w:ascii="Times New Roman" w:eastAsia="Times New Roman" w:hAnsi="Times New Roman" w:cs="Times New Roman"/>
          <w:sz w:val="24"/>
          <w:szCs w:val="24"/>
          <w:lang w:val="es-VE" w:eastAsia="es-VE"/>
        </w:rPr>
        <w:t xml:space="preserve">La </w:t>
      </w:r>
      <w:proofErr w:type="spellStart"/>
      <w:r>
        <w:rPr>
          <w:rFonts w:ascii="Times New Roman" w:eastAsia="Times New Roman" w:hAnsi="Times New Roman" w:cs="Times New Roman"/>
          <w:sz w:val="24"/>
          <w:szCs w:val="24"/>
          <w:lang w:val="es-VE" w:eastAsia="es-VE"/>
        </w:rPr>
        <w:t>DdP</w:t>
      </w:r>
      <w:proofErr w:type="spellEnd"/>
      <w:r w:rsidRPr="00DD5260">
        <w:rPr>
          <w:rFonts w:ascii="Times New Roman" w:eastAsia="Times New Roman" w:hAnsi="Times New Roman" w:cs="Times New Roman"/>
          <w:sz w:val="24"/>
          <w:szCs w:val="24"/>
          <w:lang w:val="es-VE" w:eastAsia="es-VE"/>
        </w:rPr>
        <w:t xml:space="preserve"> se incorporó </w:t>
      </w:r>
      <w:r w:rsidR="002F22A3">
        <w:rPr>
          <w:rFonts w:ascii="Times New Roman" w:eastAsia="Times New Roman" w:hAnsi="Times New Roman" w:cs="Times New Roman"/>
          <w:sz w:val="24"/>
          <w:szCs w:val="24"/>
          <w:lang w:val="es-VE" w:eastAsia="es-VE"/>
        </w:rPr>
        <w:t xml:space="preserve">activamente </w:t>
      </w:r>
      <w:r>
        <w:rPr>
          <w:rFonts w:ascii="Times New Roman" w:eastAsia="Times New Roman" w:hAnsi="Times New Roman" w:cs="Times New Roman"/>
          <w:sz w:val="24"/>
          <w:szCs w:val="24"/>
          <w:lang w:val="es-VE" w:eastAsia="es-VE"/>
        </w:rPr>
        <w:t xml:space="preserve">a </w:t>
      </w:r>
      <w:r w:rsidR="002F22A3">
        <w:rPr>
          <w:rFonts w:ascii="Times New Roman" w:eastAsia="Times New Roman" w:hAnsi="Times New Roman" w:cs="Times New Roman"/>
          <w:sz w:val="24"/>
          <w:szCs w:val="24"/>
          <w:lang w:val="es-VE" w:eastAsia="es-VE"/>
        </w:rPr>
        <w:t>l</w:t>
      </w:r>
      <w:r>
        <w:rPr>
          <w:rFonts w:ascii="Times New Roman" w:eastAsia="Times New Roman" w:hAnsi="Times New Roman" w:cs="Times New Roman"/>
          <w:sz w:val="24"/>
          <w:szCs w:val="24"/>
          <w:lang w:val="es-VE" w:eastAsia="es-VE"/>
        </w:rPr>
        <w:t>a</w:t>
      </w:r>
      <w:r w:rsidRPr="00DD5260">
        <w:rPr>
          <w:rFonts w:ascii="Times New Roman" w:eastAsia="Times New Roman" w:hAnsi="Times New Roman" w:cs="Times New Roman"/>
          <w:sz w:val="24"/>
          <w:szCs w:val="24"/>
          <w:lang w:val="es-VE" w:eastAsia="es-VE"/>
        </w:rPr>
        <w:t xml:space="preserve"> mesa </w:t>
      </w:r>
      <w:r w:rsidR="002F22A3">
        <w:rPr>
          <w:rFonts w:ascii="Times New Roman" w:eastAsia="Times New Roman" w:hAnsi="Times New Roman" w:cs="Times New Roman"/>
          <w:sz w:val="24"/>
          <w:szCs w:val="24"/>
          <w:lang w:val="es-VE" w:eastAsia="es-VE"/>
        </w:rPr>
        <w:t xml:space="preserve">de trabajo </w:t>
      </w:r>
      <w:r w:rsidRPr="00DD5260">
        <w:rPr>
          <w:rFonts w:ascii="Times New Roman" w:eastAsia="Times New Roman" w:hAnsi="Times New Roman" w:cs="Times New Roman"/>
          <w:sz w:val="24"/>
          <w:szCs w:val="24"/>
          <w:lang w:val="es-VE" w:eastAsia="es-VE"/>
        </w:rPr>
        <w:t xml:space="preserve">interinstitucional </w:t>
      </w:r>
      <w:r>
        <w:rPr>
          <w:rFonts w:ascii="Times New Roman" w:eastAsia="Times New Roman" w:hAnsi="Times New Roman" w:cs="Times New Roman"/>
          <w:sz w:val="24"/>
          <w:szCs w:val="24"/>
          <w:lang w:val="es-VE" w:eastAsia="es-VE"/>
        </w:rPr>
        <w:t xml:space="preserve">para </w:t>
      </w:r>
      <w:r w:rsidRPr="00DD5260">
        <w:rPr>
          <w:rFonts w:ascii="Times New Roman" w:eastAsia="Times New Roman" w:hAnsi="Times New Roman" w:cs="Times New Roman"/>
          <w:sz w:val="24"/>
          <w:szCs w:val="24"/>
          <w:lang w:val="es-VE" w:eastAsia="es-VE"/>
        </w:rPr>
        <w:t>elabor</w:t>
      </w:r>
      <w:r>
        <w:rPr>
          <w:rFonts w:ascii="Times New Roman" w:eastAsia="Times New Roman" w:hAnsi="Times New Roman" w:cs="Times New Roman"/>
          <w:sz w:val="24"/>
          <w:szCs w:val="24"/>
          <w:lang w:val="es-VE" w:eastAsia="es-VE"/>
        </w:rPr>
        <w:t>ar</w:t>
      </w:r>
      <w:r w:rsidRPr="00DD5260">
        <w:rPr>
          <w:rFonts w:ascii="Times New Roman" w:eastAsia="Times New Roman" w:hAnsi="Times New Roman" w:cs="Times New Roman"/>
          <w:sz w:val="24"/>
          <w:szCs w:val="24"/>
          <w:lang w:val="es-VE" w:eastAsia="es-VE"/>
        </w:rPr>
        <w:t xml:space="preserve"> </w:t>
      </w:r>
      <w:r>
        <w:rPr>
          <w:rFonts w:ascii="Times New Roman" w:eastAsia="Times New Roman" w:hAnsi="Times New Roman" w:cs="Times New Roman"/>
          <w:sz w:val="24"/>
          <w:szCs w:val="24"/>
          <w:lang w:val="es-VE" w:eastAsia="es-VE"/>
        </w:rPr>
        <w:t>una</w:t>
      </w:r>
      <w:r w:rsidRPr="00DD5260">
        <w:rPr>
          <w:rFonts w:ascii="Times New Roman" w:eastAsia="Times New Roman" w:hAnsi="Times New Roman" w:cs="Times New Roman"/>
          <w:sz w:val="24"/>
          <w:szCs w:val="24"/>
          <w:lang w:val="es-VE" w:eastAsia="es-VE"/>
        </w:rPr>
        <w:t xml:space="preserve"> campaña comunicacional que tuvo como fin la información, prevención y erradicación de la violencia hacia la</w:t>
      </w:r>
      <w:r w:rsidR="002F22A3">
        <w:rPr>
          <w:rFonts w:ascii="Times New Roman" w:eastAsia="Times New Roman" w:hAnsi="Times New Roman" w:cs="Times New Roman"/>
          <w:sz w:val="24"/>
          <w:szCs w:val="24"/>
          <w:lang w:val="es-VE" w:eastAsia="es-VE"/>
        </w:rPr>
        <w:t>s</w:t>
      </w:r>
      <w:r w:rsidRPr="00DD5260">
        <w:rPr>
          <w:rFonts w:ascii="Times New Roman" w:eastAsia="Times New Roman" w:hAnsi="Times New Roman" w:cs="Times New Roman"/>
          <w:sz w:val="24"/>
          <w:szCs w:val="24"/>
          <w:lang w:val="es-VE" w:eastAsia="es-VE"/>
        </w:rPr>
        <w:t xml:space="preserve"> mujer</w:t>
      </w:r>
      <w:r w:rsidR="002F22A3">
        <w:rPr>
          <w:rFonts w:ascii="Times New Roman" w:eastAsia="Times New Roman" w:hAnsi="Times New Roman" w:cs="Times New Roman"/>
          <w:sz w:val="24"/>
          <w:szCs w:val="24"/>
          <w:lang w:val="es-VE" w:eastAsia="es-VE"/>
        </w:rPr>
        <w:t>es</w:t>
      </w:r>
      <w:r w:rsidRPr="00DD5260">
        <w:rPr>
          <w:rFonts w:ascii="Times New Roman" w:eastAsia="Times New Roman" w:hAnsi="Times New Roman" w:cs="Times New Roman"/>
          <w:sz w:val="24"/>
          <w:szCs w:val="24"/>
          <w:lang w:val="es-VE" w:eastAsia="es-VE"/>
        </w:rPr>
        <w:t>. Asimismo, participó</w:t>
      </w:r>
      <w:r w:rsidRPr="00DD5260">
        <w:rPr>
          <w:rFonts w:ascii="Times New Roman" w:eastAsia="Calibri" w:hAnsi="Times New Roman" w:cs="Times New Roman"/>
          <w:kern w:val="2"/>
          <w:sz w:val="24"/>
          <w:szCs w:val="24"/>
          <w:lang w:val="es-VE"/>
        </w:rPr>
        <w:t xml:space="preserve"> en las discusiones convocadas por la Asamblea Nacional sobre el Proyecto de Ley Orgánica contra todo Tipo de Discriminación y también, para la divulgación de la Ley para la Promoción y Uso del Lenguaje con Enfoque </w:t>
      </w:r>
      <w:r w:rsidRPr="00DD5260">
        <w:rPr>
          <w:rFonts w:ascii="Times New Roman" w:eastAsia="Calibri" w:hAnsi="Times New Roman" w:cs="Times New Roman"/>
          <w:kern w:val="2"/>
          <w:sz w:val="24"/>
          <w:szCs w:val="24"/>
          <w:lang w:val="es-VE"/>
        </w:rPr>
        <w:lastRenderedPageBreak/>
        <w:t>de Género, con el propósito de lograr la disminución de estereotipos de género e</w:t>
      </w:r>
      <w:r>
        <w:rPr>
          <w:rFonts w:ascii="Times New Roman" w:eastAsia="Calibri" w:hAnsi="Times New Roman" w:cs="Times New Roman"/>
          <w:kern w:val="2"/>
          <w:sz w:val="24"/>
          <w:szCs w:val="24"/>
          <w:lang w:val="es-VE"/>
        </w:rPr>
        <w:t xml:space="preserve"> impulsar la</w:t>
      </w:r>
      <w:r w:rsidRPr="00DD5260">
        <w:rPr>
          <w:rFonts w:ascii="Times New Roman" w:eastAsia="Calibri" w:hAnsi="Times New Roman" w:cs="Times New Roman"/>
          <w:kern w:val="2"/>
          <w:sz w:val="24"/>
          <w:szCs w:val="24"/>
          <w:lang w:val="es-VE"/>
        </w:rPr>
        <w:t xml:space="preserve"> igualdad entre las mujeres y los hombres. </w:t>
      </w:r>
    </w:p>
    <w:p w:rsidR="004E0A7F" w:rsidRPr="00DD5260" w:rsidRDefault="004E0A7F" w:rsidP="004E0A7F">
      <w:pPr>
        <w:spacing w:after="0" w:line="240" w:lineRule="auto"/>
        <w:jc w:val="both"/>
        <w:rPr>
          <w:rFonts w:ascii="Times New Roman" w:eastAsia="Calibri" w:hAnsi="Times New Roman" w:cs="Times New Roman"/>
          <w:kern w:val="2"/>
          <w:sz w:val="24"/>
          <w:szCs w:val="24"/>
          <w:lang w:val="es-VE"/>
        </w:rPr>
      </w:pPr>
    </w:p>
    <w:p w:rsidR="004E0A7F" w:rsidRPr="00DD5260" w:rsidRDefault="004E0A7F" w:rsidP="004E0A7F">
      <w:pPr>
        <w:numPr>
          <w:ilvl w:val="0"/>
          <w:numId w:val="1"/>
        </w:numPr>
        <w:suppressAutoHyphens/>
        <w:spacing w:after="0" w:line="240" w:lineRule="auto"/>
        <w:jc w:val="both"/>
        <w:rPr>
          <w:rFonts w:ascii="Times New Roman" w:eastAsia="Calibri" w:hAnsi="Times New Roman" w:cs="Times New Roman"/>
          <w:kern w:val="2"/>
          <w:sz w:val="24"/>
          <w:szCs w:val="24"/>
          <w:lang w:val="es-VE"/>
        </w:rPr>
      </w:pPr>
      <w:r>
        <w:rPr>
          <w:rFonts w:ascii="Times New Roman" w:eastAsia="Calibri" w:hAnsi="Times New Roman" w:cs="Times New Roman"/>
          <w:kern w:val="2"/>
          <w:sz w:val="24"/>
          <w:szCs w:val="24"/>
          <w:lang w:val="es-VE"/>
        </w:rPr>
        <w:t>Esta</w:t>
      </w:r>
      <w:r w:rsidRPr="00DD5260">
        <w:rPr>
          <w:rFonts w:ascii="Times New Roman" w:eastAsia="Calibri" w:hAnsi="Times New Roman" w:cs="Times New Roman"/>
          <w:kern w:val="2"/>
          <w:sz w:val="24"/>
          <w:szCs w:val="24"/>
          <w:lang w:val="es-VE"/>
        </w:rPr>
        <w:t xml:space="preserve"> INDH, se ha caracterizado por incrementar la participación de las mujeres</w:t>
      </w:r>
      <w:r>
        <w:rPr>
          <w:rFonts w:ascii="Times New Roman" w:eastAsia="Calibri" w:hAnsi="Times New Roman" w:cs="Times New Roman"/>
          <w:kern w:val="2"/>
          <w:sz w:val="24"/>
          <w:szCs w:val="24"/>
          <w:lang w:val="es-VE"/>
        </w:rPr>
        <w:t xml:space="preserve"> en la institución</w:t>
      </w:r>
      <w:r w:rsidRPr="00DD5260">
        <w:rPr>
          <w:rFonts w:ascii="Times New Roman" w:eastAsia="Calibri" w:hAnsi="Times New Roman" w:cs="Times New Roman"/>
          <w:kern w:val="2"/>
          <w:sz w:val="24"/>
          <w:szCs w:val="24"/>
          <w:lang w:val="es-VE"/>
        </w:rPr>
        <w:t xml:space="preserve">, velando por el derecho a la igualdad y representación de las mismas en </w:t>
      </w:r>
      <w:r>
        <w:rPr>
          <w:rFonts w:ascii="Times New Roman" w:eastAsia="Calibri" w:hAnsi="Times New Roman" w:cs="Times New Roman"/>
          <w:kern w:val="2"/>
          <w:sz w:val="24"/>
          <w:szCs w:val="24"/>
          <w:lang w:val="es-VE"/>
        </w:rPr>
        <w:t xml:space="preserve">todos </w:t>
      </w:r>
      <w:r w:rsidRPr="00DD5260">
        <w:rPr>
          <w:rFonts w:ascii="Times New Roman" w:eastAsia="Calibri" w:hAnsi="Times New Roman" w:cs="Times New Roman"/>
          <w:kern w:val="2"/>
          <w:sz w:val="24"/>
          <w:szCs w:val="24"/>
          <w:lang w:val="es-VE"/>
        </w:rPr>
        <w:t xml:space="preserve">los cargos. En este sentido, se destaca que </w:t>
      </w:r>
      <w:r>
        <w:rPr>
          <w:rFonts w:ascii="Times New Roman" w:eastAsia="Calibri" w:hAnsi="Times New Roman" w:cs="Times New Roman"/>
          <w:kern w:val="2"/>
          <w:sz w:val="24"/>
          <w:szCs w:val="24"/>
          <w:lang w:val="es-VE"/>
        </w:rPr>
        <w:t xml:space="preserve">en </w:t>
      </w:r>
      <w:r w:rsidRPr="00DD5260">
        <w:rPr>
          <w:rFonts w:ascii="Times New Roman" w:eastAsia="Calibri" w:hAnsi="Times New Roman" w:cs="Times New Roman"/>
          <w:kern w:val="2"/>
          <w:sz w:val="24"/>
          <w:szCs w:val="24"/>
          <w:lang w:val="es-VE"/>
        </w:rPr>
        <w:t>cargos directivos  se cuenta con cincuenta y cuatro (54) mujeres; en administrativos trescientos cincuenta y cinco (355) mujeres; y obreras tres (3); mientras que contratadas veinte (20); en comisión de servicio cinco (5);</w:t>
      </w:r>
      <w:r>
        <w:rPr>
          <w:rFonts w:ascii="Times New Roman" w:eastAsia="Calibri" w:hAnsi="Times New Roman" w:cs="Times New Roman"/>
          <w:kern w:val="2"/>
          <w:sz w:val="24"/>
          <w:szCs w:val="24"/>
          <w:lang w:val="es-VE"/>
        </w:rPr>
        <w:t xml:space="preserve"> pensionadas diecinueve</w:t>
      </w:r>
      <w:r w:rsidRPr="00DD5260">
        <w:rPr>
          <w:rFonts w:ascii="Times New Roman" w:eastAsia="Calibri" w:hAnsi="Times New Roman" w:cs="Times New Roman"/>
          <w:kern w:val="2"/>
          <w:sz w:val="24"/>
          <w:szCs w:val="24"/>
          <w:lang w:val="es-VE"/>
        </w:rPr>
        <w:t xml:space="preserve"> (1</w:t>
      </w:r>
      <w:r>
        <w:rPr>
          <w:rFonts w:ascii="Times New Roman" w:eastAsia="Calibri" w:hAnsi="Times New Roman" w:cs="Times New Roman"/>
          <w:kern w:val="2"/>
          <w:sz w:val="24"/>
          <w:szCs w:val="24"/>
          <w:lang w:val="es-VE"/>
        </w:rPr>
        <w:t>9)</w:t>
      </w:r>
      <w:r w:rsidRPr="00DD5260">
        <w:rPr>
          <w:rFonts w:ascii="Times New Roman" w:eastAsia="Calibri" w:hAnsi="Times New Roman" w:cs="Times New Roman"/>
          <w:kern w:val="2"/>
          <w:sz w:val="24"/>
          <w:szCs w:val="24"/>
          <w:lang w:val="es-VE"/>
        </w:rPr>
        <w:t>; y ochenta y nueve (89) jubiladas; para un total de quinientas cuarenta y cinco (545) mujeres, de una población de novecientos cuarenta y siete (947) trabajadoras y trabajadores, siendo el porcentaje de cincuenta y siete coma cincuenta y cinco por ciento (57.55%) de participación de las mujeres dentro de la organización</w:t>
      </w:r>
      <w:r w:rsidRPr="00DD5260">
        <w:rPr>
          <w:rFonts w:ascii="Times New Roman" w:eastAsia="Calibri" w:hAnsi="Times New Roman" w:cs="Times New Roman"/>
          <w:kern w:val="2"/>
          <w:sz w:val="24"/>
          <w:szCs w:val="24"/>
          <w:vertAlign w:val="superscript"/>
          <w:lang w:val="es-VE"/>
        </w:rPr>
        <w:footnoteReference w:id="12"/>
      </w:r>
      <w:r w:rsidRPr="00DD5260">
        <w:rPr>
          <w:rFonts w:ascii="Times New Roman" w:eastAsia="Calibri" w:hAnsi="Times New Roman" w:cs="Times New Roman"/>
          <w:kern w:val="2"/>
          <w:sz w:val="24"/>
          <w:szCs w:val="24"/>
          <w:lang w:val="es-VE"/>
        </w:rPr>
        <w:t>.</w:t>
      </w:r>
    </w:p>
    <w:p w:rsidR="004E0A7F" w:rsidRPr="00DD5260" w:rsidRDefault="004E0A7F" w:rsidP="004E0A7F">
      <w:pPr>
        <w:keepNext/>
        <w:keepLines/>
        <w:tabs>
          <w:tab w:val="right" w:pos="851"/>
        </w:tabs>
        <w:suppressAutoHyphens/>
        <w:spacing w:before="360" w:after="240" w:line="240" w:lineRule="auto"/>
        <w:ind w:right="1134"/>
        <w:jc w:val="both"/>
        <w:rPr>
          <w:rFonts w:ascii="Times New Roman" w:eastAsia="Times New Roman" w:hAnsi="Times New Roman" w:cs="Times New Roman"/>
          <w:b/>
          <w:sz w:val="24"/>
          <w:szCs w:val="24"/>
          <w:lang w:val="es-ES_tradnl" w:eastAsia="es-ES"/>
        </w:rPr>
      </w:pPr>
      <w:r w:rsidRPr="00DD5260">
        <w:rPr>
          <w:rFonts w:ascii="Times New Roman" w:eastAsia="Times New Roman" w:hAnsi="Times New Roman" w:cs="Times New Roman"/>
          <w:b/>
          <w:sz w:val="24"/>
          <w:szCs w:val="24"/>
          <w:lang w:val="es-ES_tradnl" w:eastAsia="es-ES"/>
        </w:rPr>
        <w:t>Violencia contra la mujer, incluida la violencia doméstica (arts. 2, 3, 6,7 y 26)</w:t>
      </w:r>
    </w:p>
    <w:p w:rsidR="004E0A7F" w:rsidRPr="00DD5260" w:rsidRDefault="004E0A7F" w:rsidP="004E0A7F">
      <w:pPr>
        <w:numPr>
          <w:ilvl w:val="0"/>
          <w:numId w:val="1"/>
        </w:numPr>
        <w:pBdr>
          <w:top w:val="nil"/>
          <w:left w:val="nil"/>
          <w:bottom w:val="nil"/>
          <w:right w:val="nil"/>
          <w:between w:val="nil"/>
        </w:pBdr>
        <w:tabs>
          <w:tab w:val="left" w:pos="0"/>
        </w:tabs>
        <w:suppressAutoHyphens/>
        <w:autoSpaceDE w:val="0"/>
        <w:autoSpaceDN w:val="0"/>
        <w:adjustRightInd w:val="0"/>
        <w:spacing w:before="120" w:after="120" w:line="240" w:lineRule="auto"/>
        <w:jc w:val="both"/>
        <w:rPr>
          <w:rFonts w:ascii="Times New Roman" w:eastAsia="Times New Roman" w:hAnsi="Times New Roman" w:cs="Times New Roman"/>
          <w:sz w:val="24"/>
          <w:szCs w:val="24"/>
          <w:lang w:eastAsia="x-none"/>
        </w:rPr>
      </w:pPr>
      <w:r w:rsidRPr="00DD5260">
        <w:rPr>
          <w:rFonts w:ascii="Times New Roman" w:eastAsia="Times New Roman" w:hAnsi="Times New Roman" w:cs="Times New Roman"/>
          <w:sz w:val="24"/>
          <w:szCs w:val="24"/>
          <w:lang w:val="es-VE" w:eastAsia="es-VE"/>
        </w:rPr>
        <w:t>La Institución Nacional de Derechos Humanos (INDH) de Venezuela, cuenta con</w:t>
      </w:r>
      <w:r w:rsidRPr="00DD5260">
        <w:rPr>
          <w:rFonts w:ascii="Times New Roman" w:eastAsia="Times New Roman" w:hAnsi="Times New Roman" w:cs="Times New Roman"/>
          <w:sz w:val="24"/>
          <w:szCs w:val="24"/>
          <w:lang w:eastAsia="x-none"/>
        </w:rPr>
        <w:t xml:space="preserve"> una Defensoría Delegada Especial con competencia a nivel nacional sobre los Derechos de la</w:t>
      </w:r>
      <w:r>
        <w:rPr>
          <w:rFonts w:ascii="Times New Roman" w:eastAsia="Times New Roman" w:hAnsi="Times New Roman" w:cs="Times New Roman"/>
          <w:sz w:val="24"/>
          <w:szCs w:val="24"/>
          <w:lang w:eastAsia="x-none"/>
        </w:rPr>
        <w:t>s</w:t>
      </w:r>
      <w:r w:rsidRPr="00DD5260">
        <w:rPr>
          <w:rFonts w:ascii="Times New Roman" w:eastAsia="Times New Roman" w:hAnsi="Times New Roman" w:cs="Times New Roman"/>
          <w:sz w:val="24"/>
          <w:szCs w:val="24"/>
          <w:lang w:eastAsia="x-none"/>
        </w:rPr>
        <w:t xml:space="preserve"> Mujer</w:t>
      </w:r>
      <w:r>
        <w:rPr>
          <w:rFonts w:ascii="Times New Roman" w:eastAsia="Times New Roman" w:hAnsi="Times New Roman" w:cs="Times New Roman"/>
          <w:sz w:val="24"/>
          <w:szCs w:val="24"/>
          <w:lang w:eastAsia="x-none"/>
        </w:rPr>
        <w:t>es, la cual</w:t>
      </w:r>
      <w:r w:rsidRPr="00DD5260">
        <w:rPr>
          <w:rFonts w:ascii="Times New Roman" w:eastAsia="Times New Roman" w:hAnsi="Times New Roman" w:cs="Times New Roman"/>
          <w:sz w:val="24"/>
          <w:szCs w:val="24"/>
          <w:lang w:eastAsia="x-none"/>
        </w:rPr>
        <w:t xml:space="preserve"> es una unidad técnica asesora para el diseño de las líneas </w:t>
      </w:r>
      <w:proofErr w:type="spellStart"/>
      <w:r w:rsidRPr="00DD5260">
        <w:rPr>
          <w:rFonts w:ascii="Times New Roman" w:eastAsia="Times New Roman" w:hAnsi="Times New Roman" w:cs="Times New Roman"/>
          <w:sz w:val="24"/>
          <w:szCs w:val="24"/>
          <w:lang w:eastAsia="x-none"/>
        </w:rPr>
        <w:t>defensoriales</w:t>
      </w:r>
      <w:proofErr w:type="spellEnd"/>
      <w:r w:rsidRPr="00DD5260">
        <w:rPr>
          <w:rFonts w:ascii="Times New Roman" w:eastAsia="Times New Roman" w:hAnsi="Times New Roman" w:cs="Times New Roman"/>
          <w:sz w:val="24"/>
          <w:szCs w:val="24"/>
          <w:lang w:eastAsia="x-none"/>
        </w:rPr>
        <w:t xml:space="preserve"> para la defensa, promoción y vigilancia de los derechos humanos de las mujeres.</w:t>
      </w:r>
    </w:p>
    <w:p w:rsidR="004E0A7F" w:rsidRPr="00DD5260" w:rsidRDefault="004E0A7F" w:rsidP="004E0A7F">
      <w:pPr>
        <w:numPr>
          <w:ilvl w:val="0"/>
          <w:numId w:val="1"/>
        </w:numPr>
        <w:pBdr>
          <w:top w:val="nil"/>
          <w:left w:val="nil"/>
          <w:bottom w:val="nil"/>
          <w:right w:val="nil"/>
          <w:between w:val="nil"/>
        </w:pBdr>
        <w:tabs>
          <w:tab w:val="left" w:pos="0"/>
        </w:tabs>
        <w:suppressAutoHyphens/>
        <w:autoSpaceDE w:val="0"/>
        <w:autoSpaceDN w:val="0"/>
        <w:adjustRightInd w:val="0"/>
        <w:spacing w:before="120" w:after="120" w:line="240" w:lineRule="auto"/>
        <w:jc w:val="both"/>
        <w:rPr>
          <w:rFonts w:ascii="Times New Roman" w:eastAsia="Times New Roman" w:hAnsi="Times New Roman" w:cs="Times New Roman"/>
          <w:sz w:val="24"/>
          <w:szCs w:val="24"/>
          <w:lang w:eastAsia="x-none"/>
        </w:rPr>
      </w:pPr>
      <w:r w:rsidRPr="00DD5260">
        <w:rPr>
          <w:rFonts w:ascii="Times New Roman" w:eastAsia="Times New Roman" w:hAnsi="Times New Roman" w:cs="Times New Roman"/>
          <w:sz w:val="24"/>
          <w:szCs w:val="24"/>
          <w:lang w:eastAsia="x-none"/>
        </w:rPr>
        <w:t>Desde la Defensoría del Pueblo (</w:t>
      </w:r>
      <w:proofErr w:type="spellStart"/>
      <w:r w:rsidRPr="00DD5260">
        <w:rPr>
          <w:rFonts w:ascii="Times New Roman" w:eastAsia="Times New Roman" w:hAnsi="Times New Roman" w:cs="Times New Roman"/>
          <w:sz w:val="24"/>
          <w:szCs w:val="24"/>
          <w:lang w:eastAsia="x-none"/>
        </w:rPr>
        <w:t>DdP</w:t>
      </w:r>
      <w:proofErr w:type="spellEnd"/>
      <w:r w:rsidRPr="00DD5260">
        <w:rPr>
          <w:rFonts w:ascii="Times New Roman" w:eastAsia="Times New Roman" w:hAnsi="Times New Roman" w:cs="Times New Roman"/>
          <w:sz w:val="24"/>
          <w:szCs w:val="24"/>
          <w:lang w:eastAsia="x-none"/>
        </w:rPr>
        <w:t>), se implementaron diversas actividades de formación sobre la prevención y el abordaje de la violencia contra las mujeres. En este sentido, se realizaron talleres, charlas, foros, jornadas, conversatorios y cursos, abordando las siguientes temáticas: Derechos humanos y equidad de género; Género y masculinidades; Prevención de la violencia de género; Mujeres y equidad de género; Violencia basada en género, entre otros. Así como, la divulgación de la segunda reforma de la Ley Orgánica Sobre el Derecho de las Mujeres a Una Vida Libre de Violencia y el Seminario Derechos de las Humanas</w:t>
      </w:r>
      <w:r>
        <w:rPr>
          <w:rFonts w:ascii="Times New Roman" w:eastAsia="Times New Roman" w:hAnsi="Times New Roman" w:cs="Times New Roman"/>
          <w:sz w:val="24"/>
          <w:szCs w:val="24"/>
          <w:lang w:eastAsia="x-none"/>
        </w:rPr>
        <w:t>. S</w:t>
      </w:r>
      <w:r w:rsidRPr="00DD5260">
        <w:rPr>
          <w:rFonts w:ascii="Times New Roman" w:eastAsia="Times New Roman" w:hAnsi="Times New Roman" w:cs="Times New Roman"/>
          <w:sz w:val="24"/>
          <w:szCs w:val="24"/>
          <w:lang w:eastAsia="x-none"/>
        </w:rPr>
        <w:t>e realizaron mil quinientas diez (1.510) actividades de formación, educación y promoción</w:t>
      </w:r>
      <w:r w:rsidRPr="00DD5260">
        <w:rPr>
          <w:rFonts w:ascii="Times New Roman" w:eastAsia="Times New Roman" w:hAnsi="Times New Roman" w:cs="Times New Roman"/>
          <w:sz w:val="24"/>
          <w:szCs w:val="24"/>
          <w:vertAlign w:val="superscript"/>
          <w:lang w:eastAsia="x-none"/>
        </w:rPr>
        <w:footnoteReference w:id="13"/>
      </w:r>
      <w:r w:rsidRPr="00DD5260">
        <w:rPr>
          <w:rFonts w:ascii="Times New Roman" w:eastAsia="Times New Roman" w:hAnsi="Times New Roman" w:cs="Times New Roman"/>
          <w:sz w:val="24"/>
          <w:szCs w:val="24"/>
          <w:lang w:eastAsia="x-none"/>
        </w:rPr>
        <w:t xml:space="preserve"> a escala nacional, donde se formaron treinta y nueve mil cuatrocientas cuatro (39.404) personas; siendo  </w:t>
      </w:r>
      <w:r w:rsidRPr="00246D3B">
        <w:rPr>
          <w:rFonts w:ascii="Times New Roman" w:eastAsia="Times New Roman" w:hAnsi="Times New Roman" w:cs="Times New Roman"/>
          <w:sz w:val="24"/>
          <w:szCs w:val="24"/>
          <w:lang w:eastAsia="x-none"/>
        </w:rPr>
        <w:t>veintidós</w:t>
      </w:r>
      <w:r w:rsidRPr="00DD5260">
        <w:rPr>
          <w:rFonts w:ascii="Times New Roman" w:eastAsia="Times New Roman" w:hAnsi="Times New Roman" w:cs="Times New Roman"/>
          <w:sz w:val="24"/>
          <w:szCs w:val="24"/>
          <w:lang w:eastAsia="x-none"/>
        </w:rPr>
        <w:t xml:space="preserve"> mil ochocientas cincuenta y cinco (22.855) femeninas y </w:t>
      </w:r>
      <w:r w:rsidRPr="00246D3B">
        <w:rPr>
          <w:rFonts w:ascii="Times New Roman" w:eastAsia="Times New Roman" w:hAnsi="Times New Roman" w:cs="Times New Roman"/>
          <w:sz w:val="24"/>
          <w:szCs w:val="24"/>
          <w:lang w:eastAsia="x-none"/>
        </w:rPr>
        <w:t>dieciséis</w:t>
      </w:r>
      <w:r w:rsidRPr="00DD5260">
        <w:rPr>
          <w:rFonts w:ascii="Times New Roman" w:eastAsia="Times New Roman" w:hAnsi="Times New Roman" w:cs="Times New Roman"/>
          <w:sz w:val="24"/>
          <w:szCs w:val="24"/>
          <w:lang w:eastAsia="x-none"/>
        </w:rPr>
        <w:t xml:space="preserve"> mil quinientas treinta (16.530) masculinos</w:t>
      </w:r>
      <w:r w:rsidRPr="00DD5260">
        <w:rPr>
          <w:rFonts w:ascii="Times New Roman" w:eastAsia="Times New Roman" w:hAnsi="Times New Roman" w:cs="Times New Roman"/>
          <w:sz w:val="24"/>
          <w:szCs w:val="24"/>
          <w:vertAlign w:val="superscript"/>
          <w:lang w:eastAsia="x-none"/>
        </w:rPr>
        <w:footnoteReference w:id="14"/>
      </w:r>
      <w:r w:rsidRPr="00DD5260">
        <w:rPr>
          <w:rFonts w:ascii="Times New Roman" w:eastAsia="Times New Roman" w:hAnsi="Times New Roman" w:cs="Times New Roman"/>
          <w:sz w:val="24"/>
          <w:szCs w:val="24"/>
          <w:lang w:eastAsia="x-none"/>
        </w:rPr>
        <w:t xml:space="preserve">. </w:t>
      </w:r>
    </w:p>
    <w:p w:rsidR="004E0A7F" w:rsidRDefault="004E0A7F" w:rsidP="004E0A7F">
      <w:pPr>
        <w:numPr>
          <w:ilvl w:val="0"/>
          <w:numId w:val="1"/>
        </w:numPr>
        <w:pBdr>
          <w:top w:val="nil"/>
          <w:left w:val="nil"/>
          <w:bottom w:val="nil"/>
          <w:right w:val="nil"/>
          <w:between w:val="nil"/>
        </w:pBdr>
        <w:tabs>
          <w:tab w:val="left" w:pos="0"/>
        </w:tabs>
        <w:suppressAutoHyphens/>
        <w:autoSpaceDE w:val="0"/>
        <w:autoSpaceDN w:val="0"/>
        <w:adjustRightInd w:val="0"/>
        <w:spacing w:before="120" w:after="120" w:line="240" w:lineRule="auto"/>
        <w:jc w:val="both"/>
        <w:rPr>
          <w:rFonts w:ascii="Times New Roman" w:eastAsia="Times New Roman" w:hAnsi="Times New Roman" w:cs="Times New Roman"/>
          <w:sz w:val="24"/>
          <w:szCs w:val="24"/>
          <w:lang w:val="es-VE" w:eastAsia="es-VE"/>
        </w:rPr>
      </w:pPr>
      <w:r w:rsidRPr="00DD5260">
        <w:rPr>
          <w:rFonts w:ascii="Times New Roman" w:eastAsia="Times New Roman" w:hAnsi="Times New Roman" w:cs="Times New Roman"/>
          <w:sz w:val="24"/>
          <w:szCs w:val="24"/>
          <w:lang w:val="es-VE" w:eastAsia="es-VE"/>
        </w:rPr>
        <w:lastRenderedPageBreak/>
        <w:t xml:space="preserve">La </w:t>
      </w:r>
      <w:proofErr w:type="spellStart"/>
      <w:r w:rsidRPr="00DD5260">
        <w:rPr>
          <w:rFonts w:ascii="Times New Roman" w:eastAsia="Times New Roman" w:hAnsi="Times New Roman" w:cs="Times New Roman"/>
          <w:sz w:val="24"/>
          <w:szCs w:val="24"/>
          <w:lang w:val="es-VE" w:eastAsia="es-VE"/>
        </w:rPr>
        <w:t>DdP</w:t>
      </w:r>
      <w:proofErr w:type="spellEnd"/>
      <w:r w:rsidRPr="00DD5260">
        <w:rPr>
          <w:rFonts w:ascii="Times New Roman" w:eastAsia="Times New Roman" w:hAnsi="Times New Roman" w:cs="Times New Roman"/>
          <w:sz w:val="24"/>
          <w:szCs w:val="24"/>
          <w:lang w:val="es-VE" w:eastAsia="es-VE"/>
        </w:rPr>
        <w:t xml:space="preserve"> </w:t>
      </w:r>
      <w:r>
        <w:rPr>
          <w:rFonts w:ascii="Times New Roman" w:eastAsia="Times New Roman" w:hAnsi="Times New Roman" w:cs="Times New Roman"/>
          <w:sz w:val="24"/>
          <w:szCs w:val="24"/>
          <w:lang w:val="es-VE" w:eastAsia="es-VE"/>
        </w:rPr>
        <w:t>documentó</w:t>
      </w:r>
      <w:r w:rsidRPr="00DD5260">
        <w:rPr>
          <w:rFonts w:ascii="Times New Roman" w:eastAsia="Times New Roman" w:hAnsi="Times New Roman" w:cs="Times New Roman"/>
          <w:sz w:val="24"/>
          <w:szCs w:val="24"/>
          <w:lang w:val="es-VE" w:eastAsia="es-VE"/>
        </w:rPr>
        <w:t xml:space="preserve"> mil doscientas veintiséis (1226)</w:t>
      </w:r>
      <w:r w:rsidRPr="00DD5260">
        <w:rPr>
          <w:rFonts w:ascii="Times New Roman" w:eastAsia="Times New Roman" w:hAnsi="Times New Roman" w:cs="Times New Roman"/>
          <w:sz w:val="24"/>
          <w:szCs w:val="24"/>
          <w:vertAlign w:val="superscript"/>
          <w:lang w:val="es-VE" w:eastAsia="es-VE"/>
        </w:rPr>
        <w:footnoteReference w:id="15"/>
      </w:r>
      <w:r w:rsidRPr="00DD5260">
        <w:rPr>
          <w:rFonts w:ascii="Times New Roman" w:eastAsia="Times New Roman" w:hAnsi="Times New Roman" w:cs="Times New Roman"/>
          <w:sz w:val="24"/>
          <w:szCs w:val="24"/>
          <w:lang w:val="es-VE" w:eastAsia="es-VE"/>
        </w:rPr>
        <w:t xml:space="preserve"> denuncias, quejas y peticiones por violencia basada en género, las cuales fueron remitidas al órgano tutelar de la acción penal – Ministerio Público. Dichos casos, son sustanciados y se les hace seguimiento desde la INDH.</w:t>
      </w:r>
      <w:r>
        <w:rPr>
          <w:rFonts w:ascii="Times New Roman" w:eastAsia="Times New Roman" w:hAnsi="Times New Roman" w:cs="Times New Roman"/>
          <w:sz w:val="24"/>
          <w:szCs w:val="24"/>
          <w:lang w:val="es-VE" w:eastAsia="es-VE"/>
        </w:rPr>
        <w:t xml:space="preserve"> </w:t>
      </w:r>
    </w:p>
    <w:p w:rsidR="004E0A7F" w:rsidRPr="00393D6C" w:rsidRDefault="004E0A7F" w:rsidP="004E0A7F">
      <w:pPr>
        <w:pBdr>
          <w:top w:val="nil"/>
          <w:left w:val="nil"/>
          <w:bottom w:val="nil"/>
          <w:right w:val="nil"/>
          <w:between w:val="nil"/>
        </w:pBdr>
        <w:tabs>
          <w:tab w:val="left" w:pos="0"/>
        </w:tabs>
        <w:suppressAutoHyphens/>
        <w:autoSpaceDE w:val="0"/>
        <w:autoSpaceDN w:val="0"/>
        <w:adjustRightInd w:val="0"/>
        <w:spacing w:before="120" w:after="120" w:line="240" w:lineRule="auto"/>
        <w:ind w:left="720"/>
        <w:jc w:val="both"/>
        <w:rPr>
          <w:rFonts w:ascii="Times New Roman" w:eastAsia="Times New Roman" w:hAnsi="Times New Roman" w:cs="Times New Roman"/>
          <w:sz w:val="24"/>
          <w:szCs w:val="24"/>
          <w:lang w:val="es-VE" w:eastAsia="es-VE"/>
        </w:rPr>
      </w:pPr>
      <w:r w:rsidRPr="00393D6C">
        <w:rPr>
          <w:rFonts w:ascii="Times New Roman" w:eastAsia="Times New Roman" w:hAnsi="Times New Roman" w:cs="Times New Roman"/>
          <w:sz w:val="24"/>
          <w:szCs w:val="24"/>
          <w:lang w:val="es-VE" w:eastAsia="es-VE"/>
        </w:rPr>
        <w:t>La Institución, valora el esfuerzo en 2021 en reformar la Ley Orgánica sobre el Derecho de las Mujeres a una Vida Libre de Violencia (LOSDMVLV)</w:t>
      </w:r>
      <w:r>
        <w:rPr>
          <w:rStyle w:val="Refdenotaalpie"/>
          <w:rFonts w:ascii="Times New Roman" w:eastAsia="Times New Roman" w:hAnsi="Times New Roman" w:cs="Times New Roman"/>
          <w:sz w:val="24"/>
          <w:szCs w:val="24"/>
          <w:lang w:val="es-VE" w:eastAsia="es-VE"/>
        </w:rPr>
        <w:footnoteReference w:id="16"/>
      </w:r>
      <w:r w:rsidRPr="00393D6C">
        <w:rPr>
          <w:rFonts w:ascii="Times New Roman" w:eastAsia="Times New Roman" w:hAnsi="Times New Roman" w:cs="Times New Roman"/>
          <w:sz w:val="24"/>
          <w:szCs w:val="24"/>
          <w:lang w:val="es-VE" w:eastAsia="es-VE"/>
        </w:rPr>
        <w:t xml:space="preserve"> en la cual se incorporaron otras formas de violencia contra la mujer como: la violencia familiar, </w:t>
      </w:r>
      <w:r>
        <w:rPr>
          <w:rFonts w:ascii="Times New Roman" w:eastAsia="Times New Roman" w:hAnsi="Times New Roman" w:cs="Times New Roman"/>
          <w:sz w:val="24"/>
          <w:szCs w:val="24"/>
          <w:lang w:val="es-VE" w:eastAsia="es-VE"/>
        </w:rPr>
        <w:t xml:space="preserve">la </w:t>
      </w:r>
      <w:r w:rsidRPr="00393D6C">
        <w:rPr>
          <w:rFonts w:ascii="Times New Roman" w:eastAsia="Times New Roman" w:hAnsi="Times New Roman" w:cs="Times New Roman"/>
          <w:sz w:val="24"/>
          <w:szCs w:val="24"/>
          <w:lang w:val="es-VE" w:eastAsia="es-VE"/>
        </w:rPr>
        <w:t xml:space="preserve">informática, </w:t>
      </w:r>
      <w:r>
        <w:rPr>
          <w:rFonts w:ascii="Times New Roman" w:eastAsia="Times New Roman" w:hAnsi="Times New Roman" w:cs="Times New Roman"/>
          <w:sz w:val="24"/>
          <w:szCs w:val="24"/>
          <w:lang w:val="es-VE" w:eastAsia="es-VE"/>
        </w:rPr>
        <w:t xml:space="preserve">la </w:t>
      </w:r>
      <w:r w:rsidRPr="00393D6C">
        <w:rPr>
          <w:rFonts w:ascii="Times New Roman" w:eastAsia="Times New Roman" w:hAnsi="Times New Roman" w:cs="Times New Roman"/>
          <w:sz w:val="24"/>
          <w:szCs w:val="24"/>
          <w:lang w:val="es-VE" w:eastAsia="es-VE"/>
        </w:rPr>
        <w:t xml:space="preserve">política y la </w:t>
      </w:r>
      <w:proofErr w:type="spellStart"/>
      <w:r w:rsidRPr="00393D6C">
        <w:rPr>
          <w:rFonts w:ascii="Times New Roman" w:eastAsia="Times New Roman" w:hAnsi="Times New Roman" w:cs="Times New Roman"/>
          <w:sz w:val="24"/>
          <w:szCs w:val="24"/>
          <w:lang w:val="es-VE" w:eastAsia="es-VE"/>
        </w:rPr>
        <w:t>multicausal</w:t>
      </w:r>
      <w:proofErr w:type="spellEnd"/>
      <w:r w:rsidRPr="00393D6C">
        <w:rPr>
          <w:rFonts w:ascii="Times New Roman" w:eastAsia="Times New Roman" w:hAnsi="Times New Roman" w:cs="Times New Roman"/>
          <w:sz w:val="24"/>
          <w:szCs w:val="24"/>
          <w:lang w:val="es-VE" w:eastAsia="es-VE"/>
        </w:rPr>
        <w:t xml:space="preserve"> como nuevos tipos penales, con lo cual se establece un total de 25 formas de violencia contra las mujeres</w:t>
      </w:r>
      <w:r>
        <w:rPr>
          <w:rFonts w:ascii="Times New Roman" w:eastAsia="Times New Roman" w:hAnsi="Times New Roman" w:cs="Times New Roman"/>
          <w:sz w:val="24"/>
          <w:szCs w:val="24"/>
          <w:lang w:val="es-VE" w:eastAsia="es-VE"/>
        </w:rPr>
        <w:t xml:space="preserve"> tipificadas y penadas específicamente</w:t>
      </w:r>
      <w:r w:rsidRPr="00393D6C">
        <w:rPr>
          <w:rFonts w:ascii="Times New Roman" w:eastAsia="Times New Roman" w:hAnsi="Times New Roman" w:cs="Times New Roman"/>
          <w:sz w:val="24"/>
          <w:szCs w:val="24"/>
          <w:lang w:val="es-VE" w:eastAsia="es-VE"/>
        </w:rPr>
        <w:t xml:space="preserve">. De igual forma, complace la ejecución de políticas públicas implementadas a favor de los derechos de las mujeres, </w:t>
      </w:r>
      <w:r>
        <w:rPr>
          <w:rFonts w:ascii="Times New Roman" w:eastAsia="Times New Roman" w:hAnsi="Times New Roman" w:cs="Times New Roman"/>
          <w:sz w:val="24"/>
          <w:szCs w:val="24"/>
          <w:lang w:val="es-VE" w:eastAsia="es-VE"/>
        </w:rPr>
        <w:t>en avance a ello</w:t>
      </w:r>
      <w:r w:rsidRPr="00393D6C">
        <w:rPr>
          <w:rFonts w:ascii="Times New Roman" w:eastAsia="Times New Roman" w:hAnsi="Times New Roman" w:cs="Times New Roman"/>
          <w:sz w:val="24"/>
          <w:szCs w:val="24"/>
          <w:lang w:val="es-VE" w:eastAsia="es-VE"/>
        </w:rPr>
        <w:t>, esta INDH ha recomendado que es imperiosa la necesidad de elaborar, aprobar y aplicar el reglamento de la Ley Orgánica Sobre el Derecho las Mujeres a Una Vida Libre de Violencia, con el fin de fortalecer los derechos de las mujeres;</w:t>
      </w:r>
      <w:r>
        <w:rPr>
          <w:rFonts w:ascii="Times New Roman" w:eastAsia="Times New Roman" w:hAnsi="Times New Roman" w:cs="Times New Roman"/>
          <w:sz w:val="24"/>
          <w:szCs w:val="24"/>
          <w:lang w:val="es-VE" w:eastAsia="es-VE"/>
        </w:rPr>
        <w:t xml:space="preserve"> y la multiplicación</w:t>
      </w:r>
      <w:r w:rsidRPr="00393D6C">
        <w:rPr>
          <w:rFonts w:ascii="Times New Roman" w:eastAsia="Times New Roman" w:hAnsi="Times New Roman" w:cs="Times New Roman"/>
          <w:sz w:val="24"/>
          <w:szCs w:val="24"/>
          <w:lang w:val="es-VE" w:eastAsia="es-VE"/>
        </w:rPr>
        <w:t xml:space="preserve"> a escala nacional de las casas de abrigo para la protección de mujeres víctimas de violencia basada en género.</w:t>
      </w:r>
    </w:p>
    <w:p w:rsidR="004E0A7F" w:rsidRDefault="004E0A7F" w:rsidP="004E0A7F">
      <w:pPr>
        <w:pStyle w:val="SingleTxtG"/>
        <w:tabs>
          <w:tab w:val="clear" w:pos="1701"/>
          <w:tab w:val="clear" w:pos="2268"/>
          <w:tab w:val="clear" w:pos="2835"/>
          <w:tab w:val="left" w:pos="1276"/>
        </w:tabs>
        <w:spacing w:after="0" w:line="240" w:lineRule="auto"/>
        <w:ind w:right="51"/>
        <w:contextualSpacing/>
        <w:rPr>
          <w:sz w:val="24"/>
          <w:szCs w:val="24"/>
          <w:lang w:val="es-VE" w:eastAsia="es-VE"/>
        </w:rPr>
      </w:pPr>
    </w:p>
    <w:p w:rsidR="004E0A7F" w:rsidRPr="009010DA" w:rsidRDefault="004E0A7F" w:rsidP="004E0A7F">
      <w:pPr>
        <w:numPr>
          <w:ilvl w:val="0"/>
          <w:numId w:val="1"/>
        </w:numPr>
        <w:suppressAutoHyphens/>
        <w:spacing w:after="160" w:line="240" w:lineRule="auto"/>
        <w:jc w:val="both"/>
        <w:rPr>
          <w:rFonts w:ascii="Times New Roman" w:eastAsia="Calibri" w:hAnsi="Times New Roman" w:cs="Times New Roman"/>
          <w:kern w:val="2"/>
          <w:sz w:val="24"/>
          <w:szCs w:val="24"/>
          <w:lang w:val="es-VE"/>
        </w:rPr>
      </w:pPr>
      <w:r w:rsidRPr="009010DA">
        <w:rPr>
          <w:rFonts w:ascii="Times New Roman" w:eastAsia="Calibri" w:hAnsi="Times New Roman" w:cs="Times New Roman"/>
          <w:kern w:val="2"/>
          <w:sz w:val="24"/>
          <w:szCs w:val="24"/>
          <w:lang w:val="es-VE"/>
        </w:rPr>
        <w:t>Entre los elementos más resaltantes de esta segunda reforma se encuentran los siguientes:</w:t>
      </w:r>
    </w:p>
    <w:p w:rsidR="004E0A7F" w:rsidRDefault="004E0A7F" w:rsidP="004E0A7F">
      <w:pPr>
        <w:pStyle w:val="SingleTxtG"/>
        <w:numPr>
          <w:ilvl w:val="0"/>
          <w:numId w:val="2"/>
        </w:numPr>
        <w:tabs>
          <w:tab w:val="clear" w:pos="1701"/>
          <w:tab w:val="clear" w:pos="2268"/>
          <w:tab w:val="clear" w:pos="2835"/>
          <w:tab w:val="left" w:pos="1276"/>
        </w:tabs>
        <w:spacing w:after="0"/>
        <w:ind w:right="51"/>
        <w:rPr>
          <w:sz w:val="24"/>
          <w:szCs w:val="24"/>
        </w:rPr>
      </w:pPr>
      <w:r w:rsidRPr="00753ECD">
        <w:rPr>
          <w:sz w:val="24"/>
          <w:szCs w:val="24"/>
        </w:rPr>
        <w:t>Se refuerza el objeto de la Ley, al garantizar y promover el derecho de las mujeres a una vida libre de violencia en el ámbito público y privado;</w:t>
      </w:r>
    </w:p>
    <w:p w:rsidR="004E0A7F" w:rsidRDefault="004E0A7F" w:rsidP="004E0A7F">
      <w:pPr>
        <w:pStyle w:val="SingleTxtG"/>
        <w:numPr>
          <w:ilvl w:val="0"/>
          <w:numId w:val="2"/>
        </w:numPr>
        <w:tabs>
          <w:tab w:val="clear" w:pos="1701"/>
          <w:tab w:val="clear" w:pos="2268"/>
          <w:tab w:val="clear" w:pos="2835"/>
          <w:tab w:val="left" w:pos="1276"/>
        </w:tabs>
        <w:spacing w:after="0"/>
        <w:ind w:right="51"/>
        <w:rPr>
          <w:sz w:val="24"/>
          <w:szCs w:val="24"/>
        </w:rPr>
      </w:pPr>
      <w:r w:rsidRPr="004A4669">
        <w:rPr>
          <w:sz w:val="24"/>
          <w:szCs w:val="24"/>
        </w:rPr>
        <w:t xml:space="preserve">Se prohíbe la </w:t>
      </w:r>
      <w:r>
        <w:rPr>
          <w:sz w:val="24"/>
          <w:szCs w:val="24"/>
        </w:rPr>
        <w:t>re-</w:t>
      </w:r>
      <w:r w:rsidRPr="004A4669">
        <w:rPr>
          <w:sz w:val="24"/>
          <w:szCs w:val="24"/>
        </w:rPr>
        <w:t>victimización (artículo 2);</w:t>
      </w:r>
    </w:p>
    <w:p w:rsidR="004E0A7F" w:rsidRDefault="004E0A7F" w:rsidP="004E0A7F">
      <w:pPr>
        <w:pStyle w:val="SingleTxtG"/>
        <w:numPr>
          <w:ilvl w:val="0"/>
          <w:numId w:val="2"/>
        </w:numPr>
        <w:tabs>
          <w:tab w:val="clear" w:pos="1701"/>
          <w:tab w:val="clear" w:pos="2268"/>
          <w:tab w:val="clear" w:pos="2835"/>
          <w:tab w:val="left" w:pos="1276"/>
        </w:tabs>
        <w:spacing w:after="0"/>
        <w:ind w:right="51"/>
        <w:rPr>
          <w:sz w:val="24"/>
          <w:szCs w:val="24"/>
        </w:rPr>
      </w:pPr>
      <w:r w:rsidRPr="004A4669">
        <w:rPr>
          <w:sz w:val="24"/>
          <w:szCs w:val="24"/>
        </w:rPr>
        <w:t xml:space="preserve">Se establece la obligatoriedad para los órganos del sistema de justicia y los demás entes del Estado de aplicar e interpretar la ley desde un enfoque de género, feminista, de derechos humanos, intercultural, de integralidad, intergeneracional e </w:t>
      </w:r>
      <w:proofErr w:type="spellStart"/>
      <w:r w:rsidRPr="004A4669">
        <w:rPr>
          <w:sz w:val="24"/>
          <w:szCs w:val="24"/>
        </w:rPr>
        <w:t>interseccional</w:t>
      </w:r>
      <w:proofErr w:type="spellEnd"/>
      <w:r w:rsidRPr="004A4669">
        <w:rPr>
          <w:sz w:val="24"/>
          <w:szCs w:val="24"/>
        </w:rPr>
        <w:t xml:space="preserve"> (artículo 4), fortaleciendo de esta manera la progresividad en la garantía de los derechos de las mujeres frente a discriminaciones múltiples;</w:t>
      </w:r>
    </w:p>
    <w:p w:rsidR="004E0A7F" w:rsidRDefault="004E0A7F" w:rsidP="004E0A7F">
      <w:pPr>
        <w:pStyle w:val="SingleTxtG"/>
        <w:numPr>
          <w:ilvl w:val="0"/>
          <w:numId w:val="2"/>
        </w:numPr>
        <w:tabs>
          <w:tab w:val="clear" w:pos="1701"/>
          <w:tab w:val="clear" w:pos="2268"/>
          <w:tab w:val="clear" w:pos="2835"/>
          <w:tab w:val="left" w:pos="1276"/>
        </w:tabs>
        <w:ind w:right="51"/>
        <w:rPr>
          <w:sz w:val="24"/>
          <w:szCs w:val="24"/>
        </w:rPr>
      </w:pPr>
      <w:r w:rsidRPr="004A4669">
        <w:rPr>
          <w:sz w:val="24"/>
          <w:szCs w:val="24"/>
        </w:rPr>
        <w:t xml:space="preserve">Se amplía el reconocimiento de todas las mujeres en su diversidad para profundizar el enfoque </w:t>
      </w:r>
      <w:proofErr w:type="spellStart"/>
      <w:r w:rsidRPr="004A4669">
        <w:rPr>
          <w:sz w:val="24"/>
          <w:szCs w:val="24"/>
        </w:rPr>
        <w:t>interseccional</w:t>
      </w:r>
      <w:proofErr w:type="spellEnd"/>
      <w:r w:rsidRPr="004A4669">
        <w:rPr>
          <w:sz w:val="24"/>
          <w:szCs w:val="24"/>
        </w:rPr>
        <w:t xml:space="preserve"> en las políticas públicas (artículo 6);</w:t>
      </w:r>
    </w:p>
    <w:p w:rsidR="004E0A7F" w:rsidRDefault="004E0A7F" w:rsidP="004E0A7F">
      <w:pPr>
        <w:pStyle w:val="SingleTxtG"/>
        <w:numPr>
          <w:ilvl w:val="0"/>
          <w:numId w:val="2"/>
        </w:numPr>
        <w:tabs>
          <w:tab w:val="clear" w:pos="1701"/>
          <w:tab w:val="clear" w:pos="2268"/>
          <w:tab w:val="clear" w:pos="2835"/>
          <w:tab w:val="left" w:pos="1276"/>
        </w:tabs>
        <w:ind w:right="51"/>
        <w:rPr>
          <w:sz w:val="24"/>
          <w:szCs w:val="24"/>
        </w:rPr>
      </w:pPr>
      <w:r w:rsidRPr="004A4669">
        <w:rPr>
          <w:sz w:val="24"/>
          <w:szCs w:val="24"/>
        </w:rPr>
        <w:t>Se prohíbe la mediación, conciliación y demás medios alternativos de resolución de conflictos en los procedimientos de violencia contra las mujeres, en los casos que impliquen violación o amenaza al derecho a la vida e integridad física</w:t>
      </w:r>
      <w:r>
        <w:rPr>
          <w:sz w:val="24"/>
          <w:szCs w:val="24"/>
        </w:rPr>
        <w:t>;</w:t>
      </w:r>
      <w:r w:rsidRPr="004A4669">
        <w:rPr>
          <w:sz w:val="24"/>
          <w:szCs w:val="24"/>
        </w:rPr>
        <w:t xml:space="preserve"> </w:t>
      </w:r>
    </w:p>
    <w:p w:rsidR="004E0A7F" w:rsidRDefault="004E0A7F" w:rsidP="004E0A7F">
      <w:pPr>
        <w:pStyle w:val="SingleTxtG"/>
        <w:numPr>
          <w:ilvl w:val="0"/>
          <w:numId w:val="2"/>
        </w:numPr>
        <w:tabs>
          <w:tab w:val="clear" w:pos="1701"/>
          <w:tab w:val="clear" w:pos="2268"/>
          <w:tab w:val="clear" w:pos="2835"/>
          <w:tab w:val="left" w:pos="1276"/>
        </w:tabs>
        <w:ind w:right="51"/>
        <w:rPr>
          <w:sz w:val="24"/>
          <w:szCs w:val="24"/>
        </w:rPr>
      </w:pPr>
      <w:r w:rsidRPr="004A4669">
        <w:rPr>
          <w:sz w:val="24"/>
          <w:szCs w:val="24"/>
        </w:rPr>
        <w:lastRenderedPageBreak/>
        <w:t>En cuanto a las formas de violencia, se amplía el delito de amenaza incluyendo medios de comunicación y tecnologías de comunicación e información. Además, se cambia y amplía el delito de violencia doméstica actualizándolo a violencia familiar, incluyendo la violencia vicaria al reconocer “también como violencia familiar todo acto de violencia, acciones u omisiones que afecten a familiares ascendientes, descendientes y colaterales consanguíneos y afines, y personas al cuido de las mujeres, que tengan como finalidad ocasionar condiciones de violencia, temor, daño, doblegar la voluntad de la mujer e incluso su muerte”;</w:t>
      </w:r>
    </w:p>
    <w:p w:rsidR="004E0A7F" w:rsidRDefault="004E0A7F" w:rsidP="004E0A7F">
      <w:pPr>
        <w:pStyle w:val="SingleTxtG"/>
        <w:numPr>
          <w:ilvl w:val="0"/>
          <w:numId w:val="2"/>
        </w:numPr>
        <w:tabs>
          <w:tab w:val="clear" w:pos="1701"/>
          <w:tab w:val="clear" w:pos="2268"/>
          <w:tab w:val="clear" w:pos="2835"/>
          <w:tab w:val="left" w:pos="1276"/>
        </w:tabs>
        <w:ind w:right="51"/>
        <w:rPr>
          <w:sz w:val="24"/>
          <w:szCs w:val="24"/>
        </w:rPr>
      </w:pPr>
      <w:r w:rsidRPr="004A4669">
        <w:rPr>
          <w:sz w:val="24"/>
          <w:szCs w:val="24"/>
        </w:rPr>
        <w:t xml:space="preserve">Se incorpora la violencia sexual en la relación de pareja y se reconocen nuevas formas de violencia, como la violencia informática, la violencia política, la violencia ginecológica y la violencia </w:t>
      </w:r>
      <w:proofErr w:type="spellStart"/>
      <w:r w:rsidRPr="004A4669">
        <w:rPr>
          <w:sz w:val="24"/>
          <w:szCs w:val="24"/>
        </w:rPr>
        <w:t>multicausal</w:t>
      </w:r>
      <w:proofErr w:type="spellEnd"/>
      <w:r w:rsidRPr="004A4669">
        <w:rPr>
          <w:sz w:val="24"/>
          <w:szCs w:val="24"/>
        </w:rPr>
        <w:t>;</w:t>
      </w:r>
    </w:p>
    <w:p w:rsidR="004E0A7F" w:rsidRDefault="004E0A7F" w:rsidP="004E0A7F">
      <w:pPr>
        <w:pStyle w:val="SingleTxtG"/>
        <w:numPr>
          <w:ilvl w:val="0"/>
          <w:numId w:val="2"/>
        </w:numPr>
        <w:tabs>
          <w:tab w:val="clear" w:pos="1701"/>
          <w:tab w:val="clear" w:pos="2268"/>
          <w:tab w:val="clear" w:pos="2835"/>
          <w:tab w:val="left" w:pos="1276"/>
        </w:tabs>
        <w:ind w:right="51"/>
        <w:rPr>
          <w:sz w:val="24"/>
          <w:szCs w:val="24"/>
        </w:rPr>
      </w:pPr>
      <w:r w:rsidRPr="004A4669">
        <w:rPr>
          <w:sz w:val="24"/>
          <w:szCs w:val="24"/>
        </w:rPr>
        <w:t>Se amplía el delito de violencia laboral, al reconocer que se incurre en este delito al no otorgar los permisos respectivos para que las mujeres víctimas de violencia puedan cumplir con las actividades que requieren su presencia conforme a lo establecido en la misma Ley;</w:t>
      </w:r>
    </w:p>
    <w:p w:rsidR="004E0A7F" w:rsidRDefault="004E0A7F" w:rsidP="004E0A7F">
      <w:pPr>
        <w:pStyle w:val="SingleTxtG"/>
        <w:numPr>
          <w:ilvl w:val="0"/>
          <w:numId w:val="2"/>
        </w:numPr>
        <w:tabs>
          <w:tab w:val="clear" w:pos="1701"/>
          <w:tab w:val="clear" w:pos="2268"/>
          <w:tab w:val="clear" w:pos="2835"/>
          <w:tab w:val="left" w:pos="1276"/>
        </w:tabs>
        <w:ind w:right="51"/>
        <w:rPr>
          <w:sz w:val="24"/>
          <w:szCs w:val="24"/>
        </w:rPr>
      </w:pPr>
      <w:r w:rsidRPr="004A4669">
        <w:rPr>
          <w:sz w:val="24"/>
          <w:szCs w:val="24"/>
        </w:rPr>
        <w:t>Se incluyen programas productivos dentro de las políticas públicas para garantizar el empoderamiento y autonomía económica de las mujeres víctimas de violencia, así como su inserción laboral (artículo 24);</w:t>
      </w:r>
    </w:p>
    <w:p w:rsidR="004E0A7F" w:rsidRDefault="004E0A7F" w:rsidP="004E0A7F">
      <w:pPr>
        <w:pStyle w:val="SingleTxtG"/>
        <w:numPr>
          <w:ilvl w:val="0"/>
          <w:numId w:val="2"/>
        </w:numPr>
        <w:tabs>
          <w:tab w:val="clear" w:pos="1701"/>
          <w:tab w:val="clear" w:pos="2268"/>
          <w:tab w:val="clear" w:pos="2835"/>
          <w:tab w:val="left" w:pos="1276"/>
        </w:tabs>
        <w:ind w:right="51"/>
        <w:rPr>
          <w:sz w:val="24"/>
          <w:szCs w:val="24"/>
        </w:rPr>
      </w:pPr>
      <w:r w:rsidRPr="004A4669">
        <w:rPr>
          <w:sz w:val="24"/>
          <w:szCs w:val="24"/>
        </w:rPr>
        <w:t xml:space="preserve">Se incorporan atribuciones al ministerio de asuntos penitenciarios, para garantizar a las mujeres privadas de libertad el ejercicio de los derechos previstos en </w:t>
      </w:r>
      <w:r>
        <w:rPr>
          <w:sz w:val="24"/>
          <w:szCs w:val="24"/>
        </w:rPr>
        <w:t>esta</w:t>
      </w:r>
      <w:r w:rsidRPr="004A4669">
        <w:rPr>
          <w:sz w:val="24"/>
          <w:szCs w:val="24"/>
        </w:rPr>
        <w:t xml:space="preserve"> ley (artículo 31);</w:t>
      </w:r>
    </w:p>
    <w:p w:rsidR="004E0A7F" w:rsidRDefault="004E0A7F" w:rsidP="004E0A7F">
      <w:pPr>
        <w:pStyle w:val="SingleTxtG"/>
        <w:numPr>
          <w:ilvl w:val="0"/>
          <w:numId w:val="2"/>
        </w:numPr>
        <w:tabs>
          <w:tab w:val="clear" w:pos="1701"/>
          <w:tab w:val="clear" w:pos="2268"/>
          <w:tab w:val="clear" w:pos="2835"/>
          <w:tab w:val="left" w:pos="1276"/>
        </w:tabs>
        <w:ind w:right="51"/>
        <w:rPr>
          <w:sz w:val="24"/>
          <w:szCs w:val="24"/>
        </w:rPr>
      </w:pPr>
      <w:r w:rsidRPr="004A4669">
        <w:rPr>
          <w:sz w:val="24"/>
          <w:szCs w:val="24"/>
        </w:rPr>
        <w:t>Se reconoce la corresponsabilidad de las organizaciones sociales en la ejecución, seguimiento y control de las políticas de prevención, atención, orientación, acompañamiento y defensa del derecho de las mujeres a una vida libre de violencia, garantizando que el Ejecutivo Nacional dispondrá de los recursos necesarios para financiar planes, programas, proyectos y acciones de prevención y atención de la violencia contra las mujeres, promovidos por las comunas, consejos comunales, defensoras comunales de los derechos de las mujeres, organizaciones de mujeres y otras organizaciones sociales de base;</w:t>
      </w:r>
    </w:p>
    <w:p w:rsidR="004E0A7F" w:rsidRDefault="004E0A7F" w:rsidP="004E0A7F">
      <w:pPr>
        <w:pStyle w:val="SingleTxtG"/>
        <w:numPr>
          <w:ilvl w:val="0"/>
          <w:numId w:val="2"/>
        </w:numPr>
        <w:tabs>
          <w:tab w:val="clear" w:pos="1701"/>
          <w:tab w:val="clear" w:pos="2268"/>
          <w:tab w:val="clear" w:pos="2835"/>
          <w:tab w:val="left" w:pos="1276"/>
        </w:tabs>
        <w:ind w:right="51"/>
        <w:rPr>
          <w:sz w:val="24"/>
          <w:szCs w:val="24"/>
        </w:rPr>
      </w:pPr>
      <w:r w:rsidRPr="004A4669">
        <w:rPr>
          <w:sz w:val="24"/>
          <w:szCs w:val="24"/>
        </w:rPr>
        <w:t xml:space="preserve">Se incorpora </w:t>
      </w:r>
      <w:r>
        <w:rPr>
          <w:sz w:val="24"/>
          <w:szCs w:val="24"/>
        </w:rPr>
        <w:t xml:space="preserve">el valor probatorio del informe médico realizado por un centro de salud público o privado sobre las condiciones </w:t>
      </w:r>
      <w:r w:rsidRPr="004A4669">
        <w:rPr>
          <w:sz w:val="24"/>
          <w:szCs w:val="24"/>
        </w:rPr>
        <w:t xml:space="preserve">física y mental </w:t>
      </w:r>
      <w:r>
        <w:rPr>
          <w:sz w:val="24"/>
          <w:szCs w:val="24"/>
        </w:rPr>
        <w:t>de la víctima de violencia</w:t>
      </w:r>
      <w:r w:rsidRPr="004A4669">
        <w:rPr>
          <w:sz w:val="24"/>
          <w:szCs w:val="24"/>
        </w:rPr>
        <w:t xml:space="preserve"> (artículo 43);</w:t>
      </w:r>
    </w:p>
    <w:p w:rsidR="004E0A7F" w:rsidRDefault="004E0A7F" w:rsidP="004E0A7F">
      <w:pPr>
        <w:pStyle w:val="SingleTxtG"/>
        <w:numPr>
          <w:ilvl w:val="0"/>
          <w:numId w:val="2"/>
        </w:numPr>
        <w:tabs>
          <w:tab w:val="clear" w:pos="1701"/>
          <w:tab w:val="clear" w:pos="2268"/>
          <w:tab w:val="clear" w:pos="2835"/>
          <w:tab w:val="left" w:pos="1276"/>
        </w:tabs>
        <w:ind w:right="51"/>
        <w:rPr>
          <w:sz w:val="24"/>
          <w:szCs w:val="24"/>
        </w:rPr>
      </w:pPr>
      <w:r w:rsidRPr="004A4669">
        <w:rPr>
          <w:sz w:val="24"/>
          <w:szCs w:val="24"/>
        </w:rPr>
        <w:t>Se amplían las acciones en las que se subsumen las conductas del sujeto activo del delito de trata de personas de acuerdo con el marco jurídico internacional (artículo 72);</w:t>
      </w:r>
    </w:p>
    <w:p w:rsidR="004E0A7F" w:rsidRDefault="004E0A7F" w:rsidP="004E0A7F">
      <w:pPr>
        <w:pStyle w:val="SingleTxtG"/>
        <w:numPr>
          <w:ilvl w:val="0"/>
          <w:numId w:val="2"/>
        </w:numPr>
        <w:tabs>
          <w:tab w:val="clear" w:pos="1701"/>
          <w:tab w:val="clear" w:pos="2268"/>
          <w:tab w:val="clear" w:pos="2835"/>
          <w:tab w:val="left" w:pos="1276"/>
        </w:tabs>
        <w:ind w:right="51"/>
        <w:rPr>
          <w:sz w:val="24"/>
          <w:szCs w:val="24"/>
        </w:rPr>
      </w:pPr>
      <w:r w:rsidRPr="004A4669">
        <w:rPr>
          <w:sz w:val="24"/>
          <w:szCs w:val="24"/>
        </w:rPr>
        <w:t xml:space="preserve">Se incrementaron las penas de los delitos de violencia física, sexual, acto sexual con víctima especialmente vulnerable, abuso sexual sin </w:t>
      </w:r>
      <w:r w:rsidRPr="004A4669">
        <w:rPr>
          <w:sz w:val="24"/>
          <w:szCs w:val="24"/>
        </w:rPr>
        <w:lastRenderedPageBreak/>
        <w:t>penetración, prostitución forzada, esclavitud sexual, acoso sexual, violencia laboral, esterilización forzada, violencia mediática y trata de mujeres, niñas y adolescentes;</w:t>
      </w:r>
    </w:p>
    <w:p w:rsidR="004E0A7F" w:rsidRDefault="004E0A7F" w:rsidP="004E0A7F">
      <w:pPr>
        <w:pStyle w:val="SingleTxtG"/>
        <w:numPr>
          <w:ilvl w:val="0"/>
          <w:numId w:val="2"/>
        </w:numPr>
        <w:tabs>
          <w:tab w:val="clear" w:pos="1701"/>
          <w:tab w:val="clear" w:pos="2268"/>
          <w:tab w:val="clear" w:pos="2835"/>
          <w:tab w:val="left" w:pos="1276"/>
        </w:tabs>
        <w:spacing w:after="0"/>
        <w:ind w:right="51"/>
        <w:rPr>
          <w:sz w:val="24"/>
          <w:szCs w:val="24"/>
        </w:rPr>
      </w:pPr>
      <w:r w:rsidRPr="00750237">
        <w:rPr>
          <w:sz w:val="24"/>
          <w:szCs w:val="24"/>
        </w:rPr>
        <w:t xml:space="preserve">Se incorporan como penas accesorias (artículo 85) la extinción de la patria potestad de los agresores condenados, en los casos de </w:t>
      </w:r>
      <w:proofErr w:type="spellStart"/>
      <w:r w:rsidRPr="00750237">
        <w:rPr>
          <w:sz w:val="24"/>
          <w:szCs w:val="24"/>
        </w:rPr>
        <w:t>femicidio</w:t>
      </w:r>
      <w:proofErr w:type="spellEnd"/>
      <w:r w:rsidRPr="00750237">
        <w:rPr>
          <w:sz w:val="24"/>
          <w:szCs w:val="24"/>
        </w:rPr>
        <w:t xml:space="preserve">, violencia sexual, violencia sexual con víctima especialmente vulnerable y abuso sexual sin penetración, además de la extinción de la sociedad de bienes gananciales y la privación de la cuota parte que le correspondería como herencia en los casos de </w:t>
      </w:r>
      <w:proofErr w:type="spellStart"/>
      <w:r w:rsidRPr="00750237">
        <w:rPr>
          <w:sz w:val="24"/>
          <w:szCs w:val="24"/>
        </w:rPr>
        <w:t>femicidio</w:t>
      </w:r>
      <w:proofErr w:type="spellEnd"/>
      <w:r w:rsidRPr="00750237">
        <w:rPr>
          <w:sz w:val="24"/>
          <w:szCs w:val="24"/>
        </w:rPr>
        <w:t>, otorgando estos derechos de la persona condenada a las hijas e hijos o ascendientes de la víctima, si los hubiere;</w:t>
      </w:r>
    </w:p>
    <w:p w:rsidR="004E0A7F" w:rsidRPr="006C212E" w:rsidRDefault="004E0A7F" w:rsidP="004E0A7F">
      <w:pPr>
        <w:pStyle w:val="SingleTxtG"/>
        <w:tabs>
          <w:tab w:val="clear" w:pos="1701"/>
          <w:tab w:val="clear" w:pos="2268"/>
          <w:tab w:val="clear" w:pos="2835"/>
          <w:tab w:val="left" w:pos="1276"/>
        </w:tabs>
        <w:spacing w:after="0"/>
        <w:ind w:left="1271" w:right="51"/>
        <w:rPr>
          <w:sz w:val="16"/>
          <w:szCs w:val="16"/>
        </w:rPr>
      </w:pPr>
    </w:p>
    <w:p w:rsidR="004E0A7F" w:rsidRPr="00750237" w:rsidRDefault="004E0A7F" w:rsidP="004E0A7F">
      <w:pPr>
        <w:pStyle w:val="SingleTxtG"/>
        <w:numPr>
          <w:ilvl w:val="0"/>
          <w:numId w:val="2"/>
        </w:numPr>
        <w:tabs>
          <w:tab w:val="clear" w:pos="1701"/>
          <w:tab w:val="clear" w:pos="2268"/>
          <w:tab w:val="clear" w:pos="2835"/>
          <w:tab w:val="left" w:pos="1276"/>
        </w:tabs>
        <w:spacing w:after="0"/>
        <w:ind w:right="51"/>
        <w:rPr>
          <w:sz w:val="24"/>
          <w:szCs w:val="24"/>
        </w:rPr>
      </w:pPr>
      <w:r w:rsidRPr="00750237">
        <w:rPr>
          <w:sz w:val="24"/>
          <w:szCs w:val="24"/>
        </w:rPr>
        <w:t>Se amplían las formas de recepción de la denuncia de los delitos de violencia contra las mujeres, pudiendo las mismas ser formuladas ya no sólo en forma oral y escrita, sino también en lengua de señas venezolana, y a través de cualquier medio (artículo 90);</w:t>
      </w:r>
    </w:p>
    <w:p w:rsidR="004E0A7F" w:rsidRPr="006C212E" w:rsidRDefault="004E0A7F" w:rsidP="004E0A7F">
      <w:pPr>
        <w:pStyle w:val="SingleTxtG"/>
        <w:tabs>
          <w:tab w:val="clear" w:pos="1701"/>
          <w:tab w:val="clear" w:pos="2268"/>
          <w:tab w:val="clear" w:pos="2835"/>
          <w:tab w:val="left" w:pos="1276"/>
        </w:tabs>
        <w:spacing w:after="0"/>
        <w:ind w:left="1271" w:right="51"/>
        <w:rPr>
          <w:sz w:val="16"/>
          <w:szCs w:val="16"/>
        </w:rPr>
      </w:pPr>
    </w:p>
    <w:p w:rsidR="004E0A7F" w:rsidRPr="00750237" w:rsidRDefault="004E0A7F" w:rsidP="004E0A7F">
      <w:pPr>
        <w:pStyle w:val="SingleTxtG"/>
        <w:numPr>
          <w:ilvl w:val="0"/>
          <w:numId w:val="2"/>
        </w:numPr>
        <w:tabs>
          <w:tab w:val="clear" w:pos="1701"/>
          <w:tab w:val="clear" w:pos="2268"/>
          <w:tab w:val="clear" w:pos="2835"/>
          <w:tab w:val="left" w:pos="1276"/>
        </w:tabs>
        <w:spacing w:after="0"/>
        <w:ind w:right="51"/>
        <w:rPr>
          <w:sz w:val="24"/>
          <w:szCs w:val="24"/>
        </w:rPr>
      </w:pPr>
      <w:r w:rsidRPr="00750237">
        <w:rPr>
          <w:sz w:val="24"/>
          <w:szCs w:val="24"/>
        </w:rPr>
        <w:t>Se incorpora en las obligaciones del órgano receptor de la denuncia (artículo 91) imponer las medidas de protección y de seguridad sin ningún tipo de limitaciones, para garantizar la vida y demás derechos humanos de las mujeres.</w:t>
      </w:r>
    </w:p>
    <w:p w:rsidR="004E0A7F" w:rsidRPr="00DD5260" w:rsidRDefault="004E0A7F" w:rsidP="004E0A7F">
      <w:pPr>
        <w:keepNext/>
        <w:keepLines/>
        <w:tabs>
          <w:tab w:val="right" w:pos="851"/>
        </w:tabs>
        <w:suppressAutoHyphens/>
        <w:spacing w:before="360" w:after="240" w:line="240" w:lineRule="auto"/>
        <w:ind w:right="1134"/>
        <w:jc w:val="both"/>
        <w:rPr>
          <w:rFonts w:ascii="Times New Roman" w:eastAsia="Times New Roman" w:hAnsi="Times New Roman" w:cs="Times New Roman"/>
          <w:b/>
          <w:sz w:val="24"/>
          <w:szCs w:val="24"/>
          <w:lang w:val="es-ES_tradnl" w:eastAsia="es-ES"/>
        </w:rPr>
      </w:pPr>
      <w:r w:rsidRPr="00DD5260">
        <w:rPr>
          <w:rFonts w:ascii="Times New Roman" w:eastAsia="Times New Roman" w:hAnsi="Times New Roman" w:cs="Times New Roman"/>
          <w:b/>
          <w:sz w:val="24"/>
          <w:szCs w:val="24"/>
          <w:lang w:val="es-ES_tradnl" w:eastAsia="es-ES"/>
        </w:rPr>
        <w:t>Interrupción del embarazo y derechos reproductivos (arts. 6,7 y 8)</w:t>
      </w:r>
    </w:p>
    <w:p w:rsidR="004E0A7F" w:rsidRPr="00DD5260" w:rsidRDefault="004E0A7F" w:rsidP="004E0A7F">
      <w:pPr>
        <w:numPr>
          <w:ilvl w:val="0"/>
          <w:numId w:val="1"/>
        </w:numPr>
        <w:suppressAutoHyphens/>
        <w:spacing w:after="160" w:line="240" w:lineRule="auto"/>
        <w:jc w:val="both"/>
        <w:rPr>
          <w:rFonts w:ascii="Times New Roman" w:eastAsia="Calibri" w:hAnsi="Times New Roman" w:cs="Times New Roman"/>
          <w:kern w:val="2"/>
          <w:sz w:val="24"/>
          <w:szCs w:val="24"/>
          <w:lang w:val="es-VE"/>
        </w:rPr>
      </w:pPr>
      <w:r w:rsidRPr="00DD5260">
        <w:rPr>
          <w:rFonts w:ascii="Times New Roman" w:eastAsia="Calibri" w:hAnsi="Times New Roman" w:cs="Times New Roman"/>
          <w:kern w:val="2"/>
          <w:sz w:val="24"/>
          <w:szCs w:val="24"/>
          <w:lang w:val="es-VE"/>
        </w:rPr>
        <w:t xml:space="preserve">En el caso de Venezuela, la </w:t>
      </w:r>
      <w:r w:rsidRPr="00DD5260">
        <w:rPr>
          <w:rFonts w:ascii="Times New Roman" w:eastAsia="Times New Roman" w:hAnsi="Times New Roman" w:cs="Times New Roman"/>
          <w:sz w:val="24"/>
          <w:szCs w:val="24"/>
          <w:lang w:val="es-VE" w:eastAsia="es-VE"/>
        </w:rPr>
        <w:t>interrupción del embarazo</w:t>
      </w:r>
      <w:r w:rsidRPr="00DD5260">
        <w:rPr>
          <w:rFonts w:ascii="Times New Roman" w:eastAsia="Times New Roman" w:hAnsi="Times New Roman" w:cs="Times New Roman"/>
          <w:b/>
          <w:bCs/>
          <w:sz w:val="24"/>
          <w:szCs w:val="24"/>
          <w:lang w:val="es-VE" w:eastAsia="es-VE"/>
        </w:rPr>
        <w:t xml:space="preserve"> </w:t>
      </w:r>
      <w:r w:rsidRPr="00DD5260">
        <w:rPr>
          <w:rFonts w:ascii="Times New Roman" w:eastAsia="Calibri" w:hAnsi="Times New Roman" w:cs="Times New Roman"/>
          <w:kern w:val="2"/>
          <w:sz w:val="24"/>
          <w:szCs w:val="24"/>
          <w:lang w:val="es-VE"/>
        </w:rPr>
        <w:t>es permitido, cuando está en riesgo de muerte la mujer en estado de gravidez, según lo establecido en el artículo 435, parágrafo segundo del Código Penal de Venezuela</w:t>
      </w:r>
      <w:r w:rsidRPr="00DD5260">
        <w:rPr>
          <w:rFonts w:ascii="Times New Roman" w:eastAsia="Calibri" w:hAnsi="Times New Roman" w:cs="Times New Roman"/>
          <w:kern w:val="2"/>
          <w:sz w:val="24"/>
          <w:szCs w:val="24"/>
          <w:vertAlign w:val="superscript"/>
          <w:lang w:val="es-VE"/>
        </w:rPr>
        <w:footnoteReference w:id="17"/>
      </w:r>
      <w:r w:rsidRPr="00DD5260">
        <w:rPr>
          <w:rFonts w:ascii="Times New Roman" w:eastAsia="Calibri" w:hAnsi="Times New Roman" w:cs="Times New Roman"/>
          <w:kern w:val="2"/>
          <w:sz w:val="24"/>
          <w:szCs w:val="24"/>
          <w:lang w:val="es-VE"/>
        </w:rPr>
        <w:t xml:space="preserve"> “No incurrirá en pena alguna el facultativo que provoque el aborto como medio indispensable para salvar la vida de la parturienta”.</w:t>
      </w:r>
    </w:p>
    <w:p w:rsidR="004E0A7F" w:rsidRPr="00DD5260" w:rsidRDefault="004E0A7F" w:rsidP="004E0A7F">
      <w:pPr>
        <w:numPr>
          <w:ilvl w:val="0"/>
          <w:numId w:val="1"/>
        </w:numPr>
        <w:suppressAutoHyphens/>
        <w:spacing w:after="160" w:line="240" w:lineRule="auto"/>
        <w:jc w:val="both"/>
        <w:rPr>
          <w:rFonts w:ascii="Times New Roman" w:eastAsia="Calibri" w:hAnsi="Times New Roman" w:cs="Times New Roman"/>
          <w:kern w:val="2"/>
          <w:sz w:val="24"/>
          <w:szCs w:val="24"/>
          <w:lang w:val="es-VE"/>
        </w:rPr>
      </w:pPr>
      <w:r w:rsidRPr="00DD5260">
        <w:rPr>
          <w:rFonts w:ascii="Times New Roman" w:eastAsia="Calibri" w:hAnsi="Times New Roman" w:cs="Times New Roman"/>
          <w:kern w:val="2"/>
          <w:sz w:val="24"/>
          <w:szCs w:val="24"/>
          <w:lang w:val="es-VE"/>
        </w:rPr>
        <w:t xml:space="preserve">La </w:t>
      </w:r>
      <w:proofErr w:type="spellStart"/>
      <w:r w:rsidRPr="00DD5260">
        <w:rPr>
          <w:rFonts w:ascii="Times New Roman" w:eastAsia="Calibri" w:hAnsi="Times New Roman" w:cs="Times New Roman"/>
          <w:kern w:val="2"/>
          <w:sz w:val="24"/>
          <w:szCs w:val="24"/>
          <w:lang w:val="es-VE"/>
        </w:rPr>
        <w:t>DdP</w:t>
      </w:r>
      <w:proofErr w:type="spellEnd"/>
      <w:r w:rsidRPr="00DD5260">
        <w:rPr>
          <w:rFonts w:ascii="Times New Roman" w:eastAsia="Calibri" w:hAnsi="Times New Roman" w:cs="Times New Roman"/>
          <w:kern w:val="2"/>
          <w:sz w:val="24"/>
          <w:szCs w:val="24"/>
          <w:lang w:val="es-VE"/>
        </w:rPr>
        <w:t xml:space="preserve"> participó en las mesas técnicas referenciales al Plan Nacional de Prevención y Reducción del Embarazo a temprana edad y en la adolescencia (PRETA), cuyo objetivo es el evitar un primer embarazo a través de la educación sexual integral. Así como sensibilizó y formó a adolescentes, jóvenes, mujeres y hombres en materia de derechos sexuales y reproductivos, derechos humanos al parto y nacimiento humanizado; sensibilización de prestadores de servicios de salud para la promoción de los derechos sexuales y reproductivos; sensibilización en derechos sexuales y reproductivos dirigidos a madres adolescentes; salud sexual y reproductiva, entre otros. Sin embargo, la Institución considera que se deben fortalecer los planes y programas de atención para la prevención del embarazo a temprana edad.</w:t>
      </w:r>
    </w:p>
    <w:p w:rsidR="004E0A7F" w:rsidRPr="00DD5260" w:rsidRDefault="004E0A7F" w:rsidP="004E0A7F">
      <w:pPr>
        <w:numPr>
          <w:ilvl w:val="0"/>
          <w:numId w:val="1"/>
        </w:numPr>
        <w:suppressAutoHyphens/>
        <w:spacing w:after="160" w:line="240" w:lineRule="auto"/>
        <w:jc w:val="both"/>
        <w:rPr>
          <w:rFonts w:ascii="Times New Roman" w:eastAsia="Calibri" w:hAnsi="Times New Roman" w:cs="Times New Roman"/>
          <w:color w:val="FF0000"/>
          <w:kern w:val="2"/>
          <w:sz w:val="24"/>
          <w:szCs w:val="24"/>
          <w:lang w:val="es-VE"/>
        </w:rPr>
      </w:pPr>
      <w:r w:rsidRPr="00DD5260">
        <w:rPr>
          <w:rFonts w:ascii="Times New Roman" w:eastAsia="Calibri" w:hAnsi="Times New Roman" w:cs="Times New Roman"/>
          <w:kern w:val="2"/>
          <w:sz w:val="24"/>
          <w:szCs w:val="24"/>
          <w:lang w:val="es-VE"/>
        </w:rPr>
        <w:lastRenderedPageBreak/>
        <w:t xml:space="preserve">En el marco de los derechos sexuales y reproductivos esta  INDH durante el periodo </w:t>
      </w:r>
      <w:r w:rsidRPr="00844173">
        <w:rPr>
          <w:rFonts w:ascii="Times New Roman" w:eastAsia="Calibri" w:hAnsi="Times New Roman" w:cs="Times New Roman"/>
          <w:kern w:val="2"/>
          <w:sz w:val="24"/>
          <w:szCs w:val="24"/>
          <w:lang w:val="es-VE"/>
        </w:rPr>
        <w:t>en estudio no ha recibido denuncias, quejas, ni peticiones referentes a la esterilización forzada.</w:t>
      </w:r>
      <w:r>
        <w:rPr>
          <w:rFonts w:ascii="Times New Roman" w:eastAsia="Calibri" w:hAnsi="Times New Roman" w:cs="Times New Roman"/>
          <w:kern w:val="2"/>
          <w:sz w:val="24"/>
          <w:szCs w:val="24"/>
          <w:lang w:val="es-VE"/>
        </w:rPr>
        <w:t xml:space="preserve"> De existir algún caso, no ha sido denunciado ante esta Institución.</w:t>
      </w:r>
    </w:p>
    <w:p w:rsidR="004E0A7F" w:rsidRPr="00277DFF" w:rsidRDefault="004E0A7F" w:rsidP="004E0A7F">
      <w:pPr>
        <w:numPr>
          <w:ilvl w:val="0"/>
          <w:numId w:val="1"/>
        </w:numPr>
        <w:suppressAutoHyphens/>
        <w:spacing w:after="160" w:line="240" w:lineRule="auto"/>
        <w:jc w:val="both"/>
        <w:rPr>
          <w:rFonts w:ascii="Times New Roman" w:eastAsia="Calibri" w:hAnsi="Times New Roman" w:cs="Times New Roman"/>
          <w:kern w:val="2"/>
          <w:sz w:val="24"/>
          <w:szCs w:val="24"/>
          <w:lang w:val="es-VE"/>
        </w:rPr>
      </w:pPr>
      <w:r w:rsidRPr="00DD5260">
        <w:rPr>
          <w:rFonts w:ascii="Times New Roman" w:eastAsia="Times New Roman" w:hAnsi="Times New Roman" w:cs="Times New Roman"/>
          <w:sz w:val="24"/>
          <w:szCs w:val="24"/>
          <w:lang w:val="es-VE" w:eastAsia="es-VE"/>
        </w:rPr>
        <w:t xml:space="preserve">La Institución en trabajo conjunto con el Fondo de Población de las Naciones Unidas (UNFPA), realizó un material informativo sobre “El Parto y el Nacimiento humanizado”, el cual fue difundido y distribuido a la población en general, entregándose más de 3.000 ejemplares en el territorio nacional. </w:t>
      </w:r>
    </w:p>
    <w:p w:rsidR="004E0A7F" w:rsidRDefault="004E0A7F" w:rsidP="004E0A7F">
      <w:pPr>
        <w:keepNext/>
        <w:keepLines/>
        <w:tabs>
          <w:tab w:val="right" w:pos="851"/>
        </w:tabs>
        <w:suppressAutoHyphens/>
        <w:spacing w:before="360" w:after="240" w:line="240" w:lineRule="auto"/>
        <w:ind w:right="1134"/>
        <w:jc w:val="both"/>
        <w:rPr>
          <w:rFonts w:ascii="Times New Roman" w:eastAsia="Times New Roman" w:hAnsi="Times New Roman" w:cs="Times New Roman"/>
          <w:b/>
          <w:sz w:val="24"/>
          <w:szCs w:val="24"/>
          <w:lang w:val="es-ES_tradnl" w:eastAsia="es-ES"/>
        </w:rPr>
      </w:pPr>
      <w:r w:rsidRPr="00277DFF">
        <w:rPr>
          <w:rFonts w:ascii="Times New Roman" w:eastAsia="Times New Roman" w:hAnsi="Times New Roman" w:cs="Times New Roman"/>
          <w:b/>
          <w:sz w:val="24"/>
          <w:szCs w:val="24"/>
          <w:lang w:val="es-ES_tradnl" w:eastAsia="es-ES"/>
        </w:rPr>
        <w:t>Derecho a la vida (art. 6)</w:t>
      </w:r>
    </w:p>
    <w:p w:rsidR="004E0A7F" w:rsidRPr="00844173" w:rsidRDefault="004E0A7F" w:rsidP="004E0A7F">
      <w:pPr>
        <w:numPr>
          <w:ilvl w:val="0"/>
          <w:numId w:val="1"/>
        </w:numPr>
        <w:suppressAutoHyphens/>
        <w:spacing w:after="160" w:line="240" w:lineRule="auto"/>
        <w:jc w:val="both"/>
        <w:rPr>
          <w:rFonts w:ascii="Times New Roman" w:eastAsia="Times New Roman" w:hAnsi="Times New Roman" w:cs="Times New Roman"/>
          <w:sz w:val="24"/>
          <w:szCs w:val="24"/>
          <w:lang w:val="es-VE" w:eastAsia="es-VE"/>
        </w:rPr>
      </w:pPr>
      <w:r w:rsidRPr="00844173">
        <w:rPr>
          <w:rFonts w:ascii="Times New Roman" w:eastAsia="Times New Roman" w:hAnsi="Times New Roman" w:cs="Times New Roman"/>
          <w:sz w:val="24"/>
          <w:szCs w:val="24"/>
          <w:lang w:val="es-VE" w:eastAsia="es-VE"/>
        </w:rPr>
        <w:t>Durante el período comprendido entre el 2019 hasta junio de 2023 esta Institución ha recibido un total de 215 denuncias de muertes ocasionadas por la acción u omisión arbitrar</w:t>
      </w:r>
      <w:r>
        <w:rPr>
          <w:rFonts w:ascii="Times New Roman" w:eastAsia="Times New Roman" w:hAnsi="Times New Roman" w:cs="Times New Roman"/>
          <w:sz w:val="24"/>
          <w:szCs w:val="24"/>
          <w:lang w:val="es-VE" w:eastAsia="es-VE"/>
        </w:rPr>
        <w:t>ia de funcionarios de seguridad</w:t>
      </w:r>
      <w:r w:rsidRPr="00844173">
        <w:rPr>
          <w:rFonts w:ascii="Times New Roman" w:eastAsia="Times New Roman" w:hAnsi="Times New Roman" w:cs="Times New Roman"/>
          <w:sz w:val="24"/>
          <w:szCs w:val="24"/>
          <w:lang w:val="es-VE" w:eastAsia="es-VE"/>
        </w:rPr>
        <w:t xml:space="preserve"> </w:t>
      </w:r>
      <w:r>
        <w:rPr>
          <w:rFonts w:ascii="Times New Roman" w:eastAsia="Times New Roman" w:hAnsi="Times New Roman" w:cs="Times New Roman"/>
          <w:sz w:val="24"/>
          <w:szCs w:val="24"/>
          <w:lang w:val="es-VE" w:eastAsia="es-VE"/>
        </w:rPr>
        <w:t xml:space="preserve">en el marco de operativos de seguridad o supuestos enfrentamientos armados, </w:t>
      </w:r>
      <w:r w:rsidRPr="00844173">
        <w:rPr>
          <w:rFonts w:ascii="Times New Roman" w:eastAsia="Times New Roman" w:hAnsi="Times New Roman" w:cs="Times New Roman"/>
          <w:sz w:val="24"/>
          <w:szCs w:val="24"/>
          <w:lang w:val="es-VE" w:eastAsia="es-VE"/>
        </w:rPr>
        <w:t>observándose un decrecimiento de las cifras en el año 2022, respecto a los años que le anteceden.</w:t>
      </w:r>
    </w:p>
    <w:p w:rsidR="004E0A7F" w:rsidRDefault="004E0A7F" w:rsidP="004E0A7F">
      <w:pPr>
        <w:suppressAutoHyphens/>
        <w:spacing w:after="160" w:line="240" w:lineRule="auto"/>
        <w:jc w:val="both"/>
        <w:rPr>
          <w:rFonts w:ascii="Times New Roman" w:eastAsia="Times New Roman" w:hAnsi="Times New Roman" w:cs="Times New Roman"/>
          <w:b/>
          <w:sz w:val="24"/>
          <w:szCs w:val="24"/>
          <w:lang w:val="es-ES_tradnl" w:eastAsia="es-ES"/>
        </w:rPr>
      </w:pPr>
      <w:r w:rsidRPr="00DD5260">
        <w:rPr>
          <w:rFonts w:ascii="Times New Roman" w:eastAsia="Times New Roman" w:hAnsi="Times New Roman" w:cs="Times New Roman"/>
          <w:sz w:val="24"/>
          <w:szCs w:val="24"/>
          <w:lang w:val="es-VE" w:eastAsia="es-VE"/>
        </w:rPr>
        <w:t xml:space="preserve"> </w:t>
      </w:r>
      <w:r w:rsidRPr="00A31F6A">
        <w:rPr>
          <w:rFonts w:ascii="Times New Roman" w:eastAsia="Times New Roman" w:hAnsi="Times New Roman" w:cs="Times New Roman"/>
          <w:b/>
          <w:sz w:val="24"/>
          <w:szCs w:val="24"/>
          <w:lang w:val="es-ES_tradnl" w:eastAsia="es-ES"/>
        </w:rPr>
        <w:t xml:space="preserve">Prohibición de la tortura y </w:t>
      </w:r>
      <w:bookmarkStart w:id="0" w:name="_Hlk106037013"/>
      <w:r w:rsidRPr="00A31F6A">
        <w:rPr>
          <w:rFonts w:ascii="Times New Roman" w:eastAsia="Times New Roman" w:hAnsi="Times New Roman" w:cs="Times New Roman"/>
          <w:b/>
          <w:sz w:val="24"/>
          <w:szCs w:val="24"/>
          <w:lang w:val="es-ES_tradnl" w:eastAsia="es-ES"/>
        </w:rPr>
        <w:t>otros tratos crueles, inhuman</w:t>
      </w:r>
      <w:r>
        <w:rPr>
          <w:rFonts w:ascii="Times New Roman" w:eastAsia="Times New Roman" w:hAnsi="Times New Roman" w:cs="Times New Roman"/>
          <w:b/>
          <w:sz w:val="24"/>
          <w:szCs w:val="24"/>
          <w:lang w:val="es-ES_tradnl" w:eastAsia="es-ES"/>
        </w:rPr>
        <w:t>o</w:t>
      </w:r>
      <w:r w:rsidRPr="00A31F6A">
        <w:rPr>
          <w:rFonts w:ascii="Times New Roman" w:eastAsia="Times New Roman" w:hAnsi="Times New Roman" w:cs="Times New Roman"/>
          <w:b/>
          <w:sz w:val="24"/>
          <w:szCs w:val="24"/>
          <w:lang w:val="es-ES_tradnl" w:eastAsia="es-ES"/>
        </w:rPr>
        <w:t>s o degradantes</w:t>
      </w:r>
      <w:bookmarkEnd w:id="0"/>
      <w:r w:rsidRPr="00A31F6A">
        <w:rPr>
          <w:rFonts w:ascii="Times New Roman" w:eastAsia="Times New Roman" w:hAnsi="Times New Roman" w:cs="Times New Roman"/>
          <w:b/>
          <w:sz w:val="24"/>
          <w:szCs w:val="24"/>
          <w:lang w:val="es-ES_tradnl" w:eastAsia="es-ES"/>
        </w:rPr>
        <w:t xml:space="preserve">, y el trato </w:t>
      </w:r>
      <w:r>
        <w:rPr>
          <w:rFonts w:ascii="Times New Roman" w:eastAsia="Times New Roman" w:hAnsi="Times New Roman" w:cs="Times New Roman"/>
          <w:b/>
          <w:sz w:val="24"/>
          <w:szCs w:val="24"/>
          <w:lang w:val="es-ES_tradnl" w:eastAsia="es-ES"/>
        </w:rPr>
        <w:t>a</w:t>
      </w:r>
      <w:r w:rsidRPr="00A31F6A">
        <w:rPr>
          <w:rFonts w:ascii="Times New Roman" w:eastAsia="Times New Roman" w:hAnsi="Times New Roman" w:cs="Times New Roman"/>
          <w:b/>
          <w:sz w:val="24"/>
          <w:szCs w:val="24"/>
          <w:lang w:val="es-ES_tradnl" w:eastAsia="es-ES"/>
        </w:rPr>
        <w:t xml:space="preserve"> las personas privadas de libertad (arts. 6, 7 y 10)</w:t>
      </w:r>
    </w:p>
    <w:p w:rsidR="004E0A7F" w:rsidRDefault="004E0A7F" w:rsidP="004E0A7F">
      <w:pPr>
        <w:numPr>
          <w:ilvl w:val="0"/>
          <w:numId w:val="1"/>
        </w:numPr>
        <w:suppressAutoHyphens/>
        <w:spacing w:after="160" w:line="240" w:lineRule="auto"/>
        <w:jc w:val="both"/>
        <w:rPr>
          <w:rFonts w:ascii="Times New Roman" w:eastAsia="Times New Roman" w:hAnsi="Times New Roman" w:cs="Times New Roman"/>
          <w:sz w:val="24"/>
          <w:szCs w:val="24"/>
          <w:lang w:val="es-VE" w:eastAsia="es-VE"/>
        </w:rPr>
      </w:pPr>
      <w:r w:rsidRPr="00A31F6A">
        <w:rPr>
          <w:rFonts w:ascii="Times New Roman" w:eastAsia="Times New Roman" w:hAnsi="Times New Roman" w:cs="Times New Roman"/>
          <w:sz w:val="24"/>
          <w:szCs w:val="24"/>
          <w:lang w:val="es-VE" w:eastAsia="es-VE"/>
        </w:rPr>
        <w:t xml:space="preserve">La Secretaría Técnica </w:t>
      </w:r>
      <w:r>
        <w:rPr>
          <w:rFonts w:ascii="Times New Roman" w:eastAsia="Times New Roman" w:hAnsi="Times New Roman" w:cs="Times New Roman"/>
          <w:sz w:val="24"/>
          <w:szCs w:val="24"/>
          <w:lang w:val="es-VE" w:eastAsia="es-VE"/>
        </w:rPr>
        <w:t xml:space="preserve">de la Comisión </w:t>
      </w:r>
      <w:r w:rsidRPr="00A31F6A">
        <w:rPr>
          <w:rFonts w:ascii="Times New Roman" w:eastAsia="Times New Roman" w:hAnsi="Times New Roman" w:cs="Times New Roman"/>
          <w:sz w:val="24"/>
          <w:szCs w:val="24"/>
          <w:lang w:val="es-VE" w:eastAsia="es-VE"/>
        </w:rPr>
        <w:t>Nacional de Prevención de la Tortura y Otros Tratos Crueles, Inhumanos o Degradantes, ha desarrollado actividades de sensibilización y formación a través de la División de Educación y Promoción, con el apoyo de las Defensorías Delegadas, cuyo objetivo es generar una cultura de respeto a los derechos humanos y la prohibición absoluta de la tortura y otros tratos crueles, inhumanos o degradantes, por parte de las funcionarias y funcionarios al servicio de los órganos de seguridad del Estado y los trabajadores y trabajadoras de centros de detención,</w:t>
      </w:r>
      <w:r>
        <w:rPr>
          <w:rFonts w:ascii="Times New Roman" w:eastAsia="Times New Roman" w:hAnsi="Times New Roman" w:cs="Times New Roman"/>
          <w:sz w:val="24"/>
          <w:szCs w:val="24"/>
          <w:lang w:val="es-VE" w:eastAsia="es-VE"/>
        </w:rPr>
        <w:t xml:space="preserve"> refugios,</w:t>
      </w:r>
      <w:r w:rsidRPr="00A31F6A">
        <w:rPr>
          <w:rFonts w:ascii="Times New Roman" w:eastAsia="Times New Roman" w:hAnsi="Times New Roman" w:cs="Times New Roman"/>
          <w:sz w:val="24"/>
          <w:szCs w:val="24"/>
          <w:lang w:val="es-VE" w:eastAsia="es-VE"/>
        </w:rPr>
        <w:t xml:space="preserve"> sistema nacional de salud, susceptibles a realizar este tipo de prácticas; así como como también facilitar información en centros educativos, públicos y privados, universidades, institutos militares y policiales, promoviendo la prevención de la tortura y </w:t>
      </w:r>
      <w:r>
        <w:rPr>
          <w:rFonts w:ascii="Times New Roman" w:eastAsia="Times New Roman" w:hAnsi="Times New Roman" w:cs="Times New Roman"/>
          <w:sz w:val="24"/>
          <w:szCs w:val="24"/>
          <w:lang w:val="es-VE" w:eastAsia="es-VE"/>
        </w:rPr>
        <w:t xml:space="preserve">otros </w:t>
      </w:r>
      <w:r w:rsidRPr="00A31F6A">
        <w:rPr>
          <w:rFonts w:ascii="Times New Roman" w:eastAsia="Times New Roman" w:hAnsi="Times New Roman" w:cs="Times New Roman"/>
          <w:sz w:val="24"/>
          <w:szCs w:val="24"/>
          <w:lang w:val="es-VE" w:eastAsia="es-VE"/>
        </w:rPr>
        <w:t xml:space="preserve">tratos crueles, a través de talleres, foros y cursos a las funcionarias y funcionarios de la Policía Nacional Bolivariana (PNB), Cuerpo de Investigaciones Científicas, Penales y Criminalísticas (CICPC), Comandancia de la Armada, Comandancia del Ejército Bolivariano, Estudiantes </w:t>
      </w:r>
      <w:r>
        <w:rPr>
          <w:rFonts w:ascii="Times New Roman" w:eastAsia="Times New Roman" w:hAnsi="Times New Roman" w:cs="Times New Roman"/>
          <w:sz w:val="24"/>
          <w:szCs w:val="24"/>
          <w:lang w:val="es-VE" w:eastAsia="es-VE"/>
        </w:rPr>
        <w:t xml:space="preserve">del </w:t>
      </w:r>
      <w:r w:rsidRPr="00A31F6A">
        <w:rPr>
          <w:rFonts w:ascii="Times New Roman" w:eastAsia="Times New Roman" w:hAnsi="Times New Roman" w:cs="Times New Roman"/>
          <w:sz w:val="24"/>
          <w:szCs w:val="24"/>
          <w:lang w:val="es-VE" w:eastAsia="es-VE"/>
        </w:rPr>
        <w:t xml:space="preserve">Curso Especial de Agentes de la PNB, Ministerio del Poder Popular para la Salud y funcionarias y funcionarios de La </w:t>
      </w:r>
      <w:r w:rsidRPr="00A31F6A">
        <w:rPr>
          <w:rFonts w:ascii="Times New Roman" w:eastAsia="Times New Roman" w:hAnsi="Times New Roman" w:cs="Times New Roman"/>
          <w:iCs/>
          <w:sz w:val="24"/>
          <w:szCs w:val="24"/>
          <w:lang w:val="es-VE" w:eastAsia="es-VE"/>
        </w:rPr>
        <w:t>Fuerza Armada Nacional Bolivariana</w:t>
      </w:r>
      <w:r w:rsidRPr="00A31F6A">
        <w:rPr>
          <w:rFonts w:ascii="Times New Roman" w:eastAsia="Times New Roman" w:hAnsi="Times New Roman" w:cs="Times New Roman"/>
          <w:sz w:val="24"/>
          <w:szCs w:val="24"/>
          <w:lang w:val="es-VE" w:eastAsia="es-VE"/>
        </w:rPr>
        <w:t xml:space="preserve"> (</w:t>
      </w:r>
      <w:r w:rsidRPr="00A31F6A">
        <w:rPr>
          <w:rFonts w:ascii="Times New Roman" w:eastAsia="Times New Roman" w:hAnsi="Times New Roman" w:cs="Times New Roman"/>
          <w:iCs/>
          <w:sz w:val="24"/>
          <w:szCs w:val="24"/>
          <w:lang w:val="es-VE" w:eastAsia="es-VE"/>
        </w:rPr>
        <w:t>FANB</w:t>
      </w:r>
      <w:r w:rsidRPr="00A31F6A">
        <w:rPr>
          <w:rFonts w:ascii="Times New Roman" w:eastAsia="Times New Roman" w:hAnsi="Times New Roman" w:cs="Times New Roman"/>
          <w:sz w:val="24"/>
          <w:szCs w:val="24"/>
          <w:lang w:val="es-VE" w:eastAsia="es-VE"/>
        </w:rPr>
        <w:t>) destacados en cada región y comunidades en general.</w:t>
      </w:r>
    </w:p>
    <w:p w:rsidR="004E0A7F" w:rsidRDefault="004E0A7F" w:rsidP="004E0A7F">
      <w:pPr>
        <w:numPr>
          <w:ilvl w:val="0"/>
          <w:numId w:val="1"/>
        </w:numPr>
        <w:suppressAutoHyphens/>
        <w:spacing w:after="160" w:line="240" w:lineRule="auto"/>
        <w:jc w:val="both"/>
        <w:rPr>
          <w:rFonts w:ascii="Times New Roman" w:eastAsia="Times New Roman" w:hAnsi="Times New Roman" w:cs="Times New Roman"/>
          <w:sz w:val="24"/>
          <w:szCs w:val="24"/>
          <w:lang w:val="es-VE" w:eastAsia="es-VE"/>
        </w:rPr>
      </w:pPr>
      <w:r>
        <w:rPr>
          <w:rFonts w:ascii="Times New Roman" w:eastAsia="Times New Roman" w:hAnsi="Times New Roman" w:cs="Times New Roman"/>
          <w:sz w:val="24"/>
          <w:szCs w:val="24"/>
          <w:lang w:val="es-VE" w:eastAsia="es-VE"/>
        </w:rPr>
        <w:t xml:space="preserve">Desde el año 2019 hasta mediado del año 2023, la División de Educación y Promoción de la </w:t>
      </w:r>
      <w:r w:rsidRPr="00A31F6A">
        <w:rPr>
          <w:rFonts w:ascii="Times New Roman" w:eastAsia="Times New Roman" w:hAnsi="Times New Roman" w:cs="Times New Roman"/>
          <w:sz w:val="24"/>
          <w:szCs w:val="24"/>
          <w:lang w:val="es-VE" w:eastAsia="es-VE"/>
        </w:rPr>
        <w:t xml:space="preserve">Secretaría Técnica </w:t>
      </w:r>
      <w:r>
        <w:rPr>
          <w:rFonts w:ascii="Times New Roman" w:eastAsia="Times New Roman" w:hAnsi="Times New Roman" w:cs="Times New Roman"/>
          <w:sz w:val="24"/>
          <w:szCs w:val="24"/>
          <w:lang w:val="es-VE" w:eastAsia="es-VE"/>
        </w:rPr>
        <w:t xml:space="preserve">de la Comisión </w:t>
      </w:r>
      <w:r w:rsidRPr="00A31F6A">
        <w:rPr>
          <w:rFonts w:ascii="Times New Roman" w:eastAsia="Times New Roman" w:hAnsi="Times New Roman" w:cs="Times New Roman"/>
          <w:sz w:val="24"/>
          <w:szCs w:val="24"/>
          <w:lang w:val="es-VE" w:eastAsia="es-VE"/>
        </w:rPr>
        <w:t>Nacional de Prevención de la Tortura y Otros Tratos Crueles, Inhumanos o Degradantes</w:t>
      </w:r>
      <w:r>
        <w:rPr>
          <w:rFonts w:ascii="Times New Roman" w:eastAsia="Times New Roman" w:hAnsi="Times New Roman" w:cs="Times New Roman"/>
          <w:sz w:val="24"/>
          <w:szCs w:val="24"/>
          <w:lang w:val="es-VE" w:eastAsia="es-VE"/>
        </w:rPr>
        <w:t xml:space="preserve">, ha realizado </w:t>
      </w:r>
      <w:r>
        <w:rPr>
          <w:rFonts w:ascii="Times New Roman" w:eastAsia="Times New Roman" w:hAnsi="Times New Roman" w:cs="Times New Roman"/>
          <w:sz w:val="24"/>
          <w:szCs w:val="24"/>
          <w:lang w:val="es-VE" w:eastAsia="es-VE"/>
        </w:rPr>
        <w:lastRenderedPageBreak/>
        <w:t>670 actividades de f</w:t>
      </w:r>
      <w:r w:rsidRPr="00E0280D">
        <w:rPr>
          <w:rFonts w:ascii="Times New Roman" w:eastAsia="Times New Roman" w:hAnsi="Times New Roman" w:cs="Times New Roman"/>
          <w:sz w:val="24"/>
          <w:szCs w:val="24"/>
          <w:lang w:val="es-VE" w:eastAsia="es-VE"/>
        </w:rPr>
        <w:t xml:space="preserve">ormación de </w:t>
      </w:r>
      <w:r>
        <w:rPr>
          <w:rFonts w:ascii="Times New Roman" w:eastAsia="Times New Roman" w:hAnsi="Times New Roman" w:cs="Times New Roman"/>
          <w:sz w:val="24"/>
          <w:szCs w:val="24"/>
          <w:lang w:val="es-VE" w:eastAsia="es-VE"/>
        </w:rPr>
        <w:t>p</w:t>
      </w:r>
      <w:r w:rsidRPr="00E0280D">
        <w:rPr>
          <w:rFonts w:ascii="Times New Roman" w:eastAsia="Times New Roman" w:hAnsi="Times New Roman" w:cs="Times New Roman"/>
          <w:sz w:val="24"/>
          <w:szCs w:val="24"/>
          <w:lang w:val="es-VE" w:eastAsia="es-VE"/>
        </w:rPr>
        <w:t xml:space="preserve">revención de la </w:t>
      </w:r>
      <w:r>
        <w:rPr>
          <w:rFonts w:ascii="Times New Roman" w:eastAsia="Times New Roman" w:hAnsi="Times New Roman" w:cs="Times New Roman"/>
          <w:sz w:val="24"/>
          <w:szCs w:val="24"/>
          <w:lang w:val="es-VE" w:eastAsia="es-VE"/>
        </w:rPr>
        <w:t>t</w:t>
      </w:r>
      <w:r w:rsidRPr="00E0280D">
        <w:rPr>
          <w:rFonts w:ascii="Times New Roman" w:eastAsia="Times New Roman" w:hAnsi="Times New Roman" w:cs="Times New Roman"/>
          <w:sz w:val="24"/>
          <w:szCs w:val="24"/>
          <w:lang w:val="es-VE" w:eastAsia="es-VE"/>
        </w:rPr>
        <w:t>ortura</w:t>
      </w:r>
      <w:r>
        <w:rPr>
          <w:rFonts w:ascii="Times New Roman" w:eastAsia="Times New Roman" w:hAnsi="Times New Roman" w:cs="Times New Roman"/>
          <w:sz w:val="24"/>
          <w:szCs w:val="24"/>
          <w:lang w:val="es-VE" w:eastAsia="es-VE"/>
        </w:rPr>
        <w:t>, en la cual han participado 16.718 servidoras y servidores públicos (10.078 funcionarios y 6.640 funcionarias).</w:t>
      </w:r>
    </w:p>
    <w:p w:rsidR="004E0A7F" w:rsidRPr="00EC0115" w:rsidRDefault="004E0A7F" w:rsidP="004E0A7F">
      <w:pPr>
        <w:numPr>
          <w:ilvl w:val="0"/>
          <w:numId w:val="1"/>
        </w:numPr>
        <w:suppressAutoHyphens/>
        <w:spacing w:after="160" w:line="240" w:lineRule="auto"/>
        <w:jc w:val="both"/>
        <w:rPr>
          <w:rFonts w:ascii="Times New Roman" w:eastAsia="Times New Roman" w:hAnsi="Times New Roman" w:cs="Times New Roman"/>
          <w:sz w:val="24"/>
          <w:szCs w:val="24"/>
          <w:lang w:val="es-VE" w:eastAsia="es-VE"/>
        </w:rPr>
      </w:pPr>
      <w:r w:rsidRPr="00EC0115">
        <w:rPr>
          <w:rFonts w:ascii="Times New Roman" w:eastAsia="Times New Roman" w:hAnsi="Times New Roman" w:cs="Times New Roman"/>
          <w:sz w:val="24"/>
          <w:szCs w:val="24"/>
          <w:lang w:val="es-VE" w:eastAsia="es-VE"/>
        </w:rPr>
        <w:t>La Secretaría Técnica Nacional de la Comisión de Prevención de la Tortura  realizó durante el año 2022, a lo largo del territorio nacional un total de novecientos noventa y nueve (999) visitas a centros de detención preventiva; ciento noventa y nueve (199) inspecciones a centros penitenciarios; catorce (14) a centros psiquiátricos; mil cincuenta y seis (1.056) a centros de salud y  noventa y siete (97) a geriátricos, para un total de visitas en el área de defensa y vigilancia de dos mil trecientos sesenta y cinco (2.365).</w:t>
      </w:r>
    </w:p>
    <w:p w:rsidR="004E0A7F" w:rsidRPr="00DD5260" w:rsidRDefault="004E0A7F" w:rsidP="004E0A7F">
      <w:pPr>
        <w:keepNext/>
        <w:keepLines/>
        <w:tabs>
          <w:tab w:val="right" w:pos="851"/>
        </w:tabs>
        <w:suppressAutoHyphens/>
        <w:spacing w:before="360" w:after="240" w:line="240" w:lineRule="auto"/>
        <w:ind w:right="1134"/>
        <w:jc w:val="both"/>
        <w:rPr>
          <w:rFonts w:ascii="Times New Roman" w:eastAsia="Times New Roman" w:hAnsi="Times New Roman" w:cs="Times New Roman"/>
          <w:b/>
          <w:sz w:val="24"/>
          <w:szCs w:val="24"/>
          <w:lang w:val="es-ES_tradnl" w:eastAsia="es-ES"/>
        </w:rPr>
      </w:pPr>
      <w:r w:rsidRPr="00DD5260">
        <w:rPr>
          <w:rFonts w:ascii="Times New Roman" w:eastAsia="Times New Roman" w:hAnsi="Times New Roman" w:cs="Times New Roman"/>
          <w:b/>
          <w:sz w:val="24"/>
          <w:szCs w:val="24"/>
          <w:lang w:val="es-ES_tradnl" w:eastAsia="es-ES"/>
        </w:rPr>
        <w:t xml:space="preserve">Estado de Excepción (art.4). Frente a la Pandemia de enfermedad por Coronavirus. </w:t>
      </w:r>
    </w:p>
    <w:p w:rsidR="004E0A7F" w:rsidRPr="00DD5260" w:rsidRDefault="004E0A7F" w:rsidP="004E0A7F">
      <w:pPr>
        <w:spacing w:line="240" w:lineRule="auto"/>
        <w:contextualSpacing/>
        <w:jc w:val="both"/>
        <w:rPr>
          <w:rFonts w:ascii="Times New Roman" w:eastAsia="Times New Roman" w:hAnsi="Times New Roman" w:cs="Times New Roman"/>
          <w:sz w:val="20"/>
          <w:szCs w:val="20"/>
          <w:lang w:val="es-VE" w:eastAsia="es-VE"/>
        </w:rPr>
      </w:pPr>
      <w:bookmarkStart w:id="1" w:name="_heading=h.gjdgxs" w:colFirst="0" w:colLast="0"/>
      <w:bookmarkEnd w:id="1"/>
    </w:p>
    <w:p w:rsidR="004E0A7F" w:rsidRDefault="004E0A7F" w:rsidP="004E0A7F">
      <w:pPr>
        <w:numPr>
          <w:ilvl w:val="0"/>
          <w:numId w:val="1"/>
        </w:numPr>
        <w:suppressAutoHyphens/>
        <w:spacing w:after="0" w:line="240" w:lineRule="auto"/>
        <w:contextualSpacing/>
        <w:jc w:val="both"/>
        <w:rPr>
          <w:rFonts w:ascii="Times New Roman" w:eastAsia="Times New Roman" w:hAnsi="Times New Roman" w:cs="Times New Roman"/>
          <w:sz w:val="24"/>
          <w:szCs w:val="24"/>
          <w:lang w:val="es-VE" w:eastAsia="es-VE"/>
        </w:rPr>
      </w:pPr>
      <w:r w:rsidRPr="00DD5260">
        <w:rPr>
          <w:rFonts w:ascii="Times New Roman" w:eastAsia="Times New Roman" w:hAnsi="Times New Roman" w:cs="Times New Roman"/>
          <w:sz w:val="24"/>
          <w:szCs w:val="24"/>
          <w:lang w:val="es-VE" w:eastAsia="es-VE"/>
        </w:rPr>
        <w:t xml:space="preserve">La </w:t>
      </w:r>
      <w:proofErr w:type="spellStart"/>
      <w:r w:rsidRPr="00DD5260">
        <w:rPr>
          <w:rFonts w:ascii="Times New Roman" w:eastAsia="Times New Roman" w:hAnsi="Times New Roman" w:cs="Times New Roman"/>
          <w:sz w:val="24"/>
          <w:szCs w:val="24"/>
          <w:lang w:val="es-VE" w:eastAsia="es-VE"/>
        </w:rPr>
        <w:t>DdP</w:t>
      </w:r>
      <w:proofErr w:type="spellEnd"/>
      <w:r w:rsidRPr="00DD5260">
        <w:rPr>
          <w:rFonts w:ascii="Times New Roman" w:eastAsia="Times New Roman" w:hAnsi="Times New Roman" w:cs="Times New Roman"/>
          <w:sz w:val="24"/>
          <w:szCs w:val="24"/>
          <w:lang w:val="es-VE" w:eastAsia="es-VE"/>
        </w:rPr>
        <w:t xml:space="preserve"> durante la pandemia COVID-19, realizó campañas especiales a través de las redes sociales, con ejes temáticos para prevenir y erradicar la violencia contra las mujeres, también, para hacer llamados a la población en general a fin de tomar medidas de autoprotección, además de evitar la discriminación de las personas contagiadas por el virus. Asimismo, al momento de retomar la </w:t>
      </w:r>
      <w:proofErr w:type="spellStart"/>
      <w:r w:rsidRPr="00DD5260">
        <w:rPr>
          <w:rFonts w:ascii="Times New Roman" w:eastAsia="Times New Roman" w:hAnsi="Times New Roman" w:cs="Times New Roman"/>
          <w:sz w:val="24"/>
          <w:szCs w:val="24"/>
          <w:lang w:val="es-VE" w:eastAsia="es-VE"/>
        </w:rPr>
        <w:t>presencialidad</w:t>
      </w:r>
      <w:proofErr w:type="spellEnd"/>
      <w:r w:rsidRPr="00DD5260">
        <w:rPr>
          <w:rFonts w:ascii="Times New Roman" w:eastAsia="Times New Roman" w:hAnsi="Times New Roman" w:cs="Times New Roman"/>
          <w:sz w:val="24"/>
          <w:szCs w:val="24"/>
          <w:lang w:val="es-VE" w:eastAsia="es-VE"/>
        </w:rPr>
        <w:t>, se dispusieron todas las medidas de bioseguridad respectivas, se realizaron jornadas de despistaje y vacunación para todas y todos los funcionarios y funcionarias de la Institución.</w:t>
      </w:r>
      <w:r w:rsidRPr="00DD5260">
        <w:rPr>
          <w:rFonts w:ascii="Times New Roman" w:eastAsia="Times New Roman" w:hAnsi="Times New Roman" w:cs="Times New Roman"/>
          <w:b/>
          <w:sz w:val="24"/>
          <w:szCs w:val="24"/>
          <w:lang w:val="es-VE" w:eastAsia="es-VE"/>
        </w:rPr>
        <w:t xml:space="preserve"> </w:t>
      </w:r>
      <w:r w:rsidRPr="00DD5260">
        <w:rPr>
          <w:rFonts w:ascii="Times New Roman" w:eastAsia="Times New Roman" w:hAnsi="Times New Roman" w:cs="Times New Roman"/>
          <w:sz w:val="24"/>
          <w:szCs w:val="24"/>
          <w:lang w:val="es-VE" w:eastAsia="es-VE"/>
        </w:rPr>
        <w:t xml:space="preserve">Esta INDH continuó con su programa de formación a través de los medios digitales y las herramientas tecnológicas disponibles, a pesar de las limitaciones que surgieron producto de la pandemia. Así </w:t>
      </w:r>
      <w:r>
        <w:rPr>
          <w:rFonts w:ascii="Times New Roman" w:eastAsia="Times New Roman" w:hAnsi="Times New Roman" w:cs="Times New Roman"/>
          <w:sz w:val="24"/>
          <w:szCs w:val="24"/>
          <w:lang w:val="es-VE" w:eastAsia="es-VE"/>
        </w:rPr>
        <w:t>mismo,</w:t>
      </w:r>
      <w:r w:rsidRPr="00DD5260">
        <w:rPr>
          <w:rFonts w:ascii="Times New Roman" w:eastAsia="Times New Roman" w:hAnsi="Times New Roman" w:cs="Times New Roman"/>
          <w:sz w:val="24"/>
          <w:szCs w:val="24"/>
          <w:lang w:val="es-VE" w:eastAsia="es-VE"/>
        </w:rPr>
        <w:t xml:space="preserve"> estuvo activo el servicio telefónico 08000-Pueblo, para la atender las denuncias, peticiones y quejas de la comunidad.</w:t>
      </w:r>
    </w:p>
    <w:p w:rsidR="004E0A7F" w:rsidRDefault="004E0A7F" w:rsidP="004E0A7F">
      <w:pPr>
        <w:keepNext/>
        <w:keepLines/>
        <w:tabs>
          <w:tab w:val="right" w:pos="851"/>
        </w:tabs>
        <w:suppressAutoHyphens/>
        <w:spacing w:before="360" w:after="240" w:line="240" w:lineRule="auto"/>
        <w:ind w:right="1134"/>
        <w:jc w:val="both"/>
        <w:rPr>
          <w:rFonts w:ascii="Times New Roman" w:eastAsia="Times New Roman" w:hAnsi="Times New Roman" w:cs="Times New Roman"/>
          <w:b/>
          <w:sz w:val="24"/>
          <w:szCs w:val="24"/>
          <w:lang w:val="es-ES_tradnl" w:eastAsia="es-ES"/>
        </w:rPr>
      </w:pPr>
      <w:r>
        <w:rPr>
          <w:rFonts w:ascii="Times New Roman" w:eastAsia="Times New Roman" w:hAnsi="Times New Roman" w:cs="Times New Roman"/>
          <w:b/>
          <w:sz w:val="24"/>
          <w:szCs w:val="24"/>
          <w:lang w:val="es-ES_tradnl" w:eastAsia="es-ES"/>
        </w:rPr>
        <w:t>D</w:t>
      </w:r>
      <w:r w:rsidRPr="00DD5260">
        <w:rPr>
          <w:rFonts w:ascii="Times New Roman" w:eastAsia="Times New Roman" w:hAnsi="Times New Roman" w:cs="Times New Roman"/>
          <w:b/>
          <w:sz w:val="24"/>
          <w:szCs w:val="24"/>
          <w:lang w:val="es-ES_tradnl" w:eastAsia="es-ES"/>
        </w:rPr>
        <w:t>e la implementación de los artículos sustantivos del Pacto Internacional de los Derechos Civiles y Políticos (arts. 6, 7, 9, 10, 14</w:t>
      </w:r>
      <w:r>
        <w:rPr>
          <w:rFonts w:ascii="Times New Roman" w:eastAsia="Times New Roman" w:hAnsi="Times New Roman" w:cs="Times New Roman"/>
          <w:b/>
          <w:sz w:val="24"/>
          <w:szCs w:val="24"/>
          <w:lang w:val="es-ES_tradnl" w:eastAsia="es-ES"/>
        </w:rPr>
        <w:t>, 25</w:t>
      </w:r>
      <w:r w:rsidRPr="00DD5260">
        <w:rPr>
          <w:rFonts w:ascii="Times New Roman" w:eastAsia="Times New Roman" w:hAnsi="Times New Roman" w:cs="Times New Roman"/>
          <w:b/>
          <w:sz w:val="24"/>
          <w:szCs w:val="24"/>
          <w:lang w:val="es-ES_tradnl" w:eastAsia="es-ES"/>
        </w:rPr>
        <w:t xml:space="preserve"> y 26).</w:t>
      </w:r>
    </w:p>
    <w:p w:rsidR="004E0A7F" w:rsidRDefault="004E0A7F" w:rsidP="004E0A7F">
      <w:pPr>
        <w:keepNext/>
        <w:keepLines/>
        <w:tabs>
          <w:tab w:val="right" w:pos="851"/>
        </w:tabs>
        <w:suppressAutoHyphens/>
        <w:spacing w:before="360" w:after="240" w:line="240" w:lineRule="auto"/>
        <w:ind w:right="1134"/>
        <w:jc w:val="both"/>
        <w:rPr>
          <w:rFonts w:ascii="Times New Roman" w:eastAsia="Times New Roman" w:hAnsi="Times New Roman" w:cs="Times New Roman"/>
          <w:b/>
          <w:sz w:val="24"/>
          <w:szCs w:val="24"/>
          <w:lang w:val="es-ES_tradnl" w:eastAsia="es-ES"/>
        </w:rPr>
      </w:pPr>
      <w:r w:rsidRPr="004B1190">
        <w:rPr>
          <w:rFonts w:ascii="Times New Roman" w:eastAsia="Times New Roman" w:hAnsi="Times New Roman" w:cs="Times New Roman"/>
          <w:b/>
          <w:sz w:val="24"/>
          <w:szCs w:val="24"/>
          <w:lang w:val="es-ES_tradnl" w:eastAsia="es-ES"/>
        </w:rPr>
        <w:t>Lucha contra la corrupción (arts. 14, 25 y 26)</w:t>
      </w:r>
    </w:p>
    <w:p w:rsidR="004E0A7F" w:rsidRPr="00864802" w:rsidRDefault="004E0A7F" w:rsidP="004E0A7F">
      <w:pPr>
        <w:numPr>
          <w:ilvl w:val="0"/>
          <w:numId w:val="1"/>
        </w:numPr>
        <w:suppressAutoHyphens/>
        <w:spacing w:after="0" w:line="240" w:lineRule="auto"/>
        <w:contextualSpacing/>
        <w:jc w:val="both"/>
        <w:rPr>
          <w:rFonts w:ascii="Times New Roman" w:eastAsia="Times New Roman" w:hAnsi="Times New Roman" w:cs="Times New Roman"/>
          <w:sz w:val="24"/>
          <w:szCs w:val="24"/>
          <w:lang w:val="es-VE" w:eastAsia="es-VE"/>
        </w:rPr>
      </w:pPr>
      <w:r w:rsidRPr="00864802">
        <w:rPr>
          <w:rFonts w:ascii="Times New Roman" w:eastAsia="Times New Roman" w:hAnsi="Times New Roman" w:cs="Times New Roman"/>
          <w:sz w:val="24"/>
          <w:szCs w:val="24"/>
          <w:lang w:val="es-VE" w:eastAsia="es-VE"/>
        </w:rPr>
        <w:t xml:space="preserve">La </w:t>
      </w:r>
      <w:proofErr w:type="spellStart"/>
      <w:r w:rsidRPr="00864802">
        <w:rPr>
          <w:rFonts w:ascii="Times New Roman" w:eastAsia="Times New Roman" w:hAnsi="Times New Roman" w:cs="Times New Roman"/>
          <w:sz w:val="24"/>
          <w:szCs w:val="24"/>
          <w:lang w:val="es-VE" w:eastAsia="es-VE"/>
        </w:rPr>
        <w:t>DdP</w:t>
      </w:r>
      <w:proofErr w:type="spellEnd"/>
      <w:r w:rsidRPr="00864802">
        <w:rPr>
          <w:rFonts w:ascii="Times New Roman" w:eastAsia="Times New Roman" w:hAnsi="Times New Roman" w:cs="Times New Roman"/>
          <w:sz w:val="24"/>
          <w:szCs w:val="24"/>
          <w:lang w:val="es-VE" w:eastAsia="es-VE"/>
        </w:rPr>
        <w:t xml:space="preserve"> participó en mesas de trabajo con la Comisión Permanente de Política Interior de la Asamblea Nacional y presentó observaciones y recomendaciones al proyecto de Ley Orgánica de Extinción de Dominio. La Asamblea Nacional sancionó</w:t>
      </w:r>
      <w:r>
        <w:rPr>
          <w:rFonts w:ascii="Times New Roman" w:eastAsia="Times New Roman" w:hAnsi="Times New Roman" w:cs="Times New Roman"/>
          <w:sz w:val="24"/>
          <w:szCs w:val="24"/>
          <w:lang w:val="es-VE" w:eastAsia="es-VE"/>
        </w:rPr>
        <w:t xml:space="preserve"> la mencionada ley</w:t>
      </w:r>
      <w:r>
        <w:rPr>
          <w:rStyle w:val="Refdenotaalpie"/>
          <w:rFonts w:ascii="Times New Roman" w:eastAsia="Times New Roman" w:hAnsi="Times New Roman" w:cs="Times New Roman"/>
          <w:sz w:val="24"/>
          <w:szCs w:val="24"/>
          <w:lang w:val="es-VE" w:eastAsia="es-VE"/>
        </w:rPr>
        <w:footnoteReference w:id="18"/>
      </w:r>
      <w:r w:rsidRPr="00864802">
        <w:rPr>
          <w:rFonts w:ascii="Times New Roman" w:eastAsia="Times New Roman" w:hAnsi="Times New Roman" w:cs="Times New Roman"/>
          <w:sz w:val="24"/>
          <w:szCs w:val="24"/>
          <w:lang w:val="es-VE" w:eastAsia="es-VE"/>
        </w:rPr>
        <w:t xml:space="preserve">, la cual tiene por objeto establecer mecanismos que permiten la identificación, localización y </w:t>
      </w:r>
      <w:r w:rsidRPr="00864802">
        <w:rPr>
          <w:rFonts w:ascii="Times New Roman" w:eastAsia="Times New Roman" w:hAnsi="Times New Roman" w:cs="Times New Roman"/>
          <w:sz w:val="24"/>
          <w:szCs w:val="24"/>
          <w:lang w:val="es-VE" w:eastAsia="es-VE"/>
        </w:rPr>
        <w:lastRenderedPageBreak/>
        <w:t>recuperación de los bienes y efectos patrimoniales originados por actividades ilícitas o destinadas a éstas.</w:t>
      </w:r>
    </w:p>
    <w:p w:rsidR="004E0A7F" w:rsidRPr="00DD5260" w:rsidRDefault="004E0A7F" w:rsidP="004E0A7F">
      <w:pPr>
        <w:keepNext/>
        <w:keepLines/>
        <w:tabs>
          <w:tab w:val="right" w:pos="851"/>
        </w:tabs>
        <w:suppressAutoHyphens/>
        <w:spacing w:before="360" w:after="240" w:line="240" w:lineRule="auto"/>
        <w:ind w:right="1134"/>
        <w:jc w:val="both"/>
        <w:rPr>
          <w:rFonts w:ascii="Times New Roman" w:eastAsia="Times New Roman" w:hAnsi="Times New Roman" w:cs="Times New Roman"/>
          <w:b/>
          <w:sz w:val="24"/>
          <w:szCs w:val="24"/>
          <w:lang w:val="es-ES_tradnl" w:eastAsia="es-ES"/>
        </w:rPr>
      </w:pPr>
      <w:r w:rsidRPr="00DD5260">
        <w:rPr>
          <w:rFonts w:ascii="Times New Roman" w:eastAsia="Times New Roman" w:hAnsi="Times New Roman" w:cs="Times New Roman"/>
          <w:b/>
          <w:sz w:val="24"/>
          <w:szCs w:val="24"/>
          <w:lang w:val="es-ES_tradnl" w:eastAsia="es-ES"/>
        </w:rPr>
        <w:t xml:space="preserve">Trato dispensado a las personas privadas de libertad y condiciones de detención. </w:t>
      </w:r>
    </w:p>
    <w:p w:rsidR="004E0A7F" w:rsidRPr="003D2885" w:rsidRDefault="004E0A7F" w:rsidP="004E0A7F">
      <w:pPr>
        <w:numPr>
          <w:ilvl w:val="0"/>
          <w:numId w:val="1"/>
        </w:numPr>
        <w:suppressAutoHyphens/>
        <w:spacing w:after="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x-none"/>
        </w:rPr>
        <w:t>Esta I</w:t>
      </w:r>
      <w:r w:rsidRPr="00DD5260">
        <w:rPr>
          <w:rFonts w:ascii="Times New Roman" w:eastAsia="Times New Roman" w:hAnsi="Times New Roman" w:cs="Times New Roman"/>
          <w:sz w:val="24"/>
          <w:szCs w:val="24"/>
          <w:lang w:eastAsia="x-none"/>
        </w:rPr>
        <w:t xml:space="preserve">NDH </w:t>
      </w:r>
      <w:r w:rsidRPr="00DD5260">
        <w:rPr>
          <w:rFonts w:ascii="Times New Roman" w:eastAsia="Times New Roman" w:hAnsi="Times New Roman" w:cs="Times New Roman"/>
          <w:sz w:val="24"/>
          <w:szCs w:val="24"/>
          <w:lang w:eastAsia="ar-SA"/>
        </w:rPr>
        <w:t>en complimiento de sus atribuciones constitucional</w:t>
      </w:r>
      <w:r>
        <w:rPr>
          <w:rFonts w:ascii="Times New Roman" w:eastAsia="Times New Roman" w:hAnsi="Times New Roman" w:cs="Times New Roman"/>
          <w:sz w:val="24"/>
          <w:szCs w:val="24"/>
          <w:lang w:eastAsia="ar-SA"/>
        </w:rPr>
        <w:t>es,</w:t>
      </w:r>
      <w:r w:rsidRPr="00DD5260">
        <w:rPr>
          <w:rFonts w:ascii="Times New Roman" w:eastAsia="Times New Roman" w:hAnsi="Times New Roman" w:cs="Times New Roman"/>
          <w:sz w:val="24"/>
          <w:szCs w:val="24"/>
          <w:lang w:eastAsia="ar-SA"/>
        </w:rPr>
        <w:t xml:space="preserve"> </w:t>
      </w:r>
      <w:r w:rsidRPr="00DD5260">
        <w:rPr>
          <w:rFonts w:ascii="Times New Roman" w:eastAsia="Times New Roman" w:hAnsi="Times New Roman" w:cs="Times New Roman"/>
          <w:sz w:val="24"/>
          <w:szCs w:val="24"/>
          <w:lang w:val="es-VE" w:eastAsia="ar-SA"/>
        </w:rPr>
        <w:t>realizó</w:t>
      </w:r>
      <w:r w:rsidRPr="00DD5260">
        <w:rPr>
          <w:rFonts w:ascii="Times New Roman" w:eastAsia="Times New Roman" w:hAnsi="Times New Roman" w:cs="Times New Roman"/>
          <w:sz w:val="24"/>
          <w:szCs w:val="24"/>
          <w:lang w:eastAsia="ar-SA"/>
        </w:rPr>
        <w:t xml:space="preserve"> labores de vigilancia a nivel nacional en todos los recintos penitenciarios en defensa de los derechos humanos de las personas privadas de libertad, con la finalidad de conocer las condiciones de detención y el tra</w:t>
      </w:r>
      <w:r>
        <w:rPr>
          <w:rFonts w:ascii="Times New Roman" w:eastAsia="Times New Roman" w:hAnsi="Times New Roman" w:cs="Times New Roman"/>
          <w:sz w:val="24"/>
          <w:szCs w:val="24"/>
          <w:lang w:eastAsia="ar-SA"/>
        </w:rPr>
        <w:t>to dispensado a esta población; en ese sentido,</w:t>
      </w:r>
      <w:r w:rsidRPr="00DD5260">
        <w:rPr>
          <w:rFonts w:ascii="Times New Roman" w:eastAsia="Times New Roman" w:hAnsi="Times New Roman" w:cs="Times New Roman"/>
          <w:sz w:val="24"/>
          <w:szCs w:val="24"/>
          <w:lang w:eastAsia="x-none"/>
        </w:rPr>
        <w:t xml:space="preserve"> se realizaron </w:t>
      </w:r>
      <w:r>
        <w:rPr>
          <w:rFonts w:ascii="Times New Roman" w:eastAsia="Times New Roman" w:hAnsi="Times New Roman" w:cs="Times New Roman"/>
          <w:sz w:val="24"/>
          <w:szCs w:val="24"/>
          <w:lang w:eastAsia="x-none"/>
        </w:rPr>
        <w:t xml:space="preserve">ciento </w:t>
      </w:r>
      <w:r w:rsidRPr="003D2885">
        <w:rPr>
          <w:rFonts w:ascii="Times New Roman" w:eastAsia="Times New Roman" w:hAnsi="Times New Roman" w:cs="Times New Roman"/>
          <w:sz w:val="24"/>
          <w:szCs w:val="24"/>
          <w:lang w:eastAsia="x-none"/>
        </w:rPr>
        <w:t>noventa y nueve (199) inspec</w:t>
      </w:r>
      <w:r>
        <w:rPr>
          <w:rFonts w:ascii="Times New Roman" w:eastAsia="Times New Roman" w:hAnsi="Times New Roman" w:cs="Times New Roman"/>
          <w:sz w:val="24"/>
          <w:szCs w:val="24"/>
          <w:lang w:eastAsia="x-none"/>
        </w:rPr>
        <w:t>ciones a centros penitenciarios y</w:t>
      </w:r>
      <w:r w:rsidRPr="003D2885">
        <w:rPr>
          <w:rFonts w:ascii="Times New Roman" w:eastAsia="Times New Roman" w:hAnsi="Times New Roman" w:cs="Times New Roman"/>
          <w:sz w:val="24"/>
          <w:szCs w:val="24"/>
          <w:lang w:eastAsia="x-none"/>
        </w:rPr>
        <w:t xml:space="preserve"> novecientos noventa y nueve (999) supervisiones a centros de detención preventivas</w:t>
      </w:r>
      <w:r w:rsidRPr="003D2885">
        <w:rPr>
          <w:rFonts w:ascii="Times New Roman" w:eastAsia="Times New Roman" w:hAnsi="Times New Roman" w:cs="Times New Roman"/>
          <w:sz w:val="24"/>
          <w:szCs w:val="24"/>
          <w:vertAlign w:val="superscript"/>
          <w:lang w:eastAsia="x-none"/>
        </w:rPr>
        <w:footnoteReference w:id="19"/>
      </w:r>
      <w:r w:rsidRPr="003D2885">
        <w:rPr>
          <w:rFonts w:ascii="Times New Roman" w:eastAsia="Times New Roman" w:hAnsi="Times New Roman" w:cs="Times New Roman"/>
          <w:sz w:val="24"/>
          <w:szCs w:val="24"/>
          <w:lang w:eastAsia="x-none"/>
        </w:rPr>
        <w:t>.</w:t>
      </w:r>
    </w:p>
    <w:p w:rsidR="004E0A7F" w:rsidRPr="00DD5260" w:rsidRDefault="004E0A7F" w:rsidP="004E0A7F">
      <w:pPr>
        <w:shd w:val="clear" w:color="auto" w:fill="FFFFFF"/>
        <w:tabs>
          <w:tab w:val="left" w:pos="709"/>
        </w:tabs>
        <w:spacing w:before="119" w:after="119" w:line="240" w:lineRule="auto"/>
        <w:ind w:hanging="426"/>
        <w:contextualSpacing/>
        <w:jc w:val="both"/>
        <w:rPr>
          <w:rFonts w:ascii="Times New Roman" w:eastAsia="Times New Roman" w:hAnsi="Times New Roman" w:cs="Times New Roman"/>
          <w:color w:val="FF0000"/>
          <w:sz w:val="24"/>
          <w:szCs w:val="24"/>
          <w:lang w:val="es-VE" w:eastAsia="es-VE"/>
        </w:rPr>
      </w:pPr>
    </w:p>
    <w:p w:rsidR="004E0A7F" w:rsidRPr="00DD5260" w:rsidRDefault="004E0A7F" w:rsidP="004E0A7F">
      <w:pPr>
        <w:numPr>
          <w:ilvl w:val="0"/>
          <w:numId w:val="1"/>
        </w:numPr>
        <w:shd w:val="clear" w:color="auto" w:fill="FFFFFF"/>
        <w:suppressAutoHyphens/>
        <w:spacing w:after="0" w:line="240" w:lineRule="auto"/>
        <w:jc w:val="both"/>
        <w:rPr>
          <w:rFonts w:ascii="Times New Roman" w:eastAsia="Times New Roman" w:hAnsi="Times New Roman" w:cs="Times New Roman"/>
          <w:sz w:val="24"/>
          <w:szCs w:val="24"/>
          <w:lang w:eastAsia="ar-SA"/>
        </w:rPr>
      </w:pPr>
      <w:r w:rsidRPr="00DD5260">
        <w:rPr>
          <w:rFonts w:ascii="Times New Roman" w:eastAsia="Times New Roman" w:hAnsi="Times New Roman" w:cs="Times New Roman"/>
          <w:sz w:val="24"/>
          <w:szCs w:val="24"/>
          <w:lang w:eastAsia="ar-SA"/>
        </w:rPr>
        <w:t>La Defensoría del Pueblo en su labor de salvaguardar los derechos humanos de las personas privadas de libertad, ha inspeccionado las entidades de atención socioeducativas para adolescentes –femeninas y masculinos- en conflicto con la ley penal, a los fines de promover</w:t>
      </w:r>
      <w:r w:rsidRPr="00DD5260">
        <w:rPr>
          <w:rFonts w:ascii="Times New Roman" w:eastAsia="Times New Roman" w:hAnsi="Times New Roman" w:cs="Times New Roman"/>
          <w:spacing w:val="-4"/>
          <w:sz w:val="24"/>
          <w:szCs w:val="24"/>
          <w:lang w:eastAsia="ar-SA"/>
        </w:rPr>
        <w:t xml:space="preserve"> el cumplimiento de </w:t>
      </w:r>
      <w:r w:rsidRPr="00DD5260">
        <w:rPr>
          <w:rFonts w:ascii="Times New Roman" w:eastAsia="Times New Roman" w:hAnsi="Times New Roman" w:cs="Times New Roman"/>
          <w:spacing w:val="-5"/>
          <w:sz w:val="24"/>
          <w:szCs w:val="24"/>
          <w:lang w:eastAsia="ar-SA"/>
        </w:rPr>
        <w:t xml:space="preserve">las </w:t>
      </w:r>
      <w:r w:rsidRPr="00DD5260">
        <w:rPr>
          <w:rFonts w:ascii="Times New Roman" w:eastAsia="Times New Roman" w:hAnsi="Times New Roman" w:cs="Times New Roman"/>
          <w:sz w:val="24"/>
          <w:szCs w:val="24"/>
          <w:lang w:val="es-VE" w:eastAsia="ar-SA"/>
        </w:rPr>
        <w:t xml:space="preserve">principales garantías y/o derechos consagrados en los estándares y/o normas nacionales e internacionales, así como también conocer </w:t>
      </w:r>
      <w:r w:rsidRPr="00DD5260">
        <w:rPr>
          <w:rFonts w:ascii="Times New Roman" w:eastAsia="Times New Roman" w:hAnsi="Times New Roman" w:cs="Times New Roman"/>
          <w:sz w:val="24"/>
          <w:szCs w:val="24"/>
          <w:lang w:eastAsia="ar-SA"/>
        </w:rPr>
        <w:t>la</w:t>
      </w:r>
      <w:r w:rsidRPr="00DD5260">
        <w:rPr>
          <w:rFonts w:ascii="Times New Roman" w:eastAsia="Times New Roman" w:hAnsi="Times New Roman" w:cs="Times New Roman"/>
          <w:spacing w:val="-5"/>
          <w:sz w:val="24"/>
          <w:szCs w:val="24"/>
          <w:lang w:eastAsia="ar-SA"/>
        </w:rPr>
        <w:t xml:space="preserve"> capacidad, </w:t>
      </w:r>
      <w:r w:rsidRPr="00DD5260">
        <w:rPr>
          <w:rFonts w:ascii="Times New Roman" w:eastAsia="Times New Roman" w:hAnsi="Times New Roman" w:cs="Times New Roman"/>
          <w:sz w:val="24"/>
          <w:szCs w:val="24"/>
          <w:lang w:eastAsia="ar-SA"/>
        </w:rPr>
        <w:t>calidad</w:t>
      </w:r>
      <w:r w:rsidRPr="00DD5260">
        <w:rPr>
          <w:rFonts w:ascii="Times New Roman" w:eastAsia="Times New Roman" w:hAnsi="Times New Roman" w:cs="Times New Roman"/>
          <w:spacing w:val="-4"/>
          <w:sz w:val="24"/>
          <w:szCs w:val="24"/>
          <w:lang w:eastAsia="ar-SA"/>
        </w:rPr>
        <w:t xml:space="preserve"> y</w:t>
      </w:r>
      <w:r w:rsidRPr="00DD5260">
        <w:rPr>
          <w:rFonts w:ascii="Times New Roman" w:eastAsia="Times New Roman" w:hAnsi="Times New Roman" w:cs="Times New Roman"/>
          <w:spacing w:val="-5"/>
          <w:sz w:val="24"/>
          <w:szCs w:val="24"/>
          <w:lang w:eastAsia="ar-SA"/>
        </w:rPr>
        <w:t xml:space="preserve"> </w:t>
      </w:r>
      <w:r w:rsidRPr="00DD5260">
        <w:rPr>
          <w:rFonts w:ascii="Times New Roman" w:eastAsia="Times New Roman" w:hAnsi="Times New Roman" w:cs="Times New Roman"/>
          <w:sz w:val="24"/>
          <w:szCs w:val="24"/>
          <w:lang w:eastAsia="ar-SA"/>
        </w:rPr>
        <w:t>cobertura</w:t>
      </w:r>
      <w:r w:rsidRPr="00DD5260">
        <w:rPr>
          <w:rFonts w:ascii="Times New Roman" w:eastAsia="Times New Roman" w:hAnsi="Times New Roman" w:cs="Times New Roman"/>
          <w:spacing w:val="-4"/>
          <w:sz w:val="24"/>
          <w:szCs w:val="24"/>
          <w:lang w:eastAsia="ar-SA"/>
        </w:rPr>
        <w:t xml:space="preserve"> que ofrecen los programas socioeducativos</w:t>
      </w:r>
      <w:r w:rsidRPr="00DD5260">
        <w:rPr>
          <w:rFonts w:ascii="Times New Roman" w:eastAsia="Times New Roman" w:hAnsi="Times New Roman" w:cs="Times New Roman"/>
          <w:sz w:val="24"/>
          <w:szCs w:val="24"/>
          <w:lang w:eastAsia="ar-SA"/>
        </w:rPr>
        <w:t>. Esto ha permitido esgrimir recomendaciones al Poder Ejecutivo para fortalecer las infraestructuras, fortificar y diversificar los planes de atención y sobre todo que el ente rector del sistema penitenciario asuma la totalidad de las entidades socioeducativas de responsabilidad penal de adolescentes que se encuentra descentralizadas</w:t>
      </w:r>
      <w:r w:rsidRPr="00DD5260">
        <w:rPr>
          <w:rFonts w:ascii="Times New Roman" w:eastAsia="Times New Roman" w:hAnsi="Times New Roman" w:cs="Times New Roman"/>
          <w:sz w:val="24"/>
          <w:szCs w:val="24"/>
          <w:vertAlign w:val="superscript"/>
          <w:lang w:eastAsia="x-none"/>
        </w:rPr>
        <w:footnoteReference w:id="20"/>
      </w:r>
      <w:r w:rsidRPr="00DD5260">
        <w:rPr>
          <w:rFonts w:ascii="Times New Roman" w:eastAsia="Times New Roman" w:hAnsi="Times New Roman" w:cs="Times New Roman"/>
          <w:sz w:val="24"/>
          <w:szCs w:val="24"/>
          <w:lang w:eastAsia="ar-SA"/>
        </w:rPr>
        <w:t xml:space="preserve">.     </w:t>
      </w:r>
    </w:p>
    <w:p w:rsidR="004E0A7F" w:rsidRPr="00DD5260" w:rsidRDefault="004E0A7F" w:rsidP="004E0A7F">
      <w:pPr>
        <w:suppressAutoHyphens/>
        <w:spacing w:after="0" w:line="240" w:lineRule="auto"/>
        <w:ind w:left="708"/>
        <w:rPr>
          <w:rFonts w:ascii="Times New Roman" w:eastAsia="Times New Roman" w:hAnsi="Times New Roman" w:cs="Times New Roman"/>
          <w:sz w:val="24"/>
          <w:szCs w:val="24"/>
          <w:lang w:eastAsia="ar-SA"/>
        </w:rPr>
      </w:pPr>
    </w:p>
    <w:p w:rsidR="004E0A7F" w:rsidRPr="00DD5260" w:rsidRDefault="004E0A7F" w:rsidP="004E0A7F">
      <w:pPr>
        <w:numPr>
          <w:ilvl w:val="0"/>
          <w:numId w:val="1"/>
        </w:numPr>
        <w:shd w:val="clear" w:color="auto" w:fill="FFFFFF"/>
        <w:suppressAutoHyphens/>
        <w:spacing w:after="0" w:line="240" w:lineRule="auto"/>
        <w:jc w:val="both"/>
        <w:rPr>
          <w:rFonts w:ascii="Times New Roman" w:eastAsia="Times New Roman" w:hAnsi="Times New Roman" w:cs="Times New Roman"/>
          <w:sz w:val="24"/>
          <w:szCs w:val="24"/>
          <w:lang w:eastAsia="ar-SA"/>
        </w:rPr>
      </w:pPr>
      <w:r w:rsidRPr="00DD5260">
        <w:rPr>
          <w:rFonts w:ascii="Times New Roman" w:eastAsia="Times New Roman" w:hAnsi="Times New Roman" w:cs="Times New Roman"/>
          <w:sz w:val="24"/>
          <w:szCs w:val="24"/>
          <w:lang w:eastAsia="ar-SA"/>
        </w:rPr>
        <w:t xml:space="preserve">La INDH celebra que el Ejecutivo Nacional, ha fortalecido su atención a la población de la </w:t>
      </w:r>
      <w:proofErr w:type="spellStart"/>
      <w:r w:rsidRPr="00DD5260">
        <w:rPr>
          <w:rFonts w:ascii="Times New Roman" w:eastAsia="Times New Roman" w:hAnsi="Times New Roman" w:cs="Times New Roman"/>
          <w:sz w:val="24"/>
          <w:szCs w:val="24"/>
          <w:lang w:eastAsia="ar-SA"/>
        </w:rPr>
        <w:t>sexodiversidad</w:t>
      </w:r>
      <w:proofErr w:type="spellEnd"/>
      <w:r w:rsidRPr="00DD5260">
        <w:rPr>
          <w:rFonts w:ascii="Times New Roman" w:eastAsia="Times New Roman" w:hAnsi="Times New Roman" w:cs="Times New Roman"/>
          <w:sz w:val="24"/>
          <w:szCs w:val="24"/>
          <w:lang w:eastAsia="ar-SA"/>
        </w:rPr>
        <w:t xml:space="preserve">, para ello, esta Institución ha colaborado con la cartera ministerial en la materia, en trabajar articuladamente en la formación y sensibilización del talento humano que labora allí, así como, población privada  de libertad y sus familiares, a objeto de prevenir actos de violencia o discriminación  </w:t>
      </w:r>
      <w:r w:rsidRPr="00DD5260">
        <w:rPr>
          <w:rFonts w:ascii="Times New Roman" w:eastAsia="Calibri" w:hAnsi="Times New Roman" w:cs="Times New Roman"/>
          <w:sz w:val="24"/>
          <w:szCs w:val="24"/>
        </w:rPr>
        <w:t>en contra de la comunidad LGBTIQ+.</w:t>
      </w:r>
    </w:p>
    <w:p w:rsidR="004E0A7F" w:rsidRPr="00DD5260" w:rsidRDefault="004E0A7F" w:rsidP="004E0A7F">
      <w:pPr>
        <w:keepNext/>
        <w:keepLines/>
        <w:tabs>
          <w:tab w:val="right" w:pos="851"/>
        </w:tabs>
        <w:suppressAutoHyphens/>
        <w:spacing w:before="360" w:after="240" w:line="240" w:lineRule="auto"/>
        <w:ind w:right="1134"/>
        <w:jc w:val="both"/>
        <w:rPr>
          <w:rFonts w:ascii="Times New Roman" w:eastAsia="Times New Roman" w:hAnsi="Times New Roman" w:cs="Times New Roman"/>
          <w:b/>
          <w:sz w:val="24"/>
          <w:szCs w:val="24"/>
          <w:lang w:val="es-ES_tradnl" w:eastAsia="es-ES"/>
        </w:rPr>
      </w:pPr>
      <w:r w:rsidRPr="00DD5260">
        <w:rPr>
          <w:rFonts w:ascii="Times New Roman" w:eastAsia="Times New Roman" w:hAnsi="Times New Roman" w:cs="Times New Roman"/>
          <w:b/>
          <w:sz w:val="24"/>
          <w:szCs w:val="24"/>
          <w:lang w:val="es-ES_tradnl" w:eastAsia="es-ES"/>
        </w:rPr>
        <w:t xml:space="preserve">Eliminación de la esclavitud, la servidumbre y la trata de personas. (arts. 2, 7, 8 y 26) </w:t>
      </w:r>
    </w:p>
    <w:p w:rsidR="004E0A7F" w:rsidRPr="00DD5260" w:rsidRDefault="004E0A7F" w:rsidP="004E0A7F">
      <w:pPr>
        <w:numPr>
          <w:ilvl w:val="0"/>
          <w:numId w:val="1"/>
        </w:numPr>
        <w:shd w:val="clear" w:color="auto" w:fill="FFFFFF"/>
        <w:suppressAutoHyphens/>
        <w:spacing w:after="0" w:line="240" w:lineRule="auto"/>
        <w:jc w:val="both"/>
        <w:rPr>
          <w:rFonts w:ascii="Times New Roman" w:eastAsia="Times New Roman" w:hAnsi="Times New Roman" w:cs="Times New Roman"/>
          <w:sz w:val="24"/>
          <w:szCs w:val="24"/>
          <w:lang w:eastAsia="ar-SA"/>
        </w:rPr>
      </w:pPr>
      <w:r w:rsidRPr="00DD5260">
        <w:rPr>
          <w:rFonts w:ascii="Times New Roman" w:eastAsia="Times New Roman" w:hAnsi="Times New Roman" w:cs="Times New Roman"/>
          <w:sz w:val="24"/>
          <w:szCs w:val="24"/>
          <w:lang w:eastAsia="ar-SA"/>
        </w:rPr>
        <w:t xml:space="preserve">La Institución Nacional de Derechos Humanos (INDH) en Venezuela, tiene como mandato la promoción, defensa y vigilancia de los derechos de las </w:t>
      </w:r>
      <w:r w:rsidRPr="00DD5260">
        <w:rPr>
          <w:rFonts w:ascii="Times New Roman" w:eastAsia="Times New Roman" w:hAnsi="Times New Roman" w:cs="Times New Roman"/>
          <w:sz w:val="24"/>
          <w:szCs w:val="24"/>
          <w:lang w:eastAsia="ar-SA"/>
        </w:rPr>
        <w:lastRenderedPageBreak/>
        <w:t xml:space="preserve">poblaciones y/o materias que ameriten una especial atención, entre ellas las víctimas de la trata de personas, de esclavitud o trabajo forzado u obligatorio. </w:t>
      </w:r>
    </w:p>
    <w:p w:rsidR="004E0A7F" w:rsidRPr="00DD5260" w:rsidRDefault="004E0A7F" w:rsidP="004E0A7F">
      <w:pPr>
        <w:shd w:val="clear" w:color="auto" w:fill="FFFFFF"/>
        <w:suppressAutoHyphens/>
        <w:spacing w:after="0" w:line="240" w:lineRule="auto"/>
        <w:jc w:val="both"/>
        <w:rPr>
          <w:rFonts w:ascii="Times New Roman" w:eastAsia="Times New Roman" w:hAnsi="Times New Roman" w:cs="Times New Roman"/>
          <w:sz w:val="24"/>
          <w:szCs w:val="24"/>
          <w:lang w:eastAsia="ar-SA"/>
        </w:rPr>
      </w:pPr>
    </w:p>
    <w:p w:rsidR="004E0A7F" w:rsidRPr="00DD5260" w:rsidRDefault="004E0A7F" w:rsidP="004E0A7F">
      <w:pPr>
        <w:numPr>
          <w:ilvl w:val="0"/>
          <w:numId w:val="1"/>
        </w:numPr>
        <w:shd w:val="clear" w:color="auto" w:fill="FFFFFF"/>
        <w:suppressAutoHyphens/>
        <w:spacing w:after="0" w:line="240" w:lineRule="auto"/>
        <w:jc w:val="both"/>
        <w:rPr>
          <w:rFonts w:ascii="Times New Roman" w:eastAsia="Times New Roman" w:hAnsi="Times New Roman" w:cs="Times New Roman"/>
          <w:sz w:val="24"/>
          <w:szCs w:val="24"/>
          <w:lang w:eastAsia="ar-SA"/>
        </w:rPr>
      </w:pPr>
      <w:r w:rsidRPr="00DD5260">
        <w:rPr>
          <w:rFonts w:ascii="Times New Roman" w:eastAsia="Times New Roman" w:hAnsi="Times New Roman" w:cs="Times New Roman"/>
          <w:sz w:val="24"/>
          <w:szCs w:val="24"/>
          <w:lang w:eastAsia="ar-SA"/>
        </w:rPr>
        <w:t xml:space="preserve">Desde el año 2016, la INDH desarrolló con el apoyo técnico y financiero del Fondo de las Naciones Unidad para la Infancia (Unicef), una serie de acciones tendentes a fortalecer sus labores de promoción y divulgación en materia de prevención del delito de la trata de personas, destacándose: la publicación del Manual de formación para funcionarios y funcionarias en materia de trata de personas; y el </w:t>
      </w:r>
      <w:r w:rsidRPr="00DD5260">
        <w:rPr>
          <w:rFonts w:ascii="Times New Roman" w:eastAsia="Times New Roman" w:hAnsi="Times New Roman" w:cs="Times New Roman"/>
          <w:color w:val="202124"/>
          <w:sz w:val="24"/>
          <w:szCs w:val="24"/>
          <w:shd w:val="clear" w:color="auto" w:fill="FFFFFF"/>
          <w:lang w:eastAsia="ar-SA"/>
        </w:rPr>
        <w:t xml:space="preserve">Plan nacional </w:t>
      </w:r>
      <w:r w:rsidRPr="00DD5260">
        <w:rPr>
          <w:rFonts w:ascii="Times New Roman" w:eastAsia="Times New Roman" w:hAnsi="Times New Roman" w:cs="Times New Roman"/>
          <w:bCs/>
          <w:color w:val="202124"/>
          <w:sz w:val="24"/>
          <w:szCs w:val="24"/>
          <w:shd w:val="clear" w:color="auto" w:fill="FFFFFF"/>
          <w:lang w:val="es-ES_tradnl" w:eastAsia="ar-SA"/>
        </w:rPr>
        <w:t>de formación sobre los derechos de las víctimas de la trata de personas especialmente la de mujeres, niños, niñas y adolescentes. Lográndose formar y sensibilizar desde el año</w:t>
      </w:r>
      <w:r w:rsidRPr="00DD5260">
        <w:rPr>
          <w:rFonts w:ascii="Times New Roman" w:eastAsia="Times New Roman" w:hAnsi="Times New Roman" w:cs="Times New Roman"/>
          <w:sz w:val="24"/>
          <w:szCs w:val="24"/>
          <w:lang w:eastAsia="ar-SA"/>
        </w:rPr>
        <w:t xml:space="preserve"> 2018 hasta enero de 2023, </w:t>
      </w:r>
      <w:r w:rsidRPr="00DD5260">
        <w:rPr>
          <w:rFonts w:ascii="Times New Roman" w:eastAsia="Times New Roman" w:hAnsi="Times New Roman" w:cs="Times New Roman"/>
          <w:bCs/>
          <w:sz w:val="24"/>
          <w:szCs w:val="24"/>
          <w:shd w:val="clear" w:color="auto" w:fill="FFFFFF"/>
          <w:lang w:val="es-ES_tradnl" w:eastAsia="ar-SA"/>
        </w:rPr>
        <w:t>ochocientos sesenta y nueve (869) servidoras y servidores públicos de distintos organismos del Estado a nivel nacional</w:t>
      </w:r>
      <w:r w:rsidRPr="00DD5260">
        <w:rPr>
          <w:rFonts w:ascii="Times New Roman" w:eastAsia="Times New Roman" w:hAnsi="Times New Roman" w:cs="Times New Roman"/>
          <w:bCs/>
          <w:sz w:val="24"/>
          <w:szCs w:val="24"/>
          <w:shd w:val="clear" w:color="auto" w:fill="FFFFFF"/>
          <w:vertAlign w:val="superscript"/>
          <w:lang w:val="es-ES_tradnl" w:eastAsia="ar-SA"/>
        </w:rPr>
        <w:footnoteReference w:id="21"/>
      </w:r>
      <w:r w:rsidRPr="00DD5260">
        <w:rPr>
          <w:rFonts w:ascii="Times New Roman" w:eastAsia="Times New Roman" w:hAnsi="Times New Roman" w:cs="Times New Roman"/>
          <w:bCs/>
          <w:sz w:val="24"/>
          <w:szCs w:val="24"/>
          <w:shd w:val="clear" w:color="auto" w:fill="FFFFFF"/>
          <w:lang w:val="es-ES_tradnl" w:eastAsia="ar-SA"/>
        </w:rPr>
        <w:t>, con especial énfasis en los estados fronterizos y turísticos</w:t>
      </w:r>
      <w:r w:rsidRPr="00DD5260">
        <w:rPr>
          <w:rFonts w:ascii="Times New Roman" w:eastAsia="Times New Roman" w:hAnsi="Times New Roman" w:cs="Times New Roman"/>
          <w:bCs/>
          <w:sz w:val="24"/>
          <w:szCs w:val="24"/>
          <w:shd w:val="clear" w:color="auto" w:fill="FFFFFF"/>
          <w:vertAlign w:val="superscript"/>
          <w:lang w:val="es-ES_tradnl" w:eastAsia="ar-SA"/>
        </w:rPr>
        <w:footnoteReference w:id="22"/>
      </w:r>
      <w:r w:rsidRPr="00DD5260">
        <w:rPr>
          <w:rFonts w:ascii="Times New Roman" w:eastAsia="Times New Roman" w:hAnsi="Times New Roman" w:cs="Times New Roman"/>
          <w:bCs/>
          <w:sz w:val="24"/>
          <w:szCs w:val="24"/>
          <w:shd w:val="clear" w:color="auto" w:fill="FFFFFF"/>
          <w:lang w:val="es-ES_tradnl" w:eastAsia="ar-SA"/>
        </w:rPr>
        <w:t>.  Esta INDH, firmó en junio de 2023, un nuevo plan de trabajo conjunto con Unicef, el cual fortalecerá la cobertura nacional. De igual forma con el apoyo de la Oficina del Alto Comisionado de las Naciones Unidas para los Refugiados en Venezuela (</w:t>
      </w:r>
      <w:proofErr w:type="spellStart"/>
      <w:r w:rsidRPr="00DD5260">
        <w:rPr>
          <w:rFonts w:ascii="Times New Roman" w:eastAsia="Times New Roman" w:hAnsi="Times New Roman" w:cs="Times New Roman"/>
          <w:bCs/>
          <w:sz w:val="24"/>
          <w:szCs w:val="24"/>
          <w:shd w:val="clear" w:color="auto" w:fill="FFFFFF"/>
          <w:lang w:val="es-ES_tradnl" w:eastAsia="ar-SA"/>
        </w:rPr>
        <w:t>Acnur</w:t>
      </w:r>
      <w:proofErr w:type="spellEnd"/>
      <w:r w:rsidRPr="00DD5260">
        <w:rPr>
          <w:rFonts w:ascii="Times New Roman" w:eastAsia="Times New Roman" w:hAnsi="Times New Roman" w:cs="Times New Roman"/>
          <w:bCs/>
          <w:sz w:val="24"/>
          <w:szCs w:val="24"/>
          <w:shd w:val="clear" w:color="auto" w:fill="FFFFFF"/>
          <w:lang w:val="es-ES_tradnl" w:eastAsia="ar-SA"/>
        </w:rPr>
        <w:t>), se han formado y capacitado cuatrocientos setenta y siete (477) servidoras y servidores públicos de distintos organismos del Estado en materia de trata de personas y su vínculo con la protección internacional.</w:t>
      </w:r>
    </w:p>
    <w:p w:rsidR="004E0A7F" w:rsidRPr="00DD5260" w:rsidRDefault="004E0A7F" w:rsidP="004E0A7F">
      <w:pPr>
        <w:shd w:val="clear" w:color="auto" w:fill="FFFFFF"/>
        <w:suppressAutoHyphens/>
        <w:spacing w:after="0" w:line="240" w:lineRule="auto"/>
        <w:jc w:val="both"/>
        <w:rPr>
          <w:rFonts w:ascii="Times New Roman" w:eastAsia="Times New Roman" w:hAnsi="Times New Roman" w:cs="Times New Roman"/>
          <w:sz w:val="24"/>
          <w:szCs w:val="24"/>
          <w:lang w:eastAsia="ar-SA"/>
        </w:rPr>
      </w:pPr>
    </w:p>
    <w:p w:rsidR="004E0A7F" w:rsidRPr="00DD5260" w:rsidRDefault="004E0A7F" w:rsidP="004E0A7F">
      <w:pPr>
        <w:numPr>
          <w:ilvl w:val="0"/>
          <w:numId w:val="1"/>
        </w:numPr>
        <w:shd w:val="clear" w:color="auto" w:fill="FFFFFF"/>
        <w:suppressAutoHyphens/>
        <w:spacing w:after="0" w:line="240" w:lineRule="auto"/>
        <w:jc w:val="both"/>
        <w:rPr>
          <w:rFonts w:ascii="Times New Roman" w:eastAsia="Times New Roman" w:hAnsi="Times New Roman" w:cs="Times New Roman"/>
          <w:sz w:val="24"/>
          <w:szCs w:val="24"/>
          <w:lang w:eastAsia="ar-SA"/>
        </w:rPr>
      </w:pPr>
      <w:r w:rsidRPr="00DD5260">
        <w:rPr>
          <w:rFonts w:ascii="Times New Roman" w:eastAsia="Times New Roman" w:hAnsi="Times New Roman" w:cs="Times New Roman"/>
          <w:bCs/>
          <w:sz w:val="24"/>
          <w:szCs w:val="24"/>
          <w:shd w:val="clear" w:color="auto" w:fill="FFFFFF"/>
          <w:lang w:val="es-ES_tradnl" w:eastAsia="ar-SA"/>
        </w:rPr>
        <w:t>La INDH ha venido desplegando en las diferentes redes sociales,</w:t>
      </w:r>
      <w:r w:rsidRPr="00DD5260">
        <w:rPr>
          <w:rFonts w:ascii="Times New Roman" w:eastAsia="Times New Roman" w:hAnsi="Times New Roman" w:cs="Times New Roman"/>
          <w:sz w:val="24"/>
          <w:szCs w:val="24"/>
          <w:shd w:val="clear" w:color="auto" w:fill="FFFFFF"/>
          <w:lang w:val="es-ES_tradnl" w:eastAsia="ar-SA"/>
        </w:rPr>
        <w:t xml:space="preserve"> la</w:t>
      </w:r>
      <w:r w:rsidRPr="00DD5260">
        <w:rPr>
          <w:rFonts w:ascii="Times New Roman" w:eastAsia="Times New Roman" w:hAnsi="Times New Roman" w:cs="Times New Roman"/>
          <w:sz w:val="24"/>
          <w:szCs w:val="24"/>
          <w:lang w:eastAsia="ar-SA"/>
        </w:rPr>
        <w:t xml:space="preserve"> </w:t>
      </w:r>
      <w:r w:rsidRPr="00DD5260">
        <w:rPr>
          <w:rFonts w:ascii="Times New Roman" w:eastAsia="Times New Roman" w:hAnsi="Times New Roman" w:cs="Times New Roman"/>
          <w:sz w:val="24"/>
          <w:szCs w:val="24"/>
          <w:shd w:val="clear" w:color="auto" w:fill="FFFFFF"/>
          <w:lang w:eastAsia="ar-SA"/>
        </w:rPr>
        <w:t>campaña informativa “No hagas trato con la trata”, todo ello,</w:t>
      </w:r>
      <w:r w:rsidRPr="00DD5260">
        <w:rPr>
          <w:rFonts w:ascii="Times New Roman" w:eastAsia="Times New Roman" w:hAnsi="Times New Roman" w:cs="Times New Roman"/>
          <w:b/>
          <w:sz w:val="24"/>
          <w:szCs w:val="24"/>
          <w:shd w:val="clear" w:color="auto" w:fill="FFFFFF"/>
          <w:lang w:eastAsia="ar-SA"/>
        </w:rPr>
        <w:t xml:space="preserve"> </w:t>
      </w:r>
      <w:r w:rsidRPr="00DD5260">
        <w:rPr>
          <w:rFonts w:ascii="Times New Roman" w:eastAsia="Times New Roman" w:hAnsi="Times New Roman" w:cs="Times New Roman"/>
          <w:bCs/>
          <w:sz w:val="24"/>
          <w:szCs w:val="24"/>
          <w:shd w:val="clear" w:color="auto" w:fill="FFFFFF"/>
          <w:lang w:eastAsia="ar-SA"/>
        </w:rPr>
        <w:t>en consonancia con su plan nacional de formación. Adicionalmente, desplegó la entrega de más de 9.000 materiales divulgativos a nivel nacional sobre dicha campaña con</w:t>
      </w:r>
      <w:r w:rsidRPr="00DD5260">
        <w:rPr>
          <w:rFonts w:ascii="Times New Roman" w:eastAsia="Times New Roman" w:hAnsi="Times New Roman" w:cs="Times New Roman"/>
          <w:bCs/>
          <w:color w:val="202124"/>
          <w:sz w:val="24"/>
          <w:szCs w:val="24"/>
          <w:shd w:val="clear" w:color="auto" w:fill="FFFFFF"/>
          <w:lang w:eastAsia="ar-SA"/>
        </w:rPr>
        <w:t xml:space="preserve"> el apoyo de </w:t>
      </w:r>
      <w:proofErr w:type="spellStart"/>
      <w:r w:rsidRPr="00DD5260">
        <w:rPr>
          <w:rFonts w:ascii="Times New Roman" w:eastAsia="Times New Roman" w:hAnsi="Times New Roman" w:cs="Times New Roman"/>
          <w:bCs/>
          <w:sz w:val="24"/>
          <w:szCs w:val="24"/>
          <w:shd w:val="clear" w:color="auto" w:fill="FFFFFF"/>
          <w:lang w:val="es-ES_tradnl" w:eastAsia="ar-SA"/>
        </w:rPr>
        <w:t>Acnur</w:t>
      </w:r>
      <w:proofErr w:type="spellEnd"/>
      <w:r w:rsidRPr="00DD5260">
        <w:rPr>
          <w:rFonts w:ascii="Times New Roman" w:eastAsia="Times New Roman" w:hAnsi="Times New Roman" w:cs="Times New Roman"/>
          <w:bCs/>
          <w:sz w:val="24"/>
          <w:szCs w:val="24"/>
          <w:shd w:val="clear" w:color="auto" w:fill="FFFFFF"/>
          <w:lang w:val="es-ES_tradnl" w:eastAsia="ar-SA"/>
        </w:rPr>
        <w:t>.</w:t>
      </w:r>
    </w:p>
    <w:p w:rsidR="004E0A7F" w:rsidRPr="00DD5260" w:rsidRDefault="004E0A7F" w:rsidP="004E0A7F">
      <w:pPr>
        <w:suppressAutoHyphens/>
        <w:spacing w:after="0" w:line="240" w:lineRule="auto"/>
        <w:ind w:left="708"/>
        <w:rPr>
          <w:rFonts w:ascii="Times New Roman" w:eastAsia="Calibri" w:hAnsi="Times New Roman" w:cs="Times New Roman"/>
          <w:sz w:val="24"/>
          <w:szCs w:val="24"/>
        </w:rPr>
      </w:pPr>
    </w:p>
    <w:p w:rsidR="004E0A7F" w:rsidRPr="00DD5260" w:rsidRDefault="004E0A7F" w:rsidP="004E0A7F">
      <w:pPr>
        <w:numPr>
          <w:ilvl w:val="0"/>
          <w:numId w:val="1"/>
        </w:numPr>
        <w:shd w:val="clear" w:color="auto" w:fill="FFFFFF"/>
        <w:suppressAutoHyphens/>
        <w:spacing w:after="0" w:line="240" w:lineRule="auto"/>
        <w:jc w:val="both"/>
        <w:rPr>
          <w:rFonts w:ascii="Times New Roman" w:eastAsia="Times New Roman" w:hAnsi="Times New Roman" w:cs="Times New Roman"/>
          <w:sz w:val="24"/>
          <w:szCs w:val="24"/>
          <w:lang w:eastAsia="ar-SA"/>
        </w:rPr>
      </w:pPr>
      <w:r w:rsidRPr="00DD5260">
        <w:rPr>
          <w:rFonts w:ascii="Times New Roman" w:eastAsia="Calibri" w:hAnsi="Times New Roman" w:cs="Times New Roman"/>
          <w:sz w:val="24"/>
          <w:szCs w:val="24"/>
        </w:rPr>
        <w:t>E</w:t>
      </w:r>
      <w:r w:rsidRPr="00DD5260">
        <w:rPr>
          <w:rFonts w:ascii="Times New Roman" w:eastAsia="Calibri" w:hAnsi="Times New Roman" w:cs="Times New Roman"/>
          <w:sz w:val="24"/>
          <w:szCs w:val="24"/>
          <w:lang w:val="es-VE"/>
        </w:rPr>
        <w:t xml:space="preserve">n 2020, la INDH creó </w:t>
      </w:r>
      <w:r w:rsidRPr="00DD5260">
        <w:rPr>
          <w:rFonts w:ascii="Times New Roman" w:eastAsia="Times New Roman" w:hAnsi="Times New Roman" w:cs="Times New Roman"/>
          <w:sz w:val="24"/>
          <w:szCs w:val="24"/>
          <w:lang w:val="es-VE" w:eastAsia="es-VE"/>
        </w:rPr>
        <w:t>la Defensoría Delegada Especial con competencia nacional para la protección de las personas Migrantes, Refugiadas y Víctimas de Trata de Personas</w:t>
      </w:r>
      <w:r w:rsidRPr="00DD5260">
        <w:rPr>
          <w:rFonts w:ascii="Times New Roman" w:eastAsia="Times New Roman" w:hAnsi="Times New Roman" w:cs="Times New Roman"/>
          <w:sz w:val="24"/>
          <w:szCs w:val="24"/>
          <w:vertAlign w:val="superscript"/>
          <w:lang w:val="es-VE" w:eastAsia="es-VE"/>
        </w:rPr>
        <w:footnoteReference w:id="23"/>
      </w:r>
      <w:r w:rsidRPr="00DD5260">
        <w:rPr>
          <w:rFonts w:ascii="Times New Roman" w:eastAsia="Calibri" w:hAnsi="Times New Roman" w:cs="Times New Roman"/>
          <w:sz w:val="24"/>
          <w:szCs w:val="24"/>
          <w:lang w:val="es-VE"/>
        </w:rPr>
        <w:t xml:space="preserve">, como unidad técnica especializada que garantice la efectiva protección, defensa y vigilancia de los derechos humanos de las </w:t>
      </w:r>
      <w:r w:rsidRPr="00DD5260">
        <w:rPr>
          <w:rFonts w:ascii="Times New Roman" w:eastAsia="Calibri" w:hAnsi="Times New Roman" w:cs="Times New Roman"/>
          <w:sz w:val="24"/>
          <w:szCs w:val="24"/>
          <w:lang w:val="es-VE"/>
        </w:rPr>
        <w:lastRenderedPageBreak/>
        <w:t>personas migrantes, refugiadas y víctimas de trata de personas.</w:t>
      </w:r>
      <w:r w:rsidRPr="00DD5260">
        <w:rPr>
          <w:rFonts w:ascii="Times New Roman" w:eastAsia="Times New Roman" w:hAnsi="Times New Roman" w:cs="Times New Roman"/>
          <w:sz w:val="24"/>
          <w:szCs w:val="24"/>
          <w:lang w:val="es-VE" w:eastAsia="es-VE"/>
        </w:rPr>
        <w:t xml:space="preserve"> </w:t>
      </w:r>
      <w:r w:rsidRPr="00DD5260">
        <w:rPr>
          <w:rFonts w:ascii="Times New Roman" w:eastAsia="Calibri" w:hAnsi="Times New Roman" w:cs="Times New Roman"/>
          <w:sz w:val="24"/>
          <w:szCs w:val="24"/>
          <w:lang w:val="es-VE"/>
        </w:rPr>
        <w:t xml:space="preserve">Adscrita a la Dirección de Materias de Especial Atención, la cual agrupa a todas las defensorías delegadas especiales con competencia nacional para la protección o atención de poblaciones o materias que ameritan una especial atención. </w:t>
      </w:r>
    </w:p>
    <w:p w:rsidR="004E0A7F" w:rsidRPr="00DD5260" w:rsidRDefault="004E0A7F" w:rsidP="004E0A7F">
      <w:pPr>
        <w:suppressAutoHyphens/>
        <w:spacing w:after="0" w:line="240" w:lineRule="auto"/>
        <w:ind w:left="708"/>
        <w:rPr>
          <w:rFonts w:ascii="Times New Roman" w:eastAsia="Times New Roman" w:hAnsi="Times New Roman" w:cs="Times New Roman"/>
          <w:sz w:val="24"/>
          <w:szCs w:val="24"/>
          <w:lang w:val="es-ES_tradnl" w:eastAsia="ar-SA"/>
        </w:rPr>
      </w:pPr>
    </w:p>
    <w:p w:rsidR="004E0A7F" w:rsidRDefault="004E0A7F" w:rsidP="004E0A7F">
      <w:pPr>
        <w:numPr>
          <w:ilvl w:val="0"/>
          <w:numId w:val="1"/>
        </w:numPr>
        <w:shd w:val="clear" w:color="auto" w:fill="FFFFFF"/>
        <w:suppressAutoHyphens/>
        <w:spacing w:after="0" w:line="240" w:lineRule="auto"/>
        <w:ind w:left="708"/>
        <w:jc w:val="both"/>
        <w:rPr>
          <w:rFonts w:ascii="Times New Roman" w:eastAsia="Times New Roman" w:hAnsi="Times New Roman" w:cs="Times New Roman"/>
          <w:sz w:val="24"/>
          <w:szCs w:val="24"/>
          <w:lang w:eastAsia="ar-SA"/>
        </w:rPr>
      </w:pPr>
      <w:r w:rsidRPr="00DD5260">
        <w:rPr>
          <w:rFonts w:ascii="Times New Roman" w:eastAsia="Times New Roman" w:hAnsi="Times New Roman" w:cs="Times New Roman"/>
          <w:sz w:val="24"/>
          <w:szCs w:val="24"/>
          <w:lang w:val="es-ES_tradnl" w:eastAsia="ar-SA"/>
        </w:rPr>
        <w:t xml:space="preserve">La Defensoría del Pueblo, participó en el diseño del Plan Nacional contra la Trata de Personas </w:t>
      </w:r>
      <w:r w:rsidRPr="00DD5260">
        <w:rPr>
          <w:rFonts w:ascii="Times New Roman" w:eastAsia="Times New Roman" w:hAnsi="Times New Roman" w:cs="Times New Roman"/>
          <w:sz w:val="24"/>
          <w:szCs w:val="24"/>
          <w:lang w:eastAsia="ar-SA"/>
        </w:rPr>
        <w:t>2021 – 2025</w:t>
      </w:r>
      <w:r w:rsidRPr="00DD5260">
        <w:rPr>
          <w:rFonts w:ascii="Times New Roman" w:eastAsia="Times New Roman" w:hAnsi="Times New Roman" w:cs="Times New Roman"/>
          <w:sz w:val="24"/>
          <w:szCs w:val="24"/>
          <w:vertAlign w:val="superscript"/>
          <w:lang w:eastAsia="ar-SA"/>
        </w:rPr>
        <w:footnoteReference w:id="24"/>
      </w:r>
      <w:r w:rsidRPr="00DD5260">
        <w:rPr>
          <w:rFonts w:ascii="Times New Roman" w:eastAsia="Times New Roman" w:hAnsi="Times New Roman" w:cs="Times New Roman"/>
          <w:sz w:val="24"/>
          <w:szCs w:val="24"/>
          <w:lang w:eastAsia="ar-SA"/>
        </w:rPr>
        <w:t xml:space="preserve">,  </w:t>
      </w:r>
      <w:r w:rsidRPr="00DD5260">
        <w:rPr>
          <w:rFonts w:ascii="Times New Roman" w:eastAsia="Times New Roman" w:hAnsi="Times New Roman" w:cs="Times New Roman"/>
          <w:color w:val="000000"/>
          <w:sz w:val="24"/>
          <w:szCs w:val="24"/>
          <w:lang w:eastAsia="ar-SA"/>
        </w:rPr>
        <w:t xml:space="preserve">en él se detallaron y se delimitaron adecuadamente los aspectos teóricos y metodológicos necesarios para la prevención del delito, la investigación, represión y sanción; y la asistencia integral y protección a las víctimas. A su vez se creó el Consejo Nacional contra la trata de personas, el cual, tiene por finalidad brindar el respectivo asesoramiento para llevar a cabo las articulaciones necesarias con los organismos e instituciones públicas y privadas. Del mismo modo, se participó </w:t>
      </w:r>
      <w:r w:rsidRPr="00DD5260">
        <w:rPr>
          <w:rFonts w:ascii="Times New Roman" w:eastAsia="Times New Roman" w:hAnsi="Times New Roman" w:cs="Times New Roman"/>
          <w:sz w:val="24"/>
          <w:szCs w:val="24"/>
          <w:lang w:eastAsia="ar-SA"/>
        </w:rPr>
        <w:t xml:space="preserve">en el diseño </w:t>
      </w:r>
      <w:r w:rsidRPr="00DD5260">
        <w:rPr>
          <w:rFonts w:ascii="Times New Roman" w:eastAsia="Calibri" w:hAnsi="Times New Roman" w:cs="Times New Roman"/>
          <w:sz w:val="24"/>
          <w:szCs w:val="24"/>
        </w:rPr>
        <w:t>del anteproyecto de la Ley de trata de personas y asistencia integral a las víctimas.</w:t>
      </w:r>
      <w:r w:rsidRPr="00DD5260">
        <w:rPr>
          <w:rFonts w:ascii="Times New Roman" w:eastAsia="Times New Roman" w:hAnsi="Times New Roman" w:cs="Times New Roman"/>
          <w:color w:val="000000"/>
          <w:sz w:val="24"/>
          <w:szCs w:val="24"/>
          <w:lang w:eastAsia="ar-SA"/>
        </w:rPr>
        <w:t xml:space="preserve"> </w:t>
      </w:r>
      <w:r w:rsidRPr="00DD5260">
        <w:rPr>
          <w:rFonts w:ascii="Times New Roman" w:eastAsia="Times New Roman" w:hAnsi="Times New Roman" w:cs="Times New Roman"/>
          <w:sz w:val="24"/>
          <w:szCs w:val="24"/>
          <w:lang w:eastAsia="ar-SA"/>
        </w:rPr>
        <w:t xml:space="preserve"> </w:t>
      </w:r>
    </w:p>
    <w:p w:rsidR="004E0A7F" w:rsidRDefault="004E0A7F" w:rsidP="004E0A7F">
      <w:pPr>
        <w:shd w:val="clear" w:color="auto" w:fill="FFFFFF"/>
        <w:suppressAutoHyphens/>
        <w:spacing w:after="0" w:line="240" w:lineRule="auto"/>
        <w:ind w:left="708"/>
        <w:jc w:val="both"/>
        <w:rPr>
          <w:rFonts w:ascii="Times New Roman" w:eastAsia="Times New Roman" w:hAnsi="Times New Roman" w:cs="Times New Roman"/>
          <w:sz w:val="24"/>
          <w:szCs w:val="24"/>
          <w:lang w:eastAsia="ar-SA"/>
        </w:rPr>
      </w:pPr>
    </w:p>
    <w:p w:rsidR="004E0A7F" w:rsidRPr="00DD5260" w:rsidRDefault="004E0A7F" w:rsidP="004E0A7F">
      <w:pPr>
        <w:numPr>
          <w:ilvl w:val="0"/>
          <w:numId w:val="1"/>
        </w:numPr>
        <w:shd w:val="clear" w:color="auto" w:fill="FFFFFF"/>
        <w:suppressAutoHyphens/>
        <w:spacing w:after="0" w:line="240" w:lineRule="auto"/>
        <w:ind w:left="708"/>
        <w:jc w:val="both"/>
        <w:rPr>
          <w:rFonts w:ascii="Times New Roman" w:eastAsia="Times New Roman" w:hAnsi="Times New Roman" w:cs="Times New Roman"/>
          <w:sz w:val="24"/>
          <w:szCs w:val="24"/>
          <w:lang w:eastAsia="ar-SA"/>
        </w:rPr>
      </w:pPr>
      <w:r w:rsidRPr="00DD5260">
        <w:rPr>
          <w:rFonts w:ascii="Times New Roman" w:eastAsia="Times New Roman" w:hAnsi="Times New Roman" w:cs="Times New Roman"/>
          <w:sz w:val="24"/>
          <w:szCs w:val="24"/>
          <w:lang w:eastAsia="ar-SA"/>
        </w:rPr>
        <w:t>L</w:t>
      </w:r>
      <w:r w:rsidRPr="00DD5260">
        <w:rPr>
          <w:rFonts w:ascii="Times New Roman" w:eastAsia="Times New Roman" w:hAnsi="Times New Roman" w:cs="Times New Roman"/>
          <w:color w:val="000000"/>
          <w:sz w:val="24"/>
          <w:szCs w:val="24"/>
          <w:lang w:eastAsia="ar-SA"/>
        </w:rPr>
        <w:t xml:space="preserve">a INDH considera pertinente activar cuanto antes el Consejo Nacional contra la Trata de Personas y la ejecución del Plan Nacional contra la trata. </w:t>
      </w:r>
      <w:r w:rsidRPr="00DD5260">
        <w:rPr>
          <w:rFonts w:ascii="Times New Roman" w:eastAsia="Times New Roman" w:hAnsi="Times New Roman" w:cs="Times New Roman"/>
          <w:sz w:val="24"/>
          <w:szCs w:val="24"/>
          <w:lang w:eastAsia="ar-SA"/>
        </w:rPr>
        <w:t>De igual forma, considera  que es imperiosa la necesidad de reactivar y/o</w:t>
      </w:r>
      <w:r w:rsidRPr="00DD5260">
        <w:rPr>
          <w:rFonts w:ascii="Times New Roman" w:eastAsia="Times New Roman" w:hAnsi="Times New Roman" w:cs="Times New Roman"/>
          <w:color w:val="000000"/>
          <w:sz w:val="24"/>
          <w:szCs w:val="24"/>
          <w:lang w:eastAsia="ar-SA"/>
        </w:rPr>
        <w:t xml:space="preserve"> reimpulsar  la aprobación de la “Ley de Trata de Personas y la Asistencia Integral a las Víctimas”, a los fines de que todas las personas que sean víctimas de este delito sean atendidas, asistidas y protegidas independientemente de su edad, sexo, orientación sexual, identidad o expresión de género, raza, nacionalidad, condición social y religiosa; o el tratante sea miembro de una red de delincuencia organizada u opere de forma individual. A objeto de poder contar con un cuerpo normativo único que delimite las acciones para la prevención, investigación y sanción de este crimen de lesa humanidad, a los fines de dar cumplimiento a cabalidad con la disposición del artículo 54 de la Constitución de la República Bolivariana de Venezuela y del Protocolo para Prevenir, Reprimir y Sancionar la trata de personas, especialmente la de mujeres,</w:t>
      </w:r>
      <w:r>
        <w:rPr>
          <w:rFonts w:ascii="Times New Roman" w:eastAsia="Times New Roman" w:hAnsi="Times New Roman" w:cs="Times New Roman"/>
          <w:color w:val="000000"/>
          <w:sz w:val="24"/>
          <w:szCs w:val="24"/>
          <w:lang w:eastAsia="ar-SA"/>
        </w:rPr>
        <w:t xml:space="preserve"> niñas </w:t>
      </w:r>
      <w:r w:rsidRPr="00DD5260">
        <w:rPr>
          <w:rFonts w:ascii="Times New Roman" w:eastAsia="Times New Roman" w:hAnsi="Times New Roman" w:cs="Times New Roman"/>
          <w:color w:val="000000"/>
          <w:sz w:val="24"/>
          <w:szCs w:val="24"/>
          <w:lang w:eastAsia="ar-SA"/>
        </w:rPr>
        <w:t xml:space="preserve"> y niños.</w:t>
      </w:r>
    </w:p>
    <w:p w:rsidR="004E0A7F" w:rsidRPr="00DD5260" w:rsidRDefault="004E0A7F" w:rsidP="004E0A7F">
      <w:pPr>
        <w:keepNext/>
        <w:keepLines/>
        <w:tabs>
          <w:tab w:val="right" w:pos="851"/>
        </w:tabs>
        <w:suppressAutoHyphens/>
        <w:spacing w:before="360" w:after="240" w:line="240" w:lineRule="auto"/>
        <w:ind w:right="1134"/>
        <w:jc w:val="both"/>
        <w:rPr>
          <w:rFonts w:ascii="Times New Roman" w:eastAsia="Times New Roman" w:hAnsi="Times New Roman" w:cs="Times New Roman"/>
          <w:b/>
          <w:sz w:val="24"/>
          <w:szCs w:val="24"/>
          <w:lang w:val="es-ES_tradnl" w:eastAsia="es-ES"/>
        </w:rPr>
      </w:pPr>
      <w:r w:rsidRPr="00DD5260">
        <w:rPr>
          <w:rFonts w:ascii="Times New Roman" w:eastAsia="Times New Roman" w:hAnsi="Times New Roman" w:cs="Times New Roman"/>
          <w:b/>
          <w:sz w:val="24"/>
          <w:szCs w:val="24"/>
          <w:lang w:val="es-ES_tradnl" w:eastAsia="es-ES"/>
        </w:rPr>
        <w:t xml:space="preserve">Derechos de </w:t>
      </w:r>
      <w:r>
        <w:rPr>
          <w:rFonts w:ascii="Times New Roman" w:eastAsia="Times New Roman" w:hAnsi="Times New Roman" w:cs="Times New Roman"/>
          <w:b/>
          <w:sz w:val="24"/>
          <w:szCs w:val="24"/>
          <w:lang w:val="es-ES_tradnl" w:eastAsia="es-ES"/>
        </w:rPr>
        <w:t xml:space="preserve">las Niñas y </w:t>
      </w:r>
      <w:r w:rsidRPr="00DD5260">
        <w:rPr>
          <w:rFonts w:ascii="Times New Roman" w:eastAsia="Times New Roman" w:hAnsi="Times New Roman" w:cs="Times New Roman"/>
          <w:b/>
          <w:sz w:val="24"/>
          <w:szCs w:val="24"/>
          <w:lang w:val="es-ES_tradnl" w:eastAsia="es-ES"/>
        </w:rPr>
        <w:t>los Niños (arts. 23, 24 y 26).</w:t>
      </w:r>
    </w:p>
    <w:p w:rsidR="004E0A7F" w:rsidRPr="00DD5260" w:rsidRDefault="004E0A7F" w:rsidP="004E0A7F">
      <w:pPr>
        <w:suppressAutoHyphens/>
        <w:spacing w:after="0" w:line="240" w:lineRule="auto"/>
        <w:ind w:left="708"/>
        <w:rPr>
          <w:rFonts w:ascii="Times New Roman" w:eastAsia="Calibri" w:hAnsi="Times New Roman" w:cs="Times New Roman"/>
          <w:sz w:val="24"/>
          <w:szCs w:val="24"/>
          <w:lang w:val="es-VE"/>
        </w:rPr>
      </w:pPr>
    </w:p>
    <w:p w:rsidR="004E0A7F" w:rsidRPr="00DD5260" w:rsidRDefault="004E0A7F" w:rsidP="004E0A7F">
      <w:pPr>
        <w:numPr>
          <w:ilvl w:val="0"/>
          <w:numId w:val="1"/>
        </w:numPr>
        <w:shd w:val="clear" w:color="auto" w:fill="FFFFFF"/>
        <w:suppressAutoHyphens/>
        <w:spacing w:after="0" w:line="240" w:lineRule="auto"/>
        <w:jc w:val="both"/>
        <w:rPr>
          <w:rFonts w:ascii="Times New Roman" w:eastAsia="Times New Roman" w:hAnsi="Times New Roman" w:cs="Times New Roman"/>
          <w:sz w:val="24"/>
          <w:szCs w:val="24"/>
          <w:lang w:eastAsia="ar-SA"/>
        </w:rPr>
      </w:pPr>
      <w:r w:rsidRPr="00DD5260">
        <w:rPr>
          <w:rFonts w:ascii="Times New Roman" w:eastAsia="Calibri" w:hAnsi="Times New Roman" w:cs="Times New Roman"/>
          <w:sz w:val="24"/>
          <w:szCs w:val="24"/>
          <w:lang w:val="es-VE"/>
        </w:rPr>
        <w:t xml:space="preserve">Esta INDH, dentro de las medidas adoptadas en el marco de sus competencias constitucionales de promover, defender y vigilar los derechos humanos, reconoce </w:t>
      </w:r>
      <w:r w:rsidRPr="00DD5260">
        <w:rPr>
          <w:rFonts w:ascii="Times New Roman" w:eastAsia="Times New Roman" w:hAnsi="Times New Roman" w:cs="Times New Roman"/>
          <w:sz w:val="24"/>
          <w:szCs w:val="24"/>
          <w:lang w:eastAsia="ar-SA"/>
        </w:rPr>
        <w:t xml:space="preserve">los esfuerzos del Estado venezolano, en dar garantía a la identificación e identidad de </w:t>
      </w:r>
      <w:r>
        <w:rPr>
          <w:rFonts w:ascii="Times New Roman" w:eastAsia="Times New Roman" w:hAnsi="Times New Roman" w:cs="Times New Roman"/>
          <w:sz w:val="24"/>
          <w:szCs w:val="24"/>
          <w:lang w:eastAsia="ar-SA"/>
        </w:rPr>
        <w:t>las niñas, niños y adolescentes</w:t>
      </w:r>
      <w:r w:rsidRPr="00DD5260">
        <w:rPr>
          <w:rFonts w:ascii="Times New Roman" w:eastAsia="Times New Roman" w:hAnsi="Times New Roman" w:cs="Times New Roman"/>
          <w:sz w:val="24"/>
          <w:szCs w:val="24"/>
          <w:lang w:eastAsia="ar-SA"/>
        </w:rPr>
        <w:t xml:space="preserve"> incluida </w:t>
      </w:r>
      <w:r>
        <w:rPr>
          <w:rFonts w:ascii="Times New Roman" w:eastAsia="Times New Roman" w:hAnsi="Times New Roman" w:cs="Times New Roman"/>
          <w:sz w:val="24"/>
          <w:szCs w:val="24"/>
          <w:lang w:eastAsia="ar-SA"/>
        </w:rPr>
        <w:t xml:space="preserve">a </w:t>
      </w:r>
      <w:r w:rsidRPr="00DD5260">
        <w:rPr>
          <w:rFonts w:ascii="Times New Roman" w:eastAsia="Times New Roman" w:hAnsi="Times New Roman" w:cs="Times New Roman"/>
          <w:sz w:val="24"/>
          <w:szCs w:val="24"/>
          <w:lang w:eastAsia="ar-SA"/>
        </w:rPr>
        <w:t xml:space="preserve">las comunidades </w:t>
      </w:r>
      <w:r>
        <w:rPr>
          <w:rFonts w:ascii="Times New Roman" w:eastAsia="Times New Roman" w:hAnsi="Times New Roman" w:cs="Times New Roman"/>
          <w:sz w:val="24"/>
          <w:szCs w:val="24"/>
          <w:lang w:eastAsia="ar-SA"/>
        </w:rPr>
        <w:t>pertenecientes a los</w:t>
      </w:r>
      <w:r w:rsidRPr="00DD5260">
        <w:rPr>
          <w:rFonts w:ascii="Times New Roman" w:eastAsia="Times New Roman" w:hAnsi="Times New Roman" w:cs="Times New Roman"/>
          <w:sz w:val="24"/>
          <w:szCs w:val="24"/>
          <w:lang w:eastAsia="ar-SA"/>
        </w:rPr>
        <w:t xml:space="preserve"> y pueblos indígenas. No obstante, notamos con gran preocupación las dificultades que se presentan en algunos casos a </w:t>
      </w:r>
      <w:r w:rsidRPr="00DD5260">
        <w:rPr>
          <w:rFonts w:ascii="Times New Roman" w:eastAsia="Times New Roman" w:hAnsi="Times New Roman" w:cs="Times New Roman"/>
          <w:sz w:val="24"/>
          <w:szCs w:val="24"/>
          <w:lang w:eastAsia="ar-SA"/>
        </w:rPr>
        <w:lastRenderedPageBreak/>
        <w:t xml:space="preserve">nivel administrativo al momento del trámite para obtener los documentos de identificación correspondientes. </w:t>
      </w:r>
      <w:r w:rsidRPr="00DD5260">
        <w:rPr>
          <w:rFonts w:ascii="Times New Roman" w:eastAsia="Times New Roman" w:hAnsi="Times New Roman" w:cs="Times New Roman"/>
          <w:sz w:val="24"/>
          <w:szCs w:val="24"/>
          <w:lang w:val="es-VE" w:eastAsia="ar-SA"/>
        </w:rPr>
        <w:t xml:space="preserve">En este contexto, la Institución ha ofrecido espacios de diálogo </w:t>
      </w:r>
      <w:r w:rsidRPr="00DD5260">
        <w:rPr>
          <w:rFonts w:ascii="Times New Roman" w:eastAsia="Calibri" w:hAnsi="Times New Roman" w:cs="Times New Roman"/>
          <w:sz w:val="24"/>
          <w:szCs w:val="24"/>
          <w:lang w:val="es-VE"/>
        </w:rPr>
        <w:t xml:space="preserve">para la discusión y el debate en relación a la identificación oportuna de la población indígena </w:t>
      </w:r>
      <w:r w:rsidRPr="00DD5260">
        <w:rPr>
          <w:rFonts w:ascii="Times New Roman" w:eastAsia="Times New Roman" w:hAnsi="Times New Roman" w:cs="Times New Roman"/>
          <w:sz w:val="24"/>
          <w:szCs w:val="24"/>
          <w:lang w:val="es-VE" w:eastAsia="ar-SA"/>
        </w:rPr>
        <w:t>especialmente aquellas de difícil acceso</w:t>
      </w:r>
      <w:r w:rsidRPr="00DD5260">
        <w:rPr>
          <w:rFonts w:ascii="Times New Roman" w:eastAsia="Calibri" w:hAnsi="Times New Roman" w:cs="Times New Roman"/>
          <w:sz w:val="24"/>
          <w:szCs w:val="24"/>
          <w:lang w:val="es-VE"/>
        </w:rPr>
        <w:t xml:space="preserve">. </w:t>
      </w:r>
      <w:r w:rsidRPr="00DD5260">
        <w:rPr>
          <w:rFonts w:ascii="Times New Roman" w:eastAsia="Times New Roman" w:hAnsi="Times New Roman" w:cs="Times New Roman"/>
          <w:sz w:val="24"/>
          <w:szCs w:val="24"/>
          <w:lang w:eastAsia="ar-SA"/>
        </w:rPr>
        <w:t xml:space="preserve">En relación a ello, Venezuela, cuenta con un marco legal sustancioso y garante para que no exista la </w:t>
      </w:r>
      <w:proofErr w:type="spellStart"/>
      <w:r w:rsidRPr="00DD5260">
        <w:rPr>
          <w:rFonts w:ascii="Times New Roman" w:eastAsia="Times New Roman" w:hAnsi="Times New Roman" w:cs="Times New Roman"/>
          <w:sz w:val="24"/>
          <w:szCs w:val="24"/>
          <w:lang w:eastAsia="ar-SA"/>
        </w:rPr>
        <w:t>apatridia</w:t>
      </w:r>
      <w:proofErr w:type="spellEnd"/>
      <w:r w:rsidRPr="00DD5260">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Todas las personas nacidas en territorio venezolano o que aun nacidas fuera del país, su padre o madre son de nacionalidad venezolana, </w:t>
      </w:r>
      <w:r w:rsidR="00E120BB">
        <w:rPr>
          <w:rFonts w:ascii="Times New Roman" w:eastAsia="Times New Roman" w:hAnsi="Times New Roman" w:cs="Times New Roman"/>
          <w:sz w:val="24"/>
          <w:szCs w:val="24"/>
          <w:lang w:eastAsia="ar-SA"/>
        </w:rPr>
        <w:t xml:space="preserve">son venezolanos </w:t>
      </w:r>
      <w:r>
        <w:rPr>
          <w:rFonts w:ascii="Times New Roman" w:eastAsia="Times New Roman" w:hAnsi="Times New Roman" w:cs="Times New Roman"/>
          <w:sz w:val="24"/>
          <w:szCs w:val="24"/>
          <w:lang w:eastAsia="ar-SA"/>
        </w:rPr>
        <w:t xml:space="preserve">y en consecuencia pueden exigir su documentación que los o las acredite como tales.  </w:t>
      </w:r>
    </w:p>
    <w:p w:rsidR="004E0A7F" w:rsidRPr="00DD5260" w:rsidRDefault="004E0A7F" w:rsidP="004E0A7F">
      <w:pPr>
        <w:shd w:val="clear" w:color="auto" w:fill="FFFFFF"/>
        <w:suppressAutoHyphens/>
        <w:spacing w:after="0" w:line="240" w:lineRule="auto"/>
        <w:jc w:val="both"/>
        <w:rPr>
          <w:rFonts w:ascii="Times New Roman" w:eastAsia="Times New Roman" w:hAnsi="Times New Roman" w:cs="Times New Roman"/>
          <w:sz w:val="24"/>
          <w:szCs w:val="24"/>
          <w:lang w:eastAsia="ar-SA"/>
        </w:rPr>
      </w:pPr>
    </w:p>
    <w:p w:rsidR="004E0A7F" w:rsidRPr="00DD5260" w:rsidRDefault="004E0A7F" w:rsidP="004E0A7F">
      <w:pPr>
        <w:numPr>
          <w:ilvl w:val="0"/>
          <w:numId w:val="1"/>
        </w:numPr>
        <w:shd w:val="clear" w:color="auto" w:fill="FFFFFF"/>
        <w:suppressAutoHyphens/>
        <w:spacing w:after="0" w:line="240" w:lineRule="auto"/>
        <w:jc w:val="both"/>
        <w:rPr>
          <w:rFonts w:ascii="Times New Roman" w:eastAsia="Times New Roman" w:hAnsi="Times New Roman" w:cs="Times New Roman"/>
          <w:sz w:val="24"/>
          <w:szCs w:val="24"/>
          <w:lang w:eastAsia="ar-SA"/>
        </w:rPr>
      </w:pPr>
      <w:r w:rsidRPr="00DD5260">
        <w:rPr>
          <w:rFonts w:ascii="Times New Roman" w:eastAsia="Times New Roman" w:hAnsi="Times New Roman" w:cs="Times New Roman"/>
          <w:sz w:val="24"/>
          <w:szCs w:val="24"/>
          <w:lang w:eastAsia="ar-SA"/>
        </w:rPr>
        <w:t>La INDH, valora como un gran logro la creación de la “Mesa nacional de Protección Migratoria de los Niños, Niñas y Adolescentes (NNA), la cual permite articular esfuerzos para el retorno seguro al territorio nacional de NNA con sus progenitores o responsables y que puedan ser insertados en los registros de nacimiento, y en los casos de no contar con esas figuras adultas, son atendidos integralmente de conformidad a su interés superior, prioridad absoluta y demás principios de protección integral.</w:t>
      </w:r>
    </w:p>
    <w:p w:rsidR="004E0A7F" w:rsidRPr="00DD5260" w:rsidRDefault="004E0A7F" w:rsidP="004E0A7F">
      <w:pPr>
        <w:shd w:val="clear" w:color="auto" w:fill="FFFFFF"/>
        <w:suppressAutoHyphens/>
        <w:spacing w:after="0" w:line="240" w:lineRule="auto"/>
        <w:jc w:val="both"/>
        <w:rPr>
          <w:rFonts w:ascii="Times New Roman" w:eastAsia="Times New Roman" w:hAnsi="Times New Roman" w:cs="Times New Roman"/>
          <w:sz w:val="24"/>
          <w:szCs w:val="24"/>
          <w:lang w:eastAsia="ar-SA"/>
        </w:rPr>
      </w:pPr>
    </w:p>
    <w:p w:rsidR="004E0A7F" w:rsidRDefault="004E0A7F" w:rsidP="004E0A7F">
      <w:pPr>
        <w:numPr>
          <w:ilvl w:val="0"/>
          <w:numId w:val="1"/>
        </w:numPr>
        <w:shd w:val="clear" w:color="auto" w:fill="FFFFFF"/>
        <w:suppressAutoHyphens/>
        <w:spacing w:after="0" w:line="240" w:lineRule="auto"/>
        <w:jc w:val="both"/>
        <w:rPr>
          <w:rFonts w:ascii="Times New Roman" w:eastAsia="Times New Roman" w:hAnsi="Times New Roman" w:cs="Times New Roman"/>
          <w:sz w:val="24"/>
          <w:szCs w:val="24"/>
          <w:lang w:eastAsia="ar-SA"/>
        </w:rPr>
      </w:pPr>
      <w:r w:rsidRPr="00DD5260">
        <w:rPr>
          <w:rFonts w:ascii="Times New Roman" w:eastAsia="Times New Roman" w:hAnsi="Times New Roman" w:cs="Times New Roman"/>
          <w:sz w:val="24"/>
          <w:szCs w:val="24"/>
          <w:lang w:eastAsia="ar-SA"/>
        </w:rPr>
        <w:t>Esta Institución, con el apoyo técnico y financiero del Fondo de las Naciones Unidas para la Infancia (Unicef), diseño la guía “Protege”, herramienta divulgativa y formativa,  a fin de fortalecer factores protectores que contribuyan, en la toma de decisión de migrar voluntariamente ya sea transitoria, temporal, estacional o permanentemente a objeto de que se efectúe de manera segura, ordenada y regular, en la cual se tome en consideración el derecho de los niños, niñas y adolescentes a ser escuchados y escuchadas.</w:t>
      </w:r>
    </w:p>
    <w:p w:rsidR="004E0A7F" w:rsidRDefault="004E0A7F" w:rsidP="004E0A7F">
      <w:pPr>
        <w:shd w:val="clear" w:color="auto" w:fill="FFFFFF"/>
        <w:suppressAutoHyphens/>
        <w:spacing w:after="0" w:line="240" w:lineRule="auto"/>
        <w:jc w:val="both"/>
        <w:rPr>
          <w:rFonts w:ascii="Times New Roman" w:eastAsia="Times New Roman" w:hAnsi="Times New Roman" w:cs="Times New Roman"/>
          <w:sz w:val="24"/>
          <w:szCs w:val="24"/>
          <w:lang w:eastAsia="ar-SA"/>
        </w:rPr>
      </w:pPr>
    </w:p>
    <w:p w:rsidR="004E0A7F" w:rsidRPr="005235A3" w:rsidRDefault="004E0A7F" w:rsidP="004E0A7F">
      <w:pPr>
        <w:pStyle w:val="Prrafodelista"/>
        <w:numPr>
          <w:ilvl w:val="0"/>
          <w:numId w:val="1"/>
        </w:numPr>
        <w:shd w:val="clear" w:color="auto" w:fill="FFFFFF"/>
        <w:suppressAutoHyphens/>
        <w:spacing w:after="0" w:line="240" w:lineRule="auto"/>
        <w:jc w:val="both"/>
        <w:rPr>
          <w:rFonts w:ascii="Times New Roman" w:eastAsia="Times New Roman" w:hAnsi="Times New Roman" w:cs="Times New Roman"/>
          <w:sz w:val="24"/>
          <w:szCs w:val="24"/>
          <w:lang w:eastAsia="ar-SA"/>
        </w:rPr>
      </w:pPr>
      <w:r w:rsidRPr="005235A3">
        <w:rPr>
          <w:rFonts w:ascii="Times New Roman" w:eastAsia="Times New Roman" w:hAnsi="Times New Roman" w:cs="Times New Roman"/>
          <w:sz w:val="24"/>
          <w:szCs w:val="24"/>
          <w:lang w:eastAsia="ar-SA"/>
        </w:rPr>
        <w:t>Esta Institución reconoce que el derecho a migrar y trasladarse a otro país es un derecho humano existente desde el comienzo de la humanidad, así como que existen factores externos que inducen a esta migración como las medi</w:t>
      </w:r>
      <w:r w:rsidR="00E120BB">
        <w:rPr>
          <w:rFonts w:ascii="Times New Roman" w:eastAsia="Times New Roman" w:hAnsi="Times New Roman" w:cs="Times New Roman"/>
          <w:sz w:val="24"/>
          <w:szCs w:val="24"/>
          <w:lang w:eastAsia="ar-SA"/>
        </w:rPr>
        <w:t>d</w:t>
      </w:r>
      <w:r w:rsidRPr="005235A3">
        <w:rPr>
          <w:rFonts w:ascii="Times New Roman" w:eastAsia="Times New Roman" w:hAnsi="Times New Roman" w:cs="Times New Roman"/>
          <w:sz w:val="24"/>
          <w:szCs w:val="24"/>
          <w:lang w:eastAsia="ar-SA"/>
        </w:rPr>
        <w:t xml:space="preserve">as coercitivas unilaterales, el bloqueo económico y otras acciones criminales impulsadas por gobiernos como los de </w:t>
      </w:r>
      <w:r w:rsidR="00E120BB">
        <w:rPr>
          <w:rFonts w:ascii="Times New Roman" w:eastAsia="Times New Roman" w:hAnsi="Times New Roman" w:cs="Times New Roman"/>
          <w:sz w:val="24"/>
          <w:szCs w:val="24"/>
          <w:lang w:eastAsia="ar-SA"/>
        </w:rPr>
        <w:t>Estados Unidos, Canadá y Europa;</w:t>
      </w:r>
      <w:bookmarkStart w:id="2" w:name="_GoBack"/>
      <w:bookmarkEnd w:id="2"/>
      <w:r w:rsidRPr="005235A3">
        <w:rPr>
          <w:rFonts w:ascii="Times New Roman" w:eastAsia="Times New Roman" w:hAnsi="Times New Roman" w:cs="Times New Roman"/>
          <w:sz w:val="24"/>
          <w:szCs w:val="24"/>
          <w:lang w:eastAsia="ar-SA"/>
        </w:rPr>
        <w:t xml:space="preserve"> pero insiste en que la migración debe ser segura, planificada y regular, especialmente para la protección de la familia y en particular de los niños, niñas y personas adultas mayores. </w:t>
      </w:r>
    </w:p>
    <w:p w:rsidR="004E0A7F" w:rsidRPr="00DD5260" w:rsidRDefault="004E0A7F" w:rsidP="004E0A7F">
      <w:pPr>
        <w:tabs>
          <w:tab w:val="left" w:pos="90"/>
        </w:tabs>
        <w:suppressAutoHyphens/>
        <w:spacing w:after="0" w:line="360" w:lineRule="auto"/>
        <w:jc w:val="both"/>
        <w:outlineLvl w:val="2"/>
        <w:rPr>
          <w:rFonts w:ascii="Times New Roman" w:eastAsia="Times New Roman" w:hAnsi="Times New Roman" w:cs="Times New Roman"/>
          <w:sz w:val="24"/>
          <w:szCs w:val="24"/>
          <w:lang w:eastAsia="ar-SA"/>
        </w:rPr>
      </w:pPr>
    </w:p>
    <w:p w:rsidR="004E0A7F" w:rsidRDefault="004E0A7F" w:rsidP="004E0A7F"/>
    <w:p w:rsidR="004E0A7F" w:rsidRDefault="004E0A7F" w:rsidP="004E0A7F"/>
    <w:p w:rsidR="00034952" w:rsidRDefault="00034952"/>
    <w:sectPr w:rsidR="00034952" w:rsidSect="002609DC">
      <w:headerReference w:type="default" r:id="rId8"/>
      <w:footerReference w:type="default" r:id="rId9"/>
      <w:footnotePr>
        <w:pos w:val="beneathText"/>
      </w:footnotePr>
      <w:pgSz w:w="12240" w:h="15840"/>
      <w:pgMar w:top="2127" w:right="1701" w:bottom="1701" w:left="2268" w:header="720" w:footer="720" w:gutter="0"/>
      <w:pgBorders w:offsetFrom="page">
        <w:top w:val="single" w:sz="4" w:space="24" w:color="8DB3E2"/>
        <w:left w:val="single" w:sz="4" w:space="24" w:color="8DB3E2"/>
        <w:bottom w:val="single" w:sz="4" w:space="24" w:color="8DB3E2"/>
        <w:right w:val="single" w:sz="4" w:space="24" w:color="8DB3E2"/>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A7F" w:rsidRDefault="004E0A7F" w:rsidP="004E0A7F">
      <w:pPr>
        <w:spacing w:after="0" w:line="240" w:lineRule="auto"/>
      </w:pPr>
      <w:r>
        <w:separator/>
      </w:r>
    </w:p>
  </w:endnote>
  <w:endnote w:type="continuationSeparator" w:id="0">
    <w:p w:rsidR="004E0A7F" w:rsidRDefault="004E0A7F" w:rsidP="004E0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1826928"/>
      <w:docPartObj>
        <w:docPartGallery w:val="Page Numbers (Bottom of Page)"/>
        <w:docPartUnique/>
      </w:docPartObj>
    </w:sdtPr>
    <w:sdtEndPr/>
    <w:sdtContent>
      <w:p w:rsidR="00242129" w:rsidRDefault="00E120BB">
        <w:pPr>
          <w:pStyle w:val="Piedepgina"/>
          <w:jc w:val="center"/>
        </w:pPr>
        <w:r>
          <w:fldChar w:fldCharType="begin"/>
        </w:r>
        <w:r>
          <w:instrText>PAGE   \* MERGEFORMAT</w:instrText>
        </w:r>
        <w:r>
          <w:fldChar w:fldCharType="separate"/>
        </w:r>
        <w:r>
          <w:rPr>
            <w:noProof/>
          </w:rPr>
          <w:t>15</w:t>
        </w:r>
        <w:r>
          <w:fldChar w:fldCharType="end"/>
        </w:r>
      </w:p>
    </w:sdtContent>
  </w:sdt>
  <w:p w:rsidR="00242129" w:rsidRPr="00641714" w:rsidRDefault="00E120BB" w:rsidP="002609DC">
    <w:pPr>
      <w:pStyle w:val="Piedepgina"/>
      <w:rPr>
        <w:rFonts w:ascii="Arial" w:hAnsi="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A7F" w:rsidRDefault="004E0A7F" w:rsidP="004E0A7F">
      <w:pPr>
        <w:spacing w:after="0" w:line="240" w:lineRule="auto"/>
      </w:pPr>
      <w:r>
        <w:separator/>
      </w:r>
    </w:p>
  </w:footnote>
  <w:footnote w:type="continuationSeparator" w:id="0">
    <w:p w:rsidR="004E0A7F" w:rsidRDefault="004E0A7F" w:rsidP="004E0A7F">
      <w:pPr>
        <w:spacing w:after="0" w:line="240" w:lineRule="auto"/>
      </w:pPr>
      <w:r>
        <w:continuationSeparator/>
      </w:r>
    </w:p>
  </w:footnote>
  <w:footnote w:id="1">
    <w:p w:rsidR="004E0A7F" w:rsidRPr="00D34F15" w:rsidRDefault="004E0A7F" w:rsidP="004E0A7F">
      <w:pPr>
        <w:pStyle w:val="Textonotapie"/>
      </w:pPr>
      <w:r>
        <w:rPr>
          <w:rStyle w:val="Refdenotaalpie"/>
        </w:rPr>
        <w:footnoteRef/>
      </w:r>
      <w:r>
        <w:t xml:space="preserve"> </w:t>
      </w:r>
      <w:r w:rsidRPr="00D34F15">
        <w:t>Gaceta Oficial Extraordinaria N° 36.860 de fecha 30 de diciembre de 1.999</w:t>
      </w:r>
    </w:p>
  </w:footnote>
  <w:footnote w:id="2">
    <w:p w:rsidR="004E0A7F" w:rsidRPr="00D34F15" w:rsidRDefault="004E0A7F" w:rsidP="004E0A7F">
      <w:pPr>
        <w:pStyle w:val="Textonotapie"/>
      </w:pPr>
      <w:r>
        <w:rPr>
          <w:rStyle w:val="Refdenotaalpie"/>
        </w:rPr>
        <w:footnoteRef/>
      </w:r>
      <w:r>
        <w:t xml:space="preserve"> Gaceta Oficial N° 37.995 de fecha 5 de agosto de 2.004</w:t>
      </w:r>
    </w:p>
  </w:footnote>
  <w:footnote w:id="3">
    <w:p w:rsidR="004E0A7F" w:rsidRDefault="004E0A7F" w:rsidP="004E0A7F">
      <w:pPr>
        <w:pStyle w:val="Textonotapie"/>
      </w:pPr>
      <w:r>
        <w:rPr>
          <w:rStyle w:val="Refdenotaalpie"/>
        </w:rPr>
        <w:footnoteRef/>
      </w:r>
      <w:r>
        <w:t xml:space="preserve"> Gaceta Oficial N. ° 6.076 del 07</w:t>
      </w:r>
      <w:r w:rsidRPr="007D23E4">
        <w:t xml:space="preserve"> de</w:t>
      </w:r>
      <w:r>
        <w:t xml:space="preserve"> mayo </w:t>
      </w:r>
      <w:r w:rsidRPr="007D23E4">
        <w:t xml:space="preserve"> </w:t>
      </w:r>
      <w:r>
        <w:t>2012.</w:t>
      </w:r>
    </w:p>
  </w:footnote>
  <w:footnote w:id="4">
    <w:p w:rsidR="004E0A7F" w:rsidRDefault="004E0A7F" w:rsidP="004E0A7F">
      <w:pPr>
        <w:pStyle w:val="Textonotapie"/>
      </w:pPr>
      <w:r>
        <w:rPr>
          <w:rStyle w:val="Refdenotaalpie"/>
        </w:rPr>
        <w:footnoteRef/>
      </w:r>
      <w:r>
        <w:t xml:space="preserve"> Gaceta Oficial </w:t>
      </w:r>
      <w:r w:rsidRPr="00061EDA">
        <w:t>N. °</w:t>
      </w:r>
      <w:r>
        <w:t>41.276 del 10 noviembre 2017.</w:t>
      </w:r>
    </w:p>
  </w:footnote>
  <w:footnote w:id="5">
    <w:p w:rsidR="004E0A7F" w:rsidRDefault="004E0A7F" w:rsidP="004E0A7F">
      <w:pPr>
        <w:pStyle w:val="Textonotapie"/>
      </w:pPr>
      <w:r>
        <w:rPr>
          <w:rStyle w:val="Refdenotaalpie"/>
        </w:rPr>
        <w:footnoteRef/>
      </w:r>
      <w:r>
        <w:t xml:space="preserve"> </w:t>
      </w:r>
      <w:r w:rsidRPr="00061EDA">
        <w:t>Gaceta Oficial N. ° 42.007 del 13 de noviembre de 2020</w:t>
      </w:r>
      <w:r>
        <w:t>.</w:t>
      </w:r>
    </w:p>
  </w:footnote>
  <w:footnote w:id="6">
    <w:p w:rsidR="004E0A7F" w:rsidRDefault="004E0A7F" w:rsidP="004E0A7F">
      <w:pPr>
        <w:pStyle w:val="Textonotapie"/>
      </w:pPr>
      <w:r>
        <w:rPr>
          <w:rStyle w:val="Refdenotaalpie"/>
        </w:rPr>
        <w:footnoteRef/>
      </w:r>
      <w:r>
        <w:t xml:space="preserve"> Gaceta Electoral N° 1025, del 13 de julio 2023.</w:t>
      </w:r>
    </w:p>
  </w:footnote>
  <w:footnote w:id="7">
    <w:p w:rsidR="004E0A7F" w:rsidRPr="007D23E4" w:rsidRDefault="004E0A7F" w:rsidP="004E0A7F">
      <w:pPr>
        <w:pStyle w:val="Textonotapie"/>
        <w:rPr>
          <w:lang w:val="es-VE"/>
        </w:rPr>
      </w:pPr>
      <w:r>
        <w:rPr>
          <w:rStyle w:val="Refdenotaalpie"/>
        </w:rPr>
        <w:footnoteRef/>
      </w:r>
      <w:r>
        <w:t xml:space="preserve"> </w:t>
      </w:r>
      <w:r w:rsidRPr="00061EDA">
        <w:t xml:space="preserve">TSJ, Sala Constitucional. Sentencia </w:t>
      </w:r>
      <w:r>
        <w:t>N</w:t>
      </w:r>
      <w:r w:rsidRPr="00061EDA">
        <w:t>° 0128, del 16 de marzo de 2023.</w:t>
      </w:r>
    </w:p>
  </w:footnote>
  <w:footnote w:id="8">
    <w:p w:rsidR="004E0A7F" w:rsidRDefault="004E0A7F" w:rsidP="004E0A7F">
      <w:pPr>
        <w:pStyle w:val="Textonotapie"/>
      </w:pPr>
      <w:r>
        <w:rPr>
          <w:rStyle w:val="Refdenotaalpie"/>
        </w:rPr>
        <w:footnoteRef/>
      </w:r>
      <w:r>
        <w:t xml:space="preserve"> </w:t>
      </w:r>
      <w:r w:rsidRPr="00061EDA">
        <w:t xml:space="preserve">TSJ, Sala Constitucional. Sentencia </w:t>
      </w:r>
      <w:r>
        <w:t>N</w:t>
      </w:r>
      <w:r w:rsidRPr="00061EDA">
        <w:t xml:space="preserve">°1.187, del 15 </w:t>
      </w:r>
      <w:r>
        <w:t>d</w:t>
      </w:r>
      <w:r w:rsidRPr="00061EDA">
        <w:t xml:space="preserve">iciembre 2016.  </w:t>
      </w:r>
    </w:p>
  </w:footnote>
  <w:footnote w:id="9">
    <w:p w:rsidR="004E0A7F" w:rsidRPr="00772DBA" w:rsidRDefault="004E0A7F" w:rsidP="004E0A7F">
      <w:pPr>
        <w:pStyle w:val="Textonotapie"/>
        <w:tabs>
          <w:tab w:val="left" w:pos="0"/>
          <w:tab w:val="left" w:pos="142"/>
        </w:tabs>
        <w:jc w:val="both"/>
      </w:pPr>
      <w:r w:rsidRPr="009070E1">
        <w:rPr>
          <w:rStyle w:val="Refdenotaalpie"/>
        </w:rPr>
        <w:footnoteRef/>
      </w:r>
      <w:r w:rsidRPr="00772DBA">
        <w:t xml:space="preserve">Gaceta Oficial de la RBV </w:t>
      </w:r>
      <w:r>
        <w:t>n</w:t>
      </w:r>
      <w:proofErr w:type="gramStart"/>
      <w:r>
        <w:t>.</w:t>
      </w:r>
      <w:r w:rsidRPr="00772DBA">
        <w:t>º</w:t>
      </w:r>
      <w:proofErr w:type="gramEnd"/>
      <w:r w:rsidRPr="00772DBA">
        <w:t xml:space="preserve"> 6.657 Extraordinario del 28 de octubre de 2021.</w:t>
      </w:r>
    </w:p>
  </w:footnote>
  <w:footnote w:id="10">
    <w:p w:rsidR="004E0A7F" w:rsidRPr="00772DBA" w:rsidRDefault="004E0A7F" w:rsidP="004E0A7F">
      <w:pPr>
        <w:pStyle w:val="Textonotapie"/>
        <w:tabs>
          <w:tab w:val="left" w:pos="0"/>
          <w:tab w:val="left" w:pos="142"/>
        </w:tabs>
        <w:jc w:val="both"/>
      </w:pPr>
      <w:r w:rsidRPr="009070E1">
        <w:rPr>
          <w:rStyle w:val="Refdenotaalpie"/>
        </w:rPr>
        <w:footnoteRef/>
      </w:r>
      <w:r w:rsidRPr="00772DBA">
        <w:t xml:space="preserve">Gaceta Oficial de la RBV </w:t>
      </w:r>
      <w:r>
        <w:t>n</w:t>
      </w:r>
      <w:proofErr w:type="gramStart"/>
      <w:r>
        <w:t>.</w:t>
      </w:r>
      <w:r w:rsidRPr="00772DBA">
        <w:t>º</w:t>
      </w:r>
      <w:proofErr w:type="gramEnd"/>
      <w:r w:rsidRPr="00772DBA">
        <w:t xml:space="preserve"> </w:t>
      </w:r>
      <w:r w:rsidRPr="00FF7388">
        <w:t>6.74</w:t>
      </w:r>
      <w:r>
        <w:t>4</w:t>
      </w:r>
      <w:r>
        <w:rPr>
          <w:rFonts w:ascii="Bookman Old Style" w:hAnsi="Bookman Old Style" w:cs="Arial"/>
          <w:sz w:val="22"/>
          <w:szCs w:val="22"/>
        </w:rPr>
        <w:t xml:space="preserve"> </w:t>
      </w:r>
      <w:r w:rsidRPr="00772DBA">
        <w:t>Extraordinario del 2</w:t>
      </w:r>
      <w:r>
        <w:t>4</w:t>
      </w:r>
      <w:r w:rsidRPr="00772DBA">
        <w:t xml:space="preserve"> de </w:t>
      </w:r>
      <w:r>
        <w:t xml:space="preserve">abril </w:t>
      </w:r>
      <w:r w:rsidRPr="00772DBA">
        <w:t>de 202</w:t>
      </w:r>
      <w:r>
        <w:t>3</w:t>
      </w:r>
      <w:r w:rsidRPr="00772DBA">
        <w:t>.</w:t>
      </w:r>
    </w:p>
  </w:footnote>
  <w:footnote w:id="11">
    <w:p w:rsidR="004E0A7F" w:rsidRPr="00772DBA" w:rsidRDefault="004E0A7F" w:rsidP="004E0A7F">
      <w:pPr>
        <w:pStyle w:val="Textonotapie"/>
        <w:tabs>
          <w:tab w:val="left" w:pos="0"/>
          <w:tab w:val="left" w:pos="142"/>
        </w:tabs>
        <w:jc w:val="both"/>
      </w:pPr>
      <w:r w:rsidRPr="009070E1">
        <w:rPr>
          <w:rStyle w:val="Refdenotaalpie"/>
        </w:rPr>
        <w:footnoteRef/>
      </w:r>
      <w:r w:rsidRPr="00772DBA">
        <w:t xml:space="preserve">Gaceta Oficial </w:t>
      </w:r>
      <w:r>
        <w:t>N° 6.641</w:t>
      </w:r>
      <w:r w:rsidRPr="00772DBA">
        <w:t xml:space="preserve"> Extraordinario del </w:t>
      </w:r>
      <w:r>
        <w:t>13</w:t>
      </w:r>
      <w:r w:rsidRPr="00772DBA">
        <w:t xml:space="preserve"> de </w:t>
      </w:r>
      <w:r>
        <w:t>septiem</w:t>
      </w:r>
      <w:r w:rsidRPr="00772DBA">
        <w:t>bre de 2021.</w:t>
      </w:r>
    </w:p>
  </w:footnote>
  <w:footnote w:id="12">
    <w:p w:rsidR="004E0A7F" w:rsidRPr="00D13820" w:rsidRDefault="004E0A7F" w:rsidP="004E0A7F">
      <w:pPr>
        <w:pStyle w:val="Textonotapie"/>
        <w:jc w:val="both"/>
      </w:pPr>
      <w:r>
        <w:rPr>
          <w:rStyle w:val="Refdenotaalpie"/>
        </w:rPr>
        <w:footnoteRef/>
      </w:r>
      <w:r>
        <w:t xml:space="preserve"> </w:t>
      </w:r>
      <w:r w:rsidRPr="00D13820">
        <w:t>Fuente suministrada por la Dirección de Talento Humano de la Defensoría del Pueblo.</w:t>
      </w:r>
    </w:p>
  </w:footnote>
  <w:footnote w:id="13">
    <w:p w:rsidR="004E0A7F" w:rsidRPr="00D13820" w:rsidRDefault="004E0A7F" w:rsidP="004E0A7F">
      <w:pPr>
        <w:pStyle w:val="Textonotapie"/>
        <w:jc w:val="both"/>
      </w:pPr>
      <w:r w:rsidRPr="00D13820">
        <w:rPr>
          <w:rStyle w:val="Refdenotaalpie"/>
        </w:rPr>
        <w:footnoteRef/>
      </w:r>
      <w:r w:rsidRPr="00D13820">
        <w:t xml:space="preserve"> Fuente suministrada por la Dirección General de Promoción y Divulgación de la Defensoría del Pueblo.</w:t>
      </w:r>
    </w:p>
  </w:footnote>
  <w:footnote w:id="14">
    <w:p w:rsidR="004E0A7F" w:rsidRPr="00F41A7D" w:rsidRDefault="004E0A7F" w:rsidP="004E0A7F">
      <w:pPr>
        <w:pStyle w:val="Textonotapie"/>
        <w:jc w:val="both"/>
      </w:pPr>
      <w:r>
        <w:rPr>
          <w:rStyle w:val="Refdenotaalpie"/>
        </w:rPr>
        <w:footnoteRef/>
      </w:r>
      <w:r>
        <w:t xml:space="preserve"> </w:t>
      </w:r>
      <w:r w:rsidRPr="00246D3B">
        <w:t>Fuente suministrada por la Dirección General de Promoción y Divulgación</w:t>
      </w:r>
      <w:r>
        <w:t xml:space="preserve"> de Derechos Humanos.</w:t>
      </w:r>
    </w:p>
  </w:footnote>
  <w:footnote w:id="15">
    <w:p w:rsidR="004E0A7F" w:rsidRPr="00D13820" w:rsidRDefault="004E0A7F" w:rsidP="004E0A7F">
      <w:pPr>
        <w:pStyle w:val="Textonotapie"/>
        <w:jc w:val="both"/>
      </w:pPr>
      <w:r w:rsidRPr="00D13820">
        <w:rPr>
          <w:rStyle w:val="Refdenotaalpie"/>
        </w:rPr>
        <w:footnoteRef/>
      </w:r>
      <w:r>
        <w:t xml:space="preserve"> </w:t>
      </w:r>
      <w:r w:rsidRPr="00D13820">
        <w:t>Fuente suministrada por la Dirección General de Atención al Ciudadano de la Defensoría del Pueblo.</w:t>
      </w:r>
    </w:p>
  </w:footnote>
  <w:footnote w:id="16">
    <w:p w:rsidR="004E0A7F" w:rsidRPr="00393D6C" w:rsidRDefault="004E0A7F" w:rsidP="004E0A7F">
      <w:pPr>
        <w:pStyle w:val="Textonotapie"/>
      </w:pPr>
      <w:r>
        <w:rPr>
          <w:rStyle w:val="Refdenotaalpie"/>
        </w:rPr>
        <w:footnoteRef/>
      </w:r>
      <w:r>
        <w:t xml:space="preserve"> Gaceta Oficial N° 6.667 Extraordinario del 16 de diciembre de 2021.</w:t>
      </w:r>
    </w:p>
  </w:footnote>
  <w:footnote w:id="17">
    <w:p w:rsidR="004E0A7F" w:rsidRPr="00D13820" w:rsidRDefault="004E0A7F" w:rsidP="004E0A7F">
      <w:pPr>
        <w:pStyle w:val="Textonotapie"/>
        <w:jc w:val="both"/>
      </w:pPr>
      <w:r w:rsidRPr="00D13820">
        <w:rPr>
          <w:rStyle w:val="Refdenotaalpie"/>
        </w:rPr>
        <w:footnoteRef/>
      </w:r>
      <w:r w:rsidRPr="00D13820">
        <w:t xml:space="preserve"> Gaceta Oficial N</w:t>
      </w:r>
      <w:proofErr w:type="gramStart"/>
      <w:r w:rsidRPr="00D13820">
        <w:t>.º</w:t>
      </w:r>
      <w:proofErr w:type="gramEnd"/>
      <w:r w:rsidRPr="00D13820">
        <w:t xml:space="preserve"> 5.768 Extraordinario del 13 de abril de 2005.</w:t>
      </w:r>
    </w:p>
  </w:footnote>
  <w:footnote w:id="18">
    <w:p w:rsidR="004E0A7F" w:rsidRPr="00864802" w:rsidRDefault="004E0A7F" w:rsidP="004E0A7F">
      <w:pPr>
        <w:pStyle w:val="Textonotapie"/>
        <w:rPr>
          <w:lang w:val="es-VE"/>
        </w:rPr>
      </w:pPr>
      <w:r>
        <w:rPr>
          <w:rStyle w:val="Refdenotaalpie"/>
        </w:rPr>
        <w:footnoteRef/>
      </w:r>
      <w:r>
        <w:t xml:space="preserve"> </w:t>
      </w:r>
      <w:r w:rsidRPr="00864802">
        <w:t xml:space="preserve">Gaceta Oficial </w:t>
      </w:r>
      <w:r>
        <w:t>N°</w:t>
      </w:r>
      <w:r w:rsidRPr="00864802">
        <w:t xml:space="preserve"> 6.745 Extraordinario del 28 de abril de 2023.</w:t>
      </w:r>
    </w:p>
  </w:footnote>
  <w:footnote w:id="19">
    <w:p w:rsidR="004E0A7F" w:rsidRPr="00E120BB" w:rsidRDefault="004E0A7F" w:rsidP="004E0A7F">
      <w:pPr>
        <w:pStyle w:val="Textonotapie"/>
        <w:rPr>
          <w:lang w:val="es-VE"/>
        </w:rPr>
      </w:pPr>
      <w:r>
        <w:rPr>
          <w:rStyle w:val="Refdenotaalpie"/>
        </w:rPr>
        <w:footnoteRef/>
      </w:r>
      <w:r>
        <w:t xml:space="preserve"> </w:t>
      </w:r>
      <w:r>
        <w:rPr>
          <w:lang w:val="es-VE"/>
        </w:rPr>
        <w:t xml:space="preserve">Fuente suministrada por </w:t>
      </w:r>
      <w:r w:rsidRPr="00E120BB">
        <w:rPr>
          <w:lang w:val="es-VE"/>
        </w:rPr>
        <w:t>Secretaría Técnica de la Comisión contra la Tortura.</w:t>
      </w:r>
    </w:p>
  </w:footnote>
  <w:footnote w:id="20">
    <w:p w:rsidR="004E0A7F" w:rsidRPr="006E14A0" w:rsidRDefault="004E0A7F" w:rsidP="004E0A7F">
      <w:pPr>
        <w:pStyle w:val="Textonotapie"/>
        <w:rPr>
          <w:lang w:val="es-VE"/>
        </w:rPr>
      </w:pPr>
      <w:r>
        <w:rPr>
          <w:rStyle w:val="Refdenotaalpie"/>
        </w:rPr>
        <w:footnoteRef/>
      </w:r>
      <w:r>
        <w:t xml:space="preserve"> </w:t>
      </w:r>
      <w:r>
        <w:rPr>
          <w:lang w:val="es-VE"/>
        </w:rPr>
        <w:t xml:space="preserve">Entidades Federales: Trujillo, Sucre, Carabobo, Aragua, Nueva Esparta y Lara. </w:t>
      </w:r>
    </w:p>
  </w:footnote>
  <w:footnote w:id="21">
    <w:p w:rsidR="004E0A7F" w:rsidRPr="00D4366A" w:rsidRDefault="004E0A7F" w:rsidP="004E0A7F">
      <w:pPr>
        <w:pStyle w:val="Textonotapie"/>
        <w:tabs>
          <w:tab w:val="left" w:pos="0"/>
        </w:tabs>
        <w:ind w:left="142" w:hanging="142"/>
        <w:jc w:val="both"/>
        <w:rPr>
          <w:lang w:val="es-VE"/>
        </w:rPr>
      </w:pPr>
      <w:r>
        <w:rPr>
          <w:rStyle w:val="Refdenotaalpie"/>
        </w:rPr>
        <w:footnoteRef/>
      </w:r>
      <w:r>
        <w:t xml:space="preserve">    O</w:t>
      </w:r>
      <w:proofErr w:type="spellStart"/>
      <w:r>
        <w:rPr>
          <w:lang w:val="es-VE"/>
        </w:rPr>
        <w:t>rganismos</w:t>
      </w:r>
      <w:proofErr w:type="spellEnd"/>
      <w:r>
        <w:rPr>
          <w:lang w:val="es-VE"/>
        </w:rPr>
        <w:t xml:space="preserve"> del Estado formados y capacitados  en el marco del </w:t>
      </w:r>
      <w:r>
        <w:rPr>
          <w:color w:val="202124"/>
          <w:shd w:val="clear" w:color="auto" w:fill="FFFFFF"/>
        </w:rPr>
        <w:t>pl</w:t>
      </w:r>
      <w:r w:rsidRPr="00D7255A">
        <w:rPr>
          <w:color w:val="202124"/>
          <w:shd w:val="clear" w:color="auto" w:fill="FFFFFF"/>
        </w:rPr>
        <w:t xml:space="preserve">an nacional </w:t>
      </w:r>
      <w:r>
        <w:rPr>
          <w:bCs/>
          <w:color w:val="202124"/>
          <w:shd w:val="clear" w:color="auto" w:fill="FFFFFF"/>
          <w:lang w:val="es-ES_tradnl"/>
        </w:rPr>
        <w:t xml:space="preserve">de formación sobre </w:t>
      </w:r>
      <w:r w:rsidRPr="00D7255A">
        <w:rPr>
          <w:bCs/>
          <w:color w:val="202124"/>
          <w:shd w:val="clear" w:color="auto" w:fill="FFFFFF"/>
          <w:lang w:val="es-ES_tradnl"/>
        </w:rPr>
        <w:t>los derechos de las víctimas de la trata de personas especialmente la de mujeres, niños, niñas y adolescentes</w:t>
      </w:r>
      <w:r>
        <w:rPr>
          <w:bCs/>
          <w:color w:val="202124"/>
          <w:shd w:val="clear" w:color="auto" w:fill="FFFFFF"/>
          <w:lang w:val="es-ES_tradnl"/>
        </w:rPr>
        <w:t xml:space="preserve">: </w:t>
      </w:r>
      <w:r w:rsidRPr="007E6922">
        <w:rPr>
          <w:bCs/>
          <w:shd w:val="clear" w:color="auto" w:fill="FFFFFF"/>
          <w:lang w:val="es-ES_tradnl"/>
        </w:rPr>
        <w:t>Ministerio Público, Ministerio del Poder Popular para Relaciones Exteriores, Defensa Pública, Servicio Administrativo de Identificación, Migración y Extranjería (</w:t>
      </w:r>
      <w:proofErr w:type="spellStart"/>
      <w:r w:rsidRPr="007E6922">
        <w:rPr>
          <w:bCs/>
          <w:shd w:val="clear" w:color="auto" w:fill="FFFFFF"/>
          <w:lang w:val="es-ES_tradnl"/>
        </w:rPr>
        <w:t>Saime</w:t>
      </w:r>
      <w:proofErr w:type="spellEnd"/>
      <w:r w:rsidRPr="007E6922">
        <w:rPr>
          <w:bCs/>
          <w:shd w:val="clear" w:color="auto" w:fill="FFFFFF"/>
          <w:lang w:val="es-ES_tradnl"/>
        </w:rPr>
        <w:t>), Cuerpo de Policía Nacional Bolivariana (CPNB), Cuerpo de Investigaciones Científicas, Penales y Criminalísticas (</w:t>
      </w:r>
      <w:proofErr w:type="spellStart"/>
      <w:r w:rsidRPr="007E6922">
        <w:rPr>
          <w:bCs/>
          <w:shd w:val="clear" w:color="auto" w:fill="FFFFFF"/>
          <w:lang w:val="es-ES_tradnl"/>
        </w:rPr>
        <w:t>Cicpc</w:t>
      </w:r>
      <w:proofErr w:type="spellEnd"/>
      <w:r w:rsidRPr="007E6922">
        <w:rPr>
          <w:bCs/>
          <w:shd w:val="clear" w:color="auto" w:fill="FFFFFF"/>
          <w:lang w:val="es-ES_tradnl"/>
        </w:rPr>
        <w:t>),  Guardia Nacional Bolivariana, Ministerio del Poder Popular para la Mujer e Igualdad de Género, Consejos de Protección de Niños, Niñas y Adolescentes, Ministerio del Poder Popular para el Proceso Social del Trabajo, Interpol, Ministerio del Poder Popular para Relaciones, Interiores, Justicia y Paz, Poder Judicial, entre otros.</w:t>
      </w:r>
    </w:p>
  </w:footnote>
  <w:footnote w:id="22">
    <w:p w:rsidR="004E0A7F" w:rsidRPr="00FB12FF" w:rsidRDefault="004E0A7F" w:rsidP="004E0A7F">
      <w:pPr>
        <w:pStyle w:val="Textonotapie"/>
        <w:jc w:val="both"/>
      </w:pPr>
      <w:r>
        <w:rPr>
          <w:rStyle w:val="Refdenotaalpie"/>
        </w:rPr>
        <w:footnoteRef/>
      </w:r>
      <w:r>
        <w:t xml:space="preserve"> Estados fronterizos y turísticos: Bolívar, Táchira, Apure, Amazonas, Zulia, Delta Amacuro, Mérida, Nueva Esparta, Sucre, Anzoátegui, Falcón, Miranda y Distrito Capital.</w:t>
      </w:r>
    </w:p>
  </w:footnote>
  <w:footnote w:id="23">
    <w:p w:rsidR="004E0A7F" w:rsidRPr="00D4366A" w:rsidRDefault="004E0A7F" w:rsidP="004E0A7F">
      <w:pPr>
        <w:pStyle w:val="Textonotapie"/>
        <w:rPr>
          <w:lang w:val="es-VE"/>
        </w:rPr>
      </w:pPr>
      <w:r>
        <w:rPr>
          <w:rStyle w:val="Refdenotaalpie"/>
        </w:rPr>
        <w:footnoteRef/>
      </w:r>
      <w:r>
        <w:t xml:space="preserve"> </w:t>
      </w:r>
      <w:r w:rsidRPr="00D81563">
        <w:rPr>
          <w:iCs/>
          <w:szCs w:val="18"/>
        </w:rPr>
        <w:t>Gaceta Oficial</w:t>
      </w:r>
      <w:r w:rsidRPr="00D81563">
        <w:rPr>
          <w:szCs w:val="18"/>
        </w:rPr>
        <w:t xml:space="preserve"> </w:t>
      </w:r>
      <w:r>
        <w:rPr>
          <w:sz w:val="18"/>
          <w:szCs w:val="18"/>
          <w:lang w:val="es-VE"/>
        </w:rPr>
        <w:t xml:space="preserve">N° 42.007. del </w:t>
      </w:r>
      <w:r w:rsidRPr="00D269ED">
        <w:rPr>
          <w:sz w:val="18"/>
          <w:szCs w:val="18"/>
          <w:lang w:val="es-VE"/>
        </w:rPr>
        <w:t>13 de noviembre 2020.</w:t>
      </w:r>
    </w:p>
  </w:footnote>
  <w:footnote w:id="24">
    <w:p w:rsidR="004E0A7F" w:rsidRPr="00D4366A" w:rsidRDefault="004E0A7F" w:rsidP="004E0A7F">
      <w:pPr>
        <w:pStyle w:val="Textonotapie"/>
        <w:rPr>
          <w:lang w:val="es-VE"/>
        </w:rPr>
      </w:pPr>
      <w:r>
        <w:rPr>
          <w:rStyle w:val="Refdenotaalpie"/>
        </w:rPr>
        <w:footnoteRef/>
      </w:r>
      <w:r>
        <w:t xml:space="preserve"> </w:t>
      </w:r>
      <w:r w:rsidRPr="00D81563">
        <w:rPr>
          <w:iCs/>
          <w:szCs w:val="18"/>
        </w:rPr>
        <w:t>Gaceta Oficial</w:t>
      </w:r>
      <w:r w:rsidRPr="00D81563">
        <w:rPr>
          <w:szCs w:val="18"/>
        </w:rPr>
        <w:t xml:space="preserve"> </w:t>
      </w:r>
      <w:r>
        <w:rPr>
          <w:sz w:val="18"/>
          <w:szCs w:val="18"/>
          <w:lang w:val="es-VE"/>
        </w:rPr>
        <w:t>N</w:t>
      </w:r>
      <w:r w:rsidRPr="002A06D7">
        <w:t>° 42.173 de fecha 21 de julio de 2021.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129" w:rsidRDefault="00E120BB" w:rsidP="002609DC">
    <w:pPr>
      <w:pStyle w:val="Encabezado"/>
      <w:ind w:left="-709" w:hanging="284"/>
      <w:jc w:val="right"/>
      <w:rPr>
        <w:rFonts w:ascii="Arial" w:hAnsi="Arial" w:cs="Arial"/>
        <w:sz w:val="12"/>
        <w:szCs w:val="12"/>
        <w:lang w:val="es-ES_tradnl"/>
      </w:rPr>
    </w:pPr>
    <w:r>
      <w:rPr>
        <w:rFonts w:ascii="Arial" w:hAnsi="Arial" w:cs="Arial"/>
        <w:sz w:val="12"/>
        <w:szCs w:val="12"/>
        <w:lang w:val="es-ES_tradnl"/>
      </w:rPr>
      <w:t xml:space="preserve">  </w:t>
    </w:r>
  </w:p>
  <w:p w:rsidR="00242129" w:rsidRDefault="00E120BB" w:rsidP="002609DC">
    <w:pPr>
      <w:pStyle w:val="Encabezado"/>
      <w:rPr>
        <w:rFonts w:ascii="Arial" w:hAnsi="Arial" w:cs="Arial"/>
        <w:sz w:val="12"/>
        <w:szCs w:val="12"/>
        <w:lang w:val="es-ES_tradnl"/>
      </w:rPr>
    </w:pPr>
  </w:p>
  <w:p w:rsidR="00242129" w:rsidRDefault="00E120BB">
    <w:pPr>
      <w:pStyle w:val="Encabezado"/>
    </w:pPr>
    <w:r>
      <w:t xml:space="preserve">    </w:t>
    </w:r>
    <w:r>
      <w:rPr>
        <w:noProof/>
        <w:sz w:val="22"/>
        <w:szCs w:val="22"/>
        <w:lang w:val="es-VE" w:eastAsia="es-VE"/>
      </w:rPr>
      <w:drawing>
        <wp:inline distT="0" distB="0" distL="0" distR="0" wp14:anchorId="319CDE05" wp14:editId="69FE2E58">
          <wp:extent cx="680085" cy="607060"/>
          <wp:effectExtent l="0" t="0" r="5715" b="254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085" cy="607060"/>
                  </a:xfrm>
                  <a:prstGeom prst="rect">
                    <a:avLst/>
                  </a:prstGeom>
                  <a:noFill/>
                  <a:ln>
                    <a:noFill/>
                  </a:ln>
                </pic:spPr>
              </pic:pic>
            </a:graphicData>
          </a:graphic>
        </wp:inline>
      </w:drawing>
    </w:r>
    <w:r>
      <w:t xml:space="preserve">                                                       </w:t>
    </w:r>
    <w:r>
      <w:t xml:space="preserve">  </w:t>
    </w:r>
    <w:r>
      <w:t xml:space="preserve">        </w:t>
    </w:r>
    <w:r>
      <w:rPr>
        <w:b/>
        <w:noProof/>
        <w:color w:val="FFFFFF"/>
        <w:sz w:val="22"/>
        <w:szCs w:val="22"/>
        <w:lang w:val="es-VE" w:eastAsia="es-VE"/>
      </w:rPr>
      <w:drawing>
        <wp:inline distT="0" distB="0" distL="0" distR="0" wp14:anchorId="0842030A" wp14:editId="677B5B0A">
          <wp:extent cx="1901389" cy="612251"/>
          <wp:effectExtent l="0" t="0" r="3810" b="0"/>
          <wp:docPr id="12" name="Imagen 12" descr="LOGO-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RG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07852" cy="61433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4171E9"/>
    <w:multiLevelType w:val="hybridMultilevel"/>
    <w:tmpl w:val="1EF60712"/>
    <w:lvl w:ilvl="0" w:tplc="BFA6FDCC">
      <w:start w:val="1"/>
      <w:numFmt w:val="lowerLetter"/>
      <w:lvlText w:val="%1)"/>
      <w:lvlJc w:val="left"/>
      <w:pPr>
        <w:ind w:left="1271" w:hanging="420"/>
      </w:pPr>
      <w:rPr>
        <w:rFonts w:hint="default"/>
      </w:rPr>
    </w:lvl>
    <w:lvl w:ilvl="1" w:tplc="200A0019" w:tentative="1">
      <w:start w:val="1"/>
      <w:numFmt w:val="lowerLetter"/>
      <w:lvlText w:val="%2."/>
      <w:lvlJc w:val="left"/>
      <w:pPr>
        <w:ind w:left="1931" w:hanging="360"/>
      </w:pPr>
    </w:lvl>
    <w:lvl w:ilvl="2" w:tplc="200A001B" w:tentative="1">
      <w:start w:val="1"/>
      <w:numFmt w:val="lowerRoman"/>
      <w:lvlText w:val="%3."/>
      <w:lvlJc w:val="right"/>
      <w:pPr>
        <w:ind w:left="2651" w:hanging="180"/>
      </w:pPr>
    </w:lvl>
    <w:lvl w:ilvl="3" w:tplc="200A000F" w:tentative="1">
      <w:start w:val="1"/>
      <w:numFmt w:val="decimal"/>
      <w:lvlText w:val="%4."/>
      <w:lvlJc w:val="left"/>
      <w:pPr>
        <w:ind w:left="3371" w:hanging="360"/>
      </w:pPr>
    </w:lvl>
    <w:lvl w:ilvl="4" w:tplc="200A0019" w:tentative="1">
      <w:start w:val="1"/>
      <w:numFmt w:val="lowerLetter"/>
      <w:lvlText w:val="%5."/>
      <w:lvlJc w:val="left"/>
      <w:pPr>
        <w:ind w:left="4091" w:hanging="360"/>
      </w:pPr>
    </w:lvl>
    <w:lvl w:ilvl="5" w:tplc="200A001B" w:tentative="1">
      <w:start w:val="1"/>
      <w:numFmt w:val="lowerRoman"/>
      <w:lvlText w:val="%6."/>
      <w:lvlJc w:val="right"/>
      <w:pPr>
        <w:ind w:left="4811" w:hanging="180"/>
      </w:pPr>
    </w:lvl>
    <w:lvl w:ilvl="6" w:tplc="200A000F" w:tentative="1">
      <w:start w:val="1"/>
      <w:numFmt w:val="decimal"/>
      <w:lvlText w:val="%7."/>
      <w:lvlJc w:val="left"/>
      <w:pPr>
        <w:ind w:left="5531" w:hanging="360"/>
      </w:pPr>
    </w:lvl>
    <w:lvl w:ilvl="7" w:tplc="200A0019" w:tentative="1">
      <w:start w:val="1"/>
      <w:numFmt w:val="lowerLetter"/>
      <w:lvlText w:val="%8."/>
      <w:lvlJc w:val="left"/>
      <w:pPr>
        <w:ind w:left="6251" w:hanging="360"/>
      </w:pPr>
    </w:lvl>
    <w:lvl w:ilvl="8" w:tplc="200A001B" w:tentative="1">
      <w:start w:val="1"/>
      <w:numFmt w:val="lowerRoman"/>
      <w:lvlText w:val="%9."/>
      <w:lvlJc w:val="right"/>
      <w:pPr>
        <w:ind w:left="6971" w:hanging="180"/>
      </w:pPr>
    </w:lvl>
  </w:abstractNum>
  <w:abstractNum w:abstractNumId="1">
    <w:nsid w:val="6EB724CD"/>
    <w:multiLevelType w:val="hybridMultilevel"/>
    <w:tmpl w:val="E8E08A02"/>
    <w:lvl w:ilvl="0" w:tplc="964EDB20">
      <w:start w:val="1"/>
      <w:numFmt w:val="decimal"/>
      <w:lvlText w:val="%1."/>
      <w:lvlJc w:val="left"/>
      <w:pPr>
        <w:ind w:left="720" w:hanging="360"/>
      </w:pPr>
      <w:rPr>
        <w:color w:val="auto"/>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A7F"/>
    <w:rsid w:val="00034952"/>
    <w:rsid w:val="002F22A3"/>
    <w:rsid w:val="004E0A7F"/>
    <w:rsid w:val="00BA467C"/>
    <w:rsid w:val="00E120BB"/>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A7F"/>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5_G,Footnote reference,FA Fu,Footnote Text Char Char Char Char Char,Footnote Text Char Char Char Char,Footnote Text Char1,Footnote Text Char Char"/>
    <w:basedOn w:val="Normal"/>
    <w:link w:val="TextonotapieCar"/>
    <w:uiPriority w:val="99"/>
    <w:unhideWhenUsed/>
    <w:qFormat/>
    <w:rsid w:val="004E0A7F"/>
    <w:pPr>
      <w:spacing w:after="0" w:line="240" w:lineRule="auto"/>
    </w:pPr>
    <w:rPr>
      <w:sz w:val="20"/>
      <w:szCs w:val="20"/>
    </w:rPr>
  </w:style>
  <w:style w:type="character" w:customStyle="1" w:styleId="TextonotapieCar">
    <w:name w:val="Texto nota pie Car"/>
    <w:aliases w:val="5_G Car,Footnote reference Car,FA Fu Car,Footnote Text Char Char Char Char Char Car,Footnote Text Char Char Char Char Car,Footnote Text Char1 Car,Footnote Text Char Char Car"/>
    <w:basedOn w:val="Fuentedeprrafopredeter"/>
    <w:link w:val="Textonotapie"/>
    <w:uiPriority w:val="99"/>
    <w:rsid w:val="004E0A7F"/>
    <w:rPr>
      <w:sz w:val="20"/>
      <w:szCs w:val="20"/>
      <w:lang w:val="es-ES"/>
    </w:rPr>
  </w:style>
  <w:style w:type="paragraph" w:styleId="Piedepgina">
    <w:name w:val="footer"/>
    <w:basedOn w:val="Normal"/>
    <w:link w:val="PiedepginaCar"/>
    <w:uiPriority w:val="99"/>
    <w:unhideWhenUsed/>
    <w:rsid w:val="004E0A7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E0A7F"/>
    <w:rPr>
      <w:lang w:val="es-ES"/>
    </w:rPr>
  </w:style>
  <w:style w:type="paragraph" w:styleId="Encabezado">
    <w:name w:val="header"/>
    <w:basedOn w:val="Normal"/>
    <w:link w:val="EncabezadoCar"/>
    <w:uiPriority w:val="99"/>
    <w:rsid w:val="004E0A7F"/>
    <w:pPr>
      <w:tabs>
        <w:tab w:val="center" w:pos="4419"/>
        <w:tab w:val="right" w:pos="8838"/>
      </w:tabs>
      <w:suppressAutoHyphens/>
      <w:spacing w:after="0" w:line="240" w:lineRule="auto"/>
    </w:pPr>
    <w:rPr>
      <w:rFonts w:ascii="Times New Roman" w:eastAsia="Times New Roman" w:hAnsi="Times New Roman" w:cs="Times New Roman"/>
      <w:sz w:val="24"/>
      <w:szCs w:val="24"/>
      <w:lang w:eastAsia="ar-SA"/>
    </w:rPr>
  </w:style>
  <w:style w:type="character" w:customStyle="1" w:styleId="EncabezadoCar">
    <w:name w:val="Encabezado Car"/>
    <w:basedOn w:val="Fuentedeprrafopredeter"/>
    <w:link w:val="Encabezado"/>
    <w:uiPriority w:val="99"/>
    <w:rsid w:val="004E0A7F"/>
    <w:rPr>
      <w:rFonts w:ascii="Times New Roman" w:eastAsia="Times New Roman" w:hAnsi="Times New Roman" w:cs="Times New Roman"/>
      <w:sz w:val="24"/>
      <w:szCs w:val="24"/>
      <w:lang w:val="es-ES" w:eastAsia="ar-SA"/>
    </w:rPr>
  </w:style>
  <w:style w:type="character" w:styleId="Refdenotaalpie">
    <w:name w:val="footnote reference"/>
    <w:aliases w:val="4_G,Footnotes refss,Footnote Ref,16 Point,Superscript 6 Point,Appel note de bas de p.,SUPERS,E FNZ,-E Fußnotenzeichen,Footnote#,ftref,Footnote Refernece,Footnote number,a Footnote Reference,FZ,Appel note de bas de page,BVI fnr,f,Styl"/>
    <w:link w:val="BVIfnrCar1CarCarCarCar"/>
    <w:uiPriority w:val="99"/>
    <w:unhideWhenUsed/>
    <w:qFormat/>
    <w:rsid w:val="004E0A7F"/>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4E0A7F"/>
    <w:pPr>
      <w:spacing w:before="200" w:after="160" w:line="240" w:lineRule="exact"/>
    </w:pPr>
    <w:rPr>
      <w:vertAlign w:val="superscript"/>
      <w:lang w:val="es-VE"/>
    </w:rPr>
  </w:style>
  <w:style w:type="paragraph" w:styleId="Prrafodelista">
    <w:name w:val="List Paragraph"/>
    <w:basedOn w:val="Normal"/>
    <w:uiPriority w:val="34"/>
    <w:qFormat/>
    <w:rsid w:val="004E0A7F"/>
    <w:pPr>
      <w:ind w:left="720"/>
      <w:contextualSpacing/>
    </w:pPr>
  </w:style>
  <w:style w:type="paragraph" w:customStyle="1" w:styleId="SingleTxtG">
    <w:name w:val="_ Single Txt_G"/>
    <w:basedOn w:val="Normal"/>
    <w:link w:val="SingleTxtGChar"/>
    <w:qFormat/>
    <w:rsid w:val="004E0A7F"/>
    <w:pPr>
      <w:tabs>
        <w:tab w:val="left" w:pos="1701"/>
        <w:tab w:val="left" w:pos="2268"/>
        <w:tab w:val="left" w:pos="2835"/>
      </w:tabs>
      <w:spacing w:after="120" w:line="240" w:lineRule="atLeast"/>
      <w:ind w:left="1134" w:right="1134"/>
      <w:jc w:val="both"/>
    </w:pPr>
    <w:rPr>
      <w:rFonts w:ascii="Times New Roman" w:eastAsia="Times New Roman" w:hAnsi="Times New Roman" w:cs="Times New Roman"/>
      <w:sz w:val="20"/>
      <w:szCs w:val="20"/>
      <w:lang w:eastAsia="es-ES"/>
    </w:rPr>
  </w:style>
  <w:style w:type="character" w:customStyle="1" w:styleId="SingleTxtGChar">
    <w:name w:val="_ Single Txt_G Char"/>
    <w:link w:val="SingleTxtG"/>
    <w:rsid w:val="004E0A7F"/>
    <w:rPr>
      <w:rFonts w:ascii="Times New Roman" w:eastAsia="Times New Roman" w:hAnsi="Times New Roman" w:cs="Times New Roman"/>
      <w:sz w:val="20"/>
      <w:szCs w:val="20"/>
      <w:lang w:val="es-ES" w:eastAsia="es-ES"/>
    </w:rPr>
  </w:style>
  <w:style w:type="character" w:customStyle="1" w:styleId="Ninguno">
    <w:name w:val="Ninguno"/>
    <w:rsid w:val="004E0A7F"/>
    <w:rPr>
      <w:lang w:val="es-ES_tradnl"/>
    </w:rPr>
  </w:style>
  <w:style w:type="paragraph" w:styleId="Textodeglobo">
    <w:name w:val="Balloon Text"/>
    <w:basedOn w:val="Normal"/>
    <w:link w:val="TextodegloboCar"/>
    <w:uiPriority w:val="99"/>
    <w:semiHidden/>
    <w:unhideWhenUsed/>
    <w:rsid w:val="004E0A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E0A7F"/>
    <w:rPr>
      <w:rFonts w:ascii="Tahoma" w:hAnsi="Tahoma" w:cs="Tahoma"/>
      <w:sz w:val="16"/>
      <w:szCs w:val="16"/>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A7F"/>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5_G,Footnote reference,FA Fu,Footnote Text Char Char Char Char Char,Footnote Text Char Char Char Char,Footnote Text Char1,Footnote Text Char Char"/>
    <w:basedOn w:val="Normal"/>
    <w:link w:val="TextonotapieCar"/>
    <w:uiPriority w:val="99"/>
    <w:unhideWhenUsed/>
    <w:qFormat/>
    <w:rsid w:val="004E0A7F"/>
    <w:pPr>
      <w:spacing w:after="0" w:line="240" w:lineRule="auto"/>
    </w:pPr>
    <w:rPr>
      <w:sz w:val="20"/>
      <w:szCs w:val="20"/>
    </w:rPr>
  </w:style>
  <w:style w:type="character" w:customStyle="1" w:styleId="TextonotapieCar">
    <w:name w:val="Texto nota pie Car"/>
    <w:aliases w:val="5_G Car,Footnote reference Car,FA Fu Car,Footnote Text Char Char Char Char Char Car,Footnote Text Char Char Char Char Car,Footnote Text Char1 Car,Footnote Text Char Char Car"/>
    <w:basedOn w:val="Fuentedeprrafopredeter"/>
    <w:link w:val="Textonotapie"/>
    <w:uiPriority w:val="99"/>
    <w:rsid w:val="004E0A7F"/>
    <w:rPr>
      <w:sz w:val="20"/>
      <w:szCs w:val="20"/>
      <w:lang w:val="es-ES"/>
    </w:rPr>
  </w:style>
  <w:style w:type="paragraph" w:styleId="Piedepgina">
    <w:name w:val="footer"/>
    <w:basedOn w:val="Normal"/>
    <w:link w:val="PiedepginaCar"/>
    <w:uiPriority w:val="99"/>
    <w:unhideWhenUsed/>
    <w:rsid w:val="004E0A7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E0A7F"/>
    <w:rPr>
      <w:lang w:val="es-ES"/>
    </w:rPr>
  </w:style>
  <w:style w:type="paragraph" w:styleId="Encabezado">
    <w:name w:val="header"/>
    <w:basedOn w:val="Normal"/>
    <w:link w:val="EncabezadoCar"/>
    <w:uiPriority w:val="99"/>
    <w:rsid w:val="004E0A7F"/>
    <w:pPr>
      <w:tabs>
        <w:tab w:val="center" w:pos="4419"/>
        <w:tab w:val="right" w:pos="8838"/>
      </w:tabs>
      <w:suppressAutoHyphens/>
      <w:spacing w:after="0" w:line="240" w:lineRule="auto"/>
    </w:pPr>
    <w:rPr>
      <w:rFonts w:ascii="Times New Roman" w:eastAsia="Times New Roman" w:hAnsi="Times New Roman" w:cs="Times New Roman"/>
      <w:sz w:val="24"/>
      <w:szCs w:val="24"/>
      <w:lang w:eastAsia="ar-SA"/>
    </w:rPr>
  </w:style>
  <w:style w:type="character" w:customStyle="1" w:styleId="EncabezadoCar">
    <w:name w:val="Encabezado Car"/>
    <w:basedOn w:val="Fuentedeprrafopredeter"/>
    <w:link w:val="Encabezado"/>
    <w:uiPriority w:val="99"/>
    <w:rsid w:val="004E0A7F"/>
    <w:rPr>
      <w:rFonts w:ascii="Times New Roman" w:eastAsia="Times New Roman" w:hAnsi="Times New Roman" w:cs="Times New Roman"/>
      <w:sz w:val="24"/>
      <w:szCs w:val="24"/>
      <w:lang w:val="es-ES" w:eastAsia="ar-SA"/>
    </w:rPr>
  </w:style>
  <w:style w:type="character" w:styleId="Refdenotaalpie">
    <w:name w:val="footnote reference"/>
    <w:aliases w:val="4_G,Footnotes refss,Footnote Ref,16 Point,Superscript 6 Point,Appel note de bas de p.,SUPERS,E FNZ,-E Fußnotenzeichen,Footnote#,ftref,Footnote Refernece,Footnote number,a Footnote Reference,FZ,Appel note de bas de page,BVI fnr,f,Styl"/>
    <w:link w:val="BVIfnrCar1CarCarCarCar"/>
    <w:uiPriority w:val="99"/>
    <w:unhideWhenUsed/>
    <w:qFormat/>
    <w:rsid w:val="004E0A7F"/>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4E0A7F"/>
    <w:pPr>
      <w:spacing w:before="200" w:after="160" w:line="240" w:lineRule="exact"/>
    </w:pPr>
    <w:rPr>
      <w:vertAlign w:val="superscript"/>
      <w:lang w:val="es-VE"/>
    </w:rPr>
  </w:style>
  <w:style w:type="paragraph" w:styleId="Prrafodelista">
    <w:name w:val="List Paragraph"/>
    <w:basedOn w:val="Normal"/>
    <w:uiPriority w:val="34"/>
    <w:qFormat/>
    <w:rsid w:val="004E0A7F"/>
    <w:pPr>
      <w:ind w:left="720"/>
      <w:contextualSpacing/>
    </w:pPr>
  </w:style>
  <w:style w:type="paragraph" w:customStyle="1" w:styleId="SingleTxtG">
    <w:name w:val="_ Single Txt_G"/>
    <w:basedOn w:val="Normal"/>
    <w:link w:val="SingleTxtGChar"/>
    <w:qFormat/>
    <w:rsid w:val="004E0A7F"/>
    <w:pPr>
      <w:tabs>
        <w:tab w:val="left" w:pos="1701"/>
        <w:tab w:val="left" w:pos="2268"/>
        <w:tab w:val="left" w:pos="2835"/>
      </w:tabs>
      <w:spacing w:after="120" w:line="240" w:lineRule="atLeast"/>
      <w:ind w:left="1134" w:right="1134"/>
      <w:jc w:val="both"/>
    </w:pPr>
    <w:rPr>
      <w:rFonts w:ascii="Times New Roman" w:eastAsia="Times New Roman" w:hAnsi="Times New Roman" w:cs="Times New Roman"/>
      <w:sz w:val="20"/>
      <w:szCs w:val="20"/>
      <w:lang w:eastAsia="es-ES"/>
    </w:rPr>
  </w:style>
  <w:style w:type="character" w:customStyle="1" w:styleId="SingleTxtGChar">
    <w:name w:val="_ Single Txt_G Char"/>
    <w:link w:val="SingleTxtG"/>
    <w:rsid w:val="004E0A7F"/>
    <w:rPr>
      <w:rFonts w:ascii="Times New Roman" w:eastAsia="Times New Roman" w:hAnsi="Times New Roman" w:cs="Times New Roman"/>
      <w:sz w:val="20"/>
      <w:szCs w:val="20"/>
      <w:lang w:val="es-ES" w:eastAsia="es-ES"/>
    </w:rPr>
  </w:style>
  <w:style w:type="character" w:customStyle="1" w:styleId="Ninguno">
    <w:name w:val="Ninguno"/>
    <w:rsid w:val="004E0A7F"/>
    <w:rPr>
      <w:lang w:val="es-ES_tradnl"/>
    </w:rPr>
  </w:style>
  <w:style w:type="paragraph" w:styleId="Textodeglobo">
    <w:name w:val="Balloon Text"/>
    <w:basedOn w:val="Normal"/>
    <w:link w:val="TextodegloboCar"/>
    <w:uiPriority w:val="99"/>
    <w:semiHidden/>
    <w:unhideWhenUsed/>
    <w:rsid w:val="004E0A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E0A7F"/>
    <w:rPr>
      <w:rFonts w:ascii="Tahom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15</Pages>
  <Words>5213</Words>
  <Characters>28673</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 Hernandez</dc:creator>
  <cp:lastModifiedBy>Jose M Hernandez</cp:lastModifiedBy>
  <cp:revision>4</cp:revision>
  <dcterms:created xsi:type="dcterms:W3CDTF">2023-09-11T21:58:00Z</dcterms:created>
  <dcterms:modified xsi:type="dcterms:W3CDTF">2023-09-11T22:13:00Z</dcterms:modified>
</cp:coreProperties>
</file>