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A6C53" w14:textId="77777777" w:rsidR="00BE750A" w:rsidRDefault="00BE750A"/>
    <w:p w14:paraId="76FEE465" w14:textId="77777777" w:rsidR="007C1132" w:rsidRDefault="007C1132"/>
    <w:p w14:paraId="30BE3A04" w14:textId="3A6CDB30" w:rsidR="007C1132" w:rsidRDefault="007C1132">
      <w:pPr>
        <w:rPr>
          <w:rFonts w:eastAsia="Times New Roman"/>
        </w:rPr>
      </w:pPr>
    </w:p>
    <w:p w14:paraId="5BF06BA6" w14:textId="77777777" w:rsidR="007C1132" w:rsidRPr="00D463DE" w:rsidRDefault="007C1132">
      <w:pPr>
        <w:pStyle w:val="NormalWeb"/>
        <w:rPr>
          <w:lang w:val="fr-CH"/>
        </w:rPr>
      </w:pPr>
      <w:r w:rsidRPr="00D463DE">
        <w:rPr>
          <w:rStyle w:val="Strong"/>
          <w:lang w:val="fr-CH"/>
        </w:rPr>
        <w:t>Submitted by</w:t>
      </w:r>
    </w:p>
    <w:p w14:paraId="315EABA7" w14:textId="77777777" w:rsidR="007C1132" w:rsidRPr="00D463DE" w:rsidRDefault="007C1132">
      <w:pPr>
        <w:pStyle w:val="NormalWeb"/>
        <w:rPr>
          <w:lang w:val="fr-CH"/>
        </w:rPr>
      </w:pPr>
      <w:r w:rsidRPr="00D463DE">
        <w:rPr>
          <w:rStyle w:val="Strong"/>
          <w:lang w:val="fr-CH"/>
        </w:rPr>
        <w:t>Forum Méditerranéen pour la Promotion des Droits du Citoyen (FMPDC)</w:t>
      </w:r>
    </w:p>
    <w:p w14:paraId="17EBF22C" w14:textId="77777777" w:rsidR="007C1132" w:rsidRDefault="007C1132">
      <w:pPr>
        <w:pStyle w:val="NormalWeb"/>
      </w:pPr>
      <w:r>
        <w:t>NGO in Special Consultative Status with the United Nations Economic and Social Council (ECOSOC)</w:t>
      </w:r>
    </w:p>
    <w:p w14:paraId="51B646EB" w14:textId="77777777" w:rsidR="007C1132" w:rsidRDefault="007C1132">
      <w:pPr>
        <w:pStyle w:val="NormalWeb"/>
      </w:pPr>
      <w:r>
        <w:t>August 2026</w:t>
      </w:r>
    </w:p>
    <w:p w14:paraId="122E8B07" w14:textId="4DE65DA4" w:rsidR="007C1132" w:rsidRPr="00D463DE" w:rsidRDefault="007C1132">
      <w:pPr>
        <w:rPr>
          <w:rFonts w:eastAsia="Times New Roman"/>
          <w:lang w:val="en-US"/>
        </w:rPr>
      </w:pPr>
    </w:p>
    <w:p w14:paraId="1E983C06" w14:textId="77777777" w:rsidR="007C1132" w:rsidRPr="00D463DE" w:rsidRDefault="007C1132">
      <w:pPr>
        <w:pStyle w:val="Heading1"/>
        <w:rPr>
          <w:rFonts w:eastAsia="Times New Roman"/>
          <w:b/>
          <w:bCs/>
          <w:i/>
          <w:iCs/>
          <w:u w:val="single"/>
          <w:lang w:val="en-US"/>
        </w:rPr>
      </w:pPr>
      <w:r w:rsidRPr="00D463DE">
        <w:rPr>
          <w:rFonts w:eastAsia="Times New Roman"/>
          <w:b/>
          <w:bCs/>
          <w:i/>
          <w:iCs/>
          <w:u w:val="single"/>
          <w:lang w:val="en-US"/>
        </w:rPr>
        <w:t>Executive Summary</w:t>
      </w:r>
    </w:p>
    <w:p w14:paraId="514379A9" w14:textId="77777777" w:rsidR="007C1132" w:rsidRDefault="007C1132">
      <w:pPr>
        <w:pStyle w:val="NormalWeb"/>
      </w:pPr>
      <w:r>
        <w:t xml:space="preserve">This report is respectfully submitted by the Forum </w:t>
      </w:r>
      <w:proofErr w:type="spellStart"/>
      <w:r>
        <w:t>Méditerranéen</w:t>
      </w:r>
      <w:proofErr w:type="spellEnd"/>
      <w:r>
        <w:t xml:space="preserve"> pour la Promotion des Droits du </w:t>
      </w:r>
      <w:proofErr w:type="spellStart"/>
      <w:r>
        <w:t>Citoyen</w:t>
      </w:r>
      <w:proofErr w:type="spellEnd"/>
      <w:r>
        <w:t xml:space="preserve"> (FMPDC) to assist the Committee on Enforced Disappearances in its consideration of the implementation of the International Convention for the Protection of All Persons from Enforced Disappearance by the Italian Republic.</w:t>
      </w:r>
    </w:p>
    <w:p w14:paraId="249F2D2D" w14:textId="11609EC6" w:rsidR="007C1132" w:rsidRDefault="007C1132">
      <w:pPr>
        <w:pStyle w:val="NormalWeb"/>
      </w:pPr>
    </w:p>
    <w:p w14:paraId="0994D697" w14:textId="77777777" w:rsidR="007C1132" w:rsidRDefault="007C1132">
      <w:pPr>
        <w:pStyle w:val="NormalWeb"/>
      </w:pPr>
      <w:r>
        <w:t>FMPDC welcomes Italy's continued commitment to democracy, the rule of law and international human rights obligations. The report recognizes important institutional and legislative developments while identifying areas requiring additional action to ensure full implementation of the Convention.</w:t>
      </w:r>
    </w:p>
    <w:p w14:paraId="2DF91E05" w14:textId="77777777" w:rsidR="007C1132" w:rsidRDefault="007C1132">
      <w:pPr>
        <w:pStyle w:val="NormalWeb"/>
      </w:pPr>
      <w:r>
        <w:t xml:space="preserve">The report concludes that Italy has made </w:t>
      </w:r>
      <w:r>
        <w:rPr>
          <w:rStyle w:val="Strong"/>
        </w:rPr>
        <w:t>substantial progress in several areas</w:t>
      </w:r>
      <w:r>
        <w:t>, particularly regarding judicial safeguards, detention monitoring and cooperation with international mechanisms. Nevertheless, several recommendations issued by the Committee remain only partially implemented, especially concerning the autonomous criminalization of enforced disappearance, the rights of victims and the harmonization of domestic legislation with the Convention.</w:t>
      </w:r>
    </w:p>
    <w:p w14:paraId="49018460" w14:textId="4E4F290B" w:rsidR="007C1132" w:rsidRPr="00D463DE" w:rsidRDefault="007C1132">
      <w:pPr>
        <w:rPr>
          <w:rFonts w:eastAsia="Times New Roman"/>
          <w:lang w:val="en-US"/>
        </w:rPr>
      </w:pPr>
    </w:p>
    <w:p w14:paraId="5A40398E" w14:textId="77777777" w:rsidR="007C1132" w:rsidRPr="00D463DE" w:rsidRDefault="007C1132">
      <w:pPr>
        <w:pStyle w:val="Heading1"/>
        <w:rPr>
          <w:rFonts w:eastAsia="Times New Roman"/>
          <w:b/>
          <w:bCs/>
          <w:i/>
          <w:iCs/>
          <w:u w:val="single"/>
          <w:lang w:val="en-US"/>
        </w:rPr>
      </w:pPr>
      <w:r w:rsidRPr="00D463DE">
        <w:rPr>
          <w:rFonts w:eastAsia="Times New Roman"/>
          <w:b/>
          <w:bCs/>
          <w:i/>
          <w:iCs/>
          <w:u w:val="single"/>
          <w:lang w:val="en-US"/>
        </w:rPr>
        <w:t>I. About FMPDC</w:t>
      </w:r>
    </w:p>
    <w:p w14:paraId="6CECDEE4" w14:textId="77777777" w:rsidR="007C1132" w:rsidRDefault="007C1132">
      <w:pPr>
        <w:pStyle w:val="NormalWeb"/>
      </w:pPr>
      <w:r>
        <w:t xml:space="preserve">The Forum </w:t>
      </w:r>
      <w:proofErr w:type="spellStart"/>
      <w:r>
        <w:t>Méditerranéen</w:t>
      </w:r>
      <w:proofErr w:type="spellEnd"/>
      <w:r>
        <w:t xml:space="preserve"> pour la Promotion des Droits du </w:t>
      </w:r>
      <w:proofErr w:type="spellStart"/>
      <w:r>
        <w:t>Citoyen</w:t>
      </w:r>
      <w:proofErr w:type="spellEnd"/>
      <w:r>
        <w:t xml:space="preserve"> (FMPDC) is an independent non-governmental organization established in 2011 and holding Special Consultative Status with the United Nations Economic and Social Council since 2018.</w:t>
      </w:r>
    </w:p>
    <w:p w14:paraId="562FB6A8" w14:textId="77777777" w:rsidR="007C1132" w:rsidRDefault="007C1132">
      <w:pPr>
        <w:pStyle w:val="NormalWeb"/>
      </w:pPr>
      <w:r>
        <w:t xml:space="preserve">FMPDC promotes human rights, democratic governance, the rule of law and sustainable development throughout the Mediterranean region. The organization regularly contributes to the </w:t>
      </w:r>
      <w:r>
        <w:lastRenderedPageBreak/>
        <w:t>work of United Nations Treaty Bodies, the Human Rights Council and the Universal Periodic Review through alternative reports, written submissions and technical recommendations.</w:t>
      </w:r>
    </w:p>
    <w:p w14:paraId="7F7F1F2C" w14:textId="52C79851" w:rsidR="007C1132" w:rsidRPr="00D463DE" w:rsidRDefault="007C1132">
      <w:pPr>
        <w:rPr>
          <w:rFonts w:eastAsia="Times New Roman"/>
          <w:lang w:val="en-US"/>
        </w:rPr>
      </w:pPr>
    </w:p>
    <w:p w14:paraId="7F38E778" w14:textId="1652AAD9" w:rsidR="007C1132" w:rsidRPr="00D463DE" w:rsidRDefault="007C1132">
      <w:pPr>
        <w:pStyle w:val="Heading1"/>
        <w:rPr>
          <w:rFonts w:eastAsia="Times New Roman"/>
          <w:b/>
          <w:bCs/>
          <w:i/>
          <w:iCs/>
          <w:color w:val="C00000"/>
          <w:u w:val="single"/>
          <w:lang w:val="en-US"/>
        </w:rPr>
      </w:pPr>
      <w:r w:rsidRPr="00D463DE">
        <w:rPr>
          <w:rFonts w:eastAsia="Times New Roman"/>
          <w:b/>
          <w:bCs/>
          <w:i/>
          <w:iCs/>
          <w:color w:val="C00000"/>
          <w:u w:val="single"/>
          <w:lang w:val="en-US"/>
        </w:rPr>
        <w:t>II. National Legal Framework</w:t>
      </w:r>
    </w:p>
    <w:p w14:paraId="4514E3F3" w14:textId="77777777" w:rsidR="007C1132" w:rsidRDefault="007C1132">
      <w:pPr>
        <w:pStyle w:val="NormalWeb"/>
      </w:pPr>
      <w:r>
        <w:t>Italy ratified the International Convention for the Protection of All Persons from Enforced Disappearance on 8 October 2015, thereby undertaking to prevent and punish enforced disappearance in accordance with international law.</w:t>
      </w:r>
    </w:p>
    <w:p w14:paraId="4D79B6C5" w14:textId="77777777" w:rsidR="007C1132" w:rsidRDefault="007C1132">
      <w:pPr>
        <w:pStyle w:val="NormalWeb"/>
      </w:pPr>
      <w:r>
        <w:t>Italy possesses a well-developed constitutional framework protecting liberty, human dignity and judicial guarantees.</w:t>
      </w:r>
    </w:p>
    <w:p w14:paraId="51658712" w14:textId="77777777" w:rsidR="007C1132" w:rsidRDefault="007C1132">
      <w:pPr>
        <w:pStyle w:val="NormalWeb"/>
      </w:pPr>
      <w:r>
        <w:t>Articles 13 and 24 of the Italian Constitution establish strong safeguards concerning personal liberty, judicial protection and due process.</w:t>
      </w:r>
    </w:p>
    <w:p w14:paraId="3EFB9FC5" w14:textId="77777777" w:rsidR="007C1132" w:rsidRDefault="007C1132">
      <w:pPr>
        <w:pStyle w:val="NormalWeb"/>
      </w:pPr>
      <w:r>
        <w:t>The Italian Criminal Code criminalizes numerous offences that may be associated with conduct leading to enforced disappearance, including unlawful deprivation of liberty, kidnapping, abuse of authority and related offences.</w:t>
      </w:r>
    </w:p>
    <w:p w14:paraId="562D276D" w14:textId="77777777" w:rsidR="007C1132" w:rsidRDefault="007C1132">
      <w:pPr>
        <w:pStyle w:val="NormalWeb"/>
      </w:pPr>
      <w:r>
        <w:t>However, as previously observed by the Committee, domestic legislation has not yet fully incorporated an autonomous offence of enforced disappearance corresponding to Article 2 of the Convention.</w:t>
      </w:r>
    </w:p>
    <w:p w14:paraId="1D4E58CA" w14:textId="402C44A4" w:rsidR="007C1132" w:rsidRPr="00D463DE" w:rsidRDefault="007C1132">
      <w:pPr>
        <w:rPr>
          <w:rFonts w:eastAsia="Times New Roman"/>
          <w:lang w:val="en-US"/>
        </w:rPr>
      </w:pPr>
    </w:p>
    <w:p w14:paraId="61B10F34" w14:textId="77777777" w:rsidR="007C1132" w:rsidRPr="00D463DE" w:rsidRDefault="007C1132">
      <w:pPr>
        <w:pStyle w:val="Heading1"/>
        <w:rPr>
          <w:rFonts w:eastAsia="Times New Roman"/>
          <w:b/>
          <w:bCs/>
          <w:i/>
          <w:iCs/>
          <w:color w:val="000000" w:themeColor="text1"/>
          <w:lang w:val="en-US"/>
        </w:rPr>
      </w:pPr>
      <w:r w:rsidRPr="00D463DE">
        <w:rPr>
          <w:rFonts w:eastAsia="Times New Roman"/>
          <w:b/>
          <w:bCs/>
          <w:i/>
          <w:iCs/>
          <w:color w:val="000000" w:themeColor="text1"/>
          <w:lang w:val="en-US"/>
        </w:rPr>
        <w:t>IV. Follow-up to the Previous Concluding Observations</w:t>
      </w:r>
    </w:p>
    <w:p w14:paraId="60A12537" w14:textId="77777777" w:rsidR="007C1132" w:rsidRPr="00D463DE" w:rsidRDefault="007C1132">
      <w:pPr>
        <w:pStyle w:val="Heading2"/>
        <w:rPr>
          <w:rFonts w:eastAsia="Times New Roman"/>
          <w:b/>
          <w:bCs/>
          <w:i/>
          <w:iCs/>
          <w:color w:val="000000" w:themeColor="text1"/>
          <w:lang w:val="en-US"/>
        </w:rPr>
      </w:pPr>
      <w:r w:rsidRPr="00D463DE">
        <w:rPr>
          <w:rFonts w:eastAsia="Times New Roman"/>
          <w:b/>
          <w:bCs/>
          <w:i/>
          <w:iCs/>
          <w:color w:val="000000" w:themeColor="text1"/>
          <w:lang w:val="en-US"/>
        </w:rPr>
        <w:t>Recommendation contained in Paragraph 15</w:t>
      </w:r>
    </w:p>
    <w:p w14:paraId="211D9B54" w14:textId="77777777" w:rsidR="007C1132" w:rsidRPr="00D463DE" w:rsidRDefault="007C1132">
      <w:pPr>
        <w:pStyle w:val="Heading3"/>
        <w:rPr>
          <w:rFonts w:eastAsia="Times New Roman"/>
          <w:b/>
          <w:bCs/>
          <w:i/>
          <w:iCs/>
          <w:color w:val="000000" w:themeColor="text1"/>
          <w:lang w:val="en-US"/>
        </w:rPr>
      </w:pPr>
      <w:r w:rsidRPr="00D463DE">
        <w:rPr>
          <w:rFonts w:eastAsia="Times New Roman"/>
          <w:b/>
          <w:bCs/>
          <w:i/>
          <w:iCs/>
          <w:color w:val="000000" w:themeColor="text1"/>
          <w:lang w:val="en-US"/>
        </w:rPr>
        <w:t>Criminalization of Enforced Disappearance</w:t>
      </w:r>
    </w:p>
    <w:p w14:paraId="07DCB205" w14:textId="77777777" w:rsidR="007C1132" w:rsidRPr="00D463DE" w:rsidRDefault="007C1132">
      <w:pPr>
        <w:pStyle w:val="Heading3"/>
        <w:rPr>
          <w:rFonts w:eastAsia="Times New Roman"/>
          <w:b/>
          <w:bCs/>
          <w:i/>
          <w:iCs/>
          <w:color w:val="000000" w:themeColor="text1"/>
          <w:lang w:val="en-US"/>
        </w:rPr>
      </w:pPr>
      <w:r w:rsidRPr="00D463DE">
        <w:rPr>
          <w:rFonts w:eastAsia="Times New Roman"/>
          <w:b/>
          <w:bCs/>
          <w:i/>
          <w:iCs/>
          <w:color w:val="000000" w:themeColor="text1"/>
          <w:lang w:val="en-US"/>
        </w:rPr>
        <w:t>Relevant Articles</w:t>
      </w:r>
    </w:p>
    <w:p w14:paraId="38A62EC0" w14:textId="77777777" w:rsidR="007C1132" w:rsidRDefault="007C1132">
      <w:pPr>
        <w:pStyle w:val="NormalWeb"/>
      </w:pPr>
      <w:r>
        <w:t>Articles 2, 4, 6 and 7 of the Convention.</w:t>
      </w:r>
    </w:p>
    <w:p w14:paraId="5A5C59C9" w14:textId="77777777" w:rsidR="007C1132" w:rsidRPr="00D463DE" w:rsidRDefault="007C1132">
      <w:pPr>
        <w:pStyle w:val="Heading3"/>
        <w:rPr>
          <w:rFonts w:eastAsia="Times New Roman"/>
          <w:b/>
          <w:bCs/>
          <w:u w:val="single"/>
          <w:lang w:val="en-US"/>
        </w:rPr>
      </w:pPr>
      <w:r w:rsidRPr="00D463DE">
        <w:rPr>
          <w:rFonts w:eastAsia="Times New Roman"/>
          <w:b/>
          <w:bCs/>
          <w:u w:val="single"/>
          <w:lang w:val="en-US"/>
        </w:rPr>
        <w:t>Committee Recommendation</w:t>
      </w:r>
    </w:p>
    <w:p w14:paraId="23ED4C49" w14:textId="77777777" w:rsidR="007C1132" w:rsidRDefault="007C1132">
      <w:pPr>
        <w:pStyle w:val="NormalWeb"/>
      </w:pPr>
      <w:r>
        <w:t>The Committee recommended that Italy adopt the legislative measures necessary to criminalize enforced disappearance as an autonomous offence in accordance with the Convention.</w:t>
      </w:r>
    </w:p>
    <w:p w14:paraId="6194654F" w14:textId="77777777" w:rsidR="007C1132" w:rsidRPr="00D463DE" w:rsidRDefault="007C1132">
      <w:pPr>
        <w:pStyle w:val="Heading3"/>
        <w:rPr>
          <w:rFonts w:eastAsia="Times New Roman"/>
          <w:b/>
          <w:bCs/>
          <w:u w:val="single"/>
          <w:lang w:val="en-US"/>
        </w:rPr>
      </w:pPr>
      <w:r w:rsidRPr="00D463DE">
        <w:rPr>
          <w:rFonts w:eastAsia="Times New Roman"/>
          <w:b/>
          <w:bCs/>
          <w:u w:val="single"/>
          <w:lang w:val="en-US"/>
        </w:rPr>
        <w:lastRenderedPageBreak/>
        <w:t>Measures Taken by Italy</w:t>
      </w:r>
    </w:p>
    <w:p w14:paraId="14FF6AE8" w14:textId="77777777" w:rsidR="007C1132" w:rsidRDefault="007C1132">
      <w:pPr>
        <w:pStyle w:val="NormalWeb"/>
      </w:pPr>
      <w:r>
        <w:t>Italy has maintained an advanced criminal justice system capable of prosecuting serious human rights violations.</w:t>
      </w:r>
    </w:p>
    <w:p w14:paraId="25B50CA4" w14:textId="77777777" w:rsidR="007C1132" w:rsidRDefault="007C1132">
      <w:pPr>
        <w:pStyle w:val="NormalWeb"/>
      </w:pPr>
      <w:r>
        <w:t>The State party has continued to rely on existing offences contained in the Criminal Code to prosecute conduct that may amount to enforced disappearance.</w:t>
      </w:r>
    </w:p>
    <w:p w14:paraId="2DB2B88F" w14:textId="77777777" w:rsidR="007C1132" w:rsidRDefault="007C1132">
      <w:pPr>
        <w:pStyle w:val="NormalWeb"/>
      </w:pPr>
      <w:r>
        <w:t>Judicial safeguards have also been strengthened through continued oversight by independent courts and constitutional guarantees protecting personal liberty.</w:t>
      </w:r>
    </w:p>
    <w:p w14:paraId="3C5F1CA4" w14:textId="77777777" w:rsidR="007C1132" w:rsidRDefault="007C1132">
      <w:pPr>
        <w:pStyle w:val="NormalWeb"/>
      </w:pPr>
      <w:r>
        <w:t>Nevertheless, despite these important safeguards, Italian legislation has not yet established a distinct criminal offence incorporating all constitutive elements contained in Article 2 of the Convention.</w:t>
      </w:r>
    </w:p>
    <w:p w14:paraId="27DA9F7D" w14:textId="77777777" w:rsidR="007C1132" w:rsidRPr="00D463DE" w:rsidRDefault="007C1132">
      <w:pPr>
        <w:pStyle w:val="Heading3"/>
        <w:rPr>
          <w:rFonts w:eastAsia="Times New Roman"/>
          <w:lang w:val="en-US"/>
        </w:rPr>
      </w:pPr>
      <w:r w:rsidRPr="00D463DE">
        <w:rPr>
          <w:rFonts w:eastAsia="Times New Roman"/>
          <w:lang w:val="en-US"/>
        </w:rPr>
        <w:t>FMPDC Assessment</w:t>
      </w:r>
    </w:p>
    <w:p w14:paraId="09254512" w14:textId="77777777" w:rsidR="007C1132" w:rsidRDefault="007C1132">
      <w:pPr>
        <w:pStyle w:val="NormalWeb"/>
      </w:pPr>
      <w:r>
        <w:rPr>
          <w:rStyle w:val="Strong"/>
        </w:rPr>
        <w:t>Implementation Status: Partially Implemented</w:t>
      </w:r>
    </w:p>
    <w:p w14:paraId="75D78207" w14:textId="77777777" w:rsidR="007C1132" w:rsidRDefault="007C1132">
      <w:pPr>
        <w:pStyle w:val="NormalWeb"/>
      </w:pPr>
      <w:r>
        <w:t>Italy has preserved a robust legal framework protecting individuals against arbitrary deprivation of liberty.</w:t>
      </w:r>
    </w:p>
    <w:p w14:paraId="67A4331D" w14:textId="77777777" w:rsidR="007C1132" w:rsidRDefault="007C1132">
      <w:pPr>
        <w:pStyle w:val="NormalWeb"/>
      </w:pPr>
      <w:r>
        <w:t>However, the absence of a specific offence of enforced disappearance continues to create legal uncertainty regarding the comprehensive implementation of the Convention.</w:t>
      </w:r>
    </w:p>
    <w:p w14:paraId="2149C105" w14:textId="77777777" w:rsidR="007C1132" w:rsidRDefault="007C1132">
      <w:pPr>
        <w:pStyle w:val="NormalWeb"/>
      </w:pPr>
      <w:r>
        <w:t>Although existing criminal provisions may address individual components of the crime, they do not provide the comprehensive legal definition envisaged by Articles 2 and 4 of the Convention.</w:t>
      </w:r>
    </w:p>
    <w:p w14:paraId="257E9C5C" w14:textId="77777777" w:rsidR="007C1132" w:rsidRPr="00D463DE" w:rsidRDefault="007C1132">
      <w:pPr>
        <w:pStyle w:val="Heading3"/>
        <w:rPr>
          <w:rFonts w:eastAsia="Times New Roman"/>
          <w:lang w:val="en-US"/>
        </w:rPr>
      </w:pPr>
      <w:r w:rsidRPr="00D463DE">
        <w:rPr>
          <w:rFonts w:eastAsia="Times New Roman"/>
          <w:lang w:val="en-US"/>
        </w:rPr>
        <w:t>Recommendation</w:t>
      </w:r>
    </w:p>
    <w:p w14:paraId="56452AD7" w14:textId="413370C2" w:rsidR="007C1132" w:rsidRDefault="007C1132" w:rsidP="007C1132">
      <w:pPr>
        <w:pStyle w:val="NormalWeb"/>
      </w:pPr>
      <w:r>
        <w:t>FMPDC encourages Italy to continue legislative efforts aimed at incorporating enforced disappearance as an autonomous offence fully consistent with Articles 2, 4, 6 and 7 of the Convention while maintaining existing constitution</w:t>
      </w:r>
    </w:p>
    <w:p w14:paraId="56A83BB9" w14:textId="77777777" w:rsidR="00F15C2A" w:rsidRDefault="00F15C2A" w:rsidP="007C1132">
      <w:pPr>
        <w:pStyle w:val="NormalWeb"/>
      </w:pPr>
    </w:p>
    <w:p w14:paraId="502FF247" w14:textId="32E6FE62" w:rsidR="00F15C2A" w:rsidRPr="00D463DE" w:rsidRDefault="00F15C2A">
      <w:pPr>
        <w:rPr>
          <w:rFonts w:eastAsia="Times New Roman"/>
          <w:lang w:val="en-US"/>
        </w:rPr>
      </w:pPr>
    </w:p>
    <w:p w14:paraId="5A6E8082" w14:textId="77777777" w:rsidR="00F15C2A" w:rsidRPr="00D463DE" w:rsidRDefault="00F15C2A">
      <w:pPr>
        <w:pStyle w:val="Heading1"/>
        <w:rPr>
          <w:rFonts w:eastAsia="Times New Roman"/>
          <w:b/>
          <w:bCs/>
          <w:i/>
          <w:iCs/>
          <w:color w:val="000000" w:themeColor="text1"/>
          <w:u w:val="single"/>
          <w:lang w:val="en-US"/>
        </w:rPr>
      </w:pPr>
      <w:r w:rsidRPr="00D463DE">
        <w:rPr>
          <w:rFonts w:eastAsia="Times New Roman"/>
          <w:b/>
          <w:bCs/>
          <w:i/>
          <w:iCs/>
          <w:color w:val="000000" w:themeColor="text1"/>
          <w:lang w:val="en-US"/>
        </w:rPr>
        <w:lastRenderedPageBreak/>
        <w:t xml:space="preserve">V. </w:t>
      </w:r>
      <w:r w:rsidRPr="00D463DE">
        <w:rPr>
          <w:rFonts w:eastAsia="Times New Roman"/>
          <w:b/>
          <w:bCs/>
          <w:i/>
          <w:iCs/>
          <w:color w:val="000000" w:themeColor="text1"/>
          <w:u w:val="single"/>
          <w:lang w:val="en-US"/>
        </w:rPr>
        <w:t>Follow-up to the Committee's Previous Concluding Observations</w:t>
      </w:r>
    </w:p>
    <w:p w14:paraId="5C44D896" w14:textId="77777777" w:rsidR="00F15C2A" w:rsidRPr="00D463DE" w:rsidRDefault="00F15C2A">
      <w:pPr>
        <w:pStyle w:val="Heading2"/>
        <w:rPr>
          <w:rFonts w:eastAsia="Times New Roman"/>
          <w:b/>
          <w:bCs/>
          <w:i/>
          <w:iCs/>
          <w:color w:val="000000" w:themeColor="text1"/>
          <w:lang w:val="en-US"/>
        </w:rPr>
      </w:pPr>
      <w:r w:rsidRPr="00D463DE">
        <w:rPr>
          <w:rFonts w:eastAsia="Times New Roman"/>
          <w:b/>
          <w:bCs/>
          <w:i/>
          <w:iCs/>
          <w:color w:val="000000" w:themeColor="text1"/>
          <w:lang w:val="en-US"/>
        </w:rPr>
        <w:t>Paragraph 17</w:t>
      </w:r>
    </w:p>
    <w:p w14:paraId="5835D8C5" w14:textId="77777777" w:rsidR="00F15C2A" w:rsidRPr="00D463DE" w:rsidRDefault="00F15C2A">
      <w:pPr>
        <w:pStyle w:val="Heading3"/>
        <w:rPr>
          <w:rFonts w:eastAsia="Times New Roman"/>
          <w:b/>
          <w:bCs/>
          <w:lang w:val="en-US"/>
        </w:rPr>
      </w:pPr>
      <w:r w:rsidRPr="00D463DE">
        <w:rPr>
          <w:rFonts w:eastAsia="Times New Roman"/>
          <w:b/>
          <w:bCs/>
          <w:lang w:val="en-US"/>
        </w:rPr>
        <w:t>Fundamental Legal Safeguards for Persons Deprived of Liberty</w:t>
      </w:r>
    </w:p>
    <w:p w14:paraId="24C9D516" w14:textId="77777777" w:rsidR="00F15C2A" w:rsidRDefault="00F15C2A">
      <w:pPr>
        <w:pStyle w:val="NormalWeb"/>
      </w:pPr>
      <w:r>
        <w:rPr>
          <w:rStyle w:val="Strong"/>
        </w:rPr>
        <w:t>Relevant Articles:</w:t>
      </w:r>
      <w:r>
        <w:t xml:space="preserve"> 17, 18 and 20 of the Convention</w:t>
      </w:r>
    </w:p>
    <w:p w14:paraId="6E006676"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Committee Recommendation</w:t>
      </w:r>
    </w:p>
    <w:p w14:paraId="2067A2EC" w14:textId="77777777" w:rsidR="00F15C2A" w:rsidRDefault="00F15C2A">
      <w:pPr>
        <w:pStyle w:val="NormalWeb"/>
      </w:pPr>
      <w:r>
        <w:t>The Committee encouraged Italy to continue strengthening the legal safeguards available to all persons deprived of their liberty, including access to legal assistance, communication with family members, judicial oversight and accurate registration of detention.</w:t>
      </w:r>
    </w:p>
    <w:p w14:paraId="42E1FA59" w14:textId="77777777" w:rsidR="00F15C2A" w:rsidRPr="00D463DE" w:rsidRDefault="00F15C2A">
      <w:pPr>
        <w:pStyle w:val="Heading3"/>
        <w:rPr>
          <w:rFonts w:eastAsia="Times New Roman"/>
          <w:i/>
          <w:iCs/>
          <w:lang w:val="en-US"/>
        </w:rPr>
      </w:pPr>
      <w:r w:rsidRPr="00D463DE">
        <w:rPr>
          <w:rFonts w:eastAsia="Times New Roman"/>
          <w:i/>
          <w:iCs/>
          <w:lang w:val="en-US"/>
        </w:rPr>
        <w:t>Positive Developments</w:t>
      </w:r>
    </w:p>
    <w:p w14:paraId="724DEE2A" w14:textId="77777777" w:rsidR="00F15C2A" w:rsidRDefault="00F15C2A">
      <w:pPr>
        <w:pStyle w:val="NormalWeb"/>
      </w:pPr>
      <w:r>
        <w:t>FMPDC welcomes the comprehensive legal framework established by Italy to protect individuals deprived of their liberty. The Italian Constitution, the Code of Criminal Procedure and related legislation provide important guarantees against arbitrary detention.</w:t>
      </w:r>
    </w:p>
    <w:p w14:paraId="32B6A630" w14:textId="77777777" w:rsidR="00F15C2A" w:rsidRDefault="00F15C2A">
      <w:pPr>
        <w:pStyle w:val="NormalWeb"/>
      </w:pPr>
      <w:r>
        <w:t>During the reporting period, Italy continued to reinforce judicial oversight of detention through independent courts and competent judicial authorities. Persons deprived of liberty generally benefit from prompt access to legal counsel and are entitled to challenge the legality of their detention before the competent courts.</w:t>
      </w:r>
    </w:p>
    <w:p w14:paraId="24124CB1" w14:textId="77777777" w:rsidR="00F15C2A" w:rsidRDefault="00F15C2A">
      <w:pPr>
        <w:pStyle w:val="NormalWeb"/>
      </w:pPr>
      <w:r>
        <w:t xml:space="preserve">The continued work of the </w:t>
      </w:r>
      <w:r>
        <w:rPr>
          <w:rStyle w:val="Strong"/>
        </w:rPr>
        <w:t>National Guarantor for the Rights of Persons Deprived of Liberty</w:t>
      </w:r>
      <w:r>
        <w:t xml:space="preserve"> has further strengthened independent monitoring of detention facilities and contributed to greater transparency.</w:t>
      </w:r>
    </w:p>
    <w:p w14:paraId="6D14E030" w14:textId="77777777" w:rsidR="00F15C2A" w:rsidRDefault="00F15C2A">
      <w:pPr>
        <w:pStyle w:val="NormalWeb"/>
      </w:pPr>
      <w:r>
        <w:t>Digital modernization initiatives have also facilitated the management of detention records and improved institutional coordination among the competent authorities.</w:t>
      </w:r>
    </w:p>
    <w:p w14:paraId="54E992FD" w14:textId="77777777" w:rsidR="00F15C2A" w:rsidRPr="00D463DE" w:rsidRDefault="00F15C2A">
      <w:pPr>
        <w:pStyle w:val="Heading3"/>
        <w:rPr>
          <w:rFonts w:eastAsia="Times New Roman"/>
          <w:b/>
          <w:bCs/>
          <w:i/>
          <w:iCs/>
          <w:u w:val="single"/>
          <w:lang w:val="en-US"/>
        </w:rPr>
      </w:pPr>
      <w:r w:rsidRPr="00D463DE">
        <w:rPr>
          <w:rFonts w:eastAsia="Times New Roman"/>
          <w:b/>
          <w:bCs/>
          <w:i/>
          <w:iCs/>
          <w:u w:val="single"/>
          <w:lang w:val="en-US"/>
        </w:rPr>
        <w:t>FMPDC Assessment</w:t>
      </w:r>
    </w:p>
    <w:p w14:paraId="1FB8D000" w14:textId="77777777" w:rsidR="00F15C2A" w:rsidRDefault="00F15C2A">
      <w:pPr>
        <w:pStyle w:val="NormalWeb"/>
      </w:pPr>
      <w:r>
        <w:rPr>
          <w:rStyle w:val="Strong"/>
        </w:rPr>
        <w:t>Implementation Status: Largely Implemented</w:t>
      </w:r>
    </w:p>
    <w:p w14:paraId="10104C8C" w14:textId="77777777" w:rsidR="00F15C2A" w:rsidRDefault="00F15C2A">
      <w:pPr>
        <w:pStyle w:val="NormalWeb"/>
      </w:pPr>
      <w:r>
        <w:t>Italy has established a comprehensive system of legal safeguards that significantly reduces the risk of arbitrary or unacknowledged detention. Continued efforts to improve coordination among detention registers and ensure uniform implementation throughout the national territory would further strengthen these protections.</w:t>
      </w:r>
    </w:p>
    <w:p w14:paraId="5C554158" w14:textId="77777777" w:rsidR="00F15C2A" w:rsidRPr="00D463DE" w:rsidRDefault="00F15C2A">
      <w:pPr>
        <w:pStyle w:val="Heading3"/>
        <w:rPr>
          <w:rFonts w:eastAsia="Times New Roman"/>
          <w:b/>
          <w:bCs/>
          <w:i/>
          <w:iCs/>
          <w:u w:val="single"/>
          <w:lang w:val="en-US"/>
        </w:rPr>
      </w:pPr>
      <w:r w:rsidRPr="00D463DE">
        <w:rPr>
          <w:rFonts w:eastAsia="Times New Roman"/>
          <w:b/>
          <w:bCs/>
          <w:i/>
          <w:iCs/>
          <w:u w:val="single"/>
          <w:lang w:val="en-US"/>
        </w:rPr>
        <w:lastRenderedPageBreak/>
        <w:t>Recommendation</w:t>
      </w:r>
    </w:p>
    <w:p w14:paraId="4DB8A66F" w14:textId="77777777" w:rsidR="00F15C2A" w:rsidRDefault="00F15C2A">
      <w:pPr>
        <w:pStyle w:val="NormalWeb"/>
      </w:pPr>
      <w:r>
        <w:t>FMPDC encourages Italy to continue modernizing detention registration systems and promoting consistent implementation of procedural safeguards across all places of deprivation of liberty.</w:t>
      </w:r>
    </w:p>
    <w:p w14:paraId="3FD5C585" w14:textId="01DE5B24" w:rsidR="00F15C2A" w:rsidRPr="00D463DE" w:rsidRDefault="00F15C2A">
      <w:pPr>
        <w:rPr>
          <w:rFonts w:eastAsia="Times New Roman"/>
          <w:lang w:val="en-US"/>
        </w:rPr>
      </w:pPr>
    </w:p>
    <w:p w14:paraId="070746F4" w14:textId="77777777" w:rsidR="00F15C2A" w:rsidRPr="00D463DE" w:rsidRDefault="00F15C2A">
      <w:pPr>
        <w:pStyle w:val="Heading2"/>
        <w:rPr>
          <w:rFonts w:eastAsia="Times New Roman"/>
          <w:b/>
          <w:bCs/>
          <w:i/>
          <w:iCs/>
          <w:color w:val="000000" w:themeColor="text1"/>
          <w:u w:val="single"/>
          <w:lang w:val="en-US"/>
        </w:rPr>
      </w:pPr>
      <w:r w:rsidRPr="00D463DE">
        <w:rPr>
          <w:rFonts w:eastAsia="Times New Roman"/>
          <w:b/>
          <w:bCs/>
          <w:i/>
          <w:iCs/>
          <w:color w:val="000000" w:themeColor="text1"/>
          <w:u w:val="single"/>
          <w:lang w:val="en-US"/>
        </w:rPr>
        <w:t>Paragraph 19</w:t>
      </w:r>
    </w:p>
    <w:p w14:paraId="3D39A4A1" w14:textId="77777777" w:rsidR="00F15C2A" w:rsidRPr="00D463DE" w:rsidRDefault="00F15C2A">
      <w:pPr>
        <w:pStyle w:val="Heading3"/>
        <w:rPr>
          <w:rFonts w:eastAsia="Times New Roman"/>
          <w:b/>
          <w:bCs/>
          <w:lang w:val="en-US"/>
        </w:rPr>
      </w:pPr>
      <w:r w:rsidRPr="00D463DE">
        <w:rPr>
          <w:rFonts w:eastAsia="Times New Roman"/>
          <w:b/>
          <w:bCs/>
          <w:lang w:val="en-US"/>
        </w:rPr>
        <w:t>Registers of Persons Deprived of Liberty</w:t>
      </w:r>
    </w:p>
    <w:p w14:paraId="676D91D9" w14:textId="77777777" w:rsidR="00F15C2A" w:rsidRDefault="00F15C2A">
      <w:pPr>
        <w:pStyle w:val="NormalWeb"/>
      </w:pPr>
      <w:r>
        <w:rPr>
          <w:rStyle w:val="Strong"/>
        </w:rPr>
        <w:t>Relevant Articles:</w:t>
      </w:r>
      <w:r>
        <w:t xml:space="preserve"> 17, 18 and 22 of the Convention</w:t>
      </w:r>
    </w:p>
    <w:p w14:paraId="7181181B"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Committee Recommendation</w:t>
      </w:r>
    </w:p>
    <w:p w14:paraId="0086C1B1" w14:textId="77777777" w:rsidR="00F15C2A" w:rsidRDefault="00F15C2A">
      <w:pPr>
        <w:pStyle w:val="NormalWeb"/>
      </w:pPr>
      <w:r>
        <w:t>The Committee recommended that Italy ensure that complete and accurate information concerning all persons deprived of liberty is systematically recorded and remains immediately accessible to the competent authorities.</w:t>
      </w:r>
    </w:p>
    <w:p w14:paraId="4CC15CC5"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Positive Developments</w:t>
      </w:r>
    </w:p>
    <w:p w14:paraId="3110D79F" w14:textId="77777777" w:rsidR="00F15C2A" w:rsidRDefault="00F15C2A">
      <w:pPr>
        <w:pStyle w:val="NormalWeb"/>
      </w:pPr>
      <w:r>
        <w:t>Italy has continued investing in the modernization of administrative systems governing detention. Existing procedures require the registration of essential information concerning persons deprived of liberty, contributing to transparency and legal certainty.</w:t>
      </w:r>
    </w:p>
    <w:p w14:paraId="6E2CBCD6" w14:textId="77777777" w:rsidR="00F15C2A" w:rsidRDefault="00F15C2A">
      <w:pPr>
        <w:pStyle w:val="NormalWeb"/>
      </w:pPr>
      <w:r>
        <w:t>The gradual digitalization of administrative records has improved traceability and facilitated cooperation among judicial, prosecutorial and penitentiary authorities.</w:t>
      </w:r>
    </w:p>
    <w:p w14:paraId="455541EC" w14:textId="77777777" w:rsidR="00F15C2A" w:rsidRDefault="00F15C2A">
      <w:pPr>
        <w:pStyle w:val="NormalWeb"/>
      </w:pPr>
      <w:r>
        <w:t>Independent oversight exercised by judicial authorities and monitoring bodies further contributes to ensuring the integrity of detention records.</w:t>
      </w:r>
    </w:p>
    <w:p w14:paraId="72CECF07"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FMPDC Assessment</w:t>
      </w:r>
    </w:p>
    <w:p w14:paraId="02E926A6" w14:textId="77777777" w:rsidR="00F15C2A" w:rsidRDefault="00F15C2A">
      <w:pPr>
        <w:pStyle w:val="NormalWeb"/>
      </w:pPr>
      <w:r>
        <w:rPr>
          <w:rStyle w:val="Strong"/>
        </w:rPr>
        <w:t>Implementation Status: Largely Implemented</w:t>
      </w:r>
    </w:p>
    <w:p w14:paraId="457C5F62" w14:textId="77777777" w:rsidR="00F15C2A" w:rsidRDefault="00F15C2A">
      <w:pPr>
        <w:pStyle w:val="NormalWeb"/>
      </w:pPr>
      <w:r>
        <w:t>The current legal and administrative framework provides substantial safeguards regarding detention records. Continued efforts to enhance interoperability among electronic systems would further improve efficiency and accessibility.</w:t>
      </w:r>
    </w:p>
    <w:p w14:paraId="4F640B78"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Recommendation</w:t>
      </w:r>
    </w:p>
    <w:p w14:paraId="4C18D568" w14:textId="77777777" w:rsidR="00F15C2A" w:rsidRDefault="00F15C2A">
      <w:pPr>
        <w:pStyle w:val="NormalWeb"/>
      </w:pPr>
      <w:r>
        <w:t>Continue strengthening integrated electronic detention registers and ensure that all competent authorities have timely access to complete and updated information.</w:t>
      </w:r>
    </w:p>
    <w:p w14:paraId="6FBFD650" w14:textId="4287DFFE" w:rsidR="00F15C2A" w:rsidRPr="00D463DE" w:rsidRDefault="00F15C2A">
      <w:pPr>
        <w:rPr>
          <w:rFonts w:eastAsia="Times New Roman"/>
          <w:lang w:val="en-US"/>
        </w:rPr>
      </w:pPr>
    </w:p>
    <w:p w14:paraId="2D8DAB9B" w14:textId="77777777" w:rsidR="00F15C2A" w:rsidRPr="00D463DE" w:rsidRDefault="00F15C2A">
      <w:pPr>
        <w:pStyle w:val="Heading2"/>
        <w:rPr>
          <w:rFonts w:eastAsia="Times New Roman"/>
          <w:b/>
          <w:bCs/>
          <w:i/>
          <w:iCs/>
          <w:color w:val="000000" w:themeColor="text1"/>
          <w:u w:val="single"/>
          <w:lang w:val="en-US"/>
        </w:rPr>
      </w:pPr>
      <w:r w:rsidRPr="00D463DE">
        <w:rPr>
          <w:rFonts w:eastAsia="Times New Roman"/>
          <w:b/>
          <w:bCs/>
          <w:i/>
          <w:iCs/>
          <w:color w:val="000000" w:themeColor="text1"/>
          <w:u w:val="single"/>
          <w:lang w:val="en-US"/>
        </w:rPr>
        <w:lastRenderedPageBreak/>
        <w:t>Paragraph 21</w:t>
      </w:r>
    </w:p>
    <w:p w14:paraId="2EFD2C68" w14:textId="77777777" w:rsidR="00F15C2A" w:rsidRPr="00D463DE" w:rsidRDefault="00F15C2A">
      <w:pPr>
        <w:pStyle w:val="Heading3"/>
        <w:rPr>
          <w:rFonts w:eastAsia="Times New Roman"/>
          <w:b/>
          <w:bCs/>
          <w:lang w:val="en-US"/>
        </w:rPr>
      </w:pPr>
      <w:r w:rsidRPr="00D463DE">
        <w:rPr>
          <w:rFonts w:eastAsia="Times New Roman"/>
          <w:b/>
          <w:bCs/>
          <w:lang w:val="en-US"/>
        </w:rPr>
        <w:t>Investigation of Alleged Enforced Disappearances</w:t>
      </w:r>
    </w:p>
    <w:p w14:paraId="419D561E" w14:textId="77777777" w:rsidR="00F15C2A" w:rsidRDefault="00F15C2A">
      <w:pPr>
        <w:pStyle w:val="NormalWeb"/>
      </w:pPr>
      <w:r>
        <w:rPr>
          <w:rStyle w:val="Strong"/>
        </w:rPr>
        <w:t>Relevant Articles:</w:t>
      </w:r>
      <w:r>
        <w:t xml:space="preserve"> 12 and 24 of the Convention</w:t>
      </w:r>
    </w:p>
    <w:p w14:paraId="4BFD898D"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Committee Recommendation</w:t>
      </w:r>
    </w:p>
    <w:p w14:paraId="5892B918" w14:textId="77777777" w:rsidR="00F15C2A" w:rsidRDefault="00F15C2A">
      <w:pPr>
        <w:pStyle w:val="NormalWeb"/>
      </w:pPr>
      <w:r>
        <w:t>The Committee recommended that Italy continue ensuring prompt, impartial and effective investigations into allegations that may constitute enforced disappearance.</w:t>
      </w:r>
    </w:p>
    <w:p w14:paraId="0FD3A384" w14:textId="77777777" w:rsidR="00F15C2A" w:rsidRPr="00D463DE" w:rsidRDefault="00F15C2A">
      <w:pPr>
        <w:pStyle w:val="Heading3"/>
        <w:rPr>
          <w:rFonts w:eastAsia="Times New Roman"/>
          <w:b/>
          <w:bCs/>
          <w:i/>
          <w:iCs/>
          <w:u w:val="single"/>
          <w:lang w:val="en-US"/>
        </w:rPr>
      </w:pPr>
      <w:r w:rsidRPr="00D463DE">
        <w:rPr>
          <w:rFonts w:eastAsia="Times New Roman"/>
          <w:b/>
          <w:bCs/>
          <w:i/>
          <w:iCs/>
          <w:u w:val="single"/>
          <w:lang w:val="en-US"/>
        </w:rPr>
        <w:t>Positive Developments</w:t>
      </w:r>
    </w:p>
    <w:p w14:paraId="4534B19B" w14:textId="77777777" w:rsidR="00F15C2A" w:rsidRDefault="00F15C2A">
      <w:pPr>
        <w:pStyle w:val="NormalWeb"/>
      </w:pPr>
      <w:r>
        <w:t>Italy benefits from an independent judiciary with well-established guarantees of impartiality and due process. Prosecutorial authorities possess broad investigative powers and operate within a legal framework that provides judicial oversight at every stage of criminal proceedings.</w:t>
      </w:r>
    </w:p>
    <w:p w14:paraId="118E590F" w14:textId="77777777" w:rsidR="00F15C2A" w:rsidRDefault="00F15C2A">
      <w:pPr>
        <w:pStyle w:val="NormalWeb"/>
      </w:pPr>
      <w:r>
        <w:t>Existing mechanisms enable allegations of serious human rights violations to be investigated in accordance with constitutional guarantees and applicable criminal legislation.</w:t>
      </w:r>
    </w:p>
    <w:p w14:paraId="1CFB4E72" w14:textId="77777777" w:rsidR="00F15C2A" w:rsidRDefault="00F15C2A">
      <w:pPr>
        <w:pStyle w:val="NormalWeb"/>
      </w:pPr>
      <w:r>
        <w:t>Training activities for judges, prosecutors and law enforcement officials have continued to expand, contributing to improved knowledge of international human rights standards.</w:t>
      </w:r>
    </w:p>
    <w:p w14:paraId="6FFD3584"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FMPDC Assessment</w:t>
      </w:r>
    </w:p>
    <w:p w14:paraId="5FFAFB71" w14:textId="77777777" w:rsidR="00F15C2A" w:rsidRDefault="00F15C2A">
      <w:pPr>
        <w:pStyle w:val="NormalWeb"/>
      </w:pPr>
      <w:r>
        <w:rPr>
          <w:rStyle w:val="Strong"/>
        </w:rPr>
        <w:t>Implementation Status: Largely Implemented</w:t>
      </w:r>
    </w:p>
    <w:p w14:paraId="3A8D0CDF" w14:textId="77777777" w:rsidR="00F15C2A" w:rsidRDefault="00F15C2A">
      <w:pPr>
        <w:pStyle w:val="NormalWeb"/>
      </w:pPr>
      <w:r>
        <w:t>Italy has developed strong institutional mechanisms capable of investigating serious criminal offences. Continued specialized training on the specific requirements of the Convention would further strengthen institutional capacity.</w:t>
      </w:r>
    </w:p>
    <w:p w14:paraId="5033934A" w14:textId="77777777" w:rsidR="00F15C2A" w:rsidRPr="00D463DE" w:rsidRDefault="00F15C2A">
      <w:pPr>
        <w:pStyle w:val="Heading3"/>
        <w:rPr>
          <w:rFonts w:eastAsia="Times New Roman"/>
          <w:b/>
          <w:bCs/>
          <w:u w:val="single"/>
          <w:lang w:val="en-US"/>
        </w:rPr>
      </w:pPr>
      <w:r w:rsidRPr="00D463DE">
        <w:rPr>
          <w:rFonts w:eastAsia="Times New Roman"/>
          <w:b/>
          <w:bCs/>
          <w:u w:val="single"/>
          <w:lang w:val="en-US"/>
        </w:rPr>
        <w:t>Recommendation</w:t>
      </w:r>
    </w:p>
    <w:p w14:paraId="65A65446" w14:textId="77777777" w:rsidR="00F15C2A" w:rsidRDefault="00F15C2A">
      <w:pPr>
        <w:pStyle w:val="NormalWeb"/>
      </w:pPr>
      <w:r>
        <w:t>Continue supporting specialized professional training on the International Convention for the Protection of All Persons from Enforced Disappearance and promote the exchange of good practices among judicial and law enforcement authorities.</w:t>
      </w:r>
    </w:p>
    <w:p w14:paraId="38FBEBD4" w14:textId="101CF8F7" w:rsidR="00F15C2A" w:rsidRPr="00D463DE" w:rsidRDefault="00F15C2A">
      <w:pPr>
        <w:rPr>
          <w:rFonts w:eastAsia="Times New Roman"/>
          <w:lang w:val="en-US"/>
        </w:rPr>
      </w:pPr>
    </w:p>
    <w:p w14:paraId="2D7496F0" w14:textId="1818F288" w:rsidR="00A662FC" w:rsidRPr="00D463DE" w:rsidRDefault="00A662FC">
      <w:pPr>
        <w:rPr>
          <w:rFonts w:eastAsia="Times New Roman"/>
          <w:lang w:val="en-US"/>
        </w:rPr>
      </w:pPr>
    </w:p>
    <w:p w14:paraId="6CCF3F10" w14:textId="77777777" w:rsidR="00A662FC" w:rsidRPr="00D463DE" w:rsidRDefault="00A662F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lastRenderedPageBreak/>
        <w:t>Paragraph 23</w:t>
      </w:r>
    </w:p>
    <w:p w14:paraId="65B34CC2" w14:textId="77777777" w:rsidR="00A662FC" w:rsidRPr="00D463DE" w:rsidRDefault="00A662FC">
      <w:pPr>
        <w:pStyle w:val="Heading2"/>
        <w:rPr>
          <w:rFonts w:eastAsia="Times New Roman"/>
          <w:b/>
          <w:bCs/>
          <w:lang w:val="en-US"/>
        </w:rPr>
      </w:pPr>
      <w:r w:rsidRPr="00D463DE">
        <w:rPr>
          <w:rFonts w:eastAsia="Times New Roman"/>
          <w:b/>
          <w:bCs/>
          <w:lang w:val="en-US"/>
        </w:rPr>
        <w:t>Access to Information Concerning Persons Deprived of Liberty</w:t>
      </w:r>
    </w:p>
    <w:p w14:paraId="2A94A9BC" w14:textId="77777777" w:rsidR="00A662FC" w:rsidRDefault="00A662FC">
      <w:pPr>
        <w:pStyle w:val="NormalWeb"/>
      </w:pPr>
      <w:r>
        <w:rPr>
          <w:rStyle w:val="Strong"/>
        </w:rPr>
        <w:t>Relevant Articles:</w:t>
      </w:r>
      <w:r>
        <w:t xml:space="preserve"> 18 and 20 of the Convention</w:t>
      </w:r>
    </w:p>
    <w:p w14:paraId="2440636C" w14:textId="77777777" w:rsidR="00A662FC" w:rsidRPr="00D463DE" w:rsidRDefault="00A662FC">
      <w:pPr>
        <w:pStyle w:val="Heading3"/>
        <w:rPr>
          <w:rFonts w:eastAsia="Times New Roman"/>
          <w:u w:val="single"/>
          <w:lang w:val="en-US"/>
        </w:rPr>
      </w:pPr>
      <w:r w:rsidRPr="00D463DE">
        <w:rPr>
          <w:rFonts w:eastAsia="Times New Roman"/>
          <w:u w:val="single"/>
          <w:lang w:val="en-US"/>
        </w:rPr>
        <w:t>Committee Recommendation</w:t>
      </w:r>
    </w:p>
    <w:p w14:paraId="5532DCB5" w14:textId="77777777" w:rsidR="00A662FC" w:rsidRDefault="00A662FC">
      <w:pPr>
        <w:pStyle w:val="NormalWeb"/>
      </w:pPr>
      <w:r>
        <w:t>The Committee encouraged Italy to ensure that persons having a legitimate interest have prompt access to information concerning persons deprived of liberty, in accordance with the Convention.</w:t>
      </w:r>
    </w:p>
    <w:p w14:paraId="1B49E79E" w14:textId="77777777" w:rsidR="00A662FC" w:rsidRPr="00D463DE" w:rsidRDefault="00A662FC">
      <w:pPr>
        <w:pStyle w:val="Heading3"/>
        <w:rPr>
          <w:rFonts w:eastAsia="Times New Roman"/>
          <w:b/>
          <w:bCs/>
          <w:u w:val="single"/>
          <w:lang w:val="en-US"/>
        </w:rPr>
      </w:pPr>
      <w:r w:rsidRPr="00D463DE">
        <w:rPr>
          <w:rFonts w:eastAsia="Times New Roman"/>
          <w:b/>
          <w:bCs/>
          <w:u w:val="single"/>
          <w:lang w:val="en-US"/>
        </w:rPr>
        <w:t>Positive Developments</w:t>
      </w:r>
    </w:p>
    <w:p w14:paraId="7D476665" w14:textId="77777777" w:rsidR="00A662FC" w:rsidRDefault="00A662FC">
      <w:pPr>
        <w:pStyle w:val="NormalWeb"/>
      </w:pPr>
      <w:r>
        <w:t>FMPDC welcomes the legal guarantees established under the Italian legal system to protect the right of individuals and their legal representatives to obtain information concerning detention. Judicial authorities and competent administrative bodies operate within a framework that promotes transparency while ensuring respect for privacy and judicial confidentiality.</w:t>
      </w:r>
    </w:p>
    <w:p w14:paraId="37303444" w14:textId="77777777" w:rsidR="00A662FC" w:rsidRDefault="00A662FC">
      <w:pPr>
        <w:pStyle w:val="NormalWeb"/>
      </w:pPr>
      <w:r>
        <w:t>The continued modernization of administrative procedures and the increasing use of digital technologies have facilitated communication between detention authorities, judicial institutions and competent oversight bodies. These measures have contributed to improving legal certainty and strengthening public confidence in the administration of justice.</w:t>
      </w:r>
    </w:p>
    <w:p w14:paraId="4F51ED0B" w14:textId="77777777" w:rsidR="00A662FC" w:rsidRPr="00D463DE" w:rsidRDefault="00A662FC">
      <w:pPr>
        <w:pStyle w:val="Heading3"/>
        <w:rPr>
          <w:rFonts w:eastAsia="Times New Roman"/>
          <w:b/>
          <w:bCs/>
          <w:u w:val="single"/>
          <w:lang w:val="en-US"/>
        </w:rPr>
      </w:pPr>
      <w:r w:rsidRPr="00D463DE">
        <w:rPr>
          <w:rFonts w:eastAsia="Times New Roman"/>
          <w:b/>
          <w:bCs/>
          <w:u w:val="single"/>
          <w:lang w:val="en-US"/>
        </w:rPr>
        <w:t>FMPDC Assessment</w:t>
      </w:r>
    </w:p>
    <w:p w14:paraId="14FF9EC2" w14:textId="77777777" w:rsidR="00A662FC" w:rsidRDefault="00A662FC">
      <w:pPr>
        <w:pStyle w:val="NormalWeb"/>
      </w:pPr>
      <w:r>
        <w:rPr>
          <w:rStyle w:val="Strong"/>
        </w:rPr>
        <w:t>Implementation Status: Largely Implemented</w:t>
      </w:r>
    </w:p>
    <w:p w14:paraId="2D7A3133" w14:textId="77777777" w:rsidR="00A662FC" w:rsidRDefault="00A662FC">
      <w:pPr>
        <w:pStyle w:val="NormalWeb"/>
      </w:pPr>
      <w:r>
        <w:t>Italy has developed a comprehensive legal framework that effectively protects access to detention-related information. Continued efforts to harmonize administrative practices throughout all regions would further reinforce consistency and accessibility.</w:t>
      </w:r>
    </w:p>
    <w:p w14:paraId="43BE3842" w14:textId="77777777" w:rsidR="00A662FC" w:rsidRPr="00D463DE" w:rsidRDefault="00A662FC">
      <w:pPr>
        <w:pStyle w:val="Heading3"/>
        <w:rPr>
          <w:rFonts w:eastAsia="Times New Roman"/>
          <w:b/>
          <w:bCs/>
          <w:u w:val="single"/>
          <w:lang w:val="en-US"/>
        </w:rPr>
      </w:pPr>
      <w:r w:rsidRPr="00D463DE">
        <w:rPr>
          <w:rFonts w:eastAsia="Times New Roman"/>
          <w:b/>
          <w:bCs/>
          <w:u w:val="single"/>
          <w:lang w:val="en-US"/>
        </w:rPr>
        <w:t>Recommendation</w:t>
      </w:r>
    </w:p>
    <w:p w14:paraId="738127CC" w14:textId="77777777" w:rsidR="00A662FC" w:rsidRDefault="00A662FC">
      <w:pPr>
        <w:pStyle w:val="NormalWeb"/>
      </w:pPr>
      <w:r>
        <w:t>FMPDC encourages Italy to continue enhancing administrative coordination and digital accessibility while maintaining an appropriate balance between transparency, privacy and judicial independence.</w:t>
      </w:r>
    </w:p>
    <w:p w14:paraId="3CE0A58F" w14:textId="77777777" w:rsidR="00A662FC" w:rsidRDefault="00A662FC">
      <w:pPr>
        <w:rPr>
          <w:rFonts w:eastAsia="Times New Roman"/>
        </w:rPr>
      </w:pPr>
      <w:r>
        <w:rPr>
          <w:rFonts w:eastAsia="Times New Roman"/>
          <w:noProof/>
        </w:rPr>
        <mc:AlternateContent>
          <mc:Choice Requires="wps">
            <w:drawing>
              <wp:inline distT="0" distB="0" distL="0" distR="0" wp14:anchorId="1ABBAD13" wp14:editId="2CEB683A">
                <wp:extent cx="2201545" cy="1270"/>
                <wp:effectExtent l="0" t="34290" r="0" b="39370"/>
                <wp:docPr id="15399297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5DF8D59F" id="مستطيل 3" o:spid="_x0000_s1026" style="width:173.3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" filled="f">
                <w10:wrap anchorx="page"/>
                <w10:anchorlock/>
              </v:rect>
            </w:pict>
          </mc:Fallback>
        </mc:AlternateContent>
      </w:r>
    </w:p>
    <w:p w14:paraId="113C40BC" w14:textId="77777777" w:rsidR="00A662FC" w:rsidRPr="00D463DE" w:rsidRDefault="00A662F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Paragraph 25</w:t>
      </w:r>
    </w:p>
    <w:p w14:paraId="4F8C2158" w14:textId="77777777" w:rsidR="00A662FC" w:rsidRPr="00D463DE" w:rsidRDefault="00A662FC">
      <w:pPr>
        <w:pStyle w:val="Heading2"/>
        <w:rPr>
          <w:rFonts w:eastAsia="Times New Roman"/>
          <w:b/>
          <w:bCs/>
          <w:u w:val="single"/>
          <w:lang w:val="en-US"/>
        </w:rPr>
      </w:pPr>
      <w:r w:rsidRPr="00D463DE">
        <w:rPr>
          <w:rFonts w:eastAsia="Times New Roman"/>
          <w:b/>
          <w:bCs/>
          <w:u w:val="single"/>
          <w:lang w:val="en-US"/>
        </w:rPr>
        <w:t>Training of Public Officials</w:t>
      </w:r>
    </w:p>
    <w:p w14:paraId="4DE81DE3" w14:textId="77777777" w:rsidR="00A662FC" w:rsidRDefault="00A662FC">
      <w:pPr>
        <w:pStyle w:val="NormalWeb"/>
      </w:pPr>
      <w:r>
        <w:rPr>
          <w:rStyle w:val="Strong"/>
        </w:rPr>
        <w:t>Relevant Articles:</w:t>
      </w:r>
      <w:r>
        <w:t xml:space="preserve"> 23 of the Convention</w:t>
      </w:r>
    </w:p>
    <w:p w14:paraId="5CCF5D0A" w14:textId="77777777" w:rsidR="00A662FC" w:rsidRPr="00D463DE" w:rsidRDefault="00A662FC">
      <w:pPr>
        <w:pStyle w:val="Heading3"/>
        <w:rPr>
          <w:rFonts w:eastAsia="Times New Roman"/>
          <w:u w:val="single"/>
          <w:lang w:val="en-US"/>
        </w:rPr>
      </w:pPr>
      <w:r w:rsidRPr="00D463DE">
        <w:rPr>
          <w:rFonts w:eastAsia="Times New Roman"/>
          <w:u w:val="single"/>
          <w:lang w:val="en-US"/>
        </w:rPr>
        <w:lastRenderedPageBreak/>
        <w:t>Committee Recommendation</w:t>
      </w:r>
    </w:p>
    <w:p w14:paraId="1A311EBA" w14:textId="77777777" w:rsidR="00A662FC" w:rsidRDefault="00A662FC">
      <w:pPr>
        <w:pStyle w:val="NormalWeb"/>
      </w:pPr>
      <w:r>
        <w:t xml:space="preserve">The Committee recommended that Italy continue strengthening training </w:t>
      </w:r>
      <w:proofErr w:type="spellStart"/>
      <w:r>
        <w:t>programmes</w:t>
      </w:r>
      <w:proofErr w:type="spellEnd"/>
      <w:r>
        <w:t xml:space="preserve"> for judges, prosecutors, law enforcement officials, military personnel and prison staff concerning the Convention.</w:t>
      </w:r>
    </w:p>
    <w:p w14:paraId="69749418" w14:textId="77777777" w:rsidR="00A662FC" w:rsidRPr="00D463DE" w:rsidRDefault="00A662FC">
      <w:pPr>
        <w:pStyle w:val="Heading3"/>
        <w:rPr>
          <w:rFonts w:eastAsia="Times New Roman"/>
          <w:u w:val="single"/>
          <w:lang w:val="en-US"/>
        </w:rPr>
      </w:pPr>
      <w:r w:rsidRPr="00D463DE">
        <w:rPr>
          <w:rFonts w:eastAsia="Times New Roman"/>
          <w:u w:val="single"/>
          <w:lang w:val="en-US"/>
        </w:rPr>
        <w:t>Positive Developments</w:t>
      </w:r>
    </w:p>
    <w:p w14:paraId="38624458" w14:textId="77777777" w:rsidR="00A662FC" w:rsidRDefault="00A662FC">
      <w:pPr>
        <w:pStyle w:val="NormalWeb"/>
      </w:pPr>
      <w:r>
        <w:t>Italy has continued investing in professional education and capacity-building across the justice and security sectors. Human rights training has become an integral component of the professional development of judges, prosecutors, police officers and prison personnel.</w:t>
      </w:r>
    </w:p>
    <w:p w14:paraId="2CE4C5D4" w14:textId="77777777" w:rsidR="00A662FC" w:rsidRDefault="00A662FC">
      <w:pPr>
        <w:pStyle w:val="NormalWeb"/>
      </w:pPr>
      <w:r>
        <w:t xml:space="preserve">Specialized </w:t>
      </w:r>
      <w:proofErr w:type="spellStart"/>
      <w:r>
        <w:t>programmes</w:t>
      </w:r>
      <w:proofErr w:type="spellEnd"/>
      <w:r>
        <w:t xml:space="preserve"> organized in cooperation with national judicial institutions, universities and European partners have contributed to increasing awareness of international human rights standards, including safeguards against arbitrary detention and the protection of fundamental freedoms.</w:t>
      </w:r>
    </w:p>
    <w:p w14:paraId="5F861208" w14:textId="77777777" w:rsidR="00A662FC" w:rsidRDefault="00A662FC">
      <w:pPr>
        <w:pStyle w:val="NormalWeb"/>
      </w:pPr>
      <w:r>
        <w:t>These initiatives demonstrate Italy's commitment to fostering a professional culture based on legality, accountability and respect for human dignity.</w:t>
      </w:r>
    </w:p>
    <w:p w14:paraId="356EA9B4" w14:textId="77777777" w:rsidR="00A662FC" w:rsidRPr="00D463DE" w:rsidRDefault="00A662FC">
      <w:pPr>
        <w:pStyle w:val="Heading3"/>
        <w:rPr>
          <w:rFonts w:eastAsia="Times New Roman"/>
          <w:b/>
          <w:bCs/>
          <w:i/>
          <w:iCs/>
          <w:color w:val="C00000"/>
          <w:u w:val="single"/>
          <w:lang w:val="en-US"/>
        </w:rPr>
      </w:pPr>
      <w:r w:rsidRPr="00D463DE">
        <w:rPr>
          <w:rFonts w:eastAsia="Times New Roman"/>
          <w:b/>
          <w:bCs/>
          <w:i/>
          <w:iCs/>
          <w:color w:val="C00000"/>
          <w:u w:val="single"/>
          <w:lang w:val="en-US"/>
        </w:rPr>
        <w:t>FMPDC Assessment</w:t>
      </w:r>
    </w:p>
    <w:p w14:paraId="71712E56" w14:textId="77777777" w:rsidR="00A662FC" w:rsidRDefault="00A662FC">
      <w:pPr>
        <w:pStyle w:val="NormalWeb"/>
      </w:pPr>
      <w:r>
        <w:rPr>
          <w:rStyle w:val="Strong"/>
        </w:rPr>
        <w:t>Implementation Status: Fully Implemented with Continuous Improvement</w:t>
      </w:r>
    </w:p>
    <w:p w14:paraId="1E0B922E" w14:textId="77777777" w:rsidR="00A662FC" w:rsidRDefault="00A662FC">
      <w:pPr>
        <w:pStyle w:val="NormalWeb"/>
      </w:pPr>
      <w:r>
        <w:t>Training activities have expanded significantly during the reporting period and constitute an important element of Italy's preventive framework. Continued inclusion of specialized modules dedicated specifically to the Convention would further consolidate these achievements.</w:t>
      </w:r>
    </w:p>
    <w:p w14:paraId="3CF3A8A2" w14:textId="77777777" w:rsidR="00A662FC" w:rsidRPr="00D463DE" w:rsidRDefault="00A662FC">
      <w:pPr>
        <w:pStyle w:val="Heading3"/>
        <w:rPr>
          <w:rFonts w:eastAsia="Times New Roman"/>
          <w:b/>
          <w:bCs/>
          <w:i/>
          <w:iCs/>
          <w:u w:val="single"/>
          <w:lang w:val="en-US"/>
        </w:rPr>
      </w:pPr>
      <w:r w:rsidRPr="00D463DE">
        <w:rPr>
          <w:rFonts w:eastAsia="Times New Roman"/>
          <w:b/>
          <w:bCs/>
          <w:i/>
          <w:iCs/>
          <w:u w:val="single"/>
          <w:lang w:val="en-US"/>
        </w:rPr>
        <w:t>Recommendation</w:t>
      </w:r>
    </w:p>
    <w:p w14:paraId="6A9911FC" w14:textId="77777777" w:rsidR="00A662FC" w:rsidRDefault="00A662FC">
      <w:pPr>
        <w:pStyle w:val="NormalWeb"/>
      </w:pPr>
      <w:r>
        <w:t xml:space="preserve">FMPDC encourages Italy to maintain its commitment to continuous professional training and to further strengthen specialized education concerning the prevention of enforced disappearance within existing human rights </w:t>
      </w:r>
      <w:proofErr w:type="spellStart"/>
      <w:r>
        <w:t>programmes</w:t>
      </w:r>
      <w:proofErr w:type="spellEnd"/>
      <w:r>
        <w:t>.</w:t>
      </w:r>
    </w:p>
    <w:p w14:paraId="0D53E729" w14:textId="77777777" w:rsidR="00A662FC" w:rsidRDefault="00A662FC">
      <w:pPr>
        <w:rPr>
          <w:rFonts w:eastAsia="Times New Roman"/>
        </w:rPr>
      </w:pPr>
      <w:r>
        <w:rPr>
          <w:rFonts w:eastAsia="Times New Roman"/>
          <w:noProof/>
        </w:rPr>
        <mc:AlternateContent>
          <mc:Choice Requires="wps">
            <w:drawing>
              <wp:inline distT="0" distB="0" distL="0" distR="0" wp14:anchorId="5E0A46FF" wp14:editId="4B527AE1">
                <wp:extent cx="2201545" cy="1270"/>
                <wp:effectExtent l="0" t="34290" r="0" b="39370"/>
                <wp:docPr id="5095991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53C30E47" id="مستطيل 2" o:spid="_x0000_s1026" style="width:173.3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" filled="f">
                <w10:wrap anchorx="page"/>
                <w10:anchorlock/>
              </v:rect>
            </w:pict>
          </mc:Fallback>
        </mc:AlternateContent>
      </w:r>
    </w:p>
    <w:p w14:paraId="66D7D7F9" w14:textId="77777777" w:rsidR="00A662FC" w:rsidRPr="00D463DE" w:rsidRDefault="00A662F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Paragraph 27</w:t>
      </w:r>
    </w:p>
    <w:p w14:paraId="018561A0" w14:textId="77777777" w:rsidR="00A662FC" w:rsidRPr="00D463DE" w:rsidRDefault="00A662FC">
      <w:pPr>
        <w:pStyle w:val="Heading2"/>
        <w:rPr>
          <w:rFonts w:eastAsia="Times New Roman"/>
          <w:b/>
          <w:bCs/>
          <w:i/>
          <w:iCs/>
          <w:lang w:val="en-US"/>
        </w:rPr>
      </w:pPr>
      <w:r w:rsidRPr="00D463DE">
        <w:rPr>
          <w:rFonts w:eastAsia="Times New Roman"/>
          <w:b/>
          <w:bCs/>
          <w:i/>
          <w:iCs/>
          <w:lang w:val="en-US"/>
        </w:rPr>
        <w:t>Cooperation with International Human Rights Mechanisms</w:t>
      </w:r>
    </w:p>
    <w:p w14:paraId="74FED565" w14:textId="77777777" w:rsidR="00A662FC" w:rsidRDefault="00A662FC">
      <w:pPr>
        <w:pStyle w:val="NormalWeb"/>
      </w:pPr>
      <w:r>
        <w:rPr>
          <w:rStyle w:val="Strong"/>
        </w:rPr>
        <w:t>Relevant Articles:</w:t>
      </w:r>
      <w:r>
        <w:t xml:space="preserve"> 26, 27 and 29 of the Convention</w:t>
      </w:r>
    </w:p>
    <w:p w14:paraId="6F4D6C37" w14:textId="77777777" w:rsidR="00A662FC" w:rsidRPr="00D463DE" w:rsidRDefault="00A662FC">
      <w:pPr>
        <w:pStyle w:val="Heading3"/>
        <w:rPr>
          <w:rFonts w:eastAsia="Times New Roman"/>
          <w:b/>
          <w:bCs/>
          <w:i/>
          <w:iCs/>
          <w:lang w:val="en-US"/>
        </w:rPr>
      </w:pPr>
      <w:r w:rsidRPr="00D463DE">
        <w:rPr>
          <w:rFonts w:eastAsia="Times New Roman"/>
          <w:b/>
          <w:bCs/>
          <w:i/>
          <w:iCs/>
          <w:lang w:val="en-US"/>
        </w:rPr>
        <w:t>Committee Recommendation</w:t>
      </w:r>
    </w:p>
    <w:p w14:paraId="083D6E33" w14:textId="77777777" w:rsidR="00A662FC" w:rsidRDefault="00A662FC">
      <w:pPr>
        <w:pStyle w:val="NormalWeb"/>
      </w:pPr>
      <w:r>
        <w:t>The Committee encouraged Italy to continue cooperating with the Committee on Enforced Disappearances and other international human rights mechanisms.</w:t>
      </w:r>
    </w:p>
    <w:p w14:paraId="37B94384" w14:textId="77777777" w:rsidR="00A662FC" w:rsidRPr="00D463DE" w:rsidRDefault="00A662FC">
      <w:pPr>
        <w:pStyle w:val="Heading3"/>
        <w:rPr>
          <w:rFonts w:eastAsia="Times New Roman"/>
          <w:b/>
          <w:bCs/>
          <w:i/>
          <w:iCs/>
          <w:u w:val="single"/>
          <w:lang w:val="en-US"/>
        </w:rPr>
      </w:pPr>
      <w:r w:rsidRPr="00D463DE">
        <w:rPr>
          <w:rFonts w:eastAsia="Times New Roman"/>
          <w:b/>
          <w:bCs/>
          <w:i/>
          <w:iCs/>
          <w:u w:val="single"/>
          <w:lang w:val="en-US"/>
        </w:rPr>
        <w:lastRenderedPageBreak/>
        <w:t>Positive Developments</w:t>
      </w:r>
    </w:p>
    <w:p w14:paraId="595FE024" w14:textId="77777777" w:rsidR="00A662FC" w:rsidRDefault="00A662FC">
      <w:pPr>
        <w:pStyle w:val="NormalWeb"/>
      </w:pPr>
      <w:r>
        <w:t>Italy has maintained a longstanding policy of constructive engagement with United Nations human rights mechanisms. During the reporting period, the State party continued its dialogue with Treaty Bodies, Special Procedures and the Universal Periodic Review, while also cooperating with the Council of Europe and regional human rights institutions.</w:t>
      </w:r>
    </w:p>
    <w:p w14:paraId="4E269FF7" w14:textId="77777777" w:rsidR="00A662FC" w:rsidRDefault="00A662FC">
      <w:pPr>
        <w:pStyle w:val="NormalWeb"/>
      </w:pPr>
      <w:r>
        <w:t>Italy has also demonstrated its commitment by providing follow-up information to the Committee and by participating in international exchanges aimed at promoting the effective implementation of the Convention.</w:t>
      </w:r>
    </w:p>
    <w:p w14:paraId="3AD3AD3C" w14:textId="77777777" w:rsidR="00A662FC" w:rsidRDefault="00A662FC">
      <w:pPr>
        <w:pStyle w:val="NormalWeb"/>
      </w:pPr>
      <w:r>
        <w:t>This constructive approach reflects Italy's recognition of international cooperation as an essential component of the protection of human rights.</w:t>
      </w:r>
    </w:p>
    <w:p w14:paraId="65A99CDA" w14:textId="77777777" w:rsidR="00A662FC" w:rsidRPr="00D463DE" w:rsidRDefault="00A662FC">
      <w:pPr>
        <w:pStyle w:val="Heading3"/>
        <w:rPr>
          <w:rFonts w:eastAsia="Times New Roman"/>
          <w:b/>
          <w:bCs/>
          <w:i/>
          <w:iCs/>
          <w:u w:val="single"/>
          <w:lang w:val="en-US"/>
        </w:rPr>
      </w:pPr>
      <w:r w:rsidRPr="00D463DE">
        <w:rPr>
          <w:rFonts w:eastAsia="Times New Roman"/>
          <w:b/>
          <w:bCs/>
          <w:i/>
          <w:iCs/>
          <w:u w:val="single"/>
          <w:lang w:val="en-US"/>
        </w:rPr>
        <w:t>FMPDC Assessment</w:t>
      </w:r>
    </w:p>
    <w:p w14:paraId="36F35108" w14:textId="77777777" w:rsidR="00A662FC" w:rsidRDefault="00A662FC">
      <w:pPr>
        <w:pStyle w:val="NormalWeb"/>
      </w:pPr>
      <w:r>
        <w:rPr>
          <w:rStyle w:val="Strong"/>
        </w:rPr>
        <w:t>Implementation Status: Fully Implemented</w:t>
      </w:r>
    </w:p>
    <w:p w14:paraId="2F7860B8" w14:textId="77777777" w:rsidR="00A662FC" w:rsidRDefault="00A662FC">
      <w:pPr>
        <w:pStyle w:val="NormalWeb"/>
      </w:pPr>
      <w:r>
        <w:t>Italy continues to demonstrate a high level of cooperation with international and regional human rights mechanisms. Sustained dialogue with the Committee will further support the progressive implementation of the Convention.</w:t>
      </w:r>
    </w:p>
    <w:p w14:paraId="38235141" w14:textId="77777777" w:rsidR="00A662FC" w:rsidRPr="00D463DE" w:rsidRDefault="00A662FC">
      <w:pPr>
        <w:pStyle w:val="Heading3"/>
        <w:rPr>
          <w:rFonts w:eastAsia="Times New Roman"/>
          <w:b/>
          <w:bCs/>
          <w:i/>
          <w:iCs/>
          <w:u w:val="single"/>
          <w:lang w:val="en-US"/>
        </w:rPr>
      </w:pPr>
      <w:r w:rsidRPr="00D463DE">
        <w:rPr>
          <w:rFonts w:eastAsia="Times New Roman"/>
          <w:b/>
          <w:bCs/>
          <w:i/>
          <w:iCs/>
          <w:u w:val="single"/>
          <w:lang w:val="en-US"/>
        </w:rPr>
        <w:t>Recommendation</w:t>
      </w:r>
    </w:p>
    <w:p w14:paraId="400CE600" w14:textId="2C863574" w:rsidR="00F15C2A" w:rsidRDefault="00A662FC" w:rsidP="00534DB6">
      <w:pPr>
        <w:pStyle w:val="NormalWeb"/>
      </w:pPr>
      <w:r>
        <w:t>FMPDC welcomes Italy's constructive engagement and encourages the continuation of this positive cooperation, including the regular exchange of good practices and technical e</w:t>
      </w:r>
    </w:p>
    <w:p w14:paraId="45CF67EB" w14:textId="77777777" w:rsidR="008A699C" w:rsidRDefault="008A699C" w:rsidP="00534DB6">
      <w:pPr>
        <w:pStyle w:val="NormalWeb"/>
      </w:pPr>
    </w:p>
    <w:p w14:paraId="399E66C6" w14:textId="488C3A75" w:rsidR="008A699C" w:rsidRPr="00C31160" w:rsidRDefault="008A699C" w:rsidP="003236B5">
      <w:pPr>
        <w:pStyle w:val="NormalWeb"/>
        <w:rPr>
          <w:b/>
          <w:bCs/>
          <w:i/>
          <w:iCs/>
          <w:color w:val="000000" w:themeColor="text1"/>
        </w:rPr>
      </w:pPr>
      <w:r>
        <w:rPr>
          <w:rtl/>
        </w:rPr>
        <w:t xml:space="preserve"> </w:t>
      </w:r>
      <w:r w:rsidRPr="00C31160">
        <w:rPr>
          <w:rFonts w:eastAsia="Times New Roman"/>
          <w:b/>
          <w:bCs/>
          <w:i/>
          <w:iCs/>
          <w:color w:val="000000" w:themeColor="text1"/>
        </w:rPr>
        <w:t>Paragraph 29</w:t>
      </w:r>
    </w:p>
    <w:p w14:paraId="0CD9798C" w14:textId="77777777" w:rsidR="008A699C" w:rsidRPr="00D463DE" w:rsidRDefault="008A699C">
      <w:pPr>
        <w:pStyle w:val="Heading2"/>
        <w:rPr>
          <w:rFonts w:eastAsia="Times New Roman"/>
          <w:b/>
          <w:bCs/>
          <w:i/>
          <w:iCs/>
          <w:u w:val="single"/>
          <w:lang w:val="en-US"/>
        </w:rPr>
      </w:pPr>
      <w:r w:rsidRPr="00D463DE">
        <w:rPr>
          <w:rFonts w:eastAsia="Times New Roman"/>
          <w:b/>
          <w:bCs/>
          <w:i/>
          <w:iCs/>
          <w:u w:val="single"/>
          <w:lang w:val="en-US"/>
        </w:rPr>
        <w:t>Prevention Measures and Institutional Coordination</w:t>
      </w:r>
    </w:p>
    <w:p w14:paraId="0E18AB81" w14:textId="77777777" w:rsidR="008A699C" w:rsidRDefault="008A699C">
      <w:pPr>
        <w:pStyle w:val="NormalWeb"/>
      </w:pPr>
      <w:r>
        <w:rPr>
          <w:rStyle w:val="Strong"/>
        </w:rPr>
        <w:t>Relevant Articles:</w:t>
      </w:r>
      <w:r>
        <w:t xml:space="preserve"> 17, 22 and 23 of the Convention</w:t>
      </w:r>
    </w:p>
    <w:p w14:paraId="63783DD1"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Committee Recommendation</w:t>
      </w:r>
    </w:p>
    <w:p w14:paraId="16E85F7B" w14:textId="77777777" w:rsidR="008A699C" w:rsidRDefault="008A699C">
      <w:pPr>
        <w:pStyle w:val="NormalWeb"/>
      </w:pPr>
      <w:r>
        <w:t>The Committee encouraged Italy to continue strengthening institutional coordination and preventive measures aimed at ensuring full compliance with the Convention.</w:t>
      </w:r>
    </w:p>
    <w:p w14:paraId="6BA3C261"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Positive Developments</w:t>
      </w:r>
    </w:p>
    <w:p w14:paraId="0464F522" w14:textId="77777777" w:rsidR="008A699C" w:rsidRDefault="008A699C">
      <w:pPr>
        <w:pStyle w:val="NormalWeb"/>
      </w:pPr>
      <w:r>
        <w:t>FMPDC welcomes the efforts undertaken by Italy to reinforce institutional cooperation among judicial authorities, law enforcement agencies and penitentiary administrations. During the reporting period, administrative coordination has continued to improve through the modernization of public administration and the development of integrated information systems.</w:t>
      </w:r>
    </w:p>
    <w:p w14:paraId="301CD06D" w14:textId="77777777" w:rsidR="008A699C" w:rsidRDefault="008A699C">
      <w:pPr>
        <w:pStyle w:val="NormalWeb"/>
      </w:pPr>
      <w:r>
        <w:lastRenderedPageBreak/>
        <w:t>The strengthening of cooperation between national institutions has enhanced transparency, facilitated the exchange of information and contributed to the effective protection of persons deprived of liberty.</w:t>
      </w:r>
    </w:p>
    <w:p w14:paraId="5C74AC7A" w14:textId="77777777" w:rsidR="008A699C" w:rsidRDefault="008A699C">
      <w:pPr>
        <w:pStyle w:val="NormalWeb"/>
      </w:pPr>
      <w:r>
        <w:t>Italy has also continued to promote a preventive approach based on judicial oversight, accountability and respect for the rule of law.</w:t>
      </w:r>
    </w:p>
    <w:p w14:paraId="0309BE15" w14:textId="77777777" w:rsidR="008A699C" w:rsidRPr="00D463DE" w:rsidRDefault="008A699C">
      <w:pPr>
        <w:pStyle w:val="Heading3"/>
        <w:rPr>
          <w:rFonts w:eastAsia="Times New Roman"/>
          <w:b/>
          <w:bCs/>
          <w:i/>
          <w:iCs/>
          <w:lang w:val="en-US"/>
        </w:rPr>
      </w:pPr>
      <w:r w:rsidRPr="00D463DE">
        <w:rPr>
          <w:rFonts w:eastAsia="Times New Roman"/>
          <w:b/>
          <w:bCs/>
          <w:i/>
          <w:iCs/>
          <w:lang w:val="en-US"/>
        </w:rPr>
        <w:t>FMPDC Assessment</w:t>
      </w:r>
    </w:p>
    <w:p w14:paraId="27CDE57A" w14:textId="77777777" w:rsidR="008A699C" w:rsidRDefault="008A699C">
      <w:pPr>
        <w:pStyle w:val="NormalWeb"/>
      </w:pPr>
      <w:r>
        <w:rPr>
          <w:rStyle w:val="Strong"/>
        </w:rPr>
        <w:t>Implementation Status: Largely Implemented</w:t>
      </w:r>
    </w:p>
    <w:p w14:paraId="20E9357E" w14:textId="77777777" w:rsidR="008A699C" w:rsidRDefault="008A699C">
      <w:pPr>
        <w:pStyle w:val="NormalWeb"/>
      </w:pPr>
      <w:r>
        <w:t>The institutional framework established by Italy provides a solid basis for preventing enforced disappearance. Continued investment in digital interoperability and inter-agency coordination will further consolidate these achievements.</w:t>
      </w:r>
    </w:p>
    <w:p w14:paraId="2DB5E7C9"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Recommendation</w:t>
      </w:r>
    </w:p>
    <w:p w14:paraId="3689C8A9" w14:textId="77777777" w:rsidR="008A699C" w:rsidRDefault="008A699C">
      <w:pPr>
        <w:pStyle w:val="NormalWeb"/>
      </w:pPr>
      <w:r>
        <w:t>FMPDC encourages Italy to continue strengthening institutional coordination and to build upon the progress already achieved through administrative modernization and capacity-building initiatives.</w:t>
      </w:r>
    </w:p>
    <w:p w14:paraId="5EE3CF8A" w14:textId="50797B73" w:rsidR="008A699C" w:rsidRPr="00D463DE" w:rsidRDefault="008A699C">
      <w:pPr>
        <w:rPr>
          <w:rFonts w:eastAsia="Times New Roman"/>
          <w:lang w:val="en-US"/>
        </w:rPr>
      </w:pPr>
    </w:p>
    <w:p w14:paraId="649DBA4C" w14:textId="77777777" w:rsidR="008A699C" w:rsidRPr="00D463DE" w:rsidRDefault="008A699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Paragraph 31</w:t>
      </w:r>
    </w:p>
    <w:p w14:paraId="1200D54C" w14:textId="77777777" w:rsidR="008A699C" w:rsidRPr="00D463DE" w:rsidRDefault="008A699C">
      <w:pPr>
        <w:pStyle w:val="Heading2"/>
        <w:rPr>
          <w:rFonts w:eastAsia="Times New Roman"/>
          <w:b/>
          <w:bCs/>
          <w:i/>
          <w:iCs/>
          <w:u w:val="single"/>
          <w:lang w:val="en-US"/>
        </w:rPr>
      </w:pPr>
      <w:r w:rsidRPr="00D463DE">
        <w:rPr>
          <w:rFonts w:eastAsia="Times New Roman"/>
          <w:b/>
          <w:bCs/>
          <w:i/>
          <w:iCs/>
          <w:u w:val="single"/>
          <w:lang w:val="en-US"/>
        </w:rPr>
        <w:t>Protection of Victims and Access to Justice</w:t>
      </w:r>
    </w:p>
    <w:p w14:paraId="4503765D" w14:textId="77777777" w:rsidR="008A699C" w:rsidRDefault="008A699C">
      <w:pPr>
        <w:pStyle w:val="NormalWeb"/>
      </w:pPr>
      <w:r>
        <w:rPr>
          <w:rStyle w:val="Strong"/>
        </w:rPr>
        <w:t>Relevant Article:</w:t>
      </w:r>
      <w:r>
        <w:t xml:space="preserve"> 24 of the Convention</w:t>
      </w:r>
    </w:p>
    <w:p w14:paraId="30E098A4"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Committee Recommendation</w:t>
      </w:r>
    </w:p>
    <w:p w14:paraId="334C90AA" w14:textId="77777777" w:rsidR="008A699C" w:rsidRDefault="008A699C">
      <w:pPr>
        <w:pStyle w:val="NormalWeb"/>
      </w:pPr>
      <w:r>
        <w:t>The Committee recommended that Italy continue strengthening measures guaranteeing victims' rights to truth, justice, reparation and appropriate assistance.</w:t>
      </w:r>
    </w:p>
    <w:p w14:paraId="1B568F5E"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Positive Developments</w:t>
      </w:r>
    </w:p>
    <w:p w14:paraId="62C6D92C" w14:textId="77777777" w:rsidR="008A699C" w:rsidRDefault="008A699C">
      <w:pPr>
        <w:pStyle w:val="NormalWeb"/>
      </w:pPr>
      <w:r>
        <w:t>Italy has developed a comprehensive legal framework recognizing the procedural rights of victims throughout criminal proceedings. Victims benefit from access to judicial remedies, legal representation and compensation mechanisms established under national legislation.</w:t>
      </w:r>
    </w:p>
    <w:p w14:paraId="01864687" w14:textId="77777777" w:rsidR="008A699C" w:rsidRDefault="008A699C">
      <w:pPr>
        <w:pStyle w:val="NormalWeb"/>
      </w:pPr>
      <w:r>
        <w:t>During the reporting period, continued efforts have been made to improve support services available to victims through cooperation among judicial authorities, social services and specialized institutions.</w:t>
      </w:r>
    </w:p>
    <w:p w14:paraId="174C5ED8" w14:textId="77777777" w:rsidR="008A699C" w:rsidRDefault="008A699C">
      <w:pPr>
        <w:pStyle w:val="NormalWeb"/>
      </w:pPr>
      <w:r>
        <w:t>The Italian legal system continues to place particular emphasis on safeguarding the dignity of victims and ensuring effective participation in judicial proceedings.</w:t>
      </w:r>
    </w:p>
    <w:p w14:paraId="67DF47FA" w14:textId="77777777" w:rsidR="008A699C" w:rsidRPr="00D463DE" w:rsidRDefault="008A699C">
      <w:pPr>
        <w:pStyle w:val="Heading3"/>
        <w:rPr>
          <w:rFonts w:eastAsia="Times New Roman"/>
          <w:b/>
          <w:bCs/>
          <w:i/>
          <w:iCs/>
          <w:color w:val="000000" w:themeColor="text1"/>
          <w:u w:val="single"/>
          <w:lang w:val="en-US"/>
        </w:rPr>
      </w:pPr>
      <w:r w:rsidRPr="00D463DE">
        <w:rPr>
          <w:rFonts w:eastAsia="Times New Roman"/>
          <w:b/>
          <w:bCs/>
          <w:i/>
          <w:iCs/>
          <w:color w:val="000000" w:themeColor="text1"/>
          <w:u w:val="single"/>
          <w:lang w:val="en-US"/>
        </w:rPr>
        <w:lastRenderedPageBreak/>
        <w:t>FMPDC Assessment</w:t>
      </w:r>
    </w:p>
    <w:p w14:paraId="7BD94069" w14:textId="77777777" w:rsidR="008A699C" w:rsidRDefault="008A699C">
      <w:pPr>
        <w:pStyle w:val="NormalWeb"/>
      </w:pPr>
      <w:r>
        <w:rPr>
          <w:rStyle w:val="Strong"/>
        </w:rPr>
        <w:t>Implementation Status: Largely Implemented</w:t>
      </w:r>
    </w:p>
    <w:p w14:paraId="5888E4AB" w14:textId="77777777" w:rsidR="008A699C" w:rsidRDefault="008A699C">
      <w:pPr>
        <w:pStyle w:val="NormalWeb"/>
      </w:pPr>
      <w:r>
        <w:t xml:space="preserve">Italy has established substantial guarantees protecting victims' rights in accordance with international standards. Continued expansion of multidisciplinary assistance services and long-term rehabilitation </w:t>
      </w:r>
      <w:proofErr w:type="spellStart"/>
      <w:r>
        <w:t>programmes</w:t>
      </w:r>
      <w:proofErr w:type="spellEnd"/>
      <w:r>
        <w:t xml:space="preserve"> would further strengthen the protection framework.</w:t>
      </w:r>
    </w:p>
    <w:p w14:paraId="16B95CF3" w14:textId="77777777" w:rsidR="008A699C" w:rsidRPr="00D463DE" w:rsidRDefault="008A699C">
      <w:pPr>
        <w:pStyle w:val="Heading3"/>
        <w:rPr>
          <w:rFonts w:eastAsia="Times New Roman"/>
          <w:b/>
          <w:bCs/>
          <w:i/>
          <w:iCs/>
          <w:u w:val="single"/>
          <w:lang w:val="en-US"/>
        </w:rPr>
      </w:pPr>
      <w:r w:rsidRPr="00D463DE">
        <w:rPr>
          <w:rFonts w:eastAsia="Times New Roman"/>
          <w:b/>
          <w:bCs/>
          <w:i/>
          <w:iCs/>
          <w:color w:val="C00000"/>
          <w:u w:val="single"/>
          <w:lang w:val="en-US"/>
        </w:rPr>
        <w:t>Recommendation</w:t>
      </w:r>
    </w:p>
    <w:p w14:paraId="602F8E2C" w14:textId="77777777" w:rsidR="008A699C" w:rsidRDefault="008A699C">
      <w:pPr>
        <w:pStyle w:val="NormalWeb"/>
      </w:pPr>
      <w:r>
        <w:t>FMPDC welcomes the progress achieved and encourages Italy to continue expanding integrated support services for victims and their families while maintaining its commitment to effective judicial remedies.</w:t>
      </w:r>
    </w:p>
    <w:p w14:paraId="1B6E1B28" w14:textId="5EBAEBBE" w:rsidR="008A699C" w:rsidRPr="00D463DE" w:rsidRDefault="008A699C">
      <w:pPr>
        <w:rPr>
          <w:rFonts w:eastAsia="Times New Roman"/>
          <w:lang w:val="en-US"/>
        </w:rPr>
      </w:pPr>
    </w:p>
    <w:p w14:paraId="6A1499F5" w14:textId="77777777" w:rsidR="008A699C" w:rsidRPr="00D463DE" w:rsidRDefault="008A699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Paragraph 33</w:t>
      </w:r>
    </w:p>
    <w:p w14:paraId="33633055" w14:textId="77777777" w:rsidR="008A699C" w:rsidRPr="00D463DE" w:rsidRDefault="008A699C">
      <w:pPr>
        <w:pStyle w:val="Heading2"/>
        <w:rPr>
          <w:rFonts w:eastAsia="Times New Roman"/>
          <w:b/>
          <w:bCs/>
          <w:i/>
          <w:iCs/>
          <w:lang w:val="en-US"/>
        </w:rPr>
      </w:pPr>
      <w:r w:rsidRPr="00D463DE">
        <w:rPr>
          <w:rFonts w:eastAsia="Times New Roman"/>
          <w:b/>
          <w:bCs/>
          <w:i/>
          <w:iCs/>
          <w:lang w:val="en-US"/>
        </w:rPr>
        <w:t>Reparation and Comprehensive Assistance</w:t>
      </w:r>
    </w:p>
    <w:p w14:paraId="7F420F08" w14:textId="77777777" w:rsidR="008A699C" w:rsidRDefault="008A699C">
      <w:pPr>
        <w:pStyle w:val="NormalWeb"/>
      </w:pPr>
      <w:r>
        <w:rPr>
          <w:rStyle w:val="Strong"/>
        </w:rPr>
        <w:t>Relevant Article:</w:t>
      </w:r>
      <w:r>
        <w:t xml:space="preserve"> 24 (4)–(5) of the Convention</w:t>
      </w:r>
    </w:p>
    <w:p w14:paraId="2447A42A"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Committee Recommendation</w:t>
      </w:r>
    </w:p>
    <w:p w14:paraId="6B719547" w14:textId="77777777" w:rsidR="008A699C" w:rsidRDefault="008A699C">
      <w:pPr>
        <w:pStyle w:val="NormalWeb"/>
      </w:pPr>
      <w:r>
        <w:t>The Committee encouraged Italy to ensure that all victims have access to comprehensive reparation, including restitution, compensation, rehabilitation, satisfaction and guarantees of non-repetition.</w:t>
      </w:r>
    </w:p>
    <w:p w14:paraId="7F78C391"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Positive Developments</w:t>
      </w:r>
    </w:p>
    <w:p w14:paraId="56F39EC4" w14:textId="77777777" w:rsidR="008A699C" w:rsidRDefault="008A699C">
      <w:pPr>
        <w:pStyle w:val="NormalWeb"/>
      </w:pPr>
      <w:r>
        <w:t>FMPDC recognizes Italy's continued commitment to ensuring access to judicial remedies and compensation mechanisms through its legal system. National legislation provides important safeguards enabling victims to seek redress and participate effectively in criminal proceedings.</w:t>
      </w:r>
    </w:p>
    <w:p w14:paraId="5B1EA03D" w14:textId="77777777" w:rsidR="008A699C" w:rsidRDefault="008A699C">
      <w:pPr>
        <w:pStyle w:val="NormalWeb"/>
      </w:pPr>
      <w:r>
        <w:t>The development of victim-</w:t>
      </w:r>
      <w:proofErr w:type="spellStart"/>
      <w:r>
        <w:t>centred</w:t>
      </w:r>
      <w:proofErr w:type="spellEnd"/>
      <w:r>
        <w:t xml:space="preserve"> policies reflects Italy's broader commitment to promoting human dignity and strengthening confidence in public institutions.</w:t>
      </w:r>
    </w:p>
    <w:p w14:paraId="40F63899" w14:textId="77777777" w:rsidR="008A699C" w:rsidRDefault="008A699C">
      <w:pPr>
        <w:pStyle w:val="NormalWeb"/>
      </w:pPr>
      <w:r>
        <w:t>Continued cooperation between judicial authorities and specialized support services has contributed to improving assistance available to victims and their families.</w:t>
      </w:r>
    </w:p>
    <w:p w14:paraId="40E629C3"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FMPDC Assessment</w:t>
      </w:r>
    </w:p>
    <w:p w14:paraId="58DCF20F" w14:textId="77777777" w:rsidR="008A699C" w:rsidRDefault="008A699C">
      <w:pPr>
        <w:pStyle w:val="NormalWeb"/>
      </w:pPr>
      <w:r>
        <w:rPr>
          <w:rStyle w:val="Strong"/>
        </w:rPr>
        <w:t>Implementation Status: Largely Implemented</w:t>
      </w:r>
    </w:p>
    <w:p w14:paraId="2F3F0995" w14:textId="77777777" w:rsidR="008A699C" w:rsidRDefault="008A699C">
      <w:pPr>
        <w:pStyle w:val="NormalWeb"/>
      </w:pPr>
      <w:r>
        <w:lastRenderedPageBreak/>
        <w:t>Italy has made significant progress in strengthening access to justice and reparation. Continued enhancement of rehabilitation services and specialized psychosocial support would further reinforce the existing legal framework.</w:t>
      </w:r>
    </w:p>
    <w:p w14:paraId="205F74B2" w14:textId="77777777" w:rsidR="008A699C" w:rsidRPr="00D463DE" w:rsidRDefault="008A699C">
      <w:pPr>
        <w:pStyle w:val="Heading3"/>
        <w:rPr>
          <w:rFonts w:eastAsia="Times New Roman"/>
          <w:b/>
          <w:bCs/>
          <w:i/>
          <w:iCs/>
          <w:u w:val="single"/>
          <w:lang w:val="en-US"/>
        </w:rPr>
      </w:pPr>
      <w:r w:rsidRPr="00D463DE">
        <w:rPr>
          <w:rFonts w:eastAsia="Times New Roman"/>
          <w:b/>
          <w:bCs/>
          <w:i/>
          <w:iCs/>
          <w:u w:val="single"/>
          <w:lang w:val="en-US"/>
        </w:rPr>
        <w:t>Recommendation</w:t>
      </w:r>
    </w:p>
    <w:p w14:paraId="090C82CB" w14:textId="77777777" w:rsidR="008A699C" w:rsidRDefault="008A699C">
      <w:pPr>
        <w:pStyle w:val="NormalWeb"/>
      </w:pPr>
      <w:r>
        <w:t xml:space="preserve">FMPDC encourages Italy to continue developing comprehensive reparation </w:t>
      </w:r>
      <w:proofErr w:type="spellStart"/>
      <w:r>
        <w:t>programmes</w:t>
      </w:r>
      <w:proofErr w:type="spellEnd"/>
      <w:r>
        <w:t xml:space="preserve"> while building upon the important institutional safeguards already established.</w:t>
      </w:r>
    </w:p>
    <w:p w14:paraId="40026D14" w14:textId="77777777" w:rsidR="008A699C" w:rsidRDefault="008A699C">
      <w:pPr>
        <w:rPr>
          <w:rFonts w:eastAsia="Times New Roman"/>
        </w:rPr>
      </w:pPr>
      <w:r>
        <w:rPr>
          <w:rFonts w:eastAsia="Times New Roman"/>
          <w:noProof/>
        </w:rPr>
        <mc:AlternateContent>
          <mc:Choice Requires="wps">
            <w:drawing>
              <wp:inline distT="0" distB="0" distL="0" distR="0" wp14:anchorId="303D850E" wp14:editId="43263876">
                <wp:extent cx="2201545" cy="1270"/>
                <wp:effectExtent l="0" t="34290" r="0" b="39370"/>
                <wp:docPr id="117949781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174C7AD2" id="مستطيل 2" o:spid="_x0000_s1026" style="width:173.3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" filled="f">
                <w10:wrap anchorx="page"/>
                <w10:anchorlock/>
              </v:rect>
            </w:pict>
          </mc:Fallback>
        </mc:AlternateContent>
      </w:r>
    </w:p>
    <w:p w14:paraId="381F6F1C" w14:textId="77777777" w:rsidR="008A699C" w:rsidRPr="00D463DE" w:rsidRDefault="008A699C">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General Assessment</w:t>
      </w:r>
    </w:p>
    <w:p w14:paraId="28F64CA8" w14:textId="77777777" w:rsidR="008A699C" w:rsidRDefault="008A699C">
      <w:pPr>
        <w:pStyle w:val="NormalWeb"/>
      </w:pPr>
      <w:r>
        <w:t>FMPDC notes with appreciation that Italy has continued implementing many of the Committee's previous recommendations through legislative refinement, institutional strengthening and constructive engagement with international human rights mechanisms.</w:t>
      </w:r>
    </w:p>
    <w:p w14:paraId="0BE78773" w14:textId="77777777" w:rsidR="008A699C" w:rsidRDefault="008A699C">
      <w:pPr>
        <w:pStyle w:val="NormalWeb"/>
      </w:pPr>
      <w:r>
        <w:t xml:space="preserve">Overall, the implementation of the Convention demonstrates a </w:t>
      </w:r>
      <w:r>
        <w:rPr>
          <w:rStyle w:val="Strong"/>
        </w:rPr>
        <w:t>positive and progressive trajectory</w:t>
      </w:r>
      <w:r>
        <w:t>. While some recommendations remain subject to ongoing implementation, the measures adopted by Italy during the reporting period reflect a sustained commitment to improving the national system for the prevention of enforced disappearance and the protection of fundamental rights.</w:t>
      </w:r>
    </w:p>
    <w:p w14:paraId="4C440604" w14:textId="77777777" w:rsidR="008A699C" w:rsidRDefault="008A699C">
      <w:pPr>
        <w:pStyle w:val="NormalWeb"/>
      </w:pPr>
      <w:r>
        <w:t>The Forum encourages the Committee to acknowledge these achievements while inviting the State party to continue consolidating its legal and institutional framework in full conformity with the Convention.</w:t>
      </w:r>
    </w:p>
    <w:p w14:paraId="308A2986" w14:textId="77777777" w:rsidR="00FE409B" w:rsidRDefault="00FE409B">
      <w:pPr>
        <w:pStyle w:val="NormalWeb"/>
      </w:pPr>
    </w:p>
    <w:p w14:paraId="3949268C" w14:textId="70C405C9" w:rsidR="00E87BA6" w:rsidRPr="00D463DE" w:rsidRDefault="00E87BA6" w:rsidP="00686295">
      <w:pPr>
        <w:pStyle w:val="NormalWeb"/>
      </w:pPr>
    </w:p>
    <w:p w14:paraId="4658ADDD" w14:textId="77777777" w:rsidR="00E87BA6" w:rsidRPr="00D463DE" w:rsidRDefault="00E87BA6">
      <w:pPr>
        <w:pStyle w:val="Heading1"/>
        <w:rPr>
          <w:rFonts w:eastAsia="Times New Roman"/>
          <w:b/>
          <w:bCs/>
          <w:i/>
          <w:iCs/>
          <w:color w:val="000000" w:themeColor="text1"/>
          <w:u w:val="single"/>
          <w:lang w:val="en-US"/>
        </w:rPr>
      </w:pPr>
      <w:r w:rsidRPr="00D463DE">
        <w:rPr>
          <w:rFonts w:eastAsia="Times New Roman"/>
          <w:b/>
          <w:bCs/>
          <w:i/>
          <w:iCs/>
          <w:color w:val="000000" w:themeColor="text1"/>
          <w:u w:val="single"/>
          <w:lang w:val="en-US"/>
        </w:rPr>
        <w:t>VI. Overall Assessment</w:t>
      </w:r>
    </w:p>
    <w:p w14:paraId="5312CB6E" w14:textId="77777777" w:rsidR="00E87BA6" w:rsidRDefault="00E87BA6">
      <w:pPr>
        <w:pStyle w:val="NormalWeb"/>
      </w:pPr>
      <w:r>
        <w:t>FMPDC considers that Italy has continued to demonstrate a firm commitment to the objectives and principles of the International Convention for the Protection of All Persons from Enforced Disappearance.</w:t>
      </w:r>
    </w:p>
    <w:p w14:paraId="13131421" w14:textId="77777777" w:rsidR="00E87BA6" w:rsidRDefault="00E87BA6">
      <w:pPr>
        <w:pStyle w:val="NormalWeb"/>
      </w:pPr>
      <w:r>
        <w:t>Since the adoption of the Committee's previous concluding observations, the State party has undertaken a range of legislative, judicial and institutional measures aimed at reinforcing the protection of fundamental rights, enhancing judicial oversight and promoting transparency in the administration of justice.</w:t>
      </w:r>
    </w:p>
    <w:p w14:paraId="5DF7EF4F" w14:textId="77777777" w:rsidR="00E87BA6" w:rsidRDefault="00E87BA6">
      <w:pPr>
        <w:pStyle w:val="NormalWeb"/>
      </w:pPr>
      <w:r>
        <w:t xml:space="preserve">Italy continues to benefit from an independent judiciary, a well-established constitutional framework and effective institutions responsible for safeguarding the rights of persons deprived of liberty. The continued work of the National Guarantor for the Rights of Persons Deprived of Liberty, together with the modernization of administrative procedures and the </w:t>
      </w:r>
      <w:r>
        <w:lastRenderedPageBreak/>
        <w:t>strengthening of cooperation with international human rights mechanisms, reflects a sustained commitment to the prevention of enforced disappearance.</w:t>
      </w:r>
    </w:p>
    <w:p w14:paraId="0BA481D2" w14:textId="77777777" w:rsidR="00E87BA6" w:rsidRDefault="00E87BA6">
      <w:pPr>
        <w:pStyle w:val="NormalWeb"/>
      </w:pPr>
      <w:r>
        <w:t>FMPDC further notes that many of the Committee's previous recommendations have been implemented either fully or to a significant extent. The remaining recommendations mainly concern the continued refinement of legislation and institutional practices, representing opportunities to further strengthen an already comprehensive system of protection.</w:t>
      </w:r>
    </w:p>
    <w:p w14:paraId="4114F9C8" w14:textId="77777777" w:rsidR="00E87BA6" w:rsidRDefault="00E87BA6">
      <w:pPr>
        <w:pStyle w:val="NormalWeb"/>
      </w:pPr>
      <w:r>
        <w:t>The Forum therefore considers that Italy has established a solid foundation for the effective implementation of the Convention and encourages the continuation of the ongoing reform process through constructive dialogue with the Committee.</w:t>
      </w:r>
    </w:p>
    <w:p w14:paraId="5CBF32BD" w14:textId="7F9FEBA8" w:rsidR="00E87BA6" w:rsidRPr="00D463DE" w:rsidRDefault="00E87BA6">
      <w:pPr>
        <w:rPr>
          <w:rFonts w:eastAsia="Times New Roman"/>
          <w:lang w:val="en-US"/>
        </w:rPr>
      </w:pPr>
    </w:p>
    <w:p w14:paraId="2E0A68A2" w14:textId="77777777" w:rsidR="00E87BA6" w:rsidRPr="00D463DE" w:rsidRDefault="00E87BA6">
      <w:pPr>
        <w:pStyle w:val="Heading1"/>
        <w:rPr>
          <w:rFonts w:eastAsia="Times New Roman"/>
          <w:b/>
          <w:bCs/>
          <w:i/>
          <w:iCs/>
          <w:color w:val="C00000"/>
          <w:u w:val="single"/>
          <w:lang w:val="en-US"/>
        </w:rPr>
      </w:pPr>
      <w:r w:rsidRPr="00D463DE">
        <w:rPr>
          <w:rFonts w:eastAsia="Times New Roman"/>
          <w:b/>
          <w:bCs/>
          <w:i/>
          <w:iCs/>
          <w:color w:val="C00000"/>
          <w:u w:val="single"/>
          <w:lang w:val="en-US"/>
        </w:rPr>
        <w:t>VII. Concluding Remarks</w:t>
      </w:r>
    </w:p>
    <w:p w14:paraId="605CDEE0" w14:textId="77777777" w:rsidR="00E87BA6" w:rsidRDefault="00E87BA6">
      <w:pPr>
        <w:pStyle w:val="NormalWeb"/>
      </w:pPr>
      <w:r>
        <w:t>FMPDC commends Italy for its longstanding commitment to democracy, the rule of law and the promotion of human rights at both the national and international levels.</w:t>
      </w:r>
    </w:p>
    <w:p w14:paraId="65DF10EA" w14:textId="77777777" w:rsidR="00E87BA6" w:rsidRDefault="00E87BA6">
      <w:pPr>
        <w:pStyle w:val="NormalWeb"/>
      </w:pPr>
      <w:r>
        <w:t>The measures adopted since the previous review demonstrate the State party's willingness to continuously improve its legal and institutional framework in accordance with international standards. Italy's constructive engagement with United Nations Treaty Bodies and regional human rights mechanisms further illustrates its openness to dialogue and international cooperation.</w:t>
      </w:r>
    </w:p>
    <w:p w14:paraId="3998BD2C" w14:textId="77777777" w:rsidR="00E87BA6" w:rsidRDefault="00E87BA6">
      <w:pPr>
        <w:pStyle w:val="NormalWeb"/>
      </w:pPr>
      <w:r>
        <w:t>The Forum believes that the progress achieved provides a strong basis for the continued implementation of the Convention. Future reforms aimed at further harmonizing domestic legislation with the Convention and consolidating existing safeguards would reinforce the high level of protection already afforded under the Italian legal system.</w:t>
      </w:r>
    </w:p>
    <w:p w14:paraId="339E047F" w14:textId="77777777" w:rsidR="00E87BA6" w:rsidRDefault="00E87BA6">
      <w:pPr>
        <w:pStyle w:val="NormalWeb"/>
      </w:pPr>
      <w:r>
        <w:t>FMPDC reiterates its appreciation for Italy's constructive cooperation with the Committee and expresses its readiness to continue contributing, through dialogue and technical cooperation, to the promotion and protection of all persons from enforced disappearance.</w:t>
      </w:r>
    </w:p>
    <w:p w14:paraId="501F48DD" w14:textId="352092AE" w:rsidR="00E87BA6" w:rsidRPr="00D463DE" w:rsidRDefault="00E87BA6">
      <w:pPr>
        <w:rPr>
          <w:rFonts w:eastAsia="Times New Roman"/>
          <w:lang w:val="en-US"/>
        </w:rPr>
      </w:pPr>
    </w:p>
    <w:p w14:paraId="5B3B201F" w14:textId="30875A13" w:rsidR="00E87BA6" w:rsidRPr="00D463DE" w:rsidRDefault="00E87BA6">
      <w:pPr>
        <w:pStyle w:val="Heading1"/>
        <w:rPr>
          <w:rFonts w:eastAsia="Times New Roman"/>
          <w:b/>
          <w:bCs/>
          <w:i/>
          <w:iCs/>
          <w:color w:val="C00000"/>
          <w:u w:val="single"/>
          <w:lang w:val="en-US"/>
        </w:rPr>
      </w:pPr>
      <w:r w:rsidRPr="00D463DE">
        <w:rPr>
          <w:rFonts w:eastAsia="Times New Roman"/>
          <w:b/>
          <w:bCs/>
          <w:color w:val="C00000"/>
          <w:u w:val="single"/>
          <w:lang w:val="en-US"/>
        </w:rPr>
        <w:t xml:space="preserve"> </w:t>
      </w:r>
      <w:r w:rsidRPr="00D463DE">
        <w:rPr>
          <w:rFonts w:eastAsia="Times New Roman"/>
          <w:b/>
          <w:bCs/>
          <w:i/>
          <w:iCs/>
          <w:color w:val="000000" w:themeColor="text1"/>
          <w:u w:val="single"/>
          <w:lang w:val="en-US"/>
        </w:rPr>
        <w:t>Recommendations</w:t>
      </w:r>
    </w:p>
    <w:p w14:paraId="064C3D4D" w14:textId="77777777" w:rsidR="00E87BA6" w:rsidRDefault="00E87BA6">
      <w:pPr>
        <w:pStyle w:val="NormalWeb"/>
      </w:pPr>
      <w:r>
        <w:t>In a spirit of constructive cooperation, FMPDC respectfully recommends that the Committee encourage Italy to:</w:t>
      </w:r>
    </w:p>
    <w:p w14:paraId="35D86600" w14:textId="77777777" w:rsidR="00E87BA6" w:rsidRDefault="00E87BA6" w:rsidP="00E87BA6">
      <w:pPr>
        <w:pStyle w:val="NormalWeb"/>
        <w:numPr>
          <w:ilvl w:val="0"/>
          <w:numId w:val="5"/>
        </w:numPr>
      </w:pPr>
      <w:r>
        <w:t>Continue aligning domestic legislation with the Convention while building upon the significant legal safeguards already in place.</w:t>
      </w:r>
    </w:p>
    <w:p w14:paraId="49CDDC3A" w14:textId="77777777" w:rsidR="00E87BA6" w:rsidRDefault="00E87BA6" w:rsidP="00E87BA6">
      <w:pPr>
        <w:pStyle w:val="NormalWeb"/>
        <w:numPr>
          <w:ilvl w:val="0"/>
          <w:numId w:val="5"/>
        </w:numPr>
      </w:pPr>
      <w:r>
        <w:t>Pursue ongoing legislative initiatives aimed at further clarifying the criminalization of enforced disappearance in full conformity with the Convention.</w:t>
      </w:r>
    </w:p>
    <w:p w14:paraId="798668D2" w14:textId="77777777" w:rsidR="00E87BA6" w:rsidRDefault="00E87BA6" w:rsidP="00E87BA6">
      <w:pPr>
        <w:pStyle w:val="NormalWeb"/>
        <w:numPr>
          <w:ilvl w:val="0"/>
          <w:numId w:val="5"/>
        </w:numPr>
      </w:pPr>
      <w:r>
        <w:lastRenderedPageBreak/>
        <w:t>Continue strengthening institutional coordination among judicial, prosecutorial and administrative authorities.</w:t>
      </w:r>
    </w:p>
    <w:p w14:paraId="347032A1" w14:textId="77777777" w:rsidR="00E87BA6" w:rsidRDefault="00E87BA6" w:rsidP="00E87BA6">
      <w:pPr>
        <w:pStyle w:val="NormalWeb"/>
        <w:numPr>
          <w:ilvl w:val="0"/>
          <w:numId w:val="5"/>
        </w:numPr>
      </w:pPr>
      <w:r>
        <w:t>Build upon the progress achieved in the digitalization and interoperability of detention registration systems.</w:t>
      </w:r>
    </w:p>
    <w:p w14:paraId="4F532B5F" w14:textId="77777777" w:rsidR="00E87BA6" w:rsidRDefault="00E87BA6" w:rsidP="00E87BA6">
      <w:pPr>
        <w:pStyle w:val="NormalWeb"/>
        <w:numPr>
          <w:ilvl w:val="0"/>
          <w:numId w:val="5"/>
        </w:numPr>
      </w:pPr>
      <w:r>
        <w:t>Maintain the high standards of judicial oversight governing all forms of deprivation of liberty.</w:t>
      </w:r>
    </w:p>
    <w:p w14:paraId="44B3B008" w14:textId="77777777" w:rsidR="00E87BA6" w:rsidRDefault="00E87BA6" w:rsidP="00E87BA6">
      <w:pPr>
        <w:pStyle w:val="NormalWeb"/>
        <w:numPr>
          <w:ilvl w:val="0"/>
          <w:numId w:val="5"/>
        </w:numPr>
      </w:pPr>
      <w:r>
        <w:t>Continue supporting the work and institutional independence of the National Guarantor for the Rights of Persons Deprived of Liberty.</w:t>
      </w:r>
    </w:p>
    <w:p w14:paraId="3C74F88D" w14:textId="77777777" w:rsidR="00E87BA6" w:rsidRDefault="00E87BA6" w:rsidP="00E87BA6">
      <w:pPr>
        <w:pStyle w:val="NormalWeb"/>
        <w:numPr>
          <w:ilvl w:val="0"/>
          <w:numId w:val="5"/>
        </w:numPr>
      </w:pPr>
      <w:r>
        <w:t xml:space="preserve">Expand specialized training </w:t>
      </w:r>
      <w:proofErr w:type="spellStart"/>
      <w:r>
        <w:t>programmes</w:t>
      </w:r>
      <w:proofErr w:type="spellEnd"/>
      <w:r>
        <w:t xml:space="preserve"> on the Convention for judges, prosecutors, law enforcement officials, prison staff and other relevant public officials.</w:t>
      </w:r>
    </w:p>
    <w:p w14:paraId="6E70044C" w14:textId="77777777" w:rsidR="00E87BA6" w:rsidRDefault="00E87BA6" w:rsidP="00E87BA6">
      <w:pPr>
        <w:pStyle w:val="NormalWeb"/>
        <w:numPr>
          <w:ilvl w:val="0"/>
          <w:numId w:val="5"/>
        </w:numPr>
      </w:pPr>
      <w:r>
        <w:t>Continue enhancing comprehensive assistance, rehabilitation and access to effective remedies for victims and their families.</w:t>
      </w:r>
    </w:p>
    <w:p w14:paraId="5A61D7F6" w14:textId="77777777" w:rsidR="00E87BA6" w:rsidRDefault="00E87BA6" w:rsidP="00E87BA6">
      <w:pPr>
        <w:pStyle w:val="NormalWeb"/>
        <w:numPr>
          <w:ilvl w:val="0"/>
          <w:numId w:val="5"/>
        </w:numPr>
      </w:pPr>
      <w:r>
        <w:t>Promote the exchange of good practices with other States Parties and relevant international organizations.</w:t>
      </w:r>
    </w:p>
    <w:p w14:paraId="76A6D80C" w14:textId="77777777" w:rsidR="00E87BA6" w:rsidRDefault="00E87BA6" w:rsidP="00E87BA6">
      <w:pPr>
        <w:pStyle w:val="NormalWeb"/>
        <w:numPr>
          <w:ilvl w:val="0"/>
          <w:numId w:val="5"/>
        </w:numPr>
      </w:pPr>
      <w:r>
        <w:t>Maintain its constructive cooperation with the Committee on Enforced Disappearances and other United Nations human rights mechanisms.</w:t>
      </w:r>
    </w:p>
    <w:p w14:paraId="79BB42D6" w14:textId="77777777" w:rsidR="00E87BA6" w:rsidRDefault="00E87BA6" w:rsidP="00E87BA6">
      <w:pPr>
        <w:pStyle w:val="NormalWeb"/>
        <w:numPr>
          <w:ilvl w:val="0"/>
          <w:numId w:val="5"/>
        </w:numPr>
      </w:pPr>
      <w:r>
        <w:t>Continue encouraging dialogue with civil society organizations in the implementation of the Convention.</w:t>
      </w:r>
    </w:p>
    <w:p w14:paraId="1FFFFCF6" w14:textId="77777777" w:rsidR="00E87BA6" w:rsidRDefault="00E87BA6" w:rsidP="00E87BA6">
      <w:pPr>
        <w:pStyle w:val="NormalWeb"/>
        <w:numPr>
          <w:ilvl w:val="0"/>
          <w:numId w:val="5"/>
        </w:numPr>
      </w:pPr>
      <w:r>
        <w:t>Share its institutional experience and good practices at regional and international levels as a contribution to the global prevention of enforced disappearance.</w:t>
      </w:r>
    </w:p>
    <w:p w14:paraId="3A982E87" w14:textId="2E5B1D10" w:rsidR="00E87BA6" w:rsidRPr="00D463DE" w:rsidRDefault="00E87BA6">
      <w:pPr>
        <w:rPr>
          <w:rFonts w:eastAsia="Times New Roman"/>
          <w:lang w:val="en-US"/>
        </w:rPr>
      </w:pPr>
    </w:p>
    <w:p w14:paraId="7B3DBD9E" w14:textId="77777777" w:rsidR="00E87BA6" w:rsidRPr="00D463DE" w:rsidRDefault="00E87BA6">
      <w:pPr>
        <w:pStyle w:val="Heading2"/>
        <w:rPr>
          <w:rFonts w:eastAsia="Times New Roman"/>
          <w:b/>
          <w:bCs/>
          <w:i/>
          <w:iCs/>
          <w:color w:val="000000" w:themeColor="text1"/>
          <w:u w:val="single"/>
          <w:lang w:val="en-US"/>
        </w:rPr>
      </w:pPr>
      <w:r w:rsidRPr="00D463DE">
        <w:rPr>
          <w:rFonts w:eastAsia="Times New Roman"/>
          <w:b/>
          <w:bCs/>
          <w:i/>
          <w:iCs/>
          <w:color w:val="000000" w:themeColor="text1"/>
          <w:u w:val="single"/>
          <w:lang w:val="en-US"/>
        </w:rPr>
        <w:t>Final Observation</w:t>
      </w:r>
    </w:p>
    <w:p w14:paraId="0AA048AB" w14:textId="77777777" w:rsidR="00E87BA6" w:rsidRDefault="00E87BA6">
      <w:pPr>
        <w:pStyle w:val="NormalWeb"/>
      </w:pPr>
      <w:r>
        <w:t xml:space="preserve">FMPDC is of the view that Italy has made </w:t>
      </w:r>
      <w:r>
        <w:rPr>
          <w:rStyle w:val="Strong"/>
        </w:rPr>
        <w:t>substantial and measurable progress</w:t>
      </w:r>
      <w:r>
        <w:t xml:space="preserve"> in implementing the International Convention for the Protection of All Persons from Enforced Disappearance. The remaining recommendations should be understood as part of a process of continuous improvement that is consistent with Italy's strong democratic institutions, its commitment to the rule of law and its active engagement with the international human rights system.</w:t>
      </w:r>
    </w:p>
    <w:p w14:paraId="42107BBF" w14:textId="46AFD1B3" w:rsidR="00E87BA6" w:rsidRPr="00D463DE" w:rsidRDefault="00E87BA6">
      <w:pPr>
        <w:rPr>
          <w:rFonts w:eastAsia="Times New Roman"/>
          <w:lang w:val="en-US"/>
        </w:rPr>
      </w:pPr>
    </w:p>
    <w:p w14:paraId="68A7ACFB" w14:textId="7A1759E0" w:rsidR="008A699C" w:rsidRPr="00E87BA6" w:rsidRDefault="008A699C" w:rsidP="00757C38">
      <w:pPr>
        <w:pStyle w:val="NormalWeb"/>
      </w:pPr>
    </w:p>
    <w:p w14:paraId="649DE4AD" w14:textId="77777777" w:rsidR="008A699C" w:rsidRPr="00534DB6" w:rsidRDefault="008A699C" w:rsidP="00534DB6">
      <w:pPr>
        <w:pStyle w:val="NormalWeb"/>
      </w:pPr>
    </w:p>
    <w:sectPr w:rsidR="008A699C" w:rsidRPr="00534DB6">
      <w:headerReference w:type="default" r:id="rId7"/>
      <w:footerReference w:type="default" r:id="rId8"/>
      <w:pgSz w:w="11906" w:h="16838"/>
      <w:pgMar w:top="1417" w:right="1417" w:bottom="1417" w:left="1417" w:header="708" w:footer="5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22B35" w14:textId="77777777" w:rsidR="0028428C" w:rsidRDefault="0028428C">
      <w:pPr>
        <w:spacing w:after="0" w:line="240" w:lineRule="auto"/>
      </w:pPr>
      <w:r>
        <w:separator/>
      </w:r>
    </w:p>
  </w:endnote>
  <w:endnote w:type="continuationSeparator" w:id="0">
    <w:p w14:paraId="0AA10108" w14:textId="77777777" w:rsidR="0028428C" w:rsidRDefault="00284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85B10" w14:textId="77777777" w:rsidR="00ED322F" w:rsidRDefault="00ED322F">
    <w:pPr>
      <w:pStyle w:val="Pieddepage"/>
    </w:pPr>
    <w:r>
      <w:rPr>
        <w:noProof/>
      </w:rPr>
      <mc:AlternateContent>
        <mc:Choice Requires="wps">
          <w:drawing>
            <wp:anchor distT="0" distB="0" distL="114300" distR="114300" simplePos="0" relativeHeight="251661312" behindDoc="0" locked="0" layoutInCell="1" allowOverlap="1" wp14:anchorId="4EB69620" wp14:editId="4DAA366C">
              <wp:simplePos x="0" y="0"/>
              <wp:positionH relativeFrom="column">
                <wp:posOffset>14602</wp:posOffset>
              </wp:positionH>
              <wp:positionV relativeFrom="paragraph">
                <wp:posOffset>40635</wp:posOffset>
              </wp:positionV>
              <wp:extent cx="5781679" cy="0"/>
              <wp:effectExtent l="0" t="0" r="0" b="0"/>
              <wp:wrapNone/>
              <wp:docPr id="1449400219" name="Connecteur droit 1"/>
              <wp:cNvGraphicFramePr/>
              <a:graphic xmlns:a="http://schemas.openxmlformats.org/drawingml/2006/main">
                <a:graphicData uri="http://schemas.microsoft.com/office/word/2010/wordprocessingShape">
                  <wps:wsp>
                    <wps:cNvCnPr/>
                    <wps:spPr>
                      <a:xfrm>
                        <a:off x="0" y="0"/>
                        <a:ext cx="5781679" cy="0"/>
                      </a:xfrm>
                      <a:prstGeom prst="straightConnector1">
                        <a:avLst/>
                      </a:prstGeom>
                      <a:noFill/>
                      <a:ln w="6345" cap="flat">
                        <a:solidFill>
                          <a:srgbClr val="4472C4"/>
                        </a:solidFill>
                        <a:prstDash val="solid"/>
                        <a:miter/>
                      </a:ln>
                    </wps:spPr>
                    <wps:bodyPr/>
                  </wps:wsp>
                </a:graphicData>
              </a:graphic>
            </wp:anchor>
          </w:drawing>
        </mc:Choice>
        <mc:Fallback xmlns:w16cei="http://schemas.microsoft.com/office/word/2026/wordml/cei">
          <w:pict>
            <v:shapetype w14:anchorId="67B9D526" id="_x0000_t32" coordsize="21600,21600" o:spt="32" o:oned="t" path="m,l21600,21600e" filled="f">
              <v:path arrowok="t" fillok="f" o:connecttype="none"/>
              <o:lock v:ext="edit" shapetype="t"/>
            </v:shapetype>
            <v:shape id="Connecteur droit 1" o:spid="_x0000_s1026" type="#_x0000_t32" style="position:absolute;margin-left:1.15pt;margin-top:3.2pt;width:455.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" strokecolor="#4472c4" strokeweight=".17625mm">
              <v:stroke joinstyle="miter"/>
            </v:shape>
          </w:pict>
        </mc:Fallback>
      </mc:AlternateContent>
    </w:r>
  </w:p>
  <w:p w14:paraId="264A65BB" w14:textId="77777777" w:rsidR="00ED322F" w:rsidRDefault="00ED322F">
    <w:pPr>
      <w:pStyle w:val="Pieddepage"/>
      <w:spacing w:line="276" w:lineRule="auto"/>
    </w:pPr>
    <w:r>
      <w:t xml:space="preserve">Email : </w:t>
    </w:r>
    <w:hyperlink r:id="rId1" w:history="1">
      <w:r>
        <w:rPr>
          <w:rStyle w:val="Lienhypertexte"/>
        </w:rPr>
        <w:t>mo_rad036@hotmail.com</w:t>
      </w:r>
    </w:hyperlink>
  </w:p>
  <w:p w14:paraId="0F2D8683" w14:textId="77777777" w:rsidR="00ED322F" w:rsidRDefault="00ED322F">
    <w:pPr>
      <w:pStyle w:val="Pieddepage"/>
      <w:spacing w:line="276" w:lineRule="auto"/>
    </w:pPr>
    <w:r>
      <w:t>Tel : 002126 59597253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1E6AE" w14:textId="77777777" w:rsidR="0028428C" w:rsidRDefault="0028428C">
      <w:pPr>
        <w:spacing w:after="0" w:line="240" w:lineRule="auto"/>
      </w:pPr>
      <w:r>
        <w:rPr>
          <w:color w:val="000000"/>
        </w:rPr>
        <w:separator/>
      </w:r>
    </w:p>
  </w:footnote>
  <w:footnote w:type="continuationSeparator" w:id="0">
    <w:p w14:paraId="4A28F1C9" w14:textId="77777777" w:rsidR="0028428C" w:rsidRDefault="00284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8D88" w14:textId="77777777" w:rsidR="00ED322F" w:rsidRDefault="00ED322F">
    <w:pPr>
      <w:pStyle w:val="En-tte"/>
    </w:pPr>
    <w:r>
      <w:rPr>
        <w:noProof/>
      </w:rPr>
      <w:drawing>
        <wp:anchor distT="0" distB="0" distL="114300" distR="114300" simplePos="0" relativeHeight="251659264" behindDoc="0" locked="0" layoutInCell="1" allowOverlap="1" wp14:anchorId="1286D3B1" wp14:editId="5973E8CB">
          <wp:simplePos x="0" y="0"/>
          <wp:positionH relativeFrom="column">
            <wp:posOffset>2285369</wp:posOffset>
          </wp:positionH>
          <wp:positionV relativeFrom="paragraph">
            <wp:posOffset>-230501</wp:posOffset>
          </wp:positionV>
          <wp:extent cx="3975738" cy="685800"/>
          <wp:effectExtent l="0" t="0" r="5712" b="0"/>
          <wp:wrapSquare wrapText="bothSides"/>
          <wp:docPr id="65180502"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8855" t="37477" r="28406" b="46351"/>
                  <a:stretch>
                    <a:fillRect/>
                  </a:stretch>
                </pic:blipFill>
                <pic:spPr>
                  <a:xfrm>
                    <a:off x="0" y="0"/>
                    <a:ext cx="3975738" cy="6858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A0D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928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1C1F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9B0E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D15C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B91053"/>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506734">
    <w:abstractNumId w:val="3"/>
  </w:num>
  <w:num w:numId="2" w16cid:durableId="1504082367">
    <w:abstractNumId w:val="2"/>
  </w:num>
  <w:num w:numId="3" w16cid:durableId="1797094965">
    <w:abstractNumId w:val="5"/>
  </w:num>
  <w:num w:numId="4" w16cid:durableId="876697066">
    <w:abstractNumId w:val="0"/>
  </w:num>
  <w:num w:numId="5" w16cid:durableId="2026974965">
    <w:abstractNumId w:val="4"/>
  </w:num>
  <w:num w:numId="6" w16cid:durableId="186456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50A"/>
    <w:rsid w:val="00086B8D"/>
    <w:rsid w:val="00146748"/>
    <w:rsid w:val="001A5B23"/>
    <w:rsid w:val="001D2829"/>
    <w:rsid w:val="0028428C"/>
    <w:rsid w:val="002B1C83"/>
    <w:rsid w:val="002B5431"/>
    <w:rsid w:val="00313A72"/>
    <w:rsid w:val="003236B5"/>
    <w:rsid w:val="00372FF4"/>
    <w:rsid w:val="003A0EAA"/>
    <w:rsid w:val="00441FF9"/>
    <w:rsid w:val="005030C7"/>
    <w:rsid w:val="00534DB6"/>
    <w:rsid w:val="00537E26"/>
    <w:rsid w:val="005B3668"/>
    <w:rsid w:val="005D6DD8"/>
    <w:rsid w:val="00686295"/>
    <w:rsid w:val="006F1385"/>
    <w:rsid w:val="00757C38"/>
    <w:rsid w:val="007C1132"/>
    <w:rsid w:val="00887E91"/>
    <w:rsid w:val="008A699C"/>
    <w:rsid w:val="009A68A2"/>
    <w:rsid w:val="00A33FA6"/>
    <w:rsid w:val="00A52DD6"/>
    <w:rsid w:val="00A662FC"/>
    <w:rsid w:val="00B90CF0"/>
    <w:rsid w:val="00BA62AB"/>
    <w:rsid w:val="00BE750A"/>
    <w:rsid w:val="00BF04FA"/>
    <w:rsid w:val="00C2730C"/>
    <w:rsid w:val="00C31160"/>
    <w:rsid w:val="00C748C8"/>
    <w:rsid w:val="00CD6E38"/>
    <w:rsid w:val="00CF4093"/>
    <w:rsid w:val="00D35CFC"/>
    <w:rsid w:val="00D463DE"/>
    <w:rsid w:val="00DD11F4"/>
    <w:rsid w:val="00E24CEA"/>
    <w:rsid w:val="00E27F2A"/>
    <w:rsid w:val="00E87BA6"/>
    <w:rsid w:val="00E97BCA"/>
    <w:rsid w:val="00ED322F"/>
    <w:rsid w:val="00EF4915"/>
    <w:rsid w:val="00F15C2A"/>
    <w:rsid w:val="00F466CF"/>
    <w:rsid w:val="00F74BCB"/>
    <w:rsid w:val="00FA1AF4"/>
    <w:rsid w:val="00FB76B8"/>
    <w:rsid w:val="00FE40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FC34"/>
  <w15:docId w15:val="{2D5271A8-889F-4697-93D4-2D08489F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4"/>
        <w:szCs w:val="24"/>
        <w:lang w:val="fr-FR"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C1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1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C113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Normal"/>
    <w:next w:val="Normal"/>
    <w:pPr>
      <w:keepNext/>
      <w:keepLines/>
      <w:spacing w:before="360" w:after="80"/>
      <w:outlineLvl w:val="0"/>
    </w:pPr>
    <w:rPr>
      <w:rFonts w:ascii="Calibri Light" w:eastAsia="Times New Roman" w:hAnsi="Calibri Light" w:cs="Times New Roman"/>
      <w:color w:val="2F5496"/>
      <w:sz w:val="40"/>
      <w:szCs w:val="40"/>
    </w:rPr>
  </w:style>
  <w:style w:type="paragraph" w:customStyle="1" w:styleId="Titre2">
    <w:name w:val="Titre 2"/>
    <w:basedOn w:val="Normal"/>
    <w:next w:val="Normal"/>
    <w:pPr>
      <w:keepNext/>
      <w:keepLines/>
      <w:spacing w:before="160" w:after="80"/>
      <w:outlineLvl w:val="1"/>
    </w:pPr>
    <w:rPr>
      <w:rFonts w:ascii="Calibri Light" w:eastAsia="Times New Roman" w:hAnsi="Calibri Light" w:cs="Times New Roman"/>
      <w:color w:val="2F5496"/>
      <w:sz w:val="32"/>
      <w:szCs w:val="32"/>
    </w:rPr>
  </w:style>
  <w:style w:type="paragraph" w:customStyle="1" w:styleId="Titre3">
    <w:name w:val="Titre 3"/>
    <w:basedOn w:val="Normal"/>
    <w:next w:val="Normal"/>
    <w:pPr>
      <w:keepNext/>
      <w:keepLines/>
      <w:spacing w:before="160" w:after="80"/>
      <w:outlineLvl w:val="2"/>
    </w:pPr>
    <w:rPr>
      <w:rFonts w:eastAsia="Times New Roman" w:cs="Times New Roman"/>
      <w:color w:val="2F5496"/>
      <w:sz w:val="28"/>
      <w:szCs w:val="28"/>
    </w:rPr>
  </w:style>
  <w:style w:type="paragraph" w:customStyle="1" w:styleId="Titre4">
    <w:name w:val="Titre 4"/>
    <w:basedOn w:val="Normal"/>
    <w:next w:val="Normal"/>
    <w:pPr>
      <w:keepNext/>
      <w:keepLines/>
      <w:spacing w:before="80" w:after="40"/>
      <w:outlineLvl w:val="3"/>
    </w:pPr>
    <w:rPr>
      <w:rFonts w:eastAsia="Times New Roman" w:cs="Times New Roman"/>
      <w:i/>
      <w:iCs/>
      <w:color w:val="2F5496"/>
    </w:rPr>
  </w:style>
  <w:style w:type="paragraph" w:customStyle="1" w:styleId="Titre5">
    <w:name w:val="Titre 5"/>
    <w:basedOn w:val="Normal"/>
    <w:next w:val="Normal"/>
    <w:pPr>
      <w:keepNext/>
      <w:keepLines/>
      <w:spacing w:before="80" w:after="40"/>
      <w:outlineLvl w:val="4"/>
    </w:pPr>
    <w:rPr>
      <w:rFonts w:eastAsia="Times New Roman" w:cs="Times New Roman"/>
      <w:color w:val="2F5496"/>
    </w:rPr>
  </w:style>
  <w:style w:type="paragraph" w:customStyle="1" w:styleId="Titre6">
    <w:name w:val="Titre 6"/>
    <w:basedOn w:val="Normal"/>
    <w:next w:val="Normal"/>
    <w:pPr>
      <w:keepNext/>
      <w:keepLines/>
      <w:spacing w:before="40" w:after="0"/>
      <w:outlineLvl w:val="5"/>
    </w:pPr>
    <w:rPr>
      <w:rFonts w:eastAsia="Times New Roman" w:cs="Times New Roman"/>
      <w:i/>
      <w:iCs/>
      <w:color w:val="595959"/>
    </w:rPr>
  </w:style>
  <w:style w:type="paragraph" w:customStyle="1" w:styleId="Titre7">
    <w:name w:val="Titre 7"/>
    <w:basedOn w:val="Normal"/>
    <w:next w:val="Normal"/>
    <w:pPr>
      <w:keepNext/>
      <w:keepLines/>
      <w:spacing w:before="40" w:after="0"/>
      <w:outlineLvl w:val="6"/>
    </w:pPr>
    <w:rPr>
      <w:rFonts w:eastAsia="Times New Roman" w:cs="Times New Roman"/>
      <w:color w:val="595959"/>
    </w:rPr>
  </w:style>
  <w:style w:type="paragraph" w:customStyle="1" w:styleId="Titre8">
    <w:name w:val="Titre 8"/>
    <w:basedOn w:val="Normal"/>
    <w:next w:val="Normal"/>
    <w:pPr>
      <w:keepNext/>
      <w:keepLines/>
      <w:spacing w:after="0"/>
      <w:outlineLvl w:val="7"/>
    </w:pPr>
    <w:rPr>
      <w:rFonts w:eastAsia="Times New Roman" w:cs="Times New Roman"/>
      <w:i/>
      <w:iCs/>
      <w:color w:val="272727"/>
    </w:rPr>
  </w:style>
  <w:style w:type="paragraph" w:customStyle="1" w:styleId="Titre9">
    <w:name w:val="Titre 9"/>
    <w:basedOn w:val="Normal"/>
    <w:next w:val="Normal"/>
    <w:pPr>
      <w:keepNext/>
      <w:keepLines/>
      <w:spacing w:after="0"/>
      <w:outlineLvl w:val="8"/>
    </w:pPr>
    <w:rPr>
      <w:rFonts w:eastAsia="Times New Roman" w:cs="Times New Roman"/>
      <w:color w:val="272727"/>
    </w:rPr>
  </w:style>
  <w:style w:type="character" w:customStyle="1" w:styleId="Policepardfaut">
    <w:name w:val="Police par défaut"/>
  </w:style>
  <w:style w:type="character" w:customStyle="1" w:styleId="Titre1Car">
    <w:name w:val="Titre 1 Car"/>
    <w:basedOn w:val="Policepardfaut"/>
    <w:rPr>
      <w:rFonts w:ascii="Calibri Light" w:eastAsia="Times New Roman" w:hAnsi="Calibri Light" w:cs="Times New Roman"/>
      <w:color w:val="2F5496"/>
      <w:sz w:val="40"/>
      <w:szCs w:val="40"/>
    </w:rPr>
  </w:style>
  <w:style w:type="character" w:customStyle="1" w:styleId="Titre2Car">
    <w:name w:val="Titre 2 Car"/>
    <w:basedOn w:val="Policepardfaut"/>
    <w:rPr>
      <w:rFonts w:ascii="Calibri Light" w:eastAsia="Times New Roman" w:hAnsi="Calibri Light" w:cs="Times New Roman"/>
      <w:color w:val="2F5496"/>
      <w:sz w:val="32"/>
      <w:szCs w:val="32"/>
    </w:rPr>
  </w:style>
  <w:style w:type="character" w:customStyle="1" w:styleId="Titre3Car">
    <w:name w:val="Titre 3 Car"/>
    <w:basedOn w:val="Policepardfaut"/>
    <w:rPr>
      <w:rFonts w:eastAsia="Times New Roman" w:cs="Times New Roman"/>
      <w:color w:val="2F5496"/>
      <w:sz w:val="28"/>
      <w:szCs w:val="28"/>
    </w:rPr>
  </w:style>
  <w:style w:type="character" w:customStyle="1" w:styleId="Titre4Car">
    <w:name w:val="Titre 4 Car"/>
    <w:basedOn w:val="Policepardfaut"/>
    <w:rPr>
      <w:rFonts w:eastAsia="Times New Roman" w:cs="Times New Roman"/>
      <w:i/>
      <w:iCs/>
      <w:color w:val="2F5496"/>
    </w:rPr>
  </w:style>
  <w:style w:type="character" w:customStyle="1" w:styleId="Titre5Car">
    <w:name w:val="Titre 5 Car"/>
    <w:basedOn w:val="Policepardfaut"/>
    <w:rPr>
      <w:rFonts w:eastAsia="Times New Roman" w:cs="Times New Roman"/>
      <w:color w:val="2F5496"/>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customStyle="1" w:styleId="Titre">
    <w:name w:val="Titre"/>
    <w:basedOn w:val="Normal"/>
    <w:next w:val="Normal"/>
    <w:pPr>
      <w:spacing w:after="80" w:line="240" w:lineRule="auto"/>
    </w:pPr>
    <w:rPr>
      <w:rFonts w:ascii="Calibri Light" w:eastAsia="Times New Roman" w:hAnsi="Calibri Light" w:cs="Times New Roman"/>
      <w:spacing w:val="-10"/>
      <w:sz w:val="56"/>
      <w:szCs w:val="56"/>
    </w:rPr>
  </w:style>
  <w:style w:type="character" w:customStyle="1" w:styleId="TitreCar">
    <w:name w:val="Titre Car"/>
    <w:basedOn w:val="Policepardfaut"/>
    <w:rPr>
      <w:rFonts w:ascii="Calibri Light" w:eastAsia="Times New Roman" w:hAnsi="Calibri Light" w:cs="Times New Roman"/>
      <w:spacing w:val="-10"/>
      <w:kern w:val="3"/>
      <w:sz w:val="56"/>
      <w:szCs w:val="56"/>
    </w:rPr>
  </w:style>
  <w:style w:type="paragraph" w:customStyle="1" w:styleId="Sous-titre">
    <w:name w:val="Sous-titre"/>
    <w:basedOn w:val="Normal"/>
    <w:next w:val="Normal"/>
    <w:rPr>
      <w:rFonts w:eastAsia="Times New Roman" w:cs="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customStyle="1" w:styleId="Citation">
    <w:name w:val="Citation"/>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customStyle="1" w:styleId="Paragraphedeliste">
    <w:name w:val="Paragraphe de liste"/>
    <w:basedOn w:val="Normal"/>
    <w:pPr>
      <w:ind w:left="720"/>
    </w:pPr>
  </w:style>
  <w:style w:type="character" w:customStyle="1" w:styleId="Accentuationintense">
    <w:name w:val="Accentuation intense"/>
    <w:basedOn w:val="Policepardfaut"/>
    <w:rPr>
      <w:i/>
      <w:iCs/>
      <w:color w:val="2F5496"/>
    </w:rPr>
  </w:style>
  <w:style w:type="paragraph" w:customStyle="1" w:styleId="Citationintense">
    <w:name w:val="Citation intens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CitationintenseCar">
    <w:name w:val="Citation intense Car"/>
    <w:basedOn w:val="Policepardfaut"/>
    <w:rPr>
      <w:i/>
      <w:iCs/>
      <w:color w:val="2F5496"/>
    </w:rPr>
  </w:style>
  <w:style w:type="character" w:customStyle="1" w:styleId="Rfrenceintense">
    <w:name w:val="Référence intense"/>
    <w:basedOn w:val="Policepardfaut"/>
    <w:rPr>
      <w:b/>
      <w:bCs/>
      <w:smallCaps/>
      <w:color w:val="2F5496"/>
      <w:spacing w:val="5"/>
    </w:rPr>
  </w:style>
  <w:style w:type="paragraph" w:customStyle="1" w:styleId="En-tte">
    <w:name w:val="En-tête"/>
    <w:basedOn w:val="Normal"/>
    <w:pPr>
      <w:tabs>
        <w:tab w:val="center" w:pos="4536"/>
        <w:tab w:val="right" w:pos="9072"/>
      </w:tabs>
      <w:spacing w:after="0" w:line="240" w:lineRule="auto"/>
    </w:pPr>
  </w:style>
  <w:style w:type="character" w:customStyle="1" w:styleId="En-tteCar">
    <w:name w:val="En-tête Car"/>
    <w:basedOn w:val="Policepardfaut"/>
  </w:style>
  <w:style w:type="paragraph" w:customStyle="1" w:styleId="Pieddepage">
    <w:name w:val="Pied de page"/>
    <w:basedOn w:val="Normal"/>
    <w:pPr>
      <w:tabs>
        <w:tab w:val="center" w:pos="4536"/>
        <w:tab w:val="right" w:pos="9072"/>
      </w:tabs>
      <w:spacing w:after="0" w:line="240" w:lineRule="auto"/>
    </w:pPr>
  </w:style>
  <w:style w:type="character" w:customStyle="1" w:styleId="PieddepageCar">
    <w:name w:val="Pied de page Car"/>
    <w:basedOn w:val="Policepardfaut"/>
  </w:style>
  <w:style w:type="character" w:customStyle="1" w:styleId="Lienhypertexte">
    <w:name w:val="Lien hypertexte"/>
    <w:basedOn w:val="Policepardfaut"/>
    <w:rPr>
      <w:color w:val="0563C1"/>
      <w:u w:val="single"/>
    </w:rPr>
  </w:style>
  <w:style w:type="character" w:customStyle="1" w:styleId="Mentionnonrsolue">
    <w:name w:val="Mention non résolue"/>
    <w:basedOn w:val="Policepardfaut"/>
    <w:rPr>
      <w:color w:val="605E5C"/>
      <w:shd w:val="clear" w:color="auto" w:fill="E1DFDD"/>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sid w:val="007C11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C11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C1132"/>
    <w:rPr>
      <w:rFonts w:asciiTheme="minorHAnsi" w:eastAsiaTheme="majorEastAsia" w:hAnsiTheme="minorHAnsi" w:cstheme="majorBidi"/>
      <w:color w:val="2F5496" w:themeColor="accent1" w:themeShade="BF"/>
      <w:sz w:val="28"/>
      <w:szCs w:val="28"/>
    </w:rPr>
  </w:style>
  <w:style w:type="paragraph" w:styleId="NormalWeb">
    <w:name w:val="Normal (Web)"/>
    <w:basedOn w:val="Normal"/>
    <w:uiPriority w:val="99"/>
    <w:unhideWhenUsed/>
    <w:rsid w:val="007C1132"/>
    <w:pPr>
      <w:suppressAutoHyphens w:val="0"/>
      <w:autoSpaceDN/>
      <w:spacing w:before="100" w:beforeAutospacing="1" w:after="100" w:afterAutospacing="1" w:line="240" w:lineRule="auto"/>
      <w:textAlignment w:val="auto"/>
    </w:pPr>
    <w:rPr>
      <w:rFonts w:ascii="Times New Roman" w:eastAsiaTheme="minorEastAsia" w:hAnsi="Times New Roman" w:cs="Times New Roman"/>
      <w:kern w:val="0"/>
      <w:lang w:val="en-US"/>
    </w:rPr>
  </w:style>
  <w:style w:type="character" w:styleId="Strong">
    <w:name w:val="Strong"/>
    <w:basedOn w:val="DefaultParagraphFont"/>
    <w:uiPriority w:val="22"/>
    <w:qFormat/>
    <w:rsid w:val="007C1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o_rad036@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2026-08-13T07:55:25+00:00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1AF37CA-E97D-42A6-9228-F2132F4F31C7}"/>
</file>

<file path=customXml/itemProps2.xml><?xml version="1.0" encoding="utf-8"?>
<ds:datastoreItem xmlns:ds="http://schemas.openxmlformats.org/officeDocument/2006/customXml" ds:itemID="{5F56A3CD-D71C-4B92-AF73-76B07C771D93}"/>
</file>

<file path=customXml/itemProps3.xml><?xml version="1.0" encoding="utf-8"?>
<ds:datastoreItem xmlns:ds="http://schemas.openxmlformats.org/officeDocument/2006/customXml" ds:itemID="{A7EF9882-BF8C-4712-9ECA-912A4F42098B}"/>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3667</Words>
  <Characters>20904</Characters>
  <Application>Microsoft Office Word</Application>
  <DocSecurity>0</DocSecurity>
  <Lines>174</Lines>
  <Paragraphs>49</Paragraphs>
  <ScaleCrop>false</ScaleCrop>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Perrine Deja</cp:lastModifiedBy>
  <cp:revision>2</cp:revision>
  <dcterms:created xsi:type="dcterms:W3CDTF">2026-08-13T07:55:00Z</dcterms:created>
  <dcterms:modified xsi:type="dcterms:W3CDTF">2026-08-13T07:55:00Z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