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B0348" w14:textId="77777777" w:rsidR="00E848DE" w:rsidRPr="00AC5560" w:rsidRDefault="00E848DE" w:rsidP="002629C5">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0" w:line="360" w:lineRule="auto"/>
        <w:ind w:left="426" w:right="560"/>
        <w:jc w:val="both"/>
        <w:rPr>
          <w:rFonts w:eastAsia="SimSun" w:cstheme="minorHAnsi"/>
          <w:b/>
          <w:sz w:val="28"/>
          <w:szCs w:val="28"/>
          <w:lang w:eastAsia="fr-CH"/>
        </w:rPr>
      </w:pPr>
    </w:p>
    <w:p w14:paraId="5D79C556" w14:textId="77777777" w:rsidR="00E848DE" w:rsidRPr="00AC5560" w:rsidRDefault="00E848DE" w:rsidP="002629C5">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0" w:line="360" w:lineRule="auto"/>
        <w:ind w:left="426" w:right="560"/>
        <w:jc w:val="both"/>
        <w:rPr>
          <w:rFonts w:eastAsia="SimSun" w:cstheme="minorHAnsi"/>
          <w:b/>
          <w:sz w:val="28"/>
          <w:szCs w:val="28"/>
          <w:lang w:eastAsia="fr-CH"/>
        </w:rPr>
      </w:pPr>
    </w:p>
    <w:p w14:paraId="23945F77" w14:textId="77777777" w:rsidR="00E848DE" w:rsidRPr="00AC5560" w:rsidRDefault="00E848DE" w:rsidP="001B335C">
      <w:pPr>
        <w:spacing w:after="0" w:line="360" w:lineRule="auto"/>
        <w:jc w:val="center"/>
        <w:rPr>
          <w:rFonts w:eastAsia="SimSun" w:cstheme="minorHAnsi"/>
          <w:b/>
          <w:bCs/>
          <w:sz w:val="44"/>
          <w:szCs w:val="44"/>
          <w:lang w:eastAsia="fr-CH"/>
        </w:rPr>
      </w:pPr>
      <w:r>
        <w:rPr>
          <w:rFonts w:ascii="Times New Roman" w:eastAsia="Times New Roman" w:hAnsi="Times New Roman" w:cs="Times New Roman"/>
          <w:b/>
          <w:sz w:val="44"/>
        </w:rPr>
        <w:t>Statement by</w:t>
      </w:r>
    </w:p>
    <w:p w14:paraId="0E1F2F4D" w14:textId="77777777" w:rsidR="00172DAC" w:rsidRPr="00AC5560" w:rsidRDefault="00CA78F6" w:rsidP="009966A2">
      <w:pPr>
        <w:spacing w:after="0" w:line="360" w:lineRule="auto"/>
        <w:jc w:val="center"/>
        <w:rPr>
          <w:rFonts w:eastAsia="SimSun" w:cstheme="minorHAnsi"/>
          <w:b/>
          <w:bCs/>
          <w:sz w:val="44"/>
          <w:szCs w:val="44"/>
          <w:lang w:eastAsia="fr-CH"/>
        </w:rPr>
      </w:pPr>
      <w:r>
        <w:rPr>
          <w:rFonts w:ascii="Times New Roman" w:eastAsia="Times New Roman" w:hAnsi="Times New Roman" w:cs="Times New Roman"/>
          <w:b/>
          <w:sz w:val="44"/>
        </w:rPr>
        <w:t>H.E. Mr. Tsegab Kebebew Daka, Ambassador and Permanent Representative of Ethiopia,</w:t>
      </w:r>
    </w:p>
    <w:p w14:paraId="5D6652FF" w14:textId="79E77DE4" w:rsidR="00E848DE" w:rsidRPr="00AC5560" w:rsidRDefault="00CA78F6" w:rsidP="008741E5">
      <w:pPr>
        <w:spacing w:after="0" w:line="360" w:lineRule="auto"/>
        <w:jc w:val="center"/>
        <w:rPr>
          <w:rFonts w:eastAsia="SimSun" w:cstheme="minorHAnsi"/>
          <w:b/>
          <w:bCs/>
          <w:sz w:val="44"/>
          <w:szCs w:val="44"/>
          <w:lang w:eastAsia="fr-CH"/>
        </w:rPr>
      </w:pPr>
      <w:r>
        <w:rPr>
          <w:rFonts w:ascii="Times New Roman" w:eastAsia="Times New Roman" w:hAnsi="Times New Roman" w:cs="Times New Roman"/>
          <w:b/>
          <w:bCs/>
          <w:sz w:val="44"/>
          <w:szCs w:val="44"/>
        </w:rPr>
        <w:t>Vice-President of the Human Rights Council and Chairperson of the Task Force on accessibility for persons with disabilities</w:t>
      </w:r>
    </w:p>
    <w:p w14:paraId="398AD90E" w14:textId="77777777" w:rsidR="00E848DE" w:rsidRPr="00AC5560" w:rsidRDefault="00E848DE" w:rsidP="001B335C">
      <w:pPr>
        <w:spacing w:after="0" w:line="360" w:lineRule="auto"/>
        <w:ind w:left="-360" w:firstLine="360"/>
        <w:jc w:val="center"/>
        <w:rPr>
          <w:rFonts w:eastAsia="SimSun" w:cstheme="minorHAnsi"/>
          <w:b/>
          <w:bCs/>
          <w:sz w:val="44"/>
          <w:szCs w:val="44"/>
          <w:lang w:eastAsia="fr-CH"/>
        </w:rPr>
      </w:pPr>
    </w:p>
    <w:p w14:paraId="1EB5AE74" w14:textId="77777777" w:rsidR="00E848DE" w:rsidRPr="00AC5560" w:rsidRDefault="00CD2D8C" w:rsidP="001B335C">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0" w:line="360" w:lineRule="auto"/>
        <w:ind w:left="426" w:right="560"/>
        <w:jc w:val="center"/>
        <w:rPr>
          <w:rFonts w:eastAsia="SimSun" w:cstheme="minorHAnsi"/>
          <w:b/>
          <w:sz w:val="44"/>
          <w:szCs w:val="44"/>
          <w:lang w:eastAsia="fr-CH"/>
        </w:rPr>
      </w:pPr>
      <w:r>
        <w:rPr>
          <w:rFonts w:ascii="Times New Roman" w:eastAsia="Times New Roman" w:hAnsi="Times New Roman" w:cs="Times New Roman"/>
          <w:b/>
          <w:sz w:val="44"/>
        </w:rPr>
        <w:t>35th Session of the Committee on the Rights of Persons with Disabilities</w:t>
      </w:r>
    </w:p>
    <w:p w14:paraId="3AF24CBE" w14:textId="77777777" w:rsidR="00E848DE" w:rsidRPr="00AC5560" w:rsidRDefault="00E848DE" w:rsidP="001B335C">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0" w:line="360" w:lineRule="auto"/>
        <w:ind w:left="426" w:right="560"/>
        <w:jc w:val="center"/>
        <w:rPr>
          <w:rFonts w:eastAsia="SimSun" w:cstheme="minorHAnsi"/>
          <w:b/>
          <w:sz w:val="44"/>
          <w:szCs w:val="44"/>
          <w:lang w:eastAsia="fr-CH"/>
        </w:rPr>
      </w:pPr>
    </w:p>
    <w:p w14:paraId="7C76DC21" w14:textId="77777777" w:rsidR="00E848DE" w:rsidRPr="00AC5560" w:rsidRDefault="00E848DE" w:rsidP="001B335C">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0" w:line="360" w:lineRule="auto"/>
        <w:ind w:left="426" w:right="560"/>
        <w:jc w:val="center"/>
        <w:rPr>
          <w:rFonts w:eastAsia="SimSun" w:cstheme="minorHAnsi"/>
          <w:b/>
          <w:sz w:val="36"/>
          <w:szCs w:val="36"/>
          <w:lang w:eastAsia="fr-CH"/>
        </w:rPr>
      </w:pPr>
      <w:r>
        <w:rPr>
          <w:rFonts w:ascii="Times New Roman" w:eastAsia="Times New Roman" w:hAnsi="Times New Roman" w:cs="Times New Roman"/>
          <w:b/>
          <w:sz w:val="36"/>
        </w:rPr>
        <w:t>12 August 2026</w:t>
      </w:r>
      <w:r w:rsidRPr="00AC5560">
        <w:rPr>
          <w:rFonts w:eastAsia="SimSun" w:cstheme="minorHAnsi"/>
          <w:b/>
          <w:noProof/>
          <w:sz w:val="36"/>
          <w:szCs w:val="36"/>
          <w:lang w:eastAsia="en-GB"/>
        </w:rPr>
        <w:drawing>
          <wp:anchor distT="151130" distB="151130" distL="151130" distR="151130" simplePos="0" relativeHeight="251659264" behindDoc="1" locked="0" layoutInCell="1" allowOverlap="1" wp14:anchorId="78692538" wp14:editId="74C5DA90">
            <wp:simplePos x="0" y="0"/>
            <wp:positionH relativeFrom="margin">
              <wp:posOffset>762000</wp:posOffset>
            </wp:positionH>
            <wp:positionV relativeFrom="margin">
              <wp:posOffset>3429000</wp:posOffset>
            </wp:positionV>
            <wp:extent cx="3886200" cy="3314700"/>
            <wp:effectExtent l="0" t="0" r="0" b="0"/>
            <wp:wrapNone/>
            <wp:docPr id="1" name="Picture 1" descr="United Nations Human Rights emblem used as a decorative cover watermark" title="United Nations Human Rights em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lum bright="70000" contrast="-70000"/>
                      <a:grayscl/>
                      <a:extLst>
                        <a:ext uri="{28A0092B-C50C-407E-A947-70E740481C1C}">
                          <a14:useLocalDpi xmlns:a14="http://schemas.microsoft.com/office/drawing/2010/main" val="0"/>
                        </a:ext>
                      </a:extLst>
                    </a:blip>
                    <a:srcRect/>
                    <a:stretch>
                      <a:fillRect/>
                    </a:stretch>
                  </pic:blipFill>
                  <pic:spPr bwMode="auto">
                    <a:xfrm>
                      <a:off x="0" y="0"/>
                      <a:ext cx="3886200" cy="3314700"/>
                    </a:xfrm>
                    <a:prstGeom prst="rect">
                      <a:avLst/>
                    </a:prstGeom>
                    <a:noFill/>
                  </pic:spPr>
                </pic:pic>
              </a:graphicData>
            </a:graphic>
            <wp14:sizeRelH relativeFrom="page">
              <wp14:pctWidth>0</wp14:pctWidth>
            </wp14:sizeRelH>
            <wp14:sizeRelV relativeFrom="page">
              <wp14:pctHeight>0</wp14:pctHeight>
            </wp14:sizeRelV>
          </wp:anchor>
        </w:drawing>
      </w:r>
    </w:p>
    <w:p w14:paraId="76E7C649" w14:textId="77777777" w:rsidR="00E848DE" w:rsidRPr="00AC5560" w:rsidRDefault="00E848DE" w:rsidP="002629C5">
      <w:pPr>
        <w:jc w:val="both"/>
        <w:rPr>
          <w:rFonts w:eastAsia="SimSun" w:cstheme="minorHAnsi"/>
          <w:sz w:val="24"/>
          <w:szCs w:val="24"/>
          <w:lang w:eastAsia="fr-CH"/>
        </w:rPr>
      </w:pPr>
      <w:r w:rsidRPr="00AC5560">
        <w:rPr>
          <w:rFonts w:eastAsia="SimSun" w:cstheme="minorHAnsi"/>
          <w:sz w:val="24"/>
          <w:szCs w:val="24"/>
          <w:lang w:eastAsia="fr-CH"/>
        </w:rPr>
        <w:br w:type="page"/>
      </w:r>
    </w:p>
    <w:p w14:paraId="34AED8BB" w14:textId="77777777" w:rsidR="0086412D" w:rsidRDefault="00000000">
      <w:pPr>
        <w:spacing w:after="200" w:line="324" w:lineRule="auto"/>
      </w:pPr>
      <w:r>
        <w:rPr>
          <w:rFonts w:ascii="Times New Roman" w:eastAsia="Times New Roman" w:hAnsi="Times New Roman" w:cs="Times New Roman"/>
          <w:sz w:val="28"/>
          <w:szCs w:val="28"/>
        </w:rPr>
        <w:lastRenderedPageBreak/>
        <w:t>Chair,</w:t>
      </w:r>
    </w:p>
    <w:p w14:paraId="32BD3B4D" w14:textId="77777777" w:rsidR="0086412D" w:rsidRDefault="00000000">
      <w:pPr>
        <w:spacing w:after="200" w:line="324" w:lineRule="auto"/>
      </w:pPr>
      <w:r>
        <w:rPr>
          <w:rFonts w:ascii="Times New Roman" w:eastAsia="Times New Roman" w:hAnsi="Times New Roman" w:cs="Times New Roman"/>
          <w:sz w:val="28"/>
          <w:szCs w:val="28"/>
        </w:rPr>
        <w:t>Distinguished Committee Members,</w:t>
      </w:r>
    </w:p>
    <w:p w14:paraId="2098C9BF" w14:textId="7AF0C8D7" w:rsidR="0086412D" w:rsidRDefault="00000000">
      <w:pPr>
        <w:spacing w:after="200" w:line="324" w:lineRule="auto"/>
        <w:jc w:val="both"/>
      </w:pPr>
      <w:r>
        <w:rPr>
          <w:rFonts w:ascii="Times New Roman" w:eastAsia="Times New Roman" w:hAnsi="Times New Roman" w:cs="Times New Roman"/>
          <w:sz w:val="28"/>
          <w:szCs w:val="28"/>
        </w:rPr>
        <w:t>It is a privilege to address you at the opening of the 35th session of the Committee on the Rights of Persons with Disabilities, in my capacity as a Vice-President of the Human Rights Council and Chair of the Council's Task Force on accessibility for persons with disabilities.</w:t>
      </w:r>
    </w:p>
    <w:p w14:paraId="208076E3" w14:textId="35F73BBA" w:rsidR="0086412D" w:rsidRDefault="00000000">
      <w:pPr>
        <w:spacing w:after="200" w:line="324" w:lineRule="auto"/>
        <w:jc w:val="both"/>
      </w:pPr>
      <w:r>
        <w:rPr>
          <w:rFonts w:ascii="Times New Roman" w:eastAsia="Times New Roman" w:hAnsi="Times New Roman" w:cs="Times New Roman"/>
          <w:sz w:val="28"/>
          <w:szCs w:val="28"/>
        </w:rPr>
        <w:t>This session has particular significance. This year marks twenty years since the adoption of the Convention on the Rights of Persons with Disabilities. With 193 parties, the Convention now enjoys near-universal reach. This anniversary offers an opportunity to celebrate progress under the Convention and to renew our shared commitment to its full implementation.</w:t>
      </w:r>
    </w:p>
    <w:p w14:paraId="7B5D956A" w14:textId="469491E4" w:rsidR="0086412D" w:rsidRDefault="00000000">
      <w:pPr>
        <w:spacing w:after="200" w:line="324" w:lineRule="auto"/>
        <w:jc w:val="both"/>
      </w:pPr>
      <w:r>
        <w:rPr>
          <w:rFonts w:ascii="Times New Roman" w:eastAsia="Times New Roman" w:hAnsi="Times New Roman" w:cs="Times New Roman"/>
          <w:sz w:val="28"/>
          <w:szCs w:val="28"/>
        </w:rPr>
        <w:t>The Task Force was established pursuant to Council resolution 16/21 to study measures to enhance accessibility for persons with disabilities to the Human Rights Council and the work of its mechanisms, and to make concrete recommendations, in accordance with international human rights standards. I am therefore particularly pleased to address this distinguished Committee, which has played an instrumental role in advancing and promoting those standards globally. An important aspect of my role is to engage with States and all stakeholders of the Council to increase awareness of accessibility requirements and to support the full and effective participation of persons with disabilities in the Council's work.</w:t>
      </w:r>
    </w:p>
    <w:p w14:paraId="5039F121" w14:textId="77777777" w:rsidR="0086412D" w:rsidRDefault="00000000">
      <w:pPr>
        <w:spacing w:after="200" w:line="324" w:lineRule="auto"/>
        <w:jc w:val="both"/>
      </w:pPr>
      <w:r>
        <w:rPr>
          <w:rFonts w:ascii="Times New Roman" w:eastAsia="Times New Roman" w:hAnsi="Times New Roman" w:cs="Times New Roman"/>
          <w:sz w:val="28"/>
          <w:szCs w:val="28"/>
        </w:rPr>
        <w:t>As the principal intergovernmental body responsible for the promotion and protection of human rights, the Human Rights Council is not only a forum in which human rights are discussed but also a space in which rights must be exercised. This includes the right to freedom of expression and the right of persons with disabilities to participate fully and effectively. Accessibility must therefore be regarded as a fundamental and non-negotiable element of the Council's work.</w:t>
      </w:r>
    </w:p>
    <w:p w14:paraId="59E44EEF" w14:textId="1741E149" w:rsidR="0086412D" w:rsidRDefault="00000000">
      <w:pPr>
        <w:spacing w:after="200" w:line="324" w:lineRule="auto"/>
        <w:jc w:val="both"/>
      </w:pPr>
      <w:r>
        <w:rPr>
          <w:rFonts w:ascii="Times New Roman" w:eastAsia="Times New Roman" w:hAnsi="Times New Roman" w:cs="Times New Roman"/>
          <w:sz w:val="28"/>
          <w:szCs w:val="28"/>
        </w:rPr>
        <w:t xml:space="preserve">Measures taken at the Council have progressively improved accessibility. The use of subtitled video statements by States and civil society organizations is now well </w:t>
      </w:r>
      <w:r>
        <w:rPr>
          <w:rFonts w:ascii="Times New Roman" w:eastAsia="Times New Roman" w:hAnsi="Times New Roman" w:cs="Times New Roman"/>
          <w:sz w:val="28"/>
          <w:szCs w:val="28"/>
        </w:rPr>
        <w:lastRenderedPageBreak/>
        <w:t>established, supporting broader participation. Reasonable accommodation measures have also become an increasingly integral part of the Council's work. More broadly, accessibility is no longer viewed as an exceptional consideration, but as an essential component of meaningful participation in multilateral processes.</w:t>
      </w:r>
    </w:p>
    <w:p w14:paraId="26B51FC3" w14:textId="19D747BD" w:rsidR="0086412D" w:rsidRDefault="00000000">
      <w:pPr>
        <w:spacing w:after="200" w:line="324" w:lineRule="auto"/>
        <w:jc w:val="both"/>
      </w:pPr>
      <w:r>
        <w:rPr>
          <w:rFonts w:ascii="Times New Roman" w:eastAsia="Times New Roman" w:hAnsi="Times New Roman" w:cs="Times New Roman"/>
          <w:sz w:val="28"/>
          <w:szCs w:val="28"/>
        </w:rPr>
        <w:t>Since assuming the chairmanship of the Task Force, I have worked closely with the Office of the High Commissioner for Human Rights, the United Nations Office at Geneva, the Secretariat of this Committee and Member States to improve both physical and digital accessibility at the Council. Together with the Secretariat, I have also participated in a walkthrough of relevant facilities. Particular emphasis has been placed on raising awareness of available accessibility services and encouraging a more proactive approach to inclusion.</w:t>
      </w:r>
    </w:p>
    <w:p w14:paraId="0D9035C3" w14:textId="77777777" w:rsidR="0086412D" w:rsidRDefault="00000000">
      <w:pPr>
        <w:spacing w:after="200" w:line="324" w:lineRule="auto"/>
        <w:jc w:val="both"/>
      </w:pPr>
      <w:r>
        <w:rPr>
          <w:rFonts w:ascii="Times New Roman" w:eastAsia="Times New Roman" w:hAnsi="Times New Roman" w:cs="Times New Roman"/>
          <w:sz w:val="28"/>
          <w:szCs w:val="28"/>
        </w:rPr>
        <w:t>The Task Force has also encouraged improvements in administrative processes that support participation. Accessibility requirements can now be more effectively identified during registration processes for Council sessions, enabling the Secretariat to provide information and consider accommodation measures earlier and more systematically. This represents an important step towards a more responsive and user-centred approach to accessibility.</w:t>
      </w:r>
    </w:p>
    <w:p w14:paraId="706B3CF9" w14:textId="5E77FB80" w:rsidR="0086412D" w:rsidRDefault="00000000">
      <w:pPr>
        <w:spacing w:after="200" w:line="324" w:lineRule="auto"/>
        <w:jc w:val="both"/>
      </w:pPr>
      <w:r>
        <w:rPr>
          <w:rFonts w:ascii="Times New Roman" w:eastAsia="Times New Roman" w:hAnsi="Times New Roman" w:cs="Times New Roman"/>
          <w:sz w:val="28"/>
          <w:szCs w:val="28"/>
        </w:rPr>
        <w:t>A significant development has been the return of Human Rights Council sessions to the renovated Building A and the Assembly Hall following major works undertaken as part of the Strategic Heritage Plan. Accessibility considerations were integrated into these renovations, including improvements to entrances and circulation routes, elevators, automated doors, signage and wayfinding systems, accessible sanitation facilities, and conference infrastructure. These upgrades have enhanced the accessibility of the principal venues in which the Council conducts its work and represent an important step towards ensuring that participation is possible on an equal basis for persons with disabilities.</w:t>
      </w:r>
    </w:p>
    <w:p w14:paraId="5D0F1311" w14:textId="77777777" w:rsidR="0086412D" w:rsidRDefault="00000000">
      <w:pPr>
        <w:spacing w:after="200" w:line="324" w:lineRule="auto"/>
        <w:jc w:val="both"/>
      </w:pPr>
      <w:r>
        <w:rPr>
          <w:rFonts w:ascii="Times New Roman" w:eastAsia="Times New Roman" w:hAnsi="Times New Roman" w:cs="Times New Roman"/>
          <w:sz w:val="28"/>
          <w:szCs w:val="28"/>
        </w:rPr>
        <w:t xml:space="preserve">The Council and UNOG have also improved administrative arrangements to better identify and respond to accessibility requirements. Registration processes now allow participants to indicate specific accessibility needs in advance, </w:t>
      </w:r>
      <w:r>
        <w:rPr>
          <w:rFonts w:ascii="Times New Roman" w:eastAsia="Times New Roman" w:hAnsi="Times New Roman" w:cs="Times New Roman"/>
          <w:sz w:val="28"/>
          <w:szCs w:val="28"/>
        </w:rPr>
        <w:lastRenderedPageBreak/>
        <w:t>enabling the Secretariat to provide more tailored information and consider reasonable accommodations earlier and more systematically.</w:t>
      </w:r>
    </w:p>
    <w:p w14:paraId="265B61B2" w14:textId="0C9C00C7" w:rsidR="0086412D" w:rsidRDefault="00000000">
      <w:pPr>
        <w:spacing w:after="200" w:line="324" w:lineRule="auto"/>
        <w:jc w:val="both"/>
      </w:pPr>
      <w:r>
        <w:rPr>
          <w:rFonts w:ascii="Times New Roman" w:eastAsia="Times New Roman" w:hAnsi="Times New Roman" w:cs="Times New Roman"/>
          <w:sz w:val="28"/>
          <w:szCs w:val="28"/>
        </w:rPr>
        <w:t>The Task Force will also continue to explore participation arrangements that can extend the reach of the Council’s work, including appropriate remote participation options. Accessible digital platforms can help ensure that persons with disabilities are able to participate on an equal basis. The Task Force continues to advocate for participation arrangements that maximize inclusion and accessibility and has consistently highlighted the importance of accessible digital platforms, including features such as screen-reader compatibility, keyboard navigation and customizable accessibility settings.</w:t>
      </w:r>
    </w:p>
    <w:p w14:paraId="1ABFC06F" w14:textId="00B39B24" w:rsidR="0086412D" w:rsidRDefault="00000000">
      <w:pPr>
        <w:spacing w:after="200" w:line="324" w:lineRule="auto"/>
        <w:jc w:val="both"/>
      </w:pPr>
      <w:r>
        <w:rPr>
          <w:rFonts w:ascii="Times New Roman" w:eastAsia="Times New Roman" w:hAnsi="Times New Roman" w:cs="Times New Roman"/>
          <w:sz w:val="28"/>
          <w:szCs w:val="28"/>
        </w:rPr>
        <w:t>Digital accessibility has emerged as an important area of work. The Task Force has explored opportunities presented by technological developments, including advances in automated captioning and other accessibility tools. While such technologies offer significant potential to enhance participation, they must be implemented in a manner that complements, rather than replaces, existing accessibility services and safeguards. New technologies should be guided by the principles of universal design and developed in consultation with persons with disabilities and their representative organizations.</w:t>
      </w:r>
    </w:p>
    <w:p w14:paraId="494622D6" w14:textId="5BB65233" w:rsidR="0086412D" w:rsidRDefault="00000000">
      <w:pPr>
        <w:spacing w:after="200" w:line="324" w:lineRule="auto"/>
        <w:jc w:val="both"/>
      </w:pPr>
      <w:r>
        <w:rPr>
          <w:rFonts w:ascii="Times New Roman" w:eastAsia="Times New Roman" w:hAnsi="Times New Roman" w:cs="Times New Roman"/>
          <w:sz w:val="28"/>
          <w:szCs w:val="28"/>
        </w:rPr>
        <w:t>More broadly, accessibility continues to be increasingly embedded across the Council's work. At its sixty-first session, the Council's annual interactive debate on the rights of persons with disabilities focused on disability-inclusive infrastructure, including transport and housing. The Council also adopted without a vote resolution 61/9 on the rights of persons with disabilities: disability-inclusive digital technologies and infrastructure, including transport and housing. At the same session, the Special Rapporteur presented her report on the equal participation of persons with disabilities in political life. These strands reinforce the understanding that disability inclusion is relevant to all human rights issues and not only those specifically focused on persons with disabilities.</w:t>
      </w:r>
    </w:p>
    <w:p w14:paraId="22B354A5" w14:textId="3F2AEF0F" w:rsidR="0086412D" w:rsidRDefault="00000000">
      <w:pPr>
        <w:spacing w:after="200" w:line="324" w:lineRule="auto"/>
        <w:jc w:val="both"/>
      </w:pPr>
      <w:r>
        <w:rPr>
          <w:rFonts w:ascii="Times New Roman" w:eastAsia="Times New Roman" w:hAnsi="Times New Roman" w:cs="Times New Roman"/>
          <w:sz w:val="28"/>
          <w:szCs w:val="28"/>
        </w:rPr>
        <w:t xml:space="preserve">Looking ahead, the Task Force will continue to pursue a practical and results-oriented agenda. Current priorities include identifying practical and visible </w:t>
      </w:r>
      <w:r>
        <w:rPr>
          <w:rFonts w:ascii="Times New Roman" w:eastAsia="Times New Roman" w:hAnsi="Times New Roman" w:cs="Times New Roman"/>
          <w:sz w:val="28"/>
          <w:szCs w:val="28"/>
        </w:rPr>
        <w:lastRenderedPageBreak/>
        <w:t>improvements to physical accessibility within the Palais des Nations, strengthening awareness of existing services, improving the accessibility of digital tools and communications, and encouraging greater engagement by Member States</w:t>
      </w:r>
      <w:r w:rsidR="00AD5D63">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advancing accessibility across the Council's work. Our objective is clear: to strengthen a systematic, sustainable and inclusive approach that enables the full, effective and meaningful participation of persons with disabilities in all aspects of the Council's activities.</w:t>
      </w:r>
    </w:p>
    <w:p w14:paraId="54C2FCCE" w14:textId="77777777" w:rsidR="0086412D" w:rsidRDefault="00000000">
      <w:pPr>
        <w:spacing w:after="200" w:line="324" w:lineRule="auto"/>
        <w:jc w:val="both"/>
      </w:pPr>
      <w:r>
        <w:rPr>
          <w:rFonts w:ascii="Times New Roman" w:eastAsia="Times New Roman" w:hAnsi="Times New Roman" w:cs="Times New Roman"/>
          <w:sz w:val="28"/>
          <w:szCs w:val="28"/>
        </w:rPr>
        <w:t>Easy-to-read information is another area worthy of continued consideration. Work in this area could usefully address standards, quality assurance and implementation options, with persons with disabilities involved from the outset.</w:t>
      </w:r>
    </w:p>
    <w:p w14:paraId="576953E2" w14:textId="56EBD746" w:rsidR="0086412D" w:rsidRDefault="00000000">
      <w:pPr>
        <w:spacing w:after="200" w:line="324" w:lineRule="auto"/>
        <w:jc w:val="both"/>
      </w:pPr>
      <w:r>
        <w:rPr>
          <w:rFonts w:ascii="Times New Roman" w:eastAsia="Times New Roman" w:hAnsi="Times New Roman" w:cs="Times New Roman"/>
          <w:sz w:val="28"/>
          <w:szCs w:val="28"/>
        </w:rPr>
        <w:t>In this regard, I intend to continue consultations with States and United Nations entities, and to deepen engagement with civil society organizations and organizations of persons with disabilities, including through meetings of the Task Force in the months ahead. I warmly welcome the continued engagement of this Committee and of persons with disabilities themselves. I would also value the Committee's advice, particularly in identifying priorities, testing facilities and services, and advancing accessible information. Persons with disabilities and their representative organizations must be involved from the outset. As always, our efforts should be guided by the principle: "Nothing about us, without us."</w:t>
      </w:r>
    </w:p>
    <w:p w14:paraId="7EC3F843" w14:textId="77777777" w:rsidR="0086412D" w:rsidRDefault="00000000">
      <w:pPr>
        <w:spacing w:after="200" w:line="324" w:lineRule="auto"/>
        <w:jc w:val="both"/>
      </w:pPr>
      <w:r>
        <w:rPr>
          <w:rFonts w:ascii="Times New Roman" w:eastAsia="Times New Roman" w:hAnsi="Times New Roman" w:cs="Times New Roman"/>
          <w:sz w:val="28"/>
          <w:szCs w:val="28"/>
        </w:rPr>
        <w:t>As we mark the twentieth anniversary of the adoption of the Convention, accessibility is firmly recognized as a precondition for equality, participation and institutional credibility. My commitment is to use the Task Force to advance proactive and systematic inclusion throughout the Council's work.</w:t>
      </w:r>
    </w:p>
    <w:p w14:paraId="3F182983" w14:textId="77777777" w:rsidR="0086412D" w:rsidRDefault="00000000">
      <w:pPr>
        <w:spacing w:after="200" w:line="324" w:lineRule="auto"/>
        <w:jc w:val="both"/>
      </w:pPr>
      <w:r>
        <w:rPr>
          <w:rFonts w:ascii="Times New Roman" w:eastAsia="Times New Roman" w:hAnsi="Times New Roman" w:cs="Times New Roman"/>
          <w:sz w:val="28"/>
          <w:szCs w:val="28"/>
        </w:rPr>
        <w:t>I appreciate the Committee's attention and extend my best wishes for a productive thirty-fifth session.</w:t>
      </w:r>
    </w:p>
    <w:sectPr w:rsidR="0086412D">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C6EAF" w14:textId="77777777" w:rsidR="00A64799" w:rsidRDefault="00A64799" w:rsidP="00676C31">
      <w:pPr>
        <w:spacing w:after="0" w:line="240" w:lineRule="auto"/>
      </w:pPr>
      <w:r>
        <w:separator/>
      </w:r>
    </w:p>
  </w:endnote>
  <w:endnote w:type="continuationSeparator" w:id="0">
    <w:p w14:paraId="568A535C" w14:textId="77777777" w:rsidR="00A64799" w:rsidRDefault="00A64799" w:rsidP="00676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2118270"/>
      <w:docPartObj>
        <w:docPartGallery w:val="Page Numbers (Bottom of Page)"/>
        <w:docPartUnique/>
      </w:docPartObj>
    </w:sdtPr>
    <w:sdtEndPr>
      <w:rPr>
        <w:noProof/>
      </w:rPr>
    </w:sdtEndPr>
    <w:sdtContent>
      <w:p w14:paraId="67375BC2" w14:textId="77777777" w:rsidR="00676C31" w:rsidRDefault="00676C31">
        <w:pPr>
          <w:pStyle w:val="Footer"/>
          <w:jc w:val="center"/>
        </w:pPr>
        <w:r>
          <w:fldChar w:fldCharType="begin"/>
        </w:r>
        <w:r>
          <w:instrText xml:space="preserve"> PAGE   \* MERGEFORMAT </w:instrText>
        </w:r>
        <w:r>
          <w:fldChar w:fldCharType="separate"/>
        </w:r>
        <w:r w:rsidR="00906E7C">
          <w:rPr>
            <w:noProof/>
          </w:rPr>
          <w:t>1</w:t>
        </w:r>
        <w:r>
          <w:rPr>
            <w:noProof/>
          </w:rPr>
          <w:fldChar w:fldCharType="end"/>
        </w:r>
      </w:p>
    </w:sdtContent>
  </w:sdt>
  <w:p w14:paraId="51C81BE9" w14:textId="77777777" w:rsidR="00676C31" w:rsidRDefault="00676C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176D6" w14:textId="77777777" w:rsidR="00A64799" w:rsidRDefault="00A64799" w:rsidP="00676C31">
      <w:pPr>
        <w:spacing w:after="0" w:line="240" w:lineRule="auto"/>
      </w:pPr>
      <w:r>
        <w:separator/>
      </w:r>
    </w:p>
  </w:footnote>
  <w:footnote w:type="continuationSeparator" w:id="0">
    <w:p w14:paraId="13511337" w14:textId="77777777" w:rsidR="00A64799" w:rsidRDefault="00A64799" w:rsidP="00676C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77E8A"/>
    <w:multiLevelType w:val="hybridMultilevel"/>
    <w:tmpl w:val="86AE4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D0821"/>
    <w:multiLevelType w:val="hybridMultilevel"/>
    <w:tmpl w:val="FA3A15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4BD2FBB"/>
    <w:multiLevelType w:val="hybridMultilevel"/>
    <w:tmpl w:val="85F0A692"/>
    <w:lvl w:ilvl="0" w:tplc="44D2B656">
      <w:start w:val="1"/>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171D5F"/>
    <w:multiLevelType w:val="hybridMultilevel"/>
    <w:tmpl w:val="5894A1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8620F1"/>
    <w:multiLevelType w:val="hybridMultilevel"/>
    <w:tmpl w:val="AB3A66D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CD6271F"/>
    <w:multiLevelType w:val="hybridMultilevel"/>
    <w:tmpl w:val="C850268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894986">
    <w:abstractNumId w:val="4"/>
  </w:num>
  <w:num w:numId="2" w16cid:durableId="410204286">
    <w:abstractNumId w:val="0"/>
  </w:num>
  <w:num w:numId="3" w16cid:durableId="1828323647">
    <w:abstractNumId w:val="1"/>
  </w:num>
  <w:num w:numId="4" w16cid:durableId="941885605">
    <w:abstractNumId w:val="3"/>
  </w:num>
  <w:num w:numId="5" w16cid:durableId="2082289653">
    <w:abstractNumId w:val="5"/>
  </w:num>
  <w:num w:numId="6" w16cid:durableId="7195924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9EC"/>
    <w:rsid w:val="00000733"/>
    <w:rsid w:val="00003F36"/>
    <w:rsid w:val="00010707"/>
    <w:rsid w:val="0001102A"/>
    <w:rsid w:val="000139DA"/>
    <w:rsid w:val="00023115"/>
    <w:rsid w:val="00023685"/>
    <w:rsid w:val="000325BD"/>
    <w:rsid w:val="000350F2"/>
    <w:rsid w:val="000367AB"/>
    <w:rsid w:val="00040534"/>
    <w:rsid w:val="00047A23"/>
    <w:rsid w:val="00051714"/>
    <w:rsid w:val="000571BF"/>
    <w:rsid w:val="0006285E"/>
    <w:rsid w:val="000702DA"/>
    <w:rsid w:val="00070A33"/>
    <w:rsid w:val="00076E40"/>
    <w:rsid w:val="00081645"/>
    <w:rsid w:val="0008185B"/>
    <w:rsid w:val="000913F8"/>
    <w:rsid w:val="000A72C6"/>
    <w:rsid w:val="000B0137"/>
    <w:rsid w:val="000B2396"/>
    <w:rsid w:val="000B261B"/>
    <w:rsid w:val="000B4E02"/>
    <w:rsid w:val="000C1BC3"/>
    <w:rsid w:val="000C3016"/>
    <w:rsid w:val="000C36EA"/>
    <w:rsid w:val="000C4B99"/>
    <w:rsid w:val="000C61C6"/>
    <w:rsid w:val="000D0D61"/>
    <w:rsid w:val="000D29D5"/>
    <w:rsid w:val="000D2FF0"/>
    <w:rsid w:val="000D566C"/>
    <w:rsid w:val="000D7DEE"/>
    <w:rsid w:val="000F048B"/>
    <w:rsid w:val="000F2CFA"/>
    <w:rsid w:val="000F479E"/>
    <w:rsid w:val="00104404"/>
    <w:rsid w:val="001052A7"/>
    <w:rsid w:val="001120F6"/>
    <w:rsid w:val="00114501"/>
    <w:rsid w:val="0011704E"/>
    <w:rsid w:val="001254B2"/>
    <w:rsid w:val="00133490"/>
    <w:rsid w:val="00134622"/>
    <w:rsid w:val="001349C1"/>
    <w:rsid w:val="001374B0"/>
    <w:rsid w:val="00155B21"/>
    <w:rsid w:val="00164A3B"/>
    <w:rsid w:val="00166815"/>
    <w:rsid w:val="001705AA"/>
    <w:rsid w:val="00172DAC"/>
    <w:rsid w:val="001737B0"/>
    <w:rsid w:val="001753D1"/>
    <w:rsid w:val="00176A8C"/>
    <w:rsid w:val="00182328"/>
    <w:rsid w:val="001853B4"/>
    <w:rsid w:val="00185C31"/>
    <w:rsid w:val="0019114F"/>
    <w:rsid w:val="00191304"/>
    <w:rsid w:val="00194777"/>
    <w:rsid w:val="00195CAC"/>
    <w:rsid w:val="0019747F"/>
    <w:rsid w:val="001A41B0"/>
    <w:rsid w:val="001A455E"/>
    <w:rsid w:val="001B335C"/>
    <w:rsid w:val="001B4366"/>
    <w:rsid w:val="001B6124"/>
    <w:rsid w:val="001C02EE"/>
    <w:rsid w:val="001C10D5"/>
    <w:rsid w:val="001C434F"/>
    <w:rsid w:val="001E0CF5"/>
    <w:rsid w:val="001E6B7C"/>
    <w:rsid w:val="001F52C1"/>
    <w:rsid w:val="001F6C98"/>
    <w:rsid w:val="001F7062"/>
    <w:rsid w:val="001F7ED7"/>
    <w:rsid w:val="00203527"/>
    <w:rsid w:val="002068BC"/>
    <w:rsid w:val="00207240"/>
    <w:rsid w:val="0022268F"/>
    <w:rsid w:val="002244EE"/>
    <w:rsid w:val="00227474"/>
    <w:rsid w:val="00232066"/>
    <w:rsid w:val="002328CD"/>
    <w:rsid w:val="00234722"/>
    <w:rsid w:val="00236F4F"/>
    <w:rsid w:val="00237A8F"/>
    <w:rsid w:val="002410E7"/>
    <w:rsid w:val="00245083"/>
    <w:rsid w:val="002507DA"/>
    <w:rsid w:val="002518DE"/>
    <w:rsid w:val="00253324"/>
    <w:rsid w:val="002606D5"/>
    <w:rsid w:val="002629C5"/>
    <w:rsid w:val="0026326E"/>
    <w:rsid w:val="00266CCD"/>
    <w:rsid w:val="00270006"/>
    <w:rsid w:val="002702EA"/>
    <w:rsid w:val="00283B41"/>
    <w:rsid w:val="002A0807"/>
    <w:rsid w:val="002C1452"/>
    <w:rsid w:val="002C2CCD"/>
    <w:rsid w:val="002C4908"/>
    <w:rsid w:val="002C6070"/>
    <w:rsid w:val="002E10C3"/>
    <w:rsid w:val="002E4937"/>
    <w:rsid w:val="002E7076"/>
    <w:rsid w:val="002F0848"/>
    <w:rsid w:val="002F49D0"/>
    <w:rsid w:val="002F60B2"/>
    <w:rsid w:val="002F7134"/>
    <w:rsid w:val="003000EA"/>
    <w:rsid w:val="003056C7"/>
    <w:rsid w:val="00310CDE"/>
    <w:rsid w:val="00312587"/>
    <w:rsid w:val="00320308"/>
    <w:rsid w:val="00321C2C"/>
    <w:rsid w:val="003243FE"/>
    <w:rsid w:val="00325039"/>
    <w:rsid w:val="003310C1"/>
    <w:rsid w:val="00335D7A"/>
    <w:rsid w:val="00341F03"/>
    <w:rsid w:val="003426B0"/>
    <w:rsid w:val="00352442"/>
    <w:rsid w:val="00352DA9"/>
    <w:rsid w:val="003544EF"/>
    <w:rsid w:val="00354B32"/>
    <w:rsid w:val="00360EC9"/>
    <w:rsid w:val="003645B6"/>
    <w:rsid w:val="00370659"/>
    <w:rsid w:val="003721E6"/>
    <w:rsid w:val="00375A56"/>
    <w:rsid w:val="003832A9"/>
    <w:rsid w:val="0038420B"/>
    <w:rsid w:val="00385A44"/>
    <w:rsid w:val="003870C2"/>
    <w:rsid w:val="00392936"/>
    <w:rsid w:val="00394B89"/>
    <w:rsid w:val="003A09EC"/>
    <w:rsid w:val="003A743C"/>
    <w:rsid w:val="003B2208"/>
    <w:rsid w:val="003C27DB"/>
    <w:rsid w:val="003C5DEE"/>
    <w:rsid w:val="003D3534"/>
    <w:rsid w:val="003E2950"/>
    <w:rsid w:val="003E44F7"/>
    <w:rsid w:val="003F4885"/>
    <w:rsid w:val="0041630D"/>
    <w:rsid w:val="00421199"/>
    <w:rsid w:val="00424DA0"/>
    <w:rsid w:val="0042576D"/>
    <w:rsid w:val="00427BFD"/>
    <w:rsid w:val="00430A76"/>
    <w:rsid w:val="004365A0"/>
    <w:rsid w:val="0044184F"/>
    <w:rsid w:val="004446A0"/>
    <w:rsid w:val="00444E48"/>
    <w:rsid w:val="004462A1"/>
    <w:rsid w:val="004500D5"/>
    <w:rsid w:val="004508F0"/>
    <w:rsid w:val="00451DDE"/>
    <w:rsid w:val="00464869"/>
    <w:rsid w:val="00464ABA"/>
    <w:rsid w:val="00466071"/>
    <w:rsid w:val="00474255"/>
    <w:rsid w:val="00481302"/>
    <w:rsid w:val="00481D28"/>
    <w:rsid w:val="004840DD"/>
    <w:rsid w:val="004850F6"/>
    <w:rsid w:val="0048680D"/>
    <w:rsid w:val="0049037C"/>
    <w:rsid w:val="004A0164"/>
    <w:rsid w:val="004A74FC"/>
    <w:rsid w:val="004B5A34"/>
    <w:rsid w:val="004C079D"/>
    <w:rsid w:val="004C25C9"/>
    <w:rsid w:val="004C2825"/>
    <w:rsid w:val="004C7665"/>
    <w:rsid w:val="004D0238"/>
    <w:rsid w:val="005046E8"/>
    <w:rsid w:val="00505191"/>
    <w:rsid w:val="0051305B"/>
    <w:rsid w:val="005369D2"/>
    <w:rsid w:val="00543F75"/>
    <w:rsid w:val="0054523C"/>
    <w:rsid w:val="00552F4F"/>
    <w:rsid w:val="0055634B"/>
    <w:rsid w:val="00565970"/>
    <w:rsid w:val="00567491"/>
    <w:rsid w:val="00574B20"/>
    <w:rsid w:val="005834EE"/>
    <w:rsid w:val="00583C30"/>
    <w:rsid w:val="00587A5A"/>
    <w:rsid w:val="0059095A"/>
    <w:rsid w:val="005918F6"/>
    <w:rsid w:val="00592097"/>
    <w:rsid w:val="00595972"/>
    <w:rsid w:val="00596000"/>
    <w:rsid w:val="00597D8F"/>
    <w:rsid w:val="005A036E"/>
    <w:rsid w:val="005A1271"/>
    <w:rsid w:val="005A33EF"/>
    <w:rsid w:val="005A6ED5"/>
    <w:rsid w:val="005B0BB4"/>
    <w:rsid w:val="005B2331"/>
    <w:rsid w:val="005B4959"/>
    <w:rsid w:val="005C5B43"/>
    <w:rsid w:val="005D3C00"/>
    <w:rsid w:val="005D55E5"/>
    <w:rsid w:val="005E153F"/>
    <w:rsid w:val="005E2ECF"/>
    <w:rsid w:val="005E38EA"/>
    <w:rsid w:val="005E6DB9"/>
    <w:rsid w:val="005F1103"/>
    <w:rsid w:val="005F1246"/>
    <w:rsid w:val="005F3367"/>
    <w:rsid w:val="005F6214"/>
    <w:rsid w:val="00606ACE"/>
    <w:rsid w:val="00606E81"/>
    <w:rsid w:val="00611669"/>
    <w:rsid w:val="006145A8"/>
    <w:rsid w:val="006161FF"/>
    <w:rsid w:val="006219F4"/>
    <w:rsid w:val="00626A2C"/>
    <w:rsid w:val="00631C71"/>
    <w:rsid w:val="00634081"/>
    <w:rsid w:val="00637543"/>
    <w:rsid w:val="00644657"/>
    <w:rsid w:val="00650978"/>
    <w:rsid w:val="00651FA2"/>
    <w:rsid w:val="006623CC"/>
    <w:rsid w:val="00671969"/>
    <w:rsid w:val="00673760"/>
    <w:rsid w:val="00674A9E"/>
    <w:rsid w:val="00676C31"/>
    <w:rsid w:val="00683695"/>
    <w:rsid w:val="00684536"/>
    <w:rsid w:val="00687E30"/>
    <w:rsid w:val="00696493"/>
    <w:rsid w:val="006A00E2"/>
    <w:rsid w:val="006A1ADC"/>
    <w:rsid w:val="006A3321"/>
    <w:rsid w:val="006B2EBD"/>
    <w:rsid w:val="006B5EE3"/>
    <w:rsid w:val="006B665A"/>
    <w:rsid w:val="006B7E7F"/>
    <w:rsid w:val="006C0E30"/>
    <w:rsid w:val="006C42E2"/>
    <w:rsid w:val="006E207A"/>
    <w:rsid w:val="006F7521"/>
    <w:rsid w:val="006F7CA2"/>
    <w:rsid w:val="006F7F61"/>
    <w:rsid w:val="0071130B"/>
    <w:rsid w:val="00712971"/>
    <w:rsid w:val="0072543B"/>
    <w:rsid w:val="00727629"/>
    <w:rsid w:val="00735B9A"/>
    <w:rsid w:val="00741062"/>
    <w:rsid w:val="007432C5"/>
    <w:rsid w:val="00752BBA"/>
    <w:rsid w:val="0075706E"/>
    <w:rsid w:val="00763A23"/>
    <w:rsid w:val="00763CBA"/>
    <w:rsid w:val="00764829"/>
    <w:rsid w:val="00770A12"/>
    <w:rsid w:val="0077290F"/>
    <w:rsid w:val="00772FDC"/>
    <w:rsid w:val="00775DF0"/>
    <w:rsid w:val="00777B61"/>
    <w:rsid w:val="00781F32"/>
    <w:rsid w:val="0078364E"/>
    <w:rsid w:val="007858E4"/>
    <w:rsid w:val="007862B0"/>
    <w:rsid w:val="007921E4"/>
    <w:rsid w:val="007B091B"/>
    <w:rsid w:val="007D0CF1"/>
    <w:rsid w:val="007D627A"/>
    <w:rsid w:val="007E0471"/>
    <w:rsid w:val="007E1CDC"/>
    <w:rsid w:val="007E2B48"/>
    <w:rsid w:val="007F0C7E"/>
    <w:rsid w:val="007F1ABD"/>
    <w:rsid w:val="007F76D4"/>
    <w:rsid w:val="008017C8"/>
    <w:rsid w:val="00802FCD"/>
    <w:rsid w:val="008071DA"/>
    <w:rsid w:val="00810F53"/>
    <w:rsid w:val="00812FF1"/>
    <w:rsid w:val="00823261"/>
    <w:rsid w:val="00825C52"/>
    <w:rsid w:val="0083239A"/>
    <w:rsid w:val="00833CEC"/>
    <w:rsid w:val="00843A75"/>
    <w:rsid w:val="008456D1"/>
    <w:rsid w:val="0084785F"/>
    <w:rsid w:val="00853B75"/>
    <w:rsid w:val="0086412D"/>
    <w:rsid w:val="00870DE9"/>
    <w:rsid w:val="008741E5"/>
    <w:rsid w:val="008A20B1"/>
    <w:rsid w:val="008A4B8D"/>
    <w:rsid w:val="008A5984"/>
    <w:rsid w:val="008A5B68"/>
    <w:rsid w:val="008B18B2"/>
    <w:rsid w:val="008B3CEF"/>
    <w:rsid w:val="008B7FF4"/>
    <w:rsid w:val="008C6ADA"/>
    <w:rsid w:val="008D0707"/>
    <w:rsid w:val="008D20F3"/>
    <w:rsid w:val="008D2970"/>
    <w:rsid w:val="008D2B7D"/>
    <w:rsid w:val="008D587D"/>
    <w:rsid w:val="008E29AD"/>
    <w:rsid w:val="008E56B2"/>
    <w:rsid w:val="008E5C04"/>
    <w:rsid w:val="008F1F19"/>
    <w:rsid w:val="008F2D6C"/>
    <w:rsid w:val="008F72C6"/>
    <w:rsid w:val="00906E7C"/>
    <w:rsid w:val="0090771B"/>
    <w:rsid w:val="00923CF8"/>
    <w:rsid w:val="009276EA"/>
    <w:rsid w:val="00937909"/>
    <w:rsid w:val="00951081"/>
    <w:rsid w:val="0095625A"/>
    <w:rsid w:val="00971334"/>
    <w:rsid w:val="00971339"/>
    <w:rsid w:val="0097545C"/>
    <w:rsid w:val="00983062"/>
    <w:rsid w:val="009966A2"/>
    <w:rsid w:val="009A2972"/>
    <w:rsid w:val="009B0810"/>
    <w:rsid w:val="009B1806"/>
    <w:rsid w:val="009B342B"/>
    <w:rsid w:val="009C0007"/>
    <w:rsid w:val="009C0DCA"/>
    <w:rsid w:val="009C38B3"/>
    <w:rsid w:val="009C4044"/>
    <w:rsid w:val="009C7B67"/>
    <w:rsid w:val="009D140C"/>
    <w:rsid w:val="009D4352"/>
    <w:rsid w:val="009D4E0B"/>
    <w:rsid w:val="009E3FEB"/>
    <w:rsid w:val="009E44EE"/>
    <w:rsid w:val="009F3D60"/>
    <w:rsid w:val="00A0093E"/>
    <w:rsid w:val="00A04D7F"/>
    <w:rsid w:val="00A07473"/>
    <w:rsid w:val="00A125E6"/>
    <w:rsid w:val="00A13CF7"/>
    <w:rsid w:val="00A25012"/>
    <w:rsid w:val="00A2508F"/>
    <w:rsid w:val="00A33153"/>
    <w:rsid w:val="00A374D9"/>
    <w:rsid w:val="00A47E58"/>
    <w:rsid w:val="00A5090C"/>
    <w:rsid w:val="00A50FDE"/>
    <w:rsid w:val="00A51B10"/>
    <w:rsid w:val="00A5283C"/>
    <w:rsid w:val="00A64799"/>
    <w:rsid w:val="00A67734"/>
    <w:rsid w:val="00A716C2"/>
    <w:rsid w:val="00A75A3C"/>
    <w:rsid w:val="00A769D7"/>
    <w:rsid w:val="00A811EB"/>
    <w:rsid w:val="00A8295A"/>
    <w:rsid w:val="00A83CB9"/>
    <w:rsid w:val="00A91A52"/>
    <w:rsid w:val="00A92C12"/>
    <w:rsid w:val="00A93DBD"/>
    <w:rsid w:val="00A96896"/>
    <w:rsid w:val="00A97A85"/>
    <w:rsid w:val="00AA40D3"/>
    <w:rsid w:val="00AB61A5"/>
    <w:rsid w:val="00AC5560"/>
    <w:rsid w:val="00AD49EC"/>
    <w:rsid w:val="00AD5D63"/>
    <w:rsid w:val="00AD698A"/>
    <w:rsid w:val="00AD7ED8"/>
    <w:rsid w:val="00AE15F9"/>
    <w:rsid w:val="00AE2AE3"/>
    <w:rsid w:val="00AE5D14"/>
    <w:rsid w:val="00AE5F6F"/>
    <w:rsid w:val="00AF0FFE"/>
    <w:rsid w:val="00AF2D06"/>
    <w:rsid w:val="00AF4562"/>
    <w:rsid w:val="00B00791"/>
    <w:rsid w:val="00B1035F"/>
    <w:rsid w:val="00B1426C"/>
    <w:rsid w:val="00B172A3"/>
    <w:rsid w:val="00B2188C"/>
    <w:rsid w:val="00B2294C"/>
    <w:rsid w:val="00B2346D"/>
    <w:rsid w:val="00B2422D"/>
    <w:rsid w:val="00B3219C"/>
    <w:rsid w:val="00B32857"/>
    <w:rsid w:val="00B371CD"/>
    <w:rsid w:val="00B40F7F"/>
    <w:rsid w:val="00B57C69"/>
    <w:rsid w:val="00B62456"/>
    <w:rsid w:val="00B70786"/>
    <w:rsid w:val="00B71719"/>
    <w:rsid w:val="00B7290E"/>
    <w:rsid w:val="00B72C35"/>
    <w:rsid w:val="00B74088"/>
    <w:rsid w:val="00B91B73"/>
    <w:rsid w:val="00B93D7D"/>
    <w:rsid w:val="00BA02A4"/>
    <w:rsid w:val="00BA5E8E"/>
    <w:rsid w:val="00BB01AC"/>
    <w:rsid w:val="00BB41AA"/>
    <w:rsid w:val="00BB505D"/>
    <w:rsid w:val="00BC0D27"/>
    <w:rsid w:val="00BD49B6"/>
    <w:rsid w:val="00BE0C71"/>
    <w:rsid w:val="00BE0F28"/>
    <w:rsid w:val="00BF1B5A"/>
    <w:rsid w:val="00BF50B2"/>
    <w:rsid w:val="00BF6911"/>
    <w:rsid w:val="00C0573D"/>
    <w:rsid w:val="00C1216E"/>
    <w:rsid w:val="00C24E37"/>
    <w:rsid w:val="00C31C87"/>
    <w:rsid w:val="00C35B7A"/>
    <w:rsid w:val="00C369D9"/>
    <w:rsid w:val="00C36E79"/>
    <w:rsid w:val="00C37309"/>
    <w:rsid w:val="00C404AB"/>
    <w:rsid w:val="00C455EF"/>
    <w:rsid w:val="00C45C1F"/>
    <w:rsid w:val="00C6127E"/>
    <w:rsid w:val="00C648A2"/>
    <w:rsid w:val="00C64A8C"/>
    <w:rsid w:val="00C70685"/>
    <w:rsid w:val="00C728B4"/>
    <w:rsid w:val="00C91715"/>
    <w:rsid w:val="00CA0058"/>
    <w:rsid w:val="00CA4375"/>
    <w:rsid w:val="00CA78F6"/>
    <w:rsid w:val="00CB2D40"/>
    <w:rsid w:val="00CB4B04"/>
    <w:rsid w:val="00CB4FA8"/>
    <w:rsid w:val="00CC2113"/>
    <w:rsid w:val="00CC6173"/>
    <w:rsid w:val="00CC7505"/>
    <w:rsid w:val="00CD2D8C"/>
    <w:rsid w:val="00CE67E7"/>
    <w:rsid w:val="00CE68F2"/>
    <w:rsid w:val="00CF3E1C"/>
    <w:rsid w:val="00D0109B"/>
    <w:rsid w:val="00D03496"/>
    <w:rsid w:val="00D04E6B"/>
    <w:rsid w:val="00D06A25"/>
    <w:rsid w:val="00D0712B"/>
    <w:rsid w:val="00D1104B"/>
    <w:rsid w:val="00D122D9"/>
    <w:rsid w:val="00D1465D"/>
    <w:rsid w:val="00D229AE"/>
    <w:rsid w:val="00D24F19"/>
    <w:rsid w:val="00D26500"/>
    <w:rsid w:val="00D30F7C"/>
    <w:rsid w:val="00D43B47"/>
    <w:rsid w:val="00D43C15"/>
    <w:rsid w:val="00D46A5A"/>
    <w:rsid w:val="00D51ED4"/>
    <w:rsid w:val="00D56608"/>
    <w:rsid w:val="00D81D26"/>
    <w:rsid w:val="00D872E5"/>
    <w:rsid w:val="00D913DA"/>
    <w:rsid w:val="00D9398E"/>
    <w:rsid w:val="00D95036"/>
    <w:rsid w:val="00DA2272"/>
    <w:rsid w:val="00DA58BE"/>
    <w:rsid w:val="00DB01F5"/>
    <w:rsid w:val="00DB1169"/>
    <w:rsid w:val="00DB303A"/>
    <w:rsid w:val="00DB4824"/>
    <w:rsid w:val="00DC6BB3"/>
    <w:rsid w:val="00DD761B"/>
    <w:rsid w:val="00DE2746"/>
    <w:rsid w:val="00DF0EB4"/>
    <w:rsid w:val="00DF2655"/>
    <w:rsid w:val="00DF7515"/>
    <w:rsid w:val="00E034A7"/>
    <w:rsid w:val="00E03E3F"/>
    <w:rsid w:val="00E10E15"/>
    <w:rsid w:val="00E11093"/>
    <w:rsid w:val="00E15903"/>
    <w:rsid w:val="00E21545"/>
    <w:rsid w:val="00E24767"/>
    <w:rsid w:val="00E27FE8"/>
    <w:rsid w:val="00E33DC4"/>
    <w:rsid w:val="00E37BCF"/>
    <w:rsid w:val="00E418A5"/>
    <w:rsid w:val="00E44436"/>
    <w:rsid w:val="00E447DD"/>
    <w:rsid w:val="00E46F15"/>
    <w:rsid w:val="00E57465"/>
    <w:rsid w:val="00E67D44"/>
    <w:rsid w:val="00E70A5A"/>
    <w:rsid w:val="00E7138E"/>
    <w:rsid w:val="00E713CD"/>
    <w:rsid w:val="00E716BB"/>
    <w:rsid w:val="00E8340E"/>
    <w:rsid w:val="00E848DE"/>
    <w:rsid w:val="00E919C3"/>
    <w:rsid w:val="00E92488"/>
    <w:rsid w:val="00E95906"/>
    <w:rsid w:val="00EA435C"/>
    <w:rsid w:val="00EA4BA4"/>
    <w:rsid w:val="00EA6E0D"/>
    <w:rsid w:val="00EB1E71"/>
    <w:rsid w:val="00EB6CCA"/>
    <w:rsid w:val="00EC248B"/>
    <w:rsid w:val="00EC6473"/>
    <w:rsid w:val="00EC64F6"/>
    <w:rsid w:val="00EC7F85"/>
    <w:rsid w:val="00ED27A4"/>
    <w:rsid w:val="00ED6DB9"/>
    <w:rsid w:val="00EE1F91"/>
    <w:rsid w:val="00EE76C1"/>
    <w:rsid w:val="00EF271E"/>
    <w:rsid w:val="00EF291E"/>
    <w:rsid w:val="00EF428D"/>
    <w:rsid w:val="00EF7B4C"/>
    <w:rsid w:val="00F02A4F"/>
    <w:rsid w:val="00F10CD6"/>
    <w:rsid w:val="00F10ED2"/>
    <w:rsid w:val="00F14E83"/>
    <w:rsid w:val="00F16DB5"/>
    <w:rsid w:val="00F225E6"/>
    <w:rsid w:val="00F436A7"/>
    <w:rsid w:val="00F56273"/>
    <w:rsid w:val="00F57226"/>
    <w:rsid w:val="00F61032"/>
    <w:rsid w:val="00F62E64"/>
    <w:rsid w:val="00F64B86"/>
    <w:rsid w:val="00F64D0C"/>
    <w:rsid w:val="00F6643C"/>
    <w:rsid w:val="00F8072E"/>
    <w:rsid w:val="00F812E1"/>
    <w:rsid w:val="00FA126F"/>
    <w:rsid w:val="00FC511A"/>
    <w:rsid w:val="00FD2EB7"/>
    <w:rsid w:val="00FE1DBB"/>
    <w:rsid w:val="00FE2B5A"/>
    <w:rsid w:val="00FE5A07"/>
    <w:rsid w:val="00FE618C"/>
    <w:rsid w:val="00FF32D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E3E658"/>
  <w15:chartTrackingRefBased/>
  <w15:docId w15:val="{190E090D-56B9-40B4-A05C-160F0B8D9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49EC"/>
    <w:pPr>
      <w:ind w:left="720"/>
      <w:contextualSpacing/>
    </w:pPr>
  </w:style>
  <w:style w:type="paragraph" w:styleId="Header">
    <w:name w:val="header"/>
    <w:basedOn w:val="Normal"/>
    <w:link w:val="HeaderChar"/>
    <w:uiPriority w:val="99"/>
    <w:unhideWhenUsed/>
    <w:rsid w:val="00676C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6C31"/>
  </w:style>
  <w:style w:type="paragraph" w:styleId="Footer">
    <w:name w:val="footer"/>
    <w:basedOn w:val="Normal"/>
    <w:link w:val="FooterChar"/>
    <w:uiPriority w:val="99"/>
    <w:unhideWhenUsed/>
    <w:rsid w:val="00676C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6C31"/>
  </w:style>
  <w:style w:type="character" w:styleId="CommentReference">
    <w:name w:val="annotation reference"/>
    <w:basedOn w:val="DefaultParagraphFont"/>
    <w:uiPriority w:val="99"/>
    <w:semiHidden/>
    <w:unhideWhenUsed/>
    <w:rsid w:val="00F436A7"/>
    <w:rPr>
      <w:sz w:val="16"/>
      <w:szCs w:val="16"/>
    </w:rPr>
  </w:style>
  <w:style w:type="paragraph" w:styleId="CommentText">
    <w:name w:val="annotation text"/>
    <w:basedOn w:val="Normal"/>
    <w:link w:val="CommentTextChar"/>
    <w:uiPriority w:val="99"/>
    <w:semiHidden/>
    <w:unhideWhenUsed/>
    <w:rsid w:val="00F436A7"/>
    <w:pPr>
      <w:spacing w:line="240" w:lineRule="auto"/>
    </w:pPr>
    <w:rPr>
      <w:sz w:val="20"/>
      <w:szCs w:val="20"/>
    </w:rPr>
  </w:style>
  <w:style w:type="character" w:customStyle="1" w:styleId="CommentTextChar">
    <w:name w:val="Comment Text Char"/>
    <w:basedOn w:val="DefaultParagraphFont"/>
    <w:link w:val="CommentText"/>
    <w:uiPriority w:val="99"/>
    <w:semiHidden/>
    <w:rsid w:val="00F436A7"/>
    <w:rPr>
      <w:sz w:val="20"/>
      <w:szCs w:val="20"/>
    </w:rPr>
  </w:style>
  <w:style w:type="paragraph" w:styleId="CommentSubject">
    <w:name w:val="annotation subject"/>
    <w:basedOn w:val="CommentText"/>
    <w:next w:val="CommentText"/>
    <w:link w:val="CommentSubjectChar"/>
    <w:uiPriority w:val="99"/>
    <w:semiHidden/>
    <w:unhideWhenUsed/>
    <w:rsid w:val="00F436A7"/>
    <w:rPr>
      <w:b/>
      <w:bCs/>
    </w:rPr>
  </w:style>
  <w:style w:type="character" w:customStyle="1" w:styleId="CommentSubjectChar">
    <w:name w:val="Comment Subject Char"/>
    <w:basedOn w:val="CommentTextChar"/>
    <w:link w:val="CommentSubject"/>
    <w:uiPriority w:val="99"/>
    <w:semiHidden/>
    <w:rsid w:val="00F436A7"/>
    <w:rPr>
      <w:b/>
      <w:bCs/>
      <w:sz w:val="20"/>
      <w:szCs w:val="20"/>
    </w:rPr>
  </w:style>
  <w:style w:type="paragraph" w:styleId="Revision">
    <w:name w:val="Revision"/>
    <w:hidden/>
    <w:uiPriority w:val="99"/>
    <w:semiHidden/>
    <w:rsid w:val="00F436A7"/>
    <w:pPr>
      <w:spacing w:after="0" w:line="240" w:lineRule="auto"/>
    </w:pPr>
  </w:style>
  <w:style w:type="paragraph" w:styleId="BalloonText">
    <w:name w:val="Balloon Text"/>
    <w:basedOn w:val="Normal"/>
    <w:link w:val="BalloonTextChar"/>
    <w:uiPriority w:val="99"/>
    <w:semiHidden/>
    <w:unhideWhenUsed/>
    <w:rsid w:val="001F70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706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793275">
      <w:bodyDiv w:val="1"/>
      <w:marLeft w:val="0"/>
      <w:marRight w:val="0"/>
      <w:marTop w:val="0"/>
      <w:marBottom w:val="0"/>
      <w:divBdr>
        <w:top w:val="none" w:sz="0" w:space="0" w:color="auto"/>
        <w:left w:val="none" w:sz="0" w:space="0" w:color="auto"/>
        <w:bottom w:val="none" w:sz="0" w:space="0" w:color="auto"/>
        <w:right w:val="none" w:sz="0" w:space="0" w:color="auto"/>
      </w:divBdr>
    </w:div>
    <w:div w:id="923681826">
      <w:bodyDiv w:val="1"/>
      <w:marLeft w:val="0"/>
      <w:marRight w:val="0"/>
      <w:marTop w:val="0"/>
      <w:marBottom w:val="0"/>
      <w:divBdr>
        <w:top w:val="none" w:sz="0" w:space="0" w:color="auto"/>
        <w:left w:val="none" w:sz="0" w:space="0" w:color="auto"/>
        <w:bottom w:val="none" w:sz="0" w:space="0" w:color="auto"/>
        <w:right w:val="none" w:sz="0" w:space="0" w:color="auto"/>
      </w:divBdr>
    </w:div>
    <w:div w:id="1099637171">
      <w:bodyDiv w:val="1"/>
      <w:marLeft w:val="0"/>
      <w:marRight w:val="0"/>
      <w:marTop w:val="0"/>
      <w:marBottom w:val="0"/>
      <w:divBdr>
        <w:top w:val="none" w:sz="0" w:space="0" w:color="auto"/>
        <w:left w:val="none" w:sz="0" w:space="0" w:color="auto"/>
        <w:bottom w:val="none" w:sz="0" w:space="0" w:color="auto"/>
        <w:right w:val="none" w:sz="0" w:space="0" w:color="auto"/>
      </w:divBdr>
      <w:divsChild>
        <w:div w:id="543980301">
          <w:marLeft w:val="0"/>
          <w:marRight w:val="0"/>
          <w:marTop w:val="0"/>
          <w:marBottom w:val="0"/>
          <w:divBdr>
            <w:top w:val="none" w:sz="0" w:space="0" w:color="auto"/>
            <w:left w:val="none" w:sz="0" w:space="0" w:color="auto"/>
            <w:bottom w:val="none" w:sz="0" w:space="0" w:color="auto"/>
            <w:right w:val="none" w:sz="0" w:space="0" w:color="auto"/>
          </w:divBdr>
          <w:divsChild>
            <w:div w:id="1974822206">
              <w:marLeft w:val="-225"/>
              <w:marRight w:val="-225"/>
              <w:marTop w:val="0"/>
              <w:marBottom w:val="0"/>
              <w:divBdr>
                <w:top w:val="none" w:sz="0" w:space="0" w:color="auto"/>
                <w:left w:val="none" w:sz="0" w:space="0" w:color="auto"/>
                <w:bottom w:val="none" w:sz="0" w:space="0" w:color="auto"/>
                <w:right w:val="none" w:sz="0" w:space="0" w:color="auto"/>
              </w:divBdr>
              <w:divsChild>
                <w:div w:id="1723402123">
                  <w:marLeft w:val="0"/>
                  <w:marRight w:val="0"/>
                  <w:marTop w:val="0"/>
                  <w:marBottom w:val="0"/>
                  <w:divBdr>
                    <w:top w:val="none" w:sz="0" w:space="0" w:color="auto"/>
                    <w:left w:val="none" w:sz="0" w:space="0" w:color="auto"/>
                    <w:bottom w:val="none" w:sz="0" w:space="0" w:color="auto"/>
                    <w:right w:val="none" w:sz="0" w:space="0" w:color="auto"/>
                  </w:divBdr>
                  <w:divsChild>
                    <w:div w:id="1586184523">
                      <w:marLeft w:val="0"/>
                      <w:marRight w:val="0"/>
                      <w:marTop w:val="0"/>
                      <w:marBottom w:val="0"/>
                      <w:divBdr>
                        <w:top w:val="none" w:sz="0" w:space="0" w:color="auto"/>
                        <w:left w:val="none" w:sz="0" w:space="0" w:color="auto"/>
                        <w:bottom w:val="none" w:sz="0" w:space="0" w:color="auto"/>
                        <w:right w:val="none" w:sz="0" w:space="0" w:color="auto"/>
                      </w:divBdr>
                      <w:divsChild>
                        <w:div w:id="1465587356">
                          <w:marLeft w:val="0"/>
                          <w:marRight w:val="0"/>
                          <w:marTop w:val="0"/>
                          <w:marBottom w:val="0"/>
                          <w:divBdr>
                            <w:top w:val="none" w:sz="0" w:space="0" w:color="auto"/>
                            <w:left w:val="none" w:sz="0" w:space="0" w:color="auto"/>
                            <w:bottom w:val="none" w:sz="0" w:space="0" w:color="auto"/>
                            <w:right w:val="none" w:sz="0" w:space="0" w:color="auto"/>
                          </w:divBdr>
                          <w:divsChild>
                            <w:div w:id="1377004010">
                              <w:marLeft w:val="0"/>
                              <w:marRight w:val="0"/>
                              <w:marTop w:val="0"/>
                              <w:marBottom w:val="0"/>
                              <w:divBdr>
                                <w:top w:val="none" w:sz="0" w:space="0" w:color="auto"/>
                                <w:left w:val="none" w:sz="0" w:space="0" w:color="auto"/>
                                <w:bottom w:val="none" w:sz="0" w:space="0" w:color="auto"/>
                                <w:right w:val="none" w:sz="0" w:space="0" w:color="auto"/>
                              </w:divBdr>
                              <w:divsChild>
                                <w:div w:id="1918199450">
                                  <w:marLeft w:val="0"/>
                                  <w:marRight w:val="0"/>
                                  <w:marTop w:val="0"/>
                                  <w:marBottom w:val="0"/>
                                  <w:divBdr>
                                    <w:top w:val="none" w:sz="0" w:space="0" w:color="auto"/>
                                    <w:left w:val="none" w:sz="0" w:space="0" w:color="auto"/>
                                    <w:bottom w:val="none" w:sz="0" w:space="0" w:color="auto"/>
                                    <w:right w:val="none" w:sz="0" w:space="0" w:color="auto"/>
                                  </w:divBdr>
                                  <w:divsChild>
                                    <w:div w:id="682820845">
                                      <w:marLeft w:val="0"/>
                                      <w:marRight w:val="0"/>
                                      <w:marTop w:val="0"/>
                                      <w:marBottom w:val="0"/>
                                      <w:divBdr>
                                        <w:top w:val="none" w:sz="0" w:space="0" w:color="auto"/>
                                        <w:left w:val="none" w:sz="0" w:space="0" w:color="auto"/>
                                        <w:bottom w:val="none" w:sz="0" w:space="0" w:color="auto"/>
                                        <w:right w:val="none" w:sz="0" w:space="0" w:color="auto"/>
                                      </w:divBdr>
                                      <w:divsChild>
                                        <w:div w:id="176888908">
                                          <w:marLeft w:val="0"/>
                                          <w:marRight w:val="0"/>
                                          <w:marTop w:val="0"/>
                                          <w:marBottom w:val="0"/>
                                          <w:divBdr>
                                            <w:top w:val="none" w:sz="0" w:space="0" w:color="auto"/>
                                            <w:left w:val="none" w:sz="0" w:space="0" w:color="auto"/>
                                            <w:bottom w:val="none" w:sz="0" w:space="0" w:color="auto"/>
                                            <w:right w:val="none" w:sz="0" w:space="0" w:color="auto"/>
                                          </w:divBdr>
                                          <w:divsChild>
                                            <w:div w:id="1970739682">
                                              <w:marLeft w:val="0"/>
                                              <w:marRight w:val="0"/>
                                              <w:marTop w:val="0"/>
                                              <w:marBottom w:val="0"/>
                                              <w:divBdr>
                                                <w:top w:val="none" w:sz="0" w:space="0" w:color="auto"/>
                                                <w:left w:val="none" w:sz="0" w:space="0" w:color="auto"/>
                                                <w:bottom w:val="none" w:sz="0" w:space="0" w:color="auto"/>
                                                <w:right w:val="none" w:sz="0" w:space="0" w:color="auto"/>
                                              </w:divBdr>
                                              <w:divsChild>
                                                <w:div w:id="1052801596">
                                                  <w:marLeft w:val="0"/>
                                                  <w:marRight w:val="0"/>
                                                  <w:marTop w:val="0"/>
                                                  <w:marBottom w:val="0"/>
                                                  <w:divBdr>
                                                    <w:top w:val="none" w:sz="0" w:space="0" w:color="auto"/>
                                                    <w:left w:val="none" w:sz="0" w:space="0" w:color="auto"/>
                                                    <w:bottom w:val="none" w:sz="0" w:space="0" w:color="auto"/>
                                                    <w:right w:val="none" w:sz="0" w:space="0" w:color="auto"/>
                                                  </w:divBdr>
                                                  <w:divsChild>
                                                    <w:div w:id="40719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9879940">
      <w:bodyDiv w:val="1"/>
      <w:marLeft w:val="0"/>
      <w:marRight w:val="0"/>
      <w:marTop w:val="0"/>
      <w:marBottom w:val="0"/>
      <w:divBdr>
        <w:top w:val="none" w:sz="0" w:space="0" w:color="auto"/>
        <w:left w:val="none" w:sz="0" w:space="0" w:color="auto"/>
        <w:bottom w:val="none" w:sz="0" w:space="0" w:color="auto"/>
        <w:right w:val="none" w:sz="0" w:space="0" w:color="auto"/>
      </w:divBdr>
    </w:div>
    <w:div w:id="1526092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2026-08-14T14:20:30+00:00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DCD7B0-9182-43E7-B0CB-5DCC11790611}">
  <ds:schemaRefs>
    <ds:schemaRef ds:uri="http://schemas.microsoft.com/office/2006/metadata/properties"/>
    <ds:schemaRef ds:uri="http://schemas.microsoft.com/office/infopath/2007/PartnerControls"/>
    <ds:schemaRef ds:uri="c43d6523-f909-4250-bbe1-6bcdc0c7194c"/>
    <ds:schemaRef ds:uri="985ec44e-1bab-4c0b-9df0-6ba128686fc9"/>
    <ds:schemaRef ds:uri="11a6fe0c-d8de-4390-afb3-d9c7c54181f0"/>
  </ds:schemaRefs>
</ds:datastoreItem>
</file>

<file path=customXml/itemProps2.xml><?xml version="1.0" encoding="utf-8"?>
<ds:datastoreItem xmlns:ds="http://schemas.openxmlformats.org/officeDocument/2006/customXml" ds:itemID="{7E3E4FEA-177D-4122-BBB5-02EF5468BD03}">
  <ds:schemaRefs>
    <ds:schemaRef ds:uri="http://schemas.microsoft.com/sharepoint/v3/contenttype/forms"/>
  </ds:schemaRefs>
</ds:datastoreItem>
</file>

<file path=customXml/itemProps3.xml><?xml version="1.0" encoding="utf-8"?>
<ds:datastoreItem xmlns:ds="http://schemas.openxmlformats.org/officeDocument/2006/customXml" ds:itemID="{8CC77A8E-E9D4-4744-B665-8269AB88D844}"/>
</file>

<file path=customXml/itemProps4.xml><?xml version="1.0" encoding="utf-8"?>
<ds:datastoreItem xmlns:ds="http://schemas.openxmlformats.org/officeDocument/2006/customXml" ds:itemID="{D24CBF98-CF73-4D0A-8259-284AA8AD099C}">
  <ds:schemaRefs>
    <ds:schemaRef ds:uri="http://schemas.openxmlformats.org/officeDocument/2006/bibliography"/>
  </ds:schemaRefs>
</ds:datastoreItem>
</file>

<file path=docMetadata/LabelInfo.xml><?xml version="1.0" encoding="utf-8"?>
<clbl:labelList xmlns:clbl="http://schemas.microsoft.com/office/2020/mipLabelMetadata">
  <clbl:label id="{7eb58d0f-f804-411f-a20e-09ebfae62b4c}"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5</Pages>
  <Words>1298</Words>
  <Characters>7405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Opening remarks by the Chair of the Human Rights Council Accessibility Task Force at the 35th session of the CRPD Committee</vt:lpstr>
    </vt:vector>
  </TitlesOfParts>
  <Company>OHCHR</Company>
  <LinksUpToDate>false</LinksUpToDate>
  <CharactersWithSpaces>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Opening remarks by the Chair of the Human Rights Council Accessibility Task Force at the 35th session of the CRPD Committee</dc:title>
  <dc:subject>35th session of the Committee on the Rights of Persons with Disabilities</dc:subject>
  <dc:creator>Human Rights Council Secretariat</dc:creator>
  <cp:keywords>CRPD; Human Rights Council; accessibility; Task Force</cp:keywords>
  <dc:description/>
  <cp:lastModifiedBy>Evan Daniel Welber Falcon</cp:lastModifiedBy>
  <cp:revision>2</cp:revision>
  <cp:lastPrinted>2025-07-24T14:43:00Z</cp:lastPrinted>
  <dcterms:created xsi:type="dcterms:W3CDTF">2026-08-10T16:41:00Z</dcterms:created>
  <dcterms:modified xsi:type="dcterms:W3CDTF">2026-08-10T16:41:00Z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Order">
    <vt:r8>100</vt:r8>
  </property>
  <property fmtid="{D5CDD505-2E9C-101B-9397-08002B2CF9AE}" pid="4" name="MediaServiceImageTags">
    <vt:lpwstr/>
  </property>
</Properties>
</file>