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rPr>
          <w:rFonts w:ascii="Arial" w:hAnsi="Arial" w:cs="Arial"/>
          <w:b/>
          <w:sz w:val="24"/>
          <w:szCs w:val="24"/>
        </w:rPr>
      </w:pPr>
      <w:r>
        <w:rPr>
          <w:rFonts w:ascii="Arial" w:hAnsi="Arial" w:cs="Arial"/>
          <w:b/>
          <w:bCs/>
          <w:sz w:val="24"/>
          <w:szCs w:val="24"/>
          <w:lang w:eastAsia="es-VE"/>
        </w:rPr>
        <w:drawing>
          <wp:anchor distT="0" distB="0" distL="114300" distR="114300" simplePos="0" relativeHeight="251660288" behindDoc="0" locked="0" layoutInCell="1" allowOverlap="1">
            <wp:simplePos x="0" y="0"/>
            <wp:positionH relativeFrom="column">
              <wp:posOffset>196850</wp:posOffset>
            </wp:positionH>
            <wp:positionV relativeFrom="paragraph">
              <wp:posOffset>38100</wp:posOffset>
            </wp:positionV>
            <wp:extent cx="833120" cy="678815"/>
            <wp:effectExtent l="0" t="0" r="0" b="6985"/>
            <wp:wrapSquare wrapText="bothSides"/>
            <wp:docPr id="6" name="Imagen 6" descr="Logo PLAFAM - AZUL-0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 PLAFAM - AZUL-01 (1)"/>
                    <pic:cNvPicPr>
                      <a:picLocks noChangeAspect="1"/>
                    </pic:cNvPicPr>
                  </pic:nvPicPr>
                  <pic:blipFill>
                    <a:blip r:embed="rId6"/>
                    <a:stretch>
                      <a:fillRect/>
                    </a:stretch>
                  </pic:blipFill>
                  <pic:spPr>
                    <a:xfrm>
                      <a:off x="0" y="0"/>
                      <a:ext cx="833120" cy="678815"/>
                    </a:xfrm>
                    <a:prstGeom prst="rect">
                      <a:avLst/>
                    </a:prstGeom>
                  </pic:spPr>
                </pic:pic>
              </a:graphicData>
            </a:graphic>
          </wp:anchor>
        </w:drawing>
      </w:r>
      <w:r>
        <w:rPr>
          <w:rFonts w:ascii="Arial" w:hAnsi="Arial" w:cs="Arial"/>
          <w:b/>
          <w:bCs/>
          <w:sz w:val="24"/>
          <w:szCs w:val="24"/>
          <w:lang w:eastAsia="es-VE"/>
        </w:rPr>
        <w:drawing>
          <wp:anchor distT="0" distB="0" distL="114300" distR="114300" simplePos="0" relativeHeight="251662336" behindDoc="0" locked="0" layoutInCell="1" allowOverlap="1">
            <wp:simplePos x="0" y="0"/>
            <wp:positionH relativeFrom="column">
              <wp:posOffset>1370965</wp:posOffset>
            </wp:positionH>
            <wp:positionV relativeFrom="paragraph">
              <wp:posOffset>-43180</wp:posOffset>
            </wp:positionV>
            <wp:extent cx="924560" cy="793750"/>
            <wp:effectExtent l="0" t="0" r="0" b="0"/>
            <wp:wrapSquare wrapText="bothSides"/>
            <wp:docPr id="3" name="Imagen 3" descr="Logo sin f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 sin fond"/>
                    <pic:cNvPicPr>
                      <a:picLocks noChangeAspect="1"/>
                    </pic:cNvPicPr>
                  </pic:nvPicPr>
                  <pic:blipFill>
                    <a:blip r:embed="rId7"/>
                    <a:stretch>
                      <a:fillRect/>
                    </a:stretch>
                  </pic:blipFill>
                  <pic:spPr>
                    <a:xfrm>
                      <a:off x="0" y="0"/>
                      <a:ext cx="924560" cy="793750"/>
                    </a:xfrm>
                    <a:prstGeom prst="rect">
                      <a:avLst/>
                    </a:prstGeom>
                  </pic:spPr>
                </pic:pic>
              </a:graphicData>
            </a:graphic>
          </wp:anchor>
        </w:drawing>
      </w:r>
      <w:r>
        <w:rPr>
          <w:rFonts w:ascii="Arial" w:hAnsi="Arial" w:cs="Arial"/>
          <w:b/>
          <w:bCs/>
          <w:sz w:val="24"/>
          <w:szCs w:val="24"/>
          <w:lang w:eastAsia="es-VE"/>
        </w:rPr>
        <w:drawing>
          <wp:anchor distT="0" distB="0" distL="114300" distR="114300" simplePos="0" relativeHeight="251659264" behindDoc="0" locked="0" layoutInCell="1" allowOverlap="1">
            <wp:simplePos x="0" y="0"/>
            <wp:positionH relativeFrom="column">
              <wp:posOffset>2486660</wp:posOffset>
            </wp:positionH>
            <wp:positionV relativeFrom="paragraph">
              <wp:posOffset>-57785</wp:posOffset>
            </wp:positionV>
            <wp:extent cx="821055" cy="821055"/>
            <wp:effectExtent l="0" t="0" r="0" b="0"/>
            <wp:wrapSquare wrapText="bothSides"/>
            <wp:docPr id="4" name="Imagen 4" descr="logo parir con place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 parir con placer-04"/>
                    <pic:cNvPicPr>
                      <a:picLocks noChangeAspect="1"/>
                    </pic:cNvPicPr>
                  </pic:nvPicPr>
                  <pic:blipFill>
                    <a:blip r:embed="rId8"/>
                    <a:stretch>
                      <a:fillRect/>
                    </a:stretch>
                  </pic:blipFill>
                  <pic:spPr>
                    <a:xfrm>
                      <a:off x="0" y="0"/>
                      <a:ext cx="821055" cy="821055"/>
                    </a:xfrm>
                    <a:prstGeom prst="rect">
                      <a:avLst/>
                    </a:prstGeom>
                  </pic:spPr>
                </pic:pic>
              </a:graphicData>
            </a:graphic>
          </wp:anchor>
        </w:drawing>
      </w:r>
      <w:r>
        <w:rPr>
          <w:rFonts w:ascii="Arial" w:hAnsi="Arial" w:cs="Arial"/>
          <w:b/>
          <w:bCs/>
          <w:sz w:val="24"/>
          <w:szCs w:val="24"/>
          <w:lang w:eastAsia="es-VE"/>
        </w:rPr>
        <w:drawing>
          <wp:anchor distT="0" distB="0" distL="114300" distR="114300" simplePos="0" relativeHeight="251661312" behindDoc="0" locked="0" layoutInCell="1" allowOverlap="1">
            <wp:simplePos x="0" y="0"/>
            <wp:positionH relativeFrom="column">
              <wp:posOffset>3679825</wp:posOffset>
            </wp:positionH>
            <wp:positionV relativeFrom="paragraph">
              <wp:posOffset>41275</wp:posOffset>
            </wp:positionV>
            <wp:extent cx="759460" cy="759460"/>
            <wp:effectExtent l="0" t="0" r="2540" b="2540"/>
            <wp:wrapSquare wrapText="bothSides"/>
            <wp:docPr id="8" name="Imagen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1"/>
                    <pic:cNvPicPr>
                      <a:picLocks noChangeAspect="1"/>
                    </pic:cNvPicPr>
                  </pic:nvPicPr>
                  <pic:blipFill>
                    <a:blip r:embed="rId9"/>
                    <a:stretch>
                      <a:fillRect/>
                    </a:stretch>
                  </pic:blipFill>
                  <pic:spPr>
                    <a:xfrm>
                      <a:off x="0" y="0"/>
                      <a:ext cx="759460" cy="759460"/>
                    </a:xfrm>
                    <a:prstGeom prst="rect">
                      <a:avLst/>
                    </a:prstGeom>
                  </pic:spPr>
                </pic:pic>
              </a:graphicData>
            </a:graphic>
          </wp:anchor>
        </w:drawing>
      </w:r>
      <w:r>
        <w:drawing>
          <wp:anchor distT="0" distB="0" distL="0" distR="0" simplePos="0" relativeHeight="251663360" behindDoc="0" locked="0" layoutInCell="1" allowOverlap="1">
            <wp:simplePos x="0" y="0"/>
            <wp:positionH relativeFrom="column">
              <wp:posOffset>4968875</wp:posOffset>
            </wp:positionH>
            <wp:positionV relativeFrom="paragraph">
              <wp:posOffset>37465</wp:posOffset>
            </wp:positionV>
            <wp:extent cx="421640" cy="678180"/>
            <wp:effectExtent l="0" t="0" r="16510" b="7620"/>
            <wp:wrapSquare wrapText="bothSides"/>
            <wp:docPr id="2"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c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34841" cy="699427"/>
                    </a:xfrm>
                    <a:prstGeom prst="rect">
                      <a:avLst/>
                    </a:prstGeom>
                    <a:noFill/>
                    <a:ln>
                      <a:noFill/>
                    </a:ln>
                  </pic:spPr>
                </pic:pic>
              </a:graphicData>
            </a:graphic>
          </wp:anchor>
        </w:drawing>
      </w:r>
      <w:r>
        <w:t xml:space="preserve">       </w:t>
      </w:r>
    </w:p>
    <w:p>
      <w:pPr>
        <w:pStyle w:val="15"/>
        <w:jc w:val="center"/>
      </w:pPr>
    </w:p>
    <w:p>
      <w:pPr>
        <w:pStyle w:val="15"/>
        <w:jc w:val="center"/>
        <w:rPr>
          <w:rFonts w:ascii="Arial" w:hAnsi="Arial" w:cs="Arial"/>
          <w:b/>
          <w:sz w:val="24"/>
          <w:szCs w:val="24"/>
        </w:rPr>
      </w:pPr>
    </w:p>
    <w:p>
      <w:pPr>
        <w:pStyle w:val="15"/>
        <w:jc w:val="center"/>
        <w:rPr>
          <w:rFonts w:ascii="Arial" w:hAnsi="Arial" w:cs="Arial"/>
          <w:b/>
          <w:sz w:val="24"/>
          <w:szCs w:val="24"/>
        </w:rPr>
      </w:pPr>
    </w:p>
    <w:p>
      <w:pPr>
        <w:pStyle w:val="15"/>
        <w:jc w:val="center"/>
        <w:rPr>
          <w:rFonts w:ascii="Arial" w:hAnsi="Arial" w:cs="Arial"/>
          <w:b/>
          <w:sz w:val="24"/>
          <w:szCs w:val="24"/>
        </w:rPr>
      </w:pPr>
    </w:p>
    <w:p>
      <w:pPr>
        <w:pStyle w:val="15"/>
        <w:jc w:val="center"/>
        <w:rPr>
          <w:rFonts w:ascii="Arial" w:hAnsi="Arial" w:cs="Arial"/>
          <w:b/>
          <w:sz w:val="24"/>
          <w:szCs w:val="24"/>
        </w:rPr>
      </w:pPr>
    </w:p>
    <w:p>
      <w:pPr>
        <w:pStyle w:val="15"/>
        <w:jc w:val="center"/>
        <w:rPr>
          <w:rFonts w:ascii="Arial" w:hAnsi="Arial" w:cs="Arial"/>
          <w:b/>
          <w:sz w:val="24"/>
          <w:szCs w:val="24"/>
        </w:rPr>
      </w:pPr>
      <w:r>
        <w:rPr>
          <w:rFonts w:ascii="Arial" w:hAnsi="Arial" w:cs="Arial"/>
          <w:b/>
          <w:sz w:val="24"/>
          <w:szCs w:val="24"/>
        </w:rPr>
        <w:t>Informe Alternativo para el Grupo de Trabajo</w:t>
      </w:r>
    </w:p>
    <w:p>
      <w:pPr>
        <w:pStyle w:val="15"/>
        <w:jc w:val="center"/>
        <w:rPr>
          <w:rFonts w:hint="default" w:ascii="Arial" w:hAnsi="Arial" w:cs="Arial"/>
          <w:b/>
          <w:sz w:val="24"/>
          <w:szCs w:val="24"/>
          <w:lang w:val="es-MX"/>
        </w:rPr>
      </w:pPr>
      <w:r>
        <w:rPr>
          <w:rFonts w:ascii="Arial" w:hAnsi="Arial" w:cs="Arial"/>
          <w:b/>
          <w:sz w:val="24"/>
          <w:szCs w:val="24"/>
        </w:rPr>
        <w:t>previo al 85º Período de Sesiones (Comité CEDAW)</w:t>
      </w:r>
      <w:r>
        <w:rPr>
          <w:rFonts w:hint="default" w:ascii="Arial" w:hAnsi="Arial" w:cs="Arial"/>
          <w:b/>
          <w:sz w:val="24"/>
          <w:szCs w:val="24"/>
          <w:lang w:val="es-MX"/>
        </w:rPr>
        <w:t>.</w:t>
      </w:r>
    </w:p>
    <w:p>
      <w:pPr>
        <w:pStyle w:val="15"/>
        <w:jc w:val="center"/>
        <w:rPr>
          <w:rFonts w:ascii="Arial" w:hAnsi="Arial" w:cs="Arial"/>
          <w:b/>
          <w:sz w:val="24"/>
          <w:szCs w:val="24"/>
        </w:rPr>
      </w:pPr>
      <w:r>
        <w:rPr>
          <w:rFonts w:ascii="Arial" w:hAnsi="Arial" w:cs="Arial"/>
          <w:b/>
          <w:sz w:val="24"/>
          <w:szCs w:val="24"/>
        </w:rPr>
        <w:t>Revisión de Informe Noveno Periódico</w:t>
      </w:r>
    </w:p>
    <w:p>
      <w:pPr>
        <w:pStyle w:val="15"/>
        <w:jc w:val="center"/>
        <w:rPr>
          <w:rFonts w:ascii="Arial" w:hAnsi="Arial" w:cs="Arial"/>
          <w:b/>
          <w:sz w:val="24"/>
          <w:szCs w:val="24"/>
        </w:rPr>
      </w:pPr>
      <w:r>
        <w:rPr>
          <w:rFonts w:ascii="Arial" w:hAnsi="Arial" w:cs="Arial"/>
          <w:b/>
          <w:sz w:val="24"/>
          <w:szCs w:val="24"/>
        </w:rPr>
        <w:t>República Bolivariana de Venezuela</w:t>
      </w:r>
    </w:p>
    <w:p>
      <w:pPr>
        <w:pStyle w:val="15"/>
        <w:jc w:val="both"/>
        <w:rPr>
          <w:rFonts w:ascii="Arial" w:hAnsi="Arial" w:cs="Arial"/>
          <w:sz w:val="24"/>
          <w:szCs w:val="24"/>
        </w:rPr>
      </w:pPr>
    </w:p>
    <w:p>
      <w:pPr>
        <w:pStyle w:val="15"/>
        <w:jc w:val="both"/>
        <w:rPr>
          <w:rFonts w:ascii="Arial" w:hAnsi="Arial" w:cs="Arial"/>
          <w:b/>
          <w:sz w:val="24"/>
          <w:szCs w:val="24"/>
        </w:rPr>
      </w:pPr>
      <w:r>
        <w:rPr>
          <w:rFonts w:ascii="Arial" w:hAnsi="Arial" w:cs="Arial"/>
          <w:b/>
          <w:sz w:val="24"/>
          <w:szCs w:val="24"/>
        </w:rPr>
        <w:t xml:space="preserve">I.- Introducción </w:t>
      </w:r>
    </w:p>
    <w:p>
      <w:pPr>
        <w:pStyle w:val="15"/>
        <w:jc w:val="both"/>
        <w:rPr>
          <w:rFonts w:ascii="Arial" w:hAnsi="Arial" w:cs="Arial"/>
          <w:sz w:val="24"/>
          <w:szCs w:val="24"/>
        </w:rPr>
      </w:pPr>
    </w:p>
    <w:p>
      <w:pPr>
        <w:pStyle w:val="15"/>
        <w:numPr>
          <w:ilvl w:val="0"/>
          <w:numId w:val="1"/>
        </w:numPr>
        <w:jc w:val="both"/>
        <w:rPr>
          <w:rFonts w:ascii="Arial" w:hAnsi="Arial" w:cs="Arial"/>
          <w:sz w:val="24"/>
          <w:szCs w:val="24"/>
        </w:rPr>
      </w:pPr>
      <w:r>
        <w:rPr>
          <w:rFonts w:ascii="Arial" w:hAnsi="Arial" w:cs="Arial"/>
          <w:sz w:val="24"/>
          <w:szCs w:val="24"/>
        </w:rPr>
        <w:t xml:space="preserve">El presente informe es presentado </w:t>
      </w:r>
      <w:r>
        <w:rPr>
          <w:rFonts w:ascii="Arial" w:hAnsi="Arial" w:cs="Arial"/>
          <w:sz w:val="24"/>
          <w:szCs w:val="24"/>
          <w:lang w:val="es-MX"/>
        </w:rPr>
        <w:t xml:space="preserve">por las organizaciones </w:t>
      </w:r>
      <w:r>
        <w:rPr>
          <w:rFonts w:ascii="Arial" w:hAnsi="Arial" w:cs="Arial"/>
          <w:i/>
          <w:sz w:val="24"/>
          <w:szCs w:val="24"/>
        </w:rPr>
        <w:t>Asociación Civil de Planificación Familiar PLAFAM</w:t>
      </w:r>
      <w:r>
        <w:rPr>
          <w:rStyle w:val="7"/>
          <w:rFonts w:ascii="Arial" w:hAnsi="Arial" w:cs="Arial"/>
          <w:sz w:val="24"/>
          <w:szCs w:val="24"/>
          <w:lang w:val="es-ES"/>
        </w:rPr>
        <w:footnoteReference w:id="0"/>
      </w:r>
      <w:r>
        <w:rPr>
          <w:rFonts w:ascii="Arial" w:hAnsi="Arial" w:cs="Arial"/>
          <w:i/>
          <w:sz w:val="24"/>
          <w:szCs w:val="24"/>
        </w:rPr>
        <w:t>, Mesa de Mujeres, Diversidad y Estudios de la Vida Cotidiana</w:t>
      </w:r>
      <w:r>
        <w:rPr>
          <w:rStyle w:val="7"/>
          <w:rFonts w:ascii="Arial" w:hAnsi="Arial" w:cs="Arial"/>
          <w:sz w:val="24"/>
          <w:szCs w:val="24"/>
          <w:lang w:val="en-US"/>
        </w:rPr>
        <w:footnoteReference w:id="1"/>
      </w:r>
      <w:r>
        <w:rPr>
          <w:rFonts w:ascii="Arial" w:hAnsi="Arial" w:cs="Arial"/>
          <w:i/>
          <w:sz w:val="24"/>
          <w:szCs w:val="24"/>
        </w:rPr>
        <w:t>, Parir con Placer</w:t>
      </w:r>
      <w:r>
        <w:rPr>
          <w:rStyle w:val="7"/>
          <w:rFonts w:ascii="Arial" w:hAnsi="Arial" w:cs="Arial"/>
          <w:sz w:val="24"/>
          <w:szCs w:val="24"/>
          <w:lang w:val="es-ES"/>
        </w:rPr>
        <w:footnoteReference w:id="2"/>
      </w:r>
      <w:r>
        <w:rPr>
          <w:rFonts w:ascii="Arial" w:hAnsi="Arial" w:cs="Arial"/>
          <w:i/>
          <w:sz w:val="24"/>
          <w:szCs w:val="24"/>
        </w:rPr>
        <w:t>,</w:t>
      </w:r>
      <w:r>
        <w:rPr>
          <w:rFonts w:ascii="Arial" w:hAnsi="Arial" w:cs="Arial"/>
          <w:sz w:val="24"/>
          <w:szCs w:val="24"/>
          <w:lang w:val="es-MX"/>
        </w:rPr>
        <w:t xml:space="preserve"> </w:t>
      </w:r>
      <w:r>
        <w:rPr>
          <w:rFonts w:ascii="Arial" w:hAnsi="Arial" w:cs="Arial"/>
          <w:sz w:val="24"/>
          <w:szCs w:val="24"/>
        </w:rPr>
        <w:t>integrantes de</w:t>
      </w:r>
      <w:r>
        <w:rPr>
          <w:rFonts w:ascii="Arial" w:hAnsi="Arial" w:cs="Arial"/>
          <w:sz w:val="24"/>
          <w:szCs w:val="24"/>
          <w:lang w:val="es-MX"/>
        </w:rPr>
        <w:t>l</w:t>
      </w:r>
      <w:r>
        <w:rPr>
          <w:rFonts w:ascii="Arial" w:hAnsi="Arial" w:cs="Arial"/>
          <w:sz w:val="24"/>
          <w:szCs w:val="24"/>
        </w:rPr>
        <w:t xml:space="preserve"> </w:t>
      </w:r>
      <w:r>
        <w:rPr>
          <w:rFonts w:ascii="Arial" w:hAnsi="Arial" w:cs="Arial"/>
          <w:i/>
          <w:iCs/>
          <w:sz w:val="24"/>
          <w:szCs w:val="24"/>
        </w:rPr>
        <w:t>Observatorio de Violencia Ginecobstétrica de Venezuela OVGOVE</w:t>
      </w:r>
      <w:r>
        <w:rPr>
          <w:rStyle w:val="7"/>
          <w:rFonts w:ascii="Arial" w:hAnsi="Arial" w:cs="Arial"/>
          <w:sz w:val="24"/>
          <w:szCs w:val="24"/>
          <w:lang w:val="es-ES"/>
        </w:rPr>
        <w:footnoteReference w:id="3"/>
      </w:r>
      <w:r>
        <w:rPr>
          <w:rFonts w:ascii="Arial" w:hAnsi="Arial" w:cs="Arial"/>
          <w:sz w:val="24"/>
          <w:szCs w:val="24"/>
        </w:rPr>
        <w:t xml:space="preserve">; y la </w:t>
      </w:r>
      <w:r>
        <w:rPr>
          <w:rFonts w:ascii="Arial" w:hAnsi="Arial" w:cs="Arial"/>
          <w:i/>
          <w:iCs/>
          <w:sz w:val="24"/>
          <w:szCs w:val="24"/>
        </w:rPr>
        <w:t>Asociación Venezolana para una Educación Sexual Alternativa AVESA</w:t>
      </w:r>
      <w:r>
        <w:rPr>
          <w:rStyle w:val="7"/>
          <w:rFonts w:ascii="Arial" w:hAnsi="Arial" w:cs="Arial"/>
          <w:sz w:val="24"/>
          <w:szCs w:val="24"/>
        </w:rPr>
        <w:footnoteReference w:id="4"/>
      </w:r>
      <w:r>
        <w:rPr>
          <w:rFonts w:ascii="Arial" w:hAnsi="Arial" w:cs="Arial"/>
          <w:sz w:val="24"/>
          <w:szCs w:val="24"/>
        </w:rPr>
        <w:t xml:space="preserve">, </w:t>
      </w:r>
      <w:r>
        <w:rPr>
          <w:rFonts w:ascii="Arial" w:hAnsi="Arial" w:cs="Arial"/>
          <w:sz w:val="24"/>
          <w:szCs w:val="24"/>
          <w:lang w:val="es-MX"/>
        </w:rPr>
        <w:t>agrupaciones</w:t>
      </w:r>
      <w:r>
        <w:rPr>
          <w:rFonts w:ascii="Arial" w:hAnsi="Arial" w:cs="Arial"/>
          <w:sz w:val="24"/>
          <w:szCs w:val="24"/>
        </w:rPr>
        <w:t xml:space="preserve"> cuyo eje de acción son los derechos humanos de las mujeres, especialmente los referidos </w:t>
      </w:r>
      <w:r>
        <w:rPr>
          <w:rFonts w:ascii="Arial" w:hAnsi="Arial" w:cs="Arial"/>
          <w:sz w:val="24"/>
          <w:szCs w:val="24"/>
          <w:lang w:val="es-MX"/>
        </w:rPr>
        <w:t>a los sexuales y reproductivos</w:t>
      </w:r>
      <w:r>
        <w:rPr>
          <w:rFonts w:ascii="Arial" w:hAnsi="Arial" w:cs="Arial"/>
          <w:sz w:val="24"/>
          <w:szCs w:val="24"/>
        </w:rPr>
        <w:t>.</w:t>
      </w:r>
    </w:p>
    <w:p>
      <w:pPr>
        <w:pStyle w:val="15"/>
        <w:numPr>
          <w:ilvl w:val="0"/>
          <w:numId w:val="1"/>
        </w:numPr>
        <w:jc w:val="both"/>
        <w:rPr>
          <w:rFonts w:ascii="Arial" w:hAnsi="Arial" w:cs="Arial"/>
          <w:sz w:val="24"/>
          <w:szCs w:val="24"/>
        </w:rPr>
      </w:pPr>
      <w:r>
        <w:rPr>
          <w:rFonts w:ascii="Arial" w:hAnsi="Arial" w:cs="Arial"/>
          <w:sz w:val="24"/>
          <w:szCs w:val="24"/>
        </w:rPr>
        <w:t xml:space="preserve">Se analizó la situación sobre salud materna y su vinculación con la </w:t>
      </w:r>
      <w:r>
        <w:rPr>
          <w:rFonts w:ascii="Arial" w:hAnsi="Arial" w:cs="Arial"/>
          <w:sz w:val="24"/>
          <w:szCs w:val="24"/>
          <w:lang w:val="es-MX"/>
        </w:rPr>
        <w:t>v</w:t>
      </w:r>
      <w:r>
        <w:rPr>
          <w:rFonts w:ascii="Arial" w:hAnsi="Arial" w:cs="Arial"/>
          <w:sz w:val="24"/>
          <w:szCs w:val="24"/>
        </w:rPr>
        <w:t xml:space="preserve">iolencia </w:t>
      </w:r>
      <w:r>
        <w:rPr>
          <w:rFonts w:ascii="Arial" w:hAnsi="Arial" w:cs="Arial"/>
          <w:sz w:val="24"/>
          <w:szCs w:val="24"/>
          <w:lang w:val="es-MX"/>
        </w:rPr>
        <w:t>o</w:t>
      </w:r>
      <w:r>
        <w:rPr>
          <w:rFonts w:ascii="Arial" w:hAnsi="Arial" w:cs="Arial"/>
          <w:sz w:val="24"/>
          <w:szCs w:val="24"/>
        </w:rPr>
        <w:t xml:space="preserve">bstétrica </w:t>
      </w:r>
      <w:r>
        <w:rPr>
          <w:rFonts w:ascii="Arial" w:hAnsi="Arial" w:cs="Arial"/>
          <w:sz w:val="24"/>
          <w:szCs w:val="24"/>
          <w:lang w:val="es-MX"/>
        </w:rPr>
        <w:t xml:space="preserve">(VO) </w:t>
      </w:r>
      <w:r>
        <w:rPr>
          <w:rFonts w:ascii="Arial" w:hAnsi="Arial" w:cs="Arial"/>
          <w:sz w:val="24"/>
          <w:szCs w:val="24"/>
        </w:rPr>
        <w:t>en el país, con base en la información aportada por la República Bolivariana de Venezuela en su Noveno Informe Periódico (2021) y de las recomendaciones realizadas por el Comité de la CEDAW al Estado venezolano, específicamente las referidas al tema de Salud. La información se recabó de manera independiente por esta coalición de organizaciones de la sociedad civil quienes proponen recomendaciones a la República Bolivariana de Venezuela para que sean consideradas previamente al 85° período de sesiones.</w:t>
      </w:r>
    </w:p>
    <w:p>
      <w:pPr>
        <w:pStyle w:val="15"/>
        <w:numPr>
          <w:ilvl w:val="0"/>
          <w:numId w:val="1"/>
        </w:numPr>
        <w:jc w:val="both"/>
        <w:rPr>
          <w:rFonts w:ascii="Arial" w:hAnsi="Arial" w:cs="Arial"/>
          <w:sz w:val="24"/>
          <w:szCs w:val="24"/>
        </w:rPr>
      </w:pPr>
      <w:r>
        <w:rPr>
          <w:rFonts w:ascii="Arial" w:hAnsi="Arial" w:cs="Arial"/>
          <w:sz w:val="24"/>
          <w:szCs w:val="24"/>
          <w:lang w:val="es-MX"/>
        </w:rPr>
        <w:t>Es fundamental señalar que todas las observaciones referidas en este informe apuntan hacia tratos y expresiones discriminatorias de las mujeres durante la atención al parto y nacimiento, tal como se expresa en los Artículos 1, 5 y 12 de la presente Convención. El resultado de esos malos tratos recibidos menoscaba y/o anula la igualdad de derechos reconocida en la Constitución y en las leyes de la República Bolivariana de Venezuela. Y en ese contexto, hacen imposible proveer una experiencia de atención en salud de calidad, diferenciada y digna que garantice servicios adecuados de atención prenatal, parto y postparto.</w:t>
      </w:r>
    </w:p>
    <w:p>
      <w:pPr>
        <w:pStyle w:val="15"/>
        <w:numPr>
          <w:ilvl w:val="0"/>
          <w:numId w:val="1"/>
        </w:numPr>
        <w:jc w:val="both"/>
        <w:rPr>
          <w:rFonts w:ascii="Arial" w:hAnsi="Arial" w:cs="Arial"/>
          <w:sz w:val="24"/>
          <w:szCs w:val="24"/>
        </w:rPr>
      </w:pPr>
      <w:r>
        <w:rPr>
          <w:rFonts w:ascii="Arial" w:hAnsi="Arial" w:cs="Arial"/>
          <w:sz w:val="24"/>
          <w:szCs w:val="24"/>
          <w:lang w:val="es-MX"/>
        </w:rPr>
        <w:t>Sobre las organizaciones que conforman la Coalición para la presentación de este informe:</w:t>
      </w:r>
    </w:p>
    <w:p>
      <w:pPr>
        <w:pStyle w:val="15"/>
        <w:ind w:left="360"/>
        <w:jc w:val="both"/>
        <w:rPr>
          <w:rFonts w:ascii="Arial" w:hAnsi="Arial" w:cs="Arial"/>
          <w:sz w:val="24"/>
          <w:szCs w:val="24"/>
        </w:rPr>
      </w:pPr>
    </w:p>
    <w:p>
      <w:pPr>
        <w:pStyle w:val="15"/>
        <w:numPr>
          <w:ilvl w:val="1"/>
          <w:numId w:val="1"/>
        </w:numPr>
        <w:jc w:val="both"/>
        <w:rPr>
          <w:rFonts w:ascii="Arial" w:hAnsi="Arial" w:cs="Arial"/>
          <w:sz w:val="24"/>
          <w:szCs w:val="24"/>
          <w:highlight w:val="none"/>
        </w:rPr>
      </w:pPr>
      <w:r>
        <w:rPr>
          <w:rFonts w:ascii="Arial" w:hAnsi="Arial" w:cs="Arial"/>
          <w:sz w:val="24"/>
          <w:szCs w:val="24"/>
          <w:highlight w:val="none"/>
          <w:lang w:val="es-MX"/>
        </w:rPr>
        <w:t>Asociación civil de planificación familiar PLAFAM: institución sin fines de lucro que funciona en Caracas desde 1986. Ha sido pionera en programas de planificación familiar en Venezuela. Tiene como objetivo principal contribuir al ejercicio pleno de los Derechos Humanos en el área de salud sexual y salud reproductiva de adolescentes, jóvenes, hombres y mujeres adultos/as sin discriminación.</w:t>
      </w:r>
    </w:p>
    <w:p>
      <w:pPr>
        <w:pStyle w:val="15"/>
        <w:numPr>
          <w:ilvl w:val="1"/>
          <w:numId w:val="1"/>
        </w:numPr>
        <w:jc w:val="both"/>
        <w:rPr>
          <w:rFonts w:ascii="Arial" w:hAnsi="Arial" w:cs="Arial"/>
          <w:sz w:val="24"/>
          <w:szCs w:val="24"/>
          <w:highlight w:val="none"/>
        </w:rPr>
      </w:pPr>
      <w:r>
        <w:rPr>
          <w:rFonts w:ascii="Arial" w:hAnsi="Arial" w:cs="Arial"/>
          <w:sz w:val="24"/>
          <w:szCs w:val="24"/>
          <w:highlight w:val="none"/>
          <w:lang w:val="es-MX"/>
        </w:rPr>
        <w:t xml:space="preserve">Mesa de Mujeres, Diversidad y Estudios de la Vida Cotidiana, MD&amp;E: red de formación e investigación afiliada al Departamento de Pedagogía Infantil y Diversidad de la Facultad de Ciencias de la Educación de la Universidad de Carabobo, está conformada por docentes e investigadoras de esta casa de estudios. Fue creada en 2019 con el propósito de ofrecer oportunidades de formación y acciones afirmativas para el empoderamiento de las mujeres. En 2020 ingresa como centro miembro al Consejo Latinoamericano de Ciencias Sociales CLACSO; allí forma parte del Grupo de Trabajo </w:t>
      </w:r>
      <w:r>
        <w:rPr>
          <w:rFonts w:ascii="Arial" w:hAnsi="Arial" w:cs="Arial"/>
          <w:i/>
          <w:sz w:val="24"/>
          <w:szCs w:val="24"/>
          <w:highlight w:val="none"/>
          <w:lang w:val="es-MX"/>
        </w:rPr>
        <w:t>Feminismos, resistencia y emancipación</w:t>
      </w:r>
      <w:r>
        <w:rPr>
          <w:rFonts w:ascii="Arial" w:hAnsi="Arial" w:cs="Arial"/>
          <w:sz w:val="24"/>
          <w:szCs w:val="24"/>
          <w:highlight w:val="none"/>
          <w:lang w:val="es-MX"/>
        </w:rPr>
        <w:t xml:space="preserve"> desde donde genera investigaciones y productos teóricos relacionados con los procesos de desigualdad de las mujeres de la región latinoamericana.</w:t>
      </w:r>
    </w:p>
    <w:p>
      <w:pPr>
        <w:pStyle w:val="15"/>
        <w:numPr>
          <w:ilvl w:val="1"/>
          <w:numId w:val="1"/>
        </w:numPr>
        <w:jc w:val="both"/>
        <w:rPr>
          <w:rFonts w:ascii="Arial" w:hAnsi="Arial" w:cs="Arial"/>
          <w:sz w:val="24"/>
          <w:szCs w:val="24"/>
        </w:rPr>
      </w:pPr>
      <w:r>
        <w:rPr>
          <w:rFonts w:ascii="Arial" w:hAnsi="Arial" w:cs="Arial"/>
          <w:sz w:val="24"/>
          <w:szCs w:val="24"/>
          <w:highlight w:val="none"/>
          <w:lang w:val="es-MX"/>
        </w:rPr>
        <w:t>Parir con Placer</w:t>
      </w:r>
      <w:r>
        <w:rPr>
          <w:rFonts w:hint="default" w:ascii="Arial" w:hAnsi="Arial" w:cs="Arial"/>
          <w:sz w:val="24"/>
          <w:szCs w:val="24"/>
          <w:highlight w:val="none"/>
          <w:lang w:val="es-MX"/>
        </w:rPr>
        <w:t>: organización especial</w:t>
      </w:r>
      <w:r>
        <w:rPr>
          <w:rFonts w:hint="default" w:ascii="Arial" w:hAnsi="Arial" w:cs="Arial"/>
          <w:sz w:val="24"/>
          <w:szCs w:val="24"/>
          <w:highlight w:val="none"/>
          <w:lang w:val="es-MX"/>
        </w:rPr>
        <w:t xml:space="preserve">izada en el acompañamiento a la gestación, parto y nacimiento, lactancia y educación menstrual. Creada en 2019 por doulas y facilitadoras nacimientos, desde sus inicios se ha preocupado por promover el parto respetado. Su objetivo principal impulsa </w:t>
      </w:r>
      <w:r>
        <w:rPr>
          <w:rFonts w:hint="default" w:ascii="Arial" w:hAnsi="Arial" w:cs="Arial"/>
          <w:i w:val="0"/>
          <w:iCs/>
          <w:color w:val="auto"/>
          <w:sz w:val="24"/>
          <w:szCs w:val="24"/>
        </w:rPr>
        <w:t xml:space="preserve">la promoción de la salud </w:t>
      </w:r>
      <w:r>
        <w:rPr>
          <w:rFonts w:hint="default" w:ascii="Arial" w:hAnsi="Arial" w:cs="Arial"/>
          <w:i w:val="0"/>
          <w:iCs/>
          <w:color w:val="auto"/>
          <w:sz w:val="24"/>
          <w:szCs w:val="24"/>
          <w:lang w:val="es-MX"/>
        </w:rPr>
        <w:t>y</w:t>
      </w:r>
      <w:r>
        <w:rPr>
          <w:rFonts w:hint="default" w:ascii="Arial" w:hAnsi="Arial" w:cs="Arial"/>
          <w:i w:val="0"/>
          <w:iCs/>
          <w:color w:val="auto"/>
          <w:sz w:val="24"/>
          <w:szCs w:val="24"/>
        </w:rPr>
        <w:t xml:space="preserve"> los derechos sexuales y reproductivos mediante el impulso de procesos de </w:t>
      </w:r>
      <w:r>
        <w:rPr>
          <w:rFonts w:hint="default" w:ascii="Arial" w:hAnsi="Arial" w:cs="Arial"/>
          <w:i w:val="0"/>
          <w:iCs/>
          <w:color w:val="auto"/>
          <w:sz w:val="24"/>
          <w:szCs w:val="24"/>
          <w:lang w:val="es-MX"/>
        </w:rPr>
        <w:t xml:space="preserve">acompañamiento, </w:t>
      </w:r>
      <w:r>
        <w:rPr>
          <w:rFonts w:hint="default" w:ascii="Arial" w:hAnsi="Arial" w:cs="Arial"/>
          <w:i w:val="0"/>
          <w:iCs/>
          <w:color w:val="auto"/>
          <w:sz w:val="24"/>
          <w:szCs w:val="24"/>
        </w:rPr>
        <w:t>sensibilización y forma</w:t>
      </w:r>
      <w:r>
        <w:rPr>
          <w:rFonts w:hint="default" w:ascii="Arial" w:hAnsi="Arial" w:cs="Arial"/>
          <w:i w:val="0"/>
          <w:iCs/>
          <w:color w:val="auto"/>
          <w:sz w:val="24"/>
          <w:szCs w:val="24"/>
          <w:lang w:val="es-MX"/>
        </w:rPr>
        <w:t>ción.</w:t>
      </w:r>
    </w:p>
    <w:p>
      <w:pPr>
        <w:pStyle w:val="15"/>
        <w:numPr>
          <w:ilvl w:val="1"/>
          <w:numId w:val="1"/>
        </w:numPr>
        <w:jc w:val="both"/>
        <w:rPr>
          <w:rFonts w:ascii="Arial" w:hAnsi="Arial" w:cs="Arial"/>
          <w:sz w:val="24"/>
          <w:szCs w:val="24"/>
        </w:rPr>
      </w:pPr>
      <w:r>
        <w:rPr>
          <w:rFonts w:ascii="Arial" w:hAnsi="Arial" w:cs="Arial"/>
          <w:sz w:val="24"/>
          <w:szCs w:val="24"/>
          <w:highlight w:val="none"/>
          <w:lang w:val="es-MX"/>
        </w:rPr>
        <w:t>Observatorio de Violencia Ginecob</w:t>
      </w:r>
      <w:r>
        <w:rPr>
          <w:rFonts w:ascii="Arial" w:hAnsi="Arial" w:cs="Arial"/>
          <w:sz w:val="24"/>
          <w:szCs w:val="24"/>
          <w:highlight w:val="none"/>
          <w:lang w:val="es-MX"/>
        </w:rPr>
        <w:t>stétrica de Venezuela: alianza creada en 20</w:t>
      </w:r>
      <w:r>
        <w:rPr>
          <w:rFonts w:ascii="Arial" w:hAnsi="Arial" w:cs="Arial"/>
          <w:sz w:val="24"/>
          <w:szCs w:val="24"/>
          <w:lang w:val="es-MX"/>
        </w:rPr>
        <w:t xml:space="preserve">22 </w:t>
      </w:r>
      <w:r>
        <w:rPr>
          <w:rFonts w:ascii="Arial" w:hAnsi="Arial" w:cs="Arial"/>
          <w:sz w:val="24"/>
          <w:szCs w:val="24"/>
          <w:highlight w:val="none"/>
          <w:lang w:val="es-MX"/>
        </w:rPr>
        <w:t xml:space="preserve">entre diferentes organizaciones </w:t>
      </w:r>
      <w:r>
        <w:rPr>
          <w:rFonts w:ascii="Arial" w:hAnsi="Arial" w:cs="Arial"/>
          <w:sz w:val="24"/>
          <w:szCs w:val="24"/>
          <w:lang w:val="es-MX"/>
        </w:rPr>
        <w:t xml:space="preserve">integrada por Parir con Placer, Mesa de Mujeres, Diversidad y Estudios de la Vida Cotidiana, Mujeres por los Derechos y la Asociación Civil de Planificación Familiar, todas integrantes de la Alianza Salud para Todas. Tiene como propósitos visibilizar la violencia ginecobstétrica a través de la construcción de un discurso crítico de las relaciones de poder médico hacia las mujeres y sus familias e impulsar espacios de formación y participación ciudadana para conocer, afirmar y ejercer los derechos sexuales y reproductivos de las mujeres. </w:t>
      </w:r>
    </w:p>
    <w:p>
      <w:pPr>
        <w:pStyle w:val="15"/>
        <w:numPr>
          <w:ilvl w:val="1"/>
          <w:numId w:val="1"/>
        </w:numPr>
        <w:jc w:val="both"/>
        <w:rPr>
          <w:rFonts w:ascii="Arial" w:hAnsi="Arial" w:cs="Arial"/>
          <w:sz w:val="24"/>
          <w:szCs w:val="24"/>
        </w:rPr>
      </w:pPr>
      <w:r>
        <w:rPr>
          <w:rFonts w:ascii="Arial" w:hAnsi="Arial" w:cs="Arial"/>
          <w:sz w:val="24"/>
          <w:szCs w:val="24"/>
        </w:rPr>
        <w:t xml:space="preserve">Asociación Venezolana para una Educación Sexual Alternativa – AVESA: </w:t>
      </w:r>
      <w:r>
        <w:rPr>
          <w:rFonts w:ascii="Arial" w:hAnsi="Arial" w:cs="Arial"/>
          <w:sz w:val="24"/>
          <w:szCs w:val="24"/>
          <w:lang w:val="es-MX"/>
        </w:rPr>
        <w:t xml:space="preserve"> organización sin fines de lucro que se dedica a la educación, atención e investigación en materia de sexualidad y derechos sexuales y reproductivos. Desde su creación en 1984 desarrolla un trabajo sostenido en las áreas de educación sexual, violencia y salud sexuales y reproductiva. AVESA promueve, a través del diálogo y la reflexión crítica, el ejercicio responsable de la sexualidad, desarrollando actividades a nivel nacional y con efectiva participación en redes internacionales.</w:t>
      </w:r>
      <w:r>
        <w:rPr>
          <w:rFonts w:ascii="Arial" w:hAnsi="Arial" w:cs="Arial"/>
        </w:rPr>
        <w:t xml:space="preserve"> </w:t>
      </w:r>
    </w:p>
    <w:p>
      <w:pPr>
        <w:pStyle w:val="15"/>
        <w:jc w:val="both"/>
        <w:rPr>
          <w:rFonts w:ascii="Arial" w:hAnsi="Arial" w:cs="Arial"/>
          <w:b/>
          <w:sz w:val="24"/>
          <w:szCs w:val="24"/>
        </w:rPr>
      </w:pPr>
    </w:p>
    <w:p>
      <w:pPr>
        <w:pStyle w:val="15"/>
        <w:jc w:val="both"/>
        <w:rPr>
          <w:rFonts w:ascii="Arial" w:hAnsi="Arial" w:cs="Arial"/>
          <w:b/>
          <w:sz w:val="24"/>
          <w:szCs w:val="24"/>
        </w:rPr>
      </w:pPr>
    </w:p>
    <w:p>
      <w:pPr>
        <w:pStyle w:val="15"/>
        <w:jc w:val="both"/>
        <w:rPr>
          <w:rFonts w:ascii="Arial" w:hAnsi="Arial" w:cs="Arial"/>
          <w:b/>
          <w:sz w:val="24"/>
          <w:szCs w:val="24"/>
        </w:rPr>
      </w:pPr>
      <w:r>
        <w:rPr>
          <w:rFonts w:ascii="Arial" w:hAnsi="Arial" w:cs="Arial"/>
          <w:b/>
          <w:sz w:val="24"/>
          <w:szCs w:val="24"/>
        </w:rPr>
        <w:t xml:space="preserve">II.- Contexto </w:t>
      </w:r>
    </w:p>
    <w:p>
      <w:pPr>
        <w:pStyle w:val="15"/>
        <w:jc w:val="both"/>
        <w:rPr>
          <w:rFonts w:ascii="Arial" w:hAnsi="Arial" w:cs="Arial"/>
          <w:sz w:val="24"/>
          <w:szCs w:val="24"/>
        </w:rPr>
      </w:pPr>
    </w:p>
    <w:p>
      <w:pPr>
        <w:pStyle w:val="15"/>
        <w:numPr>
          <w:ilvl w:val="0"/>
          <w:numId w:val="1"/>
        </w:numPr>
        <w:jc w:val="both"/>
        <w:rPr>
          <w:rFonts w:ascii="Arial" w:hAnsi="Arial" w:cs="Arial"/>
          <w:sz w:val="24"/>
          <w:szCs w:val="24"/>
          <w:lang w:val="es-MX"/>
        </w:rPr>
      </w:pPr>
      <w:r>
        <w:rPr>
          <w:rFonts w:ascii="Arial" w:hAnsi="Arial" w:cs="Arial"/>
          <w:sz w:val="24"/>
          <w:szCs w:val="24"/>
        </w:rPr>
        <w:t>Una realidad constatable en nuestro país es la imposibilidad del Estado de garantizar la provisión y la calidad de los servicios públicos</w:t>
      </w:r>
      <w:r>
        <w:rPr>
          <w:rFonts w:ascii="Arial" w:hAnsi="Arial" w:cs="Arial"/>
          <w:sz w:val="24"/>
          <w:szCs w:val="24"/>
          <w:lang w:val="es-MX"/>
        </w:rPr>
        <w:t>.</w:t>
      </w:r>
      <w:r>
        <w:rPr>
          <w:rFonts w:ascii="Arial" w:hAnsi="Arial" w:cs="Arial"/>
          <w:sz w:val="24"/>
          <w:szCs w:val="24"/>
        </w:rPr>
        <w:t xml:space="preserve"> Desde mucho antes de la pandemia ya en Venezuela se registraban serias fallas en los servicios públicos como el de suministro agua, gas doméstico y electricidad</w:t>
      </w:r>
      <w:r>
        <w:rPr>
          <w:rFonts w:ascii="Arial" w:hAnsi="Arial" w:cs="Arial"/>
          <w:sz w:val="24"/>
          <w:szCs w:val="24"/>
          <w:lang w:val="es-MX"/>
        </w:rPr>
        <w:t>. Así lo</w:t>
      </w:r>
      <w:r>
        <w:rPr>
          <w:rFonts w:ascii="Arial" w:hAnsi="Arial" w:cs="Arial"/>
          <w:sz w:val="24"/>
          <w:szCs w:val="24"/>
        </w:rPr>
        <w:t xml:space="preserve"> sostiene un estudio realizado durante 2020 y 2021</w:t>
      </w:r>
      <w:r>
        <w:rPr>
          <w:rStyle w:val="7"/>
          <w:rFonts w:ascii="Arial" w:hAnsi="Arial" w:cs="Arial"/>
          <w:sz w:val="24"/>
          <w:szCs w:val="24"/>
        </w:rPr>
        <w:footnoteReference w:id="5"/>
      </w:r>
      <w:r>
        <w:rPr>
          <w:rFonts w:ascii="Arial" w:hAnsi="Arial" w:cs="Arial"/>
          <w:sz w:val="24"/>
          <w:szCs w:val="24"/>
        </w:rPr>
        <w:t>, en el cual esta problemática es reportada por más de un tercio de las encuestadas.</w:t>
      </w:r>
      <w:r>
        <w:rPr>
          <w:rFonts w:ascii="Arial" w:hAnsi="Arial" w:cs="Arial"/>
          <w:sz w:val="24"/>
          <w:szCs w:val="24"/>
          <w:lang w:val="es-MX"/>
        </w:rPr>
        <w:t xml:space="preserve"> </w:t>
      </w:r>
      <w:r>
        <w:rPr>
          <w:rFonts w:ascii="Arial" w:hAnsi="Arial" w:cs="Arial"/>
          <w:sz w:val="24"/>
          <w:szCs w:val="24"/>
        </w:rPr>
        <w:t>Ello impacta negativamente a toda la sociedad, al sistema de salud público y en especial a los grupos más vulnerables económicamente</w:t>
      </w:r>
      <w:r>
        <w:rPr>
          <w:rFonts w:ascii="Arial" w:hAnsi="Arial" w:cs="Arial"/>
          <w:sz w:val="24"/>
          <w:szCs w:val="24"/>
          <w:lang w:val="es-MX"/>
        </w:rPr>
        <w:t>, entre éstos mujeres, adolescentes y niñas</w:t>
      </w:r>
      <w:r>
        <w:rPr>
          <w:rFonts w:ascii="Arial" w:hAnsi="Arial" w:cs="Arial"/>
          <w:sz w:val="24"/>
          <w:szCs w:val="24"/>
        </w:rPr>
        <w:t xml:space="preserve">. Eso supuso que las mujeres debieron ajustarse a una nueva contingencia que aumentó la cantidad de trabajo </w:t>
      </w:r>
      <w:r>
        <w:rPr>
          <w:rFonts w:ascii="Arial" w:hAnsi="Arial" w:cs="Arial"/>
          <w:sz w:val="24"/>
          <w:szCs w:val="24"/>
          <w:lang w:val="es-MX"/>
        </w:rPr>
        <w:t>a</w:t>
      </w:r>
      <w:r>
        <w:rPr>
          <w:rFonts w:ascii="Arial" w:hAnsi="Arial" w:cs="Arial"/>
          <w:sz w:val="24"/>
          <w:szCs w:val="24"/>
        </w:rPr>
        <w:t xml:space="preserve"> atender</w:t>
      </w:r>
      <w:r>
        <w:rPr>
          <w:rStyle w:val="7"/>
          <w:rFonts w:ascii="Arial" w:hAnsi="Arial" w:cs="Arial"/>
          <w:sz w:val="24"/>
          <w:szCs w:val="24"/>
        </w:rPr>
        <w:footnoteReference w:id="6"/>
      </w:r>
      <w:r>
        <w:rPr>
          <w:rFonts w:ascii="Arial" w:hAnsi="Arial" w:cs="Arial"/>
          <w:sz w:val="24"/>
          <w:szCs w:val="24"/>
        </w:rPr>
        <w:t xml:space="preserve">, </w:t>
      </w:r>
      <w:r>
        <w:rPr>
          <w:rFonts w:ascii="Arial" w:hAnsi="Arial" w:cs="Arial"/>
          <w:sz w:val="24"/>
          <w:szCs w:val="24"/>
          <w:lang w:val="es-MX"/>
        </w:rPr>
        <w:t>y</w:t>
      </w:r>
      <w:r>
        <w:rPr>
          <w:rFonts w:ascii="Arial" w:hAnsi="Arial" w:cs="Arial"/>
          <w:sz w:val="24"/>
          <w:szCs w:val="24"/>
        </w:rPr>
        <w:t xml:space="preserve"> que complejizó más aún la crisis de los cuidados ya presente en la región</w:t>
      </w:r>
      <w:r>
        <w:rPr>
          <w:rFonts w:ascii="Arial" w:hAnsi="Arial" w:cs="Arial"/>
          <w:sz w:val="24"/>
          <w:szCs w:val="24"/>
          <w:lang w:val="es-MX"/>
        </w:rPr>
        <w:t>.</w:t>
      </w:r>
    </w:p>
    <w:p>
      <w:pPr>
        <w:pStyle w:val="15"/>
        <w:numPr>
          <w:ilvl w:val="0"/>
          <w:numId w:val="1"/>
        </w:numPr>
        <w:jc w:val="both"/>
        <w:rPr>
          <w:rFonts w:ascii="Arial" w:hAnsi="Arial" w:cs="Arial"/>
          <w:sz w:val="24"/>
          <w:szCs w:val="24"/>
          <w:lang w:val="es-MX"/>
        </w:rPr>
      </w:pPr>
      <w:r>
        <w:rPr>
          <w:rFonts w:ascii="Arial" w:hAnsi="Arial" w:cs="Arial"/>
          <w:sz w:val="24"/>
          <w:szCs w:val="24"/>
        </w:rPr>
        <w:t xml:space="preserve">De acuerdo con las proyecciones </w:t>
      </w:r>
      <w:r>
        <w:rPr>
          <w:rFonts w:ascii="Arial" w:hAnsi="Arial" w:cs="Arial"/>
          <w:sz w:val="24"/>
          <w:szCs w:val="24"/>
          <w:lang w:val="es-MX"/>
        </w:rPr>
        <w:t xml:space="preserve">realizadas </w:t>
      </w:r>
      <w:r>
        <w:rPr>
          <w:rFonts w:ascii="Arial" w:hAnsi="Arial" w:cs="Arial"/>
          <w:sz w:val="24"/>
          <w:szCs w:val="24"/>
        </w:rPr>
        <w:t xml:space="preserve">para el 2021 </w:t>
      </w:r>
      <w:r>
        <w:rPr>
          <w:rFonts w:ascii="Arial" w:hAnsi="Arial" w:cs="Arial"/>
          <w:sz w:val="24"/>
          <w:szCs w:val="24"/>
          <w:lang w:val="es-MX"/>
        </w:rPr>
        <w:t xml:space="preserve">por </w:t>
      </w:r>
      <w:r>
        <w:rPr>
          <w:rFonts w:ascii="Arial" w:hAnsi="Arial" w:cs="Arial"/>
          <w:sz w:val="24"/>
          <w:szCs w:val="24"/>
        </w:rPr>
        <w:t xml:space="preserve">el Instituto Nacional de Estadísticas, el trabajo doméstico y de cuidados se constituyó en sí mismo en un impedimento para el acceso al empleo remunerado para el 82,6% de las mujeres que conforman la población activa. Los “oficios del hogar” evidencian una </w:t>
      </w:r>
      <w:r>
        <w:rPr>
          <w:rFonts w:ascii="Arial" w:hAnsi="Arial" w:cs="Arial"/>
          <w:sz w:val="24"/>
          <w:szCs w:val="24"/>
          <w:lang w:val="es-MX"/>
        </w:rPr>
        <w:t>sobre representación</w:t>
      </w:r>
      <w:r>
        <w:rPr>
          <w:rFonts w:ascii="Arial" w:hAnsi="Arial" w:cs="Arial"/>
          <w:sz w:val="24"/>
          <w:szCs w:val="24"/>
        </w:rPr>
        <w:t xml:space="preserve"> de las mujeres con 2,8 millones contra apenas 359 mil hombres, lo que confirma que en nuestro país las mujeres son el sostén económico y afectivo de las grandes mayorías</w:t>
      </w:r>
      <w:r>
        <w:rPr>
          <w:rStyle w:val="7"/>
          <w:rFonts w:ascii="Arial" w:hAnsi="Arial" w:cs="Arial"/>
          <w:sz w:val="24"/>
          <w:szCs w:val="24"/>
        </w:rPr>
        <w:footnoteReference w:id="7"/>
      </w:r>
      <w:r>
        <w:rPr>
          <w:rFonts w:ascii="Arial" w:hAnsi="Arial" w:cs="Arial"/>
          <w:sz w:val="24"/>
          <w:szCs w:val="24"/>
        </w:rPr>
        <w:t>.</w:t>
      </w:r>
    </w:p>
    <w:p>
      <w:pPr>
        <w:pStyle w:val="15"/>
        <w:numPr>
          <w:ilvl w:val="0"/>
          <w:numId w:val="1"/>
        </w:numPr>
        <w:jc w:val="both"/>
        <w:rPr>
          <w:rFonts w:ascii="Arial" w:hAnsi="Arial" w:cs="Arial"/>
          <w:sz w:val="24"/>
          <w:szCs w:val="24"/>
          <w:lang w:val="es-MX"/>
        </w:rPr>
      </w:pPr>
      <w:r>
        <w:rPr>
          <w:rFonts w:ascii="Arial" w:hAnsi="Arial" w:cs="Arial"/>
          <w:sz w:val="24"/>
          <w:szCs w:val="24"/>
        </w:rPr>
        <w:t>En otro sentido, el panorama laboral denota un importante y mayoritario empleo de sus integrantes en el sector público, así como de personas jubiladas del mismo. Este es seguido por el desempleo, el trabajo informal y una muy escasa presencia de empleo en el sector privado. Quienes laboran en el sector público realizan simultáneamente diversos trabajos por su cuenta para complementar los ingresos y así sostener sus familias. La mayoría está relacionada con el libre ejercicio de sus profesiones, seguida de actividades como elaboración de alimentos, repostería</w:t>
      </w:r>
      <w:r>
        <w:rPr>
          <w:rFonts w:ascii="Arial" w:hAnsi="Arial" w:cs="Arial"/>
          <w:sz w:val="24"/>
          <w:szCs w:val="24"/>
          <w:lang w:val="es-MX"/>
        </w:rPr>
        <w:t>,</w:t>
      </w:r>
      <w:r>
        <w:rPr>
          <w:rFonts w:ascii="Arial" w:hAnsi="Arial" w:cs="Arial"/>
          <w:sz w:val="24"/>
          <w:szCs w:val="24"/>
        </w:rPr>
        <w:t xml:space="preserve"> confección y reparación de prendas de vestir. Estos últimos, son trabajos tradicional y altamente feminizados. </w:t>
      </w:r>
    </w:p>
    <w:p>
      <w:pPr>
        <w:pStyle w:val="15"/>
        <w:numPr>
          <w:ilvl w:val="0"/>
          <w:numId w:val="1"/>
        </w:numPr>
        <w:jc w:val="both"/>
        <w:rPr>
          <w:rFonts w:ascii="Arial" w:hAnsi="Arial" w:cs="Arial"/>
          <w:sz w:val="24"/>
          <w:szCs w:val="24"/>
          <w:lang w:val="es-MX"/>
        </w:rPr>
      </w:pPr>
      <w:r>
        <w:rPr>
          <w:rFonts w:ascii="Arial" w:hAnsi="Arial" w:cs="Arial"/>
          <w:sz w:val="24"/>
          <w:szCs w:val="24"/>
          <w:lang w:val="es-MX"/>
        </w:rPr>
        <w:t xml:space="preserve">En cuanto a la </w:t>
      </w:r>
      <w:r>
        <w:rPr>
          <w:rFonts w:ascii="Arial" w:hAnsi="Arial" w:cs="Arial"/>
          <w:bCs/>
          <w:sz w:val="24"/>
          <w:szCs w:val="24"/>
        </w:rPr>
        <w:t>salud</w:t>
      </w:r>
      <w:r>
        <w:rPr>
          <w:rFonts w:ascii="Arial" w:hAnsi="Arial" w:cs="Arial"/>
          <w:sz w:val="24"/>
          <w:szCs w:val="24"/>
        </w:rPr>
        <w:t>, de acuerdo con estudio realizado en el 2020 con base en información de 843 mujeres de 4 ciudades del país</w:t>
      </w:r>
      <w:r>
        <w:rPr>
          <w:rStyle w:val="7"/>
          <w:rFonts w:ascii="Arial" w:hAnsi="Arial" w:cs="Arial"/>
          <w:sz w:val="24"/>
          <w:szCs w:val="24"/>
        </w:rPr>
        <w:footnoteReference w:id="8"/>
      </w:r>
      <w:r>
        <w:rPr>
          <w:rFonts w:ascii="Arial" w:hAnsi="Arial" w:cs="Arial"/>
          <w:sz w:val="24"/>
          <w:szCs w:val="24"/>
        </w:rPr>
        <w:t xml:space="preserve">, se identificaron alarmantes indicadores sobre la salud general, mental, salud de las mamas y salud sexual y reproductiva de las mujeres. Este estudio indica que, 9 de cada 10 mujeres no ha podido planificar sus embarazos, 3 de cada 10 embarazadas pudieron asistir a su primer control prenatal sólo luego de la 12ª semana de gestación y 8 de cada 10 mujeres no desea tener más hijos/as habiendo tenido o no. Estos datos reflejan la falta de garantía de los derechos sexuales y reproductivos en nuestro país, y a consecuencia de ello, las mujeres no tienen la capacidad de tomar decisiones sobre su reproducción. La maternidad está lejos de ser una decisión y un derecho. </w:t>
      </w:r>
    </w:p>
    <w:p>
      <w:pPr>
        <w:pStyle w:val="15"/>
        <w:jc w:val="both"/>
        <w:rPr>
          <w:rFonts w:ascii="Arial" w:hAnsi="Arial" w:cs="Arial"/>
          <w:sz w:val="24"/>
          <w:szCs w:val="24"/>
        </w:rPr>
      </w:pPr>
    </w:p>
    <w:p>
      <w:pPr>
        <w:pStyle w:val="15"/>
        <w:jc w:val="both"/>
        <w:rPr>
          <w:rFonts w:ascii="Arial" w:hAnsi="Arial" w:cs="Arial"/>
          <w:b/>
          <w:sz w:val="24"/>
          <w:szCs w:val="24"/>
        </w:rPr>
      </w:pPr>
    </w:p>
    <w:p>
      <w:pPr>
        <w:pStyle w:val="15"/>
        <w:jc w:val="both"/>
        <w:rPr>
          <w:rFonts w:ascii="Arial" w:hAnsi="Arial" w:cs="Arial"/>
          <w:b/>
          <w:sz w:val="24"/>
          <w:szCs w:val="24"/>
        </w:rPr>
      </w:pPr>
      <w:r>
        <w:rPr>
          <w:rFonts w:ascii="Arial" w:hAnsi="Arial" w:cs="Arial"/>
          <w:b/>
          <w:sz w:val="24"/>
          <w:szCs w:val="24"/>
        </w:rPr>
        <w:t>III.- Marco legislativo y políticas públicas</w:t>
      </w:r>
    </w:p>
    <w:p>
      <w:pPr>
        <w:pStyle w:val="15"/>
        <w:jc w:val="both"/>
        <w:rPr>
          <w:rFonts w:ascii="Arial" w:hAnsi="Arial" w:cs="Arial"/>
          <w:b/>
          <w:sz w:val="24"/>
          <w:szCs w:val="24"/>
        </w:rPr>
      </w:pPr>
    </w:p>
    <w:p>
      <w:pPr>
        <w:pStyle w:val="15"/>
        <w:numPr>
          <w:ilvl w:val="0"/>
          <w:numId w:val="1"/>
        </w:numPr>
        <w:jc w:val="both"/>
        <w:rPr>
          <w:rFonts w:ascii="Arial" w:hAnsi="Arial" w:cs="Arial"/>
          <w:sz w:val="24"/>
          <w:szCs w:val="24"/>
        </w:rPr>
      </w:pPr>
      <w:r>
        <w:rPr>
          <w:rFonts w:ascii="Arial" w:hAnsi="Arial" w:cs="Arial"/>
          <w:sz w:val="24"/>
          <w:szCs w:val="24"/>
        </w:rPr>
        <w:t>Para este período destaca la Reforma de la Ley Orgánica Sobre el Derecho de las Mujeres a una Vida Libre de Violencia (LODMVLV)</w:t>
      </w:r>
      <w:r>
        <w:rPr>
          <w:rStyle w:val="7"/>
          <w:rFonts w:ascii="Arial" w:hAnsi="Arial" w:cs="Arial"/>
          <w:sz w:val="24"/>
          <w:szCs w:val="24"/>
        </w:rPr>
        <w:footnoteReference w:id="9"/>
      </w:r>
      <w:r>
        <w:rPr>
          <w:rFonts w:ascii="Arial" w:hAnsi="Arial" w:cs="Arial"/>
          <w:sz w:val="24"/>
          <w:szCs w:val="24"/>
        </w:rPr>
        <w:t xml:space="preserve">. Entre los fines de esta ley están la prevención, la atención, la sanción y la erradicación de la violencia contras las mujeres y la discriminación de género, así como la superación de toda discriminación mediante el establecimiento de garantías con enfoque de igualdad. La reforma fue realizada a finales del año 2021 e incluyó como obligatorios para los órganos y entes del Estado el enfoque de género, feminista, de derechos humanos, intercultural, integralidad, generacional </w:t>
      </w:r>
      <w:r>
        <w:rPr>
          <w:rFonts w:ascii="Arial" w:hAnsi="Arial" w:cs="Arial"/>
          <w:sz w:val="24"/>
          <w:szCs w:val="24"/>
          <w:lang w:val="es-MX"/>
        </w:rPr>
        <w:t>y la</w:t>
      </w:r>
      <w:r>
        <w:rPr>
          <w:rFonts w:ascii="Arial" w:hAnsi="Arial" w:cs="Arial"/>
          <w:sz w:val="24"/>
          <w:szCs w:val="24"/>
        </w:rPr>
        <w:t xml:space="preserve"> interseccionalidad. Además, se incorporaron cuatro tipificaciones nuevas a las formas de violencias existentes: violencia política, multicausal, informática y ginecológica. </w:t>
      </w:r>
    </w:p>
    <w:p>
      <w:pPr>
        <w:pStyle w:val="15"/>
        <w:numPr>
          <w:ilvl w:val="0"/>
          <w:numId w:val="1"/>
        </w:numPr>
        <w:jc w:val="both"/>
        <w:rPr>
          <w:rFonts w:ascii="Arial" w:hAnsi="Arial" w:cs="Arial"/>
          <w:sz w:val="24"/>
          <w:szCs w:val="24"/>
        </w:rPr>
      </w:pPr>
      <w:r>
        <w:rPr>
          <w:rFonts w:ascii="Arial" w:hAnsi="Arial" w:cs="Arial"/>
          <w:sz w:val="24"/>
          <w:szCs w:val="24"/>
        </w:rPr>
        <w:t>E</w:t>
      </w:r>
      <w:r>
        <w:rPr>
          <w:rFonts w:ascii="Arial" w:hAnsi="Arial" w:cs="Arial"/>
          <w:sz w:val="24"/>
          <w:szCs w:val="24"/>
          <w:lang w:val="es-MX"/>
        </w:rPr>
        <w:t>n e</w:t>
      </w:r>
      <w:r>
        <w:rPr>
          <w:rFonts w:ascii="Arial" w:hAnsi="Arial" w:cs="Arial"/>
          <w:sz w:val="24"/>
          <w:szCs w:val="24"/>
        </w:rPr>
        <w:t>l noveno informe el Estado Venezolano señaló que en el año 2018 la Asamblea Nacional Constituyente promulgó el Decreto Constituyente para la Promoción y Protección del Parto y Nacimiento Humanizado (</w:t>
      </w:r>
      <w:r>
        <w:rPr>
          <w:rFonts w:ascii="Arial" w:hAnsi="Arial" w:cs="Arial"/>
          <w:sz w:val="24"/>
          <w:szCs w:val="24"/>
          <w:lang w:val="es-MX"/>
        </w:rPr>
        <w:t>DC</w:t>
      </w:r>
      <w:r>
        <w:rPr>
          <w:rFonts w:ascii="Arial" w:hAnsi="Arial" w:cs="Arial"/>
          <w:sz w:val="24"/>
          <w:szCs w:val="24"/>
        </w:rPr>
        <w:t>PPPH)</w:t>
      </w:r>
      <w:r>
        <w:rPr>
          <w:rStyle w:val="7"/>
          <w:rFonts w:ascii="Arial" w:hAnsi="Arial" w:cs="Arial"/>
          <w:bCs/>
          <w:sz w:val="24"/>
          <w:szCs w:val="24"/>
        </w:rPr>
        <w:footnoteReference w:id="10"/>
      </w:r>
      <w:r>
        <w:rPr>
          <w:rFonts w:ascii="Arial" w:hAnsi="Arial" w:cs="Arial"/>
          <w:sz w:val="24"/>
          <w:szCs w:val="24"/>
        </w:rPr>
        <w:t>, cuyo objeto se centra en proteger y garantizar el derecho humano al parto humanizado, además de orientarse a disminuir la mortalidad materna. Sin embargo, no especifican los recursos y medios a través de los cuales el Sistema de Salud garantizar</w:t>
      </w:r>
      <w:r>
        <w:rPr>
          <w:rFonts w:ascii="Arial" w:hAnsi="Arial" w:cs="Arial"/>
          <w:sz w:val="24"/>
          <w:szCs w:val="24"/>
          <w:lang w:val="es-MX"/>
        </w:rPr>
        <w:t>á</w:t>
      </w:r>
      <w:r>
        <w:rPr>
          <w:rFonts w:ascii="Arial" w:hAnsi="Arial" w:cs="Arial"/>
          <w:sz w:val="24"/>
          <w:szCs w:val="24"/>
        </w:rPr>
        <w:t xml:space="preserve"> estos derechos considerando que la normativa en salud sexual y salud reproductiva, así como los protocolos existentes no están alineados con los artículos del decreto. El informe del Estado no da cuenta de la grave situación en la cual se encuentra el Sistema de Salud, cuya precariedad contribuye a violentar los derechos fundamentales de las personas y propicia los actos constitutivos de violencia contra las mujeres desde todas las dimensiones tipificadas en la Ley</w:t>
      </w:r>
      <w:r>
        <w:rPr>
          <w:rFonts w:ascii="Arial" w:hAnsi="Arial" w:cs="Arial"/>
          <w:sz w:val="24"/>
          <w:szCs w:val="24"/>
          <w:lang w:val="es-MX"/>
        </w:rPr>
        <w:t xml:space="preserve"> y otras no reconocidas aún</w:t>
      </w:r>
      <w:r>
        <w:rPr>
          <w:rFonts w:ascii="Arial" w:hAnsi="Arial" w:cs="Arial"/>
          <w:sz w:val="24"/>
          <w:szCs w:val="24"/>
        </w:rPr>
        <w:t xml:space="preserve">. </w:t>
      </w:r>
    </w:p>
    <w:p>
      <w:pPr>
        <w:pStyle w:val="15"/>
        <w:numPr>
          <w:ilvl w:val="0"/>
          <w:numId w:val="1"/>
        </w:numPr>
        <w:jc w:val="both"/>
        <w:rPr>
          <w:rFonts w:ascii="Arial" w:hAnsi="Arial" w:cs="Arial"/>
          <w:sz w:val="24"/>
          <w:szCs w:val="24"/>
        </w:rPr>
      </w:pPr>
      <w:r>
        <w:rPr>
          <w:rFonts w:ascii="Arial" w:hAnsi="Arial" w:cs="Arial"/>
          <w:sz w:val="24"/>
          <w:szCs w:val="24"/>
        </w:rPr>
        <w:t xml:space="preserve">El Estado en su informe se refirió a la reforma de la LODMVLV, específicamente en el Capítulo VII, artículo 66 hace referencia a los actos constitutivos considerados como </w:t>
      </w:r>
      <w:r>
        <w:rPr>
          <w:rFonts w:ascii="Arial" w:hAnsi="Arial" w:cs="Arial"/>
          <w:sz w:val="24"/>
          <w:szCs w:val="24"/>
          <w:lang w:val="es-MX"/>
        </w:rPr>
        <w:t>VO,</w:t>
      </w:r>
      <w:r>
        <w:rPr>
          <w:rFonts w:ascii="Arial" w:hAnsi="Arial" w:cs="Arial"/>
          <w:sz w:val="24"/>
          <w:szCs w:val="24"/>
        </w:rPr>
        <w:t xml:space="preserve"> ejecutados por el personal de salud, incorporando los derechos reconocidos en el D</w:t>
      </w:r>
      <w:r>
        <w:rPr>
          <w:rFonts w:ascii="Arial" w:hAnsi="Arial" w:cs="Arial"/>
          <w:sz w:val="24"/>
          <w:szCs w:val="24"/>
          <w:lang w:val="es-MX"/>
        </w:rPr>
        <w:t>DC</w:t>
      </w:r>
      <w:r>
        <w:rPr>
          <w:rFonts w:ascii="Arial" w:hAnsi="Arial" w:cs="Arial"/>
          <w:sz w:val="24"/>
          <w:szCs w:val="24"/>
        </w:rPr>
        <w:t>PPPH. Asimismo, el referido artículo señala que se impondrá una sanción pecuniaria, pero no de tipo penal, especificando que deberá remitirse una copia certificada de la sentencia condenatoria debidamente firme al respectivo colegio profesional.</w:t>
      </w:r>
    </w:p>
    <w:p>
      <w:pPr>
        <w:pStyle w:val="15"/>
        <w:numPr>
          <w:ilvl w:val="0"/>
          <w:numId w:val="1"/>
        </w:numPr>
        <w:jc w:val="both"/>
        <w:rPr>
          <w:rFonts w:ascii="Arial" w:hAnsi="Arial" w:cs="Arial"/>
          <w:sz w:val="24"/>
          <w:szCs w:val="24"/>
        </w:rPr>
      </w:pPr>
      <w:r>
        <w:rPr>
          <w:rFonts w:ascii="Arial" w:hAnsi="Arial" w:cs="Arial"/>
          <w:bCs/>
          <w:sz w:val="24"/>
          <w:szCs w:val="24"/>
        </w:rPr>
        <w:t xml:space="preserve">La LODMVLV no contempló aspectos relacionados con la reparación e indemnización a las víctimas de </w:t>
      </w:r>
      <w:r>
        <w:rPr>
          <w:rFonts w:ascii="Arial" w:hAnsi="Arial" w:cs="Arial"/>
          <w:bCs/>
          <w:sz w:val="24"/>
          <w:szCs w:val="24"/>
          <w:lang w:val="es-MX"/>
        </w:rPr>
        <w:t>VO</w:t>
      </w:r>
      <w:r>
        <w:rPr>
          <w:rFonts w:ascii="Arial" w:hAnsi="Arial" w:cs="Arial"/>
          <w:bCs/>
          <w:sz w:val="24"/>
          <w:szCs w:val="24"/>
        </w:rPr>
        <w:t xml:space="preserve"> considerando que es causado por la dinámica de poder dentro del sistema de salud y puede tener un impacto físico y psicológico en la vida de las mujeres. </w:t>
      </w:r>
    </w:p>
    <w:p>
      <w:pPr>
        <w:pStyle w:val="15"/>
        <w:numPr>
          <w:ilvl w:val="0"/>
          <w:numId w:val="1"/>
        </w:numPr>
        <w:jc w:val="both"/>
        <w:rPr>
          <w:rFonts w:ascii="Arial" w:hAnsi="Arial" w:cs="Arial"/>
          <w:sz w:val="24"/>
          <w:szCs w:val="24"/>
        </w:rPr>
      </w:pPr>
      <w:r>
        <w:rPr>
          <w:rFonts w:ascii="Arial" w:hAnsi="Arial" w:cs="Arial"/>
          <w:sz w:val="24"/>
          <w:szCs w:val="24"/>
        </w:rPr>
        <w:t xml:space="preserve">El Estado no brindó información relacionada con la existencia de un protocolo de actuación por parte de los colegios médicos y el Ministerio del Poder Popular para la Salud para sancionar al personal de salud que es denunciado e incurre en este tipo de delito, por lo que se desconocen la imposición de sanciones, lo que no garantiza la no repetición del hecho. En el noveno informe no se presentó información oficial sobre el número de denuncias por </w:t>
      </w:r>
      <w:r>
        <w:rPr>
          <w:rFonts w:ascii="Arial" w:hAnsi="Arial" w:cs="Arial"/>
          <w:sz w:val="24"/>
          <w:szCs w:val="24"/>
          <w:lang w:val="es-MX"/>
        </w:rPr>
        <w:t>VO</w:t>
      </w:r>
      <w:r>
        <w:rPr>
          <w:rFonts w:ascii="Arial" w:hAnsi="Arial" w:cs="Arial"/>
          <w:sz w:val="24"/>
          <w:szCs w:val="24"/>
        </w:rPr>
        <w:t xml:space="preserve">, o de cuántas sentencias condenatorias se han expedido. </w:t>
      </w:r>
    </w:p>
    <w:p>
      <w:pPr>
        <w:pStyle w:val="15"/>
        <w:ind w:left="360"/>
        <w:jc w:val="both"/>
        <w:rPr>
          <w:rFonts w:ascii="Arial" w:hAnsi="Arial" w:cs="Arial"/>
          <w:sz w:val="24"/>
          <w:szCs w:val="24"/>
        </w:rPr>
      </w:pPr>
    </w:p>
    <w:p>
      <w:pPr>
        <w:pStyle w:val="15"/>
        <w:ind w:left="360"/>
        <w:jc w:val="both"/>
        <w:rPr>
          <w:rFonts w:ascii="Arial" w:hAnsi="Arial" w:cs="Arial"/>
          <w:sz w:val="24"/>
          <w:szCs w:val="24"/>
        </w:rPr>
      </w:pPr>
    </w:p>
    <w:p>
      <w:pPr>
        <w:pStyle w:val="15"/>
        <w:jc w:val="both"/>
        <w:rPr>
          <w:rFonts w:ascii="Arial" w:hAnsi="Arial" w:cs="Arial"/>
          <w:b/>
          <w:sz w:val="24"/>
          <w:szCs w:val="24"/>
        </w:rPr>
      </w:pPr>
      <w:r>
        <w:rPr>
          <w:rFonts w:ascii="Arial" w:hAnsi="Arial" w:cs="Arial"/>
          <w:b/>
          <w:sz w:val="24"/>
          <w:szCs w:val="24"/>
        </w:rPr>
        <w:t>IV.- Políticas públicas dirigidas a la atención del parto y nacimiento</w:t>
      </w:r>
    </w:p>
    <w:p>
      <w:pPr>
        <w:pStyle w:val="15"/>
        <w:jc w:val="both"/>
        <w:rPr>
          <w:rFonts w:ascii="Arial" w:hAnsi="Arial" w:cs="Arial"/>
          <w:b/>
          <w:sz w:val="24"/>
          <w:szCs w:val="24"/>
        </w:rPr>
      </w:pPr>
    </w:p>
    <w:p>
      <w:pPr>
        <w:pStyle w:val="15"/>
        <w:numPr>
          <w:ilvl w:val="0"/>
          <w:numId w:val="1"/>
        </w:numPr>
        <w:jc w:val="both"/>
        <w:rPr>
          <w:rFonts w:ascii="Arial" w:hAnsi="Arial" w:cs="Arial"/>
          <w:sz w:val="24"/>
          <w:szCs w:val="24"/>
        </w:rPr>
      </w:pPr>
      <w:r>
        <w:rPr>
          <w:rFonts w:ascii="Arial" w:hAnsi="Arial" w:cs="Arial"/>
          <w:sz w:val="24"/>
          <w:szCs w:val="24"/>
        </w:rPr>
        <w:t xml:space="preserve">En junio de 2017 el Estado venezolano aprobó como política pública el </w:t>
      </w:r>
      <w:r>
        <w:rPr>
          <w:rFonts w:ascii="Arial" w:hAnsi="Arial" w:cs="Arial"/>
          <w:sz w:val="24"/>
          <w:szCs w:val="24"/>
          <w:lang w:val="es-MX"/>
        </w:rPr>
        <w:t xml:space="preserve">Plan Nacional de </w:t>
      </w:r>
      <w:r>
        <w:rPr>
          <w:rFonts w:ascii="Arial" w:hAnsi="Arial" w:cs="Arial"/>
          <w:sz w:val="24"/>
          <w:szCs w:val="24"/>
        </w:rPr>
        <w:t>Parto Humanizado</w:t>
      </w:r>
      <w:r>
        <w:rPr>
          <w:rStyle w:val="7"/>
          <w:rFonts w:ascii="Arial" w:hAnsi="Arial" w:cs="Arial"/>
          <w:i/>
          <w:sz w:val="24"/>
          <w:szCs w:val="24"/>
          <w:lang w:val="es-MX"/>
        </w:rPr>
        <w:footnoteReference w:id="11"/>
      </w:r>
      <w:r>
        <w:rPr>
          <w:rFonts w:ascii="Arial" w:hAnsi="Arial" w:cs="Arial"/>
          <w:sz w:val="24"/>
          <w:szCs w:val="24"/>
        </w:rPr>
        <w:t xml:space="preserve"> con la finalidad de promover el acompañamiento de las mujeres y sus familias durante su proceso de gestación, proximidad del parto, postparto, lactancia materna y crianza respetuosa. El Ministerio del Poder Popular para la Mujer e Igualdad de Género (MPPMIG), coordina el trabajo de las promotoras de este plan destinado al acompañamiento de las gestantes en las propias comunidades. </w:t>
      </w:r>
    </w:p>
    <w:p>
      <w:pPr>
        <w:pStyle w:val="15"/>
        <w:numPr>
          <w:ilvl w:val="0"/>
          <w:numId w:val="1"/>
        </w:numPr>
        <w:jc w:val="both"/>
        <w:rPr>
          <w:rFonts w:ascii="Arial" w:hAnsi="Arial" w:cs="Arial"/>
          <w:sz w:val="24"/>
          <w:szCs w:val="24"/>
        </w:rPr>
      </w:pPr>
      <w:r>
        <w:rPr>
          <w:rFonts w:ascii="Arial" w:hAnsi="Arial" w:cs="Arial"/>
          <w:sz w:val="24"/>
          <w:szCs w:val="24"/>
        </w:rPr>
        <w:t>El comité</w:t>
      </w:r>
      <w:r>
        <w:rPr>
          <w:rFonts w:hint="default" w:ascii="Arial" w:hAnsi="Arial" w:cs="Arial"/>
          <w:sz w:val="24"/>
          <w:szCs w:val="24"/>
          <w:lang w:val="es-MX"/>
        </w:rPr>
        <w:t>,</w:t>
      </w:r>
      <w:r>
        <w:rPr>
          <w:rFonts w:ascii="Arial" w:hAnsi="Arial" w:cs="Arial"/>
          <w:sz w:val="24"/>
          <w:szCs w:val="24"/>
        </w:rPr>
        <w:t xml:space="preserve"> en la lista de cuestiones y preguntas relativas al noveno informe periódico presentado por el Estado</w:t>
      </w:r>
      <w:r>
        <w:rPr>
          <w:rFonts w:hint="default" w:ascii="Arial" w:hAnsi="Arial" w:cs="Arial"/>
          <w:sz w:val="24"/>
          <w:szCs w:val="24"/>
          <w:lang w:val="es-MX"/>
        </w:rPr>
        <w:t>,</w:t>
      </w:r>
      <w:r>
        <w:rPr>
          <w:rFonts w:ascii="Arial" w:hAnsi="Arial" w:cs="Arial"/>
          <w:sz w:val="24"/>
          <w:szCs w:val="24"/>
        </w:rPr>
        <w:t xml:space="preserve"> solicita información sobre la implementación del P</w:t>
      </w:r>
      <w:r>
        <w:rPr>
          <w:rFonts w:ascii="Arial" w:hAnsi="Arial" w:cs="Arial"/>
          <w:sz w:val="24"/>
          <w:szCs w:val="24"/>
          <w:lang w:val="es-MX"/>
        </w:rPr>
        <w:t>N</w:t>
      </w:r>
      <w:r>
        <w:rPr>
          <w:rFonts w:ascii="Arial" w:hAnsi="Arial" w:cs="Arial"/>
          <w:sz w:val="24"/>
          <w:szCs w:val="24"/>
        </w:rPr>
        <w:t>PH y su presupuesto</w:t>
      </w:r>
      <w:r>
        <w:rPr>
          <w:rFonts w:hint="default" w:ascii="Arial" w:hAnsi="Arial" w:cs="Arial"/>
          <w:sz w:val="24"/>
          <w:szCs w:val="24"/>
          <w:lang w:val="es-MX"/>
        </w:rPr>
        <w:t>. Estos</w:t>
      </w:r>
      <w:r>
        <w:rPr>
          <w:rFonts w:ascii="Arial" w:hAnsi="Arial" w:cs="Arial"/>
          <w:sz w:val="24"/>
          <w:szCs w:val="24"/>
        </w:rPr>
        <w:t xml:space="preserve"> datos no están reflejados en sus informes. El Estado señaló haber alcanzado 800</w:t>
      </w:r>
      <w:r>
        <w:rPr>
          <w:rFonts w:ascii="Arial" w:hAnsi="Arial" w:cs="Arial"/>
          <w:sz w:val="24"/>
          <w:szCs w:val="24"/>
          <w:lang w:val="es-MX"/>
        </w:rPr>
        <w:t xml:space="preserve"> </w:t>
      </w:r>
      <w:r>
        <w:rPr>
          <w:rFonts w:ascii="Arial" w:hAnsi="Arial" w:cs="Arial"/>
          <w:sz w:val="24"/>
          <w:szCs w:val="24"/>
        </w:rPr>
        <w:t>mil mujeres gestantes y en proceso de lactancia, sin embargo, no mencionó los mecanismos empleados para evaluar la experiencia de parto</w:t>
      </w:r>
      <w:r>
        <w:rPr>
          <w:rFonts w:hint="default" w:ascii="Arial" w:hAnsi="Arial" w:cs="Arial"/>
          <w:sz w:val="24"/>
          <w:szCs w:val="24"/>
          <w:lang w:val="es-MX"/>
        </w:rPr>
        <w:t>,</w:t>
      </w:r>
      <w:r>
        <w:rPr>
          <w:rFonts w:ascii="Arial" w:hAnsi="Arial" w:cs="Arial"/>
          <w:sz w:val="24"/>
          <w:szCs w:val="24"/>
        </w:rPr>
        <w:t xml:space="preserve"> nacimiento</w:t>
      </w:r>
      <w:r>
        <w:rPr>
          <w:rFonts w:hint="default" w:ascii="Arial" w:hAnsi="Arial" w:cs="Arial"/>
          <w:sz w:val="24"/>
          <w:szCs w:val="24"/>
          <w:lang w:val="es-MX"/>
        </w:rPr>
        <w:t xml:space="preserve"> y lactancia</w:t>
      </w:r>
      <w:r>
        <w:rPr>
          <w:rFonts w:ascii="Arial" w:hAnsi="Arial" w:cs="Arial"/>
          <w:sz w:val="24"/>
          <w:szCs w:val="24"/>
        </w:rPr>
        <w:t xml:space="preserve"> de estas mujeres</w:t>
      </w:r>
      <w:r>
        <w:rPr>
          <w:rFonts w:ascii="Arial" w:hAnsi="Arial" w:cs="Arial"/>
          <w:sz w:val="24"/>
          <w:szCs w:val="24"/>
          <w:lang w:val="es-MX"/>
        </w:rPr>
        <w:t>, así como</w:t>
      </w:r>
      <w:r>
        <w:rPr>
          <w:rFonts w:ascii="Arial" w:hAnsi="Arial" w:cs="Arial"/>
          <w:sz w:val="24"/>
          <w:szCs w:val="24"/>
        </w:rPr>
        <w:t xml:space="preserve"> </w:t>
      </w:r>
      <w:r>
        <w:rPr>
          <w:rFonts w:hint="default" w:ascii="Arial" w:hAnsi="Arial" w:cs="Arial"/>
          <w:sz w:val="24"/>
          <w:szCs w:val="24"/>
          <w:lang w:val="es-MX"/>
        </w:rPr>
        <w:t xml:space="preserve">tampoco los mecanismos aplicados </w:t>
      </w:r>
      <w:r>
        <w:rPr>
          <w:rFonts w:ascii="Arial" w:hAnsi="Arial" w:cs="Arial"/>
          <w:sz w:val="24"/>
          <w:szCs w:val="24"/>
        </w:rPr>
        <w:t xml:space="preserve">para identificar la existencia de prácticas de </w:t>
      </w:r>
      <w:r>
        <w:rPr>
          <w:rFonts w:ascii="Arial" w:hAnsi="Arial" w:cs="Arial"/>
          <w:sz w:val="24"/>
          <w:szCs w:val="24"/>
          <w:lang w:val="es-MX"/>
        </w:rPr>
        <w:t>V</w:t>
      </w:r>
      <w:r>
        <w:rPr>
          <w:rFonts w:ascii="Arial" w:hAnsi="Arial" w:cs="Arial"/>
          <w:sz w:val="24"/>
          <w:szCs w:val="24"/>
        </w:rPr>
        <w:t>O que pudieran dar cuenta de la efectividad e impacto del P</w:t>
      </w:r>
      <w:r>
        <w:rPr>
          <w:rFonts w:ascii="Arial" w:hAnsi="Arial" w:cs="Arial"/>
          <w:sz w:val="24"/>
          <w:szCs w:val="24"/>
          <w:lang w:val="es-MX"/>
        </w:rPr>
        <w:t>N</w:t>
      </w:r>
      <w:r>
        <w:rPr>
          <w:rFonts w:ascii="Arial" w:hAnsi="Arial" w:cs="Arial"/>
          <w:sz w:val="24"/>
          <w:szCs w:val="24"/>
        </w:rPr>
        <w:t xml:space="preserve">PH. </w:t>
      </w:r>
    </w:p>
    <w:p>
      <w:pPr>
        <w:pStyle w:val="15"/>
        <w:numPr>
          <w:ilvl w:val="0"/>
          <w:numId w:val="1"/>
        </w:numPr>
        <w:jc w:val="both"/>
        <w:rPr>
          <w:rFonts w:ascii="Arial" w:hAnsi="Arial" w:cs="Arial"/>
          <w:sz w:val="24"/>
          <w:szCs w:val="24"/>
        </w:rPr>
      </w:pPr>
      <w:r>
        <w:rPr>
          <w:rFonts w:ascii="Arial" w:hAnsi="Arial" w:cs="Arial"/>
          <w:sz w:val="24"/>
          <w:szCs w:val="24"/>
        </w:rPr>
        <w:t>El P</w:t>
      </w:r>
      <w:r>
        <w:rPr>
          <w:rFonts w:ascii="Arial" w:hAnsi="Arial" w:cs="Arial"/>
          <w:sz w:val="24"/>
          <w:szCs w:val="24"/>
          <w:lang w:val="es-MX"/>
        </w:rPr>
        <w:t>N</w:t>
      </w:r>
      <w:r>
        <w:rPr>
          <w:rFonts w:ascii="Arial" w:hAnsi="Arial" w:cs="Arial"/>
          <w:sz w:val="24"/>
          <w:szCs w:val="24"/>
        </w:rPr>
        <w:t xml:space="preserve">PH está concebido y operativizado desde el MPPMIG, por tanto, su personal carece de competencias directas para impactar en las acciones del personal de salud, aun cuando es precisamente en esos espacios en donde se presenta el fenómeno de la VO, por ello su acción es limitada. Además, al obviar el origen de esta particular forma de violencia, este plan no contempla el brindar formación al personal de salud o seguimiento a los casos que se presentan, así como tampoco incorpora cambios en los protocolos y normativas de atención al parto y nacimiento basados en evidencia científica que pudieran eliminar tales prácticas.  </w:t>
      </w:r>
    </w:p>
    <w:p>
      <w:pPr>
        <w:pStyle w:val="15"/>
        <w:numPr>
          <w:ilvl w:val="0"/>
          <w:numId w:val="1"/>
        </w:numPr>
        <w:jc w:val="both"/>
        <w:rPr>
          <w:rFonts w:ascii="Arial" w:hAnsi="Arial" w:cs="Arial"/>
          <w:sz w:val="24"/>
          <w:szCs w:val="24"/>
        </w:rPr>
      </w:pPr>
      <w:r>
        <w:rPr>
          <w:rFonts w:ascii="Arial" w:hAnsi="Arial" w:cs="Arial"/>
          <w:sz w:val="24"/>
          <w:szCs w:val="24"/>
        </w:rPr>
        <w:t xml:space="preserve">Aun cuando la LODMVLV define y tipifica a la </w:t>
      </w:r>
      <w:r>
        <w:rPr>
          <w:rFonts w:ascii="Arial" w:hAnsi="Arial" w:cs="Arial"/>
          <w:sz w:val="24"/>
          <w:szCs w:val="24"/>
          <w:lang w:val="es-MX"/>
        </w:rPr>
        <w:t>VO</w:t>
      </w:r>
      <w:r>
        <w:rPr>
          <w:rFonts w:ascii="Arial" w:hAnsi="Arial" w:cs="Arial"/>
          <w:sz w:val="24"/>
          <w:szCs w:val="24"/>
        </w:rPr>
        <w:t xml:space="preserve"> y ginecológica, ésta sigue siendo un fenómeno desapercibido y naturalizado dentro de las instituciones públicas o privadas de salud por parte del personal, tanto en la atención a las gestantes, como en la formación y práctica asistencial de las y los estudiantes de las carreras de</w:t>
      </w:r>
      <w:r>
        <w:rPr>
          <w:rFonts w:hint="default" w:ascii="Arial" w:hAnsi="Arial" w:cs="Arial"/>
          <w:sz w:val="24"/>
          <w:szCs w:val="24"/>
          <w:lang w:val="es-MX"/>
        </w:rPr>
        <w:t xml:space="preserve"> ciencias de la salud,</w:t>
      </w:r>
      <w:r>
        <w:rPr>
          <w:rFonts w:ascii="Arial" w:hAnsi="Arial" w:cs="Arial"/>
          <w:sz w:val="24"/>
          <w:szCs w:val="24"/>
        </w:rPr>
        <w:t xml:space="preserve"> medicina y enfermería. </w:t>
      </w:r>
    </w:p>
    <w:p>
      <w:pPr>
        <w:pStyle w:val="15"/>
        <w:numPr>
          <w:ilvl w:val="0"/>
          <w:numId w:val="1"/>
        </w:numPr>
        <w:jc w:val="both"/>
        <w:rPr>
          <w:rFonts w:ascii="Arial" w:hAnsi="Arial" w:cs="Arial"/>
          <w:sz w:val="24"/>
          <w:szCs w:val="24"/>
        </w:rPr>
      </w:pPr>
      <w:r>
        <w:rPr>
          <w:rFonts w:ascii="Arial" w:hAnsi="Arial" w:cs="Arial"/>
          <w:sz w:val="24"/>
          <w:szCs w:val="24"/>
        </w:rPr>
        <w:t>Cabe acotar que el Estado no suministró información sobre las medidas adoptadas para concienciar a las mujeres sobre sus derechos y los recursos legales de que disponen en todos los ámbitos de la ley. Es inexistente una política comunicacional a través de campañas de difusión de la LODMVLV y el DCP</w:t>
      </w:r>
      <w:r>
        <w:rPr>
          <w:rFonts w:ascii="Arial" w:hAnsi="Arial" w:cs="Arial"/>
          <w:sz w:val="24"/>
          <w:szCs w:val="24"/>
          <w:lang w:val="es-MX"/>
        </w:rPr>
        <w:t>N</w:t>
      </w:r>
      <w:r>
        <w:rPr>
          <w:rFonts w:ascii="Arial" w:hAnsi="Arial" w:cs="Arial"/>
          <w:sz w:val="24"/>
          <w:szCs w:val="24"/>
        </w:rPr>
        <w:t xml:space="preserve">PPH dirigida al personal de Sistema Nacional de Salud, al gremio médico o de enfermería y a las comunidades en general. </w:t>
      </w:r>
    </w:p>
    <w:p>
      <w:pPr>
        <w:pStyle w:val="15"/>
        <w:numPr>
          <w:ilvl w:val="0"/>
          <w:numId w:val="1"/>
        </w:numPr>
        <w:jc w:val="both"/>
        <w:rPr>
          <w:rFonts w:ascii="Arial" w:hAnsi="Arial" w:cs="Arial"/>
          <w:sz w:val="24"/>
          <w:szCs w:val="24"/>
        </w:rPr>
      </w:pPr>
      <w:r>
        <w:rPr>
          <w:rFonts w:ascii="Arial" w:hAnsi="Arial" w:cs="Arial"/>
          <w:sz w:val="24"/>
          <w:szCs w:val="24"/>
        </w:rPr>
        <w:t>Por otra parte, en el Estado en su noveno informe señaló que desde el 2018 se viene implementando la “</w:t>
      </w:r>
      <w:r>
        <w:rPr>
          <w:rFonts w:ascii="Arial" w:hAnsi="Arial" w:cs="Arial"/>
          <w:i/>
          <w:iCs/>
          <w:sz w:val="24"/>
          <w:szCs w:val="24"/>
        </w:rPr>
        <w:t>Estrategia Concertada para la Reducción de la Mortalidad Materna y Neonatal</w:t>
      </w:r>
      <w:r>
        <w:rPr>
          <w:rFonts w:ascii="Arial" w:hAnsi="Arial" w:cs="Arial"/>
          <w:sz w:val="24"/>
          <w:szCs w:val="24"/>
        </w:rPr>
        <w:t>” y que dentro de ésta se desarrolla la “</w:t>
      </w:r>
      <w:r>
        <w:rPr>
          <w:rFonts w:ascii="Arial" w:hAnsi="Arial" w:cs="Arial"/>
          <w:i/>
          <w:iCs/>
          <w:sz w:val="24"/>
          <w:szCs w:val="24"/>
        </w:rPr>
        <w:t>Ruta Materna</w:t>
      </w:r>
      <w:r>
        <w:rPr>
          <w:rFonts w:ascii="Arial" w:hAnsi="Arial" w:cs="Arial"/>
          <w:sz w:val="24"/>
          <w:szCs w:val="24"/>
        </w:rPr>
        <w:t>”</w:t>
      </w:r>
      <w:r>
        <w:rPr>
          <w:rStyle w:val="7"/>
          <w:rFonts w:ascii="Arial" w:hAnsi="Arial" w:cs="Arial"/>
          <w:sz w:val="24"/>
          <w:szCs w:val="24"/>
        </w:rPr>
        <w:footnoteReference w:id="12"/>
      </w:r>
      <w:r>
        <w:rPr>
          <w:rFonts w:ascii="Arial" w:hAnsi="Arial" w:cs="Arial"/>
          <w:sz w:val="24"/>
          <w:szCs w:val="24"/>
        </w:rPr>
        <w:t>, que es una estrategia de gestión dirigida a mejorar la calidad de atención de las embarazadas desde la captación, cuidados prenatales, atención obstétrica y anticoncepción, con miras a reducir la morbilidad materna grave, la mortalidad materna y la mortalidad neonatal. El Estado destaca una serie de logros que no se corresponden con los datos recabados por las organizaciones que conforman esta coalición y que se presentan a continuación.</w:t>
      </w:r>
    </w:p>
    <w:p>
      <w:pPr>
        <w:pStyle w:val="15"/>
        <w:jc w:val="both"/>
        <w:rPr>
          <w:rFonts w:ascii="Arial" w:hAnsi="Arial" w:cs="Arial"/>
          <w:sz w:val="24"/>
          <w:szCs w:val="24"/>
        </w:rPr>
      </w:pPr>
    </w:p>
    <w:p>
      <w:pPr>
        <w:pStyle w:val="15"/>
        <w:jc w:val="both"/>
        <w:rPr>
          <w:rFonts w:ascii="Arial" w:hAnsi="Arial" w:cs="Arial"/>
          <w:sz w:val="24"/>
          <w:szCs w:val="24"/>
        </w:rPr>
      </w:pPr>
    </w:p>
    <w:p>
      <w:pPr>
        <w:pStyle w:val="15"/>
        <w:jc w:val="both"/>
        <w:rPr>
          <w:rFonts w:ascii="Arial" w:hAnsi="Arial" w:cs="Arial"/>
          <w:sz w:val="24"/>
          <w:szCs w:val="24"/>
        </w:rPr>
      </w:pPr>
      <w:r>
        <w:rPr>
          <w:rFonts w:ascii="Arial" w:hAnsi="Arial" w:cs="Arial"/>
          <w:b/>
          <w:sz w:val="24"/>
          <w:szCs w:val="24"/>
        </w:rPr>
        <w:t>V.- Salud materna y violencia obstétrica</w:t>
      </w:r>
    </w:p>
    <w:p>
      <w:pPr>
        <w:pStyle w:val="15"/>
        <w:jc w:val="both"/>
        <w:rPr>
          <w:rFonts w:ascii="Arial" w:hAnsi="Arial" w:cs="Arial"/>
          <w:sz w:val="24"/>
          <w:szCs w:val="24"/>
        </w:rPr>
      </w:pPr>
    </w:p>
    <w:p>
      <w:pPr>
        <w:pStyle w:val="15"/>
        <w:numPr>
          <w:ilvl w:val="0"/>
          <w:numId w:val="1"/>
        </w:numPr>
        <w:jc w:val="both"/>
        <w:rPr>
          <w:rFonts w:ascii="Arial" w:hAnsi="Arial" w:cs="Arial"/>
          <w:sz w:val="24"/>
          <w:szCs w:val="24"/>
        </w:rPr>
      </w:pPr>
      <w:r>
        <w:rPr>
          <w:rFonts w:ascii="Arial" w:hAnsi="Arial" w:cs="Arial"/>
          <w:sz w:val="24"/>
          <w:szCs w:val="24"/>
        </w:rPr>
        <w:t>Hasta el presente, la República Bolivariana de Venezuela carece de datos oficiales que informen sobre la atención en salud prenatal, parto, nacimiento y pos</w:t>
      </w:r>
      <w:r>
        <w:rPr>
          <w:rFonts w:ascii="Arial" w:hAnsi="Arial" w:cs="Arial"/>
          <w:sz w:val="24"/>
          <w:szCs w:val="24"/>
          <w:lang w:val="es-MX"/>
        </w:rPr>
        <w:t>t</w:t>
      </w:r>
      <w:r>
        <w:rPr>
          <w:rFonts w:ascii="Arial" w:hAnsi="Arial" w:cs="Arial"/>
          <w:sz w:val="24"/>
          <w:szCs w:val="24"/>
        </w:rPr>
        <w:t xml:space="preserve">parto. Las informaciones reflejadas en el informe del Estado sobre este tema no forman parte de ningún documento público oficial y sólo pueden ser encontradas en ese documento, ejemplo de ello es que seguimos sin acceso al Boletín epidemiológico cuya última publicación es del 2016.  </w:t>
      </w:r>
    </w:p>
    <w:p>
      <w:pPr>
        <w:pStyle w:val="15"/>
        <w:numPr>
          <w:ilvl w:val="0"/>
          <w:numId w:val="1"/>
        </w:numPr>
        <w:jc w:val="both"/>
        <w:rPr>
          <w:rFonts w:ascii="Arial" w:hAnsi="Arial" w:cs="Arial"/>
          <w:sz w:val="24"/>
          <w:szCs w:val="24"/>
        </w:rPr>
      </w:pPr>
      <w:r>
        <w:rPr>
          <w:rFonts w:ascii="Arial" w:hAnsi="Arial" w:cs="Arial"/>
          <w:sz w:val="24"/>
          <w:szCs w:val="24"/>
        </w:rPr>
        <w:t xml:space="preserve">En ausencia de esta información, cobran valor los estudios independientes que ofrecen información al respecto. Uno de ellos fue realizado a finales del año 2022 por el </w:t>
      </w:r>
      <w:r>
        <w:rPr>
          <w:rFonts w:ascii="Arial" w:hAnsi="Arial" w:cs="Arial"/>
          <w:i/>
          <w:sz w:val="24"/>
          <w:szCs w:val="24"/>
        </w:rPr>
        <w:t xml:space="preserve">Observatorio de Violencia Ginecobstétrica de Venezuela </w:t>
      </w:r>
      <w:r>
        <w:rPr>
          <w:rFonts w:ascii="Arial" w:hAnsi="Arial" w:cs="Arial"/>
          <w:sz w:val="24"/>
          <w:szCs w:val="24"/>
        </w:rPr>
        <w:t>(OVGOVE)</w:t>
      </w:r>
      <w:r>
        <w:rPr>
          <w:rStyle w:val="7"/>
          <w:rFonts w:ascii="Arial" w:hAnsi="Arial" w:cs="Arial"/>
          <w:sz w:val="24"/>
          <w:szCs w:val="24"/>
        </w:rPr>
        <w:footnoteReference w:id="13"/>
      </w:r>
      <w:r>
        <w:rPr>
          <w:rFonts w:ascii="Arial" w:hAnsi="Arial" w:cs="Arial"/>
          <w:sz w:val="24"/>
          <w:szCs w:val="24"/>
          <w:lang w:val="es-MX"/>
        </w:rPr>
        <w:t xml:space="preserve">. Concentrado </w:t>
      </w:r>
      <w:r>
        <w:rPr>
          <w:rFonts w:ascii="Arial" w:hAnsi="Arial" w:cs="Arial"/>
          <w:sz w:val="24"/>
          <w:szCs w:val="24"/>
        </w:rPr>
        <w:t xml:space="preserve">en los tres estados que conforman la región capital del país que </w:t>
      </w:r>
      <w:r>
        <w:rPr>
          <w:rFonts w:ascii="Arial" w:hAnsi="Arial" w:cs="Arial"/>
          <w:sz w:val="24"/>
          <w:szCs w:val="24"/>
          <w:lang w:val="es-MX"/>
        </w:rPr>
        <w:t>tuvo</w:t>
      </w:r>
      <w:r>
        <w:rPr>
          <w:rFonts w:ascii="Arial" w:hAnsi="Arial" w:cs="Arial"/>
          <w:sz w:val="24"/>
          <w:szCs w:val="24"/>
        </w:rPr>
        <w:t xml:space="preserve"> la intención de ofrecer un panorama del estado de la atención ginecobstétrica</w:t>
      </w:r>
      <w:r>
        <w:rPr>
          <w:rFonts w:hint="default" w:ascii="Arial" w:hAnsi="Arial" w:cs="Arial"/>
          <w:sz w:val="24"/>
          <w:szCs w:val="24"/>
          <w:lang w:val="es-MX"/>
        </w:rPr>
        <w:t>. O</w:t>
      </w:r>
      <w:r>
        <w:rPr>
          <w:rFonts w:ascii="Arial" w:hAnsi="Arial" w:cs="Arial"/>
          <w:sz w:val="24"/>
          <w:szCs w:val="24"/>
        </w:rPr>
        <w:t>tro fue realizado por AVESA en ese mismo año, en las ciudades más pobladas de los estados Táchira, Sucre y Apure, dirigido a obtener indicadores de salud sexual, salud reproductiva, salud materna, métodos anticonceptivos, ruta materna y violencia sexual</w:t>
      </w:r>
      <w:r>
        <w:rPr>
          <w:rStyle w:val="7"/>
          <w:rFonts w:ascii="Arial" w:hAnsi="Arial" w:cs="Arial"/>
          <w:sz w:val="24"/>
          <w:szCs w:val="24"/>
        </w:rPr>
        <w:footnoteReference w:id="14"/>
      </w:r>
      <w:r>
        <w:rPr>
          <w:rFonts w:ascii="Arial" w:hAnsi="Arial" w:cs="Arial"/>
          <w:sz w:val="24"/>
          <w:szCs w:val="24"/>
        </w:rPr>
        <w:t xml:space="preserve">.  </w:t>
      </w:r>
    </w:p>
    <w:p>
      <w:pPr>
        <w:pStyle w:val="15"/>
        <w:numPr>
          <w:ilvl w:val="0"/>
          <w:numId w:val="1"/>
        </w:numPr>
        <w:jc w:val="both"/>
        <w:rPr>
          <w:rFonts w:ascii="Arial" w:hAnsi="Arial" w:cs="Arial"/>
          <w:sz w:val="24"/>
          <w:szCs w:val="24"/>
        </w:rPr>
      </w:pPr>
      <w:r>
        <w:rPr>
          <w:rFonts w:ascii="Arial" w:hAnsi="Arial" w:cs="Arial"/>
          <w:sz w:val="24"/>
          <w:szCs w:val="24"/>
        </w:rPr>
        <w:t xml:space="preserve">Sobre la reproducción y difusión de la </w:t>
      </w:r>
      <w:r>
        <w:rPr>
          <w:rFonts w:ascii="Arial" w:hAnsi="Arial" w:cs="Arial"/>
          <w:i/>
          <w:sz w:val="24"/>
          <w:szCs w:val="24"/>
        </w:rPr>
        <w:t>Norma Oficial para la Atención Integral en Salud Sexual</w:t>
      </w:r>
      <w:r>
        <w:rPr>
          <w:rFonts w:ascii="Arial" w:hAnsi="Arial" w:cs="Arial"/>
          <w:sz w:val="24"/>
          <w:szCs w:val="24"/>
        </w:rPr>
        <w:t xml:space="preserve"> </w:t>
      </w:r>
      <w:r>
        <w:rPr>
          <w:rFonts w:ascii="Arial" w:hAnsi="Arial" w:cs="Arial"/>
          <w:i/>
          <w:sz w:val="24"/>
          <w:szCs w:val="24"/>
        </w:rPr>
        <w:t xml:space="preserve">y Reproductiva </w:t>
      </w:r>
      <w:r>
        <w:rPr>
          <w:rFonts w:ascii="Arial" w:hAnsi="Arial" w:cs="Arial"/>
          <w:sz w:val="24"/>
          <w:szCs w:val="24"/>
        </w:rPr>
        <w:t>(NOASSR) -</w:t>
      </w:r>
      <w:r>
        <w:rPr>
          <w:rFonts w:ascii="Arial" w:hAnsi="Arial" w:cs="Arial"/>
          <w:sz w:val="24"/>
          <w:szCs w:val="24"/>
          <w:lang w:val="es-MX"/>
        </w:rPr>
        <w:t xml:space="preserve">cuya última </w:t>
      </w:r>
      <w:r>
        <w:rPr>
          <w:rFonts w:ascii="Arial" w:hAnsi="Arial" w:cs="Arial"/>
          <w:sz w:val="24"/>
          <w:szCs w:val="24"/>
        </w:rPr>
        <w:t xml:space="preserve">actualización </w:t>
      </w:r>
      <w:r>
        <w:rPr>
          <w:rFonts w:ascii="Arial" w:hAnsi="Arial" w:cs="Arial"/>
          <w:sz w:val="24"/>
          <w:szCs w:val="24"/>
          <w:lang w:val="es-MX"/>
        </w:rPr>
        <w:t xml:space="preserve">fue </w:t>
      </w:r>
      <w:r>
        <w:rPr>
          <w:rFonts w:ascii="Arial" w:hAnsi="Arial" w:cs="Arial"/>
          <w:sz w:val="24"/>
          <w:szCs w:val="24"/>
        </w:rPr>
        <w:t xml:space="preserve">en </w:t>
      </w:r>
      <w:r>
        <w:rPr>
          <w:rFonts w:ascii="Arial" w:hAnsi="Arial" w:cs="Arial"/>
          <w:sz w:val="24"/>
          <w:szCs w:val="24"/>
          <w:lang w:val="es-MX"/>
        </w:rPr>
        <w:t xml:space="preserve">el año </w:t>
      </w:r>
      <w:r>
        <w:rPr>
          <w:rFonts w:ascii="Arial" w:hAnsi="Arial" w:cs="Arial"/>
          <w:sz w:val="24"/>
          <w:szCs w:val="24"/>
        </w:rPr>
        <w:t xml:space="preserve">2013-, </w:t>
      </w:r>
      <w:r>
        <w:rPr>
          <w:rFonts w:ascii="Arial" w:hAnsi="Arial" w:cs="Arial"/>
          <w:sz w:val="24"/>
          <w:szCs w:val="24"/>
          <w:lang w:val="es-MX"/>
        </w:rPr>
        <w:t xml:space="preserve">se reseña </w:t>
      </w:r>
      <w:r>
        <w:rPr>
          <w:rFonts w:ascii="Arial" w:hAnsi="Arial" w:cs="Arial"/>
          <w:sz w:val="24"/>
          <w:szCs w:val="24"/>
        </w:rPr>
        <w:t xml:space="preserve">el aseguramiento de la capacitación al personal de salud y los </w:t>
      </w:r>
      <w:r>
        <w:rPr>
          <w:rFonts w:ascii="Arial" w:hAnsi="Arial" w:cs="Arial"/>
          <w:i/>
          <w:sz w:val="24"/>
          <w:szCs w:val="24"/>
        </w:rPr>
        <w:t xml:space="preserve">Protocolos de atención en cuidados prenatales y atención obstétrica de emergencia </w:t>
      </w:r>
      <w:r>
        <w:rPr>
          <w:rFonts w:ascii="Arial" w:hAnsi="Arial" w:cs="Arial"/>
          <w:sz w:val="24"/>
          <w:szCs w:val="24"/>
        </w:rPr>
        <w:t>(PACP-PAOE)</w:t>
      </w:r>
      <w:r>
        <w:rPr>
          <w:rFonts w:ascii="Arial" w:hAnsi="Arial" w:cs="Arial"/>
          <w:i/>
          <w:sz w:val="24"/>
          <w:szCs w:val="24"/>
        </w:rPr>
        <w:t xml:space="preserve"> </w:t>
      </w:r>
      <w:r>
        <w:rPr>
          <w:rFonts w:ascii="Arial" w:hAnsi="Arial" w:cs="Arial"/>
          <w:sz w:val="24"/>
          <w:szCs w:val="24"/>
        </w:rPr>
        <w:t>publicados en 2014 con la intención de elevar la calidad de la atención prenatal y perinatal</w:t>
      </w:r>
      <w:r>
        <w:rPr>
          <w:rFonts w:ascii="Arial" w:hAnsi="Arial" w:cs="Arial"/>
          <w:sz w:val="24"/>
          <w:szCs w:val="24"/>
          <w:lang w:val="es-MX"/>
        </w:rPr>
        <w:t>. En los</w:t>
      </w:r>
      <w:r>
        <w:rPr>
          <w:rFonts w:ascii="Arial" w:hAnsi="Arial" w:cs="Arial"/>
          <w:sz w:val="24"/>
          <w:szCs w:val="24"/>
        </w:rPr>
        <w:t xml:space="preserve"> hallazgos del estudio del OVGOVE se evidenció que, si bien el 97% de las mujeres asistió a consulta de control prenatal, esto no garantiza que hayan recibido la información mínima referente a los riesgos de la cesárea o los signos a considerar para su salud durante el embarazo</w:t>
      </w:r>
      <w:r>
        <w:rPr>
          <w:rStyle w:val="7"/>
          <w:rFonts w:ascii="Arial" w:hAnsi="Arial" w:cs="Arial"/>
          <w:sz w:val="24"/>
          <w:szCs w:val="24"/>
        </w:rPr>
        <w:footnoteReference w:id="15"/>
      </w:r>
      <w:r>
        <w:rPr>
          <w:rFonts w:ascii="Arial" w:hAnsi="Arial" w:cs="Arial"/>
          <w:sz w:val="24"/>
          <w:szCs w:val="24"/>
        </w:rPr>
        <w:t>. Al respecto, 4 de cada 10 mujeres de las entrevistadas no obtuvo información sobre los signos de riesgo en la gestación, aspectos relevantes sobre salud materna ni sobre la cesárea y sus riesgos.  Por su parte, el estudio de AVESA constató que el 766% de las embarazadas no recibe ningún acompañamiento por parte de personas de sus comunidades en la Ruta Materna y solo el 13,5% reportó el acompañamiento de médicos y personal de salud.</w:t>
      </w:r>
    </w:p>
    <w:p>
      <w:pPr>
        <w:pStyle w:val="15"/>
        <w:numPr>
          <w:ilvl w:val="0"/>
          <w:numId w:val="1"/>
        </w:numPr>
        <w:jc w:val="both"/>
        <w:rPr>
          <w:rFonts w:ascii="Arial" w:hAnsi="Arial" w:cs="Arial"/>
          <w:sz w:val="24"/>
          <w:szCs w:val="24"/>
        </w:rPr>
      </w:pPr>
      <w:r>
        <w:rPr>
          <w:rFonts w:ascii="Arial" w:hAnsi="Arial" w:cs="Arial"/>
          <w:sz w:val="24"/>
          <w:szCs w:val="24"/>
        </w:rPr>
        <w:t xml:space="preserve">Si bien se conoce la existencia del </w:t>
      </w:r>
      <w:r>
        <w:rPr>
          <w:rFonts w:ascii="Arial" w:hAnsi="Arial" w:cs="Arial"/>
          <w:iCs/>
          <w:sz w:val="24"/>
          <w:szCs w:val="24"/>
          <w:lang w:val="es-MX"/>
        </w:rPr>
        <w:t>PNPH</w:t>
      </w:r>
      <w:r>
        <w:rPr>
          <w:rFonts w:ascii="Arial" w:hAnsi="Arial" w:cs="Arial"/>
          <w:sz w:val="24"/>
          <w:szCs w:val="24"/>
        </w:rPr>
        <w:t xml:space="preserve">, el precitado informe del OVGO (2022) reportó que sólo 2 de cada 6 mujeres tuvo contacto con la figura de la promotora de parto humanizado o que fueron censadas por éstas en su comunidad. Así mismo, el 80% de las consultadas expresó que no participó en ninguna actividad de educación prenatal que le informada sobre el parto como proceso fisiológico y sobre sus derechos durante el parto para prevenir situaciones de </w:t>
      </w:r>
      <w:r>
        <w:rPr>
          <w:rFonts w:ascii="Arial" w:hAnsi="Arial" w:cs="Arial"/>
          <w:sz w:val="24"/>
          <w:szCs w:val="24"/>
          <w:lang w:val="es-MX"/>
        </w:rPr>
        <w:t>VO</w:t>
      </w:r>
      <w:r>
        <w:rPr>
          <w:rStyle w:val="7"/>
          <w:rFonts w:ascii="Arial" w:hAnsi="Arial" w:cs="Arial"/>
          <w:sz w:val="24"/>
          <w:szCs w:val="24"/>
          <w:lang w:val="es-MX"/>
        </w:rPr>
        <w:footnoteReference w:id="16"/>
      </w:r>
      <w:r>
        <w:rPr>
          <w:rFonts w:ascii="Arial" w:hAnsi="Arial" w:cs="Arial"/>
          <w:sz w:val="24"/>
          <w:szCs w:val="24"/>
          <w:lang w:val="es-MX"/>
        </w:rPr>
        <w:t xml:space="preserve">. Este </w:t>
      </w:r>
      <w:r>
        <w:rPr>
          <w:rFonts w:ascii="Arial" w:hAnsi="Arial" w:cs="Arial"/>
          <w:sz w:val="24"/>
          <w:szCs w:val="24"/>
        </w:rPr>
        <w:t>dato se corresponde por lo encontrado por AVESA, en tanto que el 95,1% de las embarazadas consultadas no han recibido orientaciones sobre el embarazo y parto por líderes comunitarios ni por parte de personal de salud.</w:t>
      </w:r>
    </w:p>
    <w:p>
      <w:pPr>
        <w:pStyle w:val="15"/>
        <w:numPr>
          <w:ilvl w:val="0"/>
          <w:numId w:val="1"/>
        </w:numPr>
        <w:jc w:val="both"/>
        <w:rPr>
          <w:rFonts w:ascii="Arial" w:hAnsi="Arial" w:cs="Arial"/>
          <w:sz w:val="24"/>
          <w:szCs w:val="24"/>
        </w:rPr>
      </w:pPr>
      <w:r>
        <w:rPr>
          <w:rFonts w:ascii="Arial" w:hAnsi="Arial" w:cs="Arial"/>
          <w:sz w:val="24"/>
          <w:szCs w:val="24"/>
        </w:rPr>
        <w:t>En cuanto a la implementación de la Ruta Materna, el estudio de AVESA destaca que el 70,7% de las embarazadas consultadas no ha recibido educación prenatal en el marco de la ruta materna, más de la mitad de las embarazadas (53,7%) no posee un plan de parto, el 87,2% de las embarazadas no tiene conocimiento del plan de la ruta materna y el 96,3% no recibe atención en el marco de la ruta materna.</w:t>
      </w:r>
    </w:p>
    <w:p>
      <w:pPr>
        <w:pStyle w:val="15"/>
        <w:numPr>
          <w:ilvl w:val="0"/>
          <w:numId w:val="1"/>
        </w:numPr>
        <w:jc w:val="both"/>
        <w:rPr>
          <w:rFonts w:ascii="Arial" w:hAnsi="Arial" w:cs="Arial"/>
          <w:sz w:val="24"/>
          <w:szCs w:val="24"/>
        </w:rPr>
      </w:pPr>
      <w:r>
        <w:rPr>
          <w:rFonts w:ascii="Arial" w:hAnsi="Arial" w:cs="Arial"/>
          <w:sz w:val="24"/>
          <w:szCs w:val="24"/>
          <w:shd w:val="clear" w:color="auto" w:fill="FFFFFF" w:themeFill="background1"/>
        </w:rPr>
        <w:t>De acuerdo con el informe noveno del Estado entre las principales causas de mortalidad materna del país figuran la prevalencia de los estados hipertensivos, las complicaciones hemorrágicas y cuadros de sepsis que afectan el embarazo, el parto o el puerperio</w:t>
      </w:r>
      <w:r>
        <w:rPr>
          <w:rFonts w:ascii="Arial" w:hAnsi="Arial" w:cs="Arial"/>
          <w:sz w:val="24"/>
          <w:szCs w:val="24"/>
        </w:rPr>
        <w:t xml:space="preserve">. Si bien el reciente informe del OVGOVE no exploró directamente este aspecto, sí puede dar cuenta de elementos de riesgo asociados y relevantes como son el abordaje del ingreso y las condiciones del centro de salud. </w:t>
      </w:r>
    </w:p>
    <w:p>
      <w:pPr>
        <w:pStyle w:val="15"/>
        <w:numPr>
          <w:ilvl w:val="0"/>
          <w:numId w:val="1"/>
        </w:numPr>
        <w:jc w:val="both"/>
        <w:rPr>
          <w:rFonts w:ascii="Arial" w:hAnsi="Arial" w:cs="Arial"/>
          <w:sz w:val="24"/>
          <w:szCs w:val="24"/>
        </w:rPr>
      </w:pPr>
      <w:r>
        <w:rPr>
          <w:rFonts w:ascii="Arial" w:hAnsi="Arial" w:cs="Arial"/>
          <w:sz w:val="24"/>
          <w:szCs w:val="24"/>
        </w:rPr>
        <w:t>Se destaca en e</w:t>
      </w:r>
      <w:r>
        <w:rPr>
          <w:rFonts w:ascii="Arial" w:hAnsi="Arial" w:cs="Arial"/>
          <w:sz w:val="24"/>
          <w:szCs w:val="24"/>
          <w:lang w:val="es-MX"/>
        </w:rPr>
        <w:t>l</w:t>
      </w:r>
      <w:r>
        <w:rPr>
          <w:rFonts w:ascii="Arial" w:hAnsi="Arial" w:cs="Arial"/>
          <w:sz w:val="24"/>
          <w:szCs w:val="24"/>
        </w:rPr>
        <w:t xml:space="preserve"> estudio que la gran mayoría de las entrevistadas fueron usuarias de los SS público (69%); se las interpeló sobre si fueron ingresadas al primer centro al que acudieron, a lo que casi un tercio (27%) respondió negativamente. Ellas debieron irse del lugar sin recibir atención, el 64% de este estas últimas (38 gestantes) fue referido a otros centros de salud, mientras que otras 21 (29%), no recibió referencia alguna. A esta práctica se le denomina coloquialmente “ruleteo” y suele realizarla desde el personal médico de guardia hasta el propio portero de los hospitales</w:t>
      </w:r>
      <w:r>
        <w:rPr>
          <w:rStyle w:val="7"/>
          <w:rFonts w:ascii="Arial" w:hAnsi="Arial" w:cs="Arial"/>
          <w:sz w:val="24"/>
          <w:szCs w:val="24"/>
        </w:rPr>
        <w:footnoteReference w:id="17"/>
      </w:r>
      <w:r>
        <w:rPr>
          <w:rFonts w:ascii="Arial" w:hAnsi="Arial" w:cs="Arial"/>
          <w:sz w:val="24"/>
          <w:szCs w:val="24"/>
        </w:rPr>
        <w:t xml:space="preserve">. </w:t>
      </w:r>
    </w:p>
    <w:p>
      <w:pPr>
        <w:pStyle w:val="15"/>
        <w:numPr>
          <w:ilvl w:val="0"/>
          <w:numId w:val="1"/>
        </w:numPr>
        <w:jc w:val="both"/>
        <w:rPr>
          <w:rFonts w:ascii="Arial" w:hAnsi="Arial" w:cs="Arial"/>
          <w:sz w:val="24"/>
          <w:szCs w:val="24"/>
        </w:rPr>
      </w:pPr>
      <w:r>
        <w:rPr>
          <w:rFonts w:ascii="Arial" w:hAnsi="Arial" w:cs="Arial"/>
          <w:sz w:val="24"/>
          <w:szCs w:val="24"/>
        </w:rPr>
        <w:t>Cuando exploramos las respuestas en búsqueda de las razones de la remisión, el 52% de las entrevistadas respondió que el principal motivo fue la ausencia de especialistas, de insumos, recursos e incluso por la imposibilidad del centro de salud de contar con servicios públicos básicos; lo que habla de las precarias condiciones de infraestructura de algunos centros. La segunda razón, que sustenta el 39% de las respuestas, señala situaciones relacionadas con las propias condiciones del embarazo y su pronóstico: embarazo de alto riesgo, 17%; falta de dilatación, 7%, y ser primera gesta, estar perdiendo líquido o simplemente haberles dicho “que no podrían parir”; sumó a partes iguales otro 15%. Finalmente, y como tercera razón emergieron respuestas como “querían hacerme cesárea” que reporta el 2% y No Sabe/No Contestó que ocupó el restante 7%.</w:t>
      </w:r>
      <w:r>
        <w:rPr>
          <w:rFonts w:ascii="Arial" w:hAnsi="Arial" w:cs="Arial"/>
          <w:sz w:val="24"/>
          <w:szCs w:val="24"/>
          <w:lang w:val="es-MX"/>
        </w:rPr>
        <w:t xml:space="preserve"> </w:t>
      </w:r>
      <w:r>
        <w:rPr>
          <w:rFonts w:ascii="Arial" w:hAnsi="Arial" w:cs="Arial"/>
          <w:sz w:val="24"/>
          <w:szCs w:val="24"/>
        </w:rPr>
        <w:t>Es oportuno recordar que el PACP-PAOE</w:t>
      </w:r>
      <w:r>
        <w:rPr>
          <w:rFonts w:ascii="Arial" w:hAnsi="Arial" w:cs="Arial"/>
          <w:i/>
          <w:sz w:val="24"/>
          <w:szCs w:val="24"/>
        </w:rPr>
        <w:t xml:space="preserve"> </w:t>
      </w:r>
      <w:r>
        <w:rPr>
          <w:rFonts w:ascii="Arial" w:hAnsi="Arial" w:cs="Arial"/>
          <w:sz w:val="24"/>
          <w:szCs w:val="24"/>
        </w:rPr>
        <w:t xml:space="preserve">indica que </w:t>
      </w:r>
      <w:r>
        <w:rPr>
          <w:rFonts w:ascii="Arial" w:hAnsi="Arial" w:cs="Arial"/>
          <w:sz w:val="24"/>
          <w:szCs w:val="24"/>
          <w:lang w:val="es-MX"/>
        </w:rPr>
        <w:t xml:space="preserve">la remisión o referencia </w:t>
      </w:r>
      <w:r>
        <w:rPr>
          <w:rFonts w:ascii="Arial" w:hAnsi="Arial" w:cs="Arial"/>
          <w:sz w:val="24"/>
          <w:szCs w:val="24"/>
        </w:rPr>
        <w:t>debe hacerse por escrito y</w:t>
      </w:r>
      <w:r>
        <w:rPr>
          <w:rFonts w:ascii="Arial" w:hAnsi="Arial" w:cs="Arial"/>
          <w:sz w:val="24"/>
          <w:szCs w:val="24"/>
          <w:lang w:val="es-MX"/>
        </w:rPr>
        <w:t xml:space="preserve"> además</w:t>
      </w:r>
      <w:r>
        <w:rPr>
          <w:rFonts w:ascii="Arial" w:hAnsi="Arial" w:cs="Arial"/>
          <w:sz w:val="24"/>
          <w:szCs w:val="24"/>
        </w:rPr>
        <w:t xml:space="preserve"> debe garantizar la recepción y atención adecuada; sin embargo, dada la situación de crisis de los centros de salud, esto ocurre muy poco</w:t>
      </w:r>
      <w:r>
        <w:rPr>
          <w:rStyle w:val="7"/>
          <w:rFonts w:ascii="Arial" w:hAnsi="Arial" w:cs="Arial"/>
          <w:sz w:val="24"/>
          <w:szCs w:val="24"/>
        </w:rPr>
        <w:footnoteReference w:id="18"/>
      </w:r>
      <w:r>
        <w:rPr>
          <w:rFonts w:ascii="Arial" w:hAnsi="Arial" w:cs="Arial"/>
          <w:sz w:val="24"/>
          <w:szCs w:val="24"/>
        </w:rPr>
        <w:t>.</w:t>
      </w:r>
    </w:p>
    <w:p>
      <w:pPr>
        <w:pStyle w:val="15"/>
        <w:numPr>
          <w:ilvl w:val="0"/>
          <w:numId w:val="1"/>
        </w:numPr>
        <w:jc w:val="both"/>
        <w:rPr>
          <w:rFonts w:ascii="Arial" w:hAnsi="Arial" w:cs="Arial"/>
          <w:sz w:val="24"/>
          <w:szCs w:val="24"/>
        </w:rPr>
      </w:pPr>
      <w:r>
        <w:rPr>
          <w:rFonts w:ascii="Arial" w:hAnsi="Arial" w:cs="Arial"/>
          <w:sz w:val="24"/>
          <w:szCs w:val="24"/>
        </w:rPr>
        <w:t xml:space="preserve">El OVGOVE aseveró que en los servicios públicos el total de </w:t>
      </w:r>
      <w:r>
        <w:rPr>
          <w:rFonts w:ascii="Arial" w:hAnsi="Arial" w:cs="Arial"/>
          <w:bCs/>
          <w:sz w:val="24"/>
          <w:szCs w:val="24"/>
        </w:rPr>
        <w:t>cesáreas</w:t>
      </w:r>
      <w:r>
        <w:rPr>
          <w:rFonts w:ascii="Arial" w:hAnsi="Arial" w:cs="Arial"/>
          <w:sz w:val="24"/>
          <w:szCs w:val="24"/>
        </w:rPr>
        <w:t xml:space="preserve"> alcanzó un 39% -cifra que se encuentra muy por encima del 15% estimado por la OMS</w:t>
      </w:r>
      <w:r>
        <w:rPr>
          <w:rStyle w:val="7"/>
          <w:rFonts w:ascii="Arial" w:hAnsi="Arial" w:cs="Arial"/>
          <w:sz w:val="24"/>
          <w:szCs w:val="24"/>
        </w:rPr>
        <w:footnoteReference w:id="19"/>
      </w:r>
      <w:r>
        <w:rPr>
          <w:rFonts w:ascii="Arial" w:hAnsi="Arial" w:cs="Arial"/>
          <w:sz w:val="24"/>
          <w:szCs w:val="24"/>
        </w:rPr>
        <w:t>-; mientras, en centros privados alcanzó un 80%, lo que resulta</w:t>
      </w:r>
      <w:r>
        <w:rPr>
          <w:rFonts w:ascii="Arial" w:hAnsi="Arial" w:cs="Arial"/>
          <w:sz w:val="24"/>
          <w:szCs w:val="24"/>
          <w:lang w:val="es-MX"/>
        </w:rPr>
        <w:t>,</w:t>
      </w:r>
      <w:r>
        <w:rPr>
          <w:rFonts w:ascii="Arial" w:hAnsi="Arial" w:cs="Arial"/>
          <w:sz w:val="24"/>
          <w:szCs w:val="24"/>
        </w:rPr>
        <w:t xml:space="preserve"> cuando menos alarmante. Estos resultados coinciden con los de AVESA en tanto, el 41,5% de las mujeres entrevistadas declaran que sus partos fueron por cesárea. Esta cantidad de cesáreas supera significativamente al valor recomendado por la Organización Mundial de la Salud (OMS) que es entre 10 y 15%</w:t>
      </w:r>
      <w:r>
        <w:rPr>
          <w:rStyle w:val="7"/>
          <w:rFonts w:ascii="Arial" w:hAnsi="Arial" w:cs="Arial"/>
          <w:sz w:val="24"/>
          <w:szCs w:val="24"/>
        </w:rPr>
        <w:footnoteReference w:id="20"/>
      </w:r>
      <w:r>
        <w:rPr>
          <w:rFonts w:ascii="Arial" w:hAnsi="Arial" w:cs="Arial"/>
          <w:sz w:val="24"/>
          <w:szCs w:val="24"/>
        </w:rPr>
        <w:t>.</w:t>
      </w:r>
    </w:p>
    <w:p>
      <w:pPr>
        <w:pStyle w:val="15"/>
        <w:numPr>
          <w:ilvl w:val="0"/>
          <w:numId w:val="1"/>
        </w:numPr>
        <w:jc w:val="both"/>
        <w:rPr>
          <w:rFonts w:ascii="Arial" w:hAnsi="Arial" w:cs="Arial"/>
          <w:sz w:val="24"/>
          <w:szCs w:val="24"/>
          <w:shd w:val="clear"/>
        </w:rPr>
      </w:pPr>
      <w:r>
        <w:rPr>
          <w:rFonts w:ascii="Arial" w:hAnsi="Arial" w:cs="Arial"/>
          <w:sz w:val="24"/>
          <w:szCs w:val="24"/>
        </w:rPr>
        <w:t xml:space="preserve">Sobre el consentimiento informado, </w:t>
      </w:r>
      <w:r>
        <w:rPr>
          <w:rFonts w:ascii="Arial" w:hAnsi="Arial" w:cs="Arial"/>
          <w:sz w:val="24"/>
          <w:szCs w:val="24"/>
          <w:lang w:val="es-MX"/>
        </w:rPr>
        <w:t>se reportó</w:t>
      </w:r>
      <w:r>
        <w:rPr>
          <w:rFonts w:ascii="Arial" w:hAnsi="Arial" w:cs="Arial"/>
          <w:sz w:val="24"/>
          <w:szCs w:val="24"/>
        </w:rPr>
        <w:t xml:space="preserve"> que </w:t>
      </w:r>
      <w:r>
        <w:rPr>
          <w:rFonts w:ascii="Arial" w:hAnsi="Arial" w:cs="Arial"/>
          <w:sz w:val="24"/>
          <w:szCs w:val="24"/>
          <w:lang w:val="es-MX"/>
        </w:rPr>
        <w:t>a</w:t>
      </w:r>
      <w:r>
        <w:rPr>
          <w:rFonts w:ascii="Arial" w:hAnsi="Arial" w:cs="Arial"/>
          <w:sz w:val="24"/>
          <w:szCs w:val="24"/>
        </w:rPr>
        <w:t xml:space="preserve"> 7 de cada 10 mujeres no se les solicitó firmar</w:t>
      </w:r>
      <w:r>
        <w:rPr>
          <w:rFonts w:ascii="Arial" w:hAnsi="Arial" w:eastAsia="Arial Narrow" w:cs="Arial"/>
          <w:color w:val="000000"/>
          <w:sz w:val="24"/>
          <w:szCs w:val="24"/>
          <w:lang w:bidi="ar"/>
        </w:rPr>
        <w:t xml:space="preserve"> ninguna autorización que indicara riesgos o consecuencias de los procedimientos que podrían realizarles, lo que afectó negativamente </w:t>
      </w:r>
      <w:r>
        <w:rPr>
          <w:rFonts w:ascii="Arial" w:hAnsi="Arial" w:cs="Arial"/>
          <w:sz w:val="24"/>
          <w:szCs w:val="24"/>
        </w:rPr>
        <w:t>la toma de decisiones informadas</w:t>
      </w:r>
      <w:r>
        <w:rPr>
          <w:rFonts w:ascii="Arial" w:hAnsi="Arial" w:cs="Arial"/>
          <w:sz w:val="24"/>
          <w:szCs w:val="24"/>
          <w:lang w:val="es-MX"/>
        </w:rPr>
        <w:t xml:space="preserve">. Lo planteado coincide con </w:t>
      </w:r>
      <w:r>
        <w:rPr>
          <w:rFonts w:ascii="Arial" w:hAnsi="Arial" w:cs="Arial"/>
          <w:iCs/>
          <w:sz w:val="24"/>
          <w:szCs w:val="24"/>
        </w:rPr>
        <w:t xml:space="preserve">el </w:t>
      </w:r>
      <w:r>
        <w:rPr>
          <w:rFonts w:ascii="Arial" w:hAnsi="Arial" w:cs="Arial"/>
          <w:i/>
          <w:sz w:val="24"/>
          <w:szCs w:val="24"/>
          <w:lang w:val="es-MX"/>
        </w:rPr>
        <w:t>I</w:t>
      </w:r>
      <w:r>
        <w:rPr>
          <w:rFonts w:ascii="Arial" w:hAnsi="Arial" w:cs="Arial"/>
          <w:i/>
          <w:sz w:val="24"/>
          <w:szCs w:val="24"/>
        </w:rPr>
        <w:t>nforme de la relatora especial sobre la violencia contra la mujer</w:t>
      </w:r>
      <w:r>
        <w:rPr>
          <w:rFonts w:ascii="Arial" w:hAnsi="Arial" w:cs="Arial"/>
          <w:iCs/>
          <w:sz w:val="24"/>
          <w:szCs w:val="24"/>
          <w:lang w:val="es-MX"/>
        </w:rPr>
        <w:t xml:space="preserve"> (2019)</w:t>
      </w:r>
      <w:r>
        <w:rPr>
          <w:rStyle w:val="7"/>
          <w:rFonts w:ascii="Arial" w:hAnsi="Arial" w:cs="Arial"/>
          <w:iCs/>
          <w:sz w:val="24"/>
          <w:szCs w:val="24"/>
          <w:lang w:val="es-MX"/>
        </w:rPr>
        <w:footnoteReference w:id="21"/>
      </w:r>
      <w:r>
        <w:rPr>
          <w:rFonts w:ascii="Arial" w:hAnsi="Arial" w:cs="Arial"/>
          <w:iCs/>
          <w:sz w:val="24"/>
          <w:szCs w:val="24"/>
          <w:lang w:val="es-MX"/>
        </w:rPr>
        <w:t>,</w:t>
      </w:r>
      <w:r>
        <w:rPr>
          <w:rFonts w:ascii="Arial" w:hAnsi="Arial" w:cs="Arial"/>
          <w:sz w:val="24"/>
          <w:szCs w:val="24"/>
        </w:rPr>
        <w:t xml:space="preserve"> que destaca el valor de </w:t>
      </w:r>
      <w:r>
        <w:rPr>
          <w:rFonts w:ascii="Arial" w:hAnsi="Arial" w:cs="Arial"/>
          <w:sz w:val="24"/>
          <w:szCs w:val="24"/>
          <w:lang w:val="es-MX"/>
        </w:rPr>
        <w:t xml:space="preserve">este instrumento </w:t>
      </w:r>
      <w:r>
        <w:rPr>
          <w:rFonts w:ascii="Arial" w:hAnsi="Arial" w:cs="Arial"/>
          <w:sz w:val="24"/>
          <w:szCs w:val="24"/>
        </w:rPr>
        <w:t xml:space="preserve">como un derecho humano que ayuda a proteger contra la </w:t>
      </w:r>
      <w:r>
        <w:rPr>
          <w:rFonts w:ascii="Arial" w:hAnsi="Arial" w:cs="Arial"/>
          <w:sz w:val="24"/>
          <w:szCs w:val="24"/>
          <w:lang w:val="es-MX"/>
        </w:rPr>
        <w:t>VO</w:t>
      </w:r>
      <w:r>
        <w:rPr>
          <w:rFonts w:ascii="Arial" w:hAnsi="Arial" w:cs="Arial"/>
          <w:sz w:val="24"/>
          <w:szCs w:val="24"/>
        </w:rPr>
        <w:t xml:space="preserve">. </w:t>
      </w:r>
      <w:r>
        <w:rPr>
          <w:rFonts w:ascii="Arial" w:hAnsi="Arial" w:cs="Arial"/>
          <w:sz w:val="24"/>
          <w:szCs w:val="24"/>
          <w:lang w:val="es-MX"/>
        </w:rPr>
        <w:t xml:space="preserve">En los </w:t>
      </w:r>
      <w:r>
        <w:rPr>
          <w:rFonts w:ascii="Arial" w:hAnsi="Arial" w:cs="Arial"/>
          <w:sz w:val="24"/>
          <w:szCs w:val="24"/>
        </w:rPr>
        <w:t>PACP-PAOE</w:t>
      </w:r>
      <w:r>
        <w:rPr>
          <w:rFonts w:ascii="Arial" w:hAnsi="Arial" w:cs="Arial"/>
          <w:sz w:val="24"/>
          <w:szCs w:val="24"/>
          <w:lang w:val="es-MX"/>
        </w:rPr>
        <w:t xml:space="preserve"> del Ministerio del Poder Popular para la Salud no existe un documento de consentimiento informado que permita ser empleado para t</w:t>
      </w:r>
      <w:r>
        <w:rPr>
          <w:rFonts w:ascii="Arial" w:hAnsi="Arial" w:cs="Arial"/>
          <w:sz w:val="24"/>
          <w:szCs w:val="24"/>
          <w:shd w:val="clear"/>
          <w:lang w:val="es-MX"/>
        </w:rPr>
        <w:t>al fin</w:t>
      </w:r>
      <w:r>
        <w:rPr>
          <w:rStyle w:val="7"/>
          <w:rFonts w:ascii="Arial" w:hAnsi="Arial" w:cs="Arial"/>
          <w:sz w:val="24"/>
          <w:szCs w:val="24"/>
          <w:shd w:val="clear" w:color="auto"/>
          <w:lang w:val="es-MX"/>
        </w:rPr>
        <w:footnoteReference w:id="22"/>
      </w:r>
      <w:r>
        <w:rPr>
          <w:rFonts w:ascii="Arial" w:hAnsi="Arial" w:cs="Arial"/>
          <w:sz w:val="24"/>
          <w:szCs w:val="24"/>
          <w:shd w:val="clear" w:color="auto"/>
          <w:lang w:val="es-MX"/>
        </w:rPr>
        <w:t>.</w:t>
      </w:r>
    </w:p>
    <w:p>
      <w:pPr>
        <w:pStyle w:val="15"/>
        <w:numPr>
          <w:ilvl w:val="0"/>
          <w:numId w:val="1"/>
        </w:numPr>
        <w:jc w:val="both"/>
        <w:rPr>
          <w:rFonts w:ascii="Arial" w:hAnsi="Arial" w:cs="Arial"/>
          <w:sz w:val="24"/>
          <w:szCs w:val="24"/>
        </w:rPr>
      </w:pPr>
      <w:r>
        <w:rPr>
          <w:rFonts w:ascii="Arial" w:hAnsi="Arial" w:cs="Arial"/>
          <w:sz w:val="24"/>
          <w:szCs w:val="24"/>
        </w:rPr>
        <w:t xml:space="preserve">El </w:t>
      </w:r>
      <w:r>
        <w:rPr>
          <w:rFonts w:ascii="Arial" w:hAnsi="Arial" w:cs="Arial"/>
          <w:sz w:val="24"/>
          <w:szCs w:val="24"/>
          <w:lang w:val="es-MX"/>
        </w:rPr>
        <w:t xml:space="preserve">citado </w:t>
      </w:r>
      <w:r>
        <w:rPr>
          <w:rFonts w:ascii="Arial" w:hAnsi="Arial" w:cs="Arial"/>
          <w:sz w:val="24"/>
          <w:szCs w:val="24"/>
        </w:rPr>
        <w:t xml:space="preserve">estudio arrojó además que se mantienen protocolos de atención </w:t>
      </w:r>
      <w:r>
        <w:rPr>
          <w:rFonts w:ascii="Arial" w:hAnsi="Arial" w:cs="Arial"/>
          <w:sz w:val="24"/>
          <w:szCs w:val="24"/>
          <w:lang w:val="es-MX"/>
        </w:rPr>
        <w:t xml:space="preserve">rutinizados y estandarizados </w:t>
      </w:r>
      <w:r>
        <w:rPr>
          <w:rFonts w:ascii="Arial" w:hAnsi="Arial" w:cs="Arial"/>
          <w:sz w:val="24"/>
          <w:szCs w:val="24"/>
        </w:rPr>
        <w:t>durante el ingreso a los centros de salud que vulneran los derechos de las mujeres mediante el intervencionismo y la medicalización</w:t>
      </w:r>
      <w:r>
        <w:rPr>
          <w:rStyle w:val="7"/>
          <w:rFonts w:ascii="Arial" w:hAnsi="Arial" w:cs="Arial"/>
          <w:sz w:val="24"/>
          <w:szCs w:val="24"/>
        </w:rPr>
        <w:footnoteReference w:id="23"/>
      </w:r>
      <w:r>
        <w:rPr>
          <w:rFonts w:ascii="Arial" w:hAnsi="Arial" w:cs="Arial"/>
          <w:sz w:val="24"/>
          <w:szCs w:val="24"/>
        </w:rPr>
        <w:t>. Entre ellos destacó la colocación de vía intravenosa inmediatamente al llegar al hospital con el fin de administrar oxitócicos sintéticos. También se reportó la ruptura artificial de membranas para acelerar el parto y la realización de numerosos -y con frecuencia innecesarios- tactos vaginales. Dichos procedimientos se aplicaron de forma rutinaria y sin informar ni solicitar el consentimiento de las mujeres.</w:t>
      </w:r>
    </w:p>
    <w:p>
      <w:pPr>
        <w:pStyle w:val="15"/>
        <w:numPr>
          <w:ilvl w:val="0"/>
          <w:numId w:val="1"/>
        </w:numPr>
        <w:jc w:val="both"/>
        <w:rPr>
          <w:rFonts w:ascii="Arial" w:hAnsi="Arial" w:cs="Arial"/>
          <w:sz w:val="24"/>
          <w:szCs w:val="24"/>
        </w:rPr>
      </w:pPr>
      <w:r>
        <w:rPr>
          <w:rFonts w:ascii="Arial" w:hAnsi="Arial" w:cs="Arial"/>
          <w:sz w:val="24"/>
          <w:szCs w:val="24"/>
        </w:rPr>
        <w:t>Si bien la intervención del trabajo de parto puede evitar su prolongación, su uso inapropiado puede ser nocivo. La conducción con oxitocina sintética puede provocar una hiperestimulación uterina, con efectos adversos tales como la asfixia fetal y la ruptura uterina, aumentando así el riesgo de una cascada de intervenciones durante el trabajo de parto y el parto propiamente. Asimismo, ese tipo de intervenciones no justificadas despojan a las mujeres de su autonomía y dignidad en esta situación y pueden tener un impacto negativo sobre su experiencia</w:t>
      </w:r>
      <w:r>
        <w:rPr>
          <w:rStyle w:val="7"/>
          <w:rFonts w:ascii="Arial" w:hAnsi="Arial" w:cs="Arial"/>
          <w:sz w:val="24"/>
          <w:szCs w:val="24"/>
        </w:rPr>
        <w:footnoteReference w:id="24"/>
      </w:r>
      <w:r>
        <w:rPr>
          <w:rFonts w:ascii="Arial" w:hAnsi="Arial" w:cs="Arial"/>
          <w:sz w:val="24"/>
          <w:szCs w:val="24"/>
        </w:rPr>
        <w:t>.</w:t>
      </w:r>
    </w:p>
    <w:p>
      <w:pPr>
        <w:pStyle w:val="15"/>
        <w:numPr>
          <w:ilvl w:val="0"/>
          <w:numId w:val="1"/>
        </w:numPr>
        <w:jc w:val="both"/>
        <w:rPr>
          <w:rFonts w:ascii="Arial" w:hAnsi="Arial" w:cs="Arial"/>
          <w:sz w:val="24"/>
          <w:szCs w:val="24"/>
        </w:rPr>
      </w:pPr>
      <w:r>
        <w:rPr>
          <w:rFonts w:ascii="Arial" w:hAnsi="Arial" w:cs="Arial"/>
          <w:sz w:val="24"/>
          <w:szCs w:val="24"/>
        </w:rPr>
        <w:t xml:space="preserve">El Informe precitado también dejó en evidencia que en la mayoría de los centros de salud públicos y privados se prohíbe la movilidad de las gestantes para adoptar posturas que alivien el dolor y que también limitan la ingesta de alimentos o de líquidos durante la fase inicial del trabajo de parto, lo que irrespeta lo establecido en las normas y protocolos antes citados y las recomendaciones para cuidados durante el parto de la Organización Mundial de la Salud (OMS). </w:t>
      </w:r>
    </w:p>
    <w:p>
      <w:pPr>
        <w:pStyle w:val="15"/>
        <w:numPr>
          <w:ilvl w:val="0"/>
          <w:numId w:val="1"/>
        </w:numPr>
        <w:jc w:val="both"/>
        <w:rPr>
          <w:rFonts w:ascii="Arial" w:hAnsi="Arial" w:cs="Arial"/>
          <w:sz w:val="24"/>
          <w:szCs w:val="24"/>
        </w:rPr>
      </w:pPr>
      <w:r>
        <w:rPr>
          <w:rFonts w:ascii="Arial" w:hAnsi="Arial" w:cs="Arial"/>
          <w:sz w:val="24"/>
          <w:szCs w:val="24"/>
        </w:rPr>
        <w:t xml:space="preserve">De acuerdo al estudio, en el sistema de salud venezolano persisten rutinas médicas que constituyen </w:t>
      </w:r>
      <w:r>
        <w:rPr>
          <w:rFonts w:ascii="Arial" w:hAnsi="Arial" w:cs="Arial"/>
          <w:sz w:val="24"/>
          <w:szCs w:val="24"/>
          <w:lang w:val="es-MX"/>
        </w:rPr>
        <w:t>VO</w:t>
      </w:r>
      <w:r>
        <w:rPr>
          <w:rFonts w:ascii="Arial" w:hAnsi="Arial" w:cs="Arial"/>
          <w:sz w:val="24"/>
          <w:szCs w:val="24"/>
        </w:rPr>
        <w:t xml:space="preserve"> como lo son el corte del periné o episiotomía que se realizan sin el consentimiento informado de la mujer. Ello le ocurrió a 101 de las 318 cuyos partos se dieron en centros públicos o privados. En la mayoría de los casos la intervención se realizó sin anestesia y obviando las repercusiones físicas y psicológicas que acarreó para las mujeres, lo que se constituyó en un acto de violencia de género, un acto de tortura y un tratamiento inhumano y degradante</w:t>
      </w:r>
      <w:r>
        <w:rPr>
          <w:rFonts w:ascii="Arial" w:hAnsi="Arial" w:cs="Arial"/>
          <w:sz w:val="24"/>
          <w:szCs w:val="24"/>
          <w:lang w:val="es-MX"/>
        </w:rPr>
        <w:t>, tal como lo expresó la relatora</w:t>
      </w:r>
      <w:r>
        <w:rPr>
          <w:rStyle w:val="7"/>
          <w:rFonts w:ascii="Arial" w:hAnsi="Arial" w:cs="Arial"/>
          <w:sz w:val="24"/>
          <w:szCs w:val="24"/>
        </w:rPr>
        <w:footnoteReference w:id="25"/>
      </w:r>
      <w:r>
        <w:rPr>
          <w:rFonts w:ascii="Arial" w:hAnsi="Arial" w:cs="Arial"/>
          <w:sz w:val="24"/>
          <w:szCs w:val="24"/>
        </w:rPr>
        <w:t xml:space="preserve">. </w:t>
      </w:r>
    </w:p>
    <w:p>
      <w:pPr>
        <w:pStyle w:val="15"/>
        <w:numPr>
          <w:ilvl w:val="0"/>
          <w:numId w:val="1"/>
        </w:numPr>
        <w:jc w:val="both"/>
        <w:rPr>
          <w:rFonts w:ascii="Arial" w:hAnsi="Arial" w:cs="Arial"/>
          <w:sz w:val="24"/>
          <w:szCs w:val="24"/>
        </w:rPr>
      </w:pPr>
      <w:r>
        <w:rPr>
          <w:rFonts w:ascii="Arial" w:hAnsi="Arial" w:cs="Arial"/>
          <w:sz w:val="24"/>
          <w:szCs w:val="24"/>
        </w:rPr>
        <w:t>Otra práctica considerada como rutina en los centros públicos es la revisión uterina sin anestesia (introducción de la mano o algún instrumento con gasas para limpiar luego del parto). Esta práctica es realizada mayormente por estudiantes de medicina o médicos y médicas graduadas (cursantes de la especialidad en Ginecobstetricia). De acuerdo al estudio precitado, se le practicó a 9 de cada 10 mujeres que tuvieron un parto, aunque el protocolo de atención y cuidados prenatales (2014) señala que no es recomendable para todos los casos, y en caso de ser necesaria, siempre debe realizarse bajo anestesia. El procedimiento es descrito como opcional, innecesario e incluso perjudicial y sólo se justifica ante la retención de restos placentarios.</w:t>
      </w:r>
    </w:p>
    <w:p>
      <w:pPr>
        <w:pStyle w:val="15"/>
        <w:numPr>
          <w:ilvl w:val="0"/>
          <w:numId w:val="1"/>
        </w:numPr>
        <w:jc w:val="both"/>
        <w:rPr>
          <w:rFonts w:ascii="Arial" w:hAnsi="Arial" w:cs="Arial"/>
          <w:sz w:val="24"/>
          <w:szCs w:val="24"/>
        </w:rPr>
      </w:pPr>
      <w:r>
        <w:rPr>
          <w:rFonts w:ascii="Arial" w:hAnsi="Arial" w:cs="Arial"/>
          <w:sz w:val="24"/>
          <w:szCs w:val="24"/>
        </w:rPr>
        <w:t>Preocupa también la realización de procedimientos durante el parto que han sido desaconsejados en la normativa nacional e internacional</w:t>
      </w:r>
      <w:r>
        <w:rPr>
          <w:rStyle w:val="7"/>
          <w:rFonts w:ascii="Arial" w:hAnsi="Arial" w:cs="Arial"/>
          <w:sz w:val="24"/>
          <w:szCs w:val="24"/>
        </w:rPr>
        <w:footnoteReference w:id="26"/>
      </w:r>
      <w:r>
        <w:rPr>
          <w:rFonts w:ascii="Arial" w:hAnsi="Arial" w:cs="Arial"/>
          <w:sz w:val="24"/>
          <w:szCs w:val="24"/>
        </w:rPr>
        <w:t xml:space="preserve">. Tal es el caso de la maniobra de Kristeller </w:t>
      </w:r>
      <w:r>
        <w:rPr>
          <w:rFonts w:ascii="Arial" w:hAnsi="Arial" w:cs="Arial"/>
          <w:sz w:val="24"/>
          <w:szCs w:val="24"/>
          <w:lang w:val="es-MX"/>
        </w:rPr>
        <w:t>o presión del fondo uterino</w:t>
      </w:r>
      <w:r>
        <w:rPr>
          <w:rFonts w:ascii="Arial" w:hAnsi="Arial" w:cs="Arial"/>
          <w:sz w:val="24"/>
          <w:szCs w:val="24"/>
        </w:rPr>
        <w:t xml:space="preserve">. Esta práctica ha sido prohibida en el protocolo de atención por los efectos sobre la salud de las mujeres por la inexistencia de evidencia científica que avale su utilización, a pesar de ello, el estudio reveló que le practicó al 23% de las mujeres entrevistadas que tuvieron parto. </w:t>
      </w:r>
    </w:p>
    <w:p>
      <w:pPr>
        <w:pStyle w:val="15"/>
        <w:numPr>
          <w:ilvl w:val="0"/>
          <w:numId w:val="1"/>
        </w:numPr>
        <w:jc w:val="both"/>
        <w:rPr>
          <w:rFonts w:ascii="Arial" w:hAnsi="Arial" w:cs="Arial"/>
          <w:sz w:val="24"/>
          <w:szCs w:val="24"/>
        </w:rPr>
      </w:pPr>
      <w:r>
        <w:rPr>
          <w:rFonts w:ascii="Arial" w:hAnsi="Arial" w:cs="Arial"/>
          <w:sz w:val="24"/>
          <w:szCs w:val="24"/>
        </w:rPr>
        <w:t xml:space="preserve">El Comité solicitó al Estado información sobre las medidas adoptadas para proteger a las embarazadas durante el parto, al igual que reforzar los programas de creación de capacidades destinados al personal médico, con seguimiento periódico, información que no ha sido suministrada y los datos recogidos por organizaciones de la sociedad civil dan muestra de que la atención al parto y nacimiento no es acorde a las </w:t>
      </w:r>
      <w:r>
        <w:rPr>
          <w:rFonts w:ascii="Arial" w:hAnsi="Arial" w:cs="Arial"/>
          <w:i/>
          <w:sz w:val="24"/>
          <w:szCs w:val="24"/>
        </w:rPr>
        <w:t>Recomendaciones de la OMS para los cuidados durante el parto</w:t>
      </w:r>
      <w:r>
        <w:rPr>
          <w:rFonts w:ascii="Arial" w:hAnsi="Arial" w:cs="Arial"/>
          <w:sz w:val="24"/>
          <w:szCs w:val="24"/>
        </w:rPr>
        <w:t xml:space="preserve"> (2018), orientaciones basadas en evidencia científica para que las y los trabajadores de la salud puedan mejorar la atención intraparto de forma integral mediante el uso de intervenciones efectivas. </w:t>
      </w:r>
      <w:bookmarkStart w:id="0" w:name="_GoBack"/>
      <w:bookmarkEnd w:id="0"/>
    </w:p>
    <w:p>
      <w:pPr>
        <w:pStyle w:val="15"/>
        <w:numPr>
          <w:ilvl w:val="0"/>
          <w:numId w:val="1"/>
        </w:numPr>
        <w:jc w:val="both"/>
        <w:rPr>
          <w:rFonts w:ascii="Arial" w:hAnsi="Arial" w:cs="Arial"/>
          <w:sz w:val="24"/>
          <w:szCs w:val="24"/>
        </w:rPr>
      </w:pPr>
      <w:r>
        <w:rPr>
          <w:rFonts w:ascii="Arial" w:hAnsi="Arial" w:cs="Arial"/>
          <w:sz w:val="24"/>
          <w:szCs w:val="24"/>
        </w:rPr>
        <w:t>Ante estos hechos solicitamos que el Comité inste al Estado venezolano a:</w:t>
      </w:r>
    </w:p>
    <w:p>
      <w:pPr>
        <w:pStyle w:val="15"/>
        <w:numPr>
          <w:ilvl w:val="0"/>
          <w:numId w:val="2"/>
        </w:numPr>
        <w:jc w:val="both"/>
        <w:rPr>
          <w:rFonts w:ascii="Arial" w:hAnsi="Arial" w:cs="Arial"/>
          <w:sz w:val="24"/>
          <w:szCs w:val="24"/>
        </w:rPr>
      </w:pPr>
      <w:r>
        <w:rPr>
          <w:rFonts w:ascii="Arial" w:hAnsi="Arial" w:cs="Arial"/>
          <w:sz w:val="24"/>
          <w:szCs w:val="24"/>
        </w:rPr>
        <w:t xml:space="preserve">Adoptar las recomendaciones propuestas a los Estados en el informe de la Relatora Espacial de Violencia contra la Mujer (2019), referente a la VO, afrontando el problema de la violencia contra las mujeres en los servicios de salud reproductiva y en la atención del parto desde una perspectiva de derechos humanos, investigando las causas estructurales y sistémicas de estos hechos, en especial estereotipos sobre la maternidad, el cuerpo y procesos reproductivos de las mujeres.  </w:t>
      </w:r>
    </w:p>
    <w:p>
      <w:pPr>
        <w:pStyle w:val="15"/>
        <w:numPr>
          <w:ilvl w:val="0"/>
          <w:numId w:val="2"/>
        </w:numPr>
        <w:jc w:val="both"/>
        <w:rPr>
          <w:rFonts w:ascii="Arial" w:hAnsi="Arial" w:cs="Arial"/>
          <w:sz w:val="24"/>
          <w:szCs w:val="24"/>
        </w:rPr>
      </w:pPr>
      <w:r>
        <w:rPr>
          <w:rFonts w:ascii="Arial" w:hAnsi="Arial" w:cs="Arial"/>
          <w:sz w:val="24"/>
          <w:szCs w:val="24"/>
        </w:rPr>
        <w:t>Actualizar la Normativa de Salud Sexual y Salud Reproductiva (SSRR) y los Protocolos de parto y nacimiento de acuerdo con las recomendaciones basadas en la evidencia científica de la OMS, con énfasis en el respeto a los derechos humanos de las mujeres, visibilizando las rutinas médicas que son prácticas de VO.</w:t>
      </w:r>
    </w:p>
    <w:p>
      <w:pPr>
        <w:pStyle w:val="15"/>
        <w:numPr>
          <w:ilvl w:val="0"/>
          <w:numId w:val="2"/>
        </w:numPr>
        <w:jc w:val="both"/>
        <w:rPr>
          <w:rFonts w:ascii="Arial" w:hAnsi="Arial" w:cs="Arial"/>
          <w:sz w:val="24"/>
          <w:szCs w:val="24"/>
        </w:rPr>
      </w:pPr>
      <w:r>
        <w:rPr>
          <w:rFonts w:ascii="Arial" w:hAnsi="Arial" w:cs="Arial"/>
          <w:sz w:val="24"/>
          <w:szCs w:val="24"/>
        </w:rPr>
        <w:t xml:space="preserve">Establecer en conjunto con OPS Venezuela un programa de formación continua y seguimiento para el personal del sistema de salud que contemple la realización de cursos de formación sobre atención respetuosa materna de un mínimo de 36 horas para estudiantes de la especialización y personal de salud en general que permita revisar e identificar las prácticas de VO dentro de las rutinas y protocolos de atención en miras de su erradicación. </w:t>
      </w:r>
    </w:p>
    <w:p>
      <w:pPr>
        <w:pStyle w:val="15"/>
        <w:numPr>
          <w:ilvl w:val="0"/>
          <w:numId w:val="2"/>
        </w:numPr>
        <w:jc w:val="both"/>
        <w:rPr>
          <w:rFonts w:ascii="Arial" w:hAnsi="Arial" w:cs="Arial"/>
          <w:sz w:val="24"/>
          <w:szCs w:val="24"/>
        </w:rPr>
      </w:pPr>
      <w:r>
        <w:rPr>
          <w:rFonts w:ascii="Arial" w:hAnsi="Arial" w:cs="Arial"/>
          <w:sz w:val="24"/>
          <w:szCs w:val="24"/>
        </w:rPr>
        <w:t>Supervisar los centros de salud en los cuales se provee atención prenatal y al parto y nacimiento. Además de recopilar y publicar anualmente datos sobre e número de cesáreas, partos vaginales, episiotomías y otros procedimientos realizados en los servicios de salud, de manera tal que pueda hacerse seguimiento y corrección a las estrategias implementadas para la erradicación de la VO.</w:t>
      </w:r>
    </w:p>
    <w:p>
      <w:pPr>
        <w:pStyle w:val="15"/>
        <w:numPr>
          <w:ilvl w:val="0"/>
          <w:numId w:val="2"/>
        </w:numPr>
        <w:jc w:val="both"/>
        <w:rPr>
          <w:rFonts w:ascii="Arial" w:hAnsi="Arial" w:cs="Arial"/>
          <w:sz w:val="24"/>
          <w:szCs w:val="24"/>
        </w:rPr>
      </w:pPr>
      <w:r>
        <w:rPr>
          <w:rFonts w:ascii="Arial" w:hAnsi="Arial" w:cs="Arial"/>
          <w:sz w:val="24"/>
          <w:szCs w:val="24"/>
        </w:rPr>
        <w:t xml:space="preserve">Evaluar la implementación e impacto del Plan de Parto Humanizado identificando los actores involucrados en la problemática (facultades de Medicina y Ciencias de la Salud, personal de salud, promotoras de parto humanizado, instituciones responsables de velar por el cumplimiento y promover la política específica mujeres y familias). Así mismo, dar a conocer las acciones concretas que tiene este Plan para erradicar la VO.  </w:t>
      </w:r>
    </w:p>
    <w:p>
      <w:pPr>
        <w:pStyle w:val="15"/>
        <w:numPr>
          <w:ilvl w:val="0"/>
          <w:numId w:val="2"/>
        </w:numPr>
        <w:jc w:val="both"/>
        <w:rPr>
          <w:rFonts w:ascii="Arial" w:hAnsi="Arial" w:cs="Arial"/>
          <w:sz w:val="24"/>
          <w:szCs w:val="24"/>
        </w:rPr>
      </w:pPr>
      <w:r>
        <w:rPr>
          <w:rFonts w:ascii="Arial" w:hAnsi="Arial" w:cs="Arial"/>
          <w:sz w:val="24"/>
          <w:szCs w:val="24"/>
        </w:rPr>
        <w:t>Velar por que, en los espacios académicos como facultades de Medicina y Ciencias de la Salud, y en las comisiones de postgrado en Ginecología y Obstetricia se realice la actualización del pensum de estudios incorporando el enfoque de género y de derechos sexuales y derechos reproductivos, al igual que las últimas recomendaciones de la OMS y OPS basadas en evidencia científica para la atención del parto y nacimiento.</w:t>
      </w:r>
    </w:p>
    <w:p>
      <w:pPr>
        <w:pStyle w:val="15"/>
        <w:numPr>
          <w:ilvl w:val="0"/>
          <w:numId w:val="2"/>
        </w:numPr>
        <w:jc w:val="both"/>
        <w:rPr>
          <w:rFonts w:ascii="Arial" w:hAnsi="Arial" w:cs="Arial"/>
          <w:sz w:val="24"/>
          <w:szCs w:val="24"/>
        </w:rPr>
      </w:pPr>
      <w:r>
        <w:rPr>
          <w:rFonts w:ascii="Arial" w:hAnsi="Arial" w:cs="Arial"/>
          <w:sz w:val="24"/>
          <w:szCs w:val="24"/>
        </w:rPr>
        <w:t>Garantizar que la Estrategia Concertada para la Reducción de la Mortalidad Materna y Neonatal sea aplicada de manera efectiva a nivel nacional, con énfasis particular en los estados fronterizos y en las regiones con mayor presencia de comunidades indígenas.</w:t>
      </w:r>
    </w:p>
    <w:sectPr>
      <w:pgSz w:w="12240" w:h="15840"/>
      <w:pgMar w:top="1723" w:right="1723" w:bottom="1723" w:left="1723"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Open Sans">
    <w:altName w:val="Times New Roman"/>
    <w:panose1 w:val="00000000000000000000"/>
    <w:charset w:val="00"/>
    <w:family w:val="swiss"/>
    <w:pitch w:val="default"/>
    <w:sig w:usb0="00000000" w:usb1="00000000" w:usb2="00000028" w:usb3="00000000" w:csb0="0000019F" w:csb1="00000000"/>
  </w:font>
  <w:font w:name="MinionPro-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yriadPro-Regular">
    <w:altName w:val="Segoe Print"/>
    <w:panose1 w:val="00000000000000000000"/>
    <w:charset w:val="00"/>
    <w:family w:val="auto"/>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font>
  <w:font w:name="TimesNewRomanPS-BoldMT">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54">
    <w:p>
      <w:pPr>
        <w:spacing w:before="0" w:after="0" w:line="259" w:lineRule="auto"/>
      </w:pPr>
      <w:r>
        <w:separator/>
      </w:r>
    </w:p>
  </w:footnote>
  <w:footnote w:type="continuationSeparator" w:id="55">
    <w:p>
      <w:pPr>
        <w:spacing w:before="0" w:after="0" w:line="259" w:lineRule="auto"/>
      </w:pPr>
      <w:r>
        <w:continuationSeparator/>
      </w:r>
    </w:p>
  </w:footnote>
  <w:footnote w:id="0">
    <w:p>
      <w:pPr>
        <w:pStyle w:val="10"/>
        <w:rPr>
          <w:rFonts w:ascii="Arial" w:hAnsi="Arial" w:cs="Arial"/>
          <w:sz w:val="16"/>
          <w:szCs w:val="16"/>
          <w:lang w:val="es-MX"/>
        </w:rPr>
      </w:pPr>
      <w:r>
        <w:rPr>
          <w:rStyle w:val="7"/>
          <w:rFonts w:ascii="Arial" w:hAnsi="Arial" w:cs="Arial"/>
        </w:rPr>
        <w:footnoteRef/>
      </w:r>
      <w:r>
        <w:rPr>
          <w:rFonts w:ascii="Arial" w:hAnsi="Arial" w:cs="Arial"/>
          <w:lang w:val="es-MX"/>
        </w:rPr>
        <w:t xml:space="preserve"> </w:t>
      </w:r>
      <w:r>
        <w:fldChar w:fldCharType="begin"/>
      </w:r>
      <w:r>
        <w:instrText xml:space="preserve"> HYPERLINK "https://www.plafam.org.ve" </w:instrText>
      </w:r>
      <w:r>
        <w:fldChar w:fldCharType="separate"/>
      </w:r>
      <w:r>
        <w:rPr>
          <w:rStyle w:val="8"/>
          <w:rFonts w:ascii="Arial" w:hAnsi="Arial" w:cs="Arial"/>
          <w:sz w:val="16"/>
          <w:szCs w:val="16"/>
        </w:rPr>
        <w:t>https://www.plafam.org.ve</w:t>
      </w:r>
      <w:r>
        <w:rPr>
          <w:rStyle w:val="8"/>
          <w:rFonts w:ascii="Arial" w:hAnsi="Arial" w:cs="Arial"/>
          <w:sz w:val="16"/>
          <w:szCs w:val="16"/>
        </w:rPr>
        <w:fldChar w:fldCharType="end"/>
      </w:r>
      <w:r>
        <w:rPr>
          <w:rFonts w:ascii="Arial" w:hAnsi="Arial" w:cs="Arial"/>
          <w:sz w:val="16"/>
          <w:szCs w:val="16"/>
          <w:lang w:val="es-MX"/>
        </w:rPr>
        <w:t xml:space="preserve"> </w:t>
      </w:r>
      <w:r>
        <w:rPr>
          <w:rFonts w:ascii="Arial" w:hAnsi="Arial" w:cs="Arial"/>
          <w:sz w:val="16"/>
          <w:szCs w:val="16"/>
        </w:rPr>
        <w:t>/</w:t>
      </w:r>
      <w:r>
        <w:rPr>
          <w:rFonts w:ascii="Arial" w:hAnsi="Arial" w:cs="Arial"/>
          <w:sz w:val="16"/>
          <w:szCs w:val="16"/>
          <w:lang w:val="es-MX"/>
        </w:rPr>
        <w:t xml:space="preserve"> </w:t>
      </w:r>
      <w:r>
        <w:rPr>
          <w:rStyle w:val="8"/>
          <w:rFonts w:ascii="Arial" w:hAnsi="Arial" w:cs="Arial"/>
          <w:sz w:val="16"/>
          <w:szCs w:val="16"/>
          <w:lang w:val="es-MX"/>
        </w:rPr>
        <w:t>bfranceschi@plafam.org</w:t>
      </w:r>
      <w:r>
        <w:rPr>
          <w:rFonts w:ascii="Arial" w:hAnsi="Arial" w:cs="Arial"/>
          <w:sz w:val="16"/>
          <w:szCs w:val="16"/>
          <w:lang w:val="es-MX"/>
        </w:rPr>
        <w:t xml:space="preserve"> </w:t>
      </w:r>
    </w:p>
  </w:footnote>
  <w:footnote w:id="1">
    <w:p>
      <w:pPr>
        <w:pStyle w:val="10"/>
        <w:jc w:val="left"/>
        <w:rPr>
          <w:rFonts w:ascii="Arial" w:hAnsi="Arial" w:cs="Arial"/>
          <w:sz w:val="16"/>
          <w:szCs w:val="16"/>
          <w:lang w:val="es-MX"/>
        </w:rPr>
      </w:pPr>
      <w:r>
        <w:rPr>
          <w:rStyle w:val="7"/>
          <w:rFonts w:ascii="Arial" w:hAnsi="Arial" w:cs="Arial"/>
          <w:sz w:val="16"/>
          <w:szCs w:val="16"/>
        </w:rPr>
        <w:footnoteRef/>
      </w:r>
      <w:r>
        <w:rPr>
          <w:rFonts w:ascii="Arial" w:hAnsi="Arial" w:cs="Arial"/>
          <w:sz w:val="16"/>
          <w:szCs w:val="16"/>
          <w:lang w:val="es-MX"/>
        </w:rPr>
        <w:t xml:space="preserve"> </w:t>
      </w:r>
      <w:r>
        <w:fldChar w:fldCharType="begin"/>
      </w:r>
      <w:r>
        <w:instrText xml:space="preserve"> HYPERLINK "https://www.instagram.com/mesamujeresdiversidadyevc/" </w:instrText>
      </w:r>
      <w:r>
        <w:fldChar w:fldCharType="separate"/>
      </w:r>
      <w:r>
        <w:rPr>
          <w:rStyle w:val="8"/>
          <w:rFonts w:ascii="Arial" w:hAnsi="Arial" w:cs="Arial"/>
          <w:sz w:val="16"/>
          <w:szCs w:val="16"/>
          <w:lang w:val="es-MX"/>
        </w:rPr>
        <w:t>https://www.instagram.com/mesamujeresdiversidadyevc /</w:t>
      </w:r>
      <w:r>
        <w:rPr>
          <w:rStyle w:val="8"/>
          <w:rFonts w:ascii="Arial" w:hAnsi="Arial" w:cs="Arial"/>
          <w:sz w:val="16"/>
          <w:szCs w:val="16"/>
          <w:lang w:val="es-MX"/>
        </w:rPr>
        <w:fldChar w:fldCharType="end"/>
      </w:r>
      <w:r>
        <w:rPr>
          <w:rFonts w:ascii="Arial" w:hAnsi="Arial" w:cs="Arial"/>
          <w:sz w:val="16"/>
          <w:szCs w:val="16"/>
          <w:lang w:val="es-MX"/>
        </w:rPr>
        <w:t xml:space="preserve"> </w:t>
      </w:r>
      <w:r>
        <w:fldChar w:fldCharType="begin"/>
      </w:r>
      <w:r>
        <w:instrText xml:space="preserve"> HYPERLINK "mailto:mesamujeresdiversidadyevc@gmail.com" </w:instrText>
      </w:r>
      <w:r>
        <w:fldChar w:fldCharType="separate"/>
      </w:r>
      <w:r>
        <w:rPr>
          <w:rStyle w:val="8"/>
          <w:rFonts w:ascii="Arial" w:hAnsi="Arial" w:eastAsia="Helvetica" w:cs="Arial"/>
          <w:sz w:val="16"/>
          <w:szCs w:val="16"/>
          <w:shd w:val="clear" w:color="auto" w:fill="FFFFFF"/>
          <w:lang w:val="es-MX"/>
        </w:rPr>
        <w:t>mesamujeresdiversidadyevc@gmail.com</w:t>
      </w:r>
      <w:r>
        <w:rPr>
          <w:rStyle w:val="8"/>
          <w:rFonts w:ascii="Arial" w:hAnsi="Arial" w:eastAsia="Helvetica" w:cs="Arial"/>
          <w:sz w:val="16"/>
          <w:szCs w:val="16"/>
          <w:shd w:val="clear" w:color="auto" w:fill="FFFFFF"/>
          <w:lang w:val="es-MX"/>
        </w:rPr>
        <w:fldChar w:fldCharType="end"/>
      </w:r>
    </w:p>
  </w:footnote>
  <w:footnote w:id="2">
    <w:p>
      <w:pPr>
        <w:pStyle w:val="10"/>
        <w:rPr>
          <w:rFonts w:ascii="Arial" w:hAnsi="Arial" w:cs="Arial"/>
          <w:sz w:val="16"/>
          <w:szCs w:val="16"/>
          <w:lang w:val="es-MX"/>
        </w:rPr>
      </w:pPr>
      <w:r>
        <w:rPr>
          <w:rStyle w:val="7"/>
          <w:rFonts w:ascii="Arial" w:hAnsi="Arial" w:cs="Arial"/>
          <w:sz w:val="16"/>
          <w:szCs w:val="16"/>
        </w:rPr>
        <w:footnoteRef/>
      </w:r>
      <w:r>
        <w:rPr>
          <w:rFonts w:ascii="Arial" w:hAnsi="Arial" w:cs="Arial"/>
          <w:sz w:val="16"/>
          <w:szCs w:val="16"/>
          <w:lang w:val="es-MX"/>
        </w:rPr>
        <w:t xml:space="preserve"> </w:t>
      </w:r>
      <w:r>
        <w:fldChar w:fldCharType="begin"/>
      </w:r>
      <w:r>
        <w:instrText xml:space="preserve"> HYPERLINK "https://www.instagram.com" </w:instrText>
      </w:r>
      <w:r>
        <w:fldChar w:fldCharType="separate"/>
      </w:r>
      <w:r>
        <w:rPr>
          <w:rStyle w:val="8"/>
          <w:rFonts w:ascii="Arial" w:hAnsi="Arial" w:cs="Arial"/>
          <w:sz w:val="16"/>
          <w:szCs w:val="16"/>
          <w:lang w:val="es-MX"/>
        </w:rPr>
        <w:t>https://www.instagram.com</w:t>
      </w:r>
      <w:r>
        <w:rPr>
          <w:rStyle w:val="8"/>
          <w:rFonts w:ascii="Arial" w:hAnsi="Arial" w:cs="Arial"/>
          <w:sz w:val="16"/>
          <w:szCs w:val="16"/>
          <w:lang w:val="es-MX"/>
        </w:rPr>
        <w:fldChar w:fldCharType="end"/>
      </w:r>
      <w:r>
        <w:rPr>
          <w:rFonts w:ascii="Arial" w:hAnsi="Arial" w:cs="Arial"/>
          <w:sz w:val="16"/>
          <w:szCs w:val="16"/>
          <w:lang w:val="es-MX"/>
        </w:rPr>
        <w:t xml:space="preserve">  /</w:t>
      </w:r>
      <w:r>
        <w:fldChar w:fldCharType="begin"/>
      </w:r>
      <w:r>
        <w:instrText xml:space="preserve"> HYPERLINK "mailto:parirconplacer@gmail.com" </w:instrText>
      </w:r>
      <w:r>
        <w:fldChar w:fldCharType="separate"/>
      </w:r>
      <w:r>
        <w:rPr>
          <w:rStyle w:val="8"/>
          <w:rFonts w:ascii="Arial" w:hAnsi="Arial" w:eastAsia="Helvetica" w:cs="Arial"/>
          <w:sz w:val="16"/>
          <w:szCs w:val="16"/>
          <w:shd w:val="clear" w:color="auto" w:fill="FFFFFF"/>
          <w:lang w:val="es-MX"/>
        </w:rPr>
        <w:t>parirconplacer@gmail.com</w:t>
      </w:r>
      <w:r>
        <w:rPr>
          <w:rStyle w:val="8"/>
          <w:rFonts w:ascii="Arial" w:hAnsi="Arial" w:eastAsia="Helvetica" w:cs="Arial"/>
          <w:sz w:val="16"/>
          <w:szCs w:val="16"/>
          <w:shd w:val="clear" w:color="auto" w:fill="FFFFFF"/>
          <w:lang w:val="es-MX"/>
        </w:rPr>
        <w:fldChar w:fldCharType="end"/>
      </w:r>
    </w:p>
  </w:footnote>
  <w:footnote w:id="3">
    <w:p>
      <w:pPr>
        <w:pStyle w:val="2"/>
        <w:shd w:val="clear" w:color="auto" w:fill="FFFFFF"/>
        <w:spacing w:beforeAutospacing="0" w:afterAutospacing="0"/>
        <w:rPr>
          <w:rFonts w:hint="default" w:ascii="Arial" w:hAnsi="Arial" w:cs="Arial"/>
          <w:b w:val="0"/>
          <w:bCs w:val="0"/>
          <w:sz w:val="16"/>
          <w:szCs w:val="16"/>
          <w:lang w:val="es-MX"/>
        </w:rPr>
      </w:pPr>
      <w:r>
        <w:rPr>
          <w:rStyle w:val="7"/>
          <w:rFonts w:hint="default" w:ascii="Arial" w:hAnsi="Arial" w:cs="Arial"/>
          <w:b w:val="0"/>
          <w:bCs w:val="0"/>
          <w:sz w:val="16"/>
          <w:szCs w:val="16"/>
        </w:rPr>
        <w:footnoteRef/>
      </w:r>
      <w:r>
        <w:rPr>
          <w:rFonts w:hint="default" w:ascii="Arial" w:hAnsi="Arial" w:cs="Arial"/>
          <w:b w:val="0"/>
          <w:bCs w:val="0"/>
          <w:sz w:val="16"/>
          <w:szCs w:val="16"/>
          <w:lang w:val="es-MX"/>
        </w:rPr>
        <w:t xml:space="preserve"> </w:t>
      </w:r>
      <w:r>
        <w:fldChar w:fldCharType="begin"/>
      </w:r>
      <w:r>
        <w:instrText xml:space="preserve"> HYPERLINK "http://www.ovgove.org," </w:instrText>
      </w:r>
      <w:r>
        <w:fldChar w:fldCharType="separate"/>
      </w:r>
      <w:r>
        <w:fldChar w:fldCharType="end"/>
      </w:r>
      <w:r>
        <w:fldChar w:fldCharType="begin"/>
      </w:r>
      <w:r>
        <w:instrText xml:space="preserve"> HYPERLINK "https://www.ovgove.org" </w:instrText>
      </w:r>
      <w:r>
        <w:fldChar w:fldCharType="separate"/>
      </w:r>
      <w:r>
        <w:rPr>
          <w:rStyle w:val="8"/>
          <w:rFonts w:hint="default" w:ascii="Arial" w:hAnsi="Arial" w:cs="Arial"/>
          <w:b w:val="0"/>
          <w:bCs w:val="0"/>
          <w:sz w:val="16"/>
          <w:szCs w:val="16"/>
          <w:lang w:val="es-MX"/>
        </w:rPr>
        <w:t>https://www.ovgove.org</w:t>
      </w:r>
      <w:r>
        <w:rPr>
          <w:rStyle w:val="8"/>
          <w:rFonts w:hint="default" w:ascii="Arial" w:hAnsi="Arial" w:cs="Arial"/>
          <w:b w:val="0"/>
          <w:bCs w:val="0"/>
          <w:sz w:val="16"/>
          <w:szCs w:val="16"/>
          <w:lang w:val="es-MX"/>
        </w:rPr>
        <w:fldChar w:fldCharType="end"/>
      </w:r>
      <w:r>
        <w:rPr>
          <w:rStyle w:val="8"/>
          <w:rFonts w:hint="default" w:ascii="Arial" w:hAnsi="Arial" w:cs="Arial"/>
          <w:b w:val="0"/>
          <w:bCs w:val="0"/>
          <w:color w:val="auto"/>
          <w:sz w:val="16"/>
          <w:szCs w:val="16"/>
          <w:u w:val="none"/>
          <w:lang w:val="es-MX"/>
        </w:rPr>
        <w:t xml:space="preserve"> /</w:t>
      </w:r>
      <w:r>
        <w:rPr>
          <w:rFonts w:hint="default" w:ascii="Arial" w:hAnsi="Arial" w:cs="Arial"/>
          <w:b w:val="0"/>
          <w:bCs w:val="0"/>
          <w:sz w:val="16"/>
          <w:szCs w:val="16"/>
          <w:lang w:val="es-MX"/>
        </w:rPr>
        <w:t xml:space="preserve"> </w:t>
      </w:r>
      <w:r>
        <w:fldChar w:fldCharType="begin"/>
      </w:r>
      <w:r>
        <w:instrText xml:space="preserve"> HYPERLINK "mailto:violenciaginecobstetricave@gmail.com" </w:instrText>
      </w:r>
      <w:r>
        <w:fldChar w:fldCharType="separate"/>
      </w:r>
      <w:r>
        <w:rPr>
          <w:rStyle w:val="8"/>
          <w:rFonts w:hint="default" w:ascii="Arial" w:hAnsi="Arial" w:eastAsia="Helvetica" w:cs="Arial"/>
          <w:b w:val="0"/>
          <w:bCs w:val="0"/>
          <w:sz w:val="16"/>
          <w:szCs w:val="16"/>
          <w:shd w:val="clear" w:color="auto" w:fill="FFFFFF"/>
          <w:lang w:val="es-MX"/>
        </w:rPr>
        <w:t>violenciaginecobstetricave@gmail.com</w:t>
      </w:r>
      <w:r>
        <w:rPr>
          <w:rStyle w:val="8"/>
          <w:rFonts w:hint="default" w:ascii="Arial" w:hAnsi="Arial" w:eastAsia="Helvetica" w:cs="Arial"/>
          <w:b w:val="0"/>
          <w:bCs w:val="0"/>
          <w:sz w:val="16"/>
          <w:szCs w:val="16"/>
          <w:shd w:val="clear" w:color="auto" w:fill="FFFFFF"/>
          <w:lang w:val="es-MX"/>
        </w:rPr>
        <w:fldChar w:fldCharType="end"/>
      </w:r>
    </w:p>
  </w:footnote>
  <w:footnote w:id="4">
    <w:p>
      <w:pPr>
        <w:pStyle w:val="10"/>
        <w:rPr>
          <w:sz w:val="18"/>
          <w:szCs w:val="18"/>
        </w:rPr>
      </w:pPr>
      <w:r>
        <w:rPr>
          <w:rStyle w:val="7"/>
          <w:rFonts w:ascii="Arial" w:hAnsi="Arial" w:cs="Arial"/>
          <w:sz w:val="16"/>
          <w:szCs w:val="16"/>
        </w:rPr>
        <w:footnoteRef/>
      </w:r>
      <w:r>
        <w:rPr>
          <w:rFonts w:ascii="Arial" w:hAnsi="Arial" w:cs="Arial"/>
          <w:sz w:val="16"/>
          <w:szCs w:val="16"/>
        </w:rPr>
        <w:t xml:space="preserve"> </w:t>
      </w:r>
      <w:r>
        <w:fldChar w:fldCharType="begin"/>
      </w:r>
      <w:r>
        <w:instrText xml:space="preserve"> HYPERLINK "https://www.avesa.blog" </w:instrText>
      </w:r>
      <w:r>
        <w:fldChar w:fldCharType="separate"/>
      </w:r>
      <w:r>
        <w:rPr>
          <w:rStyle w:val="8"/>
          <w:rFonts w:ascii="Arial" w:hAnsi="Arial" w:cs="Arial"/>
          <w:sz w:val="16"/>
          <w:szCs w:val="16"/>
        </w:rPr>
        <w:t>https://www.avesa.blog</w:t>
      </w:r>
      <w:r>
        <w:rPr>
          <w:rStyle w:val="8"/>
          <w:rFonts w:ascii="Arial" w:hAnsi="Arial" w:cs="Arial"/>
          <w:sz w:val="16"/>
          <w:szCs w:val="16"/>
        </w:rPr>
        <w:fldChar w:fldCharType="end"/>
      </w:r>
      <w:r>
        <w:rPr>
          <w:rFonts w:ascii="Arial" w:hAnsi="Arial" w:cs="Arial"/>
          <w:sz w:val="16"/>
          <w:szCs w:val="16"/>
        </w:rPr>
        <w:t xml:space="preserve"> / </w:t>
      </w:r>
      <w:r>
        <w:fldChar w:fldCharType="begin"/>
      </w:r>
      <w:r>
        <w:instrText xml:space="preserve"> HYPERLINK "mailto:contacto@avesaweb.com" </w:instrText>
      </w:r>
      <w:r>
        <w:fldChar w:fldCharType="separate"/>
      </w:r>
      <w:r>
        <w:rPr>
          <w:rStyle w:val="8"/>
          <w:rFonts w:ascii="Arial" w:hAnsi="Arial" w:cs="Arial"/>
          <w:sz w:val="16"/>
          <w:szCs w:val="16"/>
        </w:rPr>
        <w:t>contacto@avesaweb.com</w:t>
      </w:r>
      <w:r>
        <w:rPr>
          <w:rStyle w:val="8"/>
          <w:rFonts w:ascii="Arial" w:hAnsi="Arial" w:cs="Arial"/>
          <w:sz w:val="16"/>
          <w:szCs w:val="16"/>
        </w:rPr>
        <w:fldChar w:fldCharType="end"/>
      </w:r>
      <w:r>
        <w:rPr>
          <w:rFonts w:ascii="Arial" w:hAnsi="Arial" w:cs="Arial"/>
          <w:sz w:val="16"/>
          <w:szCs w:val="16"/>
        </w:rPr>
        <w:t xml:space="preserve"> / </w:t>
      </w:r>
      <w:r>
        <w:fldChar w:fldCharType="begin"/>
      </w:r>
      <w:r>
        <w:instrText xml:space="preserve"> HYPERLINK "mailto:comunicaciones@avesaweb.com" </w:instrText>
      </w:r>
      <w:r>
        <w:fldChar w:fldCharType="separate"/>
      </w:r>
      <w:r>
        <w:rPr>
          <w:rStyle w:val="8"/>
          <w:rFonts w:ascii="Arial" w:hAnsi="Arial" w:cs="Arial"/>
          <w:sz w:val="16"/>
          <w:szCs w:val="16"/>
        </w:rPr>
        <w:t>comunicaciones@avesaweb.com</w:t>
      </w:r>
      <w:r>
        <w:rPr>
          <w:rStyle w:val="8"/>
          <w:rFonts w:ascii="Arial" w:hAnsi="Arial" w:cs="Arial"/>
          <w:sz w:val="16"/>
          <w:szCs w:val="16"/>
        </w:rPr>
        <w:fldChar w:fldCharType="end"/>
      </w:r>
      <w:r>
        <w:rPr>
          <w:rFonts w:ascii="Arial" w:hAnsi="Arial" w:cs="Arial"/>
          <w:sz w:val="16"/>
          <w:szCs w:val="16"/>
        </w:rPr>
        <w:t xml:space="preserve"> </w:t>
      </w:r>
    </w:p>
  </w:footnote>
  <w:footnote w:id="5">
    <w:p>
      <w:pPr>
        <w:pStyle w:val="10"/>
        <w:jc w:val="left"/>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Carosio, Alba; Flores, Mitzy, González Ximena y otras (2021): Mujeres viviendo la pandemia en Venezuela. En </w:t>
      </w:r>
      <w:r>
        <w:rPr>
          <w:rFonts w:ascii="Arial" w:hAnsi="Arial" w:cs="Arial"/>
          <w:i/>
          <w:sz w:val="16"/>
          <w:szCs w:val="16"/>
        </w:rPr>
        <w:t xml:space="preserve">Pandemia, cuerpas y cuidados. Impactos del COVID-19 en la vida de las mujeres cis y disidencias: Argentina, Brasil, Venezuela y España. </w:t>
      </w:r>
      <w:r>
        <w:fldChar w:fldCharType="begin"/>
      </w:r>
      <w:r>
        <w:instrText xml:space="preserve"> HYPERLINK "https://www.clacso.org/boletin-1-poetica-erotica-de-la-relacion/" </w:instrText>
      </w:r>
      <w:r>
        <w:fldChar w:fldCharType="separate"/>
      </w:r>
      <w:r>
        <w:rPr>
          <w:rStyle w:val="8"/>
          <w:rFonts w:ascii="Arial" w:hAnsi="Arial" w:cs="Arial"/>
          <w:sz w:val="16"/>
          <w:szCs w:val="16"/>
        </w:rPr>
        <w:t>https://www.clacso.org/boletin-1-poetica-erotica-de-la-relacion/</w:t>
      </w:r>
      <w:r>
        <w:rPr>
          <w:rStyle w:val="8"/>
          <w:rFonts w:ascii="Arial" w:hAnsi="Arial" w:cs="Arial"/>
          <w:sz w:val="16"/>
          <w:szCs w:val="16"/>
        </w:rPr>
        <w:fldChar w:fldCharType="end"/>
      </w:r>
      <w:r>
        <w:rPr>
          <w:rFonts w:ascii="Arial" w:hAnsi="Arial" w:cs="Arial"/>
          <w:sz w:val="16"/>
          <w:szCs w:val="16"/>
        </w:rPr>
        <w:t xml:space="preserve"> </w:t>
      </w:r>
    </w:p>
  </w:footnote>
  <w:footnote w:id="6">
    <w:p>
      <w:pPr>
        <w:pStyle w:val="10"/>
        <w:jc w:val="left"/>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Carosio, Alba; Rodríguez, Indhira y Elíaz, Tania (2020). Venezolanas en la pandemia. Pensar la Pandemia. Observatorio Social del Coronavirus. CLACSO. Recuperado de: </w:t>
      </w:r>
      <w:r>
        <w:fldChar w:fldCharType="begin"/>
      </w:r>
      <w:r>
        <w:instrText xml:space="preserve"> HYPERLINK "https://www.clacso.org/venezolanas-en-la-pandemia/" </w:instrText>
      </w:r>
      <w:r>
        <w:fldChar w:fldCharType="separate"/>
      </w:r>
      <w:r>
        <w:rPr>
          <w:rStyle w:val="8"/>
          <w:rFonts w:ascii="Arial" w:hAnsi="Arial" w:cs="Arial"/>
          <w:sz w:val="16"/>
          <w:szCs w:val="16"/>
        </w:rPr>
        <w:t>https://www.clacso.org/venezolanas-en-la-pandemia/</w:t>
      </w:r>
      <w:r>
        <w:rPr>
          <w:rStyle w:val="8"/>
          <w:rFonts w:ascii="Arial" w:hAnsi="Arial" w:cs="Arial"/>
          <w:sz w:val="16"/>
          <w:szCs w:val="16"/>
        </w:rPr>
        <w:fldChar w:fldCharType="end"/>
      </w:r>
      <w:r>
        <w:rPr>
          <w:rFonts w:ascii="Arial" w:hAnsi="Arial" w:cs="Arial"/>
          <w:sz w:val="16"/>
          <w:szCs w:val="16"/>
        </w:rPr>
        <w:t xml:space="preserve"> </w:t>
      </w:r>
    </w:p>
  </w:footnote>
  <w:footnote w:id="7">
    <w:p>
      <w:pPr>
        <w:pStyle w:val="10"/>
        <w:jc w:val="left"/>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Flores Sequera, Mitzy (2020) Desigualdades develadas por la pandemia: Economía del cuidado y malestar en profesoras de universidades venezolanas </w:t>
      </w:r>
      <w:r>
        <w:fldChar w:fldCharType="begin"/>
      </w:r>
      <w:r>
        <w:instrText xml:space="preserve"> HYPERLINK "https://www.revistasipgh.org/index.php/anam/article/view/846" </w:instrText>
      </w:r>
      <w:r>
        <w:fldChar w:fldCharType="separate"/>
      </w:r>
      <w:r>
        <w:rPr>
          <w:rStyle w:val="8"/>
          <w:rFonts w:ascii="Arial" w:hAnsi="Arial" w:cs="Arial"/>
          <w:sz w:val="16"/>
          <w:szCs w:val="16"/>
        </w:rPr>
        <w:t>https://www.revistasipgh.org/index.php/anam/article/view/846</w:t>
      </w:r>
      <w:r>
        <w:rPr>
          <w:rStyle w:val="8"/>
          <w:rFonts w:ascii="Arial" w:hAnsi="Arial" w:cs="Arial"/>
          <w:sz w:val="16"/>
          <w:szCs w:val="16"/>
        </w:rPr>
        <w:fldChar w:fldCharType="end"/>
      </w:r>
      <w:r>
        <w:rPr>
          <w:rFonts w:ascii="Arial" w:hAnsi="Arial" w:cs="Arial"/>
          <w:sz w:val="16"/>
          <w:szCs w:val="16"/>
        </w:rPr>
        <w:t xml:space="preserve"> </w:t>
      </w:r>
    </w:p>
  </w:footnote>
  <w:footnote w:id="8">
    <w:p>
      <w:pPr>
        <w:pStyle w:val="1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Alianza Salud Para Todas (2020) “La salud de las mujeres en Venezuela. Crisis del sistema sanitario y COVID 19”. Disponible en: </w:t>
      </w:r>
      <w:r>
        <w:fldChar w:fldCharType="begin"/>
      </w:r>
      <w:r>
        <w:instrText xml:space="preserve"> HYPERLINK "https://avesa.blog/2021/04/22/la-salud-de-las-mujeres-en-venezuela-crisis-del-sistema-sanitario-y-covid-19/" </w:instrText>
      </w:r>
      <w:r>
        <w:fldChar w:fldCharType="separate"/>
      </w:r>
      <w:r>
        <w:rPr>
          <w:rStyle w:val="8"/>
          <w:rFonts w:ascii="Arial" w:hAnsi="Arial" w:cs="Arial"/>
          <w:sz w:val="16"/>
          <w:szCs w:val="16"/>
        </w:rPr>
        <w:t>La salud de las mujeres en Venezuela: crisis del sistema sanitario y COVID-19 – AVESA</w:t>
      </w:r>
      <w:r>
        <w:rPr>
          <w:rStyle w:val="8"/>
          <w:rFonts w:ascii="Arial" w:hAnsi="Arial" w:cs="Arial"/>
          <w:sz w:val="16"/>
          <w:szCs w:val="16"/>
        </w:rPr>
        <w:fldChar w:fldCharType="end"/>
      </w:r>
      <w:r>
        <w:rPr>
          <w:rFonts w:ascii="Arial" w:hAnsi="Arial" w:cs="Arial"/>
          <w:sz w:val="16"/>
          <w:szCs w:val="16"/>
        </w:rPr>
        <w:t xml:space="preserve"> </w:t>
      </w:r>
    </w:p>
  </w:footnote>
  <w:footnote w:id="9">
    <w:p>
      <w:pPr>
        <w:pStyle w:val="10"/>
        <w:jc w:val="left"/>
        <w:rPr>
          <w:rFonts w:ascii="Arial" w:hAnsi="Arial" w:cs="Arial"/>
          <w:sz w:val="16"/>
          <w:szCs w:val="16"/>
          <w:lang w:val="es-MX"/>
        </w:rPr>
      </w:pPr>
      <w:r>
        <w:rPr>
          <w:rStyle w:val="7"/>
          <w:rFonts w:ascii="Arial" w:hAnsi="Arial" w:cs="Arial"/>
          <w:sz w:val="16"/>
          <w:szCs w:val="16"/>
        </w:rPr>
        <w:footnoteRef/>
      </w:r>
      <w:r>
        <w:rPr>
          <w:rFonts w:ascii="Arial" w:hAnsi="Arial" w:cs="Arial"/>
          <w:sz w:val="16"/>
          <w:szCs w:val="16"/>
        </w:rPr>
        <w:t xml:space="preserve"> Gaceta Oficial de la RBV Nº 6.667 Extraordinario del 16 de diciembre de 2021</w:t>
      </w:r>
      <w:r>
        <w:rPr>
          <w:rFonts w:ascii="Arial" w:hAnsi="Arial" w:cs="Arial"/>
          <w:sz w:val="16"/>
          <w:szCs w:val="16"/>
          <w:lang w:val="es-MX"/>
        </w:rPr>
        <w:t>.</w:t>
      </w:r>
    </w:p>
  </w:footnote>
  <w:footnote w:id="10">
    <w:p>
      <w:pPr>
        <w:pStyle w:val="10"/>
        <w:jc w:val="left"/>
        <w:rPr>
          <w:rFonts w:ascii="Arial" w:hAnsi="Arial" w:cs="Arial"/>
        </w:rPr>
      </w:pPr>
      <w:r>
        <w:rPr>
          <w:rStyle w:val="7"/>
          <w:rFonts w:ascii="Arial" w:hAnsi="Arial" w:cs="Arial"/>
          <w:sz w:val="16"/>
          <w:szCs w:val="16"/>
        </w:rPr>
        <w:footnoteRef/>
      </w:r>
      <w:r>
        <w:rPr>
          <w:rFonts w:ascii="Arial" w:hAnsi="Arial" w:cs="Arial"/>
          <w:sz w:val="16"/>
          <w:szCs w:val="16"/>
        </w:rPr>
        <w:t xml:space="preserve"> Gaceta Oficial N° 41.376. Disponible en: </w:t>
      </w:r>
      <w:r>
        <w:fldChar w:fldCharType="begin"/>
      </w:r>
      <w:r>
        <w:instrText xml:space="preserve"> HYPERLINK "https://www.ghm.com.ve/wp-content/uploads/2018/04/41376.pdf" </w:instrText>
      </w:r>
      <w:r>
        <w:fldChar w:fldCharType="separate"/>
      </w:r>
      <w:r>
        <w:rPr>
          <w:rStyle w:val="8"/>
          <w:rFonts w:ascii="Arial" w:hAnsi="Arial" w:cs="Arial"/>
          <w:sz w:val="16"/>
          <w:szCs w:val="16"/>
        </w:rPr>
        <w:t>https://www.ghm.com.ve/wp-content/uploads/2018/04/41376.pdf</w:t>
      </w:r>
      <w:r>
        <w:rPr>
          <w:rStyle w:val="8"/>
          <w:rFonts w:ascii="Arial" w:hAnsi="Arial" w:cs="Arial"/>
          <w:sz w:val="16"/>
          <w:szCs w:val="16"/>
        </w:rPr>
        <w:fldChar w:fldCharType="end"/>
      </w:r>
      <w:r>
        <w:rPr>
          <w:rFonts w:ascii="Arial" w:hAnsi="Arial" w:cs="Arial"/>
          <w:sz w:val="16"/>
          <w:szCs w:val="16"/>
        </w:rPr>
        <w:t xml:space="preserve"> </w:t>
      </w:r>
    </w:p>
  </w:footnote>
  <w:footnote w:id="11">
    <w:p>
      <w:pPr>
        <w:spacing w:after="0" w:line="240" w:lineRule="auto"/>
        <w:rPr>
          <w:rFonts w:ascii="Arial" w:hAnsi="Arial" w:cs="Arial"/>
          <w:sz w:val="16"/>
          <w:szCs w:val="16"/>
          <w:lang w:val="es-MX"/>
        </w:rPr>
      </w:pPr>
      <w:r>
        <w:rPr>
          <w:rStyle w:val="7"/>
          <w:rFonts w:ascii="Arial" w:hAnsi="Arial" w:cs="Arial"/>
          <w:sz w:val="16"/>
          <w:szCs w:val="16"/>
        </w:rPr>
        <w:footnoteRef/>
      </w:r>
      <w:r>
        <w:rPr>
          <w:rFonts w:ascii="Arial" w:hAnsi="Arial" w:cs="Arial"/>
          <w:sz w:val="16"/>
          <w:szCs w:val="16"/>
        </w:rPr>
        <w:t xml:space="preserve"> </w:t>
      </w:r>
      <w:r>
        <w:rPr>
          <w:rStyle w:val="9"/>
          <w:rFonts w:ascii="Arial" w:hAnsi="Arial" w:eastAsia="Open Sans" w:cs="Arial"/>
          <w:b w:val="0"/>
          <w:bCs w:val="0"/>
          <w:color w:val="000000"/>
          <w:sz w:val="16"/>
          <w:szCs w:val="16"/>
          <w:shd w:val="clear" w:color="auto" w:fill="FFFFFF"/>
        </w:rPr>
        <w:t>PPH</w:t>
      </w:r>
      <w:r>
        <w:rPr>
          <w:rFonts w:ascii="Arial" w:hAnsi="Arial" w:eastAsia="Open Sans" w:cs="Arial"/>
          <w:color w:val="000000"/>
          <w:sz w:val="16"/>
          <w:szCs w:val="16"/>
          <w:shd w:val="clear" w:color="auto" w:fill="FFFFFF"/>
        </w:rPr>
        <w:t> es un programa social promovido</w:t>
      </w:r>
      <w:r>
        <w:rPr>
          <w:rFonts w:ascii="Arial" w:hAnsi="Arial" w:eastAsia="Open Sans" w:cs="Arial"/>
          <w:color w:val="000000"/>
          <w:sz w:val="16"/>
          <w:szCs w:val="16"/>
          <w:shd w:val="clear" w:color="auto" w:fill="FFFFFF"/>
          <w:lang w:val="es-MX"/>
        </w:rPr>
        <w:t xml:space="preserve"> desde</w:t>
      </w:r>
      <w:r>
        <w:rPr>
          <w:rStyle w:val="9"/>
          <w:rFonts w:ascii="Arial" w:hAnsi="Arial" w:eastAsia="Open Sans" w:cs="Arial"/>
          <w:b w:val="0"/>
          <w:bCs w:val="0"/>
          <w:color w:val="000000"/>
          <w:sz w:val="16"/>
          <w:szCs w:val="16"/>
          <w:shd w:val="clear" w:color="auto" w:fill="FFFFFF"/>
        </w:rPr>
        <w:t xml:space="preserve"> 2017</w:t>
      </w:r>
      <w:r>
        <w:rPr>
          <w:rFonts w:ascii="Arial" w:hAnsi="Arial" w:eastAsia="Open Sans" w:cs="Arial"/>
          <w:color w:val="000000"/>
          <w:sz w:val="16"/>
          <w:szCs w:val="16"/>
          <w:shd w:val="clear" w:color="auto" w:fill="FFFFFF"/>
        </w:rPr>
        <w:t xml:space="preserve"> por el </w:t>
      </w:r>
      <w:r>
        <w:rPr>
          <w:rStyle w:val="9"/>
          <w:rFonts w:ascii="Arial" w:hAnsi="Arial" w:eastAsia="Open Sans" w:cs="Arial"/>
          <w:b w:val="0"/>
          <w:bCs w:val="0"/>
          <w:color w:val="000000"/>
          <w:sz w:val="16"/>
          <w:szCs w:val="16"/>
          <w:shd w:val="clear" w:color="auto" w:fill="FFFFFF"/>
        </w:rPr>
        <w:t>Ministerio del Poder Popular para la Mujer y la Igualdad de Género</w:t>
      </w:r>
      <w:r>
        <w:rPr>
          <w:rFonts w:ascii="Arial" w:hAnsi="Arial" w:eastAsia="Open Sans" w:cs="Arial"/>
          <w:color w:val="000000"/>
          <w:sz w:val="16"/>
          <w:szCs w:val="16"/>
          <w:shd w:val="clear" w:color="auto" w:fill="FFFFFF"/>
        </w:rPr>
        <w:t>, el Instituto Nacional de la Mujer (Inamujer)</w:t>
      </w:r>
      <w:r>
        <w:rPr>
          <w:rFonts w:ascii="Arial" w:hAnsi="Arial" w:eastAsia="Open Sans" w:cs="Arial"/>
          <w:color w:val="000000"/>
          <w:sz w:val="16"/>
          <w:szCs w:val="16"/>
          <w:shd w:val="clear" w:color="auto" w:fill="FFFFFF"/>
          <w:lang w:val="es-MX"/>
        </w:rPr>
        <w:t xml:space="preserve"> y que debe </w:t>
      </w:r>
      <w:r>
        <w:rPr>
          <w:rFonts w:ascii="Arial" w:hAnsi="Arial" w:eastAsia="Open Sans" w:cs="Arial"/>
          <w:color w:val="000000"/>
          <w:sz w:val="16"/>
          <w:szCs w:val="16"/>
          <w:shd w:val="clear" w:color="auto" w:fill="FFFFFF"/>
        </w:rPr>
        <w:t>articula</w:t>
      </w:r>
      <w:r>
        <w:rPr>
          <w:rFonts w:ascii="Arial" w:hAnsi="Arial" w:eastAsia="Open Sans" w:cs="Arial"/>
          <w:color w:val="000000"/>
          <w:sz w:val="16"/>
          <w:szCs w:val="16"/>
          <w:shd w:val="clear" w:color="auto" w:fill="FFFFFF"/>
          <w:lang w:val="es-MX"/>
        </w:rPr>
        <w:t>r</w:t>
      </w:r>
      <w:r>
        <w:rPr>
          <w:rFonts w:ascii="Arial" w:hAnsi="Arial" w:eastAsia="Open Sans" w:cs="Arial"/>
          <w:color w:val="000000"/>
          <w:sz w:val="16"/>
          <w:szCs w:val="16"/>
          <w:shd w:val="clear" w:color="auto" w:fill="FFFFFF"/>
        </w:rPr>
        <w:t xml:space="preserve"> con </w:t>
      </w:r>
      <w:r>
        <w:rPr>
          <w:rFonts w:ascii="Arial" w:hAnsi="Arial" w:eastAsia="Open Sans" w:cs="Arial"/>
          <w:color w:val="000000"/>
          <w:sz w:val="16"/>
          <w:szCs w:val="16"/>
          <w:shd w:val="clear" w:color="auto" w:fill="FFFFFF"/>
          <w:lang w:val="es-MX"/>
        </w:rPr>
        <w:t>otros organismos</w:t>
      </w:r>
      <w:r>
        <w:rPr>
          <w:rFonts w:ascii="Arial" w:hAnsi="Arial" w:eastAsia="Open Sans" w:cs="Arial"/>
          <w:color w:val="000000"/>
          <w:sz w:val="16"/>
          <w:szCs w:val="16"/>
          <w:shd w:val="clear" w:color="auto" w:fill="FFFFFF"/>
        </w:rPr>
        <w:t>, principalmente el Ministerio de Salud</w:t>
      </w:r>
      <w:r>
        <w:rPr>
          <w:rFonts w:ascii="Arial" w:hAnsi="Arial" w:eastAsia="Open Sans" w:cs="Arial"/>
          <w:color w:val="000000"/>
          <w:sz w:val="16"/>
          <w:szCs w:val="16"/>
          <w:shd w:val="clear" w:color="auto" w:fill="FFFFFF"/>
          <w:lang w:val="es-MX"/>
        </w:rPr>
        <w:t xml:space="preserve"> (</w:t>
      </w:r>
      <w:r>
        <w:rPr>
          <w:rFonts w:ascii="Arial" w:hAnsi="Arial" w:eastAsia="MinionPro-Bold" w:cs="Arial"/>
          <w:color w:val="231F20"/>
          <w:sz w:val="16"/>
          <w:szCs w:val="16"/>
          <w:lang w:val="es-MX" w:eastAsia="zh-CN" w:bidi="ar"/>
        </w:rPr>
        <w:t xml:space="preserve">Gaceta Oficial </w:t>
      </w:r>
      <w:r>
        <w:rPr>
          <w:rFonts w:ascii="Arial" w:hAnsi="Arial" w:eastAsia="MinionPro-Bold" w:cs="Arial"/>
          <w:color w:val="231F20"/>
          <w:sz w:val="16"/>
          <w:szCs w:val="16"/>
          <w:lang w:eastAsia="zh-CN" w:bidi="ar"/>
        </w:rPr>
        <w:t>Número 40.988</w:t>
      </w:r>
      <w:r>
        <w:rPr>
          <w:rFonts w:ascii="Arial" w:hAnsi="Arial" w:eastAsia="MinionPro-Bold" w:cs="Arial"/>
          <w:color w:val="231F20"/>
          <w:sz w:val="16"/>
          <w:szCs w:val="16"/>
          <w:lang w:val="es-MX" w:eastAsia="zh-CN" w:bidi="ar"/>
        </w:rPr>
        <w:t>, s</w:t>
      </w:r>
      <w:r>
        <w:rPr>
          <w:rFonts w:ascii="Arial" w:hAnsi="Arial" w:eastAsia="MinionPro-Bold" w:cs="Arial"/>
          <w:color w:val="231F20"/>
          <w:sz w:val="16"/>
          <w:szCs w:val="16"/>
          <w:lang w:eastAsia="zh-CN" w:bidi="ar"/>
        </w:rPr>
        <w:t>eptiembre 2016</w:t>
      </w:r>
      <w:r>
        <w:rPr>
          <w:rFonts w:ascii="Arial" w:hAnsi="Arial" w:eastAsia="Open Sans" w:cs="Arial"/>
          <w:color w:val="000000"/>
          <w:sz w:val="16"/>
          <w:szCs w:val="16"/>
          <w:shd w:val="clear" w:color="auto" w:fill="FFFFFF"/>
          <w:lang w:val="es-MX"/>
        </w:rPr>
        <w:t>).</w:t>
      </w:r>
    </w:p>
  </w:footnote>
  <w:footnote w:id="12">
    <w:p>
      <w:pPr>
        <w:pStyle w:val="1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Ministerio del Poder Popular para la Salud y UNFPA Venezuela (2022) Manual Operativo para la implementación de la Estrategia de la Ruta Materna. Disponible en: </w:t>
      </w:r>
      <w:r>
        <w:fldChar w:fldCharType="begin"/>
      </w:r>
      <w:r>
        <w:instrText xml:space="preserve"> HYPERLINK "https://venezuela.unfpa.org/es/publications/manual-operativo-para-la-implementaci%C3%B3n-de-la-estrategia-de-la-ruta-materna" </w:instrText>
      </w:r>
      <w:r>
        <w:fldChar w:fldCharType="separate"/>
      </w:r>
      <w:r>
        <w:rPr>
          <w:rStyle w:val="8"/>
          <w:rFonts w:ascii="Arial" w:hAnsi="Arial" w:cs="Arial"/>
          <w:sz w:val="16"/>
          <w:szCs w:val="16"/>
        </w:rPr>
        <w:t>UNFPA Venezuela | Manual Operativo para la Implementación de la Estrategia de la Ruta Materna</w:t>
      </w:r>
      <w:r>
        <w:rPr>
          <w:rStyle w:val="8"/>
          <w:rFonts w:ascii="Arial" w:hAnsi="Arial" w:cs="Arial"/>
          <w:sz w:val="16"/>
          <w:szCs w:val="16"/>
        </w:rPr>
        <w:fldChar w:fldCharType="end"/>
      </w:r>
    </w:p>
  </w:footnote>
  <w:footnote w:id="13">
    <w:p>
      <w:pPr>
        <w:pStyle w:val="10"/>
        <w:rPr>
          <w:rFonts w:ascii="Arial" w:hAnsi="Arial" w:eastAsia="SimSun" w:cs="Arial"/>
          <w:sz w:val="16"/>
          <w:szCs w:val="16"/>
        </w:rPr>
      </w:pPr>
      <w:r>
        <w:rPr>
          <w:rStyle w:val="7"/>
          <w:rFonts w:ascii="Arial" w:hAnsi="Arial" w:cs="Arial"/>
          <w:sz w:val="16"/>
          <w:szCs w:val="16"/>
        </w:rPr>
        <w:footnoteRef/>
      </w:r>
      <w:r>
        <w:rPr>
          <w:rFonts w:ascii="Arial" w:hAnsi="Arial" w:cs="Arial"/>
          <w:sz w:val="16"/>
          <w:szCs w:val="16"/>
        </w:rPr>
        <w:t xml:space="preserve"> Villegas, América y otras (2022): Estado de la atención ginecobstétrica durante la gestación,  parto, nacimiento y puerperio inmediato en el sistema de salud venezolano. Caso: Gran Caracas. </w:t>
      </w:r>
      <w:r>
        <w:fldChar w:fldCharType="begin"/>
      </w:r>
      <w:r>
        <w:instrText xml:space="preserve"> HYPERLINK "https://ovgove.org/2023/01/17/los-hallazgos/" </w:instrText>
      </w:r>
      <w:r>
        <w:fldChar w:fldCharType="separate"/>
      </w:r>
      <w:r>
        <w:rPr>
          <w:rStyle w:val="8"/>
          <w:rFonts w:ascii="Arial" w:hAnsi="Arial" w:cs="Arial"/>
          <w:sz w:val="16"/>
          <w:szCs w:val="16"/>
        </w:rPr>
        <w:t>https://ovgove.org/2023/01/17/los-hallazgos/</w:t>
      </w:r>
      <w:r>
        <w:rPr>
          <w:rStyle w:val="8"/>
          <w:rFonts w:ascii="Arial" w:hAnsi="Arial" w:cs="Arial"/>
          <w:sz w:val="16"/>
          <w:szCs w:val="16"/>
        </w:rPr>
        <w:fldChar w:fldCharType="end"/>
      </w:r>
      <w:r>
        <w:rPr>
          <w:rFonts w:ascii="Arial" w:hAnsi="Arial" w:cs="Arial"/>
          <w:sz w:val="16"/>
          <w:szCs w:val="16"/>
        </w:rPr>
        <w:t xml:space="preserve"> </w:t>
      </w:r>
    </w:p>
  </w:footnote>
  <w:footnote w:id="14">
    <w:p>
      <w:pPr>
        <w:pStyle w:val="1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AVESA (2023) Indicadores de salud sexual y salud reproductiva en los municipios más poblados de los estados Apure, Sucre y Táchira. En proceso de publicación.</w:t>
      </w:r>
    </w:p>
  </w:footnote>
  <w:footnote w:id="15">
    <w:p>
      <w:pPr>
        <w:pStyle w:val="10"/>
        <w:snapToGrid w:val="0"/>
        <w:rPr>
          <w:rFonts w:ascii="Arial" w:hAnsi="Arial" w:cs="Arial"/>
          <w:sz w:val="16"/>
          <w:szCs w:val="16"/>
          <w:lang w:val="es-MX"/>
        </w:rPr>
      </w:pPr>
      <w:r>
        <w:rPr>
          <w:rStyle w:val="7"/>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Ibidem</w:t>
      </w:r>
      <w:r>
        <w:rPr>
          <w:rFonts w:ascii="Arial" w:hAnsi="Arial" w:cs="Arial"/>
          <w:i/>
          <w:iCs/>
          <w:sz w:val="16"/>
          <w:szCs w:val="16"/>
          <w:lang w:val="es-MX"/>
        </w:rPr>
        <w:t xml:space="preserve"> </w:t>
      </w:r>
      <w:r>
        <w:rPr>
          <w:rFonts w:ascii="Arial" w:hAnsi="Arial" w:cs="Arial"/>
          <w:sz w:val="16"/>
          <w:szCs w:val="16"/>
          <w:lang w:val="es-MX"/>
        </w:rPr>
        <w:t>páginas 25-26.</w:t>
      </w:r>
    </w:p>
  </w:footnote>
  <w:footnote w:id="16">
    <w:p>
      <w:pPr>
        <w:pStyle w:val="10"/>
        <w:snapToGrid w:val="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Ibidem</w:t>
      </w:r>
      <w:r>
        <w:rPr>
          <w:rFonts w:ascii="Arial" w:hAnsi="Arial" w:cs="Arial"/>
          <w:i/>
          <w:iCs/>
          <w:sz w:val="16"/>
          <w:szCs w:val="16"/>
          <w:lang w:val="es-MX"/>
        </w:rPr>
        <w:t xml:space="preserve"> </w:t>
      </w:r>
      <w:r>
        <w:rPr>
          <w:rFonts w:ascii="Arial" w:hAnsi="Arial" w:cs="Arial"/>
          <w:sz w:val="16"/>
          <w:szCs w:val="16"/>
          <w:lang w:val="es-MX"/>
        </w:rPr>
        <w:t>página 27.</w:t>
      </w:r>
    </w:p>
  </w:footnote>
  <w:footnote w:id="17">
    <w:p>
      <w:pPr>
        <w:pStyle w:val="10"/>
        <w:snapToGrid w:val="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http://ovgove.org/2023/03/31/las-cifras/</w:t>
      </w:r>
    </w:p>
  </w:footnote>
  <w:footnote w:id="18">
    <w:p>
      <w:pPr>
        <w:pStyle w:val="10"/>
        <w:snapToGrid w:val="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Villegas, América y otras (2022)</w:t>
      </w:r>
      <w:r>
        <w:rPr>
          <w:rFonts w:ascii="Arial" w:hAnsi="Arial" w:cs="Arial"/>
          <w:sz w:val="16"/>
          <w:szCs w:val="16"/>
          <w:lang w:val="es-MX"/>
        </w:rPr>
        <w:t xml:space="preserve"> Estado de la atención ginecobstétrica durante la gestación,  parto, nacimiento y puerperio inmediato en el sistema de salud venezolano. Caso: Gran Caracas. </w:t>
      </w:r>
      <w:r>
        <w:fldChar w:fldCharType="begin"/>
      </w:r>
      <w:r>
        <w:instrText xml:space="preserve"> HYPERLINK "https://ovgove.org/2023/01/17/los-hallazgos/" </w:instrText>
      </w:r>
      <w:r>
        <w:fldChar w:fldCharType="separate"/>
      </w:r>
      <w:r>
        <w:rPr>
          <w:rStyle w:val="8"/>
          <w:rFonts w:ascii="Arial" w:hAnsi="Arial" w:cs="Arial"/>
          <w:sz w:val="16"/>
          <w:szCs w:val="16"/>
          <w:lang w:val="es-MX"/>
        </w:rPr>
        <w:t>https://ovgove.org/2023/01/17/los-hallazgos/</w:t>
      </w:r>
      <w:r>
        <w:rPr>
          <w:rStyle w:val="8"/>
          <w:rFonts w:ascii="Arial" w:hAnsi="Arial" w:cs="Arial"/>
          <w:sz w:val="16"/>
          <w:szCs w:val="16"/>
          <w:lang w:val="es-MX"/>
        </w:rPr>
        <w:fldChar w:fldCharType="end"/>
      </w:r>
      <w:r>
        <w:rPr>
          <w:rFonts w:ascii="Arial" w:hAnsi="Arial" w:cs="Arial"/>
          <w:sz w:val="16"/>
          <w:szCs w:val="16"/>
          <w:lang w:val="es-MX"/>
        </w:rPr>
        <w:t xml:space="preserve"> página 29.</w:t>
      </w:r>
    </w:p>
  </w:footnote>
  <w:footnote w:id="19">
    <w:p>
      <w:pPr>
        <w:spacing w:after="0"/>
        <w:rPr>
          <w:rFonts w:ascii="Arial" w:hAnsi="Arial" w:cs="Arial"/>
          <w:sz w:val="16"/>
          <w:szCs w:val="16"/>
          <w:lang w:val="en-US"/>
        </w:rPr>
      </w:pPr>
      <w:r>
        <w:rPr>
          <w:rStyle w:val="7"/>
          <w:rFonts w:ascii="Arial" w:hAnsi="Arial" w:cs="Arial"/>
          <w:sz w:val="16"/>
          <w:szCs w:val="16"/>
        </w:rPr>
        <w:footnoteRef/>
      </w:r>
      <w:r>
        <w:rPr>
          <w:rFonts w:ascii="Arial" w:hAnsi="Arial" w:cs="Arial"/>
          <w:sz w:val="16"/>
          <w:szCs w:val="16"/>
          <w:lang w:val="en-US"/>
        </w:rPr>
        <w:t xml:space="preserve"> </w:t>
      </w:r>
      <w:r>
        <w:rPr>
          <w:rFonts w:ascii="Arial" w:hAnsi="Arial" w:eastAsia="MyriadPro-Regular" w:cs="Arial"/>
          <w:color w:val="231F20"/>
          <w:sz w:val="16"/>
          <w:szCs w:val="16"/>
          <w:lang w:val="en-US" w:eastAsia="zh-CN" w:bidi="ar"/>
        </w:rPr>
        <w:t>OMS 2015.</w:t>
      </w:r>
      <w:r>
        <w:rPr>
          <w:rFonts w:ascii="Arial" w:hAnsi="Arial" w:cs="Arial"/>
          <w:sz w:val="16"/>
          <w:szCs w:val="16"/>
          <w:lang w:val="en-US"/>
        </w:rPr>
        <w:t xml:space="preserve">  </w:t>
      </w:r>
      <w:r>
        <w:fldChar w:fldCharType="begin"/>
      </w:r>
      <w:r>
        <w:instrText xml:space="preserve"> HYPERLINK "https://www.who.int/es/publications/i/item/WHO-RHR-15.02" </w:instrText>
      </w:r>
      <w:r>
        <w:fldChar w:fldCharType="separate"/>
      </w:r>
      <w:r>
        <w:rPr>
          <w:rStyle w:val="8"/>
          <w:rFonts w:ascii="Arial" w:hAnsi="Arial" w:cs="Arial"/>
          <w:sz w:val="16"/>
          <w:szCs w:val="16"/>
          <w:lang w:val="en-US"/>
        </w:rPr>
        <w:t>https://www.who.int/es/publications/i/item/WHO-RHR-15.02</w:t>
      </w:r>
      <w:r>
        <w:rPr>
          <w:rStyle w:val="8"/>
          <w:rFonts w:ascii="Arial" w:hAnsi="Arial" w:cs="Arial"/>
          <w:sz w:val="16"/>
          <w:szCs w:val="16"/>
          <w:lang w:val="en-US"/>
        </w:rPr>
        <w:fldChar w:fldCharType="end"/>
      </w:r>
      <w:r>
        <w:rPr>
          <w:rFonts w:ascii="Arial" w:hAnsi="Arial" w:cs="Arial"/>
          <w:sz w:val="16"/>
          <w:szCs w:val="16"/>
          <w:lang w:val="en-US"/>
        </w:rPr>
        <w:t xml:space="preserve"> </w:t>
      </w:r>
    </w:p>
  </w:footnote>
  <w:footnote w:id="20">
    <w:p>
      <w:pPr>
        <w:pStyle w:val="1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OMS (2015) Declaración de la OMS sobre tasas de cesárea. Disponible en: </w:t>
      </w:r>
      <w:r>
        <w:fldChar w:fldCharType="begin"/>
      </w:r>
      <w:r>
        <w:instrText xml:space="preserve"> HYPERLINK "https://www.who.int/es/publications/i/item/WHO-RHR-15.02" </w:instrText>
      </w:r>
      <w:r>
        <w:fldChar w:fldCharType="separate"/>
      </w:r>
      <w:r>
        <w:rPr>
          <w:rStyle w:val="8"/>
          <w:rFonts w:ascii="Arial" w:hAnsi="Arial" w:cs="Arial"/>
          <w:sz w:val="16"/>
          <w:szCs w:val="16"/>
        </w:rPr>
        <w:t>https://www.who.int/es/publications/i/item/WHO-RHR-15.02</w:t>
      </w:r>
      <w:r>
        <w:rPr>
          <w:rStyle w:val="8"/>
          <w:rFonts w:ascii="Arial" w:hAnsi="Arial" w:cs="Arial"/>
          <w:sz w:val="16"/>
          <w:szCs w:val="16"/>
        </w:rPr>
        <w:fldChar w:fldCharType="end"/>
      </w:r>
      <w:r>
        <w:rPr>
          <w:rFonts w:ascii="Arial" w:hAnsi="Arial" w:cs="Arial"/>
          <w:sz w:val="16"/>
          <w:szCs w:val="16"/>
        </w:rPr>
        <w:t xml:space="preserve"> </w:t>
      </w:r>
    </w:p>
  </w:footnote>
  <w:footnote w:id="21">
    <w:p>
      <w:pPr>
        <w:spacing w:after="0" w:line="240" w:lineRule="auto"/>
        <w:rPr>
          <w:rFonts w:ascii="Arial" w:hAnsi="Arial" w:cs="Arial"/>
          <w:sz w:val="16"/>
          <w:szCs w:val="16"/>
          <w:lang w:val="es-MX"/>
        </w:rPr>
      </w:pPr>
      <w:r>
        <w:rPr>
          <w:rStyle w:val="7"/>
          <w:rFonts w:ascii="Arial" w:hAnsi="Arial" w:cs="Arial"/>
          <w:sz w:val="16"/>
          <w:szCs w:val="16"/>
        </w:rPr>
        <w:footnoteRef/>
      </w:r>
      <w:r>
        <w:rPr>
          <w:rFonts w:ascii="Arial" w:hAnsi="Arial" w:cs="Arial"/>
          <w:sz w:val="16"/>
          <w:szCs w:val="16"/>
        </w:rPr>
        <w:t xml:space="preserve"> </w:t>
      </w:r>
      <w:r>
        <w:rPr>
          <w:rFonts w:ascii="Arial" w:hAnsi="Arial" w:eastAsia="TimesNewRomanPS-BoldMT" w:cs="Arial"/>
          <w:i/>
          <w:iCs/>
          <w:color w:val="000000"/>
          <w:sz w:val="16"/>
          <w:szCs w:val="16"/>
          <w:lang w:eastAsia="zh-CN" w:bidi="ar"/>
        </w:rPr>
        <w:t>Informe de la Relatora Especial sobre la violencia contra la mujer, sus causas y consecuencias acerca de un enfoque basado en los derechos humanos del maltrato y la violencia contra la mujer en los servicios de salud reproductiva, con especial hincapié en la atención del parto y la violencia obstétrica</w:t>
      </w:r>
      <w:r>
        <w:rPr>
          <w:rFonts w:ascii="Arial" w:hAnsi="Arial" w:cs="Arial"/>
          <w:sz w:val="16"/>
          <w:szCs w:val="16"/>
          <w:lang w:val="es-MX"/>
        </w:rPr>
        <w:t xml:space="preserve">. </w:t>
      </w:r>
      <w:r>
        <w:rPr>
          <w:rFonts w:ascii="Arial" w:hAnsi="Arial" w:eastAsia="TimesNewRomanPS-BoldMT" w:cs="Arial"/>
          <w:color w:val="000000"/>
          <w:sz w:val="16"/>
          <w:szCs w:val="16"/>
          <w:lang w:val="es-MX" w:eastAsia="zh-CN" w:bidi="ar"/>
        </w:rPr>
        <w:t>Asamblea General Naciones Unidas</w:t>
      </w:r>
      <w:r>
        <w:rPr>
          <w:rFonts w:ascii="Arial" w:hAnsi="Arial" w:cs="Arial"/>
          <w:sz w:val="16"/>
          <w:szCs w:val="16"/>
          <w:lang w:val="es-MX"/>
        </w:rPr>
        <w:t xml:space="preserve">. 2019. pág. </w:t>
      </w:r>
      <w:r>
        <w:rPr>
          <w:rFonts w:ascii="Arial" w:hAnsi="Arial" w:eastAsia="TimesNewRomanPS-BoldMT" w:cs="Arial"/>
          <w:color w:val="000000"/>
          <w:sz w:val="16"/>
          <w:szCs w:val="16"/>
          <w:lang w:eastAsia="zh-CN" w:bidi="ar"/>
        </w:rPr>
        <w:t xml:space="preserve">11/26 </w:t>
      </w:r>
      <w:r>
        <w:rPr>
          <w:rFonts w:ascii="Arial" w:hAnsi="Arial" w:eastAsia="TimesNewRomanPS-BoldMT" w:cs="Arial"/>
          <w:color w:val="000000"/>
          <w:sz w:val="16"/>
          <w:szCs w:val="16"/>
          <w:lang w:val="es-MX" w:eastAsia="zh-CN" w:bidi="ar"/>
        </w:rPr>
        <w:t xml:space="preserve">. </w:t>
      </w:r>
      <w:r>
        <w:fldChar w:fldCharType="begin"/>
      </w:r>
      <w:r>
        <w:instrText xml:space="preserve"> HYPERLINK "https://www.ohchr.org/es/special-procedures/sr-violence-against-women" </w:instrText>
      </w:r>
      <w:r>
        <w:fldChar w:fldCharType="separate"/>
      </w:r>
      <w:r>
        <w:rPr>
          <w:rStyle w:val="8"/>
          <w:rFonts w:ascii="Arial" w:hAnsi="Arial" w:eastAsia="TimesNewRomanPS-BoldMT" w:cs="Arial"/>
          <w:sz w:val="16"/>
          <w:szCs w:val="16"/>
          <w:lang w:val="es-MX" w:eastAsia="zh-CN"/>
        </w:rPr>
        <w:t>https://www.ohchr.org/es/special-procedures/sr-violence-against-women</w:t>
      </w:r>
      <w:r>
        <w:rPr>
          <w:rStyle w:val="8"/>
          <w:rFonts w:ascii="Arial" w:hAnsi="Arial" w:eastAsia="TimesNewRomanPS-BoldMT" w:cs="Arial"/>
          <w:sz w:val="16"/>
          <w:szCs w:val="16"/>
          <w:lang w:val="es-MX" w:eastAsia="zh-CN"/>
        </w:rPr>
        <w:fldChar w:fldCharType="end"/>
      </w:r>
      <w:r>
        <w:rPr>
          <w:rFonts w:ascii="Arial" w:hAnsi="Arial" w:eastAsia="TimesNewRomanPS-BoldMT" w:cs="Arial"/>
          <w:color w:val="000000"/>
          <w:sz w:val="16"/>
          <w:szCs w:val="16"/>
          <w:lang w:val="es-MX" w:eastAsia="zh-CN"/>
        </w:rPr>
        <w:t xml:space="preserve"> </w:t>
      </w:r>
    </w:p>
  </w:footnote>
  <w:footnote w:id="22">
    <w:p>
      <w:pPr>
        <w:pStyle w:val="10"/>
        <w:snapToGrid w:val="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Ministerio del Poder Popular para la Salud 2014</w:t>
      </w:r>
      <w:r>
        <w:rPr>
          <w:rFonts w:ascii="Arial" w:hAnsi="Arial" w:cs="Arial"/>
          <w:sz w:val="16"/>
          <w:szCs w:val="16"/>
          <w:lang w:val="es-MX"/>
        </w:rPr>
        <w:t>. Cap. 2. página 15 y siguientes.</w:t>
      </w:r>
    </w:p>
  </w:footnote>
  <w:footnote w:id="23">
    <w:p>
      <w:pPr>
        <w:pStyle w:val="10"/>
        <w:snapToGrid w:val="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Villegas, América y otras (2022)</w:t>
      </w:r>
      <w:r>
        <w:rPr>
          <w:rFonts w:ascii="Arial" w:hAnsi="Arial" w:cs="Arial"/>
          <w:i/>
          <w:iCs/>
          <w:sz w:val="16"/>
          <w:szCs w:val="16"/>
          <w:lang w:val="es-MX"/>
        </w:rPr>
        <w:t xml:space="preserve"> </w:t>
      </w:r>
      <w:r>
        <w:rPr>
          <w:rFonts w:ascii="Arial" w:hAnsi="Arial" w:cs="Arial"/>
          <w:sz w:val="16"/>
          <w:szCs w:val="16"/>
          <w:lang w:val="es-MX"/>
        </w:rPr>
        <w:t>página 27.</w:t>
      </w:r>
    </w:p>
  </w:footnote>
  <w:footnote w:id="24">
    <w:p>
      <w:pPr>
        <w:pStyle w:val="10"/>
        <w:snapToGrid w:val="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w:t>
      </w:r>
      <w:r>
        <w:rPr>
          <w:rFonts w:ascii="Arial" w:hAnsi="Arial" w:cs="Arial"/>
          <w:i/>
          <w:iCs/>
          <w:sz w:val="16"/>
          <w:szCs w:val="16"/>
        </w:rPr>
        <w:t>Recomendaciones de la OMS para la conducción del trabajo de parto</w:t>
      </w:r>
      <w:r>
        <w:rPr>
          <w:rFonts w:ascii="Arial" w:hAnsi="Arial" w:cs="Arial"/>
          <w:sz w:val="16"/>
          <w:szCs w:val="16"/>
          <w:lang w:val="es-MX"/>
        </w:rPr>
        <w:t xml:space="preserve"> (2015). pág. 13.  </w:t>
      </w:r>
      <w:r>
        <w:rPr>
          <w:rFonts w:ascii="Arial" w:hAnsi="Arial" w:cs="Arial"/>
          <w:sz w:val="16"/>
          <w:szCs w:val="16"/>
        </w:rPr>
        <w:t>https://apps.who.int/iris/bitstream/10665/179906/1/9789243507361_spa.pdf</w:t>
      </w:r>
    </w:p>
  </w:footnote>
  <w:footnote w:id="25">
    <w:p>
      <w:pPr>
        <w:pStyle w:val="10"/>
        <w:snapToGrid w:val="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w:t>
      </w:r>
      <w:r>
        <w:rPr>
          <w:rFonts w:ascii="Arial" w:hAnsi="Arial" w:eastAsia="TimesNewRomanPS-BoldMT" w:cs="Arial"/>
          <w:i/>
          <w:iCs/>
          <w:color w:val="000000"/>
          <w:sz w:val="16"/>
          <w:szCs w:val="16"/>
          <w:lang w:eastAsia="zh-CN" w:bidi="ar"/>
        </w:rPr>
        <w:t>Informe de la Relatora Especial sobre la violencia contra la mujer, sus causas y consecuencias acerca de un enfoque basado en los derechos humanos del maltrato y la violencia contra la mujer en los servicios de salud reproductiva, con especial hincapié en la atención del parto y la violencia obstétrica</w:t>
      </w:r>
      <w:r>
        <w:rPr>
          <w:rFonts w:ascii="Arial" w:hAnsi="Arial" w:cs="Arial"/>
          <w:sz w:val="16"/>
          <w:szCs w:val="16"/>
          <w:lang w:val="es-MX"/>
        </w:rPr>
        <w:t xml:space="preserve">. </w:t>
      </w:r>
      <w:r>
        <w:rPr>
          <w:rFonts w:ascii="Arial" w:hAnsi="Arial" w:eastAsia="TimesNewRomanPS-BoldMT" w:cs="Arial"/>
          <w:color w:val="000000"/>
          <w:sz w:val="16"/>
          <w:szCs w:val="16"/>
          <w:lang w:val="es-MX" w:eastAsia="zh-CN" w:bidi="ar"/>
        </w:rPr>
        <w:t>Asamblea General Naciones Unidas</w:t>
      </w:r>
      <w:r>
        <w:rPr>
          <w:rFonts w:ascii="Arial" w:hAnsi="Arial" w:cs="Arial"/>
          <w:sz w:val="16"/>
          <w:szCs w:val="16"/>
          <w:lang w:val="es-MX"/>
        </w:rPr>
        <w:t xml:space="preserve">. 2019. pág. </w:t>
      </w:r>
      <w:r>
        <w:rPr>
          <w:rFonts w:ascii="Arial" w:hAnsi="Arial" w:eastAsia="TimesNewRomanPS-BoldMT" w:cs="Arial"/>
          <w:color w:val="000000"/>
          <w:sz w:val="16"/>
          <w:szCs w:val="16"/>
          <w:lang w:eastAsia="zh-CN" w:bidi="ar"/>
        </w:rPr>
        <w:t xml:space="preserve">11/26 </w:t>
      </w:r>
      <w:r>
        <w:rPr>
          <w:rFonts w:ascii="Arial" w:hAnsi="Arial" w:eastAsia="TimesNewRomanPS-BoldMT" w:cs="Arial"/>
          <w:color w:val="000000"/>
          <w:sz w:val="16"/>
          <w:szCs w:val="16"/>
          <w:lang w:val="es-MX" w:eastAsia="zh-CN" w:bidi="ar"/>
        </w:rPr>
        <w:t>.</w:t>
      </w:r>
    </w:p>
  </w:footnote>
  <w:footnote w:id="26">
    <w:p>
      <w:pPr>
        <w:pStyle w:val="10"/>
        <w:snapToGrid w:val="0"/>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w:t>
      </w:r>
      <w:r>
        <w:rPr>
          <w:rFonts w:ascii="Arial" w:hAnsi="Arial" w:cs="Arial"/>
          <w:i/>
          <w:iCs/>
          <w:sz w:val="16"/>
          <w:szCs w:val="16"/>
        </w:rPr>
        <w:t>Recomendaciones de la OMS Para los cuidados durante el parto, para una experiencia de parto positiva</w:t>
      </w:r>
      <w:r>
        <w:rPr>
          <w:rFonts w:ascii="Arial" w:hAnsi="Arial" w:cs="Arial"/>
          <w:sz w:val="16"/>
          <w:szCs w:val="16"/>
          <w:lang w:val="es-MX"/>
        </w:rPr>
        <w:t xml:space="preserve"> (2018) pág. 7</w:t>
      </w:r>
      <w:r>
        <w:rPr>
          <w:rFonts w:ascii="Arial" w:hAnsi="Arial" w:eastAsia="TimesNewRomanPS-BoldMT" w:cs="Arial"/>
          <w:color w:val="000000"/>
          <w:sz w:val="16"/>
          <w:szCs w:val="16"/>
          <w:lang w:val="es-MX" w:eastAsia="zh-CN" w:bidi="ar"/>
        </w:rPr>
        <w:t xml:space="preserve">. </w:t>
      </w:r>
      <w:r>
        <w:rPr>
          <w:rFonts w:ascii="Arial" w:hAnsi="Arial" w:eastAsia="TimesNewRomanPS-BoldMT" w:cs="Arial"/>
          <w:color w:val="000000"/>
          <w:sz w:val="16"/>
          <w:szCs w:val="16"/>
          <w:lang w:val="es-MX" w:eastAsia="zh-CN"/>
        </w:rPr>
        <w:t>https://apps.who.int/iris/bitstream/handle/10665/272435/WHO-RHR-18.12-spa.pdf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062DDE"/>
    <w:multiLevelType w:val="multilevel"/>
    <w:tmpl w:val="0E062DD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2BCA0F5C"/>
    <w:multiLevelType w:val="multilevel"/>
    <w:tmpl w:val="2BCA0F5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cumentProtection w:enforcement="0"/>
  <w:defaultTabStop w:val="708"/>
  <w:hyphenationZone w:val="425"/>
  <w:noPunctuationKerning w:val="1"/>
  <w:characterSpacingControl w:val="doNotCompress"/>
  <w:footnotePr>
    <w:footnote w:id="54"/>
    <w:footnote w:id="55"/>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BE3"/>
    <w:rsid w:val="00000F9E"/>
    <w:rsid w:val="00010BAA"/>
    <w:rsid w:val="000205FA"/>
    <w:rsid w:val="00020703"/>
    <w:rsid w:val="0002616C"/>
    <w:rsid w:val="00030FC2"/>
    <w:rsid w:val="00071335"/>
    <w:rsid w:val="0007483A"/>
    <w:rsid w:val="00081078"/>
    <w:rsid w:val="00082CC9"/>
    <w:rsid w:val="0008561B"/>
    <w:rsid w:val="000A2D92"/>
    <w:rsid w:val="000D0E02"/>
    <w:rsid w:val="00114621"/>
    <w:rsid w:val="00137075"/>
    <w:rsid w:val="001431BB"/>
    <w:rsid w:val="00150187"/>
    <w:rsid w:val="00163A52"/>
    <w:rsid w:val="001747D6"/>
    <w:rsid w:val="00195E59"/>
    <w:rsid w:val="001A1A98"/>
    <w:rsid w:val="001A31A3"/>
    <w:rsid w:val="001B5339"/>
    <w:rsid w:val="001B7115"/>
    <w:rsid w:val="001C5E6B"/>
    <w:rsid w:val="001E3270"/>
    <w:rsid w:val="001E3380"/>
    <w:rsid w:val="00204431"/>
    <w:rsid w:val="002272CE"/>
    <w:rsid w:val="00242C09"/>
    <w:rsid w:val="00274BF3"/>
    <w:rsid w:val="00280664"/>
    <w:rsid w:val="002A5864"/>
    <w:rsid w:val="002B7539"/>
    <w:rsid w:val="002F143D"/>
    <w:rsid w:val="002F52A9"/>
    <w:rsid w:val="003049A7"/>
    <w:rsid w:val="00322CC8"/>
    <w:rsid w:val="00324542"/>
    <w:rsid w:val="00325C1F"/>
    <w:rsid w:val="00377330"/>
    <w:rsid w:val="00393BD3"/>
    <w:rsid w:val="003B463C"/>
    <w:rsid w:val="003D29DD"/>
    <w:rsid w:val="003F7550"/>
    <w:rsid w:val="00421BD4"/>
    <w:rsid w:val="00442319"/>
    <w:rsid w:val="0046242A"/>
    <w:rsid w:val="00466493"/>
    <w:rsid w:val="0047299B"/>
    <w:rsid w:val="00484F7B"/>
    <w:rsid w:val="00493056"/>
    <w:rsid w:val="0049306F"/>
    <w:rsid w:val="004B00ED"/>
    <w:rsid w:val="004D11D3"/>
    <w:rsid w:val="004D2067"/>
    <w:rsid w:val="004D541A"/>
    <w:rsid w:val="004E7192"/>
    <w:rsid w:val="004F383A"/>
    <w:rsid w:val="00507516"/>
    <w:rsid w:val="00512AC0"/>
    <w:rsid w:val="005205BA"/>
    <w:rsid w:val="00521C07"/>
    <w:rsid w:val="00532334"/>
    <w:rsid w:val="00566703"/>
    <w:rsid w:val="005809F6"/>
    <w:rsid w:val="00580A67"/>
    <w:rsid w:val="00586B73"/>
    <w:rsid w:val="005C36F6"/>
    <w:rsid w:val="005C3C68"/>
    <w:rsid w:val="005C4BC7"/>
    <w:rsid w:val="00605C6C"/>
    <w:rsid w:val="00647895"/>
    <w:rsid w:val="00650E49"/>
    <w:rsid w:val="006744EC"/>
    <w:rsid w:val="00680E3B"/>
    <w:rsid w:val="00685FFB"/>
    <w:rsid w:val="00690B35"/>
    <w:rsid w:val="00696220"/>
    <w:rsid w:val="00697956"/>
    <w:rsid w:val="006A52F3"/>
    <w:rsid w:val="006B0D69"/>
    <w:rsid w:val="006C3DA9"/>
    <w:rsid w:val="006C47AF"/>
    <w:rsid w:val="006D32F2"/>
    <w:rsid w:val="00701217"/>
    <w:rsid w:val="00704F8B"/>
    <w:rsid w:val="007117AA"/>
    <w:rsid w:val="00715A66"/>
    <w:rsid w:val="00726108"/>
    <w:rsid w:val="007372F4"/>
    <w:rsid w:val="00751211"/>
    <w:rsid w:val="00757218"/>
    <w:rsid w:val="00763130"/>
    <w:rsid w:val="00780A69"/>
    <w:rsid w:val="00786A59"/>
    <w:rsid w:val="0079114E"/>
    <w:rsid w:val="0079224D"/>
    <w:rsid w:val="007A463D"/>
    <w:rsid w:val="007E5B41"/>
    <w:rsid w:val="008150B3"/>
    <w:rsid w:val="008314E8"/>
    <w:rsid w:val="00832AD4"/>
    <w:rsid w:val="00867552"/>
    <w:rsid w:val="008921A2"/>
    <w:rsid w:val="00895D4F"/>
    <w:rsid w:val="008B1715"/>
    <w:rsid w:val="008B6D18"/>
    <w:rsid w:val="008C1D6B"/>
    <w:rsid w:val="008E5CDC"/>
    <w:rsid w:val="0092087C"/>
    <w:rsid w:val="00936719"/>
    <w:rsid w:val="00941E0C"/>
    <w:rsid w:val="009520A4"/>
    <w:rsid w:val="009525EB"/>
    <w:rsid w:val="00971324"/>
    <w:rsid w:val="00986249"/>
    <w:rsid w:val="00991E71"/>
    <w:rsid w:val="00992FE7"/>
    <w:rsid w:val="009A369B"/>
    <w:rsid w:val="009B364B"/>
    <w:rsid w:val="009B371E"/>
    <w:rsid w:val="009D1466"/>
    <w:rsid w:val="009E2F8D"/>
    <w:rsid w:val="009E65E3"/>
    <w:rsid w:val="009F442D"/>
    <w:rsid w:val="00A071C3"/>
    <w:rsid w:val="00A11BC0"/>
    <w:rsid w:val="00A12BA6"/>
    <w:rsid w:val="00A33655"/>
    <w:rsid w:val="00A359BB"/>
    <w:rsid w:val="00A37F87"/>
    <w:rsid w:val="00A52CCF"/>
    <w:rsid w:val="00A54153"/>
    <w:rsid w:val="00A92902"/>
    <w:rsid w:val="00AA4715"/>
    <w:rsid w:val="00AA6B0F"/>
    <w:rsid w:val="00AC1EE1"/>
    <w:rsid w:val="00AC53AF"/>
    <w:rsid w:val="00AC68C2"/>
    <w:rsid w:val="00AD21D6"/>
    <w:rsid w:val="00AE221F"/>
    <w:rsid w:val="00B04475"/>
    <w:rsid w:val="00B366CA"/>
    <w:rsid w:val="00B5128F"/>
    <w:rsid w:val="00B53D83"/>
    <w:rsid w:val="00B60ADC"/>
    <w:rsid w:val="00B61B3D"/>
    <w:rsid w:val="00B62F40"/>
    <w:rsid w:val="00B84D81"/>
    <w:rsid w:val="00B8548E"/>
    <w:rsid w:val="00BB4DB8"/>
    <w:rsid w:val="00BC4511"/>
    <w:rsid w:val="00BC7062"/>
    <w:rsid w:val="00BE5FC8"/>
    <w:rsid w:val="00BE7A83"/>
    <w:rsid w:val="00BF3962"/>
    <w:rsid w:val="00C1561D"/>
    <w:rsid w:val="00C201C7"/>
    <w:rsid w:val="00C24BF4"/>
    <w:rsid w:val="00C44BC6"/>
    <w:rsid w:val="00C5056C"/>
    <w:rsid w:val="00C555CB"/>
    <w:rsid w:val="00C63251"/>
    <w:rsid w:val="00C702B8"/>
    <w:rsid w:val="00C80F2B"/>
    <w:rsid w:val="00C83335"/>
    <w:rsid w:val="00CA28DC"/>
    <w:rsid w:val="00CD7D86"/>
    <w:rsid w:val="00CF0D35"/>
    <w:rsid w:val="00D053FF"/>
    <w:rsid w:val="00D07F6E"/>
    <w:rsid w:val="00D215DB"/>
    <w:rsid w:val="00D2561A"/>
    <w:rsid w:val="00D26117"/>
    <w:rsid w:val="00D40129"/>
    <w:rsid w:val="00D721C4"/>
    <w:rsid w:val="00D917CC"/>
    <w:rsid w:val="00DE6933"/>
    <w:rsid w:val="00DE7FEF"/>
    <w:rsid w:val="00DF2164"/>
    <w:rsid w:val="00E25C7B"/>
    <w:rsid w:val="00E25EA8"/>
    <w:rsid w:val="00E31946"/>
    <w:rsid w:val="00E4326D"/>
    <w:rsid w:val="00E71022"/>
    <w:rsid w:val="00E7294C"/>
    <w:rsid w:val="00E81B70"/>
    <w:rsid w:val="00E865BD"/>
    <w:rsid w:val="00EB603A"/>
    <w:rsid w:val="00EC3517"/>
    <w:rsid w:val="00ED3F24"/>
    <w:rsid w:val="00EE4FBB"/>
    <w:rsid w:val="00EF227E"/>
    <w:rsid w:val="00EF2AF1"/>
    <w:rsid w:val="00F1674A"/>
    <w:rsid w:val="00F262B2"/>
    <w:rsid w:val="00F26F74"/>
    <w:rsid w:val="00F638CC"/>
    <w:rsid w:val="00F74BE3"/>
    <w:rsid w:val="00F83057"/>
    <w:rsid w:val="00F87DC1"/>
    <w:rsid w:val="00F91A83"/>
    <w:rsid w:val="00F95F2B"/>
    <w:rsid w:val="00FA6C48"/>
    <w:rsid w:val="00FB12BF"/>
    <w:rsid w:val="00FB146B"/>
    <w:rsid w:val="00FC66F5"/>
    <w:rsid w:val="00FD0893"/>
    <w:rsid w:val="00FD2EE4"/>
    <w:rsid w:val="00FD4A55"/>
    <w:rsid w:val="00FD5623"/>
    <w:rsid w:val="00FF0B23"/>
    <w:rsid w:val="0DDA2B7C"/>
    <w:rsid w:val="17985ABB"/>
    <w:rsid w:val="22313B88"/>
    <w:rsid w:val="29FC5363"/>
    <w:rsid w:val="3D45090A"/>
    <w:rsid w:val="45535996"/>
    <w:rsid w:val="474163B6"/>
    <w:rsid w:val="4F133830"/>
    <w:rsid w:val="6752090F"/>
  </w:rsids>
  <m:mathPr>
    <m:mathFont m:val="Cambria Math"/>
    <m:brkBin m:val="before"/>
    <m:brkBinSub m:val="--"/>
    <m:smallFrac m:val="0"/>
    <m:dispDef/>
    <m:lMargin m:val="0"/>
    <m:rMargin m:val="0"/>
    <m:defJc m:val="centerGroup"/>
    <m:wrapIndent m:val="1440"/>
    <m:intLim m:val="subSup"/>
    <m:naryLim m:val="undOvr"/>
  </m:mathPr>
  <w:themeFontLang w:val="es-V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qFormat="1" w:unhideWhenUsed="0" w:uiPriority="1" w:semiHidden="0" w:name="No Spacing"/>
    <w:lsdException w:unhideWhenUsed="0" w:uiPriority="99"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es-VE" w:eastAsia="es-VE" w:bidi="ar-SA"/>
    </w:rPr>
  </w:style>
  <w:style w:type="paragraph" w:styleId="2">
    <w:name w:val="heading 3"/>
    <w:next w:val="1"/>
    <w:semiHidden/>
    <w:unhideWhenUsed/>
    <w:qFormat/>
    <w:uiPriority w:val="9"/>
    <w:pPr>
      <w:spacing w:beforeAutospacing="1" w:afterAutospacing="1"/>
      <w:outlineLvl w:val="2"/>
    </w:pPr>
    <w:rPr>
      <w:rFonts w:hint="eastAsia" w:ascii="SimSun" w:hAnsi="SimSun" w:eastAsia="SimSun" w:cs="Times New Roman"/>
      <w:b/>
      <w:bCs/>
      <w:sz w:val="27"/>
      <w:szCs w:val="27"/>
      <w:lang w:val="en-US" w:eastAsia="zh-CN" w:bidi="ar-SA"/>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endnote reference"/>
    <w:basedOn w:val="3"/>
    <w:semiHidden/>
    <w:unhideWhenUsed/>
    <w:qFormat/>
    <w:uiPriority w:val="99"/>
    <w:rPr>
      <w:vertAlign w:val="superscript"/>
    </w:rPr>
  </w:style>
  <w:style w:type="character" w:styleId="6">
    <w:name w:val="annotation reference"/>
    <w:basedOn w:val="3"/>
    <w:semiHidden/>
    <w:unhideWhenUsed/>
    <w:uiPriority w:val="99"/>
    <w:rPr>
      <w:sz w:val="16"/>
      <w:szCs w:val="16"/>
    </w:rPr>
  </w:style>
  <w:style w:type="character" w:styleId="7">
    <w:name w:val="footnote reference"/>
    <w:basedOn w:val="3"/>
    <w:unhideWhenUsed/>
    <w:qFormat/>
    <w:uiPriority w:val="0"/>
    <w:rPr>
      <w:vertAlign w:val="superscript"/>
    </w:rPr>
  </w:style>
  <w:style w:type="character" w:styleId="8">
    <w:name w:val="Hyperlink"/>
    <w:basedOn w:val="3"/>
    <w:unhideWhenUsed/>
    <w:qFormat/>
    <w:uiPriority w:val="99"/>
    <w:rPr>
      <w:color w:val="0000FF"/>
      <w:u w:val="single"/>
    </w:rPr>
  </w:style>
  <w:style w:type="character" w:styleId="9">
    <w:name w:val="Strong"/>
    <w:basedOn w:val="3"/>
    <w:qFormat/>
    <w:uiPriority w:val="22"/>
    <w:rPr>
      <w:b/>
      <w:bCs/>
    </w:rPr>
  </w:style>
  <w:style w:type="paragraph" w:styleId="10">
    <w:name w:val="footnote text"/>
    <w:basedOn w:val="1"/>
    <w:link w:val="16"/>
    <w:unhideWhenUsed/>
    <w:qFormat/>
    <w:uiPriority w:val="99"/>
    <w:pPr>
      <w:spacing w:after="0" w:line="240" w:lineRule="auto"/>
      <w:jc w:val="both"/>
    </w:pPr>
    <w:rPr>
      <w:rFonts w:asciiTheme="minorHAnsi" w:hAnsiTheme="minorHAnsi" w:eastAsiaTheme="minorHAnsi" w:cstheme="minorBidi"/>
      <w:sz w:val="20"/>
      <w:szCs w:val="20"/>
      <w:lang w:eastAsia="en-US"/>
    </w:rPr>
  </w:style>
  <w:style w:type="paragraph" w:styleId="11">
    <w:name w:val="endnote text"/>
    <w:basedOn w:val="1"/>
    <w:semiHidden/>
    <w:unhideWhenUsed/>
    <w:qFormat/>
    <w:uiPriority w:val="99"/>
    <w:pPr>
      <w:snapToGrid w:val="0"/>
    </w:pPr>
  </w:style>
  <w:style w:type="paragraph" w:styleId="12">
    <w:name w:val="annotation subject"/>
    <w:basedOn w:val="13"/>
    <w:next w:val="13"/>
    <w:link w:val="18"/>
    <w:semiHidden/>
    <w:unhideWhenUsed/>
    <w:qFormat/>
    <w:uiPriority w:val="99"/>
    <w:rPr>
      <w:b/>
      <w:bCs/>
    </w:rPr>
  </w:style>
  <w:style w:type="paragraph" w:styleId="13">
    <w:name w:val="annotation text"/>
    <w:basedOn w:val="1"/>
    <w:link w:val="17"/>
    <w:semiHidden/>
    <w:unhideWhenUsed/>
    <w:qFormat/>
    <w:uiPriority w:val="99"/>
    <w:pPr>
      <w:spacing w:line="240" w:lineRule="auto"/>
    </w:pPr>
    <w:rPr>
      <w:sz w:val="20"/>
      <w:szCs w:val="20"/>
    </w:rPr>
  </w:style>
  <w:style w:type="paragraph" w:styleId="14">
    <w:name w:val="Balloon Text"/>
    <w:basedOn w:val="1"/>
    <w:link w:val="19"/>
    <w:semiHidden/>
    <w:unhideWhenUsed/>
    <w:qFormat/>
    <w:uiPriority w:val="99"/>
    <w:pPr>
      <w:spacing w:after="0" w:line="240" w:lineRule="auto"/>
    </w:pPr>
    <w:rPr>
      <w:rFonts w:ascii="Tahoma" w:hAnsi="Tahoma" w:cs="Tahoma"/>
      <w:sz w:val="16"/>
      <w:szCs w:val="16"/>
    </w:rPr>
  </w:style>
  <w:style w:type="paragraph" w:styleId="15">
    <w:name w:val="No Spacing"/>
    <w:qFormat/>
    <w:uiPriority w:val="1"/>
    <w:rPr>
      <w:rFonts w:asciiTheme="minorHAnsi" w:hAnsiTheme="minorHAnsi" w:eastAsiaTheme="minorHAnsi" w:cstheme="minorBidi"/>
      <w:sz w:val="22"/>
      <w:szCs w:val="22"/>
      <w:lang w:val="es-VE" w:eastAsia="en-US" w:bidi="ar-SA"/>
    </w:rPr>
  </w:style>
  <w:style w:type="character" w:customStyle="1" w:styleId="16">
    <w:name w:val="Texto nota pie Car"/>
    <w:basedOn w:val="3"/>
    <w:link w:val="10"/>
    <w:qFormat/>
    <w:uiPriority w:val="99"/>
    <w:rPr>
      <w:sz w:val="20"/>
      <w:szCs w:val="20"/>
    </w:rPr>
  </w:style>
  <w:style w:type="character" w:customStyle="1" w:styleId="17">
    <w:name w:val="Texto comentario Car"/>
    <w:basedOn w:val="3"/>
    <w:link w:val="13"/>
    <w:semiHidden/>
    <w:qFormat/>
    <w:uiPriority w:val="99"/>
    <w:rPr>
      <w:rFonts w:ascii="Calibri" w:hAnsi="Calibri" w:eastAsia="Calibri" w:cs="Calibri"/>
      <w:sz w:val="20"/>
      <w:szCs w:val="20"/>
      <w:lang w:eastAsia="es-VE"/>
    </w:rPr>
  </w:style>
  <w:style w:type="character" w:customStyle="1" w:styleId="18">
    <w:name w:val="Asunto del comentario Car"/>
    <w:basedOn w:val="17"/>
    <w:link w:val="12"/>
    <w:semiHidden/>
    <w:qFormat/>
    <w:uiPriority w:val="99"/>
    <w:rPr>
      <w:rFonts w:ascii="Calibri" w:hAnsi="Calibri" w:eastAsia="Calibri" w:cs="Calibri"/>
      <w:b/>
      <w:bCs/>
      <w:sz w:val="20"/>
      <w:szCs w:val="20"/>
      <w:lang w:eastAsia="es-VE"/>
    </w:rPr>
  </w:style>
  <w:style w:type="character" w:customStyle="1" w:styleId="19">
    <w:name w:val="Texto de globo Car"/>
    <w:basedOn w:val="3"/>
    <w:link w:val="14"/>
    <w:semiHidden/>
    <w:qFormat/>
    <w:uiPriority w:val="99"/>
    <w:rPr>
      <w:rFonts w:ascii="Tahoma" w:hAnsi="Tahoma" w:eastAsia="Calibri" w:cs="Tahoma"/>
      <w:sz w:val="16"/>
      <w:szCs w:val="16"/>
      <w:lang w:eastAsia="es-VE"/>
    </w:rPr>
  </w:style>
  <w:style w:type="character" w:customStyle="1" w:styleId="20">
    <w:name w:val="Mención sin resolver1"/>
    <w:basedOn w:val="3"/>
    <w:semiHidden/>
    <w:unhideWhenUsed/>
    <w:uiPriority w:val="99"/>
    <w:rPr>
      <w:color w:val="605E5C"/>
      <w:shd w:val="clear" w:color="auto" w:fill="E1DFDD"/>
    </w:rPr>
  </w:style>
  <w:style w:type="paragraph" w:styleId="21">
    <w:name w:val="List Paragraph"/>
    <w:basedOn w:val="1"/>
    <w:uiPriority w:val="99"/>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81B44-C623-4176-9AE3-B75472BBAD67}">
  <ds:schemaRefs/>
</ds:datastoreItem>
</file>

<file path=docProps/app.xml><?xml version="1.0" encoding="utf-8"?>
<Properties xmlns="http://schemas.openxmlformats.org/officeDocument/2006/extended-properties" xmlns:vt="http://schemas.openxmlformats.org/officeDocument/2006/docPropsVTypes">
  <Template>Normal</Template>
  <Pages>11</Pages>
  <Words>4183</Words>
  <Characters>23009</Characters>
  <Lines>191</Lines>
  <Paragraphs>54</Paragraphs>
  <TotalTime>7</TotalTime>
  <ScaleCrop>false</ScaleCrop>
  <LinksUpToDate>false</LinksUpToDate>
  <CharactersWithSpaces>27138</CharactersWithSpaces>
  <Application>WPS Office_11.2.0.11516_F1E327BC-269C-435d-A152-05C5408002CA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2023-04-08T16:35:00Z</dcterms:created>
  <dc:creator>user</dc:creator>
  <cp:lastModifiedBy>America Villegas</cp:lastModifiedBy>
  <dcterms:modified xsi:type="dcterms:W3CDTF">2023-04-10T10:04:31Z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2058-11.2.0.11516</vt:lpwstr>
  </property>
  <property fmtid="{D5CDD505-2E9C-101B-9397-08002B2CF9AE}" pid="3" name="ICV">
    <vt:lpwstr>579D26303E2A40E0987993F75E597372</vt:lpwstr>
  </property>
</Properties>
</file>