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E672334" w:rsidR="005C6AE1" w:rsidRPr="00AC1874" w:rsidRDefault="00AC1874" w:rsidP="00AC1874">
      <w:pPr>
        <w:spacing w:after="0" w:line="276" w:lineRule="auto"/>
        <w:jc w:val="both"/>
        <w:rPr>
          <w:rFonts w:ascii="Times New Roman" w:eastAsia="Times New Roman" w:hAnsi="Times New Roman" w:cs="Times New Roman"/>
          <w:lang w:val="es-CO"/>
        </w:rPr>
      </w:pPr>
      <w:r w:rsidRPr="00AC1874">
        <w:rPr>
          <w:rFonts w:ascii="Times New Roman" w:eastAsia="Times New Roman" w:hAnsi="Times New Roman" w:cs="Times New Roman"/>
          <w:lang w:val="es-CO"/>
        </w:rPr>
        <w:t>Comité para la Eliminación de la Discriminación contra la Mujer</w:t>
      </w:r>
      <w:r>
        <w:rPr>
          <w:rFonts w:ascii="Times New Roman" w:eastAsia="Times New Roman" w:hAnsi="Times New Roman" w:cs="Times New Roman"/>
          <w:lang w:val="es-CO"/>
        </w:rPr>
        <w:t xml:space="preserve"> (CEDAW)</w:t>
      </w:r>
    </w:p>
    <w:p w14:paraId="00000002" w14:textId="6C609AE0" w:rsidR="005C6AE1" w:rsidRPr="00AC1874" w:rsidRDefault="00AC1874" w:rsidP="00AC1874">
      <w:pPr>
        <w:spacing w:after="0" w:line="276" w:lineRule="auto"/>
        <w:jc w:val="both"/>
        <w:rPr>
          <w:rFonts w:ascii="Times New Roman" w:eastAsia="Times New Roman" w:hAnsi="Times New Roman" w:cs="Times New Roman"/>
          <w:lang w:val="es-CO"/>
        </w:rPr>
      </w:pPr>
      <w:r w:rsidRPr="00AC1874">
        <w:rPr>
          <w:rFonts w:ascii="Times New Roman" w:eastAsia="Times New Roman" w:hAnsi="Times New Roman" w:cs="Times New Roman"/>
          <w:lang w:val="es-CO"/>
        </w:rPr>
        <w:t>División de Tratados de Derechos Humanos</w:t>
      </w:r>
      <w:r w:rsidR="0020347B" w:rsidRPr="00AC1874">
        <w:rPr>
          <w:rFonts w:ascii="Times New Roman" w:eastAsia="Times New Roman" w:hAnsi="Times New Roman" w:cs="Times New Roman"/>
          <w:lang w:val="es-CO"/>
        </w:rPr>
        <w:t xml:space="preserve"> (HRTD)</w:t>
      </w:r>
    </w:p>
    <w:p w14:paraId="00000003" w14:textId="16EA7CAB" w:rsidR="005C6AE1" w:rsidRPr="00AC1874" w:rsidRDefault="00AC1874" w:rsidP="00AC1874">
      <w:pPr>
        <w:spacing w:after="0" w:line="276" w:lineRule="auto"/>
        <w:jc w:val="both"/>
        <w:rPr>
          <w:rFonts w:ascii="Times New Roman" w:eastAsia="Times New Roman" w:hAnsi="Times New Roman" w:cs="Times New Roman"/>
          <w:lang w:val="es-CO"/>
        </w:rPr>
      </w:pPr>
      <w:r w:rsidRPr="00AC1874">
        <w:rPr>
          <w:rFonts w:ascii="Times New Roman" w:eastAsia="Times New Roman" w:hAnsi="Times New Roman" w:cs="Times New Roman"/>
          <w:lang w:val="es-CO"/>
        </w:rPr>
        <w:t>Oficina del Alto Comisionado de las Naciones Unidas para los Derechos Humanos</w:t>
      </w:r>
      <w:r w:rsidRPr="00AC1874">
        <w:rPr>
          <w:rFonts w:ascii="Times New Roman" w:eastAsia="Times New Roman" w:hAnsi="Times New Roman" w:cs="Times New Roman"/>
          <w:lang w:val="es-CO"/>
        </w:rPr>
        <w:t xml:space="preserve"> </w:t>
      </w:r>
      <w:r w:rsidR="0020347B" w:rsidRPr="00AC1874">
        <w:rPr>
          <w:rFonts w:ascii="Times New Roman" w:eastAsia="Times New Roman" w:hAnsi="Times New Roman" w:cs="Times New Roman"/>
          <w:lang w:val="es-CO"/>
        </w:rPr>
        <w:t>(OHCHR)</w:t>
      </w:r>
    </w:p>
    <w:p w14:paraId="00000004" w14:textId="77777777" w:rsidR="005C6AE1" w:rsidRPr="00AC1874" w:rsidRDefault="0020347B" w:rsidP="00AC1874">
      <w:pPr>
        <w:spacing w:after="0" w:line="276" w:lineRule="auto"/>
        <w:jc w:val="both"/>
        <w:rPr>
          <w:rFonts w:ascii="Times New Roman" w:eastAsia="Times New Roman" w:hAnsi="Times New Roman" w:cs="Times New Roman"/>
          <w:lang w:val="en-US"/>
        </w:rPr>
      </w:pPr>
      <w:r w:rsidRPr="00AC1874">
        <w:rPr>
          <w:rFonts w:ascii="Times New Roman" w:eastAsia="Times New Roman" w:hAnsi="Times New Roman" w:cs="Times New Roman"/>
          <w:lang w:val="en-US"/>
        </w:rPr>
        <w:t xml:space="preserve">Palais Wilson - 52, rue des </w:t>
      </w:r>
      <w:proofErr w:type="spellStart"/>
      <w:r w:rsidRPr="00AC1874">
        <w:rPr>
          <w:rFonts w:ascii="Times New Roman" w:eastAsia="Times New Roman" w:hAnsi="Times New Roman" w:cs="Times New Roman"/>
          <w:lang w:val="en-US"/>
        </w:rPr>
        <w:t>Pâquis</w:t>
      </w:r>
      <w:proofErr w:type="spellEnd"/>
    </w:p>
    <w:p w14:paraId="00000006" w14:textId="725D6E48" w:rsidR="005C6AE1" w:rsidRPr="00AC1874" w:rsidRDefault="0020347B" w:rsidP="00AC1874">
      <w:pPr>
        <w:spacing w:after="0" w:line="276" w:lineRule="auto"/>
        <w:jc w:val="both"/>
        <w:rPr>
          <w:rFonts w:ascii="Times New Roman" w:eastAsia="Times New Roman" w:hAnsi="Times New Roman" w:cs="Times New Roman"/>
          <w:lang w:val="es-CO"/>
        </w:rPr>
      </w:pPr>
      <w:r w:rsidRPr="00AC1874">
        <w:rPr>
          <w:rFonts w:ascii="Times New Roman" w:eastAsia="Times New Roman" w:hAnsi="Times New Roman" w:cs="Times New Roman"/>
          <w:lang w:val="es-CO"/>
        </w:rPr>
        <w:t>CH-1201 G</w:t>
      </w:r>
      <w:r w:rsidR="00AC1874" w:rsidRPr="00AC1874">
        <w:rPr>
          <w:rFonts w:ascii="Times New Roman" w:eastAsia="Times New Roman" w:hAnsi="Times New Roman" w:cs="Times New Roman"/>
          <w:lang w:val="es-CO"/>
        </w:rPr>
        <w:t>inebra</w:t>
      </w:r>
      <w:r w:rsidR="008C7424">
        <w:rPr>
          <w:rFonts w:ascii="Times New Roman" w:eastAsia="Times New Roman" w:hAnsi="Times New Roman" w:cs="Times New Roman"/>
          <w:lang w:val="es-CO"/>
        </w:rPr>
        <w:t xml:space="preserve">, </w:t>
      </w:r>
      <w:r w:rsidR="00636A36" w:rsidRPr="00AC1874">
        <w:rPr>
          <w:rFonts w:ascii="Times New Roman" w:eastAsia="Times New Roman" w:hAnsi="Times New Roman" w:cs="Times New Roman"/>
          <w:lang w:val="es-CO"/>
        </w:rPr>
        <w:t>Suiza</w:t>
      </w:r>
    </w:p>
    <w:p w14:paraId="00000007" w14:textId="79D11DFD" w:rsidR="005C6AE1" w:rsidRPr="00AC1874" w:rsidRDefault="00AC1874" w:rsidP="00AC1874">
      <w:pPr>
        <w:spacing w:after="0" w:line="276" w:lineRule="auto"/>
        <w:jc w:val="both"/>
        <w:rPr>
          <w:rFonts w:ascii="Times New Roman" w:eastAsia="Times New Roman" w:hAnsi="Times New Roman" w:cs="Times New Roman"/>
          <w:lang w:val="es-CO"/>
        </w:rPr>
      </w:pPr>
      <w:r w:rsidRPr="00AC1874">
        <w:rPr>
          <w:rFonts w:ascii="Times New Roman" w:eastAsia="Times New Roman" w:hAnsi="Times New Roman" w:cs="Times New Roman"/>
          <w:lang w:val="es-CO"/>
        </w:rPr>
        <w:t>Correo electrónico</w:t>
      </w:r>
      <w:r w:rsidR="0020347B" w:rsidRPr="00AC1874">
        <w:rPr>
          <w:rFonts w:ascii="Times New Roman" w:eastAsia="Times New Roman" w:hAnsi="Times New Roman" w:cs="Times New Roman"/>
          <w:lang w:val="es-CO"/>
        </w:rPr>
        <w:t>: cedaw@ohchr.org</w:t>
      </w:r>
    </w:p>
    <w:p w14:paraId="00000008" w14:textId="77777777" w:rsidR="005C6AE1" w:rsidRPr="00AC1874" w:rsidRDefault="005C6AE1">
      <w:pPr>
        <w:spacing w:line="276" w:lineRule="auto"/>
        <w:jc w:val="both"/>
        <w:rPr>
          <w:rFonts w:ascii="Times New Roman" w:eastAsia="Times New Roman" w:hAnsi="Times New Roman" w:cs="Times New Roman"/>
          <w:lang w:val="es-CO"/>
        </w:rPr>
      </w:pPr>
    </w:p>
    <w:p w14:paraId="00000009" w14:textId="196D5F27" w:rsidR="005C6AE1" w:rsidRPr="00AC1874" w:rsidRDefault="00AC1874" w:rsidP="00AC1874">
      <w:pPr>
        <w:spacing w:line="276" w:lineRule="auto"/>
        <w:jc w:val="right"/>
        <w:rPr>
          <w:rFonts w:ascii="Times New Roman" w:eastAsia="Times New Roman" w:hAnsi="Times New Roman" w:cs="Times New Roman"/>
          <w:lang w:val="en-US"/>
        </w:rPr>
      </w:pPr>
      <w:r>
        <w:rPr>
          <w:rFonts w:ascii="Times New Roman" w:eastAsia="Times New Roman" w:hAnsi="Times New Roman" w:cs="Times New Roman"/>
          <w:lang w:val="es-CO"/>
        </w:rPr>
        <w:t xml:space="preserve">Tegucigalpa, Honduras. </w:t>
      </w:r>
      <w:r w:rsidR="0020347B" w:rsidRPr="00AC1874">
        <w:rPr>
          <w:rFonts w:ascii="Times New Roman" w:eastAsia="Times New Roman" w:hAnsi="Times New Roman" w:cs="Times New Roman"/>
          <w:lang w:val="en-US"/>
        </w:rPr>
        <w:t>7 de Junio 2021</w:t>
      </w:r>
    </w:p>
    <w:p w14:paraId="0000000A" w14:textId="113501E5" w:rsidR="005C6AE1" w:rsidRDefault="005C6AE1">
      <w:pPr>
        <w:spacing w:line="276" w:lineRule="auto"/>
        <w:jc w:val="both"/>
        <w:rPr>
          <w:rFonts w:ascii="Times New Roman" w:eastAsia="Times New Roman" w:hAnsi="Times New Roman" w:cs="Times New Roman"/>
          <w:lang w:val="en-US"/>
        </w:rPr>
      </w:pPr>
    </w:p>
    <w:p w14:paraId="0000000C" w14:textId="45A28E69" w:rsidR="005C6AE1" w:rsidRPr="00636A36" w:rsidRDefault="00636A36">
      <w:pPr>
        <w:spacing w:line="276" w:lineRule="auto"/>
        <w:jc w:val="both"/>
        <w:rPr>
          <w:rFonts w:ascii="Times New Roman" w:eastAsia="Times New Roman" w:hAnsi="Times New Roman" w:cs="Times New Roman"/>
          <w:b/>
          <w:bCs/>
          <w:lang w:val="es-CO"/>
        </w:rPr>
      </w:pPr>
      <w:r w:rsidRPr="00636A36">
        <w:rPr>
          <w:rFonts w:ascii="Times New Roman" w:eastAsia="Times New Roman" w:hAnsi="Times New Roman" w:cs="Times New Roman"/>
          <w:b/>
          <w:bCs/>
          <w:lang w:val="es-CO"/>
        </w:rPr>
        <w:t xml:space="preserve">Información sobre Honduras para la consideración del Comité para la Eliminación de la Discriminación contra la Mujer en la </w:t>
      </w:r>
      <w:proofErr w:type="spellStart"/>
      <w:r w:rsidRPr="00636A36">
        <w:rPr>
          <w:rFonts w:ascii="Times New Roman" w:eastAsia="Times New Roman" w:hAnsi="Times New Roman" w:cs="Times New Roman"/>
          <w:b/>
          <w:bCs/>
          <w:lang w:val="es-CO"/>
        </w:rPr>
        <w:t>pre-sesión</w:t>
      </w:r>
      <w:proofErr w:type="spellEnd"/>
      <w:r w:rsidRPr="00636A36">
        <w:rPr>
          <w:rFonts w:ascii="Times New Roman" w:eastAsia="Times New Roman" w:hAnsi="Times New Roman" w:cs="Times New Roman"/>
          <w:b/>
          <w:bCs/>
          <w:lang w:val="es-CO"/>
        </w:rPr>
        <w:t xml:space="preserve"> del grupo de trabajo del 81 período de Sesiones (5-9 de Julio 2021)</w:t>
      </w:r>
    </w:p>
    <w:p w14:paraId="55C82198" w14:textId="77777777" w:rsidR="00636A36" w:rsidRDefault="00636A36">
      <w:pPr>
        <w:spacing w:line="276" w:lineRule="auto"/>
        <w:jc w:val="both"/>
        <w:rPr>
          <w:rFonts w:ascii="Times New Roman" w:eastAsia="Times New Roman" w:hAnsi="Times New Roman" w:cs="Times New Roman"/>
          <w:b/>
          <w:bCs/>
          <w:lang w:val="es-CO"/>
        </w:rPr>
      </w:pPr>
    </w:p>
    <w:p w14:paraId="0000000D" w14:textId="6EC39125" w:rsidR="005C6AE1" w:rsidRPr="00742CD6" w:rsidRDefault="00AC1874" w:rsidP="00742CD6">
      <w:pPr>
        <w:spacing w:line="276" w:lineRule="auto"/>
        <w:jc w:val="both"/>
        <w:rPr>
          <w:rFonts w:ascii="Times New Roman" w:eastAsia="Times New Roman" w:hAnsi="Times New Roman" w:cs="Times New Roman"/>
          <w:b/>
          <w:bCs/>
          <w:lang w:val="es-CO"/>
        </w:rPr>
      </w:pPr>
      <w:r w:rsidRPr="00636A36">
        <w:rPr>
          <w:rFonts w:ascii="Times New Roman" w:eastAsia="Times New Roman" w:hAnsi="Times New Roman" w:cs="Times New Roman"/>
          <w:b/>
          <w:bCs/>
          <w:lang w:val="es-CO"/>
        </w:rPr>
        <w:t>Introducción</w:t>
      </w:r>
    </w:p>
    <w:p w14:paraId="187524E8" w14:textId="5D56D02F" w:rsidR="00742CD6" w:rsidRPr="00742CD6" w:rsidRDefault="0020347B" w:rsidP="00742CD6">
      <w:pPr>
        <w:pStyle w:val="Prrafodelista"/>
        <w:numPr>
          <w:ilvl w:val="0"/>
          <w:numId w:val="2"/>
        </w:numPr>
        <w:jc w:val="both"/>
        <w:rPr>
          <w:rFonts w:ascii="Times New Roman" w:eastAsia="Times New Roman" w:hAnsi="Times New Roman" w:cs="Times New Roman"/>
        </w:rPr>
      </w:pPr>
      <w:bookmarkStart w:id="0" w:name="_heading=h.gjdgxs" w:colFirst="0" w:colLast="0"/>
      <w:bookmarkEnd w:id="0"/>
      <w:r w:rsidRPr="00742CD6">
        <w:rPr>
          <w:rFonts w:ascii="Times New Roman" w:eastAsia="Times New Roman" w:hAnsi="Times New Roman" w:cs="Times New Roman"/>
        </w:rPr>
        <w:t>El Equipo Jurídico por</w:t>
      </w:r>
      <w:r w:rsidRPr="00742CD6">
        <w:rPr>
          <w:rFonts w:ascii="Times New Roman" w:eastAsia="Times New Roman" w:hAnsi="Times New Roman" w:cs="Times New Roman"/>
        </w:rPr>
        <w:t xml:space="preserve"> los Derechos Humanos, EJDH; el Centro de Derechos de Mujeres, CDM; el Centro de Estudios de la Mujer</w:t>
      </w:r>
      <w:r w:rsidR="00D81C87">
        <w:rPr>
          <w:rFonts w:ascii="Times New Roman" w:eastAsia="Times New Roman" w:hAnsi="Times New Roman" w:cs="Times New Roman"/>
        </w:rPr>
        <w:t xml:space="preserve"> –</w:t>
      </w:r>
      <w:r w:rsidR="00BF0CBA">
        <w:rPr>
          <w:rFonts w:ascii="Times New Roman" w:eastAsia="Times New Roman" w:hAnsi="Times New Roman" w:cs="Times New Roman"/>
        </w:rPr>
        <w:t xml:space="preserve"> </w:t>
      </w:r>
      <w:r w:rsidRPr="00742CD6">
        <w:rPr>
          <w:rFonts w:ascii="Times New Roman" w:eastAsia="Times New Roman" w:hAnsi="Times New Roman" w:cs="Times New Roman"/>
        </w:rPr>
        <w:t>H</w:t>
      </w:r>
      <w:r w:rsidR="00BF0CBA">
        <w:rPr>
          <w:rFonts w:ascii="Times New Roman" w:eastAsia="Times New Roman" w:hAnsi="Times New Roman" w:cs="Times New Roman"/>
        </w:rPr>
        <w:t>onduras</w:t>
      </w:r>
      <w:r w:rsidR="00D81C87">
        <w:rPr>
          <w:rFonts w:ascii="Times New Roman" w:eastAsia="Times New Roman" w:hAnsi="Times New Roman" w:cs="Times New Roman"/>
        </w:rPr>
        <w:t>, CEM-H</w:t>
      </w:r>
      <w:r w:rsidRPr="00742CD6">
        <w:rPr>
          <w:rFonts w:ascii="Times New Roman" w:eastAsia="Times New Roman" w:hAnsi="Times New Roman" w:cs="Times New Roman"/>
        </w:rPr>
        <w:t>; organizaciones integrantes de la Plataforma</w:t>
      </w:r>
      <w:r w:rsidR="00BF0CBA">
        <w:rPr>
          <w:rFonts w:ascii="Times New Roman" w:eastAsia="Times New Roman" w:hAnsi="Times New Roman" w:cs="Times New Roman"/>
        </w:rPr>
        <w:t xml:space="preserve"> Somos Muchas y </w:t>
      </w:r>
      <w:r w:rsidRPr="00742CD6">
        <w:rPr>
          <w:rFonts w:ascii="Times New Roman" w:eastAsia="Times New Roman" w:hAnsi="Times New Roman" w:cs="Times New Roman"/>
        </w:rPr>
        <w:t>Abogados Sin Fronteras-Canad</w:t>
      </w:r>
      <w:r w:rsidR="00BF0CBA">
        <w:rPr>
          <w:rFonts w:ascii="Times New Roman" w:eastAsia="Times New Roman" w:hAnsi="Times New Roman" w:cs="Times New Roman"/>
        </w:rPr>
        <w:t>á</w:t>
      </w:r>
      <w:r w:rsidRPr="00742CD6">
        <w:rPr>
          <w:rFonts w:ascii="Times New Roman" w:eastAsia="Times New Roman" w:hAnsi="Times New Roman" w:cs="Times New Roman"/>
        </w:rPr>
        <w:t xml:space="preserve"> en Ho</w:t>
      </w:r>
      <w:r w:rsidRPr="00742CD6">
        <w:rPr>
          <w:rFonts w:ascii="Times New Roman" w:eastAsia="Times New Roman" w:hAnsi="Times New Roman" w:cs="Times New Roman"/>
        </w:rPr>
        <w:t>nduras; enviamos al Comité para la Eliminación de la Discriminación contra la Mujer la presente comunicación con el fin de aportar información adicional sobre la situación de los derechos humanos de las mujeres en Honduras así como una sugerencia de pregun</w:t>
      </w:r>
      <w:r w:rsidRPr="00742CD6">
        <w:rPr>
          <w:rFonts w:ascii="Times New Roman" w:eastAsia="Times New Roman" w:hAnsi="Times New Roman" w:cs="Times New Roman"/>
        </w:rPr>
        <w:t>tas al Estado en el marco del 81 período de sesiones.</w:t>
      </w:r>
      <w:r w:rsidR="00AC1874" w:rsidRPr="00742CD6">
        <w:rPr>
          <w:rFonts w:ascii="Times New Roman" w:eastAsia="Times New Roman" w:hAnsi="Times New Roman" w:cs="Times New Roman"/>
        </w:rPr>
        <w:t xml:space="preserve"> </w:t>
      </w:r>
    </w:p>
    <w:p w14:paraId="2A045E4E" w14:textId="77777777" w:rsidR="00742CD6" w:rsidRDefault="00742CD6" w:rsidP="00742CD6">
      <w:pPr>
        <w:pStyle w:val="Prrafodelista"/>
        <w:jc w:val="both"/>
        <w:rPr>
          <w:rFonts w:ascii="Times New Roman" w:eastAsia="Times New Roman" w:hAnsi="Times New Roman" w:cs="Times New Roman"/>
        </w:rPr>
      </w:pPr>
    </w:p>
    <w:p w14:paraId="0000000F" w14:textId="50D582B6"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Si bien el Estado de Honduras ha cumplido con el envío de informes a los distintos mecanismos del Sistema Universal e Interamericano de Derechos Humanos, reiterativamente omite información precisa que s</w:t>
      </w:r>
      <w:r w:rsidRPr="00742CD6">
        <w:rPr>
          <w:rFonts w:ascii="Times New Roman" w:eastAsia="Times New Roman" w:hAnsi="Times New Roman" w:cs="Times New Roman"/>
        </w:rPr>
        <w:t xml:space="preserve">e le ha solicitado y soslaya las medidas regresivas que continúa implementando en materia de derechos humanos de las mujeres. </w:t>
      </w:r>
    </w:p>
    <w:p w14:paraId="6C680CE5" w14:textId="77777777" w:rsidR="00742CD6" w:rsidRDefault="00742CD6" w:rsidP="00742CD6">
      <w:pPr>
        <w:pStyle w:val="Prrafodelista"/>
        <w:jc w:val="both"/>
        <w:rPr>
          <w:rFonts w:ascii="Times New Roman" w:eastAsia="Times New Roman" w:hAnsi="Times New Roman" w:cs="Times New Roman"/>
        </w:rPr>
      </w:pPr>
    </w:p>
    <w:p w14:paraId="7A3C75A9" w14:textId="278386B3" w:rsidR="00D81C87" w:rsidRPr="00D81C87" w:rsidRDefault="0020347B" w:rsidP="00D81C87">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En el noveno informe periódico que Honduras presentó en 2020 en virtud del artículo 18 de la Convención</w:t>
      </w:r>
      <w:r>
        <w:rPr>
          <w:vertAlign w:val="superscript"/>
        </w:rPr>
        <w:footnoteReference w:id="1"/>
      </w:r>
      <w:r w:rsidRPr="00742CD6">
        <w:rPr>
          <w:rFonts w:ascii="Times New Roman" w:eastAsia="Times New Roman" w:hAnsi="Times New Roman" w:cs="Times New Roman"/>
        </w:rPr>
        <w:t>, que comprende el perío</w:t>
      </w:r>
      <w:r w:rsidRPr="00742CD6">
        <w:rPr>
          <w:rFonts w:ascii="Times New Roman" w:eastAsia="Times New Roman" w:hAnsi="Times New Roman" w:cs="Times New Roman"/>
        </w:rPr>
        <w:t>do 2016-2020, el Estado omite que en este período se ha profundizado un régimen autoritario, con mínimos niveles de independencia de poderes y con una mayor concentración de poder en el presidente del ejecutivo</w:t>
      </w:r>
      <w:r>
        <w:rPr>
          <w:vertAlign w:val="superscript"/>
        </w:rPr>
        <w:footnoteReference w:id="2"/>
      </w:r>
      <w:r w:rsidRPr="00742CD6">
        <w:rPr>
          <w:rFonts w:ascii="Times New Roman" w:eastAsia="Times New Roman" w:hAnsi="Times New Roman" w:cs="Times New Roman"/>
        </w:rPr>
        <w:t>, que trae consigo un mayor déficit en la de</w:t>
      </w:r>
      <w:r w:rsidRPr="00742CD6">
        <w:rPr>
          <w:rFonts w:ascii="Times New Roman" w:eastAsia="Times New Roman" w:hAnsi="Times New Roman" w:cs="Times New Roman"/>
        </w:rPr>
        <w:t>mocracia; afecta directamente a toda la población, pero que se expresa con especial misoginia en la vida de las mujeres y de las niñas. Asimismo, en el período se ha profundizado el modelo económico, político e ideológico de despojo de derechos para la may</w:t>
      </w:r>
      <w:r w:rsidRPr="00742CD6">
        <w:rPr>
          <w:rFonts w:ascii="Times New Roman" w:eastAsia="Times New Roman" w:hAnsi="Times New Roman" w:cs="Times New Roman"/>
        </w:rPr>
        <w:t>oría de la población y que no se ha detenido en el marco de la COVID-19, por el contrario, la pandemia ha sido el pretexto perfecto para los evidentes retrocesos, que se mencionan a continuación.</w:t>
      </w:r>
    </w:p>
    <w:p w14:paraId="74749DC9" w14:textId="77777777" w:rsidR="00D81C87" w:rsidRDefault="00D81C87" w:rsidP="00D81C87">
      <w:pPr>
        <w:pStyle w:val="Prrafodelista"/>
        <w:jc w:val="both"/>
        <w:rPr>
          <w:rFonts w:ascii="Times New Roman" w:eastAsia="Times New Roman" w:hAnsi="Times New Roman" w:cs="Times New Roman"/>
        </w:rPr>
      </w:pPr>
    </w:p>
    <w:p w14:paraId="00000011" w14:textId="609B6084"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lastRenderedPageBreak/>
        <w:t>La presente es una comunicación no exhaustiva de la situació</w:t>
      </w:r>
      <w:r w:rsidRPr="00742CD6">
        <w:rPr>
          <w:rFonts w:ascii="Times New Roman" w:eastAsia="Times New Roman" w:hAnsi="Times New Roman" w:cs="Times New Roman"/>
        </w:rPr>
        <w:t xml:space="preserve">n del país, pero si quiere identificar omisiones, </w:t>
      </w:r>
      <w:r w:rsidRPr="00742CD6">
        <w:rPr>
          <w:rFonts w:ascii="Times New Roman" w:eastAsia="Times New Roman" w:hAnsi="Times New Roman" w:cs="Times New Roman"/>
        </w:rPr>
        <w:t>imprecisiones y regresiones en materia de derechos humanos que resultan intolerables en un estado de derecho.</w:t>
      </w:r>
    </w:p>
    <w:p w14:paraId="00000012" w14:textId="77777777" w:rsidR="005C6AE1" w:rsidRDefault="0020347B" w:rsidP="00742CD6">
      <w:pPr>
        <w:ind w:left="360"/>
        <w:jc w:val="both"/>
        <w:rPr>
          <w:rFonts w:ascii="Times New Roman" w:eastAsia="Times New Roman" w:hAnsi="Times New Roman" w:cs="Times New Roman"/>
          <w:b/>
        </w:rPr>
      </w:pPr>
      <w:r>
        <w:rPr>
          <w:rFonts w:ascii="Times New Roman" w:eastAsia="Times New Roman" w:hAnsi="Times New Roman" w:cs="Times New Roman"/>
          <w:b/>
        </w:rPr>
        <w:t>S</w:t>
      </w:r>
      <w:r>
        <w:rPr>
          <w:rFonts w:ascii="Times New Roman" w:eastAsia="Times New Roman" w:hAnsi="Times New Roman" w:cs="Times New Roman"/>
          <w:b/>
        </w:rPr>
        <w:t>obre la aplicación de instrumentos legales y de políticas públicas</w:t>
      </w:r>
    </w:p>
    <w:p w14:paraId="00000013" w14:textId="27533D69" w:rsidR="005C6AE1"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Si bien se han aprobado una</w:t>
      </w:r>
      <w:r w:rsidRPr="00742CD6">
        <w:rPr>
          <w:rFonts w:ascii="Times New Roman" w:eastAsia="Times New Roman" w:hAnsi="Times New Roman" w:cs="Times New Roman"/>
        </w:rPr>
        <w:t xml:space="preserve"> serie de leyes y de documentos de políticas públicas, </w:t>
      </w:r>
      <w:r w:rsidRPr="00742CD6">
        <w:rPr>
          <w:rFonts w:ascii="Times New Roman" w:eastAsia="Times New Roman" w:hAnsi="Times New Roman" w:cs="Times New Roman"/>
        </w:rPr>
        <w:t xml:space="preserve">en la </w:t>
      </w:r>
      <w:r w:rsidR="00333AB4" w:rsidRPr="00742CD6">
        <w:rPr>
          <w:rFonts w:ascii="Times New Roman" w:eastAsia="Times New Roman" w:hAnsi="Times New Roman" w:cs="Times New Roman"/>
        </w:rPr>
        <w:t>práctica no</w:t>
      </w:r>
      <w:r w:rsidRPr="00742CD6">
        <w:rPr>
          <w:rFonts w:ascii="Times New Roman" w:eastAsia="Times New Roman" w:hAnsi="Times New Roman" w:cs="Times New Roman"/>
        </w:rPr>
        <w:t xml:space="preserve"> se están implementando y, en caso de hacerlo, es de manera parcial y limitada. Ejemplos de lo anterior es la </w:t>
      </w:r>
      <w:r w:rsidRPr="00333AB4">
        <w:rPr>
          <w:rFonts w:ascii="Times New Roman" w:eastAsia="Times New Roman" w:hAnsi="Times New Roman" w:cs="Times New Roman"/>
          <w:i/>
          <w:iCs/>
        </w:rPr>
        <w:t>Ley y Reglamento de Crédito para la Mujer Rural</w:t>
      </w:r>
      <w:r>
        <w:rPr>
          <w:vertAlign w:val="superscript"/>
        </w:rPr>
        <w:footnoteReference w:id="3"/>
      </w:r>
      <w:r w:rsidRPr="00742CD6">
        <w:rPr>
          <w:rFonts w:ascii="Times New Roman" w:eastAsia="Times New Roman" w:hAnsi="Times New Roman" w:cs="Times New Roman"/>
        </w:rPr>
        <w:t xml:space="preserve">, que </w:t>
      </w:r>
      <w:r w:rsidRPr="00742CD6">
        <w:rPr>
          <w:rFonts w:ascii="Times New Roman" w:eastAsia="Times New Roman" w:hAnsi="Times New Roman" w:cs="Times New Roman"/>
        </w:rPr>
        <w:t>abrió una v</w:t>
      </w:r>
      <w:r w:rsidRPr="00742CD6">
        <w:rPr>
          <w:rFonts w:ascii="Times New Roman" w:eastAsia="Times New Roman" w:hAnsi="Times New Roman" w:cs="Times New Roman"/>
        </w:rPr>
        <w:t>entanilla única llamada CREDIMUJER en el Banco Nacional de Desarrollo Agrícola</w:t>
      </w:r>
      <w:r w:rsidR="007523B6">
        <w:rPr>
          <w:rFonts w:ascii="Times New Roman" w:eastAsia="Times New Roman" w:hAnsi="Times New Roman" w:cs="Times New Roman"/>
        </w:rPr>
        <w:t xml:space="preserve"> en la capital del país</w:t>
      </w:r>
      <w:r w:rsidRPr="00742CD6">
        <w:rPr>
          <w:rFonts w:ascii="Times New Roman" w:eastAsia="Times New Roman" w:hAnsi="Times New Roman" w:cs="Times New Roman"/>
        </w:rPr>
        <w:t>. Estos préstamos requieren de las mismas garantías sin diferenciar hombres y mujeres, así como más requisitos de los previstos en la ley, como bienes; además de la exp</w:t>
      </w:r>
      <w:r w:rsidRPr="00742CD6">
        <w:rPr>
          <w:rFonts w:ascii="Times New Roman" w:eastAsia="Times New Roman" w:hAnsi="Times New Roman" w:cs="Times New Roman"/>
        </w:rPr>
        <w:t>eriencia exigida, lo que impide que la mayoría de las mujeres campesinas puedan tener acceso a esos créditos.</w:t>
      </w:r>
      <w:r>
        <w:rPr>
          <w:vertAlign w:val="superscript"/>
        </w:rPr>
        <w:footnoteReference w:id="4"/>
      </w:r>
      <w:r w:rsidRPr="00742CD6">
        <w:rPr>
          <w:rFonts w:ascii="Times New Roman" w:eastAsia="Times New Roman" w:hAnsi="Times New Roman" w:cs="Times New Roman"/>
        </w:rPr>
        <w:t xml:space="preserve">.  </w:t>
      </w:r>
    </w:p>
    <w:p w14:paraId="53604EC1" w14:textId="77777777" w:rsidR="008C7424" w:rsidRPr="00742CD6" w:rsidRDefault="008C7424" w:rsidP="008C7424">
      <w:pPr>
        <w:pStyle w:val="Prrafodelista"/>
        <w:jc w:val="both"/>
        <w:rPr>
          <w:rFonts w:ascii="Times New Roman" w:eastAsia="Times New Roman" w:hAnsi="Times New Roman" w:cs="Times New Roman"/>
        </w:rPr>
      </w:pPr>
    </w:p>
    <w:p w14:paraId="6DFD5AC0" w14:textId="4C4D2C21" w:rsidR="008C7424" w:rsidRPr="008C7424" w:rsidRDefault="0020347B" w:rsidP="008C7424">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 xml:space="preserve">Lo mismo sucede con el </w:t>
      </w:r>
      <w:r w:rsidRPr="00333AB4">
        <w:rPr>
          <w:rFonts w:ascii="Times New Roman" w:eastAsia="Times New Roman" w:hAnsi="Times New Roman" w:cs="Times New Roman"/>
          <w:i/>
          <w:iCs/>
        </w:rPr>
        <w:t>Reglamento de Aplicación del Principio de Paridad y del Mecanismo de Alternancia en la Participación Política de Mujer</w:t>
      </w:r>
      <w:r w:rsidRPr="00333AB4">
        <w:rPr>
          <w:rFonts w:ascii="Times New Roman" w:eastAsia="Times New Roman" w:hAnsi="Times New Roman" w:cs="Times New Roman"/>
          <w:i/>
          <w:iCs/>
        </w:rPr>
        <w:t>es y Hombres en los Procesos Electorales</w:t>
      </w:r>
      <w:r w:rsidRPr="00742CD6">
        <w:rPr>
          <w:rFonts w:ascii="Times New Roman" w:eastAsia="Times New Roman" w:hAnsi="Times New Roman" w:cs="Times New Roman"/>
        </w:rPr>
        <w:t>, que no reconoce la alternancia vertical</w:t>
      </w:r>
      <w:r>
        <w:rPr>
          <w:vertAlign w:val="superscript"/>
        </w:rPr>
        <w:footnoteReference w:id="5"/>
      </w:r>
      <w:r w:rsidRPr="00742CD6">
        <w:rPr>
          <w:rFonts w:ascii="Times New Roman" w:eastAsia="Times New Roman" w:hAnsi="Times New Roman" w:cs="Times New Roman"/>
        </w:rPr>
        <w:t xml:space="preserve"> para las candidaturas a las corporaciones municipales y al Congreso Nacional.  Tampoco incluye el finiquito social para evitar que agresores de mujeres y niñas participen e</w:t>
      </w:r>
      <w:r w:rsidRPr="00742CD6">
        <w:rPr>
          <w:rFonts w:ascii="Times New Roman" w:eastAsia="Times New Roman" w:hAnsi="Times New Roman" w:cs="Times New Roman"/>
        </w:rPr>
        <w:t>n elecciones a cargos dentro de los procesos electorales; y la ley misma no promueve que haya igualdad en los resultados. A lo anterior se suma la persistencia de la violencia política que ejercen los hombres candidatos en contra de las mujeres en esa mism</w:t>
      </w:r>
      <w:r w:rsidRPr="00742CD6">
        <w:rPr>
          <w:rFonts w:ascii="Times New Roman" w:eastAsia="Times New Roman" w:hAnsi="Times New Roman" w:cs="Times New Roman"/>
        </w:rPr>
        <w:t>a condición, que incluso han llamado a no votar por determinadas candidatas que favorecen los derechos reproductivos y sexuales.</w:t>
      </w:r>
    </w:p>
    <w:p w14:paraId="4B5FFB9C" w14:textId="77777777" w:rsidR="008C7424" w:rsidRDefault="008C7424" w:rsidP="008C7424">
      <w:pPr>
        <w:pStyle w:val="Prrafodelista"/>
        <w:jc w:val="both"/>
        <w:rPr>
          <w:rFonts w:ascii="Times New Roman" w:eastAsia="Times New Roman" w:hAnsi="Times New Roman" w:cs="Times New Roman"/>
        </w:rPr>
      </w:pPr>
    </w:p>
    <w:p w14:paraId="00000015" w14:textId="4A750EE7"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Aunque funciona</w:t>
      </w:r>
      <w:r w:rsidRPr="00742CD6">
        <w:rPr>
          <w:rFonts w:ascii="Times New Roman" w:eastAsia="Times New Roman" w:hAnsi="Times New Roman" w:cs="Times New Roman"/>
        </w:rPr>
        <w:t xml:space="preserve"> la Comisión Interinstitucional de Seguimiento a las Investigaciones de las Muertes Violentas de Mujeres y Femicidios (CIMVM y F), contar con un reglamento no ha supuesto el desarrollo efectivo de los procesos. </w:t>
      </w:r>
      <w:r w:rsidR="00333AB4">
        <w:rPr>
          <w:rFonts w:ascii="Times New Roman" w:eastAsia="Times New Roman" w:hAnsi="Times New Roman" w:cs="Times New Roman"/>
        </w:rPr>
        <w:t>Dicha Comisión</w:t>
      </w:r>
      <w:r w:rsidRPr="00742CD6">
        <w:rPr>
          <w:rFonts w:ascii="Times New Roman" w:eastAsia="Times New Roman" w:hAnsi="Times New Roman" w:cs="Times New Roman"/>
        </w:rPr>
        <w:t xml:space="preserve"> no cuenta con un Plan Estratégic</w:t>
      </w:r>
      <w:r w:rsidRPr="00742CD6">
        <w:rPr>
          <w:rFonts w:ascii="Times New Roman" w:eastAsia="Times New Roman" w:hAnsi="Times New Roman" w:cs="Times New Roman"/>
        </w:rPr>
        <w:t>o ni un Plan operativo anual</w:t>
      </w:r>
      <w:r w:rsidR="00333AB4">
        <w:rPr>
          <w:rFonts w:ascii="Times New Roman" w:eastAsia="Times New Roman" w:hAnsi="Times New Roman" w:cs="Times New Roman"/>
        </w:rPr>
        <w:t>,</w:t>
      </w:r>
      <w:r w:rsidRPr="00742CD6">
        <w:rPr>
          <w:rFonts w:ascii="Times New Roman" w:eastAsia="Times New Roman" w:hAnsi="Times New Roman" w:cs="Times New Roman"/>
        </w:rPr>
        <w:t xml:space="preserve"> y existe incumplimiento de acuerdos</w:t>
      </w:r>
      <w:r w:rsidR="00AC56AE">
        <w:rPr>
          <w:rFonts w:ascii="Times New Roman" w:eastAsia="Times New Roman" w:hAnsi="Times New Roman" w:cs="Times New Roman"/>
        </w:rPr>
        <w:t xml:space="preserve">; siendo uno de los principales </w:t>
      </w:r>
      <w:r w:rsidRPr="00742CD6">
        <w:rPr>
          <w:rFonts w:ascii="Times New Roman" w:eastAsia="Times New Roman" w:hAnsi="Times New Roman" w:cs="Times New Roman"/>
        </w:rPr>
        <w:t>la creación de una mesa de análisis de casos de femicidios</w:t>
      </w:r>
      <w:r w:rsidR="00AC56AE">
        <w:rPr>
          <w:rFonts w:ascii="Times New Roman" w:eastAsia="Times New Roman" w:hAnsi="Times New Roman" w:cs="Times New Roman"/>
        </w:rPr>
        <w:t>. A esta situación se le suma la falta de</w:t>
      </w:r>
      <w:r w:rsidRPr="00742CD6">
        <w:rPr>
          <w:rFonts w:ascii="Times New Roman" w:eastAsia="Times New Roman" w:hAnsi="Times New Roman" w:cs="Times New Roman"/>
        </w:rPr>
        <w:t xml:space="preserve"> rendición de cuentas de parte del </w:t>
      </w:r>
      <w:proofErr w:type="gramStart"/>
      <w:r w:rsidRPr="00742CD6">
        <w:rPr>
          <w:rFonts w:ascii="Times New Roman" w:eastAsia="Times New Roman" w:hAnsi="Times New Roman" w:cs="Times New Roman"/>
        </w:rPr>
        <w:t>Fiscal General</w:t>
      </w:r>
      <w:proofErr w:type="gramEnd"/>
      <w:r w:rsidRPr="00742CD6">
        <w:rPr>
          <w:rFonts w:ascii="Times New Roman" w:eastAsia="Times New Roman" w:hAnsi="Times New Roman" w:cs="Times New Roman"/>
        </w:rPr>
        <w:t>, que en casi 3 años de haber sido creada la Co</w:t>
      </w:r>
      <w:r w:rsidRPr="00742CD6">
        <w:rPr>
          <w:rFonts w:ascii="Times New Roman" w:eastAsia="Times New Roman" w:hAnsi="Times New Roman" w:cs="Times New Roman"/>
        </w:rPr>
        <w:t>misión</w:t>
      </w:r>
      <w:r w:rsidRPr="00742CD6">
        <w:rPr>
          <w:rFonts w:ascii="Times New Roman" w:eastAsia="Times New Roman" w:hAnsi="Times New Roman" w:cs="Times New Roman"/>
        </w:rPr>
        <w:t xml:space="preserve"> no ha </w:t>
      </w:r>
      <w:r w:rsidR="00AC56AE">
        <w:rPr>
          <w:rFonts w:ascii="Times New Roman" w:eastAsia="Times New Roman" w:hAnsi="Times New Roman" w:cs="Times New Roman"/>
        </w:rPr>
        <w:t xml:space="preserve">reunido con organizaciones de sociedad civil defensoras de los derechos de las mujeres, ni ha atendido las solicitudes de revisión de legislación vigente para alcanzar estándares internacionales en esta materia. </w:t>
      </w:r>
    </w:p>
    <w:p w14:paraId="27377C46" w14:textId="77777777" w:rsidR="008C7424" w:rsidRDefault="008C7424" w:rsidP="008C7424">
      <w:pPr>
        <w:pStyle w:val="Prrafodelista"/>
        <w:jc w:val="both"/>
        <w:rPr>
          <w:rFonts w:ascii="Times New Roman" w:eastAsia="Times New Roman" w:hAnsi="Times New Roman" w:cs="Times New Roman"/>
        </w:rPr>
      </w:pPr>
    </w:p>
    <w:p w14:paraId="00000016" w14:textId="355DFA54"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 xml:space="preserve">Respecto a las Disposiciones Generales del Presupuesto de la República de Ingresos </w:t>
      </w:r>
      <w:r w:rsidRPr="00742CD6">
        <w:rPr>
          <w:rFonts w:ascii="Times New Roman" w:eastAsia="Times New Roman" w:hAnsi="Times New Roman" w:cs="Times New Roman"/>
        </w:rPr>
        <w:t xml:space="preserve">y Egresos, en las cuales se incluye el Enfoque de Género, </w:t>
      </w:r>
      <w:r w:rsidR="00AC56AE">
        <w:rPr>
          <w:rFonts w:ascii="Times New Roman" w:eastAsia="Times New Roman" w:hAnsi="Times New Roman" w:cs="Times New Roman"/>
        </w:rPr>
        <w:t xml:space="preserve">solamente se menciona en la descripción general y </w:t>
      </w:r>
      <w:r w:rsidRPr="00742CD6">
        <w:rPr>
          <w:rFonts w:ascii="Times New Roman" w:eastAsia="Times New Roman" w:hAnsi="Times New Roman" w:cs="Times New Roman"/>
        </w:rPr>
        <w:t>en la práctica se incumple</w:t>
      </w:r>
      <w:r w:rsidR="00AC56AE">
        <w:rPr>
          <w:rFonts w:ascii="Times New Roman" w:eastAsia="Times New Roman" w:hAnsi="Times New Roman" w:cs="Times New Roman"/>
        </w:rPr>
        <w:t>.</w:t>
      </w:r>
      <w:r w:rsidRPr="00742CD6">
        <w:rPr>
          <w:rFonts w:ascii="Times New Roman" w:eastAsia="Times New Roman" w:hAnsi="Times New Roman" w:cs="Times New Roman"/>
        </w:rPr>
        <w:t xml:space="preserve"> </w:t>
      </w:r>
      <w:r w:rsidR="00AC56AE">
        <w:rPr>
          <w:rFonts w:ascii="Times New Roman" w:eastAsia="Times New Roman" w:hAnsi="Times New Roman" w:cs="Times New Roman"/>
        </w:rPr>
        <w:t xml:space="preserve">No </w:t>
      </w:r>
      <w:r w:rsidR="00AC56AE" w:rsidRPr="00742CD6">
        <w:rPr>
          <w:rFonts w:ascii="Times New Roman" w:eastAsia="Times New Roman" w:hAnsi="Times New Roman" w:cs="Times New Roman"/>
        </w:rPr>
        <w:t>se cuenta con un clasificador presupuestario que efectivamente permita su inclusión y su control</w:t>
      </w:r>
      <w:r w:rsidR="00AC56AE">
        <w:rPr>
          <w:rFonts w:ascii="Times New Roman" w:eastAsia="Times New Roman" w:hAnsi="Times New Roman" w:cs="Times New Roman"/>
        </w:rPr>
        <w:t xml:space="preserve">, facilitando la omisión del criterio de género en </w:t>
      </w:r>
      <w:r w:rsidR="004E3726">
        <w:rPr>
          <w:rFonts w:ascii="Times New Roman" w:eastAsia="Times New Roman" w:hAnsi="Times New Roman" w:cs="Times New Roman"/>
        </w:rPr>
        <w:t xml:space="preserve">los presupuestos de ministerios, secretarías y demás instituciones del Estado. </w:t>
      </w:r>
    </w:p>
    <w:p w14:paraId="2AACECE0" w14:textId="77777777" w:rsidR="008C7424" w:rsidRDefault="008C7424" w:rsidP="008C7424">
      <w:pPr>
        <w:pStyle w:val="Prrafodelista"/>
        <w:jc w:val="both"/>
        <w:rPr>
          <w:rFonts w:ascii="Times New Roman" w:eastAsia="Times New Roman" w:hAnsi="Times New Roman" w:cs="Times New Roman"/>
        </w:rPr>
      </w:pPr>
    </w:p>
    <w:p w14:paraId="00000017" w14:textId="16A7491F"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lastRenderedPageBreak/>
        <w:t xml:space="preserve">Sobre la </w:t>
      </w:r>
      <w:r w:rsidRPr="004E3726">
        <w:rPr>
          <w:rFonts w:ascii="Times New Roman" w:eastAsia="Times New Roman" w:hAnsi="Times New Roman" w:cs="Times New Roman"/>
          <w:i/>
          <w:iCs/>
        </w:rPr>
        <w:t>Ley de Igualdad Salarial</w:t>
      </w:r>
      <w:r w:rsidRPr="00742CD6">
        <w:rPr>
          <w:rFonts w:ascii="Times New Roman" w:eastAsia="Times New Roman" w:hAnsi="Times New Roman" w:cs="Times New Roman"/>
        </w:rPr>
        <w:t>, tampoco funciona. El propio Instituto Nacional de Estadística da cuenta que la brecha salarial en los últimos 4 años apenas ha v</w:t>
      </w:r>
      <w:r w:rsidRPr="00742CD6">
        <w:rPr>
          <w:rFonts w:ascii="Times New Roman" w:eastAsia="Times New Roman" w:hAnsi="Times New Roman" w:cs="Times New Roman"/>
        </w:rPr>
        <w:t>ariado en 3 puntos de diferencia entre el salario promedio de las mujeres con respecto al salario promedio de los hombres, y en el caso de las trabajadoras por cuenta propia, su situación empeoró ya que en 2019 el promedio de ingresos de las mujeres cuenta</w:t>
      </w:r>
      <w:r w:rsidRPr="00742CD6">
        <w:rPr>
          <w:rFonts w:ascii="Times New Roman" w:eastAsia="Times New Roman" w:hAnsi="Times New Roman" w:cs="Times New Roman"/>
        </w:rPr>
        <w:t>propistas era el 73% del ingreso de los hombres en la misma categoría ocupacional, y en 2020, las mujeres tuvieron ingresos de 4 puntos menos que los hombres, es decir, las mujeres tuvieron un ingreso del 69% en relación al ingreso de los hombres en esa mi</w:t>
      </w:r>
      <w:r w:rsidRPr="00742CD6">
        <w:rPr>
          <w:rFonts w:ascii="Times New Roman" w:eastAsia="Times New Roman" w:hAnsi="Times New Roman" w:cs="Times New Roman"/>
        </w:rPr>
        <w:t>sma categoría</w:t>
      </w:r>
      <w:r>
        <w:rPr>
          <w:vertAlign w:val="superscript"/>
        </w:rPr>
        <w:footnoteReference w:id="6"/>
      </w:r>
      <w:r w:rsidRPr="00742CD6">
        <w:rPr>
          <w:rFonts w:ascii="Times New Roman" w:eastAsia="Times New Roman" w:hAnsi="Times New Roman" w:cs="Times New Roman"/>
        </w:rPr>
        <w:t xml:space="preserve">. </w:t>
      </w:r>
    </w:p>
    <w:p w14:paraId="1BD5BD2F" w14:textId="77777777" w:rsidR="008C7424" w:rsidRDefault="008C7424" w:rsidP="008C7424">
      <w:pPr>
        <w:pStyle w:val="Prrafodelista"/>
        <w:jc w:val="both"/>
        <w:rPr>
          <w:rFonts w:ascii="Times New Roman" w:eastAsia="Times New Roman" w:hAnsi="Times New Roman" w:cs="Times New Roman"/>
        </w:rPr>
      </w:pPr>
    </w:p>
    <w:p w14:paraId="00000018" w14:textId="3117E8AB"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 xml:space="preserve">En relación a la </w:t>
      </w:r>
      <w:r w:rsidRPr="004E3726">
        <w:rPr>
          <w:rFonts w:ascii="Times New Roman" w:eastAsia="Times New Roman" w:hAnsi="Times New Roman" w:cs="Times New Roman"/>
          <w:i/>
          <w:iCs/>
        </w:rPr>
        <w:t xml:space="preserve">Política Pública Contra el Racismo y la Discriminación Racial para el Desarrollo Integral de los Pueblos Indígenas y </w:t>
      </w:r>
      <w:proofErr w:type="spellStart"/>
      <w:r w:rsidRPr="004E3726">
        <w:rPr>
          <w:rFonts w:ascii="Times New Roman" w:eastAsia="Times New Roman" w:hAnsi="Times New Roman" w:cs="Times New Roman"/>
          <w:i/>
          <w:iCs/>
        </w:rPr>
        <w:t>Afrohondureños</w:t>
      </w:r>
      <w:proofErr w:type="spellEnd"/>
      <w:r>
        <w:rPr>
          <w:vertAlign w:val="superscript"/>
        </w:rPr>
        <w:footnoteReference w:id="7"/>
      </w:r>
      <w:r w:rsidRPr="00742CD6">
        <w:rPr>
          <w:rFonts w:ascii="Times New Roman" w:eastAsia="Times New Roman" w:hAnsi="Times New Roman" w:cs="Times New Roman"/>
        </w:rPr>
        <w:t>, fue aprobada para ser implementada por la Secretaría de los Pueblos Indígenas y Afrode</w:t>
      </w:r>
      <w:r w:rsidRPr="00742CD6">
        <w:rPr>
          <w:rFonts w:ascii="Times New Roman" w:eastAsia="Times New Roman" w:hAnsi="Times New Roman" w:cs="Times New Roman"/>
        </w:rPr>
        <w:t>scendientes, pero ésta fue sustituida por una Dirección dependiente de la Secretaría de Desarrollo e Inclusión Social; su estructura se recorta, su capacidad de implementa</w:t>
      </w:r>
      <w:r w:rsidR="004E3726">
        <w:rPr>
          <w:rFonts w:ascii="Times New Roman" w:eastAsia="Times New Roman" w:hAnsi="Times New Roman" w:cs="Times New Roman"/>
        </w:rPr>
        <w:t>ción</w:t>
      </w:r>
      <w:r w:rsidRPr="00742CD6">
        <w:rPr>
          <w:rFonts w:ascii="Times New Roman" w:eastAsia="Times New Roman" w:hAnsi="Times New Roman" w:cs="Times New Roman"/>
        </w:rPr>
        <w:t xml:space="preserve"> se elimina y el presupuesto existente apenas permite cubrir una pequeña nómina de</w:t>
      </w:r>
      <w:r w:rsidRPr="00742CD6">
        <w:rPr>
          <w:rFonts w:ascii="Times New Roman" w:eastAsia="Times New Roman" w:hAnsi="Times New Roman" w:cs="Times New Roman"/>
        </w:rPr>
        <w:t xml:space="preserve"> empleados para dar seguimiento a algunas acciones con la Asociación </w:t>
      </w:r>
      <w:proofErr w:type="spellStart"/>
      <w:r w:rsidRPr="00742CD6">
        <w:rPr>
          <w:rFonts w:ascii="Times New Roman" w:eastAsia="Times New Roman" w:hAnsi="Times New Roman" w:cs="Times New Roman"/>
        </w:rPr>
        <w:t>Miskita</w:t>
      </w:r>
      <w:proofErr w:type="spellEnd"/>
      <w:r w:rsidRPr="00742CD6">
        <w:rPr>
          <w:rFonts w:ascii="Times New Roman" w:eastAsia="Times New Roman" w:hAnsi="Times New Roman" w:cs="Times New Roman"/>
        </w:rPr>
        <w:t xml:space="preserve"> Hondureña de Buzos Lisiados y para entregar </w:t>
      </w:r>
      <w:r w:rsidRPr="00742CD6">
        <w:rPr>
          <w:rFonts w:ascii="Times New Roman" w:eastAsia="Times New Roman" w:hAnsi="Times New Roman" w:cs="Times New Roman"/>
        </w:rPr>
        <w:t>bolsas solidarias de ayuda humanitaria</w:t>
      </w:r>
      <w:r>
        <w:rPr>
          <w:vertAlign w:val="superscript"/>
        </w:rPr>
        <w:footnoteReference w:id="8"/>
      </w:r>
      <w:r w:rsidRPr="00742CD6">
        <w:rPr>
          <w:rFonts w:ascii="Times New Roman" w:eastAsia="Times New Roman" w:hAnsi="Times New Roman" w:cs="Times New Roman"/>
        </w:rPr>
        <w:t>. En resumen, no hay instancia del Estado que implemente esta política y tampoco hay recursos destinados para este fin. Por el contrario, las organizaciones afrodescendientes de Honduras han denunciado el incumplimiento de las sentencias en las que el Esta</w:t>
      </w:r>
      <w:r w:rsidRPr="00742CD6">
        <w:rPr>
          <w:rFonts w:ascii="Times New Roman" w:eastAsia="Times New Roman" w:hAnsi="Times New Roman" w:cs="Times New Roman"/>
        </w:rPr>
        <w:t>do de Honduras ha sido condenado</w:t>
      </w:r>
      <w:r>
        <w:rPr>
          <w:vertAlign w:val="superscript"/>
        </w:rPr>
        <w:footnoteReference w:id="9"/>
      </w:r>
      <w:r w:rsidRPr="00742CD6">
        <w:rPr>
          <w:rFonts w:ascii="Times New Roman" w:eastAsia="Times New Roman" w:hAnsi="Times New Roman" w:cs="Times New Roman"/>
        </w:rPr>
        <w:t xml:space="preserve"> y el asesinato de una de las personas que dio su testimonios para el caso de Punta Piedra</w:t>
      </w:r>
      <w:r w:rsidRPr="00742CD6">
        <w:rPr>
          <w:rFonts w:ascii="Times New Roman" w:eastAsia="Times New Roman" w:hAnsi="Times New Roman" w:cs="Times New Roman"/>
        </w:rPr>
        <w:t xml:space="preserve">, así como la desaparición de 4 personas </w:t>
      </w:r>
      <w:r w:rsidR="004E3726">
        <w:rPr>
          <w:rFonts w:ascii="Times New Roman" w:eastAsia="Times New Roman" w:hAnsi="Times New Roman" w:cs="Times New Roman"/>
        </w:rPr>
        <w:t xml:space="preserve">garífunas </w:t>
      </w:r>
      <w:r w:rsidRPr="00742CD6">
        <w:rPr>
          <w:rFonts w:ascii="Times New Roman" w:eastAsia="Times New Roman" w:hAnsi="Times New Roman" w:cs="Times New Roman"/>
        </w:rPr>
        <w:t>en el marco de la lucha territorial y de defensa de derechos colectivos en lo</w:t>
      </w:r>
      <w:r w:rsidRPr="00742CD6">
        <w:rPr>
          <w:rFonts w:ascii="Times New Roman" w:eastAsia="Times New Roman" w:hAnsi="Times New Roman" w:cs="Times New Roman"/>
        </w:rPr>
        <w:t xml:space="preserve">s territorios ancestrales de Triunfo de la Cruz, ambos hechos ocurridos en 2020 en el marco de la pandemia por el COVID-19.  </w:t>
      </w:r>
    </w:p>
    <w:p w14:paraId="0DB6518A" w14:textId="77777777" w:rsidR="008C7424" w:rsidRDefault="008C7424" w:rsidP="008C7424">
      <w:pPr>
        <w:pStyle w:val="Prrafodelista"/>
        <w:jc w:val="both"/>
        <w:rPr>
          <w:rFonts w:ascii="Times New Roman" w:eastAsia="Times New Roman" w:hAnsi="Times New Roman" w:cs="Times New Roman"/>
        </w:rPr>
      </w:pPr>
    </w:p>
    <w:p w14:paraId="00000019" w14:textId="11076500" w:rsidR="005C6AE1" w:rsidRPr="00742CD6" w:rsidRDefault="004E3726" w:rsidP="00742CD6">
      <w:pPr>
        <w:pStyle w:val="Prrafodelista"/>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Se creó </w:t>
      </w:r>
      <w:r w:rsidR="0020347B" w:rsidRPr="00742CD6">
        <w:rPr>
          <w:rFonts w:ascii="Times New Roman" w:eastAsia="Times New Roman" w:hAnsi="Times New Roman" w:cs="Times New Roman"/>
        </w:rPr>
        <w:t>el Sistema Integral de Garantía de Derechos de la Niñez y Adolescencia en Honduras SIGADENA</w:t>
      </w:r>
      <w:r w:rsidR="0020347B" w:rsidRPr="00742CD6">
        <w:rPr>
          <w:rFonts w:ascii="Times New Roman" w:eastAsia="Times New Roman" w:hAnsi="Times New Roman" w:cs="Times New Roman"/>
        </w:rPr>
        <w:t xml:space="preserve">H, que ha sido una demanda de las organizaciones y una necesidad en el país, para que las distintas organizaciones puedan activarse de manera coordinada en caso de </w:t>
      </w:r>
      <w:r w:rsidR="0020347B" w:rsidRPr="00742CD6">
        <w:rPr>
          <w:rFonts w:ascii="Times New Roman" w:eastAsia="Times New Roman" w:hAnsi="Times New Roman" w:cs="Times New Roman"/>
        </w:rPr>
        <w:t>vulneración de derechos de la niñez y adolescencia</w:t>
      </w:r>
      <w:r w:rsidR="0020347B" w:rsidRPr="00742CD6">
        <w:rPr>
          <w:rFonts w:ascii="Times New Roman" w:eastAsia="Times New Roman" w:hAnsi="Times New Roman" w:cs="Times New Roman"/>
        </w:rPr>
        <w:t xml:space="preserve">. Sin embargo, el sistema debe </w:t>
      </w:r>
      <w:r w:rsidR="0020347B" w:rsidRPr="00742CD6">
        <w:rPr>
          <w:rFonts w:ascii="Times New Roman" w:eastAsia="Times New Roman" w:hAnsi="Times New Roman" w:cs="Times New Roman"/>
        </w:rPr>
        <w:t xml:space="preserve">ir de la mano con una Política Nacional de Niñez, Adolescencia y Juventud, </w:t>
      </w:r>
      <w:proofErr w:type="gramStart"/>
      <w:r w:rsidR="0020347B" w:rsidRPr="00742CD6">
        <w:rPr>
          <w:rFonts w:ascii="Times New Roman" w:eastAsia="Times New Roman" w:hAnsi="Times New Roman" w:cs="Times New Roman"/>
        </w:rPr>
        <w:t>que</w:t>
      </w:r>
      <w:proofErr w:type="gramEnd"/>
      <w:r w:rsidR="0020347B" w:rsidRPr="00742CD6">
        <w:rPr>
          <w:rFonts w:ascii="Times New Roman" w:eastAsia="Times New Roman" w:hAnsi="Times New Roman" w:cs="Times New Roman"/>
        </w:rPr>
        <w:t xml:space="preserve"> hasta el momento, </w:t>
      </w:r>
      <w:r>
        <w:rPr>
          <w:rFonts w:ascii="Times New Roman" w:eastAsia="Times New Roman" w:hAnsi="Times New Roman" w:cs="Times New Roman"/>
        </w:rPr>
        <w:t>no ha sido aprobada</w:t>
      </w:r>
      <w:r w:rsidR="0020347B" w:rsidRPr="00742CD6">
        <w:rPr>
          <w:rFonts w:ascii="Times New Roman" w:eastAsia="Times New Roman" w:hAnsi="Times New Roman" w:cs="Times New Roman"/>
        </w:rPr>
        <w:t xml:space="preserve">. Asimismo, la institución a cargo de conducir el Sistema, la Dirección de Niñez, Adolescencia y Familia, no tiene </w:t>
      </w:r>
      <w:r w:rsidR="0020347B" w:rsidRPr="00742CD6">
        <w:rPr>
          <w:rFonts w:ascii="Times New Roman" w:eastAsia="Times New Roman" w:hAnsi="Times New Roman" w:cs="Times New Roman"/>
        </w:rPr>
        <w:t>categoría de convocante, ya que depende de la Secretaría de Coordinación General de Gobierno; esta no asume a cabalidad esa responsabilidad y no han podido reducir todos los problemas relacionados a la falta de garantía de derechos</w:t>
      </w:r>
      <w:r w:rsidR="0020347B">
        <w:rPr>
          <w:vertAlign w:val="superscript"/>
        </w:rPr>
        <w:footnoteReference w:id="10"/>
      </w:r>
      <w:r w:rsidR="0020347B" w:rsidRPr="00742CD6">
        <w:rPr>
          <w:rFonts w:ascii="Times New Roman" w:eastAsia="Times New Roman" w:hAnsi="Times New Roman" w:cs="Times New Roman"/>
        </w:rPr>
        <w:t>. De hecho</w:t>
      </w:r>
      <w:r>
        <w:rPr>
          <w:rFonts w:ascii="Times New Roman" w:eastAsia="Times New Roman" w:hAnsi="Times New Roman" w:cs="Times New Roman"/>
        </w:rPr>
        <w:t>,</w:t>
      </w:r>
      <w:r w:rsidR="0020347B" w:rsidRPr="00742CD6">
        <w:rPr>
          <w:rFonts w:ascii="Times New Roman" w:eastAsia="Times New Roman" w:hAnsi="Times New Roman" w:cs="Times New Roman"/>
        </w:rPr>
        <w:t xml:space="preserve"> la situación</w:t>
      </w:r>
      <w:r w:rsidR="0020347B" w:rsidRPr="00742CD6">
        <w:rPr>
          <w:rFonts w:ascii="Times New Roman" w:eastAsia="Times New Roman" w:hAnsi="Times New Roman" w:cs="Times New Roman"/>
        </w:rPr>
        <w:t xml:space="preserve"> de vulneración </w:t>
      </w:r>
      <w:r w:rsidR="0020347B" w:rsidRPr="00742CD6">
        <w:rPr>
          <w:rFonts w:ascii="Times New Roman" w:eastAsia="Times New Roman" w:hAnsi="Times New Roman" w:cs="Times New Roman"/>
        </w:rPr>
        <w:lastRenderedPageBreak/>
        <w:t>ha aumentado ya que se ha profundizado la desprotección, desigualdad, exclusión y pobreza, causas estructurales para que la niñez y juventud abandone el sistema escolar, sea cooptada por maras y pandillas, huya del país en las caravanas mig</w:t>
      </w:r>
      <w:r w:rsidR="0020347B" w:rsidRPr="00742CD6">
        <w:rPr>
          <w:rFonts w:ascii="Times New Roman" w:eastAsia="Times New Roman" w:hAnsi="Times New Roman" w:cs="Times New Roman"/>
        </w:rPr>
        <w:t>ratorias, represente el 55% de las personas asesinadas en Honduras o engrose las filas de los más de 15 mil niños y niñas que viven en situación de calle</w:t>
      </w:r>
      <w:r w:rsidR="0020347B">
        <w:rPr>
          <w:vertAlign w:val="superscript"/>
        </w:rPr>
        <w:footnoteReference w:id="11"/>
      </w:r>
      <w:r w:rsidR="0020347B" w:rsidRPr="00742CD6">
        <w:rPr>
          <w:rFonts w:ascii="Times New Roman" w:eastAsia="Times New Roman" w:hAnsi="Times New Roman" w:cs="Times New Roman"/>
        </w:rPr>
        <w:t xml:space="preserve">. En el contexto de pandemia hubo incremento de denuncias de </w:t>
      </w:r>
      <w:r w:rsidR="0020347B" w:rsidRPr="00742CD6">
        <w:rPr>
          <w:rFonts w:ascii="Times New Roman" w:eastAsia="Times New Roman" w:hAnsi="Times New Roman" w:cs="Times New Roman"/>
        </w:rPr>
        <w:t>abuso físico, sexual, emocional; lo m</w:t>
      </w:r>
      <w:r w:rsidR="0020347B" w:rsidRPr="00742CD6">
        <w:rPr>
          <w:rFonts w:ascii="Times New Roman" w:eastAsia="Times New Roman" w:hAnsi="Times New Roman" w:cs="Times New Roman"/>
        </w:rPr>
        <w:t>ismo en los albergues temporales, luego del paso de los fenómenos socioambientales ETA y IOTA; todo lo anterior, indicador de falta de respuesta integral a la problemática de la niñez, adolescencia y juventud.</w:t>
      </w:r>
    </w:p>
    <w:p w14:paraId="0000001A" w14:textId="77777777" w:rsidR="005C6AE1" w:rsidRDefault="005C6AE1" w:rsidP="00742CD6">
      <w:pPr>
        <w:jc w:val="both"/>
        <w:rPr>
          <w:rFonts w:ascii="Times New Roman" w:eastAsia="Times New Roman" w:hAnsi="Times New Roman" w:cs="Times New Roman"/>
        </w:rPr>
      </w:pPr>
    </w:p>
    <w:p w14:paraId="0000001B" w14:textId="77777777"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Sobre el nuevo Código Penal y la forma en que</w:t>
      </w:r>
      <w:r>
        <w:rPr>
          <w:rFonts w:ascii="Times New Roman" w:eastAsia="Times New Roman" w:hAnsi="Times New Roman" w:cs="Times New Roman"/>
          <w:b/>
        </w:rPr>
        <w:t xml:space="preserve"> afecta la vida de las mujeres y las niñas</w:t>
      </w:r>
    </w:p>
    <w:p w14:paraId="0000001C" w14:textId="2EDA8A89"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 xml:space="preserve">Se reconoce el avance en la tipificación de figuras penales dentro del nuevo Código Penal hondureño. Sin embargo, es preocupante que las penas de delitos sobre </w:t>
      </w:r>
      <w:r w:rsidR="004E3726">
        <w:rPr>
          <w:rFonts w:ascii="Times New Roman" w:eastAsia="Times New Roman" w:hAnsi="Times New Roman" w:cs="Times New Roman"/>
        </w:rPr>
        <w:t>violencia basada en género</w:t>
      </w:r>
      <w:r w:rsidRPr="00742CD6">
        <w:rPr>
          <w:rFonts w:ascii="Times New Roman" w:eastAsia="Times New Roman" w:hAnsi="Times New Roman" w:cs="Times New Roman"/>
        </w:rPr>
        <w:t xml:space="preserve">, tipificados en el código anterior hayan sufrido </w:t>
      </w:r>
      <w:r w:rsidRPr="00742CD6">
        <w:rPr>
          <w:rFonts w:ascii="Times New Roman" w:eastAsia="Times New Roman" w:hAnsi="Times New Roman" w:cs="Times New Roman"/>
        </w:rPr>
        <w:t xml:space="preserve">rebajas durante la aprobación del nuevo código sin tener en cuenta exámenes minuciosos de los marcos jurídicos y los contextos de </w:t>
      </w:r>
      <w:r w:rsidR="004E3726">
        <w:rPr>
          <w:rFonts w:ascii="Times New Roman" w:eastAsia="Times New Roman" w:hAnsi="Times New Roman" w:cs="Times New Roman"/>
        </w:rPr>
        <w:t>estas violencias</w:t>
      </w:r>
      <w:r w:rsidRPr="00742CD6">
        <w:rPr>
          <w:rFonts w:ascii="Times New Roman" w:eastAsia="Times New Roman" w:hAnsi="Times New Roman" w:cs="Times New Roman"/>
        </w:rPr>
        <w:t xml:space="preserve"> hacia las mujeres en Honduras</w:t>
      </w:r>
      <w:r>
        <w:rPr>
          <w:vertAlign w:val="superscript"/>
        </w:rPr>
        <w:footnoteReference w:id="12"/>
      </w:r>
      <w:r w:rsidRPr="00742CD6">
        <w:rPr>
          <w:rFonts w:ascii="Times New Roman" w:eastAsia="Times New Roman" w:hAnsi="Times New Roman" w:cs="Times New Roman"/>
        </w:rPr>
        <w:t>. Este Comité conoce la realidad riesgosa de la violencia hacia las mujeres en Honduras</w:t>
      </w:r>
      <w:r>
        <w:rPr>
          <w:vertAlign w:val="superscript"/>
        </w:rPr>
        <w:footnoteReference w:id="13"/>
      </w:r>
      <w:r w:rsidRPr="00742CD6">
        <w:rPr>
          <w:rFonts w:ascii="Times New Roman" w:eastAsia="Times New Roman" w:hAnsi="Times New Roman" w:cs="Times New Roman"/>
        </w:rPr>
        <w:t xml:space="preserve">, </w:t>
      </w:r>
      <w:r w:rsidRPr="00742CD6">
        <w:rPr>
          <w:rFonts w:ascii="Times New Roman" w:eastAsia="Times New Roman" w:hAnsi="Times New Roman" w:cs="Times New Roman"/>
        </w:rPr>
        <w:t>aunado a ello, es preciso señalar que la finalidad de las penas es la resocialización como garantía de no repetición</w:t>
      </w:r>
      <w:r>
        <w:rPr>
          <w:vertAlign w:val="superscript"/>
        </w:rPr>
        <w:footnoteReference w:id="14"/>
      </w:r>
      <w:r w:rsidRPr="00742CD6">
        <w:rPr>
          <w:rFonts w:ascii="Times New Roman" w:eastAsia="Times New Roman" w:hAnsi="Times New Roman" w:cs="Times New Roman"/>
        </w:rPr>
        <w:t xml:space="preserve">. En este sentido una baja penal sin función constructiva es peligrosamente desproporcionada poniendo en riesgo la vida de las víctimas y </w:t>
      </w:r>
      <w:r w:rsidRPr="00742CD6">
        <w:rPr>
          <w:rFonts w:ascii="Times New Roman" w:eastAsia="Times New Roman" w:hAnsi="Times New Roman" w:cs="Times New Roman"/>
        </w:rPr>
        <w:t xml:space="preserve">de otras mujeres en plazos más cortos.  </w:t>
      </w:r>
    </w:p>
    <w:p w14:paraId="0000001D" w14:textId="77777777" w:rsidR="005C6AE1" w:rsidRDefault="005C6AE1" w:rsidP="00742CD6">
      <w:pPr>
        <w:jc w:val="both"/>
        <w:rPr>
          <w:rFonts w:ascii="Times New Roman" w:eastAsia="Times New Roman" w:hAnsi="Times New Roman" w:cs="Times New Roman"/>
        </w:rPr>
      </w:pPr>
    </w:p>
    <w:p w14:paraId="0000001E" w14:textId="77777777"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 xml:space="preserve">Acceso a la Justicia </w:t>
      </w:r>
    </w:p>
    <w:p w14:paraId="0000001F" w14:textId="77777777"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Según el informe del Estado, funcionarios del poder judicial, la policía y el ministerio público se encuentran altamente capacitados en perspectiva de género y violencias contra las mujeres; a</w:t>
      </w:r>
      <w:r w:rsidRPr="00742CD6">
        <w:rPr>
          <w:rFonts w:ascii="Times New Roman" w:eastAsia="Times New Roman" w:hAnsi="Times New Roman" w:cs="Times New Roman"/>
        </w:rPr>
        <w:t>demás cuentan con presupuesto. Sin embargo, la realidad de las mujeres y las niñas es otra: a) No se observan los principios de celeridad y protección de la Ley contra la Violencia Doméstica,  no existen suficientes jueces de ejecución para supervisar la a</w:t>
      </w:r>
      <w:r w:rsidRPr="00742CD6">
        <w:rPr>
          <w:rFonts w:ascii="Times New Roman" w:eastAsia="Times New Roman" w:hAnsi="Times New Roman" w:cs="Times New Roman"/>
        </w:rPr>
        <w:t>plicación de los  mecanismos de protección colocando y reducir la impunidad; b) Solo existen dos Juzgados Especializados de Violencia Doméstica</w:t>
      </w:r>
      <w:r>
        <w:rPr>
          <w:vertAlign w:val="superscript"/>
        </w:rPr>
        <w:footnoteReference w:id="15"/>
      </w:r>
      <w:r w:rsidRPr="00742CD6">
        <w:rPr>
          <w:rFonts w:ascii="Times New Roman" w:eastAsia="Times New Roman" w:hAnsi="Times New Roman" w:cs="Times New Roman"/>
        </w:rPr>
        <w:t xml:space="preserve"> ubicados en áreas urbanas; c) No existe voluntad para aprobar el protocolo de atención a víctimas de violencia</w:t>
      </w:r>
      <w:r w:rsidRPr="00742CD6">
        <w:rPr>
          <w:rFonts w:ascii="Times New Roman" w:eastAsia="Times New Roman" w:hAnsi="Times New Roman" w:cs="Times New Roman"/>
        </w:rPr>
        <w:t xml:space="preserve"> sexual</w:t>
      </w:r>
      <w:r>
        <w:rPr>
          <w:vertAlign w:val="superscript"/>
        </w:rPr>
        <w:footnoteReference w:id="16"/>
      </w:r>
      <w:r w:rsidRPr="00742CD6">
        <w:rPr>
          <w:rFonts w:ascii="Times New Roman" w:eastAsia="Times New Roman" w:hAnsi="Times New Roman" w:cs="Times New Roman"/>
        </w:rPr>
        <w:t xml:space="preserve">; desde 2009 está prohibida  la anticoncepción oral de </w:t>
      </w:r>
      <w:r w:rsidRPr="00742CD6">
        <w:rPr>
          <w:rFonts w:ascii="Times New Roman" w:eastAsia="Times New Roman" w:hAnsi="Times New Roman" w:cs="Times New Roman"/>
        </w:rPr>
        <w:lastRenderedPageBreak/>
        <w:t>emergencia</w:t>
      </w:r>
      <w:r>
        <w:rPr>
          <w:vertAlign w:val="superscript"/>
        </w:rPr>
        <w:footnoteReference w:id="17"/>
      </w:r>
      <w:r w:rsidRPr="00742CD6">
        <w:rPr>
          <w:rFonts w:ascii="Times New Roman" w:eastAsia="Times New Roman" w:hAnsi="Times New Roman" w:cs="Times New Roman"/>
        </w:rPr>
        <w:t>; d) La impunidad en los procesos de violencias contra las mujeres empieza con la indebida acción u omisión de la policía</w:t>
      </w:r>
      <w:r>
        <w:rPr>
          <w:vertAlign w:val="superscript"/>
        </w:rPr>
        <w:footnoteReference w:id="18"/>
      </w:r>
      <w:r w:rsidRPr="00742CD6">
        <w:rPr>
          <w:rFonts w:ascii="Times New Roman" w:eastAsia="Times New Roman" w:hAnsi="Times New Roman" w:cs="Times New Roman"/>
        </w:rPr>
        <w:t xml:space="preserve"> una investigación criminal débil, inacción del Ministeri</w:t>
      </w:r>
      <w:r w:rsidRPr="00742CD6">
        <w:rPr>
          <w:rFonts w:ascii="Times New Roman" w:eastAsia="Times New Roman" w:hAnsi="Times New Roman" w:cs="Times New Roman"/>
        </w:rPr>
        <w:t>o Público, débil respuesta del poder judicial</w:t>
      </w:r>
      <w:r>
        <w:rPr>
          <w:vertAlign w:val="superscript"/>
        </w:rPr>
        <w:footnoteReference w:id="19"/>
      </w:r>
      <w:r w:rsidRPr="00742CD6">
        <w:rPr>
          <w:rFonts w:ascii="Times New Roman" w:eastAsia="Times New Roman" w:hAnsi="Times New Roman" w:cs="Times New Roman"/>
        </w:rPr>
        <w:t xml:space="preserve"> y por espacios institucionales propicios para actos de corrupción y encubrir a victimarios</w:t>
      </w:r>
      <w:r>
        <w:rPr>
          <w:vertAlign w:val="superscript"/>
        </w:rPr>
        <w:footnoteReference w:id="20"/>
      </w:r>
      <w:r w:rsidRPr="00742CD6">
        <w:rPr>
          <w:rFonts w:ascii="Times New Roman" w:eastAsia="Times New Roman" w:hAnsi="Times New Roman" w:cs="Times New Roman"/>
        </w:rPr>
        <w:t xml:space="preserve"> </w:t>
      </w:r>
      <w:r>
        <w:rPr>
          <w:vertAlign w:val="superscript"/>
        </w:rPr>
        <w:footnoteReference w:id="21"/>
      </w:r>
      <w:r w:rsidRPr="00742CD6">
        <w:rPr>
          <w:rFonts w:ascii="Times New Roman" w:eastAsia="Times New Roman" w:hAnsi="Times New Roman" w:cs="Times New Roman"/>
        </w:rPr>
        <w:t xml:space="preserve"> </w:t>
      </w:r>
      <w:r>
        <w:rPr>
          <w:vertAlign w:val="superscript"/>
        </w:rPr>
        <w:footnoteReference w:id="22"/>
      </w:r>
      <w:r w:rsidRPr="00742CD6">
        <w:rPr>
          <w:rFonts w:ascii="Times New Roman" w:eastAsia="Times New Roman" w:hAnsi="Times New Roman" w:cs="Times New Roman"/>
        </w:rPr>
        <w:t>.</w:t>
      </w:r>
    </w:p>
    <w:p w14:paraId="00000020" w14:textId="77777777"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V</w:t>
      </w:r>
      <w:r>
        <w:rPr>
          <w:rFonts w:ascii="Times New Roman" w:eastAsia="Times New Roman" w:hAnsi="Times New Roman" w:cs="Times New Roman"/>
          <w:b/>
        </w:rPr>
        <w:t xml:space="preserve">iolencia de Género </w:t>
      </w:r>
    </w:p>
    <w:p w14:paraId="00000021" w14:textId="3DC6EC6C"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Aunque el período en referencia indica que ha habido una reducción de las muertes violentas de mujeres y femicidios, el ritmo de esta reducción es menor al ritmo de la reducción de las muertes violentas de hombres y en ninguna otra forma de violencias cont</w:t>
      </w:r>
      <w:r w:rsidRPr="00742CD6">
        <w:rPr>
          <w:rFonts w:ascii="Times New Roman" w:eastAsia="Times New Roman" w:hAnsi="Times New Roman" w:cs="Times New Roman"/>
        </w:rPr>
        <w:t xml:space="preserve">ra las mujeres ha habido disminución de casos. Por el contrario, la situación de las violencias contra las mujeres se agudizó en 2020 ya que el contexto de pandemia dejó a las mujeres dentro de sus hogares, a merced de sus parejas y el número de denuncias </w:t>
      </w:r>
      <w:r w:rsidRPr="00742CD6">
        <w:rPr>
          <w:rFonts w:ascii="Times New Roman" w:eastAsia="Times New Roman" w:hAnsi="Times New Roman" w:cs="Times New Roman"/>
        </w:rPr>
        <w:t xml:space="preserve">de violencia doméstica e intrafamiliar aumentaron, según la única </w:t>
      </w:r>
      <w:r w:rsidRPr="00742CD6">
        <w:rPr>
          <w:rFonts w:ascii="Times New Roman" w:eastAsia="Times New Roman" w:hAnsi="Times New Roman" w:cs="Times New Roman"/>
        </w:rPr>
        <w:t>fuente oficial de datos que desde la pandemia son accesibles, eso es, la línea 911 del Sistema Nacional de Emergencia</w:t>
      </w:r>
      <w:r>
        <w:rPr>
          <w:vertAlign w:val="superscript"/>
        </w:rPr>
        <w:footnoteReference w:id="23"/>
      </w:r>
      <w:r w:rsidRPr="00742CD6">
        <w:rPr>
          <w:rFonts w:ascii="Times New Roman" w:eastAsia="Times New Roman" w:hAnsi="Times New Roman" w:cs="Times New Roman"/>
        </w:rPr>
        <w:t>. De todas las llamadas recibidas, 103 mil fueron debido a situac</w:t>
      </w:r>
      <w:r w:rsidRPr="00742CD6">
        <w:rPr>
          <w:rFonts w:ascii="Times New Roman" w:eastAsia="Times New Roman" w:hAnsi="Times New Roman" w:cs="Times New Roman"/>
        </w:rPr>
        <w:t>iones de violencia contra las mujeres; la mayoría de ellas sin</w:t>
      </w:r>
      <w:r w:rsidRPr="00742CD6">
        <w:rPr>
          <w:rFonts w:ascii="Times New Roman" w:eastAsia="Times New Roman" w:hAnsi="Times New Roman" w:cs="Times New Roman"/>
        </w:rPr>
        <w:t xml:space="preserve"> obtener respuesta expedita y adecuada ya que no hay facilidades para la interponer la denuncia e incluso asegurar la integridad de las v</w:t>
      </w:r>
      <w:r w:rsidR="00F841AE">
        <w:rPr>
          <w:rFonts w:ascii="Times New Roman" w:eastAsia="Times New Roman" w:hAnsi="Times New Roman" w:cs="Times New Roman"/>
        </w:rPr>
        <w:t>í</w:t>
      </w:r>
      <w:r w:rsidRPr="00742CD6">
        <w:rPr>
          <w:rFonts w:ascii="Times New Roman" w:eastAsia="Times New Roman" w:hAnsi="Times New Roman" w:cs="Times New Roman"/>
        </w:rPr>
        <w:t xml:space="preserve">ctimas. De todas las llamadas por violencia contra </w:t>
      </w:r>
      <w:r w:rsidRPr="00742CD6">
        <w:rPr>
          <w:rFonts w:ascii="Times New Roman" w:eastAsia="Times New Roman" w:hAnsi="Times New Roman" w:cs="Times New Roman"/>
        </w:rPr>
        <w:t xml:space="preserve">las mujeres, solo el 9% se concretan en una denuncia en el Ministerio Público o en los juzgados del país. </w:t>
      </w:r>
    </w:p>
    <w:p w14:paraId="3871BEC6" w14:textId="77777777" w:rsidR="008C7424" w:rsidRDefault="008C7424" w:rsidP="008C7424">
      <w:pPr>
        <w:pStyle w:val="Prrafodelista"/>
        <w:jc w:val="both"/>
        <w:rPr>
          <w:rFonts w:ascii="Times New Roman" w:eastAsia="Times New Roman" w:hAnsi="Times New Roman" w:cs="Times New Roman"/>
        </w:rPr>
      </w:pPr>
    </w:p>
    <w:p w14:paraId="00000022" w14:textId="1368BF62"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Otra situación que empeoró durante la pandemia es el nivel de levantamientos cadavéricos, los cuales bajaron con lo que se pierde prueba científica i</w:t>
      </w:r>
      <w:r w:rsidRPr="00742CD6">
        <w:rPr>
          <w:rFonts w:ascii="Times New Roman" w:eastAsia="Times New Roman" w:hAnsi="Times New Roman" w:cs="Times New Roman"/>
        </w:rPr>
        <w:t>mportante para garantizar el acceso a la justicia. Lo anterior ha ocurrido por la desmovilización de las instancias</w:t>
      </w:r>
      <w:r w:rsidRPr="00742CD6">
        <w:rPr>
          <w:rFonts w:ascii="Times New Roman" w:eastAsia="Times New Roman" w:hAnsi="Times New Roman" w:cs="Times New Roman"/>
        </w:rPr>
        <w:t xml:space="preserve"> de investigación criminal (falta de equipo, personal que tiene enfermedades de base y reducción del personal que hace este trabajo). En est</w:t>
      </w:r>
      <w:r w:rsidRPr="00742CD6">
        <w:rPr>
          <w:rFonts w:ascii="Times New Roman" w:eastAsia="Times New Roman" w:hAnsi="Times New Roman" w:cs="Times New Roman"/>
        </w:rPr>
        <w:t>e sentido, la impunidad se ha incrementado y el Estado está ausente para enfrentar las violencias contra las mujeres y las niñas</w:t>
      </w:r>
      <w:r>
        <w:rPr>
          <w:vertAlign w:val="superscript"/>
        </w:rPr>
        <w:footnoteReference w:id="24"/>
      </w:r>
      <w:r w:rsidRPr="00742CD6">
        <w:rPr>
          <w:rFonts w:ascii="Times New Roman" w:eastAsia="Times New Roman" w:hAnsi="Times New Roman" w:cs="Times New Roman"/>
        </w:rPr>
        <w:t>.</w:t>
      </w:r>
    </w:p>
    <w:p w14:paraId="00000023" w14:textId="77777777" w:rsidR="005C6AE1" w:rsidRDefault="005C6AE1" w:rsidP="00742CD6">
      <w:pPr>
        <w:jc w:val="both"/>
        <w:rPr>
          <w:rFonts w:ascii="Times New Roman" w:eastAsia="Times New Roman" w:hAnsi="Times New Roman" w:cs="Times New Roman"/>
        </w:rPr>
      </w:pPr>
    </w:p>
    <w:p w14:paraId="00000024" w14:textId="77777777"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Medidas Especiales de Difusión, Prevención, y Atención de la Violencia Contra la Mujer y Acciones para Garantizar la Iguald</w:t>
      </w:r>
      <w:r>
        <w:rPr>
          <w:rFonts w:ascii="Times New Roman" w:eastAsia="Times New Roman" w:hAnsi="Times New Roman" w:cs="Times New Roman"/>
          <w:b/>
        </w:rPr>
        <w:t xml:space="preserve">ad de Género, durante la Vigencia de la Emergencia Nacional Declarada a raíz de la Pandemia COVID-19 </w:t>
      </w:r>
    </w:p>
    <w:p w14:paraId="00000025" w14:textId="77777777"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La comisión de género del Congreso Nacional y las organizaciones de mujeres trabajaron en la iniciativa para la aprobación de la ley, donde una de las med</w:t>
      </w:r>
      <w:r w:rsidRPr="00742CD6">
        <w:rPr>
          <w:rFonts w:ascii="Times New Roman" w:eastAsia="Times New Roman" w:hAnsi="Times New Roman" w:cs="Times New Roman"/>
        </w:rPr>
        <w:t xml:space="preserve">idas más importante era la reapertura de la Línea 114, específica y especializada en la atención a las violencias contra las mujeres y las niñas. Sin </w:t>
      </w:r>
      <w:proofErr w:type="gramStart"/>
      <w:r w:rsidRPr="00742CD6">
        <w:rPr>
          <w:rFonts w:ascii="Times New Roman" w:eastAsia="Times New Roman" w:hAnsi="Times New Roman" w:cs="Times New Roman"/>
        </w:rPr>
        <w:t>embargo</w:t>
      </w:r>
      <w:proofErr w:type="gramEnd"/>
      <w:r w:rsidRPr="00742CD6">
        <w:rPr>
          <w:rFonts w:ascii="Times New Roman" w:eastAsia="Times New Roman" w:hAnsi="Times New Roman" w:cs="Times New Roman"/>
        </w:rPr>
        <w:t xml:space="preserve"> esto fue eliminado en la ley aprobada. Otras medidas que contiene la ley son la instalación de la </w:t>
      </w:r>
      <w:r w:rsidRPr="00742CD6">
        <w:rPr>
          <w:rFonts w:ascii="Times New Roman" w:eastAsia="Times New Roman" w:hAnsi="Times New Roman" w:cs="Times New Roman"/>
        </w:rPr>
        <w:t>mesa de emergencia sobre violencias contra las mujeres; la creación y supervisión de protocolos de bioseguridad para las trabajadoras domésticas; e incluir dentro de los servicios esenciales durante la pandemia, los servicios de salud sexual y reproductiva</w:t>
      </w:r>
      <w:r w:rsidRPr="00742CD6">
        <w:rPr>
          <w:rFonts w:ascii="Times New Roman" w:eastAsia="Times New Roman" w:hAnsi="Times New Roman" w:cs="Times New Roman"/>
        </w:rPr>
        <w:t xml:space="preserve">. </w:t>
      </w:r>
      <w:proofErr w:type="gramStart"/>
      <w:r w:rsidRPr="00742CD6">
        <w:rPr>
          <w:rFonts w:ascii="Times New Roman" w:eastAsia="Times New Roman" w:hAnsi="Times New Roman" w:cs="Times New Roman"/>
        </w:rPr>
        <w:t>Ninguno de estos se han</w:t>
      </w:r>
      <w:proofErr w:type="gramEnd"/>
      <w:r w:rsidRPr="00742CD6">
        <w:rPr>
          <w:rFonts w:ascii="Times New Roman" w:eastAsia="Times New Roman" w:hAnsi="Times New Roman" w:cs="Times New Roman"/>
        </w:rPr>
        <w:t xml:space="preserve"> implementado. Lo único que se ha implementado de esta ley, es la divulgación de información sobre violencia contra las mujeres cuando se realizan cadenas de radio y televisión sobre el COVID.  </w:t>
      </w:r>
    </w:p>
    <w:p w14:paraId="00000026" w14:textId="77777777" w:rsidR="005C6AE1" w:rsidRDefault="005C6AE1" w:rsidP="00742CD6">
      <w:pPr>
        <w:jc w:val="both"/>
        <w:rPr>
          <w:rFonts w:ascii="Times New Roman" w:eastAsia="Times New Roman" w:hAnsi="Times New Roman" w:cs="Times New Roman"/>
        </w:rPr>
      </w:pPr>
    </w:p>
    <w:p w14:paraId="00000027" w14:textId="77777777"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 xml:space="preserve">Defensoras de Derechos Humanos </w:t>
      </w:r>
    </w:p>
    <w:p w14:paraId="562853A7" w14:textId="526C38EA" w:rsidR="008C7424" w:rsidRPr="008C7424" w:rsidRDefault="0020347B" w:rsidP="008C7424">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A p</w:t>
      </w:r>
      <w:r w:rsidRPr="00742CD6">
        <w:rPr>
          <w:rFonts w:ascii="Times New Roman" w:eastAsia="Times New Roman" w:hAnsi="Times New Roman" w:cs="Times New Roman"/>
        </w:rPr>
        <w:t>esar de avances formales, como la aprobación de Ley de Protección de Defensores y Defensoras de Derechos Humanos, Periodistas, Comunicadores Sociales y Operadores de Justicia que crea el Mecanismo Nacional de Protección en el año 2015, las defensoras en Ho</w:t>
      </w:r>
      <w:r w:rsidRPr="00742CD6">
        <w:rPr>
          <w:rFonts w:ascii="Times New Roman" w:eastAsia="Times New Roman" w:hAnsi="Times New Roman" w:cs="Times New Roman"/>
        </w:rPr>
        <w:t xml:space="preserve">nduras continúan enfrentando una situación de máximo riesgo, que está compuesta por violencia, criminalización y difamación. </w:t>
      </w:r>
    </w:p>
    <w:p w14:paraId="7EEBB61E" w14:textId="77777777" w:rsidR="008C7424" w:rsidRDefault="008C7424" w:rsidP="008C7424">
      <w:pPr>
        <w:pStyle w:val="Prrafodelista"/>
        <w:jc w:val="both"/>
        <w:rPr>
          <w:rFonts w:ascii="Times New Roman" w:eastAsia="Times New Roman" w:hAnsi="Times New Roman" w:cs="Times New Roman"/>
          <w:highlight w:val="white"/>
        </w:rPr>
      </w:pPr>
    </w:p>
    <w:p w14:paraId="00000029" w14:textId="1CD05222" w:rsidR="005C6AE1" w:rsidRPr="00742CD6" w:rsidRDefault="0020347B" w:rsidP="00742CD6">
      <w:pPr>
        <w:pStyle w:val="Prrafodelista"/>
        <w:numPr>
          <w:ilvl w:val="0"/>
          <w:numId w:val="2"/>
        </w:numPr>
        <w:jc w:val="both"/>
        <w:rPr>
          <w:rFonts w:ascii="Times New Roman" w:eastAsia="Times New Roman" w:hAnsi="Times New Roman" w:cs="Times New Roman"/>
          <w:highlight w:val="white"/>
        </w:rPr>
      </w:pPr>
      <w:r w:rsidRPr="00742CD6">
        <w:rPr>
          <w:rFonts w:ascii="Times New Roman" w:eastAsia="Times New Roman" w:hAnsi="Times New Roman" w:cs="Times New Roman"/>
          <w:highlight w:val="white"/>
        </w:rPr>
        <w:t>La Comisión Interamericana de Derechos Humanos (CIDH), señala que desde 2014 hasta la fecha de su visita, ocurrieron “65 asesinatos contra personas defensoras de derechos humanos” y, entre 2016 y 2017, “más de 1232 ataques contra defensoras de derechos hum</w:t>
      </w:r>
      <w:r w:rsidRPr="00742CD6">
        <w:rPr>
          <w:rFonts w:ascii="Times New Roman" w:eastAsia="Times New Roman" w:hAnsi="Times New Roman" w:cs="Times New Roman"/>
          <w:highlight w:val="white"/>
        </w:rPr>
        <w:t>anos, sus familias y sus organizaciones”</w:t>
      </w:r>
      <w:r>
        <w:rPr>
          <w:highlight w:val="white"/>
          <w:vertAlign w:val="superscript"/>
        </w:rPr>
        <w:footnoteReference w:id="25"/>
      </w:r>
      <w:r w:rsidRPr="00742CD6">
        <w:rPr>
          <w:rFonts w:ascii="Times New Roman" w:eastAsia="Times New Roman" w:hAnsi="Times New Roman" w:cs="Times New Roman"/>
          <w:highlight w:val="white"/>
        </w:rPr>
        <w:t>. El Relator Especial sobre la situación de los defensores de derechos humanos en su informe del 2019 sobre su visita a Honduras lamenta que no existan cifras oficiales de los asesinatos y agresiones contra las y l</w:t>
      </w:r>
      <w:r w:rsidRPr="00742CD6">
        <w:rPr>
          <w:rFonts w:ascii="Times New Roman" w:eastAsia="Times New Roman" w:hAnsi="Times New Roman" w:cs="Times New Roman"/>
          <w:highlight w:val="white"/>
        </w:rPr>
        <w:t>os defensores de derechos humanos, sin embargo hace referencia a al menos 11 asesinatos de defensores de personas LGTBI entre 2008 y principios de 2018, más de 120 defensores de la tierra entre 2010 y 2017 y en los dos últimos años se han registrado 6 ases</w:t>
      </w:r>
      <w:r w:rsidRPr="00742CD6">
        <w:rPr>
          <w:rFonts w:ascii="Times New Roman" w:eastAsia="Times New Roman" w:hAnsi="Times New Roman" w:cs="Times New Roman"/>
          <w:highlight w:val="white"/>
        </w:rPr>
        <w:t>inatos de defensoras y 2.137 agresiones</w:t>
      </w:r>
      <w:r>
        <w:rPr>
          <w:highlight w:val="white"/>
          <w:vertAlign w:val="superscript"/>
        </w:rPr>
        <w:footnoteReference w:id="26"/>
      </w:r>
      <w:r w:rsidRPr="00742CD6">
        <w:rPr>
          <w:rFonts w:ascii="Times New Roman" w:eastAsia="Times New Roman" w:hAnsi="Times New Roman" w:cs="Times New Roman"/>
          <w:highlight w:val="white"/>
        </w:rPr>
        <w:t>.</w:t>
      </w:r>
    </w:p>
    <w:p w14:paraId="0022FB48" w14:textId="77777777" w:rsidR="008C7424" w:rsidRDefault="008C7424" w:rsidP="008C7424">
      <w:pPr>
        <w:pStyle w:val="Prrafodelista"/>
        <w:jc w:val="both"/>
        <w:rPr>
          <w:rFonts w:ascii="Times New Roman" w:eastAsia="Times New Roman" w:hAnsi="Times New Roman" w:cs="Times New Roman"/>
          <w:highlight w:val="white"/>
        </w:rPr>
      </w:pPr>
    </w:p>
    <w:p w14:paraId="0000002A" w14:textId="7E24F478" w:rsidR="005C6AE1" w:rsidRPr="00742CD6" w:rsidRDefault="0020347B" w:rsidP="00742CD6">
      <w:pPr>
        <w:pStyle w:val="Prrafodelista"/>
        <w:numPr>
          <w:ilvl w:val="0"/>
          <w:numId w:val="2"/>
        </w:numPr>
        <w:jc w:val="both"/>
        <w:rPr>
          <w:rFonts w:ascii="Times New Roman" w:eastAsia="Times New Roman" w:hAnsi="Times New Roman" w:cs="Times New Roman"/>
          <w:highlight w:val="white"/>
        </w:rPr>
      </w:pPr>
      <w:r w:rsidRPr="00742CD6">
        <w:rPr>
          <w:rFonts w:ascii="Times New Roman" w:eastAsia="Times New Roman" w:hAnsi="Times New Roman" w:cs="Times New Roman"/>
          <w:highlight w:val="white"/>
        </w:rPr>
        <w:t>Las personas defensoras del medio ambiente, tierra y territorio son quienes enfrentan los riesgos más exacerbados, ya que son quienes más son sometidos a procesos penales injustificados y prolongados. Similarmente</w:t>
      </w:r>
      <w:r w:rsidRPr="00742CD6">
        <w:rPr>
          <w:rFonts w:ascii="Times New Roman" w:eastAsia="Times New Roman" w:hAnsi="Times New Roman" w:cs="Times New Roman"/>
          <w:highlight w:val="white"/>
        </w:rPr>
        <w:t xml:space="preserve">, las agresiones de las defensoras de los derechos humanos de las mujeres y </w:t>
      </w:r>
      <w:r w:rsidR="00CA7001">
        <w:rPr>
          <w:rFonts w:ascii="Times New Roman" w:eastAsia="Times New Roman" w:hAnsi="Times New Roman" w:cs="Times New Roman"/>
          <w:highlight w:val="white"/>
        </w:rPr>
        <w:t xml:space="preserve">de la </w:t>
      </w:r>
      <w:r w:rsidRPr="00742CD6">
        <w:rPr>
          <w:rFonts w:ascii="Times New Roman" w:eastAsia="Times New Roman" w:hAnsi="Times New Roman" w:cs="Times New Roman"/>
          <w:highlight w:val="white"/>
        </w:rPr>
        <w:t>población LGTBI tiene connotaciones particulares y están compuestas sobre todo por ataques a su integridad personal y reputación. A las mujeres defensoras se les enmarca en campaña</w:t>
      </w:r>
      <w:r w:rsidRPr="00742CD6">
        <w:rPr>
          <w:rFonts w:ascii="Times New Roman" w:eastAsia="Times New Roman" w:hAnsi="Times New Roman" w:cs="Times New Roman"/>
          <w:highlight w:val="white"/>
        </w:rPr>
        <w:t>s de desprestigio basada en prejuicios de género, como señalamientos a su sexualidad, relaciones e intimidad; éstas se desarrollan en el ámbito doméstico y comunitario, señalando el desacato al rol de la mujer en la sociedad.</w:t>
      </w:r>
    </w:p>
    <w:p w14:paraId="2382EEB5" w14:textId="77777777" w:rsidR="008C7424" w:rsidRDefault="008C7424" w:rsidP="008C7424">
      <w:pPr>
        <w:pStyle w:val="Prrafodelista"/>
        <w:jc w:val="both"/>
        <w:rPr>
          <w:rFonts w:ascii="Times New Roman" w:eastAsia="Times New Roman" w:hAnsi="Times New Roman" w:cs="Times New Roman"/>
          <w:b/>
          <w:highlight w:val="white"/>
        </w:rPr>
      </w:pPr>
    </w:p>
    <w:p w14:paraId="0000002B" w14:textId="590EB001" w:rsidR="005C6AE1" w:rsidRPr="008C7424" w:rsidRDefault="0020347B" w:rsidP="008C7424">
      <w:pPr>
        <w:jc w:val="both"/>
        <w:rPr>
          <w:rFonts w:ascii="Times New Roman" w:eastAsia="Times New Roman" w:hAnsi="Times New Roman" w:cs="Times New Roman"/>
          <w:b/>
          <w:highlight w:val="white"/>
        </w:rPr>
      </w:pPr>
      <w:r w:rsidRPr="008C7424">
        <w:rPr>
          <w:rFonts w:ascii="Times New Roman" w:eastAsia="Times New Roman" w:hAnsi="Times New Roman" w:cs="Times New Roman"/>
          <w:b/>
          <w:highlight w:val="white"/>
        </w:rPr>
        <w:t>Causa Berta Cáceres</w:t>
      </w:r>
    </w:p>
    <w:p w14:paraId="0000002C" w14:textId="77777777" w:rsidR="005C6AE1" w:rsidRPr="00742CD6" w:rsidRDefault="0020347B" w:rsidP="00742CD6">
      <w:pPr>
        <w:pStyle w:val="Prrafodelista"/>
        <w:numPr>
          <w:ilvl w:val="0"/>
          <w:numId w:val="2"/>
        </w:numPr>
        <w:spacing w:after="0"/>
        <w:jc w:val="both"/>
        <w:rPr>
          <w:rFonts w:ascii="Times New Roman" w:eastAsia="Times New Roman" w:hAnsi="Times New Roman" w:cs="Times New Roman"/>
          <w:highlight w:val="white"/>
        </w:rPr>
      </w:pPr>
      <w:r w:rsidRPr="00742CD6">
        <w:rPr>
          <w:rFonts w:ascii="Times New Roman" w:eastAsia="Times New Roman" w:hAnsi="Times New Roman" w:cs="Times New Roman"/>
          <w:highlight w:val="white"/>
        </w:rPr>
        <w:lastRenderedPageBreak/>
        <w:t>La Causa B</w:t>
      </w:r>
      <w:r w:rsidRPr="00742CD6">
        <w:rPr>
          <w:rFonts w:ascii="Times New Roman" w:eastAsia="Times New Roman" w:hAnsi="Times New Roman" w:cs="Times New Roman"/>
          <w:highlight w:val="white"/>
        </w:rPr>
        <w:t xml:space="preserve">erta Cáceres es un caso emblemático para Honduras en cuanto a la vigencia del derecho a la verdad, actualmente se encuentra en desarrollo el juicio oral y público contra David Castillo por suponerlo un </w:t>
      </w:r>
      <w:proofErr w:type="spellStart"/>
      <w:r w:rsidRPr="00742CD6">
        <w:rPr>
          <w:rFonts w:ascii="Times New Roman" w:eastAsia="Times New Roman" w:hAnsi="Times New Roman" w:cs="Times New Roman"/>
          <w:highlight w:val="white"/>
        </w:rPr>
        <w:t>co-autor</w:t>
      </w:r>
      <w:proofErr w:type="spellEnd"/>
      <w:r w:rsidRPr="00742CD6">
        <w:rPr>
          <w:rFonts w:ascii="Times New Roman" w:eastAsia="Times New Roman" w:hAnsi="Times New Roman" w:cs="Times New Roman"/>
          <w:highlight w:val="white"/>
        </w:rPr>
        <w:t xml:space="preserve"> de su asesinato</w:t>
      </w:r>
      <w:r>
        <w:rPr>
          <w:highlight w:val="white"/>
          <w:vertAlign w:val="superscript"/>
        </w:rPr>
        <w:footnoteReference w:id="27"/>
      </w:r>
      <w:r w:rsidRPr="00742CD6">
        <w:rPr>
          <w:rFonts w:ascii="Times New Roman" w:eastAsia="Times New Roman" w:hAnsi="Times New Roman" w:cs="Times New Roman"/>
          <w:highlight w:val="white"/>
        </w:rPr>
        <w:t xml:space="preserve"> junto a los demás </w:t>
      </w:r>
      <w:proofErr w:type="spellStart"/>
      <w:r w:rsidRPr="00742CD6">
        <w:rPr>
          <w:rFonts w:ascii="Times New Roman" w:eastAsia="Times New Roman" w:hAnsi="Times New Roman" w:cs="Times New Roman"/>
          <w:highlight w:val="white"/>
        </w:rPr>
        <w:t>co-autore</w:t>
      </w:r>
      <w:r w:rsidRPr="00742CD6">
        <w:rPr>
          <w:rFonts w:ascii="Times New Roman" w:eastAsia="Times New Roman" w:hAnsi="Times New Roman" w:cs="Times New Roman"/>
          <w:highlight w:val="white"/>
        </w:rPr>
        <w:t>s</w:t>
      </w:r>
      <w:proofErr w:type="spellEnd"/>
      <w:r w:rsidRPr="00742CD6">
        <w:rPr>
          <w:rFonts w:ascii="Times New Roman" w:eastAsia="Times New Roman" w:hAnsi="Times New Roman" w:cs="Times New Roman"/>
          <w:highlight w:val="white"/>
        </w:rPr>
        <w:t xml:space="preserve"> condenados en el año 2019.</w:t>
      </w:r>
      <w:r>
        <w:rPr>
          <w:highlight w:val="white"/>
          <w:vertAlign w:val="superscript"/>
        </w:rPr>
        <w:footnoteReference w:id="28"/>
      </w:r>
      <w:r w:rsidRPr="00742CD6">
        <w:rPr>
          <w:rFonts w:ascii="Times New Roman" w:eastAsia="Times New Roman" w:hAnsi="Times New Roman" w:cs="Times New Roman"/>
          <w:highlight w:val="white"/>
        </w:rPr>
        <w:t xml:space="preserve"> La impunidad estructural ha contribuido de manera significativa al aumento de los índices de violencia contra las mujeres y las personas defensoras de la tierra, los derechos de los pueblos indígenas y del medio ambiente, y h</w:t>
      </w:r>
      <w:r w:rsidRPr="00742CD6">
        <w:rPr>
          <w:rFonts w:ascii="Times New Roman" w:eastAsia="Times New Roman" w:hAnsi="Times New Roman" w:cs="Times New Roman"/>
          <w:highlight w:val="white"/>
        </w:rPr>
        <w:t xml:space="preserve">ace que los casos de asesinatos contra las y los defensores de las tierras indígenas no sean investigados ni procesados adecuadamente. </w:t>
      </w:r>
    </w:p>
    <w:p w14:paraId="0000002D" w14:textId="77777777" w:rsidR="005C6AE1" w:rsidRDefault="005C6AE1" w:rsidP="00742CD6">
      <w:pPr>
        <w:spacing w:after="0"/>
        <w:jc w:val="both"/>
        <w:rPr>
          <w:rFonts w:ascii="Times New Roman" w:eastAsia="Times New Roman" w:hAnsi="Times New Roman" w:cs="Times New Roman"/>
          <w:highlight w:val="white"/>
        </w:rPr>
      </w:pPr>
    </w:p>
    <w:p w14:paraId="0000002E" w14:textId="77777777" w:rsidR="005C6AE1" w:rsidRPr="00742CD6" w:rsidRDefault="0020347B" w:rsidP="00742CD6">
      <w:pPr>
        <w:pStyle w:val="Prrafodelista"/>
        <w:numPr>
          <w:ilvl w:val="0"/>
          <w:numId w:val="2"/>
        </w:numPr>
        <w:spacing w:after="0"/>
        <w:jc w:val="both"/>
        <w:rPr>
          <w:rFonts w:ascii="Times New Roman" w:eastAsia="Times New Roman" w:hAnsi="Times New Roman" w:cs="Times New Roman"/>
          <w:highlight w:val="white"/>
        </w:rPr>
      </w:pPr>
      <w:r w:rsidRPr="00742CD6">
        <w:rPr>
          <w:rFonts w:ascii="Times New Roman" w:eastAsia="Times New Roman" w:hAnsi="Times New Roman" w:cs="Times New Roman"/>
          <w:highlight w:val="white"/>
        </w:rPr>
        <w:t>En este caso, gracias a la perseverancia de la familia de Berta Cáceres y el COPINH en su demanda de justicia, se han d</w:t>
      </w:r>
      <w:r w:rsidRPr="00742CD6">
        <w:rPr>
          <w:rFonts w:ascii="Times New Roman" w:eastAsia="Times New Roman" w:hAnsi="Times New Roman" w:cs="Times New Roman"/>
          <w:highlight w:val="white"/>
        </w:rPr>
        <w:t>ado pasos sin precedentes hacia la verdad y la justicia. Sin embargo, en el juicio que se encuentra en curso sin el monitoreo presencial de observadores nacionales e internacionales, problemas técnicos en la transmisión virtual de las audiencias y obstácul</w:t>
      </w:r>
      <w:r w:rsidRPr="00742CD6">
        <w:rPr>
          <w:rFonts w:ascii="Times New Roman" w:eastAsia="Times New Roman" w:hAnsi="Times New Roman" w:cs="Times New Roman"/>
          <w:highlight w:val="white"/>
        </w:rPr>
        <w:t>os para la participación de las víctimas en el proceso que les involucra. Organizaciones de derechos humanos también han expresado su preocupación sobre la imparcialidad del Tribunal previo a la emisión de sentencia. Asimismo, a través de las pruebas evacu</w:t>
      </w:r>
      <w:r w:rsidRPr="00742CD6">
        <w:rPr>
          <w:rFonts w:ascii="Times New Roman" w:eastAsia="Times New Roman" w:hAnsi="Times New Roman" w:cs="Times New Roman"/>
          <w:highlight w:val="white"/>
        </w:rPr>
        <w:t>adas por el Ministerio Público, han surgido indicios de complicidad criminal de otros actores en el hostigamiento de Berta Cáceres, COPINH y la comunidad de Rio Blanco, y en la planificación y logística del asesinato, que deben de ser investigados a profun</w:t>
      </w:r>
      <w:r w:rsidRPr="00742CD6">
        <w:rPr>
          <w:rFonts w:ascii="Times New Roman" w:eastAsia="Times New Roman" w:hAnsi="Times New Roman" w:cs="Times New Roman"/>
          <w:highlight w:val="white"/>
        </w:rPr>
        <w:t>didad para el esclarecimiento de los hechos.</w:t>
      </w:r>
      <w:r>
        <w:rPr>
          <w:highlight w:val="white"/>
          <w:vertAlign w:val="superscript"/>
        </w:rPr>
        <w:footnoteReference w:id="29"/>
      </w:r>
    </w:p>
    <w:p w14:paraId="00000032" w14:textId="77777777" w:rsidR="005C6AE1" w:rsidRDefault="005C6AE1" w:rsidP="00742CD6">
      <w:pPr>
        <w:jc w:val="both"/>
        <w:rPr>
          <w:rFonts w:ascii="Times New Roman" w:eastAsia="Times New Roman" w:hAnsi="Times New Roman" w:cs="Times New Roman"/>
        </w:rPr>
      </w:pPr>
    </w:p>
    <w:p w14:paraId="00000033" w14:textId="77777777"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Acceso a la Salud</w:t>
      </w:r>
    </w:p>
    <w:p w14:paraId="00000034" w14:textId="22A508A9"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En el período de referencia del informe del Estado de Honduras se implementaron una serie de medidas regresivas contra el derecho a la salud sexual y reproductiva de las mujeres y niñas hondureñas. La primera de ellas fue que el Congreso Nacional archivó e</w:t>
      </w:r>
      <w:r w:rsidRPr="00742CD6">
        <w:rPr>
          <w:rFonts w:ascii="Times New Roman" w:eastAsia="Times New Roman" w:hAnsi="Times New Roman" w:cs="Times New Roman"/>
        </w:rPr>
        <w:t xml:space="preserve">l proyecto de Ley de Legalización de la Anticoncepción de Emergencia, presentado por el diputado del partido en el poder, doctor Antonio </w:t>
      </w:r>
      <w:proofErr w:type="gramStart"/>
      <w:r w:rsidRPr="00742CD6">
        <w:rPr>
          <w:rFonts w:ascii="Times New Roman" w:eastAsia="Times New Roman" w:hAnsi="Times New Roman" w:cs="Times New Roman"/>
        </w:rPr>
        <w:t>Leva</w:t>
      </w:r>
      <w:proofErr w:type="gramEnd"/>
      <w:r w:rsidRPr="00742CD6">
        <w:rPr>
          <w:rFonts w:ascii="Times New Roman" w:eastAsia="Times New Roman" w:hAnsi="Times New Roman" w:cs="Times New Roman"/>
        </w:rPr>
        <w:t xml:space="preserve"> Bulnes</w:t>
      </w:r>
      <w:r>
        <w:rPr>
          <w:vertAlign w:val="superscript"/>
        </w:rPr>
        <w:footnoteReference w:id="30"/>
      </w:r>
      <w:r w:rsidRPr="00742CD6">
        <w:rPr>
          <w:rFonts w:ascii="Times New Roman" w:eastAsia="Times New Roman" w:hAnsi="Times New Roman" w:cs="Times New Roman"/>
        </w:rPr>
        <w:t>, como mecanismo que evite embarazos no esperados y no deseados, especialmente en las mujeres y niñas sobr</w:t>
      </w:r>
      <w:r w:rsidRPr="00742CD6">
        <w:rPr>
          <w:rFonts w:ascii="Times New Roman" w:eastAsia="Times New Roman" w:hAnsi="Times New Roman" w:cs="Times New Roman"/>
        </w:rPr>
        <w:t xml:space="preserve">evivientes de violencia sexual. Posteriormente, en 2016 y 2017, el Grupo Estratégico por las Pastillas Anticonceptivas de Emergencia integró una Mesa Técnica para elaborar un Protocolo de </w:t>
      </w:r>
      <w:r w:rsidRPr="00742CD6">
        <w:rPr>
          <w:rFonts w:ascii="Times New Roman" w:eastAsia="Times New Roman" w:hAnsi="Times New Roman" w:cs="Times New Roman"/>
        </w:rPr>
        <w:t xml:space="preserve">Atención Integral a Víctimas y Sobrevivientes de Violencia Sexual, </w:t>
      </w:r>
      <w:r w:rsidRPr="00742CD6">
        <w:rPr>
          <w:rFonts w:ascii="Times New Roman" w:eastAsia="Times New Roman" w:hAnsi="Times New Roman" w:cs="Times New Roman"/>
        </w:rPr>
        <w:t>el cual fue entregado a la ministra de Salud, pero no fue aceptado a nivel político, por tanto, tampoco fue aprobado porque contenía lineamientos para la prevención de embarazos con anticonceptivos de emergencia</w:t>
      </w:r>
      <w:r>
        <w:rPr>
          <w:vertAlign w:val="superscript"/>
        </w:rPr>
        <w:footnoteReference w:id="31"/>
      </w:r>
      <w:r w:rsidRPr="00742CD6">
        <w:rPr>
          <w:rFonts w:ascii="Times New Roman" w:eastAsia="Times New Roman" w:hAnsi="Times New Roman" w:cs="Times New Roman"/>
        </w:rPr>
        <w:t>.</w:t>
      </w:r>
    </w:p>
    <w:p w14:paraId="51365CAB" w14:textId="77777777" w:rsidR="008C7424" w:rsidRDefault="008C7424" w:rsidP="008C7424">
      <w:pPr>
        <w:pStyle w:val="Prrafodelista"/>
        <w:jc w:val="both"/>
        <w:rPr>
          <w:rFonts w:ascii="Times New Roman" w:eastAsia="Times New Roman" w:hAnsi="Times New Roman" w:cs="Times New Roman"/>
        </w:rPr>
      </w:pPr>
    </w:p>
    <w:p w14:paraId="00000035" w14:textId="779CB0C5"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lastRenderedPageBreak/>
        <w:t>En 2018 fue aprobado un nuevo Código Pena</w:t>
      </w:r>
      <w:r w:rsidRPr="00742CD6">
        <w:rPr>
          <w:rFonts w:ascii="Times New Roman" w:eastAsia="Times New Roman" w:hAnsi="Times New Roman" w:cs="Times New Roman"/>
        </w:rPr>
        <w:t>l que mantiene vigente la penalización absoluta del aborto, incluso en caso de riesgo para la vida de la mujer o niña embarazada</w:t>
      </w:r>
      <w:r>
        <w:rPr>
          <w:vertAlign w:val="superscript"/>
        </w:rPr>
        <w:footnoteReference w:id="32"/>
      </w:r>
      <w:r w:rsidRPr="00742CD6">
        <w:rPr>
          <w:rFonts w:ascii="Times New Roman" w:eastAsia="Times New Roman" w:hAnsi="Times New Roman" w:cs="Times New Roman"/>
        </w:rPr>
        <w:t>. Como si esto fuera poco, en enero de 2021 el Congreso Nacional aprobó y ratificó una reforma constitucional en la que reiter</w:t>
      </w:r>
      <w:r w:rsidRPr="00742CD6">
        <w:rPr>
          <w:rFonts w:ascii="Times New Roman" w:eastAsia="Times New Roman" w:hAnsi="Times New Roman" w:cs="Times New Roman"/>
        </w:rPr>
        <w:t xml:space="preserve">a la prohibición y penalización del aborto y la </w:t>
      </w:r>
      <w:proofErr w:type="spellStart"/>
      <w:r w:rsidRPr="00742CD6">
        <w:rPr>
          <w:rFonts w:ascii="Times New Roman" w:eastAsia="Times New Roman" w:hAnsi="Times New Roman" w:cs="Times New Roman"/>
        </w:rPr>
        <w:t>prohibicón</w:t>
      </w:r>
      <w:proofErr w:type="spellEnd"/>
      <w:r w:rsidRPr="00742CD6">
        <w:rPr>
          <w:rFonts w:ascii="Times New Roman" w:eastAsia="Times New Roman" w:hAnsi="Times New Roman" w:cs="Times New Roman"/>
        </w:rPr>
        <w:t xml:space="preserve"> del matrimonio igualitario, indicando, además, que cualquier modificación a ese artículo constitucional requiere ¾ partes de los votos del Congreso y no las ⅔ que requieren los otros artículos de l</w:t>
      </w:r>
      <w:r w:rsidRPr="00742CD6">
        <w:rPr>
          <w:rFonts w:ascii="Times New Roman" w:eastAsia="Times New Roman" w:hAnsi="Times New Roman" w:cs="Times New Roman"/>
        </w:rPr>
        <w:t>a Constitución</w:t>
      </w:r>
      <w:r>
        <w:rPr>
          <w:vertAlign w:val="superscript"/>
        </w:rPr>
        <w:footnoteReference w:id="33"/>
      </w:r>
      <w:r w:rsidRPr="00742CD6">
        <w:rPr>
          <w:rFonts w:ascii="Times New Roman" w:eastAsia="Times New Roman" w:hAnsi="Times New Roman" w:cs="Times New Roman"/>
        </w:rPr>
        <w:t xml:space="preserve">.  </w:t>
      </w:r>
    </w:p>
    <w:p w14:paraId="00000036" w14:textId="77777777" w:rsidR="005C6AE1" w:rsidRDefault="005C6AE1" w:rsidP="00742CD6">
      <w:pPr>
        <w:jc w:val="both"/>
        <w:rPr>
          <w:rFonts w:ascii="Times New Roman" w:eastAsia="Times New Roman" w:hAnsi="Times New Roman" w:cs="Times New Roman"/>
        </w:rPr>
      </w:pPr>
    </w:p>
    <w:p w14:paraId="00000037" w14:textId="77777777"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 xml:space="preserve">Mujeres en Situación de Vulnerabilidad </w:t>
      </w:r>
    </w:p>
    <w:p w14:paraId="00000038" w14:textId="2512494F" w:rsidR="005C6AE1" w:rsidRDefault="0020347B" w:rsidP="00742CD6">
      <w:pPr>
        <w:pStyle w:val="Prrafodelista"/>
        <w:numPr>
          <w:ilvl w:val="0"/>
          <w:numId w:val="2"/>
        </w:numPr>
        <w:spacing w:before="240" w:after="240"/>
        <w:jc w:val="both"/>
        <w:rPr>
          <w:rFonts w:ascii="Times New Roman" w:eastAsia="Times New Roman" w:hAnsi="Times New Roman" w:cs="Times New Roman"/>
        </w:rPr>
      </w:pPr>
      <w:r w:rsidRPr="00742CD6">
        <w:rPr>
          <w:rFonts w:ascii="Times New Roman" w:eastAsia="Times New Roman" w:hAnsi="Times New Roman" w:cs="Times New Roman"/>
        </w:rPr>
        <w:t>A partir de octubre del año 2018 se han registrado al menos 6 caravanas de personas migrantes del triángulo norte de Centroamérica, las dos primeras se organizaron en Honduras con 4,000 a 3,000 m</w:t>
      </w:r>
      <w:r w:rsidRPr="00742CD6">
        <w:rPr>
          <w:rFonts w:ascii="Times New Roman" w:eastAsia="Times New Roman" w:hAnsi="Times New Roman" w:cs="Times New Roman"/>
        </w:rPr>
        <w:t>igrantes aproximadamente, posteriormente se mantuvieron flujos sostenidos de migraciones en esta modalidad colectiva</w:t>
      </w:r>
      <w:r>
        <w:rPr>
          <w:vertAlign w:val="superscript"/>
        </w:rPr>
        <w:footnoteReference w:id="34"/>
      </w:r>
      <w:r w:rsidRPr="00742CD6">
        <w:rPr>
          <w:rFonts w:ascii="Times New Roman" w:eastAsia="Times New Roman" w:hAnsi="Times New Roman" w:cs="Times New Roman"/>
        </w:rPr>
        <w:t>. Las últimas del año 2021 también partieron de Honduras, la primera contemplando cifras entre 6,000 y 9,000 personas</w:t>
      </w:r>
      <w:r>
        <w:rPr>
          <w:vertAlign w:val="superscript"/>
        </w:rPr>
        <w:footnoteReference w:id="35"/>
      </w:r>
      <w:r w:rsidRPr="00742CD6">
        <w:rPr>
          <w:rFonts w:ascii="Times New Roman" w:eastAsia="Times New Roman" w:hAnsi="Times New Roman" w:cs="Times New Roman"/>
        </w:rPr>
        <w:t>. Las caravanas mig</w:t>
      </w:r>
      <w:r w:rsidRPr="00742CD6">
        <w:rPr>
          <w:rFonts w:ascii="Times New Roman" w:eastAsia="Times New Roman" w:hAnsi="Times New Roman" w:cs="Times New Roman"/>
        </w:rPr>
        <w:t>rantes cuentan con centenares de mujeres, pertenecientes a la comunidad LGBTI y/o poblaciones afrodescendientes e indígenas, y menores no acompañados. Las razones de la migración forzada de Honduras son: la violencia, la pobreza -exacerbada por dos huracan</w:t>
      </w:r>
      <w:r w:rsidRPr="00742CD6">
        <w:rPr>
          <w:rFonts w:ascii="Times New Roman" w:eastAsia="Times New Roman" w:hAnsi="Times New Roman" w:cs="Times New Roman"/>
        </w:rPr>
        <w:t>es, Eta e Iota, que devastaron el país en 2020-, la corrupción y el caos en el manejo de la pandemia de coronavirus por el gobierno. Adicionalmente, las mujeres anteriormente descritas migran por condiciones de especial vulnerabilidad, como ser la impunida</w:t>
      </w:r>
      <w:r w:rsidRPr="00742CD6">
        <w:rPr>
          <w:rFonts w:ascii="Times New Roman" w:eastAsia="Times New Roman" w:hAnsi="Times New Roman" w:cs="Times New Roman"/>
        </w:rPr>
        <w:t>d estructural hacia los crímenes por razones de género en su contra -que a menudo les deja sin opciones más que huir-, así como las circunstancias de mayor adversidad en la búsqueda de empleo, vivienda y un proyecto de vida seguro.</w:t>
      </w:r>
    </w:p>
    <w:p w14:paraId="499333BD" w14:textId="702729C2" w:rsidR="00F841AE" w:rsidRPr="00742CD6" w:rsidRDefault="00F841AE" w:rsidP="00742CD6">
      <w:pPr>
        <w:pStyle w:val="Prrafodelista"/>
        <w:numPr>
          <w:ilvl w:val="0"/>
          <w:numId w:val="2"/>
        </w:numPr>
        <w:spacing w:before="240" w:after="240"/>
        <w:jc w:val="both"/>
        <w:rPr>
          <w:rFonts w:ascii="Times New Roman" w:eastAsia="Times New Roman" w:hAnsi="Times New Roman" w:cs="Times New Roman"/>
        </w:rPr>
      </w:pPr>
      <w:r>
        <w:rPr>
          <w:rFonts w:ascii="Times New Roman" w:eastAsia="Times New Roman" w:hAnsi="Times New Roman" w:cs="Times New Roman"/>
        </w:rPr>
        <w:t>L</w:t>
      </w:r>
      <w:r w:rsidRPr="00F841AE">
        <w:rPr>
          <w:rFonts w:ascii="Times New Roman" w:eastAsia="Times New Roman" w:hAnsi="Times New Roman" w:cs="Times New Roman"/>
        </w:rPr>
        <w:t>as trabajadoras sexuales en Honduras son sujetas a violencia basada en género de manera sistemática por parte de las fuerzas de seguridad</w:t>
      </w:r>
      <w:r>
        <w:rPr>
          <w:rFonts w:ascii="Times New Roman" w:eastAsia="Times New Roman" w:hAnsi="Times New Roman" w:cs="Times New Roman"/>
        </w:rPr>
        <w:t xml:space="preserve">; son </w:t>
      </w:r>
      <w:r w:rsidRPr="00F841AE">
        <w:rPr>
          <w:rFonts w:ascii="Times New Roman" w:eastAsia="Times New Roman" w:hAnsi="Times New Roman" w:cs="Times New Roman"/>
        </w:rPr>
        <w:t>sometidas a detenciones arbitrarias, especialmente cuando están en sus lugares de trabajo,</w:t>
      </w:r>
      <w:r>
        <w:rPr>
          <w:rFonts w:ascii="Times New Roman" w:eastAsia="Times New Roman" w:hAnsi="Times New Roman" w:cs="Times New Roman"/>
        </w:rPr>
        <w:t xml:space="preserve"> </w:t>
      </w:r>
      <w:r w:rsidRPr="00F841AE">
        <w:rPr>
          <w:rFonts w:ascii="Times New Roman" w:eastAsia="Times New Roman" w:hAnsi="Times New Roman" w:cs="Times New Roman"/>
        </w:rPr>
        <w:t xml:space="preserve">tratos inhumanos y degradantes, se les violenta su derecho a la privacidad en sus domicilios, su derecho a la libre circulación, cuando se les ordena trasladarse a otros lugares, por lo cual se violenta también su derecho al trabajo, y rara vez se cumple su derecho al acceso a la justicia, puesto que les resulta muy difícil denunciar en los mismos lugares donde laboran sus abusadores y son amenazadas para que </w:t>
      </w:r>
      <w:r>
        <w:rPr>
          <w:rFonts w:ascii="Times New Roman" w:eastAsia="Times New Roman" w:hAnsi="Times New Roman" w:cs="Times New Roman"/>
        </w:rPr>
        <w:t>desistan</w:t>
      </w:r>
      <w:r w:rsidRPr="00F841AE">
        <w:rPr>
          <w:rFonts w:ascii="Times New Roman" w:eastAsia="Times New Roman" w:hAnsi="Times New Roman" w:cs="Times New Roman"/>
        </w:rPr>
        <w:t>. La impunidad en que quedan sus denuncias, impide que tengan confianza en el sistema.</w:t>
      </w:r>
      <w:r>
        <w:rPr>
          <w:rStyle w:val="Refdenotaalpie"/>
          <w:rFonts w:ascii="Times New Roman" w:eastAsia="Times New Roman" w:hAnsi="Times New Roman" w:cs="Times New Roman"/>
        </w:rPr>
        <w:footnoteReference w:id="36"/>
      </w:r>
    </w:p>
    <w:p w14:paraId="00000039" w14:textId="77777777"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P</w:t>
      </w:r>
      <w:r>
        <w:rPr>
          <w:rFonts w:ascii="Times New Roman" w:eastAsia="Times New Roman" w:hAnsi="Times New Roman" w:cs="Times New Roman"/>
          <w:b/>
        </w:rPr>
        <w:t>rotocolo facultativo de</w:t>
      </w:r>
      <w:r>
        <w:rPr>
          <w:rFonts w:ascii="Times New Roman" w:eastAsia="Times New Roman" w:hAnsi="Times New Roman" w:cs="Times New Roman"/>
          <w:b/>
        </w:rPr>
        <w:t xml:space="preserve"> la CEDAW </w:t>
      </w:r>
    </w:p>
    <w:p w14:paraId="0000003A" w14:textId="77777777" w:rsidR="005C6AE1" w:rsidRPr="00742CD6" w:rsidRDefault="0020347B" w:rsidP="00742CD6">
      <w:pPr>
        <w:pStyle w:val="Prrafodelista"/>
        <w:numPr>
          <w:ilvl w:val="0"/>
          <w:numId w:val="2"/>
        </w:numPr>
        <w:jc w:val="both"/>
        <w:rPr>
          <w:rFonts w:ascii="Times New Roman" w:eastAsia="Times New Roman" w:hAnsi="Times New Roman" w:cs="Times New Roman"/>
        </w:rPr>
      </w:pPr>
      <w:r w:rsidRPr="00742CD6">
        <w:rPr>
          <w:rFonts w:ascii="Times New Roman" w:eastAsia="Times New Roman" w:hAnsi="Times New Roman" w:cs="Times New Roman"/>
        </w:rPr>
        <w:t>Es preocupante que la última noticia sobre la promoción para la aprobación del Protocolo por el INAM</w:t>
      </w:r>
      <w:r>
        <w:rPr>
          <w:vertAlign w:val="superscript"/>
        </w:rPr>
        <w:footnoteReference w:id="37"/>
      </w:r>
      <w:r w:rsidRPr="00742CD6">
        <w:rPr>
          <w:rFonts w:ascii="Times New Roman" w:eastAsia="Times New Roman" w:hAnsi="Times New Roman" w:cs="Times New Roman"/>
        </w:rPr>
        <w:t xml:space="preserve"> fue en 2015</w:t>
      </w:r>
      <w:r>
        <w:rPr>
          <w:vertAlign w:val="superscript"/>
        </w:rPr>
        <w:footnoteReference w:id="38"/>
      </w:r>
      <w:r w:rsidRPr="00742CD6">
        <w:rPr>
          <w:rFonts w:ascii="Times New Roman" w:eastAsia="Times New Roman" w:hAnsi="Times New Roman" w:cs="Times New Roman"/>
        </w:rPr>
        <w:t xml:space="preserve">. Lo anterior pese a que el Estado tomó nota de las diez recomendaciones </w:t>
      </w:r>
      <w:r w:rsidRPr="00742CD6">
        <w:rPr>
          <w:rFonts w:ascii="Times New Roman" w:eastAsia="Times New Roman" w:hAnsi="Times New Roman" w:cs="Times New Roman"/>
        </w:rPr>
        <w:lastRenderedPageBreak/>
        <w:t>respecto a la aprobación y posterior ratificación del Pr</w:t>
      </w:r>
      <w:r w:rsidRPr="00742CD6">
        <w:rPr>
          <w:rFonts w:ascii="Times New Roman" w:eastAsia="Times New Roman" w:hAnsi="Times New Roman" w:cs="Times New Roman"/>
        </w:rPr>
        <w:t xml:space="preserve">otocolo Facultativo de la CEDAW durante el tercer ciclo del EPU. </w:t>
      </w:r>
    </w:p>
    <w:p w14:paraId="3FD08879" w14:textId="77777777" w:rsidR="008C7424" w:rsidRDefault="008C7424" w:rsidP="008C7424">
      <w:pPr>
        <w:jc w:val="both"/>
        <w:rPr>
          <w:rFonts w:ascii="Times New Roman" w:eastAsia="Times New Roman" w:hAnsi="Times New Roman" w:cs="Times New Roman"/>
          <w:b/>
        </w:rPr>
      </w:pPr>
    </w:p>
    <w:p w14:paraId="0000003B" w14:textId="7F3C1A79" w:rsidR="005C6AE1" w:rsidRDefault="0020347B" w:rsidP="008C7424">
      <w:pPr>
        <w:jc w:val="both"/>
        <w:rPr>
          <w:rFonts w:ascii="Times New Roman" w:eastAsia="Times New Roman" w:hAnsi="Times New Roman" w:cs="Times New Roman"/>
          <w:b/>
        </w:rPr>
      </w:pPr>
      <w:r>
        <w:rPr>
          <w:rFonts w:ascii="Times New Roman" w:eastAsia="Times New Roman" w:hAnsi="Times New Roman" w:cs="Times New Roman"/>
          <w:b/>
        </w:rPr>
        <w:t>P</w:t>
      </w:r>
      <w:r>
        <w:rPr>
          <w:rFonts w:ascii="Times New Roman" w:eastAsia="Times New Roman" w:hAnsi="Times New Roman" w:cs="Times New Roman"/>
          <w:b/>
        </w:rPr>
        <w:t xml:space="preserve">reguntas sugeridas para el Estado de Honduras </w:t>
      </w:r>
    </w:p>
    <w:p w14:paraId="0000003C" w14:textId="77777777" w:rsidR="005C6AE1" w:rsidRDefault="0020347B" w:rsidP="00742CD6">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 xml:space="preserve">De acuerdo a los datos del Instituto Nacional de Estadística de </w:t>
      </w:r>
      <w:proofErr w:type="gramStart"/>
      <w:r>
        <w:rPr>
          <w:rFonts w:ascii="Times New Roman" w:eastAsia="Times New Roman" w:hAnsi="Times New Roman" w:cs="Times New Roman"/>
        </w:rPr>
        <w:t>Honduras,  la</w:t>
      </w:r>
      <w:proofErr w:type="gramEnd"/>
      <w:r>
        <w:rPr>
          <w:rFonts w:ascii="Times New Roman" w:eastAsia="Times New Roman" w:hAnsi="Times New Roman" w:cs="Times New Roman"/>
        </w:rPr>
        <w:t xml:space="preserve"> brecha salarial se mantiene y se ha profundizado en la categoría</w:t>
      </w:r>
      <w:r>
        <w:rPr>
          <w:rFonts w:ascii="Times New Roman" w:eastAsia="Times New Roman" w:hAnsi="Times New Roman" w:cs="Times New Roman"/>
        </w:rPr>
        <w:t xml:space="preserve"> de trabajadores por cuenta propia. ¿cómo se ha implementado la ley de igualdad salarial en este sector y qué mecanismos ha desarrollado para garantizar el cumplimiento de esta ley?  </w:t>
      </w:r>
    </w:p>
    <w:p w14:paraId="0000003D" w14:textId="6E73AB83" w:rsidR="005C6AE1" w:rsidRDefault="0020347B" w:rsidP="00742CD6">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¿Dónde está el dinero para la implementación de la Política</w:t>
      </w:r>
      <w:r w:rsidR="00F841AE">
        <w:rPr>
          <w:rFonts w:ascii="Times New Roman" w:eastAsia="Times New Roman" w:hAnsi="Times New Roman" w:cs="Times New Roman"/>
        </w:rPr>
        <w:t xml:space="preserve"> </w:t>
      </w:r>
      <w:r>
        <w:rPr>
          <w:rFonts w:ascii="Times New Roman" w:eastAsia="Times New Roman" w:hAnsi="Times New Roman" w:cs="Times New Roman"/>
        </w:rPr>
        <w:t>Pública Contr</w:t>
      </w:r>
      <w:r>
        <w:rPr>
          <w:rFonts w:ascii="Times New Roman" w:eastAsia="Times New Roman" w:hAnsi="Times New Roman" w:cs="Times New Roman"/>
        </w:rPr>
        <w:t xml:space="preserve">a el Racismo y la Discriminación Racial para el Desarrollo Integral de los Pueblos Indígenas y </w:t>
      </w:r>
      <w:proofErr w:type="spellStart"/>
      <w:r>
        <w:rPr>
          <w:rFonts w:ascii="Times New Roman" w:eastAsia="Times New Roman" w:hAnsi="Times New Roman" w:cs="Times New Roman"/>
        </w:rPr>
        <w:t>Afrohondureños</w:t>
      </w:r>
      <w:proofErr w:type="spellEnd"/>
      <w:r>
        <w:rPr>
          <w:rFonts w:ascii="Times New Roman" w:eastAsia="Times New Roman" w:hAnsi="Times New Roman" w:cs="Times New Roman"/>
        </w:rPr>
        <w:t>? ¿</w:t>
      </w:r>
      <w:proofErr w:type="spellStart"/>
      <w:r>
        <w:rPr>
          <w:rFonts w:ascii="Times New Roman" w:eastAsia="Times New Roman" w:hAnsi="Times New Roman" w:cs="Times New Roman"/>
        </w:rPr>
        <w:t>que</w:t>
      </w:r>
      <w:proofErr w:type="spellEnd"/>
      <w:r>
        <w:rPr>
          <w:rFonts w:ascii="Times New Roman" w:eastAsia="Times New Roman" w:hAnsi="Times New Roman" w:cs="Times New Roman"/>
        </w:rPr>
        <w:t xml:space="preserve"> está haciendo, en la práctica, el Estado para reducir el racismo y la discriminaci</w:t>
      </w:r>
      <w:r w:rsidR="00F841AE">
        <w:rPr>
          <w:rFonts w:ascii="Times New Roman" w:eastAsia="Times New Roman" w:hAnsi="Times New Roman" w:cs="Times New Roman"/>
        </w:rPr>
        <w:t>ó</w:t>
      </w:r>
      <w:r>
        <w:rPr>
          <w:rFonts w:ascii="Times New Roman" w:eastAsia="Times New Roman" w:hAnsi="Times New Roman" w:cs="Times New Roman"/>
        </w:rPr>
        <w:t xml:space="preserve">n racial? </w:t>
      </w:r>
    </w:p>
    <w:p w14:paraId="0000003E" w14:textId="77777777" w:rsidR="005C6AE1" w:rsidRDefault="0020347B" w:rsidP="00742CD6">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Sobre las Disposiciones Generales del Presupue</w:t>
      </w:r>
      <w:r>
        <w:rPr>
          <w:rFonts w:ascii="Times New Roman" w:eastAsia="Times New Roman" w:hAnsi="Times New Roman" w:cs="Times New Roman"/>
        </w:rPr>
        <w:t>sto, los recursos reportados para el financiamiento de la equidad de género para el 2019 ascienden al 7% del presupuesto general para ese mismo año. Cómo calcularon este porcentaje y que incluyeron en él, dado que no existe un clasificador presupuestario q</w:t>
      </w:r>
      <w:r>
        <w:rPr>
          <w:rFonts w:ascii="Times New Roman" w:eastAsia="Times New Roman" w:hAnsi="Times New Roman" w:cs="Times New Roman"/>
        </w:rPr>
        <w:t xml:space="preserve">ue permita realizar este cálculo de manera </w:t>
      </w:r>
      <w:proofErr w:type="gramStart"/>
      <w:r>
        <w:rPr>
          <w:rFonts w:ascii="Times New Roman" w:eastAsia="Times New Roman" w:hAnsi="Times New Roman" w:cs="Times New Roman"/>
        </w:rPr>
        <w:t>realista?.</w:t>
      </w:r>
      <w:proofErr w:type="gramEnd"/>
      <w:r>
        <w:rPr>
          <w:rFonts w:ascii="Times New Roman" w:eastAsia="Times New Roman" w:hAnsi="Times New Roman" w:cs="Times New Roman"/>
        </w:rPr>
        <w:t xml:space="preserve"> </w:t>
      </w:r>
    </w:p>
    <w:p w14:paraId="0000003F" w14:textId="77777777" w:rsidR="005C6AE1" w:rsidRDefault="0020347B" w:rsidP="00742CD6">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Derechos de la Niñez y Adolescencia en Honduras, ¿Por qué, a pesar de las reiteradas recomendaciones de parte de distintos órganos del sistema universal y del sistema interamericano, de eliminar el pro</w:t>
      </w:r>
      <w:r>
        <w:rPr>
          <w:rFonts w:ascii="Times New Roman" w:eastAsia="Times New Roman" w:hAnsi="Times New Roman" w:cs="Times New Roman"/>
        </w:rPr>
        <w:t>grama del ejército, Guardianes de la Patria donde se entrenan a niños y niñas con una perspectiva eminentemente castrense?;  ¿Por qué, si Honduras es un país con población eminentemente joven, la Dirección de niñez, Adolescencia y Familia, no se ha elevado</w:t>
      </w:r>
      <w:r>
        <w:rPr>
          <w:rFonts w:ascii="Times New Roman" w:eastAsia="Times New Roman" w:hAnsi="Times New Roman" w:cs="Times New Roman"/>
        </w:rPr>
        <w:t xml:space="preserve"> a rango de Secretaría de Estado?,  ¿Con qué fin se aprueban políticas y leyes si no tienen la voluntad política de implementarlas y de asignarles recursos? ¿Por qué, si existe un SIGEDENAH, no se han mejorado los indicadores garantía de derechos esenciale</w:t>
      </w:r>
      <w:r>
        <w:rPr>
          <w:rFonts w:ascii="Times New Roman" w:eastAsia="Times New Roman" w:hAnsi="Times New Roman" w:cs="Times New Roman"/>
        </w:rPr>
        <w:t xml:space="preserve">s para la niñez, adolescencia y juventud de Honduras? </w:t>
      </w:r>
    </w:p>
    <w:p w14:paraId="00000040" w14:textId="6687AB23" w:rsidR="005C6AE1" w:rsidRDefault="0020347B" w:rsidP="00742CD6">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¿Han creado algún mecanismo de seguimiento a la implementación de las leyes que protegen de la violencia a las mujeres?</w:t>
      </w:r>
      <w:r w:rsidR="00BF0CBA">
        <w:rPr>
          <w:rFonts w:ascii="Times New Roman" w:eastAsia="Times New Roman" w:hAnsi="Times New Roman" w:cs="Times New Roman"/>
        </w:rPr>
        <w:t xml:space="preserve"> </w:t>
      </w:r>
      <w:proofErr w:type="gramStart"/>
      <w:r w:rsidR="00BF0CBA">
        <w:rPr>
          <w:rFonts w:ascii="Times New Roman" w:eastAsia="Times New Roman" w:hAnsi="Times New Roman" w:cs="Times New Roman"/>
        </w:rPr>
        <w:t>S</w:t>
      </w:r>
      <w:r>
        <w:rPr>
          <w:rFonts w:ascii="Times New Roman" w:eastAsia="Times New Roman" w:hAnsi="Times New Roman" w:cs="Times New Roman"/>
        </w:rPr>
        <w:t xml:space="preserve">i es así, en qué consiste ese mecanismo, y porque, pese al mismo, la impunidad </w:t>
      </w:r>
      <w:r>
        <w:rPr>
          <w:rFonts w:ascii="Times New Roman" w:eastAsia="Times New Roman" w:hAnsi="Times New Roman" w:cs="Times New Roman"/>
        </w:rPr>
        <w:t>ha aumentado?</w:t>
      </w:r>
      <w:proofErr w:type="gramEnd"/>
    </w:p>
    <w:p w14:paraId="7DBD42F1" w14:textId="3506347E" w:rsidR="00F841AE" w:rsidRDefault="00F841AE" w:rsidP="00742CD6">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 xml:space="preserve">¿Cuáles son </w:t>
      </w:r>
      <w:r w:rsidRPr="00F841AE">
        <w:rPr>
          <w:rFonts w:ascii="Times New Roman" w:eastAsia="Times New Roman" w:hAnsi="Times New Roman" w:cs="Times New Roman"/>
        </w:rPr>
        <w:t>las medidas que está tomando Honduras para acabar con la violencia de género ejercida por las fuerzas de seguridad hacia las trabajadoras sexuales</w:t>
      </w:r>
      <w:r>
        <w:rPr>
          <w:rFonts w:ascii="Times New Roman" w:eastAsia="Times New Roman" w:hAnsi="Times New Roman" w:cs="Times New Roman"/>
        </w:rPr>
        <w:t>?</w:t>
      </w:r>
    </w:p>
    <w:p w14:paraId="00000041" w14:textId="77777777" w:rsidR="005C6AE1" w:rsidRDefault="0020347B" w:rsidP="00742CD6">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¿Qué medidas tomará el Estado para revertir la regresión de derechos de salud reproductiva de las mujeres y las niñas?</w:t>
      </w:r>
    </w:p>
    <w:p w14:paraId="00000042" w14:textId="77777777" w:rsidR="005C6AE1" w:rsidRDefault="0020347B" w:rsidP="00742CD6">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Si el Estado ha capacitado a funcionarios del poder judicial, Ministerio Público y policía en perspectiva de género y violencias contra las mujeres y, además, ha asignado el presupuesto necesario ¿por qué Honduras mantiene un alto índice de impunidad</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en </w:t>
      </w:r>
      <w:r>
        <w:rPr>
          <w:rFonts w:ascii="Times New Roman" w:eastAsia="Times New Roman" w:hAnsi="Times New Roman" w:cs="Times New Roman"/>
        </w:rPr>
        <w:t xml:space="preserve">casos de violencias contra las niñas y mujeres? </w:t>
      </w:r>
    </w:p>
    <w:p w14:paraId="00000047" w14:textId="6FB7B378" w:rsidR="005C6AE1" w:rsidRPr="00CA7001" w:rsidRDefault="0020347B" w:rsidP="00CA7001">
      <w:pPr>
        <w:numPr>
          <w:ilvl w:val="1"/>
          <w:numId w:val="2"/>
        </w:numPr>
        <w:jc w:val="both"/>
        <w:rPr>
          <w:rFonts w:ascii="Times New Roman" w:eastAsia="Times New Roman" w:hAnsi="Times New Roman" w:cs="Times New Roman"/>
        </w:rPr>
      </w:pPr>
      <w:r>
        <w:rPr>
          <w:rFonts w:ascii="Times New Roman" w:eastAsia="Times New Roman" w:hAnsi="Times New Roman" w:cs="Times New Roman"/>
        </w:rPr>
        <w:t>¿Considera el Estado ratificar el Protocolo Facultativo de la CEDAW y si no es así, qué consideraciones tiene para no hacerlo?</w:t>
      </w:r>
    </w:p>
    <w:sectPr w:rsidR="005C6AE1" w:rsidRPr="00CA7001" w:rsidSect="00742CD6">
      <w:headerReference w:type="default" r:id="rId9"/>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31EEF" w14:textId="77777777" w:rsidR="0020347B" w:rsidRDefault="0020347B">
      <w:pPr>
        <w:spacing w:after="0"/>
      </w:pPr>
      <w:r>
        <w:separator/>
      </w:r>
    </w:p>
  </w:endnote>
  <w:endnote w:type="continuationSeparator" w:id="0">
    <w:p w14:paraId="2590C911" w14:textId="77777777" w:rsidR="0020347B" w:rsidRDefault="002034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3D34C" w14:textId="77777777" w:rsidR="0020347B" w:rsidRDefault="0020347B">
      <w:pPr>
        <w:spacing w:after="0"/>
      </w:pPr>
      <w:r>
        <w:separator/>
      </w:r>
    </w:p>
  </w:footnote>
  <w:footnote w:type="continuationSeparator" w:id="0">
    <w:p w14:paraId="79707CDD" w14:textId="77777777" w:rsidR="0020347B" w:rsidRDefault="0020347B">
      <w:pPr>
        <w:spacing w:after="0"/>
      </w:pPr>
      <w:r>
        <w:continuationSeparator/>
      </w:r>
    </w:p>
  </w:footnote>
  <w:footnote w:id="1">
    <w:p w14:paraId="49BB65D6" w14:textId="0277E20F" w:rsidR="007523B6" w:rsidRPr="00AC1874" w:rsidRDefault="0020347B">
      <w:pPr>
        <w:pBdr>
          <w:top w:val="nil"/>
          <w:left w:val="nil"/>
          <w:bottom w:val="nil"/>
          <w:right w:val="nil"/>
          <w:between w:val="nil"/>
        </w:pBdr>
        <w:spacing w:after="0"/>
        <w:rPr>
          <w:color w:val="000000"/>
          <w:sz w:val="20"/>
          <w:szCs w:val="20"/>
          <w:lang w:val="en-US"/>
        </w:rPr>
      </w:pPr>
      <w:r>
        <w:rPr>
          <w:vertAlign w:val="superscript"/>
        </w:rPr>
        <w:footnoteRef/>
      </w:r>
      <w:r w:rsidRPr="00AC1874">
        <w:rPr>
          <w:color w:val="000000"/>
          <w:sz w:val="20"/>
          <w:szCs w:val="20"/>
          <w:lang w:val="en-US"/>
        </w:rPr>
        <w:t xml:space="preserve"> CEDAW/C/HND/9</w:t>
      </w:r>
      <w:r w:rsidR="007523B6">
        <w:rPr>
          <w:color w:val="000000"/>
          <w:sz w:val="20"/>
          <w:szCs w:val="20"/>
          <w:lang w:val="en-US"/>
        </w:rPr>
        <w:t xml:space="preserve"> </w:t>
      </w:r>
      <w:hyperlink r:id="rId1" w:history="1">
        <w:r w:rsidR="007523B6" w:rsidRPr="00A34CDE">
          <w:rPr>
            <w:rStyle w:val="Hipervnculo"/>
            <w:sz w:val="20"/>
            <w:szCs w:val="20"/>
            <w:lang w:val="en-US"/>
          </w:rPr>
          <w:t>https://tbinternet.ohchr.org/_layouts/15/treatybodyexternal/Download.aspx?symbolno=CEDAW%2fC%2fHND%2f9&amp;Lang=en</w:t>
        </w:r>
      </w:hyperlink>
      <w:r w:rsidR="007523B6">
        <w:rPr>
          <w:color w:val="000000"/>
          <w:sz w:val="20"/>
          <w:szCs w:val="20"/>
          <w:lang w:val="en-US"/>
        </w:rPr>
        <w:t xml:space="preserve"> </w:t>
      </w:r>
    </w:p>
  </w:footnote>
  <w:footnote w:id="2">
    <w:p w14:paraId="00000068" w14:textId="728AEE0E" w:rsidR="005C6AE1" w:rsidRPr="007523B6" w:rsidRDefault="0020347B">
      <w:pPr>
        <w:spacing w:after="0"/>
        <w:rPr>
          <w:sz w:val="20"/>
          <w:szCs w:val="20"/>
          <w:lang w:val="en-US"/>
        </w:rPr>
      </w:pPr>
      <w:r>
        <w:rPr>
          <w:vertAlign w:val="superscript"/>
        </w:rPr>
        <w:footnoteRef/>
      </w:r>
      <w:r w:rsidRPr="00AC1874">
        <w:rPr>
          <w:sz w:val="20"/>
          <w:szCs w:val="20"/>
          <w:lang w:val="en-US"/>
        </w:rPr>
        <w:t xml:space="preserve"> </w:t>
      </w:r>
      <w:hyperlink r:id="rId2" w:history="1">
        <w:r w:rsidR="007523B6" w:rsidRPr="00A34CDE">
          <w:rPr>
            <w:rStyle w:val="Hipervnculo"/>
            <w:lang w:val="en-US"/>
          </w:rPr>
          <w:t>https://oacnudh.hn/relator-especial-de-las-naciones-unidas-sobre-la-independencia-de-los-magistrados-y-abogado-sr-diego-garcia-sayan-observaciones-preliminares-sobre-la-visita-oficial-a-honduras/</w:t>
        </w:r>
      </w:hyperlink>
      <w:r w:rsidR="007523B6">
        <w:rPr>
          <w:lang w:val="en-US"/>
        </w:rPr>
        <w:t xml:space="preserve"> </w:t>
      </w:r>
    </w:p>
  </w:footnote>
  <w:footnote w:id="3">
    <w:p w14:paraId="00000053" w14:textId="77777777" w:rsidR="005C6AE1" w:rsidRDefault="0020347B">
      <w:pPr>
        <w:spacing w:after="0"/>
        <w:rPr>
          <w:sz w:val="20"/>
          <w:szCs w:val="20"/>
        </w:rPr>
      </w:pPr>
      <w:r>
        <w:rPr>
          <w:vertAlign w:val="superscript"/>
        </w:rPr>
        <w:footnoteRef/>
      </w:r>
      <w:r>
        <w:rPr>
          <w:sz w:val="20"/>
          <w:szCs w:val="20"/>
        </w:rPr>
        <w:t xml:space="preserve"> Ley para el programa nacional de crédito solid</w:t>
      </w:r>
      <w:r>
        <w:rPr>
          <w:sz w:val="20"/>
          <w:szCs w:val="20"/>
        </w:rPr>
        <w:t xml:space="preserve">ario para la mujer rural, Decreto 110-2015 y su reglamento aprobado en 2018. En </w:t>
      </w:r>
      <w:hyperlink r:id="rId3">
        <w:r>
          <w:rPr>
            <w:color w:val="1155CC"/>
            <w:sz w:val="20"/>
            <w:szCs w:val="20"/>
            <w:u w:val="single"/>
          </w:rPr>
          <w:t>https://www.tsc.gob.hn/biblioteca/index.php/reglamentos/736-reglamento-de-la-ley-para-el-programa-nacional-de-credito-solidario-para-la-mujer-rural-credimujer</w:t>
        </w:r>
      </w:hyperlink>
      <w:r>
        <w:rPr>
          <w:sz w:val="20"/>
          <w:szCs w:val="20"/>
        </w:rPr>
        <w:t xml:space="preserve"> </w:t>
      </w:r>
    </w:p>
  </w:footnote>
  <w:footnote w:id="4">
    <w:p w14:paraId="00000067" w14:textId="77777777" w:rsidR="005C6AE1" w:rsidRDefault="0020347B">
      <w:pPr>
        <w:spacing w:after="0"/>
        <w:rPr>
          <w:sz w:val="20"/>
          <w:szCs w:val="20"/>
        </w:rPr>
      </w:pPr>
      <w:r>
        <w:rPr>
          <w:vertAlign w:val="superscript"/>
        </w:rPr>
        <w:footnoteRef/>
      </w:r>
      <w:r>
        <w:rPr>
          <w:sz w:val="20"/>
          <w:szCs w:val="20"/>
        </w:rPr>
        <w:t xml:space="preserve"> </w:t>
      </w:r>
      <w:hyperlink r:id="rId4">
        <w:r>
          <w:rPr>
            <w:color w:val="1155CC"/>
            <w:sz w:val="20"/>
            <w:szCs w:val="20"/>
            <w:u w:val="single"/>
          </w:rPr>
          <w:t>https://honduras.oxfam.org/latest/press-release/apertura-de-ventanilla-es-avance-hacia-propuesta-de-acceso</w:t>
        </w:r>
        <w:r>
          <w:rPr>
            <w:color w:val="1155CC"/>
            <w:sz w:val="20"/>
            <w:szCs w:val="20"/>
            <w:u w:val="single"/>
          </w:rPr>
          <w:t>-cr%C3%A9dito-para-mujeres</w:t>
        </w:r>
      </w:hyperlink>
      <w:r>
        <w:rPr>
          <w:sz w:val="20"/>
          <w:szCs w:val="20"/>
        </w:rPr>
        <w:t xml:space="preserve"> </w:t>
      </w:r>
    </w:p>
  </w:footnote>
  <w:footnote w:id="5">
    <w:p w14:paraId="0000004A" w14:textId="77777777" w:rsidR="005C6AE1" w:rsidRDefault="0020347B">
      <w:pPr>
        <w:spacing w:after="0"/>
        <w:rPr>
          <w:sz w:val="20"/>
          <w:szCs w:val="20"/>
        </w:rPr>
      </w:pPr>
      <w:r>
        <w:rPr>
          <w:vertAlign w:val="superscript"/>
        </w:rPr>
        <w:footnoteRef/>
      </w:r>
      <w:r>
        <w:rPr>
          <w:sz w:val="20"/>
          <w:szCs w:val="20"/>
        </w:rPr>
        <w:t xml:space="preserve"> La alternancia vertical se refiere a la postulación de igu</w:t>
      </w:r>
      <w:r>
        <w:rPr>
          <w:sz w:val="20"/>
          <w:szCs w:val="20"/>
        </w:rPr>
        <w:t xml:space="preserve">al número de hombres que de mujeres, de manera alterna, en las fórmulas y planillas de los partidos políticos. De otro lado, la alternancia horizontal se refiere a las postulaciones para </w:t>
      </w:r>
      <w:r>
        <w:rPr>
          <w:b/>
          <w:sz w:val="20"/>
          <w:szCs w:val="20"/>
        </w:rPr>
        <w:t>el primer lugar en las planillas</w:t>
      </w:r>
      <w:r>
        <w:rPr>
          <w:sz w:val="20"/>
          <w:szCs w:val="20"/>
        </w:rPr>
        <w:t>, se debe registrar el mismo número d</w:t>
      </w:r>
      <w:r>
        <w:rPr>
          <w:sz w:val="20"/>
          <w:szCs w:val="20"/>
        </w:rPr>
        <w:t xml:space="preserve">e hombres que de mujeres. </w:t>
      </w:r>
    </w:p>
  </w:footnote>
  <w:footnote w:id="6">
    <w:p w14:paraId="0000004B" w14:textId="77777777" w:rsidR="005C6AE1" w:rsidRDefault="0020347B">
      <w:pPr>
        <w:spacing w:after="0"/>
        <w:rPr>
          <w:sz w:val="20"/>
          <w:szCs w:val="20"/>
        </w:rPr>
      </w:pPr>
      <w:r>
        <w:rPr>
          <w:vertAlign w:val="superscript"/>
        </w:rPr>
        <w:footnoteRef/>
      </w:r>
      <w:r>
        <w:rPr>
          <w:sz w:val="20"/>
          <w:szCs w:val="20"/>
        </w:rPr>
        <w:t xml:space="preserve"> ver en el Instituto </w:t>
      </w:r>
      <w:proofErr w:type="spellStart"/>
      <w:r>
        <w:rPr>
          <w:sz w:val="20"/>
          <w:szCs w:val="20"/>
        </w:rPr>
        <w:t>Nacioanl</w:t>
      </w:r>
      <w:proofErr w:type="spellEnd"/>
      <w:r>
        <w:rPr>
          <w:sz w:val="20"/>
          <w:szCs w:val="20"/>
        </w:rPr>
        <w:t xml:space="preserve"> de Estadísticas de Honduras </w:t>
      </w:r>
      <w:hyperlink r:id="rId5">
        <w:r>
          <w:rPr>
            <w:color w:val="1155CC"/>
            <w:sz w:val="20"/>
            <w:szCs w:val="20"/>
            <w:u w:val="single"/>
          </w:rPr>
          <w:t>https://www.ine.gob.hn/publicaciones/Hogares/EPHPM_2</w:t>
        </w:r>
        <w:r>
          <w:rPr>
            <w:color w:val="1155CC"/>
            <w:sz w:val="20"/>
            <w:szCs w:val="20"/>
            <w:u w:val="single"/>
          </w:rPr>
          <w:t>016/8.%20Cuadros%20de%20Mercado%20Laboral.xlsx</w:t>
        </w:r>
      </w:hyperlink>
      <w:r>
        <w:rPr>
          <w:sz w:val="20"/>
          <w:szCs w:val="20"/>
        </w:rPr>
        <w:t xml:space="preserve"> y </w:t>
      </w:r>
      <w:hyperlink r:id="rId6">
        <w:r>
          <w:rPr>
            <w:color w:val="1155CC"/>
            <w:sz w:val="20"/>
            <w:szCs w:val="20"/>
            <w:u w:val="single"/>
          </w:rPr>
          <w:t>https://www.ine.gob.hn/publicaciones/Hogares/EPHPM_2016/8.%20Cuadros%20de%20Mercado%20Lab</w:t>
        </w:r>
        <w:r>
          <w:rPr>
            <w:color w:val="1155CC"/>
            <w:sz w:val="20"/>
            <w:szCs w:val="20"/>
            <w:u w:val="single"/>
          </w:rPr>
          <w:t>oral.xlsx</w:t>
        </w:r>
      </w:hyperlink>
      <w:r>
        <w:rPr>
          <w:sz w:val="20"/>
          <w:szCs w:val="20"/>
        </w:rPr>
        <w:t xml:space="preserve"> </w:t>
      </w:r>
    </w:p>
  </w:footnote>
  <w:footnote w:id="7">
    <w:p w14:paraId="0000004D" w14:textId="77777777" w:rsidR="005C6AE1" w:rsidRDefault="0020347B">
      <w:pPr>
        <w:spacing w:after="0"/>
        <w:rPr>
          <w:sz w:val="20"/>
          <w:szCs w:val="20"/>
        </w:rPr>
      </w:pPr>
      <w:r>
        <w:rPr>
          <w:vertAlign w:val="superscript"/>
        </w:rPr>
        <w:footnoteRef/>
      </w:r>
      <w:r>
        <w:rPr>
          <w:sz w:val="20"/>
          <w:szCs w:val="20"/>
        </w:rPr>
        <w:t xml:space="preserve"> Información recabada con la Organización de Desarrollo Étnico Comunitario, ODECO. </w:t>
      </w:r>
      <w:hyperlink r:id="rId7">
        <w:r>
          <w:rPr>
            <w:color w:val="1155CC"/>
            <w:sz w:val="20"/>
            <w:szCs w:val="20"/>
            <w:u w:val="single"/>
          </w:rPr>
          <w:t>https://odecohn.blogspot.com</w:t>
        </w:r>
      </w:hyperlink>
      <w:r>
        <w:rPr>
          <w:sz w:val="20"/>
          <w:szCs w:val="20"/>
        </w:rPr>
        <w:t xml:space="preserve"> </w:t>
      </w:r>
    </w:p>
  </w:footnote>
  <w:footnote w:id="8">
    <w:p w14:paraId="0000004C" w14:textId="77777777" w:rsidR="005C6AE1" w:rsidRDefault="0020347B">
      <w:pPr>
        <w:spacing w:after="0"/>
        <w:rPr>
          <w:sz w:val="20"/>
          <w:szCs w:val="20"/>
        </w:rPr>
      </w:pPr>
      <w:r>
        <w:rPr>
          <w:vertAlign w:val="superscript"/>
        </w:rPr>
        <w:footnoteRef/>
      </w:r>
      <w:r>
        <w:rPr>
          <w:sz w:val="20"/>
          <w:szCs w:val="20"/>
        </w:rPr>
        <w:t xml:space="preserve"> A pesar de lo anterior, la Asociación denuncia el abandono de parte del Estado. En </w:t>
      </w:r>
      <w:hyperlink r:id="rId8">
        <w:r>
          <w:rPr>
            <w:color w:val="1155CC"/>
            <w:sz w:val="20"/>
            <w:szCs w:val="20"/>
            <w:u w:val="single"/>
          </w:rPr>
          <w:t>http://old.conexihon.hn/site/noticia/derechos-humanos/derechos-humanos-pueblos-indigenas/buzos-lisiados-denuncia</w:t>
        </w:r>
        <w:r>
          <w:rPr>
            <w:color w:val="1155CC"/>
            <w:sz w:val="20"/>
            <w:szCs w:val="20"/>
            <w:u w:val="single"/>
          </w:rPr>
          <w:t>n-abandono-del</w:t>
        </w:r>
      </w:hyperlink>
      <w:r>
        <w:rPr>
          <w:sz w:val="20"/>
          <w:szCs w:val="20"/>
        </w:rPr>
        <w:t xml:space="preserve"> </w:t>
      </w:r>
    </w:p>
  </w:footnote>
  <w:footnote w:id="9">
    <w:p w14:paraId="0000004E" w14:textId="77777777" w:rsidR="005C6AE1" w:rsidRDefault="0020347B">
      <w:pPr>
        <w:spacing w:after="0"/>
        <w:rPr>
          <w:sz w:val="20"/>
          <w:szCs w:val="20"/>
        </w:rPr>
      </w:pPr>
      <w:r>
        <w:rPr>
          <w:vertAlign w:val="superscript"/>
        </w:rPr>
        <w:footnoteRef/>
      </w:r>
      <w:r>
        <w:rPr>
          <w:sz w:val="20"/>
          <w:szCs w:val="20"/>
        </w:rPr>
        <w:t xml:space="preserve"> Sentencia de 8 de </w:t>
      </w:r>
      <w:proofErr w:type="gramStart"/>
      <w:r>
        <w:rPr>
          <w:sz w:val="20"/>
          <w:szCs w:val="20"/>
        </w:rPr>
        <w:t>Octubre</w:t>
      </w:r>
      <w:proofErr w:type="gramEnd"/>
      <w:r>
        <w:rPr>
          <w:sz w:val="20"/>
          <w:szCs w:val="20"/>
        </w:rPr>
        <w:t xml:space="preserve"> de 2015 Corte IDH. Caso Comunidad Garífuna Triunfo</w:t>
      </w:r>
      <w:r>
        <w:rPr>
          <w:sz w:val="20"/>
          <w:szCs w:val="20"/>
        </w:rPr>
        <w:t xml:space="preserve"> de la Cruz y sus miembros Vs. Honduras. Fondo, Reparaciones y Costas. Serie C No. 305. (Fondo, Reparaciones y Costas); y Sentencia de 8 de octubre de 2015 Corte IDH. Caso Comunidad Garífuna de Punta Piedra y sus miembros Vs. </w:t>
      </w:r>
      <w:proofErr w:type="spellStart"/>
      <w:r>
        <w:rPr>
          <w:sz w:val="20"/>
          <w:szCs w:val="20"/>
        </w:rPr>
        <w:t>Honduras.Serie</w:t>
      </w:r>
      <w:proofErr w:type="spellEnd"/>
      <w:r>
        <w:rPr>
          <w:sz w:val="20"/>
          <w:szCs w:val="20"/>
        </w:rPr>
        <w:t xml:space="preserve"> C No. 304. (Exc</w:t>
      </w:r>
      <w:r>
        <w:rPr>
          <w:sz w:val="20"/>
          <w:szCs w:val="20"/>
        </w:rPr>
        <w:t xml:space="preserve">epciones Preliminares, Fondo, Reparaciones y Costas). En </w:t>
      </w:r>
      <w:hyperlink r:id="rId9">
        <w:r>
          <w:rPr>
            <w:color w:val="1155CC"/>
            <w:sz w:val="20"/>
            <w:szCs w:val="20"/>
            <w:u w:val="single"/>
          </w:rPr>
          <w:t>https://www.corteidh.or.cr/casos_sentencias.cfm</w:t>
        </w:r>
      </w:hyperlink>
      <w:r>
        <w:rPr>
          <w:sz w:val="20"/>
          <w:szCs w:val="20"/>
        </w:rPr>
        <w:t xml:space="preserve"> </w:t>
      </w:r>
    </w:p>
  </w:footnote>
  <w:footnote w:id="10">
    <w:p w14:paraId="00000056" w14:textId="77777777" w:rsidR="005C6AE1" w:rsidRDefault="0020347B">
      <w:pPr>
        <w:spacing w:after="0"/>
        <w:rPr>
          <w:sz w:val="20"/>
          <w:szCs w:val="20"/>
        </w:rPr>
      </w:pPr>
      <w:r>
        <w:rPr>
          <w:vertAlign w:val="superscript"/>
        </w:rPr>
        <w:footnoteRef/>
      </w:r>
      <w:r>
        <w:rPr>
          <w:sz w:val="20"/>
          <w:szCs w:val="20"/>
        </w:rPr>
        <w:t xml:space="preserve"> Información recabada con la Red de Instituciones por los derechos de la niñez y juventud de Honduras, COIPRODEN. En </w:t>
      </w:r>
      <w:hyperlink r:id="rId10">
        <w:r>
          <w:rPr>
            <w:color w:val="1155CC"/>
            <w:sz w:val="20"/>
            <w:szCs w:val="20"/>
            <w:u w:val="single"/>
          </w:rPr>
          <w:t>https://redcoiproden.org/</w:t>
        </w:r>
      </w:hyperlink>
      <w:r>
        <w:rPr>
          <w:sz w:val="20"/>
          <w:szCs w:val="20"/>
        </w:rPr>
        <w:t xml:space="preserve">  </w:t>
      </w:r>
    </w:p>
  </w:footnote>
  <w:footnote w:id="11">
    <w:p w14:paraId="00000057" w14:textId="77777777" w:rsidR="005C6AE1" w:rsidRDefault="0020347B">
      <w:pPr>
        <w:spacing w:after="0"/>
        <w:rPr>
          <w:sz w:val="20"/>
          <w:szCs w:val="20"/>
        </w:rPr>
      </w:pPr>
      <w:r>
        <w:rPr>
          <w:vertAlign w:val="superscript"/>
        </w:rPr>
        <w:footnoteRef/>
      </w:r>
      <w:r>
        <w:rPr>
          <w:sz w:val="20"/>
          <w:szCs w:val="20"/>
        </w:rPr>
        <w:t xml:space="preserve"> Se est</w:t>
      </w:r>
      <w:r>
        <w:rPr>
          <w:sz w:val="20"/>
          <w:szCs w:val="20"/>
        </w:rPr>
        <w:t>ima que actualmente 2.2 millones de niños y niñas están fuera del sistema educativo formal, debido a las razones estructurales mencionadas y a la pandemia.</w:t>
      </w:r>
    </w:p>
  </w:footnote>
  <w:footnote w:id="12">
    <w:p w14:paraId="00000063" w14:textId="77777777" w:rsidR="005C6AE1" w:rsidRDefault="0020347B">
      <w:pPr>
        <w:spacing w:after="0"/>
        <w:jc w:val="both"/>
        <w:rPr>
          <w:sz w:val="20"/>
          <w:szCs w:val="20"/>
        </w:rPr>
      </w:pPr>
      <w:r>
        <w:rPr>
          <w:vertAlign w:val="superscript"/>
        </w:rPr>
        <w:footnoteRef/>
      </w:r>
      <w:r>
        <w:t xml:space="preserve"> </w:t>
      </w:r>
      <w:r>
        <w:rPr>
          <w:sz w:val="20"/>
          <w:szCs w:val="20"/>
        </w:rPr>
        <w:t>Grupo de Trabajo del Consejo de Derechos Humanos sobre cuestiones de discriminación contra la mujer en la legislación y en la práctica, pág. 2, 14 de noviembre de 2018. En</w:t>
      </w:r>
      <w:hyperlink r:id="rId11">
        <w:r>
          <w:rPr>
            <w:sz w:val="20"/>
            <w:szCs w:val="20"/>
          </w:rPr>
          <w:t xml:space="preserve"> </w:t>
        </w:r>
      </w:hyperlink>
      <w:hyperlink r:id="rId12">
        <w:r>
          <w:rPr>
            <w:color w:val="1155CC"/>
            <w:sz w:val="20"/>
            <w:szCs w:val="20"/>
            <w:u w:val="single"/>
          </w:rPr>
          <w:t>https://drive.google.com/file/d/1fFkVfKyUbQB1okhD_UtC703AD1pXszvG/view</w:t>
        </w:r>
      </w:hyperlink>
      <w:r>
        <w:rPr>
          <w:sz w:val="20"/>
          <w:szCs w:val="20"/>
        </w:rPr>
        <w:t xml:space="preserve"> </w:t>
      </w:r>
    </w:p>
  </w:footnote>
  <w:footnote w:id="13">
    <w:p w14:paraId="00000064" w14:textId="77777777" w:rsidR="005C6AE1" w:rsidRDefault="0020347B">
      <w:pPr>
        <w:spacing w:after="0"/>
        <w:rPr>
          <w:sz w:val="20"/>
          <w:szCs w:val="20"/>
        </w:rPr>
      </w:pPr>
      <w:r>
        <w:rPr>
          <w:vertAlign w:val="superscript"/>
        </w:rPr>
        <w:footnoteRef/>
      </w:r>
      <w:r>
        <w:rPr>
          <w:sz w:val="20"/>
          <w:szCs w:val="20"/>
        </w:rPr>
        <w:t xml:space="preserve"> Este Comité ya ha hecho saber al Estado de Hondur</w:t>
      </w:r>
      <w:r>
        <w:rPr>
          <w:sz w:val="20"/>
          <w:szCs w:val="20"/>
        </w:rPr>
        <w:t>as la preocupante incidencia de la violencia de género hacia las mujeres en el país.  CEDAW/C/HND/Q/7-8/Add.1, Observaciones finales sobre los informes periódicos séptimo y octavo combinados de Honduras, 25 de noviembre de 2016, párr. 22</w:t>
      </w:r>
      <w:r>
        <w:t xml:space="preserve">.  </w:t>
      </w:r>
    </w:p>
  </w:footnote>
  <w:footnote w:id="14">
    <w:p w14:paraId="00000065" w14:textId="77777777" w:rsidR="005C6AE1" w:rsidRDefault="0020347B">
      <w:pPr>
        <w:spacing w:after="0"/>
        <w:rPr>
          <w:sz w:val="20"/>
          <w:szCs w:val="20"/>
        </w:rPr>
      </w:pPr>
      <w:r>
        <w:rPr>
          <w:vertAlign w:val="superscript"/>
        </w:rPr>
        <w:footnoteRef/>
      </w:r>
      <w:r>
        <w:rPr>
          <w:sz w:val="20"/>
          <w:szCs w:val="20"/>
        </w:rPr>
        <w:t xml:space="preserve"> Corte Interam</w:t>
      </w:r>
      <w:r>
        <w:rPr>
          <w:sz w:val="20"/>
          <w:szCs w:val="20"/>
        </w:rPr>
        <w:t xml:space="preserve">ericana de Derechos Humanos, Mendoza y otros Vs. Argentina, sentencia de 14 de mayo de 2013 (excepciones preliminares, fondo y reparaciones), párr.165. </w:t>
      </w:r>
    </w:p>
  </w:footnote>
  <w:footnote w:id="15">
    <w:p w14:paraId="00000058" w14:textId="77777777" w:rsidR="005C6AE1" w:rsidRDefault="0020347B">
      <w:pPr>
        <w:spacing w:after="0"/>
        <w:rPr>
          <w:sz w:val="20"/>
          <w:szCs w:val="20"/>
        </w:rPr>
      </w:pPr>
      <w:r>
        <w:rPr>
          <w:vertAlign w:val="superscript"/>
        </w:rPr>
        <w:footnoteRef/>
      </w:r>
      <w:r>
        <w:rPr>
          <w:sz w:val="20"/>
          <w:szCs w:val="20"/>
        </w:rPr>
        <w:t xml:space="preserve"> Organigrama del Poder Judicial. Poder Judicial de Honduras. http://www.poderjudicial.gob.hn/Documents/EFJC-OJ-F2020.pdf</w:t>
      </w:r>
    </w:p>
  </w:footnote>
  <w:footnote w:id="16">
    <w:p w14:paraId="00000059" w14:textId="77777777" w:rsidR="005C6AE1" w:rsidRDefault="0020347B">
      <w:pPr>
        <w:spacing w:after="0"/>
        <w:rPr>
          <w:sz w:val="20"/>
          <w:szCs w:val="20"/>
        </w:rPr>
      </w:pPr>
      <w:r>
        <w:rPr>
          <w:vertAlign w:val="superscript"/>
        </w:rPr>
        <w:footnoteRef/>
      </w:r>
      <w:r>
        <w:rPr>
          <w:sz w:val="20"/>
          <w:szCs w:val="20"/>
        </w:rPr>
        <w:t xml:space="preserve"> Desde 2014 se ha trabajado un protocolo de atención integral a sobrevivientes de violencia sexual: </w:t>
      </w:r>
      <w:hyperlink r:id="rId13">
        <w:r>
          <w:rPr>
            <w:color w:val="1155CC"/>
            <w:sz w:val="20"/>
            <w:szCs w:val="20"/>
            <w:u w:val="single"/>
          </w:rPr>
          <w:t>https://www.msf.mx/article/honduras-urge-que-la-sesal-apruebe-el-protocolo-de-atencion-integral-para-sobrevivientes-de</w:t>
        </w:r>
      </w:hyperlink>
    </w:p>
  </w:footnote>
  <w:footnote w:id="17">
    <w:p w14:paraId="0000005A" w14:textId="77777777" w:rsidR="005C6AE1" w:rsidRDefault="0020347B">
      <w:pPr>
        <w:spacing w:after="0"/>
        <w:rPr>
          <w:sz w:val="20"/>
          <w:szCs w:val="20"/>
        </w:rPr>
      </w:pPr>
      <w:r>
        <w:rPr>
          <w:vertAlign w:val="superscript"/>
        </w:rPr>
        <w:footnoteRef/>
      </w:r>
      <w:r>
        <w:rPr>
          <w:sz w:val="20"/>
          <w:szCs w:val="20"/>
        </w:rPr>
        <w:t xml:space="preserve"> Decreto 54-2009 </w:t>
      </w:r>
      <w:hyperlink r:id="rId14">
        <w:r>
          <w:rPr>
            <w:color w:val="1155CC"/>
            <w:sz w:val="20"/>
            <w:szCs w:val="20"/>
            <w:u w:val="single"/>
          </w:rPr>
          <w:t>https://criterio.hn/wp-content/uploads/2020/11/Decreto-54-2009-Prohibibion-de-la-PAE-Honduras.pdf</w:t>
        </w:r>
      </w:hyperlink>
    </w:p>
  </w:footnote>
  <w:footnote w:id="18">
    <w:p w14:paraId="00000061" w14:textId="77777777" w:rsidR="005C6AE1" w:rsidRDefault="0020347B">
      <w:pPr>
        <w:spacing w:after="0"/>
        <w:rPr>
          <w:sz w:val="20"/>
          <w:szCs w:val="20"/>
        </w:rPr>
      </w:pPr>
      <w:r>
        <w:rPr>
          <w:vertAlign w:val="superscript"/>
        </w:rPr>
        <w:footnoteRef/>
      </w:r>
      <w:r>
        <w:rPr>
          <w:sz w:val="20"/>
          <w:szCs w:val="20"/>
        </w:rPr>
        <w:t xml:space="preserve"> Comisionado Nacional de los DDHH exigió investigaci</w:t>
      </w:r>
      <w:r>
        <w:rPr>
          <w:sz w:val="20"/>
          <w:szCs w:val="20"/>
        </w:rPr>
        <w:t xml:space="preserve">ón en muerte de enfermera mientras se encontraba bajo custodia policial: </w:t>
      </w:r>
    </w:p>
    <w:p w14:paraId="00000062" w14:textId="77777777" w:rsidR="005C6AE1" w:rsidRDefault="0020347B">
      <w:pPr>
        <w:spacing w:after="0"/>
        <w:rPr>
          <w:sz w:val="20"/>
          <w:szCs w:val="20"/>
        </w:rPr>
      </w:pPr>
      <w:hyperlink r:id="rId15">
        <w:r>
          <w:rPr>
            <w:color w:val="1155CC"/>
            <w:sz w:val="20"/>
            <w:szCs w:val="20"/>
            <w:u w:val="single"/>
          </w:rPr>
          <w:t>https://www.elheraldo.hn/pais/1441357-466/conadeh-keyla-martinez</w:t>
        </w:r>
        <w:r>
          <w:rPr>
            <w:color w:val="1155CC"/>
            <w:sz w:val="20"/>
            <w:szCs w:val="20"/>
            <w:u w:val="single"/>
          </w:rPr>
          <w:t>-honduras-enfermeria-universitaria</w:t>
        </w:r>
      </w:hyperlink>
    </w:p>
  </w:footnote>
  <w:footnote w:id="19">
    <w:p w14:paraId="00000060" w14:textId="77777777" w:rsidR="005C6AE1" w:rsidRDefault="0020347B">
      <w:pPr>
        <w:spacing w:after="0"/>
        <w:rPr>
          <w:sz w:val="20"/>
          <w:szCs w:val="20"/>
        </w:rPr>
      </w:pPr>
      <w:r>
        <w:rPr>
          <w:vertAlign w:val="superscript"/>
        </w:rPr>
        <w:footnoteRef/>
      </w:r>
      <w:r>
        <w:rPr>
          <w:sz w:val="20"/>
          <w:szCs w:val="20"/>
        </w:rPr>
        <w:t xml:space="preserve"> Informe del Alto Comisionado de los DDHH sobre la Situación de los DDHH e</w:t>
      </w:r>
      <w:r>
        <w:rPr>
          <w:sz w:val="20"/>
          <w:szCs w:val="20"/>
        </w:rPr>
        <w:t xml:space="preserve">n Honduras. 2020. Párrafo 53: </w:t>
      </w:r>
      <w:hyperlink r:id="rId16">
        <w:r>
          <w:rPr>
            <w:color w:val="1155CC"/>
            <w:sz w:val="20"/>
            <w:szCs w:val="20"/>
            <w:u w:val="single"/>
          </w:rPr>
          <w:t>ht</w:t>
        </w:r>
        <w:r>
          <w:rPr>
            <w:color w:val="1155CC"/>
            <w:sz w:val="20"/>
            <w:szCs w:val="20"/>
            <w:u w:val="single"/>
          </w:rPr>
          <w:t>tp://oacnudh.hn/wp-content/uploads/2021/03/TRADUCCION-NO-OFICIAL_-INFORME-DEL-ALTO-COMISIONADO-DE-LAS-NACIONES-UNIDAS-PARA-LOS-DERECHOS-HUMANOS-SOBRE-LA-SITUACION-DE-LOS-DERECHOS-HUMANOS-EN-HONDURAS.pdf</w:t>
        </w:r>
      </w:hyperlink>
    </w:p>
  </w:footnote>
  <w:footnote w:id="20">
    <w:p w14:paraId="0000005B" w14:textId="77777777" w:rsidR="005C6AE1" w:rsidRDefault="0020347B">
      <w:pPr>
        <w:spacing w:after="0"/>
        <w:rPr>
          <w:sz w:val="20"/>
          <w:szCs w:val="20"/>
        </w:rPr>
      </w:pPr>
      <w:r>
        <w:rPr>
          <w:vertAlign w:val="superscript"/>
        </w:rPr>
        <w:footnoteRef/>
      </w:r>
      <w:r>
        <w:rPr>
          <w:sz w:val="20"/>
          <w:szCs w:val="20"/>
        </w:rPr>
        <w:t xml:space="preserve"> La directora de Medicina Forense del Ministerio Públic</w:t>
      </w:r>
      <w:r>
        <w:rPr>
          <w:sz w:val="20"/>
          <w:szCs w:val="20"/>
        </w:rPr>
        <w:t>o fue despedida por exigir investigación criminal en femicidio de fiscal:  https://tiempo.hn/julissa-villanueva-mp-sigue-ocultando-asesinos-sheril-atic/</w:t>
      </w:r>
    </w:p>
  </w:footnote>
  <w:footnote w:id="21">
    <w:p w14:paraId="0000005C" w14:textId="77777777" w:rsidR="005C6AE1" w:rsidRDefault="0020347B">
      <w:pPr>
        <w:spacing w:after="0"/>
        <w:rPr>
          <w:sz w:val="20"/>
          <w:szCs w:val="20"/>
        </w:rPr>
      </w:pPr>
      <w:r>
        <w:rPr>
          <w:vertAlign w:val="superscript"/>
        </w:rPr>
        <w:footnoteRef/>
      </w:r>
      <w:r>
        <w:rPr>
          <w:sz w:val="20"/>
          <w:szCs w:val="20"/>
        </w:rPr>
        <w:t xml:space="preserve"> Obstáculos al acceso a la justicia en caso Berta Cáceres: </w:t>
      </w:r>
      <w:hyperlink r:id="rId17">
        <w:r>
          <w:rPr>
            <w:color w:val="1155CC"/>
            <w:sz w:val="20"/>
            <w:szCs w:val="20"/>
            <w:u w:val="single"/>
          </w:rPr>
          <w:t>https://www.fidh.org/es/region/americas/honduras/la-justicia-hondurena-en-deuda-organizaciones-presentan-hallazgo</w:t>
        </w:r>
      </w:hyperlink>
    </w:p>
  </w:footnote>
  <w:footnote w:id="22">
    <w:p w14:paraId="0000005D" w14:textId="77777777" w:rsidR="005C6AE1" w:rsidRDefault="0020347B">
      <w:pPr>
        <w:spacing w:after="0"/>
        <w:rPr>
          <w:sz w:val="20"/>
          <w:szCs w:val="20"/>
        </w:rPr>
      </w:pPr>
      <w:r>
        <w:rPr>
          <w:vertAlign w:val="superscript"/>
        </w:rPr>
        <w:footnoteRef/>
      </w:r>
      <w:r>
        <w:rPr>
          <w:sz w:val="20"/>
          <w:szCs w:val="20"/>
        </w:rPr>
        <w:t xml:space="preserve"> “El Riesgo de ser Mujer en Honduras” Investigació</w:t>
      </w:r>
      <w:r>
        <w:rPr>
          <w:sz w:val="20"/>
          <w:szCs w:val="20"/>
        </w:rPr>
        <w:t>n sobre acceso a la justicia de mujeres. Mayo 2018.</w:t>
      </w:r>
    </w:p>
    <w:p w14:paraId="0000005E" w14:textId="77777777" w:rsidR="005C6AE1" w:rsidRDefault="0020347B">
      <w:pPr>
        <w:spacing w:after="0"/>
        <w:rPr>
          <w:sz w:val="20"/>
          <w:szCs w:val="20"/>
        </w:rPr>
      </w:pPr>
      <w:hyperlink r:id="rId18">
        <w:r>
          <w:rPr>
            <w:color w:val="1155CC"/>
            <w:sz w:val="20"/>
            <w:szCs w:val="20"/>
            <w:u w:val="single"/>
          </w:rPr>
          <w:t>https://cng-cdn.ox</w:t>
        </w:r>
        <w:r>
          <w:rPr>
            <w:color w:val="1155CC"/>
            <w:sz w:val="20"/>
            <w:szCs w:val="20"/>
            <w:u w:val="single"/>
          </w:rPr>
          <w:t>fam.org/honduras.oxfam.org/s3fs-public/file_attachments/El%20riesgo%20de%20ser%20mujer%20en%20Honduras%20-%20Reportaje%20de%20investigaci%C3%B3n.pdf</w:t>
        </w:r>
      </w:hyperlink>
    </w:p>
  </w:footnote>
  <w:footnote w:id="23">
    <w:p w14:paraId="00000054" w14:textId="77777777" w:rsidR="005C6AE1" w:rsidRDefault="0020347B">
      <w:pPr>
        <w:spacing w:after="0"/>
        <w:rPr>
          <w:sz w:val="20"/>
          <w:szCs w:val="20"/>
        </w:rPr>
      </w:pPr>
      <w:r>
        <w:rPr>
          <w:vertAlign w:val="superscript"/>
        </w:rPr>
        <w:footnoteRef/>
      </w:r>
      <w:r>
        <w:rPr>
          <w:sz w:val="20"/>
          <w:szCs w:val="20"/>
        </w:rPr>
        <w:t xml:space="preserve"> Las dificultades en el acceso a datos e información </w:t>
      </w:r>
      <w:proofErr w:type="gramStart"/>
      <w:r>
        <w:rPr>
          <w:sz w:val="20"/>
          <w:szCs w:val="20"/>
        </w:rPr>
        <w:t>incluye</w:t>
      </w:r>
      <w:proofErr w:type="gramEnd"/>
      <w:r>
        <w:rPr>
          <w:sz w:val="20"/>
          <w:szCs w:val="20"/>
        </w:rPr>
        <w:t xml:space="preserve"> también al Observatorio de la Vi</w:t>
      </w:r>
      <w:r>
        <w:rPr>
          <w:sz w:val="20"/>
          <w:szCs w:val="20"/>
        </w:rPr>
        <w:t>olencia, de la Universidad Nacional Autónoma de Honduras, que desde 2019 no ha podido publicar sus boletines del comportamiento de la violencia en Honduras.</w:t>
      </w:r>
    </w:p>
  </w:footnote>
  <w:footnote w:id="24">
    <w:p w14:paraId="00000055" w14:textId="77777777" w:rsidR="005C6AE1" w:rsidRDefault="0020347B">
      <w:pPr>
        <w:spacing w:after="0"/>
        <w:rPr>
          <w:sz w:val="20"/>
          <w:szCs w:val="20"/>
        </w:rPr>
      </w:pPr>
      <w:r>
        <w:rPr>
          <w:vertAlign w:val="superscript"/>
        </w:rPr>
        <w:footnoteRef/>
      </w:r>
      <w:r>
        <w:rPr>
          <w:sz w:val="20"/>
          <w:szCs w:val="20"/>
        </w:rPr>
        <w:t xml:space="preserve"> </w:t>
      </w:r>
      <w:hyperlink r:id="rId19">
        <w:r>
          <w:rPr>
            <w:color w:val="1155CC"/>
            <w:sz w:val="20"/>
            <w:szCs w:val="20"/>
            <w:u w:val="single"/>
          </w:rPr>
          <w:t>http://cespad.org.hn/2020/12/01/cespad-presenta-informe-de-monitoreo-las-mujeres-y-la-emergencia-sanitaria-en-honduras-una-nueva-lucha-en-c</w:t>
        </w:r>
        <w:r>
          <w:rPr>
            <w:color w:val="1155CC"/>
            <w:sz w:val="20"/>
            <w:szCs w:val="20"/>
            <w:u w:val="single"/>
          </w:rPr>
          <w:t>ontra-de-la-historica-invisibilizacion-de-sus-derechos/</w:t>
        </w:r>
      </w:hyperlink>
      <w:r>
        <w:rPr>
          <w:sz w:val="20"/>
          <w:szCs w:val="20"/>
        </w:rPr>
        <w:t xml:space="preserve"> </w:t>
      </w:r>
    </w:p>
  </w:footnote>
  <w:footnote w:id="25">
    <w:p w14:paraId="0000006B" w14:textId="77777777" w:rsidR="005C6AE1" w:rsidRDefault="0020347B">
      <w:pPr>
        <w:spacing w:after="0"/>
        <w:rPr>
          <w:sz w:val="20"/>
          <w:szCs w:val="20"/>
        </w:rPr>
      </w:pPr>
      <w:r>
        <w:rPr>
          <w:vertAlign w:val="superscript"/>
        </w:rPr>
        <w:footnoteRef/>
      </w:r>
      <w:r>
        <w:rPr>
          <w:sz w:val="20"/>
          <w:szCs w:val="20"/>
        </w:rPr>
        <w:t xml:space="preserve"> CIDH. Situación de Derechos Humanos en Honduras, p. 88, párr. 154. 2019.</w:t>
      </w:r>
    </w:p>
  </w:footnote>
  <w:footnote w:id="26">
    <w:p w14:paraId="0000006C" w14:textId="77777777" w:rsidR="005C6AE1" w:rsidRDefault="0020347B">
      <w:pPr>
        <w:spacing w:after="0"/>
        <w:rPr>
          <w:sz w:val="20"/>
          <w:szCs w:val="20"/>
        </w:rPr>
      </w:pPr>
      <w:r>
        <w:rPr>
          <w:vertAlign w:val="superscript"/>
        </w:rPr>
        <w:footnoteRef/>
      </w:r>
      <w:r>
        <w:rPr>
          <w:sz w:val="20"/>
          <w:szCs w:val="20"/>
        </w:rPr>
        <w:t xml:space="preserve"> Consejo de Derechos Humanos, Naciones Unidas. Informe del Relator Especial sob</w:t>
      </w:r>
      <w:r>
        <w:rPr>
          <w:sz w:val="20"/>
          <w:szCs w:val="20"/>
        </w:rPr>
        <w:t>re la situación de los defensores de los derechos humanos, visita a Honduras, 2019. A/HRC/40/60/Add.2.</w:t>
      </w:r>
    </w:p>
  </w:footnote>
  <w:footnote w:id="27">
    <w:p w14:paraId="00000071" w14:textId="77777777" w:rsidR="005C6AE1" w:rsidRDefault="0020347B">
      <w:pPr>
        <w:spacing w:after="0"/>
        <w:rPr>
          <w:sz w:val="20"/>
          <w:szCs w:val="20"/>
        </w:rPr>
      </w:pPr>
      <w:r>
        <w:rPr>
          <w:vertAlign w:val="superscript"/>
        </w:rPr>
        <w:footnoteRef/>
      </w:r>
      <w:r>
        <w:rPr>
          <w:sz w:val="20"/>
          <w:szCs w:val="20"/>
        </w:rPr>
        <w:t xml:space="preserve"> Contexto procesal en la causa instruida contra David Cast</w:t>
      </w:r>
      <w:r>
        <w:rPr>
          <w:sz w:val="20"/>
          <w:szCs w:val="20"/>
        </w:rPr>
        <w:t xml:space="preserve">illo por el asesinato de Berta Cáceres, ver aquí: </w:t>
      </w:r>
      <w:hyperlink r:id="rId20">
        <w:r>
          <w:rPr>
            <w:color w:val="1155CC"/>
            <w:sz w:val="20"/>
            <w:szCs w:val="20"/>
            <w:u w:val="single"/>
          </w:rPr>
          <w:t>https://www.observacionbertacaceres.org/p</w:t>
        </w:r>
        <w:r>
          <w:rPr>
            <w:color w:val="1155CC"/>
            <w:sz w:val="20"/>
            <w:szCs w:val="20"/>
            <w:u w:val="single"/>
          </w:rPr>
          <w:t>ost/contexto-procesal-en-la-causa-instruida-contra-david-castillo-por-el-asesinato-de-berta-c%C3%A1ceres</w:t>
        </w:r>
      </w:hyperlink>
    </w:p>
  </w:footnote>
  <w:footnote w:id="28">
    <w:p w14:paraId="00000070" w14:textId="77777777" w:rsidR="005C6AE1" w:rsidRDefault="0020347B">
      <w:pPr>
        <w:spacing w:after="0"/>
        <w:rPr>
          <w:sz w:val="20"/>
          <w:szCs w:val="20"/>
        </w:rPr>
      </w:pPr>
      <w:r>
        <w:rPr>
          <w:vertAlign w:val="superscript"/>
        </w:rPr>
        <w:footnoteRef/>
      </w:r>
      <w:r>
        <w:rPr>
          <w:sz w:val="20"/>
          <w:szCs w:val="20"/>
        </w:rPr>
        <w:t xml:space="preserve"> Misión de Observación Calificada de Causa Berta Cáceres. Una Deuda Histór</w:t>
      </w:r>
      <w:r>
        <w:rPr>
          <w:sz w:val="20"/>
          <w:szCs w:val="20"/>
        </w:rPr>
        <w:t>ico de la Justicia, Informe de organizaciones miembros de la Misión de Observación Calificada sobre el juicio por el asesinato de Berta Cáceres y la tentativa de asesinato de Gustavo Castro, 2020.</w:t>
      </w:r>
    </w:p>
  </w:footnote>
  <w:footnote w:id="29">
    <w:p w14:paraId="0000006E" w14:textId="77777777" w:rsidR="005C6AE1" w:rsidRDefault="0020347B">
      <w:pPr>
        <w:spacing w:after="0"/>
        <w:rPr>
          <w:sz w:val="20"/>
          <w:szCs w:val="20"/>
        </w:rPr>
      </w:pPr>
      <w:r>
        <w:rPr>
          <w:vertAlign w:val="superscript"/>
        </w:rPr>
        <w:footnoteRef/>
      </w:r>
      <w:r>
        <w:rPr>
          <w:sz w:val="20"/>
          <w:szCs w:val="20"/>
        </w:rPr>
        <w:t xml:space="preserve"> Expertos: Honduras debe esclarecer todos los hechos ilícitos denunciados en la Causa Berta Cáceres, ver aquí: </w:t>
      </w:r>
      <w:hyperlink r:id="rId21">
        <w:r>
          <w:rPr>
            <w:color w:val="1155CC"/>
            <w:sz w:val="20"/>
            <w:szCs w:val="20"/>
            <w:u w:val="single"/>
          </w:rPr>
          <w:t>https://www.observacionbertacaceres.org/post/expertos-honduras-debe-esclarecer-todos-los-hechos-il%C3%ADcitos-denunciados-en-la-causa-berta-c%C3%A1ceres</w:t>
        </w:r>
      </w:hyperlink>
    </w:p>
    <w:p w14:paraId="0000006F" w14:textId="77777777" w:rsidR="005C6AE1" w:rsidRDefault="005C6AE1">
      <w:pPr>
        <w:spacing w:after="0"/>
        <w:rPr>
          <w:sz w:val="20"/>
          <w:szCs w:val="20"/>
        </w:rPr>
      </w:pPr>
    </w:p>
  </w:footnote>
  <w:footnote w:id="30">
    <w:p w14:paraId="0000004F" w14:textId="77777777" w:rsidR="005C6AE1" w:rsidRDefault="0020347B">
      <w:pPr>
        <w:spacing w:after="0"/>
        <w:rPr>
          <w:sz w:val="20"/>
          <w:szCs w:val="20"/>
        </w:rPr>
      </w:pPr>
      <w:r>
        <w:rPr>
          <w:vertAlign w:val="superscript"/>
        </w:rPr>
        <w:footnoteRef/>
      </w:r>
      <w:r>
        <w:rPr>
          <w:sz w:val="20"/>
          <w:szCs w:val="20"/>
        </w:rPr>
        <w:t xml:space="preserve"> </w:t>
      </w:r>
      <w:hyperlink r:id="rId22">
        <w:r>
          <w:rPr>
            <w:color w:val="1155CC"/>
            <w:sz w:val="20"/>
            <w:szCs w:val="20"/>
            <w:u w:val="single"/>
          </w:rPr>
          <w:t>https://www.elheraldo.hn/mobile/mopinion/760082-392/piden-al-congreso-nacional-reabrir-debate-sobre-la-pae</w:t>
        </w:r>
      </w:hyperlink>
      <w:r>
        <w:rPr>
          <w:sz w:val="20"/>
          <w:szCs w:val="20"/>
        </w:rPr>
        <w:t xml:space="preserve"> </w:t>
      </w:r>
    </w:p>
  </w:footnote>
  <w:footnote w:id="31">
    <w:p w14:paraId="00000050" w14:textId="77777777" w:rsidR="005C6AE1" w:rsidRDefault="0020347B">
      <w:pPr>
        <w:spacing w:after="0"/>
        <w:rPr>
          <w:sz w:val="20"/>
          <w:szCs w:val="20"/>
        </w:rPr>
      </w:pPr>
      <w:r>
        <w:rPr>
          <w:vertAlign w:val="superscript"/>
        </w:rPr>
        <w:footnoteRef/>
      </w:r>
      <w:r>
        <w:rPr>
          <w:sz w:val="20"/>
          <w:szCs w:val="20"/>
        </w:rPr>
        <w:t xml:space="preserve"> </w:t>
      </w:r>
      <w:hyperlink r:id="rId23">
        <w:r>
          <w:rPr>
            <w:color w:val="1155CC"/>
            <w:sz w:val="20"/>
            <w:szCs w:val="20"/>
            <w:u w:val="single"/>
          </w:rPr>
          <w:t>https://www.msf.mx/article/honduras-urge-que-la-sesal-apruebe-el-protocolo-de-atencion-integral-para-sobrevivientes-de</w:t>
        </w:r>
      </w:hyperlink>
      <w:r>
        <w:rPr>
          <w:sz w:val="20"/>
          <w:szCs w:val="20"/>
        </w:rPr>
        <w:t xml:space="preserve"> </w:t>
      </w:r>
    </w:p>
  </w:footnote>
  <w:footnote w:id="32">
    <w:p w14:paraId="00000051" w14:textId="77777777" w:rsidR="005C6AE1" w:rsidRDefault="0020347B">
      <w:pPr>
        <w:spacing w:after="0"/>
        <w:rPr>
          <w:sz w:val="20"/>
          <w:szCs w:val="20"/>
        </w:rPr>
      </w:pPr>
      <w:r>
        <w:rPr>
          <w:vertAlign w:val="superscript"/>
        </w:rPr>
        <w:footnoteRef/>
      </w:r>
      <w:r>
        <w:rPr>
          <w:sz w:val="20"/>
          <w:szCs w:val="20"/>
        </w:rPr>
        <w:t xml:space="preserve"> Artículo 196 del Código Penal. En </w:t>
      </w:r>
      <w:hyperlink r:id="rId24">
        <w:r>
          <w:rPr>
            <w:color w:val="1155CC"/>
            <w:sz w:val="20"/>
            <w:szCs w:val="20"/>
            <w:u w:val="single"/>
          </w:rPr>
          <w:t>https://www.tsc.gob.hn/biblioteca/index.php/codigos</w:t>
        </w:r>
      </w:hyperlink>
      <w:r>
        <w:rPr>
          <w:sz w:val="20"/>
          <w:szCs w:val="20"/>
        </w:rPr>
        <w:t xml:space="preserve"> </w:t>
      </w:r>
    </w:p>
  </w:footnote>
  <w:footnote w:id="33">
    <w:p w14:paraId="00000052" w14:textId="77777777" w:rsidR="005C6AE1" w:rsidRDefault="0020347B">
      <w:pPr>
        <w:spacing w:after="0"/>
        <w:rPr>
          <w:sz w:val="20"/>
          <w:szCs w:val="20"/>
        </w:rPr>
      </w:pPr>
      <w:r>
        <w:rPr>
          <w:vertAlign w:val="superscript"/>
        </w:rPr>
        <w:footnoteRef/>
      </w:r>
      <w:r>
        <w:rPr>
          <w:sz w:val="20"/>
          <w:szCs w:val="20"/>
        </w:rPr>
        <w:t xml:space="preserve"> Decreto No. 192-2020 honduras y Decreto No. 3-2021. En </w:t>
      </w:r>
      <w:hyperlink r:id="rId25">
        <w:r>
          <w:rPr>
            <w:color w:val="1155CC"/>
            <w:sz w:val="20"/>
            <w:szCs w:val="20"/>
            <w:u w:val="single"/>
          </w:rPr>
          <w:t>https://www.tsc.gob.hn/biblioteca/index.php/leyes/177-constitucion-de-la-republica-de-honduras</w:t>
        </w:r>
      </w:hyperlink>
      <w:r>
        <w:rPr>
          <w:sz w:val="20"/>
          <w:szCs w:val="20"/>
        </w:rPr>
        <w:t xml:space="preserve"> </w:t>
      </w:r>
    </w:p>
  </w:footnote>
  <w:footnote w:id="34">
    <w:p w14:paraId="00000069" w14:textId="77777777" w:rsidR="005C6AE1" w:rsidRDefault="0020347B">
      <w:pPr>
        <w:spacing w:after="0"/>
        <w:rPr>
          <w:sz w:val="20"/>
          <w:szCs w:val="20"/>
        </w:rPr>
      </w:pPr>
      <w:r>
        <w:rPr>
          <w:vertAlign w:val="superscript"/>
        </w:rPr>
        <w:footnoteRef/>
      </w:r>
      <w:r>
        <w:rPr>
          <w:sz w:val="20"/>
          <w:szCs w:val="20"/>
        </w:rPr>
        <w:t xml:space="preserve"> </w:t>
      </w:r>
      <w:r>
        <w:rPr>
          <w:rFonts w:ascii="Garamond" w:eastAsia="Garamond" w:hAnsi="Garamond" w:cs="Garamond"/>
        </w:rPr>
        <w:t>OIM 2020. Iniciativa de Gestión de Información de Movilidad Humana en el Triángulo Norte – NTMI. Ver aquí: https://mic.iom.int/webntmi/masalladelascifras/</w:t>
      </w:r>
    </w:p>
  </w:footnote>
  <w:footnote w:id="35">
    <w:p w14:paraId="0000006A" w14:textId="77777777" w:rsidR="005C6AE1" w:rsidRDefault="0020347B">
      <w:pPr>
        <w:spacing w:after="0"/>
        <w:rPr>
          <w:sz w:val="20"/>
          <w:szCs w:val="20"/>
        </w:rPr>
      </w:pPr>
      <w:r>
        <w:rPr>
          <w:vertAlign w:val="superscript"/>
        </w:rPr>
        <w:footnoteRef/>
      </w:r>
      <w:r>
        <w:rPr>
          <w:sz w:val="20"/>
          <w:szCs w:val="20"/>
        </w:rPr>
        <w:t xml:space="preserve"> </w:t>
      </w:r>
      <w:r>
        <w:rPr>
          <w:rFonts w:ascii="Garamond" w:eastAsia="Garamond" w:hAnsi="Garamond" w:cs="Garamond"/>
        </w:rPr>
        <w:t>https://www</w:t>
      </w:r>
      <w:r>
        <w:rPr>
          <w:rFonts w:ascii="Garamond" w:eastAsia="Garamond" w:hAnsi="Garamond" w:cs="Garamond"/>
        </w:rPr>
        <w:t>.dw.com/es/caravana-a-ninguna-parte-el-drama-de-los-migrantes-hondure%C3%B1os-en-pandemia/a-56269249</w:t>
      </w:r>
    </w:p>
  </w:footnote>
  <w:footnote w:id="36">
    <w:p w14:paraId="2979F296" w14:textId="13FC7A50" w:rsidR="00F841AE" w:rsidRPr="00F841AE" w:rsidRDefault="00F841AE">
      <w:pPr>
        <w:pStyle w:val="Textonotapie"/>
      </w:pPr>
      <w:r>
        <w:rPr>
          <w:rStyle w:val="Refdenotaalpie"/>
        </w:rPr>
        <w:footnoteRef/>
      </w:r>
      <w:r>
        <w:t xml:space="preserve"> </w:t>
      </w:r>
      <w:r w:rsidRPr="001A4322">
        <w:rPr>
          <w:lang w:val="es-PA"/>
        </w:rPr>
        <w:t xml:space="preserve">REDTRASEX (2016). </w:t>
      </w:r>
      <w:r>
        <w:rPr>
          <w:lang w:val="es-PA"/>
        </w:rPr>
        <w:t>V</w:t>
      </w:r>
      <w:r w:rsidRPr="001A4322">
        <w:rPr>
          <w:lang w:val="es-PA"/>
        </w:rPr>
        <w:t>iolencia institucional hacia trabajadoras sex</w:t>
      </w:r>
      <w:r>
        <w:rPr>
          <w:lang w:val="es-PA"/>
        </w:rPr>
        <w:t xml:space="preserve">uales. Informe Nacional Honduras. Tegucigalpa, Honduras. </w:t>
      </w:r>
      <w:hyperlink r:id="rId26" w:history="1">
        <w:r w:rsidRPr="001A4322">
          <w:rPr>
            <w:rStyle w:val="Hipervnculo"/>
            <w:lang w:val="es-PA"/>
          </w:rPr>
          <w:t>http://redtrasex.org/IMG/pdf/informe_nacional_honduras.pdf</w:t>
        </w:r>
      </w:hyperlink>
    </w:p>
  </w:footnote>
  <w:footnote w:id="37">
    <w:p w14:paraId="0000006D" w14:textId="77777777" w:rsidR="005C6AE1" w:rsidRDefault="0020347B">
      <w:pPr>
        <w:spacing w:after="0"/>
        <w:rPr>
          <w:sz w:val="20"/>
          <w:szCs w:val="20"/>
        </w:rPr>
      </w:pPr>
      <w:r>
        <w:rPr>
          <w:vertAlign w:val="superscript"/>
        </w:rPr>
        <w:footnoteRef/>
      </w:r>
      <w:r>
        <w:rPr>
          <w:sz w:val="20"/>
          <w:szCs w:val="20"/>
        </w:rPr>
        <w:t xml:space="preserve"> Instituto Nacional de la Mujer. </w:t>
      </w:r>
    </w:p>
  </w:footnote>
  <w:footnote w:id="38">
    <w:p w14:paraId="00000066" w14:textId="77777777" w:rsidR="005C6AE1" w:rsidRDefault="0020347B">
      <w:pPr>
        <w:spacing w:after="0"/>
        <w:rPr>
          <w:sz w:val="20"/>
          <w:szCs w:val="20"/>
        </w:rPr>
      </w:pPr>
      <w:r>
        <w:rPr>
          <w:vertAlign w:val="superscript"/>
        </w:rPr>
        <w:footnoteRef/>
      </w:r>
      <w:r>
        <w:rPr>
          <w:sz w:val="20"/>
          <w:szCs w:val="20"/>
        </w:rPr>
        <w:t xml:space="preserve"> Ver noticias sobre </w:t>
      </w:r>
      <w:proofErr w:type="spellStart"/>
      <w:r>
        <w:rPr>
          <w:sz w:val="20"/>
          <w:szCs w:val="20"/>
        </w:rPr>
        <w:t>ratidicación</w:t>
      </w:r>
      <w:proofErr w:type="spellEnd"/>
      <w:r>
        <w:rPr>
          <w:sz w:val="20"/>
          <w:szCs w:val="20"/>
        </w:rPr>
        <w:t xml:space="preserve"> del Protocolo Facultativo CEDAW </w:t>
      </w:r>
      <w:hyperlink r:id="rId27">
        <w:r>
          <w:rPr>
            <w:color w:val="1155CC"/>
            <w:sz w:val="20"/>
            <w:szCs w:val="20"/>
            <w:u w:val="single"/>
          </w:rPr>
          <w:t>https://www.inam.gob.hn/index.php?option=com_content&amp;view=featured&amp;Itemid=101</w:t>
        </w:r>
      </w:hyperlink>
      <w:r>
        <w:rPr>
          <w:sz w:val="20"/>
          <w:szCs w:val="20"/>
        </w:rPr>
        <w:t xml:space="preserve"> </w:t>
      </w:r>
    </w:p>
  </w:footnote>
  <w:footnote w:id="39">
    <w:p w14:paraId="0000005F" w14:textId="77777777" w:rsidR="005C6AE1" w:rsidRDefault="0020347B">
      <w:pPr>
        <w:spacing w:after="0"/>
        <w:rPr>
          <w:sz w:val="20"/>
          <w:szCs w:val="20"/>
        </w:rPr>
      </w:pPr>
      <w:r>
        <w:rPr>
          <w:vertAlign w:val="superscript"/>
        </w:rPr>
        <w:footnoteRef/>
      </w:r>
      <w:r>
        <w:rPr>
          <w:sz w:val="20"/>
          <w:szCs w:val="20"/>
        </w:rPr>
        <w:t xml:space="preserve"> “Cada 36 horas asesinan a una mujer en 2021”: </w:t>
      </w:r>
      <w:hyperlink r:id="rId28">
        <w:r>
          <w:rPr>
            <w:color w:val="1155CC"/>
            <w:sz w:val="20"/>
            <w:szCs w:val="20"/>
            <w:u w:val="single"/>
          </w:rPr>
          <w:t>https://www.elheraldo.hn/sucesos/1442033-466/honduras-femicidios-feminicidios-2021-asesinatos-muertes-mujeres</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9" w14:textId="3DDD699E" w:rsidR="005C6AE1" w:rsidRDefault="007523B6">
    <w:pPr>
      <w:pBdr>
        <w:top w:val="nil"/>
        <w:left w:val="nil"/>
        <w:bottom w:val="nil"/>
        <w:right w:val="nil"/>
        <w:between w:val="nil"/>
      </w:pBdr>
      <w:tabs>
        <w:tab w:val="center" w:pos="2820"/>
        <w:tab w:val="right" w:pos="5805"/>
      </w:tabs>
      <w:spacing w:after="0"/>
      <w:rPr>
        <w:color w:val="000000"/>
      </w:rPr>
    </w:pPr>
    <w:r>
      <w:rPr>
        <w:noProof/>
        <w:color w:val="000000"/>
      </w:rPr>
      <w:drawing>
        <wp:anchor distT="0" distB="0" distL="114300" distR="114300" simplePos="0" relativeHeight="251659264" behindDoc="1" locked="0" layoutInCell="1" allowOverlap="1" wp14:anchorId="4623B693" wp14:editId="737521DD">
          <wp:simplePos x="0" y="0"/>
          <wp:positionH relativeFrom="column">
            <wp:posOffset>3536950</wp:posOffset>
          </wp:positionH>
          <wp:positionV relativeFrom="paragraph">
            <wp:posOffset>-21590</wp:posOffset>
          </wp:positionV>
          <wp:extent cx="704850" cy="29114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2911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rPr>
      <w:drawing>
        <wp:anchor distT="0" distB="0" distL="114300" distR="114300" simplePos="0" relativeHeight="251660288" behindDoc="1" locked="0" layoutInCell="1" allowOverlap="1" wp14:anchorId="6E22273D" wp14:editId="0AD3DBDF">
          <wp:simplePos x="0" y="0"/>
          <wp:positionH relativeFrom="margin">
            <wp:posOffset>2432050</wp:posOffset>
          </wp:positionH>
          <wp:positionV relativeFrom="paragraph">
            <wp:posOffset>-60325</wp:posOffset>
          </wp:positionV>
          <wp:extent cx="762000" cy="352118"/>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35211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rPr>
      <w:drawing>
        <wp:anchor distT="0" distB="0" distL="114300" distR="114300" simplePos="0" relativeHeight="251661312" behindDoc="1" locked="0" layoutInCell="1" allowOverlap="1" wp14:anchorId="4F2BE866" wp14:editId="3085BB05">
          <wp:simplePos x="0" y="0"/>
          <wp:positionH relativeFrom="column">
            <wp:posOffset>990600</wp:posOffset>
          </wp:positionH>
          <wp:positionV relativeFrom="paragraph">
            <wp:posOffset>-88900</wp:posOffset>
          </wp:positionV>
          <wp:extent cx="1257300" cy="3467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57300" cy="346710"/>
                  </a:xfrm>
                  <a:prstGeom prst="rect">
                    <a:avLst/>
                  </a:prstGeom>
                  <a:noFill/>
                  <a:ln>
                    <a:noFill/>
                  </a:ln>
                </pic:spPr>
              </pic:pic>
            </a:graphicData>
          </a:graphic>
        </wp:anchor>
      </w:drawing>
    </w:r>
    <w:r>
      <w:rPr>
        <w:noProof/>
        <w:color w:val="000000"/>
      </w:rPr>
      <w:drawing>
        <wp:anchor distT="0" distB="0" distL="114300" distR="114300" simplePos="0" relativeHeight="251662336" behindDoc="1" locked="0" layoutInCell="1" allowOverlap="1" wp14:anchorId="46E1EE3C" wp14:editId="0319B865">
          <wp:simplePos x="0" y="0"/>
          <wp:positionH relativeFrom="margin">
            <wp:align>left</wp:align>
          </wp:positionH>
          <wp:positionV relativeFrom="paragraph">
            <wp:posOffset>-50800</wp:posOffset>
          </wp:positionV>
          <wp:extent cx="686626" cy="3302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6626" cy="330200"/>
                  </a:xfrm>
                  <a:prstGeom prst="rect">
                    <a:avLst/>
                  </a:prstGeom>
                  <a:noFill/>
                  <a:ln>
                    <a:noFill/>
                  </a:ln>
                </pic:spPr>
              </pic:pic>
            </a:graphicData>
          </a:graphic>
        </wp:anchor>
      </w:drawing>
    </w:r>
    <w:r>
      <w:rPr>
        <w:noProof/>
        <w:color w:val="000000"/>
      </w:rPr>
      <w:drawing>
        <wp:anchor distT="0" distB="0" distL="114300" distR="114300" simplePos="0" relativeHeight="251658240" behindDoc="1" locked="0" layoutInCell="1" allowOverlap="1" wp14:anchorId="5BA710D1" wp14:editId="4762920D">
          <wp:simplePos x="0" y="0"/>
          <wp:positionH relativeFrom="margin">
            <wp:align>right</wp:align>
          </wp:positionH>
          <wp:positionV relativeFrom="paragraph">
            <wp:posOffset>6350</wp:posOffset>
          </wp:positionV>
          <wp:extent cx="1333500" cy="264795"/>
          <wp:effectExtent l="0" t="0" r="0" b="190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264795"/>
                  </a:xfrm>
                  <a:prstGeom prst="rect">
                    <a:avLst/>
                  </a:prstGeom>
                  <a:noFill/>
                  <a:ln>
                    <a:noFill/>
                  </a:ln>
                </pic:spPr>
              </pic:pic>
            </a:graphicData>
          </a:graphic>
        </wp:anchor>
      </w:drawing>
    </w:r>
    <w:r w:rsidR="00CB0E90">
      <w:rPr>
        <w:noProof/>
        <w:color w:val="000000"/>
      </w:rPr>
      <w:t xml:space="preserve">          </w:t>
    </w:r>
    <w:r w:rsidR="00636A36">
      <w:rPr>
        <w:noProof/>
        <w:color w:val="000000"/>
      </w:rPr>
      <w:t xml:space="preserve">   </w:t>
    </w:r>
    <w:r w:rsidR="00CB0E90">
      <w:rPr>
        <w:noProof/>
        <w:color w:val="000000"/>
      </w:rPr>
      <w:t xml:space="preserve">              </w:t>
    </w:r>
    <w:r w:rsidR="00636A36">
      <w:rPr>
        <w:noProof/>
        <w:color w:val="000000"/>
      </w:rPr>
      <w:t xml:space="preserve"> </w:t>
    </w:r>
    <w:r w:rsidR="00CB0E90">
      <w:rPr>
        <w:noProof/>
        <w:color w:val="000000"/>
      </w:rPr>
      <w:t xml:space="preserve">          </w:t>
    </w:r>
  </w:p>
  <w:p w14:paraId="3D9540D3" w14:textId="19F213BC" w:rsidR="00CB0E90" w:rsidRDefault="00CB0E90">
    <w:pPr>
      <w:pBdr>
        <w:top w:val="nil"/>
        <w:left w:val="nil"/>
        <w:bottom w:val="nil"/>
        <w:right w:val="nil"/>
        <w:between w:val="nil"/>
      </w:pBdr>
      <w:tabs>
        <w:tab w:val="center" w:pos="2820"/>
        <w:tab w:val="right" w:pos="5805"/>
      </w:tabs>
      <w:spacing w:after="0"/>
      <w:rPr>
        <w:color w:val="000000"/>
      </w:rPr>
    </w:pPr>
  </w:p>
  <w:p w14:paraId="5C6A23C2" w14:textId="77777777" w:rsidR="00CB0E90" w:rsidRDefault="00CB0E90">
    <w:pPr>
      <w:pBdr>
        <w:top w:val="nil"/>
        <w:left w:val="nil"/>
        <w:bottom w:val="nil"/>
        <w:right w:val="nil"/>
        <w:between w:val="nil"/>
      </w:pBdr>
      <w:tabs>
        <w:tab w:val="center" w:pos="2820"/>
        <w:tab w:val="right" w:pos="5805"/>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4248FE"/>
    <w:multiLevelType w:val="multilevel"/>
    <w:tmpl w:val="EC6EF6EA"/>
    <w:lvl w:ilvl="0">
      <w:start w:val="1"/>
      <w:numFmt w:val="decimal"/>
      <w:lvlText w:val="%1."/>
      <w:lvlJc w:val="left"/>
      <w:pPr>
        <w:ind w:left="720" w:hanging="360"/>
      </w:pPr>
      <w:rPr>
        <w:u w:val="none"/>
      </w:rPr>
    </w:lvl>
    <w:lvl w:ilvl="1">
      <w:start w:val="1"/>
      <w:numFmt w:val="lowerLetter"/>
      <w:lvlText w:val="%2."/>
      <w:lvlJc w:val="left"/>
      <w:pPr>
        <w:ind w:left="1440" w:hanging="360"/>
      </w:pPr>
      <w:rPr>
        <w:rFonts w:ascii="Arial" w:eastAsia="Arial" w:hAnsi="Arial" w:cs="Arial"/>
        <w:b/>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7754236"/>
    <w:multiLevelType w:val="hybridMultilevel"/>
    <w:tmpl w:val="AE464A9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AE1"/>
    <w:rsid w:val="0020347B"/>
    <w:rsid w:val="00250AF0"/>
    <w:rsid w:val="00333AB4"/>
    <w:rsid w:val="004E3726"/>
    <w:rsid w:val="005C6AE1"/>
    <w:rsid w:val="00636A36"/>
    <w:rsid w:val="00742CD6"/>
    <w:rsid w:val="007523B6"/>
    <w:rsid w:val="008C7424"/>
    <w:rsid w:val="00AC1874"/>
    <w:rsid w:val="00AC56AE"/>
    <w:rsid w:val="00BF0CBA"/>
    <w:rsid w:val="00CA7001"/>
    <w:rsid w:val="00CB0E90"/>
    <w:rsid w:val="00D81C87"/>
    <w:rsid w:val="00F841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8C908"/>
  <w15:docId w15:val="{C472708E-156B-4494-9451-4743C66B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HN" w:eastAsia="es-CO"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39"/>
    <w:rsid w:val="00A6020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77D35"/>
    <w:pPr>
      <w:tabs>
        <w:tab w:val="center" w:pos="4680"/>
        <w:tab w:val="right" w:pos="9360"/>
      </w:tabs>
      <w:spacing w:after="0"/>
    </w:pPr>
  </w:style>
  <w:style w:type="character" w:customStyle="1" w:styleId="EncabezadoCar">
    <w:name w:val="Encabezado Car"/>
    <w:basedOn w:val="Fuentedeprrafopredeter"/>
    <w:link w:val="Encabezado"/>
    <w:uiPriority w:val="99"/>
    <w:rsid w:val="00F77D35"/>
  </w:style>
  <w:style w:type="paragraph" w:styleId="Piedepgina">
    <w:name w:val="footer"/>
    <w:basedOn w:val="Normal"/>
    <w:link w:val="PiedepginaCar"/>
    <w:uiPriority w:val="99"/>
    <w:unhideWhenUsed/>
    <w:rsid w:val="00F77D35"/>
    <w:pPr>
      <w:tabs>
        <w:tab w:val="center" w:pos="4680"/>
        <w:tab w:val="right" w:pos="9360"/>
      </w:tabs>
      <w:spacing w:after="0"/>
    </w:pPr>
  </w:style>
  <w:style w:type="character" w:customStyle="1" w:styleId="PiedepginaCar">
    <w:name w:val="Pie de página Car"/>
    <w:basedOn w:val="Fuentedeprrafopredeter"/>
    <w:link w:val="Piedepgina"/>
    <w:uiPriority w:val="99"/>
    <w:rsid w:val="00F77D35"/>
  </w:style>
  <w:style w:type="paragraph" w:styleId="Textonotapie">
    <w:name w:val="footnote text"/>
    <w:basedOn w:val="Normal"/>
    <w:link w:val="TextonotapieCar"/>
    <w:uiPriority w:val="99"/>
    <w:semiHidden/>
    <w:unhideWhenUsed/>
    <w:rsid w:val="003F2ED3"/>
    <w:pPr>
      <w:spacing w:after="0"/>
    </w:pPr>
    <w:rPr>
      <w:sz w:val="20"/>
      <w:szCs w:val="20"/>
    </w:rPr>
  </w:style>
  <w:style w:type="character" w:customStyle="1" w:styleId="TextonotapieCar">
    <w:name w:val="Texto nota pie Car"/>
    <w:basedOn w:val="Fuentedeprrafopredeter"/>
    <w:link w:val="Textonotapie"/>
    <w:uiPriority w:val="99"/>
    <w:semiHidden/>
    <w:rsid w:val="003F2ED3"/>
    <w:rPr>
      <w:sz w:val="20"/>
      <w:szCs w:val="20"/>
    </w:rPr>
  </w:style>
  <w:style w:type="character" w:styleId="Refdenotaalpie">
    <w:name w:val="footnote reference"/>
    <w:basedOn w:val="Fuentedeprrafopredeter"/>
    <w:uiPriority w:val="99"/>
    <w:semiHidden/>
    <w:unhideWhenUsed/>
    <w:rsid w:val="003F2ED3"/>
    <w:rPr>
      <w:vertAlign w:val="superscript"/>
    </w:rPr>
  </w:style>
  <w:style w:type="character" w:styleId="Refdecomentario">
    <w:name w:val="annotation reference"/>
    <w:basedOn w:val="Fuentedeprrafopredeter"/>
    <w:uiPriority w:val="99"/>
    <w:semiHidden/>
    <w:unhideWhenUsed/>
    <w:rsid w:val="00D45626"/>
    <w:rPr>
      <w:sz w:val="16"/>
      <w:szCs w:val="16"/>
    </w:rPr>
  </w:style>
  <w:style w:type="paragraph" w:styleId="Textocomentario">
    <w:name w:val="annotation text"/>
    <w:basedOn w:val="Normal"/>
    <w:link w:val="TextocomentarioCar"/>
    <w:uiPriority w:val="99"/>
    <w:semiHidden/>
    <w:unhideWhenUsed/>
    <w:rsid w:val="00D45626"/>
    <w:rPr>
      <w:sz w:val="20"/>
      <w:szCs w:val="20"/>
    </w:rPr>
  </w:style>
  <w:style w:type="character" w:customStyle="1" w:styleId="TextocomentarioCar">
    <w:name w:val="Texto comentario Car"/>
    <w:basedOn w:val="Fuentedeprrafopredeter"/>
    <w:link w:val="Textocomentario"/>
    <w:uiPriority w:val="99"/>
    <w:semiHidden/>
    <w:rsid w:val="00D45626"/>
    <w:rPr>
      <w:sz w:val="20"/>
      <w:szCs w:val="20"/>
    </w:rPr>
  </w:style>
  <w:style w:type="paragraph" w:styleId="Asuntodelcomentario">
    <w:name w:val="annotation subject"/>
    <w:basedOn w:val="Textocomentario"/>
    <w:next w:val="Textocomentario"/>
    <w:link w:val="AsuntodelcomentarioCar"/>
    <w:uiPriority w:val="99"/>
    <w:semiHidden/>
    <w:unhideWhenUsed/>
    <w:rsid w:val="00D45626"/>
    <w:rPr>
      <w:b/>
      <w:bCs/>
    </w:rPr>
  </w:style>
  <w:style w:type="character" w:customStyle="1" w:styleId="AsuntodelcomentarioCar">
    <w:name w:val="Asunto del comentario Car"/>
    <w:basedOn w:val="TextocomentarioCar"/>
    <w:link w:val="Asuntodelcomentario"/>
    <w:uiPriority w:val="99"/>
    <w:semiHidden/>
    <w:rsid w:val="00D45626"/>
    <w:rPr>
      <w:b/>
      <w:bCs/>
      <w:sz w:val="20"/>
      <w:szCs w:val="20"/>
    </w:rPr>
  </w:style>
  <w:style w:type="paragraph" w:styleId="Textodeglobo">
    <w:name w:val="Balloon Text"/>
    <w:basedOn w:val="Normal"/>
    <w:link w:val="TextodegloboCar"/>
    <w:uiPriority w:val="99"/>
    <w:semiHidden/>
    <w:unhideWhenUsed/>
    <w:rsid w:val="00D45626"/>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5626"/>
    <w:rPr>
      <w:rFonts w:ascii="Segoe UI" w:hAnsi="Segoe UI" w:cs="Segoe UI"/>
      <w:sz w:val="18"/>
      <w:szCs w:val="18"/>
    </w:rPr>
  </w:style>
  <w:style w:type="paragraph" w:styleId="Prrafodelista">
    <w:name w:val="List Paragraph"/>
    <w:basedOn w:val="Normal"/>
    <w:uiPriority w:val="34"/>
    <w:qFormat/>
    <w:rsid w:val="003A4CBF"/>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Nmerodelnea">
    <w:name w:val="line number"/>
    <w:basedOn w:val="Fuentedeprrafopredeter"/>
    <w:uiPriority w:val="99"/>
    <w:semiHidden/>
    <w:unhideWhenUsed/>
    <w:rsid w:val="00742CD6"/>
  </w:style>
  <w:style w:type="character" w:styleId="Hipervnculo">
    <w:name w:val="Hyperlink"/>
    <w:basedOn w:val="Fuentedeprrafopredeter"/>
    <w:uiPriority w:val="99"/>
    <w:unhideWhenUsed/>
    <w:rsid w:val="007523B6"/>
    <w:rPr>
      <w:color w:val="0563C1" w:themeColor="hyperlink"/>
      <w:u w:val="single"/>
    </w:rPr>
  </w:style>
  <w:style w:type="character" w:styleId="Mencinsinresolver">
    <w:name w:val="Unresolved Mention"/>
    <w:basedOn w:val="Fuentedeprrafopredeter"/>
    <w:uiPriority w:val="99"/>
    <w:semiHidden/>
    <w:unhideWhenUsed/>
    <w:rsid w:val="00752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old.conexihon.hn/site/noticia/derechos-humanos/derechos-humanos-pueblos-indigenas/buzos-lisiados-denuncian-abandono-del" TargetMode="External"/><Relationship Id="rId13" Type="http://schemas.openxmlformats.org/officeDocument/2006/relationships/hyperlink" Target="https://www.msf.mx/article/honduras-urge-que-la-sesal-apruebe-el-protocolo-de-atencion-integral-para-sobrevivientes-de" TargetMode="External"/><Relationship Id="rId18" Type="http://schemas.openxmlformats.org/officeDocument/2006/relationships/hyperlink" Target="https://cng-cdn.oxfam.org/honduras.oxfam.org/s3fs-public/file_attachments/El%20riesgo%20de%20ser%20mujer%20en%20Honduras%20-%20Reportaje%20de%20investigaci%C3%B3n.pdf" TargetMode="External"/><Relationship Id="rId26" Type="http://schemas.openxmlformats.org/officeDocument/2006/relationships/hyperlink" Target="http://redtrasex.org/IMG/pdf/informe_nacional_honduras.pdf" TargetMode="External"/><Relationship Id="rId3" Type="http://schemas.openxmlformats.org/officeDocument/2006/relationships/hyperlink" Target="https://www.tsc.gob.hn/biblioteca/index.php/reglamentos/736-reglamento-de-la-ley-para-el-programa-nacional-de-credito-solidario-para-la-mujer-rural-credimujer" TargetMode="External"/><Relationship Id="rId21" Type="http://schemas.openxmlformats.org/officeDocument/2006/relationships/hyperlink" Target="https://www.observacionbertacaceres.org/post/expertos-honduras-debe-esclarecer-todos-los-hechos-il%C3%ADcitos-denunciados-en-la-causa-berta-c%C3%A1ceres" TargetMode="External"/><Relationship Id="rId7" Type="http://schemas.openxmlformats.org/officeDocument/2006/relationships/hyperlink" Target="https://odecohn.blogspot.com" TargetMode="External"/><Relationship Id="rId12" Type="http://schemas.openxmlformats.org/officeDocument/2006/relationships/hyperlink" Target="https://drive.google.com/file/d/1fFkVfKyUbQB1okhD_UtC703AD1pXszvG/view" TargetMode="External"/><Relationship Id="rId17" Type="http://schemas.openxmlformats.org/officeDocument/2006/relationships/hyperlink" Target="https://www.fidh.org/es/region/americas/honduras/la-justicia-hondurena-en-deuda-organizaciones-presentan-hallazgos" TargetMode="External"/><Relationship Id="rId25" Type="http://schemas.openxmlformats.org/officeDocument/2006/relationships/hyperlink" Target="https://www.tsc.gob.hn/biblioteca/index.php/leyes/177-constitucion-de-la-republica-de-honduras" TargetMode="External"/><Relationship Id="rId2" Type="http://schemas.openxmlformats.org/officeDocument/2006/relationships/hyperlink" Target="https://oacnudh.hn/relator-especial-de-las-naciones-unidas-sobre-la-independencia-de-los-magistrados-y-abogado-sr-diego-garcia-sayan-observaciones-preliminares-sobre-la-visita-oficial-a-honduras/" TargetMode="External"/><Relationship Id="rId16" Type="http://schemas.openxmlformats.org/officeDocument/2006/relationships/hyperlink" Target="http://oacnudh.hn/wp-content/uploads/2021/03/TRADUCCION-NO-OFICIAL_-INFORME-DEL-ALTO-COMISIONADO-DE-LAS-NACIONES-UNIDAS-PARA-LOS-DERECHOS-HUMANOS-SOBRE-LA-SITUACION-DE-LOS-DERECHOS-HUMANOS-EN-HONDURAS.pdf" TargetMode="External"/><Relationship Id="rId20" Type="http://schemas.openxmlformats.org/officeDocument/2006/relationships/hyperlink" Target="https://www.observacionbertacaceres.org/post/contexto-procesal-en-la-causa-instruida-contra-david-castillo-por-el-asesinato-de-berta-c%C3%A1ceres" TargetMode="External"/><Relationship Id="rId1" Type="http://schemas.openxmlformats.org/officeDocument/2006/relationships/hyperlink" Target="https://tbinternet.ohchr.org/_layouts/15/treatybodyexternal/Download.aspx?symbolno=CEDAW%2fC%2fHND%2f9&amp;Lang=en" TargetMode="External"/><Relationship Id="rId6" Type="http://schemas.openxmlformats.org/officeDocument/2006/relationships/hyperlink" Target="https://www.ine.gob.hn/publicaciones/Hogares/EPHPM_2016/8.%20Cuadros%20de%20Mercado%20Laboral.xlsx" TargetMode="External"/><Relationship Id="rId11" Type="http://schemas.openxmlformats.org/officeDocument/2006/relationships/hyperlink" Target="https://drive.google.com/file/d/1fFkVfKyUbQB1okhD_UtC703AD1pXszvG/view" TargetMode="External"/><Relationship Id="rId24" Type="http://schemas.openxmlformats.org/officeDocument/2006/relationships/hyperlink" Target="https://www.tsc.gob.hn/biblioteca/index.php/codigos" TargetMode="External"/><Relationship Id="rId5" Type="http://schemas.openxmlformats.org/officeDocument/2006/relationships/hyperlink" Target="https://www.ine.gob.hn/publicaciones/Hogares/EPHPM_2016/8.%20Cuadros%20de%20Mercado%20Laboral.xlsx" TargetMode="External"/><Relationship Id="rId15" Type="http://schemas.openxmlformats.org/officeDocument/2006/relationships/hyperlink" Target="https://www.elheraldo.hn/pais/1441357-466/conadeh-keyla-martinez-honduras-enfermeria-universitaria" TargetMode="External"/><Relationship Id="rId23" Type="http://schemas.openxmlformats.org/officeDocument/2006/relationships/hyperlink" Target="https://www.msf.mx/article/honduras-urge-que-la-sesal-apruebe-el-protocolo-de-atencion-integral-para-sobrevivientes-de" TargetMode="External"/><Relationship Id="rId28" Type="http://schemas.openxmlformats.org/officeDocument/2006/relationships/hyperlink" Target="https://www.elheraldo.hn/sucesos/1442033-466/honduras-femicidios-feminicidios-2021-asesinatos-muertes-mujeres" TargetMode="External"/><Relationship Id="rId10" Type="http://schemas.openxmlformats.org/officeDocument/2006/relationships/hyperlink" Target="https://redcoiproden.org/" TargetMode="External"/><Relationship Id="rId19" Type="http://schemas.openxmlformats.org/officeDocument/2006/relationships/hyperlink" Target="http://cespad.org.hn/2020/12/01/cespad-presenta-informe-de-monitoreo-las-mujeres-y-la-emergencia-sanitaria-en-honduras-una-nueva-lucha-en-contra-de-la-historica-invisibilizacion-de-sus-derechos/" TargetMode="External"/><Relationship Id="rId4" Type="http://schemas.openxmlformats.org/officeDocument/2006/relationships/hyperlink" Target="https://honduras.oxfam.org/latest/press-release/apertura-de-ventanilla-es-avance-hacia-propuesta-de-acceso-cr%C3%A9dito-para-mujeres" TargetMode="External"/><Relationship Id="rId9" Type="http://schemas.openxmlformats.org/officeDocument/2006/relationships/hyperlink" Target="https://www.corteidh.or.cr/casos_sentencias.cfm" TargetMode="External"/><Relationship Id="rId14" Type="http://schemas.openxmlformats.org/officeDocument/2006/relationships/hyperlink" Target="https://criterio.hn/wp-content/uploads/2020/11/Decreto-54-2009-Prohibibion-de-la-PAE-Honduras.pdf" TargetMode="External"/><Relationship Id="rId22" Type="http://schemas.openxmlformats.org/officeDocument/2006/relationships/hyperlink" Target="https://www.elheraldo.hn/mobile/mopinion/760082-392/piden-al-congreso-nacional-reabrir-debate-sobre-la-pae" TargetMode="External"/><Relationship Id="rId27" Type="http://schemas.openxmlformats.org/officeDocument/2006/relationships/hyperlink" Target="https://www.inam.gob.hn/index.php?option=com_content&amp;view=featured&amp;Itemid=10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Prx/14/et/1WdMQLbXinjovn1A==">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937F57-8152-44C2-99A8-E97B32B93DF0}">
  <ds:schemaRefs>
    <ds:schemaRef ds:uri="http://schemas.openxmlformats.org/officeDocument/2006/bibliography"/>
  </ds:schemaRefs>
</ds:datastoreItem>
</file>

<file path=customXml/itemProps3.xml><?xml version="1.0" encoding="utf-8"?>
<ds:datastoreItem xmlns:ds="http://schemas.openxmlformats.org/officeDocument/2006/customXml" ds:itemID="{4FD557E0-6B53-4EB3-88F5-E63AB8B19DDF}"/>
</file>

<file path=customXml/itemProps4.xml><?xml version="1.0" encoding="utf-8"?>
<ds:datastoreItem xmlns:ds="http://schemas.openxmlformats.org/officeDocument/2006/customXml" ds:itemID="{789C1C16-6B68-4985-A023-8A8BE27AF6B3}"/>
</file>

<file path=customXml/itemProps5.xml><?xml version="1.0" encoding="utf-8"?>
<ds:datastoreItem xmlns:ds="http://schemas.openxmlformats.org/officeDocument/2006/customXml" ds:itemID="{E6188B5A-3DBD-495B-8341-72F61ABDA34C}"/>
</file>

<file path=docProps/app.xml><?xml version="1.0" encoding="utf-8"?>
<Properties xmlns="http://schemas.openxmlformats.org/officeDocument/2006/extended-properties" xmlns:vt="http://schemas.openxmlformats.org/officeDocument/2006/docPropsVTypes">
  <Template>Normal.dotm</Template>
  <TotalTime>246</TotalTime>
  <Pages>9</Pages>
  <Words>3648</Words>
  <Characters>20064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Neesa</cp:lastModifiedBy>
  <cp:revision>2</cp:revision>
  <dcterms:created xsi:type="dcterms:W3CDTF">2021-05-29T18:40:00Z</dcterms:created>
  <dcterms:modified xsi:type="dcterms:W3CDTF">2021-06-07T21:56:00Z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