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48385" w14:textId="77777777" w:rsidR="00360737" w:rsidRDefault="00360737" w:rsidP="00360737">
      <w:pPr>
        <w:pStyle w:val="NoSpacing"/>
        <w:rPr>
          <w:rFonts w:eastAsia="Calibri"/>
        </w:rPr>
      </w:pPr>
      <w:r w:rsidRPr="00791881">
        <w:rPr>
          <w:rFonts w:eastAsia="Calibri"/>
        </w:rPr>
        <w:t>Central Union for Child W</w:t>
      </w:r>
      <w:r>
        <w:rPr>
          <w:rFonts w:eastAsia="Calibri"/>
        </w:rPr>
        <w:t>elfare (CUCW)</w:t>
      </w:r>
    </w:p>
    <w:p w14:paraId="05C65891" w14:textId="77777777" w:rsidR="00360737" w:rsidRPr="00DD3CE0" w:rsidRDefault="00360737" w:rsidP="00360737">
      <w:pPr>
        <w:pStyle w:val="NoSpacing"/>
        <w:rPr>
          <w:rFonts w:eastAsia="Calibri"/>
          <w:lang w:val="fi-FI"/>
        </w:rPr>
      </w:pPr>
      <w:r w:rsidRPr="00DD3CE0">
        <w:rPr>
          <w:rFonts w:eastAsia="Calibri"/>
          <w:lang w:val="fi-FI"/>
        </w:rPr>
        <w:t>Armfeltintie 1, 00150 Helsinki, FINLAND</w:t>
      </w:r>
    </w:p>
    <w:p w14:paraId="25405E96" w14:textId="77777777" w:rsidR="00360737" w:rsidRPr="00DD3CE0" w:rsidRDefault="005253DA" w:rsidP="00360737">
      <w:pPr>
        <w:spacing w:after="160" w:line="256" w:lineRule="auto"/>
        <w:rPr>
          <w:rFonts w:ascii="Calibri" w:eastAsia="Calibri" w:hAnsi="Calibri" w:cs="Times New Roman"/>
          <w:sz w:val="22"/>
          <w:szCs w:val="22"/>
        </w:rPr>
      </w:pPr>
      <w:hyperlink r:id="rId11" w:history="1">
        <w:r w:rsidR="00360737" w:rsidRPr="005B1D01">
          <w:rPr>
            <w:rStyle w:val="Hyperlink"/>
            <w:rFonts w:ascii="Calibri" w:eastAsia="Calibri" w:hAnsi="Calibri" w:cs="Times New Roman"/>
            <w:sz w:val="22"/>
            <w:szCs w:val="22"/>
          </w:rPr>
          <w:t>https://www.lskl.fi/en/home-en/</w:t>
        </w:r>
      </w:hyperlink>
      <w:r w:rsidR="00360737">
        <w:rPr>
          <w:rFonts w:ascii="Calibri" w:eastAsia="Calibri" w:hAnsi="Calibri" w:cs="Times New Roman"/>
          <w:sz w:val="22"/>
          <w:szCs w:val="22"/>
        </w:rPr>
        <w:t xml:space="preserve"> </w:t>
      </w:r>
    </w:p>
    <w:p w14:paraId="317964E7" w14:textId="77777777" w:rsidR="00360737" w:rsidRDefault="00360737" w:rsidP="00360737">
      <w:pPr>
        <w:spacing w:after="160" w:line="256" w:lineRule="auto"/>
        <w:rPr>
          <w:rFonts w:ascii="Calibri" w:eastAsia="Calibri" w:hAnsi="Calibri" w:cs="Times New Roman"/>
          <w:sz w:val="22"/>
          <w:szCs w:val="22"/>
        </w:rPr>
      </w:pPr>
    </w:p>
    <w:p w14:paraId="1920C58A" w14:textId="77777777" w:rsidR="00360737" w:rsidRDefault="00360737" w:rsidP="00360737">
      <w:pPr>
        <w:spacing w:after="160" w:line="256" w:lineRule="auto"/>
        <w:rPr>
          <w:rFonts w:ascii="Calibri" w:eastAsia="Calibri" w:hAnsi="Calibri" w:cs="Times New Roman"/>
          <w:sz w:val="22"/>
          <w:szCs w:val="22"/>
        </w:rPr>
      </w:pPr>
    </w:p>
    <w:p w14:paraId="19470DE3" w14:textId="77777777" w:rsidR="00360737" w:rsidRDefault="00360737" w:rsidP="00360737">
      <w:pPr>
        <w:spacing w:after="160" w:line="256" w:lineRule="auto"/>
        <w:rPr>
          <w:rFonts w:ascii="Calibri" w:eastAsia="Calibri" w:hAnsi="Calibri" w:cs="Times New Roman"/>
          <w:sz w:val="22"/>
          <w:szCs w:val="22"/>
        </w:rPr>
      </w:pPr>
    </w:p>
    <w:p w14:paraId="55EC6D45" w14:textId="77777777" w:rsidR="00360737" w:rsidRDefault="00360737" w:rsidP="00360737">
      <w:pPr>
        <w:spacing w:after="160" w:line="256" w:lineRule="auto"/>
        <w:rPr>
          <w:rFonts w:ascii="Calibri" w:eastAsia="Calibri" w:hAnsi="Calibri" w:cs="Times New Roman"/>
          <w:sz w:val="22"/>
          <w:szCs w:val="22"/>
        </w:rPr>
      </w:pPr>
    </w:p>
    <w:p w14:paraId="6A28C58F" w14:textId="77777777" w:rsidR="00360737" w:rsidRPr="00DD3CE0" w:rsidRDefault="00360737" w:rsidP="00360737">
      <w:pPr>
        <w:spacing w:after="160" w:line="256" w:lineRule="auto"/>
        <w:rPr>
          <w:rFonts w:ascii="Calibri" w:eastAsia="Calibri" w:hAnsi="Calibri" w:cs="Times New Roman"/>
          <w:sz w:val="22"/>
          <w:szCs w:val="22"/>
        </w:rPr>
      </w:pPr>
    </w:p>
    <w:p w14:paraId="392FE274" w14:textId="77777777" w:rsidR="00360737" w:rsidRPr="006819E3" w:rsidRDefault="00360737" w:rsidP="00360737">
      <w:pPr>
        <w:pStyle w:val="Heading4"/>
        <w:rPr>
          <w:rFonts w:eastAsia="Calibri" w:cs="Times New Roman"/>
          <w:b w:val="0"/>
          <w:bCs w:val="0"/>
          <w:sz w:val="26"/>
          <w:szCs w:val="26"/>
          <w:lang w:val="en-US"/>
        </w:rPr>
      </w:pPr>
      <w:r w:rsidRPr="006819E3">
        <w:rPr>
          <w:rFonts w:eastAsia="Calibri"/>
          <w:lang w:val="en-US"/>
        </w:rPr>
        <w:t xml:space="preserve">To UN Committee on the Rights of the Child </w:t>
      </w:r>
    </w:p>
    <w:p w14:paraId="7D0F5E5E" w14:textId="77777777" w:rsidR="00360737" w:rsidRDefault="00360737" w:rsidP="00360737">
      <w:pPr>
        <w:spacing w:after="160" w:line="256" w:lineRule="auto"/>
        <w:rPr>
          <w:rFonts w:ascii="Calibri" w:eastAsia="Calibri" w:hAnsi="Calibri" w:cs="Times New Roman"/>
          <w:sz w:val="22"/>
          <w:szCs w:val="22"/>
          <w:lang w:val="en-US"/>
        </w:rPr>
      </w:pPr>
    </w:p>
    <w:p w14:paraId="51A4415F" w14:textId="77777777" w:rsidR="00360737" w:rsidRPr="00791881" w:rsidRDefault="00360737" w:rsidP="00360737">
      <w:pPr>
        <w:spacing w:after="160" w:line="256" w:lineRule="auto"/>
        <w:rPr>
          <w:rFonts w:ascii="Calibri" w:eastAsia="Calibri" w:hAnsi="Calibri" w:cs="Times New Roman"/>
          <w:sz w:val="22"/>
          <w:szCs w:val="22"/>
          <w:lang w:val="en-US"/>
        </w:rPr>
      </w:pPr>
      <w:r>
        <w:rPr>
          <w:rFonts w:ascii="Calibri" w:eastAsia="Calibri" w:hAnsi="Calibri" w:cs="Times New Roman"/>
          <w:sz w:val="22"/>
          <w:szCs w:val="22"/>
          <w:lang w:val="en-US"/>
        </w:rPr>
        <w:t xml:space="preserve">Central Union for Child Welfare </w:t>
      </w:r>
      <w:r w:rsidRPr="00791881">
        <w:rPr>
          <w:rFonts w:ascii="Calibri" w:eastAsia="Calibri" w:hAnsi="Calibri" w:cs="Times New Roman"/>
          <w:sz w:val="22"/>
          <w:szCs w:val="22"/>
          <w:lang w:val="en-US"/>
        </w:rPr>
        <w:t xml:space="preserve">supplements </w:t>
      </w:r>
      <w:r>
        <w:rPr>
          <w:rFonts w:ascii="Calibri" w:eastAsia="Calibri" w:hAnsi="Calibri" w:cs="Times New Roman"/>
          <w:sz w:val="22"/>
          <w:szCs w:val="22"/>
          <w:lang w:val="en-US"/>
        </w:rPr>
        <w:t xml:space="preserve">the following </w:t>
      </w:r>
      <w:r w:rsidRPr="00791881">
        <w:rPr>
          <w:rFonts w:ascii="Calibri" w:eastAsia="Calibri" w:hAnsi="Calibri" w:cs="Times New Roman"/>
          <w:sz w:val="22"/>
          <w:szCs w:val="22"/>
          <w:lang w:val="en-US"/>
        </w:rPr>
        <w:t xml:space="preserve">information regarding the </w:t>
      </w:r>
      <w:r w:rsidRPr="00FA3F70">
        <w:rPr>
          <w:rFonts w:ascii="Calibri" w:eastAsia="Calibri" w:hAnsi="Calibri" w:cs="Times New Roman"/>
          <w:b/>
          <w:color w:val="347D8C" w:themeColor="accent1"/>
          <w:sz w:val="22"/>
          <w:szCs w:val="22"/>
          <w:lang w:val="en-US"/>
        </w:rPr>
        <w:t>Replies of Finland to the list of issues in relation to its combined fifth and sixth periodic reports</w:t>
      </w:r>
      <w:r>
        <w:rPr>
          <w:rFonts w:ascii="Calibri" w:eastAsia="Calibri" w:hAnsi="Calibri" w:cs="Times New Roman"/>
          <w:b/>
          <w:color w:val="347D8C" w:themeColor="accent1"/>
          <w:sz w:val="22"/>
          <w:szCs w:val="22"/>
          <w:lang w:val="en-US"/>
        </w:rPr>
        <w:t xml:space="preserve">. </w:t>
      </w:r>
    </w:p>
    <w:p w14:paraId="256CB1DB" w14:textId="77777777" w:rsidR="00360737" w:rsidRPr="007E6707" w:rsidRDefault="00360737" w:rsidP="00360737">
      <w:pPr>
        <w:spacing w:after="160" w:line="256" w:lineRule="auto"/>
        <w:rPr>
          <w:rFonts w:ascii="Calibri" w:eastAsia="Calibri" w:hAnsi="Calibri" w:cs="Times New Roman"/>
          <w:sz w:val="22"/>
          <w:szCs w:val="22"/>
          <w:lang w:val="en-US"/>
        </w:rPr>
      </w:pPr>
    </w:p>
    <w:p w14:paraId="55EFD7F4" w14:textId="77777777" w:rsidR="00360737" w:rsidRPr="009138BE" w:rsidRDefault="00360737" w:rsidP="00360737">
      <w:pPr>
        <w:pStyle w:val="Heading3"/>
        <w:numPr>
          <w:ilvl w:val="0"/>
          <w:numId w:val="0"/>
        </w:numPr>
        <w:ind w:left="964" w:hanging="964"/>
        <w:rPr>
          <w:lang w:val="en-US"/>
        </w:rPr>
      </w:pPr>
      <w:r w:rsidRPr="009138BE">
        <w:rPr>
          <w:lang w:val="en-US"/>
        </w:rPr>
        <w:t xml:space="preserve">2 </w:t>
      </w:r>
      <w:r>
        <w:rPr>
          <w:lang w:val="en-US"/>
        </w:rPr>
        <w:t>b</w:t>
      </w:r>
      <w:r w:rsidRPr="009138BE">
        <w:rPr>
          <w:lang w:val="en-US"/>
        </w:rPr>
        <w:t xml:space="preserve"> – Impact assessment in the legislative process</w:t>
      </w:r>
      <w:r>
        <w:rPr>
          <w:lang w:val="en-US"/>
        </w:rPr>
        <w:t xml:space="preserve"> (see also 4 a)</w:t>
      </w:r>
    </w:p>
    <w:p w14:paraId="6D3C8AB9" w14:textId="77777777" w:rsidR="00360737" w:rsidRPr="007F6B7F" w:rsidRDefault="00360737" w:rsidP="00360737">
      <w:pPr>
        <w:pStyle w:val="Vlistettyperusteksti"/>
        <w:ind w:left="964"/>
        <w:rPr>
          <w:lang w:val="en-US"/>
        </w:rPr>
      </w:pPr>
      <w:r>
        <w:rPr>
          <w:lang w:val="en-US"/>
        </w:rPr>
        <w:t>While n</w:t>
      </w:r>
      <w:r w:rsidRPr="005C0D83">
        <w:rPr>
          <w:lang w:val="en-US"/>
        </w:rPr>
        <w:t>ew guidelines for impact assessments in the legislative process have been published</w:t>
      </w:r>
      <w:r>
        <w:rPr>
          <w:lang w:val="en-US"/>
        </w:rPr>
        <w:t xml:space="preserve">, child rights impact assessment </w:t>
      </w:r>
      <w:r w:rsidRPr="008B48B6">
        <w:rPr>
          <w:lang w:val="en-US"/>
        </w:rPr>
        <w:t xml:space="preserve">is still not systematic and does not </w:t>
      </w:r>
      <w:r>
        <w:rPr>
          <w:lang w:val="en-US"/>
        </w:rPr>
        <w:t xml:space="preserve">always </w:t>
      </w:r>
      <w:proofErr w:type="gramStart"/>
      <w:r w:rsidRPr="008B48B6">
        <w:rPr>
          <w:lang w:val="en-US"/>
        </w:rPr>
        <w:t>take into account</w:t>
      </w:r>
      <w:proofErr w:type="gramEnd"/>
      <w:r w:rsidRPr="008B48B6">
        <w:rPr>
          <w:lang w:val="en-US"/>
        </w:rPr>
        <w:t xml:space="preserve"> all the rights of the child.</w:t>
      </w:r>
      <w:r>
        <w:rPr>
          <w:lang w:val="en-US"/>
        </w:rPr>
        <w:t xml:space="preserve"> And e</w:t>
      </w:r>
      <w:r w:rsidRPr="001034E6">
        <w:rPr>
          <w:lang w:val="en-US"/>
        </w:rPr>
        <w:t>ven</w:t>
      </w:r>
      <w:r>
        <w:rPr>
          <w:lang w:val="en-US"/>
        </w:rPr>
        <w:t xml:space="preserve"> when</w:t>
      </w:r>
      <w:r w:rsidRPr="001034E6">
        <w:rPr>
          <w:lang w:val="en-US"/>
        </w:rPr>
        <w:t xml:space="preserve"> a</w:t>
      </w:r>
      <w:r>
        <w:rPr>
          <w:lang w:val="en-US"/>
        </w:rPr>
        <w:t>n</w:t>
      </w:r>
      <w:r w:rsidRPr="001034E6">
        <w:rPr>
          <w:lang w:val="en-US"/>
        </w:rPr>
        <w:t xml:space="preserve"> </w:t>
      </w:r>
      <w:r>
        <w:rPr>
          <w:lang w:val="en-US"/>
        </w:rPr>
        <w:t xml:space="preserve">assessment </w:t>
      </w:r>
      <w:r w:rsidRPr="00712AB6">
        <w:rPr>
          <w:i/>
          <w:iCs/>
          <w:lang w:val="en-US"/>
        </w:rPr>
        <w:t>is</w:t>
      </w:r>
      <w:r>
        <w:rPr>
          <w:lang w:val="en-US"/>
        </w:rPr>
        <w:t xml:space="preserve"> conducted it </w:t>
      </w:r>
      <w:r w:rsidRPr="001034E6">
        <w:rPr>
          <w:lang w:val="en-US"/>
        </w:rPr>
        <w:t xml:space="preserve">does not always receive </w:t>
      </w:r>
      <w:r>
        <w:rPr>
          <w:lang w:val="en-US"/>
        </w:rPr>
        <w:t>due</w:t>
      </w:r>
      <w:r w:rsidRPr="001034E6">
        <w:rPr>
          <w:lang w:val="en-US"/>
        </w:rPr>
        <w:t xml:space="preserve"> weight in decision-making</w:t>
      </w:r>
      <w:r>
        <w:rPr>
          <w:lang w:val="en-US"/>
        </w:rPr>
        <w:t>, instead, child rights perspective can be neglected. The ombudsman for children has suggested the principle of the best interest of the child be incorporated in the constitution.</w:t>
      </w:r>
    </w:p>
    <w:p w14:paraId="46A2C84D" w14:textId="77777777" w:rsidR="00360737" w:rsidRDefault="00360737" w:rsidP="00360737">
      <w:pPr>
        <w:pStyle w:val="Heading3"/>
        <w:numPr>
          <w:ilvl w:val="0"/>
          <w:numId w:val="0"/>
        </w:numPr>
        <w:ind w:left="964" w:hanging="964"/>
        <w:rPr>
          <w:lang w:val="en-US"/>
        </w:rPr>
      </w:pPr>
      <w:r>
        <w:rPr>
          <w:lang w:val="en-US"/>
        </w:rPr>
        <w:t xml:space="preserve">2 c – </w:t>
      </w:r>
      <w:r w:rsidRPr="00895158">
        <w:rPr>
          <w:lang w:val="en-US"/>
        </w:rPr>
        <w:t>National</w:t>
      </w:r>
      <w:r>
        <w:rPr>
          <w:lang w:val="en-US"/>
        </w:rPr>
        <w:t xml:space="preserve"> </w:t>
      </w:r>
      <w:r w:rsidRPr="00895158">
        <w:rPr>
          <w:lang w:val="en-US"/>
        </w:rPr>
        <w:t>Child Strategy function</w:t>
      </w:r>
    </w:p>
    <w:p w14:paraId="6DEB1DCB" w14:textId="77777777" w:rsidR="00360737" w:rsidRPr="00895158" w:rsidRDefault="00360737" w:rsidP="00360737">
      <w:pPr>
        <w:spacing w:after="160" w:line="259" w:lineRule="auto"/>
        <w:ind w:left="964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While a permanent </w:t>
      </w:r>
      <w:r w:rsidRPr="00895158">
        <w:rPr>
          <w:sz w:val="22"/>
          <w:szCs w:val="22"/>
          <w:lang w:val="en-GB"/>
        </w:rPr>
        <w:t>National Child Strategy function</w:t>
      </w:r>
      <w:r>
        <w:rPr>
          <w:sz w:val="22"/>
          <w:szCs w:val="22"/>
          <w:lang w:val="en-GB"/>
        </w:rPr>
        <w:t xml:space="preserve"> has been established, its funding is only guaranteed until the end of 2023. The implementation of the strategy needs adequate funding. </w:t>
      </w:r>
    </w:p>
    <w:p w14:paraId="6FE2DD32" w14:textId="77777777" w:rsidR="00360737" w:rsidRDefault="00360737" w:rsidP="00360737">
      <w:pPr>
        <w:pStyle w:val="Heading3"/>
        <w:numPr>
          <w:ilvl w:val="2"/>
          <w:numId w:val="0"/>
        </w:numPr>
        <w:spacing w:after="160" w:line="259" w:lineRule="auto"/>
        <w:ind w:left="964" w:hanging="964"/>
        <w:rPr>
          <w:lang w:val="en-GB"/>
        </w:rPr>
      </w:pPr>
      <w:r>
        <w:rPr>
          <w:lang w:val="en-GB"/>
        </w:rPr>
        <w:t>3 b (18) - R</w:t>
      </w:r>
      <w:r w:rsidRPr="00DE5B80">
        <w:rPr>
          <w:lang w:val="en-GB"/>
        </w:rPr>
        <w:t>eform of the Transgender Act</w:t>
      </w:r>
      <w:r>
        <w:rPr>
          <w:lang w:val="en-GB"/>
        </w:rPr>
        <w:t xml:space="preserve"> (see also 3 f)</w:t>
      </w:r>
    </w:p>
    <w:p w14:paraId="6D4CA918" w14:textId="77777777" w:rsidR="00360737" w:rsidRDefault="00360737" w:rsidP="00360737">
      <w:pPr>
        <w:pStyle w:val="Vlistettyperusteksti"/>
        <w:ind w:left="960"/>
        <w:rPr>
          <w:lang w:val="en-GB"/>
        </w:rPr>
      </w:pPr>
      <w:r w:rsidRPr="007E6707">
        <w:rPr>
          <w:lang w:val="en-GB"/>
        </w:rPr>
        <w:t>As the state's response states, legal gender recognition is not possible for those under the age of 18.</w:t>
      </w:r>
      <w:r>
        <w:rPr>
          <w:lang w:val="en-GB"/>
        </w:rPr>
        <w:t xml:space="preserve"> </w:t>
      </w:r>
      <w:r w:rsidRPr="007E6707">
        <w:rPr>
          <w:lang w:val="en-GB"/>
        </w:rPr>
        <w:t xml:space="preserve">However, it is necessary to supplement the state's answer to the extent that though </w:t>
      </w:r>
      <w:r>
        <w:rPr>
          <w:lang w:val="en-GB"/>
        </w:rPr>
        <w:t xml:space="preserve">the </w:t>
      </w:r>
      <w:r>
        <w:rPr>
          <w:lang w:val="en-US"/>
        </w:rPr>
        <w:t>child rights impact assessment</w:t>
      </w:r>
      <w:r w:rsidRPr="007E6707">
        <w:rPr>
          <w:lang w:val="en-GB"/>
        </w:rPr>
        <w:t xml:space="preserve"> mentioned in the state's answer (3 b</w:t>
      </w:r>
      <w:r>
        <w:rPr>
          <w:lang w:val="en-GB"/>
        </w:rPr>
        <w:t>, 18</w:t>
      </w:r>
      <w:r w:rsidRPr="007E6707">
        <w:rPr>
          <w:lang w:val="en-GB"/>
        </w:rPr>
        <w:t xml:space="preserve">) was </w:t>
      </w:r>
      <w:r>
        <w:rPr>
          <w:lang w:val="en-GB"/>
        </w:rPr>
        <w:t>conducted</w:t>
      </w:r>
      <w:r w:rsidRPr="007E6707">
        <w:rPr>
          <w:lang w:val="en-GB"/>
        </w:rPr>
        <w:t xml:space="preserve"> </w:t>
      </w:r>
      <w:r>
        <w:rPr>
          <w:lang w:val="en-GB"/>
        </w:rPr>
        <w:t>while reforming the</w:t>
      </w:r>
      <w:r w:rsidRPr="007E6707">
        <w:rPr>
          <w:lang w:val="en-GB"/>
        </w:rPr>
        <w:t xml:space="preserve"> Transgender Act,</w:t>
      </w:r>
      <w:r>
        <w:rPr>
          <w:lang w:val="en-GB"/>
        </w:rPr>
        <w:t xml:space="preserve"> </w:t>
      </w:r>
      <w:r w:rsidRPr="00F12210">
        <w:rPr>
          <w:lang w:val="en-GB"/>
        </w:rPr>
        <w:t xml:space="preserve">the proposition did not </w:t>
      </w:r>
      <w:proofErr w:type="gramStart"/>
      <w:r w:rsidRPr="00F12210">
        <w:rPr>
          <w:lang w:val="en-GB"/>
        </w:rPr>
        <w:t>take into account</w:t>
      </w:r>
      <w:proofErr w:type="gramEnd"/>
      <w:r w:rsidRPr="00F12210">
        <w:rPr>
          <w:lang w:val="en-GB"/>
        </w:rPr>
        <w:t xml:space="preserve"> that the impact assessment strongly leaned towards the position that legal confirmation of gender should also be allowed for </w:t>
      </w:r>
      <w:r>
        <w:rPr>
          <w:lang w:val="en-GB"/>
        </w:rPr>
        <w:t>persons under the age of 18.</w:t>
      </w:r>
    </w:p>
    <w:p w14:paraId="30FFE725" w14:textId="77777777" w:rsidR="00360737" w:rsidRPr="00A24F7A" w:rsidRDefault="00360737" w:rsidP="00360737">
      <w:pPr>
        <w:pStyle w:val="Vlistettyperusteksti"/>
        <w:rPr>
          <w:color w:val="347D8C" w:themeColor="accent1"/>
          <w:sz w:val="24"/>
          <w:szCs w:val="24"/>
          <w:lang w:val="en-GB"/>
        </w:rPr>
      </w:pPr>
      <w:r w:rsidRPr="00A24F7A">
        <w:rPr>
          <w:color w:val="347D8C" w:themeColor="accent1"/>
          <w:sz w:val="24"/>
          <w:szCs w:val="24"/>
          <w:lang w:val="en-GB"/>
        </w:rPr>
        <w:lastRenderedPageBreak/>
        <w:t xml:space="preserve">4 d – Freedom of religion </w:t>
      </w:r>
    </w:p>
    <w:p w14:paraId="64533FCB" w14:textId="77777777" w:rsidR="00360737" w:rsidRDefault="00360737" w:rsidP="00360737">
      <w:pPr>
        <w:pStyle w:val="Heading3"/>
        <w:numPr>
          <w:ilvl w:val="0"/>
          <w:numId w:val="0"/>
        </w:numPr>
        <w:ind w:left="964"/>
        <w:rPr>
          <w:rFonts w:eastAsiaTheme="minorHAnsi" w:cstheme="minorHAnsi"/>
          <w:bCs w:val="0"/>
          <w:color w:val="auto"/>
          <w:sz w:val="22"/>
          <w:szCs w:val="22"/>
          <w:lang w:val="en-GB"/>
        </w:rPr>
      </w:pPr>
      <w:r w:rsidRPr="0062105B">
        <w:rPr>
          <w:rFonts w:eastAsiaTheme="minorHAnsi" w:cstheme="minorHAnsi"/>
          <w:bCs w:val="0"/>
          <w:color w:val="auto"/>
          <w:sz w:val="22"/>
          <w:szCs w:val="22"/>
          <w:lang w:val="en-GB"/>
        </w:rPr>
        <w:t xml:space="preserve">To supplement the state's answer: Based on the Freedom of Religion Act (2003/453), if a child is under 12 years old, the child's guardians decide on their religion. According to the </w:t>
      </w:r>
      <w:r>
        <w:rPr>
          <w:rFonts w:eastAsiaTheme="minorHAnsi" w:cstheme="minorHAnsi"/>
          <w:bCs w:val="0"/>
          <w:color w:val="auto"/>
          <w:sz w:val="22"/>
          <w:szCs w:val="22"/>
          <w:lang w:val="en-GB"/>
        </w:rPr>
        <w:t>Act</w:t>
      </w:r>
      <w:r w:rsidRPr="0062105B">
        <w:rPr>
          <w:rFonts w:eastAsiaTheme="minorHAnsi" w:cstheme="minorHAnsi"/>
          <w:bCs w:val="0"/>
          <w:color w:val="auto"/>
          <w:sz w:val="22"/>
          <w:szCs w:val="22"/>
          <w:lang w:val="en-GB"/>
        </w:rPr>
        <w:t xml:space="preserve">, the religious status of a child between the ages of 12 and 17 changes only if the child and guardians so agree. </w:t>
      </w:r>
      <w:r w:rsidRPr="005C22D7">
        <w:rPr>
          <w:rFonts w:eastAsiaTheme="minorHAnsi" w:cstheme="minorHAnsi"/>
          <w:bCs w:val="0"/>
          <w:color w:val="auto"/>
          <w:sz w:val="22"/>
          <w:szCs w:val="22"/>
          <w:lang w:val="en-GB"/>
        </w:rPr>
        <w:t>Thus, a person under the age of 18 cannot freely decide on their own religion.</w:t>
      </w:r>
    </w:p>
    <w:p w14:paraId="68C34847" w14:textId="77777777" w:rsidR="00360737" w:rsidRDefault="00360737" w:rsidP="00360737">
      <w:pPr>
        <w:pStyle w:val="Heading3"/>
        <w:numPr>
          <w:ilvl w:val="0"/>
          <w:numId w:val="0"/>
        </w:numPr>
        <w:ind w:left="964" w:hanging="964"/>
        <w:rPr>
          <w:lang w:val="en-GB"/>
        </w:rPr>
      </w:pPr>
      <w:r>
        <w:rPr>
          <w:lang w:val="en-GB"/>
        </w:rPr>
        <w:t>5 c – R</w:t>
      </w:r>
      <w:r w:rsidRPr="007A2ADB">
        <w:rPr>
          <w:lang w:val="en-GB"/>
        </w:rPr>
        <w:t>esources</w:t>
      </w:r>
      <w:r>
        <w:rPr>
          <w:lang w:val="en-GB"/>
        </w:rPr>
        <w:t xml:space="preserve"> </w:t>
      </w:r>
      <w:r w:rsidRPr="007A2ADB">
        <w:rPr>
          <w:lang w:val="en-GB"/>
        </w:rPr>
        <w:t xml:space="preserve">to implement measures against </w:t>
      </w:r>
      <w:proofErr w:type="gramStart"/>
      <w:r w:rsidRPr="007A2ADB">
        <w:rPr>
          <w:lang w:val="en-GB"/>
        </w:rPr>
        <w:t>violence</w:t>
      </w:r>
      <w:proofErr w:type="gramEnd"/>
    </w:p>
    <w:p w14:paraId="26B8BD76" w14:textId="77777777" w:rsidR="00360737" w:rsidRPr="00EF3D2B" w:rsidRDefault="00360737" w:rsidP="00360737">
      <w:pPr>
        <w:spacing w:after="160" w:line="259" w:lineRule="auto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ab/>
        <w:t xml:space="preserve">The state’s reply seems strangely unfinished (by mistake?). </w:t>
      </w:r>
    </w:p>
    <w:p w14:paraId="18492067" w14:textId="77777777" w:rsidR="00360737" w:rsidRDefault="00360737" w:rsidP="00360737">
      <w:pPr>
        <w:pStyle w:val="Heading3"/>
        <w:numPr>
          <w:ilvl w:val="0"/>
          <w:numId w:val="0"/>
        </w:numPr>
        <w:ind w:left="964" w:hanging="964"/>
        <w:rPr>
          <w:lang w:val="en-GB"/>
        </w:rPr>
      </w:pPr>
      <w:r>
        <w:rPr>
          <w:lang w:val="en-GB"/>
        </w:rPr>
        <w:t>5 d – Intersex children and female genital mutilation</w:t>
      </w:r>
    </w:p>
    <w:p w14:paraId="486CBC4D" w14:textId="77777777" w:rsidR="00360737" w:rsidRDefault="00360737" w:rsidP="00360737">
      <w:pPr>
        <w:pStyle w:val="ListParagraph"/>
        <w:spacing w:after="160" w:line="259" w:lineRule="auto"/>
        <w:ind w:left="964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Intersex children’s right to integrity </w:t>
      </w:r>
      <w:r w:rsidRPr="00B238F8">
        <w:rPr>
          <w:sz w:val="22"/>
          <w:szCs w:val="22"/>
          <w:lang w:val="en-GB"/>
        </w:rPr>
        <w:t xml:space="preserve">must be included in legislation to prevent </w:t>
      </w:r>
      <w:r>
        <w:rPr>
          <w:sz w:val="22"/>
          <w:szCs w:val="22"/>
          <w:lang w:val="en-GB"/>
        </w:rPr>
        <w:t xml:space="preserve">any </w:t>
      </w:r>
      <w:r w:rsidRPr="00B238F8">
        <w:rPr>
          <w:sz w:val="22"/>
          <w:szCs w:val="22"/>
          <w:lang w:val="en-GB"/>
        </w:rPr>
        <w:t>unnecessary medical procedures.</w:t>
      </w:r>
    </w:p>
    <w:p w14:paraId="0E80A83F" w14:textId="77777777" w:rsidR="00360737" w:rsidRDefault="00360737" w:rsidP="00360737">
      <w:pPr>
        <w:pStyle w:val="ListParagraph"/>
        <w:spacing w:after="160" w:line="259" w:lineRule="auto"/>
        <w:ind w:left="964"/>
        <w:rPr>
          <w:sz w:val="22"/>
          <w:szCs w:val="22"/>
          <w:lang w:val="en-GB"/>
        </w:rPr>
      </w:pPr>
    </w:p>
    <w:p w14:paraId="78C33D4B" w14:textId="77777777" w:rsidR="00360737" w:rsidRDefault="00360737" w:rsidP="00360737">
      <w:pPr>
        <w:pStyle w:val="ListParagraph"/>
        <w:spacing w:after="160" w:line="259" w:lineRule="auto"/>
        <w:ind w:left="964"/>
        <w:rPr>
          <w:sz w:val="22"/>
          <w:szCs w:val="22"/>
          <w:lang w:val="en-GB"/>
        </w:rPr>
      </w:pPr>
      <w:r w:rsidRPr="001A7389">
        <w:rPr>
          <w:sz w:val="22"/>
          <w:szCs w:val="22"/>
          <w:lang w:val="en-GB"/>
        </w:rPr>
        <w:t>The working group, which was established to propose a clarification of the Criminal Code regarding female genital mutilation</w:t>
      </w:r>
      <w:r>
        <w:rPr>
          <w:sz w:val="22"/>
          <w:szCs w:val="22"/>
          <w:lang w:val="en-GB"/>
        </w:rPr>
        <w:t xml:space="preserve"> (FGM)</w:t>
      </w:r>
      <w:r w:rsidRPr="001A7389">
        <w:rPr>
          <w:sz w:val="22"/>
          <w:szCs w:val="22"/>
          <w:lang w:val="en-GB"/>
        </w:rPr>
        <w:t xml:space="preserve">, </w:t>
      </w:r>
      <w:r w:rsidRPr="007D631C">
        <w:rPr>
          <w:sz w:val="22"/>
          <w:szCs w:val="22"/>
          <w:lang w:val="en-GB"/>
        </w:rPr>
        <w:t>did not propose changes to the Criminal Code</w:t>
      </w:r>
      <w:r>
        <w:rPr>
          <w:sz w:val="22"/>
          <w:szCs w:val="22"/>
          <w:lang w:val="en-GB"/>
        </w:rPr>
        <w:t xml:space="preserve">. </w:t>
      </w:r>
      <w:r w:rsidRPr="0012411A">
        <w:rPr>
          <w:sz w:val="22"/>
          <w:szCs w:val="22"/>
          <w:lang w:val="en-GB"/>
        </w:rPr>
        <w:t xml:space="preserve">Since there is no penal provision in the Criminal Code for </w:t>
      </w:r>
      <w:r>
        <w:rPr>
          <w:sz w:val="22"/>
          <w:szCs w:val="22"/>
          <w:lang w:val="en-GB"/>
        </w:rPr>
        <w:t>FGM</w:t>
      </w:r>
      <w:r w:rsidRPr="0012411A">
        <w:rPr>
          <w:sz w:val="22"/>
          <w:szCs w:val="22"/>
          <w:lang w:val="en-GB"/>
        </w:rPr>
        <w:t xml:space="preserve">, mutilation is assessed as </w:t>
      </w:r>
      <w:r>
        <w:rPr>
          <w:sz w:val="22"/>
          <w:szCs w:val="22"/>
          <w:lang w:val="en-GB"/>
        </w:rPr>
        <w:t xml:space="preserve">an </w:t>
      </w:r>
      <w:r w:rsidRPr="0012411A">
        <w:rPr>
          <w:sz w:val="22"/>
          <w:szCs w:val="22"/>
          <w:lang w:val="en-GB"/>
        </w:rPr>
        <w:t>assault</w:t>
      </w:r>
      <w:r>
        <w:rPr>
          <w:sz w:val="22"/>
          <w:szCs w:val="22"/>
          <w:lang w:val="en-GB"/>
        </w:rPr>
        <w:t>.</w:t>
      </w:r>
    </w:p>
    <w:p w14:paraId="7513603A" w14:textId="77777777" w:rsidR="00360737" w:rsidRDefault="00360737" w:rsidP="00360737">
      <w:pPr>
        <w:spacing w:after="160" w:line="259" w:lineRule="auto"/>
        <w:rPr>
          <w:color w:val="347D8C" w:themeColor="accent1"/>
          <w:sz w:val="24"/>
          <w:szCs w:val="24"/>
          <w:lang w:val="en-GB"/>
        </w:rPr>
      </w:pPr>
      <w:r w:rsidRPr="00D045E4">
        <w:rPr>
          <w:color w:val="347D8C" w:themeColor="accent1"/>
          <w:sz w:val="24"/>
          <w:szCs w:val="24"/>
          <w:lang w:val="en-GB"/>
        </w:rPr>
        <w:t>6 (c)</w:t>
      </w:r>
      <w:r>
        <w:rPr>
          <w:color w:val="347D8C" w:themeColor="accent1"/>
          <w:sz w:val="24"/>
          <w:szCs w:val="24"/>
          <w:lang w:val="en-GB"/>
        </w:rPr>
        <w:t xml:space="preserve"> – </w:t>
      </w:r>
      <w:r w:rsidRPr="00D045E4">
        <w:rPr>
          <w:color w:val="347D8C" w:themeColor="accent1"/>
          <w:sz w:val="24"/>
          <w:szCs w:val="24"/>
          <w:lang w:val="en-GB"/>
        </w:rPr>
        <w:t>The rights of children in residential homes and foster care</w:t>
      </w:r>
    </w:p>
    <w:p w14:paraId="035F8630" w14:textId="77777777" w:rsidR="00360737" w:rsidRDefault="00360737" w:rsidP="00360737">
      <w:pPr>
        <w:pStyle w:val="Heading3"/>
        <w:numPr>
          <w:ilvl w:val="0"/>
          <w:numId w:val="0"/>
        </w:numPr>
        <w:ind w:left="964"/>
        <w:rPr>
          <w:rFonts w:eastAsiaTheme="minorHAnsi" w:cstheme="minorHAnsi"/>
          <w:bCs w:val="0"/>
          <w:color w:val="auto"/>
          <w:sz w:val="22"/>
          <w:szCs w:val="22"/>
          <w:lang w:val="en-GB"/>
        </w:rPr>
      </w:pPr>
      <w:r w:rsidRPr="003A09DC">
        <w:rPr>
          <w:rFonts w:eastAsiaTheme="minorHAnsi" w:cstheme="minorHAnsi"/>
          <w:bCs w:val="0"/>
          <w:color w:val="auto"/>
          <w:sz w:val="22"/>
          <w:szCs w:val="22"/>
          <w:lang w:val="en-GB"/>
        </w:rPr>
        <w:t xml:space="preserve">There are no suitable </w:t>
      </w:r>
      <w:r>
        <w:rPr>
          <w:rFonts w:eastAsiaTheme="minorHAnsi" w:cstheme="minorHAnsi"/>
          <w:bCs w:val="0"/>
          <w:color w:val="auto"/>
          <w:sz w:val="22"/>
          <w:szCs w:val="22"/>
          <w:lang w:val="en-GB"/>
        </w:rPr>
        <w:t>substitute</w:t>
      </w:r>
      <w:r w:rsidRPr="003A09DC">
        <w:rPr>
          <w:rFonts w:eastAsiaTheme="minorHAnsi" w:cstheme="minorHAnsi"/>
          <w:bCs w:val="0"/>
          <w:color w:val="auto"/>
          <w:sz w:val="22"/>
          <w:szCs w:val="22"/>
          <w:lang w:val="en-GB"/>
        </w:rPr>
        <w:t xml:space="preserve"> care places for children who behave violently, and places change frequently. When the cycle of violence and crime cannot be broken in child protection, the child's place of </w:t>
      </w:r>
      <w:r>
        <w:rPr>
          <w:rFonts w:eastAsiaTheme="minorHAnsi" w:cstheme="minorHAnsi"/>
          <w:bCs w:val="0"/>
          <w:color w:val="auto"/>
          <w:sz w:val="22"/>
          <w:szCs w:val="22"/>
          <w:lang w:val="en-GB"/>
        </w:rPr>
        <w:t>substitute</w:t>
      </w:r>
      <w:r w:rsidRPr="003A09DC">
        <w:rPr>
          <w:rFonts w:eastAsiaTheme="minorHAnsi" w:cstheme="minorHAnsi"/>
          <w:bCs w:val="0"/>
          <w:color w:val="auto"/>
          <w:sz w:val="22"/>
          <w:szCs w:val="22"/>
          <w:lang w:val="en-GB"/>
        </w:rPr>
        <w:t xml:space="preserve"> care </w:t>
      </w:r>
      <w:r>
        <w:rPr>
          <w:rFonts w:eastAsiaTheme="minorHAnsi" w:cstheme="minorHAnsi"/>
          <w:bCs w:val="0"/>
          <w:color w:val="auto"/>
          <w:sz w:val="22"/>
          <w:szCs w:val="22"/>
          <w:lang w:val="en-GB"/>
        </w:rPr>
        <w:t>changes often</w:t>
      </w:r>
      <w:r w:rsidRPr="003A09DC">
        <w:rPr>
          <w:rFonts w:eastAsiaTheme="minorHAnsi" w:cstheme="minorHAnsi"/>
          <w:bCs w:val="0"/>
          <w:color w:val="auto"/>
          <w:sz w:val="22"/>
          <w:szCs w:val="22"/>
          <w:lang w:val="en-GB"/>
        </w:rPr>
        <w:t>.</w:t>
      </w:r>
    </w:p>
    <w:p w14:paraId="02AB8F52" w14:textId="77777777" w:rsidR="00360737" w:rsidRDefault="00360737" w:rsidP="00360737">
      <w:pPr>
        <w:pStyle w:val="Vlistettyperusteksti"/>
        <w:rPr>
          <w:color w:val="347D8C" w:themeColor="accent1"/>
          <w:sz w:val="24"/>
          <w:szCs w:val="24"/>
          <w:lang w:val="en-GB"/>
        </w:rPr>
      </w:pPr>
      <w:r w:rsidRPr="00DB4458">
        <w:rPr>
          <w:color w:val="347D8C" w:themeColor="accent1"/>
          <w:sz w:val="24"/>
          <w:szCs w:val="24"/>
          <w:lang w:val="en-GB"/>
        </w:rPr>
        <w:t xml:space="preserve">6 (e) – </w:t>
      </w:r>
      <w:r>
        <w:rPr>
          <w:color w:val="347D8C" w:themeColor="accent1"/>
          <w:sz w:val="24"/>
          <w:szCs w:val="24"/>
          <w:lang w:val="en-GB"/>
        </w:rPr>
        <w:t>T</w:t>
      </w:r>
      <w:r w:rsidRPr="00DB4458">
        <w:rPr>
          <w:color w:val="347D8C" w:themeColor="accent1"/>
          <w:sz w:val="24"/>
          <w:szCs w:val="24"/>
          <w:lang w:val="en-GB"/>
        </w:rPr>
        <w:t>he maximum number of children as clients</w:t>
      </w:r>
    </w:p>
    <w:p w14:paraId="0AA5F2E4" w14:textId="77777777" w:rsidR="00360737" w:rsidRDefault="00360737" w:rsidP="00360737">
      <w:pPr>
        <w:pStyle w:val="Vlistettyperusteksti"/>
        <w:ind w:left="960"/>
        <w:rPr>
          <w:lang w:val="en-GB"/>
        </w:rPr>
      </w:pPr>
      <w:r w:rsidRPr="00DC01E0">
        <w:rPr>
          <w:lang w:val="en-GB"/>
        </w:rPr>
        <w:t xml:space="preserve">While the law defines that </w:t>
      </w:r>
      <w:r>
        <w:rPr>
          <w:lang w:val="en-GB"/>
        </w:rPr>
        <w:t xml:space="preserve">a </w:t>
      </w:r>
      <w:r w:rsidRPr="00DC01E0">
        <w:rPr>
          <w:lang w:val="en-GB"/>
        </w:rPr>
        <w:t xml:space="preserve">social worker responsible for child’s affairs can have a maximum of 35 children as clients at a time (and starting from 2024, 30 children), there are regional differences in how the </w:t>
      </w:r>
      <w:r>
        <w:rPr>
          <w:lang w:val="en-GB"/>
        </w:rPr>
        <w:t>requirement is met</w:t>
      </w:r>
      <w:r w:rsidRPr="00DC01E0">
        <w:rPr>
          <w:lang w:val="en-GB"/>
        </w:rPr>
        <w:t>.</w:t>
      </w:r>
    </w:p>
    <w:p w14:paraId="1B63CDDA" w14:textId="77777777" w:rsidR="00360737" w:rsidRDefault="00360737" w:rsidP="00360737">
      <w:pPr>
        <w:pStyle w:val="Vlistettyperusteksti"/>
        <w:ind w:left="960"/>
        <w:rPr>
          <w:lang w:val="en-GB"/>
        </w:rPr>
      </w:pPr>
      <w:r w:rsidRPr="29D33BFC">
        <w:rPr>
          <w:lang w:val="en-GB"/>
        </w:rPr>
        <w:t xml:space="preserve">CUCW has proposed that </w:t>
      </w:r>
      <w:r>
        <w:rPr>
          <w:lang w:val="en-GB"/>
        </w:rPr>
        <w:t xml:space="preserve">a </w:t>
      </w:r>
      <w:r w:rsidRPr="29D33BFC">
        <w:rPr>
          <w:lang w:val="en-GB"/>
        </w:rPr>
        <w:t xml:space="preserve">social worker should not have more than 25 children as clients. A limit of 25 children has been recommended in several national reports, </w:t>
      </w:r>
      <w:proofErr w:type="spellStart"/>
      <w:r w:rsidRPr="29D33BFC">
        <w:rPr>
          <w:lang w:val="en-GB"/>
        </w:rPr>
        <w:t>f.ex</w:t>
      </w:r>
      <w:proofErr w:type="spellEnd"/>
      <w:r w:rsidRPr="29D33BFC">
        <w:rPr>
          <w:lang w:val="en-GB"/>
        </w:rPr>
        <w:t>. in the national child protection quality recommendation.</w:t>
      </w:r>
    </w:p>
    <w:p w14:paraId="5EDCF76E" w14:textId="77777777" w:rsidR="00360737" w:rsidRDefault="00360737" w:rsidP="00360737">
      <w:pPr>
        <w:pStyle w:val="Heading3"/>
        <w:numPr>
          <w:ilvl w:val="0"/>
          <w:numId w:val="0"/>
        </w:numPr>
        <w:ind w:left="964" w:hanging="964"/>
        <w:rPr>
          <w:lang w:val="en-GB"/>
        </w:rPr>
      </w:pPr>
      <w:r>
        <w:rPr>
          <w:lang w:val="en-GB"/>
        </w:rPr>
        <w:t xml:space="preserve">6 d &amp; 11 a – Family reunification </w:t>
      </w:r>
    </w:p>
    <w:p w14:paraId="5E0D2059" w14:textId="77777777" w:rsidR="00360737" w:rsidRDefault="00360737" w:rsidP="00360737">
      <w:pPr>
        <w:pStyle w:val="Heading3"/>
        <w:numPr>
          <w:ilvl w:val="0"/>
          <w:numId w:val="0"/>
        </w:numPr>
        <w:ind w:left="964"/>
        <w:rPr>
          <w:rFonts w:eastAsiaTheme="minorHAnsi" w:cstheme="minorHAnsi"/>
          <w:bCs w:val="0"/>
          <w:color w:val="auto"/>
          <w:sz w:val="22"/>
          <w:szCs w:val="22"/>
          <w:lang w:val="en-GB"/>
        </w:rPr>
      </w:pPr>
      <w:r w:rsidRPr="00961213">
        <w:rPr>
          <w:rFonts w:eastAsiaTheme="minorHAnsi" w:cstheme="minorHAnsi"/>
          <w:bCs w:val="0"/>
          <w:color w:val="auto"/>
          <w:sz w:val="22"/>
          <w:szCs w:val="22"/>
          <w:lang w:val="en-GB"/>
        </w:rPr>
        <w:t xml:space="preserve">Despite the actions described by the state (76–78), the problems </w:t>
      </w:r>
      <w:r>
        <w:rPr>
          <w:rFonts w:eastAsiaTheme="minorHAnsi" w:cstheme="minorHAnsi"/>
          <w:bCs w:val="0"/>
          <w:color w:val="auto"/>
          <w:sz w:val="22"/>
          <w:szCs w:val="22"/>
          <w:lang w:val="en-GB"/>
        </w:rPr>
        <w:t>the CUCW</w:t>
      </w:r>
      <w:r w:rsidRPr="00961213">
        <w:rPr>
          <w:rFonts w:eastAsiaTheme="minorHAnsi" w:cstheme="minorHAnsi"/>
          <w:bCs w:val="0"/>
          <w:color w:val="auto"/>
          <w:sz w:val="22"/>
          <w:szCs w:val="22"/>
          <w:lang w:val="en-GB"/>
        </w:rPr>
        <w:t xml:space="preserve"> </w:t>
      </w:r>
      <w:r>
        <w:rPr>
          <w:rFonts w:eastAsiaTheme="minorHAnsi" w:cstheme="minorHAnsi"/>
          <w:bCs w:val="0"/>
          <w:color w:val="auto"/>
          <w:sz w:val="22"/>
          <w:szCs w:val="22"/>
          <w:lang w:val="en-GB"/>
        </w:rPr>
        <w:t xml:space="preserve">has </w:t>
      </w:r>
      <w:r w:rsidRPr="00961213">
        <w:rPr>
          <w:rFonts w:eastAsiaTheme="minorHAnsi" w:cstheme="minorHAnsi"/>
          <w:bCs w:val="0"/>
          <w:color w:val="auto"/>
          <w:sz w:val="22"/>
          <w:szCs w:val="22"/>
          <w:lang w:val="en-GB"/>
        </w:rPr>
        <w:t xml:space="preserve">presented </w:t>
      </w:r>
      <w:r>
        <w:rPr>
          <w:rFonts w:eastAsiaTheme="minorHAnsi" w:cstheme="minorHAnsi"/>
          <w:bCs w:val="0"/>
          <w:color w:val="auto"/>
          <w:sz w:val="22"/>
          <w:szCs w:val="22"/>
          <w:lang w:val="en-GB"/>
        </w:rPr>
        <w:t>(see</w:t>
      </w:r>
      <w:r w:rsidRPr="00961213">
        <w:rPr>
          <w:rFonts w:eastAsiaTheme="minorHAnsi" w:cstheme="minorHAnsi"/>
          <w:bCs w:val="0"/>
          <w:color w:val="auto"/>
          <w:sz w:val="22"/>
          <w:szCs w:val="22"/>
          <w:lang w:val="en-GB"/>
        </w:rPr>
        <w:t xml:space="preserve"> our report </w:t>
      </w:r>
      <w:r>
        <w:rPr>
          <w:rFonts w:eastAsiaTheme="minorHAnsi" w:cstheme="minorHAnsi"/>
          <w:bCs w:val="0"/>
          <w:color w:val="auto"/>
          <w:sz w:val="22"/>
          <w:szCs w:val="22"/>
          <w:lang w:val="en-GB"/>
        </w:rPr>
        <w:t>06/</w:t>
      </w:r>
      <w:r w:rsidRPr="00961213">
        <w:rPr>
          <w:rFonts w:eastAsiaTheme="minorHAnsi" w:cstheme="minorHAnsi"/>
          <w:bCs w:val="0"/>
          <w:color w:val="auto"/>
          <w:sz w:val="22"/>
          <w:szCs w:val="22"/>
          <w:lang w:val="en-GB"/>
        </w:rPr>
        <w:t>2022, point</w:t>
      </w:r>
      <w:r>
        <w:rPr>
          <w:rFonts w:eastAsiaTheme="minorHAnsi" w:cstheme="minorHAnsi"/>
          <w:bCs w:val="0"/>
          <w:color w:val="auto"/>
          <w:sz w:val="22"/>
          <w:szCs w:val="22"/>
          <w:lang w:val="en-GB"/>
        </w:rPr>
        <w:t>s</w:t>
      </w:r>
      <w:r w:rsidRPr="00961213">
        <w:rPr>
          <w:rFonts w:eastAsiaTheme="minorHAnsi" w:cstheme="minorHAnsi"/>
          <w:bCs w:val="0"/>
          <w:color w:val="auto"/>
          <w:sz w:val="22"/>
          <w:szCs w:val="22"/>
          <w:lang w:val="en-GB"/>
        </w:rPr>
        <w:t xml:space="preserve"> 90 and 155) still exist.</w:t>
      </w:r>
    </w:p>
    <w:p w14:paraId="389ECF59" w14:textId="77777777" w:rsidR="00360737" w:rsidRDefault="00360737" w:rsidP="00360737">
      <w:pPr>
        <w:pStyle w:val="Heading3"/>
        <w:numPr>
          <w:ilvl w:val="0"/>
          <w:numId w:val="0"/>
        </w:numPr>
        <w:ind w:left="964" w:hanging="964"/>
        <w:rPr>
          <w:lang w:val="en-GB"/>
        </w:rPr>
      </w:pPr>
      <w:r>
        <w:rPr>
          <w:lang w:val="en-GB"/>
        </w:rPr>
        <w:t xml:space="preserve">7 a – Children with disabilities / inclusion </w:t>
      </w:r>
    </w:p>
    <w:p w14:paraId="3F855B14" w14:textId="6C46656D" w:rsidR="00360737" w:rsidRDefault="00360737" w:rsidP="00360737">
      <w:pPr>
        <w:pStyle w:val="ListParagraph"/>
        <w:spacing w:after="160" w:line="259" w:lineRule="auto"/>
        <w:ind w:left="964"/>
        <w:rPr>
          <w:sz w:val="22"/>
          <w:szCs w:val="22"/>
          <w:lang w:val="en-GB"/>
        </w:rPr>
      </w:pPr>
      <w:r w:rsidRPr="004B5639">
        <w:rPr>
          <w:sz w:val="22"/>
          <w:szCs w:val="22"/>
          <w:lang w:val="en-GB"/>
        </w:rPr>
        <w:t>Neither resources nor training to ensure inclusion are sufficient. Apart from temporary projects, the state-funding for municipalities is not earmarked and resourcing varies among municipalities. There is also a lack of special education teachers (especially in early education</w:t>
      </w:r>
      <w:proofErr w:type="gramStart"/>
      <w:r w:rsidRPr="004B5639">
        <w:rPr>
          <w:sz w:val="22"/>
          <w:szCs w:val="22"/>
          <w:lang w:val="en-GB"/>
        </w:rPr>
        <w:t>)</w:t>
      </w:r>
      <w:proofErr w:type="gramEnd"/>
      <w:r w:rsidRPr="004B5639">
        <w:rPr>
          <w:sz w:val="22"/>
          <w:szCs w:val="22"/>
          <w:lang w:val="en-GB"/>
        </w:rPr>
        <w:t xml:space="preserve"> </w:t>
      </w:r>
      <w:r w:rsidRPr="004B5639">
        <w:rPr>
          <w:sz w:val="22"/>
          <w:szCs w:val="22"/>
          <w:lang w:val="en-GB"/>
        </w:rPr>
        <w:lastRenderedPageBreak/>
        <w:t>and the basic training of teachers does not necessarily provide strong enough competence for delivering effective support for all children. Finally, it is still disappointingly common for the rights-based approach to inclusion to be ignored in public discussion.</w:t>
      </w:r>
    </w:p>
    <w:p w14:paraId="7A03EE9F" w14:textId="77777777" w:rsidR="00360737" w:rsidRPr="0024079E" w:rsidRDefault="00360737" w:rsidP="00360737">
      <w:pPr>
        <w:spacing w:after="160" w:line="259" w:lineRule="auto"/>
        <w:rPr>
          <w:color w:val="347D8C" w:themeColor="accent1"/>
          <w:sz w:val="24"/>
          <w:szCs w:val="24"/>
          <w:lang w:val="en-US"/>
        </w:rPr>
      </w:pPr>
      <w:r w:rsidRPr="0024079E">
        <w:rPr>
          <w:color w:val="347D8C" w:themeColor="accent1"/>
          <w:sz w:val="24"/>
          <w:szCs w:val="24"/>
          <w:lang w:val="en-US"/>
        </w:rPr>
        <w:t xml:space="preserve">7b </w:t>
      </w:r>
      <w:r w:rsidRPr="0024079E">
        <w:rPr>
          <w:color w:val="347D8C" w:themeColor="accent1"/>
          <w:sz w:val="24"/>
          <w:szCs w:val="24"/>
          <w:lang w:val="en-GB"/>
        </w:rPr>
        <w:t xml:space="preserve">– </w:t>
      </w:r>
      <w:r w:rsidRPr="0024079E">
        <w:rPr>
          <w:color w:val="347D8C" w:themeColor="accent1"/>
          <w:sz w:val="24"/>
          <w:szCs w:val="24"/>
          <w:lang w:val="en-US"/>
        </w:rPr>
        <w:t>The new Act on services for persons with disabilities</w:t>
      </w:r>
    </w:p>
    <w:p w14:paraId="03E63A3C" w14:textId="77777777" w:rsidR="00360737" w:rsidRPr="00A35B90" w:rsidRDefault="00360737" w:rsidP="00360737">
      <w:pPr>
        <w:spacing w:after="160" w:line="259" w:lineRule="auto"/>
        <w:ind w:left="964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The </w:t>
      </w:r>
      <w:r w:rsidRPr="0024079E">
        <w:rPr>
          <w:sz w:val="22"/>
          <w:szCs w:val="22"/>
          <w:lang w:val="en-US"/>
        </w:rPr>
        <w:t>new Act on services for persons with disabilities</w:t>
      </w:r>
      <w:r>
        <w:rPr>
          <w:sz w:val="22"/>
          <w:szCs w:val="22"/>
          <w:lang w:val="en-US"/>
        </w:rPr>
        <w:t xml:space="preserve"> </w:t>
      </w:r>
      <w:r w:rsidRPr="00A35B90">
        <w:rPr>
          <w:sz w:val="22"/>
          <w:szCs w:val="22"/>
          <w:lang w:val="en-US"/>
        </w:rPr>
        <w:t>enables services for a wider group of people than before. This requires effective resourcing, especially in the number of personnel.</w:t>
      </w:r>
    </w:p>
    <w:p w14:paraId="3254B5A3" w14:textId="77777777" w:rsidR="00360737" w:rsidRDefault="00360737" w:rsidP="00360737">
      <w:pPr>
        <w:pStyle w:val="Heading3"/>
        <w:numPr>
          <w:ilvl w:val="0"/>
          <w:numId w:val="0"/>
        </w:numPr>
        <w:ind w:left="964" w:hanging="964"/>
        <w:rPr>
          <w:lang w:val="en-GB"/>
        </w:rPr>
      </w:pPr>
      <w:r>
        <w:rPr>
          <w:lang w:val="en-GB"/>
        </w:rPr>
        <w:t xml:space="preserve">11 b – Best interest of the child </w:t>
      </w:r>
      <w:r w:rsidRPr="00086343">
        <w:rPr>
          <w:lang w:val="en-GB"/>
        </w:rPr>
        <w:t>in migration decisions and procedures</w:t>
      </w:r>
    </w:p>
    <w:p w14:paraId="76C8FDA3" w14:textId="77777777" w:rsidR="00360737" w:rsidRDefault="00360737" w:rsidP="00360737">
      <w:pPr>
        <w:spacing w:after="160" w:line="259" w:lineRule="auto"/>
        <w:ind w:left="960"/>
        <w:rPr>
          <w:sz w:val="22"/>
          <w:szCs w:val="22"/>
          <w:lang w:val="en-GB"/>
        </w:rPr>
      </w:pPr>
      <w:r w:rsidRPr="00E9586F">
        <w:rPr>
          <w:sz w:val="22"/>
          <w:szCs w:val="22"/>
          <w:lang w:val="en-GB"/>
        </w:rPr>
        <w:t>According to a recent report by the UNHCR</w:t>
      </w:r>
      <w:r>
        <w:rPr>
          <w:rStyle w:val="FootnoteReference"/>
          <w:sz w:val="22"/>
          <w:szCs w:val="22"/>
          <w:lang w:val="en-GB"/>
        </w:rPr>
        <w:footnoteReference w:id="2"/>
      </w:r>
      <w:r w:rsidRPr="00E9586F">
        <w:rPr>
          <w:sz w:val="22"/>
          <w:szCs w:val="22"/>
          <w:lang w:val="en-GB"/>
        </w:rPr>
        <w:t xml:space="preserve">, in about a third of the examined decisions, it was not indicated how the best interest of the child had been assessed and </w:t>
      </w:r>
      <w:proofErr w:type="gramStart"/>
      <w:r w:rsidRPr="00E9586F">
        <w:rPr>
          <w:sz w:val="22"/>
          <w:szCs w:val="22"/>
          <w:lang w:val="en-GB"/>
        </w:rPr>
        <w:t>taken into account</w:t>
      </w:r>
      <w:proofErr w:type="gramEnd"/>
      <w:r w:rsidRPr="00E9586F">
        <w:rPr>
          <w:sz w:val="22"/>
          <w:szCs w:val="22"/>
          <w:lang w:val="en-GB"/>
        </w:rPr>
        <w:t>.</w:t>
      </w:r>
      <w:r>
        <w:rPr>
          <w:sz w:val="22"/>
          <w:szCs w:val="22"/>
          <w:lang w:val="en-GB"/>
        </w:rPr>
        <w:t xml:space="preserve"> </w:t>
      </w:r>
    </w:p>
    <w:p w14:paraId="17B744BD" w14:textId="77777777" w:rsidR="00360737" w:rsidRPr="00E9586F" w:rsidRDefault="00360737" w:rsidP="00360737">
      <w:pPr>
        <w:spacing w:after="160" w:line="259" w:lineRule="auto"/>
        <w:ind w:left="960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ab/>
        <w:t>The media has also published some alarming quotes from migration decisions concerning the best interest of the child (</w:t>
      </w:r>
      <w:proofErr w:type="gramStart"/>
      <w:r>
        <w:rPr>
          <w:sz w:val="22"/>
          <w:szCs w:val="22"/>
          <w:lang w:val="en-GB"/>
        </w:rPr>
        <w:t>e.g.</w:t>
      </w:r>
      <w:proofErr w:type="gramEnd"/>
      <w:r>
        <w:rPr>
          <w:sz w:val="22"/>
          <w:szCs w:val="22"/>
          <w:lang w:val="en-GB"/>
        </w:rPr>
        <w:t xml:space="preserve"> </w:t>
      </w:r>
      <w:r w:rsidRPr="00B72E10">
        <w:rPr>
          <w:sz w:val="22"/>
          <w:szCs w:val="22"/>
          <w:lang w:val="en-GB"/>
        </w:rPr>
        <w:t xml:space="preserve">the child's </w:t>
      </w:r>
      <w:r>
        <w:rPr>
          <w:sz w:val="22"/>
          <w:szCs w:val="22"/>
          <w:lang w:val="en-GB"/>
        </w:rPr>
        <w:t xml:space="preserve">best </w:t>
      </w:r>
      <w:r w:rsidRPr="00B72E10">
        <w:rPr>
          <w:sz w:val="22"/>
          <w:szCs w:val="22"/>
          <w:lang w:val="en-GB"/>
        </w:rPr>
        <w:t xml:space="preserve">interests not </w:t>
      </w:r>
      <w:r>
        <w:rPr>
          <w:sz w:val="22"/>
          <w:szCs w:val="22"/>
          <w:lang w:val="en-GB"/>
        </w:rPr>
        <w:t xml:space="preserve">being </w:t>
      </w:r>
      <w:r w:rsidRPr="00B72E10">
        <w:rPr>
          <w:sz w:val="22"/>
          <w:szCs w:val="22"/>
          <w:lang w:val="en-GB"/>
        </w:rPr>
        <w:t>exceptionally jeopardized if one parent is removed from the country</w:t>
      </w:r>
      <w:r>
        <w:rPr>
          <w:sz w:val="22"/>
          <w:szCs w:val="22"/>
          <w:lang w:val="en-GB"/>
        </w:rPr>
        <w:t xml:space="preserve">). </w:t>
      </w:r>
    </w:p>
    <w:p w14:paraId="6CD4B723" w14:textId="77777777" w:rsidR="00360737" w:rsidRDefault="00360737" w:rsidP="00360737">
      <w:pPr>
        <w:pStyle w:val="Heading3"/>
        <w:numPr>
          <w:ilvl w:val="0"/>
          <w:numId w:val="0"/>
        </w:numPr>
        <w:ind w:left="964" w:hanging="964"/>
        <w:rPr>
          <w:lang w:val="en-GB"/>
        </w:rPr>
      </w:pPr>
      <w:r>
        <w:rPr>
          <w:lang w:val="en-GB"/>
        </w:rPr>
        <w:t xml:space="preserve">11 c – Access to services / </w:t>
      </w:r>
      <w:r w:rsidRPr="00E316E6">
        <w:rPr>
          <w:lang w:val="en-GB"/>
        </w:rPr>
        <w:t xml:space="preserve">children seeking asylum or who have received temporary </w:t>
      </w:r>
      <w:proofErr w:type="gramStart"/>
      <w:r w:rsidRPr="00E316E6">
        <w:rPr>
          <w:lang w:val="en-GB"/>
        </w:rPr>
        <w:t>protection</w:t>
      </w:r>
      <w:proofErr w:type="gramEnd"/>
    </w:p>
    <w:p w14:paraId="3782A790" w14:textId="77777777" w:rsidR="00360737" w:rsidRDefault="00360737" w:rsidP="00360737">
      <w:pPr>
        <w:spacing w:after="160" w:line="259" w:lineRule="auto"/>
        <w:ind w:left="960"/>
        <w:rPr>
          <w:sz w:val="22"/>
          <w:szCs w:val="22"/>
          <w:lang w:val="en-GB"/>
        </w:rPr>
      </w:pPr>
      <w:r w:rsidRPr="00817A1B">
        <w:rPr>
          <w:sz w:val="22"/>
          <w:szCs w:val="22"/>
          <w:lang w:val="en-GB"/>
        </w:rPr>
        <w:t>There is</w:t>
      </w:r>
      <w:r>
        <w:rPr>
          <w:sz w:val="22"/>
          <w:szCs w:val="22"/>
          <w:lang w:val="en-GB"/>
        </w:rPr>
        <w:t xml:space="preserve"> insufficient </w:t>
      </w:r>
      <w:r w:rsidRPr="00817A1B">
        <w:rPr>
          <w:sz w:val="22"/>
          <w:szCs w:val="22"/>
          <w:lang w:val="en-GB"/>
        </w:rPr>
        <w:t>information on the situation, living conditions and access to services of</w:t>
      </w:r>
      <w:r>
        <w:rPr>
          <w:sz w:val="22"/>
          <w:szCs w:val="22"/>
          <w:lang w:val="en-GB"/>
        </w:rPr>
        <w:t xml:space="preserve"> </w:t>
      </w:r>
      <w:proofErr w:type="spellStart"/>
      <w:r>
        <w:rPr>
          <w:sz w:val="22"/>
          <w:szCs w:val="22"/>
          <w:lang w:val="en-GB"/>
        </w:rPr>
        <w:t>Ukranian</w:t>
      </w:r>
      <w:proofErr w:type="spellEnd"/>
      <w:r>
        <w:rPr>
          <w:sz w:val="22"/>
          <w:szCs w:val="22"/>
          <w:lang w:val="en-GB"/>
        </w:rPr>
        <w:t xml:space="preserve"> children in Finland:</w:t>
      </w:r>
      <w:r w:rsidRPr="00817A1B">
        <w:rPr>
          <w:sz w:val="22"/>
          <w:szCs w:val="22"/>
          <w:lang w:val="en-GB"/>
        </w:rPr>
        <w:t xml:space="preserve"> </w:t>
      </w:r>
      <w:r>
        <w:rPr>
          <w:sz w:val="22"/>
          <w:szCs w:val="22"/>
          <w:lang w:val="en-GB"/>
        </w:rPr>
        <w:t>w</w:t>
      </w:r>
      <w:r w:rsidRPr="00817A1B">
        <w:rPr>
          <w:sz w:val="22"/>
          <w:szCs w:val="22"/>
          <w:lang w:val="en-GB"/>
        </w:rPr>
        <w:t xml:space="preserve">hat is the need for the services, how is </w:t>
      </w:r>
      <w:r>
        <w:rPr>
          <w:sz w:val="22"/>
          <w:szCs w:val="22"/>
          <w:lang w:val="en-GB"/>
        </w:rPr>
        <w:t xml:space="preserve">the actual </w:t>
      </w:r>
      <w:r w:rsidRPr="00817A1B">
        <w:rPr>
          <w:sz w:val="22"/>
          <w:szCs w:val="22"/>
          <w:lang w:val="en-GB"/>
        </w:rPr>
        <w:t>access to the services and what are the reasons for</w:t>
      </w:r>
      <w:r>
        <w:rPr>
          <w:sz w:val="22"/>
          <w:szCs w:val="22"/>
          <w:lang w:val="en-GB"/>
        </w:rPr>
        <w:t xml:space="preserve"> possible lack of access to</w:t>
      </w:r>
      <w:r w:rsidRPr="00817A1B">
        <w:rPr>
          <w:sz w:val="22"/>
          <w:szCs w:val="22"/>
          <w:lang w:val="en-GB"/>
        </w:rPr>
        <w:t xml:space="preserve"> the services.</w:t>
      </w:r>
    </w:p>
    <w:p w14:paraId="2A62FDE1" w14:textId="77777777" w:rsidR="00360737" w:rsidRDefault="00360737" w:rsidP="00360737">
      <w:pPr>
        <w:pStyle w:val="Heading3"/>
        <w:numPr>
          <w:ilvl w:val="0"/>
          <w:numId w:val="0"/>
        </w:numPr>
        <w:ind w:left="964" w:hanging="964"/>
        <w:rPr>
          <w:lang w:val="en-GB"/>
        </w:rPr>
      </w:pPr>
      <w:r>
        <w:rPr>
          <w:lang w:val="en-GB"/>
        </w:rPr>
        <w:t>11 f – D</w:t>
      </w:r>
      <w:r w:rsidRPr="004A670D">
        <w:rPr>
          <w:lang w:val="en-GB"/>
        </w:rPr>
        <w:t>etention of children</w:t>
      </w:r>
    </w:p>
    <w:p w14:paraId="32B26DEA" w14:textId="77777777" w:rsidR="00360737" w:rsidRPr="004A670D" w:rsidRDefault="00360737" w:rsidP="00360737">
      <w:pPr>
        <w:pStyle w:val="Vlistettyperusteksti"/>
        <w:rPr>
          <w:lang w:val="en-GB"/>
        </w:rPr>
      </w:pPr>
      <w:r>
        <w:rPr>
          <w:lang w:val="en-GB"/>
        </w:rPr>
        <w:tab/>
      </w:r>
      <w:r w:rsidRPr="00575F29">
        <w:rPr>
          <w:lang w:val="en-GB"/>
        </w:rPr>
        <w:t>The detention of children occurring very rarely</w:t>
      </w:r>
      <w:r>
        <w:rPr>
          <w:lang w:val="en-GB"/>
        </w:rPr>
        <w:t xml:space="preserve"> does not justify it</w:t>
      </w:r>
      <w:r w:rsidRPr="00575F29">
        <w:rPr>
          <w:lang w:val="en-GB"/>
        </w:rPr>
        <w:t>.</w:t>
      </w:r>
      <w:r>
        <w:rPr>
          <w:lang w:val="en-GB"/>
        </w:rPr>
        <w:t xml:space="preserve"> See our report (point 159).</w:t>
      </w:r>
    </w:p>
    <w:p w14:paraId="022F874C" w14:textId="77777777" w:rsidR="00360737" w:rsidRPr="00A921C0" w:rsidRDefault="00360737" w:rsidP="00360737">
      <w:pPr>
        <w:spacing w:after="160" w:line="259" w:lineRule="auto"/>
        <w:rPr>
          <w:sz w:val="22"/>
          <w:szCs w:val="22"/>
        </w:rPr>
      </w:pPr>
    </w:p>
    <w:p w14:paraId="686DC804" w14:textId="77777777" w:rsidR="00415141" w:rsidRPr="00D917C4" w:rsidRDefault="00415141" w:rsidP="00D917C4"/>
    <w:sectPr w:rsidR="00415141" w:rsidRPr="00D917C4" w:rsidSect="006318C2">
      <w:headerReference w:type="default" r:id="rId12"/>
      <w:headerReference w:type="first" r:id="rId13"/>
      <w:footerReference w:type="first" r:id="rId14"/>
      <w:pgSz w:w="11906" w:h="16838" w:code="9"/>
      <w:pgMar w:top="1417" w:right="1134" w:bottom="1417" w:left="1134" w:header="709" w:footer="99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4086D" w14:textId="77777777" w:rsidR="006623AF" w:rsidRDefault="006623AF" w:rsidP="00370F3B">
      <w:r>
        <w:separator/>
      </w:r>
    </w:p>
  </w:endnote>
  <w:endnote w:type="continuationSeparator" w:id="0">
    <w:p w14:paraId="3B09D00F" w14:textId="77777777" w:rsidR="006623AF" w:rsidRDefault="006623AF" w:rsidP="00370F3B">
      <w:r>
        <w:continuationSeparator/>
      </w:r>
    </w:p>
  </w:endnote>
  <w:endnote w:type="continuationNotice" w:id="1">
    <w:p w14:paraId="742A0919" w14:textId="77777777" w:rsidR="006623AF" w:rsidRDefault="006623A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altName w:val="Times New Roman"/>
    <w:charset w:val="00"/>
    <w:family w:val="auto"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315CE" w14:textId="77777777" w:rsidR="00550220" w:rsidRDefault="00550220" w:rsidP="00550220">
    <w:pPr>
      <w:pStyle w:val="Alatunnisteotsikko"/>
      <w:jc w:val="left"/>
      <w:rPr>
        <w:color w:val="347D8C"/>
      </w:rPr>
    </w:pPr>
  </w:p>
  <w:p w14:paraId="03D84ED0" w14:textId="77777777" w:rsidR="00550220" w:rsidRPr="000E4550" w:rsidRDefault="00550220" w:rsidP="00550220">
    <w:pPr>
      <w:pStyle w:val="Alatunnisteotsikko"/>
      <w:rPr>
        <w:color w:val="347D8C"/>
        <w:lang w:val="en-GB"/>
      </w:rPr>
    </w:pPr>
    <w:r w:rsidRPr="000E4550">
      <w:rPr>
        <w:color w:val="347D8C"/>
        <w:lang w:val="en-GB"/>
      </w:rPr>
      <w:t xml:space="preserve">Lastensuojelun keskusliitto | </w:t>
    </w:r>
    <w:r w:rsidR="00DE318C" w:rsidRPr="000E4550">
      <w:rPr>
        <w:color w:val="347D8C"/>
        <w:lang w:val="en-GB"/>
      </w:rPr>
      <w:t>CENTRAL UNION FOR CHILD WELFARE</w:t>
    </w:r>
  </w:p>
  <w:p w14:paraId="1C544646" w14:textId="77777777" w:rsidR="00550220" w:rsidRPr="009706AB" w:rsidRDefault="00550220" w:rsidP="00550220">
    <w:pPr>
      <w:pStyle w:val="Footer"/>
      <w:rPr>
        <w:lang w:val="sv-SE"/>
      </w:rPr>
    </w:pPr>
    <w:r w:rsidRPr="009706AB">
      <w:rPr>
        <w:lang w:val="sv-SE"/>
      </w:rPr>
      <w:t>Armfeltintie 1, 00150 Helsinki</w:t>
    </w:r>
    <w:r w:rsidR="00DE318C">
      <w:rPr>
        <w:lang w:val="sv-SE"/>
      </w:rPr>
      <w:t>, FINLAND</w:t>
    </w:r>
  </w:p>
  <w:p w14:paraId="6818B48F" w14:textId="77777777" w:rsidR="00846988" w:rsidRPr="000E4550" w:rsidRDefault="00DE318C" w:rsidP="00526BDC">
    <w:pPr>
      <w:pStyle w:val="Footer"/>
      <w:rPr>
        <w:lang w:val="sv-FI"/>
      </w:rPr>
    </w:pPr>
    <w:r w:rsidRPr="000E4550">
      <w:rPr>
        <w:lang w:val="sv-FI"/>
      </w:rPr>
      <w:t>Tel</w:t>
    </w:r>
    <w:r w:rsidR="00550220" w:rsidRPr="000E4550">
      <w:rPr>
        <w:lang w:val="sv-FI"/>
      </w:rPr>
      <w:t xml:space="preserve"> </w:t>
    </w:r>
    <w:r w:rsidRPr="000E4550">
      <w:rPr>
        <w:lang w:val="sv-FI"/>
      </w:rPr>
      <w:t xml:space="preserve">+358 </w:t>
    </w:r>
    <w:r w:rsidR="00550220" w:rsidRPr="000E4550">
      <w:rPr>
        <w:lang w:val="sv-FI"/>
      </w:rPr>
      <w:t>9 329</w:t>
    </w:r>
    <w:r w:rsidR="00F47140" w:rsidRPr="000E4550">
      <w:rPr>
        <w:lang w:val="sv-FI"/>
      </w:rPr>
      <w:t xml:space="preserve"> 6011</w:t>
    </w:r>
    <w:r w:rsidR="00550220" w:rsidRPr="000E4550">
      <w:rPr>
        <w:lang w:val="sv-FI"/>
      </w:rPr>
      <w:t xml:space="preserve"> | toimisto@lskl.fi | www.lskl.fi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090FD" w14:textId="77777777" w:rsidR="006623AF" w:rsidRDefault="006623AF" w:rsidP="00370F3B">
      <w:r>
        <w:separator/>
      </w:r>
    </w:p>
  </w:footnote>
  <w:footnote w:type="continuationSeparator" w:id="0">
    <w:p w14:paraId="0239F6AB" w14:textId="77777777" w:rsidR="006623AF" w:rsidRDefault="006623AF" w:rsidP="00370F3B">
      <w:r>
        <w:continuationSeparator/>
      </w:r>
    </w:p>
  </w:footnote>
  <w:footnote w:type="continuationNotice" w:id="1">
    <w:p w14:paraId="39E16A85" w14:textId="77777777" w:rsidR="006623AF" w:rsidRDefault="006623AF"/>
  </w:footnote>
  <w:footnote w:id="2">
    <w:p w14:paraId="0E084E3B" w14:textId="77777777" w:rsidR="00360737" w:rsidRPr="00FB46EA" w:rsidRDefault="00360737" w:rsidP="0036073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FB46EA">
        <w:rPr>
          <w:lang w:val="en-US"/>
        </w:rPr>
        <w:t xml:space="preserve"> UNHCR Representation for the Nordic and Baltic Countries 2022: Quality Initiative. An Assessment of Child-Sensitive Refugee Status determination at the Finnish Immigration Service.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jc w:val="righ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right w:w="0" w:type="dxa"/>
      </w:tblCellMar>
      <w:tblLook w:val="04A0" w:firstRow="1" w:lastRow="0" w:firstColumn="1" w:lastColumn="0" w:noHBand="0" w:noVBand="1"/>
    </w:tblPr>
    <w:tblGrid>
      <w:gridCol w:w="2073"/>
    </w:tblGrid>
    <w:tr w:rsidR="00B06622" w14:paraId="000BD63A" w14:textId="77777777" w:rsidTr="00FE3C0F">
      <w:trPr>
        <w:trHeight w:val="1259"/>
        <w:jc w:val="right"/>
      </w:trPr>
      <w:tc>
        <w:tcPr>
          <w:tcW w:w="2073" w:type="dxa"/>
        </w:tcPr>
        <w:p w14:paraId="331D2471" w14:textId="77777777" w:rsidR="00B06622" w:rsidRDefault="00B06622" w:rsidP="00FE3C0F">
          <w:pPr>
            <w:pStyle w:val="Header"/>
            <w:jc w:val="center"/>
          </w:pPr>
          <w:r>
            <w:rPr>
              <w:noProof/>
              <w:lang w:eastAsia="fi-FI"/>
            </w:rPr>
            <w:drawing>
              <wp:inline distT="0" distB="0" distL="0" distR="0" wp14:anchorId="17830642" wp14:editId="1893DD35">
                <wp:extent cx="1138064" cy="810389"/>
                <wp:effectExtent l="0" t="0" r="5080" b="254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SKL_FI_pysty_CMYK.eps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6366" cy="82342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1261402" w14:textId="77777777" w:rsidR="00B06622" w:rsidRPr="00621D7A" w:rsidRDefault="00B06622" w:rsidP="00B06622">
    <w:pPr>
      <w:pStyle w:val="Header"/>
    </w:pPr>
  </w:p>
  <w:p w14:paraId="0CDA7FA0" w14:textId="77777777" w:rsidR="00436A20" w:rsidRPr="00B06622" w:rsidRDefault="00436A20" w:rsidP="00B066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jc w:val="righ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right w:w="0" w:type="dxa"/>
      </w:tblCellMar>
      <w:tblLook w:val="04A0" w:firstRow="1" w:lastRow="0" w:firstColumn="1" w:lastColumn="0" w:noHBand="0" w:noVBand="1"/>
    </w:tblPr>
    <w:tblGrid>
      <w:gridCol w:w="2958"/>
    </w:tblGrid>
    <w:tr w:rsidR="006318C2" w14:paraId="6008E982" w14:textId="77777777" w:rsidTr="00FE3C0F">
      <w:trPr>
        <w:trHeight w:val="1259"/>
        <w:jc w:val="right"/>
      </w:trPr>
      <w:tc>
        <w:tcPr>
          <w:tcW w:w="2073" w:type="dxa"/>
        </w:tcPr>
        <w:p w14:paraId="1283A977" w14:textId="77777777" w:rsidR="006318C2" w:rsidRDefault="00DE318C" w:rsidP="00FE3C0F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55E717CF" wp14:editId="1D894A86">
                <wp:extent cx="1807605" cy="847725"/>
                <wp:effectExtent l="0" t="0" r="2540" b="0"/>
                <wp:docPr id="3" name="Kuva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SKL_FI_ENG_pysty_RGB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11556" cy="84957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0F311AB" w14:textId="77777777" w:rsidR="006318C2" w:rsidRPr="00621D7A" w:rsidRDefault="006318C2" w:rsidP="006318C2">
    <w:pPr>
      <w:pStyle w:val="Header"/>
    </w:pPr>
  </w:p>
  <w:p w14:paraId="17F9A71D" w14:textId="77777777" w:rsidR="006318C2" w:rsidRDefault="006318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E7D68"/>
    <w:multiLevelType w:val="multilevel"/>
    <w:tmpl w:val="040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1F10250"/>
    <w:multiLevelType w:val="multilevel"/>
    <w:tmpl w:val="978448EC"/>
    <w:styleLink w:val="LSKLNumeroluettelo2"/>
    <w:lvl w:ilvl="0">
      <w:start w:val="1"/>
      <w:numFmt w:val="decimal"/>
      <w:pStyle w:val="Numeroluettelo"/>
      <w:suff w:val="space"/>
      <w:lvlText w:val="%1."/>
      <w:lvlJc w:val="left"/>
      <w:pPr>
        <w:ind w:left="210" w:hanging="21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692" w:hanging="210"/>
      </w:pPr>
      <w:rPr>
        <w:rFonts w:hint="default"/>
      </w:rPr>
    </w:lvl>
    <w:lvl w:ilvl="2">
      <w:start w:val="1"/>
      <w:numFmt w:val="decimal"/>
      <w:suff w:val="space"/>
      <w:lvlText w:val="%3."/>
      <w:lvlJc w:val="left"/>
      <w:pPr>
        <w:ind w:left="1174" w:hanging="210"/>
      </w:pPr>
      <w:rPr>
        <w:rFonts w:hint="default"/>
      </w:rPr>
    </w:lvl>
    <w:lvl w:ilvl="3">
      <w:start w:val="1"/>
      <w:numFmt w:val="decimal"/>
      <w:suff w:val="space"/>
      <w:lvlText w:val="%4."/>
      <w:lvlJc w:val="left"/>
      <w:pPr>
        <w:ind w:left="1656" w:hanging="210"/>
      </w:pPr>
      <w:rPr>
        <w:rFonts w:hint="default"/>
      </w:rPr>
    </w:lvl>
    <w:lvl w:ilvl="4">
      <w:start w:val="1"/>
      <w:numFmt w:val="decimal"/>
      <w:suff w:val="space"/>
      <w:lvlText w:val="%5."/>
      <w:lvlJc w:val="left"/>
      <w:pPr>
        <w:ind w:left="2138" w:hanging="210"/>
      </w:pPr>
      <w:rPr>
        <w:rFonts w:hint="default"/>
      </w:rPr>
    </w:lvl>
    <w:lvl w:ilvl="5">
      <w:start w:val="1"/>
      <w:numFmt w:val="decimal"/>
      <w:suff w:val="space"/>
      <w:lvlText w:val="%6."/>
      <w:lvlJc w:val="left"/>
      <w:pPr>
        <w:ind w:left="2620" w:hanging="210"/>
      </w:pPr>
      <w:rPr>
        <w:rFonts w:hint="default"/>
      </w:rPr>
    </w:lvl>
    <w:lvl w:ilvl="6">
      <w:start w:val="1"/>
      <w:numFmt w:val="decimal"/>
      <w:suff w:val="space"/>
      <w:lvlText w:val="%7."/>
      <w:lvlJc w:val="left"/>
      <w:pPr>
        <w:ind w:left="3102" w:hanging="210"/>
      </w:pPr>
      <w:rPr>
        <w:rFonts w:hint="default"/>
      </w:rPr>
    </w:lvl>
    <w:lvl w:ilvl="7">
      <w:start w:val="1"/>
      <w:numFmt w:val="decimal"/>
      <w:suff w:val="space"/>
      <w:lvlText w:val="%8."/>
      <w:lvlJc w:val="left"/>
      <w:pPr>
        <w:ind w:left="3584" w:hanging="210"/>
      </w:pPr>
      <w:rPr>
        <w:rFonts w:hint="default"/>
      </w:rPr>
    </w:lvl>
    <w:lvl w:ilvl="8">
      <w:start w:val="1"/>
      <w:numFmt w:val="decimal"/>
      <w:suff w:val="space"/>
      <w:lvlText w:val="%9."/>
      <w:lvlJc w:val="left"/>
      <w:pPr>
        <w:ind w:left="4066" w:hanging="210"/>
      </w:pPr>
      <w:rPr>
        <w:rFonts w:hint="default"/>
      </w:rPr>
    </w:lvl>
  </w:abstractNum>
  <w:abstractNum w:abstractNumId="2" w15:restartNumberingAfterBreak="0">
    <w:nsid w:val="156F7A57"/>
    <w:multiLevelType w:val="multilevel"/>
    <w:tmpl w:val="5C083334"/>
    <w:styleLink w:val="LSKLPisteluettelo"/>
    <w:lvl w:ilvl="0">
      <w:start w:val="1"/>
      <w:numFmt w:val="none"/>
      <w:pStyle w:val="17Pisteluettelo"/>
      <w:suff w:val="space"/>
      <w:lvlText w:val="•"/>
      <w:lvlJc w:val="left"/>
      <w:pPr>
        <w:ind w:left="1077" w:hanging="113"/>
      </w:pPr>
      <w:rPr>
        <w:rFonts w:hint="default"/>
        <w:color w:val="347D8C"/>
      </w:rPr>
    </w:lvl>
    <w:lvl w:ilvl="1">
      <w:start w:val="1"/>
      <w:numFmt w:val="none"/>
      <w:suff w:val="space"/>
      <w:lvlText w:val="•"/>
      <w:lvlJc w:val="left"/>
      <w:pPr>
        <w:ind w:left="1559" w:hanging="113"/>
      </w:pPr>
      <w:rPr>
        <w:rFonts w:hint="default"/>
        <w:color w:val="347D8C"/>
      </w:rPr>
    </w:lvl>
    <w:lvl w:ilvl="2">
      <w:start w:val="1"/>
      <w:numFmt w:val="none"/>
      <w:suff w:val="space"/>
      <w:lvlText w:val="•"/>
      <w:lvlJc w:val="left"/>
      <w:pPr>
        <w:ind w:left="2041" w:hanging="113"/>
      </w:pPr>
      <w:rPr>
        <w:rFonts w:hint="default"/>
        <w:color w:val="347D8C"/>
      </w:rPr>
    </w:lvl>
    <w:lvl w:ilvl="3">
      <w:start w:val="1"/>
      <w:numFmt w:val="none"/>
      <w:suff w:val="space"/>
      <w:lvlText w:val="•"/>
      <w:lvlJc w:val="left"/>
      <w:pPr>
        <w:ind w:left="2523" w:hanging="113"/>
      </w:pPr>
      <w:rPr>
        <w:rFonts w:hint="default"/>
        <w:color w:val="347D8C"/>
      </w:rPr>
    </w:lvl>
    <w:lvl w:ilvl="4">
      <w:start w:val="1"/>
      <w:numFmt w:val="none"/>
      <w:suff w:val="space"/>
      <w:lvlText w:val="•"/>
      <w:lvlJc w:val="left"/>
      <w:pPr>
        <w:ind w:left="3005" w:hanging="113"/>
      </w:pPr>
      <w:rPr>
        <w:rFonts w:hint="default"/>
        <w:color w:val="347D8C"/>
      </w:rPr>
    </w:lvl>
    <w:lvl w:ilvl="5">
      <w:start w:val="1"/>
      <w:numFmt w:val="none"/>
      <w:suff w:val="space"/>
      <w:lvlText w:val="•"/>
      <w:lvlJc w:val="left"/>
      <w:pPr>
        <w:ind w:left="3487" w:hanging="113"/>
      </w:pPr>
      <w:rPr>
        <w:rFonts w:hint="default"/>
        <w:color w:val="347D8C"/>
      </w:rPr>
    </w:lvl>
    <w:lvl w:ilvl="6">
      <w:start w:val="1"/>
      <w:numFmt w:val="none"/>
      <w:suff w:val="space"/>
      <w:lvlText w:val="•"/>
      <w:lvlJc w:val="left"/>
      <w:pPr>
        <w:ind w:left="3969" w:hanging="113"/>
      </w:pPr>
      <w:rPr>
        <w:rFonts w:hint="default"/>
        <w:color w:val="347D8C"/>
      </w:rPr>
    </w:lvl>
    <w:lvl w:ilvl="7">
      <w:start w:val="1"/>
      <w:numFmt w:val="none"/>
      <w:suff w:val="space"/>
      <w:lvlText w:val="•"/>
      <w:lvlJc w:val="left"/>
      <w:pPr>
        <w:ind w:left="4451" w:hanging="113"/>
      </w:pPr>
      <w:rPr>
        <w:rFonts w:hint="default"/>
        <w:color w:val="347D8C"/>
      </w:rPr>
    </w:lvl>
    <w:lvl w:ilvl="8">
      <w:start w:val="1"/>
      <w:numFmt w:val="none"/>
      <w:suff w:val="space"/>
      <w:lvlText w:val="•"/>
      <w:lvlJc w:val="left"/>
      <w:pPr>
        <w:ind w:left="4933" w:hanging="113"/>
      </w:pPr>
      <w:rPr>
        <w:rFonts w:hint="default"/>
        <w:color w:val="347D8C"/>
      </w:rPr>
    </w:lvl>
  </w:abstractNum>
  <w:abstractNum w:abstractNumId="3" w15:restartNumberingAfterBreak="0">
    <w:nsid w:val="173927F8"/>
    <w:multiLevelType w:val="multilevel"/>
    <w:tmpl w:val="1D2475FC"/>
    <w:numStyleLink w:val="LSKLNumeroluettelo"/>
  </w:abstractNum>
  <w:abstractNum w:abstractNumId="4" w15:restartNumberingAfterBreak="0">
    <w:nsid w:val="19045353"/>
    <w:multiLevelType w:val="multilevel"/>
    <w:tmpl w:val="040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C9D5E8E"/>
    <w:multiLevelType w:val="multilevel"/>
    <w:tmpl w:val="5C083334"/>
    <w:numStyleLink w:val="LSKLPisteluettelo"/>
  </w:abstractNum>
  <w:abstractNum w:abstractNumId="6" w15:restartNumberingAfterBreak="0">
    <w:nsid w:val="20CC6BC8"/>
    <w:multiLevelType w:val="multilevel"/>
    <w:tmpl w:val="5E044D52"/>
    <w:styleLink w:val="LKSLPisteluettelo2"/>
    <w:lvl w:ilvl="0">
      <w:start w:val="1"/>
      <w:numFmt w:val="none"/>
      <w:pStyle w:val="Pisteluettelo"/>
      <w:suff w:val="space"/>
      <w:lvlText w:val="•"/>
      <w:lvlJc w:val="left"/>
      <w:pPr>
        <w:ind w:left="113" w:hanging="113"/>
      </w:pPr>
      <w:rPr>
        <w:rFonts w:hint="default"/>
        <w:color w:val="347D8C"/>
      </w:rPr>
    </w:lvl>
    <w:lvl w:ilvl="1">
      <w:start w:val="1"/>
      <w:numFmt w:val="none"/>
      <w:suff w:val="space"/>
      <w:lvlText w:val="•"/>
      <w:lvlJc w:val="left"/>
      <w:pPr>
        <w:ind w:left="595" w:hanging="113"/>
      </w:pPr>
      <w:rPr>
        <w:rFonts w:hint="default"/>
        <w:color w:val="347D8C"/>
      </w:rPr>
    </w:lvl>
    <w:lvl w:ilvl="2">
      <w:start w:val="1"/>
      <w:numFmt w:val="none"/>
      <w:suff w:val="space"/>
      <w:lvlText w:val="•"/>
      <w:lvlJc w:val="left"/>
      <w:pPr>
        <w:ind w:left="1077" w:hanging="113"/>
      </w:pPr>
      <w:rPr>
        <w:rFonts w:hint="default"/>
        <w:color w:val="347D8C"/>
      </w:rPr>
    </w:lvl>
    <w:lvl w:ilvl="3">
      <w:start w:val="1"/>
      <w:numFmt w:val="none"/>
      <w:suff w:val="space"/>
      <w:lvlText w:val="•"/>
      <w:lvlJc w:val="left"/>
      <w:pPr>
        <w:ind w:left="1559" w:hanging="113"/>
      </w:pPr>
      <w:rPr>
        <w:rFonts w:hint="default"/>
        <w:color w:val="347D8C"/>
      </w:rPr>
    </w:lvl>
    <w:lvl w:ilvl="4">
      <w:start w:val="1"/>
      <w:numFmt w:val="none"/>
      <w:suff w:val="space"/>
      <w:lvlText w:val="•"/>
      <w:lvlJc w:val="left"/>
      <w:pPr>
        <w:ind w:left="2041" w:hanging="113"/>
      </w:pPr>
      <w:rPr>
        <w:rFonts w:hint="default"/>
        <w:color w:val="347D8C"/>
      </w:rPr>
    </w:lvl>
    <w:lvl w:ilvl="5">
      <w:start w:val="1"/>
      <w:numFmt w:val="none"/>
      <w:suff w:val="space"/>
      <w:lvlText w:val="•"/>
      <w:lvlJc w:val="left"/>
      <w:pPr>
        <w:ind w:left="2523" w:hanging="113"/>
      </w:pPr>
      <w:rPr>
        <w:rFonts w:hint="default"/>
        <w:color w:val="347D8C"/>
      </w:rPr>
    </w:lvl>
    <w:lvl w:ilvl="6">
      <w:start w:val="1"/>
      <w:numFmt w:val="none"/>
      <w:suff w:val="space"/>
      <w:lvlText w:val="•"/>
      <w:lvlJc w:val="left"/>
      <w:pPr>
        <w:ind w:left="3005" w:hanging="113"/>
      </w:pPr>
      <w:rPr>
        <w:rFonts w:hint="default"/>
        <w:color w:val="347D8C"/>
      </w:rPr>
    </w:lvl>
    <w:lvl w:ilvl="7">
      <w:start w:val="1"/>
      <w:numFmt w:val="none"/>
      <w:suff w:val="space"/>
      <w:lvlText w:val="•"/>
      <w:lvlJc w:val="left"/>
      <w:pPr>
        <w:ind w:left="3487" w:hanging="113"/>
      </w:pPr>
      <w:rPr>
        <w:rFonts w:hint="default"/>
        <w:color w:val="347D8C"/>
      </w:rPr>
    </w:lvl>
    <w:lvl w:ilvl="8">
      <w:start w:val="1"/>
      <w:numFmt w:val="none"/>
      <w:suff w:val="space"/>
      <w:lvlText w:val="•"/>
      <w:lvlJc w:val="left"/>
      <w:pPr>
        <w:ind w:left="3969" w:hanging="113"/>
      </w:pPr>
      <w:rPr>
        <w:rFonts w:hint="default"/>
        <w:color w:val="347D8C"/>
      </w:rPr>
    </w:lvl>
  </w:abstractNum>
  <w:abstractNum w:abstractNumId="7" w15:restartNumberingAfterBreak="0">
    <w:nsid w:val="23C6199C"/>
    <w:multiLevelType w:val="multilevel"/>
    <w:tmpl w:val="1D2475FC"/>
    <w:numStyleLink w:val="LSKLNumeroluettelo"/>
  </w:abstractNum>
  <w:abstractNum w:abstractNumId="8" w15:restartNumberingAfterBreak="0">
    <w:nsid w:val="3CAF3A50"/>
    <w:multiLevelType w:val="multilevel"/>
    <w:tmpl w:val="5C083334"/>
    <w:numStyleLink w:val="LSKLPisteluettelo"/>
  </w:abstractNum>
  <w:abstractNum w:abstractNumId="9" w15:restartNumberingAfterBreak="0">
    <w:nsid w:val="42586B9B"/>
    <w:multiLevelType w:val="multilevel"/>
    <w:tmpl w:val="1D2475FC"/>
    <w:styleLink w:val="LSKLNumeroluettelo"/>
    <w:lvl w:ilvl="0">
      <w:start w:val="1"/>
      <w:numFmt w:val="decimal"/>
      <w:pStyle w:val="17Numeroluettelo"/>
      <w:suff w:val="space"/>
      <w:lvlText w:val="%1."/>
      <w:lvlJc w:val="left"/>
      <w:pPr>
        <w:ind w:left="1174" w:hanging="21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656" w:hanging="210"/>
      </w:pPr>
      <w:rPr>
        <w:rFonts w:hint="default"/>
      </w:rPr>
    </w:lvl>
    <w:lvl w:ilvl="2">
      <w:start w:val="1"/>
      <w:numFmt w:val="decimal"/>
      <w:suff w:val="space"/>
      <w:lvlText w:val="%3."/>
      <w:lvlJc w:val="left"/>
      <w:pPr>
        <w:ind w:left="2138" w:hanging="210"/>
      </w:pPr>
      <w:rPr>
        <w:rFonts w:hint="default"/>
      </w:rPr>
    </w:lvl>
    <w:lvl w:ilvl="3">
      <w:start w:val="1"/>
      <w:numFmt w:val="decimal"/>
      <w:suff w:val="space"/>
      <w:lvlText w:val="%4."/>
      <w:lvlJc w:val="left"/>
      <w:pPr>
        <w:ind w:left="2620" w:hanging="210"/>
      </w:pPr>
      <w:rPr>
        <w:rFonts w:hint="default"/>
      </w:rPr>
    </w:lvl>
    <w:lvl w:ilvl="4">
      <w:start w:val="1"/>
      <w:numFmt w:val="decimal"/>
      <w:suff w:val="space"/>
      <w:lvlText w:val="%5."/>
      <w:lvlJc w:val="left"/>
      <w:pPr>
        <w:ind w:left="3102" w:hanging="210"/>
      </w:pPr>
      <w:rPr>
        <w:rFonts w:hint="default"/>
      </w:rPr>
    </w:lvl>
    <w:lvl w:ilvl="5">
      <w:start w:val="1"/>
      <w:numFmt w:val="decimal"/>
      <w:suff w:val="space"/>
      <w:lvlText w:val="%6."/>
      <w:lvlJc w:val="left"/>
      <w:pPr>
        <w:ind w:left="3584" w:hanging="210"/>
      </w:pPr>
      <w:rPr>
        <w:rFonts w:hint="default"/>
      </w:rPr>
    </w:lvl>
    <w:lvl w:ilvl="6">
      <w:start w:val="1"/>
      <w:numFmt w:val="decimal"/>
      <w:suff w:val="space"/>
      <w:lvlText w:val="%7."/>
      <w:lvlJc w:val="left"/>
      <w:pPr>
        <w:ind w:left="4066" w:hanging="210"/>
      </w:pPr>
      <w:rPr>
        <w:rFonts w:hint="default"/>
      </w:rPr>
    </w:lvl>
    <w:lvl w:ilvl="7">
      <w:start w:val="1"/>
      <w:numFmt w:val="decimal"/>
      <w:suff w:val="space"/>
      <w:lvlText w:val="%8."/>
      <w:lvlJc w:val="left"/>
      <w:pPr>
        <w:ind w:left="4548" w:hanging="210"/>
      </w:pPr>
      <w:rPr>
        <w:rFonts w:hint="default"/>
      </w:rPr>
    </w:lvl>
    <w:lvl w:ilvl="8">
      <w:start w:val="1"/>
      <w:numFmt w:val="decimal"/>
      <w:suff w:val="space"/>
      <w:lvlText w:val="%9."/>
      <w:lvlJc w:val="left"/>
      <w:pPr>
        <w:ind w:left="5030" w:hanging="210"/>
      </w:pPr>
      <w:rPr>
        <w:rFonts w:hint="default"/>
      </w:rPr>
    </w:lvl>
  </w:abstractNum>
  <w:abstractNum w:abstractNumId="10" w15:restartNumberingAfterBreak="0">
    <w:nsid w:val="43E908E0"/>
    <w:multiLevelType w:val="multilevel"/>
    <w:tmpl w:val="1D2475FC"/>
    <w:numStyleLink w:val="LSKLNumeroluettelo"/>
  </w:abstractNum>
  <w:abstractNum w:abstractNumId="11" w15:restartNumberingAfterBreak="0">
    <w:nsid w:val="442874D2"/>
    <w:multiLevelType w:val="multilevel"/>
    <w:tmpl w:val="040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0E40EE6"/>
    <w:multiLevelType w:val="multilevel"/>
    <w:tmpl w:val="5E044D52"/>
    <w:numStyleLink w:val="LKSLPisteluettelo2"/>
  </w:abstractNum>
  <w:abstractNum w:abstractNumId="13" w15:restartNumberingAfterBreak="0">
    <w:nsid w:val="533A0CFC"/>
    <w:multiLevelType w:val="multilevel"/>
    <w:tmpl w:val="040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3BF1E87"/>
    <w:multiLevelType w:val="hybridMultilevel"/>
    <w:tmpl w:val="8C5880D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345661"/>
    <w:multiLevelType w:val="multilevel"/>
    <w:tmpl w:val="5C083334"/>
    <w:numStyleLink w:val="LSKLPisteluettelo"/>
  </w:abstractNum>
  <w:abstractNum w:abstractNumId="16" w15:restartNumberingAfterBreak="0">
    <w:nsid w:val="6FE609AE"/>
    <w:multiLevelType w:val="multilevel"/>
    <w:tmpl w:val="1D2475FC"/>
    <w:numStyleLink w:val="LSKLNumeroluettelo"/>
  </w:abstractNum>
  <w:abstractNum w:abstractNumId="17" w15:restartNumberingAfterBreak="0">
    <w:nsid w:val="71B86A59"/>
    <w:multiLevelType w:val="multilevel"/>
    <w:tmpl w:val="5C083334"/>
    <w:numStyleLink w:val="LSKLPisteluettelo"/>
  </w:abstractNum>
  <w:abstractNum w:abstractNumId="18" w15:restartNumberingAfterBreak="0">
    <w:nsid w:val="778A30C4"/>
    <w:multiLevelType w:val="multilevel"/>
    <w:tmpl w:val="5C083334"/>
    <w:numStyleLink w:val="LSKLPisteluettelo"/>
  </w:abstractNum>
  <w:abstractNum w:abstractNumId="19" w15:restartNumberingAfterBreak="0">
    <w:nsid w:val="794F18F1"/>
    <w:multiLevelType w:val="multilevel"/>
    <w:tmpl w:val="1D2475FC"/>
    <w:numStyleLink w:val="LSKLNumeroluettelo"/>
  </w:abstractNum>
  <w:abstractNum w:abstractNumId="20" w15:restartNumberingAfterBreak="0">
    <w:nsid w:val="7DD7002D"/>
    <w:multiLevelType w:val="multilevel"/>
    <w:tmpl w:val="C1E4F944"/>
    <w:styleLink w:val="LSKLOtsikkonumerointi"/>
    <w:lvl w:ilvl="0">
      <w:start w:val="1"/>
      <w:numFmt w:val="decimal"/>
      <w:pStyle w:val="Heading1"/>
      <w:lvlText w:val="%1"/>
      <w:lvlJc w:val="left"/>
      <w:pPr>
        <w:ind w:left="964" w:hanging="96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964" w:hanging="964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964" w:hanging="964"/>
      </w:pPr>
      <w:rPr>
        <w:rFonts w:hint="default"/>
      </w:rPr>
    </w:lvl>
    <w:lvl w:ilvl="3">
      <w:start w:val="1"/>
      <w:numFmt w:val="none"/>
      <w:lvlText w:val=""/>
      <w:lvlJc w:val="left"/>
      <w:pPr>
        <w:ind w:left="964" w:hanging="964"/>
      </w:pPr>
      <w:rPr>
        <w:rFonts w:hint="default"/>
      </w:rPr>
    </w:lvl>
    <w:lvl w:ilvl="4">
      <w:start w:val="1"/>
      <w:numFmt w:val="none"/>
      <w:lvlText w:val=""/>
      <w:lvlJc w:val="left"/>
      <w:pPr>
        <w:ind w:left="964" w:hanging="964"/>
      </w:pPr>
      <w:rPr>
        <w:rFonts w:hint="default"/>
      </w:rPr>
    </w:lvl>
    <w:lvl w:ilvl="5">
      <w:start w:val="1"/>
      <w:numFmt w:val="none"/>
      <w:lvlText w:val=""/>
      <w:lvlJc w:val="left"/>
      <w:pPr>
        <w:ind w:left="964" w:hanging="964"/>
      </w:pPr>
      <w:rPr>
        <w:rFonts w:hint="default"/>
      </w:rPr>
    </w:lvl>
    <w:lvl w:ilvl="6">
      <w:start w:val="1"/>
      <w:numFmt w:val="none"/>
      <w:lvlText w:val=""/>
      <w:lvlJc w:val="left"/>
      <w:pPr>
        <w:ind w:left="964" w:hanging="964"/>
      </w:pPr>
      <w:rPr>
        <w:rFonts w:hint="default"/>
      </w:rPr>
    </w:lvl>
    <w:lvl w:ilvl="7">
      <w:start w:val="1"/>
      <w:numFmt w:val="none"/>
      <w:lvlText w:val=""/>
      <w:lvlJc w:val="left"/>
      <w:pPr>
        <w:ind w:left="964" w:hanging="964"/>
      </w:pPr>
      <w:rPr>
        <w:rFonts w:hint="default"/>
      </w:rPr>
    </w:lvl>
    <w:lvl w:ilvl="8">
      <w:start w:val="1"/>
      <w:numFmt w:val="none"/>
      <w:lvlText w:val=""/>
      <w:lvlJc w:val="left"/>
      <w:pPr>
        <w:ind w:left="964" w:hanging="964"/>
      </w:pPr>
      <w:rPr>
        <w:rFonts w:hint="default"/>
      </w:rPr>
    </w:lvl>
  </w:abstractNum>
  <w:abstractNum w:abstractNumId="21" w15:restartNumberingAfterBreak="0">
    <w:nsid w:val="7ED75341"/>
    <w:multiLevelType w:val="multilevel"/>
    <w:tmpl w:val="040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820227789">
    <w:abstractNumId w:val="20"/>
  </w:num>
  <w:num w:numId="2" w16cid:durableId="272592388">
    <w:abstractNumId w:val="11"/>
  </w:num>
  <w:num w:numId="3" w16cid:durableId="877010604">
    <w:abstractNumId w:val="2"/>
  </w:num>
  <w:num w:numId="4" w16cid:durableId="260529338">
    <w:abstractNumId w:val="18"/>
  </w:num>
  <w:num w:numId="5" w16cid:durableId="129447030">
    <w:abstractNumId w:val="17"/>
  </w:num>
  <w:num w:numId="6" w16cid:durableId="833643439">
    <w:abstractNumId w:val="4"/>
  </w:num>
  <w:num w:numId="7" w16cid:durableId="872812806">
    <w:abstractNumId w:val="9"/>
  </w:num>
  <w:num w:numId="8" w16cid:durableId="801580842">
    <w:abstractNumId w:val="7"/>
  </w:num>
  <w:num w:numId="9" w16cid:durableId="1245143893">
    <w:abstractNumId w:val="10"/>
  </w:num>
  <w:num w:numId="10" w16cid:durableId="1183785387">
    <w:abstractNumId w:val="3"/>
  </w:num>
  <w:num w:numId="11" w16cid:durableId="398283671">
    <w:abstractNumId w:val="19"/>
  </w:num>
  <w:num w:numId="12" w16cid:durableId="380403355">
    <w:abstractNumId w:val="8"/>
  </w:num>
  <w:num w:numId="13" w16cid:durableId="709769816">
    <w:abstractNumId w:val="16"/>
  </w:num>
  <w:num w:numId="14" w16cid:durableId="648748936">
    <w:abstractNumId w:val="13"/>
  </w:num>
  <w:num w:numId="15" w16cid:durableId="453521862">
    <w:abstractNumId w:val="1"/>
  </w:num>
  <w:num w:numId="16" w16cid:durableId="236329155">
    <w:abstractNumId w:val="21"/>
  </w:num>
  <w:num w:numId="17" w16cid:durableId="953368212">
    <w:abstractNumId w:val="6"/>
  </w:num>
  <w:num w:numId="18" w16cid:durableId="1506167548">
    <w:abstractNumId w:val="0"/>
  </w:num>
  <w:num w:numId="19" w16cid:durableId="1920482996">
    <w:abstractNumId w:val="5"/>
  </w:num>
  <w:num w:numId="20" w16cid:durableId="481385515">
    <w:abstractNumId w:val="15"/>
  </w:num>
  <w:num w:numId="21" w16cid:durableId="1220478567">
    <w:abstractNumId w:val="12"/>
  </w:num>
  <w:num w:numId="22" w16cid:durableId="1546175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964"/>
  <w:hyphenationZone w:val="425"/>
  <w:drawingGridHorizontalSpacing w:val="95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141"/>
    <w:rsid w:val="00003688"/>
    <w:rsid w:val="00011B9A"/>
    <w:rsid w:val="00046DF7"/>
    <w:rsid w:val="00052E59"/>
    <w:rsid w:val="00085DF6"/>
    <w:rsid w:val="000A29BA"/>
    <w:rsid w:val="000A5498"/>
    <w:rsid w:val="000B5E3D"/>
    <w:rsid w:val="000E2FCF"/>
    <w:rsid w:val="000E4550"/>
    <w:rsid w:val="001159D7"/>
    <w:rsid w:val="001733DA"/>
    <w:rsid w:val="00183F2C"/>
    <w:rsid w:val="001A1186"/>
    <w:rsid w:val="001A3744"/>
    <w:rsid w:val="001A3DA8"/>
    <w:rsid w:val="001B43E1"/>
    <w:rsid w:val="001E136F"/>
    <w:rsid w:val="00235C79"/>
    <w:rsid w:val="00241074"/>
    <w:rsid w:val="0029426A"/>
    <w:rsid w:val="00294B75"/>
    <w:rsid w:val="002D3549"/>
    <w:rsid w:val="002E3632"/>
    <w:rsid w:val="00304FA9"/>
    <w:rsid w:val="003103A1"/>
    <w:rsid w:val="0031672B"/>
    <w:rsid w:val="00317D7B"/>
    <w:rsid w:val="00334DCC"/>
    <w:rsid w:val="00347526"/>
    <w:rsid w:val="00360737"/>
    <w:rsid w:val="00362D69"/>
    <w:rsid w:val="00370F3B"/>
    <w:rsid w:val="003D0841"/>
    <w:rsid w:val="003F054C"/>
    <w:rsid w:val="00406489"/>
    <w:rsid w:val="00406541"/>
    <w:rsid w:val="00415141"/>
    <w:rsid w:val="00415902"/>
    <w:rsid w:val="00431BF4"/>
    <w:rsid w:val="004353D1"/>
    <w:rsid w:val="00435EBE"/>
    <w:rsid w:val="00436A20"/>
    <w:rsid w:val="00482634"/>
    <w:rsid w:val="004A7609"/>
    <w:rsid w:val="00505AA1"/>
    <w:rsid w:val="005253DA"/>
    <w:rsid w:val="00526BDC"/>
    <w:rsid w:val="00550220"/>
    <w:rsid w:val="00553269"/>
    <w:rsid w:val="00577CB3"/>
    <w:rsid w:val="005B6960"/>
    <w:rsid w:val="005B71D0"/>
    <w:rsid w:val="005D0B8E"/>
    <w:rsid w:val="005D3CB7"/>
    <w:rsid w:val="005E5D2C"/>
    <w:rsid w:val="00600431"/>
    <w:rsid w:val="00621D7A"/>
    <w:rsid w:val="006318C2"/>
    <w:rsid w:val="00634E79"/>
    <w:rsid w:val="006415E7"/>
    <w:rsid w:val="0064447A"/>
    <w:rsid w:val="006623AF"/>
    <w:rsid w:val="00670D7E"/>
    <w:rsid w:val="00674CB8"/>
    <w:rsid w:val="006852B7"/>
    <w:rsid w:val="006A0D29"/>
    <w:rsid w:val="006A263A"/>
    <w:rsid w:val="006A39A1"/>
    <w:rsid w:val="006D148A"/>
    <w:rsid w:val="006F42DE"/>
    <w:rsid w:val="007414C8"/>
    <w:rsid w:val="00767136"/>
    <w:rsid w:val="0078403C"/>
    <w:rsid w:val="00784B4D"/>
    <w:rsid w:val="007A3496"/>
    <w:rsid w:val="007A57F3"/>
    <w:rsid w:val="007E0D21"/>
    <w:rsid w:val="00817749"/>
    <w:rsid w:val="00846988"/>
    <w:rsid w:val="008529EC"/>
    <w:rsid w:val="00881C36"/>
    <w:rsid w:val="0088401B"/>
    <w:rsid w:val="008D64F0"/>
    <w:rsid w:val="00912281"/>
    <w:rsid w:val="00917851"/>
    <w:rsid w:val="00925DDB"/>
    <w:rsid w:val="00933D32"/>
    <w:rsid w:val="009561BB"/>
    <w:rsid w:val="009706AB"/>
    <w:rsid w:val="0097523D"/>
    <w:rsid w:val="00985E4C"/>
    <w:rsid w:val="009A5DDB"/>
    <w:rsid w:val="009B021A"/>
    <w:rsid w:val="009D7CB9"/>
    <w:rsid w:val="009E7C64"/>
    <w:rsid w:val="00A00865"/>
    <w:rsid w:val="00A12447"/>
    <w:rsid w:val="00A13D1A"/>
    <w:rsid w:val="00A17063"/>
    <w:rsid w:val="00A5185E"/>
    <w:rsid w:val="00A51AF4"/>
    <w:rsid w:val="00A609E9"/>
    <w:rsid w:val="00A66C30"/>
    <w:rsid w:val="00A978FB"/>
    <w:rsid w:val="00A97B41"/>
    <w:rsid w:val="00AA204E"/>
    <w:rsid w:val="00AA2694"/>
    <w:rsid w:val="00AA7851"/>
    <w:rsid w:val="00AF27E1"/>
    <w:rsid w:val="00B00EDF"/>
    <w:rsid w:val="00B06622"/>
    <w:rsid w:val="00B21DCD"/>
    <w:rsid w:val="00B32A82"/>
    <w:rsid w:val="00B37268"/>
    <w:rsid w:val="00B45D8C"/>
    <w:rsid w:val="00B46406"/>
    <w:rsid w:val="00B4777A"/>
    <w:rsid w:val="00B51791"/>
    <w:rsid w:val="00B56183"/>
    <w:rsid w:val="00BB4E51"/>
    <w:rsid w:val="00BC3506"/>
    <w:rsid w:val="00BE09B5"/>
    <w:rsid w:val="00C05475"/>
    <w:rsid w:val="00C172C7"/>
    <w:rsid w:val="00C236A3"/>
    <w:rsid w:val="00C710B8"/>
    <w:rsid w:val="00C84A40"/>
    <w:rsid w:val="00CC7398"/>
    <w:rsid w:val="00D13760"/>
    <w:rsid w:val="00D35348"/>
    <w:rsid w:val="00D47AD9"/>
    <w:rsid w:val="00D54050"/>
    <w:rsid w:val="00D608D1"/>
    <w:rsid w:val="00D917C4"/>
    <w:rsid w:val="00D92076"/>
    <w:rsid w:val="00DC248B"/>
    <w:rsid w:val="00DE318C"/>
    <w:rsid w:val="00E129A8"/>
    <w:rsid w:val="00E274CA"/>
    <w:rsid w:val="00E30CD3"/>
    <w:rsid w:val="00E4108F"/>
    <w:rsid w:val="00EA3757"/>
    <w:rsid w:val="00EC4507"/>
    <w:rsid w:val="00EC4DA6"/>
    <w:rsid w:val="00ED2B82"/>
    <w:rsid w:val="00EE2CCB"/>
    <w:rsid w:val="00EE3859"/>
    <w:rsid w:val="00F042A9"/>
    <w:rsid w:val="00F47140"/>
    <w:rsid w:val="00F6499A"/>
    <w:rsid w:val="00F76F4F"/>
    <w:rsid w:val="00FA3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370D3C1"/>
  <w15:docId w15:val="{53FA3CAE-7EAD-402F-AEC3-5A7AF43BC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HAnsi"/>
        <w:sz w:val="19"/>
        <w:szCs w:val="19"/>
        <w:lang w:val="fi-F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4" w:qFormat="1"/>
    <w:lsdException w:name="heading 5" w:uiPriority="4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semiHidden="1" w:uiPriority="39" w:unhideWhenUsed="1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5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5"/>
    <w:qFormat/>
    <w:rsid w:val="00917851"/>
    <w:rPr>
      <w:rFonts w:asciiTheme="minorHAnsi" w:hAnsiTheme="minorHAnsi"/>
    </w:rPr>
  </w:style>
  <w:style w:type="paragraph" w:styleId="Heading1">
    <w:name w:val="heading 1"/>
    <w:aliases w:val="Numeroitu otsikko 1"/>
    <w:basedOn w:val="Normal"/>
    <w:next w:val="Vlistettyperusteksti"/>
    <w:link w:val="Heading1Char"/>
    <w:uiPriority w:val="4"/>
    <w:qFormat/>
    <w:rsid w:val="00415141"/>
    <w:pPr>
      <w:keepNext/>
      <w:keepLines/>
      <w:numPr>
        <w:numId w:val="1"/>
      </w:numPr>
      <w:spacing w:before="480" w:after="120" w:line="320" w:lineRule="exact"/>
      <w:outlineLvl w:val="0"/>
    </w:pPr>
    <w:rPr>
      <w:rFonts w:eastAsiaTheme="majorEastAsia" w:cstheme="majorHAnsi"/>
      <w:b/>
      <w:bCs/>
      <w:color w:val="347D8C"/>
      <w:sz w:val="32"/>
      <w:szCs w:val="28"/>
    </w:rPr>
  </w:style>
  <w:style w:type="paragraph" w:styleId="Heading2">
    <w:name w:val="heading 2"/>
    <w:aliases w:val="Numeroitu otsikko 2"/>
    <w:basedOn w:val="Normal"/>
    <w:next w:val="Vlistettyperusteksti"/>
    <w:link w:val="Heading2Char"/>
    <w:uiPriority w:val="4"/>
    <w:qFormat/>
    <w:rsid w:val="00415141"/>
    <w:pPr>
      <w:keepNext/>
      <w:keepLines/>
      <w:numPr>
        <w:ilvl w:val="1"/>
        <w:numId w:val="1"/>
      </w:numPr>
      <w:spacing w:before="240" w:after="120" w:line="320" w:lineRule="exact"/>
      <w:outlineLvl w:val="1"/>
    </w:pPr>
    <w:rPr>
      <w:rFonts w:eastAsiaTheme="majorEastAsia" w:cstheme="majorHAnsi"/>
      <w:bCs/>
      <w:color w:val="347D8C"/>
      <w:sz w:val="28"/>
      <w:szCs w:val="26"/>
    </w:rPr>
  </w:style>
  <w:style w:type="paragraph" w:styleId="Heading3">
    <w:name w:val="heading 3"/>
    <w:aliases w:val="Numeroitu otsikko 3"/>
    <w:basedOn w:val="Normal"/>
    <w:next w:val="Vlistettyperusteksti"/>
    <w:link w:val="Heading3Char"/>
    <w:autoRedefine/>
    <w:uiPriority w:val="4"/>
    <w:qFormat/>
    <w:rsid w:val="00415141"/>
    <w:pPr>
      <w:keepNext/>
      <w:keepLines/>
      <w:numPr>
        <w:ilvl w:val="2"/>
        <w:numId w:val="1"/>
      </w:numPr>
      <w:spacing w:before="240" w:after="120" w:line="320" w:lineRule="exact"/>
      <w:outlineLvl w:val="2"/>
    </w:pPr>
    <w:rPr>
      <w:rFonts w:eastAsiaTheme="majorEastAsia" w:cstheme="majorBidi"/>
      <w:bCs/>
      <w:color w:val="347D8C"/>
      <w:sz w:val="24"/>
    </w:rPr>
  </w:style>
  <w:style w:type="paragraph" w:styleId="Heading4">
    <w:name w:val="heading 4"/>
    <w:aliases w:val="Otsikko 1."/>
    <w:basedOn w:val="Normal"/>
    <w:next w:val="Vlistettyperusteksti"/>
    <w:link w:val="Heading4Char"/>
    <w:uiPriority w:val="4"/>
    <w:qFormat/>
    <w:rsid w:val="00415141"/>
    <w:pPr>
      <w:keepNext/>
      <w:keepLines/>
      <w:spacing w:before="480" w:after="120" w:line="320" w:lineRule="exact"/>
      <w:outlineLvl w:val="3"/>
    </w:pPr>
    <w:rPr>
      <w:rFonts w:asciiTheme="majorHAnsi" w:eastAsiaTheme="majorEastAsia" w:hAnsiTheme="majorHAnsi" w:cstheme="majorBidi"/>
      <w:b/>
      <w:bCs/>
      <w:iCs/>
      <w:color w:val="347D8C" w:themeColor="accent1"/>
      <w:sz w:val="36"/>
      <w:szCs w:val="28"/>
    </w:rPr>
  </w:style>
  <w:style w:type="paragraph" w:styleId="Heading5">
    <w:name w:val="heading 5"/>
    <w:aliases w:val="Otsikko 2."/>
    <w:basedOn w:val="Normal"/>
    <w:next w:val="Vlistettyperusteksti"/>
    <w:link w:val="Heading5Char"/>
    <w:uiPriority w:val="4"/>
    <w:qFormat/>
    <w:rsid w:val="00ED2B82"/>
    <w:pPr>
      <w:keepNext/>
      <w:keepLines/>
      <w:spacing w:before="480" w:after="120" w:line="320" w:lineRule="exact"/>
      <w:outlineLvl w:val="4"/>
    </w:pPr>
    <w:rPr>
      <w:rFonts w:eastAsiaTheme="majorEastAsia" w:cstheme="majorBidi"/>
      <w:b/>
      <w:color w:val="AF35AE"/>
      <w:sz w:val="24"/>
    </w:rPr>
  </w:style>
  <w:style w:type="paragraph" w:styleId="Heading6">
    <w:name w:val="heading 6"/>
    <w:aliases w:val="Otsikko 3."/>
    <w:basedOn w:val="Normal"/>
    <w:next w:val="Vlistettyperusteksti"/>
    <w:link w:val="Heading6Char"/>
    <w:uiPriority w:val="4"/>
    <w:qFormat/>
    <w:rsid w:val="00415141"/>
    <w:pPr>
      <w:keepNext/>
      <w:keepLines/>
      <w:spacing w:before="240" w:after="120" w:line="320" w:lineRule="exact"/>
      <w:outlineLvl w:val="5"/>
    </w:pPr>
    <w:rPr>
      <w:rFonts w:eastAsiaTheme="majorEastAsia" w:cstheme="majorBidi"/>
      <w:iCs/>
      <w:color w:val="347D8C"/>
      <w:sz w:val="22"/>
    </w:rPr>
  </w:style>
  <w:style w:type="paragraph" w:styleId="Heading7">
    <w:name w:val="heading 7"/>
    <w:aliases w:val="Pitkä otsikko"/>
    <w:basedOn w:val="Normal"/>
    <w:next w:val="Vlistettyperusteksti"/>
    <w:link w:val="Heading7Char"/>
    <w:uiPriority w:val="4"/>
    <w:qFormat/>
    <w:rsid w:val="00917851"/>
    <w:pPr>
      <w:keepNext/>
      <w:keepLines/>
      <w:spacing w:before="240" w:after="120" w:line="340" w:lineRule="exact"/>
      <w:outlineLvl w:val="6"/>
    </w:pPr>
    <w:rPr>
      <w:rFonts w:eastAsiaTheme="majorEastAsia" w:cstheme="majorBidi"/>
      <w:i/>
      <w:iCs/>
      <w:color w:val="347D8C"/>
      <w:sz w:val="21"/>
    </w:rPr>
  </w:style>
  <w:style w:type="paragraph" w:styleId="Heading8">
    <w:name w:val="heading 8"/>
    <w:basedOn w:val="Normal"/>
    <w:next w:val="17Vlistettysisennetty"/>
    <w:link w:val="Heading8Char"/>
    <w:uiPriority w:val="9"/>
    <w:semiHidden/>
    <w:qFormat/>
    <w:rsid w:val="003103A1"/>
    <w:pPr>
      <w:keepNext/>
      <w:keepLines/>
      <w:spacing w:before="240" w:after="120" w:line="320" w:lineRule="exact"/>
      <w:outlineLvl w:val="7"/>
    </w:pPr>
    <w:rPr>
      <w:rFonts w:eastAsiaTheme="majorEastAsia" w:cstheme="majorBidi"/>
      <w:color w:val="005C6E"/>
      <w:szCs w:val="20"/>
    </w:rPr>
  </w:style>
  <w:style w:type="paragraph" w:styleId="Heading9">
    <w:name w:val="heading 9"/>
    <w:basedOn w:val="Normal"/>
    <w:next w:val="17Vlistettysisennetty"/>
    <w:link w:val="Heading9Char"/>
    <w:uiPriority w:val="9"/>
    <w:semiHidden/>
    <w:qFormat/>
    <w:rsid w:val="003103A1"/>
    <w:pPr>
      <w:keepNext/>
      <w:keepLines/>
      <w:spacing w:before="240" w:after="120" w:line="320" w:lineRule="exact"/>
      <w:outlineLvl w:val="8"/>
    </w:pPr>
    <w:rPr>
      <w:rFonts w:eastAsiaTheme="majorEastAsia" w:cstheme="majorBidi"/>
      <w:iCs/>
      <w:color w:val="005C6E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5"/>
    <w:unhideWhenUsed/>
    <w:rsid w:val="00D47AD9"/>
    <w:rPr>
      <w:sz w:val="18"/>
    </w:rPr>
  </w:style>
  <w:style w:type="character" w:customStyle="1" w:styleId="HeaderChar">
    <w:name w:val="Header Char"/>
    <w:basedOn w:val="DefaultParagraphFont"/>
    <w:link w:val="Header"/>
    <w:uiPriority w:val="5"/>
    <w:rsid w:val="00A13D1A"/>
    <w:rPr>
      <w:sz w:val="18"/>
    </w:rPr>
  </w:style>
  <w:style w:type="paragraph" w:styleId="Footer">
    <w:name w:val="footer"/>
    <w:basedOn w:val="Normal"/>
    <w:link w:val="FooterChar"/>
    <w:uiPriority w:val="5"/>
    <w:unhideWhenUsed/>
    <w:rsid w:val="00674CB8"/>
    <w:pPr>
      <w:spacing w:line="240" w:lineRule="exact"/>
      <w:jc w:val="center"/>
    </w:pPr>
    <w:rPr>
      <w:sz w:val="17"/>
    </w:rPr>
  </w:style>
  <w:style w:type="character" w:customStyle="1" w:styleId="FooterChar">
    <w:name w:val="Footer Char"/>
    <w:basedOn w:val="DefaultParagraphFont"/>
    <w:link w:val="Footer"/>
    <w:uiPriority w:val="5"/>
    <w:rsid w:val="00A13D1A"/>
    <w:rPr>
      <w:sz w:val="17"/>
    </w:rPr>
  </w:style>
  <w:style w:type="paragraph" w:customStyle="1" w:styleId="17Sisennetty">
    <w:name w:val="1.7 Sisennetty"/>
    <w:basedOn w:val="Normal"/>
    <w:uiPriority w:val="1"/>
    <w:qFormat/>
    <w:rsid w:val="00406489"/>
    <w:pPr>
      <w:spacing w:line="320" w:lineRule="exact"/>
      <w:ind w:left="964"/>
    </w:pPr>
    <w:rPr>
      <w:sz w:val="22"/>
      <w:szCs w:val="22"/>
    </w:rPr>
  </w:style>
  <w:style w:type="paragraph" w:customStyle="1" w:styleId="17Vlistettysisennetty">
    <w:name w:val="1.7 Välistetty sisennetty"/>
    <w:basedOn w:val="Normal"/>
    <w:uiPriority w:val="1"/>
    <w:qFormat/>
    <w:rsid w:val="00406489"/>
    <w:pPr>
      <w:spacing w:before="120" w:after="240" w:line="320" w:lineRule="exact"/>
      <w:ind w:left="964"/>
    </w:pPr>
    <w:rPr>
      <w:sz w:val="22"/>
      <w:szCs w:val="22"/>
    </w:rPr>
  </w:style>
  <w:style w:type="character" w:customStyle="1" w:styleId="Heading1Char">
    <w:name w:val="Heading 1 Char"/>
    <w:aliases w:val="Numeroitu otsikko 1 Char"/>
    <w:basedOn w:val="DefaultParagraphFont"/>
    <w:link w:val="Heading1"/>
    <w:uiPriority w:val="4"/>
    <w:rsid w:val="00415141"/>
    <w:rPr>
      <w:rFonts w:asciiTheme="minorHAnsi" w:eastAsiaTheme="majorEastAsia" w:hAnsiTheme="minorHAnsi" w:cstheme="majorHAnsi"/>
      <w:b/>
      <w:bCs/>
      <w:color w:val="347D8C"/>
      <w:sz w:val="32"/>
      <w:szCs w:val="28"/>
    </w:rPr>
  </w:style>
  <w:style w:type="character" w:customStyle="1" w:styleId="Heading2Char">
    <w:name w:val="Heading 2 Char"/>
    <w:aliases w:val="Numeroitu otsikko 2 Char"/>
    <w:basedOn w:val="DefaultParagraphFont"/>
    <w:link w:val="Heading2"/>
    <w:uiPriority w:val="4"/>
    <w:rsid w:val="00415141"/>
    <w:rPr>
      <w:rFonts w:asciiTheme="minorHAnsi" w:eastAsiaTheme="majorEastAsia" w:hAnsiTheme="minorHAnsi" w:cstheme="majorHAnsi"/>
      <w:bCs/>
      <w:color w:val="347D8C"/>
      <w:sz w:val="28"/>
      <w:szCs w:val="26"/>
    </w:rPr>
  </w:style>
  <w:style w:type="character" w:customStyle="1" w:styleId="Heading3Char">
    <w:name w:val="Heading 3 Char"/>
    <w:aliases w:val="Numeroitu otsikko 3 Char"/>
    <w:basedOn w:val="DefaultParagraphFont"/>
    <w:link w:val="Heading3"/>
    <w:uiPriority w:val="4"/>
    <w:rsid w:val="00415141"/>
    <w:rPr>
      <w:rFonts w:asciiTheme="minorHAnsi" w:eastAsiaTheme="majorEastAsia" w:hAnsiTheme="minorHAnsi" w:cstheme="majorBidi"/>
      <w:bCs/>
      <w:color w:val="347D8C"/>
      <w:sz w:val="24"/>
    </w:rPr>
  </w:style>
  <w:style w:type="character" w:customStyle="1" w:styleId="Heading4Char">
    <w:name w:val="Heading 4 Char"/>
    <w:aliases w:val="Otsikko 1. Char"/>
    <w:basedOn w:val="DefaultParagraphFont"/>
    <w:link w:val="Heading4"/>
    <w:uiPriority w:val="4"/>
    <w:rsid w:val="00415141"/>
    <w:rPr>
      <w:rFonts w:asciiTheme="majorHAnsi" w:eastAsiaTheme="majorEastAsia" w:hAnsiTheme="majorHAnsi" w:cstheme="majorBidi"/>
      <w:b/>
      <w:bCs/>
      <w:iCs/>
      <w:color w:val="347D8C" w:themeColor="accent1"/>
      <w:sz w:val="36"/>
      <w:szCs w:val="28"/>
    </w:rPr>
  </w:style>
  <w:style w:type="character" w:customStyle="1" w:styleId="Heading5Char">
    <w:name w:val="Heading 5 Char"/>
    <w:aliases w:val="Otsikko 2. Char"/>
    <w:basedOn w:val="DefaultParagraphFont"/>
    <w:link w:val="Heading5"/>
    <w:uiPriority w:val="4"/>
    <w:rsid w:val="00ED2B82"/>
    <w:rPr>
      <w:rFonts w:asciiTheme="minorHAnsi" w:eastAsiaTheme="majorEastAsia" w:hAnsiTheme="minorHAnsi" w:cstheme="majorBidi"/>
      <w:b/>
      <w:color w:val="AF35AE"/>
      <w:sz w:val="24"/>
    </w:rPr>
  </w:style>
  <w:style w:type="character" w:customStyle="1" w:styleId="Heading6Char">
    <w:name w:val="Heading 6 Char"/>
    <w:aliases w:val="Otsikko 3. Char"/>
    <w:basedOn w:val="DefaultParagraphFont"/>
    <w:link w:val="Heading6"/>
    <w:uiPriority w:val="4"/>
    <w:rsid w:val="00415141"/>
    <w:rPr>
      <w:rFonts w:asciiTheme="minorHAnsi" w:eastAsiaTheme="majorEastAsia" w:hAnsiTheme="minorHAnsi" w:cstheme="majorBidi"/>
      <w:iCs/>
      <w:color w:val="347D8C"/>
      <w:sz w:val="22"/>
    </w:rPr>
  </w:style>
  <w:style w:type="character" w:customStyle="1" w:styleId="Heading7Char">
    <w:name w:val="Heading 7 Char"/>
    <w:aliases w:val="Pitkä otsikko Char"/>
    <w:basedOn w:val="DefaultParagraphFont"/>
    <w:link w:val="Heading7"/>
    <w:uiPriority w:val="4"/>
    <w:rsid w:val="00917851"/>
    <w:rPr>
      <w:rFonts w:asciiTheme="minorHAnsi" w:eastAsiaTheme="majorEastAsia" w:hAnsiTheme="minorHAnsi" w:cstheme="majorBidi"/>
      <w:i/>
      <w:iCs/>
      <w:color w:val="347D8C"/>
      <w:sz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03A1"/>
    <w:rPr>
      <w:rFonts w:eastAsiaTheme="majorEastAsia" w:cstheme="majorBidi"/>
      <w:color w:val="005C6E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03A1"/>
    <w:rPr>
      <w:rFonts w:eastAsiaTheme="majorEastAsia" w:cstheme="majorBidi"/>
      <w:iCs/>
      <w:color w:val="005C6E"/>
      <w:szCs w:val="20"/>
    </w:rPr>
  </w:style>
  <w:style w:type="table" w:styleId="TableGrid">
    <w:name w:val="Table Grid"/>
    <w:basedOn w:val="TableNormal"/>
    <w:uiPriority w:val="59"/>
    <w:rsid w:val="0029426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42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426A"/>
    <w:rPr>
      <w:rFonts w:ascii="Tahoma" w:hAnsi="Tahoma" w:cs="Tahoma"/>
      <w:sz w:val="16"/>
      <w:szCs w:val="16"/>
    </w:rPr>
  </w:style>
  <w:style w:type="paragraph" w:customStyle="1" w:styleId="Perusteksti">
    <w:name w:val="Perusteksti"/>
    <w:basedOn w:val="Normal"/>
    <w:qFormat/>
    <w:rsid w:val="00406489"/>
    <w:pPr>
      <w:spacing w:line="320" w:lineRule="exact"/>
    </w:pPr>
    <w:rPr>
      <w:sz w:val="22"/>
      <w:szCs w:val="22"/>
    </w:rPr>
  </w:style>
  <w:style w:type="paragraph" w:customStyle="1" w:styleId="Alatunnisteotsikko">
    <w:name w:val="Alatunnisteotsikko"/>
    <w:basedOn w:val="Footer"/>
    <w:uiPriority w:val="5"/>
    <w:semiHidden/>
    <w:unhideWhenUsed/>
    <w:qFormat/>
    <w:rsid w:val="00674CB8"/>
    <w:rPr>
      <w:b/>
      <w:caps/>
      <w:color w:val="005C6E"/>
      <w:spacing w:val="20"/>
      <w:sz w:val="14"/>
    </w:rPr>
  </w:style>
  <w:style w:type="character" w:styleId="Hyperlink">
    <w:name w:val="Hyperlink"/>
    <w:basedOn w:val="DefaultParagraphFont"/>
    <w:uiPriority w:val="99"/>
    <w:unhideWhenUsed/>
    <w:rsid w:val="00674CB8"/>
    <w:rPr>
      <w:color w:val="139FBA" w:themeColor="hyperlink"/>
      <w:u w:val="single"/>
    </w:rPr>
  </w:style>
  <w:style w:type="numbering" w:customStyle="1" w:styleId="LSKLOtsikkonumerointi">
    <w:name w:val="LSKL Otsikkonumerointi"/>
    <w:uiPriority w:val="99"/>
    <w:rsid w:val="003F054C"/>
    <w:pPr>
      <w:numPr>
        <w:numId w:val="1"/>
      </w:numPr>
    </w:pPr>
  </w:style>
  <w:style w:type="paragraph" w:customStyle="1" w:styleId="17Pisteluettelo">
    <w:name w:val="1.7 Pisteluettelo"/>
    <w:basedOn w:val="Normal"/>
    <w:uiPriority w:val="3"/>
    <w:rsid w:val="00415141"/>
    <w:pPr>
      <w:numPr>
        <w:numId w:val="20"/>
      </w:numPr>
      <w:spacing w:line="320" w:lineRule="exact"/>
    </w:pPr>
    <w:rPr>
      <w:sz w:val="22"/>
    </w:rPr>
  </w:style>
  <w:style w:type="numbering" w:customStyle="1" w:styleId="LSKLPisteluettelo">
    <w:name w:val="LSKL Pisteluettelo"/>
    <w:uiPriority w:val="99"/>
    <w:rsid w:val="00D13760"/>
    <w:pPr>
      <w:numPr>
        <w:numId w:val="3"/>
      </w:numPr>
    </w:pPr>
  </w:style>
  <w:style w:type="paragraph" w:customStyle="1" w:styleId="17Numeroluettelo">
    <w:name w:val="1.7 Numeroluettelo"/>
    <w:basedOn w:val="Normal"/>
    <w:uiPriority w:val="3"/>
    <w:rsid w:val="00415141"/>
    <w:pPr>
      <w:numPr>
        <w:numId w:val="13"/>
      </w:numPr>
      <w:spacing w:line="320" w:lineRule="exact"/>
    </w:pPr>
    <w:rPr>
      <w:sz w:val="20"/>
    </w:rPr>
  </w:style>
  <w:style w:type="numbering" w:customStyle="1" w:styleId="LSKLNumeroluettelo">
    <w:name w:val="LSKL Numeroluettelo"/>
    <w:uiPriority w:val="99"/>
    <w:rsid w:val="00AA7851"/>
    <w:pPr>
      <w:numPr>
        <w:numId w:val="7"/>
      </w:numPr>
    </w:pPr>
  </w:style>
  <w:style w:type="paragraph" w:styleId="TOC1">
    <w:name w:val="toc 1"/>
    <w:basedOn w:val="Normal"/>
    <w:next w:val="Normal"/>
    <w:autoRedefine/>
    <w:uiPriority w:val="39"/>
    <w:semiHidden/>
    <w:unhideWhenUsed/>
    <w:rsid w:val="005B6960"/>
    <w:pPr>
      <w:spacing w:before="120" w:after="120"/>
    </w:pPr>
    <w:rPr>
      <w:b/>
      <w:color w:val="005C6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5B6960"/>
    <w:pPr>
      <w:spacing w:before="120" w:after="120"/>
      <w:ind w:left="482"/>
    </w:pPr>
    <w:rPr>
      <w:color w:val="005C6E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5B6960"/>
    <w:pPr>
      <w:spacing w:before="120" w:after="120"/>
      <w:ind w:left="482"/>
    </w:pPr>
    <w:rPr>
      <w:color w:val="005C6E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5B6960"/>
    <w:pPr>
      <w:spacing w:before="120" w:after="120"/>
    </w:pPr>
    <w:rPr>
      <w:b/>
      <w:color w:val="005C6E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5B6960"/>
    <w:pPr>
      <w:spacing w:before="120" w:after="120"/>
      <w:ind w:left="482"/>
    </w:pPr>
    <w:rPr>
      <w:color w:val="005C6E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5B6960"/>
    <w:pPr>
      <w:spacing w:before="120" w:after="120"/>
      <w:ind w:left="482"/>
    </w:pPr>
    <w:rPr>
      <w:color w:val="005C6E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5B6960"/>
    <w:pPr>
      <w:spacing w:before="120" w:after="120"/>
      <w:ind w:left="482"/>
    </w:pPr>
    <w:rPr>
      <w:color w:val="005C6E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5B6960"/>
    <w:pPr>
      <w:spacing w:before="120" w:after="120"/>
      <w:ind w:left="482"/>
    </w:pPr>
    <w:rPr>
      <w:color w:val="005C6E"/>
    </w:rPr>
  </w:style>
  <w:style w:type="paragraph" w:customStyle="1" w:styleId="Pisteluettelo">
    <w:name w:val="Pisteluettelo"/>
    <w:basedOn w:val="Normal"/>
    <w:uiPriority w:val="2"/>
    <w:qFormat/>
    <w:rsid w:val="00F47140"/>
    <w:pPr>
      <w:numPr>
        <w:numId w:val="21"/>
      </w:numPr>
      <w:spacing w:line="320" w:lineRule="exact"/>
    </w:pPr>
    <w:rPr>
      <w:sz w:val="22"/>
    </w:rPr>
  </w:style>
  <w:style w:type="paragraph" w:customStyle="1" w:styleId="Numeroluettelo">
    <w:name w:val="Numeroluettelo"/>
    <w:basedOn w:val="Normal"/>
    <w:uiPriority w:val="2"/>
    <w:qFormat/>
    <w:rsid w:val="00415141"/>
    <w:pPr>
      <w:numPr>
        <w:numId w:val="15"/>
      </w:numPr>
      <w:spacing w:line="320" w:lineRule="exact"/>
    </w:pPr>
    <w:rPr>
      <w:sz w:val="22"/>
    </w:rPr>
  </w:style>
  <w:style w:type="numbering" w:customStyle="1" w:styleId="LSKLNumeroluettelo2">
    <w:name w:val="LSKL Numeroluettelo 2"/>
    <w:uiPriority w:val="99"/>
    <w:rsid w:val="00AA7851"/>
    <w:pPr>
      <w:numPr>
        <w:numId w:val="15"/>
      </w:numPr>
    </w:pPr>
  </w:style>
  <w:style w:type="numbering" w:customStyle="1" w:styleId="LKSLPisteluettelo2">
    <w:name w:val="LKSL Pisteluettelo 2"/>
    <w:uiPriority w:val="99"/>
    <w:rsid w:val="00D13760"/>
    <w:pPr>
      <w:numPr>
        <w:numId w:val="17"/>
      </w:numPr>
    </w:pPr>
  </w:style>
  <w:style w:type="paragraph" w:customStyle="1" w:styleId="Vlistettyperusteksti">
    <w:name w:val="Välistetty perusteksti"/>
    <w:basedOn w:val="Normal"/>
    <w:qFormat/>
    <w:rsid w:val="00406489"/>
    <w:pPr>
      <w:spacing w:before="120" w:after="240" w:line="320" w:lineRule="exact"/>
    </w:pPr>
    <w:rPr>
      <w:sz w:val="22"/>
      <w:szCs w:val="22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5B6960"/>
    <w:pPr>
      <w:spacing w:after="100"/>
      <w:ind w:left="950"/>
    </w:pPr>
    <w:rPr>
      <w:color w:val="005C6E"/>
    </w:rPr>
  </w:style>
  <w:style w:type="character" w:styleId="Strong">
    <w:name w:val="Strong"/>
    <w:basedOn w:val="DefaultParagraphFont"/>
    <w:uiPriority w:val="22"/>
    <w:qFormat/>
    <w:rsid w:val="00AF27E1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577CB3"/>
    <w:rPr>
      <w:i/>
      <w:iCs/>
      <w:color w:val="347D8C" w:themeColor="accent1"/>
    </w:rPr>
  </w:style>
  <w:style w:type="character" w:styleId="Emphasis">
    <w:name w:val="Emphasis"/>
    <w:basedOn w:val="DefaultParagraphFont"/>
    <w:uiPriority w:val="20"/>
    <w:qFormat/>
    <w:rsid w:val="00577CB3"/>
    <w:rPr>
      <w:i/>
      <w:iCs/>
    </w:rPr>
  </w:style>
  <w:style w:type="paragraph" w:styleId="NoSpacing">
    <w:name w:val="No Spacing"/>
    <w:link w:val="NoSpacingChar"/>
    <w:uiPriority w:val="1"/>
    <w:qFormat/>
    <w:rsid w:val="000A29BA"/>
    <w:rPr>
      <w:rFonts w:asciiTheme="minorHAnsi" w:eastAsiaTheme="minorEastAsia" w:hAnsiTheme="minorHAnsi" w:cstheme="minorBidi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0A29BA"/>
    <w:rPr>
      <w:rFonts w:asciiTheme="minorHAnsi" w:eastAsiaTheme="minorEastAsia" w:hAnsiTheme="minorHAnsi" w:cstheme="minorBidi"/>
      <w:sz w:val="22"/>
      <w:szCs w:val="22"/>
      <w:lang w:val="en-US" w:eastAsia="zh-CN"/>
    </w:rPr>
  </w:style>
  <w:style w:type="paragraph" w:customStyle="1" w:styleId="Documenttitle">
    <w:name w:val="Document title"/>
    <w:basedOn w:val="NoSpacing"/>
    <w:uiPriority w:val="5"/>
    <w:qFormat/>
    <w:rsid w:val="00406489"/>
    <w:pPr>
      <w:spacing w:after="900"/>
    </w:pPr>
    <w:rPr>
      <w:rFonts w:asciiTheme="majorHAnsi" w:hAnsiTheme="majorHAnsi"/>
      <w:color w:val="000000" w:themeColor="text1"/>
      <w:sz w:val="72"/>
      <w:szCs w:val="72"/>
    </w:rPr>
  </w:style>
  <w:style w:type="paragraph" w:customStyle="1" w:styleId="Kansilehdenalaotsikko">
    <w:name w:val="Kansilehden alaotsikko"/>
    <w:basedOn w:val="Heading5"/>
    <w:uiPriority w:val="5"/>
    <w:qFormat/>
    <w:rsid w:val="00B21DCD"/>
    <w:rPr>
      <w:sz w:val="32"/>
      <w:szCs w:val="32"/>
    </w:rPr>
  </w:style>
  <w:style w:type="paragraph" w:customStyle="1" w:styleId="Kansilehdenpotsikko">
    <w:name w:val="Kansilehden pääotsikko"/>
    <w:basedOn w:val="Documenttitle"/>
    <w:uiPriority w:val="5"/>
    <w:qFormat/>
    <w:rsid w:val="00B21DCD"/>
    <w:rPr>
      <w:b/>
    </w:rPr>
  </w:style>
  <w:style w:type="paragraph" w:customStyle="1" w:styleId="BasicParagraph">
    <w:name w:val="[Basic Paragraph]"/>
    <w:basedOn w:val="Normal"/>
    <w:uiPriority w:val="99"/>
    <w:rsid w:val="00DC248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36073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607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6073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60737"/>
    <w:rPr>
      <w:rFonts w:asciiTheme="minorHAnsi" w:hAnsiTheme="minorHAns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60737"/>
    <w:rPr>
      <w:rFonts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60737"/>
    <w:rPr>
      <w:rFonts w:asciiTheme="minorHAnsi" w:hAnsiTheme="minorHAnsi" w:cstheme="minorBid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6073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5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lskl.fi/en/home-en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LSKL">
  <a:themeElements>
    <a:clrScheme name="LSKL 1">
      <a:dk1>
        <a:srgbClr val="000000"/>
      </a:dk1>
      <a:lt1>
        <a:srgbClr val="FFFFFF"/>
      </a:lt1>
      <a:dk2>
        <a:srgbClr val="139FBA"/>
      </a:dk2>
      <a:lt2>
        <a:srgbClr val="FFFFFF"/>
      </a:lt2>
      <a:accent1>
        <a:srgbClr val="347D8C"/>
      </a:accent1>
      <a:accent2>
        <a:srgbClr val="139FBA"/>
      </a:accent2>
      <a:accent3>
        <a:srgbClr val="AF35AE"/>
      </a:accent3>
      <a:accent4>
        <a:srgbClr val="7ACCFE"/>
      </a:accent4>
      <a:accent5>
        <a:srgbClr val="C8C803"/>
      </a:accent5>
      <a:accent6>
        <a:srgbClr val="CF0202"/>
      </a:accent6>
      <a:hlink>
        <a:srgbClr val="139FBA"/>
      </a:hlink>
      <a:folHlink>
        <a:srgbClr val="A5DEE9"/>
      </a:folHlink>
    </a:clrScheme>
    <a:fontScheme name="Cambria-Calibri">
      <a:majorFont>
        <a:latin typeface="Cambria" panose="02040503050406030204"/>
        <a:ea typeface=""/>
        <a:cs typeface=""/>
        <a:font script="Jpan" typeface="ＭＳ Ｐゴシック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Muodikas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8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9050" h="31750" prst="coolSlan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LSKL" id="{DE3D8D13-C44F-224E-A2E5-99E8F2CC7708}" vid="{DD16FE5C-9A21-2345-94F1-7F9DDF2D0BF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AB878A9813AC47840D6752A39DA3EF" ma:contentTypeVersion="14" ma:contentTypeDescription="Create a new document." ma:contentTypeScope="" ma:versionID="59298f99c8373f6185b428af7810b6e1">
  <xsd:schema xmlns:xsd="http://www.w3.org/2001/XMLSchema" xmlns:xs="http://www.w3.org/2001/XMLSchema" xmlns:p="http://schemas.microsoft.com/office/2006/metadata/properties" xmlns:ns2="d61593cd-8a26-40d4-8fb5-77bc88a3a255" xmlns:ns3="484dbd97-6df1-415a-b6fd-9681c60a069c" targetNamespace="http://schemas.microsoft.com/office/2006/metadata/properties" ma:root="true" ma:fieldsID="bb7e3288579c7658dfab58cc5aeeb63e" ns2:_="" ns3:_="">
    <xsd:import namespace="d61593cd-8a26-40d4-8fb5-77bc88a3a255"/>
    <xsd:import namespace="484dbd97-6df1-415a-b6fd-9681c60a06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1593cd-8a26-40d4-8fb5-77bc88a3a2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0fa8196c-5904-4a67-8f11-6d5c4d5b1a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4dbd97-6df1-415a-b6fd-9681c60a069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adf3a53-3fcc-41df-b031-9ed55478ff4c}" ma:internalName="TaxCatchAll" ma:showField="CatchAllData" ma:web="484dbd97-6df1-415a-b6fd-9681c60a06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84dbd97-6df1-415a-b6fd-9681c60a069c" xsi:nil="true"/>
    <lcf76f155ced4ddcb4097134ff3c332f xmlns="d61593cd-8a26-40d4-8fb5-77bc88a3a255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EF960-79D0-49AD-9E38-157109FC44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1593cd-8a26-40d4-8fb5-77bc88a3a255"/>
    <ds:schemaRef ds:uri="484dbd97-6df1-415a-b6fd-9681c60a06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B644F1-ADE4-4BA9-B3E6-3C9841818F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027B94-59A8-4905-A909-DD3184AF0D4C}">
  <ds:schemaRefs>
    <ds:schemaRef ds:uri="http://schemas.openxmlformats.org/package/2006/metadata/core-properties"/>
    <ds:schemaRef ds:uri="484dbd97-6df1-415a-b6fd-9681c60a069c"/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d61593cd-8a26-40d4-8fb5-77bc88a3a255"/>
    <ds:schemaRef ds:uri="http://schemas.microsoft.com/office/2006/metadata/properties"/>
    <ds:schemaRef ds:uri="http://purl.org/dc/dcmitype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9D61769A-0D8E-47BA-9127-923CB4192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826</Words>
  <Characters>4709</Characters>
  <Application>Microsoft Office Word</Application>
  <DocSecurity>0</DocSecurity>
  <Lines>39</Lines>
  <Paragraphs>11</Paragraphs>
  <ScaleCrop>false</ScaleCrop>
  <HeadingPairs>
    <vt:vector size="4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Juuli Hurskainen</dc:creator>
  <cp:keywords/>
  <dc:description/>
  <cp:lastModifiedBy>Erigence YAMTOIDE NDADE NOUBA(OHCHR Intern)</cp:lastModifiedBy>
  <cp:revision>2</cp:revision>
  <cp:lastPrinted>2016-05-18T14:44:00Z</cp:lastPrinted>
  <dcterms:created xsi:type="dcterms:W3CDTF">2023-04-19T21:20:00Z</dcterms:created>
  <dcterms:modified xsi:type="dcterms:W3CDTF">2023-04-19T21:20:00Z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0x01010029AB878A9813AC47840D6752A39DA3EF</vt:lpwstr>
  </property>
  <property fmtid="{D5CDD505-2E9C-101B-9397-08002B2CF9AE}" pid="3" name="Order">
    <vt:r8>70800</vt:r8>
  </property>
  <property fmtid="{D5CDD505-2E9C-101B-9397-08002B2CF9AE}" pid="4" name="ValoWorkspaceConfidentiality">
    <vt:lpwstr>Ei vielä julkinen</vt:lpwstr>
  </property>
  <property fmtid="{D5CDD505-2E9C-101B-9397-08002B2CF9AE}" pid="5" name="xd_Signature">
    <vt:bool>false</vt:bool>
  </property>
  <property fmtid="{D5CDD505-2E9C-101B-9397-08002B2CF9AE}" pid="6" name="ValoWorkspacePreservationTime">
    <vt:lpwstr>5 vuotta</vt:lpwstr>
  </property>
  <property fmtid="{D5CDD505-2E9C-101B-9397-08002B2CF9AE}" pid="7" name="xd_ProgID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