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7E2A2" w14:textId="3BB9C74C" w:rsidR="00BA19CB" w:rsidRPr="00660B23" w:rsidRDefault="00BA19CB" w:rsidP="00BA19CB">
      <w:pPr>
        <w:pStyle w:val="Normal1"/>
        <w:contextualSpacing w:val="0"/>
        <w:rPr>
          <w:rFonts w:ascii="Franklin Gothic Medium" w:hAnsi="Franklin Gothic Medium"/>
          <w:sz w:val="24"/>
          <w:szCs w:val="24"/>
          <w:lang w:val="en-GB"/>
        </w:rPr>
      </w:pPr>
    </w:p>
    <w:p w14:paraId="4FB8F6D9" w14:textId="093889B2" w:rsidR="00BA19CB" w:rsidRPr="00660B23" w:rsidRDefault="007A18BF" w:rsidP="004F0BE7">
      <w:pPr>
        <w:pStyle w:val="Normal1"/>
        <w:contextualSpacing w:val="0"/>
        <w:rPr>
          <w:rFonts w:ascii="Franklin Gothic Medium" w:hAnsi="Franklin Gothic Medium"/>
          <w:sz w:val="24"/>
          <w:szCs w:val="24"/>
          <w:lang w:val="en-GB"/>
        </w:rPr>
      </w:pPr>
      <w:r w:rsidRPr="00660B23">
        <w:rPr>
          <w:rFonts w:ascii="Franklin Gothic Medium" w:hAnsi="Franklin Gothic Medium"/>
          <w:sz w:val="24"/>
          <w:szCs w:val="24"/>
          <w:lang w:val="en-GB"/>
        </w:rPr>
        <w:t xml:space="preserve">    </w:t>
      </w:r>
      <w:r w:rsidR="004F0BE7" w:rsidRPr="00660B23">
        <w:rPr>
          <w:b/>
          <w:i/>
          <w:noProof/>
          <w:lang w:val="en-GB"/>
        </w:rPr>
        <w:drawing>
          <wp:inline distT="0" distB="0" distL="0" distR="0" wp14:anchorId="0839345C" wp14:editId="159A749B">
            <wp:extent cx="1732221" cy="9774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TI.png"/>
                    <pic:cNvPicPr/>
                  </pic:nvPicPr>
                  <pic:blipFill>
                    <a:blip r:embed="rId8">
                      <a:extLst>
                        <a:ext uri="{28A0092B-C50C-407E-A947-70E740481C1C}">
                          <a14:useLocalDpi xmlns:a14="http://schemas.microsoft.com/office/drawing/2010/main" val="0"/>
                        </a:ext>
                      </a:extLst>
                    </a:blip>
                    <a:stretch>
                      <a:fillRect/>
                    </a:stretch>
                  </pic:blipFill>
                  <pic:spPr>
                    <a:xfrm>
                      <a:off x="0" y="0"/>
                      <a:ext cx="1740336" cy="982046"/>
                    </a:xfrm>
                    <a:prstGeom prst="rect">
                      <a:avLst/>
                    </a:prstGeom>
                  </pic:spPr>
                </pic:pic>
              </a:graphicData>
            </a:graphic>
          </wp:inline>
        </w:drawing>
      </w:r>
      <w:r w:rsidR="004F0BE7" w:rsidRPr="00660B23">
        <w:rPr>
          <w:rFonts w:ascii="Franklin Gothic Medium" w:hAnsi="Franklin Gothic Medium"/>
          <w:sz w:val="24"/>
          <w:szCs w:val="24"/>
          <w:lang w:val="en-GB"/>
        </w:rPr>
        <w:t xml:space="preserve">                        </w:t>
      </w:r>
      <w:r w:rsidR="004F0BE7" w:rsidRPr="00660B23">
        <w:rPr>
          <w:noProof/>
          <w:lang w:val="en-GB"/>
        </w:rPr>
        <w:drawing>
          <wp:inline distT="0" distB="0" distL="0" distR="0" wp14:anchorId="476B221D" wp14:editId="74088EC5">
            <wp:extent cx="3062835" cy="49705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062835" cy="497055"/>
                    </a:xfrm>
                    <a:prstGeom prst="rect">
                      <a:avLst/>
                    </a:prstGeom>
                    <a:ln/>
                  </pic:spPr>
                </pic:pic>
              </a:graphicData>
            </a:graphic>
          </wp:inline>
        </w:drawing>
      </w:r>
    </w:p>
    <w:p w14:paraId="3BC349E9" w14:textId="077698DD" w:rsidR="00FE278A" w:rsidRPr="00660B23" w:rsidRDefault="00FE278A" w:rsidP="001E542A">
      <w:pPr>
        <w:jc w:val="center"/>
        <w:rPr>
          <w:i/>
          <w:lang w:val="en-GB"/>
        </w:rPr>
      </w:pPr>
      <w:r w:rsidRPr="00660B23">
        <w:rPr>
          <w:i/>
          <w:lang w:val="en-GB"/>
        </w:rPr>
        <w:tab/>
      </w:r>
      <w:r w:rsidRPr="00660B23">
        <w:rPr>
          <w:i/>
          <w:lang w:val="en-GB"/>
        </w:rPr>
        <w:tab/>
      </w:r>
      <w:r w:rsidRPr="00660B23">
        <w:rPr>
          <w:i/>
          <w:lang w:val="en-GB"/>
        </w:rPr>
        <w:tab/>
      </w:r>
      <w:r w:rsidRPr="00660B23">
        <w:rPr>
          <w:i/>
          <w:lang w:val="en-GB"/>
        </w:rPr>
        <w:tab/>
      </w:r>
      <w:r w:rsidRPr="00660B23">
        <w:rPr>
          <w:i/>
          <w:lang w:val="en-GB"/>
        </w:rPr>
        <w:tab/>
      </w:r>
      <w:r w:rsidRPr="00660B23">
        <w:rPr>
          <w:i/>
          <w:lang w:val="en-GB"/>
        </w:rPr>
        <w:tab/>
        <w:t xml:space="preserve">    </w:t>
      </w:r>
    </w:p>
    <w:p w14:paraId="349AB358" w14:textId="77777777" w:rsidR="00A12525" w:rsidRPr="00660B23" w:rsidRDefault="00A12525" w:rsidP="00A12525">
      <w:pPr>
        <w:pStyle w:val="Normal1"/>
        <w:shd w:val="clear" w:color="auto" w:fill="F2F2F2" w:themeFill="background1" w:themeFillShade="F2"/>
        <w:contextualSpacing w:val="0"/>
        <w:rPr>
          <w:rFonts w:ascii="Franklin Gothic Demi" w:hAnsi="Franklin Gothic Demi" w:cs="Cordia New"/>
          <w:b/>
          <w:color w:val="17365D" w:themeColor="text2" w:themeShade="BF"/>
          <w:sz w:val="44"/>
          <w:szCs w:val="44"/>
          <w:lang w:val="en-GB"/>
        </w:rPr>
      </w:pPr>
    </w:p>
    <w:p w14:paraId="4F8EC77C" w14:textId="7428DB91" w:rsidR="00A12525" w:rsidRPr="00660B23" w:rsidRDefault="00A12525" w:rsidP="00A1252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2"/>
          <w:szCs w:val="32"/>
          <w:lang w:val="en-GB"/>
        </w:rPr>
      </w:pPr>
      <w:r w:rsidRPr="00660B23">
        <w:rPr>
          <w:rFonts w:ascii="Franklin Gothic Demi" w:hAnsi="Franklin Gothic Demi" w:cs="Cordia New"/>
          <w:b/>
          <w:color w:val="17365D" w:themeColor="text2" w:themeShade="BF"/>
          <w:sz w:val="32"/>
          <w:szCs w:val="32"/>
          <w:lang w:val="en-GB"/>
        </w:rPr>
        <w:t xml:space="preserve">Review of </w:t>
      </w:r>
      <w:r w:rsidR="001E542A" w:rsidRPr="00660B23">
        <w:rPr>
          <w:rFonts w:ascii="Franklin Gothic Demi" w:hAnsi="Franklin Gothic Demi" w:cs="Cordia New"/>
          <w:b/>
          <w:color w:val="17365D" w:themeColor="text2" w:themeShade="BF"/>
          <w:sz w:val="32"/>
          <w:szCs w:val="32"/>
          <w:lang w:val="en-GB"/>
        </w:rPr>
        <w:t>Yemen</w:t>
      </w:r>
      <w:r w:rsidRPr="00660B23">
        <w:rPr>
          <w:rFonts w:ascii="Franklin Gothic Demi" w:hAnsi="Franklin Gothic Demi" w:cs="Cordia New"/>
          <w:b/>
          <w:color w:val="17365D" w:themeColor="text2" w:themeShade="BF"/>
          <w:sz w:val="32"/>
          <w:szCs w:val="32"/>
          <w:lang w:val="en-GB"/>
        </w:rPr>
        <w:t xml:space="preserve"> </w:t>
      </w:r>
    </w:p>
    <w:p w14:paraId="42B7AD94" w14:textId="1D0C9C2E" w:rsidR="001E542A" w:rsidRPr="00660B23" w:rsidRDefault="001E542A" w:rsidP="001E542A">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r w:rsidRPr="00660B23">
        <w:rPr>
          <w:rFonts w:ascii="Franklin Gothic Demi" w:hAnsi="Franklin Gothic Demi" w:cs="Cordia New"/>
          <w:b/>
          <w:color w:val="17365D" w:themeColor="text2" w:themeShade="BF"/>
          <w:sz w:val="28"/>
          <w:szCs w:val="28"/>
          <w:lang w:val="en-GB"/>
        </w:rPr>
        <w:t xml:space="preserve">Joint submission to the UN CEDAW Committee </w:t>
      </w:r>
    </w:p>
    <w:p w14:paraId="1B8AD6F1" w14:textId="33E65E74" w:rsidR="001E542A" w:rsidRPr="00660B23" w:rsidRDefault="001E542A" w:rsidP="001E542A">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r w:rsidRPr="00660B23">
        <w:rPr>
          <w:rFonts w:ascii="Franklin Gothic Demi" w:hAnsi="Franklin Gothic Demi" w:cs="Cordia New"/>
          <w:b/>
          <w:color w:val="17365D" w:themeColor="text2" w:themeShade="BF"/>
          <w:sz w:val="28"/>
          <w:szCs w:val="28"/>
          <w:lang w:val="en-GB"/>
        </w:rPr>
        <w:t>Pre-sessional working group, 77</w:t>
      </w:r>
      <w:r w:rsidRPr="00660B23">
        <w:rPr>
          <w:rFonts w:ascii="Franklin Gothic Demi" w:hAnsi="Franklin Gothic Demi" w:cs="Cordia New"/>
          <w:b/>
          <w:color w:val="17365D" w:themeColor="text2" w:themeShade="BF"/>
          <w:sz w:val="28"/>
          <w:szCs w:val="28"/>
          <w:vertAlign w:val="superscript"/>
          <w:lang w:val="en-GB"/>
        </w:rPr>
        <w:t>th</w:t>
      </w:r>
      <w:r w:rsidRPr="00660B23">
        <w:rPr>
          <w:rFonts w:ascii="Franklin Gothic Demi" w:hAnsi="Franklin Gothic Demi" w:cs="Cordia New"/>
          <w:b/>
          <w:color w:val="17365D" w:themeColor="text2" w:themeShade="BF"/>
          <w:sz w:val="28"/>
          <w:szCs w:val="28"/>
          <w:lang w:val="en-GB"/>
        </w:rPr>
        <w:t xml:space="preserve"> session (March 2020)</w:t>
      </w:r>
    </w:p>
    <w:p w14:paraId="27C24B47" w14:textId="77777777" w:rsidR="00717B21" w:rsidRPr="00660B23" w:rsidRDefault="00717B21" w:rsidP="001E542A">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p>
    <w:p w14:paraId="23A30693" w14:textId="403FEF9F" w:rsidR="00496188" w:rsidRPr="00660B23" w:rsidRDefault="00496188" w:rsidP="00BA19CB">
      <w:pPr>
        <w:pStyle w:val="Normal1"/>
        <w:shd w:val="clear" w:color="auto" w:fill="F2F2F2" w:themeFill="background1" w:themeFillShade="F2"/>
        <w:contextualSpacing w:val="0"/>
        <w:jc w:val="center"/>
        <w:rPr>
          <w:rFonts w:ascii="Franklin Gothic Book" w:hAnsi="Franklin Gothic Book"/>
          <w:b/>
          <w:sz w:val="28"/>
          <w:szCs w:val="28"/>
          <w:lang w:val="en-GB"/>
        </w:rPr>
      </w:pPr>
    </w:p>
    <w:p w14:paraId="0DF279BB" w14:textId="77777777" w:rsidR="00A12525" w:rsidRPr="00660B23" w:rsidRDefault="00A12525" w:rsidP="00820BFF">
      <w:pPr>
        <w:rPr>
          <w:lang w:val="en-GB"/>
        </w:rPr>
      </w:pPr>
    </w:p>
    <w:p w14:paraId="061FB73B" w14:textId="66A8EA3E" w:rsidR="00820BFF" w:rsidRPr="00660B23" w:rsidRDefault="00820BFF" w:rsidP="009E03A5">
      <w:pPr>
        <w:rPr>
          <w:b/>
          <w:lang w:val="en-GB"/>
        </w:rPr>
      </w:pPr>
    </w:p>
    <w:p w14:paraId="792F37BE" w14:textId="5FE79DC6" w:rsidR="00820BFF" w:rsidRPr="00660B23" w:rsidRDefault="00820BFF" w:rsidP="009E03A5">
      <w:pPr>
        <w:rPr>
          <w:b/>
          <w:lang w:val="en-GB"/>
        </w:rPr>
      </w:pPr>
    </w:p>
    <w:p w14:paraId="2B5F4BAE" w14:textId="01E71234" w:rsidR="00820BFF" w:rsidRPr="00660B23" w:rsidRDefault="00820BFF" w:rsidP="009E03A5">
      <w:pPr>
        <w:rPr>
          <w:b/>
          <w:lang w:val="en-GB"/>
        </w:rPr>
      </w:pPr>
    </w:p>
    <w:p w14:paraId="03632657" w14:textId="1811A812" w:rsidR="00820BFF" w:rsidRPr="00660B23" w:rsidRDefault="00820BFF" w:rsidP="009E03A5">
      <w:pPr>
        <w:rPr>
          <w:b/>
          <w:lang w:val="en-GB"/>
        </w:rPr>
      </w:pPr>
    </w:p>
    <w:p w14:paraId="78698670" w14:textId="7F7FA4A9" w:rsidR="00A235B8" w:rsidRPr="00660B23" w:rsidRDefault="00A235B8" w:rsidP="009E03A5">
      <w:pPr>
        <w:rPr>
          <w:b/>
          <w:lang w:val="en-GB"/>
        </w:rPr>
      </w:pPr>
    </w:p>
    <w:p w14:paraId="5EDCF708" w14:textId="5DFDCFB0" w:rsidR="00A235B8" w:rsidRPr="00660B23" w:rsidRDefault="00A235B8" w:rsidP="009E03A5">
      <w:pPr>
        <w:rPr>
          <w:b/>
          <w:lang w:val="en-GB"/>
        </w:rPr>
      </w:pPr>
    </w:p>
    <w:p w14:paraId="6D156E59" w14:textId="6A373D3F" w:rsidR="00A235B8" w:rsidRPr="00660B23" w:rsidRDefault="00A235B8" w:rsidP="009E03A5">
      <w:pPr>
        <w:rPr>
          <w:b/>
          <w:lang w:val="en-GB"/>
        </w:rPr>
      </w:pPr>
      <w:bookmarkStart w:id="0" w:name="_GoBack"/>
      <w:bookmarkEnd w:id="0"/>
    </w:p>
    <w:p w14:paraId="64358FE6" w14:textId="75DE479D" w:rsidR="00A235B8" w:rsidRPr="00660B23" w:rsidRDefault="00A235B8" w:rsidP="009E03A5">
      <w:pPr>
        <w:rPr>
          <w:b/>
          <w:lang w:val="en-GB"/>
        </w:rPr>
      </w:pPr>
    </w:p>
    <w:p w14:paraId="6B6E42CD" w14:textId="77777777" w:rsidR="00A235B8" w:rsidRPr="00660B23" w:rsidRDefault="00A235B8" w:rsidP="009E03A5">
      <w:pPr>
        <w:rPr>
          <w:b/>
          <w:lang w:val="en-GB"/>
        </w:rPr>
      </w:pPr>
    </w:p>
    <w:p w14:paraId="633F82ED" w14:textId="04828BB5" w:rsidR="00820BFF" w:rsidRPr="00660B23" w:rsidRDefault="00820BFF" w:rsidP="009E03A5">
      <w:pPr>
        <w:rPr>
          <w:lang w:val="en-GB"/>
        </w:rPr>
      </w:pPr>
    </w:p>
    <w:p w14:paraId="1F3656F4" w14:textId="02B28AF6" w:rsidR="00762299" w:rsidRPr="00660B23" w:rsidRDefault="00762299" w:rsidP="009E03A5">
      <w:pPr>
        <w:rPr>
          <w:lang w:val="en-GB"/>
        </w:rPr>
      </w:pPr>
    </w:p>
    <w:p w14:paraId="1689BB50" w14:textId="77777777" w:rsidR="00762299" w:rsidRPr="00660B23" w:rsidRDefault="00762299" w:rsidP="009E03A5">
      <w:pPr>
        <w:rPr>
          <w:lang w:val="en-GB"/>
        </w:rPr>
      </w:pPr>
    </w:p>
    <w:p w14:paraId="4D9E1C34" w14:textId="77777777" w:rsidR="00A235B8" w:rsidRPr="00660B23" w:rsidRDefault="00A235B8" w:rsidP="00A235B8">
      <w:pPr>
        <w:tabs>
          <w:tab w:val="left" w:pos="8647"/>
        </w:tabs>
        <w:ind w:right="283"/>
        <w:jc w:val="right"/>
        <w:rPr>
          <w:b/>
          <w:color w:val="1F497D" w:themeColor="text2"/>
          <w:sz w:val="20"/>
          <w:szCs w:val="20"/>
          <w:lang w:val="en-GB"/>
        </w:rPr>
      </w:pPr>
      <w:r w:rsidRPr="00660B23">
        <w:rPr>
          <w:b/>
          <w:color w:val="1F497D" w:themeColor="text2"/>
          <w:sz w:val="20"/>
          <w:szCs w:val="20"/>
          <w:lang w:val="en-GB"/>
        </w:rPr>
        <w:t>Submitted on 3 February 2020</w:t>
      </w:r>
    </w:p>
    <w:p w14:paraId="45ACE470" w14:textId="77777777" w:rsidR="00A235B8" w:rsidRPr="00660B23" w:rsidRDefault="00A235B8" w:rsidP="00A235B8">
      <w:pPr>
        <w:tabs>
          <w:tab w:val="left" w:pos="8647"/>
        </w:tabs>
        <w:ind w:right="283"/>
        <w:jc w:val="right"/>
        <w:rPr>
          <w:color w:val="1F497D" w:themeColor="text2"/>
          <w:sz w:val="20"/>
          <w:szCs w:val="20"/>
          <w:lang w:val="en-GB"/>
        </w:rPr>
      </w:pPr>
      <w:r w:rsidRPr="00660B23">
        <w:rPr>
          <w:color w:val="1F497D" w:themeColor="text2"/>
          <w:sz w:val="20"/>
          <w:szCs w:val="20"/>
          <w:lang w:val="en-GB"/>
        </w:rPr>
        <w:t>For more information, please contact:</w:t>
      </w:r>
    </w:p>
    <w:p w14:paraId="14C46598" w14:textId="77777777" w:rsidR="00A235B8" w:rsidRPr="00660B23" w:rsidRDefault="00A235B8" w:rsidP="00A235B8">
      <w:pPr>
        <w:tabs>
          <w:tab w:val="left" w:pos="8647"/>
        </w:tabs>
        <w:ind w:right="283"/>
        <w:jc w:val="right"/>
        <w:rPr>
          <w:color w:val="1F497D" w:themeColor="text2"/>
          <w:sz w:val="20"/>
          <w:szCs w:val="20"/>
          <w:lang w:val="en-GB"/>
        </w:rPr>
      </w:pPr>
      <w:r w:rsidRPr="00660B23">
        <w:rPr>
          <w:color w:val="1F497D" w:themeColor="text2"/>
          <w:sz w:val="20"/>
          <w:szCs w:val="20"/>
          <w:lang w:val="en-GB"/>
        </w:rPr>
        <w:t>Women’s International League for Peace and Freedom (WILPF)</w:t>
      </w:r>
    </w:p>
    <w:p w14:paraId="4D7A47F1" w14:textId="77777777" w:rsidR="00A235B8" w:rsidRPr="00660B23" w:rsidRDefault="00A235B8" w:rsidP="00A235B8">
      <w:pPr>
        <w:tabs>
          <w:tab w:val="left" w:pos="8647"/>
        </w:tabs>
        <w:ind w:right="283"/>
        <w:jc w:val="right"/>
        <w:rPr>
          <w:color w:val="1F497D" w:themeColor="text2"/>
          <w:sz w:val="20"/>
          <w:szCs w:val="20"/>
          <w:lang w:val="en-GB"/>
        </w:rPr>
      </w:pPr>
      <w:r w:rsidRPr="00660B23">
        <w:rPr>
          <w:color w:val="1F497D" w:themeColor="text2"/>
          <w:sz w:val="20"/>
          <w:szCs w:val="20"/>
          <w:lang w:val="en-GB"/>
        </w:rPr>
        <w:t>Rue de Varembé 1, Case Postale 28, 1211 Geneva 20, Switzerland</w:t>
      </w:r>
    </w:p>
    <w:p w14:paraId="6726CC94" w14:textId="77777777" w:rsidR="00A235B8" w:rsidRPr="00660B23" w:rsidRDefault="00A235B8" w:rsidP="00A235B8">
      <w:pPr>
        <w:tabs>
          <w:tab w:val="left" w:pos="8647"/>
        </w:tabs>
        <w:ind w:right="283"/>
        <w:jc w:val="right"/>
        <w:rPr>
          <w:color w:val="1F497D" w:themeColor="text2"/>
          <w:sz w:val="20"/>
          <w:szCs w:val="20"/>
          <w:lang w:val="en-GB"/>
        </w:rPr>
      </w:pPr>
      <w:r w:rsidRPr="00660B23">
        <w:rPr>
          <w:color w:val="1F497D" w:themeColor="text2"/>
          <w:sz w:val="20"/>
          <w:szCs w:val="20"/>
          <w:lang w:val="en-GB"/>
        </w:rPr>
        <w:t xml:space="preserve">Email: </w:t>
      </w:r>
      <w:r w:rsidRPr="00660B23">
        <w:rPr>
          <w:rStyle w:val="Hyperlink"/>
          <w:color w:val="1F497D" w:themeColor="text2"/>
          <w:sz w:val="20"/>
          <w:szCs w:val="20"/>
          <w:lang w:val="en-GB"/>
        </w:rPr>
        <w:t>secretariat@wilpf.org</w:t>
      </w:r>
      <w:r w:rsidRPr="00660B23">
        <w:rPr>
          <w:color w:val="1F497D" w:themeColor="text2"/>
          <w:sz w:val="20"/>
          <w:szCs w:val="20"/>
          <w:lang w:val="en-GB"/>
        </w:rPr>
        <w:t>| Tel: +41 (0) 22919 70 80 | Web: wilpf.org</w:t>
      </w:r>
    </w:p>
    <w:p w14:paraId="534C17DF" w14:textId="5EFDE745" w:rsidR="001E542A" w:rsidRPr="00660B23" w:rsidRDefault="001E542A">
      <w:pPr>
        <w:spacing w:line="276" w:lineRule="auto"/>
        <w:jc w:val="left"/>
        <w:rPr>
          <w:b/>
          <w:sz w:val="24"/>
          <w:szCs w:val="24"/>
          <w:lang w:val="en-GB"/>
        </w:rPr>
      </w:pPr>
      <w:r w:rsidRPr="00660B23">
        <w:rPr>
          <w:b/>
          <w:sz w:val="24"/>
          <w:szCs w:val="24"/>
          <w:lang w:val="en-GB"/>
        </w:rPr>
        <w:br w:type="page"/>
      </w:r>
    </w:p>
    <w:p w14:paraId="06F006CE" w14:textId="77777777" w:rsidR="001E542A" w:rsidRPr="00660B23" w:rsidRDefault="001E542A" w:rsidP="001E542A">
      <w:pPr>
        <w:pStyle w:val="Normal1"/>
        <w:tabs>
          <w:tab w:val="left" w:pos="426"/>
        </w:tabs>
        <w:contextualSpacing w:val="0"/>
        <w:jc w:val="center"/>
        <w:rPr>
          <w:rFonts w:ascii="Franklin Gothic Medium" w:hAnsi="Franklin Gothic Medium"/>
          <w:color w:val="17365D" w:themeColor="text2" w:themeShade="BF"/>
          <w:sz w:val="28"/>
          <w:szCs w:val="28"/>
          <w:lang w:val="en-GB"/>
        </w:rPr>
      </w:pPr>
      <w:r w:rsidRPr="00660B23">
        <w:rPr>
          <w:rFonts w:ascii="Franklin Gothic Medium" w:hAnsi="Franklin Gothic Medium"/>
          <w:color w:val="17365D" w:themeColor="text2" w:themeShade="BF"/>
          <w:sz w:val="28"/>
          <w:szCs w:val="28"/>
          <w:lang w:val="en-GB"/>
        </w:rPr>
        <w:lastRenderedPageBreak/>
        <w:t xml:space="preserve">Contents </w:t>
      </w:r>
    </w:p>
    <w:p w14:paraId="4141D2D2" w14:textId="77777777" w:rsidR="001E542A" w:rsidRPr="00660B23" w:rsidRDefault="001E542A" w:rsidP="001E542A">
      <w:pPr>
        <w:rPr>
          <w:b/>
          <w:lang w:val="en-GB"/>
        </w:rPr>
      </w:pPr>
    </w:p>
    <w:p w14:paraId="5DB6AB11" w14:textId="0EF3D958" w:rsidR="00660B23" w:rsidRPr="00660B23" w:rsidRDefault="001E542A">
      <w:pPr>
        <w:pStyle w:val="TOC1"/>
        <w:rPr>
          <w:rFonts w:asciiTheme="minorHAnsi" w:eastAsiaTheme="minorEastAsia" w:hAnsiTheme="minorHAnsi" w:cstheme="minorBidi"/>
          <w:b w:val="0"/>
          <w:noProof/>
          <w:color w:val="auto"/>
          <w:szCs w:val="24"/>
          <w:lang w:val="en-GB"/>
        </w:rPr>
      </w:pPr>
      <w:r w:rsidRPr="00660B23">
        <w:rPr>
          <w:b w:val="0"/>
          <w:lang w:val="en-GB"/>
        </w:rPr>
        <w:fldChar w:fldCharType="begin"/>
      </w:r>
      <w:r w:rsidRPr="00660B23">
        <w:rPr>
          <w:b w:val="0"/>
          <w:lang w:val="en-GB"/>
        </w:rPr>
        <w:instrText xml:space="preserve"> TOC \o "1-3" \h \z \u </w:instrText>
      </w:r>
      <w:r w:rsidRPr="00660B23">
        <w:rPr>
          <w:b w:val="0"/>
          <w:lang w:val="en-GB"/>
        </w:rPr>
        <w:fldChar w:fldCharType="separate"/>
      </w:r>
      <w:hyperlink w:anchor="_Toc31637181" w:history="1">
        <w:r w:rsidR="00660B23" w:rsidRPr="00660B23">
          <w:rPr>
            <w:rStyle w:val="Hyperlink"/>
            <w:noProof/>
            <w:lang w:val="en-GB"/>
          </w:rPr>
          <w:t>I.</w:t>
        </w:r>
        <w:r w:rsidR="00660B23" w:rsidRPr="00660B23">
          <w:rPr>
            <w:rFonts w:asciiTheme="minorHAnsi" w:eastAsiaTheme="minorEastAsia" w:hAnsiTheme="minorHAnsi" w:cstheme="minorBidi"/>
            <w:b w:val="0"/>
            <w:noProof/>
            <w:color w:val="auto"/>
            <w:szCs w:val="24"/>
            <w:lang w:val="en-GB"/>
          </w:rPr>
          <w:tab/>
        </w:r>
        <w:r w:rsidR="00660B23" w:rsidRPr="00660B23">
          <w:rPr>
            <w:rStyle w:val="Hyperlink"/>
            <w:noProof/>
            <w:lang w:val="en-GB"/>
          </w:rPr>
          <w:t xml:space="preserve"> Introduction</w:t>
        </w:r>
        <w:r w:rsidR="00660B23" w:rsidRPr="00660B23">
          <w:rPr>
            <w:noProof/>
            <w:webHidden/>
            <w:lang w:val="en-GB"/>
          </w:rPr>
          <w:tab/>
        </w:r>
        <w:r w:rsidR="00660B23" w:rsidRPr="00660B23">
          <w:rPr>
            <w:noProof/>
            <w:webHidden/>
            <w:lang w:val="en-GB"/>
          </w:rPr>
          <w:fldChar w:fldCharType="begin"/>
        </w:r>
        <w:r w:rsidR="00660B23" w:rsidRPr="00660B23">
          <w:rPr>
            <w:noProof/>
            <w:webHidden/>
            <w:lang w:val="en-GB"/>
          </w:rPr>
          <w:instrText xml:space="preserve"> PAGEREF _Toc31637181 \h </w:instrText>
        </w:r>
        <w:r w:rsidR="00660B23" w:rsidRPr="00660B23">
          <w:rPr>
            <w:noProof/>
            <w:webHidden/>
            <w:lang w:val="en-GB"/>
          </w:rPr>
        </w:r>
        <w:r w:rsidR="00660B23" w:rsidRPr="00660B23">
          <w:rPr>
            <w:noProof/>
            <w:webHidden/>
            <w:lang w:val="en-GB"/>
          </w:rPr>
          <w:fldChar w:fldCharType="separate"/>
        </w:r>
        <w:r w:rsidR="00660B23" w:rsidRPr="00660B23">
          <w:rPr>
            <w:noProof/>
            <w:webHidden/>
            <w:lang w:val="en-GB"/>
          </w:rPr>
          <w:t>3</w:t>
        </w:r>
        <w:r w:rsidR="00660B23" w:rsidRPr="00660B23">
          <w:rPr>
            <w:noProof/>
            <w:webHidden/>
            <w:lang w:val="en-GB"/>
          </w:rPr>
          <w:fldChar w:fldCharType="end"/>
        </w:r>
      </w:hyperlink>
    </w:p>
    <w:p w14:paraId="43CD8B89" w14:textId="6D8C9AA5" w:rsidR="00660B23" w:rsidRPr="00660B23" w:rsidRDefault="00660B23">
      <w:pPr>
        <w:pStyle w:val="TOC1"/>
        <w:rPr>
          <w:rFonts w:asciiTheme="minorHAnsi" w:eastAsiaTheme="minorEastAsia" w:hAnsiTheme="minorHAnsi" w:cstheme="minorBidi"/>
          <w:b w:val="0"/>
          <w:noProof/>
          <w:color w:val="auto"/>
          <w:szCs w:val="24"/>
          <w:lang w:val="en-GB"/>
        </w:rPr>
      </w:pPr>
      <w:hyperlink w:anchor="_Toc31637182" w:history="1">
        <w:r w:rsidRPr="00660B23">
          <w:rPr>
            <w:rStyle w:val="Hyperlink"/>
            <w:noProof/>
            <w:lang w:val="en-GB"/>
          </w:rPr>
          <w:t>II.</w:t>
        </w:r>
        <w:r w:rsidRPr="00660B23">
          <w:rPr>
            <w:rFonts w:asciiTheme="minorHAnsi" w:eastAsiaTheme="minorEastAsia" w:hAnsiTheme="minorHAnsi" w:cstheme="minorBidi"/>
            <w:b w:val="0"/>
            <w:noProof/>
            <w:color w:val="auto"/>
            <w:szCs w:val="24"/>
            <w:lang w:val="en-GB"/>
          </w:rPr>
          <w:tab/>
        </w:r>
        <w:r w:rsidRPr="00660B23">
          <w:rPr>
            <w:rStyle w:val="Hyperlink"/>
            <w:noProof/>
            <w:lang w:val="en-GB"/>
          </w:rPr>
          <w:t xml:space="preserve"> Humanitarian Needs and Social Services</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_Toc31637182 \h </w:instrText>
        </w:r>
        <w:r w:rsidRPr="00660B23">
          <w:rPr>
            <w:noProof/>
            <w:webHidden/>
            <w:lang w:val="en-GB"/>
          </w:rPr>
        </w:r>
        <w:r w:rsidRPr="00660B23">
          <w:rPr>
            <w:noProof/>
            <w:webHidden/>
            <w:lang w:val="en-GB"/>
          </w:rPr>
          <w:fldChar w:fldCharType="separate"/>
        </w:r>
        <w:r w:rsidRPr="00660B23">
          <w:rPr>
            <w:noProof/>
            <w:webHidden/>
            <w:lang w:val="en-GB"/>
          </w:rPr>
          <w:t>3</w:t>
        </w:r>
        <w:r w:rsidRPr="00660B23">
          <w:rPr>
            <w:noProof/>
            <w:webHidden/>
            <w:lang w:val="en-GB"/>
          </w:rPr>
          <w:fldChar w:fldCharType="end"/>
        </w:r>
      </w:hyperlink>
    </w:p>
    <w:p w14:paraId="3F6ED0E0" w14:textId="1491C692" w:rsidR="00660B23" w:rsidRPr="00660B23" w:rsidRDefault="00660B23">
      <w:pPr>
        <w:pStyle w:val="TOC2"/>
        <w:tabs>
          <w:tab w:val="right" w:leader="dot" w:pos="9350"/>
        </w:tabs>
        <w:rPr>
          <w:rFonts w:asciiTheme="minorHAnsi" w:eastAsiaTheme="minorEastAsia" w:hAnsiTheme="minorHAnsi" w:cstheme="minorBidi"/>
          <w:noProof/>
          <w:color w:val="auto"/>
          <w:sz w:val="24"/>
          <w:szCs w:val="24"/>
          <w:lang w:val="en-GB"/>
        </w:rPr>
      </w:pPr>
      <w:hyperlink w:anchor="_Toc31637183" w:history="1">
        <w:r w:rsidRPr="00660B23">
          <w:rPr>
            <w:rStyle w:val="Hyperlink"/>
            <w:noProof/>
            <w:lang w:val="en-GB"/>
          </w:rPr>
          <w:t>Impacts of the loss of livelihoods and income</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_Toc31637183 \h </w:instrText>
        </w:r>
        <w:r w:rsidRPr="00660B23">
          <w:rPr>
            <w:noProof/>
            <w:webHidden/>
            <w:lang w:val="en-GB"/>
          </w:rPr>
        </w:r>
        <w:r w:rsidRPr="00660B23">
          <w:rPr>
            <w:noProof/>
            <w:webHidden/>
            <w:lang w:val="en-GB"/>
          </w:rPr>
          <w:fldChar w:fldCharType="separate"/>
        </w:r>
        <w:r w:rsidRPr="00660B23">
          <w:rPr>
            <w:noProof/>
            <w:webHidden/>
            <w:lang w:val="en-GB"/>
          </w:rPr>
          <w:t>4</w:t>
        </w:r>
        <w:r w:rsidRPr="00660B23">
          <w:rPr>
            <w:noProof/>
            <w:webHidden/>
            <w:lang w:val="en-GB"/>
          </w:rPr>
          <w:fldChar w:fldCharType="end"/>
        </w:r>
      </w:hyperlink>
    </w:p>
    <w:p w14:paraId="194FED81" w14:textId="144D0072" w:rsidR="00660B23" w:rsidRPr="00660B23" w:rsidRDefault="00660B23">
      <w:pPr>
        <w:pStyle w:val="TOC2"/>
        <w:tabs>
          <w:tab w:val="right" w:leader="dot" w:pos="9350"/>
        </w:tabs>
        <w:rPr>
          <w:rFonts w:asciiTheme="minorHAnsi" w:eastAsiaTheme="minorEastAsia" w:hAnsiTheme="minorHAnsi" w:cstheme="minorBidi"/>
          <w:noProof/>
          <w:color w:val="auto"/>
          <w:sz w:val="24"/>
          <w:szCs w:val="24"/>
          <w:lang w:val="en-GB"/>
        </w:rPr>
      </w:pPr>
      <w:hyperlink w:anchor="_Toc31637184" w:history="1">
        <w:r w:rsidRPr="00660B23">
          <w:rPr>
            <w:rStyle w:val="Hyperlink"/>
            <w:noProof/>
            <w:lang w:val="en-GB"/>
          </w:rPr>
          <w:t>Internal displacement</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_Toc31637184 \h </w:instrText>
        </w:r>
        <w:r w:rsidRPr="00660B23">
          <w:rPr>
            <w:noProof/>
            <w:webHidden/>
            <w:lang w:val="en-GB"/>
          </w:rPr>
        </w:r>
        <w:r w:rsidRPr="00660B23">
          <w:rPr>
            <w:noProof/>
            <w:webHidden/>
            <w:lang w:val="en-GB"/>
          </w:rPr>
          <w:fldChar w:fldCharType="separate"/>
        </w:r>
        <w:r w:rsidRPr="00660B23">
          <w:rPr>
            <w:noProof/>
            <w:webHidden/>
            <w:lang w:val="en-GB"/>
          </w:rPr>
          <w:t>5</w:t>
        </w:r>
        <w:r w:rsidRPr="00660B23">
          <w:rPr>
            <w:noProof/>
            <w:webHidden/>
            <w:lang w:val="en-GB"/>
          </w:rPr>
          <w:fldChar w:fldCharType="end"/>
        </w:r>
      </w:hyperlink>
    </w:p>
    <w:p w14:paraId="2A573652" w14:textId="2AF71511" w:rsidR="00660B23" w:rsidRPr="00660B23" w:rsidRDefault="00660B23">
      <w:pPr>
        <w:pStyle w:val="TOC2"/>
        <w:tabs>
          <w:tab w:val="right" w:leader="dot" w:pos="9350"/>
        </w:tabs>
        <w:rPr>
          <w:rFonts w:asciiTheme="minorHAnsi" w:eastAsiaTheme="minorEastAsia" w:hAnsiTheme="minorHAnsi" w:cstheme="minorBidi"/>
          <w:noProof/>
          <w:color w:val="auto"/>
          <w:sz w:val="24"/>
          <w:szCs w:val="24"/>
          <w:lang w:val="en-GB"/>
        </w:rPr>
      </w:pPr>
      <w:hyperlink w:anchor="_Toc31637185" w:history="1">
        <w:r w:rsidRPr="00660B23">
          <w:rPr>
            <w:rStyle w:val="Hyperlink"/>
            <w:noProof/>
            <w:lang w:val="en-GB"/>
          </w:rPr>
          <w:t>Impacts of famine, cholera outbreaks, and obstacles in access to healthcare</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_Toc31637185 \h </w:instrText>
        </w:r>
        <w:r w:rsidRPr="00660B23">
          <w:rPr>
            <w:noProof/>
            <w:webHidden/>
            <w:lang w:val="en-GB"/>
          </w:rPr>
        </w:r>
        <w:r w:rsidRPr="00660B23">
          <w:rPr>
            <w:noProof/>
            <w:webHidden/>
            <w:lang w:val="en-GB"/>
          </w:rPr>
          <w:fldChar w:fldCharType="separate"/>
        </w:r>
        <w:r w:rsidRPr="00660B23">
          <w:rPr>
            <w:noProof/>
            <w:webHidden/>
            <w:lang w:val="en-GB"/>
          </w:rPr>
          <w:t>6</w:t>
        </w:r>
        <w:r w:rsidRPr="00660B23">
          <w:rPr>
            <w:noProof/>
            <w:webHidden/>
            <w:lang w:val="en-GB"/>
          </w:rPr>
          <w:fldChar w:fldCharType="end"/>
        </w:r>
      </w:hyperlink>
    </w:p>
    <w:p w14:paraId="6ECBB410" w14:textId="16C8C3E4" w:rsidR="00660B23" w:rsidRPr="00660B23" w:rsidRDefault="00660B23">
      <w:pPr>
        <w:pStyle w:val="TOC2"/>
        <w:tabs>
          <w:tab w:val="right" w:leader="dot" w:pos="9350"/>
        </w:tabs>
        <w:rPr>
          <w:rFonts w:asciiTheme="minorHAnsi" w:eastAsiaTheme="minorEastAsia" w:hAnsiTheme="minorHAnsi" w:cstheme="minorBidi"/>
          <w:noProof/>
          <w:color w:val="auto"/>
          <w:sz w:val="24"/>
          <w:szCs w:val="24"/>
          <w:lang w:val="en-GB"/>
        </w:rPr>
      </w:pPr>
      <w:hyperlink w:anchor="_Toc31637186" w:history="1">
        <w:r w:rsidRPr="00660B23">
          <w:rPr>
            <w:rStyle w:val="Hyperlink"/>
            <w:noProof/>
            <w:lang w:val="en-GB"/>
          </w:rPr>
          <w:t>Deterioration in education services</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_Toc31637186 \h </w:instrText>
        </w:r>
        <w:r w:rsidRPr="00660B23">
          <w:rPr>
            <w:noProof/>
            <w:webHidden/>
            <w:lang w:val="en-GB"/>
          </w:rPr>
        </w:r>
        <w:r w:rsidRPr="00660B23">
          <w:rPr>
            <w:noProof/>
            <w:webHidden/>
            <w:lang w:val="en-GB"/>
          </w:rPr>
          <w:fldChar w:fldCharType="separate"/>
        </w:r>
        <w:r w:rsidRPr="00660B23">
          <w:rPr>
            <w:noProof/>
            <w:webHidden/>
            <w:lang w:val="en-GB"/>
          </w:rPr>
          <w:t>7</w:t>
        </w:r>
        <w:r w:rsidRPr="00660B23">
          <w:rPr>
            <w:noProof/>
            <w:webHidden/>
            <w:lang w:val="en-GB"/>
          </w:rPr>
          <w:fldChar w:fldCharType="end"/>
        </w:r>
      </w:hyperlink>
    </w:p>
    <w:p w14:paraId="17C7C692" w14:textId="5BC97190" w:rsidR="00660B23" w:rsidRPr="00660B23" w:rsidRDefault="00660B23">
      <w:pPr>
        <w:pStyle w:val="TOC3"/>
        <w:tabs>
          <w:tab w:val="right" w:leader="dot" w:pos="9350"/>
        </w:tabs>
        <w:rPr>
          <w:rFonts w:asciiTheme="minorHAnsi" w:eastAsiaTheme="minorEastAsia" w:hAnsiTheme="minorHAnsi" w:cstheme="minorBidi"/>
          <w:b w:val="0"/>
          <w:noProof/>
          <w:color w:val="auto"/>
          <w:sz w:val="24"/>
          <w:szCs w:val="24"/>
          <w:lang w:val="en-GB"/>
        </w:rPr>
      </w:pPr>
      <w:hyperlink w:anchor="_Toc31637187" w:history="1">
        <w:r w:rsidRPr="00660B23">
          <w:rPr>
            <w:rStyle w:val="Hyperlink"/>
            <w:noProof/>
            <w:lang w:val="en-GB"/>
          </w:rPr>
          <w:t>Questions</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_Toc31637187 \h </w:instrText>
        </w:r>
        <w:r w:rsidRPr="00660B23">
          <w:rPr>
            <w:noProof/>
            <w:webHidden/>
            <w:lang w:val="en-GB"/>
          </w:rPr>
        </w:r>
        <w:r w:rsidRPr="00660B23">
          <w:rPr>
            <w:noProof/>
            <w:webHidden/>
            <w:lang w:val="en-GB"/>
          </w:rPr>
          <w:fldChar w:fldCharType="separate"/>
        </w:r>
        <w:r w:rsidRPr="00660B23">
          <w:rPr>
            <w:noProof/>
            <w:webHidden/>
            <w:lang w:val="en-GB"/>
          </w:rPr>
          <w:t>8</w:t>
        </w:r>
        <w:r w:rsidRPr="00660B23">
          <w:rPr>
            <w:noProof/>
            <w:webHidden/>
            <w:lang w:val="en-GB"/>
          </w:rPr>
          <w:fldChar w:fldCharType="end"/>
        </w:r>
      </w:hyperlink>
    </w:p>
    <w:p w14:paraId="66199326" w14:textId="5D9D2951" w:rsidR="00660B23" w:rsidRPr="00660B23" w:rsidRDefault="00660B23">
      <w:pPr>
        <w:pStyle w:val="TOC1"/>
        <w:rPr>
          <w:rFonts w:asciiTheme="minorHAnsi" w:eastAsiaTheme="minorEastAsia" w:hAnsiTheme="minorHAnsi" w:cstheme="minorBidi"/>
          <w:b w:val="0"/>
          <w:noProof/>
          <w:color w:val="auto"/>
          <w:szCs w:val="24"/>
          <w:lang w:val="en-GB"/>
        </w:rPr>
      </w:pPr>
      <w:hyperlink w:anchor="_Toc31637188" w:history="1">
        <w:r w:rsidRPr="00660B23">
          <w:rPr>
            <w:rStyle w:val="Hyperlink"/>
            <w:noProof/>
            <w:lang w:val="en-GB"/>
          </w:rPr>
          <w:t>III.</w:t>
        </w:r>
        <w:r w:rsidRPr="00660B23">
          <w:rPr>
            <w:rFonts w:asciiTheme="minorHAnsi" w:eastAsiaTheme="minorEastAsia" w:hAnsiTheme="minorHAnsi" w:cstheme="minorBidi"/>
            <w:b w:val="0"/>
            <w:noProof/>
            <w:color w:val="auto"/>
            <w:szCs w:val="24"/>
            <w:lang w:val="en-GB"/>
          </w:rPr>
          <w:tab/>
        </w:r>
        <w:r w:rsidRPr="00660B23">
          <w:rPr>
            <w:rStyle w:val="Hyperlink"/>
            <w:noProof/>
            <w:lang w:val="en-GB"/>
          </w:rPr>
          <w:t xml:space="preserve"> Sexual and Gender-Based Violence</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_Toc31637188 \h </w:instrText>
        </w:r>
        <w:r w:rsidRPr="00660B23">
          <w:rPr>
            <w:noProof/>
            <w:webHidden/>
            <w:lang w:val="en-GB"/>
          </w:rPr>
        </w:r>
        <w:r w:rsidRPr="00660B23">
          <w:rPr>
            <w:noProof/>
            <w:webHidden/>
            <w:lang w:val="en-GB"/>
          </w:rPr>
          <w:fldChar w:fldCharType="separate"/>
        </w:r>
        <w:r w:rsidRPr="00660B23">
          <w:rPr>
            <w:noProof/>
            <w:webHidden/>
            <w:lang w:val="en-GB"/>
          </w:rPr>
          <w:t>8</w:t>
        </w:r>
        <w:r w:rsidRPr="00660B23">
          <w:rPr>
            <w:noProof/>
            <w:webHidden/>
            <w:lang w:val="en-GB"/>
          </w:rPr>
          <w:fldChar w:fldCharType="end"/>
        </w:r>
      </w:hyperlink>
    </w:p>
    <w:p w14:paraId="7E2EF6E9" w14:textId="4EBDC32B" w:rsidR="00660B23" w:rsidRPr="00660B23" w:rsidRDefault="00660B23">
      <w:pPr>
        <w:pStyle w:val="TOC2"/>
        <w:tabs>
          <w:tab w:val="right" w:leader="dot" w:pos="9350"/>
        </w:tabs>
        <w:rPr>
          <w:rFonts w:asciiTheme="minorHAnsi" w:eastAsiaTheme="minorEastAsia" w:hAnsiTheme="minorHAnsi" w:cstheme="minorBidi"/>
          <w:noProof/>
          <w:color w:val="auto"/>
          <w:sz w:val="24"/>
          <w:szCs w:val="24"/>
          <w:lang w:val="en-GB"/>
        </w:rPr>
      </w:pPr>
      <w:hyperlink w:anchor="_Toc31637189" w:history="1">
        <w:r w:rsidRPr="00660B23">
          <w:rPr>
            <w:rStyle w:val="Hyperlink"/>
            <w:noProof/>
            <w:lang w:val="en-GB"/>
          </w:rPr>
          <w:t>Documented increase in gender-based violence due to the conflict</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_Toc31637189 \h </w:instrText>
        </w:r>
        <w:r w:rsidRPr="00660B23">
          <w:rPr>
            <w:noProof/>
            <w:webHidden/>
            <w:lang w:val="en-GB"/>
          </w:rPr>
        </w:r>
        <w:r w:rsidRPr="00660B23">
          <w:rPr>
            <w:noProof/>
            <w:webHidden/>
            <w:lang w:val="en-GB"/>
          </w:rPr>
          <w:fldChar w:fldCharType="separate"/>
        </w:r>
        <w:r w:rsidRPr="00660B23">
          <w:rPr>
            <w:noProof/>
            <w:webHidden/>
            <w:lang w:val="en-GB"/>
          </w:rPr>
          <w:t>9</w:t>
        </w:r>
        <w:r w:rsidRPr="00660B23">
          <w:rPr>
            <w:noProof/>
            <w:webHidden/>
            <w:lang w:val="en-GB"/>
          </w:rPr>
          <w:fldChar w:fldCharType="end"/>
        </w:r>
      </w:hyperlink>
    </w:p>
    <w:p w14:paraId="6AC34E3D" w14:textId="25FA4D7D" w:rsidR="00660B23" w:rsidRPr="00660B23" w:rsidRDefault="00660B23">
      <w:pPr>
        <w:pStyle w:val="TOC2"/>
        <w:tabs>
          <w:tab w:val="right" w:leader="dot" w:pos="9350"/>
        </w:tabs>
        <w:rPr>
          <w:rFonts w:asciiTheme="minorHAnsi" w:eastAsiaTheme="minorEastAsia" w:hAnsiTheme="minorHAnsi" w:cstheme="minorBidi"/>
          <w:noProof/>
          <w:color w:val="auto"/>
          <w:sz w:val="24"/>
          <w:szCs w:val="24"/>
          <w:lang w:val="en-GB"/>
        </w:rPr>
      </w:pPr>
      <w:hyperlink w:anchor="_Toc31637190" w:history="1">
        <w:r w:rsidRPr="00660B23">
          <w:rPr>
            <w:rStyle w:val="Hyperlink"/>
            <w:noProof/>
            <w:lang w:val="en-GB"/>
          </w:rPr>
          <w:t>Root causes of the increase in gender-based violence</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_Toc31637190 \h </w:instrText>
        </w:r>
        <w:r w:rsidRPr="00660B23">
          <w:rPr>
            <w:noProof/>
            <w:webHidden/>
            <w:lang w:val="en-GB"/>
          </w:rPr>
        </w:r>
        <w:r w:rsidRPr="00660B23">
          <w:rPr>
            <w:noProof/>
            <w:webHidden/>
            <w:lang w:val="en-GB"/>
          </w:rPr>
          <w:fldChar w:fldCharType="separate"/>
        </w:r>
        <w:r w:rsidRPr="00660B23">
          <w:rPr>
            <w:noProof/>
            <w:webHidden/>
            <w:lang w:val="en-GB"/>
          </w:rPr>
          <w:t>10</w:t>
        </w:r>
        <w:r w:rsidRPr="00660B23">
          <w:rPr>
            <w:noProof/>
            <w:webHidden/>
            <w:lang w:val="en-GB"/>
          </w:rPr>
          <w:fldChar w:fldCharType="end"/>
        </w:r>
      </w:hyperlink>
    </w:p>
    <w:p w14:paraId="619D7544" w14:textId="5E5484F7" w:rsidR="00660B23" w:rsidRPr="00660B23" w:rsidRDefault="00660B23">
      <w:pPr>
        <w:pStyle w:val="TOC2"/>
        <w:tabs>
          <w:tab w:val="right" w:leader="dot" w:pos="9350"/>
        </w:tabs>
        <w:rPr>
          <w:rFonts w:asciiTheme="minorHAnsi" w:eastAsiaTheme="minorEastAsia" w:hAnsiTheme="minorHAnsi" w:cstheme="minorBidi"/>
          <w:noProof/>
          <w:color w:val="auto"/>
          <w:sz w:val="24"/>
          <w:szCs w:val="24"/>
          <w:lang w:val="en-GB"/>
        </w:rPr>
      </w:pPr>
      <w:hyperlink w:anchor="_Toc31637191" w:history="1">
        <w:r w:rsidRPr="00660B23">
          <w:rPr>
            <w:rStyle w:val="Hyperlink"/>
            <w:noProof/>
            <w:lang w:val="en-GB"/>
          </w:rPr>
          <w:t>Lack of accountability</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_Toc31637191 \h </w:instrText>
        </w:r>
        <w:r w:rsidRPr="00660B23">
          <w:rPr>
            <w:noProof/>
            <w:webHidden/>
            <w:lang w:val="en-GB"/>
          </w:rPr>
        </w:r>
        <w:r w:rsidRPr="00660B23">
          <w:rPr>
            <w:noProof/>
            <w:webHidden/>
            <w:lang w:val="en-GB"/>
          </w:rPr>
          <w:fldChar w:fldCharType="separate"/>
        </w:r>
        <w:r w:rsidRPr="00660B23">
          <w:rPr>
            <w:noProof/>
            <w:webHidden/>
            <w:lang w:val="en-GB"/>
          </w:rPr>
          <w:t>11</w:t>
        </w:r>
        <w:r w:rsidRPr="00660B23">
          <w:rPr>
            <w:noProof/>
            <w:webHidden/>
            <w:lang w:val="en-GB"/>
          </w:rPr>
          <w:fldChar w:fldCharType="end"/>
        </w:r>
      </w:hyperlink>
    </w:p>
    <w:p w14:paraId="70A89C40" w14:textId="0772D415" w:rsidR="00660B23" w:rsidRPr="00660B23" w:rsidRDefault="00660B23">
      <w:pPr>
        <w:pStyle w:val="TOC3"/>
        <w:tabs>
          <w:tab w:val="right" w:leader="dot" w:pos="9350"/>
        </w:tabs>
        <w:rPr>
          <w:rFonts w:asciiTheme="minorHAnsi" w:eastAsiaTheme="minorEastAsia" w:hAnsiTheme="minorHAnsi" w:cstheme="minorBidi"/>
          <w:b w:val="0"/>
          <w:noProof/>
          <w:color w:val="auto"/>
          <w:sz w:val="24"/>
          <w:szCs w:val="24"/>
          <w:lang w:val="en-GB"/>
        </w:rPr>
      </w:pPr>
      <w:hyperlink w:anchor="_Toc31637192" w:history="1">
        <w:r w:rsidRPr="00660B23">
          <w:rPr>
            <w:rStyle w:val="Hyperlink"/>
            <w:noProof/>
            <w:lang w:val="en-GB"/>
          </w:rPr>
          <w:t>Questions</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_Toc31637192 \h </w:instrText>
        </w:r>
        <w:r w:rsidRPr="00660B23">
          <w:rPr>
            <w:noProof/>
            <w:webHidden/>
            <w:lang w:val="en-GB"/>
          </w:rPr>
        </w:r>
        <w:r w:rsidRPr="00660B23">
          <w:rPr>
            <w:noProof/>
            <w:webHidden/>
            <w:lang w:val="en-GB"/>
          </w:rPr>
          <w:fldChar w:fldCharType="separate"/>
        </w:r>
        <w:r w:rsidRPr="00660B23">
          <w:rPr>
            <w:noProof/>
            <w:webHidden/>
            <w:lang w:val="en-GB"/>
          </w:rPr>
          <w:t>11</w:t>
        </w:r>
        <w:r w:rsidRPr="00660B23">
          <w:rPr>
            <w:noProof/>
            <w:webHidden/>
            <w:lang w:val="en-GB"/>
          </w:rPr>
          <w:fldChar w:fldCharType="end"/>
        </w:r>
      </w:hyperlink>
    </w:p>
    <w:p w14:paraId="0F7F2855" w14:textId="0F0AF40A" w:rsidR="00660B23" w:rsidRPr="00660B23" w:rsidRDefault="00660B23">
      <w:pPr>
        <w:pStyle w:val="TOC1"/>
        <w:rPr>
          <w:rFonts w:asciiTheme="minorHAnsi" w:eastAsiaTheme="minorEastAsia" w:hAnsiTheme="minorHAnsi" w:cstheme="minorBidi"/>
          <w:b w:val="0"/>
          <w:noProof/>
          <w:color w:val="auto"/>
          <w:szCs w:val="24"/>
          <w:lang w:val="en-GB"/>
        </w:rPr>
      </w:pPr>
      <w:hyperlink w:anchor="_Toc31637193" w:history="1">
        <w:r w:rsidRPr="00660B23">
          <w:rPr>
            <w:rStyle w:val="Hyperlink"/>
            <w:noProof/>
            <w:lang w:val="en-GB"/>
          </w:rPr>
          <w:t>IV.</w:t>
        </w:r>
        <w:r w:rsidRPr="00660B23">
          <w:rPr>
            <w:rFonts w:asciiTheme="minorHAnsi" w:eastAsiaTheme="minorEastAsia" w:hAnsiTheme="minorHAnsi" w:cstheme="minorBidi"/>
            <w:b w:val="0"/>
            <w:noProof/>
            <w:color w:val="auto"/>
            <w:szCs w:val="24"/>
            <w:lang w:val="en-GB"/>
          </w:rPr>
          <w:tab/>
        </w:r>
        <w:r w:rsidRPr="00660B23">
          <w:rPr>
            <w:rStyle w:val="Hyperlink"/>
            <w:noProof/>
            <w:lang w:val="en-GB"/>
          </w:rPr>
          <w:t>Arbitrary Detention and Enforced Disappearance</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_Toc31637193 \h </w:instrText>
        </w:r>
        <w:r w:rsidRPr="00660B23">
          <w:rPr>
            <w:noProof/>
            <w:webHidden/>
            <w:lang w:val="en-GB"/>
          </w:rPr>
        </w:r>
        <w:r w:rsidRPr="00660B23">
          <w:rPr>
            <w:noProof/>
            <w:webHidden/>
            <w:lang w:val="en-GB"/>
          </w:rPr>
          <w:fldChar w:fldCharType="separate"/>
        </w:r>
        <w:r w:rsidRPr="00660B23">
          <w:rPr>
            <w:noProof/>
            <w:webHidden/>
            <w:lang w:val="en-GB"/>
          </w:rPr>
          <w:t>12</w:t>
        </w:r>
        <w:r w:rsidRPr="00660B23">
          <w:rPr>
            <w:noProof/>
            <w:webHidden/>
            <w:lang w:val="en-GB"/>
          </w:rPr>
          <w:fldChar w:fldCharType="end"/>
        </w:r>
      </w:hyperlink>
    </w:p>
    <w:p w14:paraId="1C3AF9B5" w14:textId="27FECF9E" w:rsidR="00660B23" w:rsidRPr="00660B23" w:rsidRDefault="00660B23">
      <w:pPr>
        <w:pStyle w:val="TOC3"/>
        <w:tabs>
          <w:tab w:val="right" w:leader="dot" w:pos="9350"/>
        </w:tabs>
        <w:rPr>
          <w:rFonts w:asciiTheme="minorHAnsi" w:eastAsiaTheme="minorEastAsia" w:hAnsiTheme="minorHAnsi" w:cstheme="minorBidi"/>
          <w:b w:val="0"/>
          <w:noProof/>
          <w:color w:val="auto"/>
          <w:sz w:val="24"/>
          <w:szCs w:val="24"/>
          <w:lang w:val="en-GB"/>
        </w:rPr>
      </w:pPr>
      <w:hyperlink w:anchor="_Toc31637194" w:history="1">
        <w:r w:rsidRPr="00660B23">
          <w:rPr>
            <w:rStyle w:val="Hyperlink"/>
            <w:noProof/>
            <w:lang w:val="en-GB"/>
          </w:rPr>
          <w:t>Questions</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_Toc31637194 \h </w:instrText>
        </w:r>
        <w:r w:rsidRPr="00660B23">
          <w:rPr>
            <w:noProof/>
            <w:webHidden/>
            <w:lang w:val="en-GB"/>
          </w:rPr>
        </w:r>
        <w:r w:rsidRPr="00660B23">
          <w:rPr>
            <w:noProof/>
            <w:webHidden/>
            <w:lang w:val="en-GB"/>
          </w:rPr>
          <w:fldChar w:fldCharType="separate"/>
        </w:r>
        <w:r w:rsidRPr="00660B23">
          <w:rPr>
            <w:noProof/>
            <w:webHidden/>
            <w:lang w:val="en-GB"/>
          </w:rPr>
          <w:t>13</w:t>
        </w:r>
        <w:r w:rsidRPr="00660B23">
          <w:rPr>
            <w:noProof/>
            <w:webHidden/>
            <w:lang w:val="en-GB"/>
          </w:rPr>
          <w:fldChar w:fldCharType="end"/>
        </w:r>
      </w:hyperlink>
    </w:p>
    <w:p w14:paraId="1D8A4A68" w14:textId="26FB1A02" w:rsidR="00660B23" w:rsidRPr="00660B23" w:rsidRDefault="00660B23">
      <w:pPr>
        <w:pStyle w:val="TOC1"/>
        <w:rPr>
          <w:rFonts w:asciiTheme="minorHAnsi" w:eastAsiaTheme="minorEastAsia" w:hAnsiTheme="minorHAnsi" w:cstheme="minorBidi"/>
          <w:b w:val="0"/>
          <w:noProof/>
          <w:color w:val="auto"/>
          <w:szCs w:val="24"/>
          <w:lang w:val="en-GB"/>
        </w:rPr>
      </w:pPr>
      <w:hyperlink w:anchor="_Toc31637195" w:history="1">
        <w:r w:rsidRPr="00660B23">
          <w:rPr>
            <w:rStyle w:val="Hyperlink"/>
            <w:noProof/>
            <w:lang w:val="en-GB"/>
          </w:rPr>
          <w:t>V.</w:t>
        </w:r>
        <w:r w:rsidRPr="00660B23">
          <w:rPr>
            <w:rFonts w:asciiTheme="minorHAnsi" w:eastAsiaTheme="minorEastAsia" w:hAnsiTheme="minorHAnsi" w:cstheme="minorBidi"/>
            <w:b w:val="0"/>
            <w:noProof/>
            <w:color w:val="auto"/>
            <w:szCs w:val="24"/>
            <w:lang w:val="en-GB"/>
          </w:rPr>
          <w:tab/>
        </w:r>
        <w:r w:rsidRPr="00660B23">
          <w:rPr>
            <w:rStyle w:val="Hyperlink"/>
            <w:noProof/>
            <w:lang w:val="en-GB"/>
          </w:rPr>
          <w:t xml:space="preserve"> Arms Proliferation and Explosive Weapons</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_Toc31637195 \h </w:instrText>
        </w:r>
        <w:r w:rsidRPr="00660B23">
          <w:rPr>
            <w:noProof/>
            <w:webHidden/>
            <w:lang w:val="en-GB"/>
          </w:rPr>
        </w:r>
        <w:r w:rsidRPr="00660B23">
          <w:rPr>
            <w:noProof/>
            <w:webHidden/>
            <w:lang w:val="en-GB"/>
          </w:rPr>
          <w:fldChar w:fldCharType="separate"/>
        </w:r>
        <w:r w:rsidRPr="00660B23">
          <w:rPr>
            <w:noProof/>
            <w:webHidden/>
            <w:lang w:val="en-GB"/>
          </w:rPr>
          <w:t>14</w:t>
        </w:r>
        <w:r w:rsidRPr="00660B23">
          <w:rPr>
            <w:noProof/>
            <w:webHidden/>
            <w:lang w:val="en-GB"/>
          </w:rPr>
          <w:fldChar w:fldCharType="end"/>
        </w:r>
      </w:hyperlink>
    </w:p>
    <w:p w14:paraId="5D552D5B" w14:textId="2297E553" w:rsidR="00660B23" w:rsidRPr="00660B23" w:rsidRDefault="00660B23">
      <w:pPr>
        <w:pStyle w:val="TOC2"/>
        <w:tabs>
          <w:tab w:val="right" w:leader="dot" w:pos="9350"/>
        </w:tabs>
        <w:rPr>
          <w:rFonts w:asciiTheme="minorHAnsi" w:eastAsiaTheme="minorEastAsia" w:hAnsiTheme="minorHAnsi" w:cstheme="minorBidi"/>
          <w:noProof/>
          <w:color w:val="auto"/>
          <w:sz w:val="24"/>
          <w:szCs w:val="24"/>
          <w:lang w:val="en-GB"/>
        </w:rPr>
      </w:pPr>
      <w:hyperlink w:anchor="_Toc31637196" w:history="1">
        <w:r w:rsidRPr="00660B23">
          <w:rPr>
            <w:rStyle w:val="Hyperlink"/>
            <w:noProof/>
            <w:lang w:val="en-GB"/>
          </w:rPr>
          <w:t>Military depots and mines</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_Toc31637196 \h </w:instrText>
        </w:r>
        <w:r w:rsidRPr="00660B23">
          <w:rPr>
            <w:noProof/>
            <w:webHidden/>
            <w:lang w:val="en-GB"/>
          </w:rPr>
        </w:r>
        <w:r w:rsidRPr="00660B23">
          <w:rPr>
            <w:noProof/>
            <w:webHidden/>
            <w:lang w:val="en-GB"/>
          </w:rPr>
          <w:fldChar w:fldCharType="separate"/>
        </w:r>
        <w:r w:rsidRPr="00660B23">
          <w:rPr>
            <w:noProof/>
            <w:webHidden/>
            <w:lang w:val="en-GB"/>
          </w:rPr>
          <w:t>15</w:t>
        </w:r>
        <w:r w:rsidRPr="00660B23">
          <w:rPr>
            <w:noProof/>
            <w:webHidden/>
            <w:lang w:val="en-GB"/>
          </w:rPr>
          <w:fldChar w:fldCharType="end"/>
        </w:r>
      </w:hyperlink>
    </w:p>
    <w:p w14:paraId="27B9D107" w14:textId="02F26BB2" w:rsidR="00660B23" w:rsidRPr="00660B23" w:rsidRDefault="00660B23">
      <w:pPr>
        <w:pStyle w:val="TOC3"/>
        <w:tabs>
          <w:tab w:val="right" w:leader="dot" w:pos="9350"/>
        </w:tabs>
        <w:rPr>
          <w:rFonts w:asciiTheme="minorHAnsi" w:eastAsiaTheme="minorEastAsia" w:hAnsiTheme="minorHAnsi" w:cstheme="minorBidi"/>
          <w:b w:val="0"/>
          <w:noProof/>
          <w:color w:val="auto"/>
          <w:sz w:val="24"/>
          <w:szCs w:val="24"/>
          <w:lang w:val="en-GB"/>
        </w:rPr>
      </w:pPr>
      <w:hyperlink w:anchor="_Toc31637197" w:history="1">
        <w:r w:rsidRPr="00660B23">
          <w:rPr>
            <w:rStyle w:val="Hyperlink"/>
            <w:noProof/>
            <w:lang w:val="en-GB"/>
          </w:rPr>
          <w:t>Questions</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_Toc31637197 \h </w:instrText>
        </w:r>
        <w:r w:rsidRPr="00660B23">
          <w:rPr>
            <w:noProof/>
            <w:webHidden/>
            <w:lang w:val="en-GB"/>
          </w:rPr>
        </w:r>
        <w:r w:rsidRPr="00660B23">
          <w:rPr>
            <w:noProof/>
            <w:webHidden/>
            <w:lang w:val="en-GB"/>
          </w:rPr>
          <w:fldChar w:fldCharType="separate"/>
        </w:r>
        <w:r w:rsidRPr="00660B23">
          <w:rPr>
            <w:noProof/>
            <w:webHidden/>
            <w:lang w:val="en-GB"/>
          </w:rPr>
          <w:t>16</w:t>
        </w:r>
        <w:r w:rsidRPr="00660B23">
          <w:rPr>
            <w:noProof/>
            <w:webHidden/>
            <w:lang w:val="en-GB"/>
          </w:rPr>
          <w:fldChar w:fldCharType="end"/>
        </w:r>
      </w:hyperlink>
    </w:p>
    <w:p w14:paraId="1E94D2A3" w14:textId="2BA4FD90" w:rsidR="00660B23" w:rsidRPr="00660B23" w:rsidRDefault="00660B23">
      <w:pPr>
        <w:pStyle w:val="TOC1"/>
        <w:rPr>
          <w:rFonts w:asciiTheme="minorHAnsi" w:eastAsiaTheme="minorEastAsia" w:hAnsiTheme="minorHAnsi" w:cstheme="minorBidi"/>
          <w:b w:val="0"/>
          <w:noProof/>
          <w:color w:val="auto"/>
          <w:szCs w:val="24"/>
          <w:lang w:val="en-GB"/>
        </w:rPr>
      </w:pPr>
      <w:hyperlink w:anchor="_Toc31637198" w:history="1">
        <w:r w:rsidRPr="00660B23">
          <w:rPr>
            <w:rStyle w:val="Hyperlink"/>
            <w:noProof/>
            <w:lang w:val="en-GB"/>
          </w:rPr>
          <w:t>VI. Child recruitment</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_Toc31637198 \h </w:instrText>
        </w:r>
        <w:r w:rsidRPr="00660B23">
          <w:rPr>
            <w:noProof/>
            <w:webHidden/>
            <w:lang w:val="en-GB"/>
          </w:rPr>
        </w:r>
        <w:r w:rsidRPr="00660B23">
          <w:rPr>
            <w:noProof/>
            <w:webHidden/>
            <w:lang w:val="en-GB"/>
          </w:rPr>
          <w:fldChar w:fldCharType="separate"/>
        </w:r>
        <w:r w:rsidRPr="00660B23">
          <w:rPr>
            <w:noProof/>
            <w:webHidden/>
            <w:lang w:val="en-GB"/>
          </w:rPr>
          <w:t>16</w:t>
        </w:r>
        <w:r w:rsidRPr="00660B23">
          <w:rPr>
            <w:noProof/>
            <w:webHidden/>
            <w:lang w:val="en-GB"/>
          </w:rPr>
          <w:fldChar w:fldCharType="end"/>
        </w:r>
      </w:hyperlink>
    </w:p>
    <w:p w14:paraId="4E616991" w14:textId="6A31629E" w:rsidR="00660B23" w:rsidRPr="00660B23" w:rsidRDefault="00660B23">
      <w:pPr>
        <w:pStyle w:val="TOC3"/>
        <w:tabs>
          <w:tab w:val="right" w:leader="dot" w:pos="9350"/>
        </w:tabs>
        <w:rPr>
          <w:rFonts w:asciiTheme="minorHAnsi" w:eastAsiaTheme="minorEastAsia" w:hAnsiTheme="minorHAnsi" w:cstheme="minorBidi"/>
          <w:b w:val="0"/>
          <w:noProof/>
          <w:color w:val="auto"/>
          <w:sz w:val="24"/>
          <w:szCs w:val="24"/>
          <w:lang w:val="en-GB"/>
        </w:rPr>
      </w:pPr>
      <w:hyperlink w:anchor="_Toc31637199" w:history="1">
        <w:r w:rsidRPr="00660B23">
          <w:rPr>
            <w:rStyle w:val="Hyperlink"/>
            <w:noProof/>
            <w:lang w:val="en-GB"/>
          </w:rPr>
          <w:t>Questions</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_Toc31637199 \h </w:instrText>
        </w:r>
        <w:r w:rsidRPr="00660B23">
          <w:rPr>
            <w:noProof/>
            <w:webHidden/>
            <w:lang w:val="en-GB"/>
          </w:rPr>
        </w:r>
        <w:r w:rsidRPr="00660B23">
          <w:rPr>
            <w:noProof/>
            <w:webHidden/>
            <w:lang w:val="en-GB"/>
          </w:rPr>
          <w:fldChar w:fldCharType="separate"/>
        </w:r>
        <w:r w:rsidRPr="00660B23">
          <w:rPr>
            <w:noProof/>
            <w:webHidden/>
            <w:lang w:val="en-GB"/>
          </w:rPr>
          <w:t>18</w:t>
        </w:r>
        <w:r w:rsidRPr="00660B23">
          <w:rPr>
            <w:noProof/>
            <w:webHidden/>
            <w:lang w:val="en-GB"/>
          </w:rPr>
          <w:fldChar w:fldCharType="end"/>
        </w:r>
      </w:hyperlink>
    </w:p>
    <w:p w14:paraId="0A1BBBEB" w14:textId="0979B92E" w:rsidR="00660B23" w:rsidRPr="00660B23" w:rsidRDefault="00660B23">
      <w:pPr>
        <w:pStyle w:val="TOC1"/>
        <w:rPr>
          <w:rFonts w:asciiTheme="minorHAnsi" w:eastAsiaTheme="minorEastAsia" w:hAnsiTheme="minorHAnsi" w:cstheme="minorBidi"/>
          <w:b w:val="0"/>
          <w:noProof/>
          <w:color w:val="auto"/>
          <w:szCs w:val="24"/>
          <w:lang w:val="en-GB"/>
        </w:rPr>
      </w:pPr>
      <w:hyperlink w:anchor="_Toc31637200" w:history="1">
        <w:r w:rsidRPr="00660B23">
          <w:rPr>
            <w:rStyle w:val="Hyperlink"/>
            <w:noProof/>
            <w:lang w:val="en-GB"/>
          </w:rPr>
          <w:t>VII.</w:t>
        </w:r>
        <w:r w:rsidRPr="00660B23">
          <w:rPr>
            <w:rFonts w:asciiTheme="minorHAnsi" w:eastAsiaTheme="minorEastAsia" w:hAnsiTheme="minorHAnsi" w:cstheme="minorBidi"/>
            <w:b w:val="0"/>
            <w:noProof/>
            <w:color w:val="auto"/>
            <w:szCs w:val="24"/>
            <w:lang w:val="en-GB"/>
          </w:rPr>
          <w:tab/>
        </w:r>
        <w:r w:rsidRPr="00660B23">
          <w:rPr>
            <w:rStyle w:val="Hyperlink"/>
            <w:noProof/>
            <w:lang w:val="en-GB"/>
          </w:rPr>
          <w:t xml:space="preserve"> Women’s Meaningful Participation in Political and Public Life</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_Toc31637200 \h </w:instrText>
        </w:r>
        <w:r w:rsidRPr="00660B23">
          <w:rPr>
            <w:noProof/>
            <w:webHidden/>
            <w:lang w:val="en-GB"/>
          </w:rPr>
        </w:r>
        <w:r w:rsidRPr="00660B23">
          <w:rPr>
            <w:noProof/>
            <w:webHidden/>
            <w:lang w:val="en-GB"/>
          </w:rPr>
          <w:fldChar w:fldCharType="separate"/>
        </w:r>
        <w:r w:rsidRPr="00660B23">
          <w:rPr>
            <w:noProof/>
            <w:webHidden/>
            <w:lang w:val="en-GB"/>
          </w:rPr>
          <w:t>19</w:t>
        </w:r>
        <w:r w:rsidRPr="00660B23">
          <w:rPr>
            <w:noProof/>
            <w:webHidden/>
            <w:lang w:val="en-GB"/>
          </w:rPr>
          <w:fldChar w:fldCharType="end"/>
        </w:r>
      </w:hyperlink>
    </w:p>
    <w:p w14:paraId="6504CA7C" w14:textId="746868EB" w:rsidR="00660B23" w:rsidRPr="00660B23" w:rsidRDefault="00660B23">
      <w:pPr>
        <w:pStyle w:val="TOC2"/>
        <w:tabs>
          <w:tab w:val="right" w:leader="dot" w:pos="9350"/>
        </w:tabs>
        <w:rPr>
          <w:rFonts w:asciiTheme="minorHAnsi" w:eastAsiaTheme="minorEastAsia" w:hAnsiTheme="minorHAnsi" w:cstheme="minorBidi"/>
          <w:noProof/>
          <w:color w:val="auto"/>
          <w:sz w:val="24"/>
          <w:szCs w:val="24"/>
          <w:lang w:val="en-GB"/>
        </w:rPr>
      </w:pPr>
      <w:hyperlink w:anchor="_Toc31637201" w:history="1">
        <w:r w:rsidRPr="00660B23">
          <w:rPr>
            <w:rStyle w:val="Hyperlink"/>
            <w:noProof/>
            <w:lang w:val="en-GB"/>
          </w:rPr>
          <w:t>No plans to advance women’s political participation</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_Toc31637201 \h </w:instrText>
        </w:r>
        <w:r w:rsidRPr="00660B23">
          <w:rPr>
            <w:noProof/>
            <w:webHidden/>
            <w:lang w:val="en-GB"/>
          </w:rPr>
        </w:r>
        <w:r w:rsidRPr="00660B23">
          <w:rPr>
            <w:noProof/>
            <w:webHidden/>
            <w:lang w:val="en-GB"/>
          </w:rPr>
          <w:fldChar w:fldCharType="separate"/>
        </w:r>
        <w:r w:rsidRPr="00660B23">
          <w:rPr>
            <w:noProof/>
            <w:webHidden/>
            <w:lang w:val="en-GB"/>
          </w:rPr>
          <w:t>19</w:t>
        </w:r>
        <w:r w:rsidRPr="00660B23">
          <w:rPr>
            <w:noProof/>
            <w:webHidden/>
            <w:lang w:val="en-GB"/>
          </w:rPr>
          <w:fldChar w:fldCharType="end"/>
        </w:r>
      </w:hyperlink>
    </w:p>
    <w:p w14:paraId="03D8E605" w14:textId="60BB8998" w:rsidR="00660B23" w:rsidRPr="00660B23" w:rsidRDefault="00660B23">
      <w:pPr>
        <w:pStyle w:val="TOC2"/>
        <w:tabs>
          <w:tab w:val="right" w:leader="dot" w:pos="9350"/>
        </w:tabs>
        <w:rPr>
          <w:rFonts w:asciiTheme="minorHAnsi" w:eastAsiaTheme="minorEastAsia" w:hAnsiTheme="minorHAnsi" w:cstheme="minorBidi"/>
          <w:noProof/>
          <w:color w:val="auto"/>
          <w:sz w:val="24"/>
          <w:szCs w:val="24"/>
          <w:lang w:val="en-GB"/>
        </w:rPr>
      </w:pPr>
      <w:hyperlink w:anchor="_Toc31637202" w:history="1">
        <w:r w:rsidRPr="00660B23">
          <w:rPr>
            <w:rStyle w:val="Hyperlink"/>
            <w:noProof/>
            <w:lang w:val="en-GB"/>
          </w:rPr>
          <w:t>Women’s virtual absence from negotiation delegations</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_Toc31637202 \h </w:instrText>
        </w:r>
        <w:r w:rsidRPr="00660B23">
          <w:rPr>
            <w:noProof/>
            <w:webHidden/>
            <w:lang w:val="en-GB"/>
          </w:rPr>
        </w:r>
        <w:r w:rsidRPr="00660B23">
          <w:rPr>
            <w:noProof/>
            <w:webHidden/>
            <w:lang w:val="en-GB"/>
          </w:rPr>
          <w:fldChar w:fldCharType="separate"/>
        </w:r>
        <w:r w:rsidRPr="00660B23">
          <w:rPr>
            <w:noProof/>
            <w:webHidden/>
            <w:lang w:val="en-GB"/>
          </w:rPr>
          <w:t>19</w:t>
        </w:r>
        <w:r w:rsidRPr="00660B23">
          <w:rPr>
            <w:noProof/>
            <w:webHidden/>
            <w:lang w:val="en-GB"/>
          </w:rPr>
          <w:fldChar w:fldCharType="end"/>
        </w:r>
      </w:hyperlink>
    </w:p>
    <w:p w14:paraId="32FD01AB" w14:textId="1F0354B2" w:rsidR="00660B23" w:rsidRPr="00660B23" w:rsidRDefault="00660B23">
      <w:pPr>
        <w:pStyle w:val="TOC2"/>
        <w:tabs>
          <w:tab w:val="right" w:leader="dot" w:pos="9350"/>
        </w:tabs>
        <w:rPr>
          <w:rFonts w:asciiTheme="minorHAnsi" w:eastAsiaTheme="minorEastAsia" w:hAnsiTheme="minorHAnsi" w:cstheme="minorBidi"/>
          <w:noProof/>
          <w:color w:val="auto"/>
          <w:sz w:val="24"/>
          <w:szCs w:val="24"/>
          <w:lang w:val="en-GB"/>
        </w:rPr>
      </w:pPr>
      <w:hyperlink w:anchor="_Toc31637203" w:history="1">
        <w:r w:rsidRPr="00660B23">
          <w:rPr>
            <w:rStyle w:val="Hyperlink"/>
            <w:noProof/>
            <w:lang w:val="en-GB"/>
          </w:rPr>
          <w:t>Lack of adequate protection for women in the security sector</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_Toc31637203 \h </w:instrText>
        </w:r>
        <w:r w:rsidRPr="00660B23">
          <w:rPr>
            <w:noProof/>
            <w:webHidden/>
            <w:lang w:val="en-GB"/>
          </w:rPr>
        </w:r>
        <w:r w:rsidRPr="00660B23">
          <w:rPr>
            <w:noProof/>
            <w:webHidden/>
            <w:lang w:val="en-GB"/>
          </w:rPr>
          <w:fldChar w:fldCharType="separate"/>
        </w:r>
        <w:r w:rsidRPr="00660B23">
          <w:rPr>
            <w:noProof/>
            <w:webHidden/>
            <w:lang w:val="en-GB"/>
          </w:rPr>
          <w:t>20</w:t>
        </w:r>
        <w:r w:rsidRPr="00660B23">
          <w:rPr>
            <w:noProof/>
            <w:webHidden/>
            <w:lang w:val="en-GB"/>
          </w:rPr>
          <w:fldChar w:fldCharType="end"/>
        </w:r>
      </w:hyperlink>
    </w:p>
    <w:p w14:paraId="2F35CB46" w14:textId="1D07D7FC" w:rsidR="00660B23" w:rsidRPr="00660B23" w:rsidRDefault="00660B23">
      <w:pPr>
        <w:pStyle w:val="TOC3"/>
        <w:tabs>
          <w:tab w:val="right" w:leader="dot" w:pos="9350"/>
        </w:tabs>
        <w:rPr>
          <w:rFonts w:asciiTheme="minorHAnsi" w:eastAsiaTheme="minorEastAsia" w:hAnsiTheme="minorHAnsi" w:cstheme="minorBidi"/>
          <w:b w:val="0"/>
          <w:noProof/>
          <w:color w:val="auto"/>
          <w:sz w:val="24"/>
          <w:szCs w:val="24"/>
          <w:lang w:val="en-GB"/>
        </w:rPr>
      </w:pPr>
      <w:hyperlink w:anchor="_Toc31637204" w:history="1">
        <w:r w:rsidRPr="00660B23">
          <w:rPr>
            <w:rStyle w:val="Hyperlink"/>
            <w:noProof/>
            <w:lang w:val="en-GB"/>
          </w:rPr>
          <w:t>Questions</w:t>
        </w:r>
        <w:r w:rsidRPr="00660B23">
          <w:rPr>
            <w:noProof/>
            <w:webHidden/>
            <w:lang w:val="en-GB"/>
          </w:rPr>
          <w:tab/>
        </w:r>
        <w:r w:rsidRPr="00660B23">
          <w:rPr>
            <w:noProof/>
            <w:webHidden/>
            <w:lang w:val="en-GB"/>
          </w:rPr>
          <w:fldChar w:fldCharType="begin"/>
        </w:r>
        <w:r w:rsidRPr="00660B23">
          <w:rPr>
            <w:noProof/>
            <w:webHidden/>
            <w:lang w:val="en-GB"/>
          </w:rPr>
          <w:instrText xml:space="preserve"> PAGEREF _Toc31637204 \h </w:instrText>
        </w:r>
        <w:r w:rsidRPr="00660B23">
          <w:rPr>
            <w:noProof/>
            <w:webHidden/>
            <w:lang w:val="en-GB"/>
          </w:rPr>
        </w:r>
        <w:r w:rsidRPr="00660B23">
          <w:rPr>
            <w:noProof/>
            <w:webHidden/>
            <w:lang w:val="en-GB"/>
          </w:rPr>
          <w:fldChar w:fldCharType="separate"/>
        </w:r>
        <w:r w:rsidRPr="00660B23">
          <w:rPr>
            <w:noProof/>
            <w:webHidden/>
            <w:lang w:val="en-GB"/>
          </w:rPr>
          <w:t>20</w:t>
        </w:r>
        <w:r w:rsidRPr="00660B23">
          <w:rPr>
            <w:noProof/>
            <w:webHidden/>
            <w:lang w:val="en-GB"/>
          </w:rPr>
          <w:fldChar w:fldCharType="end"/>
        </w:r>
      </w:hyperlink>
    </w:p>
    <w:p w14:paraId="6BFBAE70" w14:textId="043AC57B" w:rsidR="001E542A" w:rsidRPr="00660B23" w:rsidRDefault="001E542A" w:rsidP="001E542A">
      <w:pPr>
        <w:rPr>
          <w:b/>
          <w:lang w:val="en-GB"/>
        </w:rPr>
      </w:pPr>
      <w:r w:rsidRPr="00660B23">
        <w:rPr>
          <w:b/>
          <w:lang w:val="en-GB"/>
        </w:rPr>
        <w:fldChar w:fldCharType="end"/>
      </w:r>
    </w:p>
    <w:p w14:paraId="315FDF0C" w14:textId="77777777" w:rsidR="001E542A" w:rsidRPr="00660B23" w:rsidRDefault="001E542A" w:rsidP="001E542A">
      <w:pPr>
        <w:rPr>
          <w:b/>
          <w:lang w:val="en-GB"/>
        </w:rPr>
      </w:pPr>
    </w:p>
    <w:p w14:paraId="45FC999D" w14:textId="77777777" w:rsidR="001E542A" w:rsidRPr="00660B23" w:rsidRDefault="001E542A" w:rsidP="001E542A">
      <w:pPr>
        <w:rPr>
          <w:b/>
          <w:lang w:val="en-GB"/>
        </w:rPr>
      </w:pPr>
    </w:p>
    <w:p w14:paraId="690D8DFE" w14:textId="749ADE3F" w:rsidR="00E9229F" w:rsidRPr="00660B23" w:rsidRDefault="001E542A" w:rsidP="007A18BF">
      <w:pPr>
        <w:spacing w:line="276" w:lineRule="auto"/>
        <w:jc w:val="left"/>
        <w:rPr>
          <w:b/>
          <w:lang w:val="en-GB"/>
        </w:rPr>
      </w:pPr>
      <w:r w:rsidRPr="00660B23">
        <w:rPr>
          <w:b/>
          <w:lang w:val="en-GB"/>
        </w:rPr>
        <w:br w:type="page"/>
      </w:r>
    </w:p>
    <w:p w14:paraId="67604D27" w14:textId="74D172E7" w:rsidR="005253BB" w:rsidRPr="00660B23" w:rsidRDefault="00071D9B" w:rsidP="008B0BF4">
      <w:pPr>
        <w:pStyle w:val="Heading1"/>
        <w:rPr>
          <w:lang w:val="en-GB"/>
        </w:rPr>
      </w:pPr>
      <w:bookmarkStart w:id="1" w:name="_heading=h.1fob9te" w:colFirst="0" w:colLast="0"/>
      <w:bookmarkStart w:id="2" w:name="_Toc17791821"/>
      <w:bookmarkStart w:id="3" w:name="_Toc29547583"/>
      <w:bookmarkStart w:id="4" w:name="_Toc31637181"/>
      <w:bookmarkEnd w:id="1"/>
      <w:r w:rsidRPr="00660B23">
        <w:rPr>
          <w:lang w:val="en-GB"/>
        </w:rPr>
        <w:lastRenderedPageBreak/>
        <w:t>I.</w:t>
      </w:r>
      <w:r w:rsidRPr="00660B23">
        <w:rPr>
          <w:lang w:val="en-GB"/>
        </w:rPr>
        <w:tab/>
      </w:r>
      <w:bookmarkEnd w:id="2"/>
      <w:r w:rsidR="00FE278A" w:rsidRPr="00660B23">
        <w:rPr>
          <w:lang w:val="en-GB"/>
        </w:rPr>
        <w:t xml:space="preserve"> </w:t>
      </w:r>
      <w:bookmarkStart w:id="5" w:name="_Toc29476215"/>
      <w:r w:rsidR="005253BB" w:rsidRPr="00660B23">
        <w:rPr>
          <w:lang w:val="en-GB"/>
        </w:rPr>
        <w:t>Introduction</w:t>
      </w:r>
      <w:bookmarkEnd w:id="3"/>
      <w:bookmarkEnd w:id="4"/>
      <w:bookmarkEnd w:id="5"/>
      <w:r w:rsidR="005253BB" w:rsidRPr="00660B23">
        <w:rPr>
          <w:lang w:val="en-GB"/>
        </w:rPr>
        <w:t xml:space="preserve"> </w:t>
      </w:r>
    </w:p>
    <w:p w14:paraId="747CB7BE" w14:textId="37970E96" w:rsidR="005253BB" w:rsidRPr="00660B23" w:rsidRDefault="005253BB" w:rsidP="00B378B8">
      <w:pPr>
        <w:rPr>
          <w:lang w:val="en-GB"/>
        </w:rPr>
      </w:pPr>
      <w:r w:rsidRPr="00660B23">
        <w:rPr>
          <w:lang w:val="en-GB"/>
        </w:rPr>
        <w:t xml:space="preserve">This submission is primarily based on a UPR submission developed by </w:t>
      </w:r>
      <w:r w:rsidR="00890718" w:rsidRPr="00660B23">
        <w:rPr>
          <w:lang w:val="en-GB"/>
        </w:rPr>
        <w:t xml:space="preserve">the Peace Track Initiative and a </w:t>
      </w:r>
      <w:r w:rsidRPr="00660B23">
        <w:rPr>
          <w:lang w:val="en-GB"/>
        </w:rPr>
        <w:t>group of Yemeni women-led organisations</w:t>
      </w:r>
      <w:r w:rsidR="002B7553" w:rsidRPr="00660B23">
        <w:rPr>
          <w:lang w:val="en-GB"/>
        </w:rPr>
        <w:t xml:space="preserve"> (members of the Women Solidarity Network in Yemen)</w:t>
      </w:r>
      <w:r w:rsidRPr="00660B23">
        <w:rPr>
          <w:lang w:val="en-GB"/>
        </w:rPr>
        <w:t xml:space="preserve"> and supported by the Women’s International League for Peace and Freedom (WILPF) in 2018</w:t>
      </w:r>
      <w:r w:rsidRPr="00660B23">
        <w:rPr>
          <w:vertAlign w:val="superscript"/>
          <w:lang w:val="en-GB"/>
        </w:rPr>
        <w:footnoteReference w:id="1"/>
      </w:r>
      <w:r w:rsidRPr="00660B23">
        <w:rPr>
          <w:lang w:val="en-GB"/>
        </w:rPr>
        <w:t xml:space="preserve"> and which sheds light on the gender-specific impacts of the ongoing conflict, particularly on women, especially after the escalation of violence in 2014. A copy of the UPR submission is provided as an annex. </w:t>
      </w:r>
    </w:p>
    <w:p w14:paraId="6FA1E769" w14:textId="77777777" w:rsidR="005253BB" w:rsidRPr="00660B23" w:rsidRDefault="005253BB" w:rsidP="008B0BF4">
      <w:pPr>
        <w:rPr>
          <w:lang w:val="en-GB"/>
        </w:rPr>
      </w:pPr>
    </w:p>
    <w:p w14:paraId="5AFB9DEE" w14:textId="5D5476AE" w:rsidR="005253BB" w:rsidRPr="00660B23" w:rsidRDefault="005253BB" w:rsidP="008B0BF4">
      <w:pPr>
        <w:rPr>
          <w:lang w:val="en-GB"/>
        </w:rPr>
      </w:pPr>
      <w:r w:rsidRPr="00660B23">
        <w:rPr>
          <w:lang w:val="en-GB"/>
        </w:rPr>
        <w:t xml:space="preserve">The ongoing armed conflict has led to widespread poverty and resulted in social and economic insecurity that forces large sections of the population to rely on livelihood assistance. </w:t>
      </w:r>
      <w:r w:rsidR="00CC1E44" w:rsidRPr="00660B23">
        <w:rPr>
          <w:lang w:val="en-GB"/>
        </w:rPr>
        <w:t xml:space="preserve"> </w:t>
      </w:r>
      <w:r w:rsidRPr="00660B23">
        <w:rPr>
          <w:lang w:val="en-GB"/>
        </w:rPr>
        <w:t>Social</w:t>
      </w:r>
      <w:r w:rsidRPr="00660B23">
        <w:rPr>
          <w:rFonts w:ascii="MS Gothic" w:eastAsia="MS Gothic" w:hAnsi="MS Gothic" w:cs="MS Gothic"/>
          <w:lang w:val="en-GB"/>
        </w:rPr>
        <w:t> </w:t>
      </w:r>
      <w:r w:rsidRPr="00660B23">
        <w:rPr>
          <w:lang w:val="en-GB"/>
        </w:rPr>
        <w:t xml:space="preserve">and economic insecurity, deterioration of the rule of law and displacement have increased women’s vulnerability to violence, abuse and exploitation. Moreover, the conflict has exacerbated the need for women to take on leading roles in supporting their families in addition to their gendered unpaid roles in care and domestic work. </w:t>
      </w:r>
    </w:p>
    <w:p w14:paraId="01E695D9" w14:textId="77777777" w:rsidR="005253BB" w:rsidRPr="00660B23" w:rsidRDefault="005253BB" w:rsidP="008B0BF4">
      <w:pPr>
        <w:rPr>
          <w:lang w:val="en-GB"/>
        </w:rPr>
      </w:pPr>
    </w:p>
    <w:p w14:paraId="75F3CA8A" w14:textId="7BBEB8EF" w:rsidR="001E542A" w:rsidRPr="00660B23" w:rsidRDefault="005253BB" w:rsidP="00B378B8">
      <w:pPr>
        <w:rPr>
          <w:lang w:val="en-GB"/>
        </w:rPr>
      </w:pPr>
      <w:r w:rsidRPr="00660B23">
        <w:rPr>
          <w:lang w:val="en-GB"/>
        </w:rPr>
        <w:t xml:space="preserve">Since the conflict </w:t>
      </w:r>
      <w:r w:rsidR="00FB741B" w:rsidRPr="00660B23">
        <w:rPr>
          <w:lang w:val="en-GB"/>
        </w:rPr>
        <w:t>escalated</w:t>
      </w:r>
      <w:r w:rsidRPr="00660B23">
        <w:rPr>
          <w:lang w:val="en-GB"/>
        </w:rPr>
        <w:t xml:space="preserve"> in Yemen in 2015 and despite security challenges, displacement and increasing multifaceted patterns of violence inflicted upon them, Yemeni women have devised new kinds of communal and inclusive resistance to tyranny and militarised environments. Not only are they at the forefront of the humanitarian response, they are also extensively mitigating the impact of </w:t>
      </w:r>
      <w:r w:rsidR="0058641E" w:rsidRPr="00660B23">
        <w:rPr>
          <w:lang w:val="en-GB"/>
        </w:rPr>
        <w:t xml:space="preserve">the </w:t>
      </w:r>
      <w:r w:rsidRPr="00660B23">
        <w:rPr>
          <w:lang w:val="en-GB"/>
        </w:rPr>
        <w:t xml:space="preserve">conflict by being involved in local mediation efforts, creating peacebuilding initiatives and sustaining their communities and families. </w:t>
      </w:r>
    </w:p>
    <w:p w14:paraId="22CAAB05" w14:textId="77777777" w:rsidR="0058641E" w:rsidRPr="00660B23" w:rsidRDefault="0058641E" w:rsidP="00B378B8">
      <w:pPr>
        <w:rPr>
          <w:lang w:val="en-GB"/>
        </w:rPr>
      </w:pPr>
    </w:p>
    <w:p w14:paraId="21371B84" w14:textId="67530969" w:rsidR="0058641E" w:rsidRPr="00660B23" w:rsidRDefault="0058641E" w:rsidP="0058641E">
      <w:pPr>
        <w:rPr>
          <w:lang w:val="en-GB"/>
        </w:rPr>
      </w:pPr>
      <w:r w:rsidRPr="00660B23">
        <w:rPr>
          <w:lang w:val="en-GB"/>
        </w:rPr>
        <w:t>Despite all this and being visibly present and active during the uprisings of 2011, Yemeni women have not been meaningfully included in the discussions on how to resolve the conflict within the country even though they are disproportionately affected by it, including by the use of explosive weapons, indiscriminate shelling and mine detonations.</w:t>
      </w:r>
    </w:p>
    <w:p w14:paraId="548EAF48" w14:textId="77777777" w:rsidR="00B378B8" w:rsidRPr="00660B23" w:rsidRDefault="00B378B8" w:rsidP="00B378B8">
      <w:pPr>
        <w:rPr>
          <w:lang w:val="en-GB"/>
        </w:rPr>
      </w:pPr>
    </w:p>
    <w:p w14:paraId="6F99A9F2" w14:textId="3F3CEBA3" w:rsidR="008B0BF4" w:rsidRPr="00660B23" w:rsidRDefault="003A4369" w:rsidP="001E542A">
      <w:pPr>
        <w:pStyle w:val="Heading1"/>
        <w:rPr>
          <w:lang w:val="en-GB"/>
        </w:rPr>
      </w:pPr>
      <w:bookmarkStart w:id="6" w:name="_Toc29476216"/>
      <w:bookmarkStart w:id="7" w:name="_Toc29547584"/>
      <w:bookmarkStart w:id="8" w:name="_Toc31637182"/>
      <w:r w:rsidRPr="00660B23">
        <w:rPr>
          <w:lang w:val="en-GB"/>
        </w:rPr>
        <w:t>II.</w:t>
      </w:r>
      <w:r w:rsidRPr="00660B23">
        <w:rPr>
          <w:lang w:val="en-GB"/>
        </w:rPr>
        <w:tab/>
        <w:t xml:space="preserve"> </w:t>
      </w:r>
      <w:r w:rsidR="008B0BF4" w:rsidRPr="00660B23">
        <w:rPr>
          <w:lang w:val="en-GB"/>
        </w:rPr>
        <w:t>Humanitarian Needs and Social Services</w:t>
      </w:r>
      <w:bookmarkEnd w:id="6"/>
      <w:bookmarkEnd w:id="7"/>
      <w:bookmarkEnd w:id="8"/>
      <w:r w:rsidR="008B0BF4" w:rsidRPr="00660B23">
        <w:rPr>
          <w:lang w:val="en-GB"/>
        </w:rPr>
        <w:t xml:space="preserve"> </w:t>
      </w:r>
    </w:p>
    <w:p w14:paraId="744767DE" w14:textId="22320D98" w:rsidR="008B0BF4" w:rsidRPr="00660B23" w:rsidRDefault="005253BB" w:rsidP="008B0BF4">
      <w:pPr>
        <w:rPr>
          <w:lang w:val="en-GB"/>
        </w:rPr>
      </w:pPr>
      <w:r w:rsidRPr="00660B23">
        <w:rPr>
          <w:lang w:val="en-GB"/>
        </w:rPr>
        <w:t xml:space="preserve">According to the United Nations Office for the Coordination of Humanitarian Affairs (OCHA), the humanitarian crisis in Yemen remains the worst in the world; 80% of population in Yemen, that is 24.1 </w:t>
      </w:r>
      <w:r w:rsidRPr="00660B23">
        <w:rPr>
          <w:lang w:val="en-GB"/>
        </w:rPr>
        <w:lastRenderedPageBreak/>
        <w:t>million out of 29.3 million need, humanitarian aid or protection assistance, including 14.3 who are in acute need.</w:t>
      </w:r>
      <w:r w:rsidRPr="00660B23">
        <w:rPr>
          <w:vertAlign w:val="superscript"/>
          <w:lang w:val="en-GB"/>
        </w:rPr>
        <w:footnoteReference w:id="2"/>
      </w:r>
      <w:r w:rsidRPr="00660B23">
        <w:rPr>
          <w:lang w:val="en-GB"/>
        </w:rPr>
        <w:t xml:space="preserve"> The number of food-insecure people has increased to 20 million, with 9.6 million of them on the verge of famine. There are more than 17.8 million people who cannot access safe drinking water and 19.7 million are in need of health assistance. An estimated 7.4 million people require services to treat or prevent malnutrition, including 4.4 million who are in acute need. This includes 3.2 million people who require treatment for acute malnutrition: 2 million children under 5 and 1.14 million pregnant or lactating women.</w:t>
      </w:r>
      <w:r w:rsidRPr="00660B23">
        <w:rPr>
          <w:vertAlign w:val="superscript"/>
          <w:lang w:val="en-GB"/>
        </w:rPr>
        <w:t xml:space="preserve"> </w:t>
      </w:r>
      <w:r w:rsidRPr="00660B23">
        <w:rPr>
          <w:vertAlign w:val="superscript"/>
          <w:lang w:val="en-GB"/>
        </w:rPr>
        <w:footnoteReference w:id="3"/>
      </w:r>
      <w:r w:rsidRPr="00660B23">
        <w:rPr>
          <w:lang w:val="en-GB"/>
        </w:rPr>
        <w:t xml:space="preserve">   </w:t>
      </w:r>
    </w:p>
    <w:p w14:paraId="7268AE59" w14:textId="77777777" w:rsidR="008B0BF4" w:rsidRPr="00660B23" w:rsidRDefault="008B0BF4" w:rsidP="008B0BF4">
      <w:pPr>
        <w:rPr>
          <w:lang w:val="en-GB"/>
        </w:rPr>
      </w:pPr>
    </w:p>
    <w:p w14:paraId="4C032B2B" w14:textId="54817790" w:rsidR="008B0BF4" w:rsidRPr="00660B23" w:rsidRDefault="00436928" w:rsidP="001E542A">
      <w:pPr>
        <w:pStyle w:val="Heading2"/>
        <w:rPr>
          <w:lang w:val="en-GB"/>
        </w:rPr>
      </w:pPr>
      <w:bookmarkStart w:id="9" w:name="_Toc29476217"/>
      <w:bookmarkStart w:id="10" w:name="_Toc31637183"/>
      <w:r w:rsidRPr="00660B23">
        <w:rPr>
          <w:lang w:val="en-GB"/>
        </w:rPr>
        <w:t>I</w:t>
      </w:r>
      <w:r w:rsidR="005253BB" w:rsidRPr="00660B23">
        <w:rPr>
          <w:lang w:val="en-GB"/>
        </w:rPr>
        <w:t>mpacts of the loss of livelihoods and income</w:t>
      </w:r>
      <w:bookmarkEnd w:id="9"/>
      <w:bookmarkEnd w:id="10"/>
      <w:r w:rsidR="005253BB" w:rsidRPr="00660B23">
        <w:rPr>
          <w:lang w:val="en-GB"/>
        </w:rPr>
        <w:t xml:space="preserve"> </w:t>
      </w:r>
    </w:p>
    <w:p w14:paraId="309C0091" w14:textId="156E9EBC" w:rsidR="005253BB" w:rsidRPr="00660B23" w:rsidRDefault="005253BB" w:rsidP="008B0BF4">
      <w:pPr>
        <w:rPr>
          <w:lang w:val="en-GB"/>
        </w:rPr>
      </w:pPr>
      <w:r w:rsidRPr="00660B23">
        <w:rPr>
          <w:lang w:val="en-GB"/>
        </w:rPr>
        <w:t xml:space="preserve">The dire economic situation is due, to a large extent, to the conflict-related imposition of sieges, blockades and restrictions on movement, the reduction in government expenditure and the suspension or significant delay in the payment of salaries for government employees since September 2016. </w:t>
      </w:r>
      <w:r w:rsidR="00C5098C" w:rsidRPr="00660B23">
        <w:rPr>
          <w:lang w:val="en-GB"/>
        </w:rPr>
        <w:t>I</w:t>
      </w:r>
      <w:r w:rsidRPr="00660B23">
        <w:rPr>
          <w:lang w:val="en-GB"/>
        </w:rPr>
        <w:t>n addition</w:t>
      </w:r>
      <w:r w:rsidR="00C5098C" w:rsidRPr="00660B23">
        <w:rPr>
          <w:lang w:val="en-GB"/>
        </w:rPr>
        <w:t>,</w:t>
      </w:r>
      <w:r w:rsidRPr="00660B23">
        <w:rPr>
          <w:lang w:val="en-GB"/>
        </w:rPr>
        <w:t xml:space="preserve"> the breakdown of government’s social welfare programs and </w:t>
      </w:r>
      <w:r w:rsidR="00BA0790" w:rsidRPr="00660B23">
        <w:rPr>
          <w:lang w:val="en-GB"/>
        </w:rPr>
        <w:t xml:space="preserve">shifting gender roles due to </w:t>
      </w:r>
      <w:r w:rsidR="00C5098C" w:rsidRPr="00660B23">
        <w:rPr>
          <w:lang w:val="en-GB"/>
        </w:rPr>
        <w:t xml:space="preserve">the impacts of the conflict on </w:t>
      </w:r>
      <w:r w:rsidRPr="00660B23">
        <w:rPr>
          <w:lang w:val="en-GB"/>
        </w:rPr>
        <w:t>men</w:t>
      </w:r>
      <w:r w:rsidR="00C5098C" w:rsidRPr="00660B23">
        <w:rPr>
          <w:lang w:val="en-GB"/>
        </w:rPr>
        <w:t xml:space="preserve"> and boy</w:t>
      </w:r>
      <w:r w:rsidR="00BA0790" w:rsidRPr="00660B23">
        <w:rPr>
          <w:lang w:val="en-GB"/>
        </w:rPr>
        <w:t>s</w:t>
      </w:r>
      <w:r w:rsidR="00C5098C" w:rsidRPr="00660B23">
        <w:rPr>
          <w:lang w:val="en-GB"/>
        </w:rPr>
        <w:t xml:space="preserve"> (e.g. as victims of forced recruitment, arbitrary detention</w:t>
      </w:r>
      <w:r w:rsidR="0058641E" w:rsidRPr="00660B23">
        <w:rPr>
          <w:lang w:val="en-GB"/>
        </w:rPr>
        <w:t>, enforced disappearance</w:t>
      </w:r>
      <w:r w:rsidR="004B4A11" w:rsidRPr="00660B23">
        <w:rPr>
          <w:rStyle w:val="FootnoteReference"/>
          <w:lang w:val="en-GB"/>
        </w:rPr>
        <w:footnoteReference w:id="4"/>
      </w:r>
      <w:r w:rsidR="00C5098C" w:rsidRPr="00660B23">
        <w:rPr>
          <w:lang w:val="en-GB"/>
        </w:rPr>
        <w:t>)</w:t>
      </w:r>
      <w:r w:rsidR="00BA0790" w:rsidRPr="00660B23">
        <w:rPr>
          <w:lang w:val="en-GB"/>
        </w:rPr>
        <w:t xml:space="preserve"> </w:t>
      </w:r>
      <w:r w:rsidRPr="00660B23">
        <w:rPr>
          <w:lang w:val="en-GB"/>
        </w:rPr>
        <w:t xml:space="preserve">– </w:t>
      </w:r>
      <w:r w:rsidR="00326389" w:rsidRPr="00660B23">
        <w:rPr>
          <w:lang w:val="en-GB"/>
        </w:rPr>
        <w:t xml:space="preserve">who are </w:t>
      </w:r>
      <w:r w:rsidRPr="00660B23">
        <w:rPr>
          <w:lang w:val="en-GB"/>
        </w:rPr>
        <w:t xml:space="preserve">the traditional breadwinners in Yemeni households – has increased burdens on women to secure livelihoods for their families in addition to carrying out their unpaid roles of care and domestic work. </w:t>
      </w:r>
    </w:p>
    <w:p w14:paraId="6BCE7C63" w14:textId="77777777" w:rsidR="005253BB" w:rsidRPr="00660B23" w:rsidRDefault="005253BB" w:rsidP="008B0BF4">
      <w:pPr>
        <w:rPr>
          <w:vertAlign w:val="superscript"/>
          <w:lang w:val="en-GB"/>
        </w:rPr>
      </w:pPr>
    </w:p>
    <w:p w14:paraId="2C976BB9" w14:textId="6080E889" w:rsidR="008B0BF4" w:rsidRPr="00660B23" w:rsidRDefault="001428F0" w:rsidP="00660B23">
      <w:pPr>
        <w:rPr>
          <w:lang w:val="en-GB"/>
        </w:rPr>
      </w:pPr>
      <w:r w:rsidRPr="00660B23">
        <w:rPr>
          <w:lang w:val="en-GB"/>
        </w:rPr>
        <w:t>T</w:t>
      </w:r>
      <w:r w:rsidR="00FB741B" w:rsidRPr="00660B23">
        <w:rPr>
          <w:lang w:val="en-GB"/>
        </w:rPr>
        <w:t>he</w:t>
      </w:r>
      <w:r w:rsidR="005253BB" w:rsidRPr="00660B23">
        <w:rPr>
          <w:lang w:val="en-GB"/>
        </w:rPr>
        <w:t xml:space="preserve"> Women Solidarity Network</w:t>
      </w:r>
      <w:r w:rsidR="005253BB" w:rsidRPr="00660B23">
        <w:rPr>
          <w:vertAlign w:val="superscript"/>
          <w:lang w:val="en-GB"/>
        </w:rPr>
        <w:footnoteReference w:id="5"/>
      </w:r>
      <w:r w:rsidR="005253BB" w:rsidRPr="00660B23">
        <w:rPr>
          <w:lang w:val="en-GB"/>
        </w:rPr>
        <w:t xml:space="preserve"> has also documented cases of takeover of properties and women’s land</w:t>
      </w:r>
      <w:r w:rsidRPr="00660B23">
        <w:rPr>
          <w:lang w:val="en-GB"/>
        </w:rPr>
        <w:t xml:space="preserve"> in the south of Yemen, particularly in Aden</w:t>
      </w:r>
      <w:r w:rsidR="006E0843" w:rsidRPr="00660B23">
        <w:rPr>
          <w:lang w:val="en-GB"/>
        </w:rPr>
        <w:t xml:space="preserve">. The </w:t>
      </w:r>
      <w:r w:rsidRPr="00660B23">
        <w:rPr>
          <w:lang w:val="en-GB"/>
        </w:rPr>
        <w:t>cases documented</w:t>
      </w:r>
      <w:r w:rsidR="006E0843" w:rsidRPr="00660B23">
        <w:rPr>
          <w:lang w:val="en-GB"/>
        </w:rPr>
        <w:t xml:space="preserve"> link those violations to</w:t>
      </w:r>
      <w:r w:rsidR="00FB741B" w:rsidRPr="00660B23">
        <w:rPr>
          <w:lang w:val="en-GB"/>
        </w:rPr>
        <w:t xml:space="preserve"> unresolved grievances of previous conflicts related</w:t>
      </w:r>
      <w:r w:rsidR="006E0843" w:rsidRPr="00660B23">
        <w:rPr>
          <w:lang w:val="en-GB"/>
        </w:rPr>
        <w:t xml:space="preserve"> </w:t>
      </w:r>
      <w:r w:rsidR="00C30142" w:rsidRPr="00660B23">
        <w:rPr>
          <w:lang w:val="en-GB"/>
        </w:rPr>
        <w:t>to</w:t>
      </w:r>
      <w:r w:rsidR="005253BB" w:rsidRPr="00660B23">
        <w:rPr>
          <w:lang w:val="en-GB"/>
        </w:rPr>
        <w:t xml:space="preserve"> mass land claims </w:t>
      </w:r>
      <w:r w:rsidR="00C30142" w:rsidRPr="00660B23">
        <w:rPr>
          <w:lang w:val="en-GB"/>
        </w:rPr>
        <w:t xml:space="preserve">that occurred </w:t>
      </w:r>
      <w:r w:rsidR="005253BB" w:rsidRPr="00660B23">
        <w:rPr>
          <w:lang w:val="en-GB"/>
        </w:rPr>
        <w:t>in the South of Yemen following the confiscation of lands by the Saleh regime</w:t>
      </w:r>
      <w:r w:rsidR="006E0843" w:rsidRPr="00660B23">
        <w:rPr>
          <w:lang w:val="en-GB"/>
        </w:rPr>
        <w:t xml:space="preserve"> </w:t>
      </w:r>
      <w:r w:rsidR="005253BB" w:rsidRPr="00660B23">
        <w:rPr>
          <w:lang w:val="en-GB"/>
        </w:rPr>
        <w:t>since 1990</w:t>
      </w:r>
      <w:r w:rsidR="00D07145" w:rsidRPr="00660B23">
        <w:rPr>
          <w:lang w:val="en-GB"/>
        </w:rPr>
        <w:t>.</w:t>
      </w:r>
      <w:r w:rsidR="005253BB" w:rsidRPr="00660B23">
        <w:rPr>
          <w:vertAlign w:val="superscript"/>
          <w:lang w:val="en-GB"/>
        </w:rPr>
        <w:footnoteReference w:id="6"/>
      </w:r>
      <w:r w:rsidR="006E0843" w:rsidRPr="00660B23">
        <w:rPr>
          <w:lang w:val="en-GB"/>
        </w:rPr>
        <w:t xml:space="preserve"> </w:t>
      </w:r>
      <w:r w:rsidR="00C30142" w:rsidRPr="00660B23">
        <w:rPr>
          <w:lang w:val="en-GB"/>
        </w:rPr>
        <w:t>A</w:t>
      </w:r>
      <w:r w:rsidR="006E0843" w:rsidRPr="00660B23">
        <w:rPr>
          <w:lang w:val="en-GB"/>
        </w:rPr>
        <w:t>ddition</w:t>
      </w:r>
      <w:r w:rsidR="00C30142" w:rsidRPr="00660B23">
        <w:rPr>
          <w:lang w:val="en-GB"/>
        </w:rPr>
        <w:t>al</w:t>
      </w:r>
      <w:r w:rsidR="006E0843" w:rsidRPr="00660B23">
        <w:rPr>
          <w:lang w:val="en-GB"/>
        </w:rPr>
        <w:t xml:space="preserve"> land </w:t>
      </w:r>
      <w:r w:rsidR="001C5EBF" w:rsidRPr="00660B23">
        <w:rPr>
          <w:lang w:val="en-GB"/>
        </w:rPr>
        <w:t>confiscation</w:t>
      </w:r>
      <w:r w:rsidR="00D00A2D" w:rsidRPr="00660B23">
        <w:rPr>
          <w:lang w:val="en-GB"/>
        </w:rPr>
        <w:t>s</w:t>
      </w:r>
      <w:r w:rsidR="00FB741B" w:rsidRPr="00660B23">
        <w:rPr>
          <w:lang w:val="en-GB"/>
        </w:rPr>
        <w:t xml:space="preserve"> </w:t>
      </w:r>
      <w:r w:rsidR="00C30142" w:rsidRPr="00660B23">
        <w:rPr>
          <w:lang w:val="en-GB"/>
        </w:rPr>
        <w:t>were carried out by Southern</w:t>
      </w:r>
      <w:r w:rsidR="0058641E" w:rsidRPr="00660B23">
        <w:rPr>
          <w:lang w:val="en-GB"/>
        </w:rPr>
        <w:t xml:space="preserve"> </w:t>
      </w:r>
      <w:r w:rsidR="00C30142" w:rsidRPr="00660B23">
        <w:rPr>
          <w:lang w:val="en-GB"/>
        </w:rPr>
        <w:t xml:space="preserve">non-State armed groups </w:t>
      </w:r>
      <w:r w:rsidR="001C5EBF" w:rsidRPr="00660B23">
        <w:rPr>
          <w:lang w:val="en-GB"/>
        </w:rPr>
        <w:t xml:space="preserve">as they </w:t>
      </w:r>
      <w:r w:rsidR="0058641E" w:rsidRPr="00660B23">
        <w:rPr>
          <w:lang w:val="en-GB"/>
        </w:rPr>
        <w:t>took control</w:t>
      </w:r>
      <w:r w:rsidR="006E0843" w:rsidRPr="00660B23">
        <w:rPr>
          <w:lang w:val="en-GB"/>
        </w:rPr>
        <w:t xml:space="preserve"> </w:t>
      </w:r>
      <w:r w:rsidR="00CB62BB" w:rsidRPr="00660B23">
        <w:rPr>
          <w:lang w:val="en-GB"/>
        </w:rPr>
        <w:t xml:space="preserve">of </w:t>
      </w:r>
      <w:r w:rsidR="006E0843" w:rsidRPr="00660B23">
        <w:rPr>
          <w:lang w:val="en-GB"/>
        </w:rPr>
        <w:t>those areas</w:t>
      </w:r>
      <w:r w:rsidRPr="00660B23">
        <w:rPr>
          <w:lang w:val="en-GB"/>
        </w:rPr>
        <w:t xml:space="preserve"> after the start of the </w:t>
      </w:r>
      <w:r w:rsidR="00F53E20" w:rsidRPr="00660B23">
        <w:rPr>
          <w:lang w:val="en-GB"/>
        </w:rPr>
        <w:t xml:space="preserve">current </w:t>
      </w:r>
      <w:r w:rsidRPr="00660B23">
        <w:rPr>
          <w:lang w:val="en-GB"/>
        </w:rPr>
        <w:t>armed conflict</w:t>
      </w:r>
      <w:r w:rsidR="00F53E20" w:rsidRPr="00660B23">
        <w:rPr>
          <w:lang w:val="en-GB"/>
        </w:rPr>
        <w:t>.</w:t>
      </w:r>
      <w:r w:rsidR="001C5EBF" w:rsidRPr="00660B23">
        <w:rPr>
          <w:lang w:val="en-GB"/>
        </w:rPr>
        <w:t xml:space="preserve"> </w:t>
      </w:r>
    </w:p>
    <w:p w14:paraId="1DF0A585" w14:textId="768835B7" w:rsidR="005253BB" w:rsidRPr="00660B23" w:rsidRDefault="005253BB" w:rsidP="00660B23">
      <w:pPr>
        <w:pStyle w:val="Heading2"/>
        <w:ind w:left="0" w:firstLine="0"/>
        <w:rPr>
          <w:lang w:val="en-GB"/>
        </w:rPr>
      </w:pPr>
      <w:bookmarkStart w:id="11" w:name="_Toc29476218"/>
      <w:bookmarkStart w:id="12" w:name="_Toc31637184"/>
      <w:r w:rsidRPr="00660B23">
        <w:rPr>
          <w:lang w:val="en-GB"/>
        </w:rPr>
        <w:lastRenderedPageBreak/>
        <w:t>Internal displacement</w:t>
      </w:r>
      <w:bookmarkEnd w:id="12"/>
      <w:r w:rsidRPr="00660B23">
        <w:rPr>
          <w:lang w:val="en-GB"/>
        </w:rPr>
        <w:t xml:space="preserve"> </w:t>
      </w:r>
      <w:bookmarkEnd w:id="11"/>
    </w:p>
    <w:p w14:paraId="518ECEF1" w14:textId="4162B46D" w:rsidR="009D05CF" w:rsidRPr="00660B23" w:rsidRDefault="005253BB" w:rsidP="00B42631">
      <w:pPr>
        <w:rPr>
          <w:lang w:val="en-GB"/>
        </w:rPr>
      </w:pPr>
      <w:r w:rsidRPr="00660B23">
        <w:rPr>
          <w:lang w:val="en-GB"/>
        </w:rPr>
        <w:t xml:space="preserve">In December 2017, OCHA estimated that 76% of the over three million internally displaced persons (IDPs) </w:t>
      </w:r>
      <w:r w:rsidR="0058641E" w:rsidRPr="00660B23">
        <w:rPr>
          <w:lang w:val="en-GB"/>
        </w:rPr>
        <w:t xml:space="preserve">in Yemen </w:t>
      </w:r>
      <w:r w:rsidRPr="00660B23">
        <w:rPr>
          <w:lang w:val="en-GB"/>
        </w:rPr>
        <w:t>were women and children.</w:t>
      </w:r>
      <w:r w:rsidRPr="00660B23">
        <w:rPr>
          <w:vertAlign w:val="superscript"/>
          <w:lang w:val="en-GB"/>
        </w:rPr>
        <w:footnoteReference w:id="7"/>
      </w:r>
      <w:r w:rsidRPr="00660B23">
        <w:rPr>
          <w:lang w:val="en-GB"/>
        </w:rPr>
        <w:t xml:space="preserve"> The displaced face devastating circumstances, including hunger and disease, with women facing additional risks and </w:t>
      </w:r>
      <w:r w:rsidR="00CD4660" w:rsidRPr="00660B23">
        <w:rPr>
          <w:lang w:val="en-GB"/>
        </w:rPr>
        <w:t xml:space="preserve">protection </w:t>
      </w:r>
      <w:r w:rsidRPr="00660B23">
        <w:rPr>
          <w:lang w:val="en-GB"/>
        </w:rPr>
        <w:t>challenges.</w:t>
      </w:r>
      <w:r w:rsidR="009D05CF" w:rsidRPr="00660B23">
        <w:rPr>
          <w:lang w:val="en-GB"/>
        </w:rPr>
        <w:t xml:space="preserve"> Displacement increases the risk of sexual and gender-based violence </w:t>
      </w:r>
      <w:r w:rsidR="00B42631" w:rsidRPr="00660B23">
        <w:rPr>
          <w:lang w:val="en-GB"/>
        </w:rPr>
        <w:t>and</w:t>
      </w:r>
      <w:r w:rsidR="009D05CF" w:rsidRPr="00660B23">
        <w:rPr>
          <w:lang w:val="en-GB"/>
        </w:rPr>
        <w:t xml:space="preserve"> other violations that disproportionately </w:t>
      </w:r>
      <w:r w:rsidR="00862352" w:rsidRPr="00660B23">
        <w:rPr>
          <w:lang w:val="en-GB"/>
        </w:rPr>
        <w:t xml:space="preserve">affect </w:t>
      </w:r>
      <w:r w:rsidR="009D05CF" w:rsidRPr="00660B23">
        <w:rPr>
          <w:lang w:val="en-GB"/>
        </w:rPr>
        <w:t>women</w:t>
      </w:r>
      <w:r w:rsidR="00B42631" w:rsidRPr="00660B23">
        <w:rPr>
          <w:lang w:val="en-GB"/>
        </w:rPr>
        <w:t xml:space="preserve">; this is due to a number of factors, including </w:t>
      </w:r>
      <w:r w:rsidR="009D05CF" w:rsidRPr="00660B23">
        <w:rPr>
          <w:lang w:val="en-GB"/>
        </w:rPr>
        <w:t xml:space="preserve">entrenched gender discrimination </w:t>
      </w:r>
      <w:r w:rsidR="00B42631" w:rsidRPr="00660B23">
        <w:rPr>
          <w:lang w:val="en-GB"/>
        </w:rPr>
        <w:t xml:space="preserve">that </w:t>
      </w:r>
      <w:r w:rsidR="009D05CF" w:rsidRPr="00660B23">
        <w:rPr>
          <w:lang w:val="en-GB"/>
        </w:rPr>
        <w:t>makes them dependent on others for help and safe passage.</w:t>
      </w:r>
    </w:p>
    <w:p w14:paraId="6CEFE287" w14:textId="77777777" w:rsidR="009D05CF" w:rsidRPr="00660B23" w:rsidRDefault="009D05CF" w:rsidP="008B0BF4">
      <w:pPr>
        <w:rPr>
          <w:lang w:val="en-GB"/>
        </w:rPr>
      </w:pPr>
    </w:p>
    <w:p w14:paraId="340AA53A" w14:textId="0D7F2EAC" w:rsidR="005253BB" w:rsidRPr="00660B23" w:rsidRDefault="005253BB" w:rsidP="008B0BF4">
      <w:pPr>
        <w:rPr>
          <w:lang w:val="en-GB"/>
        </w:rPr>
      </w:pPr>
      <w:r w:rsidRPr="00660B23">
        <w:rPr>
          <w:lang w:val="en-GB"/>
        </w:rPr>
        <w:t>Displacement also pushes women to take a leading role in supporting their families while continuing their unpaid roles of care and domestic work</w:t>
      </w:r>
      <w:r w:rsidR="006E0843" w:rsidRPr="00660B23">
        <w:rPr>
          <w:lang w:val="en-GB"/>
        </w:rPr>
        <w:t>; a 2016 report by several INGOs around gender conflict analysis in Yemen refers to 30% of displaced women “may be heading their families</w:t>
      </w:r>
      <w:r w:rsidR="00CC1821" w:rsidRPr="00660B23">
        <w:rPr>
          <w:lang w:val="en-GB"/>
        </w:rPr>
        <w:t>.</w:t>
      </w:r>
      <w:r w:rsidR="006E0843" w:rsidRPr="00660B23">
        <w:rPr>
          <w:lang w:val="en-GB"/>
        </w:rPr>
        <w:t>”</w:t>
      </w:r>
      <w:r w:rsidR="006E0843" w:rsidRPr="00660B23">
        <w:rPr>
          <w:rStyle w:val="FootnoteReference"/>
          <w:lang w:val="en-GB"/>
        </w:rPr>
        <w:footnoteReference w:id="8"/>
      </w:r>
      <w:r w:rsidRPr="00660B23">
        <w:rPr>
          <w:lang w:val="en-GB"/>
        </w:rPr>
        <w:t xml:space="preserve"> The breakdown of formal and informal protection mechanisms, together with large-scale displacement, has given rise to negative coping strategies, </w:t>
      </w:r>
      <w:r w:rsidR="001A01EB" w:rsidRPr="00660B23">
        <w:rPr>
          <w:lang w:val="en-GB"/>
        </w:rPr>
        <w:t xml:space="preserve">such as </w:t>
      </w:r>
      <w:r w:rsidRPr="00660B23">
        <w:rPr>
          <w:lang w:val="en-GB"/>
        </w:rPr>
        <w:t>child marriage.</w:t>
      </w:r>
      <w:r w:rsidRPr="00660B23">
        <w:rPr>
          <w:vertAlign w:val="superscript"/>
          <w:lang w:val="en-GB"/>
        </w:rPr>
        <w:footnoteReference w:id="9"/>
      </w:r>
      <w:r w:rsidRPr="00660B23">
        <w:rPr>
          <w:lang w:val="en-GB"/>
        </w:rPr>
        <w:t xml:space="preserve"> </w:t>
      </w:r>
      <w:r w:rsidR="00FC5084" w:rsidRPr="00660B23">
        <w:rPr>
          <w:lang w:val="en-GB"/>
        </w:rPr>
        <w:t xml:space="preserve">In 2016, the </w:t>
      </w:r>
      <w:r w:rsidR="00F17354" w:rsidRPr="00660B23">
        <w:rPr>
          <w:lang w:val="en-GB"/>
        </w:rPr>
        <w:t>United Nations Population Fund</w:t>
      </w:r>
      <w:r w:rsidR="00FC5084" w:rsidRPr="00660B23">
        <w:rPr>
          <w:lang w:val="en-GB"/>
        </w:rPr>
        <w:t xml:space="preserve"> reported </w:t>
      </w:r>
      <w:r w:rsidR="00F17354" w:rsidRPr="00660B23">
        <w:rPr>
          <w:lang w:val="en-GB"/>
        </w:rPr>
        <w:t>that</w:t>
      </w:r>
      <w:r w:rsidR="00FC5084" w:rsidRPr="00660B23">
        <w:rPr>
          <w:lang w:val="en-GB"/>
        </w:rPr>
        <w:t xml:space="preserve"> “current trends in the</w:t>
      </w:r>
      <w:r w:rsidR="00F17354" w:rsidRPr="00660B23">
        <w:rPr>
          <w:lang w:val="en-GB"/>
        </w:rPr>
        <w:t xml:space="preserve"> </w:t>
      </w:r>
      <w:r w:rsidR="00FC5084" w:rsidRPr="00660B23">
        <w:rPr>
          <w:lang w:val="en-GB"/>
        </w:rPr>
        <w:t>coping strategies for bridging income, access to basic needs,   services gap adopted by vulnerable IDPs and at risk groups include, child marriage, survival sex, sex for rent, begging, forced/coerced prostitution, begging, chil</w:t>
      </w:r>
      <w:r w:rsidR="00F17354" w:rsidRPr="00660B23">
        <w:rPr>
          <w:lang w:val="en-GB"/>
        </w:rPr>
        <w:t>d</w:t>
      </w:r>
      <w:r w:rsidR="00FC5084" w:rsidRPr="00660B23">
        <w:rPr>
          <w:lang w:val="en-GB"/>
        </w:rPr>
        <w:t xml:space="preserve"> labour, sexual harassment and assault, eating less, borrowing, thus exposing them</w:t>
      </w:r>
      <w:r w:rsidR="00F17354" w:rsidRPr="00660B23">
        <w:rPr>
          <w:lang w:val="en-GB"/>
        </w:rPr>
        <w:t xml:space="preserve"> </w:t>
      </w:r>
      <w:r w:rsidR="00FC5084" w:rsidRPr="00660B23">
        <w:rPr>
          <w:lang w:val="en-GB"/>
        </w:rPr>
        <w:t>to exploitation. According to the UNFPA</w:t>
      </w:r>
      <w:r w:rsidR="00F17354" w:rsidRPr="00660B23">
        <w:rPr>
          <w:lang w:val="en-GB"/>
        </w:rPr>
        <w:t xml:space="preserve"> </w:t>
      </w:r>
      <w:r w:rsidR="00FC5084" w:rsidRPr="00660B23">
        <w:rPr>
          <w:lang w:val="en-GB"/>
        </w:rPr>
        <w:t>managed</w:t>
      </w:r>
      <w:r w:rsidR="00F17354" w:rsidRPr="00660B23">
        <w:rPr>
          <w:lang w:val="en-GB"/>
        </w:rPr>
        <w:t xml:space="preserve"> </w:t>
      </w:r>
      <w:r w:rsidR="00FC5084" w:rsidRPr="00660B23">
        <w:rPr>
          <w:lang w:val="en-GB"/>
        </w:rPr>
        <w:t>GBV    Information Management System</w:t>
      </w:r>
      <w:r w:rsidR="00F17354" w:rsidRPr="00660B23">
        <w:rPr>
          <w:lang w:val="en-GB"/>
        </w:rPr>
        <w:t xml:space="preserve">, </w:t>
      </w:r>
      <w:r w:rsidR="00FC5084" w:rsidRPr="00660B23">
        <w:rPr>
          <w:lang w:val="en-GB"/>
        </w:rPr>
        <w:t>the perpetrators are close family members; including</w:t>
      </w:r>
      <w:r w:rsidR="00F17354" w:rsidRPr="00660B23">
        <w:rPr>
          <w:lang w:val="en-GB"/>
        </w:rPr>
        <w:t xml:space="preserve"> </w:t>
      </w:r>
      <w:r w:rsidR="00FC5084" w:rsidRPr="00660B23">
        <w:rPr>
          <w:lang w:val="en-GB"/>
        </w:rPr>
        <w:t>fathers,</w:t>
      </w:r>
      <w:r w:rsidR="00F17354" w:rsidRPr="00660B23">
        <w:rPr>
          <w:lang w:val="en-GB"/>
        </w:rPr>
        <w:t xml:space="preserve"> </w:t>
      </w:r>
      <w:r w:rsidR="00FC5084" w:rsidRPr="00660B23">
        <w:rPr>
          <w:lang w:val="en-GB"/>
        </w:rPr>
        <w:t>brothers and husbands</w:t>
      </w:r>
      <w:r w:rsidR="00F17354" w:rsidRPr="00660B23">
        <w:rPr>
          <w:lang w:val="en-GB"/>
        </w:rPr>
        <w:t xml:space="preserve"> </w:t>
      </w:r>
      <w:r w:rsidR="00FC5084" w:rsidRPr="00660B23">
        <w:rPr>
          <w:lang w:val="en-GB"/>
        </w:rPr>
        <w:t>and extended family members.”</w:t>
      </w:r>
      <w:r w:rsidR="00F17354" w:rsidRPr="00660B23">
        <w:rPr>
          <w:rStyle w:val="FootnoteReference"/>
          <w:lang w:val="en-GB"/>
        </w:rPr>
        <w:footnoteReference w:id="10"/>
      </w:r>
    </w:p>
    <w:p w14:paraId="1771679B" w14:textId="77777777" w:rsidR="005253BB" w:rsidRPr="00660B23" w:rsidRDefault="005253BB" w:rsidP="008B0BF4">
      <w:pPr>
        <w:rPr>
          <w:lang w:val="en-GB"/>
        </w:rPr>
      </w:pPr>
    </w:p>
    <w:p w14:paraId="74A06E5C" w14:textId="72956F55" w:rsidR="008B0BF4" w:rsidRPr="00660B23" w:rsidRDefault="005253BB" w:rsidP="008B0BF4">
      <w:pPr>
        <w:rPr>
          <w:strike/>
          <w:lang w:val="en-GB"/>
        </w:rPr>
      </w:pPr>
      <w:r w:rsidRPr="00660B23">
        <w:rPr>
          <w:lang w:val="en-GB"/>
        </w:rPr>
        <w:t xml:space="preserve">The response to displacement has been inadequate and has not incorporated a sustainable or a gender-sensitive approach. </w:t>
      </w:r>
      <w:r w:rsidR="00F337E9" w:rsidRPr="00660B23">
        <w:rPr>
          <w:lang w:val="en-GB"/>
        </w:rPr>
        <w:t xml:space="preserve">For example, displaced women have identified </w:t>
      </w:r>
      <w:r w:rsidR="00166E03" w:rsidRPr="00660B23">
        <w:rPr>
          <w:lang w:val="en-GB"/>
        </w:rPr>
        <w:t>the need to secure livelihoods as one of the priorities,</w:t>
      </w:r>
      <w:r w:rsidR="00F337E9" w:rsidRPr="00660B23">
        <w:rPr>
          <w:lang w:val="en-GB"/>
        </w:rPr>
        <w:t xml:space="preserve"> while Humanitarian Response plans continue</w:t>
      </w:r>
      <w:r w:rsidR="00A46AD7" w:rsidRPr="00660B23">
        <w:rPr>
          <w:lang w:val="en-GB"/>
        </w:rPr>
        <w:t>d</w:t>
      </w:r>
      <w:r w:rsidR="00F337E9" w:rsidRPr="00660B23">
        <w:rPr>
          <w:lang w:val="en-GB"/>
        </w:rPr>
        <w:t xml:space="preserve"> to allocate less than 3% on livelihoods activities</w:t>
      </w:r>
      <w:r w:rsidR="00B42631" w:rsidRPr="00660B23">
        <w:rPr>
          <w:lang w:val="en-GB"/>
        </w:rPr>
        <w:t>.</w:t>
      </w:r>
      <w:r w:rsidR="006E0843" w:rsidRPr="00660B23">
        <w:rPr>
          <w:rStyle w:val="FootnoteReference"/>
          <w:lang w:val="en-GB"/>
        </w:rPr>
        <w:footnoteReference w:id="11"/>
      </w:r>
      <w:r w:rsidR="00F337E9" w:rsidRPr="00660B23">
        <w:rPr>
          <w:lang w:val="en-GB"/>
        </w:rPr>
        <w:t xml:space="preserve"> </w:t>
      </w:r>
      <w:r w:rsidRPr="00660B23">
        <w:rPr>
          <w:lang w:val="en-GB"/>
        </w:rPr>
        <w:t>Usually, IDPs find themselves relocated in schools and informal settlements</w:t>
      </w:r>
      <w:r w:rsidR="00F73665" w:rsidRPr="00660B23">
        <w:rPr>
          <w:lang w:val="en-GB"/>
        </w:rPr>
        <w:t>,</w:t>
      </w:r>
      <w:r w:rsidRPr="00660B23">
        <w:rPr>
          <w:lang w:val="en-GB"/>
        </w:rPr>
        <w:t xml:space="preserve"> which do not offer adequate levels of privacy and safety for women</w:t>
      </w:r>
      <w:r w:rsidR="003E770E" w:rsidRPr="00660B23">
        <w:rPr>
          <w:lang w:val="en-GB"/>
        </w:rPr>
        <w:t>.</w:t>
      </w:r>
    </w:p>
    <w:p w14:paraId="167F206A" w14:textId="2B6CD2C9" w:rsidR="00AC77AD" w:rsidRPr="00660B23" w:rsidRDefault="00A81D12" w:rsidP="00660B23">
      <w:pPr>
        <w:pStyle w:val="Heading2"/>
        <w:rPr>
          <w:lang w:val="en-GB"/>
        </w:rPr>
      </w:pPr>
      <w:bookmarkStart w:id="13" w:name="_Toc31637185"/>
      <w:r w:rsidRPr="00660B23">
        <w:rPr>
          <w:lang w:val="en-GB"/>
        </w:rPr>
        <w:lastRenderedPageBreak/>
        <w:t>I</w:t>
      </w:r>
      <w:r w:rsidR="00AC77AD" w:rsidRPr="00660B23">
        <w:rPr>
          <w:lang w:val="en-GB"/>
        </w:rPr>
        <w:t>mpacts of famine, cholera outbreaks, and obstacles in access to healthcare</w:t>
      </w:r>
      <w:bookmarkEnd w:id="13"/>
    </w:p>
    <w:p w14:paraId="7243A88B" w14:textId="632E308F" w:rsidR="005253BB" w:rsidRPr="00660B23" w:rsidRDefault="005253BB" w:rsidP="00D23452">
      <w:pPr>
        <w:rPr>
          <w:lang w:val="en-GB"/>
        </w:rPr>
      </w:pPr>
      <w:r w:rsidRPr="00660B23">
        <w:rPr>
          <w:lang w:val="en-GB"/>
        </w:rPr>
        <w:t xml:space="preserve">Cases of famine have been documented both in areas under Houthi control and under </w:t>
      </w:r>
      <w:r w:rsidR="001A01EB" w:rsidRPr="00660B23">
        <w:rPr>
          <w:lang w:val="en-GB"/>
        </w:rPr>
        <w:t xml:space="preserve">government </w:t>
      </w:r>
      <w:r w:rsidRPr="00660B23">
        <w:rPr>
          <w:lang w:val="en-GB"/>
        </w:rPr>
        <w:t xml:space="preserve">control. Famine, malnutrition, and the scarce availability of food adversely affect the health of breastfeeding women and lead to numerous health complications, including (but not limited to) anaemia, infant mortality or foetal malformations. </w:t>
      </w:r>
      <w:r w:rsidR="00C332F4" w:rsidRPr="00660B23">
        <w:rPr>
          <w:lang w:val="en-GB"/>
        </w:rPr>
        <w:t xml:space="preserve">UNFPA has warned that </w:t>
      </w:r>
      <w:r w:rsidR="006E0843" w:rsidRPr="00660B23">
        <w:rPr>
          <w:lang w:val="en-GB"/>
        </w:rPr>
        <w:t>two</w:t>
      </w:r>
      <w:r w:rsidR="00C332F4" w:rsidRPr="00660B23">
        <w:rPr>
          <w:lang w:val="en-GB"/>
        </w:rPr>
        <w:t xml:space="preserve"> million Yemeni women are at risk of famine and that 1.1 million mothers are already suffering from acute malnutrition</w:t>
      </w:r>
      <w:r w:rsidR="00AC77AD" w:rsidRPr="00660B23">
        <w:rPr>
          <w:lang w:val="en-GB"/>
        </w:rPr>
        <w:t>.</w:t>
      </w:r>
      <w:r w:rsidR="006E0843" w:rsidRPr="00660B23">
        <w:rPr>
          <w:rStyle w:val="FootnoteReference"/>
          <w:lang w:val="en-GB"/>
        </w:rPr>
        <w:footnoteReference w:id="12"/>
      </w:r>
      <w:r w:rsidR="00C332F4" w:rsidRPr="00660B23">
        <w:rPr>
          <w:lang w:val="en-GB"/>
        </w:rPr>
        <w:t xml:space="preserve"> </w:t>
      </w:r>
      <w:r w:rsidR="00AC77AD" w:rsidRPr="00660B23">
        <w:rPr>
          <w:lang w:val="en-GB"/>
        </w:rPr>
        <w:t xml:space="preserve">It has also reported </w:t>
      </w:r>
      <w:r w:rsidR="00C60E46" w:rsidRPr="00660B23">
        <w:rPr>
          <w:lang w:val="en-GB"/>
        </w:rPr>
        <w:t>that “females are the first family members to eat less as a coping mechanism” because of their role of caregivers which implies that it is their first and foremost duty to prepare food for the family.</w:t>
      </w:r>
      <w:r w:rsidR="00C60E46" w:rsidRPr="00660B23">
        <w:rPr>
          <w:vertAlign w:val="superscript"/>
          <w:lang w:val="en-GB"/>
        </w:rPr>
        <w:footnoteReference w:id="13"/>
      </w:r>
    </w:p>
    <w:p w14:paraId="1CDA0521" w14:textId="77777777" w:rsidR="006678E4" w:rsidRPr="00660B23" w:rsidRDefault="006678E4" w:rsidP="001E542A">
      <w:pPr>
        <w:rPr>
          <w:lang w:val="en-GB"/>
        </w:rPr>
      </w:pPr>
    </w:p>
    <w:p w14:paraId="11F7833A" w14:textId="34E4FB61" w:rsidR="005253BB" w:rsidRPr="00660B23" w:rsidRDefault="005253BB" w:rsidP="001E542A">
      <w:pPr>
        <w:rPr>
          <w:lang w:val="en-GB"/>
        </w:rPr>
      </w:pPr>
      <w:r w:rsidRPr="00660B23">
        <w:rPr>
          <w:lang w:val="en-GB"/>
        </w:rPr>
        <w:t>Before the conflict, an average of eight women died during childbirth every day.</w:t>
      </w:r>
      <w:r w:rsidRPr="00660B23">
        <w:rPr>
          <w:vertAlign w:val="superscript"/>
          <w:lang w:val="en-GB"/>
        </w:rPr>
        <w:footnoteReference w:id="14"/>
      </w:r>
      <w:r w:rsidRPr="00660B23">
        <w:rPr>
          <w:lang w:val="en-GB"/>
        </w:rPr>
        <w:t xml:space="preserve"> With the escalation of conflict, health services are on the brink of collapsing. In April 2017, UNFPA reported that “the risk of famine and rising food shortages has left an estimated 1.1 million pregnant women malnourished, with dire consequences on new-borns. This situation is threatening the lives of 52,800 women who risk developing complications during childbirth. Furthermore, the health of an estimated 2.2 million women of childbearing age and girls may be at risk of harm.”</w:t>
      </w:r>
      <w:r w:rsidRPr="00660B23">
        <w:rPr>
          <w:vertAlign w:val="superscript"/>
          <w:lang w:val="en-GB"/>
        </w:rPr>
        <w:footnoteReference w:id="15"/>
      </w:r>
      <w:r w:rsidRPr="00660B23">
        <w:rPr>
          <w:lang w:val="en-GB"/>
        </w:rPr>
        <w:t xml:space="preserve"> Even those who can afford to seek medical treatment outside Yemen are facing difficulties. According to several grassroots Yemeni activists, programmes offering medical care abroad, such as those run by the government with the support of the King Salman Center, often lack transparency and gender responsiveness, and are said to give priority to injured military personnel rather than civilians. Seeking medical services outside Yemen is also a difficult journey because of the blockade imposed on airports and the limited flight routes.</w:t>
      </w:r>
      <w:r w:rsidRPr="00660B23">
        <w:rPr>
          <w:vertAlign w:val="superscript"/>
          <w:lang w:val="en-GB"/>
        </w:rPr>
        <w:footnoteReference w:id="16"/>
      </w:r>
      <w:r w:rsidRPr="00660B23">
        <w:rPr>
          <w:lang w:val="en-GB"/>
        </w:rPr>
        <w:t xml:space="preserve"> Among those at particular risk are women lacking access to reproductive health services including antenatal care, midwifery services, postnatal care, emergency obstetric and new-born care.</w:t>
      </w:r>
      <w:r w:rsidRPr="00660B23" w:rsidDel="007518F6">
        <w:rPr>
          <w:vertAlign w:val="superscript"/>
          <w:lang w:val="en-GB"/>
        </w:rPr>
        <w:t xml:space="preserve"> </w:t>
      </w:r>
      <w:r w:rsidRPr="00660B23">
        <w:rPr>
          <w:lang w:val="en-GB"/>
        </w:rPr>
        <w:t xml:space="preserve">According to a Médecins Sans Frontières (MSF) report </w:t>
      </w:r>
      <w:r w:rsidR="001A01EB" w:rsidRPr="00660B23">
        <w:rPr>
          <w:lang w:val="en-GB"/>
        </w:rPr>
        <w:t>of</w:t>
      </w:r>
      <w:r w:rsidRPr="00660B23">
        <w:rPr>
          <w:lang w:val="en-GB"/>
        </w:rPr>
        <w:t xml:space="preserve"> April 2019, lack of access to medical care of </w:t>
      </w:r>
      <w:r w:rsidRPr="00660B23">
        <w:rPr>
          <w:lang w:val="en-GB"/>
        </w:rPr>
        <w:lastRenderedPageBreak/>
        <w:t>pregnant women and new mothers in Yemen</w:t>
      </w:r>
      <w:r w:rsidR="001A01EB" w:rsidRPr="00660B23">
        <w:rPr>
          <w:lang w:val="en-GB"/>
        </w:rPr>
        <w:t>,</w:t>
      </w:r>
      <w:r w:rsidRPr="00660B23">
        <w:rPr>
          <w:lang w:val="en-GB"/>
        </w:rPr>
        <w:t xml:space="preserve"> including antenatal and new</w:t>
      </w:r>
      <w:r w:rsidR="00F81127" w:rsidRPr="00660B23">
        <w:rPr>
          <w:lang w:val="en-GB"/>
        </w:rPr>
        <w:t>-</w:t>
      </w:r>
      <w:r w:rsidRPr="00660B23">
        <w:rPr>
          <w:lang w:val="en-GB"/>
        </w:rPr>
        <w:t>born medical care</w:t>
      </w:r>
      <w:r w:rsidR="001A01EB" w:rsidRPr="00660B23">
        <w:rPr>
          <w:lang w:val="en-GB"/>
        </w:rPr>
        <w:t>,</w:t>
      </w:r>
      <w:r w:rsidRPr="00660B23">
        <w:rPr>
          <w:lang w:val="en-GB"/>
        </w:rPr>
        <w:t xml:space="preserve"> lead</w:t>
      </w:r>
      <w:r w:rsidR="001A01EB" w:rsidRPr="00660B23">
        <w:rPr>
          <w:lang w:val="en-GB"/>
        </w:rPr>
        <w:t>s</w:t>
      </w:r>
      <w:r w:rsidRPr="00660B23">
        <w:rPr>
          <w:lang w:val="en-GB"/>
        </w:rPr>
        <w:t xml:space="preserve"> to more deadly complications</w:t>
      </w:r>
      <w:r w:rsidR="008B0BF4" w:rsidRPr="00660B23">
        <w:rPr>
          <w:lang w:val="en-GB"/>
        </w:rPr>
        <w:t>.</w:t>
      </w:r>
      <w:r w:rsidRPr="00660B23">
        <w:rPr>
          <w:vertAlign w:val="superscript"/>
          <w:lang w:val="en-GB"/>
        </w:rPr>
        <w:footnoteReference w:id="17"/>
      </w:r>
      <w:r w:rsidRPr="00660B23">
        <w:rPr>
          <w:lang w:val="en-GB"/>
        </w:rPr>
        <w:t xml:space="preserve"> </w:t>
      </w:r>
    </w:p>
    <w:p w14:paraId="510BC84D" w14:textId="77777777" w:rsidR="001A01EB" w:rsidRPr="00660B23" w:rsidRDefault="001A01EB" w:rsidP="001E542A">
      <w:pPr>
        <w:rPr>
          <w:lang w:val="en-GB"/>
        </w:rPr>
      </w:pPr>
    </w:p>
    <w:p w14:paraId="784476A2" w14:textId="353B4524" w:rsidR="00C332F4" w:rsidRPr="00660B23" w:rsidRDefault="00C332F4" w:rsidP="006E0843">
      <w:pPr>
        <w:rPr>
          <w:lang w:val="en-GB"/>
        </w:rPr>
      </w:pPr>
      <w:r w:rsidRPr="00660B23">
        <w:rPr>
          <w:lang w:val="en-GB"/>
        </w:rPr>
        <w:t>Moreover, the collapse of the health system – with severe shortages in medicines, equipment and staff – together with the increasing lack of adequate access to clean water, sanitation and hygiene, has led to catastrophic consequences, including the outbreak of diseases such as cholera and dengue. The impact of cholera is not gender neutral. As indicated in the Protection Guidance for Cholera Response in Yemen, “the domestic roles of women and girls in taking care of sick family members, cleaning latrines, fetching and handling untreated water, and preparing food, means that women and girls are at heightened risk.”</w:t>
      </w:r>
      <w:r w:rsidRPr="00660B23">
        <w:rPr>
          <w:vertAlign w:val="superscript"/>
          <w:lang w:val="en-GB"/>
        </w:rPr>
        <w:footnoteReference w:id="18"/>
      </w:r>
      <w:r w:rsidR="006E0843" w:rsidRPr="00660B23">
        <w:rPr>
          <w:lang w:val="en-GB"/>
        </w:rPr>
        <w:t xml:space="preserve"> Yet, their lower status in terms of decision-making and control over household resources means “they may be less able to seek medical care when they fall sick.”</w:t>
      </w:r>
      <w:r w:rsidR="006E0843" w:rsidRPr="00660B23">
        <w:rPr>
          <w:vertAlign w:val="superscript"/>
          <w:lang w:val="en-GB"/>
        </w:rPr>
        <w:footnoteReference w:id="19"/>
      </w:r>
      <w:r w:rsidRPr="00660B23">
        <w:rPr>
          <w:lang w:val="en-GB"/>
        </w:rPr>
        <w:t xml:space="preserve"> In addition,</w:t>
      </w:r>
      <w:r w:rsidR="006E0843" w:rsidRPr="00660B23">
        <w:rPr>
          <w:lang w:val="en-GB"/>
        </w:rPr>
        <w:t xml:space="preserve"> UNFPA has documented that pregnant and breastfeeding women are especially vulnerable to malnutrition become more prone to infections, including cholera, leading to a higher risk of developing dangerous or even fatal complications.</w:t>
      </w:r>
      <w:r w:rsidR="001A01EB" w:rsidRPr="00660B23">
        <w:rPr>
          <w:rStyle w:val="FootnoteReference"/>
          <w:lang w:val="en-GB"/>
        </w:rPr>
        <w:footnoteReference w:id="20"/>
      </w:r>
    </w:p>
    <w:p w14:paraId="5E3B565A" w14:textId="77777777" w:rsidR="00C332F4" w:rsidRPr="00660B23" w:rsidRDefault="00C332F4" w:rsidP="001E542A">
      <w:pPr>
        <w:rPr>
          <w:lang w:val="en-GB"/>
        </w:rPr>
      </w:pPr>
    </w:p>
    <w:p w14:paraId="7AF22808" w14:textId="77777777" w:rsidR="00436928" w:rsidRPr="00660B23" w:rsidRDefault="00436928" w:rsidP="00436928">
      <w:pPr>
        <w:pStyle w:val="Heading2"/>
        <w:rPr>
          <w:lang w:val="en-GB"/>
        </w:rPr>
      </w:pPr>
      <w:bookmarkStart w:id="14" w:name="_Toc31637186"/>
      <w:r w:rsidRPr="00660B23">
        <w:rPr>
          <w:lang w:val="en-GB"/>
        </w:rPr>
        <w:t>Deterioration in education services</w:t>
      </w:r>
      <w:bookmarkEnd w:id="14"/>
      <w:r w:rsidRPr="00660B23">
        <w:rPr>
          <w:lang w:val="en-GB"/>
        </w:rPr>
        <w:t xml:space="preserve"> </w:t>
      </w:r>
    </w:p>
    <w:p w14:paraId="7C87A5D7" w14:textId="26D87E02" w:rsidR="00436928" w:rsidRPr="00660B23" w:rsidRDefault="00436928" w:rsidP="00A81D12">
      <w:pPr>
        <w:rPr>
          <w:lang w:val="en-GB"/>
        </w:rPr>
      </w:pPr>
      <w:r w:rsidRPr="00660B23">
        <w:rPr>
          <w:lang w:val="en-GB"/>
        </w:rPr>
        <w:t>Yemen had high school dropout rates already before the armed conflict. Recent estimates by UNICEF</w:t>
      </w:r>
      <w:r w:rsidR="00A81D12" w:rsidRPr="00660B23">
        <w:rPr>
          <w:rStyle w:val="FootnoteReference"/>
          <w:lang w:val="en-GB"/>
        </w:rPr>
        <w:footnoteReference w:id="21"/>
      </w:r>
      <w:r w:rsidRPr="00660B23">
        <w:rPr>
          <w:lang w:val="en-GB"/>
        </w:rPr>
        <w:t xml:space="preserve"> show an increase in the numbers of out-of-school children to </w:t>
      </w:r>
      <w:r w:rsidR="00AC77AD" w:rsidRPr="00660B23">
        <w:rPr>
          <w:lang w:val="en-GB"/>
        </w:rPr>
        <w:t>two</w:t>
      </w:r>
      <w:r w:rsidRPr="00660B23">
        <w:rPr>
          <w:lang w:val="en-GB"/>
        </w:rPr>
        <w:t xml:space="preserve"> million, including almost half a million who dropped out since the conflict escalated in March 2015. UNICEF has also indicated that “the education of another 3.7 million children now hangs in the balance as teachers’ salaries have not been paid in over two years.”</w:t>
      </w:r>
      <w:r w:rsidRPr="00660B23">
        <w:rPr>
          <w:vertAlign w:val="superscript"/>
          <w:lang w:val="en-GB"/>
        </w:rPr>
        <w:t xml:space="preserve"> </w:t>
      </w:r>
      <w:r w:rsidRPr="00660B23">
        <w:rPr>
          <w:vertAlign w:val="superscript"/>
          <w:lang w:val="en-GB"/>
        </w:rPr>
        <w:footnoteReference w:id="22"/>
      </w:r>
      <w:r w:rsidRPr="00660B23">
        <w:rPr>
          <w:lang w:val="en-GB"/>
        </w:rPr>
        <w:t xml:space="preserve">  Increased drop-out means that girls are at a much higher risk of child marriage and boys of child recruitment. </w:t>
      </w:r>
    </w:p>
    <w:p w14:paraId="35C5B943" w14:textId="2423BCCD" w:rsidR="005253BB" w:rsidRPr="00660B23" w:rsidRDefault="005253BB" w:rsidP="001E542A">
      <w:pPr>
        <w:pStyle w:val="Heading3"/>
        <w:rPr>
          <w:lang w:val="en-GB"/>
        </w:rPr>
      </w:pPr>
      <w:bookmarkStart w:id="15" w:name="_Toc29476221"/>
      <w:bookmarkStart w:id="16" w:name="_Toc29547585"/>
      <w:bookmarkStart w:id="17" w:name="_Toc31637187"/>
      <w:r w:rsidRPr="00660B23">
        <w:rPr>
          <w:lang w:val="en-GB"/>
        </w:rPr>
        <w:lastRenderedPageBreak/>
        <w:t>Questions</w:t>
      </w:r>
      <w:bookmarkEnd w:id="15"/>
      <w:bookmarkEnd w:id="16"/>
      <w:bookmarkEnd w:id="17"/>
    </w:p>
    <w:p w14:paraId="7D6106D1" w14:textId="68017815" w:rsidR="005253BB" w:rsidRPr="00660B23" w:rsidRDefault="005253BB" w:rsidP="001E542A">
      <w:pPr>
        <w:pStyle w:val="ListParagraph"/>
        <w:numPr>
          <w:ilvl w:val="0"/>
          <w:numId w:val="15"/>
        </w:numPr>
        <w:rPr>
          <w:b/>
          <w:lang w:val="en-GB"/>
        </w:rPr>
      </w:pPr>
      <w:r w:rsidRPr="00660B23">
        <w:rPr>
          <w:b/>
          <w:lang w:val="en-GB"/>
        </w:rPr>
        <w:t xml:space="preserve">What steps has the government taken to ensure an immediate lift of all sieges and blockades and an immediate and unimpeded access to humanitarian aid? </w:t>
      </w:r>
    </w:p>
    <w:p w14:paraId="0E4F8B12" w14:textId="77777777" w:rsidR="005253BB" w:rsidRPr="00660B23" w:rsidRDefault="005253BB" w:rsidP="001E542A">
      <w:pPr>
        <w:pStyle w:val="ListParagraph"/>
        <w:numPr>
          <w:ilvl w:val="0"/>
          <w:numId w:val="15"/>
        </w:numPr>
        <w:rPr>
          <w:b/>
          <w:lang w:val="en-GB"/>
        </w:rPr>
      </w:pPr>
      <w:r w:rsidRPr="00660B23">
        <w:rPr>
          <w:b/>
          <w:lang w:val="en-GB"/>
        </w:rPr>
        <w:t>What steps has the government taken or plans to take to address naval and aerial blockades, including of the Sanaa airport, so that persons seeking medical care abroad can get access to that without restrictions?</w:t>
      </w:r>
    </w:p>
    <w:p w14:paraId="1C96F0DB" w14:textId="77777777" w:rsidR="005253BB" w:rsidRPr="00660B23" w:rsidRDefault="005253BB" w:rsidP="001E542A">
      <w:pPr>
        <w:pStyle w:val="ListParagraph"/>
        <w:numPr>
          <w:ilvl w:val="0"/>
          <w:numId w:val="15"/>
        </w:numPr>
        <w:rPr>
          <w:b/>
          <w:lang w:val="en-GB"/>
        </w:rPr>
      </w:pPr>
      <w:r w:rsidRPr="00660B23">
        <w:rPr>
          <w:b/>
          <w:lang w:val="en-GB"/>
        </w:rPr>
        <w:t xml:space="preserve">What measures has the government to ensure that IDPs are provided with adequate shelter, access to health, education, social protection and legal assistance, including access to legal documentation? </w:t>
      </w:r>
    </w:p>
    <w:p w14:paraId="65A2C7B1" w14:textId="77777777" w:rsidR="005253BB" w:rsidRPr="00660B23" w:rsidRDefault="005253BB" w:rsidP="001E542A">
      <w:pPr>
        <w:pStyle w:val="ListParagraph"/>
        <w:numPr>
          <w:ilvl w:val="0"/>
          <w:numId w:val="15"/>
        </w:numPr>
        <w:rPr>
          <w:b/>
          <w:lang w:val="en-GB"/>
        </w:rPr>
      </w:pPr>
      <w:r w:rsidRPr="00660B23">
        <w:rPr>
          <w:b/>
          <w:lang w:val="en-GB"/>
        </w:rPr>
        <w:t xml:space="preserve">Which plan does Yemen have in plan to seek to ensure that gender-sensitive health services, psychological and social support be provided, including targeted support for women and girls, with specific attention to the needs of IDPs?  </w:t>
      </w:r>
    </w:p>
    <w:p w14:paraId="30D3ABBE" w14:textId="77777777" w:rsidR="005253BB" w:rsidRPr="00660B23" w:rsidRDefault="005253BB" w:rsidP="001E542A">
      <w:pPr>
        <w:pStyle w:val="ListParagraph"/>
        <w:numPr>
          <w:ilvl w:val="0"/>
          <w:numId w:val="15"/>
        </w:numPr>
        <w:rPr>
          <w:b/>
          <w:lang w:val="en-GB"/>
        </w:rPr>
      </w:pPr>
      <w:r w:rsidRPr="00660B23">
        <w:rPr>
          <w:b/>
          <w:lang w:val="en-GB"/>
        </w:rPr>
        <w:t xml:space="preserve">Does Yemen plan to update the 2013 National Policy the on Internal Displacement to address the humanitarian situation and to develop sustainable and gendered solutions to it? How will it proceed to undertake such a review? What steps have been taken to ensure that access to basic social services such as health, education and social protection, including through payment of public sector salaries arrears, be restored? </w:t>
      </w:r>
    </w:p>
    <w:p w14:paraId="437054B7" w14:textId="77777777" w:rsidR="005253BB" w:rsidRPr="00660B23" w:rsidRDefault="005253BB" w:rsidP="001E542A">
      <w:pPr>
        <w:pStyle w:val="ListParagraph"/>
        <w:numPr>
          <w:ilvl w:val="0"/>
          <w:numId w:val="15"/>
        </w:numPr>
        <w:rPr>
          <w:b/>
          <w:lang w:val="en-GB"/>
        </w:rPr>
      </w:pPr>
      <w:r w:rsidRPr="00660B23">
        <w:rPr>
          <w:b/>
          <w:lang w:val="en-GB"/>
        </w:rPr>
        <w:t>What measures have been taken to address the shortcomings of the Social Welfare Fund</w:t>
      </w:r>
      <w:r w:rsidRPr="00660B23">
        <w:rPr>
          <w:vertAlign w:val="superscript"/>
          <w:lang w:val="en-GB"/>
        </w:rPr>
        <w:footnoteReference w:id="23"/>
      </w:r>
      <w:r w:rsidRPr="00660B23">
        <w:rPr>
          <w:b/>
          <w:lang w:val="en-GB"/>
        </w:rPr>
        <w:t xml:space="preserve"> in terms of governance, accountability, gender-sensitiveness and transparency?</w:t>
      </w:r>
    </w:p>
    <w:p w14:paraId="476ECF44" w14:textId="2C939D64" w:rsidR="005253BB" w:rsidRPr="00660B23" w:rsidRDefault="0024381A" w:rsidP="001E542A">
      <w:pPr>
        <w:pStyle w:val="ListParagraph"/>
        <w:numPr>
          <w:ilvl w:val="0"/>
          <w:numId w:val="15"/>
        </w:numPr>
        <w:rPr>
          <w:b/>
          <w:lang w:val="en-GB"/>
        </w:rPr>
      </w:pPr>
      <w:r w:rsidRPr="00660B23">
        <w:rPr>
          <w:b/>
          <w:lang w:val="en-GB"/>
        </w:rPr>
        <w:t>What</w:t>
      </w:r>
      <w:r w:rsidR="005253BB" w:rsidRPr="00660B23">
        <w:rPr>
          <w:b/>
          <w:lang w:val="en-GB"/>
        </w:rPr>
        <w:t xml:space="preserve"> immediate measures will be taken to foster economic empowerment and livelihoods, specifically through supporting women-led private sector initiatives, small-scale industries and social entrepreneurship</w:t>
      </w:r>
      <w:r w:rsidRPr="00660B23">
        <w:rPr>
          <w:b/>
          <w:lang w:val="en-GB"/>
        </w:rPr>
        <w:t xml:space="preserve">? </w:t>
      </w:r>
    </w:p>
    <w:p w14:paraId="011234EE" w14:textId="77777777" w:rsidR="008B0BF4" w:rsidRPr="00660B23" w:rsidRDefault="008B0BF4" w:rsidP="008B0BF4">
      <w:pPr>
        <w:rPr>
          <w:lang w:val="en-GB"/>
        </w:rPr>
      </w:pPr>
    </w:p>
    <w:p w14:paraId="3CA9EC96" w14:textId="2155F9E9" w:rsidR="008B0BF4" w:rsidRPr="00660B23" w:rsidRDefault="003A4369" w:rsidP="001E542A">
      <w:pPr>
        <w:pStyle w:val="Heading1"/>
        <w:rPr>
          <w:lang w:val="en-GB"/>
        </w:rPr>
      </w:pPr>
      <w:bookmarkStart w:id="18" w:name="_Toc29476222"/>
      <w:bookmarkStart w:id="19" w:name="_Toc29547586"/>
      <w:bookmarkStart w:id="20" w:name="_Toc31637188"/>
      <w:r w:rsidRPr="00660B23">
        <w:rPr>
          <w:lang w:val="en-GB"/>
        </w:rPr>
        <w:t>III.</w:t>
      </w:r>
      <w:r w:rsidRPr="00660B23">
        <w:rPr>
          <w:lang w:val="en-GB"/>
        </w:rPr>
        <w:tab/>
        <w:t xml:space="preserve"> </w:t>
      </w:r>
      <w:r w:rsidR="008B0BF4" w:rsidRPr="00660B23">
        <w:rPr>
          <w:lang w:val="en-GB"/>
        </w:rPr>
        <w:t>Sexual and Gender-Based Violence</w:t>
      </w:r>
      <w:bookmarkEnd w:id="18"/>
      <w:bookmarkEnd w:id="19"/>
      <w:bookmarkEnd w:id="20"/>
      <w:r w:rsidR="008B0BF4" w:rsidRPr="00660B23">
        <w:rPr>
          <w:lang w:val="en-GB"/>
        </w:rPr>
        <w:t xml:space="preserve"> </w:t>
      </w:r>
    </w:p>
    <w:p w14:paraId="5DE60B7F" w14:textId="32EE9B5E" w:rsidR="005253BB" w:rsidRPr="00660B23" w:rsidRDefault="005253BB" w:rsidP="008B0BF4">
      <w:pPr>
        <w:rPr>
          <w:lang w:val="en-GB"/>
        </w:rPr>
      </w:pPr>
      <w:r w:rsidRPr="00660B23">
        <w:rPr>
          <w:lang w:val="en-GB"/>
        </w:rPr>
        <w:t xml:space="preserve">Gender-based violence was already a serious concern before the conflict. Discrimination against women and girls in Yemen was prevalent, both in law and in practice. Gender inequalities have been further aggravated by the armed conflict and subsequent mass displacement. For instance, women </w:t>
      </w:r>
      <w:r w:rsidRPr="00660B23">
        <w:rPr>
          <w:lang w:val="en-GB"/>
        </w:rPr>
        <w:lastRenderedPageBreak/>
        <w:t xml:space="preserve">typically depend on a husband, father or brother, who needs to give them permission to study, travel abroad or contract marriage. In conflict situations, </w:t>
      </w:r>
      <w:r w:rsidR="006678E4" w:rsidRPr="00660B23">
        <w:rPr>
          <w:lang w:val="en-GB"/>
        </w:rPr>
        <w:t>these discriminat</w:t>
      </w:r>
      <w:r w:rsidR="006058CA" w:rsidRPr="00660B23">
        <w:rPr>
          <w:lang w:val="en-GB"/>
        </w:rPr>
        <w:t>ory</w:t>
      </w:r>
      <w:r w:rsidR="006678E4" w:rsidRPr="00660B23">
        <w:rPr>
          <w:lang w:val="en-GB"/>
        </w:rPr>
        <w:t xml:space="preserve"> practices </w:t>
      </w:r>
      <w:r w:rsidRPr="00660B23">
        <w:rPr>
          <w:lang w:val="en-GB"/>
        </w:rPr>
        <w:t>ha</w:t>
      </w:r>
      <w:r w:rsidR="006678E4" w:rsidRPr="00660B23">
        <w:rPr>
          <w:lang w:val="en-GB"/>
        </w:rPr>
        <w:t>ve</w:t>
      </w:r>
      <w:r w:rsidRPr="00660B23">
        <w:rPr>
          <w:lang w:val="en-GB"/>
        </w:rPr>
        <w:t xml:space="preserve"> </w:t>
      </w:r>
      <w:r w:rsidR="006678E4" w:rsidRPr="00660B23">
        <w:rPr>
          <w:lang w:val="en-GB"/>
        </w:rPr>
        <w:t xml:space="preserve">amplified </w:t>
      </w:r>
      <w:r w:rsidRPr="00660B23">
        <w:rPr>
          <w:lang w:val="en-GB"/>
        </w:rPr>
        <w:t xml:space="preserve">negative repercussions on </w:t>
      </w:r>
      <w:r w:rsidR="0024381A" w:rsidRPr="00660B23">
        <w:rPr>
          <w:lang w:val="en-GB"/>
        </w:rPr>
        <w:t xml:space="preserve">the </w:t>
      </w:r>
      <w:r w:rsidRPr="00660B23">
        <w:rPr>
          <w:lang w:val="en-GB"/>
        </w:rPr>
        <w:t>health and safety</w:t>
      </w:r>
      <w:r w:rsidR="0024381A" w:rsidRPr="00660B23">
        <w:rPr>
          <w:lang w:val="en-GB"/>
        </w:rPr>
        <w:t xml:space="preserve"> of women and girls</w:t>
      </w:r>
      <w:r w:rsidRPr="00660B23">
        <w:rPr>
          <w:lang w:val="en-GB"/>
        </w:rPr>
        <w:t xml:space="preserve">. </w:t>
      </w:r>
    </w:p>
    <w:p w14:paraId="5D53F6EE" w14:textId="77777777" w:rsidR="005253BB" w:rsidRPr="00660B23" w:rsidRDefault="005253BB" w:rsidP="008B0BF4">
      <w:pPr>
        <w:rPr>
          <w:b/>
          <w:lang w:val="en-GB"/>
        </w:rPr>
      </w:pPr>
    </w:p>
    <w:p w14:paraId="77434F04" w14:textId="06CB24D7" w:rsidR="006058CA" w:rsidRPr="00660B23" w:rsidRDefault="00D376C7" w:rsidP="003E770E">
      <w:pPr>
        <w:pStyle w:val="Heading2"/>
        <w:rPr>
          <w:lang w:val="en-GB"/>
        </w:rPr>
      </w:pPr>
      <w:bookmarkStart w:id="21" w:name="_Toc31637189"/>
      <w:r w:rsidRPr="00660B23">
        <w:rPr>
          <w:lang w:val="en-GB"/>
        </w:rPr>
        <w:t>Documented increase in gender-based violence</w:t>
      </w:r>
      <w:r w:rsidR="00E771D5" w:rsidRPr="00660B23">
        <w:rPr>
          <w:lang w:val="en-GB"/>
        </w:rPr>
        <w:t xml:space="preserve"> due to the conflict</w:t>
      </w:r>
      <w:bookmarkEnd w:id="21"/>
    </w:p>
    <w:p w14:paraId="1CF9BC0C" w14:textId="14072B57" w:rsidR="005253BB" w:rsidRPr="00660B23" w:rsidRDefault="005253BB" w:rsidP="008B0BF4">
      <w:pPr>
        <w:rPr>
          <w:lang w:val="en-GB"/>
        </w:rPr>
      </w:pPr>
      <w:r w:rsidRPr="00660B23">
        <w:rPr>
          <w:lang w:val="en-GB"/>
        </w:rPr>
        <w:t>Only five months into the armed conflict, there were reports that gender-based violence had increased by 70%.</w:t>
      </w:r>
      <w:r w:rsidRPr="00660B23">
        <w:rPr>
          <w:vertAlign w:val="superscript"/>
          <w:lang w:val="en-GB"/>
        </w:rPr>
        <w:footnoteReference w:id="24"/>
      </w:r>
      <w:r w:rsidRPr="00660B23">
        <w:rPr>
          <w:lang w:val="en-GB"/>
        </w:rPr>
        <w:t xml:space="preserve"> In 2016, the UNFPA estimated that around three million women and girls of reproductive age were at risk of gender-based violence,</w:t>
      </w:r>
      <w:r w:rsidRPr="00660B23">
        <w:rPr>
          <w:vertAlign w:val="superscript"/>
          <w:lang w:val="en-GB"/>
        </w:rPr>
        <w:footnoteReference w:id="25"/>
      </w:r>
      <w:r w:rsidRPr="00660B23">
        <w:rPr>
          <w:lang w:val="en-GB"/>
        </w:rPr>
        <w:t xml:space="preserve"> as well as 61,000 women and girls at risk of sexual violence, including rape.</w:t>
      </w:r>
      <w:r w:rsidRPr="00660B23">
        <w:rPr>
          <w:vertAlign w:val="superscript"/>
          <w:lang w:val="en-GB"/>
        </w:rPr>
        <w:footnoteReference w:id="26"/>
      </w:r>
      <w:r w:rsidRPr="00660B23">
        <w:rPr>
          <w:lang w:val="en-GB"/>
        </w:rPr>
        <w:t xml:space="preserve"> In September 2019, the Group of Eminent International and Regional Experts on Yemen</w:t>
      </w:r>
      <w:r w:rsidRPr="00660B23" w:rsidDel="00670759">
        <w:rPr>
          <w:lang w:val="en-GB"/>
        </w:rPr>
        <w:t xml:space="preserve"> </w:t>
      </w:r>
      <w:r w:rsidRPr="00660B23">
        <w:rPr>
          <w:lang w:val="en-GB"/>
        </w:rPr>
        <w:t>(hereinafter the GEE) reported that “new vulnerabilities to gender-based violence have emerged from displacement, poverty, and indiscriminate violence. The already limited support against such violence afforded by the criminal justice system has collapsed further in 2019.”</w:t>
      </w:r>
      <w:r w:rsidRPr="00660B23">
        <w:rPr>
          <w:vertAlign w:val="superscript"/>
          <w:lang w:val="en-GB"/>
        </w:rPr>
        <w:footnoteReference w:id="27"/>
      </w:r>
    </w:p>
    <w:p w14:paraId="33AFCFBC" w14:textId="77777777" w:rsidR="005253BB" w:rsidRPr="00660B23" w:rsidRDefault="005253BB" w:rsidP="008B0BF4">
      <w:pPr>
        <w:rPr>
          <w:lang w:val="en-GB"/>
        </w:rPr>
      </w:pPr>
    </w:p>
    <w:p w14:paraId="7AC11BB0" w14:textId="77777777" w:rsidR="005253BB" w:rsidRPr="00660B23" w:rsidRDefault="005253BB" w:rsidP="008B0BF4">
      <w:pPr>
        <w:rPr>
          <w:lang w:val="en-GB"/>
        </w:rPr>
      </w:pPr>
      <w:r w:rsidRPr="00660B23">
        <w:rPr>
          <w:lang w:val="en-GB"/>
        </w:rPr>
        <w:t>The Gender-Based Violence Information Management System (GBVIMS) recorded 8,031 incidents between January and September 2016 alone.</w:t>
      </w:r>
      <w:r w:rsidRPr="00660B23">
        <w:rPr>
          <w:vertAlign w:val="superscript"/>
          <w:lang w:val="en-GB"/>
        </w:rPr>
        <w:footnoteReference w:id="28"/>
      </w:r>
      <w:r w:rsidRPr="00660B23">
        <w:rPr>
          <w:lang w:val="en-GB"/>
        </w:rPr>
        <w:t xml:space="preserve"> However, it stressed that the true extent is certainly far greater in light of social norms that discourage reporting.</w:t>
      </w:r>
      <w:r w:rsidRPr="00660B23" w:rsidDel="00D30BDA">
        <w:rPr>
          <w:lang w:val="en-GB"/>
        </w:rPr>
        <w:t xml:space="preserve"> </w:t>
      </w:r>
    </w:p>
    <w:p w14:paraId="5D501836" w14:textId="77777777" w:rsidR="005253BB" w:rsidRPr="00660B23" w:rsidRDefault="005253BB" w:rsidP="008B0BF4">
      <w:pPr>
        <w:rPr>
          <w:lang w:val="en-GB"/>
        </w:rPr>
      </w:pPr>
    </w:p>
    <w:p w14:paraId="08105535" w14:textId="7E09C100" w:rsidR="00D376C7" w:rsidRPr="00660B23" w:rsidRDefault="005253BB" w:rsidP="008B0BF4">
      <w:pPr>
        <w:rPr>
          <w:lang w:val="en-GB"/>
        </w:rPr>
      </w:pPr>
      <w:r w:rsidRPr="00660B23">
        <w:rPr>
          <w:lang w:val="en-GB"/>
        </w:rPr>
        <w:t>In a Gender-Based Violence Trend Analysis of 2015, UNFPA and Intersos reported that 1,608 gender-based violence incidents were registered – 88% by women and girls – in eight governorates</w:t>
      </w:r>
      <w:r w:rsidR="00C60E46" w:rsidRPr="00660B23">
        <w:rPr>
          <w:lang w:val="en-GB"/>
        </w:rPr>
        <w:t xml:space="preserve"> where the analysis was conducted</w:t>
      </w:r>
      <w:r w:rsidRPr="00660B23">
        <w:rPr>
          <w:lang w:val="en-GB"/>
        </w:rPr>
        <w:t>.</w:t>
      </w:r>
      <w:r w:rsidRPr="00660B23">
        <w:rPr>
          <w:vertAlign w:val="superscript"/>
          <w:lang w:val="en-GB"/>
        </w:rPr>
        <w:footnoteReference w:id="29"/>
      </w:r>
      <w:r w:rsidRPr="00660B23">
        <w:rPr>
          <w:b/>
          <w:lang w:val="en-GB"/>
        </w:rPr>
        <w:t xml:space="preserve"> </w:t>
      </w:r>
      <w:r w:rsidRPr="00660B23">
        <w:rPr>
          <w:lang w:val="en-GB"/>
        </w:rPr>
        <w:t xml:space="preserve">The reported incidents were predominantly of physical assaults, psychological and emotional abuse and denial of resources, as well as sexual assault, forced marriage and rape. Moreover, 17% of them involved survivors under the age of 18, and 11% of rape survivors were under the age of nine. The report noted that “most of the survivors prefer not to go for other services or sectors. Out of 1608 cases only 196 cases were referred to other sectors mostly health. It </w:t>
      </w:r>
      <w:r w:rsidRPr="00660B23">
        <w:rPr>
          <w:lang w:val="en-GB"/>
        </w:rPr>
        <w:lastRenderedPageBreak/>
        <w:t>is mostly because of the cultural barriers and stigma in the community; but also due to a lack of access and availability of referral pathways.”</w:t>
      </w:r>
      <w:r w:rsidRPr="00660B23">
        <w:rPr>
          <w:vertAlign w:val="superscript"/>
          <w:lang w:val="en-GB"/>
        </w:rPr>
        <w:footnoteReference w:id="30"/>
      </w:r>
      <w:r w:rsidR="00E32A02" w:rsidRPr="00660B23">
        <w:rPr>
          <w:lang w:val="en-GB"/>
        </w:rPr>
        <w:t xml:space="preserve"> </w:t>
      </w:r>
    </w:p>
    <w:p w14:paraId="525A542C" w14:textId="77777777" w:rsidR="00D376C7" w:rsidRPr="00660B23" w:rsidRDefault="00D376C7" w:rsidP="008B0BF4">
      <w:pPr>
        <w:rPr>
          <w:lang w:val="en-GB"/>
        </w:rPr>
      </w:pPr>
    </w:p>
    <w:p w14:paraId="2522F4FD" w14:textId="3A510EB8" w:rsidR="002923D8" w:rsidRPr="00660B23" w:rsidRDefault="002923D8" w:rsidP="003E770E">
      <w:pPr>
        <w:pStyle w:val="Heading2"/>
        <w:rPr>
          <w:lang w:val="en-GB"/>
        </w:rPr>
      </w:pPr>
      <w:bookmarkStart w:id="22" w:name="_Toc31637190"/>
      <w:r w:rsidRPr="00660B23">
        <w:rPr>
          <w:lang w:val="en-GB"/>
        </w:rPr>
        <w:t xml:space="preserve">Root causes of </w:t>
      </w:r>
      <w:r w:rsidR="0034262D" w:rsidRPr="00660B23">
        <w:rPr>
          <w:lang w:val="en-GB"/>
        </w:rPr>
        <w:t xml:space="preserve">the increase in </w:t>
      </w:r>
      <w:r w:rsidRPr="00660B23">
        <w:rPr>
          <w:lang w:val="en-GB"/>
        </w:rPr>
        <w:t>gender-based violence</w:t>
      </w:r>
      <w:bookmarkEnd w:id="22"/>
    </w:p>
    <w:p w14:paraId="64BDB166" w14:textId="4BA4DEDD" w:rsidR="005253BB" w:rsidRPr="00660B23" w:rsidRDefault="002923D8" w:rsidP="0004281B">
      <w:pPr>
        <w:rPr>
          <w:lang w:val="en-GB"/>
        </w:rPr>
      </w:pPr>
      <w:r w:rsidRPr="00660B23">
        <w:rPr>
          <w:lang w:val="en-GB"/>
        </w:rPr>
        <w:t>T</w:t>
      </w:r>
      <w:r w:rsidR="006E0843" w:rsidRPr="00660B23">
        <w:rPr>
          <w:lang w:val="en-GB"/>
        </w:rPr>
        <w:t>he</w:t>
      </w:r>
      <w:r w:rsidR="009D1E93" w:rsidRPr="00660B23">
        <w:rPr>
          <w:lang w:val="en-GB"/>
        </w:rPr>
        <w:t xml:space="preserve"> </w:t>
      </w:r>
      <w:r w:rsidR="006E0843" w:rsidRPr="00660B23">
        <w:rPr>
          <w:lang w:val="en-GB"/>
        </w:rPr>
        <w:t>loss of livelihoods as a result of the crisis has led to coping strategies by women IDPs and at-risk groups which range, for example, from “child marriage, survival sex, sex for rent, begging, [to] forced/coerced prostitution and begging”</w:t>
      </w:r>
      <w:r w:rsidR="006E0843" w:rsidRPr="00660B23">
        <w:rPr>
          <w:vertAlign w:val="superscript"/>
          <w:lang w:val="en-GB"/>
        </w:rPr>
        <w:t xml:space="preserve"> </w:t>
      </w:r>
      <w:r w:rsidR="006E0843" w:rsidRPr="00660B23">
        <w:rPr>
          <w:vertAlign w:val="superscript"/>
          <w:lang w:val="en-GB"/>
        </w:rPr>
        <w:footnoteReference w:id="31"/>
      </w:r>
      <w:r w:rsidR="006E0843" w:rsidRPr="00660B23">
        <w:rPr>
          <w:lang w:val="en-GB"/>
        </w:rPr>
        <w:t xml:space="preserve"> that put women in a position of extreme vulnerability. </w:t>
      </w:r>
    </w:p>
    <w:p w14:paraId="278D30DC" w14:textId="77777777" w:rsidR="00FA4B5F" w:rsidRPr="00660B23" w:rsidRDefault="00FA4B5F" w:rsidP="008B0BF4">
      <w:pPr>
        <w:rPr>
          <w:lang w:val="en-GB"/>
        </w:rPr>
      </w:pPr>
    </w:p>
    <w:p w14:paraId="7D3E954F" w14:textId="2693D1A3" w:rsidR="00FA4B5F" w:rsidRPr="00660B23" w:rsidRDefault="00FA4B5F" w:rsidP="008B0BF4">
      <w:pPr>
        <w:rPr>
          <w:b/>
          <w:lang w:val="en-GB"/>
        </w:rPr>
      </w:pPr>
      <w:r w:rsidRPr="00660B23">
        <w:rPr>
          <w:lang w:val="en-GB"/>
        </w:rPr>
        <w:t xml:space="preserve">Although Yemen was making relative progress in reducing child marriages before the </w:t>
      </w:r>
      <w:r w:rsidR="00D23452" w:rsidRPr="00660B23">
        <w:rPr>
          <w:lang w:val="en-GB"/>
        </w:rPr>
        <w:t>conflict</w:t>
      </w:r>
      <w:r w:rsidRPr="00660B23">
        <w:rPr>
          <w:lang w:val="en-GB"/>
        </w:rPr>
        <w:t xml:space="preserve">, child marriages have increased drastically </w:t>
      </w:r>
      <w:r w:rsidR="00D23452" w:rsidRPr="00660B23">
        <w:rPr>
          <w:lang w:val="en-GB"/>
        </w:rPr>
        <w:t>since</w:t>
      </w:r>
      <w:r w:rsidRPr="00660B23">
        <w:rPr>
          <w:lang w:val="en-GB"/>
        </w:rPr>
        <w:t>. A humanitarian needs overview conducted by OCHA in 2017 reflects an increase in child marriage with 66% of girls under 18 years of age marrying in 2017 against 52% in 2016.</w:t>
      </w:r>
      <w:r w:rsidRPr="00660B23">
        <w:rPr>
          <w:vertAlign w:val="superscript"/>
          <w:lang w:val="en-GB"/>
        </w:rPr>
        <w:footnoteReference w:id="32"/>
      </w:r>
      <w:r w:rsidRPr="00660B23">
        <w:rPr>
          <w:lang w:val="en-GB"/>
        </w:rPr>
        <w:t xml:space="preserve">  Despite attempts to amend laws and</w:t>
      </w:r>
      <w:r w:rsidR="002F2C48" w:rsidRPr="00660B23">
        <w:rPr>
          <w:lang w:val="en-GB"/>
        </w:rPr>
        <w:t xml:space="preserve"> to</w:t>
      </w:r>
      <w:r w:rsidRPr="00660B23">
        <w:rPr>
          <w:lang w:val="en-GB"/>
        </w:rPr>
        <w:t xml:space="preserve"> raise the minimum age for marriage to 18, the Yemeni parliament removed an article from the draft Safe Motherhood Law of 2014 that sought to set the age of 18 as the minimum age of marriage. With families increasingly resorting to child marriage as a coping mechanism to address poverty and the deprivation of economic opportunities, it is extremely urgent to set the age of marriage at 18 years without exception. In September 2019, the GEE reported that child, early and forced marriage has increased during the conflict period and that it is a widespread practice in Yemen, driven largely by poverty and exacerbated by the armed conflict.</w:t>
      </w:r>
      <w:r w:rsidRPr="00660B23">
        <w:rPr>
          <w:vertAlign w:val="superscript"/>
          <w:lang w:val="en-GB"/>
        </w:rPr>
        <w:footnoteReference w:id="33"/>
      </w:r>
    </w:p>
    <w:p w14:paraId="4641767B" w14:textId="77777777" w:rsidR="005253BB" w:rsidRPr="00660B23" w:rsidRDefault="005253BB" w:rsidP="008B0BF4">
      <w:pPr>
        <w:rPr>
          <w:lang w:val="en-GB"/>
        </w:rPr>
      </w:pPr>
    </w:p>
    <w:p w14:paraId="5D606B71" w14:textId="08D8C7C8" w:rsidR="006E0843" w:rsidRPr="00660B23" w:rsidRDefault="005253BB" w:rsidP="00DF47BD">
      <w:pPr>
        <w:rPr>
          <w:lang w:val="en-GB"/>
        </w:rPr>
      </w:pPr>
      <w:r w:rsidRPr="00660B23">
        <w:rPr>
          <w:lang w:val="en-GB"/>
        </w:rPr>
        <w:t>The change of traditional roles within the families because of the conflict, with men losing their jobs and remaining at home while women take over breadwinning roles, has</w:t>
      </w:r>
      <w:r w:rsidR="002923D8" w:rsidRPr="00660B23">
        <w:rPr>
          <w:lang w:val="en-GB"/>
        </w:rPr>
        <w:t xml:space="preserve"> also</w:t>
      </w:r>
      <w:r w:rsidRPr="00660B23">
        <w:rPr>
          <w:lang w:val="en-GB"/>
        </w:rPr>
        <w:t xml:space="preserve"> increased social tensions and exposed women to domestic violence, with perpetrators being close family members, including fathers, brothers and husbands and extended family members.</w:t>
      </w:r>
      <w:r w:rsidRPr="00660B23">
        <w:rPr>
          <w:vertAlign w:val="superscript"/>
          <w:lang w:val="en-GB"/>
        </w:rPr>
        <w:footnoteReference w:id="34"/>
      </w:r>
      <w:r w:rsidRPr="00660B23">
        <w:rPr>
          <w:lang w:val="en-GB"/>
        </w:rPr>
        <w:t xml:space="preserve"> In addition, although rape is criminalised in Yemen, national legislation does not criminalise marital rape, nor </w:t>
      </w:r>
      <w:r w:rsidR="002923D8" w:rsidRPr="00660B23">
        <w:rPr>
          <w:lang w:val="en-GB"/>
        </w:rPr>
        <w:t>does the government provide</w:t>
      </w:r>
      <w:r w:rsidRPr="00660B23">
        <w:rPr>
          <w:lang w:val="en-GB"/>
        </w:rPr>
        <w:t xml:space="preserve"> services for survivors of marital rape; this leaves women survivors exposed to long-term physical and psychological traumas, and allows perpetrators to go unpunished. </w:t>
      </w:r>
    </w:p>
    <w:p w14:paraId="7AAC0D26" w14:textId="77777777" w:rsidR="00FC5887" w:rsidRPr="00660B23" w:rsidRDefault="00FC5887" w:rsidP="00FC5887">
      <w:pPr>
        <w:pStyle w:val="Normal1"/>
        <w:rPr>
          <w:lang w:val="en-GB"/>
        </w:rPr>
      </w:pPr>
    </w:p>
    <w:p w14:paraId="5885D0E6" w14:textId="7F74EA77" w:rsidR="00FA4B5F" w:rsidRPr="00660B23" w:rsidRDefault="005253BB" w:rsidP="003E770E">
      <w:pPr>
        <w:pStyle w:val="Heading2"/>
        <w:rPr>
          <w:lang w:val="en-GB"/>
        </w:rPr>
      </w:pPr>
      <w:bookmarkStart w:id="23" w:name="_Toc29476226"/>
      <w:bookmarkStart w:id="24" w:name="_Toc31637191"/>
      <w:r w:rsidRPr="00660B23">
        <w:rPr>
          <w:lang w:val="en-GB"/>
        </w:rPr>
        <w:lastRenderedPageBreak/>
        <w:t>Lack of accountability</w:t>
      </w:r>
      <w:bookmarkEnd w:id="23"/>
      <w:bookmarkEnd w:id="24"/>
    </w:p>
    <w:p w14:paraId="1B6EB0ED" w14:textId="01B62A1C" w:rsidR="005253BB" w:rsidRPr="00660B23" w:rsidRDefault="005253BB" w:rsidP="008B0BF4">
      <w:pPr>
        <w:rPr>
          <w:lang w:val="en-GB"/>
        </w:rPr>
      </w:pPr>
      <w:r w:rsidRPr="00660B23">
        <w:rPr>
          <w:lang w:val="en-GB"/>
        </w:rPr>
        <w:t xml:space="preserve">The increase in gender-based violence and lack of accountability for these violations is partly due to the fact that the country currently does not have a system in place to address either domestic violence or gender-based violence more generally. While conflict has been a driving factor in the increase of cases of gender-based violence, such violence is rooted in the pre-existing severe discrimination against women in the Yemeni legal system. Many laws, including the Personal Status Law and the Penal Code, indeed contain discriminatory provisions against women. Discriminatory legal provisions coupled with the collapse of the legal system have contributed to the deterioration of the protection of women. This is compounded by the lack of support structures for survivors of gender-based violence, with shelters </w:t>
      </w:r>
      <w:r w:rsidR="00D23452" w:rsidRPr="00660B23">
        <w:rPr>
          <w:lang w:val="en-GB"/>
        </w:rPr>
        <w:t xml:space="preserve">available </w:t>
      </w:r>
      <w:r w:rsidRPr="00660B23">
        <w:rPr>
          <w:lang w:val="en-GB"/>
        </w:rPr>
        <w:t>in only four governorates.</w:t>
      </w:r>
      <w:r w:rsidRPr="00660B23">
        <w:rPr>
          <w:vertAlign w:val="superscript"/>
          <w:lang w:val="en-GB"/>
        </w:rPr>
        <w:footnoteReference w:id="35"/>
      </w:r>
    </w:p>
    <w:p w14:paraId="008643AD" w14:textId="77777777" w:rsidR="005253BB" w:rsidRPr="00660B23" w:rsidRDefault="005253BB" w:rsidP="008B0BF4">
      <w:pPr>
        <w:rPr>
          <w:lang w:val="en-GB"/>
        </w:rPr>
      </w:pPr>
    </w:p>
    <w:p w14:paraId="39DEF394" w14:textId="274565F9" w:rsidR="005253BB" w:rsidRPr="00660B23" w:rsidRDefault="005253BB" w:rsidP="008B0BF4">
      <w:pPr>
        <w:rPr>
          <w:lang w:val="en-GB"/>
        </w:rPr>
      </w:pPr>
      <w:r w:rsidRPr="00660B23">
        <w:rPr>
          <w:lang w:val="en-GB"/>
        </w:rPr>
        <w:t>The National Commission to Investigate Alleged Violations of Human Rights established by the government in 2015 produce reports that are usually gender blind and the team does not include any gender expert, which reflects a need for them to have a stronger gender mainstreaming.</w:t>
      </w:r>
      <w:r w:rsidRPr="00660B23">
        <w:rPr>
          <w:vertAlign w:val="superscript"/>
          <w:lang w:val="en-GB"/>
        </w:rPr>
        <w:footnoteReference w:id="36"/>
      </w:r>
      <w:r w:rsidRPr="00660B23">
        <w:rPr>
          <w:lang w:val="en-GB"/>
        </w:rPr>
        <w:t xml:space="preserve"> </w:t>
      </w:r>
    </w:p>
    <w:p w14:paraId="3933434B" w14:textId="77777777" w:rsidR="005253BB" w:rsidRPr="00660B23" w:rsidRDefault="005253BB" w:rsidP="008B0BF4">
      <w:pPr>
        <w:rPr>
          <w:lang w:val="en-GB"/>
        </w:rPr>
      </w:pPr>
    </w:p>
    <w:p w14:paraId="7EA960F8" w14:textId="15B8B333" w:rsidR="005253BB" w:rsidRPr="00660B23" w:rsidRDefault="005253BB" w:rsidP="008B0BF4">
      <w:pPr>
        <w:rPr>
          <w:lang w:val="en-GB"/>
        </w:rPr>
      </w:pPr>
      <w:r w:rsidRPr="00660B23">
        <w:rPr>
          <w:lang w:val="en-GB"/>
        </w:rPr>
        <w:t xml:space="preserve">No concrete reparation programme has been established yet. It is essential to ensure that any transitional justice and reparation measures are not based on existing discriminatory laws against women (such as in inheritance matters, where women inherit half as much as men), in order to make sure that compensation measures reach women effectively and do not further entrench discriminatory practices. </w:t>
      </w:r>
    </w:p>
    <w:p w14:paraId="42FA0A4C" w14:textId="77777777" w:rsidR="005253BB" w:rsidRPr="00660B23" w:rsidRDefault="005253BB" w:rsidP="008B0BF4">
      <w:pPr>
        <w:rPr>
          <w:lang w:val="en-GB"/>
        </w:rPr>
      </w:pPr>
    </w:p>
    <w:p w14:paraId="30779E6B" w14:textId="4353DAE1" w:rsidR="005253BB" w:rsidRPr="00660B23" w:rsidRDefault="005253BB" w:rsidP="00387F9A">
      <w:pPr>
        <w:rPr>
          <w:lang w:val="en-GB"/>
        </w:rPr>
      </w:pPr>
      <w:r w:rsidRPr="00660B23">
        <w:rPr>
          <w:lang w:val="en-GB"/>
        </w:rPr>
        <w:t>In 2014 the National Dialogue Conference,</w:t>
      </w:r>
      <w:r w:rsidRPr="00660B23">
        <w:rPr>
          <w:rStyle w:val="FootnoteReference"/>
          <w:lang w:val="en-GB"/>
        </w:rPr>
        <w:footnoteReference w:id="37"/>
      </w:r>
      <w:r w:rsidR="00163C1A" w:rsidRPr="00660B23">
        <w:rPr>
          <w:rStyle w:val="FootnoteReference"/>
          <w:lang w:val="en-GB"/>
        </w:rPr>
        <w:t xml:space="preserve"> </w:t>
      </w:r>
      <w:r w:rsidRPr="00660B23">
        <w:rPr>
          <w:lang w:val="en-GB"/>
        </w:rPr>
        <w:t xml:space="preserve">led by both women and men in Yemen, made recommendations to overturn many of these discriminatory customs and laws. However, these remain unimplemented. </w:t>
      </w:r>
      <w:r w:rsidRPr="00660B23">
        <w:rPr>
          <w:b/>
          <w:vertAlign w:val="superscript"/>
          <w:lang w:val="en-GB"/>
        </w:rPr>
        <w:t xml:space="preserve"> </w:t>
      </w:r>
    </w:p>
    <w:p w14:paraId="0A3FB1CA" w14:textId="28E3BBBC" w:rsidR="005253BB" w:rsidRPr="00660B23" w:rsidRDefault="005253BB" w:rsidP="00B378B8">
      <w:pPr>
        <w:pStyle w:val="Heading3"/>
        <w:rPr>
          <w:lang w:val="en-GB"/>
        </w:rPr>
      </w:pPr>
      <w:bookmarkStart w:id="25" w:name="_Toc29476228"/>
      <w:bookmarkStart w:id="26" w:name="_Toc29547587"/>
      <w:bookmarkStart w:id="27" w:name="_Toc31637192"/>
      <w:r w:rsidRPr="00660B23">
        <w:rPr>
          <w:lang w:val="en-GB"/>
        </w:rPr>
        <w:t>Questions</w:t>
      </w:r>
      <w:bookmarkEnd w:id="25"/>
      <w:bookmarkEnd w:id="26"/>
      <w:bookmarkEnd w:id="27"/>
    </w:p>
    <w:p w14:paraId="7C2ED03F" w14:textId="7198FBFC" w:rsidR="005253BB" w:rsidRPr="00660B23" w:rsidRDefault="005253BB" w:rsidP="005A5780">
      <w:pPr>
        <w:pStyle w:val="ListParagraph"/>
        <w:numPr>
          <w:ilvl w:val="0"/>
          <w:numId w:val="19"/>
        </w:numPr>
        <w:rPr>
          <w:lang w:val="en-GB"/>
        </w:rPr>
      </w:pPr>
      <w:r w:rsidRPr="00660B23">
        <w:rPr>
          <w:b/>
          <w:lang w:val="en-GB"/>
        </w:rPr>
        <w:t>What steps is the government taking to</w:t>
      </w:r>
      <w:r w:rsidR="0024381A" w:rsidRPr="00660B23">
        <w:rPr>
          <w:b/>
          <w:lang w:val="en-GB"/>
        </w:rPr>
        <w:t xml:space="preserve"> ensure a</w:t>
      </w:r>
      <w:r w:rsidRPr="00660B23">
        <w:rPr>
          <w:b/>
          <w:lang w:val="en-GB"/>
        </w:rPr>
        <w:t xml:space="preserve"> ban </w:t>
      </w:r>
      <w:r w:rsidR="0024381A" w:rsidRPr="00660B23">
        <w:rPr>
          <w:b/>
          <w:lang w:val="en-GB"/>
        </w:rPr>
        <w:t xml:space="preserve">on </w:t>
      </w:r>
      <w:r w:rsidRPr="00660B23">
        <w:rPr>
          <w:b/>
          <w:lang w:val="en-GB"/>
        </w:rPr>
        <w:t>child marriage and</w:t>
      </w:r>
      <w:r w:rsidR="0024381A" w:rsidRPr="00660B23">
        <w:rPr>
          <w:b/>
          <w:lang w:val="en-GB"/>
        </w:rPr>
        <w:t xml:space="preserve"> that </w:t>
      </w:r>
      <w:r w:rsidRPr="00660B23">
        <w:rPr>
          <w:b/>
          <w:lang w:val="en-GB"/>
        </w:rPr>
        <w:t xml:space="preserve"> the minimum age of marriage </w:t>
      </w:r>
      <w:r w:rsidR="00387F9A" w:rsidRPr="00660B23">
        <w:rPr>
          <w:b/>
          <w:lang w:val="en-GB"/>
        </w:rPr>
        <w:t>be</w:t>
      </w:r>
      <w:r w:rsidR="0024381A" w:rsidRPr="00660B23">
        <w:rPr>
          <w:b/>
          <w:lang w:val="en-GB"/>
        </w:rPr>
        <w:t xml:space="preserve"> set </w:t>
      </w:r>
      <w:r w:rsidR="00387F9A" w:rsidRPr="00660B23">
        <w:rPr>
          <w:b/>
          <w:lang w:val="en-GB"/>
        </w:rPr>
        <w:t>at</w:t>
      </w:r>
      <w:r w:rsidRPr="00660B23">
        <w:rPr>
          <w:b/>
          <w:lang w:val="en-GB"/>
        </w:rPr>
        <w:t xml:space="preserve"> 18</w:t>
      </w:r>
      <w:r w:rsidRPr="00660B23">
        <w:rPr>
          <w:lang w:val="en-GB"/>
        </w:rPr>
        <w:t xml:space="preserve">? </w:t>
      </w:r>
    </w:p>
    <w:p w14:paraId="2AF7E9DD" w14:textId="507D6437" w:rsidR="005253BB" w:rsidRPr="00660B23" w:rsidRDefault="005253BB" w:rsidP="00B378B8">
      <w:pPr>
        <w:pStyle w:val="ListParagraph"/>
        <w:numPr>
          <w:ilvl w:val="0"/>
          <w:numId w:val="19"/>
        </w:numPr>
        <w:rPr>
          <w:lang w:val="en-GB"/>
        </w:rPr>
      </w:pPr>
      <w:r w:rsidRPr="00660B23">
        <w:rPr>
          <w:b/>
          <w:lang w:val="en-GB"/>
        </w:rPr>
        <w:lastRenderedPageBreak/>
        <w:t xml:space="preserve">What steps have been taken towards amending discriminatory domestic laws against women, such as the Personal Status Law and the Penal code, especially with regard to male guardianship and control over women, in order to bring them in line with CEDAW? </w:t>
      </w:r>
    </w:p>
    <w:p w14:paraId="654308B2" w14:textId="2E349F9F" w:rsidR="005253BB" w:rsidRPr="00660B23" w:rsidRDefault="005253BB" w:rsidP="005A5780">
      <w:pPr>
        <w:pStyle w:val="ListParagraph"/>
        <w:numPr>
          <w:ilvl w:val="0"/>
          <w:numId w:val="19"/>
        </w:numPr>
        <w:rPr>
          <w:lang w:val="en-GB"/>
        </w:rPr>
      </w:pPr>
      <w:r w:rsidRPr="00660B23">
        <w:rPr>
          <w:b/>
          <w:lang w:val="en-GB"/>
        </w:rPr>
        <w:t>When will the President issue special presidential decrees to protect and safeguard women’s rights based on the National Dialogue Conference outcomes and in line with CEDAW?</w:t>
      </w:r>
    </w:p>
    <w:p w14:paraId="57B18415" w14:textId="1507F380" w:rsidR="005253BB" w:rsidRPr="00660B23" w:rsidRDefault="005253BB" w:rsidP="001E542A">
      <w:pPr>
        <w:pStyle w:val="ListParagraph"/>
        <w:numPr>
          <w:ilvl w:val="0"/>
          <w:numId w:val="19"/>
        </w:numPr>
        <w:rPr>
          <w:lang w:val="en-GB"/>
        </w:rPr>
      </w:pPr>
      <w:r w:rsidRPr="00660B23">
        <w:rPr>
          <w:b/>
          <w:lang w:val="en-GB"/>
        </w:rPr>
        <w:t>What steps have been taken to ensure that reparation programmes</w:t>
      </w:r>
      <w:r w:rsidR="006E0843" w:rsidRPr="00660B23">
        <w:rPr>
          <w:b/>
          <w:lang w:val="en-GB"/>
        </w:rPr>
        <w:t xml:space="preserve"> and</w:t>
      </w:r>
      <w:r w:rsidR="00550794" w:rsidRPr="00660B23">
        <w:rPr>
          <w:b/>
          <w:lang w:val="en-GB"/>
        </w:rPr>
        <w:t xml:space="preserve"> </w:t>
      </w:r>
      <w:r w:rsidRPr="00660B23">
        <w:rPr>
          <w:b/>
          <w:lang w:val="en-GB"/>
        </w:rPr>
        <w:t xml:space="preserve">transitional justice mechanisms for all survivors of sexual and gender-based violence </w:t>
      </w:r>
      <w:r w:rsidR="00387F9A" w:rsidRPr="00660B23">
        <w:rPr>
          <w:b/>
          <w:lang w:val="en-GB"/>
        </w:rPr>
        <w:t>be</w:t>
      </w:r>
      <w:r w:rsidRPr="00660B23">
        <w:rPr>
          <w:b/>
          <w:lang w:val="en-GB"/>
        </w:rPr>
        <w:t xml:space="preserve"> developed without delay, and that survivors are fully involved in their design, implementation, monitoring and evaluation</w:t>
      </w:r>
      <w:r w:rsidR="005A5780" w:rsidRPr="00660B23">
        <w:rPr>
          <w:b/>
          <w:lang w:val="en-GB"/>
        </w:rPr>
        <w:t>?</w:t>
      </w:r>
    </w:p>
    <w:p w14:paraId="37C1F81D" w14:textId="51F49D1A" w:rsidR="00387F9A" w:rsidRPr="00660B23" w:rsidRDefault="00387F9A" w:rsidP="00387F9A">
      <w:pPr>
        <w:pStyle w:val="ListParagraph"/>
        <w:numPr>
          <w:ilvl w:val="0"/>
          <w:numId w:val="19"/>
        </w:numPr>
        <w:rPr>
          <w:lang w:val="en-GB"/>
        </w:rPr>
      </w:pPr>
      <w:r w:rsidRPr="00660B23">
        <w:rPr>
          <w:b/>
          <w:lang w:val="en-GB"/>
        </w:rPr>
        <w:t>Provide information on plans to put in place a comprehensive gender-based violence response programme comprising support to survivors, such as health services, shelters, psychosocial support, financial and legal aid, and ensure the availability and accessibility of these services in all regions.</w:t>
      </w:r>
    </w:p>
    <w:p w14:paraId="352FADAC" w14:textId="3EF4EDB1" w:rsidR="005253BB" w:rsidRPr="00660B23" w:rsidRDefault="005253BB" w:rsidP="005A5780">
      <w:pPr>
        <w:pStyle w:val="ListParagraph"/>
        <w:numPr>
          <w:ilvl w:val="0"/>
          <w:numId w:val="19"/>
        </w:numPr>
        <w:rPr>
          <w:lang w:val="en-GB"/>
        </w:rPr>
      </w:pPr>
      <w:r w:rsidRPr="00660B23">
        <w:rPr>
          <w:b/>
          <w:lang w:val="en-GB"/>
        </w:rPr>
        <w:t xml:space="preserve">When and how will the government ensure the appointment of gender experts on the National Mechanism for Investigating Alleged Human Rights Violations and gender-sensitive reporting by this body? </w:t>
      </w:r>
    </w:p>
    <w:p w14:paraId="297F437D" w14:textId="77777777" w:rsidR="005253BB" w:rsidRPr="00660B23" w:rsidRDefault="005253BB" w:rsidP="001E542A">
      <w:pPr>
        <w:pStyle w:val="ListParagraph"/>
        <w:numPr>
          <w:ilvl w:val="0"/>
          <w:numId w:val="19"/>
        </w:numPr>
        <w:rPr>
          <w:b/>
          <w:lang w:val="en-GB"/>
        </w:rPr>
      </w:pPr>
      <w:r w:rsidRPr="00660B23">
        <w:rPr>
          <w:b/>
          <w:lang w:val="en-GB"/>
        </w:rPr>
        <w:t>What steps have been taken for Yemen to become party to the Optional Protocol to CEDAW?</w:t>
      </w:r>
    </w:p>
    <w:p w14:paraId="124CDACB" w14:textId="77777777" w:rsidR="005253BB" w:rsidRPr="00660B23" w:rsidRDefault="005253BB" w:rsidP="008B0BF4">
      <w:pPr>
        <w:rPr>
          <w:lang w:val="en-GB"/>
        </w:rPr>
      </w:pPr>
    </w:p>
    <w:p w14:paraId="244EEA9A" w14:textId="18F86A4F" w:rsidR="005253BB" w:rsidRPr="00660B23" w:rsidRDefault="003A4369" w:rsidP="001E542A">
      <w:pPr>
        <w:pStyle w:val="Heading1"/>
        <w:rPr>
          <w:lang w:val="en-GB"/>
        </w:rPr>
      </w:pPr>
      <w:bookmarkStart w:id="28" w:name="_Toc29476229"/>
      <w:bookmarkStart w:id="29" w:name="_Toc29547588"/>
      <w:bookmarkStart w:id="30" w:name="_Toc31637193"/>
      <w:r w:rsidRPr="00660B23">
        <w:rPr>
          <w:lang w:val="en-GB"/>
        </w:rPr>
        <w:t>IV.</w:t>
      </w:r>
      <w:r w:rsidRPr="00660B23">
        <w:rPr>
          <w:lang w:val="en-GB"/>
        </w:rPr>
        <w:tab/>
      </w:r>
      <w:r w:rsidR="005253BB" w:rsidRPr="00660B23">
        <w:rPr>
          <w:lang w:val="en-GB"/>
        </w:rPr>
        <w:t>Arbitrary Detention and Enforced Disappearance</w:t>
      </w:r>
      <w:bookmarkEnd w:id="28"/>
      <w:bookmarkEnd w:id="29"/>
      <w:bookmarkEnd w:id="30"/>
      <w:r w:rsidR="005253BB" w:rsidRPr="00660B23">
        <w:rPr>
          <w:lang w:val="en-GB"/>
        </w:rPr>
        <w:t xml:space="preserve"> </w:t>
      </w:r>
    </w:p>
    <w:p w14:paraId="028AD99C" w14:textId="10C2744B" w:rsidR="005253BB" w:rsidRPr="00660B23" w:rsidRDefault="005253BB" w:rsidP="008B0BF4">
      <w:pPr>
        <w:rPr>
          <w:lang w:val="en-GB"/>
        </w:rPr>
      </w:pPr>
      <w:r w:rsidRPr="00660B23">
        <w:rPr>
          <w:lang w:val="en-GB"/>
        </w:rPr>
        <w:t xml:space="preserve">Arbitrary detention and enforced disappearance have become commonly used as a tactic of war by all parties. The Association of Mothers of Abductees (AMA) – a group of mothers who organised themselves in 2016 with a common goal to release their loved ones documented over the years the following numbers: </w:t>
      </w:r>
    </w:p>
    <w:p w14:paraId="0EF41207" w14:textId="77777777" w:rsidR="005A5780" w:rsidRPr="00660B23" w:rsidRDefault="005A5780" w:rsidP="008B0BF4">
      <w:pPr>
        <w:rPr>
          <w:lang w:val="en-GB"/>
        </w:rPr>
      </w:pPr>
    </w:p>
    <w:p w14:paraId="23CAE9F9" w14:textId="77777777" w:rsidR="005253BB" w:rsidRPr="00660B23" w:rsidRDefault="005253BB" w:rsidP="005A5780">
      <w:pPr>
        <w:ind w:left="720"/>
        <w:rPr>
          <w:lang w:val="en-GB"/>
        </w:rPr>
      </w:pPr>
      <w:r w:rsidRPr="00660B23">
        <w:rPr>
          <w:lang w:val="en-GB"/>
        </w:rPr>
        <w:t xml:space="preserve">In 2016: 3449 cases of arbitrary detention and enforced disappearance.  </w:t>
      </w:r>
    </w:p>
    <w:p w14:paraId="3A7EC70F" w14:textId="77777777" w:rsidR="005253BB" w:rsidRPr="00660B23" w:rsidRDefault="005253BB" w:rsidP="005A5780">
      <w:pPr>
        <w:ind w:left="720"/>
        <w:rPr>
          <w:lang w:val="en-GB"/>
        </w:rPr>
      </w:pPr>
      <w:r w:rsidRPr="00660B23">
        <w:rPr>
          <w:lang w:val="en-GB"/>
        </w:rPr>
        <w:t>In 2017: 6068 cases of arbitrary detention and enforced disappearance cases</w:t>
      </w:r>
      <w:r w:rsidRPr="00660B23">
        <w:rPr>
          <w:vertAlign w:val="superscript"/>
          <w:lang w:val="en-GB"/>
        </w:rPr>
        <w:footnoteReference w:id="38"/>
      </w:r>
      <w:r w:rsidRPr="00660B23">
        <w:rPr>
          <w:lang w:val="en-GB"/>
        </w:rPr>
        <w:t xml:space="preserve">. </w:t>
      </w:r>
    </w:p>
    <w:p w14:paraId="4FE60BD4" w14:textId="47609A1C" w:rsidR="00DF47BD" w:rsidRPr="00660B23" w:rsidRDefault="005253BB" w:rsidP="00DF47BD">
      <w:pPr>
        <w:ind w:left="720"/>
        <w:rPr>
          <w:lang w:val="en-GB"/>
        </w:rPr>
      </w:pPr>
      <w:r w:rsidRPr="00660B23">
        <w:rPr>
          <w:lang w:val="en-GB"/>
        </w:rPr>
        <w:t>In 2018: 1496 cases of kidnapping and arbitrary detention (including 114 cases of kidnapping of women) and 294 cases of enforced disappearance.</w:t>
      </w:r>
      <w:r w:rsidRPr="00660B23">
        <w:rPr>
          <w:vertAlign w:val="superscript"/>
          <w:lang w:val="en-GB"/>
        </w:rPr>
        <w:footnoteReference w:id="39"/>
      </w:r>
      <w:r w:rsidRPr="00660B23">
        <w:rPr>
          <w:lang w:val="en-GB"/>
        </w:rPr>
        <w:t xml:space="preserve"> </w:t>
      </w:r>
    </w:p>
    <w:p w14:paraId="295563DF" w14:textId="77777777" w:rsidR="005253BB" w:rsidRPr="00660B23" w:rsidRDefault="005253BB" w:rsidP="008B0BF4">
      <w:pPr>
        <w:rPr>
          <w:lang w:val="en-GB"/>
        </w:rPr>
      </w:pPr>
      <w:bookmarkStart w:id="31" w:name="_3znysh7" w:colFirst="0" w:colLast="0"/>
      <w:bookmarkEnd w:id="31"/>
    </w:p>
    <w:p w14:paraId="4BE52E37" w14:textId="77777777" w:rsidR="005253BB" w:rsidRPr="00660B23" w:rsidRDefault="005253BB" w:rsidP="008B0BF4">
      <w:pPr>
        <w:rPr>
          <w:lang w:val="en-GB"/>
        </w:rPr>
      </w:pPr>
      <w:r w:rsidRPr="00660B23">
        <w:rPr>
          <w:lang w:val="en-GB"/>
        </w:rPr>
        <w:lastRenderedPageBreak/>
        <w:t>The security forces are not following legal standards on detention, with many long-term detentions without prosecution and with reports of torture.</w:t>
      </w:r>
      <w:r w:rsidRPr="00660B23">
        <w:rPr>
          <w:vertAlign w:val="superscript"/>
          <w:lang w:val="en-GB"/>
        </w:rPr>
        <w:footnoteReference w:id="40"/>
      </w:r>
      <w:r w:rsidRPr="00660B23">
        <w:rPr>
          <w:lang w:val="en-GB"/>
        </w:rPr>
        <w:t xml:space="preserve"> Young women whose names had been mentioned during interrogations by security forces had to flee Aden to seek asylum outside of the country. The security commanders and personnel perpetrating those violations still remain in their positions without any accountability. </w:t>
      </w:r>
    </w:p>
    <w:p w14:paraId="322AC368" w14:textId="77777777" w:rsidR="005253BB" w:rsidRPr="00660B23" w:rsidRDefault="005253BB" w:rsidP="008B0BF4">
      <w:pPr>
        <w:rPr>
          <w:lang w:val="en-GB"/>
        </w:rPr>
      </w:pPr>
    </w:p>
    <w:p w14:paraId="1CD6B1F5" w14:textId="6B74C5FE" w:rsidR="005253BB" w:rsidRPr="00660B23" w:rsidRDefault="005253BB" w:rsidP="001E542A">
      <w:pPr>
        <w:rPr>
          <w:lang w:val="en-GB"/>
        </w:rPr>
      </w:pPr>
      <w:r w:rsidRPr="00660B23">
        <w:rPr>
          <w:lang w:val="en-GB"/>
        </w:rPr>
        <w:t xml:space="preserve">Women human rights defenders, political activists and women belonging to certain minorities, such as the Baha’is, have experienced arbitrary detentions and enforced disappearances, mostly in Houthi-controlled areas. The Women Alliance for Peace in Yemen documented 288 cases of arbitrary detention of women by </w:t>
      </w:r>
      <w:r w:rsidR="00387F9A" w:rsidRPr="00660B23">
        <w:rPr>
          <w:lang w:val="en-GB"/>
        </w:rPr>
        <w:t xml:space="preserve">the </w:t>
      </w:r>
      <w:r w:rsidRPr="00660B23">
        <w:rPr>
          <w:lang w:val="en-GB"/>
        </w:rPr>
        <w:t>Houthis</w:t>
      </w:r>
      <w:r w:rsidR="00387F9A" w:rsidRPr="00660B23">
        <w:rPr>
          <w:lang w:val="en-GB"/>
        </w:rPr>
        <w:t>.</w:t>
      </w:r>
      <w:r w:rsidRPr="00660B23">
        <w:rPr>
          <w:vertAlign w:val="superscript"/>
          <w:lang w:val="en-GB"/>
        </w:rPr>
        <w:footnoteReference w:id="41"/>
      </w:r>
      <w:r w:rsidR="00387F9A" w:rsidRPr="00660B23">
        <w:rPr>
          <w:lang w:val="en-GB"/>
        </w:rPr>
        <w:t xml:space="preserve"> </w:t>
      </w:r>
      <w:r w:rsidR="00322C3E" w:rsidRPr="00660B23">
        <w:rPr>
          <w:lang w:val="en-GB"/>
        </w:rPr>
        <w:t xml:space="preserve">These were women who were politically affiliated to the General’s People’s Congress party, women journalists and human rights </w:t>
      </w:r>
      <w:r w:rsidR="005B1C8F" w:rsidRPr="00660B23">
        <w:rPr>
          <w:lang w:val="en-GB"/>
        </w:rPr>
        <w:t>defenders</w:t>
      </w:r>
      <w:r w:rsidR="00322C3E" w:rsidRPr="00660B23">
        <w:rPr>
          <w:lang w:val="en-GB"/>
        </w:rPr>
        <w:t xml:space="preserve">, women humanitarian workers, and women working to promote peacebuilding. </w:t>
      </w:r>
      <w:r w:rsidRPr="00660B23">
        <w:rPr>
          <w:lang w:val="en-GB"/>
        </w:rPr>
        <w:t>Similarly, the GEE has found evidence that all parties to the conflict, during the period extending from 20016 to 2019, have used sexual violence in detention</w:t>
      </w:r>
      <w:r w:rsidR="006874C5" w:rsidRPr="00660B23">
        <w:rPr>
          <w:lang w:val="en-GB"/>
        </w:rPr>
        <w:t xml:space="preserve"> </w:t>
      </w:r>
      <w:r w:rsidRPr="00660B23">
        <w:rPr>
          <w:lang w:val="en-GB"/>
        </w:rPr>
        <w:t>“to torture, physically harm, traumatise, humiliate, and subjugate detainees.”</w:t>
      </w:r>
      <w:r w:rsidRPr="00660B23">
        <w:rPr>
          <w:vertAlign w:val="superscript"/>
          <w:lang w:val="en-GB"/>
        </w:rPr>
        <w:footnoteReference w:id="42"/>
      </w:r>
      <w:r w:rsidRPr="00660B23">
        <w:rPr>
          <w:lang w:val="en-GB"/>
        </w:rPr>
        <w:t xml:space="preserve"> The GEE has also referred </w:t>
      </w:r>
      <w:r w:rsidR="00EF49C9" w:rsidRPr="00660B23">
        <w:rPr>
          <w:lang w:val="en-GB"/>
        </w:rPr>
        <w:t xml:space="preserve">to unverified reports </w:t>
      </w:r>
      <w:r w:rsidR="003257CD" w:rsidRPr="00660B23">
        <w:rPr>
          <w:lang w:val="en-GB"/>
        </w:rPr>
        <w:t xml:space="preserve">– requiring further investigation -- </w:t>
      </w:r>
      <w:r w:rsidR="00EF49C9" w:rsidRPr="00660B23">
        <w:rPr>
          <w:lang w:val="en-GB"/>
        </w:rPr>
        <w:t xml:space="preserve">of </w:t>
      </w:r>
      <w:r w:rsidRPr="00660B23">
        <w:rPr>
          <w:lang w:val="en-GB"/>
        </w:rPr>
        <w:t xml:space="preserve"> “wider detention-related violations against women in detention facilities under the control of all parties to the conflict, including sexual violence in detention</w:t>
      </w:r>
      <w:r w:rsidR="00387F9A" w:rsidRPr="00660B23">
        <w:rPr>
          <w:lang w:val="en-GB"/>
        </w:rPr>
        <w:t>.</w:t>
      </w:r>
      <w:r w:rsidRPr="00660B23">
        <w:rPr>
          <w:lang w:val="en-GB"/>
        </w:rPr>
        <w:t>”</w:t>
      </w:r>
      <w:r w:rsidRPr="00660B23">
        <w:rPr>
          <w:vertAlign w:val="superscript"/>
          <w:lang w:val="en-GB"/>
        </w:rPr>
        <w:footnoteReference w:id="43"/>
      </w:r>
      <w:r w:rsidRPr="00660B23">
        <w:rPr>
          <w:lang w:val="en-GB"/>
        </w:rPr>
        <w:t xml:space="preserve"> Documenting these violations remains a major challenge since many victims and their families are reluctant, out of fear of retaliation, to report their missing relatives and disclose information about cases of arbitrary detention, abduction and enforced disappearance. Nevertheless, </w:t>
      </w:r>
      <w:r w:rsidR="006E0843" w:rsidRPr="00660B23">
        <w:rPr>
          <w:lang w:val="en-GB"/>
        </w:rPr>
        <w:t xml:space="preserve">local </w:t>
      </w:r>
      <w:r w:rsidR="00322C3E" w:rsidRPr="00660B23">
        <w:rPr>
          <w:lang w:val="en-GB"/>
        </w:rPr>
        <w:t xml:space="preserve">women’s </w:t>
      </w:r>
      <w:r w:rsidRPr="00660B23">
        <w:rPr>
          <w:lang w:val="en-GB"/>
        </w:rPr>
        <w:t>movements are still taking</w:t>
      </w:r>
      <w:r w:rsidR="00B378B8" w:rsidRPr="00660B23">
        <w:rPr>
          <w:lang w:val="en-GB"/>
        </w:rPr>
        <w:t xml:space="preserve"> </w:t>
      </w:r>
      <w:r w:rsidRPr="00660B23">
        <w:rPr>
          <w:lang w:val="en-GB"/>
        </w:rPr>
        <w:t>action to demand the release of the disappeared and the arbitrarily detained.</w:t>
      </w:r>
    </w:p>
    <w:p w14:paraId="0800E4DB" w14:textId="3184BD3D" w:rsidR="005253BB" w:rsidRPr="00660B23" w:rsidRDefault="005253BB" w:rsidP="001E542A">
      <w:pPr>
        <w:pStyle w:val="Heading3"/>
        <w:rPr>
          <w:lang w:val="en-GB"/>
        </w:rPr>
      </w:pPr>
      <w:bookmarkStart w:id="32" w:name="_Toc29476230"/>
      <w:bookmarkStart w:id="33" w:name="_Toc29547589"/>
      <w:bookmarkStart w:id="34" w:name="_Toc31637194"/>
      <w:r w:rsidRPr="00660B23">
        <w:rPr>
          <w:lang w:val="en-GB"/>
        </w:rPr>
        <w:t>Questions</w:t>
      </w:r>
      <w:bookmarkEnd w:id="32"/>
      <w:bookmarkEnd w:id="33"/>
      <w:bookmarkEnd w:id="34"/>
      <w:r w:rsidRPr="00660B23">
        <w:rPr>
          <w:lang w:val="en-GB"/>
        </w:rPr>
        <w:t xml:space="preserve"> </w:t>
      </w:r>
    </w:p>
    <w:p w14:paraId="2558646D" w14:textId="38346322" w:rsidR="005253BB" w:rsidRPr="00660B23" w:rsidRDefault="005253BB" w:rsidP="001E542A">
      <w:pPr>
        <w:pStyle w:val="ListParagraph"/>
        <w:numPr>
          <w:ilvl w:val="0"/>
          <w:numId w:val="18"/>
        </w:numPr>
        <w:rPr>
          <w:b/>
          <w:lang w:val="en-GB"/>
        </w:rPr>
      </w:pPr>
      <w:r w:rsidRPr="00660B23">
        <w:rPr>
          <w:b/>
          <w:lang w:val="en-GB"/>
        </w:rPr>
        <w:t>How will the Yemeni government facilitate thorough and impartial investigation</w:t>
      </w:r>
      <w:r w:rsidR="00387F9A" w:rsidRPr="00660B23">
        <w:rPr>
          <w:b/>
          <w:lang w:val="en-GB"/>
        </w:rPr>
        <w:t>s</w:t>
      </w:r>
      <w:r w:rsidRPr="00660B23">
        <w:rPr>
          <w:b/>
          <w:lang w:val="en-GB"/>
        </w:rPr>
        <w:t xml:space="preserve"> without delay of the allegations against all parties to the conflict of enforced disappearances, arbitrary arrests and arbitrary detention?</w:t>
      </w:r>
    </w:p>
    <w:p w14:paraId="4B116C49" w14:textId="77777777" w:rsidR="005253BB" w:rsidRPr="00660B23" w:rsidRDefault="005253BB" w:rsidP="001E542A">
      <w:pPr>
        <w:pStyle w:val="ListParagraph"/>
        <w:numPr>
          <w:ilvl w:val="0"/>
          <w:numId w:val="18"/>
        </w:numPr>
        <w:rPr>
          <w:b/>
          <w:lang w:val="en-GB"/>
        </w:rPr>
      </w:pPr>
      <w:r w:rsidRPr="00660B23">
        <w:rPr>
          <w:b/>
          <w:lang w:val="en-GB"/>
        </w:rPr>
        <w:lastRenderedPageBreak/>
        <w:t>What steps have been taken towards allowing immediate and unconditional access to all places of detention by independent monitors and, at a minimum, by humanitarian organisations such as the International Committee of the Red Cross?</w:t>
      </w:r>
    </w:p>
    <w:p w14:paraId="7673F951" w14:textId="77777777" w:rsidR="005253BB" w:rsidRPr="00660B23" w:rsidRDefault="005253BB" w:rsidP="001E542A">
      <w:pPr>
        <w:pStyle w:val="ListParagraph"/>
        <w:numPr>
          <w:ilvl w:val="0"/>
          <w:numId w:val="18"/>
        </w:numPr>
        <w:rPr>
          <w:lang w:val="en-GB"/>
        </w:rPr>
      </w:pPr>
      <w:r w:rsidRPr="00660B23">
        <w:rPr>
          <w:b/>
          <w:lang w:val="en-GB"/>
        </w:rPr>
        <w:t>Describe plans to reveal the fate and location of victims of enforced disappearances and of arbitrarily detained persons, including provisions of official statistics on the number of detainees and the places of detention. How will the government facilitate the establishment of inquiry centres across the country?</w:t>
      </w:r>
    </w:p>
    <w:p w14:paraId="4223B7EC" w14:textId="77777777" w:rsidR="00B378B8" w:rsidRPr="00660B23" w:rsidRDefault="005253BB" w:rsidP="00B378B8">
      <w:pPr>
        <w:pStyle w:val="ListParagraph"/>
        <w:numPr>
          <w:ilvl w:val="0"/>
          <w:numId w:val="18"/>
        </w:numPr>
        <w:rPr>
          <w:b/>
          <w:lang w:val="en-GB"/>
        </w:rPr>
      </w:pPr>
      <w:r w:rsidRPr="00660B23">
        <w:rPr>
          <w:b/>
          <w:lang w:val="en-GB"/>
        </w:rPr>
        <w:t>What steps have been taken to ensure that any person deprived of liberty is held in a recognised place of detention and has the right to challenge his or her detention before an independent and impartial body?</w:t>
      </w:r>
    </w:p>
    <w:p w14:paraId="16677E23" w14:textId="09DB6E50" w:rsidR="005253BB" w:rsidRPr="00660B23" w:rsidRDefault="005253BB" w:rsidP="00B378B8">
      <w:pPr>
        <w:pStyle w:val="ListParagraph"/>
        <w:numPr>
          <w:ilvl w:val="0"/>
          <w:numId w:val="18"/>
        </w:numPr>
        <w:rPr>
          <w:b/>
          <w:lang w:val="en-GB"/>
        </w:rPr>
      </w:pPr>
      <w:r w:rsidRPr="00660B23">
        <w:rPr>
          <w:b/>
          <w:lang w:val="en-GB"/>
        </w:rPr>
        <w:t>What measures have been taken to ensure that enhanced protection mechanisms for women human rights defenders and women political activists be put in place to respond to the specific challenges they face?</w:t>
      </w:r>
    </w:p>
    <w:p w14:paraId="1B5EB81E" w14:textId="77777777" w:rsidR="005253BB" w:rsidRPr="00660B23" w:rsidRDefault="005253BB" w:rsidP="001E542A">
      <w:pPr>
        <w:pStyle w:val="ListParagraph"/>
        <w:numPr>
          <w:ilvl w:val="0"/>
          <w:numId w:val="18"/>
        </w:numPr>
        <w:rPr>
          <w:b/>
          <w:lang w:val="en-GB"/>
        </w:rPr>
      </w:pPr>
      <w:r w:rsidRPr="00660B23">
        <w:rPr>
          <w:b/>
          <w:lang w:val="en-GB"/>
        </w:rPr>
        <w:t>What are the measures that the state is taking/will take in order to protect the families of detainees, and identify and address the gendered and disproportionate impact of detention on women relatives?</w:t>
      </w:r>
    </w:p>
    <w:p w14:paraId="1BCA219B" w14:textId="7B4682B5" w:rsidR="005253BB" w:rsidRPr="00660B23" w:rsidRDefault="005253BB" w:rsidP="001E542A">
      <w:pPr>
        <w:pStyle w:val="ListParagraph"/>
        <w:numPr>
          <w:ilvl w:val="0"/>
          <w:numId w:val="18"/>
        </w:numPr>
        <w:rPr>
          <w:b/>
          <w:lang w:val="en-GB"/>
        </w:rPr>
      </w:pPr>
      <w:r w:rsidRPr="00660B23">
        <w:rPr>
          <w:b/>
          <w:lang w:val="en-GB"/>
        </w:rPr>
        <w:t>How will the State ensure that families of the disappeared or arbitrarily detained be included in any transitional justice process?</w:t>
      </w:r>
    </w:p>
    <w:p w14:paraId="70376B89" w14:textId="77777777" w:rsidR="00010974" w:rsidRPr="00660B23" w:rsidRDefault="00010974" w:rsidP="008B0BF4">
      <w:pPr>
        <w:rPr>
          <w:b/>
          <w:lang w:val="en-GB"/>
        </w:rPr>
      </w:pPr>
    </w:p>
    <w:p w14:paraId="7803CC5A" w14:textId="6AE19C7B" w:rsidR="005253BB" w:rsidRPr="00660B23" w:rsidRDefault="003A4369" w:rsidP="001E542A">
      <w:pPr>
        <w:pStyle w:val="Heading1"/>
        <w:rPr>
          <w:lang w:val="en-GB"/>
        </w:rPr>
      </w:pPr>
      <w:bookmarkStart w:id="35" w:name="_Toc29476231"/>
      <w:bookmarkStart w:id="36" w:name="_Toc29547590"/>
      <w:bookmarkStart w:id="37" w:name="_Toc31637195"/>
      <w:r w:rsidRPr="00660B23">
        <w:rPr>
          <w:lang w:val="en-GB"/>
        </w:rPr>
        <w:t>V.</w:t>
      </w:r>
      <w:r w:rsidRPr="00660B23">
        <w:rPr>
          <w:lang w:val="en-GB"/>
        </w:rPr>
        <w:tab/>
        <w:t xml:space="preserve"> </w:t>
      </w:r>
      <w:r w:rsidR="005253BB" w:rsidRPr="00660B23">
        <w:rPr>
          <w:lang w:val="en-GB"/>
        </w:rPr>
        <w:t>Arms Proliferation and Explosive Weapons</w:t>
      </w:r>
      <w:bookmarkEnd w:id="35"/>
      <w:bookmarkEnd w:id="36"/>
      <w:bookmarkEnd w:id="37"/>
      <w:r w:rsidR="005253BB" w:rsidRPr="00660B23">
        <w:rPr>
          <w:lang w:val="en-GB"/>
        </w:rPr>
        <w:t xml:space="preserve"> </w:t>
      </w:r>
    </w:p>
    <w:p w14:paraId="44C38E55" w14:textId="77777777" w:rsidR="005253BB" w:rsidRPr="00660B23" w:rsidRDefault="005253BB" w:rsidP="008B0BF4">
      <w:pPr>
        <w:rPr>
          <w:lang w:val="en-GB"/>
        </w:rPr>
      </w:pPr>
      <w:r w:rsidRPr="00660B23">
        <w:rPr>
          <w:lang w:val="en-GB"/>
        </w:rPr>
        <w:t>Before the outbreak of the conflict in Yemen, the proliferation of arms had always been an issue of utmost concern. In 2010, it was estimated that there were between eight and 11.5 million weapons owned by civilians.</w:t>
      </w:r>
      <w:r w:rsidRPr="00660B23">
        <w:rPr>
          <w:vertAlign w:val="superscript"/>
          <w:lang w:val="en-GB"/>
        </w:rPr>
        <w:footnoteReference w:id="44"/>
      </w:r>
      <w:r w:rsidRPr="00660B23">
        <w:rPr>
          <w:lang w:val="en-GB"/>
        </w:rPr>
        <w:t xml:space="preserve"> In 2007, Yemen ranked tenth out of 178 countries for privately owned firearms and second for privately owned firearms per 100 people, with about 54.8 firearms per 100 people.</w:t>
      </w:r>
      <w:r w:rsidRPr="00660B23">
        <w:rPr>
          <w:vertAlign w:val="superscript"/>
          <w:lang w:val="en-GB"/>
        </w:rPr>
        <w:footnoteReference w:id="45"/>
      </w:r>
      <w:r w:rsidRPr="00660B23">
        <w:rPr>
          <w:lang w:val="en-GB"/>
        </w:rPr>
        <w:t xml:space="preserve"> </w:t>
      </w:r>
    </w:p>
    <w:p w14:paraId="1D38339D" w14:textId="77777777" w:rsidR="005253BB" w:rsidRPr="00660B23" w:rsidRDefault="005253BB" w:rsidP="008B0BF4">
      <w:pPr>
        <w:rPr>
          <w:lang w:val="en-GB"/>
        </w:rPr>
      </w:pPr>
    </w:p>
    <w:p w14:paraId="4D0486D1" w14:textId="757A8298" w:rsidR="005253BB" w:rsidRPr="00660B23" w:rsidRDefault="005253BB" w:rsidP="001E542A">
      <w:pPr>
        <w:rPr>
          <w:lang w:val="en-GB"/>
        </w:rPr>
      </w:pPr>
      <w:r w:rsidRPr="00660B23">
        <w:rPr>
          <w:lang w:val="en-GB"/>
        </w:rPr>
        <w:t>The proliferation of arms has increased due to the conflict. As of August 2016, 19 Arms Trade Treaty State Parties and three signatories have either authorised or delivered arms transfers to Saudi Arabia, the country that is leading the coalition supporting the Hadi government.</w:t>
      </w:r>
      <w:r w:rsidRPr="00660B23">
        <w:rPr>
          <w:vertAlign w:val="superscript"/>
          <w:lang w:val="en-GB"/>
        </w:rPr>
        <w:footnoteReference w:id="46"/>
      </w:r>
      <w:r w:rsidRPr="00660B23">
        <w:rPr>
          <w:lang w:val="en-GB"/>
        </w:rPr>
        <w:t xml:space="preserve"> Arms transfers to other </w:t>
      </w:r>
      <w:r w:rsidRPr="00660B23">
        <w:rPr>
          <w:lang w:val="en-GB"/>
        </w:rPr>
        <w:lastRenderedPageBreak/>
        <w:t>coalition members have also continued.</w:t>
      </w:r>
      <w:r w:rsidRPr="00660B23">
        <w:rPr>
          <w:vertAlign w:val="superscript"/>
          <w:lang w:val="en-GB"/>
        </w:rPr>
        <w:footnoteReference w:id="47"/>
      </w:r>
      <w:r w:rsidRPr="00660B23">
        <w:rPr>
          <w:lang w:val="en-GB"/>
        </w:rPr>
        <w:t xml:space="preserve"> The GEE is among of the UN human rights mechanisms to have expressed very serious concerns about the continued transfers of weapons to parties to the conflict.</w:t>
      </w:r>
      <w:r w:rsidRPr="00660B23">
        <w:rPr>
          <w:vertAlign w:val="superscript"/>
          <w:lang w:val="en-GB"/>
        </w:rPr>
        <w:footnoteReference w:id="48"/>
      </w:r>
    </w:p>
    <w:p w14:paraId="77F101A5" w14:textId="77777777" w:rsidR="00B378B8" w:rsidRPr="00660B23" w:rsidRDefault="00B378B8" w:rsidP="001E542A">
      <w:pPr>
        <w:rPr>
          <w:lang w:val="en-GB"/>
        </w:rPr>
      </w:pPr>
    </w:p>
    <w:p w14:paraId="41B4D44C" w14:textId="79DCA299" w:rsidR="005253BB" w:rsidRPr="00660B23" w:rsidRDefault="005253BB" w:rsidP="008B0BF4">
      <w:pPr>
        <w:rPr>
          <w:lang w:val="en-GB"/>
        </w:rPr>
      </w:pPr>
      <w:r w:rsidRPr="00660B23">
        <w:rPr>
          <w:lang w:val="en-GB"/>
        </w:rPr>
        <w:t>Human rights violations, abuses and violations of international humanitarian law have been committed by all parties to the conflict. The Saudi-led coalition airstrikes have targeted schools, hospitals, markets, weddings and funerals, and continue to be the leading cause of civilian casualties.</w:t>
      </w:r>
      <w:r w:rsidRPr="00660B23">
        <w:rPr>
          <w:vertAlign w:val="superscript"/>
          <w:lang w:val="en-GB"/>
        </w:rPr>
        <w:footnoteReference w:id="49"/>
      </w:r>
      <w:r w:rsidRPr="00660B23">
        <w:rPr>
          <w:lang w:val="en-GB"/>
        </w:rPr>
        <w:t xml:space="preserve"> According to the GEE, “</w:t>
      </w:r>
      <w:r w:rsidRPr="00660B23">
        <w:rPr>
          <w:bCs/>
          <w:lang w:val="en-GB"/>
        </w:rPr>
        <w:t>shelling and airstrikes hit people going about their daily lives, often without warning in areas where there is no active combat ongoing, creating the sense that there is no safe place to hide from the fighting.”</w:t>
      </w:r>
      <w:r w:rsidRPr="00660B23">
        <w:rPr>
          <w:bCs/>
          <w:vertAlign w:val="superscript"/>
          <w:lang w:val="en-GB"/>
        </w:rPr>
        <w:footnoteReference w:id="50"/>
      </w:r>
      <w:r w:rsidRPr="00660B23">
        <w:rPr>
          <w:bCs/>
          <w:lang w:val="en-GB"/>
        </w:rPr>
        <w:t xml:space="preserve"> </w:t>
      </w:r>
      <w:r w:rsidRPr="00660B23">
        <w:rPr>
          <w:lang w:val="en-GB"/>
        </w:rPr>
        <w:t>While the coalition has formed the Joint Incident Assessment Team (JIAT) to investigate unlawful airstrikes in 2017, civil society groups have reported the continued targeting of civilians and the disproportionate repercussions inflicted on women. One of JIAT’s objectives is to refer cases to reparation services, but it is not clear how to access the reparation services and whether these services are gender responsive. The JIAT has also pointed out that the targeting process is provided by Yemeni informants affiliated to the government.</w:t>
      </w:r>
      <w:r w:rsidRPr="00660B23">
        <w:rPr>
          <w:vertAlign w:val="superscript"/>
          <w:lang w:val="en-GB"/>
        </w:rPr>
        <w:footnoteReference w:id="51"/>
      </w:r>
      <w:r w:rsidRPr="00660B23">
        <w:rPr>
          <w:lang w:val="en-GB"/>
        </w:rPr>
        <w:t xml:space="preserve">  </w:t>
      </w:r>
    </w:p>
    <w:p w14:paraId="51412F51" w14:textId="77777777" w:rsidR="005253BB" w:rsidRPr="00660B23" w:rsidRDefault="005253BB" w:rsidP="008B0BF4">
      <w:pPr>
        <w:rPr>
          <w:lang w:val="en-GB"/>
        </w:rPr>
      </w:pPr>
    </w:p>
    <w:p w14:paraId="249FBDA1" w14:textId="430121F5" w:rsidR="005253BB" w:rsidRPr="00660B23" w:rsidRDefault="005253BB" w:rsidP="001E542A">
      <w:pPr>
        <w:pStyle w:val="Heading2"/>
        <w:rPr>
          <w:lang w:val="en-GB"/>
        </w:rPr>
      </w:pPr>
      <w:bookmarkStart w:id="38" w:name="_Toc29476233"/>
      <w:bookmarkStart w:id="39" w:name="_Toc31637196"/>
      <w:r w:rsidRPr="00660B23">
        <w:rPr>
          <w:lang w:val="en-GB"/>
        </w:rPr>
        <w:t>Military depots and mines</w:t>
      </w:r>
      <w:bookmarkEnd w:id="38"/>
      <w:bookmarkEnd w:id="39"/>
    </w:p>
    <w:p w14:paraId="23C46B4A" w14:textId="04E23724" w:rsidR="005253BB" w:rsidRPr="00660B23" w:rsidRDefault="005253BB" w:rsidP="005A5780">
      <w:pPr>
        <w:rPr>
          <w:lang w:val="en-GB"/>
        </w:rPr>
      </w:pPr>
      <w:r w:rsidRPr="00660B23">
        <w:rPr>
          <w:lang w:val="en-GB"/>
        </w:rPr>
        <w:t xml:space="preserve">Most military depots and camps are located within </w:t>
      </w:r>
      <w:r w:rsidR="005B1C8F" w:rsidRPr="00660B23">
        <w:rPr>
          <w:lang w:val="en-GB"/>
        </w:rPr>
        <w:t>populated areas</w:t>
      </w:r>
      <w:r w:rsidRPr="00660B23">
        <w:rPr>
          <w:lang w:val="en-GB"/>
        </w:rPr>
        <w:t xml:space="preserve">, </w:t>
      </w:r>
      <w:r w:rsidR="006E0843" w:rsidRPr="00660B23">
        <w:rPr>
          <w:lang w:val="en-GB"/>
        </w:rPr>
        <w:t xml:space="preserve">therefore </w:t>
      </w:r>
      <w:r w:rsidRPr="00660B23">
        <w:rPr>
          <w:lang w:val="en-GB"/>
        </w:rPr>
        <w:t xml:space="preserve">placing </w:t>
      </w:r>
      <w:r w:rsidR="005B1C8F" w:rsidRPr="00660B23">
        <w:rPr>
          <w:lang w:val="en-GB"/>
        </w:rPr>
        <w:t>civilians</w:t>
      </w:r>
      <w:r w:rsidR="006E0843" w:rsidRPr="00660B23">
        <w:rPr>
          <w:lang w:val="en-GB"/>
        </w:rPr>
        <w:t xml:space="preserve"> </w:t>
      </w:r>
      <w:r w:rsidRPr="00660B23">
        <w:rPr>
          <w:lang w:val="en-GB"/>
        </w:rPr>
        <w:t xml:space="preserve">at huge risk. Women interviewed in different governorates by the Women Solidarity Network, including areas recaptured by government forces, have demanded the removal of military depots and camps from residential areas, starting with the areas recaptured from the Houthis. While the recent Riyadh </w:t>
      </w:r>
      <w:r w:rsidRPr="00660B23">
        <w:rPr>
          <w:lang w:val="en-GB"/>
        </w:rPr>
        <w:lastRenderedPageBreak/>
        <w:t>agreement signed by the internationally recognised government and the South Transitional Council included as a condition the removal of military camps from Aden within 30 days of signing, this still has not been implemented two months after the signature</w:t>
      </w:r>
      <w:r w:rsidR="005A5780" w:rsidRPr="00660B23">
        <w:rPr>
          <w:lang w:val="en-GB"/>
        </w:rPr>
        <w:t>.</w:t>
      </w:r>
      <w:r w:rsidRPr="00660B23">
        <w:rPr>
          <w:vertAlign w:val="superscript"/>
          <w:lang w:val="en-GB"/>
        </w:rPr>
        <w:footnoteReference w:id="52"/>
      </w:r>
    </w:p>
    <w:p w14:paraId="1AE1E3EB" w14:textId="77777777" w:rsidR="005A5780" w:rsidRPr="00660B23" w:rsidRDefault="005A5780" w:rsidP="005A5780">
      <w:pPr>
        <w:rPr>
          <w:lang w:val="en-GB"/>
        </w:rPr>
      </w:pPr>
    </w:p>
    <w:p w14:paraId="41E5B2CF" w14:textId="08DF3EF7" w:rsidR="005B1F4A" w:rsidRPr="00660B23" w:rsidRDefault="005253BB" w:rsidP="00660B23">
      <w:pPr>
        <w:rPr>
          <w:lang w:val="en-GB"/>
        </w:rPr>
      </w:pPr>
      <w:r w:rsidRPr="00660B23">
        <w:rPr>
          <w:lang w:val="en-GB"/>
        </w:rPr>
        <w:t>The government is not putting enough resources to support the process of demining or to support the victims of mines including access to health care.</w:t>
      </w:r>
    </w:p>
    <w:p w14:paraId="43EA4650" w14:textId="77777777" w:rsidR="005B1F4A" w:rsidRPr="00660B23" w:rsidRDefault="005B1F4A" w:rsidP="005B1F4A">
      <w:pPr>
        <w:pStyle w:val="Heading3"/>
        <w:rPr>
          <w:lang w:val="en-GB"/>
        </w:rPr>
      </w:pPr>
      <w:bookmarkStart w:id="40" w:name="_Toc31637197"/>
      <w:r w:rsidRPr="00660B23">
        <w:rPr>
          <w:lang w:val="en-GB"/>
        </w:rPr>
        <w:t>Questions</w:t>
      </w:r>
      <w:bookmarkEnd w:id="40"/>
    </w:p>
    <w:p w14:paraId="0D983C96" w14:textId="77777777" w:rsidR="005B1F4A" w:rsidRPr="00660B23" w:rsidRDefault="005B1F4A" w:rsidP="005B1F4A">
      <w:pPr>
        <w:pStyle w:val="ListParagraph"/>
        <w:numPr>
          <w:ilvl w:val="0"/>
          <w:numId w:val="20"/>
        </w:numPr>
        <w:rPr>
          <w:b/>
          <w:bCs/>
          <w:lang w:val="en-GB"/>
        </w:rPr>
      </w:pPr>
      <w:r w:rsidRPr="00660B23">
        <w:rPr>
          <w:b/>
          <w:bCs/>
          <w:lang w:val="en-GB"/>
        </w:rPr>
        <w:t xml:space="preserve">What steps has the government taken to ensure the ceasing of indiscriminate attacks on and targeting of civilians and to put pressure on the Saudi-led Coalition to halt airstrikes in highly populated residential areas? </w:t>
      </w:r>
    </w:p>
    <w:p w14:paraId="245911F2" w14:textId="77777777" w:rsidR="005B1F4A" w:rsidRPr="00660B23" w:rsidRDefault="005B1F4A" w:rsidP="005B1F4A">
      <w:pPr>
        <w:pStyle w:val="ListParagraph"/>
        <w:numPr>
          <w:ilvl w:val="0"/>
          <w:numId w:val="20"/>
        </w:numPr>
        <w:rPr>
          <w:b/>
          <w:bCs/>
          <w:lang w:val="en-GB"/>
        </w:rPr>
      </w:pPr>
      <w:r w:rsidRPr="00660B23">
        <w:rPr>
          <w:b/>
          <w:bCs/>
          <w:lang w:val="en-GB"/>
        </w:rPr>
        <w:t xml:space="preserve">What steps has the government taken to remove military camps and depots from populated areas? </w:t>
      </w:r>
    </w:p>
    <w:p w14:paraId="08124763" w14:textId="77777777" w:rsidR="005B1F4A" w:rsidRPr="00660B23" w:rsidRDefault="005B1F4A" w:rsidP="005B1F4A">
      <w:pPr>
        <w:pStyle w:val="ListParagraph"/>
        <w:numPr>
          <w:ilvl w:val="0"/>
          <w:numId w:val="20"/>
        </w:numPr>
        <w:rPr>
          <w:b/>
          <w:bCs/>
          <w:lang w:val="en-GB"/>
        </w:rPr>
      </w:pPr>
      <w:r w:rsidRPr="00660B23">
        <w:rPr>
          <w:b/>
          <w:bCs/>
          <w:lang w:val="en-GB"/>
        </w:rPr>
        <w:t>What steps have been taken to ensure that urgent assistance, appropriate compensation and support be provided to those wounded and their families, or to the families of those killed?</w:t>
      </w:r>
    </w:p>
    <w:p w14:paraId="4049459B" w14:textId="77777777" w:rsidR="005B1F4A" w:rsidRPr="00660B23" w:rsidRDefault="005B1F4A" w:rsidP="005B1F4A">
      <w:pPr>
        <w:pStyle w:val="ListParagraph"/>
        <w:numPr>
          <w:ilvl w:val="0"/>
          <w:numId w:val="20"/>
        </w:numPr>
        <w:rPr>
          <w:b/>
          <w:bCs/>
          <w:lang w:val="en-GB"/>
        </w:rPr>
      </w:pPr>
      <w:r w:rsidRPr="00660B23">
        <w:rPr>
          <w:b/>
          <w:bCs/>
          <w:lang w:val="en-GB"/>
        </w:rPr>
        <w:t>How will the state contribute to ensuring that maps of areas affected by landmines and explosive devices be developed as part of confidence-building measures in the context of peace negotiations?</w:t>
      </w:r>
    </w:p>
    <w:p w14:paraId="0D9262F0" w14:textId="04633AE8" w:rsidR="005B1F4A" w:rsidRPr="00660B23" w:rsidRDefault="005B1F4A" w:rsidP="005B1F4A">
      <w:pPr>
        <w:pStyle w:val="ListParagraph"/>
        <w:numPr>
          <w:ilvl w:val="0"/>
          <w:numId w:val="20"/>
        </w:numPr>
        <w:rPr>
          <w:b/>
          <w:bCs/>
          <w:lang w:val="en-GB"/>
        </w:rPr>
      </w:pPr>
      <w:r w:rsidRPr="00660B23">
        <w:rPr>
          <w:b/>
          <w:bCs/>
          <w:lang w:val="en-GB"/>
        </w:rPr>
        <w:t xml:space="preserve">What urgent measures will be taken to remove landmines and other explosive devices, as well as to develop gender sensitive programmes to protect civilians and to care for survivors of mines? </w:t>
      </w:r>
    </w:p>
    <w:p w14:paraId="5F6067B5" w14:textId="77777777" w:rsidR="008919CD" w:rsidRPr="00660B23" w:rsidRDefault="008919CD" w:rsidP="008919CD">
      <w:pPr>
        <w:pStyle w:val="Heading1"/>
        <w:rPr>
          <w:lang w:val="en-GB"/>
        </w:rPr>
      </w:pPr>
    </w:p>
    <w:p w14:paraId="572B9173" w14:textId="6C6D7FC6" w:rsidR="005253BB" w:rsidRPr="00660B23" w:rsidRDefault="008919CD" w:rsidP="008919CD">
      <w:pPr>
        <w:pStyle w:val="Heading1"/>
        <w:rPr>
          <w:lang w:val="en-GB"/>
        </w:rPr>
      </w:pPr>
      <w:bookmarkStart w:id="41" w:name="_Toc31637198"/>
      <w:r w:rsidRPr="00660B23">
        <w:rPr>
          <w:lang w:val="en-GB"/>
        </w:rPr>
        <w:t xml:space="preserve">VI. </w:t>
      </w:r>
      <w:r w:rsidR="005253BB" w:rsidRPr="00660B23">
        <w:rPr>
          <w:lang w:val="en-GB"/>
        </w:rPr>
        <w:t>Child recruitment</w:t>
      </w:r>
      <w:bookmarkEnd w:id="41"/>
      <w:r w:rsidR="005253BB" w:rsidRPr="00660B23">
        <w:rPr>
          <w:lang w:val="en-GB"/>
        </w:rPr>
        <w:t xml:space="preserve"> </w:t>
      </w:r>
    </w:p>
    <w:p w14:paraId="391F1927" w14:textId="6952F54B" w:rsidR="00CA0F36" w:rsidRPr="00660B23" w:rsidRDefault="00CA0F36" w:rsidP="00660B23">
      <w:pPr>
        <w:rPr>
          <w:lang w:val="en-GB"/>
        </w:rPr>
      </w:pPr>
      <w:r w:rsidRPr="00660B23">
        <w:rPr>
          <w:lang w:val="en-GB"/>
        </w:rPr>
        <w:t>Children have been recruited and used in hostilities by all parties to the conflict. Although the Houthis are the main recruiters of child soldiers, other parties, such as government-affiliated forces and their allies, also do so.</w:t>
      </w:r>
      <w:r w:rsidRPr="00660B23">
        <w:rPr>
          <w:vertAlign w:val="superscript"/>
          <w:lang w:val="en-GB"/>
        </w:rPr>
        <w:footnoteReference w:id="53"/>
      </w:r>
      <w:r w:rsidRPr="00660B23">
        <w:rPr>
          <w:lang w:val="en-GB"/>
        </w:rPr>
        <w:t xml:space="preserve"> </w:t>
      </w:r>
    </w:p>
    <w:p w14:paraId="2E991F6E" w14:textId="77777777" w:rsidR="00660B23" w:rsidRPr="00660B23" w:rsidRDefault="00660B23" w:rsidP="00660B23">
      <w:pPr>
        <w:rPr>
          <w:lang w:val="en-GB"/>
        </w:rPr>
      </w:pPr>
    </w:p>
    <w:p w14:paraId="125FB6BD" w14:textId="05EFE59F" w:rsidR="00923020" w:rsidRPr="00660B23" w:rsidRDefault="0058641E" w:rsidP="00923020">
      <w:pPr>
        <w:rPr>
          <w:lang w:val="en-GB"/>
        </w:rPr>
      </w:pPr>
      <w:r w:rsidRPr="00660B23">
        <w:rPr>
          <w:rFonts w:cstheme="majorBidi"/>
          <w:lang w:val="en-GB"/>
        </w:rPr>
        <w:lastRenderedPageBreak/>
        <w:t>The</w:t>
      </w:r>
      <w:r w:rsidR="00F84270" w:rsidRPr="00660B23">
        <w:rPr>
          <w:rFonts w:cstheme="majorBidi"/>
          <w:lang w:val="en-GB"/>
        </w:rPr>
        <w:t xml:space="preserve"> GEE has indicated that “Yemen has passed a corresponding national law that includes a ban on recruiting and using children under the age of 18 as soldiers. However, Yemeni law does not criminalize the recruitment and use in hostilities of children under the age of 18.”</w:t>
      </w:r>
      <w:r w:rsidR="00F84270" w:rsidRPr="00660B23">
        <w:rPr>
          <w:rStyle w:val="FootnoteReference"/>
          <w:rFonts w:cstheme="majorBidi"/>
          <w:lang w:val="en-GB"/>
        </w:rPr>
        <w:footnoteReference w:id="54"/>
      </w:r>
      <w:r w:rsidR="00F84270" w:rsidRPr="00660B23">
        <w:rPr>
          <w:rFonts w:cstheme="majorBidi"/>
          <w:lang w:val="en-GB"/>
        </w:rPr>
        <w:t xml:space="preserve">  </w:t>
      </w:r>
      <w:r w:rsidR="00923020" w:rsidRPr="00660B23">
        <w:rPr>
          <w:lang w:val="en-GB"/>
        </w:rPr>
        <w:t>This in spite</w:t>
      </w:r>
      <w:r w:rsidR="00CA0F36" w:rsidRPr="00660B23">
        <w:rPr>
          <w:lang w:val="en-GB"/>
        </w:rPr>
        <w:t xml:space="preserve"> </w:t>
      </w:r>
      <w:r w:rsidR="00A53749" w:rsidRPr="00660B23">
        <w:rPr>
          <w:lang w:val="en-GB"/>
        </w:rPr>
        <w:t xml:space="preserve">of </w:t>
      </w:r>
      <w:r w:rsidR="00CA0F36" w:rsidRPr="00660B23">
        <w:rPr>
          <w:lang w:val="en-GB"/>
        </w:rPr>
        <w:t xml:space="preserve">Yemen’s obligations, including under the Optional Protocol to the Convention on the Rights of the Child on the Involvement of Children in Armed Conflict, and </w:t>
      </w:r>
      <w:r w:rsidR="00B276E3" w:rsidRPr="00660B23">
        <w:rPr>
          <w:lang w:val="en-GB"/>
        </w:rPr>
        <w:t xml:space="preserve">of </w:t>
      </w:r>
      <w:r w:rsidR="00923020" w:rsidRPr="00660B23">
        <w:rPr>
          <w:lang w:val="en-GB"/>
        </w:rPr>
        <w:t>a specific recommendation made by the Committee on the Rights of the Child in 2014 in this regard.</w:t>
      </w:r>
      <w:r w:rsidR="00923020" w:rsidRPr="00660B23">
        <w:rPr>
          <w:vertAlign w:val="superscript"/>
          <w:lang w:val="en-GB"/>
        </w:rPr>
        <w:footnoteReference w:id="55"/>
      </w:r>
    </w:p>
    <w:p w14:paraId="102F3D6F" w14:textId="77777777" w:rsidR="00660B23" w:rsidRPr="00660B23" w:rsidRDefault="00660B23" w:rsidP="00923020">
      <w:pPr>
        <w:rPr>
          <w:lang w:val="en-GB"/>
        </w:rPr>
      </w:pPr>
    </w:p>
    <w:p w14:paraId="3FD04551" w14:textId="435788FD" w:rsidR="005253BB" w:rsidRPr="00660B23" w:rsidRDefault="005253BB" w:rsidP="00923020">
      <w:pPr>
        <w:rPr>
          <w:lang w:val="en-GB"/>
        </w:rPr>
      </w:pPr>
      <w:r w:rsidRPr="00660B23">
        <w:rPr>
          <w:lang w:val="en-GB"/>
        </w:rPr>
        <w:t>Child recruitment and child abuse remained largely underreported because of security threats, the fear of retribution against monitors and communities and stigmatization</w:t>
      </w:r>
      <w:r w:rsidRPr="00660B23">
        <w:rPr>
          <w:vertAlign w:val="superscript"/>
          <w:lang w:val="en-GB"/>
        </w:rPr>
        <w:footnoteReference w:id="56"/>
      </w:r>
      <w:r w:rsidRPr="00660B23">
        <w:rPr>
          <w:lang w:val="en-GB"/>
        </w:rPr>
        <w:t>. The children recruited for the conflict in Yemen are not only Yemenis. There are reports that Sudanese children have joined the conflict in Yemen to fight on behalf of Saudi Arabia pushed by families impoverished by a conflict in their own country.</w:t>
      </w:r>
      <w:r w:rsidRPr="00660B23">
        <w:rPr>
          <w:vertAlign w:val="superscript"/>
          <w:lang w:val="en-GB"/>
        </w:rPr>
        <w:footnoteReference w:id="57"/>
      </w:r>
      <w:r w:rsidRPr="00660B23">
        <w:rPr>
          <w:lang w:val="en-GB"/>
        </w:rPr>
        <w:t xml:space="preserve"> The </w:t>
      </w:r>
      <w:r w:rsidR="00CA0F36" w:rsidRPr="00660B23">
        <w:rPr>
          <w:lang w:val="en-GB"/>
        </w:rPr>
        <w:t>UN P</w:t>
      </w:r>
      <w:r w:rsidRPr="00660B23">
        <w:rPr>
          <w:lang w:val="en-GB"/>
        </w:rPr>
        <w:t xml:space="preserve">anel of </w:t>
      </w:r>
      <w:r w:rsidR="00CA0F36" w:rsidRPr="00660B23">
        <w:rPr>
          <w:lang w:val="en-GB"/>
        </w:rPr>
        <w:t>E</w:t>
      </w:r>
      <w:r w:rsidRPr="00660B23">
        <w:rPr>
          <w:lang w:val="en-GB"/>
        </w:rPr>
        <w:t>xperts on Yemen has reported that food scarcity and economic insecurity “are linked directly to child recruitment by armed groups.” In addition, the families are “receiving financial incentives for their child’s involvement; orphans are particularly vulnerable to recruitment owing to a lack of food, safety and security.”</w:t>
      </w:r>
      <w:r w:rsidRPr="00660B23">
        <w:rPr>
          <w:vertAlign w:val="superscript"/>
          <w:lang w:val="en-GB"/>
        </w:rPr>
        <w:footnoteReference w:id="58"/>
      </w:r>
      <w:r w:rsidRPr="00660B23">
        <w:rPr>
          <w:lang w:val="en-GB"/>
        </w:rPr>
        <w:t xml:space="preserve"> </w:t>
      </w:r>
      <w:r w:rsidR="00CA0F36" w:rsidRPr="00660B23">
        <w:rPr>
          <w:lang w:val="en-GB"/>
        </w:rPr>
        <w:t>A report by t</w:t>
      </w:r>
      <w:r w:rsidRPr="00660B23">
        <w:rPr>
          <w:lang w:val="en-GB"/>
        </w:rPr>
        <w:t>he UN Secretary General</w:t>
      </w:r>
      <w:r w:rsidR="00CA0F36" w:rsidRPr="00660B23">
        <w:rPr>
          <w:lang w:val="en-GB"/>
        </w:rPr>
        <w:t xml:space="preserve"> </w:t>
      </w:r>
      <w:r w:rsidRPr="00660B23">
        <w:rPr>
          <w:lang w:val="en-GB"/>
        </w:rPr>
        <w:t xml:space="preserve">also indicates that increased school-dropout rates as a result of the conflict facilitated recruitment of </w:t>
      </w:r>
      <w:r w:rsidRPr="00660B23">
        <w:rPr>
          <w:lang w:val="en-GB"/>
        </w:rPr>
        <w:lastRenderedPageBreak/>
        <w:t>children.</w:t>
      </w:r>
      <w:r w:rsidRPr="00660B23">
        <w:rPr>
          <w:vertAlign w:val="superscript"/>
          <w:lang w:val="en-GB"/>
        </w:rPr>
        <w:footnoteReference w:id="59"/>
      </w:r>
      <w:r w:rsidRPr="00660B23">
        <w:rPr>
          <w:lang w:val="en-GB"/>
        </w:rPr>
        <w:t xml:space="preserve"> In July 2019, the Special Representative of the Secretary-General for Children and Armed Conflict reported that the UN </w:t>
      </w:r>
      <w:r w:rsidR="00CA0F36" w:rsidRPr="00660B23">
        <w:rPr>
          <w:lang w:val="en-GB"/>
        </w:rPr>
        <w:t xml:space="preserve">had </w:t>
      </w:r>
      <w:r w:rsidRPr="00660B23">
        <w:rPr>
          <w:lang w:val="en-GB"/>
        </w:rPr>
        <w:t>verified, for the first time, “the recruitment of 16 girls between the ages of 15 and 17 by the Houthis in Sa‘dah. The girls were used to encourage male members of their families to join the Houthis and to mobilize other women and girls to do the same. Some were also trained in the use of weapons. Boys were recruited and used as combatants and in various support roles, including as porters, guards, for patrolling and to assist in intelligence gathering.”</w:t>
      </w:r>
      <w:r w:rsidRPr="00660B23">
        <w:rPr>
          <w:vertAlign w:val="superscript"/>
          <w:lang w:val="en-GB"/>
        </w:rPr>
        <w:footnoteReference w:id="60"/>
      </w:r>
      <w:r w:rsidRPr="00660B23">
        <w:rPr>
          <w:lang w:val="en-GB"/>
        </w:rPr>
        <w:t xml:space="preserve"> </w:t>
      </w:r>
    </w:p>
    <w:p w14:paraId="34000683" w14:textId="77777777" w:rsidR="005253BB" w:rsidRPr="00660B23" w:rsidRDefault="005253BB" w:rsidP="008B0BF4">
      <w:pPr>
        <w:rPr>
          <w:lang w:val="en-GB"/>
        </w:rPr>
      </w:pPr>
    </w:p>
    <w:p w14:paraId="17AAB4A6" w14:textId="09163B13" w:rsidR="005253BB" w:rsidRPr="00660B23" w:rsidRDefault="005253BB" w:rsidP="00F81127">
      <w:pPr>
        <w:rPr>
          <w:lang w:val="en-GB"/>
        </w:rPr>
      </w:pPr>
      <w:r w:rsidRPr="00660B23">
        <w:rPr>
          <w:lang w:val="en-GB"/>
        </w:rPr>
        <w:t xml:space="preserve">The National Action Plan to end the recruitment of child soldiers signed </w:t>
      </w:r>
      <w:r w:rsidR="00923020" w:rsidRPr="00660B23">
        <w:rPr>
          <w:lang w:val="en-GB"/>
        </w:rPr>
        <w:t xml:space="preserve">between the government and </w:t>
      </w:r>
      <w:r w:rsidRPr="00660B23">
        <w:rPr>
          <w:lang w:val="en-GB"/>
        </w:rPr>
        <w:t xml:space="preserve">the UN </w:t>
      </w:r>
      <w:r w:rsidR="00923020" w:rsidRPr="00660B23">
        <w:rPr>
          <w:lang w:val="en-GB"/>
        </w:rPr>
        <w:t xml:space="preserve">in 2014 </w:t>
      </w:r>
      <w:r w:rsidRPr="00660B23">
        <w:rPr>
          <w:lang w:val="en-GB"/>
        </w:rPr>
        <w:t>has not been implemented.</w:t>
      </w:r>
      <w:r w:rsidRPr="00660B23">
        <w:rPr>
          <w:vertAlign w:val="superscript"/>
          <w:lang w:val="en-GB"/>
        </w:rPr>
        <w:footnoteReference w:id="61"/>
      </w:r>
      <w:r w:rsidRPr="00660B23">
        <w:rPr>
          <w:lang w:val="en-GB"/>
        </w:rPr>
        <w:t xml:space="preserve"> The UN suspended the demobilisation, disarmament and reintegration programmes (DDR) relating to children in 2016 on the basis that it is risky to run such programmes until a political settlement can be achieved.</w:t>
      </w:r>
      <w:r w:rsidRPr="00660B23">
        <w:rPr>
          <w:vertAlign w:val="superscript"/>
          <w:lang w:val="en-GB"/>
        </w:rPr>
        <w:footnoteReference w:id="62"/>
      </w:r>
      <w:r w:rsidRPr="00660B23">
        <w:rPr>
          <w:lang w:val="en-GB"/>
        </w:rPr>
        <w:t xml:space="preserve"> </w:t>
      </w:r>
      <w:r w:rsidR="00CA0F36" w:rsidRPr="00660B23">
        <w:rPr>
          <w:lang w:val="en-GB"/>
        </w:rPr>
        <w:t>T</w:t>
      </w:r>
      <w:r w:rsidRPr="00660B23">
        <w:rPr>
          <w:lang w:val="en-GB"/>
        </w:rPr>
        <w:t>he King Salman Center funded a civil society organisation in Mareb to run rehabilitation centre for children combatants captured. However, these efforts fall short in addressing this concern.</w:t>
      </w:r>
    </w:p>
    <w:p w14:paraId="4B10AC18" w14:textId="53B158C0" w:rsidR="005253BB" w:rsidRPr="00660B23" w:rsidRDefault="005253BB" w:rsidP="005A5780">
      <w:pPr>
        <w:pStyle w:val="Heading3"/>
        <w:rPr>
          <w:lang w:val="en-GB"/>
        </w:rPr>
      </w:pPr>
      <w:bookmarkStart w:id="42" w:name="_Toc29476234"/>
      <w:bookmarkStart w:id="43" w:name="_Toc29547591"/>
      <w:bookmarkStart w:id="44" w:name="_Toc31637199"/>
      <w:r w:rsidRPr="00660B23">
        <w:rPr>
          <w:lang w:val="en-GB"/>
        </w:rPr>
        <w:t>Questions</w:t>
      </w:r>
      <w:bookmarkEnd w:id="42"/>
      <w:bookmarkEnd w:id="43"/>
      <w:bookmarkEnd w:id="44"/>
    </w:p>
    <w:p w14:paraId="568921D5" w14:textId="0EB5F6AE" w:rsidR="005253BB" w:rsidRPr="00660B23" w:rsidRDefault="005253BB" w:rsidP="00010974">
      <w:pPr>
        <w:pStyle w:val="ListParagraph"/>
        <w:numPr>
          <w:ilvl w:val="0"/>
          <w:numId w:val="20"/>
        </w:numPr>
        <w:rPr>
          <w:b/>
          <w:bCs/>
          <w:lang w:val="en-GB"/>
        </w:rPr>
      </w:pPr>
      <w:r w:rsidRPr="00660B23">
        <w:rPr>
          <w:b/>
          <w:bCs/>
          <w:lang w:val="en-GB"/>
        </w:rPr>
        <w:t>What steps have been taken to implement the CRC’s recommendation to criminalise the recruitment or use in hostilities of children under the age of 18 by the armed forces and non-State armed groups?</w:t>
      </w:r>
      <w:r w:rsidR="00CA0F36" w:rsidRPr="00660B23">
        <w:rPr>
          <w:rStyle w:val="FootnoteReference"/>
          <w:b/>
          <w:bCs/>
          <w:lang w:val="en-GB"/>
        </w:rPr>
        <w:t xml:space="preserve"> </w:t>
      </w:r>
      <w:r w:rsidR="00CA0F36" w:rsidRPr="00660B23">
        <w:rPr>
          <w:rStyle w:val="FootnoteReference"/>
          <w:b/>
          <w:bCs/>
          <w:lang w:val="en-GB"/>
        </w:rPr>
        <w:footnoteReference w:id="63"/>
      </w:r>
      <w:r w:rsidRPr="00660B23">
        <w:rPr>
          <w:b/>
          <w:bCs/>
          <w:lang w:val="en-GB"/>
        </w:rPr>
        <w:t xml:space="preserve">  </w:t>
      </w:r>
    </w:p>
    <w:p w14:paraId="71A6A196" w14:textId="53C1CA9B" w:rsidR="005253BB" w:rsidRPr="00660B23" w:rsidRDefault="005253BB" w:rsidP="00010974">
      <w:pPr>
        <w:pStyle w:val="ListParagraph"/>
        <w:numPr>
          <w:ilvl w:val="0"/>
          <w:numId w:val="20"/>
        </w:numPr>
        <w:rPr>
          <w:b/>
          <w:bCs/>
          <w:lang w:val="en-GB"/>
        </w:rPr>
      </w:pPr>
      <w:r w:rsidRPr="00660B23">
        <w:rPr>
          <w:b/>
          <w:bCs/>
          <w:lang w:val="en-GB"/>
        </w:rPr>
        <w:t xml:space="preserve">When will the state request the resumption of the demobilisation, disarmament and reintegration (DDR) programmes as a matter of priority? Describe plans to ensure DDR programmes be gender responsive. </w:t>
      </w:r>
    </w:p>
    <w:p w14:paraId="2091E198" w14:textId="77777777" w:rsidR="005253BB" w:rsidRPr="00660B23" w:rsidRDefault="005253BB" w:rsidP="00010974">
      <w:pPr>
        <w:pStyle w:val="ListParagraph"/>
        <w:numPr>
          <w:ilvl w:val="0"/>
          <w:numId w:val="20"/>
        </w:numPr>
        <w:rPr>
          <w:b/>
          <w:bCs/>
          <w:lang w:val="en-GB"/>
        </w:rPr>
      </w:pPr>
      <w:r w:rsidRPr="00660B23">
        <w:rPr>
          <w:b/>
          <w:bCs/>
          <w:lang w:val="en-GB"/>
        </w:rPr>
        <w:t>How will the state ensure that humanitarian response plans, DDR programmes and peace negotiations effectively comprise mechanisms to support the reintegration of child combatants and ensure gender responsiveness?</w:t>
      </w:r>
    </w:p>
    <w:p w14:paraId="17883F7D" w14:textId="7D4A060E" w:rsidR="005253BB" w:rsidRPr="00660B23" w:rsidRDefault="005253BB" w:rsidP="00010974">
      <w:pPr>
        <w:pStyle w:val="ListParagraph"/>
        <w:numPr>
          <w:ilvl w:val="0"/>
          <w:numId w:val="20"/>
        </w:numPr>
        <w:rPr>
          <w:b/>
          <w:bCs/>
          <w:lang w:val="en-GB"/>
        </w:rPr>
      </w:pPr>
      <w:r w:rsidRPr="00660B23">
        <w:rPr>
          <w:b/>
          <w:bCs/>
          <w:lang w:val="en-GB"/>
        </w:rPr>
        <w:t xml:space="preserve">What steps have been taken or planned to remove military camps and depots from </w:t>
      </w:r>
      <w:r w:rsidR="00CA0F36" w:rsidRPr="00660B23">
        <w:rPr>
          <w:b/>
          <w:bCs/>
          <w:lang w:val="en-GB"/>
        </w:rPr>
        <w:t xml:space="preserve">populated </w:t>
      </w:r>
      <w:r w:rsidRPr="00660B23">
        <w:rPr>
          <w:b/>
          <w:bCs/>
          <w:lang w:val="en-GB"/>
        </w:rPr>
        <w:t>areas?</w:t>
      </w:r>
    </w:p>
    <w:p w14:paraId="60F86BE2" w14:textId="77777777" w:rsidR="005253BB" w:rsidRPr="00660B23" w:rsidRDefault="005253BB" w:rsidP="008B0BF4">
      <w:pPr>
        <w:rPr>
          <w:lang w:val="en-GB"/>
        </w:rPr>
      </w:pPr>
    </w:p>
    <w:p w14:paraId="4E0FF72A" w14:textId="681E168A" w:rsidR="005253BB" w:rsidRPr="00660B23" w:rsidRDefault="003A4369" w:rsidP="001E542A">
      <w:pPr>
        <w:pStyle w:val="Heading1"/>
        <w:rPr>
          <w:lang w:val="en-GB"/>
        </w:rPr>
      </w:pPr>
      <w:bookmarkStart w:id="45" w:name="_Toc29476235"/>
      <w:bookmarkStart w:id="46" w:name="_Toc29547592"/>
      <w:bookmarkStart w:id="47" w:name="_Toc31637200"/>
      <w:r w:rsidRPr="00660B23">
        <w:rPr>
          <w:lang w:val="en-GB"/>
        </w:rPr>
        <w:t>VI</w:t>
      </w:r>
      <w:r w:rsidR="003E770E" w:rsidRPr="00660B23">
        <w:rPr>
          <w:lang w:val="en-GB"/>
        </w:rPr>
        <w:t>I</w:t>
      </w:r>
      <w:r w:rsidRPr="00660B23">
        <w:rPr>
          <w:lang w:val="en-GB"/>
        </w:rPr>
        <w:t>.</w:t>
      </w:r>
      <w:r w:rsidRPr="00660B23">
        <w:rPr>
          <w:lang w:val="en-GB"/>
        </w:rPr>
        <w:tab/>
        <w:t xml:space="preserve"> </w:t>
      </w:r>
      <w:r w:rsidR="005253BB" w:rsidRPr="00660B23">
        <w:rPr>
          <w:lang w:val="en-GB"/>
        </w:rPr>
        <w:t>Women’s Meaningful Participation in Political and Public Life</w:t>
      </w:r>
      <w:bookmarkEnd w:id="45"/>
      <w:bookmarkEnd w:id="46"/>
      <w:bookmarkEnd w:id="47"/>
    </w:p>
    <w:p w14:paraId="25E56B11" w14:textId="008A3048" w:rsidR="005253BB" w:rsidRPr="00660B23" w:rsidRDefault="005253BB" w:rsidP="001E542A">
      <w:pPr>
        <w:rPr>
          <w:lang w:val="en-GB"/>
        </w:rPr>
      </w:pPr>
      <w:r w:rsidRPr="00660B23">
        <w:rPr>
          <w:lang w:val="en-GB"/>
        </w:rPr>
        <w:t>Despite the fact that Yemen accepted recommendations to pursue efforts to ensure the representation of women at all levels of the political process and their participation in public life without discrimination or intimidation in its last 2019 Universal Periodic Review (UPR),</w:t>
      </w:r>
      <w:r w:rsidRPr="00660B23">
        <w:rPr>
          <w:vertAlign w:val="superscript"/>
          <w:lang w:val="en-GB"/>
        </w:rPr>
        <w:footnoteReference w:id="64"/>
      </w:r>
      <w:r w:rsidRPr="00660B23">
        <w:rPr>
          <w:lang w:val="en-GB"/>
        </w:rPr>
        <w:t xml:space="preserve"> women’s political participation remains very limited. Women constitute less than 1% in the parliament and local councils.</w:t>
      </w:r>
      <w:r w:rsidRPr="00660B23">
        <w:rPr>
          <w:vertAlign w:val="superscript"/>
          <w:lang w:val="en-GB"/>
        </w:rPr>
        <w:footnoteReference w:id="65"/>
      </w:r>
      <w:r w:rsidRPr="00660B23">
        <w:rPr>
          <w:lang w:val="en-GB"/>
        </w:rPr>
        <w:t xml:space="preserve"> The representation within the government has deteriorated, with only two women as ministers in the current cabinet and three women as ambassadors. The Riyadh agreement signed on 5 November 2019 between the internationally recognised government and the South Transitional Council stipulates, </w:t>
      </w:r>
      <w:r w:rsidRPr="00660B23">
        <w:rPr>
          <w:i/>
          <w:iCs/>
          <w:lang w:val="en-GB"/>
        </w:rPr>
        <w:t>inter alia,</w:t>
      </w:r>
      <w:r w:rsidRPr="00660B23">
        <w:rPr>
          <w:lang w:val="en-GB"/>
        </w:rPr>
        <w:t xml:space="preserve"> the forming of a new government cabinet and appointing governors for Southerner governorates.</w:t>
      </w:r>
      <w:r w:rsidRPr="00660B23">
        <w:rPr>
          <w:vertAlign w:val="superscript"/>
          <w:lang w:val="en-GB"/>
        </w:rPr>
        <w:footnoteReference w:id="66"/>
      </w:r>
      <w:r w:rsidRPr="00660B23">
        <w:rPr>
          <w:lang w:val="en-GB"/>
        </w:rPr>
        <w:t xml:space="preserve"> There have been delays in forming the government. Women groups have demanded that women be included by no less than 30% as per outcomes of the 2014 National Dialogue conference. </w:t>
      </w:r>
    </w:p>
    <w:p w14:paraId="6D4928B1" w14:textId="77777777" w:rsidR="005253BB" w:rsidRPr="00660B23" w:rsidRDefault="005253BB" w:rsidP="008B0BF4">
      <w:pPr>
        <w:rPr>
          <w:lang w:val="en-GB"/>
        </w:rPr>
      </w:pPr>
    </w:p>
    <w:p w14:paraId="2AAAED03" w14:textId="6D8D9B13" w:rsidR="005253BB" w:rsidRPr="00660B23" w:rsidRDefault="005253BB" w:rsidP="001E542A">
      <w:pPr>
        <w:pStyle w:val="Heading2"/>
        <w:rPr>
          <w:lang w:val="en-GB"/>
        </w:rPr>
      </w:pPr>
      <w:bookmarkStart w:id="48" w:name="_Toc29476236"/>
      <w:bookmarkStart w:id="49" w:name="_Toc31637201"/>
      <w:r w:rsidRPr="00660B23">
        <w:rPr>
          <w:lang w:val="en-GB"/>
        </w:rPr>
        <w:t xml:space="preserve">No plans to advance women’s </w:t>
      </w:r>
      <w:r w:rsidR="00923020" w:rsidRPr="00660B23">
        <w:rPr>
          <w:lang w:val="en-GB"/>
        </w:rPr>
        <w:t xml:space="preserve">political </w:t>
      </w:r>
      <w:r w:rsidRPr="00660B23">
        <w:rPr>
          <w:lang w:val="en-GB"/>
        </w:rPr>
        <w:t>participation</w:t>
      </w:r>
      <w:bookmarkEnd w:id="48"/>
      <w:bookmarkEnd w:id="49"/>
      <w:r w:rsidR="00923020" w:rsidRPr="00660B23">
        <w:rPr>
          <w:lang w:val="en-GB"/>
        </w:rPr>
        <w:t xml:space="preserve"> </w:t>
      </w:r>
    </w:p>
    <w:p w14:paraId="6A244808" w14:textId="2C7A1F89" w:rsidR="005253BB" w:rsidRPr="00660B23" w:rsidRDefault="005253BB" w:rsidP="008B0BF4">
      <w:pPr>
        <w:rPr>
          <w:lang w:val="en-GB"/>
        </w:rPr>
      </w:pPr>
      <w:r w:rsidRPr="00660B23">
        <w:rPr>
          <w:lang w:val="en-GB"/>
        </w:rPr>
        <w:t>The Women’s National Committee (WNC), the mechanism established by the government to develop policies to advance the status of women, has not been able to operate fully since the conflict started.</w:t>
      </w:r>
      <w:r w:rsidRPr="00660B23">
        <w:rPr>
          <w:vertAlign w:val="superscript"/>
          <w:lang w:val="en-GB"/>
        </w:rPr>
        <w:footnoteReference w:id="67"/>
      </w:r>
      <w:r w:rsidRPr="00660B23">
        <w:rPr>
          <w:lang w:val="en-GB"/>
        </w:rPr>
        <w:t xml:space="preserve"> The main headquarters in Sana’a is under Houthi control and the WNC branches in areas recaptured by the government, including Aden, remain neglected. Moreover, while the government has begun to develop a National Action Plan for UN Security Council resolution 1325 (2000), women groups are concerned that it has not taken enough steps to ensure a consultative process in the drafting of the NAP</w:t>
      </w:r>
      <w:r w:rsidR="006874C5" w:rsidRPr="00660B23">
        <w:rPr>
          <w:lang w:val="en-GB"/>
        </w:rPr>
        <w:t>.</w:t>
      </w:r>
    </w:p>
    <w:p w14:paraId="0CEC41A3" w14:textId="77777777" w:rsidR="005253BB" w:rsidRPr="00660B23" w:rsidRDefault="005253BB" w:rsidP="008B0BF4">
      <w:pPr>
        <w:rPr>
          <w:b/>
          <w:bCs/>
          <w:lang w:val="en-GB"/>
        </w:rPr>
      </w:pPr>
    </w:p>
    <w:p w14:paraId="0B0B1F09" w14:textId="78004103" w:rsidR="005253BB" w:rsidRPr="00660B23" w:rsidRDefault="005253BB" w:rsidP="001E542A">
      <w:pPr>
        <w:pStyle w:val="Heading2"/>
        <w:rPr>
          <w:lang w:val="en-GB"/>
        </w:rPr>
      </w:pPr>
      <w:bookmarkStart w:id="50" w:name="_Toc29476237"/>
      <w:bookmarkStart w:id="51" w:name="_Toc31637202"/>
      <w:r w:rsidRPr="00660B23">
        <w:rPr>
          <w:lang w:val="en-GB"/>
        </w:rPr>
        <w:t>Women’s virtual absence from negotiation delegations</w:t>
      </w:r>
      <w:bookmarkEnd w:id="50"/>
      <w:bookmarkEnd w:id="51"/>
    </w:p>
    <w:p w14:paraId="44B25E35" w14:textId="2C60D902" w:rsidR="005253BB" w:rsidRPr="00660B23" w:rsidRDefault="005253BB" w:rsidP="008B0BF4">
      <w:pPr>
        <w:rPr>
          <w:lang w:val="en-GB"/>
        </w:rPr>
      </w:pPr>
      <w:r w:rsidRPr="00660B23">
        <w:rPr>
          <w:lang w:val="en-GB"/>
        </w:rPr>
        <w:t>UN Security Council Resolution 2451 (2018) clearly called for full and meaningful participation of women in peace process</w:t>
      </w:r>
      <w:r w:rsidR="00CA0F36" w:rsidRPr="00660B23">
        <w:rPr>
          <w:lang w:val="en-GB"/>
        </w:rPr>
        <w:t xml:space="preserve">; </w:t>
      </w:r>
      <w:r w:rsidRPr="00660B23">
        <w:rPr>
          <w:lang w:val="en-GB"/>
        </w:rPr>
        <w:t xml:space="preserve">a UN Security Council presidential statement of June 2017 called for </w:t>
      </w:r>
      <w:r w:rsidRPr="00660B23">
        <w:rPr>
          <w:lang w:val="en-GB"/>
        </w:rPr>
        <w:lastRenderedPageBreak/>
        <w:t>women’s participation in the negotiation delegations to be a minimum of 30%.</w:t>
      </w:r>
      <w:r w:rsidRPr="00660B23">
        <w:rPr>
          <w:vertAlign w:val="superscript"/>
          <w:lang w:val="en-GB"/>
        </w:rPr>
        <w:footnoteReference w:id="68"/>
      </w:r>
      <w:r w:rsidRPr="00660B23">
        <w:rPr>
          <w:lang w:val="en-GB"/>
        </w:rPr>
        <w:t xml:space="preserve"> President Hadi announced similar commitments during the 2017 celebration of International Women’s Day; however, these are yet to be implemented. </w:t>
      </w:r>
    </w:p>
    <w:p w14:paraId="09D4EB1A" w14:textId="77777777" w:rsidR="005253BB" w:rsidRPr="00660B23" w:rsidRDefault="005253BB" w:rsidP="008B0BF4">
      <w:pPr>
        <w:rPr>
          <w:lang w:val="en-GB"/>
        </w:rPr>
      </w:pPr>
    </w:p>
    <w:p w14:paraId="484C01BD" w14:textId="77777777" w:rsidR="005253BB" w:rsidRPr="00660B23" w:rsidRDefault="005253BB" w:rsidP="008B0BF4">
      <w:pPr>
        <w:rPr>
          <w:lang w:val="en-GB"/>
        </w:rPr>
      </w:pPr>
      <w:r w:rsidRPr="00660B23">
        <w:rPr>
          <w:lang w:val="en-GB"/>
        </w:rPr>
        <w:t>Despite Yemen also accepting recommendations in the latest UPR to continue its efforts to protect and promote women’s rights, including by giving due consideration to the application of a quota system in all State bodies as put forward by the National Conference for Women,</w:t>
      </w:r>
      <w:r w:rsidRPr="00660B23">
        <w:rPr>
          <w:vertAlign w:val="superscript"/>
          <w:lang w:val="en-GB"/>
        </w:rPr>
        <w:footnoteReference w:id="69"/>
      </w:r>
      <w:r w:rsidRPr="00660B23">
        <w:rPr>
          <w:lang w:val="en-GB"/>
        </w:rPr>
        <w:t xml:space="preserve"> the representation of women in all negotiation delegations, including the government delegation, has met the minimum 30% quota recommended under the National Dialogue Conference outcomes. Out of 28 delegates, only three were women and two advisers were in the government delegation in the Yemen peace negotiations held in Kuwait in 2016. In the Yemen peace consultations held in Stockholm in 2018, out of 24 members in delegations, only one woman representing the government delegation participated. </w:t>
      </w:r>
    </w:p>
    <w:p w14:paraId="26EB7977" w14:textId="77777777" w:rsidR="005253BB" w:rsidRPr="00660B23" w:rsidRDefault="005253BB" w:rsidP="008B0BF4">
      <w:pPr>
        <w:rPr>
          <w:lang w:val="en-GB"/>
        </w:rPr>
      </w:pPr>
    </w:p>
    <w:p w14:paraId="329FA0D9" w14:textId="77777777" w:rsidR="005253BB" w:rsidRPr="00660B23" w:rsidRDefault="005253BB" w:rsidP="008B0BF4">
      <w:pPr>
        <w:rPr>
          <w:lang w:val="en-GB"/>
        </w:rPr>
      </w:pPr>
      <w:r w:rsidRPr="00660B23">
        <w:rPr>
          <w:lang w:val="en-GB"/>
        </w:rPr>
        <w:t xml:space="preserve">The absence of women in negotiations has resulted in the peace agenda overlooking certain priorities outlined by many Yemeni women, including demands to end child recruitment and calls for self-determination in the South. </w:t>
      </w:r>
    </w:p>
    <w:p w14:paraId="30EA7DC6" w14:textId="77777777" w:rsidR="005253BB" w:rsidRPr="00660B23" w:rsidRDefault="005253BB" w:rsidP="008B0BF4">
      <w:pPr>
        <w:rPr>
          <w:b/>
          <w:bCs/>
          <w:lang w:val="en-GB"/>
        </w:rPr>
      </w:pPr>
    </w:p>
    <w:p w14:paraId="107E073C" w14:textId="6316E938" w:rsidR="005253BB" w:rsidRPr="00660B23" w:rsidRDefault="005253BB" w:rsidP="001E542A">
      <w:pPr>
        <w:pStyle w:val="Heading2"/>
        <w:rPr>
          <w:lang w:val="en-GB"/>
        </w:rPr>
      </w:pPr>
      <w:bookmarkStart w:id="52" w:name="_Toc29476238"/>
      <w:bookmarkStart w:id="53" w:name="_Toc31637203"/>
      <w:r w:rsidRPr="00660B23">
        <w:rPr>
          <w:lang w:val="en-GB"/>
        </w:rPr>
        <w:t>Lack of adequate protection for women in</w:t>
      </w:r>
      <w:r w:rsidR="003257CD" w:rsidRPr="00660B23">
        <w:rPr>
          <w:lang w:val="en-GB"/>
        </w:rPr>
        <w:t xml:space="preserve"> the</w:t>
      </w:r>
      <w:r w:rsidRPr="00660B23">
        <w:rPr>
          <w:lang w:val="en-GB"/>
        </w:rPr>
        <w:t xml:space="preserve"> security sector</w:t>
      </w:r>
      <w:bookmarkEnd w:id="52"/>
      <w:bookmarkEnd w:id="53"/>
      <w:r w:rsidRPr="00660B23">
        <w:rPr>
          <w:lang w:val="en-GB"/>
        </w:rPr>
        <w:t xml:space="preserve"> </w:t>
      </w:r>
    </w:p>
    <w:p w14:paraId="64B2D4B1" w14:textId="6F304415" w:rsidR="005253BB" w:rsidRPr="00660B23" w:rsidRDefault="005253BB" w:rsidP="001E542A">
      <w:pPr>
        <w:rPr>
          <w:lang w:val="en-GB"/>
        </w:rPr>
      </w:pPr>
      <w:r w:rsidRPr="00660B23">
        <w:rPr>
          <w:lang w:val="en-GB"/>
        </w:rPr>
        <w:t>Women in the security sector within state institutions are also facing challenges such as marginalisation and obstacles to career advancement due to their gender. For instance, women working in the security sector in Aden have indicated that they have not been provided with uniforms or equipment</w:t>
      </w:r>
      <w:r w:rsidR="00CA0F36" w:rsidRPr="00660B23">
        <w:rPr>
          <w:lang w:val="en-GB"/>
        </w:rPr>
        <w:t>,</w:t>
      </w:r>
      <w:r w:rsidRPr="00660B23">
        <w:rPr>
          <w:lang w:val="en-GB"/>
        </w:rPr>
        <w:t xml:space="preserve"> </w:t>
      </w:r>
      <w:r w:rsidR="00CA0F36" w:rsidRPr="00660B23">
        <w:rPr>
          <w:lang w:val="en-GB"/>
        </w:rPr>
        <w:t xml:space="preserve">have </w:t>
      </w:r>
      <w:r w:rsidRPr="00660B23">
        <w:rPr>
          <w:lang w:val="en-GB"/>
        </w:rPr>
        <w:t>faced suspension of salaries</w:t>
      </w:r>
      <w:r w:rsidRPr="00660B23">
        <w:rPr>
          <w:vertAlign w:val="superscript"/>
          <w:lang w:val="en-GB"/>
        </w:rPr>
        <w:footnoteReference w:id="70"/>
      </w:r>
      <w:r w:rsidRPr="00660B23">
        <w:rPr>
          <w:lang w:val="en-GB"/>
        </w:rPr>
        <w:t xml:space="preserve"> </w:t>
      </w:r>
      <w:r w:rsidR="00CA0F36" w:rsidRPr="00660B23">
        <w:rPr>
          <w:lang w:val="en-GB"/>
        </w:rPr>
        <w:t>and</w:t>
      </w:r>
      <w:r w:rsidRPr="00660B23">
        <w:rPr>
          <w:lang w:val="en-GB"/>
        </w:rPr>
        <w:t xml:space="preserve"> are assigned to conduct raids without additional protection units. They also raised the need for capacity-building for women working in the security field. </w:t>
      </w:r>
    </w:p>
    <w:p w14:paraId="14082531" w14:textId="7025468E" w:rsidR="005253BB" w:rsidRPr="00660B23" w:rsidRDefault="005253BB" w:rsidP="00996E79">
      <w:pPr>
        <w:pStyle w:val="Heading3"/>
        <w:rPr>
          <w:lang w:val="en-GB"/>
        </w:rPr>
      </w:pPr>
      <w:bookmarkStart w:id="54" w:name="_Toc29476239"/>
      <w:bookmarkStart w:id="55" w:name="_Toc29547593"/>
      <w:bookmarkStart w:id="56" w:name="_Toc31637204"/>
      <w:r w:rsidRPr="00660B23">
        <w:rPr>
          <w:lang w:val="en-GB"/>
        </w:rPr>
        <w:t>Questions</w:t>
      </w:r>
      <w:bookmarkEnd w:id="54"/>
      <w:bookmarkEnd w:id="55"/>
      <w:bookmarkEnd w:id="56"/>
    </w:p>
    <w:p w14:paraId="17878A71" w14:textId="77777777" w:rsidR="005253BB" w:rsidRPr="00660B23" w:rsidRDefault="005253BB" w:rsidP="001E542A">
      <w:pPr>
        <w:pStyle w:val="ListParagraph"/>
        <w:numPr>
          <w:ilvl w:val="0"/>
          <w:numId w:val="16"/>
        </w:numPr>
        <w:rPr>
          <w:b/>
          <w:bCs/>
          <w:lang w:val="en-GB"/>
        </w:rPr>
      </w:pPr>
      <w:r w:rsidRPr="00660B23">
        <w:rPr>
          <w:b/>
          <w:bCs/>
          <w:lang w:val="en-GB"/>
        </w:rPr>
        <w:t xml:space="preserve">What steps have been taken to ensure the effective implementation of a minimum quota of 30% of women in the public and political spheres in accordance with the outcomes of the </w:t>
      </w:r>
      <w:r w:rsidRPr="00660B23">
        <w:rPr>
          <w:b/>
          <w:bCs/>
          <w:lang w:val="en-GB"/>
        </w:rPr>
        <w:lastRenderedPageBreak/>
        <w:t>2014 National Dialogue Conference, including in ambassadorial and other high-level governmental positions?</w:t>
      </w:r>
    </w:p>
    <w:p w14:paraId="45D6C906" w14:textId="77777777" w:rsidR="005253BB" w:rsidRPr="00660B23" w:rsidRDefault="005253BB" w:rsidP="001E542A">
      <w:pPr>
        <w:pStyle w:val="ListParagraph"/>
        <w:numPr>
          <w:ilvl w:val="0"/>
          <w:numId w:val="16"/>
        </w:numPr>
        <w:rPr>
          <w:b/>
          <w:bCs/>
          <w:lang w:val="en-GB"/>
        </w:rPr>
      </w:pPr>
      <w:r w:rsidRPr="00660B23">
        <w:rPr>
          <w:b/>
          <w:bCs/>
          <w:lang w:val="en-GB"/>
        </w:rPr>
        <w:t>How will the state, in the implementation of the 30% minimum quota, ensure that women from diverse backgrounds are equitably represented in all State institutions, including 50% for women from the South (including those with self-determination demands) and 20% for young women, as per the outcomes of the National Dialogue Conference?</w:t>
      </w:r>
    </w:p>
    <w:p w14:paraId="5BEAB8F4" w14:textId="77777777" w:rsidR="005253BB" w:rsidRPr="00660B23" w:rsidRDefault="005253BB" w:rsidP="001E542A">
      <w:pPr>
        <w:pStyle w:val="ListParagraph"/>
        <w:numPr>
          <w:ilvl w:val="0"/>
          <w:numId w:val="16"/>
        </w:numPr>
        <w:rPr>
          <w:b/>
          <w:bCs/>
          <w:lang w:val="en-GB"/>
        </w:rPr>
      </w:pPr>
      <w:r w:rsidRPr="00660B23">
        <w:rPr>
          <w:b/>
          <w:bCs/>
          <w:lang w:val="en-GB"/>
        </w:rPr>
        <w:t xml:space="preserve">What steps have been or will be taken to contribute to effectively implement a 30% minimum quota of women in peace negotiations, including in the negotiation delegation, advisory team and in all committees developed as result of the peace negotiations and political processes during the transitional period, as well as in the current and future governments? </w:t>
      </w:r>
    </w:p>
    <w:p w14:paraId="56C6574F" w14:textId="77777777" w:rsidR="005253BB" w:rsidRPr="00660B23" w:rsidRDefault="005253BB" w:rsidP="001E542A">
      <w:pPr>
        <w:pStyle w:val="ListParagraph"/>
        <w:numPr>
          <w:ilvl w:val="0"/>
          <w:numId w:val="16"/>
        </w:numPr>
        <w:rPr>
          <w:b/>
          <w:bCs/>
          <w:lang w:val="en-GB"/>
        </w:rPr>
      </w:pPr>
      <w:r w:rsidRPr="00660B23">
        <w:rPr>
          <w:b/>
          <w:bCs/>
          <w:lang w:val="en-GB"/>
        </w:rPr>
        <w:t xml:space="preserve">What measures have been or will be taken in order to ensure that the peace agenda is gender responsive? How many gender experts have been included in peace negotiating delegations? How has the government formally consulted or plans to consult women in the negotiation process, including rural women and women survivors of the conflict and to ensure that their priorities are addressed in any political settlement? </w:t>
      </w:r>
    </w:p>
    <w:p w14:paraId="12105668" w14:textId="77777777" w:rsidR="005253BB" w:rsidRPr="00660B23" w:rsidRDefault="005253BB" w:rsidP="001E542A">
      <w:pPr>
        <w:pStyle w:val="ListParagraph"/>
        <w:numPr>
          <w:ilvl w:val="0"/>
          <w:numId w:val="16"/>
        </w:numPr>
        <w:rPr>
          <w:b/>
          <w:bCs/>
          <w:lang w:val="en-GB"/>
        </w:rPr>
      </w:pPr>
      <w:r w:rsidRPr="00660B23">
        <w:rPr>
          <w:b/>
          <w:bCs/>
          <w:lang w:val="en-GB"/>
        </w:rPr>
        <w:t>What measures have been taken to meaningfully include civil society in the development of a 1325 National Action Plan and to ensure that the NAP be provided with adequate and sustainable financial and human resources for its implementation?</w:t>
      </w:r>
    </w:p>
    <w:p w14:paraId="7C813857" w14:textId="1EF0CF41" w:rsidR="000F45FC" w:rsidRPr="00660B23" w:rsidRDefault="005253BB" w:rsidP="00996E79">
      <w:pPr>
        <w:pStyle w:val="ListParagraph"/>
        <w:numPr>
          <w:ilvl w:val="0"/>
          <w:numId w:val="16"/>
        </w:numPr>
        <w:rPr>
          <w:b/>
          <w:bCs/>
          <w:lang w:val="en-GB"/>
        </w:rPr>
      </w:pPr>
      <w:r w:rsidRPr="00660B23">
        <w:rPr>
          <w:b/>
          <w:bCs/>
          <w:lang w:val="en-GB"/>
        </w:rPr>
        <w:t xml:space="preserve">What measures have been taken to address discriminatory practices against women in the security sector and ensure they are provided with the necessary protection? </w:t>
      </w:r>
    </w:p>
    <w:sectPr w:rsidR="000F45FC" w:rsidRPr="00660B23" w:rsidSect="00A235B8">
      <w:footerReference w:type="even" r:id="rId10"/>
      <w:footerReference w:type="default" r:id="rId11"/>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B2838" w14:textId="77777777" w:rsidR="00CC34CA" w:rsidRDefault="00CC34CA">
      <w:pPr>
        <w:spacing w:line="240" w:lineRule="auto"/>
      </w:pPr>
      <w:r>
        <w:separator/>
      </w:r>
    </w:p>
    <w:p w14:paraId="70C2BE9D" w14:textId="77777777" w:rsidR="00CC34CA" w:rsidRDefault="00CC34CA"/>
  </w:endnote>
  <w:endnote w:type="continuationSeparator" w:id="0">
    <w:p w14:paraId="715C13E4" w14:textId="77777777" w:rsidR="00CC34CA" w:rsidRDefault="00CC34CA">
      <w:pPr>
        <w:spacing w:line="240" w:lineRule="auto"/>
      </w:pPr>
      <w:r>
        <w:continuationSeparator/>
      </w:r>
    </w:p>
    <w:p w14:paraId="74740DFB" w14:textId="77777777" w:rsidR="00CC34CA" w:rsidRDefault="00CC34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altName w:val="Seravek Medium"/>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9454250"/>
      <w:docPartObj>
        <w:docPartGallery w:val="Page Numbers (Bottom of Page)"/>
        <w:docPartUnique/>
      </w:docPartObj>
    </w:sdtPr>
    <w:sdtEndPr>
      <w:rPr>
        <w:rStyle w:val="PageNumber"/>
      </w:rPr>
    </w:sdtEndPr>
    <w:sdtContent>
      <w:p w14:paraId="377B593E" w14:textId="4398901F" w:rsidR="00A235B8" w:rsidRDefault="00A235B8" w:rsidP="00A235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990A54" w14:textId="77777777" w:rsidR="00A235B8" w:rsidRDefault="00A235B8" w:rsidP="00A235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82407021"/>
      <w:docPartObj>
        <w:docPartGallery w:val="Page Numbers (Bottom of Page)"/>
        <w:docPartUnique/>
      </w:docPartObj>
    </w:sdtPr>
    <w:sdtEndPr>
      <w:rPr>
        <w:rStyle w:val="PageNumber"/>
      </w:rPr>
    </w:sdtEndPr>
    <w:sdtContent>
      <w:p w14:paraId="0EF49A97" w14:textId="19EC10A1" w:rsidR="00A235B8" w:rsidRDefault="00A235B8" w:rsidP="00A235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4804D1" w14:textId="62B58380" w:rsidR="0058641E" w:rsidRPr="00FE2A93" w:rsidRDefault="0058641E" w:rsidP="00A235B8">
    <w:pPr>
      <w:pStyle w:val="Normal1"/>
      <w:pBdr>
        <w:top w:val="nil"/>
        <w:left w:val="nil"/>
        <w:bottom w:val="nil"/>
        <w:right w:val="nil"/>
        <w:between w:val="nil"/>
      </w:pBdr>
      <w:ind w:right="360"/>
      <w:contextualSpacing w:val="0"/>
      <w:jc w:val="right"/>
      <w:rPr>
        <w:rFonts w:ascii="Franklin Gothic Book" w:hAnsi="Franklin Gothic Book"/>
        <w:color w:val="000000"/>
        <w:sz w:val="21"/>
        <w:szCs w:val="21"/>
      </w:rPr>
    </w:pPr>
  </w:p>
  <w:p w14:paraId="591626EA" w14:textId="77777777" w:rsidR="0058641E" w:rsidRDefault="0058641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9666AA" w14:textId="77777777" w:rsidR="00CC34CA" w:rsidRDefault="00CC34CA">
      <w:pPr>
        <w:spacing w:line="240" w:lineRule="auto"/>
      </w:pPr>
      <w:r>
        <w:separator/>
      </w:r>
    </w:p>
    <w:p w14:paraId="0FED705C" w14:textId="77777777" w:rsidR="00CC34CA" w:rsidRDefault="00CC34CA"/>
  </w:footnote>
  <w:footnote w:type="continuationSeparator" w:id="0">
    <w:p w14:paraId="429A9F77" w14:textId="77777777" w:rsidR="00CC34CA" w:rsidRDefault="00CC34CA">
      <w:pPr>
        <w:spacing w:line="240" w:lineRule="auto"/>
      </w:pPr>
      <w:r>
        <w:continuationSeparator/>
      </w:r>
    </w:p>
    <w:p w14:paraId="40E46389" w14:textId="77777777" w:rsidR="00CC34CA" w:rsidRDefault="00CC34CA"/>
  </w:footnote>
  <w:footnote w:id="1">
    <w:p w14:paraId="1A3D5F1F"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9958E2">
        <w:rPr>
          <w:i/>
          <w:iCs/>
        </w:rPr>
        <w:t>Yemeni Women Map the Road to Peace</w:t>
      </w:r>
      <w:r w:rsidRPr="005253BB">
        <w:t xml:space="preserve"> (2018). Available at: </w:t>
      </w:r>
      <w:hyperlink r:id="rId1" w:history="1">
        <w:r w:rsidRPr="005253BB">
          <w:t>https://www.wilpf.org/portfolio-items/yemeni-women-map-the-road-to-peace/</w:t>
        </w:r>
      </w:hyperlink>
      <w:r w:rsidRPr="005253BB">
        <w:rPr>
          <w:rStyle w:val="FootnoteReference"/>
        </w:rPr>
        <w:t xml:space="preserve"> </w:t>
      </w:r>
    </w:p>
  </w:footnote>
  <w:footnote w:id="2">
    <w:p w14:paraId="3F76E7BA"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UNOCHA (2019). </w:t>
      </w:r>
      <w:r w:rsidRPr="00996E79">
        <w:rPr>
          <w:i/>
          <w:iCs/>
        </w:rPr>
        <w:t>About OCHA Yemen.</w:t>
      </w:r>
      <w:r w:rsidRPr="005253BB">
        <w:t xml:space="preserve"> Available at: </w:t>
      </w:r>
      <w:hyperlink r:id="rId2" w:history="1">
        <w:r w:rsidRPr="005253BB">
          <w:t>https://www.unocha.org/yemen/about-ocha-yemen</w:t>
        </w:r>
      </w:hyperlink>
    </w:p>
  </w:footnote>
  <w:footnote w:id="3">
    <w:p w14:paraId="4FA49EA4"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UNOCHA (2019). </w:t>
      </w:r>
      <w:r w:rsidRPr="00996E79">
        <w:rPr>
          <w:i/>
          <w:iCs/>
        </w:rPr>
        <w:t>Crisis overview.</w:t>
      </w:r>
      <w:r w:rsidRPr="005253BB">
        <w:t xml:space="preserve"> Available at: </w:t>
      </w:r>
      <w:hyperlink r:id="rId3" w:history="1">
        <w:r w:rsidRPr="005253BB">
          <w:t>https://www.unocha.org/yemen/crisis-overview</w:t>
        </w:r>
      </w:hyperlink>
    </w:p>
  </w:footnote>
  <w:footnote w:id="4">
    <w:p w14:paraId="14DF6AB8" w14:textId="494B31C3" w:rsidR="0058641E" w:rsidRPr="004B4A11" w:rsidRDefault="0058641E">
      <w:pPr>
        <w:pStyle w:val="FootnoteText"/>
      </w:pPr>
      <w:r>
        <w:rPr>
          <w:rStyle w:val="FootnoteReference"/>
        </w:rPr>
        <w:footnoteRef/>
      </w:r>
      <w:r>
        <w:t xml:space="preserve"> CARE, Oxfam and IASC (2016). </w:t>
      </w:r>
      <w:r w:rsidRPr="004B4A11">
        <w:rPr>
          <w:i/>
          <w:iCs/>
        </w:rPr>
        <w:t>Conflict and Gender Relations in Yemen</w:t>
      </w:r>
      <w:r>
        <w:t xml:space="preserve">. Available at: </w:t>
      </w:r>
      <w:hyperlink r:id="rId4" w:history="1">
        <w:r w:rsidRPr="00050431">
          <w:rPr>
            <w:rStyle w:val="Hyperlink"/>
          </w:rPr>
          <w:t>https://www.care-international.org/files/files/YemenGenderReport171116.pdf</w:t>
        </w:r>
      </w:hyperlink>
      <w:r>
        <w:t xml:space="preserve"> </w:t>
      </w:r>
    </w:p>
  </w:footnote>
  <w:footnote w:id="5">
    <w:p w14:paraId="7966CBC5"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The Women Solidarity Network is a network of Yemeni women working on peacebuilding: </w:t>
      </w:r>
      <w:hyperlink r:id="rId5" w:history="1">
        <w:r w:rsidRPr="005253BB">
          <w:t>https://www.facebook.com/pg/WomenSolidarityYe/posts/</w:t>
        </w:r>
      </w:hyperlink>
    </w:p>
  </w:footnote>
  <w:footnote w:id="6">
    <w:p w14:paraId="77A44EBB"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Unruh, J D (2016) </w:t>
      </w:r>
      <w:r w:rsidRPr="00996E79">
        <w:rPr>
          <w:i/>
          <w:iCs/>
        </w:rPr>
        <w:t>Mass Claims in Land and Property Following the Arab Spring: Lessons from Yemen. Stability: International Journal of Security &amp; Development,</w:t>
      </w:r>
      <w:r w:rsidRPr="005253BB">
        <w:t xml:space="preserve"> 5(1): 6, pp.</w:t>
      </w:r>
      <w:r w:rsidRPr="005253BB">
        <w:rPr>
          <w:rFonts w:ascii="Arial" w:hAnsi="Arial"/>
        </w:rPr>
        <w:t> </w:t>
      </w:r>
      <w:r w:rsidRPr="005253BB">
        <w:t xml:space="preserve">1–19, DOI: </w:t>
      </w:r>
      <w:hyperlink r:id="rId6" w:history="1">
        <w:r w:rsidRPr="005253BB">
          <w:t>http://dx.doi.org/10.5334/sta.444</w:t>
        </w:r>
      </w:hyperlink>
      <w:r w:rsidRPr="005253BB">
        <w:t xml:space="preserve"> </w:t>
      </w:r>
    </w:p>
  </w:footnote>
  <w:footnote w:id="7">
    <w:p w14:paraId="756D5A09" w14:textId="2A426222" w:rsidR="0058641E" w:rsidRPr="005253BB" w:rsidRDefault="0058641E" w:rsidP="005253BB">
      <w:pPr>
        <w:pStyle w:val="FootnoteText"/>
        <w:rPr>
          <w:rStyle w:val="FootnoteReference"/>
        </w:rPr>
      </w:pPr>
      <w:r w:rsidRPr="005253BB">
        <w:rPr>
          <w:rStyle w:val="FootnoteReference"/>
        </w:rPr>
        <w:footnoteRef/>
      </w:r>
      <w:r>
        <w:rPr>
          <w:rStyle w:val="FootnoteReference"/>
        </w:rPr>
        <w:t xml:space="preserve"> </w:t>
      </w:r>
      <w:r w:rsidRPr="005253BB">
        <w:rPr>
          <w:rStyle w:val="FootnoteReference"/>
        </w:rPr>
        <w:t xml:space="preserve"> </w:t>
      </w:r>
      <w:r w:rsidRPr="005253BB">
        <w:t xml:space="preserve">UNOCHA </w:t>
      </w:r>
      <w:r w:rsidRPr="00996E79">
        <w:rPr>
          <w:i/>
          <w:iCs/>
        </w:rPr>
        <w:t>Humanitarian Needs Overview (2017) - Yemen</w:t>
      </w:r>
      <w:r w:rsidRPr="005253BB">
        <w:t xml:space="preserve">. Available at: </w:t>
      </w:r>
      <w:hyperlink r:id="rId7" w:history="1">
        <w:r w:rsidRPr="005253BB">
          <w:t>https://reliefweb.int/sites/reliefweb.int/files/resources/yemen_humanitarian_needs_overview_hno_2018_20171204_0.pdf</w:t>
        </w:r>
      </w:hyperlink>
      <w:r w:rsidRPr="005253BB">
        <w:rPr>
          <w:rStyle w:val="FootnoteReference"/>
        </w:rPr>
        <w:t xml:space="preserve">  </w:t>
      </w:r>
    </w:p>
  </w:footnote>
  <w:footnote w:id="8">
    <w:p w14:paraId="62C85AEA" w14:textId="11966823" w:rsidR="0058641E" w:rsidRPr="00B72B8A" w:rsidRDefault="0058641E">
      <w:pPr>
        <w:pStyle w:val="FootnoteText"/>
        <w:rPr>
          <w:lang w:val="en-US"/>
        </w:rPr>
      </w:pPr>
      <w:r>
        <w:rPr>
          <w:rStyle w:val="FootnoteReference"/>
        </w:rPr>
        <w:footnoteRef/>
      </w:r>
      <w:r>
        <w:t xml:space="preserve"> CARE, Oxfam and IASC (2016). </w:t>
      </w:r>
      <w:r w:rsidRPr="006E0843">
        <w:t>From the Ground Up: Gender and conflict analysis in Yemen</w:t>
      </w:r>
      <w:r>
        <w:t xml:space="preserve">. Available at: </w:t>
      </w:r>
      <w:hyperlink r:id="rId8" w:history="1">
        <w:r w:rsidRPr="00471F7E">
          <w:rPr>
            <w:rStyle w:val="Hyperlink"/>
          </w:rPr>
          <w:t>https://www.careevaluations.org/wp-content/uploads/rr-yemen-gender-conflict-analysis-201016-en.pdf</w:t>
        </w:r>
      </w:hyperlink>
      <w:r>
        <w:t xml:space="preserve"> </w:t>
      </w:r>
    </w:p>
  </w:footnote>
  <w:footnote w:id="9">
    <w:p w14:paraId="2324065D" w14:textId="4179A4F2" w:rsidR="0058641E" w:rsidRPr="009958E2" w:rsidRDefault="0058641E" w:rsidP="009958E2">
      <w:pPr>
        <w:pStyle w:val="FootnoteText"/>
        <w:rPr>
          <w:rStyle w:val="FootnoteReference"/>
          <w:vertAlign w:val="baseline"/>
        </w:rPr>
      </w:pPr>
      <w:r w:rsidRPr="005253BB">
        <w:rPr>
          <w:rStyle w:val="FootnoteReference"/>
        </w:rPr>
        <w:footnoteRef/>
      </w:r>
      <w:r w:rsidRPr="005253BB">
        <w:rPr>
          <w:rStyle w:val="FootnoteReference"/>
        </w:rPr>
        <w:t xml:space="preserve"> </w:t>
      </w:r>
      <w:r w:rsidRPr="00D3026F">
        <w:rPr>
          <w:i/>
          <w:iCs/>
        </w:rPr>
        <w:t>Situation of human rights in Yemen, including violations and abuses since September 2014. Report of the United Nations High Commissioner for Human Rights (September 2017)</w:t>
      </w:r>
      <w:r>
        <w:t xml:space="preserve"> </w:t>
      </w:r>
      <w:r w:rsidRPr="005253BB">
        <w:t>UN Index: A/HRC/36/33 paragraph 75 and 76</w:t>
      </w:r>
      <w:r>
        <w:t>.</w:t>
      </w:r>
    </w:p>
  </w:footnote>
  <w:footnote w:id="10">
    <w:p w14:paraId="33AD88F9" w14:textId="1265D511" w:rsidR="00F17354" w:rsidRPr="006A73FA" w:rsidRDefault="00F17354">
      <w:pPr>
        <w:pStyle w:val="FootnoteText"/>
        <w:rPr>
          <w:lang w:val="en-US"/>
        </w:rPr>
      </w:pPr>
      <w:r>
        <w:rPr>
          <w:rStyle w:val="FootnoteReference"/>
        </w:rPr>
        <w:footnoteRef/>
      </w:r>
      <w:r>
        <w:t xml:space="preserve"> </w:t>
      </w:r>
      <w:r w:rsidRPr="005253BB">
        <w:t xml:space="preserve">UNFPA (2016). </w:t>
      </w:r>
      <w:r w:rsidRPr="00D3026F">
        <w:rPr>
          <w:i/>
          <w:iCs/>
        </w:rPr>
        <w:t>Humanitarian Crisis in Yemen: Preventing Gender-based Violence &amp; Strengthening the Response, October</w:t>
      </w:r>
      <w:r w:rsidRPr="005253BB">
        <w:t xml:space="preserve"> 2016. Available at:</w:t>
      </w:r>
      <w:hyperlink r:id="rId9">
        <w:r w:rsidRPr="005253BB">
          <w:t xml:space="preserve"> </w:t>
        </w:r>
      </w:hyperlink>
      <w:hyperlink r:id="rId10" w:history="1">
        <w:r w:rsidRPr="00D25D7F">
          <w:rPr>
            <w:rStyle w:val="Hyperlink"/>
          </w:rPr>
          <w:t>http://yemen.unfpa.org/sites/default/files/resource-pdf/Final%20-GBV%20Sub-Cluster-%20Yemen%20Crisis-Preventing%20GBV%20and%20Strenthening%20the%20Response.pdf</w:t>
        </w:r>
      </w:hyperlink>
    </w:p>
  </w:footnote>
  <w:footnote w:id="11">
    <w:p w14:paraId="67CCFDEA" w14:textId="32853182" w:rsidR="0058641E" w:rsidRPr="00B72B8A" w:rsidRDefault="0058641E">
      <w:pPr>
        <w:pStyle w:val="FootnoteText"/>
        <w:rPr>
          <w:lang w:val="en-US"/>
        </w:rPr>
      </w:pPr>
      <w:r>
        <w:rPr>
          <w:rStyle w:val="FootnoteReference"/>
        </w:rPr>
        <w:footnoteRef/>
      </w:r>
      <w:r>
        <w:t xml:space="preserve"> This figure was calculated based on data in the HRP from 2018 (page 29). Available at: </w:t>
      </w:r>
      <w:hyperlink r:id="rId11" w:history="1">
        <w:r w:rsidRPr="00471F7E">
          <w:rPr>
            <w:rStyle w:val="Hyperlink"/>
          </w:rPr>
          <w:t>https://reliefweb.int/sites/reliefweb.int/files/resources/20180120_HRP_YEMEN_Final.pdf</w:t>
        </w:r>
      </w:hyperlink>
      <w:r>
        <w:t xml:space="preserve"> </w:t>
      </w:r>
    </w:p>
  </w:footnote>
  <w:footnote w:id="12">
    <w:p w14:paraId="1B0D5C8D" w14:textId="3B75CF88" w:rsidR="0058641E" w:rsidRPr="00281663" w:rsidRDefault="0058641E">
      <w:pPr>
        <w:pStyle w:val="FootnoteText"/>
        <w:rPr>
          <w:lang w:val="en"/>
        </w:rPr>
      </w:pPr>
      <w:r>
        <w:rPr>
          <w:rStyle w:val="FootnoteReference"/>
        </w:rPr>
        <w:footnoteRef/>
      </w:r>
      <w:r>
        <w:t xml:space="preserve"> </w:t>
      </w:r>
      <w:r>
        <w:rPr>
          <w:lang w:val="en-US"/>
        </w:rPr>
        <w:t xml:space="preserve">UNFPA (2018). </w:t>
      </w:r>
      <w:r w:rsidRPr="00281663">
        <w:rPr>
          <w:i/>
          <w:iCs/>
          <w:lang w:val="en-US"/>
        </w:rPr>
        <w:t>Looming famine threatens the lives of 2 million pregnant women and new mothers in Yemen</w:t>
      </w:r>
      <w:r>
        <w:rPr>
          <w:lang w:val="en-US"/>
        </w:rPr>
        <w:t xml:space="preserve">. Available at: </w:t>
      </w:r>
      <w:r w:rsidRPr="006E0843">
        <w:rPr>
          <w:lang w:val="en-US"/>
        </w:rPr>
        <w:t>https://www.unfpa.org/news/looming-famine-threatens-lives-2-million-pregnant-women-yemen</w:t>
      </w:r>
    </w:p>
  </w:footnote>
  <w:footnote w:id="13">
    <w:p w14:paraId="27A99B8D" w14:textId="77777777" w:rsidR="0058641E" w:rsidRPr="005253BB" w:rsidRDefault="0058641E" w:rsidP="00C60E46">
      <w:pPr>
        <w:pStyle w:val="FootnoteText"/>
        <w:rPr>
          <w:rStyle w:val="FootnoteReference"/>
        </w:rPr>
      </w:pPr>
      <w:r w:rsidRPr="005253BB">
        <w:rPr>
          <w:rStyle w:val="FootnoteReference"/>
        </w:rPr>
        <w:footnoteRef/>
      </w:r>
      <w:r w:rsidRPr="005253BB">
        <w:rPr>
          <w:rStyle w:val="FootnoteReference"/>
        </w:rPr>
        <w:t xml:space="preserve"> </w:t>
      </w:r>
      <w:r w:rsidRPr="005253BB">
        <w:t xml:space="preserve">UNFPA (2016). </w:t>
      </w:r>
      <w:r w:rsidRPr="00163C1A">
        <w:rPr>
          <w:i/>
          <w:iCs/>
        </w:rPr>
        <w:t>Humanitarian Crisis in Yemen: Preventing Gender-based Violence &amp; Strengthening the Response,</w:t>
      </w:r>
      <w:r w:rsidRPr="005253BB">
        <w:t xml:space="preserve"> October 2016. Available at:</w:t>
      </w:r>
      <w:hyperlink r:id="rId12">
        <w:r w:rsidRPr="005253BB">
          <w:t xml:space="preserve"> </w:t>
        </w:r>
      </w:hyperlink>
      <w:hyperlink r:id="rId13">
        <w:r w:rsidRPr="005253BB">
          <w:t>http://yemen.unfpa.org/sites/default/files/resource-pdf/Final%20-GBV%20Sub-Cluster-%20Yemen%20Crisis-Preventing%20GBV%20and%20Strenthening%20the%20Response.pd</w:t>
        </w:r>
      </w:hyperlink>
      <w:r w:rsidRPr="005253BB">
        <w:t>, p.6.</w:t>
      </w:r>
      <w:r w:rsidRPr="005253BB">
        <w:rPr>
          <w:rStyle w:val="FootnoteReference"/>
        </w:rPr>
        <w:t xml:space="preserve"> </w:t>
      </w:r>
    </w:p>
  </w:footnote>
  <w:footnote w:id="14">
    <w:p w14:paraId="5A708796" w14:textId="08B15164"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1E542A">
        <w:t xml:space="preserve">IRIN </w:t>
      </w:r>
      <w:r w:rsidRPr="009958E2">
        <w:rPr>
          <w:i/>
          <w:iCs/>
        </w:rPr>
        <w:t>Eight women die giving birth every day</w:t>
      </w:r>
      <w:r>
        <w:rPr>
          <w:i/>
          <w:iCs/>
        </w:rPr>
        <w:t xml:space="preserve"> </w:t>
      </w:r>
      <w:r w:rsidRPr="001E542A">
        <w:t xml:space="preserve">(March </w:t>
      </w:r>
      <w:r>
        <w:t>2007</w:t>
      </w:r>
      <w:r w:rsidRPr="001E542A">
        <w:t>)</w:t>
      </w:r>
      <w:r w:rsidRPr="009958E2">
        <w:rPr>
          <w:i/>
          <w:iCs/>
        </w:rPr>
        <w:t>.</w:t>
      </w:r>
      <w:r w:rsidRPr="001E542A">
        <w:t xml:space="preserve"> Available at:</w:t>
      </w:r>
      <w:hyperlink r:id="rId14">
        <w:r w:rsidRPr="001E542A">
          <w:t xml:space="preserve"> </w:t>
        </w:r>
      </w:hyperlink>
      <w:hyperlink r:id="rId15">
        <w:r w:rsidRPr="001E542A">
          <w:t>http://www.irinnews.org/news/2007/03/08/eight-women-die-giving-birth-every-day</w:t>
        </w:r>
      </w:hyperlink>
    </w:p>
  </w:footnote>
  <w:footnote w:id="15">
    <w:p w14:paraId="2A0E6481" w14:textId="6F4E62FE" w:rsidR="0058641E" w:rsidRPr="001E542A" w:rsidRDefault="0058641E" w:rsidP="001E542A">
      <w:pPr>
        <w:pStyle w:val="FootnoteText"/>
        <w:rPr>
          <w:rStyle w:val="FootnoteReference"/>
          <w:vertAlign w:val="baseline"/>
        </w:rPr>
      </w:pPr>
      <w:r w:rsidRPr="005253BB">
        <w:rPr>
          <w:rStyle w:val="FootnoteReference"/>
        </w:rPr>
        <w:footnoteRef/>
      </w:r>
      <w:r w:rsidRPr="005253BB">
        <w:rPr>
          <w:rStyle w:val="FootnoteReference"/>
        </w:rPr>
        <w:t xml:space="preserve"> </w:t>
      </w:r>
      <w:r w:rsidRPr="001E542A">
        <w:rPr>
          <w:rStyle w:val="FootnoteReference"/>
          <w:vertAlign w:val="baseline"/>
        </w:rPr>
        <w:t>UNFPA Women and girls among the most vulnerable in Yemen</w:t>
      </w:r>
      <w:r>
        <w:t xml:space="preserve"> </w:t>
      </w:r>
      <w:r w:rsidRPr="001E542A">
        <w:rPr>
          <w:rStyle w:val="FootnoteReference"/>
          <w:vertAlign w:val="baseline"/>
        </w:rPr>
        <w:t>(April 2</w:t>
      </w:r>
      <w:r>
        <w:rPr>
          <w:rStyle w:val="FootnoteReference"/>
          <w:vertAlign w:val="baseline"/>
        </w:rPr>
        <w:t>017</w:t>
      </w:r>
      <w:r w:rsidRPr="001E542A">
        <w:rPr>
          <w:rStyle w:val="FootnoteReference"/>
          <w:vertAlign w:val="baseline"/>
        </w:rPr>
        <w:t xml:space="preserve">). Available at: </w:t>
      </w:r>
      <w:hyperlink r:id="rId16" w:history="1">
        <w:r w:rsidRPr="001E542A">
          <w:rPr>
            <w:rStyle w:val="FootnoteReference"/>
            <w:vertAlign w:val="baseline"/>
          </w:rPr>
          <w:t>http://yemen.unfpa.org/en/news/women-and-girls-among-most-vulnerable-yemen</w:t>
        </w:r>
      </w:hyperlink>
      <w:r w:rsidRPr="001E542A">
        <w:rPr>
          <w:rStyle w:val="FootnoteReference"/>
          <w:vertAlign w:val="baseline"/>
        </w:rPr>
        <w:t xml:space="preserve"> </w:t>
      </w:r>
    </w:p>
  </w:footnote>
  <w:footnote w:id="16">
    <w:p w14:paraId="053268A2" w14:textId="6BAD449F" w:rsidR="0058641E" w:rsidRPr="005253BB" w:rsidRDefault="0058641E" w:rsidP="001E542A">
      <w:pPr>
        <w:pStyle w:val="FootnoteText"/>
        <w:rPr>
          <w:rStyle w:val="FootnoteReference"/>
        </w:rPr>
      </w:pPr>
      <w:r w:rsidRPr="001E542A">
        <w:rPr>
          <w:rStyle w:val="FootnoteReference"/>
          <w:vertAlign w:val="baseline"/>
        </w:rPr>
        <w:footnoteRef/>
      </w:r>
      <w:r w:rsidRPr="001E542A">
        <w:rPr>
          <w:rStyle w:val="FootnoteReference"/>
          <w:vertAlign w:val="baseline"/>
        </w:rPr>
        <w:t xml:space="preserve"> See, for example, </w:t>
      </w:r>
      <w:r w:rsidRPr="009958E2">
        <w:rPr>
          <w:rStyle w:val="FootnoteReference"/>
          <w:i/>
          <w:iCs/>
          <w:vertAlign w:val="baseline"/>
        </w:rPr>
        <w:t xml:space="preserve">Situation of human rights in Yemen, including violations and abuses since September 2014, Report of the detailed findings of the Group of Eminent International and Regional Experts on Yemen. </w:t>
      </w:r>
      <w:r w:rsidRPr="001E542A">
        <w:rPr>
          <w:rStyle w:val="FootnoteReference"/>
          <w:vertAlign w:val="baseline"/>
        </w:rPr>
        <w:t xml:space="preserve">A/HRC/42/CRP. 13, </w:t>
      </w:r>
      <w:r>
        <w:t>(</w:t>
      </w:r>
      <w:r w:rsidRPr="001E542A">
        <w:rPr>
          <w:rStyle w:val="FootnoteReference"/>
          <w:vertAlign w:val="baseline"/>
        </w:rPr>
        <w:t>September 2019</w:t>
      </w:r>
      <w:r>
        <w:t>)</w:t>
      </w:r>
      <w:r w:rsidRPr="001E542A">
        <w:rPr>
          <w:rStyle w:val="FootnoteReference"/>
          <w:vertAlign w:val="baseline"/>
        </w:rPr>
        <w:t xml:space="preserve">, paragraph 770; and </w:t>
      </w:r>
      <w:r w:rsidRPr="009958E2">
        <w:rPr>
          <w:rStyle w:val="FootnoteReference"/>
          <w:i/>
          <w:iCs/>
          <w:vertAlign w:val="baseline"/>
        </w:rPr>
        <w:t>Situation of human rights in Yemen, including violations and abuses since September 2014. Report of the United Nations High Commissioner for Human Rights</w:t>
      </w:r>
      <w:r w:rsidRPr="001E542A">
        <w:rPr>
          <w:rStyle w:val="FootnoteReference"/>
          <w:vertAlign w:val="baseline"/>
        </w:rPr>
        <w:t>, UN Index: A/HRC/36/33</w:t>
      </w:r>
      <w:r>
        <w:rPr>
          <w:rStyle w:val="FootnoteReference"/>
          <w:vertAlign w:val="baseline"/>
        </w:rPr>
        <w:t>, (</w:t>
      </w:r>
      <w:r w:rsidRPr="001E542A">
        <w:rPr>
          <w:rStyle w:val="FootnoteReference"/>
          <w:vertAlign w:val="baseline"/>
        </w:rPr>
        <w:t>September 2017</w:t>
      </w:r>
      <w:r>
        <w:t xml:space="preserve">) </w:t>
      </w:r>
      <w:r w:rsidRPr="001E542A">
        <w:rPr>
          <w:rStyle w:val="FootnoteReference"/>
          <w:vertAlign w:val="baseline"/>
        </w:rPr>
        <w:t>paragraph 45</w:t>
      </w:r>
    </w:p>
  </w:footnote>
  <w:footnote w:id="17">
    <w:p w14:paraId="79E4B211" w14:textId="77777777" w:rsidR="0058641E" w:rsidRPr="005253BB" w:rsidRDefault="0058641E" w:rsidP="005253BB">
      <w:pPr>
        <w:pStyle w:val="FootnoteText"/>
        <w:rPr>
          <w:rStyle w:val="CommentReference"/>
        </w:rPr>
      </w:pPr>
      <w:r w:rsidRPr="005253BB">
        <w:rPr>
          <w:rStyle w:val="FootnoteReference"/>
        </w:rPr>
        <w:footnoteRef/>
      </w:r>
      <w:r w:rsidRPr="005253BB">
        <w:rPr>
          <w:rStyle w:val="FootnoteReference"/>
        </w:rPr>
        <w:t xml:space="preserve"> </w:t>
      </w:r>
      <w:r w:rsidRPr="005253BB">
        <w:t xml:space="preserve">Medecins Sans Frontieres, “Complicated Delivery: The Yemeni Mothers and Children Dying Without Medical Care”, 24 April 2019, available at: </w:t>
      </w:r>
      <w:hyperlink r:id="rId17" w:tgtFrame="_blank" w:history="1">
        <w:r w:rsidRPr="005253BB">
          <w:t>https://www.msf.org/complicated-delivery-yemeni-mothers-and-children-dying-without-medical-care</w:t>
        </w:r>
      </w:hyperlink>
      <w:r w:rsidRPr="005253BB">
        <w:t>, pages 14-17</w:t>
      </w:r>
    </w:p>
  </w:footnote>
  <w:footnote w:id="18">
    <w:p w14:paraId="75880D26" w14:textId="77777777" w:rsidR="0058641E" w:rsidRPr="005253BB" w:rsidRDefault="0058641E" w:rsidP="00C332F4">
      <w:pPr>
        <w:pStyle w:val="FootnoteText"/>
        <w:rPr>
          <w:rStyle w:val="FootnoteReference"/>
        </w:rPr>
      </w:pPr>
      <w:r w:rsidRPr="005253BB">
        <w:rPr>
          <w:rStyle w:val="FootnoteReference"/>
        </w:rPr>
        <w:footnoteRef/>
      </w:r>
      <w:r w:rsidRPr="005253BB">
        <w:rPr>
          <w:rStyle w:val="FootnoteReference"/>
        </w:rPr>
        <w:t xml:space="preserve"> </w:t>
      </w:r>
      <w:r w:rsidRPr="009958E2">
        <w:rPr>
          <w:i/>
          <w:iCs/>
        </w:rPr>
        <w:t>Protection Cluster Yemen (2017). Protection Guidance for Cholera Response in Yemen.</w:t>
      </w:r>
      <w:r w:rsidRPr="005253BB">
        <w:t xml:space="preserve"> Available at: </w:t>
      </w:r>
      <w:hyperlink r:id="rId18">
        <w:r w:rsidRPr="005253BB">
          <w:t>https://reliefweb.int/sites/reliefweb.int/files/resources/protection_cluster_guidance_-_cholera_response_august_2017.pdf</w:t>
        </w:r>
      </w:hyperlink>
      <w:r w:rsidRPr="005253BB">
        <w:t xml:space="preserve"> </w:t>
      </w:r>
    </w:p>
  </w:footnote>
  <w:footnote w:id="19">
    <w:p w14:paraId="58D40801" w14:textId="77777777" w:rsidR="0058641E" w:rsidRPr="001E542A" w:rsidRDefault="0058641E" w:rsidP="006E0843">
      <w:pPr>
        <w:pStyle w:val="FootnoteText"/>
        <w:rPr>
          <w:rStyle w:val="FootnoteReference"/>
          <w:vertAlign w:val="baseline"/>
        </w:rPr>
      </w:pPr>
      <w:r w:rsidRPr="005253BB">
        <w:rPr>
          <w:rStyle w:val="FootnoteReference"/>
        </w:rPr>
        <w:footnoteRef/>
      </w:r>
      <w:r w:rsidRPr="005253BB">
        <w:rPr>
          <w:rStyle w:val="FootnoteReference"/>
        </w:rPr>
        <w:t xml:space="preserve"> </w:t>
      </w:r>
      <w:r w:rsidRPr="001E542A">
        <w:rPr>
          <w:rStyle w:val="FootnoteReference"/>
          <w:vertAlign w:val="baseline"/>
        </w:rPr>
        <w:t xml:space="preserve">UNFPA (2017, July 21). </w:t>
      </w:r>
      <w:r w:rsidRPr="009958E2">
        <w:rPr>
          <w:rStyle w:val="FootnoteReference"/>
          <w:i/>
          <w:iCs/>
          <w:vertAlign w:val="baseline"/>
        </w:rPr>
        <w:t>Yemen’s deadly cholera outbreak puts pregnant women in danger.</w:t>
      </w:r>
      <w:r w:rsidRPr="001E542A">
        <w:rPr>
          <w:rStyle w:val="FootnoteReference"/>
          <w:vertAlign w:val="baseline"/>
        </w:rPr>
        <w:t xml:space="preserve"> Available at :</w:t>
      </w:r>
    </w:p>
    <w:p w14:paraId="5943E727" w14:textId="77777777" w:rsidR="0058641E" w:rsidRPr="005253BB" w:rsidRDefault="00CC34CA" w:rsidP="006E0843">
      <w:pPr>
        <w:pStyle w:val="FootnoteText"/>
        <w:rPr>
          <w:rStyle w:val="FootnoteReference"/>
        </w:rPr>
      </w:pPr>
      <w:hyperlink r:id="rId19" w:history="1">
        <w:r w:rsidR="0058641E" w:rsidRPr="001E542A">
          <w:rPr>
            <w:rStyle w:val="FootnoteReference"/>
            <w:vertAlign w:val="baseline"/>
          </w:rPr>
          <w:t>https://www.unfpa.org/news/yemens-deadly-cholera-outbreak-puts-pregnant-women-danger</w:t>
        </w:r>
      </w:hyperlink>
      <w:r w:rsidR="0058641E" w:rsidRPr="005253BB">
        <w:rPr>
          <w:rStyle w:val="FootnoteReference"/>
        </w:rPr>
        <w:t xml:space="preserve"> </w:t>
      </w:r>
    </w:p>
  </w:footnote>
  <w:footnote w:id="20">
    <w:p w14:paraId="3DD84B1F" w14:textId="177DC89C" w:rsidR="001A01EB" w:rsidRPr="003E770E" w:rsidRDefault="001A01EB">
      <w:pPr>
        <w:pStyle w:val="FootnoteText"/>
        <w:rPr>
          <w:i/>
          <w:iCs/>
        </w:rPr>
      </w:pPr>
      <w:r>
        <w:rPr>
          <w:rStyle w:val="FootnoteReference"/>
        </w:rPr>
        <w:footnoteRef/>
      </w:r>
      <w:r>
        <w:t xml:space="preserve"> </w:t>
      </w:r>
      <w:r>
        <w:rPr>
          <w:i/>
          <w:iCs/>
        </w:rPr>
        <w:t>Ibid</w:t>
      </w:r>
    </w:p>
  </w:footnote>
  <w:footnote w:id="21">
    <w:p w14:paraId="2F74341A" w14:textId="0E119424" w:rsidR="0058641E" w:rsidRPr="00A81D12" w:rsidRDefault="0058641E">
      <w:pPr>
        <w:pStyle w:val="FootnoteText"/>
        <w:rPr>
          <w:lang w:val="en-US"/>
        </w:rPr>
      </w:pPr>
      <w:r>
        <w:rPr>
          <w:rStyle w:val="FootnoteReference"/>
        </w:rPr>
        <w:footnoteRef/>
      </w:r>
      <w:r>
        <w:t xml:space="preserve"> </w:t>
      </w:r>
      <w:r w:rsidRPr="001E542A">
        <w:t xml:space="preserve">UNICEF, Press Release, </w:t>
      </w:r>
      <w:r w:rsidRPr="009958E2">
        <w:rPr>
          <w:i/>
          <w:iCs/>
        </w:rPr>
        <w:t>“As school year starts in Yemen, 2 million children are out of school and another 3.7 million are at risk of dropping out”,</w:t>
      </w:r>
      <w:r w:rsidRPr="001E542A">
        <w:t xml:space="preserve"> 25 September 2019, available at: </w:t>
      </w:r>
      <w:hyperlink r:id="rId20" w:history="1">
        <w:r w:rsidRPr="001E542A">
          <w:t>https://www.unicef.org/press-releases/school-year-starts-yemen-2-million-children-are-out-school-and-another-37-million</w:t>
        </w:r>
      </w:hyperlink>
    </w:p>
  </w:footnote>
  <w:footnote w:id="22">
    <w:p w14:paraId="51C92259" w14:textId="4A475D16" w:rsidR="0058641E" w:rsidRPr="005253BB" w:rsidRDefault="0058641E" w:rsidP="00436928">
      <w:pPr>
        <w:pStyle w:val="FootnoteText"/>
        <w:rPr>
          <w:rStyle w:val="FootnoteReference"/>
        </w:rPr>
      </w:pPr>
      <w:r w:rsidRPr="005253BB">
        <w:rPr>
          <w:rStyle w:val="FootnoteReference"/>
        </w:rPr>
        <w:footnoteRef/>
      </w:r>
      <w:r w:rsidRPr="005253BB">
        <w:rPr>
          <w:rStyle w:val="FootnoteReference"/>
        </w:rPr>
        <w:t xml:space="preserve"> </w:t>
      </w:r>
      <w:r>
        <w:t>Ibid</w:t>
      </w:r>
      <w:r w:rsidRPr="005253BB">
        <w:rPr>
          <w:rStyle w:val="FootnoteReference"/>
        </w:rPr>
        <w:t xml:space="preserve"> </w:t>
      </w:r>
    </w:p>
  </w:footnote>
  <w:footnote w:id="23">
    <w:p w14:paraId="3F058B1D" w14:textId="36A56F09" w:rsidR="0058641E" w:rsidRPr="009958E2" w:rsidRDefault="0058641E" w:rsidP="009958E2">
      <w:pPr>
        <w:pStyle w:val="FootnoteText"/>
        <w:rPr>
          <w:rStyle w:val="FootnoteReference"/>
          <w:vertAlign w:val="baseline"/>
        </w:rPr>
      </w:pPr>
      <w:r w:rsidRPr="005253BB">
        <w:rPr>
          <w:rStyle w:val="FootnoteReference"/>
        </w:rPr>
        <w:footnoteRef/>
      </w:r>
      <w:r w:rsidRPr="005253BB">
        <w:rPr>
          <w:rStyle w:val="FootnoteReference"/>
        </w:rPr>
        <w:t xml:space="preserve"> </w:t>
      </w:r>
      <w:r w:rsidRPr="005253BB">
        <w:t>The Yemeni government used to contribute a limited amount of the government budget (3% of GDP) to the Social Welfare Fund (SWF), a programme used to support vulnerable people living below the poverty line with cash and in-kind assistance. A 2013 report identified several obstacles in accessing the SWF, including the lack of gender-sensitive delivery process appropriate to the context and a general lack of social information on the programme among beneficiaries, non-beneficiaries and even implementers, with an effect on the decision of potential beneficiaries to register or not, potential biases and, in some cases, intermediaries taking advantage of the poor and uninformed during the application process. Overseas Development Institute (2013). Beneficiary and community perspectives on the Social Welfare Fund in Yemen. Available at: https://www.odi.org/sites/odi.org.uk/files/odi-assets/ publications-opinion-files/8312.pdf p. 4</w:t>
      </w:r>
      <w:r>
        <w:t>.</w:t>
      </w:r>
      <w:r w:rsidRPr="005253BB">
        <w:t xml:space="preserve"> </w:t>
      </w:r>
    </w:p>
  </w:footnote>
  <w:footnote w:id="24">
    <w:p w14:paraId="52B69C18" w14:textId="38488956"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See, for example, Care International </w:t>
      </w:r>
      <w:r w:rsidRPr="009958E2">
        <w:rPr>
          <w:i/>
          <w:iCs/>
        </w:rPr>
        <w:t>No Future for Yemen Without Women and Girls.</w:t>
      </w:r>
      <w:r>
        <w:rPr>
          <w:i/>
          <w:iCs/>
        </w:rPr>
        <w:t xml:space="preserve"> </w:t>
      </w:r>
      <w:r w:rsidRPr="005253BB">
        <w:t>(2016)</w:t>
      </w:r>
      <w:r w:rsidRPr="009958E2">
        <w:rPr>
          <w:i/>
          <w:iCs/>
        </w:rPr>
        <w:t xml:space="preserve"> </w:t>
      </w:r>
      <w:r w:rsidRPr="005253BB">
        <w:t>Available at:</w:t>
      </w:r>
      <w:hyperlink r:id="rId21">
        <w:r w:rsidRPr="005253BB">
          <w:t xml:space="preserve"> </w:t>
        </w:r>
      </w:hyperlink>
      <w:hyperlink r:id="rId22">
        <w:r w:rsidRPr="005253BB">
          <w:t>https://insights.careinternational.org.uk/publications/no-future-for-yemen-without-women-and-girls</w:t>
        </w:r>
      </w:hyperlink>
      <w:r w:rsidRPr="005253BB">
        <w:t>, p. 2</w:t>
      </w:r>
      <w:r>
        <w:t>.</w:t>
      </w:r>
    </w:p>
  </w:footnote>
  <w:footnote w:id="25">
    <w:p w14:paraId="428F2647" w14:textId="075B2F1C"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UNFPA (2016). </w:t>
      </w:r>
      <w:r w:rsidRPr="00163C1A">
        <w:rPr>
          <w:i/>
          <w:iCs/>
        </w:rPr>
        <w:t>Three million women and girls at risk of violence in Yemen.</w:t>
      </w:r>
      <w:r w:rsidRPr="005253BB">
        <w:t xml:space="preserve"> Available at:</w:t>
      </w:r>
      <w:hyperlink r:id="rId23">
        <w:r w:rsidRPr="005253BB">
          <w:t xml:space="preserve"> </w:t>
        </w:r>
      </w:hyperlink>
      <w:hyperlink r:id="rId24">
        <w:r w:rsidRPr="005253BB">
          <w:t>http://yemen.unfpa.org/en/news/three-million-women-and-girls-risk-violence-yemen</w:t>
        </w:r>
      </w:hyperlink>
      <w:r w:rsidRPr="005253BB">
        <w:rPr>
          <w:rStyle w:val="FootnoteReference"/>
        </w:rPr>
        <w:t xml:space="preserve"> </w:t>
      </w:r>
      <w:r>
        <w:t>.</w:t>
      </w:r>
    </w:p>
  </w:footnote>
  <w:footnote w:id="26">
    <w:p w14:paraId="08BC384E" w14:textId="63BD1EAC"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UNFPA (2016). Humanitarian Crisis in Yemen: Preventing Gender-based Violence &amp; Strengthening the Response, October 2016. Available at:</w:t>
      </w:r>
      <w:hyperlink r:id="rId25">
        <w:r w:rsidRPr="005253BB">
          <w:t xml:space="preserve"> </w:t>
        </w:r>
      </w:hyperlink>
      <w:hyperlink r:id="rId26">
        <w:r w:rsidRPr="005253BB">
          <w:t>http://yemen.unfpa.org/sites/default/files/resource-pdf/Final%20-GBV%20Sub-Cluster-%20Yemen%20Crisis-Preventing%20GBV%20and%20Strenthening%20the%20Response.pd</w:t>
        </w:r>
      </w:hyperlink>
      <w:r w:rsidRPr="005253BB">
        <w:t>f, p. 4</w:t>
      </w:r>
      <w:r>
        <w:t>.</w:t>
      </w:r>
    </w:p>
  </w:footnote>
  <w:footnote w:id="27">
    <w:p w14:paraId="37C8B8E4" w14:textId="01428AE3"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163C1A">
        <w:rPr>
          <w:i/>
          <w:iCs/>
        </w:rPr>
        <w:t xml:space="preserve">Situation of human rights in Yemen, including violations and abuses since September 2014, Report of the detailed findings of the Group of Eminent International and Regional Experts on Yemen. </w:t>
      </w:r>
      <w:r w:rsidRPr="005253BB">
        <w:t>A/HRC/42/CRP. 13 September 2019, paragraph 616.</w:t>
      </w:r>
      <w:r w:rsidRPr="005253BB">
        <w:rPr>
          <w:rStyle w:val="FootnoteReference"/>
        </w:rPr>
        <w:t xml:space="preserve"> </w:t>
      </w:r>
    </w:p>
  </w:footnote>
  <w:footnote w:id="28">
    <w:p w14:paraId="2A69D148" w14:textId="694E994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Quoted in UNOCHA (2017). </w:t>
      </w:r>
      <w:r w:rsidRPr="00163C1A">
        <w:rPr>
          <w:i/>
          <w:iCs/>
        </w:rPr>
        <w:t>Yemen: Humanitarian Needs Overview 2017.</w:t>
      </w:r>
      <w:hyperlink r:id="rId27">
        <w:r w:rsidRPr="00163C1A">
          <w:rPr>
            <w:i/>
            <w:iCs/>
          </w:rPr>
          <w:t xml:space="preserve"> </w:t>
        </w:r>
      </w:hyperlink>
      <w:r w:rsidRPr="005253BB">
        <w:t>Available at:</w:t>
      </w:r>
      <w:hyperlink r:id="rId28">
        <w:r w:rsidRPr="005253BB">
          <w:t xml:space="preserve"> </w:t>
        </w:r>
      </w:hyperlink>
      <w:hyperlink r:id="rId29">
        <w:r w:rsidRPr="005253BB">
          <w:t>https://reliefweb.int/sites/reliefweb.int/files/resources/YEMEN%202017%20HNO_Final.pdf</w:t>
        </w:r>
      </w:hyperlink>
      <w:r w:rsidRPr="005253BB">
        <w:t>, p. 17</w:t>
      </w:r>
      <w:r>
        <w:t>.</w:t>
      </w:r>
    </w:p>
  </w:footnote>
  <w:footnote w:id="29">
    <w:p w14:paraId="388E7174" w14:textId="502AF161"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Intersos and UNFPA (2015). </w:t>
      </w:r>
      <w:r w:rsidRPr="00163C1A">
        <w:rPr>
          <w:i/>
          <w:iCs/>
        </w:rPr>
        <w:t>GBV trend analysis 2015: Incident reporting by 30 local associations to INTERSOS –UNFPA for 8 governorates.</w:t>
      </w:r>
      <w:r w:rsidRPr="005253BB">
        <w:t xml:space="preserve"> Available at: </w:t>
      </w:r>
      <w:hyperlink r:id="rId30">
        <w:r w:rsidRPr="005253BB">
          <w:t>https://www.humanitarianresponse.info/sites/www.humanitarianresponse.info/files/assessments/annex_1_-_3553_-_gbv_trend_analysis_2015_-_27.12.2015.pdf</w:t>
        </w:r>
      </w:hyperlink>
      <w:r w:rsidRPr="005253BB">
        <w:rPr>
          <w:rStyle w:val="FootnoteReference"/>
        </w:rPr>
        <w:t xml:space="preserve"> </w:t>
      </w:r>
      <w:r>
        <w:t>.</w:t>
      </w:r>
    </w:p>
  </w:footnote>
  <w:footnote w:id="30">
    <w:p w14:paraId="4BA32EC1"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rPr>
          <w:i/>
          <w:iCs/>
        </w:rPr>
        <w:t xml:space="preserve">Ibid </w:t>
      </w:r>
    </w:p>
  </w:footnote>
  <w:footnote w:id="31">
    <w:p w14:paraId="7FC3958C" w14:textId="77777777" w:rsidR="0058641E" w:rsidRPr="005253BB" w:rsidRDefault="0058641E" w:rsidP="006E0843">
      <w:pPr>
        <w:pStyle w:val="FootnoteText"/>
        <w:rPr>
          <w:rStyle w:val="FootnoteReference"/>
        </w:rPr>
      </w:pPr>
      <w:r w:rsidRPr="005253BB">
        <w:rPr>
          <w:rStyle w:val="FootnoteReference"/>
        </w:rPr>
        <w:footnoteRef/>
      </w:r>
      <w:r w:rsidRPr="005253BB">
        <w:rPr>
          <w:rStyle w:val="FootnoteReference"/>
        </w:rPr>
        <w:t xml:space="preserve"> </w:t>
      </w:r>
      <w:r w:rsidRPr="005253BB">
        <w:rPr>
          <w:i/>
          <w:iCs/>
        </w:rPr>
        <w:t>Ibid</w:t>
      </w:r>
    </w:p>
  </w:footnote>
  <w:footnote w:id="32">
    <w:p w14:paraId="76066020" w14:textId="77777777" w:rsidR="0058641E" w:rsidRPr="005253BB" w:rsidRDefault="0058641E" w:rsidP="00FA4B5F">
      <w:pPr>
        <w:pStyle w:val="FootnoteText"/>
        <w:rPr>
          <w:rStyle w:val="FootnoteReference"/>
        </w:rPr>
      </w:pPr>
      <w:r w:rsidRPr="005253BB">
        <w:rPr>
          <w:rStyle w:val="FootnoteReference"/>
        </w:rPr>
        <w:footnoteRef/>
      </w:r>
      <w:r w:rsidRPr="005253BB">
        <w:rPr>
          <w:rStyle w:val="FootnoteReference"/>
        </w:rPr>
        <w:t xml:space="preserve"> </w:t>
      </w:r>
      <w:r w:rsidRPr="001E542A">
        <w:t xml:space="preserve">UNOCHA </w:t>
      </w:r>
      <w:r w:rsidRPr="009958E2">
        <w:rPr>
          <w:i/>
          <w:iCs/>
        </w:rPr>
        <w:t>Humanitarian Needs Overview (2017) - Yemen.</w:t>
      </w:r>
      <w:r w:rsidRPr="001E542A">
        <w:t xml:space="preserve"> Available at: </w:t>
      </w:r>
      <w:hyperlink r:id="rId31" w:history="1">
        <w:r w:rsidRPr="001E542A">
          <w:t>https://reliefweb.int/sites/reliefweb.int/files/resources/yemen_humanitarian_needs_overview_hno_2018_20171204_0.pdf</w:t>
        </w:r>
      </w:hyperlink>
      <w:r w:rsidRPr="005253BB">
        <w:rPr>
          <w:rStyle w:val="FootnoteReference"/>
        </w:rPr>
        <w:t xml:space="preserve">  </w:t>
      </w:r>
    </w:p>
  </w:footnote>
  <w:footnote w:id="33">
    <w:p w14:paraId="6DA29100" w14:textId="77777777" w:rsidR="0058641E" w:rsidRPr="005253BB" w:rsidRDefault="0058641E" w:rsidP="00FA4B5F">
      <w:pPr>
        <w:pStyle w:val="FootnoteText"/>
        <w:rPr>
          <w:rStyle w:val="FootnoteReference"/>
        </w:rPr>
      </w:pPr>
      <w:r w:rsidRPr="005253BB">
        <w:rPr>
          <w:rStyle w:val="FootnoteReference"/>
        </w:rPr>
        <w:footnoteRef/>
      </w:r>
      <w:r w:rsidRPr="005253BB">
        <w:rPr>
          <w:rStyle w:val="FootnoteReference"/>
        </w:rPr>
        <w:t xml:space="preserve"> </w:t>
      </w:r>
      <w:r w:rsidRPr="005253BB">
        <w:t xml:space="preserve">See, for example, </w:t>
      </w:r>
      <w:r w:rsidRPr="00163C1A">
        <w:rPr>
          <w:i/>
          <w:iCs/>
        </w:rPr>
        <w:t xml:space="preserve">Situation of human rights in Yemen, including violations and abuses since September 2014, Report of the detailed findings of the Group of Eminent International and Regional Experts on Yemen. </w:t>
      </w:r>
      <w:r w:rsidRPr="005253BB">
        <w:t xml:space="preserve">A/HRC/42/CRP. 13, </w:t>
      </w:r>
      <w:r>
        <w:t>(</w:t>
      </w:r>
      <w:r w:rsidRPr="005253BB">
        <w:t>September 2019</w:t>
      </w:r>
      <w:r>
        <w:t>)</w:t>
      </w:r>
      <w:r w:rsidRPr="005253BB">
        <w:t>, paragraphs 701-704.</w:t>
      </w:r>
      <w:r w:rsidRPr="005253BB">
        <w:rPr>
          <w:rStyle w:val="FootnoteReference"/>
        </w:rPr>
        <w:t xml:space="preserve"> </w:t>
      </w:r>
    </w:p>
  </w:footnote>
  <w:footnote w:id="34">
    <w:p w14:paraId="49ED1989" w14:textId="31A8DAA3"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rPr>
          <w:i/>
          <w:iCs/>
        </w:rPr>
        <w:t>Ibid</w:t>
      </w:r>
    </w:p>
  </w:footnote>
  <w:footnote w:id="35">
    <w:p w14:paraId="27F96D78"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One in the southern part of Yemen, in Aden, and three in the northern part in Ibb, Sana’a and Hodaida</w:t>
      </w:r>
    </w:p>
  </w:footnote>
  <w:footnote w:id="36">
    <w:p w14:paraId="26E96020"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The commission’s report can be found here: </w:t>
      </w:r>
      <w:hyperlink r:id="rId32" w:history="1">
        <w:r w:rsidRPr="005253BB">
          <w:t>https://www.nciye.org/periodic-reports/</w:t>
        </w:r>
      </w:hyperlink>
    </w:p>
  </w:footnote>
  <w:footnote w:id="37">
    <w:p w14:paraId="02EC33EA" w14:textId="1D57A5D1" w:rsidR="0058641E" w:rsidRPr="00163C1A" w:rsidRDefault="0058641E" w:rsidP="00163C1A">
      <w:pPr>
        <w:pStyle w:val="FootnoteText"/>
        <w:rPr>
          <w:rStyle w:val="FootnoteReference"/>
          <w:vertAlign w:val="baseline"/>
        </w:rPr>
      </w:pPr>
      <w:r w:rsidRPr="005253BB">
        <w:rPr>
          <w:rStyle w:val="FootnoteReference"/>
        </w:rPr>
        <w:footnoteRef/>
      </w:r>
      <w:r w:rsidRPr="005253BB">
        <w:rPr>
          <w:rStyle w:val="FootnoteReference"/>
        </w:rPr>
        <w:t xml:space="preserve"> </w:t>
      </w:r>
      <w:r w:rsidRPr="005253BB">
        <w:t>The National Dialogue Conference (NDC) was a transitional dialogue process held in Sana'a, Yemen from March 2013 to January 24 2014, as part of the Yemeni crisis reconciliation efforts.</w:t>
      </w:r>
    </w:p>
  </w:footnote>
  <w:footnote w:id="38">
    <w:p w14:paraId="4BB570D8" w14:textId="40E97E69"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The Association of Mothers of Abductees (AMA) report of 2017, available at: </w:t>
      </w:r>
      <w:hyperlink r:id="rId33" w:history="1">
        <w:r w:rsidRPr="005253BB">
          <w:t>https://tinyurl.com/yggabs9j</w:t>
        </w:r>
      </w:hyperlink>
      <w:r w:rsidRPr="005253BB">
        <w:rPr>
          <w:rStyle w:val="FootnoteReference"/>
        </w:rPr>
        <w:t xml:space="preserve"> </w:t>
      </w:r>
    </w:p>
  </w:footnote>
  <w:footnote w:id="39">
    <w:p w14:paraId="0AB6E1A5" w14:textId="58A35A1C"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The Association of Mothers of Abductees (AMA) report of 2018, available at: </w:t>
      </w:r>
      <w:hyperlink r:id="rId34" w:history="1">
        <w:r w:rsidRPr="005253BB">
          <w:t>https://tinyurl.com/yz6oxggt</w:t>
        </w:r>
      </w:hyperlink>
      <w:r w:rsidRPr="005253BB">
        <w:rPr>
          <w:rStyle w:val="FootnoteReference"/>
        </w:rPr>
        <w:t xml:space="preserve"> </w:t>
      </w:r>
      <w:r>
        <w:t xml:space="preserve"> </w:t>
      </w:r>
    </w:p>
  </w:footnote>
  <w:footnote w:id="40">
    <w:p w14:paraId="24FB1BE2" w14:textId="7D87FC62"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Human Rights Watch (2017, June 22). </w:t>
      </w:r>
      <w:r w:rsidRPr="00163C1A">
        <w:rPr>
          <w:i/>
          <w:iCs/>
        </w:rPr>
        <w:t xml:space="preserve">Yemen: UAE Backs Abusive Local Forces. </w:t>
      </w:r>
      <w:r w:rsidRPr="005253BB">
        <w:t xml:space="preserve">Available at: </w:t>
      </w:r>
      <w:hyperlink r:id="rId35" w:history="1">
        <w:r w:rsidRPr="005253BB">
          <w:t>https://www.hrw.org/news/2017/06/22/yemen-uae-backs-abusive-local-forcesm</w:t>
        </w:r>
      </w:hyperlink>
      <w:r w:rsidRPr="005253BB">
        <w:t xml:space="preserve"> </w:t>
      </w:r>
      <w:r>
        <w:t xml:space="preserve">. </w:t>
      </w:r>
    </w:p>
  </w:footnote>
  <w:footnote w:id="41">
    <w:p w14:paraId="506975A2"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Newspaper source in Arabic </w:t>
      </w:r>
      <w:r w:rsidRPr="00163C1A">
        <w:rPr>
          <w:i/>
          <w:iCs/>
        </w:rPr>
        <w:t>“Al-Shark al-Awsat”</w:t>
      </w:r>
      <w:r w:rsidRPr="005253BB">
        <w:t xml:space="preserve"> (October 2019): </w:t>
      </w:r>
      <w:r w:rsidRPr="005253BB">
        <w:rPr>
          <w:rFonts w:hint="cs"/>
          <w:rtl/>
        </w:rPr>
        <w:t>جريدة الشرق الأوسط: "</w:t>
      </w:r>
      <w:r w:rsidRPr="005253BB">
        <w:rPr>
          <w:rtl/>
        </w:rPr>
        <w:t xml:space="preserve"> النساء اليمنيات في مرمى آلة العنف الحوثية</w:t>
      </w:r>
      <w:r w:rsidRPr="005253BB">
        <w:rPr>
          <w:rFonts w:hint="cs"/>
          <w:rtl/>
        </w:rPr>
        <w:t>"</w:t>
      </w:r>
      <w:r w:rsidRPr="005253BB">
        <w:t xml:space="preserve"> Available at: </w:t>
      </w:r>
      <w:hyperlink r:id="rId36" w:history="1">
        <w:r w:rsidRPr="005253BB">
          <w:t>https://tinyurl.com/yjgf9783</w:t>
        </w:r>
      </w:hyperlink>
      <w:r w:rsidRPr="005253BB">
        <w:rPr>
          <w:rStyle w:val="FootnoteReference"/>
        </w:rPr>
        <w:t xml:space="preserve"> </w:t>
      </w:r>
    </w:p>
  </w:footnote>
  <w:footnote w:id="42">
    <w:p w14:paraId="78D29B18" w14:textId="028894CF" w:rsidR="0058641E" w:rsidRPr="00163C1A"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163C1A">
        <w:rPr>
          <w:i/>
          <w:iCs/>
        </w:rPr>
        <w:t>Situation of human rights in Yemen, including violations and abuses since September 2014, Report of the detailed findings of the Group of Eminent International and Regional Experts on Yemen</w:t>
      </w:r>
      <w:r w:rsidRPr="00163C1A">
        <w:t>. A/HRC/42/CRP.</w:t>
      </w:r>
      <w:r>
        <w:t>1</w:t>
      </w:r>
      <w:r w:rsidRPr="00163C1A">
        <w:t xml:space="preserve"> 13, September 2019, paragraph 644.</w:t>
      </w:r>
    </w:p>
  </w:footnote>
  <w:footnote w:id="43">
    <w:p w14:paraId="4294E05A"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rPr>
          <w:i/>
          <w:iCs/>
        </w:rPr>
        <w:t>Ibid</w:t>
      </w:r>
      <w:r w:rsidRPr="005253BB">
        <w:t>, paragraph 649</w:t>
      </w:r>
    </w:p>
  </w:footnote>
  <w:footnote w:id="44">
    <w:p w14:paraId="646FC79E"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163C1A">
        <w:rPr>
          <w:i/>
          <w:iCs/>
        </w:rPr>
        <w:t>Gun Policy. Yemen — Gun Facts, Figures and the Law.</w:t>
      </w:r>
      <w:r w:rsidRPr="005253BB">
        <w:t xml:space="preserve"> Available at:   http://www.gunpolicy.org/firearms/region/yemen</w:t>
      </w:r>
    </w:p>
  </w:footnote>
  <w:footnote w:id="45">
    <w:p w14:paraId="2F49D9F5"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163C1A">
        <w:rPr>
          <w:i/>
          <w:iCs/>
        </w:rPr>
        <w:t>Ibid.</w:t>
      </w:r>
    </w:p>
  </w:footnote>
  <w:footnote w:id="46">
    <w:p w14:paraId="3F3B5283"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163C1A">
        <w:rPr>
          <w:i/>
          <w:iCs/>
        </w:rPr>
        <w:t>ATT Monitor (2016) Dealing In Double Standards How Arms Sales To Saudi Arabia Are Causing Human Suffering In Yemen</w:t>
      </w:r>
      <w:r w:rsidRPr="005253BB">
        <w:t>. Available at:</w:t>
      </w:r>
      <w:hyperlink r:id="rId37">
        <w:r w:rsidRPr="005253BB">
          <w:t xml:space="preserve"> </w:t>
        </w:r>
      </w:hyperlink>
      <w:hyperlink r:id="rId38">
        <w:r w:rsidRPr="005253BB">
          <w:t>https://controlarms.org/wp-content/uploads/2018/03/ATT-Monitor-Case-Study-2-Saudi-Arabia-FINAL.pdf</w:t>
        </w:r>
      </w:hyperlink>
      <w:r w:rsidRPr="005253BB">
        <w:t>, p. 1</w:t>
      </w:r>
    </w:p>
  </w:footnote>
  <w:footnote w:id="47">
    <w:p w14:paraId="61D94281"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See, for example, WILPF reports to the CEDAW Committee on Italy and Germany’s arms transfers, available at:</w:t>
      </w:r>
      <w:hyperlink r:id="rId39">
        <w:r w:rsidRPr="005253BB">
          <w:t xml:space="preserve"> </w:t>
        </w:r>
      </w:hyperlink>
      <w:hyperlink r:id="rId40">
        <w:r w:rsidRPr="005253BB">
          <w:t>https://wilpf.org/wilpf-publications/</w:t>
        </w:r>
      </w:hyperlink>
      <w:r w:rsidRPr="005253BB">
        <w:t xml:space="preserve">; and WILPF statements on the UPR of the UK, available at: </w:t>
      </w:r>
      <w:hyperlink r:id="rId41">
        <w:r w:rsidRPr="005253BB">
          <w:t>https://wilpf.org/wilpf_statements/upr_uk_arms_transfers/</w:t>
        </w:r>
      </w:hyperlink>
      <w:r w:rsidRPr="005253BB">
        <w:t xml:space="preserve">  and France, available at:</w:t>
      </w:r>
      <w:hyperlink r:id="rId42">
        <w:r w:rsidRPr="005253BB">
          <w:t xml:space="preserve"> </w:t>
        </w:r>
      </w:hyperlink>
      <w:hyperlink r:id="rId43">
        <w:r w:rsidRPr="005253BB">
          <w:t>https://wilpf.org/wilpfs-statement-on-the-upr-of-france/</w:t>
        </w:r>
      </w:hyperlink>
      <w:r w:rsidRPr="005253BB">
        <w:t xml:space="preserve"> ; and Amnesty International, Yemen: Three years on, US and UK arms supplies to Saudi Arabia-led coalition are devastating civilian lives. Available at: </w:t>
      </w:r>
      <w:hyperlink r:id="rId44">
        <w:r w:rsidRPr="005253BB">
          <w:t>https://www.amnesty.org/en/latest/news/2018/03/yemen-three-years-on-us-and-uk-arms-supplies-to-saudi-arabia-led-coalition-are-devastating-civilian-lives/</w:t>
        </w:r>
      </w:hyperlink>
      <w:r w:rsidRPr="005253BB">
        <w:rPr>
          <w:rStyle w:val="FootnoteReference"/>
        </w:rPr>
        <w:t xml:space="preserve"> </w:t>
      </w:r>
    </w:p>
  </w:footnote>
  <w:footnote w:id="48">
    <w:p w14:paraId="66D943AD" w14:textId="4F80FEEF"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163C1A">
        <w:rPr>
          <w:i/>
          <w:iCs/>
        </w:rPr>
        <w:t>Situation of human rights in Yemen, including violations and abuses since September 2014, Report of the detailed findings of the Group of Eminent International and Regional Experts on Yemen.</w:t>
      </w:r>
      <w:r w:rsidRPr="005253BB">
        <w:t xml:space="preserve"> A/HRC/42/CRP. 13, September 2019, paragraphs 916 and 917</w:t>
      </w:r>
      <w:r>
        <w:t>.</w:t>
      </w:r>
    </w:p>
  </w:footnote>
  <w:footnote w:id="49">
    <w:p w14:paraId="38062482" w14:textId="323AA015"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Human Rights Watch (2016, October 13). </w:t>
      </w:r>
      <w:r w:rsidRPr="00163C1A">
        <w:rPr>
          <w:i/>
          <w:iCs/>
        </w:rPr>
        <w:t>Yemen: Saudi-Led Funeral Attack Apparent War Crime</w:t>
      </w:r>
      <w:r w:rsidRPr="005253BB">
        <w:t>. Available at:</w:t>
      </w:r>
      <w:hyperlink r:id="rId45">
        <w:r w:rsidRPr="005253BB">
          <w:t xml:space="preserve"> </w:t>
        </w:r>
      </w:hyperlink>
      <w:hyperlink r:id="rId46">
        <w:r w:rsidRPr="005253BB">
          <w:t>https://www.hrw.org/news/2016/10/13/yemen-saudi-led-funeral-attack-apparent-war-crime</w:t>
        </w:r>
      </w:hyperlink>
      <w:r w:rsidRPr="005253BB">
        <w:t xml:space="preserve">; Human Rights Watch (2017, January 13). </w:t>
      </w:r>
      <w:r w:rsidRPr="00163C1A">
        <w:rPr>
          <w:i/>
          <w:iCs/>
        </w:rPr>
        <w:t>Letter to Saudi-Led Coalition Joint Incidents Assessment Team Regarding Yemen</w:t>
      </w:r>
      <w:r w:rsidRPr="005253BB">
        <w:t>. Available at:</w:t>
      </w:r>
      <w:hyperlink r:id="rId47">
        <w:r w:rsidRPr="005253BB">
          <w:t xml:space="preserve"> </w:t>
        </w:r>
      </w:hyperlink>
      <w:hyperlink r:id="rId48">
        <w:r w:rsidRPr="005253BB">
          <w:t>https://www.hrw.org/news/2017/01/16/letter-saudi-led-coalition-joint-incidents-assessment-team-regarding-yemen</w:t>
        </w:r>
      </w:hyperlink>
      <w:r w:rsidRPr="005253BB">
        <w:t>; Human Rights Watch (2018, April 24). Bride Among 20 Dead in Yemen Wedding Airstrike. Daily Brief. Available at:</w:t>
      </w:r>
      <w:hyperlink r:id="rId49">
        <w:r w:rsidRPr="005253BB">
          <w:t xml:space="preserve"> </w:t>
        </w:r>
      </w:hyperlink>
      <w:hyperlink r:id="rId50">
        <w:r w:rsidRPr="005253BB">
          <w:t>https://www.hrw.org/the-day-in-human-rights/2018/04/24</w:t>
        </w:r>
      </w:hyperlink>
      <w:r w:rsidRPr="005253BB">
        <w:t xml:space="preserve">; Médecins Sans Frontières (2016, December 9). </w:t>
      </w:r>
      <w:r w:rsidRPr="00163C1A">
        <w:rPr>
          <w:i/>
          <w:iCs/>
        </w:rPr>
        <w:t xml:space="preserve">Saudi-led airstrike on Abs hospital cannot be justified as </w:t>
      </w:r>
      <w:r>
        <w:rPr>
          <w:i/>
          <w:iCs/>
        </w:rPr>
        <w:t>“</w:t>
      </w:r>
      <w:r w:rsidRPr="00163C1A">
        <w:rPr>
          <w:i/>
          <w:iCs/>
        </w:rPr>
        <w:t>unintentional error</w:t>
      </w:r>
      <w:r>
        <w:rPr>
          <w:i/>
          <w:iCs/>
        </w:rPr>
        <w:t>.”</w:t>
      </w:r>
      <w:r w:rsidRPr="00163C1A">
        <w:rPr>
          <w:i/>
          <w:iCs/>
        </w:rPr>
        <w:t xml:space="preserve"> </w:t>
      </w:r>
      <w:r w:rsidRPr="005253BB">
        <w:t>Available at:</w:t>
      </w:r>
      <w:hyperlink r:id="rId51">
        <w:r w:rsidRPr="005253BB">
          <w:t xml:space="preserve"> </w:t>
        </w:r>
      </w:hyperlink>
      <w:hyperlink r:id="rId52">
        <w:r w:rsidRPr="005253BB">
          <w:t>https://www.msf.org/yemensaudi-led-airstrike-abs-hospital-cannot-be-justified-unintentional-error</w:t>
        </w:r>
      </w:hyperlink>
      <w:r w:rsidRPr="005253BB">
        <w:t>; UN Index: A/HRC/36/33 paragraph 28</w:t>
      </w:r>
    </w:p>
  </w:footnote>
  <w:footnote w:id="50">
    <w:p w14:paraId="5EB34ED7"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C3070A">
        <w:rPr>
          <w:i/>
          <w:iCs/>
        </w:rPr>
        <w:t>Report of the detailed findings of the Group of Eminent International and Regional Experts on Yemen: “Situation of human rights in Yemen, including violations and abuses since September 2014”</w:t>
      </w:r>
      <w:r w:rsidRPr="005253BB">
        <w:t xml:space="preserve"> (September 2019), paragraph 921</w:t>
      </w:r>
      <w:r w:rsidRPr="005253BB">
        <w:rPr>
          <w:rStyle w:val="FootnoteReference"/>
        </w:rPr>
        <w:t xml:space="preserve"> </w:t>
      </w:r>
    </w:p>
  </w:footnote>
  <w:footnote w:id="51">
    <w:p w14:paraId="1FE4701D" w14:textId="77777777" w:rsidR="0058641E" w:rsidRPr="005253BB" w:rsidRDefault="0058641E" w:rsidP="005253BB">
      <w:pPr>
        <w:pStyle w:val="FootnoteText"/>
        <w:rPr>
          <w:rStyle w:val="CommentReference"/>
        </w:rPr>
      </w:pPr>
      <w:r w:rsidRPr="005253BB">
        <w:rPr>
          <w:rStyle w:val="FootnoteReference"/>
        </w:rPr>
        <w:footnoteRef/>
      </w:r>
      <w:r w:rsidRPr="005253BB">
        <w:rPr>
          <w:rStyle w:val="FootnoteReference"/>
        </w:rPr>
        <w:t xml:space="preserve"> </w:t>
      </w:r>
      <w:r w:rsidRPr="005253BB">
        <w:rPr>
          <w:rStyle w:val="CommentReference"/>
        </w:rPr>
        <w:t xml:space="preserve">Saudi Press Agency (2016, October 15). </w:t>
      </w:r>
      <w:r w:rsidRPr="005253BB">
        <w:rPr>
          <w:rStyle w:val="CommentReference"/>
          <w:rtl/>
        </w:rPr>
        <w:t>عام / بيان صادر عن الفريق المشترك لتقييم الحوادث بشأن حادثة استهداف القاعة الكبرى بصنعاء</w:t>
      </w:r>
    </w:p>
    <w:p w14:paraId="19ADD27E" w14:textId="77777777" w:rsidR="0058641E" w:rsidRPr="005253BB" w:rsidRDefault="0058641E" w:rsidP="005253BB">
      <w:pPr>
        <w:pStyle w:val="FootnoteText"/>
        <w:rPr>
          <w:rStyle w:val="FootnoteReference"/>
        </w:rPr>
      </w:pPr>
      <w:r w:rsidRPr="005253BB">
        <w:rPr>
          <w:rStyle w:val="CommentReference"/>
        </w:rPr>
        <w:t xml:space="preserve">Available at: </w:t>
      </w:r>
      <w:hyperlink r:id="rId53">
        <w:r w:rsidRPr="005253BB">
          <w:rPr>
            <w:rStyle w:val="CommentReference"/>
          </w:rPr>
          <w:t>https://www.spa.gov.sa/1548643</w:t>
        </w:r>
      </w:hyperlink>
      <w:r w:rsidRPr="005253BB">
        <w:rPr>
          <w:rStyle w:val="FootnoteReference"/>
        </w:rPr>
        <w:t xml:space="preserve">   </w:t>
      </w:r>
    </w:p>
  </w:footnote>
  <w:footnote w:id="52">
    <w:p w14:paraId="3C70E9F7"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hyperlink r:id="rId54" w:history="1">
        <w:r w:rsidRPr="005253BB">
          <w:t>http://arabcenterdc.org/policy_analyses/the-riyadh-agreement-on-yemen-arrangements-and-chances-of-success/</w:t>
        </w:r>
      </w:hyperlink>
    </w:p>
  </w:footnote>
  <w:footnote w:id="53">
    <w:p w14:paraId="54CB393C" w14:textId="77777777" w:rsidR="00CA0F36" w:rsidRPr="005253BB" w:rsidRDefault="00CA0F36" w:rsidP="00CA0F36">
      <w:pPr>
        <w:pStyle w:val="FootnoteText"/>
        <w:rPr>
          <w:rStyle w:val="FootnoteReference"/>
        </w:rPr>
      </w:pPr>
      <w:r w:rsidRPr="005253BB">
        <w:rPr>
          <w:rStyle w:val="FootnoteReference"/>
        </w:rPr>
        <w:footnoteRef/>
      </w:r>
      <w:r w:rsidRPr="005253BB">
        <w:rPr>
          <w:rStyle w:val="FootnoteReference"/>
        </w:rPr>
        <w:t xml:space="preserve"> </w:t>
      </w:r>
      <w:r w:rsidRPr="005253BB">
        <w:t xml:space="preserve">See, for example, </w:t>
      </w:r>
      <w:r w:rsidRPr="005253BB">
        <w:rPr>
          <w:i/>
          <w:iCs/>
        </w:rPr>
        <w:t>Situation of human rights in Yemen, including violations and abuses since September 2014, Report of the detailed findings of the Group of Eminent International and Regional Experts on Yemen</w:t>
      </w:r>
      <w:r w:rsidRPr="005253BB">
        <w:t xml:space="preserve">. A/HRC/42/CRP. 13, September 2019, paragraphs 672 and 692; and Letter dated 22 January 2016 from the Panel of Experts on Yemen established pursuant to Security Council resolution 2140 (2014) addressed to the President of the Security Council, paragraph 159,  available at: </w:t>
      </w:r>
      <w:hyperlink r:id="rId55" w:history="1">
        <w:r w:rsidRPr="005253BB">
          <w:t>https://reliefweb.int/sites/reliefweb.int/files/resources/N1600299.pdf</w:t>
        </w:r>
      </w:hyperlink>
      <w:r w:rsidRPr="005253BB">
        <w:t>.</w:t>
      </w:r>
      <w:r w:rsidRPr="005253BB">
        <w:rPr>
          <w:rStyle w:val="FootnoteReference"/>
        </w:rPr>
        <w:t xml:space="preserve">  </w:t>
      </w:r>
    </w:p>
  </w:footnote>
  <w:footnote w:id="54">
    <w:p w14:paraId="6C58C68B" w14:textId="77777777" w:rsidR="0058641E" w:rsidRPr="00F84270" w:rsidRDefault="0058641E" w:rsidP="00F84270">
      <w:pPr>
        <w:pStyle w:val="FootnoteText"/>
      </w:pPr>
      <w:r>
        <w:rPr>
          <w:rStyle w:val="FootnoteReference"/>
        </w:rPr>
        <w:footnoteRef/>
      </w:r>
      <w:r>
        <w:t xml:space="preserve"> </w:t>
      </w:r>
      <w:r w:rsidRPr="00F84270">
        <w:rPr>
          <w:i/>
          <w:iCs/>
        </w:rPr>
        <w:t xml:space="preserve">Situation of human rights in Yemen, including violations and abuses since September 2014, Report of the detailed findings of the Group of Eminent International and Regional Experts on Yemen. </w:t>
      </w:r>
      <w:r w:rsidRPr="00F84270">
        <w:t xml:space="preserve">A/HRC/42/CRP. 13 September 2019, paragraph 674. </w:t>
      </w:r>
    </w:p>
    <w:p w14:paraId="0CAF17AA" w14:textId="03C87B65" w:rsidR="0058641E" w:rsidRPr="005B1F4A" w:rsidRDefault="0058641E" w:rsidP="005B1F4A">
      <w:pPr>
        <w:pStyle w:val="FootnoteText"/>
      </w:pPr>
      <w:r w:rsidRPr="00F84270">
        <w:t xml:space="preserve">Two footnotes in this paragraph indicate that “According to Article 149 of Yemen’s Law No. 45 (2002) on Child Rights, “The State shall abide by the internal law applicable to it in armed conflict that are related to the children and their protection though the following: a. Prohibition of children carrying weapons; b. Protection of children from effects of armed conflict; c. Protection of children that suffer from revenge/vendetta issues; d. (d) not involving children directly in war and, e. not recruiting any person who is not above 18 year-old.” Text available in Arabic at </w:t>
      </w:r>
      <w:hyperlink r:id="rId56" w:history="1">
        <w:r w:rsidRPr="00F84270">
          <w:rPr>
            <w:rStyle w:val="Hyperlink"/>
          </w:rPr>
          <w:t>http://hrlibrary.umn.edu/arabic/Yemeni_Laws/Yemeni_Laws29.pdf</w:t>
        </w:r>
      </w:hyperlink>
      <w:r w:rsidRPr="00F84270">
        <w:t>.” and that “the 1988 Yemeni Military Penal Code, article 21 provides that “An individual subject to the provisions of this law who committed during the war any act that causes harm to individuals and protected properties as per the international agreements to which Yemen is a consignee, shall be liable to imprisonment for a term of no longer than 10 years or penalized fittingly with the crime results.” The article then lists the ‘punishable acts’, however it does not include the recruitment and use of children under 15 or 18 year-old.”</w:t>
      </w:r>
    </w:p>
  </w:footnote>
  <w:footnote w:id="55">
    <w:p w14:paraId="70C7E7CA" w14:textId="4014226D" w:rsidR="0058641E" w:rsidRDefault="0058641E" w:rsidP="0058641E">
      <w:pPr>
        <w:pStyle w:val="FootnoteText"/>
      </w:pPr>
      <w:r w:rsidRPr="005253BB">
        <w:rPr>
          <w:rStyle w:val="FootnoteReference"/>
        </w:rPr>
        <w:footnoteRef/>
      </w:r>
      <w:r w:rsidRPr="005253BB">
        <w:rPr>
          <w:rStyle w:val="FootnoteReference"/>
        </w:rPr>
        <w:t xml:space="preserve"> </w:t>
      </w:r>
      <w:r w:rsidRPr="005253BB">
        <w:t>“31. The Committee is concerned that the State party’s domestic legislation does not prohibit and criminalize the recruitment or use in hostilities of children under the age of 18 years by non-State armed groups under any circumstances. It regrets that the State party’s legislation does not contain an explicit provision criminalizing the recruitment and use of children under 18 years in the national Armed Forces in wartime or peacetime.</w:t>
      </w:r>
      <w:r w:rsidRPr="005253BB">
        <w:rPr>
          <w:rStyle w:val="FootnoteReference"/>
        </w:rPr>
        <w:t xml:space="preserve"> </w:t>
      </w:r>
      <w:r>
        <w:rPr>
          <w:rStyle w:val="FootnoteReference"/>
        </w:rPr>
        <w:t xml:space="preserve"> </w:t>
      </w:r>
    </w:p>
    <w:p w14:paraId="306A67F6" w14:textId="407BD35F" w:rsidR="0058641E" w:rsidRPr="0058641E" w:rsidRDefault="0058641E" w:rsidP="0058641E">
      <w:pPr>
        <w:pStyle w:val="FootnoteText"/>
        <w:rPr>
          <w:rStyle w:val="FootnoteReference"/>
        </w:rPr>
      </w:pPr>
      <w:r>
        <w:t xml:space="preserve">32. </w:t>
      </w:r>
      <w:r w:rsidRPr="005253BB">
        <w:t>The Committee recommends that the State party ensure that the package of amendments to its legislation on military matters, including the Criminal Code, explicitly prohibit and criminalize the recruitment or use in hostilities of children under the age of 18 by the Armed Forces and non-State armed groups. It urges the State party to expedite the adoption and implementation of such amendments. It also recommends that the State party ratify the Rome Statute of the International Criminal Court.”</w:t>
      </w:r>
      <w:r>
        <w:rPr>
          <w:rStyle w:val="FootnoteReference"/>
          <w:vertAlign w:val="baseline"/>
        </w:rPr>
        <w:t xml:space="preserve"> </w:t>
      </w:r>
      <w:r w:rsidRPr="005253BB">
        <w:rPr>
          <w:rStyle w:val="CommentReference"/>
        </w:rPr>
        <w:t xml:space="preserve">Concluding observations on the report submitted by Yemen under article 8, paragraph 1, of the Optional Protocol to the Convention on the Rights of the Child on the involvement of children in armed conflict, CRC/C/OPAC/YEM/CO/1, 26 February 2014. </w:t>
      </w:r>
    </w:p>
  </w:footnote>
  <w:footnote w:id="56">
    <w:p w14:paraId="095B3C7E"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D3026F">
        <w:rPr>
          <w:i/>
          <w:iCs/>
        </w:rPr>
        <w:t>Yemen Country Report,</w:t>
      </w:r>
      <w:r w:rsidRPr="005253BB">
        <w:t xml:space="preserve"> UN Secretary General, 3 June 2019, available at: </w:t>
      </w:r>
      <w:hyperlink r:id="rId57" w:history="1">
        <w:r w:rsidRPr="005253BB">
          <w:t>https://undocs.org/en/S/2019/453</w:t>
        </w:r>
      </w:hyperlink>
    </w:p>
  </w:footnote>
  <w:footnote w:id="57">
    <w:p w14:paraId="0C2C64D9"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NY times, On the Front Line of the Saudi War in Yemen: Child Soldiers From Darfur, https html://www.nytimes.com/2018/12/28/world/africa/saudi-sudan-yemen-child-fighters.</w:t>
      </w:r>
    </w:p>
  </w:footnote>
  <w:footnote w:id="58">
    <w:p w14:paraId="1E259FB7" w14:textId="7B8B05EB"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D3026F">
        <w:rPr>
          <w:i/>
          <w:iCs/>
        </w:rPr>
        <w:t>Letter dated 22 January 2016 from the Panel of Experts on Yemen established pursuant to Security Council resolution 2140 (2014) addressed to the President of the Security Council.</w:t>
      </w:r>
      <w:r>
        <w:t xml:space="preserve"> A</w:t>
      </w:r>
      <w:r w:rsidRPr="005253BB">
        <w:t xml:space="preserve">vailable at: </w:t>
      </w:r>
      <w:hyperlink r:id="rId58" w:history="1">
        <w:r w:rsidRPr="005253BB">
          <w:t>https://reliefweb.int/sites/reliefweb.int/files/resources/N1600299.pdf</w:t>
        </w:r>
      </w:hyperlink>
      <w:r w:rsidRPr="005253BB">
        <w:t>, para.159.</w:t>
      </w:r>
      <w:r w:rsidRPr="005253BB">
        <w:rPr>
          <w:rStyle w:val="FootnoteReference"/>
        </w:rPr>
        <w:t xml:space="preserve">  </w:t>
      </w:r>
    </w:p>
  </w:footnote>
  <w:footnote w:id="59">
    <w:p w14:paraId="246D02E1"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D3026F">
        <w:rPr>
          <w:i/>
          <w:iCs/>
        </w:rPr>
        <w:t>Yemen Country Report, UN Secretary General,</w:t>
      </w:r>
      <w:r w:rsidRPr="005253BB">
        <w:t xml:space="preserve"> 3 June 2019, available at: </w:t>
      </w:r>
      <w:hyperlink r:id="rId59" w:history="1">
        <w:r w:rsidRPr="005253BB">
          <w:t>https://undocs.org/en/S/2019/453</w:t>
        </w:r>
      </w:hyperlink>
      <w:r w:rsidRPr="005253BB">
        <w:t>, p. 16.</w:t>
      </w:r>
    </w:p>
  </w:footnote>
  <w:footnote w:id="60">
    <w:p w14:paraId="05142B96"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D3026F">
        <w:rPr>
          <w:i/>
          <w:iCs/>
        </w:rPr>
        <w:t>Children and armed conflict, Report of the Secretary-General, A</w:t>
      </w:r>
      <w:r w:rsidRPr="005253BB">
        <w:t xml:space="preserve">/73/907–S/2019/509, 20 June 2019, paragraph 189, available at: </w:t>
      </w:r>
      <w:hyperlink r:id="rId60" w:history="1">
        <w:r w:rsidRPr="005253BB">
          <w:t>https://reliefweb.int/report/world/children-and-armed-conflict-report-secretary-general-a73907-s2019509-enar</w:t>
        </w:r>
      </w:hyperlink>
      <w:r w:rsidRPr="005253BB">
        <w:t>.</w:t>
      </w:r>
      <w:r w:rsidRPr="005253BB">
        <w:rPr>
          <w:rStyle w:val="FootnoteReference"/>
        </w:rPr>
        <w:t xml:space="preserve"> </w:t>
      </w:r>
    </w:p>
  </w:footnote>
  <w:footnote w:id="61">
    <w:p w14:paraId="268988C4"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See UN Press release on 14 May 2014. </w:t>
      </w:r>
      <w:r w:rsidRPr="00D3026F">
        <w:rPr>
          <w:i/>
          <w:iCs/>
        </w:rPr>
        <w:t xml:space="preserve">Children, Not Soldiers: Yemen Signs Action Plan to End Recruitment and Use of Children by Armed Forces. </w:t>
      </w:r>
      <w:r w:rsidRPr="005253BB">
        <w:t xml:space="preserve">Available at: </w:t>
      </w:r>
      <w:hyperlink r:id="rId61">
        <w:r w:rsidRPr="005253BB">
          <w:t>https://www.unicef.org/media/media_73490.html</w:t>
        </w:r>
      </w:hyperlink>
      <w:r w:rsidRPr="005253BB">
        <w:t xml:space="preserve"> and UN Index: A/72/361–S/2017/821.</w:t>
      </w:r>
      <w:r w:rsidRPr="005253BB">
        <w:rPr>
          <w:rStyle w:val="FootnoteReference"/>
        </w:rPr>
        <w:t xml:space="preserve"> </w:t>
      </w:r>
    </w:p>
  </w:footnote>
  <w:footnote w:id="62">
    <w:p w14:paraId="05508F10" w14:textId="1274DAE4"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UNOCHA </w:t>
      </w:r>
      <w:r w:rsidRPr="00D3026F">
        <w:rPr>
          <w:i/>
          <w:iCs/>
        </w:rPr>
        <w:t xml:space="preserve">2016 Humanitarian Response Plan - Yemen. </w:t>
      </w:r>
      <w:r w:rsidRPr="005253BB">
        <w:t xml:space="preserve">Available at: </w:t>
      </w:r>
      <w:hyperlink r:id="rId62">
        <w:r w:rsidRPr="005253BB">
          <w:t>https://reliefweb.int/sites/reliefweb.int/files/resources/2016%20Yemen%20Humanitarian%20Response%20Plan.pdf</w:t>
        </w:r>
      </w:hyperlink>
      <w:r w:rsidRPr="005253BB">
        <w:t>, p.36</w:t>
      </w:r>
      <w:r w:rsidRPr="005253BB">
        <w:rPr>
          <w:rStyle w:val="FootnoteReference"/>
        </w:rPr>
        <w:t xml:space="preserve"> </w:t>
      </w:r>
    </w:p>
  </w:footnote>
  <w:footnote w:id="63">
    <w:p w14:paraId="16B9F1A9" w14:textId="29C7F20B" w:rsidR="00CA0F36" w:rsidRPr="004F613C" w:rsidRDefault="00CA0F36" w:rsidP="00CA0F36">
      <w:pPr>
        <w:pStyle w:val="FootnoteText"/>
        <w:rPr>
          <w:lang w:val="en-US"/>
        </w:rPr>
      </w:pPr>
      <w:r>
        <w:rPr>
          <w:rStyle w:val="FootnoteReference"/>
        </w:rPr>
        <w:footnoteRef/>
      </w:r>
      <w:r>
        <w:t xml:space="preserve"> </w:t>
      </w:r>
      <w:r w:rsidRPr="004F613C">
        <w:rPr>
          <w:lang w:val="en-US"/>
        </w:rPr>
        <w:t>See fo</w:t>
      </w:r>
      <w:r>
        <w:rPr>
          <w:lang w:val="en-US"/>
        </w:rPr>
        <w:t xml:space="preserve">otnote 56. </w:t>
      </w:r>
    </w:p>
  </w:footnote>
  <w:footnote w:id="64">
    <w:p w14:paraId="10C327C6"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UN Index A/HRC/26/8: recommendations on women’s participation: 123.127 (Vietnam); 123.128 (Zambia); 123.131 (Chile); 123.133 (Czechia); 123.136 (Iceland); 124.69 (Netherlands).</w:t>
      </w:r>
    </w:p>
  </w:footnote>
  <w:footnote w:id="65">
    <w:p w14:paraId="29D98D1B"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UN Women. </w:t>
      </w:r>
      <w:r w:rsidRPr="00D3026F">
        <w:rPr>
          <w:i/>
          <w:iCs/>
        </w:rPr>
        <w:t xml:space="preserve">Country profile: Yemen. </w:t>
      </w:r>
      <w:r w:rsidRPr="005253BB">
        <w:t xml:space="preserve">Available at: </w:t>
      </w:r>
      <w:hyperlink r:id="rId63">
        <w:r w:rsidRPr="005253BB">
          <w:t>https://spring-forward.unwomen.org/en/countries/yemen</w:t>
        </w:r>
      </w:hyperlink>
      <w:r w:rsidRPr="005253BB">
        <w:rPr>
          <w:rStyle w:val="FootnoteReference"/>
        </w:rPr>
        <w:t xml:space="preserve"> </w:t>
      </w:r>
    </w:p>
  </w:footnote>
  <w:footnote w:id="66">
    <w:p w14:paraId="1A0704CD"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See, for example, </w:t>
      </w:r>
      <w:r w:rsidRPr="00D3026F">
        <w:rPr>
          <w:i/>
          <w:iCs/>
        </w:rPr>
        <w:t xml:space="preserve">Security Council report, December 2019 Monthly Forecast </w:t>
      </w:r>
      <w:hyperlink r:id="rId64" w:history="1">
        <w:r w:rsidRPr="005253BB">
          <w:t>https://www.securitycouncilreport.org/monthly-forecast/2019-12/yemen-13.php</w:t>
        </w:r>
      </w:hyperlink>
      <w:r w:rsidRPr="005253BB">
        <w:t xml:space="preserve">; and The Riyadh Agreement: Saudi Arabia Takes the Helm in Southern Yemen, </w:t>
      </w:r>
      <w:hyperlink r:id="rId65" w:history="1">
        <w:r w:rsidRPr="005253BB">
          <w:t>https://sanaacenter.org/publications/analysis/8324</w:t>
        </w:r>
      </w:hyperlink>
    </w:p>
  </w:footnote>
  <w:footnote w:id="67">
    <w:p w14:paraId="1A4FE499"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KIT: Royal Tropical Institute. </w:t>
      </w:r>
      <w:r w:rsidRPr="00D3026F">
        <w:rPr>
          <w:i/>
          <w:iCs/>
        </w:rPr>
        <w:t xml:space="preserve">Strengthening the capacity of the Women National Committee in order to enhance gender mainstreaming in Yemen. </w:t>
      </w:r>
      <w:r w:rsidRPr="005253BB">
        <w:t xml:space="preserve">Available at: </w:t>
      </w:r>
      <w:hyperlink r:id="rId66">
        <w:r w:rsidRPr="005253BB">
          <w:t>https://www.kit.nl/gender/project/empowering-womens-national-committee-yemen/</w:t>
        </w:r>
      </w:hyperlink>
    </w:p>
  </w:footnote>
  <w:footnote w:id="68">
    <w:p w14:paraId="060176EF" w14:textId="447C33D8"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 xml:space="preserve">UN Press release on 13 June 2017, UN Index: </w:t>
      </w:r>
      <w:r w:rsidRPr="005253BB">
        <w:rPr>
          <w:highlight w:val="white"/>
        </w:rPr>
        <w:t xml:space="preserve">SC/12873. Full statement available at: </w:t>
      </w:r>
      <w:hyperlink r:id="rId67">
        <w:r w:rsidRPr="005253BB">
          <w:rPr>
            <w:highlight w:val="white"/>
          </w:rPr>
          <w:t>http://undocs.org/S/PRST/2017/7</w:t>
        </w:r>
      </w:hyperlink>
      <w:r w:rsidRPr="005253BB">
        <w:rPr>
          <w:highlight w:val="white"/>
        </w:rPr>
        <w:t xml:space="preserve"> </w:t>
      </w:r>
      <w:r>
        <w:rPr>
          <w:highlight w:val="white"/>
        </w:rPr>
        <w:t>.</w:t>
      </w:r>
    </w:p>
  </w:footnote>
  <w:footnote w:id="69">
    <w:p w14:paraId="013C6EE4"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5253BB">
        <w:t>UN Index A/HRC/26/8: recommendations on women’s participation: 115.121 (Indonesia).</w:t>
      </w:r>
    </w:p>
  </w:footnote>
  <w:footnote w:id="70">
    <w:p w14:paraId="0676DFEC" w14:textId="77777777" w:rsidR="0058641E" w:rsidRPr="005253BB" w:rsidRDefault="0058641E" w:rsidP="005253BB">
      <w:pPr>
        <w:pStyle w:val="FootnoteText"/>
        <w:rPr>
          <w:rStyle w:val="FootnoteReference"/>
        </w:rPr>
      </w:pPr>
      <w:r w:rsidRPr="005253BB">
        <w:rPr>
          <w:rStyle w:val="FootnoteReference"/>
        </w:rPr>
        <w:footnoteRef/>
      </w:r>
      <w:r w:rsidRPr="005253BB">
        <w:rPr>
          <w:rStyle w:val="FootnoteReference"/>
        </w:rPr>
        <w:t xml:space="preserve"> </w:t>
      </w:r>
      <w:r w:rsidRPr="000976C7">
        <w:t xml:space="preserve">Friedrich Ebert Foundation and Musawa (2018). </w:t>
      </w:r>
      <w:r w:rsidRPr="000976C7">
        <w:rPr>
          <w:rtl/>
        </w:rPr>
        <w:t>مشاركة النساء في السلام، والأمن والعمليات الإنتقالية  في العالم العربي</w:t>
      </w:r>
      <w:r w:rsidRPr="000976C7">
        <w:t>. Retrieved from:</w:t>
      </w:r>
      <w:hyperlink r:id="rId68">
        <w:r w:rsidRPr="000976C7">
          <w:t xml:space="preserve"> </w:t>
        </w:r>
      </w:hyperlink>
      <w:hyperlink r:id="rId69">
        <w:r w:rsidRPr="000976C7">
          <w:t>http://library.fes.de/pdf-files/bueros/beirut/14513.pdf</w:t>
        </w:r>
      </w:hyperlink>
      <w:r w:rsidRPr="000976C7">
        <w:t xml:space="preserve"> (available in Arabic only).</w:t>
      </w:r>
      <w:r w:rsidRPr="005253BB">
        <w:rPr>
          <w:rStyle w:val="FootnoteReferenc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9254A0B"/>
    <w:multiLevelType w:val="hybridMultilevel"/>
    <w:tmpl w:val="911A0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5A231B"/>
    <w:multiLevelType w:val="hybridMultilevel"/>
    <w:tmpl w:val="014A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09B6F34"/>
    <w:multiLevelType w:val="multilevel"/>
    <w:tmpl w:val="F35A73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CA210E"/>
    <w:multiLevelType w:val="hybridMultilevel"/>
    <w:tmpl w:val="870A0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6C222D"/>
    <w:multiLevelType w:val="multilevel"/>
    <w:tmpl w:val="C658B3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3BF45C5"/>
    <w:multiLevelType w:val="hybridMultilevel"/>
    <w:tmpl w:val="90628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C5C19F5"/>
    <w:multiLevelType w:val="hybridMultilevel"/>
    <w:tmpl w:val="E848C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1369E6"/>
    <w:multiLevelType w:val="hybridMultilevel"/>
    <w:tmpl w:val="E12E4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BC1074"/>
    <w:multiLevelType w:val="hybridMultilevel"/>
    <w:tmpl w:val="037E45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0C465C"/>
    <w:multiLevelType w:val="hybridMultilevel"/>
    <w:tmpl w:val="08947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A46FB9"/>
    <w:multiLevelType w:val="multilevel"/>
    <w:tmpl w:val="BC70A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0"/>
  </w:num>
  <w:num w:numId="3">
    <w:abstractNumId w:val="20"/>
  </w:num>
  <w:num w:numId="4">
    <w:abstractNumId w:val="17"/>
  </w:num>
  <w:num w:numId="5">
    <w:abstractNumId w:val="18"/>
  </w:num>
  <w:num w:numId="6">
    <w:abstractNumId w:val="7"/>
  </w:num>
  <w:num w:numId="7">
    <w:abstractNumId w:val="1"/>
  </w:num>
  <w:num w:numId="8">
    <w:abstractNumId w:val="2"/>
  </w:num>
  <w:num w:numId="9">
    <w:abstractNumId w:val="5"/>
  </w:num>
  <w:num w:numId="10">
    <w:abstractNumId w:val="14"/>
  </w:num>
  <w:num w:numId="11">
    <w:abstractNumId w:val="6"/>
  </w:num>
  <w:num w:numId="12">
    <w:abstractNumId w:val="9"/>
  </w:num>
  <w:num w:numId="13">
    <w:abstractNumId w:val="19"/>
  </w:num>
  <w:num w:numId="14">
    <w:abstractNumId w:val="16"/>
  </w:num>
  <w:num w:numId="15">
    <w:abstractNumId w:val="4"/>
  </w:num>
  <w:num w:numId="16">
    <w:abstractNumId w:val="8"/>
  </w:num>
  <w:num w:numId="17">
    <w:abstractNumId w:val="13"/>
  </w:num>
  <w:num w:numId="18">
    <w:abstractNumId w:val="10"/>
  </w:num>
  <w:num w:numId="19">
    <w:abstractNumId w:val="12"/>
  </w:num>
  <w:num w:numId="20">
    <w:abstractNumId w:val="3"/>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17"/>
    <w:rsid w:val="00010974"/>
    <w:rsid w:val="00030B2F"/>
    <w:rsid w:val="00040091"/>
    <w:rsid w:val="0004281B"/>
    <w:rsid w:val="00047B83"/>
    <w:rsid w:val="00071D9B"/>
    <w:rsid w:val="0007753A"/>
    <w:rsid w:val="000976C7"/>
    <w:rsid w:val="00097AA7"/>
    <w:rsid w:val="000B24A7"/>
    <w:rsid w:val="000C1B99"/>
    <w:rsid w:val="000C5DBE"/>
    <w:rsid w:val="000D49D8"/>
    <w:rsid w:val="000E1C29"/>
    <w:rsid w:val="000E65D0"/>
    <w:rsid w:val="000F0C40"/>
    <w:rsid w:val="000F45FC"/>
    <w:rsid w:val="0011545B"/>
    <w:rsid w:val="00124C49"/>
    <w:rsid w:val="001254E1"/>
    <w:rsid w:val="0014147A"/>
    <w:rsid w:val="001428F0"/>
    <w:rsid w:val="001432E4"/>
    <w:rsid w:val="00153535"/>
    <w:rsid w:val="00163C1A"/>
    <w:rsid w:val="00166E03"/>
    <w:rsid w:val="00173161"/>
    <w:rsid w:val="001945B5"/>
    <w:rsid w:val="001A01EB"/>
    <w:rsid w:val="001A5456"/>
    <w:rsid w:val="001C5EBF"/>
    <w:rsid w:val="001D1B21"/>
    <w:rsid w:val="001E542A"/>
    <w:rsid w:val="001E6D73"/>
    <w:rsid w:val="001E6FE4"/>
    <w:rsid w:val="002242D7"/>
    <w:rsid w:val="0022478C"/>
    <w:rsid w:val="002314D8"/>
    <w:rsid w:val="0024381A"/>
    <w:rsid w:val="00256BD3"/>
    <w:rsid w:val="00260A03"/>
    <w:rsid w:val="002713F9"/>
    <w:rsid w:val="00281663"/>
    <w:rsid w:val="00285BB9"/>
    <w:rsid w:val="00285E2A"/>
    <w:rsid w:val="00286041"/>
    <w:rsid w:val="00287914"/>
    <w:rsid w:val="002923D8"/>
    <w:rsid w:val="00295099"/>
    <w:rsid w:val="002954A7"/>
    <w:rsid w:val="0029692F"/>
    <w:rsid w:val="002B3F82"/>
    <w:rsid w:val="002B719A"/>
    <w:rsid w:val="002B7553"/>
    <w:rsid w:val="002C5B18"/>
    <w:rsid w:val="002D2682"/>
    <w:rsid w:val="002F2C48"/>
    <w:rsid w:val="00304BB0"/>
    <w:rsid w:val="00322C3E"/>
    <w:rsid w:val="003257CD"/>
    <w:rsid w:val="00326389"/>
    <w:rsid w:val="003276AE"/>
    <w:rsid w:val="00336086"/>
    <w:rsid w:val="0033613C"/>
    <w:rsid w:val="0034262D"/>
    <w:rsid w:val="00356D73"/>
    <w:rsid w:val="003700ED"/>
    <w:rsid w:val="00370675"/>
    <w:rsid w:val="00372F3F"/>
    <w:rsid w:val="00384DB0"/>
    <w:rsid w:val="00387F9A"/>
    <w:rsid w:val="003A4369"/>
    <w:rsid w:val="003A60F4"/>
    <w:rsid w:val="003B4998"/>
    <w:rsid w:val="003D2A64"/>
    <w:rsid w:val="003D6791"/>
    <w:rsid w:val="003E53B8"/>
    <w:rsid w:val="003E770E"/>
    <w:rsid w:val="00401590"/>
    <w:rsid w:val="00424EAC"/>
    <w:rsid w:val="00436928"/>
    <w:rsid w:val="004419C4"/>
    <w:rsid w:val="0044430E"/>
    <w:rsid w:val="00444B29"/>
    <w:rsid w:val="00446D37"/>
    <w:rsid w:val="00464C5E"/>
    <w:rsid w:val="00467BCD"/>
    <w:rsid w:val="00471983"/>
    <w:rsid w:val="00471F90"/>
    <w:rsid w:val="00472C4E"/>
    <w:rsid w:val="00477BEB"/>
    <w:rsid w:val="00477D32"/>
    <w:rsid w:val="00486724"/>
    <w:rsid w:val="0049376D"/>
    <w:rsid w:val="00496188"/>
    <w:rsid w:val="00497B7E"/>
    <w:rsid w:val="004B44F0"/>
    <w:rsid w:val="004B4A11"/>
    <w:rsid w:val="004B73F2"/>
    <w:rsid w:val="004C2E1C"/>
    <w:rsid w:val="004D1904"/>
    <w:rsid w:val="004D239F"/>
    <w:rsid w:val="004E5199"/>
    <w:rsid w:val="004E6957"/>
    <w:rsid w:val="004F0BE7"/>
    <w:rsid w:val="004F4517"/>
    <w:rsid w:val="005022DD"/>
    <w:rsid w:val="005253BB"/>
    <w:rsid w:val="00526AC0"/>
    <w:rsid w:val="00550794"/>
    <w:rsid w:val="00560DE6"/>
    <w:rsid w:val="005625EF"/>
    <w:rsid w:val="0056659E"/>
    <w:rsid w:val="00571B4E"/>
    <w:rsid w:val="00583272"/>
    <w:rsid w:val="0058641E"/>
    <w:rsid w:val="00593579"/>
    <w:rsid w:val="00595961"/>
    <w:rsid w:val="005A08A3"/>
    <w:rsid w:val="005A5314"/>
    <w:rsid w:val="005A5780"/>
    <w:rsid w:val="005B1C8F"/>
    <w:rsid w:val="005B1F4A"/>
    <w:rsid w:val="005B5B3B"/>
    <w:rsid w:val="005B69C5"/>
    <w:rsid w:val="005F5CC0"/>
    <w:rsid w:val="006058CA"/>
    <w:rsid w:val="006063F7"/>
    <w:rsid w:val="00617639"/>
    <w:rsid w:val="00627DAA"/>
    <w:rsid w:val="00642B57"/>
    <w:rsid w:val="006463C3"/>
    <w:rsid w:val="00651CA1"/>
    <w:rsid w:val="00660B23"/>
    <w:rsid w:val="006678E4"/>
    <w:rsid w:val="00686E2E"/>
    <w:rsid w:val="006874C5"/>
    <w:rsid w:val="006A73FA"/>
    <w:rsid w:val="006B199A"/>
    <w:rsid w:val="006B6318"/>
    <w:rsid w:val="006C3B04"/>
    <w:rsid w:val="006C40DF"/>
    <w:rsid w:val="006C6106"/>
    <w:rsid w:val="006D4828"/>
    <w:rsid w:val="006E0843"/>
    <w:rsid w:val="006E299F"/>
    <w:rsid w:val="00701324"/>
    <w:rsid w:val="00707A69"/>
    <w:rsid w:val="00711409"/>
    <w:rsid w:val="00717B21"/>
    <w:rsid w:val="00726858"/>
    <w:rsid w:val="007616FA"/>
    <w:rsid w:val="00762299"/>
    <w:rsid w:val="007652B8"/>
    <w:rsid w:val="00765BFE"/>
    <w:rsid w:val="00773397"/>
    <w:rsid w:val="00774554"/>
    <w:rsid w:val="00792478"/>
    <w:rsid w:val="00796312"/>
    <w:rsid w:val="0079650C"/>
    <w:rsid w:val="00797535"/>
    <w:rsid w:val="007A18BF"/>
    <w:rsid w:val="007A1A0A"/>
    <w:rsid w:val="007D2A6E"/>
    <w:rsid w:val="007E1B64"/>
    <w:rsid w:val="007E3F48"/>
    <w:rsid w:val="007E6823"/>
    <w:rsid w:val="007F5145"/>
    <w:rsid w:val="008065AF"/>
    <w:rsid w:val="00810057"/>
    <w:rsid w:val="008179D2"/>
    <w:rsid w:val="00820BFF"/>
    <w:rsid w:val="008230D9"/>
    <w:rsid w:val="00834E85"/>
    <w:rsid w:val="00836BE6"/>
    <w:rsid w:val="008438E3"/>
    <w:rsid w:val="00844B6A"/>
    <w:rsid w:val="00862352"/>
    <w:rsid w:val="00863E24"/>
    <w:rsid w:val="00865676"/>
    <w:rsid w:val="00890718"/>
    <w:rsid w:val="008919CD"/>
    <w:rsid w:val="00894983"/>
    <w:rsid w:val="008A07A5"/>
    <w:rsid w:val="008A273F"/>
    <w:rsid w:val="008B0BF4"/>
    <w:rsid w:val="008B0E17"/>
    <w:rsid w:val="008B4344"/>
    <w:rsid w:val="008F4E81"/>
    <w:rsid w:val="0091108C"/>
    <w:rsid w:val="00923020"/>
    <w:rsid w:val="00923E07"/>
    <w:rsid w:val="009341C3"/>
    <w:rsid w:val="00952EA0"/>
    <w:rsid w:val="009604E2"/>
    <w:rsid w:val="00965C2E"/>
    <w:rsid w:val="00966605"/>
    <w:rsid w:val="00975C38"/>
    <w:rsid w:val="00986D3D"/>
    <w:rsid w:val="009958E2"/>
    <w:rsid w:val="00996902"/>
    <w:rsid w:val="00996E79"/>
    <w:rsid w:val="00996EA7"/>
    <w:rsid w:val="009A0B72"/>
    <w:rsid w:val="009A2E31"/>
    <w:rsid w:val="009A6D43"/>
    <w:rsid w:val="009C3F27"/>
    <w:rsid w:val="009D05CF"/>
    <w:rsid w:val="009D1E93"/>
    <w:rsid w:val="009D7097"/>
    <w:rsid w:val="009E03A5"/>
    <w:rsid w:val="00A01A7E"/>
    <w:rsid w:val="00A02C90"/>
    <w:rsid w:val="00A12525"/>
    <w:rsid w:val="00A235B8"/>
    <w:rsid w:val="00A31FB2"/>
    <w:rsid w:val="00A46AD7"/>
    <w:rsid w:val="00A53749"/>
    <w:rsid w:val="00A64563"/>
    <w:rsid w:val="00A74329"/>
    <w:rsid w:val="00A81D12"/>
    <w:rsid w:val="00AC77AD"/>
    <w:rsid w:val="00AD6A79"/>
    <w:rsid w:val="00AE3540"/>
    <w:rsid w:val="00AE3B64"/>
    <w:rsid w:val="00AF1A6F"/>
    <w:rsid w:val="00AF225C"/>
    <w:rsid w:val="00AF69BB"/>
    <w:rsid w:val="00B046B8"/>
    <w:rsid w:val="00B11A4E"/>
    <w:rsid w:val="00B246A5"/>
    <w:rsid w:val="00B276E3"/>
    <w:rsid w:val="00B30AB7"/>
    <w:rsid w:val="00B378B8"/>
    <w:rsid w:val="00B42631"/>
    <w:rsid w:val="00B43C4A"/>
    <w:rsid w:val="00B71B73"/>
    <w:rsid w:val="00B72B8A"/>
    <w:rsid w:val="00BA0790"/>
    <w:rsid w:val="00BA118F"/>
    <w:rsid w:val="00BA1598"/>
    <w:rsid w:val="00BA19CB"/>
    <w:rsid w:val="00BA72F8"/>
    <w:rsid w:val="00BB6A7C"/>
    <w:rsid w:val="00BD4A1E"/>
    <w:rsid w:val="00BE7257"/>
    <w:rsid w:val="00BF6E4E"/>
    <w:rsid w:val="00C14EBF"/>
    <w:rsid w:val="00C30142"/>
    <w:rsid w:val="00C3070A"/>
    <w:rsid w:val="00C332F4"/>
    <w:rsid w:val="00C42C80"/>
    <w:rsid w:val="00C5098C"/>
    <w:rsid w:val="00C57D85"/>
    <w:rsid w:val="00C60E46"/>
    <w:rsid w:val="00C74EF0"/>
    <w:rsid w:val="00C758B5"/>
    <w:rsid w:val="00C843D2"/>
    <w:rsid w:val="00CA0F36"/>
    <w:rsid w:val="00CB62BB"/>
    <w:rsid w:val="00CC1821"/>
    <w:rsid w:val="00CC1E44"/>
    <w:rsid w:val="00CC2D7F"/>
    <w:rsid w:val="00CC34CA"/>
    <w:rsid w:val="00CD0B25"/>
    <w:rsid w:val="00CD3346"/>
    <w:rsid w:val="00CD4660"/>
    <w:rsid w:val="00CD7785"/>
    <w:rsid w:val="00CE1E38"/>
    <w:rsid w:val="00CE470E"/>
    <w:rsid w:val="00D00A2D"/>
    <w:rsid w:val="00D020B2"/>
    <w:rsid w:val="00D07145"/>
    <w:rsid w:val="00D07C28"/>
    <w:rsid w:val="00D119A7"/>
    <w:rsid w:val="00D23452"/>
    <w:rsid w:val="00D23CE1"/>
    <w:rsid w:val="00D3026F"/>
    <w:rsid w:val="00D376C7"/>
    <w:rsid w:val="00D46D9C"/>
    <w:rsid w:val="00D5475E"/>
    <w:rsid w:val="00D62A62"/>
    <w:rsid w:val="00D662D8"/>
    <w:rsid w:val="00D741E7"/>
    <w:rsid w:val="00D9076A"/>
    <w:rsid w:val="00D91656"/>
    <w:rsid w:val="00D927EC"/>
    <w:rsid w:val="00D93157"/>
    <w:rsid w:val="00DB6D71"/>
    <w:rsid w:val="00DC7C0D"/>
    <w:rsid w:val="00DD501E"/>
    <w:rsid w:val="00DE6798"/>
    <w:rsid w:val="00DF0791"/>
    <w:rsid w:val="00DF47BD"/>
    <w:rsid w:val="00DF6C33"/>
    <w:rsid w:val="00E24F6B"/>
    <w:rsid w:val="00E2527B"/>
    <w:rsid w:val="00E307A0"/>
    <w:rsid w:val="00E30813"/>
    <w:rsid w:val="00E32A02"/>
    <w:rsid w:val="00E406F2"/>
    <w:rsid w:val="00E671A0"/>
    <w:rsid w:val="00E76600"/>
    <w:rsid w:val="00E771D5"/>
    <w:rsid w:val="00E8189A"/>
    <w:rsid w:val="00E82F99"/>
    <w:rsid w:val="00E9229F"/>
    <w:rsid w:val="00EA0150"/>
    <w:rsid w:val="00EB3A5E"/>
    <w:rsid w:val="00EB47A5"/>
    <w:rsid w:val="00EE6372"/>
    <w:rsid w:val="00EF1523"/>
    <w:rsid w:val="00EF49C9"/>
    <w:rsid w:val="00F17354"/>
    <w:rsid w:val="00F337E9"/>
    <w:rsid w:val="00F34844"/>
    <w:rsid w:val="00F53E20"/>
    <w:rsid w:val="00F63AD7"/>
    <w:rsid w:val="00F708F1"/>
    <w:rsid w:val="00F73665"/>
    <w:rsid w:val="00F81127"/>
    <w:rsid w:val="00F84270"/>
    <w:rsid w:val="00F95E2C"/>
    <w:rsid w:val="00FA4B5F"/>
    <w:rsid w:val="00FB741B"/>
    <w:rsid w:val="00FB7A95"/>
    <w:rsid w:val="00FC5084"/>
    <w:rsid w:val="00FC5887"/>
    <w:rsid w:val="00FC64BE"/>
    <w:rsid w:val="00FD7274"/>
    <w:rsid w:val="00FD7556"/>
    <w:rsid w:val="00FE278A"/>
    <w:rsid w:val="00FE2A9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996902"/>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2"/>
      <w:szCs w:val="40"/>
    </w:rPr>
  </w:style>
  <w:style w:type="paragraph" w:styleId="Heading2">
    <w:name w:val="heading 2"/>
    <w:basedOn w:val="Normal1"/>
    <w:next w:val="Normal1"/>
    <w:rsid w:val="00717B21"/>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6"/>
      <w:szCs w:val="28"/>
    </w:rPr>
  </w:style>
  <w:style w:type="paragraph" w:styleId="Heading3">
    <w:name w:val="heading 3"/>
    <w:basedOn w:val="Normal1"/>
    <w:next w:val="Normal1"/>
    <w:rsid w:val="00071D9B"/>
    <w:pPr>
      <w:keepNext/>
      <w:keepLines/>
      <w:pBdr>
        <w:top w:val="nil"/>
        <w:left w:val="nil"/>
        <w:bottom w:val="nil"/>
        <w:right w:val="nil"/>
        <w:between w:val="nil"/>
      </w:pBdr>
      <w:spacing w:before="320" w:after="80"/>
      <w:outlineLvl w:val="2"/>
    </w:pPr>
    <w:rPr>
      <w:b/>
      <w:color w:val="244061" w:themeColor="accent1" w:themeShade="80"/>
      <w:sz w:val="24"/>
      <w:szCs w:val="28"/>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aliases w:val="5_G,single space,Sharp - Footnote Text,Footnote Text - Sharp Char Char,Footnote Text - Sharp Char,FOOTNOTES,fn,Footnote Text - Sharp,Footnote Text Char Char Char,Footnote Text Char Char Char Char Char Char Char Char,FA Fu,Char,Char Char2,f"/>
    <w:basedOn w:val="Normal"/>
    <w:link w:val="FootnoteTextChar"/>
    <w:uiPriority w:val="99"/>
    <w:unhideWhenUsed/>
    <w:qFormat/>
    <w:rsid w:val="005253BB"/>
    <w:pPr>
      <w:spacing w:line="240" w:lineRule="auto"/>
      <w:jc w:val="left"/>
    </w:pPr>
    <w:rPr>
      <w:color w:val="595959" w:themeColor="text1" w:themeTint="A6"/>
      <w:sz w:val="18"/>
      <w:szCs w:val="18"/>
      <w:lang w:val="en-GB"/>
    </w:rPr>
  </w:style>
  <w:style w:type="character" w:customStyle="1" w:styleId="FootnoteTextChar">
    <w:name w:val="Footnote Text Char"/>
    <w:aliases w:val="5_G Char,single space Char,Sharp - Footnote Text Char,Footnote Text - Sharp Char Char Char,Footnote Text - Sharp Char Char1,FOOTNOTES Char,fn Char,Footnote Text - Sharp Char1,Footnote Text Char Char Char Char1,FA Fu Char,Char Char1"/>
    <w:basedOn w:val="DefaultParagraphFont"/>
    <w:link w:val="FootnoteText"/>
    <w:uiPriority w:val="99"/>
    <w:rsid w:val="005253BB"/>
    <w:rPr>
      <w:rFonts w:ascii="Franklin Gothic Book" w:hAnsi="Franklin Gothic Book"/>
      <w:color w:val="595959" w:themeColor="text1" w:themeTint="A6"/>
      <w:sz w:val="18"/>
      <w:szCs w:val="18"/>
      <w:lang w:val="en-GB"/>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n Char Char,fr"/>
    <w:basedOn w:val="DefaultParagraphFont"/>
    <w:link w:val="CharChar1CharCharCharChar1CharCharCharCharCharCharCharCharCharCharCharCharCharCharCharChar"/>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863E24"/>
    <w:pPr>
      <w:tabs>
        <w:tab w:val="left" w:pos="567"/>
        <w:tab w:val="right" w:leader="dot" w:pos="9350"/>
      </w:tabs>
      <w:spacing w:after="100"/>
    </w:pPr>
    <w:rPr>
      <w:rFonts w:ascii="Franklin Gothic Book" w:hAnsi="Franklin Gothic Book"/>
      <w:b/>
      <w:color w:val="002060"/>
      <w:sz w:val="24"/>
    </w:rPr>
  </w:style>
  <w:style w:type="paragraph" w:styleId="TOC2">
    <w:name w:val="toc 2"/>
    <w:basedOn w:val="Normal"/>
    <w:next w:val="Normal"/>
    <w:autoRedefine/>
    <w:uiPriority w:val="39"/>
    <w:unhideWhenUsed/>
    <w:rsid w:val="00863E24"/>
    <w:pPr>
      <w:spacing w:after="100"/>
      <w:ind w:left="220"/>
    </w:pPr>
    <w:rPr>
      <w:color w:val="17365D" w:themeColor="text2" w:themeShade="BF"/>
    </w:rPr>
  </w:style>
  <w:style w:type="paragraph" w:styleId="TOC3">
    <w:name w:val="toc 3"/>
    <w:basedOn w:val="Normal"/>
    <w:next w:val="Normal"/>
    <w:autoRedefine/>
    <w:uiPriority w:val="39"/>
    <w:unhideWhenUsed/>
    <w:rsid w:val="00863E24"/>
    <w:pPr>
      <w:spacing w:after="100"/>
      <w:ind w:left="440"/>
    </w:pPr>
    <w:rPr>
      <w:b/>
      <w:color w:val="244061" w:themeColor="accent1" w:themeShade="80"/>
    </w:r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paragraph" w:styleId="EndnoteText">
    <w:name w:val="endnote text"/>
    <w:basedOn w:val="Normal"/>
    <w:link w:val="EndnoteTextChar"/>
    <w:uiPriority w:val="99"/>
    <w:semiHidden/>
    <w:unhideWhenUsed/>
    <w:rsid w:val="008179D2"/>
    <w:pPr>
      <w:spacing w:line="240" w:lineRule="auto"/>
    </w:pPr>
    <w:rPr>
      <w:sz w:val="20"/>
      <w:szCs w:val="20"/>
    </w:rPr>
  </w:style>
  <w:style w:type="character" w:customStyle="1" w:styleId="EndnoteTextChar">
    <w:name w:val="Endnote Text Char"/>
    <w:basedOn w:val="DefaultParagraphFont"/>
    <w:link w:val="EndnoteText"/>
    <w:uiPriority w:val="99"/>
    <w:semiHidden/>
    <w:rsid w:val="008179D2"/>
    <w:rPr>
      <w:rFonts w:ascii="Franklin Gothic Book" w:hAnsi="Franklin Gothic Book"/>
      <w:sz w:val="20"/>
      <w:szCs w:val="20"/>
    </w:rPr>
  </w:style>
  <w:style w:type="character" w:styleId="EndnoteReference">
    <w:name w:val="endnote reference"/>
    <w:basedOn w:val="DefaultParagraphFont"/>
    <w:uiPriority w:val="99"/>
    <w:semiHidden/>
    <w:unhideWhenUsed/>
    <w:rsid w:val="008179D2"/>
    <w:rPr>
      <w:vertAlign w:val="superscript"/>
    </w:rPr>
  </w:style>
  <w:style w:type="character" w:customStyle="1" w:styleId="UnresolvedMention3">
    <w:name w:val="Unresolved Mention3"/>
    <w:basedOn w:val="DefaultParagraphFont"/>
    <w:uiPriority w:val="99"/>
    <w:semiHidden/>
    <w:unhideWhenUsed/>
    <w:rsid w:val="00285BB9"/>
    <w:rPr>
      <w:color w:val="605E5C"/>
      <w:shd w:val="clear" w:color="auto" w:fill="E1DFDD"/>
    </w:rPr>
  </w:style>
  <w:style w:type="character" w:customStyle="1" w:styleId="UnresolvedMention4">
    <w:name w:val="Unresolved Mention4"/>
    <w:basedOn w:val="DefaultParagraphFont"/>
    <w:uiPriority w:val="99"/>
    <w:semiHidden/>
    <w:unhideWhenUsed/>
    <w:rsid w:val="00E24F6B"/>
    <w:rPr>
      <w:color w:val="605E5C"/>
      <w:shd w:val="clear" w:color="auto" w:fill="E1DFDD"/>
    </w:rPr>
  </w:style>
  <w:style w:type="paragraph" w:styleId="Revision">
    <w:name w:val="Revision"/>
    <w:hidden/>
    <w:uiPriority w:val="99"/>
    <w:semiHidden/>
    <w:rsid w:val="006E0843"/>
    <w:pPr>
      <w:spacing w:line="240" w:lineRule="auto"/>
      <w:contextualSpacing w:val="0"/>
    </w:pPr>
    <w:rPr>
      <w:rFonts w:ascii="Franklin Gothic Book" w:hAnsi="Franklin Gothic Book"/>
    </w:rPr>
  </w:style>
  <w:style w:type="paragraph" w:styleId="NormalWeb">
    <w:name w:val="Normal (Web)"/>
    <w:basedOn w:val="Normal"/>
    <w:uiPriority w:val="99"/>
    <w:semiHidden/>
    <w:unhideWhenUsed/>
    <w:rsid w:val="009D05CF"/>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EF49C9"/>
  </w:style>
  <w:style w:type="character" w:customStyle="1" w:styleId="UnresolvedMention5">
    <w:name w:val="Unresolved Mention5"/>
    <w:basedOn w:val="DefaultParagraphFont"/>
    <w:uiPriority w:val="99"/>
    <w:semiHidden/>
    <w:unhideWhenUsed/>
    <w:rsid w:val="004B4A11"/>
    <w:rPr>
      <w:color w:val="605E5C"/>
      <w:shd w:val="clear" w:color="auto" w:fill="E1DFDD"/>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uiPriority w:val="99"/>
    <w:qFormat/>
    <w:rsid w:val="00F84270"/>
    <w:pPr>
      <w:spacing w:after="160" w:line="240" w:lineRule="exact"/>
      <w:contextualSpacing w:val="0"/>
      <w:jc w:val="left"/>
    </w:pPr>
    <w:rPr>
      <w:rFonts w:ascii="Arial" w:hAnsi="Arial"/>
      <w:vertAlign w:val="superscript"/>
    </w:rPr>
  </w:style>
  <w:style w:type="character" w:styleId="UnresolvedMention">
    <w:name w:val="Unresolved Mention"/>
    <w:basedOn w:val="DefaultParagraphFont"/>
    <w:uiPriority w:val="99"/>
    <w:semiHidden/>
    <w:unhideWhenUsed/>
    <w:rsid w:val="00F84270"/>
    <w:rPr>
      <w:color w:val="605E5C"/>
      <w:shd w:val="clear" w:color="auto" w:fill="E1DFDD"/>
    </w:rPr>
  </w:style>
  <w:style w:type="character" w:styleId="PageNumber">
    <w:name w:val="page number"/>
    <w:basedOn w:val="DefaultParagraphFont"/>
    <w:uiPriority w:val="99"/>
    <w:semiHidden/>
    <w:unhideWhenUsed/>
    <w:rsid w:val="00A23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41817">
      <w:bodyDiv w:val="1"/>
      <w:marLeft w:val="0"/>
      <w:marRight w:val="0"/>
      <w:marTop w:val="0"/>
      <w:marBottom w:val="0"/>
      <w:divBdr>
        <w:top w:val="none" w:sz="0" w:space="0" w:color="auto"/>
        <w:left w:val="none" w:sz="0" w:space="0" w:color="auto"/>
        <w:bottom w:val="none" w:sz="0" w:space="0" w:color="auto"/>
        <w:right w:val="none" w:sz="0" w:space="0" w:color="auto"/>
      </w:divBdr>
    </w:div>
    <w:div w:id="119424531">
      <w:bodyDiv w:val="1"/>
      <w:marLeft w:val="0"/>
      <w:marRight w:val="0"/>
      <w:marTop w:val="0"/>
      <w:marBottom w:val="0"/>
      <w:divBdr>
        <w:top w:val="none" w:sz="0" w:space="0" w:color="auto"/>
        <w:left w:val="none" w:sz="0" w:space="0" w:color="auto"/>
        <w:bottom w:val="none" w:sz="0" w:space="0" w:color="auto"/>
        <w:right w:val="none" w:sz="0" w:space="0" w:color="auto"/>
      </w:divBdr>
      <w:divsChild>
        <w:div w:id="276914273">
          <w:marLeft w:val="0"/>
          <w:marRight w:val="0"/>
          <w:marTop w:val="0"/>
          <w:marBottom w:val="0"/>
          <w:divBdr>
            <w:top w:val="none" w:sz="0" w:space="0" w:color="auto"/>
            <w:left w:val="none" w:sz="0" w:space="0" w:color="auto"/>
            <w:bottom w:val="none" w:sz="0" w:space="0" w:color="auto"/>
            <w:right w:val="none" w:sz="0" w:space="0" w:color="auto"/>
          </w:divBdr>
          <w:divsChild>
            <w:div w:id="603728746">
              <w:marLeft w:val="0"/>
              <w:marRight w:val="0"/>
              <w:marTop w:val="0"/>
              <w:marBottom w:val="0"/>
              <w:divBdr>
                <w:top w:val="none" w:sz="0" w:space="0" w:color="auto"/>
                <w:left w:val="none" w:sz="0" w:space="0" w:color="auto"/>
                <w:bottom w:val="none" w:sz="0" w:space="0" w:color="auto"/>
                <w:right w:val="none" w:sz="0" w:space="0" w:color="auto"/>
              </w:divBdr>
              <w:divsChild>
                <w:div w:id="49912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7992">
      <w:bodyDiv w:val="1"/>
      <w:marLeft w:val="0"/>
      <w:marRight w:val="0"/>
      <w:marTop w:val="0"/>
      <w:marBottom w:val="0"/>
      <w:divBdr>
        <w:top w:val="none" w:sz="0" w:space="0" w:color="auto"/>
        <w:left w:val="none" w:sz="0" w:space="0" w:color="auto"/>
        <w:bottom w:val="none" w:sz="0" w:space="0" w:color="auto"/>
        <w:right w:val="none" w:sz="0" w:space="0" w:color="auto"/>
      </w:divBdr>
    </w:div>
    <w:div w:id="184367800">
      <w:bodyDiv w:val="1"/>
      <w:marLeft w:val="0"/>
      <w:marRight w:val="0"/>
      <w:marTop w:val="0"/>
      <w:marBottom w:val="0"/>
      <w:divBdr>
        <w:top w:val="none" w:sz="0" w:space="0" w:color="auto"/>
        <w:left w:val="none" w:sz="0" w:space="0" w:color="auto"/>
        <w:bottom w:val="none" w:sz="0" w:space="0" w:color="auto"/>
        <w:right w:val="none" w:sz="0" w:space="0" w:color="auto"/>
      </w:divBdr>
    </w:div>
    <w:div w:id="195385551">
      <w:bodyDiv w:val="1"/>
      <w:marLeft w:val="0"/>
      <w:marRight w:val="0"/>
      <w:marTop w:val="0"/>
      <w:marBottom w:val="0"/>
      <w:divBdr>
        <w:top w:val="none" w:sz="0" w:space="0" w:color="auto"/>
        <w:left w:val="none" w:sz="0" w:space="0" w:color="auto"/>
        <w:bottom w:val="none" w:sz="0" w:space="0" w:color="auto"/>
        <w:right w:val="none" w:sz="0" w:space="0" w:color="auto"/>
      </w:divBdr>
      <w:divsChild>
        <w:div w:id="1791392340">
          <w:marLeft w:val="0"/>
          <w:marRight w:val="0"/>
          <w:marTop w:val="0"/>
          <w:marBottom w:val="0"/>
          <w:divBdr>
            <w:top w:val="none" w:sz="0" w:space="0" w:color="auto"/>
            <w:left w:val="none" w:sz="0" w:space="0" w:color="auto"/>
            <w:bottom w:val="none" w:sz="0" w:space="0" w:color="auto"/>
            <w:right w:val="none" w:sz="0" w:space="0" w:color="auto"/>
          </w:divBdr>
          <w:divsChild>
            <w:div w:id="1458522316">
              <w:marLeft w:val="0"/>
              <w:marRight w:val="0"/>
              <w:marTop w:val="0"/>
              <w:marBottom w:val="0"/>
              <w:divBdr>
                <w:top w:val="none" w:sz="0" w:space="0" w:color="auto"/>
                <w:left w:val="none" w:sz="0" w:space="0" w:color="auto"/>
                <w:bottom w:val="none" w:sz="0" w:space="0" w:color="auto"/>
                <w:right w:val="none" w:sz="0" w:space="0" w:color="auto"/>
              </w:divBdr>
              <w:divsChild>
                <w:div w:id="184840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422753">
      <w:bodyDiv w:val="1"/>
      <w:marLeft w:val="0"/>
      <w:marRight w:val="0"/>
      <w:marTop w:val="0"/>
      <w:marBottom w:val="0"/>
      <w:divBdr>
        <w:top w:val="none" w:sz="0" w:space="0" w:color="auto"/>
        <w:left w:val="none" w:sz="0" w:space="0" w:color="auto"/>
        <w:bottom w:val="none" w:sz="0" w:space="0" w:color="auto"/>
        <w:right w:val="none" w:sz="0" w:space="0" w:color="auto"/>
      </w:divBdr>
    </w:div>
    <w:div w:id="271978725">
      <w:bodyDiv w:val="1"/>
      <w:marLeft w:val="0"/>
      <w:marRight w:val="0"/>
      <w:marTop w:val="0"/>
      <w:marBottom w:val="0"/>
      <w:divBdr>
        <w:top w:val="none" w:sz="0" w:space="0" w:color="auto"/>
        <w:left w:val="none" w:sz="0" w:space="0" w:color="auto"/>
        <w:bottom w:val="none" w:sz="0" w:space="0" w:color="auto"/>
        <w:right w:val="none" w:sz="0" w:space="0" w:color="auto"/>
      </w:divBdr>
      <w:divsChild>
        <w:div w:id="1043216018">
          <w:marLeft w:val="0"/>
          <w:marRight w:val="0"/>
          <w:marTop w:val="0"/>
          <w:marBottom w:val="0"/>
          <w:divBdr>
            <w:top w:val="none" w:sz="0" w:space="0" w:color="auto"/>
            <w:left w:val="none" w:sz="0" w:space="0" w:color="auto"/>
            <w:bottom w:val="none" w:sz="0" w:space="0" w:color="auto"/>
            <w:right w:val="none" w:sz="0" w:space="0" w:color="auto"/>
          </w:divBdr>
          <w:divsChild>
            <w:div w:id="2125224387">
              <w:marLeft w:val="0"/>
              <w:marRight w:val="0"/>
              <w:marTop w:val="0"/>
              <w:marBottom w:val="0"/>
              <w:divBdr>
                <w:top w:val="none" w:sz="0" w:space="0" w:color="auto"/>
                <w:left w:val="none" w:sz="0" w:space="0" w:color="auto"/>
                <w:bottom w:val="none" w:sz="0" w:space="0" w:color="auto"/>
                <w:right w:val="none" w:sz="0" w:space="0" w:color="auto"/>
              </w:divBdr>
              <w:divsChild>
                <w:div w:id="26732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427986">
      <w:bodyDiv w:val="1"/>
      <w:marLeft w:val="0"/>
      <w:marRight w:val="0"/>
      <w:marTop w:val="0"/>
      <w:marBottom w:val="0"/>
      <w:divBdr>
        <w:top w:val="none" w:sz="0" w:space="0" w:color="auto"/>
        <w:left w:val="none" w:sz="0" w:space="0" w:color="auto"/>
        <w:bottom w:val="none" w:sz="0" w:space="0" w:color="auto"/>
        <w:right w:val="none" w:sz="0" w:space="0" w:color="auto"/>
      </w:divBdr>
      <w:divsChild>
        <w:div w:id="1742560134">
          <w:marLeft w:val="0"/>
          <w:marRight w:val="0"/>
          <w:marTop w:val="0"/>
          <w:marBottom w:val="0"/>
          <w:divBdr>
            <w:top w:val="none" w:sz="0" w:space="0" w:color="auto"/>
            <w:left w:val="none" w:sz="0" w:space="0" w:color="auto"/>
            <w:bottom w:val="none" w:sz="0" w:space="0" w:color="auto"/>
            <w:right w:val="none" w:sz="0" w:space="0" w:color="auto"/>
          </w:divBdr>
        </w:div>
        <w:div w:id="1114715974">
          <w:marLeft w:val="0"/>
          <w:marRight w:val="0"/>
          <w:marTop w:val="0"/>
          <w:marBottom w:val="0"/>
          <w:divBdr>
            <w:top w:val="none" w:sz="0" w:space="0" w:color="auto"/>
            <w:left w:val="none" w:sz="0" w:space="0" w:color="auto"/>
            <w:bottom w:val="none" w:sz="0" w:space="0" w:color="auto"/>
            <w:right w:val="none" w:sz="0" w:space="0" w:color="auto"/>
          </w:divBdr>
        </w:div>
      </w:divsChild>
    </w:div>
    <w:div w:id="360862098">
      <w:bodyDiv w:val="1"/>
      <w:marLeft w:val="0"/>
      <w:marRight w:val="0"/>
      <w:marTop w:val="0"/>
      <w:marBottom w:val="0"/>
      <w:divBdr>
        <w:top w:val="none" w:sz="0" w:space="0" w:color="auto"/>
        <w:left w:val="none" w:sz="0" w:space="0" w:color="auto"/>
        <w:bottom w:val="none" w:sz="0" w:space="0" w:color="auto"/>
        <w:right w:val="none" w:sz="0" w:space="0" w:color="auto"/>
      </w:divBdr>
      <w:divsChild>
        <w:div w:id="2080668324">
          <w:marLeft w:val="0"/>
          <w:marRight w:val="0"/>
          <w:marTop w:val="0"/>
          <w:marBottom w:val="0"/>
          <w:divBdr>
            <w:top w:val="none" w:sz="0" w:space="0" w:color="auto"/>
            <w:left w:val="none" w:sz="0" w:space="0" w:color="auto"/>
            <w:bottom w:val="none" w:sz="0" w:space="0" w:color="auto"/>
            <w:right w:val="none" w:sz="0" w:space="0" w:color="auto"/>
          </w:divBdr>
          <w:divsChild>
            <w:div w:id="1281259128">
              <w:marLeft w:val="0"/>
              <w:marRight w:val="0"/>
              <w:marTop w:val="0"/>
              <w:marBottom w:val="0"/>
              <w:divBdr>
                <w:top w:val="none" w:sz="0" w:space="0" w:color="auto"/>
                <w:left w:val="none" w:sz="0" w:space="0" w:color="auto"/>
                <w:bottom w:val="none" w:sz="0" w:space="0" w:color="auto"/>
                <w:right w:val="none" w:sz="0" w:space="0" w:color="auto"/>
              </w:divBdr>
              <w:divsChild>
                <w:div w:id="146854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893866">
      <w:bodyDiv w:val="1"/>
      <w:marLeft w:val="0"/>
      <w:marRight w:val="0"/>
      <w:marTop w:val="0"/>
      <w:marBottom w:val="0"/>
      <w:divBdr>
        <w:top w:val="none" w:sz="0" w:space="0" w:color="auto"/>
        <w:left w:val="none" w:sz="0" w:space="0" w:color="auto"/>
        <w:bottom w:val="none" w:sz="0" w:space="0" w:color="auto"/>
        <w:right w:val="none" w:sz="0" w:space="0" w:color="auto"/>
      </w:divBdr>
      <w:divsChild>
        <w:div w:id="1352218492">
          <w:marLeft w:val="0"/>
          <w:marRight w:val="0"/>
          <w:marTop w:val="0"/>
          <w:marBottom w:val="0"/>
          <w:divBdr>
            <w:top w:val="none" w:sz="0" w:space="0" w:color="auto"/>
            <w:left w:val="none" w:sz="0" w:space="0" w:color="auto"/>
            <w:bottom w:val="none" w:sz="0" w:space="0" w:color="auto"/>
            <w:right w:val="none" w:sz="0" w:space="0" w:color="auto"/>
          </w:divBdr>
          <w:divsChild>
            <w:div w:id="1449201957">
              <w:marLeft w:val="0"/>
              <w:marRight w:val="0"/>
              <w:marTop w:val="0"/>
              <w:marBottom w:val="0"/>
              <w:divBdr>
                <w:top w:val="none" w:sz="0" w:space="0" w:color="auto"/>
                <w:left w:val="none" w:sz="0" w:space="0" w:color="auto"/>
                <w:bottom w:val="none" w:sz="0" w:space="0" w:color="auto"/>
                <w:right w:val="none" w:sz="0" w:space="0" w:color="auto"/>
              </w:divBdr>
              <w:divsChild>
                <w:div w:id="167857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567639">
      <w:bodyDiv w:val="1"/>
      <w:marLeft w:val="0"/>
      <w:marRight w:val="0"/>
      <w:marTop w:val="0"/>
      <w:marBottom w:val="0"/>
      <w:divBdr>
        <w:top w:val="none" w:sz="0" w:space="0" w:color="auto"/>
        <w:left w:val="none" w:sz="0" w:space="0" w:color="auto"/>
        <w:bottom w:val="none" w:sz="0" w:space="0" w:color="auto"/>
        <w:right w:val="none" w:sz="0" w:space="0" w:color="auto"/>
      </w:divBdr>
    </w:div>
    <w:div w:id="739596657">
      <w:bodyDiv w:val="1"/>
      <w:marLeft w:val="0"/>
      <w:marRight w:val="0"/>
      <w:marTop w:val="0"/>
      <w:marBottom w:val="0"/>
      <w:divBdr>
        <w:top w:val="none" w:sz="0" w:space="0" w:color="auto"/>
        <w:left w:val="none" w:sz="0" w:space="0" w:color="auto"/>
        <w:bottom w:val="none" w:sz="0" w:space="0" w:color="auto"/>
        <w:right w:val="none" w:sz="0" w:space="0" w:color="auto"/>
      </w:divBdr>
    </w:div>
    <w:div w:id="753018763">
      <w:bodyDiv w:val="1"/>
      <w:marLeft w:val="0"/>
      <w:marRight w:val="0"/>
      <w:marTop w:val="0"/>
      <w:marBottom w:val="0"/>
      <w:divBdr>
        <w:top w:val="none" w:sz="0" w:space="0" w:color="auto"/>
        <w:left w:val="none" w:sz="0" w:space="0" w:color="auto"/>
        <w:bottom w:val="none" w:sz="0" w:space="0" w:color="auto"/>
        <w:right w:val="none" w:sz="0" w:space="0" w:color="auto"/>
      </w:divBdr>
      <w:divsChild>
        <w:div w:id="1049575136">
          <w:marLeft w:val="0"/>
          <w:marRight w:val="0"/>
          <w:marTop w:val="0"/>
          <w:marBottom w:val="0"/>
          <w:divBdr>
            <w:top w:val="none" w:sz="0" w:space="0" w:color="auto"/>
            <w:left w:val="none" w:sz="0" w:space="0" w:color="auto"/>
            <w:bottom w:val="none" w:sz="0" w:space="0" w:color="auto"/>
            <w:right w:val="none" w:sz="0" w:space="0" w:color="auto"/>
          </w:divBdr>
          <w:divsChild>
            <w:div w:id="482041737">
              <w:marLeft w:val="0"/>
              <w:marRight w:val="0"/>
              <w:marTop w:val="0"/>
              <w:marBottom w:val="0"/>
              <w:divBdr>
                <w:top w:val="none" w:sz="0" w:space="0" w:color="auto"/>
                <w:left w:val="none" w:sz="0" w:space="0" w:color="auto"/>
                <w:bottom w:val="none" w:sz="0" w:space="0" w:color="auto"/>
                <w:right w:val="none" w:sz="0" w:space="0" w:color="auto"/>
              </w:divBdr>
              <w:divsChild>
                <w:div w:id="28084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629947">
      <w:bodyDiv w:val="1"/>
      <w:marLeft w:val="0"/>
      <w:marRight w:val="0"/>
      <w:marTop w:val="0"/>
      <w:marBottom w:val="0"/>
      <w:divBdr>
        <w:top w:val="none" w:sz="0" w:space="0" w:color="auto"/>
        <w:left w:val="none" w:sz="0" w:space="0" w:color="auto"/>
        <w:bottom w:val="none" w:sz="0" w:space="0" w:color="auto"/>
        <w:right w:val="none" w:sz="0" w:space="0" w:color="auto"/>
      </w:divBdr>
    </w:div>
    <w:div w:id="987976003">
      <w:bodyDiv w:val="1"/>
      <w:marLeft w:val="0"/>
      <w:marRight w:val="0"/>
      <w:marTop w:val="0"/>
      <w:marBottom w:val="0"/>
      <w:divBdr>
        <w:top w:val="none" w:sz="0" w:space="0" w:color="auto"/>
        <w:left w:val="none" w:sz="0" w:space="0" w:color="auto"/>
        <w:bottom w:val="none" w:sz="0" w:space="0" w:color="auto"/>
        <w:right w:val="none" w:sz="0" w:space="0" w:color="auto"/>
      </w:divBdr>
    </w:div>
    <w:div w:id="1004552756">
      <w:bodyDiv w:val="1"/>
      <w:marLeft w:val="0"/>
      <w:marRight w:val="0"/>
      <w:marTop w:val="0"/>
      <w:marBottom w:val="0"/>
      <w:divBdr>
        <w:top w:val="none" w:sz="0" w:space="0" w:color="auto"/>
        <w:left w:val="none" w:sz="0" w:space="0" w:color="auto"/>
        <w:bottom w:val="none" w:sz="0" w:space="0" w:color="auto"/>
        <w:right w:val="none" w:sz="0" w:space="0" w:color="auto"/>
      </w:divBdr>
    </w:div>
    <w:div w:id="1110513013">
      <w:bodyDiv w:val="1"/>
      <w:marLeft w:val="0"/>
      <w:marRight w:val="0"/>
      <w:marTop w:val="0"/>
      <w:marBottom w:val="0"/>
      <w:divBdr>
        <w:top w:val="none" w:sz="0" w:space="0" w:color="auto"/>
        <w:left w:val="none" w:sz="0" w:space="0" w:color="auto"/>
        <w:bottom w:val="none" w:sz="0" w:space="0" w:color="auto"/>
        <w:right w:val="none" w:sz="0" w:space="0" w:color="auto"/>
      </w:divBdr>
    </w:div>
    <w:div w:id="1331328991">
      <w:bodyDiv w:val="1"/>
      <w:marLeft w:val="0"/>
      <w:marRight w:val="0"/>
      <w:marTop w:val="0"/>
      <w:marBottom w:val="0"/>
      <w:divBdr>
        <w:top w:val="none" w:sz="0" w:space="0" w:color="auto"/>
        <w:left w:val="none" w:sz="0" w:space="0" w:color="auto"/>
        <w:bottom w:val="none" w:sz="0" w:space="0" w:color="auto"/>
        <w:right w:val="none" w:sz="0" w:space="0" w:color="auto"/>
      </w:divBdr>
      <w:divsChild>
        <w:div w:id="942762293">
          <w:marLeft w:val="0"/>
          <w:marRight w:val="0"/>
          <w:marTop w:val="0"/>
          <w:marBottom w:val="0"/>
          <w:divBdr>
            <w:top w:val="none" w:sz="0" w:space="0" w:color="auto"/>
            <w:left w:val="none" w:sz="0" w:space="0" w:color="auto"/>
            <w:bottom w:val="none" w:sz="0" w:space="0" w:color="auto"/>
            <w:right w:val="none" w:sz="0" w:space="0" w:color="auto"/>
          </w:divBdr>
          <w:divsChild>
            <w:div w:id="2030839482">
              <w:marLeft w:val="0"/>
              <w:marRight w:val="0"/>
              <w:marTop w:val="0"/>
              <w:marBottom w:val="0"/>
              <w:divBdr>
                <w:top w:val="none" w:sz="0" w:space="0" w:color="auto"/>
                <w:left w:val="none" w:sz="0" w:space="0" w:color="auto"/>
                <w:bottom w:val="none" w:sz="0" w:space="0" w:color="auto"/>
                <w:right w:val="none" w:sz="0" w:space="0" w:color="auto"/>
              </w:divBdr>
              <w:divsChild>
                <w:div w:id="169726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561025">
      <w:bodyDiv w:val="1"/>
      <w:marLeft w:val="0"/>
      <w:marRight w:val="0"/>
      <w:marTop w:val="0"/>
      <w:marBottom w:val="0"/>
      <w:divBdr>
        <w:top w:val="none" w:sz="0" w:space="0" w:color="auto"/>
        <w:left w:val="none" w:sz="0" w:space="0" w:color="auto"/>
        <w:bottom w:val="none" w:sz="0" w:space="0" w:color="auto"/>
        <w:right w:val="none" w:sz="0" w:space="0" w:color="auto"/>
      </w:divBdr>
    </w:div>
    <w:div w:id="1414476944">
      <w:bodyDiv w:val="1"/>
      <w:marLeft w:val="0"/>
      <w:marRight w:val="0"/>
      <w:marTop w:val="0"/>
      <w:marBottom w:val="0"/>
      <w:divBdr>
        <w:top w:val="none" w:sz="0" w:space="0" w:color="auto"/>
        <w:left w:val="none" w:sz="0" w:space="0" w:color="auto"/>
        <w:bottom w:val="none" w:sz="0" w:space="0" w:color="auto"/>
        <w:right w:val="none" w:sz="0" w:space="0" w:color="auto"/>
      </w:divBdr>
      <w:divsChild>
        <w:div w:id="766924041">
          <w:marLeft w:val="0"/>
          <w:marRight w:val="0"/>
          <w:marTop w:val="0"/>
          <w:marBottom w:val="0"/>
          <w:divBdr>
            <w:top w:val="none" w:sz="0" w:space="0" w:color="auto"/>
            <w:left w:val="none" w:sz="0" w:space="0" w:color="auto"/>
            <w:bottom w:val="none" w:sz="0" w:space="0" w:color="auto"/>
            <w:right w:val="none" w:sz="0" w:space="0" w:color="auto"/>
          </w:divBdr>
          <w:divsChild>
            <w:div w:id="377634725">
              <w:marLeft w:val="0"/>
              <w:marRight w:val="0"/>
              <w:marTop w:val="0"/>
              <w:marBottom w:val="0"/>
              <w:divBdr>
                <w:top w:val="none" w:sz="0" w:space="0" w:color="auto"/>
                <w:left w:val="none" w:sz="0" w:space="0" w:color="auto"/>
                <w:bottom w:val="none" w:sz="0" w:space="0" w:color="auto"/>
                <w:right w:val="none" w:sz="0" w:space="0" w:color="auto"/>
              </w:divBdr>
              <w:divsChild>
                <w:div w:id="213917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375531">
      <w:bodyDiv w:val="1"/>
      <w:marLeft w:val="0"/>
      <w:marRight w:val="0"/>
      <w:marTop w:val="0"/>
      <w:marBottom w:val="0"/>
      <w:divBdr>
        <w:top w:val="none" w:sz="0" w:space="0" w:color="auto"/>
        <w:left w:val="none" w:sz="0" w:space="0" w:color="auto"/>
        <w:bottom w:val="none" w:sz="0" w:space="0" w:color="auto"/>
        <w:right w:val="none" w:sz="0" w:space="0" w:color="auto"/>
      </w:divBdr>
      <w:divsChild>
        <w:div w:id="1641956406">
          <w:marLeft w:val="0"/>
          <w:marRight w:val="0"/>
          <w:marTop w:val="0"/>
          <w:marBottom w:val="0"/>
          <w:divBdr>
            <w:top w:val="none" w:sz="0" w:space="0" w:color="auto"/>
            <w:left w:val="none" w:sz="0" w:space="0" w:color="auto"/>
            <w:bottom w:val="none" w:sz="0" w:space="0" w:color="auto"/>
            <w:right w:val="none" w:sz="0" w:space="0" w:color="auto"/>
          </w:divBdr>
          <w:divsChild>
            <w:div w:id="1879972645">
              <w:marLeft w:val="0"/>
              <w:marRight w:val="0"/>
              <w:marTop w:val="0"/>
              <w:marBottom w:val="0"/>
              <w:divBdr>
                <w:top w:val="none" w:sz="0" w:space="0" w:color="auto"/>
                <w:left w:val="none" w:sz="0" w:space="0" w:color="auto"/>
                <w:bottom w:val="none" w:sz="0" w:space="0" w:color="auto"/>
                <w:right w:val="none" w:sz="0" w:space="0" w:color="auto"/>
              </w:divBdr>
              <w:divsChild>
                <w:div w:id="85750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78597">
      <w:bodyDiv w:val="1"/>
      <w:marLeft w:val="0"/>
      <w:marRight w:val="0"/>
      <w:marTop w:val="0"/>
      <w:marBottom w:val="0"/>
      <w:divBdr>
        <w:top w:val="none" w:sz="0" w:space="0" w:color="auto"/>
        <w:left w:val="none" w:sz="0" w:space="0" w:color="auto"/>
        <w:bottom w:val="none" w:sz="0" w:space="0" w:color="auto"/>
        <w:right w:val="none" w:sz="0" w:space="0" w:color="auto"/>
      </w:divBdr>
      <w:divsChild>
        <w:div w:id="119761240">
          <w:marLeft w:val="0"/>
          <w:marRight w:val="0"/>
          <w:marTop w:val="0"/>
          <w:marBottom w:val="0"/>
          <w:divBdr>
            <w:top w:val="none" w:sz="0" w:space="0" w:color="auto"/>
            <w:left w:val="none" w:sz="0" w:space="0" w:color="auto"/>
            <w:bottom w:val="none" w:sz="0" w:space="0" w:color="auto"/>
            <w:right w:val="none" w:sz="0" w:space="0" w:color="auto"/>
          </w:divBdr>
          <w:divsChild>
            <w:div w:id="467863946">
              <w:marLeft w:val="0"/>
              <w:marRight w:val="0"/>
              <w:marTop w:val="0"/>
              <w:marBottom w:val="0"/>
              <w:divBdr>
                <w:top w:val="none" w:sz="0" w:space="0" w:color="auto"/>
                <w:left w:val="none" w:sz="0" w:space="0" w:color="auto"/>
                <w:bottom w:val="none" w:sz="0" w:space="0" w:color="auto"/>
                <w:right w:val="none" w:sz="0" w:space="0" w:color="auto"/>
              </w:divBdr>
              <w:divsChild>
                <w:div w:id="200921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02336">
      <w:bodyDiv w:val="1"/>
      <w:marLeft w:val="0"/>
      <w:marRight w:val="0"/>
      <w:marTop w:val="0"/>
      <w:marBottom w:val="0"/>
      <w:divBdr>
        <w:top w:val="none" w:sz="0" w:space="0" w:color="auto"/>
        <w:left w:val="none" w:sz="0" w:space="0" w:color="auto"/>
        <w:bottom w:val="none" w:sz="0" w:space="0" w:color="auto"/>
        <w:right w:val="none" w:sz="0" w:space="0" w:color="auto"/>
      </w:divBdr>
    </w:div>
    <w:div w:id="2120908613">
      <w:bodyDiv w:val="1"/>
      <w:marLeft w:val="0"/>
      <w:marRight w:val="0"/>
      <w:marTop w:val="0"/>
      <w:marBottom w:val="0"/>
      <w:divBdr>
        <w:top w:val="none" w:sz="0" w:space="0" w:color="auto"/>
        <w:left w:val="none" w:sz="0" w:space="0" w:color="auto"/>
        <w:bottom w:val="none" w:sz="0" w:space="0" w:color="auto"/>
        <w:right w:val="none" w:sz="0" w:space="0" w:color="auto"/>
      </w:divBdr>
      <w:divsChild>
        <w:div w:id="1495686003">
          <w:marLeft w:val="0"/>
          <w:marRight w:val="0"/>
          <w:marTop w:val="0"/>
          <w:marBottom w:val="0"/>
          <w:divBdr>
            <w:top w:val="none" w:sz="0" w:space="0" w:color="auto"/>
            <w:left w:val="none" w:sz="0" w:space="0" w:color="auto"/>
            <w:bottom w:val="none" w:sz="0" w:space="0" w:color="auto"/>
            <w:right w:val="none" w:sz="0" w:space="0" w:color="auto"/>
          </w:divBdr>
          <w:divsChild>
            <w:div w:id="2068335357">
              <w:marLeft w:val="0"/>
              <w:marRight w:val="0"/>
              <w:marTop w:val="0"/>
              <w:marBottom w:val="0"/>
              <w:divBdr>
                <w:top w:val="none" w:sz="0" w:space="0" w:color="auto"/>
                <w:left w:val="none" w:sz="0" w:space="0" w:color="auto"/>
                <w:bottom w:val="none" w:sz="0" w:space="0" w:color="auto"/>
                <w:right w:val="none" w:sz="0" w:space="0" w:color="auto"/>
              </w:divBdr>
              <w:divsChild>
                <w:div w:id="20652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6" Type="http://schemas.openxmlformats.org/officeDocument/2006/relationships/hyperlink" Target="http://yemen.unfpa.org/sites/default/files/resource-pdf/Final%20-GBV%20Sub-Cluster-%20Yemen%20Crisis-Preventing%20GBV%20and%20Strenthening%20the%20Response.pdf" TargetMode="External"/><Relationship Id="rId21" Type="http://schemas.openxmlformats.org/officeDocument/2006/relationships/hyperlink" Target="https://insights.careinternational.org.uk/publications/no-future-for-yemen-without-women-and-girls" TargetMode="External"/><Relationship Id="rId42" Type="http://schemas.openxmlformats.org/officeDocument/2006/relationships/hyperlink" Target="https://wilpf.org/wilpfs-statement-on-the-upr-of-france/" TargetMode="External"/><Relationship Id="rId47" Type="http://schemas.openxmlformats.org/officeDocument/2006/relationships/hyperlink" Target="https://www.hrw.org/news/2017/01/16/letter-saudi-led-coalition-joint-incidents-assessment-team-regarding-yemen" TargetMode="External"/><Relationship Id="rId63" Type="http://schemas.openxmlformats.org/officeDocument/2006/relationships/hyperlink" Target="https://spring-forward.unwomen.org/en/countries/yemen" TargetMode="External"/><Relationship Id="rId68" Type="http://schemas.openxmlformats.org/officeDocument/2006/relationships/hyperlink" Target="http://library.fes.de/pdf-files/bueros/beirut/14513.pdf" TargetMode="External"/><Relationship Id="rId7" Type="http://schemas.openxmlformats.org/officeDocument/2006/relationships/hyperlink" Target="https://reliefweb.int/sites/reliefweb.int/files/resources/yemen_humanitarian_needs_overview_hno_2018_20171204_0.pdf" TargetMode="External"/><Relationship Id="rId2" Type="http://schemas.openxmlformats.org/officeDocument/2006/relationships/hyperlink" Target="https://www.unocha.org/yemen/about-ocha-yemen" TargetMode="External"/><Relationship Id="rId16" Type="http://schemas.openxmlformats.org/officeDocument/2006/relationships/hyperlink" Target="http://yemen.unfpa.org/en/news/women-and-girls-among-most-vulnerable-yemen" TargetMode="External"/><Relationship Id="rId29" Type="http://schemas.openxmlformats.org/officeDocument/2006/relationships/hyperlink" Target="https://reliefweb.int/sites/reliefweb.int/files/resources/YEMEN%202017%20HNO_Final.pdf" TargetMode="External"/><Relationship Id="rId11" Type="http://schemas.openxmlformats.org/officeDocument/2006/relationships/hyperlink" Target="https://reliefweb.int/sites/reliefweb.int/files/resources/20180120_HRP_YEMEN_Final.pdf" TargetMode="External"/><Relationship Id="rId24" Type="http://schemas.openxmlformats.org/officeDocument/2006/relationships/hyperlink" Target="http://yemen.unfpa.org/en/news/three-million-women-and-girls-risk-violence-yemen" TargetMode="External"/><Relationship Id="rId32" Type="http://schemas.openxmlformats.org/officeDocument/2006/relationships/hyperlink" Target="https://www.nciye.org/periodic-reports/" TargetMode="External"/><Relationship Id="rId37" Type="http://schemas.openxmlformats.org/officeDocument/2006/relationships/hyperlink" Target="https://controlarms.org/wp-content/uploads/2018/03/ATT-Monitor-Case-Study-2-Saudi-Arabia-FINAL.pdf" TargetMode="External"/><Relationship Id="rId40" Type="http://schemas.openxmlformats.org/officeDocument/2006/relationships/hyperlink" Target="https://wilpf.org/wilpf-publications/" TargetMode="External"/><Relationship Id="rId45" Type="http://schemas.openxmlformats.org/officeDocument/2006/relationships/hyperlink" Target="https://www.hrw.org/news/2016/10/13/yemen-saudi-led-funeral-attack-apparent-war-crime" TargetMode="External"/><Relationship Id="rId53" Type="http://schemas.openxmlformats.org/officeDocument/2006/relationships/hyperlink" Target="https://www.spa.gov.sa/1548643" TargetMode="External"/><Relationship Id="rId58" Type="http://schemas.openxmlformats.org/officeDocument/2006/relationships/hyperlink" Target="https://reliefweb.int/sites/reliefweb.int/files/resources/N1600299.pdf" TargetMode="External"/><Relationship Id="rId66" Type="http://schemas.openxmlformats.org/officeDocument/2006/relationships/hyperlink" Target="https://www.kit.nl/gender/project/empowering-womens-national-committee-yemen/" TargetMode="External"/><Relationship Id="rId5" Type="http://schemas.openxmlformats.org/officeDocument/2006/relationships/hyperlink" Target="https://www.facebook.com/pg/WomenSolidarityYe/posts/" TargetMode="External"/><Relationship Id="rId61" Type="http://schemas.openxmlformats.org/officeDocument/2006/relationships/hyperlink" Target="https://www.unicef.org/media/media_73490.html" TargetMode="External"/><Relationship Id="rId19" Type="http://schemas.openxmlformats.org/officeDocument/2006/relationships/hyperlink" Target="https://www.unfpa.org/news/yemens-deadly-cholera-outbreak-puts-pregnant-women-danger" TargetMode="External"/><Relationship Id="rId14" Type="http://schemas.openxmlformats.org/officeDocument/2006/relationships/hyperlink" Target="http://www.irinnews.org/news/2007/03/08/eight-women-die-giving-birth-every-day" TargetMode="External"/><Relationship Id="rId22" Type="http://schemas.openxmlformats.org/officeDocument/2006/relationships/hyperlink" Target="https://insights.careinternational.org.uk/publications/no-future-for-yemen-without-women-and-girls" TargetMode="External"/><Relationship Id="rId27" Type="http://schemas.openxmlformats.org/officeDocument/2006/relationships/hyperlink" Target="https://reliefweb.int/sites/reliefweb.int/files/resources/YEMEN%202017%20HNO_Final.pdf" TargetMode="External"/><Relationship Id="rId30" Type="http://schemas.openxmlformats.org/officeDocument/2006/relationships/hyperlink" Target="https://www.humanitarianresponse.info/sites/www.humanitarianresponse.info/files/assessments/annex_1_-_3553_-_gbv_trend_analysis_2015_-_27.12.2015.pdf" TargetMode="External"/><Relationship Id="rId35" Type="http://schemas.openxmlformats.org/officeDocument/2006/relationships/hyperlink" Target="https://www.hrw.org/news/2017/06/22/yemen-uae-backs-abusive-local-forcesm" TargetMode="External"/><Relationship Id="rId43" Type="http://schemas.openxmlformats.org/officeDocument/2006/relationships/hyperlink" Target="https://wilpf.org/wilpfs-statement-on-the-upr-of-france/" TargetMode="External"/><Relationship Id="rId48" Type="http://schemas.openxmlformats.org/officeDocument/2006/relationships/hyperlink" Target="https://www.hrw.org/news/2017/01/16/letter-saudi-led-coalition-joint-incidents-assessment-team-regarding-yemen" TargetMode="External"/><Relationship Id="rId56" Type="http://schemas.openxmlformats.org/officeDocument/2006/relationships/hyperlink" Target="http://hrlibrary.umn.edu/arabic/Yemeni_Laws/Yemeni_Laws29.pdf" TargetMode="External"/><Relationship Id="rId64" Type="http://schemas.openxmlformats.org/officeDocument/2006/relationships/hyperlink" Target="https://www.securitycouncilreport.org/monthly-forecast/2019-12/yemen-13.php" TargetMode="External"/><Relationship Id="rId69" Type="http://schemas.openxmlformats.org/officeDocument/2006/relationships/hyperlink" Target="http://library.fes.de/pdf-files/bueros/beirut/14513.pdf" TargetMode="External"/><Relationship Id="rId8" Type="http://schemas.openxmlformats.org/officeDocument/2006/relationships/hyperlink" Target="https://www.careevaluations.org/wp-content/uploads/rr-yemen-gender-conflict-analysis-201016-en.pdf" TargetMode="External"/><Relationship Id="rId51" Type="http://schemas.openxmlformats.org/officeDocument/2006/relationships/hyperlink" Target="https://www.msf.org/yemensaudi-led-airstrike-abs-hospital-cannot-be-justified-unintentional-error" TargetMode="External"/><Relationship Id="rId3" Type="http://schemas.openxmlformats.org/officeDocument/2006/relationships/hyperlink" Target="https://www.unocha.org/yemen/crisis-overview" TargetMode="External"/><Relationship Id="rId12" Type="http://schemas.openxmlformats.org/officeDocument/2006/relationships/hyperlink" Target="http://yemen.unfpa.org/sites/default/files/resource-pdf/Final%20-GBV%20Sub-Cluster-%20Yemen%20Crisis-Preventing%20GBV%20and%20Strenthening%20the%20Response.pdf" TargetMode="External"/><Relationship Id="rId17" Type="http://schemas.openxmlformats.org/officeDocument/2006/relationships/hyperlink" Target="https://slack-redir.net/link?url=https%3A%2F%2Fwww.msf.org%2Fcomplicated-delivery-yemeni-mothers-and-children-dying-without-medical-care" TargetMode="External"/><Relationship Id="rId25" Type="http://schemas.openxmlformats.org/officeDocument/2006/relationships/hyperlink" Target="http://yemen.unfpa.org/sites/default/files/resource-pdf/Final%20-GBV%20Sub-Cluster-%20Yemen%20Crisis-Preventing%20GBV%20and%20Strenthening%20the%20Response.pdf" TargetMode="External"/><Relationship Id="rId33" Type="http://schemas.openxmlformats.org/officeDocument/2006/relationships/hyperlink" Target="https://tinyurl.com/yggabs9j" TargetMode="External"/><Relationship Id="rId38" Type="http://schemas.openxmlformats.org/officeDocument/2006/relationships/hyperlink" Target="https://controlarms.org/wp-content/uploads/2018/03/ATT-Monitor-Case-Study-2-Saudi-Arabia-FINAL.pdf" TargetMode="External"/><Relationship Id="rId46" Type="http://schemas.openxmlformats.org/officeDocument/2006/relationships/hyperlink" Target="https://www.hrw.org/news/2016/10/13/yemen-saudi-led-funeral-attack-apparent-war-crime" TargetMode="External"/><Relationship Id="rId59" Type="http://schemas.openxmlformats.org/officeDocument/2006/relationships/hyperlink" Target="https://undocs.org/en/S/2019/453" TargetMode="External"/><Relationship Id="rId67" Type="http://schemas.openxmlformats.org/officeDocument/2006/relationships/hyperlink" Target="http://undocs.org/S/PRST/2017/7" TargetMode="External"/><Relationship Id="rId20" Type="http://schemas.openxmlformats.org/officeDocument/2006/relationships/hyperlink" Target="https://www.unicef.org/press-releases/school-year-starts-yemen-2-million-children-are-out-school-and-another-37-million" TargetMode="External"/><Relationship Id="rId41" Type="http://schemas.openxmlformats.org/officeDocument/2006/relationships/hyperlink" Target="https://wilpf.org/wilpf_statements/upr_uk_arms_transfers/" TargetMode="External"/><Relationship Id="rId54" Type="http://schemas.openxmlformats.org/officeDocument/2006/relationships/hyperlink" Target="http://arabcenterdc.org/policy_analyses/the-riyadh-agreement-on-yemen-arrangements-and-chances-of-success/" TargetMode="External"/><Relationship Id="rId62" Type="http://schemas.openxmlformats.org/officeDocument/2006/relationships/hyperlink" Target="https://reliefweb.int/sites/reliefweb.int/files/resources/2016%20Yemen%20Humanitarian%20Response%20Plan.pdf" TargetMode="External"/><Relationship Id="rId1" Type="http://schemas.openxmlformats.org/officeDocument/2006/relationships/hyperlink" Target="https://www.wilpf.org/portfolio-items/yemeni-women-map-the-road-to-peace/" TargetMode="External"/><Relationship Id="rId6" Type="http://schemas.openxmlformats.org/officeDocument/2006/relationships/hyperlink" Target="http://dx.doi.org/10.5334/sta.444" TargetMode="External"/><Relationship Id="rId15" Type="http://schemas.openxmlformats.org/officeDocument/2006/relationships/hyperlink" Target="http://www.irinnews.org/news/2007/03/08/eight-women-die-giving-birth-every-day" TargetMode="External"/><Relationship Id="rId23" Type="http://schemas.openxmlformats.org/officeDocument/2006/relationships/hyperlink" Target="http://yemen.unfpa.org/sites/default/files/resource-pdf/Final%20-GBV%20Sub-Cluster-%20Yemen%20Crisis-Preventing%20GBV%20and%20Strenthening%20the%20Response.pdf" TargetMode="External"/><Relationship Id="rId28" Type="http://schemas.openxmlformats.org/officeDocument/2006/relationships/hyperlink" Target="https://insights.careinternational.org.uk/publications/no-future-for-yemen-without-women-and-girls" TargetMode="External"/><Relationship Id="rId36" Type="http://schemas.openxmlformats.org/officeDocument/2006/relationships/hyperlink" Target="https://tinyurl.com/yjgf9783" TargetMode="External"/><Relationship Id="rId49" Type="http://schemas.openxmlformats.org/officeDocument/2006/relationships/hyperlink" Target="https://www.hrw.org/the-day-in-human-rights/2018/04/24" TargetMode="External"/><Relationship Id="rId57" Type="http://schemas.openxmlformats.org/officeDocument/2006/relationships/hyperlink" Target="https://undocs.org/en/S/2019/453" TargetMode="External"/><Relationship Id="rId10" Type="http://schemas.openxmlformats.org/officeDocument/2006/relationships/hyperlink" Target="http://yemen.unfpa.org/sites/default/files/resource-pdf/Final%20-GBV%20Sub-Cluster-%20Yemen%20Crisis-Preventing%20GBV%20and%20Strenthening%20the%20Response.pdf" TargetMode="External"/><Relationship Id="rId31" Type="http://schemas.openxmlformats.org/officeDocument/2006/relationships/hyperlink" Target="https://reliefweb.int/sites/reliefweb.int/files/resources/yemen_humanitarian_needs_overview_hno_2018_20171204_0.pdf" TargetMode="External"/><Relationship Id="rId44" Type="http://schemas.openxmlformats.org/officeDocument/2006/relationships/hyperlink" Target="https://www.amnesty.org/en/latest/news/2018/03/yemen-three-years-on-us-and-uk-arms-supplies-to-saudi-arabia-led-coalition-are-devastating-civilian-lives/" TargetMode="External"/><Relationship Id="rId52" Type="http://schemas.openxmlformats.org/officeDocument/2006/relationships/hyperlink" Target="https://www.msf.org/yemensaudi-led-airstrike-abs-hospital-cannot-be-justified-unintentional-error" TargetMode="External"/><Relationship Id="rId60" Type="http://schemas.openxmlformats.org/officeDocument/2006/relationships/hyperlink" Target="https://reliefweb.int/report/world/children-and-armed-conflict-report-secretary-general-a73907-s2019509-enar" TargetMode="External"/><Relationship Id="rId65" Type="http://schemas.openxmlformats.org/officeDocument/2006/relationships/hyperlink" Target="https://sanaacenter.org/publications/analysis/8324" TargetMode="External"/><Relationship Id="rId4" Type="http://schemas.openxmlformats.org/officeDocument/2006/relationships/hyperlink" Target="https://www.care-international.org/files/files/YemenGenderReport171116.pdf" TargetMode="External"/><Relationship Id="rId9" Type="http://schemas.openxmlformats.org/officeDocument/2006/relationships/hyperlink" Target="http://yemen.unfpa.org/sites/default/files/resource-pdf/Final%20-GBV%20Sub-Cluster-%20Yemen%20Crisis-Preventing%20GBV%20and%20Strenthening%20the%20Response.pdf" TargetMode="External"/><Relationship Id="rId13" Type="http://schemas.openxmlformats.org/officeDocument/2006/relationships/hyperlink" Target="http://yemen.unfpa.org/sites/default/files/resource-pdf/Final%20-GBV%20Sub-Cluster-%20Yemen%20Crisis-Preventing%20GBV%20and%20Strenthening%20the%20Response.pdf" TargetMode="External"/><Relationship Id="rId18" Type="http://schemas.openxmlformats.org/officeDocument/2006/relationships/hyperlink" Target="https://reliefweb.int/sites/reliefweb.int/files/resources/protection_cluster_guidance_-_cholera_response_august_2017.pdf" TargetMode="External"/><Relationship Id="rId39" Type="http://schemas.openxmlformats.org/officeDocument/2006/relationships/hyperlink" Target="https://wilpf.org/wilpf-publications/" TargetMode="External"/><Relationship Id="rId34" Type="http://schemas.openxmlformats.org/officeDocument/2006/relationships/hyperlink" Target="https://tinyurl.com/yz6oxggt" TargetMode="External"/><Relationship Id="rId50" Type="http://schemas.openxmlformats.org/officeDocument/2006/relationships/hyperlink" Target="https://www.hrw.org/the-day-in-human-rights/2018/04/24" TargetMode="External"/><Relationship Id="rId55" Type="http://schemas.openxmlformats.org/officeDocument/2006/relationships/hyperlink" Target="https://reliefweb.int/sites/reliefweb.int/files/resources/N160029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B6AF3C-1A0E-AE45-A765-1719FE1EE68C}">
  <ds:schemaRefs>
    <ds:schemaRef ds:uri="http://schemas.openxmlformats.org/officeDocument/2006/bibliography"/>
  </ds:schemaRefs>
</ds:datastoreItem>
</file>

<file path=customXml/itemProps2.xml><?xml version="1.0" encoding="utf-8"?>
<ds:datastoreItem xmlns:ds="http://schemas.openxmlformats.org/officeDocument/2006/customXml" ds:itemID="{8556EF89-0E70-463B-8665-43CF7F7B3758}"/>
</file>

<file path=customXml/itemProps3.xml><?xml version="1.0" encoding="utf-8"?>
<ds:datastoreItem xmlns:ds="http://schemas.openxmlformats.org/officeDocument/2006/customXml" ds:itemID="{3AAA86C9-D47A-497B-82D5-D409BFA18991}"/>
</file>

<file path=customXml/itemProps4.xml><?xml version="1.0" encoding="utf-8"?>
<ds:datastoreItem xmlns:ds="http://schemas.openxmlformats.org/officeDocument/2006/customXml" ds:itemID="{0CFD6579-616C-4C20-9B2E-A07B7D530CCB}"/>
</file>

<file path=docProps/app.xml><?xml version="1.0" encoding="utf-8"?>
<Properties xmlns="http://schemas.openxmlformats.org/officeDocument/2006/extended-properties" xmlns:vt="http://schemas.openxmlformats.org/officeDocument/2006/docPropsVTypes">
  <Template>Normal.dotm</Template>
  <TotalTime>0</TotalTime>
  <Pages>21</Pages>
  <Words>5844</Words>
  <Characters>33315</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2019-08-27T08:28:00Z</cp:lastPrinted>
  <dcterms:created xsi:type="dcterms:W3CDTF">2020-02-03T14:44:00Z</dcterms:created>
  <dcterms:modified xsi:type="dcterms:W3CDTF">2020-02-03T14:47:00Z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