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E800F0" w14:textId="3D332C96" w:rsidR="009F78B5" w:rsidRPr="00C767D6" w:rsidRDefault="00045B8C" w:rsidP="00DC5E6D">
      <w:pPr>
        <w:jc w:val="center"/>
        <w:rPr>
          <w:rFonts w:ascii="Times New Roman" w:hAnsi="Times New Roman" w:cs="Times New Roman"/>
          <w:sz w:val="24"/>
          <w:szCs w:val="24"/>
        </w:rPr>
      </w:pPr>
      <w:r>
        <w:rPr>
          <w:noProof/>
        </w:rPr>
        <w:drawing>
          <wp:inline distT="0" distB="0" distL="0" distR="0" wp14:anchorId="0EEA99BD" wp14:editId="5918AAB8">
            <wp:extent cx="2118360" cy="29402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3834" cy="2947882"/>
                    </a:xfrm>
                    <a:prstGeom prst="rect">
                      <a:avLst/>
                    </a:prstGeom>
                    <a:noFill/>
                    <a:ln>
                      <a:noFill/>
                    </a:ln>
                  </pic:spPr>
                </pic:pic>
              </a:graphicData>
            </a:graphic>
          </wp:inline>
        </w:drawing>
      </w:r>
    </w:p>
    <w:p w14:paraId="2449EB53" w14:textId="42D59908" w:rsidR="00BA66B8" w:rsidRPr="00C767D6" w:rsidRDefault="00BA66B8" w:rsidP="00DC5E6D">
      <w:pPr>
        <w:jc w:val="both"/>
        <w:rPr>
          <w:rFonts w:ascii="Times New Roman" w:hAnsi="Times New Roman" w:cs="Times New Roman"/>
          <w:sz w:val="24"/>
          <w:szCs w:val="24"/>
        </w:rPr>
      </w:pPr>
    </w:p>
    <w:p w14:paraId="161462BC" w14:textId="77777777" w:rsidR="00DC5E6D" w:rsidRDefault="00DC5E6D" w:rsidP="00DC5E6D">
      <w:pPr>
        <w:jc w:val="both"/>
        <w:rPr>
          <w:rFonts w:ascii="Times New Roman" w:hAnsi="Times New Roman" w:cs="Times New Roman"/>
          <w:sz w:val="24"/>
          <w:szCs w:val="24"/>
        </w:rPr>
      </w:pPr>
    </w:p>
    <w:p w14:paraId="2C0CF5AB" w14:textId="77777777" w:rsidR="00166CCC" w:rsidRPr="00045B8C" w:rsidRDefault="00166CCC" w:rsidP="00166C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heme="majorBidi" w:eastAsia="Calibri" w:hAnsiTheme="majorBidi" w:cstheme="majorBidi"/>
          <w:b/>
          <w:bCs/>
          <w:noProof/>
          <w:sz w:val="40"/>
          <w:szCs w:val="40"/>
        </w:rPr>
      </w:pPr>
      <w:r w:rsidRPr="00045B8C">
        <w:rPr>
          <w:rFonts w:asciiTheme="majorBidi" w:eastAsia="Calibri" w:hAnsiTheme="majorBidi" w:cstheme="majorBidi"/>
          <w:b/>
          <w:bCs/>
          <w:noProof/>
          <w:sz w:val="40"/>
          <w:szCs w:val="40"/>
        </w:rPr>
        <w:t xml:space="preserve">Written submissions for CEDAW Pre-Sessional Working Group </w:t>
      </w:r>
    </w:p>
    <w:p w14:paraId="4488ED93" w14:textId="1CD4D570" w:rsidR="00166CCC" w:rsidRPr="00045B8C" w:rsidRDefault="00166CCC" w:rsidP="00166CC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center"/>
        <w:rPr>
          <w:rFonts w:asciiTheme="majorBidi" w:eastAsia="Calibri" w:hAnsiTheme="majorBidi" w:cstheme="majorBidi"/>
          <w:b/>
          <w:bCs/>
          <w:noProof/>
          <w:sz w:val="40"/>
          <w:szCs w:val="40"/>
        </w:rPr>
      </w:pPr>
      <w:r w:rsidRPr="00045B8C">
        <w:rPr>
          <w:rFonts w:asciiTheme="majorBidi" w:eastAsia="Calibri" w:hAnsiTheme="majorBidi" w:cstheme="majorBidi"/>
          <w:b/>
          <w:bCs/>
          <w:noProof/>
          <w:sz w:val="40"/>
          <w:szCs w:val="40"/>
        </w:rPr>
        <w:t>(31 October-4 November</w:t>
      </w:r>
      <w:r w:rsidRPr="00045B8C">
        <w:rPr>
          <w:rFonts w:asciiTheme="majorBidi" w:hAnsiTheme="majorBidi" w:cstheme="majorBidi"/>
          <w:sz w:val="40"/>
          <w:szCs w:val="40"/>
        </w:rPr>
        <w:t xml:space="preserve"> </w:t>
      </w:r>
      <w:r w:rsidRPr="00045B8C">
        <w:rPr>
          <w:rFonts w:asciiTheme="majorBidi" w:eastAsia="Calibri" w:hAnsiTheme="majorBidi" w:cstheme="majorBidi"/>
          <w:b/>
          <w:bCs/>
          <w:noProof/>
          <w:sz w:val="40"/>
          <w:szCs w:val="40"/>
        </w:rPr>
        <w:t>2022)</w:t>
      </w:r>
    </w:p>
    <w:p w14:paraId="42268DFE" w14:textId="53FE16A9" w:rsidR="00BA66B8" w:rsidRDefault="00BA66B8" w:rsidP="00DC5E6D">
      <w:pPr>
        <w:jc w:val="both"/>
        <w:rPr>
          <w:rFonts w:ascii="Times New Roman" w:hAnsi="Times New Roman" w:cs="Times New Roman"/>
          <w:sz w:val="24"/>
          <w:szCs w:val="24"/>
        </w:rPr>
      </w:pPr>
    </w:p>
    <w:p w14:paraId="1AE905AD" w14:textId="39E133A6" w:rsidR="00BA66B8" w:rsidRDefault="00BA66B8" w:rsidP="00DC5E6D">
      <w:pPr>
        <w:jc w:val="both"/>
        <w:rPr>
          <w:rFonts w:ascii="Times New Roman" w:hAnsi="Times New Roman" w:cs="Times New Roman"/>
          <w:sz w:val="24"/>
          <w:szCs w:val="24"/>
        </w:rPr>
      </w:pPr>
    </w:p>
    <w:p w14:paraId="0F874678" w14:textId="1BD9121C" w:rsidR="00DC5E6D" w:rsidRDefault="00DC5E6D" w:rsidP="00DC5E6D">
      <w:pPr>
        <w:jc w:val="both"/>
        <w:rPr>
          <w:rFonts w:ascii="Times New Roman" w:hAnsi="Times New Roman" w:cs="Times New Roman"/>
          <w:sz w:val="24"/>
          <w:szCs w:val="24"/>
        </w:rPr>
      </w:pPr>
    </w:p>
    <w:p w14:paraId="71987710" w14:textId="011C982D" w:rsidR="00045B8C" w:rsidRDefault="00045B8C" w:rsidP="00DC5E6D">
      <w:pPr>
        <w:jc w:val="both"/>
        <w:rPr>
          <w:rFonts w:ascii="Times New Roman" w:hAnsi="Times New Roman" w:cs="Times New Roman"/>
          <w:sz w:val="24"/>
          <w:szCs w:val="24"/>
        </w:rPr>
      </w:pPr>
    </w:p>
    <w:p w14:paraId="08ECFE1C" w14:textId="06DD35D7" w:rsidR="00045B8C" w:rsidRDefault="00045B8C" w:rsidP="00DC5E6D">
      <w:pPr>
        <w:jc w:val="both"/>
        <w:rPr>
          <w:rFonts w:ascii="Times New Roman" w:hAnsi="Times New Roman" w:cs="Times New Roman"/>
          <w:sz w:val="24"/>
          <w:szCs w:val="24"/>
        </w:rPr>
      </w:pPr>
    </w:p>
    <w:p w14:paraId="6F673F63" w14:textId="77777777" w:rsidR="00045B8C" w:rsidRPr="00C767D6" w:rsidRDefault="00045B8C" w:rsidP="00DC5E6D">
      <w:pPr>
        <w:jc w:val="both"/>
        <w:rPr>
          <w:rFonts w:ascii="Times New Roman" w:hAnsi="Times New Roman" w:cs="Times New Roman"/>
          <w:sz w:val="24"/>
          <w:szCs w:val="24"/>
        </w:rPr>
      </w:pPr>
    </w:p>
    <w:p w14:paraId="1D1EF9EF" w14:textId="4B647519" w:rsidR="00BA66B8" w:rsidRDefault="00BA66B8" w:rsidP="00DC5E6D">
      <w:pPr>
        <w:jc w:val="center"/>
        <w:rPr>
          <w:rFonts w:ascii="Times New Roman" w:hAnsi="Times New Roman" w:cs="Times New Roman"/>
          <w:b/>
          <w:bCs/>
          <w:sz w:val="36"/>
          <w:szCs w:val="36"/>
        </w:rPr>
      </w:pPr>
      <w:r w:rsidRPr="00045B8C">
        <w:rPr>
          <w:rFonts w:ascii="Times New Roman" w:hAnsi="Times New Roman" w:cs="Times New Roman"/>
          <w:b/>
          <w:bCs/>
          <w:sz w:val="36"/>
          <w:szCs w:val="36"/>
        </w:rPr>
        <w:t>2022</w:t>
      </w:r>
    </w:p>
    <w:p w14:paraId="67ED2455" w14:textId="4834EEA9" w:rsidR="00045B8C" w:rsidRPr="00045B8C" w:rsidRDefault="00045B8C" w:rsidP="00DC5E6D">
      <w:pPr>
        <w:jc w:val="center"/>
        <w:rPr>
          <w:rFonts w:ascii="Times New Roman" w:hAnsi="Times New Roman" w:cs="Times New Roman"/>
          <w:b/>
          <w:bCs/>
          <w:sz w:val="36"/>
          <w:szCs w:val="36"/>
        </w:rPr>
      </w:pPr>
      <w:r>
        <w:rPr>
          <w:rFonts w:ascii="Times New Roman" w:hAnsi="Times New Roman" w:cs="Times New Roman"/>
          <w:b/>
          <w:bCs/>
          <w:sz w:val="36"/>
          <w:szCs w:val="36"/>
        </w:rPr>
        <w:t>Palestine</w:t>
      </w:r>
    </w:p>
    <w:p w14:paraId="0194FCD9" w14:textId="77777777" w:rsidR="00045B8C" w:rsidRDefault="00BA66B8" w:rsidP="00045B8C">
      <w:pPr>
        <w:jc w:val="both"/>
        <w:rPr>
          <w:rFonts w:ascii="Times New Roman" w:hAnsi="Times New Roman" w:cs="Times New Roman"/>
          <w:sz w:val="24"/>
          <w:szCs w:val="24"/>
        </w:rPr>
      </w:pPr>
      <w:r w:rsidRPr="00C767D6">
        <w:rPr>
          <w:rFonts w:ascii="Times New Roman" w:hAnsi="Times New Roman" w:cs="Times New Roman"/>
          <w:sz w:val="24"/>
          <w:szCs w:val="24"/>
        </w:rPr>
        <w:br w:type="page"/>
      </w:r>
    </w:p>
    <w:p w14:paraId="735FBF67" w14:textId="4D715ACC" w:rsidR="00045B8C" w:rsidRDefault="00045B8C" w:rsidP="00045B8C">
      <w:pPr>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59264" behindDoc="0" locked="0" layoutInCell="1" allowOverlap="1" wp14:anchorId="10B52239" wp14:editId="35A1EE8F">
                <wp:simplePos x="0" y="0"/>
                <wp:positionH relativeFrom="column">
                  <wp:posOffset>-234950</wp:posOffset>
                </wp:positionH>
                <wp:positionV relativeFrom="paragraph">
                  <wp:posOffset>-171450</wp:posOffset>
                </wp:positionV>
                <wp:extent cx="5899150" cy="8483600"/>
                <wp:effectExtent l="0" t="0" r="25400" b="12700"/>
                <wp:wrapNone/>
                <wp:docPr id="2" name="Text Box 2"/>
                <wp:cNvGraphicFramePr/>
                <a:graphic xmlns:a="http://schemas.openxmlformats.org/drawingml/2006/main">
                  <a:graphicData uri="http://schemas.microsoft.com/office/word/2010/wordprocessingShape">
                    <wps:wsp>
                      <wps:cNvSpPr txBox="1"/>
                      <wps:spPr>
                        <a:xfrm>
                          <a:off x="0" y="0"/>
                          <a:ext cx="5899150" cy="8483600"/>
                        </a:xfrm>
                        <a:prstGeom prst="rect">
                          <a:avLst/>
                        </a:prstGeom>
                        <a:solidFill>
                          <a:schemeClr val="lt1"/>
                        </a:solidFill>
                        <a:ln w="6350">
                          <a:solidFill>
                            <a:prstClr val="black"/>
                          </a:solidFill>
                        </a:ln>
                      </wps:spPr>
                      <wps:txbx>
                        <w:txbxContent>
                          <w:p w14:paraId="5F22F378" w14:textId="0FC1D7B4" w:rsidR="00045B8C" w:rsidRDefault="00045B8C" w:rsidP="00045B8C">
                            <w:pPr>
                              <w:jc w:val="center"/>
                              <w:rPr>
                                <w:rFonts w:ascii="Times New Roman" w:hAnsi="Times New Roman" w:cs="Times New Roman"/>
                                <w:b/>
                                <w:bCs/>
                                <w:sz w:val="24"/>
                                <w:szCs w:val="24"/>
                              </w:rPr>
                            </w:pPr>
                            <w:r>
                              <w:rPr>
                                <w:noProof/>
                              </w:rPr>
                              <w:drawing>
                                <wp:inline distT="0" distB="0" distL="0" distR="0" wp14:anchorId="5FB72B8A" wp14:editId="110E2E9E">
                                  <wp:extent cx="983609" cy="136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7404" cy="1384397"/>
                                          </a:xfrm>
                                          <a:prstGeom prst="rect">
                                            <a:avLst/>
                                          </a:prstGeom>
                                          <a:noFill/>
                                          <a:ln>
                                            <a:noFill/>
                                          </a:ln>
                                        </pic:spPr>
                                      </pic:pic>
                                    </a:graphicData>
                                  </a:graphic>
                                </wp:inline>
                              </w:drawing>
                            </w:r>
                          </w:p>
                          <w:p w14:paraId="0461CCBB" w14:textId="62868ED9" w:rsidR="00045B8C" w:rsidRPr="002E36BA" w:rsidRDefault="00045B8C" w:rsidP="00045B8C">
                            <w:pPr>
                              <w:jc w:val="center"/>
                              <w:rPr>
                                <w:rFonts w:ascii="Times New Roman" w:hAnsi="Times New Roman" w:cs="Times New Roman"/>
                                <w:b/>
                                <w:bCs/>
                                <w:sz w:val="24"/>
                                <w:szCs w:val="24"/>
                              </w:rPr>
                            </w:pPr>
                            <w:r w:rsidRPr="002E36BA">
                              <w:rPr>
                                <w:rFonts w:ascii="Times New Roman" w:hAnsi="Times New Roman" w:cs="Times New Roman"/>
                                <w:b/>
                                <w:bCs/>
                                <w:sz w:val="24"/>
                                <w:szCs w:val="24"/>
                              </w:rPr>
                              <w:t>Profile of the Independent Commission for Human Rights</w:t>
                            </w:r>
                          </w:p>
                          <w:p w14:paraId="36F7C36D" w14:textId="77777777" w:rsidR="00045B8C" w:rsidRPr="002E36BA"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As the Palestinian national human rights institution, the Independent Commission for Human Rights (ICHR) is a full member of the Global Alliance of National Human Rights Institutions (GAN</w:t>
                            </w:r>
                            <w:r w:rsidRPr="00C767D6">
                              <w:rPr>
                                <w:rFonts w:ascii="Times New Roman" w:hAnsi="Times New Roman" w:cs="Times New Roman"/>
                                <w:sz w:val="24"/>
                                <w:szCs w:val="24"/>
                              </w:rPr>
                              <w:t>H</w:t>
                            </w:r>
                            <w:r w:rsidRPr="002E36BA">
                              <w:rPr>
                                <w:rFonts w:ascii="Times New Roman" w:hAnsi="Times New Roman" w:cs="Times New Roman"/>
                                <w:sz w:val="24"/>
                                <w:szCs w:val="24"/>
                              </w:rPr>
                              <w:t xml:space="preserve">RI). On 30 September 1993, the ICHR was established in accordance with a Presidential Decree promulgated by the late President Yasser Arafat. The Decree was subsequently published under number 59/1995 in the Palestinian Official Gazette in 1995. According to the Presidential Decree, ICHR functions and responsibilities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w:t>
                            </w:r>
                          </w:p>
                          <w:p w14:paraId="5A110DDA" w14:textId="77777777" w:rsidR="00045B8C" w:rsidRPr="002E36BA"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 xml:space="preserve">The Presidential Decree tasks the ICHR with drafting its own bylaws in a manner that ensures the Commission’s independence and effectiveness. The ICHR commenced its activities in early 1994. </w:t>
                            </w:r>
                            <w:r w:rsidRPr="00C767D6">
                              <w:rPr>
                                <w:rFonts w:ascii="Times New Roman" w:hAnsi="Times New Roman" w:cs="Times New Roman"/>
                                <w:sz w:val="24"/>
                                <w:szCs w:val="24"/>
                              </w:rPr>
                              <w:t xml:space="preserve">Dr. Hanan Ashrawi, who initiated and spearheaded establishment of the ICHR. </w:t>
                            </w:r>
                            <w:r w:rsidRPr="002E36BA">
                              <w:rPr>
                                <w:rFonts w:ascii="Times New Roman" w:hAnsi="Times New Roman" w:cs="Times New Roman"/>
                                <w:sz w:val="24"/>
                                <w:szCs w:val="24"/>
                              </w:rPr>
                              <w:t>Having been approved by the Palestinian Legislative Council (PLC) in 1997, the Palestinian Basic Law was promulgated and published in the Palestinian Official Gazette in 2002. Article 31 of the Basic Law 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been approved or passed</w:t>
                            </w:r>
                            <w:r w:rsidRPr="00C767D6">
                              <w:rPr>
                                <w:rFonts w:ascii="Times New Roman" w:hAnsi="Times New Roman" w:cs="Times New Roman"/>
                                <w:sz w:val="24"/>
                                <w:szCs w:val="24"/>
                              </w:rPr>
                              <w:t xml:space="preserve"> </w:t>
                            </w:r>
                            <w:r w:rsidRPr="002E36BA">
                              <w:rPr>
                                <w:rFonts w:ascii="Times New Roman" w:hAnsi="Times New Roman" w:cs="Times New Roman"/>
                                <w:sz w:val="24"/>
                                <w:szCs w:val="24"/>
                              </w:rPr>
                              <w:t xml:space="preserve">yet, the ICHR clearly operates on the basis of the 1994 Presidential </w:t>
                            </w:r>
                            <w:bookmarkStart w:id="0" w:name="_GoBack"/>
                            <w:bookmarkEnd w:id="0"/>
                            <w:r w:rsidRPr="002E36BA">
                              <w:rPr>
                                <w:rFonts w:ascii="Times New Roman" w:hAnsi="Times New Roman" w:cs="Times New Roman"/>
                                <w:sz w:val="24"/>
                                <w:szCs w:val="24"/>
                              </w:rPr>
                              <w:t xml:space="preserve">Decree until such time the ICHR Law is endorsed. </w:t>
                            </w:r>
                          </w:p>
                          <w:p w14:paraId="1CEE7B1F" w14:textId="4E6EEDA4" w:rsidR="00045B8C"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 xml:space="preserve">In its capacity as the national human rights institution and ombudsman office, the ICHR monitors and ensures that requirements for safeguarding human rights are fulfilled by Palestinian laws and regulations, as well as by functions of Palestinian departments, agencies and institutions. The ICHR scope of work </w:t>
                            </w:r>
                            <w:r w:rsidRPr="00C767D6">
                              <w:rPr>
                                <w:rFonts w:ascii="Times New Roman" w:hAnsi="Times New Roman" w:cs="Times New Roman"/>
                                <w:sz w:val="24"/>
                                <w:szCs w:val="24"/>
                              </w:rPr>
                              <w:t xml:space="preserve">is as broad as </w:t>
                            </w:r>
                            <w:r w:rsidRPr="002E36BA">
                              <w:rPr>
                                <w:rFonts w:ascii="Times New Roman" w:hAnsi="Times New Roman" w:cs="Times New Roman"/>
                                <w:sz w:val="24"/>
                                <w:szCs w:val="24"/>
                              </w:rPr>
                              <w:t xml:space="preserve">to address human rights violations, handle complaints of human rights abuses committed against citizens by the Executive branch of government, promote legal literacy, and monitor national legislation and policies, ensuring consistence with international human rights standards. </w:t>
                            </w:r>
                          </w:p>
                          <w:p w14:paraId="109F9C4D" w14:textId="36EB990D" w:rsidR="000A47C7" w:rsidRPr="000A47C7" w:rsidRDefault="00AF4C68" w:rsidP="00045B8C">
                            <w:pPr>
                              <w:jc w:val="both"/>
                              <w:rPr>
                                <w:rFonts w:ascii="Times New Roman" w:hAnsi="Times New Roman" w:cs="Times New Roman"/>
                                <w:sz w:val="24"/>
                                <w:szCs w:val="24"/>
                              </w:rPr>
                            </w:pPr>
                            <w:r>
                              <w:rPr>
                                <w:rFonts w:asciiTheme="majorBidi" w:hAnsiTheme="majorBidi" w:cstheme="majorBidi"/>
                                <w:sz w:val="24"/>
                                <w:szCs w:val="24"/>
                              </w:rPr>
                              <w:t>Contact</w:t>
                            </w:r>
                            <w:r w:rsidR="000A47C7" w:rsidRPr="000A47C7">
                              <w:rPr>
                                <w:rFonts w:asciiTheme="majorBidi" w:hAnsiTheme="majorBidi" w:cstheme="majorBidi"/>
                                <w:sz w:val="24"/>
                                <w:szCs w:val="24"/>
                              </w:rPr>
                              <w:t xml:space="preserve"> Person: Khadija Zahran. Director of Monitoring Policies &amp; National Legislations Department</w:t>
                            </w:r>
                            <w:r w:rsidR="002D061F">
                              <w:rPr>
                                <w:rFonts w:asciiTheme="majorBidi" w:hAnsiTheme="majorBidi" w:cstheme="majorBidi"/>
                                <w:sz w:val="24"/>
                                <w:szCs w:val="24"/>
                                <w:lang w:val="en-US"/>
                              </w:rPr>
                              <w:t>,</w:t>
                            </w:r>
                            <w:r w:rsidR="000A47C7" w:rsidRPr="000A47C7">
                              <w:rPr>
                                <w:rFonts w:asciiTheme="majorBidi" w:hAnsiTheme="majorBidi" w:cstheme="majorBidi"/>
                                <w:sz w:val="24"/>
                                <w:szCs w:val="24"/>
                              </w:rPr>
                              <w:t xml:space="preserve">  E-mail</w:t>
                            </w:r>
                            <w:r w:rsidR="002D061F">
                              <w:rPr>
                                <w:rFonts w:asciiTheme="majorBidi" w:hAnsiTheme="majorBidi" w:cstheme="majorBidi"/>
                                <w:sz w:val="24"/>
                                <w:szCs w:val="24"/>
                              </w:rPr>
                              <w:t>:</w:t>
                            </w:r>
                            <w:r w:rsidR="000A47C7" w:rsidRPr="000A47C7">
                              <w:rPr>
                                <w:rFonts w:asciiTheme="majorBidi" w:hAnsiTheme="majorBidi" w:cstheme="majorBidi"/>
                                <w:sz w:val="24"/>
                                <w:szCs w:val="24"/>
                              </w:rPr>
                              <w:t xml:space="preserve"> </w:t>
                            </w:r>
                            <w:r w:rsidR="002D061F" w:rsidRPr="002D061F">
                              <w:rPr>
                                <w:rFonts w:asciiTheme="majorBidi" w:hAnsiTheme="majorBidi" w:cstheme="majorBidi"/>
                                <w:sz w:val="24"/>
                                <w:szCs w:val="24"/>
                              </w:rPr>
                              <w:t>kzahran@ichr.ps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52239" id="_x0000_t202" coordsize="21600,21600" o:spt="202" path="m,l,21600r21600,l21600,xe">
                <v:stroke joinstyle="miter"/>
                <v:path gradientshapeok="t" o:connecttype="rect"/>
              </v:shapetype>
              <v:shape id="Text Box 2" o:spid="_x0000_s1026" type="#_x0000_t202" style="position:absolute;left:0;text-align:left;margin-left:-18.5pt;margin-top:-13.5pt;width:464.5pt;height:6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yduSwIAAKIEAAAOAAAAZHJzL2Uyb0RvYy54bWysVNtuGjEQfa/Uf7D8XhYIUIKyRJSIqlKU&#10;RIIoz8brDat6Pa5t2KVf32Nzya1PVV+8c/PxzJmZvbpua812yvmKTM57nS5nykgqKvOc88fV4suY&#10;Mx+EKYQmo3K+V55fTz9/umrsRPVpQ7pQjgHE+Eljc74JwU6yzMuNqoXvkFUGzpJcLQJU95wVTjRA&#10;r3XW73ZHWUOusI6k8h7Wm4OTTxN+WSoZ7svSq8B0zpFbSKdL5zqe2fRKTJ6dsJtKHtMQ/5BFLSqD&#10;R89QNyIItnXVB6i6ko48laEjqc6oLCupUg2optd9V81yI6xKtYAcb880+f8HK+92D45VRc77nBlR&#10;o0Ur1Qb2jVrWj+w01k8QtLQICy3M6PLJ7mGMRbelq+MX5TD4wfP+zG0EkzAOx5eXvSFcEr7xYHwx&#10;6ib2s5fr1vnwXVHNopBzh+YlTsXu1gekgtBTSHzNk66KRaV1UuLAqLl2bCfQah1SkrjxJkob1uR8&#10;dIE8PiBE6PP9tRbyZyzzLQI0bWCMpByKj1Jo1+2RqTUVexDl6DBo3spFBdxb4cODcJgsEIBtCfc4&#10;Sk1Iho4SZxtyv/9mj/FoOLycNZjUnPtfW+EUZ/qHwShc9gaDONpJGQy/9qG41571a4/Z1nMCQz3s&#10;pZVJjPFBn8TSUf2EpZrFV+ESRuLtnIeTOA+H/cFSSjWbpSAMsxXh1iytjNCR3Mjnqn0Szh77GTAK&#10;d3SaaTF519ZDbLxpaLYNVFap55HgA6tH3rEIqS3HpY2b9lpPUS+/lukfAAAA//8DAFBLAwQUAAYA&#10;CAAAACEABNkLyN0AAAAMAQAADwAAAGRycy9kb3ducmV2LnhtbEyPwU7DMBBE70j8g7WVuLV2UwmS&#10;EKcCVLhwokWc3di1I+J1ZLtp+Hu2J7jNaEezb5rt7Ac2mZj6gBLWKwHMYBd0j1bC5+F1WQJLWaFW&#10;Q0Aj4cck2La3N42qdbjgh5n22TIqwVQrCS7nseY8dc54lVZhNEi3U4heZbLRch3Vhcr9wAsh7rlX&#10;PdIHp0bz4kz3vT97CbtnW9muVNHtSt330/x1erdvUt4t5qdHYNnM+S8MV3xCh5aYjuGMOrFBwnLz&#10;QFsyieIqKFFWBYkjRTeiEsDbhv8f0f4CAAD//wMAUEsBAi0AFAAGAAgAAAAhALaDOJL+AAAA4QEA&#10;ABMAAAAAAAAAAAAAAAAAAAAAAFtDb250ZW50X1R5cGVzXS54bWxQSwECLQAUAAYACAAAACEAOP0h&#10;/9YAAACUAQAACwAAAAAAAAAAAAAAAAAvAQAAX3JlbHMvLnJlbHNQSwECLQAUAAYACAAAACEAdo8n&#10;bksCAACiBAAADgAAAAAAAAAAAAAAAAAuAgAAZHJzL2Uyb0RvYy54bWxQSwECLQAUAAYACAAAACEA&#10;BNkLyN0AAAAMAQAADwAAAAAAAAAAAAAAAAClBAAAZHJzL2Rvd25yZXYueG1sUEsFBgAAAAAEAAQA&#10;8wAAAK8FAAAAAA==&#10;" fillcolor="white [3201]" strokeweight=".5pt">
                <v:textbox>
                  <w:txbxContent>
                    <w:p w14:paraId="5F22F378" w14:textId="0FC1D7B4" w:rsidR="00045B8C" w:rsidRDefault="00045B8C" w:rsidP="00045B8C">
                      <w:pPr>
                        <w:jc w:val="center"/>
                        <w:rPr>
                          <w:rFonts w:ascii="Times New Roman" w:hAnsi="Times New Roman" w:cs="Times New Roman"/>
                          <w:b/>
                          <w:bCs/>
                          <w:sz w:val="24"/>
                          <w:szCs w:val="24"/>
                        </w:rPr>
                      </w:pPr>
                      <w:r>
                        <w:rPr>
                          <w:noProof/>
                        </w:rPr>
                        <w:drawing>
                          <wp:inline distT="0" distB="0" distL="0" distR="0" wp14:anchorId="5FB72B8A" wp14:editId="110E2E9E">
                            <wp:extent cx="983609" cy="136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7404" cy="1384397"/>
                                    </a:xfrm>
                                    <a:prstGeom prst="rect">
                                      <a:avLst/>
                                    </a:prstGeom>
                                    <a:noFill/>
                                    <a:ln>
                                      <a:noFill/>
                                    </a:ln>
                                  </pic:spPr>
                                </pic:pic>
                              </a:graphicData>
                            </a:graphic>
                          </wp:inline>
                        </w:drawing>
                      </w:r>
                    </w:p>
                    <w:p w14:paraId="0461CCBB" w14:textId="62868ED9" w:rsidR="00045B8C" w:rsidRPr="002E36BA" w:rsidRDefault="00045B8C" w:rsidP="00045B8C">
                      <w:pPr>
                        <w:jc w:val="center"/>
                        <w:rPr>
                          <w:rFonts w:ascii="Times New Roman" w:hAnsi="Times New Roman" w:cs="Times New Roman"/>
                          <w:b/>
                          <w:bCs/>
                          <w:sz w:val="24"/>
                          <w:szCs w:val="24"/>
                        </w:rPr>
                      </w:pPr>
                      <w:r w:rsidRPr="002E36BA">
                        <w:rPr>
                          <w:rFonts w:ascii="Times New Roman" w:hAnsi="Times New Roman" w:cs="Times New Roman"/>
                          <w:b/>
                          <w:bCs/>
                          <w:sz w:val="24"/>
                          <w:szCs w:val="24"/>
                        </w:rPr>
                        <w:t>Profile of the Independent Commission for Human Rights</w:t>
                      </w:r>
                    </w:p>
                    <w:p w14:paraId="36F7C36D" w14:textId="77777777" w:rsidR="00045B8C" w:rsidRPr="002E36BA"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As the Palestinian national human rights institution, the Independent Commission for Human Rights (ICHR) is a full member of the Global Alliance of National Human Rights Institutions (GAN</w:t>
                      </w:r>
                      <w:r w:rsidRPr="00C767D6">
                        <w:rPr>
                          <w:rFonts w:ascii="Times New Roman" w:hAnsi="Times New Roman" w:cs="Times New Roman"/>
                          <w:sz w:val="24"/>
                          <w:szCs w:val="24"/>
                        </w:rPr>
                        <w:t>H</w:t>
                      </w:r>
                      <w:r w:rsidRPr="002E36BA">
                        <w:rPr>
                          <w:rFonts w:ascii="Times New Roman" w:hAnsi="Times New Roman" w:cs="Times New Roman"/>
                          <w:sz w:val="24"/>
                          <w:szCs w:val="24"/>
                        </w:rPr>
                        <w:t xml:space="preserve">RI). On 30 September 1993, the ICHR was established in accordance with a Presidential Decree promulgated by the late President Yasser Arafat. The Decree was subsequently published under number 59/1995 in the Palestinian Official Gazette in 1995. According to the Presidential Decree, ICHR functions and responsibilities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w:t>
                      </w:r>
                    </w:p>
                    <w:p w14:paraId="5A110DDA" w14:textId="77777777" w:rsidR="00045B8C" w:rsidRPr="002E36BA"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 xml:space="preserve">The Presidential Decree tasks the ICHR with drafting its own bylaws in a manner that ensures the Commission’s independence and effectiveness. The ICHR commenced its activities in early 1994. </w:t>
                      </w:r>
                      <w:r w:rsidRPr="00C767D6">
                        <w:rPr>
                          <w:rFonts w:ascii="Times New Roman" w:hAnsi="Times New Roman" w:cs="Times New Roman"/>
                          <w:sz w:val="24"/>
                          <w:szCs w:val="24"/>
                        </w:rPr>
                        <w:t xml:space="preserve">Dr. Hanan Ashrawi, who initiated and spearheaded establishment of the ICHR. </w:t>
                      </w:r>
                      <w:r w:rsidRPr="002E36BA">
                        <w:rPr>
                          <w:rFonts w:ascii="Times New Roman" w:hAnsi="Times New Roman" w:cs="Times New Roman"/>
                          <w:sz w:val="24"/>
                          <w:szCs w:val="24"/>
                        </w:rPr>
                        <w:t>Having been approved by the Palestinian Legislative Council (PLC) in 1997, the Palestinian Basic Law was promulgated and published in the Palestinian Official Gazette in 2002. Article 31 of the Basic Law 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been approved or passed</w:t>
                      </w:r>
                      <w:r w:rsidRPr="00C767D6">
                        <w:rPr>
                          <w:rFonts w:ascii="Times New Roman" w:hAnsi="Times New Roman" w:cs="Times New Roman"/>
                          <w:sz w:val="24"/>
                          <w:szCs w:val="24"/>
                        </w:rPr>
                        <w:t xml:space="preserve"> </w:t>
                      </w:r>
                      <w:r w:rsidRPr="002E36BA">
                        <w:rPr>
                          <w:rFonts w:ascii="Times New Roman" w:hAnsi="Times New Roman" w:cs="Times New Roman"/>
                          <w:sz w:val="24"/>
                          <w:szCs w:val="24"/>
                        </w:rPr>
                        <w:t xml:space="preserve">yet, the ICHR clearly operates on the basis of the 1994 Presidential </w:t>
                      </w:r>
                      <w:bookmarkStart w:id="1" w:name="_GoBack"/>
                      <w:bookmarkEnd w:id="1"/>
                      <w:r w:rsidRPr="002E36BA">
                        <w:rPr>
                          <w:rFonts w:ascii="Times New Roman" w:hAnsi="Times New Roman" w:cs="Times New Roman"/>
                          <w:sz w:val="24"/>
                          <w:szCs w:val="24"/>
                        </w:rPr>
                        <w:t xml:space="preserve">Decree until such time the ICHR Law is endorsed. </w:t>
                      </w:r>
                    </w:p>
                    <w:p w14:paraId="1CEE7B1F" w14:textId="4E6EEDA4" w:rsidR="00045B8C" w:rsidRDefault="00045B8C" w:rsidP="00045B8C">
                      <w:pPr>
                        <w:jc w:val="both"/>
                        <w:rPr>
                          <w:rFonts w:ascii="Times New Roman" w:hAnsi="Times New Roman" w:cs="Times New Roman"/>
                          <w:sz w:val="24"/>
                          <w:szCs w:val="24"/>
                        </w:rPr>
                      </w:pPr>
                      <w:r w:rsidRPr="002E36BA">
                        <w:rPr>
                          <w:rFonts w:ascii="Times New Roman" w:hAnsi="Times New Roman" w:cs="Times New Roman"/>
                          <w:sz w:val="24"/>
                          <w:szCs w:val="24"/>
                        </w:rPr>
                        <w:t xml:space="preserve">In its capacity as the national human rights institution and ombudsman office, the ICHR monitors and ensures that requirements for safeguarding human rights are fulfilled by Palestinian laws and regulations, as well as by functions of Palestinian departments, agencies and institutions. The ICHR scope of work </w:t>
                      </w:r>
                      <w:r w:rsidRPr="00C767D6">
                        <w:rPr>
                          <w:rFonts w:ascii="Times New Roman" w:hAnsi="Times New Roman" w:cs="Times New Roman"/>
                          <w:sz w:val="24"/>
                          <w:szCs w:val="24"/>
                        </w:rPr>
                        <w:t xml:space="preserve">is as broad as </w:t>
                      </w:r>
                      <w:r w:rsidRPr="002E36BA">
                        <w:rPr>
                          <w:rFonts w:ascii="Times New Roman" w:hAnsi="Times New Roman" w:cs="Times New Roman"/>
                          <w:sz w:val="24"/>
                          <w:szCs w:val="24"/>
                        </w:rPr>
                        <w:t xml:space="preserve">to address human rights violations, handle complaints of human rights abuses committed against citizens by the Executive branch of government, promote legal literacy, and monitor national legislation and policies, ensuring consistence with international human rights standards. </w:t>
                      </w:r>
                    </w:p>
                    <w:p w14:paraId="109F9C4D" w14:textId="36EB990D" w:rsidR="000A47C7" w:rsidRPr="000A47C7" w:rsidRDefault="00AF4C68" w:rsidP="00045B8C">
                      <w:pPr>
                        <w:jc w:val="both"/>
                        <w:rPr>
                          <w:rFonts w:ascii="Times New Roman" w:hAnsi="Times New Roman" w:cs="Times New Roman"/>
                          <w:sz w:val="24"/>
                          <w:szCs w:val="24"/>
                        </w:rPr>
                      </w:pPr>
                      <w:r>
                        <w:rPr>
                          <w:rFonts w:asciiTheme="majorBidi" w:hAnsiTheme="majorBidi" w:cstheme="majorBidi"/>
                          <w:sz w:val="24"/>
                          <w:szCs w:val="24"/>
                        </w:rPr>
                        <w:t>Contact</w:t>
                      </w:r>
                      <w:r w:rsidR="000A47C7" w:rsidRPr="000A47C7">
                        <w:rPr>
                          <w:rFonts w:asciiTheme="majorBidi" w:hAnsiTheme="majorBidi" w:cstheme="majorBidi"/>
                          <w:sz w:val="24"/>
                          <w:szCs w:val="24"/>
                        </w:rPr>
                        <w:t xml:space="preserve"> Person: Khadija Zahran. Director of Monitoring Policies &amp; National Legislations Department</w:t>
                      </w:r>
                      <w:r w:rsidR="002D061F">
                        <w:rPr>
                          <w:rFonts w:asciiTheme="majorBidi" w:hAnsiTheme="majorBidi" w:cstheme="majorBidi"/>
                          <w:sz w:val="24"/>
                          <w:szCs w:val="24"/>
                          <w:lang w:val="en-US"/>
                        </w:rPr>
                        <w:t>,</w:t>
                      </w:r>
                      <w:r w:rsidR="000A47C7" w:rsidRPr="000A47C7">
                        <w:rPr>
                          <w:rFonts w:asciiTheme="majorBidi" w:hAnsiTheme="majorBidi" w:cstheme="majorBidi"/>
                          <w:sz w:val="24"/>
                          <w:szCs w:val="24"/>
                        </w:rPr>
                        <w:t xml:space="preserve">  E-mail</w:t>
                      </w:r>
                      <w:r w:rsidR="002D061F">
                        <w:rPr>
                          <w:rFonts w:asciiTheme="majorBidi" w:hAnsiTheme="majorBidi" w:cstheme="majorBidi"/>
                          <w:sz w:val="24"/>
                          <w:szCs w:val="24"/>
                        </w:rPr>
                        <w:t>:</w:t>
                      </w:r>
                      <w:r w:rsidR="000A47C7" w:rsidRPr="000A47C7">
                        <w:rPr>
                          <w:rFonts w:asciiTheme="majorBidi" w:hAnsiTheme="majorBidi" w:cstheme="majorBidi"/>
                          <w:sz w:val="24"/>
                          <w:szCs w:val="24"/>
                        </w:rPr>
                        <w:t xml:space="preserve"> </w:t>
                      </w:r>
                      <w:r w:rsidR="002D061F" w:rsidRPr="002D061F">
                        <w:rPr>
                          <w:rFonts w:asciiTheme="majorBidi" w:hAnsiTheme="majorBidi" w:cstheme="majorBidi"/>
                          <w:sz w:val="24"/>
                          <w:szCs w:val="24"/>
                        </w:rPr>
                        <w:t>kzahran@ichr.ps</w:t>
                      </w:r>
                    </w:p>
                  </w:txbxContent>
                </v:textbox>
              </v:shape>
            </w:pict>
          </mc:Fallback>
        </mc:AlternateContent>
      </w:r>
    </w:p>
    <w:p w14:paraId="275C0A76" w14:textId="77777777" w:rsidR="00045B8C" w:rsidRDefault="00045B8C">
      <w:pPr>
        <w:rPr>
          <w:rFonts w:ascii="Times New Roman" w:hAnsi="Times New Roman" w:cs="Times New Roman"/>
          <w:b/>
          <w:bCs/>
          <w:sz w:val="24"/>
          <w:szCs w:val="24"/>
        </w:rPr>
      </w:pPr>
      <w:r>
        <w:rPr>
          <w:rFonts w:ascii="Times New Roman" w:hAnsi="Times New Roman" w:cs="Times New Roman"/>
          <w:b/>
          <w:bCs/>
          <w:sz w:val="24"/>
          <w:szCs w:val="24"/>
        </w:rPr>
        <w:br w:type="page"/>
      </w:r>
    </w:p>
    <w:p w14:paraId="74297B3F" w14:textId="1206BBB7" w:rsidR="00C21AD0" w:rsidRPr="00DC5E6D" w:rsidRDefault="00C21AD0" w:rsidP="00DC5E6D">
      <w:pPr>
        <w:jc w:val="both"/>
        <w:rPr>
          <w:rFonts w:ascii="Times New Roman" w:hAnsi="Times New Roman" w:cs="Times New Roman"/>
          <w:b/>
          <w:bCs/>
          <w:sz w:val="24"/>
          <w:szCs w:val="24"/>
        </w:rPr>
      </w:pPr>
      <w:r w:rsidRPr="00DC5E6D">
        <w:rPr>
          <w:rFonts w:ascii="Times New Roman" w:hAnsi="Times New Roman" w:cs="Times New Roman"/>
          <w:b/>
          <w:bCs/>
          <w:sz w:val="24"/>
          <w:szCs w:val="24"/>
        </w:rPr>
        <w:lastRenderedPageBreak/>
        <w:t xml:space="preserve">Introduction </w:t>
      </w:r>
    </w:p>
    <w:p w14:paraId="6032336C" w14:textId="42E7EC54" w:rsidR="00C21AD0" w:rsidRPr="00C767D6" w:rsidRDefault="002D3D03" w:rsidP="00A33CB8">
      <w:pPr>
        <w:jc w:val="both"/>
        <w:rPr>
          <w:rFonts w:ascii="Times New Roman" w:hAnsi="Times New Roman" w:cs="Times New Roman"/>
          <w:sz w:val="24"/>
          <w:szCs w:val="24"/>
        </w:rPr>
      </w:pPr>
      <w:r w:rsidRPr="00C767D6">
        <w:rPr>
          <w:rFonts w:ascii="Times New Roman" w:hAnsi="Times New Roman" w:cs="Times New Roman"/>
          <w:sz w:val="24"/>
          <w:szCs w:val="24"/>
        </w:rPr>
        <w:t xml:space="preserve">Based on its role as a national human rights institution with an A status, the ICHR assumes </w:t>
      </w:r>
      <w:r w:rsidR="00A33CB8">
        <w:rPr>
          <w:rFonts w:ascii="Times New Roman" w:hAnsi="Times New Roman" w:cs="Times New Roman"/>
          <w:sz w:val="24"/>
          <w:szCs w:val="24"/>
        </w:rPr>
        <w:t xml:space="preserve">the </w:t>
      </w:r>
      <w:r w:rsidRPr="00C767D6">
        <w:rPr>
          <w:rFonts w:ascii="Times New Roman" w:hAnsi="Times New Roman" w:cs="Times New Roman"/>
          <w:sz w:val="24"/>
          <w:szCs w:val="24"/>
        </w:rPr>
        <w:t xml:space="preserve">responsibility for submitting written statements and shadow reports to the United Nations </w:t>
      </w:r>
      <w:r w:rsidR="00476D86" w:rsidRPr="00C767D6">
        <w:rPr>
          <w:rFonts w:ascii="Times New Roman" w:hAnsi="Times New Roman" w:cs="Times New Roman"/>
          <w:sz w:val="24"/>
          <w:szCs w:val="24"/>
        </w:rPr>
        <w:t>bodies established under the treaties, which the State of Palestine acceded to. These interventions monitor the implementation of provisions of UN conventions by the State of Palestine. In view of its major role in monitoring the situation of human rights in the State of Palestine, in 2017, the ICHR submitted a written statement on the implementation by the State of Palestine of the provisions of the Convention on the Elimination of All Forms of Discrimination Against Women (</w:t>
      </w:r>
      <w:r w:rsidR="00A33CB8">
        <w:rPr>
          <w:rFonts w:ascii="Times New Roman" w:hAnsi="Times New Roman" w:cs="Times New Roman"/>
          <w:sz w:val="24"/>
          <w:szCs w:val="24"/>
        </w:rPr>
        <w:t xml:space="preserve">the </w:t>
      </w:r>
      <w:r w:rsidR="00530370" w:rsidRPr="00C767D6">
        <w:rPr>
          <w:rFonts w:ascii="Times New Roman" w:hAnsi="Times New Roman" w:cs="Times New Roman"/>
          <w:sz w:val="24"/>
          <w:szCs w:val="24"/>
        </w:rPr>
        <w:t>“Conventions”</w:t>
      </w:r>
      <w:r w:rsidR="00476D86" w:rsidRPr="00C767D6">
        <w:rPr>
          <w:rFonts w:ascii="Times New Roman" w:hAnsi="Times New Roman" w:cs="Times New Roman"/>
          <w:sz w:val="24"/>
          <w:szCs w:val="24"/>
        </w:rPr>
        <w:t xml:space="preserve">). On 11 July 2018, the Committee on the Elimination of Discrimination against Women </w:t>
      </w:r>
      <w:r w:rsidR="00530370" w:rsidRPr="00C767D6">
        <w:rPr>
          <w:rFonts w:ascii="Times New Roman" w:hAnsi="Times New Roman" w:cs="Times New Roman"/>
          <w:sz w:val="24"/>
          <w:szCs w:val="24"/>
        </w:rPr>
        <w:t>(</w:t>
      </w:r>
      <w:r w:rsidR="00A33CB8">
        <w:rPr>
          <w:rFonts w:ascii="Times New Roman" w:hAnsi="Times New Roman" w:cs="Times New Roman"/>
          <w:sz w:val="24"/>
          <w:szCs w:val="24"/>
        </w:rPr>
        <w:t xml:space="preserve">the </w:t>
      </w:r>
      <w:r w:rsidR="00530370" w:rsidRPr="00C767D6">
        <w:rPr>
          <w:rFonts w:ascii="Times New Roman" w:hAnsi="Times New Roman" w:cs="Times New Roman"/>
          <w:sz w:val="24"/>
          <w:szCs w:val="24"/>
        </w:rPr>
        <w:t xml:space="preserve">“Committee”) </w:t>
      </w:r>
      <w:r w:rsidR="00476D86" w:rsidRPr="00C767D6">
        <w:rPr>
          <w:rFonts w:ascii="Times New Roman" w:hAnsi="Times New Roman" w:cs="Times New Roman"/>
          <w:sz w:val="24"/>
          <w:szCs w:val="24"/>
        </w:rPr>
        <w:t>held a session to discuss the State of Palestine’s initial report</w:t>
      </w:r>
      <w:r w:rsidR="00C241FD" w:rsidRPr="00C767D6">
        <w:rPr>
          <w:rFonts w:ascii="Times New Roman" w:hAnsi="Times New Roman" w:cs="Times New Roman"/>
          <w:sz w:val="24"/>
          <w:szCs w:val="24"/>
        </w:rPr>
        <w:t xml:space="preserve"> on the implementation of the Convention. </w:t>
      </w:r>
      <w:r w:rsidR="00530370" w:rsidRPr="00C767D6">
        <w:rPr>
          <w:rFonts w:ascii="Times New Roman" w:hAnsi="Times New Roman" w:cs="Times New Roman"/>
          <w:sz w:val="24"/>
          <w:szCs w:val="24"/>
        </w:rPr>
        <w:t xml:space="preserve">Subsequently, the ICHR submitted a follow up report on implementation of the Committee’s recommendations and concluding observations by State of Palestine. The ICHR also held national consultations on the </w:t>
      </w:r>
      <w:r w:rsidR="00087D0E" w:rsidRPr="00C767D6">
        <w:rPr>
          <w:rFonts w:ascii="Times New Roman" w:hAnsi="Times New Roman" w:cs="Times New Roman"/>
          <w:sz w:val="24"/>
          <w:szCs w:val="24"/>
        </w:rPr>
        <w:t xml:space="preserve">plan </w:t>
      </w:r>
      <w:r w:rsidR="00A33CB8">
        <w:rPr>
          <w:rFonts w:ascii="Times New Roman" w:hAnsi="Times New Roman" w:cs="Times New Roman"/>
          <w:sz w:val="24"/>
          <w:szCs w:val="24"/>
        </w:rPr>
        <w:t xml:space="preserve">for </w:t>
      </w:r>
      <w:r w:rsidR="00A33CB8" w:rsidRPr="00C767D6">
        <w:rPr>
          <w:rFonts w:ascii="Times New Roman" w:hAnsi="Times New Roman" w:cs="Times New Roman"/>
          <w:sz w:val="24"/>
          <w:szCs w:val="24"/>
        </w:rPr>
        <w:t>implemen</w:t>
      </w:r>
      <w:r w:rsidR="00A33CB8">
        <w:rPr>
          <w:rFonts w:ascii="Times New Roman" w:hAnsi="Times New Roman" w:cs="Times New Roman"/>
          <w:sz w:val="24"/>
          <w:szCs w:val="24"/>
        </w:rPr>
        <w:t xml:space="preserve">ting </w:t>
      </w:r>
      <w:r w:rsidR="00530370" w:rsidRPr="00C767D6">
        <w:rPr>
          <w:rFonts w:ascii="Times New Roman" w:hAnsi="Times New Roman" w:cs="Times New Roman"/>
          <w:sz w:val="24"/>
          <w:szCs w:val="24"/>
        </w:rPr>
        <w:t xml:space="preserve">the </w:t>
      </w:r>
      <w:r w:rsidR="00087D0E" w:rsidRPr="00C767D6">
        <w:rPr>
          <w:rFonts w:ascii="Times New Roman" w:hAnsi="Times New Roman" w:cs="Times New Roman"/>
          <w:sz w:val="24"/>
          <w:szCs w:val="24"/>
        </w:rPr>
        <w:t xml:space="preserve">Committee’s </w:t>
      </w:r>
      <w:r w:rsidR="00530370" w:rsidRPr="00C767D6">
        <w:rPr>
          <w:rFonts w:ascii="Times New Roman" w:hAnsi="Times New Roman" w:cs="Times New Roman"/>
          <w:sz w:val="24"/>
          <w:szCs w:val="24"/>
        </w:rPr>
        <w:t>recommendations</w:t>
      </w:r>
      <w:r w:rsidR="00087D0E" w:rsidRPr="00C767D6">
        <w:rPr>
          <w:rFonts w:ascii="Times New Roman" w:hAnsi="Times New Roman" w:cs="Times New Roman"/>
          <w:sz w:val="24"/>
          <w:szCs w:val="24"/>
        </w:rPr>
        <w:t xml:space="preserve"> and observations. </w:t>
      </w:r>
    </w:p>
    <w:p w14:paraId="00559686" w14:textId="555196AC" w:rsidR="00087D0E" w:rsidRPr="00C767D6" w:rsidRDefault="00087D0E" w:rsidP="00DC5E6D">
      <w:pPr>
        <w:jc w:val="both"/>
        <w:rPr>
          <w:rFonts w:ascii="Times New Roman" w:hAnsi="Times New Roman" w:cs="Times New Roman"/>
          <w:sz w:val="24"/>
          <w:szCs w:val="24"/>
        </w:rPr>
      </w:pPr>
      <w:r w:rsidRPr="00C767D6">
        <w:rPr>
          <w:rFonts w:ascii="Times New Roman" w:hAnsi="Times New Roman" w:cs="Times New Roman"/>
          <w:sz w:val="24"/>
          <w:szCs w:val="24"/>
        </w:rPr>
        <w:t>The ICHR continues to monitor implementation by relevant bodies of the concluding observations made by the Committee at various levels to ensure complete fulfilment of the provisions of the Convention, achiev</w:t>
      </w:r>
      <w:r w:rsidR="009E662D">
        <w:rPr>
          <w:rFonts w:ascii="Times New Roman" w:hAnsi="Times New Roman" w:cs="Times New Roman"/>
          <w:sz w:val="24"/>
          <w:szCs w:val="24"/>
        </w:rPr>
        <w:t>e</w:t>
      </w:r>
      <w:r w:rsidRPr="00C767D6">
        <w:rPr>
          <w:rFonts w:ascii="Times New Roman" w:hAnsi="Times New Roman" w:cs="Times New Roman"/>
          <w:sz w:val="24"/>
          <w:szCs w:val="24"/>
        </w:rPr>
        <w:t xml:space="preserve"> gender equality, and contribute to promoting and advance the status of women in Palestinian society. </w:t>
      </w:r>
    </w:p>
    <w:p w14:paraId="37FD3D3C" w14:textId="227D97DE" w:rsidR="00087D0E" w:rsidRPr="009E662D" w:rsidRDefault="00087D0E" w:rsidP="00DC5E6D">
      <w:pPr>
        <w:jc w:val="both"/>
        <w:rPr>
          <w:rFonts w:ascii="Times New Roman" w:hAnsi="Times New Roman" w:cs="Times New Roman"/>
          <w:b/>
          <w:bCs/>
          <w:sz w:val="24"/>
          <w:szCs w:val="24"/>
        </w:rPr>
      </w:pPr>
      <w:r w:rsidRPr="009E662D">
        <w:rPr>
          <w:rFonts w:ascii="Times New Roman" w:hAnsi="Times New Roman" w:cs="Times New Roman"/>
          <w:b/>
          <w:bCs/>
          <w:sz w:val="24"/>
          <w:szCs w:val="24"/>
        </w:rPr>
        <w:t xml:space="preserve">Legal status of the Convention </w:t>
      </w:r>
    </w:p>
    <w:p w14:paraId="4737DB37" w14:textId="7D2F0D4D" w:rsidR="00087D0E" w:rsidRPr="009E662D" w:rsidRDefault="00087D0E" w:rsidP="00DC5E6D">
      <w:pPr>
        <w:jc w:val="both"/>
        <w:rPr>
          <w:rFonts w:ascii="Times New Roman" w:hAnsi="Times New Roman" w:cs="Times New Roman"/>
          <w:b/>
          <w:bCs/>
          <w:sz w:val="24"/>
          <w:szCs w:val="24"/>
        </w:rPr>
      </w:pPr>
      <w:r w:rsidRPr="009E662D">
        <w:rPr>
          <w:rFonts w:ascii="Times New Roman" w:hAnsi="Times New Roman" w:cs="Times New Roman"/>
          <w:b/>
          <w:bCs/>
          <w:sz w:val="24"/>
          <w:szCs w:val="24"/>
        </w:rPr>
        <w:t xml:space="preserve">Take concrete steps to </w:t>
      </w:r>
      <w:r w:rsidR="000D5F13" w:rsidRPr="009E662D">
        <w:rPr>
          <w:rFonts w:ascii="Times New Roman" w:hAnsi="Times New Roman" w:cs="Times New Roman"/>
          <w:b/>
          <w:bCs/>
          <w:sz w:val="24"/>
          <w:szCs w:val="24"/>
        </w:rPr>
        <w:t xml:space="preserve">acceded to </w:t>
      </w:r>
      <w:r w:rsidRPr="009E662D">
        <w:rPr>
          <w:rFonts w:ascii="Times New Roman" w:hAnsi="Times New Roman" w:cs="Times New Roman"/>
          <w:b/>
          <w:bCs/>
          <w:sz w:val="24"/>
          <w:szCs w:val="24"/>
        </w:rPr>
        <w:t xml:space="preserve">the </w:t>
      </w:r>
      <w:r w:rsidR="000D5F13" w:rsidRPr="009E662D">
        <w:rPr>
          <w:rFonts w:ascii="Times New Roman" w:hAnsi="Times New Roman" w:cs="Times New Roman"/>
          <w:b/>
          <w:bCs/>
          <w:sz w:val="24"/>
          <w:szCs w:val="24"/>
        </w:rPr>
        <w:t>Optional Protocol to the Convention on the Elimination of All Forms of Discrimination against Women (</w:t>
      </w:r>
      <w:r w:rsidR="009E662D">
        <w:rPr>
          <w:rFonts w:ascii="Times New Roman" w:hAnsi="Times New Roman" w:cs="Times New Roman"/>
          <w:b/>
          <w:bCs/>
          <w:sz w:val="24"/>
          <w:szCs w:val="24"/>
        </w:rPr>
        <w:t xml:space="preserve">the </w:t>
      </w:r>
      <w:r w:rsidR="000D5F13" w:rsidRPr="009E662D">
        <w:rPr>
          <w:rFonts w:ascii="Times New Roman" w:hAnsi="Times New Roman" w:cs="Times New Roman"/>
          <w:b/>
          <w:bCs/>
          <w:sz w:val="24"/>
          <w:szCs w:val="24"/>
        </w:rPr>
        <w:t xml:space="preserve">“Optional Protocol”), </w:t>
      </w:r>
      <w:r w:rsidRPr="009E662D">
        <w:rPr>
          <w:rFonts w:ascii="Times New Roman" w:hAnsi="Times New Roman" w:cs="Times New Roman"/>
          <w:b/>
          <w:bCs/>
          <w:sz w:val="24"/>
          <w:szCs w:val="24"/>
        </w:rPr>
        <w:t xml:space="preserve">and publish the Convention in the Official Gazette </w:t>
      </w:r>
    </w:p>
    <w:p w14:paraId="2EE3233C" w14:textId="1EEC9351" w:rsidR="00087D0E" w:rsidRPr="009E662D" w:rsidRDefault="000D5F13" w:rsidP="00DC5E6D">
      <w:pPr>
        <w:jc w:val="both"/>
        <w:rPr>
          <w:rFonts w:ascii="Times New Roman" w:hAnsi="Times New Roman" w:cs="Times New Roman"/>
          <w:b/>
          <w:bCs/>
          <w:sz w:val="24"/>
          <w:szCs w:val="24"/>
        </w:rPr>
      </w:pPr>
      <w:r w:rsidRPr="009E662D">
        <w:rPr>
          <w:rFonts w:ascii="Times New Roman" w:hAnsi="Times New Roman" w:cs="Times New Roman"/>
          <w:b/>
          <w:bCs/>
          <w:sz w:val="24"/>
          <w:szCs w:val="24"/>
        </w:rPr>
        <w:t xml:space="preserve">(a) Accession to the Optional Protocol </w:t>
      </w:r>
    </w:p>
    <w:p w14:paraId="7FA7BB9E" w14:textId="28D5EA49" w:rsidR="002C0F33" w:rsidRPr="00C767D6" w:rsidRDefault="000D5F13" w:rsidP="00DC5E6D">
      <w:pPr>
        <w:jc w:val="both"/>
        <w:rPr>
          <w:rFonts w:ascii="Times New Roman" w:hAnsi="Times New Roman" w:cs="Times New Roman"/>
          <w:sz w:val="24"/>
          <w:szCs w:val="24"/>
        </w:rPr>
      </w:pPr>
      <w:r w:rsidRPr="00C767D6">
        <w:rPr>
          <w:rFonts w:ascii="Times New Roman" w:hAnsi="Times New Roman" w:cs="Times New Roman"/>
          <w:sz w:val="24"/>
          <w:szCs w:val="24"/>
        </w:rPr>
        <w:t>Having acceded to the Optional Protocol, the State of Palestine approves of the Committee’s competen</w:t>
      </w:r>
      <w:r w:rsidR="009E662D">
        <w:rPr>
          <w:rFonts w:ascii="Times New Roman" w:hAnsi="Times New Roman" w:cs="Times New Roman"/>
          <w:sz w:val="24"/>
          <w:szCs w:val="24"/>
        </w:rPr>
        <w:t>ce</w:t>
      </w:r>
      <w:r w:rsidRPr="00C767D6">
        <w:rPr>
          <w:rFonts w:ascii="Times New Roman" w:hAnsi="Times New Roman" w:cs="Times New Roman"/>
          <w:sz w:val="24"/>
          <w:szCs w:val="24"/>
        </w:rPr>
        <w:t xml:space="preserve"> to receive individual complaints from women in the event </w:t>
      </w:r>
      <w:r w:rsidR="002C0F33" w:rsidRPr="00C767D6">
        <w:rPr>
          <w:rFonts w:ascii="Times New Roman" w:hAnsi="Times New Roman" w:cs="Times New Roman"/>
          <w:sz w:val="24"/>
          <w:szCs w:val="24"/>
        </w:rPr>
        <w:t xml:space="preserve">of alleged violations against the provisions of the Convention. Albeit important, this advanced step is not consistent with the limited progress made towards </w:t>
      </w:r>
      <w:r w:rsidR="0091730C" w:rsidRPr="00C767D6">
        <w:rPr>
          <w:rFonts w:ascii="Times New Roman" w:hAnsi="Times New Roman" w:cs="Times New Roman"/>
          <w:sz w:val="24"/>
          <w:szCs w:val="24"/>
        </w:rPr>
        <w:t xml:space="preserve">implementing provisions of the Convention. Against this background, accession to the Optional Protocol must be associated with practical steps towards </w:t>
      </w:r>
      <w:r w:rsidR="002C0F33" w:rsidRPr="00C767D6">
        <w:rPr>
          <w:rFonts w:ascii="Times New Roman" w:hAnsi="Times New Roman" w:cs="Times New Roman"/>
          <w:sz w:val="24"/>
          <w:szCs w:val="24"/>
        </w:rPr>
        <w:t xml:space="preserve">integrating </w:t>
      </w:r>
      <w:r w:rsidR="009E662D">
        <w:rPr>
          <w:rFonts w:ascii="Times New Roman" w:hAnsi="Times New Roman" w:cs="Times New Roman"/>
          <w:sz w:val="24"/>
          <w:szCs w:val="24"/>
        </w:rPr>
        <w:t xml:space="preserve">the </w:t>
      </w:r>
      <w:r w:rsidR="002C0F33" w:rsidRPr="00C767D6">
        <w:rPr>
          <w:rFonts w:ascii="Times New Roman" w:hAnsi="Times New Roman" w:cs="Times New Roman"/>
          <w:sz w:val="24"/>
          <w:szCs w:val="24"/>
        </w:rPr>
        <w:t xml:space="preserve">provisions of the Convention into the Palestinian national legal system. </w:t>
      </w:r>
    </w:p>
    <w:p w14:paraId="422FDB96" w14:textId="40AAB27C" w:rsidR="000D5F13" w:rsidRPr="00C767D6" w:rsidRDefault="002C0F33"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State of Palestine has not launched awareness raising campaigns targeting women with a view to introducing </w:t>
      </w:r>
      <w:r w:rsidR="0091730C" w:rsidRPr="00C767D6">
        <w:rPr>
          <w:rFonts w:ascii="Times New Roman" w:hAnsi="Times New Roman" w:cs="Times New Roman"/>
          <w:sz w:val="24"/>
          <w:szCs w:val="24"/>
        </w:rPr>
        <w:t xml:space="preserve">women </w:t>
      </w:r>
      <w:r w:rsidRPr="00C767D6">
        <w:rPr>
          <w:rFonts w:ascii="Times New Roman" w:hAnsi="Times New Roman" w:cs="Times New Roman"/>
          <w:sz w:val="24"/>
          <w:szCs w:val="24"/>
        </w:rPr>
        <w:t xml:space="preserve">to the Optional Protocol, </w:t>
      </w:r>
      <w:r w:rsidR="0091730C" w:rsidRPr="00C767D6">
        <w:rPr>
          <w:rFonts w:ascii="Times New Roman" w:hAnsi="Times New Roman" w:cs="Times New Roman"/>
          <w:sz w:val="24"/>
          <w:szCs w:val="24"/>
        </w:rPr>
        <w:t xml:space="preserve">women’s rights deriving from the Optional Protocol, and procedures for access to justice and remedies in case any of </w:t>
      </w:r>
      <w:r w:rsidR="009E662D">
        <w:rPr>
          <w:rFonts w:ascii="Times New Roman" w:hAnsi="Times New Roman" w:cs="Times New Roman"/>
          <w:sz w:val="24"/>
          <w:szCs w:val="24"/>
        </w:rPr>
        <w:t xml:space="preserve">the </w:t>
      </w:r>
      <w:r w:rsidR="0091730C" w:rsidRPr="00C767D6">
        <w:rPr>
          <w:rFonts w:ascii="Times New Roman" w:hAnsi="Times New Roman" w:cs="Times New Roman"/>
          <w:sz w:val="24"/>
          <w:szCs w:val="24"/>
        </w:rPr>
        <w:t xml:space="preserve">women’s rights under the Convention are abused. </w:t>
      </w:r>
    </w:p>
    <w:p w14:paraId="206E099F" w14:textId="67F8CC14" w:rsidR="0091730C" w:rsidRPr="00C767D6" w:rsidRDefault="0091730C" w:rsidP="00DC5E6D">
      <w:pPr>
        <w:jc w:val="both"/>
        <w:rPr>
          <w:rFonts w:ascii="Times New Roman" w:hAnsi="Times New Roman" w:cs="Times New Roman"/>
          <w:sz w:val="24"/>
          <w:szCs w:val="24"/>
        </w:rPr>
      </w:pPr>
      <w:r w:rsidRPr="00C767D6">
        <w:rPr>
          <w:rFonts w:ascii="Times New Roman" w:hAnsi="Times New Roman" w:cs="Times New Roman"/>
          <w:sz w:val="24"/>
          <w:szCs w:val="24"/>
        </w:rPr>
        <w:lastRenderedPageBreak/>
        <w:t xml:space="preserve">While the Convention </w:t>
      </w:r>
      <w:r w:rsidR="00543086" w:rsidRPr="00C767D6">
        <w:rPr>
          <w:rFonts w:ascii="Times New Roman" w:hAnsi="Times New Roman" w:cs="Times New Roman"/>
          <w:sz w:val="24"/>
          <w:szCs w:val="24"/>
        </w:rPr>
        <w:t xml:space="preserve">is </w:t>
      </w:r>
      <w:r w:rsidRPr="00C767D6">
        <w:rPr>
          <w:rFonts w:ascii="Times New Roman" w:hAnsi="Times New Roman" w:cs="Times New Roman"/>
          <w:sz w:val="24"/>
          <w:szCs w:val="24"/>
        </w:rPr>
        <w:t xml:space="preserve">not </w:t>
      </w:r>
      <w:r w:rsidR="00543086" w:rsidRPr="00C767D6">
        <w:rPr>
          <w:rFonts w:ascii="Times New Roman" w:hAnsi="Times New Roman" w:cs="Times New Roman"/>
          <w:sz w:val="24"/>
          <w:szCs w:val="24"/>
        </w:rPr>
        <w:t>i</w:t>
      </w:r>
      <w:r w:rsidRPr="00C767D6">
        <w:rPr>
          <w:rFonts w:ascii="Times New Roman" w:hAnsi="Times New Roman" w:cs="Times New Roman"/>
          <w:sz w:val="24"/>
          <w:szCs w:val="24"/>
        </w:rPr>
        <w:t xml:space="preserve">ncorporated within national legislation and women </w:t>
      </w:r>
      <w:r w:rsidR="00543086" w:rsidRPr="00C767D6">
        <w:rPr>
          <w:rFonts w:ascii="Times New Roman" w:hAnsi="Times New Roman" w:cs="Times New Roman"/>
          <w:sz w:val="24"/>
          <w:szCs w:val="24"/>
        </w:rPr>
        <w:t xml:space="preserve">lack awareness of the Optional Protocol, accession to the latter will not create an effect that changes women’s lives and enable them to enjoy all </w:t>
      </w:r>
      <w:r w:rsidR="009E662D">
        <w:rPr>
          <w:rFonts w:ascii="Times New Roman" w:hAnsi="Times New Roman" w:cs="Times New Roman"/>
          <w:sz w:val="24"/>
          <w:szCs w:val="24"/>
        </w:rPr>
        <w:t xml:space="preserve">of </w:t>
      </w:r>
      <w:r w:rsidR="00543086" w:rsidRPr="00C767D6">
        <w:rPr>
          <w:rFonts w:ascii="Times New Roman" w:hAnsi="Times New Roman" w:cs="Times New Roman"/>
          <w:sz w:val="24"/>
          <w:szCs w:val="24"/>
        </w:rPr>
        <w:t xml:space="preserve">their rights at the national level. </w:t>
      </w:r>
    </w:p>
    <w:p w14:paraId="2C33FA7D" w14:textId="07A0414F" w:rsidR="00543086" w:rsidRPr="009E662D" w:rsidRDefault="00543086" w:rsidP="00DC5E6D">
      <w:pPr>
        <w:jc w:val="both"/>
        <w:rPr>
          <w:rFonts w:ascii="Times New Roman" w:hAnsi="Times New Roman" w:cs="Times New Roman"/>
          <w:b/>
          <w:bCs/>
          <w:sz w:val="24"/>
          <w:szCs w:val="24"/>
        </w:rPr>
      </w:pPr>
      <w:r w:rsidRPr="009E662D">
        <w:rPr>
          <w:rFonts w:ascii="Times New Roman" w:hAnsi="Times New Roman" w:cs="Times New Roman"/>
          <w:b/>
          <w:bCs/>
          <w:sz w:val="24"/>
          <w:szCs w:val="24"/>
        </w:rPr>
        <w:t xml:space="preserve">(b) Publication of the Convention in the Palestinian Official Gazette </w:t>
      </w:r>
    </w:p>
    <w:p w14:paraId="45638B4D" w14:textId="5AAC848C" w:rsidR="00543086" w:rsidRPr="00C767D6" w:rsidRDefault="00A371F3" w:rsidP="00DC5E6D">
      <w:pPr>
        <w:jc w:val="both"/>
        <w:rPr>
          <w:rFonts w:ascii="Times New Roman" w:hAnsi="Times New Roman" w:cs="Times New Roman"/>
          <w:sz w:val="24"/>
          <w:szCs w:val="24"/>
        </w:rPr>
      </w:pPr>
      <w:r w:rsidRPr="00C767D6">
        <w:rPr>
          <w:rFonts w:ascii="Times New Roman" w:hAnsi="Times New Roman" w:cs="Times New Roman"/>
          <w:sz w:val="24"/>
          <w:szCs w:val="24"/>
        </w:rPr>
        <w:t>In spite of incessant calls by the ICHR and civil society groups as well as the Committee’s recommendations, t</w:t>
      </w:r>
      <w:r w:rsidR="00543086" w:rsidRPr="00C767D6">
        <w:rPr>
          <w:rFonts w:ascii="Times New Roman" w:hAnsi="Times New Roman" w:cs="Times New Roman"/>
          <w:sz w:val="24"/>
          <w:szCs w:val="24"/>
        </w:rPr>
        <w:t xml:space="preserve">he Palestinian government has not published the </w:t>
      </w:r>
      <w:r w:rsidRPr="00C767D6">
        <w:rPr>
          <w:rFonts w:ascii="Times New Roman" w:hAnsi="Times New Roman" w:cs="Times New Roman"/>
          <w:sz w:val="24"/>
          <w:szCs w:val="24"/>
        </w:rPr>
        <w:t xml:space="preserve">Convention and its Optional Protocol in the </w:t>
      </w:r>
      <w:r w:rsidR="009E662D">
        <w:rPr>
          <w:rFonts w:ascii="Times New Roman" w:hAnsi="Times New Roman" w:cs="Times New Roman"/>
          <w:sz w:val="24"/>
          <w:szCs w:val="24"/>
        </w:rPr>
        <w:t xml:space="preserve">Palestinian </w:t>
      </w:r>
      <w:r w:rsidRPr="00C767D6">
        <w:rPr>
          <w:rFonts w:ascii="Times New Roman" w:hAnsi="Times New Roman" w:cs="Times New Roman"/>
          <w:sz w:val="24"/>
          <w:szCs w:val="24"/>
        </w:rPr>
        <w:t xml:space="preserve">Official Gazette. This </w:t>
      </w:r>
      <w:r w:rsidR="009D4BA1">
        <w:rPr>
          <w:rFonts w:ascii="Times New Roman" w:hAnsi="Times New Roman" w:cs="Times New Roman"/>
          <w:sz w:val="24"/>
          <w:szCs w:val="24"/>
        </w:rPr>
        <w:t xml:space="preserve">is </w:t>
      </w:r>
      <w:r w:rsidRPr="00C767D6">
        <w:rPr>
          <w:rFonts w:ascii="Times New Roman" w:hAnsi="Times New Roman" w:cs="Times New Roman"/>
          <w:sz w:val="24"/>
          <w:szCs w:val="24"/>
        </w:rPr>
        <w:t>indicat</w:t>
      </w:r>
      <w:r w:rsidR="009D4BA1">
        <w:rPr>
          <w:rFonts w:ascii="Times New Roman" w:hAnsi="Times New Roman" w:cs="Times New Roman"/>
          <w:sz w:val="24"/>
          <w:szCs w:val="24"/>
        </w:rPr>
        <w:t>ive of</w:t>
      </w:r>
      <w:r w:rsidRPr="00C767D6">
        <w:rPr>
          <w:rFonts w:ascii="Times New Roman" w:hAnsi="Times New Roman" w:cs="Times New Roman"/>
          <w:sz w:val="24"/>
          <w:szCs w:val="24"/>
        </w:rPr>
        <w:t xml:space="preserve"> </w:t>
      </w:r>
      <w:r w:rsidR="005D33CE" w:rsidRPr="00C767D6">
        <w:rPr>
          <w:rFonts w:ascii="Times New Roman" w:hAnsi="Times New Roman" w:cs="Times New Roman"/>
          <w:sz w:val="24"/>
          <w:szCs w:val="24"/>
        </w:rPr>
        <w:t xml:space="preserve">a lack of will on the part of the government to make the Convention publicly available. As a consequence of publication, the Convention will be part of the Palestinian legal system. </w:t>
      </w:r>
      <w:r w:rsidR="00DB6683">
        <w:rPr>
          <w:rFonts w:ascii="Times New Roman" w:hAnsi="Times New Roman" w:cs="Times New Roman"/>
          <w:sz w:val="24"/>
          <w:szCs w:val="24"/>
        </w:rPr>
        <w:t>However, t</w:t>
      </w:r>
      <w:r w:rsidR="005D33CE" w:rsidRPr="00C767D6">
        <w:rPr>
          <w:rFonts w:ascii="Times New Roman" w:hAnsi="Times New Roman" w:cs="Times New Roman"/>
          <w:sz w:val="24"/>
          <w:szCs w:val="24"/>
        </w:rPr>
        <w:t xml:space="preserve">he government is unwilling to arouse the full ire and opposition of traditional community groups against the government’s role in advancing the principle of gender equality in Palestinian society. </w:t>
      </w:r>
    </w:p>
    <w:p w14:paraId="22F48BF7" w14:textId="1E076604" w:rsidR="005D33CE" w:rsidRPr="00DB6683" w:rsidRDefault="005D33CE" w:rsidP="00DC5E6D">
      <w:pPr>
        <w:jc w:val="both"/>
        <w:rPr>
          <w:rFonts w:ascii="Times New Roman" w:hAnsi="Times New Roman" w:cs="Times New Roman"/>
          <w:b/>
          <w:bCs/>
          <w:sz w:val="24"/>
          <w:szCs w:val="24"/>
        </w:rPr>
      </w:pPr>
      <w:r w:rsidRPr="00DB6683">
        <w:rPr>
          <w:rFonts w:ascii="Times New Roman" w:hAnsi="Times New Roman" w:cs="Times New Roman"/>
          <w:b/>
          <w:bCs/>
          <w:sz w:val="24"/>
          <w:szCs w:val="24"/>
        </w:rPr>
        <w:t xml:space="preserve">Consolidate legal systems in the Gaza Strip and West Bank to ensure </w:t>
      </w:r>
      <w:r w:rsidR="0060177F" w:rsidRPr="00DB6683">
        <w:rPr>
          <w:rFonts w:ascii="Times New Roman" w:hAnsi="Times New Roman" w:cs="Times New Roman"/>
          <w:b/>
          <w:bCs/>
          <w:sz w:val="24"/>
          <w:szCs w:val="24"/>
        </w:rPr>
        <w:t xml:space="preserve">that all women and girls in the State party have access to equal protection under the law in accordance with the Convention. </w:t>
      </w:r>
    </w:p>
    <w:p w14:paraId="1CE17395" w14:textId="6F53A2FC" w:rsidR="0060177F" w:rsidRPr="00C767D6" w:rsidRDefault="0060177F"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ongoing internal Palestinian political divide between the West Bank and Gaza Strip has resulted in a duplicate legal system, subjecting Palestinian women to two different legal frameworks. This is a key challenge and major obstacle </w:t>
      </w:r>
      <w:r w:rsidR="0056417C" w:rsidRPr="00C767D6">
        <w:rPr>
          <w:rFonts w:ascii="Times New Roman" w:hAnsi="Times New Roman" w:cs="Times New Roman"/>
          <w:sz w:val="24"/>
          <w:szCs w:val="24"/>
        </w:rPr>
        <w:t xml:space="preserve">that face </w:t>
      </w:r>
      <w:r w:rsidRPr="00C767D6">
        <w:rPr>
          <w:rFonts w:ascii="Times New Roman" w:hAnsi="Times New Roman" w:cs="Times New Roman"/>
          <w:sz w:val="24"/>
          <w:szCs w:val="24"/>
        </w:rPr>
        <w:t xml:space="preserve">Palestinian women </w:t>
      </w:r>
      <w:r w:rsidR="0056417C" w:rsidRPr="00C767D6">
        <w:rPr>
          <w:rFonts w:ascii="Times New Roman" w:hAnsi="Times New Roman" w:cs="Times New Roman"/>
          <w:sz w:val="24"/>
          <w:szCs w:val="24"/>
        </w:rPr>
        <w:t xml:space="preserve">in the context of making use of the international human rights system and, in particular, application of the Convention. </w:t>
      </w:r>
    </w:p>
    <w:p w14:paraId="76A083BF" w14:textId="635D9D53" w:rsidR="0056417C" w:rsidRPr="00C767D6" w:rsidRDefault="0056417C"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Along this vein, practical steps have not been taken to bring an end to the internal Palestinian political divide and restore </w:t>
      </w:r>
      <w:r w:rsidR="00DB6683">
        <w:rPr>
          <w:rFonts w:ascii="Times New Roman" w:hAnsi="Times New Roman" w:cs="Times New Roman"/>
          <w:sz w:val="24"/>
          <w:szCs w:val="24"/>
        </w:rPr>
        <w:t xml:space="preserve">the </w:t>
      </w:r>
      <w:r w:rsidRPr="00C767D6">
        <w:rPr>
          <w:rFonts w:ascii="Times New Roman" w:hAnsi="Times New Roman" w:cs="Times New Roman"/>
          <w:sz w:val="24"/>
          <w:szCs w:val="24"/>
        </w:rPr>
        <w:t xml:space="preserve">democratic life through elections. </w:t>
      </w:r>
      <w:r w:rsidR="003730A6" w:rsidRPr="00C767D6">
        <w:rPr>
          <w:rFonts w:ascii="Times New Roman" w:hAnsi="Times New Roman" w:cs="Times New Roman"/>
          <w:sz w:val="24"/>
          <w:szCs w:val="24"/>
        </w:rPr>
        <w:t>R</w:t>
      </w:r>
      <w:r w:rsidRPr="00C767D6">
        <w:rPr>
          <w:rFonts w:ascii="Times New Roman" w:hAnsi="Times New Roman" w:cs="Times New Roman"/>
          <w:sz w:val="24"/>
          <w:szCs w:val="24"/>
        </w:rPr>
        <w:t>egulations in the West Bank and Gaza Strip have not been consolidated</w:t>
      </w:r>
      <w:r w:rsidR="00CF5FF4" w:rsidRPr="00C767D6">
        <w:rPr>
          <w:rFonts w:ascii="Times New Roman" w:hAnsi="Times New Roman" w:cs="Times New Roman"/>
          <w:sz w:val="24"/>
          <w:szCs w:val="24"/>
        </w:rPr>
        <w:t xml:space="preserve">, resulting in the continued impossibility of implementing </w:t>
      </w:r>
      <w:r w:rsidR="003730A6" w:rsidRPr="00C767D6">
        <w:rPr>
          <w:rFonts w:ascii="Times New Roman" w:hAnsi="Times New Roman" w:cs="Times New Roman"/>
          <w:sz w:val="24"/>
          <w:szCs w:val="24"/>
        </w:rPr>
        <w:t>laws, resolutions, and international conventions, which the Palestinian government is committed to, in the Gaza Strip.</w:t>
      </w:r>
      <w:r w:rsidR="00CF5FF4" w:rsidRPr="00C767D6">
        <w:rPr>
          <w:rFonts w:ascii="Times New Roman" w:hAnsi="Times New Roman" w:cs="Times New Roman"/>
          <w:sz w:val="24"/>
          <w:szCs w:val="24"/>
        </w:rPr>
        <w:t xml:space="preserve"> In addition, political developments indicate that a national reconciliation and government control over the Gaza Strip are </w:t>
      </w:r>
      <w:r w:rsidR="00DB6683">
        <w:rPr>
          <w:rFonts w:ascii="Times New Roman" w:hAnsi="Times New Roman" w:cs="Times New Roman"/>
          <w:sz w:val="24"/>
          <w:szCs w:val="24"/>
        </w:rPr>
        <w:t xml:space="preserve">still beyond reach </w:t>
      </w:r>
      <w:r w:rsidR="00CF5FF4" w:rsidRPr="00C767D6">
        <w:rPr>
          <w:rFonts w:ascii="Times New Roman" w:hAnsi="Times New Roman" w:cs="Times New Roman"/>
          <w:sz w:val="24"/>
          <w:szCs w:val="24"/>
        </w:rPr>
        <w:t xml:space="preserve">in the near future. </w:t>
      </w:r>
    </w:p>
    <w:p w14:paraId="2663514D" w14:textId="30ADD2B2" w:rsidR="00CF5FF4" w:rsidRPr="00C767D6" w:rsidRDefault="00CF5FF4"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same is true of </w:t>
      </w:r>
      <w:r w:rsidR="00F8086F">
        <w:rPr>
          <w:rFonts w:ascii="Times New Roman" w:hAnsi="Times New Roman" w:cs="Times New Roman"/>
          <w:sz w:val="24"/>
          <w:szCs w:val="24"/>
        </w:rPr>
        <w:t xml:space="preserve">the </w:t>
      </w:r>
      <w:r w:rsidRPr="00C767D6">
        <w:rPr>
          <w:rFonts w:ascii="Times New Roman" w:hAnsi="Times New Roman" w:cs="Times New Roman"/>
          <w:sz w:val="24"/>
          <w:szCs w:val="24"/>
        </w:rPr>
        <w:t xml:space="preserve">potential applicability of the Convention to Area C in the West Bank, which falls under </w:t>
      </w:r>
      <w:r w:rsidR="00F8086F">
        <w:rPr>
          <w:rFonts w:ascii="Times New Roman" w:hAnsi="Times New Roman" w:cs="Times New Roman"/>
          <w:sz w:val="24"/>
          <w:szCs w:val="24"/>
        </w:rPr>
        <w:t xml:space="preserve">the </w:t>
      </w:r>
      <w:r w:rsidRPr="00C767D6">
        <w:rPr>
          <w:rFonts w:ascii="Times New Roman" w:hAnsi="Times New Roman" w:cs="Times New Roman"/>
          <w:sz w:val="24"/>
          <w:szCs w:val="24"/>
        </w:rPr>
        <w:t>full control of the Israeli occupying authorities</w:t>
      </w:r>
      <w:r w:rsidR="00AD5BF3" w:rsidRPr="00C767D6">
        <w:rPr>
          <w:rFonts w:ascii="Times New Roman" w:hAnsi="Times New Roman" w:cs="Times New Roman"/>
          <w:sz w:val="24"/>
          <w:szCs w:val="24"/>
        </w:rPr>
        <w:t xml:space="preserve">. </w:t>
      </w:r>
    </w:p>
    <w:p w14:paraId="2D3520EB" w14:textId="497DE5D7" w:rsidR="00AD5BF3" w:rsidRPr="00C767D6" w:rsidRDefault="00AD5BF3" w:rsidP="00DC5E6D">
      <w:pPr>
        <w:jc w:val="both"/>
        <w:rPr>
          <w:rFonts w:ascii="Times New Roman" w:hAnsi="Times New Roman" w:cs="Times New Roman"/>
          <w:sz w:val="24"/>
          <w:szCs w:val="24"/>
        </w:rPr>
      </w:pPr>
      <w:r w:rsidRPr="00C767D6">
        <w:rPr>
          <w:rFonts w:ascii="Times New Roman" w:hAnsi="Times New Roman" w:cs="Times New Roman"/>
          <w:sz w:val="24"/>
          <w:szCs w:val="24"/>
        </w:rPr>
        <w:t>It should also be noted that the government</w:t>
      </w:r>
      <w:r w:rsidR="00F8086F">
        <w:rPr>
          <w:rFonts w:ascii="Times New Roman" w:hAnsi="Times New Roman" w:cs="Times New Roman"/>
          <w:sz w:val="24"/>
          <w:szCs w:val="24"/>
        </w:rPr>
        <w:t>’s</w:t>
      </w:r>
      <w:r w:rsidRPr="00C767D6">
        <w:rPr>
          <w:rFonts w:ascii="Times New Roman" w:hAnsi="Times New Roman" w:cs="Times New Roman"/>
          <w:sz w:val="24"/>
          <w:szCs w:val="24"/>
        </w:rPr>
        <w:t xml:space="preserve"> commitment to the Convention has declined owing to a counter attack waged by some conservative forces, religious movements, and tribal leaders. The Convention has been subject to an unprecedented assault insomuch as it runs counter to the teachings of </w:t>
      </w:r>
      <w:r w:rsidRPr="00B83895">
        <w:rPr>
          <w:rFonts w:ascii="Times New Roman" w:hAnsi="Times New Roman" w:cs="Times New Roman"/>
          <w:i/>
          <w:iCs/>
          <w:sz w:val="24"/>
          <w:szCs w:val="24"/>
        </w:rPr>
        <w:t>Sharia</w:t>
      </w:r>
      <w:r w:rsidRPr="00C767D6">
        <w:rPr>
          <w:rFonts w:ascii="Times New Roman" w:hAnsi="Times New Roman" w:cs="Times New Roman"/>
          <w:sz w:val="24"/>
          <w:szCs w:val="24"/>
        </w:rPr>
        <w:t xml:space="preserve"> (Islamic law) and attempts to alienate Palestinian society and </w:t>
      </w:r>
      <w:r w:rsidR="00000BD5" w:rsidRPr="00C767D6">
        <w:rPr>
          <w:rFonts w:ascii="Times New Roman" w:hAnsi="Times New Roman" w:cs="Times New Roman"/>
          <w:sz w:val="24"/>
          <w:szCs w:val="24"/>
        </w:rPr>
        <w:t xml:space="preserve">destroy </w:t>
      </w:r>
      <w:r w:rsidRPr="00C767D6">
        <w:rPr>
          <w:rFonts w:ascii="Times New Roman" w:hAnsi="Times New Roman" w:cs="Times New Roman"/>
          <w:sz w:val="24"/>
          <w:szCs w:val="24"/>
        </w:rPr>
        <w:t>famil</w:t>
      </w:r>
      <w:r w:rsidR="00000BD5" w:rsidRPr="00C767D6">
        <w:rPr>
          <w:rFonts w:ascii="Times New Roman" w:hAnsi="Times New Roman" w:cs="Times New Roman"/>
          <w:sz w:val="24"/>
          <w:szCs w:val="24"/>
        </w:rPr>
        <w:t xml:space="preserve">ies. Women’s organisations have been accused of falling under the influence of Western funding and agendas. </w:t>
      </w:r>
      <w:r w:rsidR="00B83895">
        <w:rPr>
          <w:rFonts w:ascii="Times New Roman" w:hAnsi="Times New Roman" w:cs="Times New Roman"/>
          <w:sz w:val="24"/>
          <w:szCs w:val="24"/>
        </w:rPr>
        <w:t>Along this vein, t</w:t>
      </w:r>
      <w:r w:rsidR="00000BD5" w:rsidRPr="00C767D6">
        <w:rPr>
          <w:rFonts w:ascii="Times New Roman" w:hAnsi="Times New Roman" w:cs="Times New Roman"/>
          <w:sz w:val="24"/>
          <w:szCs w:val="24"/>
        </w:rPr>
        <w:t xml:space="preserve">he Palestinian government has not taken any action that should </w:t>
      </w:r>
      <w:r w:rsidR="00B83895">
        <w:rPr>
          <w:rFonts w:ascii="Times New Roman" w:hAnsi="Times New Roman" w:cs="Times New Roman"/>
          <w:sz w:val="24"/>
          <w:szCs w:val="24"/>
        </w:rPr>
        <w:t xml:space="preserve">have </w:t>
      </w:r>
      <w:r w:rsidR="00000BD5" w:rsidRPr="00C767D6">
        <w:rPr>
          <w:rFonts w:ascii="Times New Roman" w:hAnsi="Times New Roman" w:cs="Times New Roman"/>
          <w:sz w:val="24"/>
          <w:szCs w:val="24"/>
        </w:rPr>
        <w:t>contribute</w:t>
      </w:r>
      <w:r w:rsidR="00B83895">
        <w:rPr>
          <w:rFonts w:ascii="Times New Roman" w:hAnsi="Times New Roman" w:cs="Times New Roman"/>
          <w:sz w:val="24"/>
          <w:szCs w:val="24"/>
        </w:rPr>
        <w:t>d</w:t>
      </w:r>
      <w:r w:rsidR="00000BD5" w:rsidRPr="00C767D6">
        <w:rPr>
          <w:rFonts w:ascii="Times New Roman" w:hAnsi="Times New Roman" w:cs="Times New Roman"/>
          <w:sz w:val="24"/>
          <w:szCs w:val="24"/>
        </w:rPr>
        <w:t xml:space="preserve"> to strengthening its sovereignty by establishing and applying the provisions of the Convention in response to th</w:t>
      </w:r>
      <w:r w:rsidR="00B83895">
        <w:rPr>
          <w:rFonts w:ascii="Times New Roman" w:hAnsi="Times New Roman" w:cs="Times New Roman"/>
          <w:sz w:val="24"/>
          <w:szCs w:val="24"/>
        </w:rPr>
        <w:t>at</w:t>
      </w:r>
      <w:r w:rsidR="00000BD5" w:rsidRPr="00C767D6">
        <w:rPr>
          <w:rFonts w:ascii="Times New Roman" w:hAnsi="Times New Roman" w:cs="Times New Roman"/>
          <w:sz w:val="24"/>
          <w:szCs w:val="24"/>
        </w:rPr>
        <w:t xml:space="preserve"> counter </w:t>
      </w:r>
      <w:r w:rsidR="00000BD5" w:rsidRPr="00C767D6">
        <w:rPr>
          <w:rFonts w:ascii="Times New Roman" w:hAnsi="Times New Roman" w:cs="Times New Roman"/>
          <w:sz w:val="24"/>
          <w:szCs w:val="24"/>
        </w:rPr>
        <w:lastRenderedPageBreak/>
        <w:t xml:space="preserve">attack. </w:t>
      </w:r>
      <w:r w:rsidR="00475C05" w:rsidRPr="00C767D6">
        <w:rPr>
          <w:rFonts w:ascii="Times New Roman" w:hAnsi="Times New Roman" w:cs="Times New Roman"/>
          <w:sz w:val="24"/>
          <w:szCs w:val="24"/>
        </w:rPr>
        <w:t xml:space="preserve">As part of the government’s contractual obligations, this </w:t>
      </w:r>
      <w:r w:rsidR="00B83895">
        <w:rPr>
          <w:rFonts w:ascii="Times New Roman" w:hAnsi="Times New Roman" w:cs="Times New Roman"/>
          <w:sz w:val="24"/>
          <w:szCs w:val="24"/>
        </w:rPr>
        <w:t xml:space="preserve">action </w:t>
      </w:r>
      <w:r w:rsidR="00475C05" w:rsidRPr="00C767D6">
        <w:rPr>
          <w:rFonts w:ascii="Times New Roman" w:hAnsi="Times New Roman" w:cs="Times New Roman"/>
          <w:sz w:val="24"/>
          <w:szCs w:val="24"/>
        </w:rPr>
        <w:t xml:space="preserve">reflects a sovereign decision, which may not be breached. Furthermore, the government has not guaranteed the protection of </w:t>
      </w:r>
      <w:r w:rsidR="00B83895">
        <w:rPr>
          <w:rFonts w:ascii="Times New Roman" w:hAnsi="Times New Roman" w:cs="Times New Roman"/>
          <w:sz w:val="24"/>
          <w:szCs w:val="24"/>
        </w:rPr>
        <w:t xml:space="preserve">women </w:t>
      </w:r>
      <w:r w:rsidR="00475C05" w:rsidRPr="00C767D6">
        <w:rPr>
          <w:rFonts w:ascii="Times New Roman" w:hAnsi="Times New Roman" w:cs="Times New Roman"/>
          <w:sz w:val="24"/>
          <w:szCs w:val="24"/>
        </w:rPr>
        <w:t xml:space="preserve">human rights defenders. </w:t>
      </w:r>
    </w:p>
    <w:p w14:paraId="148E7FD3" w14:textId="44F5617E" w:rsidR="00475C05" w:rsidRPr="00B83895" w:rsidRDefault="00C823CB" w:rsidP="00DC5E6D">
      <w:pPr>
        <w:jc w:val="both"/>
        <w:rPr>
          <w:rFonts w:ascii="Times New Roman" w:hAnsi="Times New Roman" w:cs="Times New Roman"/>
          <w:b/>
          <w:bCs/>
          <w:sz w:val="24"/>
          <w:szCs w:val="24"/>
        </w:rPr>
      </w:pPr>
      <w:r w:rsidRPr="00B83895">
        <w:rPr>
          <w:rFonts w:ascii="Times New Roman" w:hAnsi="Times New Roman" w:cs="Times New Roman"/>
          <w:b/>
          <w:bCs/>
          <w:sz w:val="24"/>
          <w:szCs w:val="24"/>
        </w:rPr>
        <w:t>Adopt national legislation, providing a comprehensive definition of discrimination against women</w:t>
      </w:r>
      <w:r w:rsidR="004E1AE4" w:rsidRPr="00B83895">
        <w:rPr>
          <w:rFonts w:ascii="Times New Roman" w:hAnsi="Times New Roman" w:cs="Times New Roman"/>
          <w:b/>
          <w:bCs/>
          <w:sz w:val="24"/>
          <w:szCs w:val="24"/>
        </w:rPr>
        <w:t xml:space="preserve">, </w:t>
      </w:r>
      <w:r w:rsidRPr="00B83895">
        <w:rPr>
          <w:rFonts w:ascii="Times New Roman" w:hAnsi="Times New Roman" w:cs="Times New Roman"/>
          <w:b/>
          <w:bCs/>
          <w:sz w:val="24"/>
          <w:szCs w:val="24"/>
        </w:rPr>
        <w:t>addressing all causes of prohibited discrimination</w:t>
      </w:r>
      <w:r w:rsidR="004E1AE4" w:rsidRPr="00B83895">
        <w:rPr>
          <w:rFonts w:ascii="Times New Roman" w:hAnsi="Times New Roman" w:cs="Times New Roman"/>
          <w:b/>
          <w:bCs/>
          <w:sz w:val="24"/>
          <w:szCs w:val="24"/>
        </w:rPr>
        <w:t xml:space="preserve">, and including direct and indirect discrimination in both the public and </w:t>
      </w:r>
      <w:r w:rsidR="00B83895">
        <w:rPr>
          <w:rFonts w:ascii="Times New Roman" w:hAnsi="Times New Roman" w:cs="Times New Roman"/>
          <w:b/>
          <w:bCs/>
          <w:sz w:val="24"/>
          <w:szCs w:val="24"/>
        </w:rPr>
        <w:t xml:space="preserve">the </w:t>
      </w:r>
      <w:r w:rsidR="004E1AE4" w:rsidRPr="00B83895">
        <w:rPr>
          <w:rFonts w:ascii="Times New Roman" w:hAnsi="Times New Roman" w:cs="Times New Roman"/>
          <w:b/>
          <w:bCs/>
          <w:sz w:val="24"/>
          <w:szCs w:val="24"/>
        </w:rPr>
        <w:t xml:space="preserve">private spheres </w:t>
      </w:r>
    </w:p>
    <w:p w14:paraId="5A183EB7" w14:textId="1530B5BE" w:rsidR="009507BB" w:rsidRPr="00C767D6" w:rsidRDefault="004E1AE4" w:rsidP="00DC5E6D">
      <w:pPr>
        <w:jc w:val="both"/>
        <w:rPr>
          <w:rFonts w:ascii="Times New Roman" w:hAnsi="Times New Roman" w:cs="Times New Roman"/>
          <w:sz w:val="24"/>
          <w:szCs w:val="24"/>
        </w:rPr>
      </w:pPr>
      <w:r w:rsidRPr="00C767D6">
        <w:rPr>
          <w:rFonts w:ascii="Times New Roman" w:hAnsi="Times New Roman" w:cs="Times New Roman"/>
          <w:sz w:val="24"/>
          <w:szCs w:val="24"/>
        </w:rPr>
        <w:t>The government has no</w:t>
      </w:r>
      <w:r w:rsidR="00E57B33" w:rsidRPr="00C767D6">
        <w:rPr>
          <w:rFonts w:ascii="Times New Roman" w:hAnsi="Times New Roman" w:cs="Times New Roman"/>
          <w:sz w:val="24"/>
          <w:szCs w:val="24"/>
        </w:rPr>
        <w:t xml:space="preserve">t openly adopted </w:t>
      </w:r>
      <w:r w:rsidR="00B83895">
        <w:rPr>
          <w:rFonts w:ascii="Times New Roman" w:hAnsi="Times New Roman" w:cs="Times New Roman"/>
          <w:sz w:val="24"/>
          <w:szCs w:val="24"/>
        </w:rPr>
        <w:t xml:space="preserve">a </w:t>
      </w:r>
      <w:r w:rsidR="00E57B33" w:rsidRPr="00C767D6">
        <w:rPr>
          <w:rFonts w:ascii="Times New Roman" w:hAnsi="Times New Roman" w:cs="Times New Roman"/>
          <w:sz w:val="24"/>
          <w:szCs w:val="24"/>
        </w:rPr>
        <w:t xml:space="preserve">national comprehensive definition of discrimination against women. Notwithstanding the definition provided under the Draft Law on Family Protection against Violence, the ICHR made observations in the previous follow up report, making clear that the definition was neither adequate nor comprehensive as to prohibit all forms of discrimination against women. A law has not been enacted, including a definition of discrimination as a constitutional </w:t>
      </w:r>
      <w:r w:rsidR="00B83895">
        <w:rPr>
          <w:rFonts w:ascii="Times New Roman" w:hAnsi="Times New Roman" w:cs="Times New Roman"/>
          <w:sz w:val="24"/>
          <w:szCs w:val="24"/>
        </w:rPr>
        <w:t xml:space="preserve">norm </w:t>
      </w:r>
      <w:r w:rsidR="009507BB" w:rsidRPr="00C767D6">
        <w:rPr>
          <w:rFonts w:ascii="Times New Roman" w:hAnsi="Times New Roman" w:cs="Times New Roman"/>
          <w:sz w:val="24"/>
          <w:szCs w:val="24"/>
        </w:rPr>
        <w:t xml:space="preserve">and providing a basis for harmonising all promulgated regulations, policies, and procedures. </w:t>
      </w:r>
    </w:p>
    <w:p w14:paraId="7B8CD4EA" w14:textId="4C56C638" w:rsidR="004E1AE4" w:rsidRPr="00C767D6" w:rsidRDefault="009507BB"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ICHR continues to look forward to, and make efforts towards, putting in place a </w:t>
      </w:r>
      <w:r w:rsidR="00B83895">
        <w:rPr>
          <w:rFonts w:ascii="Times New Roman" w:hAnsi="Times New Roman" w:cs="Times New Roman"/>
          <w:sz w:val="24"/>
          <w:szCs w:val="24"/>
        </w:rPr>
        <w:t xml:space="preserve">relevant </w:t>
      </w:r>
      <w:r w:rsidRPr="00C767D6">
        <w:rPr>
          <w:rFonts w:ascii="Times New Roman" w:hAnsi="Times New Roman" w:cs="Times New Roman"/>
          <w:sz w:val="24"/>
          <w:szCs w:val="24"/>
        </w:rPr>
        <w:t>provision under the operative Palestinian Basic Law, which serves as an Interim Constitution, or enacting a separate law that establishe</w:t>
      </w:r>
      <w:r w:rsidR="00B83895">
        <w:rPr>
          <w:rFonts w:ascii="Times New Roman" w:hAnsi="Times New Roman" w:cs="Times New Roman"/>
          <w:sz w:val="24"/>
          <w:szCs w:val="24"/>
        </w:rPr>
        <w:t>s</w:t>
      </w:r>
      <w:r w:rsidRPr="00C767D6">
        <w:rPr>
          <w:rFonts w:ascii="Times New Roman" w:hAnsi="Times New Roman" w:cs="Times New Roman"/>
          <w:sz w:val="24"/>
          <w:szCs w:val="24"/>
        </w:rPr>
        <w:t xml:space="preserve"> a comprehensive prohibition on gender-based discrimination. </w:t>
      </w:r>
    </w:p>
    <w:p w14:paraId="45294302" w14:textId="48A4ABCF" w:rsidR="009507BB" w:rsidRPr="00B83895" w:rsidRDefault="009507BB" w:rsidP="00DC5E6D">
      <w:pPr>
        <w:jc w:val="both"/>
        <w:rPr>
          <w:rFonts w:ascii="Times New Roman" w:hAnsi="Times New Roman" w:cs="Times New Roman"/>
          <w:b/>
          <w:bCs/>
          <w:sz w:val="24"/>
          <w:szCs w:val="24"/>
        </w:rPr>
      </w:pPr>
      <w:r w:rsidRPr="00B83895">
        <w:rPr>
          <w:rFonts w:ascii="Times New Roman" w:hAnsi="Times New Roman" w:cs="Times New Roman"/>
          <w:b/>
          <w:bCs/>
          <w:sz w:val="24"/>
          <w:szCs w:val="24"/>
        </w:rPr>
        <w:t xml:space="preserve">Harmonise legislation and repeal discriminatory laws </w:t>
      </w:r>
    </w:p>
    <w:p w14:paraId="705FEE60" w14:textId="4ED7F9C0" w:rsidR="009507BB" w:rsidRPr="00C767D6" w:rsidRDefault="009507BB"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Between the beginning of 2014 and mid-June 2022, </w:t>
      </w:r>
      <w:r w:rsidR="00D37B39" w:rsidRPr="00C767D6">
        <w:rPr>
          <w:rFonts w:ascii="Times New Roman" w:hAnsi="Times New Roman" w:cs="Times New Roman"/>
          <w:sz w:val="24"/>
          <w:szCs w:val="24"/>
        </w:rPr>
        <w:t xml:space="preserve">while </w:t>
      </w:r>
      <w:r w:rsidRPr="00C767D6">
        <w:rPr>
          <w:rFonts w:ascii="Times New Roman" w:hAnsi="Times New Roman" w:cs="Times New Roman"/>
          <w:sz w:val="24"/>
          <w:szCs w:val="24"/>
        </w:rPr>
        <w:t xml:space="preserve">the Palestinian government </w:t>
      </w:r>
      <w:r w:rsidR="00D37B39" w:rsidRPr="00C767D6">
        <w:rPr>
          <w:rFonts w:ascii="Times New Roman" w:hAnsi="Times New Roman" w:cs="Times New Roman"/>
          <w:sz w:val="24"/>
          <w:szCs w:val="24"/>
        </w:rPr>
        <w:t xml:space="preserve">promulgated </w:t>
      </w:r>
      <w:r w:rsidRPr="00C767D6">
        <w:rPr>
          <w:rFonts w:ascii="Times New Roman" w:hAnsi="Times New Roman" w:cs="Times New Roman"/>
          <w:sz w:val="24"/>
          <w:szCs w:val="24"/>
        </w:rPr>
        <w:t xml:space="preserve">286 laws </w:t>
      </w:r>
      <w:r w:rsidR="00D37B39" w:rsidRPr="00C767D6">
        <w:rPr>
          <w:rFonts w:ascii="Times New Roman" w:hAnsi="Times New Roman" w:cs="Times New Roman"/>
          <w:sz w:val="24"/>
          <w:szCs w:val="24"/>
        </w:rPr>
        <w:t xml:space="preserve">in the West Bank, the Reform and Change Bloc issued forth 36 laws in the Gaza Strip. Still, no laws with a social dimension have been passed </w:t>
      </w:r>
      <w:r w:rsidR="00B83895">
        <w:rPr>
          <w:rFonts w:ascii="Times New Roman" w:hAnsi="Times New Roman" w:cs="Times New Roman"/>
          <w:sz w:val="24"/>
          <w:szCs w:val="24"/>
        </w:rPr>
        <w:t xml:space="preserve">in order </w:t>
      </w:r>
      <w:r w:rsidR="00D37B39" w:rsidRPr="00C767D6">
        <w:rPr>
          <w:rFonts w:ascii="Times New Roman" w:hAnsi="Times New Roman" w:cs="Times New Roman"/>
          <w:sz w:val="24"/>
          <w:szCs w:val="24"/>
        </w:rPr>
        <w:t xml:space="preserve">to end discrimination against women. </w:t>
      </w:r>
    </w:p>
    <w:p w14:paraId="2B8005A2" w14:textId="7FAE982F" w:rsidR="00D37B39" w:rsidRPr="00C767D6" w:rsidRDefault="00C75D3D"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government has not repealed effective discriminatory laws and regulations, including the Penal Law and Personal Status Law. Despite the fact </w:t>
      </w:r>
      <w:r w:rsidR="00B83895">
        <w:rPr>
          <w:rFonts w:ascii="Times New Roman" w:hAnsi="Times New Roman" w:cs="Times New Roman"/>
          <w:sz w:val="24"/>
          <w:szCs w:val="24"/>
        </w:rPr>
        <w:t xml:space="preserve">that </w:t>
      </w:r>
      <w:r w:rsidRPr="00C767D6">
        <w:rPr>
          <w:rFonts w:ascii="Times New Roman" w:hAnsi="Times New Roman" w:cs="Times New Roman"/>
          <w:sz w:val="24"/>
          <w:szCs w:val="24"/>
        </w:rPr>
        <w:t>a national committee was establish</w:t>
      </w:r>
      <w:r w:rsidR="00B83895">
        <w:rPr>
          <w:rFonts w:ascii="Times New Roman" w:hAnsi="Times New Roman" w:cs="Times New Roman"/>
          <w:sz w:val="24"/>
          <w:szCs w:val="24"/>
        </w:rPr>
        <w:t>ed</w:t>
      </w:r>
      <w:r w:rsidRPr="00C767D6">
        <w:rPr>
          <w:rFonts w:ascii="Times New Roman" w:hAnsi="Times New Roman" w:cs="Times New Roman"/>
          <w:sz w:val="24"/>
          <w:szCs w:val="24"/>
        </w:rPr>
        <w:t xml:space="preserve"> in 2020 to align the Penal Law with international conventions, the definition of discrimination was not adopted in the draft regulation produced by the committee.</w:t>
      </w:r>
      <w:r w:rsidRPr="00C767D6">
        <w:rPr>
          <w:rStyle w:val="FootnoteReference"/>
          <w:rFonts w:ascii="Times New Roman" w:hAnsi="Times New Roman" w:cs="Times New Roman"/>
          <w:sz w:val="24"/>
          <w:szCs w:val="24"/>
        </w:rPr>
        <w:footnoteReference w:id="1"/>
      </w:r>
      <w:r w:rsidR="00336AF7" w:rsidRPr="00C767D6">
        <w:rPr>
          <w:rFonts w:ascii="Times New Roman" w:hAnsi="Times New Roman" w:cs="Times New Roman"/>
          <w:sz w:val="24"/>
          <w:szCs w:val="24"/>
        </w:rPr>
        <w:t xml:space="preserve"> The ICHR is afraid that a definition of discrimination </w:t>
      </w:r>
      <w:r w:rsidR="002972DA">
        <w:rPr>
          <w:rFonts w:ascii="Times New Roman" w:hAnsi="Times New Roman" w:cs="Times New Roman"/>
          <w:sz w:val="24"/>
          <w:szCs w:val="24"/>
        </w:rPr>
        <w:t xml:space="preserve">would </w:t>
      </w:r>
      <w:r w:rsidR="00336AF7" w:rsidRPr="00C767D6">
        <w:rPr>
          <w:rFonts w:ascii="Times New Roman" w:hAnsi="Times New Roman" w:cs="Times New Roman"/>
          <w:sz w:val="24"/>
          <w:szCs w:val="24"/>
        </w:rPr>
        <w:t xml:space="preserve">not </w:t>
      </w:r>
      <w:r w:rsidR="002972DA">
        <w:rPr>
          <w:rFonts w:ascii="Times New Roman" w:hAnsi="Times New Roman" w:cs="Times New Roman"/>
          <w:sz w:val="24"/>
          <w:szCs w:val="24"/>
        </w:rPr>
        <w:t xml:space="preserve">be </w:t>
      </w:r>
      <w:r w:rsidR="00336AF7" w:rsidRPr="00C767D6">
        <w:rPr>
          <w:rFonts w:ascii="Times New Roman" w:hAnsi="Times New Roman" w:cs="Times New Roman"/>
          <w:sz w:val="24"/>
          <w:szCs w:val="24"/>
        </w:rPr>
        <w:t xml:space="preserve">provided in the context of legal proposals for alignment due to the </w:t>
      </w:r>
      <w:r w:rsidR="002972DA">
        <w:rPr>
          <w:rFonts w:ascii="Times New Roman" w:hAnsi="Times New Roman" w:cs="Times New Roman"/>
          <w:sz w:val="24"/>
          <w:szCs w:val="24"/>
        </w:rPr>
        <w:t xml:space="preserve">lack of </w:t>
      </w:r>
      <w:r w:rsidR="00336AF7" w:rsidRPr="00C767D6">
        <w:rPr>
          <w:rFonts w:ascii="Times New Roman" w:hAnsi="Times New Roman" w:cs="Times New Roman"/>
          <w:sz w:val="24"/>
          <w:szCs w:val="24"/>
        </w:rPr>
        <w:t xml:space="preserve">government will to adopt legislation, which promotes gender equality and puts an end to current legislative discrimination. </w:t>
      </w:r>
    </w:p>
    <w:p w14:paraId="3351358E" w14:textId="0D89BED8" w:rsidR="00336AF7" w:rsidRPr="00C767D6" w:rsidRDefault="002972DA" w:rsidP="00DC5E6D">
      <w:pPr>
        <w:jc w:val="both"/>
        <w:rPr>
          <w:rFonts w:ascii="Times New Roman" w:hAnsi="Times New Roman" w:cs="Times New Roman"/>
          <w:sz w:val="24"/>
          <w:szCs w:val="24"/>
        </w:rPr>
      </w:pPr>
      <w:r>
        <w:rPr>
          <w:rFonts w:ascii="Times New Roman" w:hAnsi="Times New Roman" w:cs="Times New Roman"/>
          <w:sz w:val="24"/>
          <w:szCs w:val="24"/>
        </w:rPr>
        <w:t>T</w:t>
      </w:r>
      <w:r w:rsidR="00336AF7" w:rsidRPr="00C767D6">
        <w:rPr>
          <w:rFonts w:ascii="Times New Roman" w:hAnsi="Times New Roman" w:cs="Times New Roman"/>
          <w:sz w:val="24"/>
          <w:szCs w:val="24"/>
        </w:rPr>
        <w:t>he government has consistently confirmed that work is underway to promulgate the Law by Decree on Family Protection against Violence. However, based on the ICHR monitoring, the government ha</w:t>
      </w:r>
      <w:r w:rsidR="004976A8" w:rsidRPr="00C767D6">
        <w:rPr>
          <w:rFonts w:ascii="Times New Roman" w:hAnsi="Times New Roman" w:cs="Times New Roman"/>
          <w:sz w:val="24"/>
          <w:szCs w:val="24"/>
        </w:rPr>
        <w:t xml:space="preserve">s reneged on many provisions of the draft law. </w:t>
      </w:r>
      <w:r>
        <w:rPr>
          <w:rFonts w:ascii="Times New Roman" w:hAnsi="Times New Roman" w:cs="Times New Roman"/>
          <w:sz w:val="24"/>
          <w:szCs w:val="24"/>
        </w:rPr>
        <w:t>All the more so, t</w:t>
      </w:r>
      <w:r w:rsidR="004976A8" w:rsidRPr="00C767D6">
        <w:rPr>
          <w:rFonts w:ascii="Times New Roman" w:hAnsi="Times New Roman" w:cs="Times New Roman"/>
          <w:sz w:val="24"/>
          <w:szCs w:val="24"/>
        </w:rPr>
        <w:t xml:space="preserve">he government soon suspended work on the draft law owing to fear of reactions by some conservative or extremist movements. </w:t>
      </w:r>
    </w:p>
    <w:p w14:paraId="2C964179" w14:textId="2230EA06" w:rsidR="004976A8" w:rsidRPr="00C767D6" w:rsidRDefault="004976A8" w:rsidP="00DC5E6D">
      <w:pPr>
        <w:jc w:val="both"/>
        <w:rPr>
          <w:rFonts w:ascii="Times New Roman" w:hAnsi="Times New Roman" w:cs="Times New Roman"/>
          <w:sz w:val="24"/>
          <w:szCs w:val="24"/>
        </w:rPr>
      </w:pPr>
      <w:r w:rsidRPr="00C767D6">
        <w:rPr>
          <w:rFonts w:ascii="Times New Roman" w:hAnsi="Times New Roman" w:cs="Times New Roman"/>
          <w:sz w:val="24"/>
          <w:szCs w:val="24"/>
        </w:rPr>
        <w:lastRenderedPageBreak/>
        <w:t xml:space="preserve">According to ICHR monitoring, promulgation of a Law on Legal Aid has come to a halt. </w:t>
      </w:r>
      <w:r w:rsidR="00025602" w:rsidRPr="00C767D6">
        <w:rPr>
          <w:rFonts w:ascii="Times New Roman" w:hAnsi="Times New Roman" w:cs="Times New Roman"/>
          <w:sz w:val="24"/>
          <w:szCs w:val="24"/>
        </w:rPr>
        <w:t xml:space="preserve">A national strategy for providing legal aid to all vulnerable groups has not been completed. As a result of </w:t>
      </w:r>
      <w:r w:rsidR="00E040DC" w:rsidRPr="00C767D6">
        <w:rPr>
          <w:rFonts w:ascii="Times New Roman" w:hAnsi="Times New Roman" w:cs="Times New Roman"/>
          <w:sz w:val="24"/>
          <w:szCs w:val="24"/>
        </w:rPr>
        <w:t xml:space="preserve">foundered understanding between the government and relevant civil society organisations, including the Palestinian Bar Association, a </w:t>
      </w:r>
      <w:r w:rsidR="00025602" w:rsidRPr="00C767D6">
        <w:rPr>
          <w:rFonts w:ascii="Times New Roman" w:hAnsi="Times New Roman" w:cs="Times New Roman"/>
          <w:sz w:val="24"/>
          <w:szCs w:val="24"/>
        </w:rPr>
        <w:t xml:space="preserve">budget line item has not been allocated to legal aid programmes. </w:t>
      </w:r>
      <w:r w:rsidR="00E040DC" w:rsidRPr="00C767D6">
        <w:rPr>
          <w:rFonts w:ascii="Times New Roman" w:hAnsi="Times New Roman" w:cs="Times New Roman"/>
          <w:sz w:val="24"/>
          <w:szCs w:val="24"/>
        </w:rPr>
        <w:t xml:space="preserve">Consequently, women in conflict with </w:t>
      </w:r>
      <w:r w:rsidR="002972DA">
        <w:rPr>
          <w:rFonts w:ascii="Times New Roman" w:hAnsi="Times New Roman" w:cs="Times New Roman"/>
          <w:sz w:val="24"/>
          <w:szCs w:val="24"/>
        </w:rPr>
        <w:t xml:space="preserve">the </w:t>
      </w:r>
      <w:r w:rsidR="00E040DC" w:rsidRPr="00C767D6">
        <w:rPr>
          <w:rFonts w:ascii="Times New Roman" w:hAnsi="Times New Roman" w:cs="Times New Roman"/>
          <w:sz w:val="24"/>
          <w:szCs w:val="24"/>
        </w:rPr>
        <w:t xml:space="preserve">law would continue to resort to women’s organisations, which provide legal aid programmes. </w:t>
      </w:r>
    </w:p>
    <w:p w14:paraId="2FADBEBA" w14:textId="166EF6DB" w:rsidR="00E040DC" w:rsidRPr="00C767D6" w:rsidRDefault="00E040DC"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Committee for </w:t>
      </w:r>
      <w:r w:rsidR="000827DB" w:rsidRPr="00C767D6">
        <w:rPr>
          <w:rFonts w:ascii="Times New Roman" w:hAnsi="Times New Roman" w:cs="Times New Roman"/>
          <w:sz w:val="24"/>
          <w:szCs w:val="24"/>
        </w:rPr>
        <w:t xml:space="preserve">the </w:t>
      </w:r>
      <w:r w:rsidRPr="00C767D6">
        <w:rPr>
          <w:rFonts w:ascii="Times New Roman" w:hAnsi="Times New Roman" w:cs="Times New Roman"/>
          <w:sz w:val="24"/>
          <w:szCs w:val="24"/>
        </w:rPr>
        <w:t xml:space="preserve">Harmonisation of National Legislation with International Human Rights Conventions </w:t>
      </w:r>
      <w:r w:rsidR="000827DB" w:rsidRPr="00C767D6">
        <w:rPr>
          <w:rFonts w:ascii="Times New Roman" w:hAnsi="Times New Roman" w:cs="Times New Roman"/>
          <w:sz w:val="24"/>
          <w:szCs w:val="24"/>
        </w:rPr>
        <w:t xml:space="preserve">has neither scheduled nor placed on its agenda previously issued regulations. A timeframe has not been developed to review and harmonise national legislation with the Convention. </w:t>
      </w:r>
    </w:p>
    <w:p w14:paraId="6A432E72" w14:textId="3EA2FB26" w:rsidR="000827DB" w:rsidRPr="002972DA" w:rsidRDefault="000827DB" w:rsidP="00DC5E6D">
      <w:pPr>
        <w:jc w:val="both"/>
        <w:rPr>
          <w:rFonts w:ascii="Times New Roman" w:hAnsi="Times New Roman" w:cs="Times New Roman"/>
          <w:b/>
          <w:bCs/>
          <w:sz w:val="24"/>
          <w:szCs w:val="24"/>
        </w:rPr>
      </w:pPr>
      <w:r w:rsidRPr="002972DA">
        <w:rPr>
          <w:rFonts w:ascii="Times New Roman" w:hAnsi="Times New Roman" w:cs="Times New Roman"/>
          <w:b/>
          <w:bCs/>
          <w:sz w:val="24"/>
          <w:szCs w:val="24"/>
        </w:rPr>
        <w:t xml:space="preserve">Allocate budgets for the empowerment of women </w:t>
      </w:r>
    </w:p>
    <w:p w14:paraId="40E7E1E6" w14:textId="2BC02E35" w:rsidR="000827DB" w:rsidRPr="00C767D6" w:rsidRDefault="000827DB"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public budget is an executive tool to achieve strategic objectives. </w:t>
      </w:r>
      <w:r w:rsidR="00704BA5" w:rsidRPr="00C767D6">
        <w:rPr>
          <w:rFonts w:ascii="Times New Roman" w:hAnsi="Times New Roman" w:cs="Times New Roman"/>
          <w:sz w:val="24"/>
          <w:szCs w:val="24"/>
        </w:rPr>
        <w:t xml:space="preserve">In the context of examining the government’s commitment to the empowerment of women </w:t>
      </w:r>
      <w:proofErr w:type="gramStart"/>
      <w:r w:rsidR="00704BA5" w:rsidRPr="00C767D6">
        <w:rPr>
          <w:rFonts w:ascii="Times New Roman" w:hAnsi="Times New Roman" w:cs="Times New Roman"/>
          <w:sz w:val="24"/>
          <w:szCs w:val="24"/>
        </w:rPr>
        <w:t>and  achievement</w:t>
      </w:r>
      <w:proofErr w:type="gramEnd"/>
      <w:r w:rsidR="00704BA5" w:rsidRPr="00C767D6">
        <w:rPr>
          <w:rFonts w:ascii="Times New Roman" w:hAnsi="Times New Roman" w:cs="Times New Roman"/>
          <w:sz w:val="24"/>
          <w:szCs w:val="24"/>
        </w:rPr>
        <w:t xml:space="preserve"> of gender equality</w:t>
      </w:r>
      <w:r w:rsidR="00AA12B8" w:rsidRPr="00C767D6">
        <w:rPr>
          <w:rFonts w:ascii="Times New Roman" w:hAnsi="Times New Roman" w:cs="Times New Roman"/>
          <w:sz w:val="24"/>
          <w:szCs w:val="24"/>
        </w:rPr>
        <w:t xml:space="preserve">, the ICHR monitors </w:t>
      </w:r>
      <w:r w:rsidR="00874080" w:rsidRPr="00C767D6">
        <w:rPr>
          <w:rFonts w:ascii="Times New Roman" w:hAnsi="Times New Roman" w:cs="Times New Roman"/>
          <w:sz w:val="24"/>
          <w:szCs w:val="24"/>
        </w:rPr>
        <w:t>programme budgets approved by government</w:t>
      </w:r>
      <w:r w:rsidR="00B70699">
        <w:rPr>
          <w:rFonts w:ascii="Times New Roman" w:hAnsi="Times New Roman" w:cs="Times New Roman"/>
          <w:sz w:val="24"/>
          <w:szCs w:val="24"/>
        </w:rPr>
        <w:t xml:space="preserve">, together with </w:t>
      </w:r>
      <w:r w:rsidR="00874080" w:rsidRPr="00C767D6">
        <w:rPr>
          <w:rFonts w:ascii="Times New Roman" w:hAnsi="Times New Roman" w:cs="Times New Roman"/>
          <w:sz w:val="24"/>
          <w:szCs w:val="24"/>
        </w:rPr>
        <w:t xml:space="preserve">sector plans and strategies in relation to women, namely, </w:t>
      </w:r>
      <w:r w:rsidR="00B70699">
        <w:rPr>
          <w:rFonts w:ascii="Times New Roman" w:hAnsi="Times New Roman" w:cs="Times New Roman"/>
          <w:sz w:val="24"/>
          <w:szCs w:val="24"/>
        </w:rPr>
        <w:t xml:space="preserve">the </w:t>
      </w:r>
      <w:r w:rsidR="00874080" w:rsidRPr="00C767D6">
        <w:rPr>
          <w:rFonts w:ascii="Times New Roman" w:hAnsi="Times New Roman" w:cs="Times New Roman"/>
          <w:sz w:val="24"/>
          <w:szCs w:val="24"/>
        </w:rPr>
        <w:t xml:space="preserve">National Policy Agenda </w:t>
      </w:r>
      <w:r w:rsidR="00F46C6F" w:rsidRPr="00C767D6">
        <w:rPr>
          <w:rFonts w:ascii="Times New Roman" w:hAnsi="Times New Roman" w:cs="Times New Roman"/>
          <w:sz w:val="24"/>
          <w:szCs w:val="24"/>
        </w:rPr>
        <w:t xml:space="preserve">(NPA) 2017-2022 </w:t>
      </w:r>
      <w:r w:rsidR="00874080" w:rsidRPr="00C767D6">
        <w:rPr>
          <w:rFonts w:ascii="Times New Roman" w:hAnsi="Times New Roman" w:cs="Times New Roman"/>
          <w:sz w:val="24"/>
          <w:szCs w:val="24"/>
        </w:rPr>
        <w:t xml:space="preserve">and Sector Strategies on Gender Equality. The ICHR also measures the extent to which these are reflected in budget programmes of the Ministry of Women’s Affairs (MoWA). </w:t>
      </w:r>
    </w:p>
    <w:p w14:paraId="27396060" w14:textId="550CDF4D" w:rsidR="00874080" w:rsidRPr="00C767D6" w:rsidRDefault="00874080"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Programmes on women and gender mainstreaming are </w:t>
      </w:r>
      <w:r w:rsidR="00F46C6F" w:rsidRPr="00C767D6">
        <w:rPr>
          <w:rFonts w:ascii="Times New Roman" w:hAnsi="Times New Roman" w:cs="Times New Roman"/>
          <w:sz w:val="24"/>
          <w:szCs w:val="24"/>
        </w:rPr>
        <w:t xml:space="preserve">listed under National Priority 5: Effective Government of the NPA 2017-2022. Gender mainstreaming, gender equality, and empowerment of women are one intervention provided by this national priority. Of these, a strategy seeks to eliminate all forms of discrimination and violence against women and girls, and remove barriers that prevent the full participation of women in community and economic development and public life. </w:t>
      </w:r>
    </w:p>
    <w:p w14:paraId="69DF7ECA" w14:textId="0031E97F" w:rsidR="00F46C6F" w:rsidRPr="00C767D6" w:rsidRDefault="00C72EC1"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Beginning in 2017, the ICHR has monitored and taken note of the public budget in the ICHR initial report submitted to the Committee. The ICHR found out that budget allocations to the MoWA were not increased, standing at 04.0 </w:t>
      </w:r>
      <w:r w:rsidR="00EF60C8" w:rsidRPr="00C767D6">
        <w:rPr>
          <w:rFonts w:ascii="Times New Roman" w:hAnsi="Times New Roman" w:cs="Times New Roman"/>
          <w:sz w:val="24"/>
          <w:szCs w:val="24"/>
        </w:rPr>
        <w:t xml:space="preserve">percent of the total public budget. Of this, salaries and wages </w:t>
      </w:r>
      <w:r w:rsidR="0067263F" w:rsidRPr="00C767D6">
        <w:rPr>
          <w:rFonts w:ascii="Times New Roman" w:hAnsi="Times New Roman" w:cs="Times New Roman"/>
          <w:sz w:val="24"/>
          <w:szCs w:val="24"/>
        </w:rPr>
        <w:t xml:space="preserve">had the lion’s share of the </w:t>
      </w:r>
      <w:r w:rsidR="00B70699">
        <w:rPr>
          <w:rFonts w:ascii="Times New Roman" w:hAnsi="Times New Roman" w:cs="Times New Roman"/>
          <w:sz w:val="24"/>
          <w:szCs w:val="24"/>
        </w:rPr>
        <w:t xml:space="preserve">MoWA </w:t>
      </w:r>
      <w:r w:rsidR="0067263F" w:rsidRPr="00C767D6">
        <w:rPr>
          <w:rFonts w:ascii="Times New Roman" w:hAnsi="Times New Roman" w:cs="Times New Roman"/>
          <w:sz w:val="24"/>
          <w:szCs w:val="24"/>
        </w:rPr>
        <w:t xml:space="preserve">budget appropriation. On the other hand, women development programmes continue to rely on donor funding. </w:t>
      </w:r>
    </w:p>
    <w:p w14:paraId="5800E393" w14:textId="316A206B" w:rsidR="0067263F" w:rsidRPr="009A0639" w:rsidRDefault="0067263F" w:rsidP="00DC5E6D">
      <w:pPr>
        <w:jc w:val="both"/>
        <w:rPr>
          <w:rFonts w:ascii="Times New Roman" w:hAnsi="Times New Roman" w:cs="Times New Roman"/>
          <w:b/>
          <w:bCs/>
          <w:sz w:val="24"/>
          <w:szCs w:val="24"/>
        </w:rPr>
      </w:pPr>
      <w:r w:rsidRPr="009A0639">
        <w:rPr>
          <w:rFonts w:ascii="Times New Roman" w:hAnsi="Times New Roman" w:cs="Times New Roman"/>
          <w:b/>
          <w:bCs/>
          <w:sz w:val="24"/>
          <w:szCs w:val="24"/>
        </w:rPr>
        <w:t xml:space="preserve">Participation in political and public life </w:t>
      </w:r>
    </w:p>
    <w:p w14:paraId="4F6A88DB" w14:textId="66377C6F" w:rsidR="0067263F" w:rsidRPr="00C767D6" w:rsidRDefault="0067263F"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With a view to promoting all Palestinians’ right to stand for election and the right to vote, the ICHR observed the two phases of the fourth local elections held in 2021 and 2022. </w:t>
      </w:r>
      <w:r w:rsidR="009A0639">
        <w:rPr>
          <w:rFonts w:ascii="Times New Roman" w:hAnsi="Times New Roman" w:cs="Times New Roman"/>
          <w:sz w:val="24"/>
          <w:szCs w:val="24"/>
        </w:rPr>
        <w:t xml:space="preserve">Along </w:t>
      </w:r>
      <w:r w:rsidRPr="00C767D6">
        <w:rPr>
          <w:rFonts w:ascii="Times New Roman" w:hAnsi="Times New Roman" w:cs="Times New Roman"/>
          <w:sz w:val="24"/>
          <w:szCs w:val="24"/>
        </w:rPr>
        <w:t xml:space="preserve">with a number of civil society actors, the ICHR signed a memorandum of understanding with the Central Elections Commission to promote the electoral environment and encourage citizens to stand for election and vote. </w:t>
      </w:r>
    </w:p>
    <w:p w14:paraId="64791DC9" w14:textId="002DBA96" w:rsidR="0067263F" w:rsidRPr="00C767D6" w:rsidRDefault="0067263F" w:rsidP="00DC5E6D">
      <w:pPr>
        <w:jc w:val="both"/>
        <w:rPr>
          <w:rFonts w:ascii="Times New Roman" w:hAnsi="Times New Roman" w:cs="Times New Roman"/>
          <w:sz w:val="24"/>
          <w:szCs w:val="24"/>
        </w:rPr>
      </w:pPr>
      <w:r w:rsidRPr="00C767D6">
        <w:rPr>
          <w:rFonts w:ascii="Times New Roman" w:hAnsi="Times New Roman" w:cs="Times New Roman"/>
          <w:sz w:val="24"/>
          <w:szCs w:val="24"/>
        </w:rPr>
        <w:lastRenderedPageBreak/>
        <w:t xml:space="preserve">Due to the ongoing political divide, </w:t>
      </w:r>
      <w:r w:rsidR="009A0639">
        <w:rPr>
          <w:rFonts w:ascii="Times New Roman" w:hAnsi="Times New Roman" w:cs="Times New Roman"/>
          <w:sz w:val="24"/>
          <w:szCs w:val="24"/>
        </w:rPr>
        <w:t xml:space="preserve">however, </w:t>
      </w:r>
      <w:r w:rsidRPr="00C767D6">
        <w:rPr>
          <w:rFonts w:ascii="Times New Roman" w:hAnsi="Times New Roman" w:cs="Times New Roman"/>
          <w:sz w:val="24"/>
          <w:szCs w:val="24"/>
        </w:rPr>
        <w:t xml:space="preserve">40 percent of citizens in local government units (LGUs) across the Gaza Strip were </w:t>
      </w:r>
      <w:r w:rsidR="00482572" w:rsidRPr="00C767D6">
        <w:rPr>
          <w:rFonts w:ascii="Times New Roman" w:hAnsi="Times New Roman" w:cs="Times New Roman"/>
          <w:sz w:val="24"/>
          <w:szCs w:val="24"/>
        </w:rPr>
        <w:t xml:space="preserve">prevented from exercising their right to vote and be elected in those local elections. </w:t>
      </w:r>
    </w:p>
    <w:p w14:paraId="45E1C116" w14:textId="560AA2D5" w:rsidR="00482572" w:rsidRPr="00C767D6" w:rsidRDefault="00482572"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ICHR monitored </w:t>
      </w:r>
      <w:r w:rsidR="009A0639">
        <w:rPr>
          <w:rFonts w:ascii="Times New Roman" w:hAnsi="Times New Roman" w:cs="Times New Roman"/>
          <w:sz w:val="24"/>
          <w:szCs w:val="24"/>
        </w:rPr>
        <w:t xml:space="preserve">infractions </w:t>
      </w:r>
      <w:r w:rsidRPr="00C767D6">
        <w:rPr>
          <w:rFonts w:ascii="Times New Roman" w:hAnsi="Times New Roman" w:cs="Times New Roman"/>
          <w:sz w:val="24"/>
          <w:szCs w:val="24"/>
        </w:rPr>
        <w:t xml:space="preserve">of election campaigning by some electoral lists. These opted for hiding the photos of female candidates, violating the State of Palestine’s obligations under the Convention, International Covenant on Civil and Political Rights, International Covenant on Economic, Social and Cultural Rights, Palestinian Basic Law, codes of professional conduct, and charters of honour signed by political parties and </w:t>
      </w:r>
      <w:r w:rsidR="00F43F99" w:rsidRPr="00C767D6">
        <w:rPr>
          <w:rFonts w:ascii="Times New Roman" w:hAnsi="Times New Roman" w:cs="Times New Roman"/>
          <w:sz w:val="24"/>
          <w:szCs w:val="24"/>
        </w:rPr>
        <w:t xml:space="preserve">electoral blocs. </w:t>
      </w:r>
    </w:p>
    <w:p w14:paraId="2814FD7B" w14:textId="6A5AF880" w:rsidR="00F43F99" w:rsidRPr="00C767D6" w:rsidRDefault="00F43F99"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According to </w:t>
      </w:r>
      <w:r w:rsidR="009A0639">
        <w:rPr>
          <w:rFonts w:ascii="Times New Roman" w:hAnsi="Times New Roman" w:cs="Times New Roman"/>
          <w:sz w:val="24"/>
          <w:szCs w:val="24"/>
        </w:rPr>
        <w:t xml:space="preserve">the </w:t>
      </w:r>
      <w:r w:rsidRPr="00C767D6">
        <w:rPr>
          <w:rFonts w:ascii="Times New Roman" w:hAnsi="Times New Roman" w:cs="Times New Roman"/>
          <w:sz w:val="24"/>
          <w:szCs w:val="24"/>
        </w:rPr>
        <w:t xml:space="preserve">election results, some 20 percent of women were elected to LGU councils. The election results also revealed </w:t>
      </w:r>
      <w:r w:rsidR="00475E9E" w:rsidRPr="00C767D6">
        <w:rPr>
          <w:rFonts w:ascii="Times New Roman" w:hAnsi="Times New Roman" w:cs="Times New Roman"/>
          <w:sz w:val="24"/>
          <w:szCs w:val="24"/>
        </w:rPr>
        <w:t xml:space="preserve">an entrenched tribalism and familial authority structures. Approximately 185 LGUs won </w:t>
      </w:r>
      <w:r w:rsidR="00E91F1D">
        <w:rPr>
          <w:rFonts w:ascii="Times New Roman" w:hAnsi="Times New Roman" w:cs="Times New Roman"/>
          <w:sz w:val="24"/>
          <w:szCs w:val="24"/>
        </w:rPr>
        <w:t xml:space="preserve">the election </w:t>
      </w:r>
      <w:r w:rsidR="00475E9E" w:rsidRPr="00C767D6">
        <w:rPr>
          <w:rFonts w:ascii="Times New Roman" w:hAnsi="Times New Roman" w:cs="Times New Roman"/>
          <w:sz w:val="24"/>
          <w:szCs w:val="24"/>
        </w:rPr>
        <w:t xml:space="preserve">by acclamation, depriving women and youth of democratic social dialogue and interaction. </w:t>
      </w:r>
    </w:p>
    <w:p w14:paraId="18105231" w14:textId="3EFC3758" w:rsidR="00475E9E" w:rsidRPr="00C767D6" w:rsidRDefault="00475E9E"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government, therefore, needs to amend the Law on the Election of Local Government Units by raising the quota to a minimum of 30 percent. Measures and actions should be taken to </w:t>
      </w:r>
      <w:r w:rsidR="000E1BEA" w:rsidRPr="00C767D6">
        <w:rPr>
          <w:rFonts w:ascii="Times New Roman" w:hAnsi="Times New Roman" w:cs="Times New Roman"/>
          <w:sz w:val="24"/>
          <w:szCs w:val="24"/>
        </w:rPr>
        <w:t xml:space="preserve">guarantee that there will be no gender discrimination throughout electoral phases. A democratic setting will be promoted to eliminate tribalism (wining by acclamation), which excludes women from social debate and activism. </w:t>
      </w:r>
    </w:p>
    <w:p w14:paraId="6DE3922B" w14:textId="089B6624" w:rsidR="000E1BEA" w:rsidRPr="00E91F1D" w:rsidRDefault="000E1BEA" w:rsidP="00DC5E6D">
      <w:pPr>
        <w:jc w:val="both"/>
        <w:rPr>
          <w:rFonts w:ascii="Times New Roman" w:hAnsi="Times New Roman" w:cs="Times New Roman"/>
          <w:b/>
          <w:bCs/>
          <w:sz w:val="24"/>
          <w:szCs w:val="24"/>
        </w:rPr>
      </w:pPr>
      <w:r w:rsidRPr="00E91F1D">
        <w:rPr>
          <w:rFonts w:ascii="Times New Roman" w:hAnsi="Times New Roman" w:cs="Times New Roman"/>
          <w:b/>
          <w:bCs/>
          <w:sz w:val="24"/>
          <w:szCs w:val="24"/>
        </w:rPr>
        <w:t xml:space="preserve">Employment of women </w:t>
      </w:r>
    </w:p>
    <w:p w14:paraId="4CAA29B3" w14:textId="2856CEF9" w:rsidR="000E1BEA" w:rsidRPr="00C767D6" w:rsidRDefault="00792610"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According to </w:t>
      </w:r>
      <w:r w:rsidR="00E91F1D">
        <w:rPr>
          <w:rFonts w:ascii="Times New Roman" w:hAnsi="Times New Roman" w:cs="Times New Roman"/>
          <w:sz w:val="24"/>
          <w:szCs w:val="24"/>
        </w:rPr>
        <w:t xml:space="preserve">available </w:t>
      </w:r>
      <w:r w:rsidRPr="00C767D6">
        <w:rPr>
          <w:rFonts w:ascii="Times New Roman" w:hAnsi="Times New Roman" w:cs="Times New Roman"/>
          <w:sz w:val="24"/>
          <w:szCs w:val="24"/>
        </w:rPr>
        <w:t>data, while accounting for 21 percent of the total labour force, 32 percent of women work</w:t>
      </w:r>
      <w:r w:rsidR="00E91F1D">
        <w:rPr>
          <w:rFonts w:ascii="Times New Roman" w:hAnsi="Times New Roman" w:cs="Times New Roman"/>
          <w:sz w:val="24"/>
          <w:szCs w:val="24"/>
        </w:rPr>
        <w:t>ed</w:t>
      </w:r>
      <w:r w:rsidRPr="00C767D6">
        <w:rPr>
          <w:rFonts w:ascii="Times New Roman" w:hAnsi="Times New Roman" w:cs="Times New Roman"/>
          <w:sz w:val="24"/>
          <w:szCs w:val="24"/>
        </w:rPr>
        <w:t xml:space="preserve"> in the informal sector. Of these, only 30 percent received </w:t>
      </w:r>
      <w:r w:rsidR="005312F0" w:rsidRPr="00C767D6">
        <w:rPr>
          <w:rFonts w:ascii="Times New Roman" w:hAnsi="Times New Roman" w:cs="Times New Roman"/>
          <w:sz w:val="24"/>
          <w:szCs w:val="24"/>
        </w:rPr>
        <w:t>their employment rights. All these women were employed by civil society organisations. The percentage of youth working in the service sector was 25 percent in 2018 (19 percent males and 67 percent females) compared to 28</w:t>
      </w:r>
      <w:r w:rsidR="001769A7" w:rsidRPr="00C767D6">
        <w:rPr>
          <w:rFonts w:ascii="Times New Roman" w:hAnsi="Times New Roman" w:cs="Times New Roman"/>
          <w:sz w:val="24"/>
          <w:szCs w:val="24"/>
        </w:rPr>
        <w:t xml:space="preserve"> percent</w:t>
      </w:r>
      <w:r w:rsidR="005312F0" w:rsidRPr="00C767D6">
        <w:rPr>
          <w:rFonts w:ascii="Times New Roman" w:hAnsi="Times New Roman" w:cs="Times New Roman"/>
          <w:sz w:val="24"/>
          <w:szCs w:val="24"/>
        </w:rPr>
        <w:t xml:space="preserve"> in the trade, restaurants and hotels sector (30</w:t>
      </w:r>
      <w:r w:rsidR="001769A7" w:rsidRPr="00C767D6">
        <w:rPr>
          <w:rFonts w:ascii="Times New Roman" w:hAnsi="Times New Roman" w:cs="Times New Roman"/>
          <w:sz w:val="24"/>
          <w:szCs w:val="24"/>
        </w:rPr>
        <w:t xml:space="preserve"> percent</w:t>
      </w:r>
      <w:r w:rsidR="005312F0" w:rsidRPr="00C767D6">
        <w:rPr>
          <w:rFonts w:ascii="Times New Roman" w:hAnsi="Times New Roman" w:cs="Times New Roman"/>
          <w:sz w:val="24"/>
          <w:szCs w:val="24"/>
        </w:rPr>
        <w:t xml:space="preserve"> males and 14</w:t>
      </w:r>
      <w:r w:rsidR="001769A7" w:rsidRPr="00C767D6">
        <w:rPr>
          <w:rFonts w:ascii="Times New Roman" w:hAnsi="Times New Roman" w:cs="Times New Roman"/>
          <w:sz w:val="24"/>
          <w:szCs w:val="24"/>
        </w:rPr>
        <w:t xml:space="preserve"> </w:t>
      </w:r>
      <w:r w:rsidR="005312F0" w:rsidRPr="00C767D6">
        <w:rPr>
          <w:rFonts w:ascii="Times New Roman" w:hAnsi="Times New Roman" w:cs="Times New Roman"/>
          <w:sz w:val="24"/>
          <w:szCs w:val="24"/>
        </w:rPr>
        <w:t>for females)</w:t>
      </w:r>
      <w:r w:rsidR="001769A7" w:rsidRPr="00C767D6">
        <w:rPr>
          <w:rFonts w:ascii="Times New Roman" w:hAnsi="Times New Roman" w:cs="Times New Roman"/>
          <w:sz w:val="24"/>
          <w:szCs w:val="24"/>
        </w:rPr>
        <w:t>.</w:t>
      </w:r>
      <w:r w:rsidR="00171224" w:rsidRPr="00C767D6">
        <w:rPr>
          <w:rStyle w:val="FootnoteReference"/>
          <w:rFonts w:ascii="Times New Roman" w:hAnsi="Times New Roman" w:cs="Times New Roman"/>
          <w:sz w:val="24"/>
          <w:szCs w:val="24"/>
        </w:rPr>
        <w:footnoteReference w:id="2"/>
      </w:r>
      <w:r w:rsidR="001769A7" w:rsidRPr="00C767D6">
        <w:rPr>
          <w:rFonts w:ascii="Times New Roman" w:hAnsi="Times New Roman" w:cs="Times New Roman"/>
          <w:sz w:val="24"/>
          <w:szCs w:val="24"/>
        </w:rPr>
        <w:t xml:space="preserve"> </w:t>
      </w:r>
    </w:p>
    <w:p w14:paraId="38EF1FCA" w14:textId="7DFB8324" w:rsidR="00F73B42" w:rsidRPr="00C767D6" w:rsidRDefault="0045181D" w:rsidP="00DC5E6D">
      <w:pPr>
        <w:jc w:val="both"/>
        <w:rPr>
          <w:rFonts w:ascii="Times New Roman" w:hAnsi="Times New Roman" w:cs="Times New Roman"/>
          <w:sz w:val="24"/>
          <w:szCs w:val="24"/>
        </w:rPr>
      </w:pPr>
      <w:r w:rsidRPr="00C767D6">
        <w:rPr>
          <w:rFonts w:ascii="Times New Roman" w:hAnsi="Times New Roman" w:cs="Times New Roman"/>
          <w:sz w:val="24"/>
          <w:szCs w:val="24"/>
        </w:rPr>
        <w:t>These data show</w:t>
      </w:r>
      <w:r w:rsidR="00033485">
        <w:rPr>
          <w:rFonts w:ascii="Times New Roman" w:hAnsi="Times New Roman" w:cs="Times New Roman"/>
          <w:sz w:val="24"/>
          <w:szCs w:val="24"/>
        </w:rPr>
        <w:t>ed</w:t>
      </w:r>
      <w:r w:rsidRPr="00C767D6">
        <w:rPr>
          <w:rFonts w:ascii="Times New Roman" w:hAnsi="Times New Roman" w:cs="Times New Roman"/>
          <w:sz w:val="24"/>
          <w:szCs w:val="24"/>
        </w:rPr>
        <w:t xml:space="preserve"> that women were mainly employed in care sectors. Many women continue</w:t>
      </w:r>
      <w:r w:rsidR="00033485">
        <w:rPr>
          <w:rFonts w:ascii="Times New Roman" w:hAnsi="Times New Roman" w:cs="Times New Roman"/>
          <w:sz w:val="24"/>
          <w:szCs w:val="24"/>
        </w:rPr>
        <w:t>d</w:t>
      </w:r>
      <w:r w:rsidRPr="00C767D6">
        <w:rPr>
          <w:rFonts w:ascii="Times New Roman" w:hAnsi="Times New Roman" w:cs="Times New Roman"/>
          <w:sz w:val="24"/>
          <w:szCs w:val="24"/>
        </w:rPr>
        <w:t xml:space="preserve"> to work in traditional occupations. Women falling </w:t>
      </w:r>
      <w:r w:rsidR="00033485">
        <w:rPr>
          <w:rFonts w:ascii="Times New Roman" w:hAnsi="Times New Roman" w:cs="Times New Roman"/>
          <w:sz w:val="24"/>
          <w:szCs w:val="24"/>
        </w:rPr>
        <w:t>with</w:t>
      </w:r>
      <w:r w:rsidRPr="00C767D6">
        <w:rPr>
          <w:rFonts w:ascii="Times New Roman" w:hAnsi="Times New Roman" w:cs="Times New Roman"/>
          <w:sz w:val="24"/>
          <w:szCs w:val="24"/>
        </w:rPr>
        <w:t xml:space="preserve">in the category of technicians, specialists, assistants, and clerks represented 65 percent </w:t>
      </w:r>
      <w:r w:rsidR="00033485">
        <w:rPr>
          <w:rFonts w:ascii="Times New Roman" w:hAnsi="Times New Roman" w:cs="Times New Roman"/>
          <w:sz w:val="24"/>
          <w:szCs w:val="24"/>
        </w:rPr>
        <w:t xml:space="preserve">of the labour force </w:t>
      </w:r>
      <w:r w:rsidRPr="00C767D6">
        <w:rPr>
          <w:rFonts w:ascii="Times New Roman" w:hAnsi="Times New Roman" w:cs="Times New Roman"/>
          <w:sz w:val="24"/>
          <w:szCs w:val="24"/>
        </w:rPr>
        <w:t>in the West Bank and 91.</w:t>
      </w:r>
      <w:r w:rsidR="006D344F" w:rsidRPr="00C767D6">
        <w:rPr>
          <w:rFonts w:ascii="Times New Roman" w:hAnsi="Times New Roman" w:cs="Times New Roman"/>
          <w:sz w:val="24"/>
          <w:szCs w:val="24"/>
        </w:rPr>
        <w:t>3 percent in the Gaza Strip.</w:t>
      </w:r>
      <w:r w:rsidR="006D344F" w:rsidRPr="00C767D6">
        <w:rPr>
          <w:rStyle w:val="FootnoteReference"/>
          <w:rFonts w:ascii="Times New Roman" w:hAnsi="Times New Roman" w:cs="Times New Roman"/>
          <w:sz w:val="24"/>
          <w:szCs w:val="24"/>
        </w:rPr>
        <w:footnoteReference w:id="3"/>
      </w:r>
      <w:r w:rsidR="00F73B42" w:rsidRPr="00C767D6">
        <w:rPr>
          <w:rFonts w:ascii="Times New Roman" w:hAnsi="Times New Roman" w:cs="Times New Roman"/>
          <w:sz w:val="24"/>
          <w:szCs w:val="24"/>
        </w:rPr>
        <w:t xml:space="preserve"> </w:t>
      </w:r>
    </w:p>
    <w:p w14:paraId="6CD2DC0A" w14:textId="109E39A5" w:rsidR="00F73B42" w:rsidRPr="00C767D6" w:rsidRDefault="00F73B42" w:rsidP="00DC5E6D">
      <w:pPr>
        <w:jc w:val="both"/>
        <w:rPr>
          <w:rFonts w:ascii="Times New Roman" w:hAnsi="Times New Roman" w:cs="Times New Roman"/>
          <w:sz w:val="24"/>
          <w:szCs w:val="24"/>
        </w:rPr>
      </w:pPr>
      <w:r w:rsidRPr="00C767D6">
        <w:rPr>
          <w:rFonts w:ascii="Times New Roman" w:hAnsi="Times New Roman" w:cs="Times New Roman"/>
          <w:sz w:val="24"/>
          <w:szCs w:val="24"/>
        </w:rPr>
        <w:t>Statistics also indicate</w:t>
      </w:r>
      <w:r w:rsidR="00033485">
        <w:rPr>
          <w:rFonts w:ascii="Times New Roman" w:hAnsi="Times New Roman" w:cs="Times New Roman"/>
          <w:sz w:val="24"/>
          <w:szCs w:val="24"/>
        </w:rPr>
        <w:t>d</w:t>
      </w:r>
      <w:r w:rsidRPr="00C767D6">
        <w:rPr>
          <w:rFonts w:ascii="Times New Roman" w:hAnsi="Times New Roman" w:cs="Times New Roman"/>
          <w:sz w:val="24"/>
          <w:szCs w:val="24"/>
        </w:rPr>
        <w:t xml:space="preserve"> that</w:t>
      </w:r>
      <w:r w:rsidR="00D72313" w:rsidRPr="00C767D6">
        <w:rPr>
          <w:rFonts w:ascii="Times New Roman" w:hAnsi="Times New Roman" w:cs="Times New Roman"/>
          <w:sz w:val="24"/>
          <w:szCs w:val="24"/>
        </w:rPr>
        <w:t>, compared to 5.5 percent of men,</w:t>
      </w:r>
      <w:r w:rsidRPr="00C767D6">
        <w:rPr>
          <w:rFonts w:ascii="Times New Roman" w:hAnsi="Times New Roman" w:cs="Times New Roman"/>
          <w:sz w:val="24"/>
          <w:szCs w:val="24"/>
        </w:rPr>
        <w:t xml:space="preserve"> 23 percent of women </w:t>
      </w:r>
      <w:r w:rsidR="00D72313" w:rsidRPr="00C767D6">
        <w:rPr>
          <w:rFonts w:ascii="Times New Roman" w:hAnsi="Times New Roman" w:cs="Times New Roman"/>
          <w:sz w:val="24"/>
          <w:szCs w:val="24"/>
        </w:rPr>
        <w:t>were employed as unpaid family workers. This demonstrate</w:t>
      </w:r>
      <w:r w:rsidR="00033485">
        <w:rPr>
          <w:rFonts w:ascii="Times New Roman" w:hAnsi="Times New Roman" w:cs="Times New Roman"/>
          <w:sz w:val="24"/>
          <w:szCs w:val="24"/>
        </w:rPr>
        <w:t>d</w:t>
      </w:r>
      <w:r w:rsidR="00D72313" w:rsidRPr="00C767D6">
        <w:rPr>
          <w:rFonts w:ascii="Times New Roman" w:hAnsi="Times New Roman" w:cs="Times New Roman"/>
          <w:sz w:val="24"/>
          <w:szCs w:val="24"/>
        </w:rPr>
        <w:t xml:space="preserve"> that women were mainly concentrated in family enterprises and informal economy. Almost 53 percent of workers, </w:t>
      </w:r>
      <w:r w:rsidR="00D72313" w:rsidRPr="00C767D6">
        <w:rPr>
          <w:rFonts w:ascii="Times New Roman" w:hAnsi="Times New Roman" w:cs="Times New Roman"/>
          <w:sz w:val="24"/>
          <w:szCs w:val="24"/>
        </w:rPr>
        <w:lastRenderedPageBreak/>
        <w:t>all women, were not included in the “labour force” accounts as a consequence of unpaid household work.</w:t>
      </w:r>
      <w:r w:rsidR="005D2606" w:rsidRPr="00C767D6">
        <w:rPr>
          <w:rStyle w:val="FootnoteReference"/>
          <w:rFonts w:ascii="Times New Roman" w:hAnsi="Times New Roman" w:cs="Times New Roman"/>
          <w:sz w:val="24"/>
          <w:szCs w:val="24"/>
        </w:rPr>
        <w:footnoteReference w:id="4"/>
      </w:r>
      <w:r w:rsidR="00D72313" w:rsidRPr="00C767D6">
        <w:rPr>
          <w:rFonts w:ascii="Times New Roman" w:hAnsi="Times New Roman" w:cs="Times New Roman"/>
          <w:sz w:val="24"/>
          <w:szCs w:val="24"/>
        </w:rPr>
        <w:t xml:space="preserve"> </w:t>
      </w:r>
    </w:p>
    <w:p w14:paraId="4E876C75" w14:textId="2B4A7972" w:rsidR="00D72313" w:rsidRPr="00C767D6" w:rsidRDefault="00D72313" w:rsidP="00DC5E6D">
      <w:pPr>
        <w:jc w:val="both"/>
        <w:rPr>
          <w:rFonts w:ascii="Times New Roman" w:hAnsi="Times New Roman" w:cs="Times New Roman"/>
          <w:sz w:val="24"/>
          <w:szCs w:val="24"/>
        </w:rPr>
      </w:pPr>
      <w:r w:rsidRPr="00C767D6">
        <w:rPr>
          <w:rFonts w:ascii="Times New Roman" w:hAnsi="Times New Roman" w:cs="Times New Roman"/>
          <w:sz w:val="24"/>
          <w:szCs w:val="24"/>
        </w:rPr>
        <w:t>Compared to previous years, in 2020, women’s participation in the labour force decrease</w:t>
      </w:r>
      <w:r w:rsidR="003B50C3">
        <w:rPr>
          <w:rFonts w:ascii="Times New Roman" w:hAnsi="Times New Roman" w:cs="Times New Roman"/>
          <w:sz w:val="24"/>
          <w:szCs w:val="24"/>
        </w:rPr>
        <w:t>d</w:t>
      </w:r>
      <w:r w:rsidRPr="00C767D6">
        <w:rPr>
          <w:rFonts w:ascii="Times New Roman" w:hAnsi="Times New Roman" w:cs="Times New Roman"/>
          <w:sz w:val="24"/>
          <w:szCs w:val="24"/>
        </w:rPr>
        <w:t xml:space="preserve"> as a result of the COVID-19 pandemic. Of all women </w:t>
      </w:r>
      <w:r w:rsidR="0094370F" w:rsidRPr="00C767D6">
        <w:rPr>
          <w:rFonts w:ascii="Times New Roman" w:hAnsi="Times New Roman" w:cs="Times New Roman"/>
          <w:sz w:val="24"/>
          <w:szCs w:val="24"/>
        </w:rPr>
        <w:t xml:space="preserve">of working age, </w:t>
      </w:r>
      <w:r w:rsidR="00720BE5" w:rsidRPr="00C767D6">
        <w:rPr>
          <w:rFonts w:ascii="Times New Roman" w:hAnsi="Times New Roman" w:cs="Times New Roman"/>
          <w:sz w:val="24"/>
          <w:szCs w:val="24"/>
        </w:rPr>
        <w:t xml:space="preserve">women’s participation in the work force dropped from 18 percent in 2019 to 16 percent in 2020. </w:t>
      </w:r>
    </w:p>
    <w:p w14:paraId="60D12F50" w14:textId="3FAD5F20" w:rsidR="00720BE5" w:rsidRPr="00C767D6" w:rsidRDefault="00720BE5" w:rsidP="00DC5E6D">
      <w:pPr>
        <w:jc w:val="both"/>
        <w:rPr>
          <w:rFonts w:ascii="Times New Roman" w:hAnsi="Times New Roman" w:cs="Times New Roman"/>
          <w:sz w:val="24"/>
          <w:szCs w:val="24"/>
        </w:rPr>
      </w:pPr>
      <w:r w:rsidRPr="00C767D6">
        <w:rPr>
          <w:rFonts w:ascii="Times New Roman" w:hAnsi="Times New Roman" w:cs="Times New Roman"/>
          <w:sz w:val="24"/>
          <w:szCs w:val="24"/>
        </w:rPr>
        <w:t>The employment-poverty nexus show</w:t>
      </w:r>
      <w:r w:rsidR="003B50C3">
        <w:rPr>
          <w:rFonts w:ascii="Times New Roman" w:hAnsi="Times New Roman" w:cs="Times New Roman"/>
          <w:sz w:val="24"/>
          <w:szCs w:val="24"/>
        </w:rPr>
        <w:t>ed</w:t>
      </w:r>
      <w:r w:rsidRPr="00C767D6">
        <w:rPr>
          <w:rFonts w:ascii="Times New Roman" w:hAnsi="Times New Roman" w:cs="Times New Roman"/>
          <w:sz w:val="24"/>
          <w:szCs w:val="24"/>
        </w:rPr>
        <w:t xml:space="preserve"> that 30.6 percent of women heads of household were poor in comparison to 29.2 percent of </w:t>
      </w:r>
      <w:r w:rsidR="003B50C3">
        <w:rPr>
          <w:rFonts w:ascii="Times New Roman" w:hAnsi="Times New Roman" w:cs="Times New Roman"/>
          <w:sz w:val="24"/>
          <w:szCs w:val="24"/>
        </w:rPr>
        <w:t xml:space="preserve">poor </w:t>
      </w:r>
      <w:r w:rsidRPr="00C767D6">
        <w:rPr>
          <w:rFonts w:ascii="Times New Roman" w:hAnsi="Times New Roman" w:cs="Times New Roman"/>
          <w:sz w:val="24"/>
          <w:szCs w:val="24"/>
        </w:rPr>
        <w:t>men heads of household. Poverty </w:t>
      </w:r>
      <w:r w:rsidR="003B50C3">
        <w:rPr>
          <w:rFonts w:ascii="Times New Roman" w:hAnsi="Times New Roman" w:cs="Times New Roman"/>
          <w:sz w:val="24"/>
          <w:szCs w:val="24"/>
        </w:rPr>
        <w:t>wa</w:t>
      </w:r>
      <w:r w:rsidRPr="00C767D6">
        <w:rPr>
          <w:rFonts w:ascii="Times New Roman" w:hAnsi="Times New Roman" w:cs="Times New Roman"/>
          <w:sz w:val="24"/>
          <w:szCs w:val="24"/>
        </w:rPr>
        <w:t>s higher among members of households headed by non-participants in the labour force (42.1 percent females and 25.8 males).</w:t>
      </w:r>
      <w:r w:rsidR="001F2CE3" w:rsidRPr="00C767D6">
        <w:rPr>
          <w:rStyle w:val="FootnoteReference"/>
          <w:rFonts w:ascii="Times New Roman" w:hAnsi="Times New Roman" w:cs="Times New Roman"/>
          <w:sz w:val="24"/>
          <w:szCs w:val="24"/>
        </w:rPr>
        <w:footnoteReference w:id="5"/>
      </w:r>
      <w:r w:rsidRPr="00C767D6">
        <w:rPr>
          <w:rFonts w:ascii="Times New Roman" w:hAnsi="Times New Roman" w:cs="Times New Roman"/>
          <w:sz w:val="24"/>
          <w:szCs w:val="24"/>
        </w:rPr>
        <w:t xml:space="preserve"> </w:t>
      </w:r>
    </w:p>
    <w:p w14:paraId="6F16F36D" w14:textId="0D45FA34" w:rsidR="00925ED9" w:rsidRPr="00C767D6" w:rsidRDefault="00925ED9"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According to ICHR monitoring, </w:t>
      </w:r>
      <w:r w:rsidR="007F2383" w:rsidRPr="00C767D6">
        <w:rPr>
          <w:rFonts w:ascii="Times New Roman" w:hAnsi="Times New Roman" w:cs="Times New Roman"/>
          <w:sz w:val="24"/>
          <w:szCs w:val="24"/>
        </w:rPr>
        <w:t>there was a lack of data and studies on services associated the role of women in unpaid care work. A national policy is not in place to align the reality of employment and relevant response</w:t>
      </w:r>
      <w:r w:rsidR="00E83E4D">
        <w:rPr>
          <w:rFonts w:ascii="Times New Roman" w:hAnsi="Times New Roman" w:cs="Times New Roman"/>
          <w:sz w:val="24"/>
          <w:szCs w:val="24"/>
        </w:rPr>
        <w:t>s</w:t>
      </w:r>
      <w:r w:rsidR="007F2383" w:rsidRPr="00C767D6">
        <w:rPr>
          <w:rFonts w:ascii="Times New Roman" w:hAnsi="Times New Roman" w:cs="Times New Roman"/>
          <w:sz w:val="24"/>
          <w:szCs w:val="24"/>
        </w:rPr>
        <w:t xml:space="preserve"> with the requirements of the Convention. The MoWA does not play a role in </w:t>
      </w:r>
      <w:r w:rsidR="00E83E4D">
        <w:rPr>
          <w:rFonts w:ascii="Times New Roman" w:hAnsi="Times New Roman" w:cs="Times New Roman"/>
          <w:sz w:val="24"/>
          <w:szCs w:val="24"/>
        </w:rPr>
        <w:t xml:space="preserve">the making of </w:t>
      </w:r>
      <w:r w:rsidR="007F2383" w:rsidRPr="00C767D6">
        <w:rPr>
          <w:rFonts w:ascii="Times New Roman" w:hAnsi="Times New Roman" w:cs="Times New Roman"/>
          <w:sz w:val="24"/>
          <w:szCs w:val="24"/>
        </w:rPr>
        <w:t xml:space="preserve">gender sensitive policies in care work. </w:t>
      </w:r>
    </w:p>
    <w:p w14:paraId="0886691A" w14:textId="097DD5C7" w:rsidR="007F2383" w:rsidRPr="00C767D6" w:rsidRDefault="007F2383"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The PCBS Labour Force Survey </w:t>
      </w:r>
      <w:r w:rsidR="00E83E4D">
        <w:rPr>
          <w:rFonts w:ascii="Times New Roman" w:hAnsi="Times New Roman" w:cs="Times New Roman"/>
          <w:sz w:val="24"/>
          <w:szCs w:val="24"/>
        </w:rPr>
        <w:t xml:space="preserve">2020 </w:t>
      </w:r>
      <w:r w:rsidRPr="00C767D6">
        <w:rPr>
          <w:rFonts w:ascii="Times New Roman" w:hAnsi="Times New Roman" w:cs="Times New Roman"/>
          <w:sz w:val="24"/>
          <w:szCs w:val="24"/>
        </w:rPr>
        <w:t>show</w:t>
      </w:r>
      <w:r w:rsidR="00E83E4D">
        <w:rPr>
          <w:rFonts w:ascii="Times New Roman" w:hAnsi="Times New Roman" w:cs="Times New Roman"/>
          <w:sz w:val="24"/>
          <w:szCs w:val="24"/>
        </w:rPr>
        <w:t>ed</w:t>
      </w:r>
      <w:r w:rsidRPr="00C767D6">
        <w:rPr>
          <w:rFonts w:ascii="Times New Roman" w:hAnsi="Times New Roman" w:cs="Times New Roman"/>
          <w:sz w:val="24"/>
          <w:szCs w:val="24"/>
        </w:rPr>
        <w:t xml:space="preserve"> that, compared to 23 percent of men with disabilities, the participation of women with disabilities in the Palestinian labour force was just 2 percent of the total number of </w:t>
      </w:r>
      <w:r w:rsidR="00E83E4D">
        <w:rPr>
          <w:rFonts w:ascii="Times New Roman" w:hAnsi="Times New Roman" w:cs="Times New Roman"/>
          <w:sz w:val="24"/>
          <w:szCs w:val="24"/>
        </w:rPr>
        <w:t xml:space="preserve">disabled </w:t>
      </w:r>
      <w:r w:rsidRPr="00C767D6">
        <w:rPr>
          <w:rFonts w:ascii="Times New Roman" w:hAnsi="Times New Roman" w:cs="Times New Roman"/>
          <w:sz w:val="24"/>
          <w:szCs w:val="24"/>
        </w:rPr>
        <w:t>women.</w:t>
      </w:r>
      <w:r w:rsidRPr="00C767D6">
        <w:rPr>
          <w:rStyle w:val="FootnoteReference"/>
          <w:rFonts w:ascii="Times New Roman" w:hAnsi="Times New Roman" w:cs="Times New Roman"/>
          <w:sz w:val="24"/>
          <w:szCs w:val="24"/>
        </w:rPr>
        <w:footnoteReference w:id="6"/>
      </w:r>
      <w:r w:rsidR="00217267" w:rsidRPr="00C767D6">
        <w:rPr>
          <w:rFonts w:ascii="Times New Roman" w:hAnsi="Times New Roman" w:cs="Times New Roman"/>
          <w:sz w:val="24"/>
          <w:szCs w:val="24"/>
        </w:rPr>
        <w:t xml:space="preserve"> </w:t>
      </w:r>
    </w:p>
    <w:p w14:paraId="0A7DC4B9" w14:textId="414B40DD" w:rsidR="00217267" w:rsidRPr="00E83E4D" w:rsidRDefault="00217267" w:rsidP="00DC5E6D">
      <w:pPr>
        <w:jc w:val="both"/>
        <w:rPr>
          <w:rFonts w:ascii="Times New Roman" w:hAnsi="Times New Roman" w:cs="Times New Roman"/>
          <w:b/>
          <w:bCs/>
          <w:sz w:val="24"/>
          <w:szCs w:val="24"/>
        </w:rPr>
      </w:pPr>
      <w:r w:rsidRPr="00E83E4D">
        <w:rPr>
          <w:rFonts w:ascii="Times New Roman" w:hAnsi="Times New Roman" w:cs="Times New Roman"/>
          <w:b/>
          <w:bCs/>
          <w:sz w:val="24"/>
          <w:szCs w:val="24"/>
        </w:rPr>
        <w:t xml:space="preserve">Access to justice </w:t>
      </w:r>
    </w:p>
    <w:p w14:paraId="7F042AA2" w14:textId="5E87D641" w:rsidR="00217267" w:rsidRPr="00C767D6" w:rsidRDefault="00217267"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In 2020, the ICHR conducted a survey on access to justice for women </w:t>
      </w:r>
      <w:r w:rsidR="001E5280" w:rsidRPr="00C767D6">
        <w:rPr>
          <w:rFonts w:ascii="Times New Roman" w:hAnsi="Times New Roman" w:cs="Times New Roman"/>
          <w:sz w:val="24"/>
          <w:szCs w:val="24"/>
        </w:rPr>
        <w:t xml:space="preserve">detained in correction and rehabilitation centres throughout the West Bank and Gaza Strip. As at the time of </w:t>
      </w:r>
      <w:r w:rsidR="00E83E4D">
        <w:rPr>
          <w:rFonts w:ascii="Times New Roman" w:hAnsi="Times New Roman" w:cs="Times New Roman"/>
          <w:sz w:val="24"/>
          <w:szCs w:val="24"/>
        </w:rPr>
        <w:t xml:space="preserve">the </w:t>
      </w:r>
      <w:r w:rsidR="001E5280" w:rsidRPr="00C767D6">
        <w:rPr>
          <w:rFonts w:ascii="Times New Roman" w:hAnsi="Times New Roman" w:cs="Times New Roman"/>
          <w:sz w:val="24"/>
          <w:szCs w:val="24"/>
        </w:rPr>
        <w:t xml:space="preserve">assessment, there were 63 female inmates, including 35 in the West Bank and 28 in the Gaza Strip. </w:t>
      </w:r>
    </w:p>
    <w:p w14:paraId="0770CF84" w14:textId="5925D9A2" w:rsidR="001E5280" w:rsidRPr="00C767D6" w:rsidRDefault="001E5280"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A tool was designed to assess the alignment of protection homes and shelters with international standards using international conventions, particularly recommendations of the Committee. Reference was also made to </w:t>
      </w:r>
      <w:r w:rsidR="00A63A25" w:rsidRPr="00C767D6">
        <w:rPr>
          <w:rFonts w:ascii="Times New Roman" w:hAnsi="Times New Roman" w:cs="Times New Roman"/>
          <w:sz w:val="24"/>
          <w:szCs w:val="24"/>
        </w:rPr>
        <w:t xml:space="preserve">international standards, including United Nations Rules for the Treatment of Women Prisoners and Non-custodial Measures for Women Offenders. </w:t>
      </w:r>
    </w:p>
    <w:p w14:paraId="1C1B085A" w14:textId="49D6A4E4" w:rsidR="00A63A25" w:rsidRPr="00C767D6" w:rsidRDefault="00A63A25" w:rsidP="00DC5E6D">
      <w:pPr>
        <w:jc w:val="both"/>
        <w:rPr>
          <w:rFonts w:ascii="Times New Roman" w:hAnsi="Times New Roman" w:cs="Times New Roman"/>
          <w:sz w:val="24"/>
          <w:szCs w:val="24"/>
        </w:rPr>
      </w:pPr>
      <w:r w:rsidRPr="00C767D6">
        <w:rPr>
          <w:rFonts w:ascii="Times New Roman" w:hAnsi="Times New Roman" w:cs="Times New Roman"/>
          <w:sz w:val="24"/>
          <w:szCs w:val="24"/>
        </w:rPr>
        <w:t xml:space="preserve">Many gaps </w:t>
      </w:r>
      <w:r w:rsidR="00E83E4D">
        <w:rPr>
          <w:rFonts w:ascii="Times New Roman" w:hAnsi="Times New Roman" w:cs="Times New Roman"/>
          <w:sz w:val="24"/>
          <w:szCs w:val="24"/>
        </w:rPr>
        <w:t xml:space="preserve">in </w:t>
      </w:r>
      <w:r w:rsidR="00C767D6" w:rsidRPr="00C767D6">
        <w:rPr>
          <w:rFonts w:ascii="Times New Roman" w:hAnsi="Times New Roman" w:cs="Times New Roman"/>
          <w:sz w:val="24"/>
          <w:szCs w:val="24"/>
        </w:rPr>
        <w:t>women’s access to justice ca</w:t>
      </w:r>
      <w:r w:rsidRPr="00C767D6">
        <w:rPr>
          <w:rFonts w:ascii="Times New Roman" w:hAnsi="Times New Roman" w:cs="Times New Roman"/>
          <w:sz w:val="24"/>
          <w:szCs w:val="24"/>
        </w:rPr>
        <w:t>me to the fore</w:t>
      </w:r>
      <w:r w:rsidR="00C767D6" w:rsidRPr="00C767D6">
        <w:rPr>
          <w:rFonts w:ascii="Times New Roman" w:hAnsi="Times New Roman" w:cs="Times New Roman"/>
          <w:sz w:val="24"/>
          <w:szCs w:val="24"/>
        </w:rPr>
        <w:t xml:space="preserve">. Female inmates’ access to justice represented 44.8 percent during pretrial detention in different detention places, including police holding cells, 25.4 percent when brought before the Public Prosecution, 44.3 percent when put on trial before courts, and 61.9 percent when held in </w:t>
      </w:r>
      <w:r w:rsidR="00E83E4D">
        <w:rPr>
          <w:rFonts w:ascii="Times New Roman" w:hAnsi="Times New Roman" w:cs="Times New Roman"/>
          <w:sz w:val="24"/>
          <w:szCs w:val="24"/>
        </w:rPr>
        <w:t xml:space="preserve">a </w:t>
      </w:r>
      <w:r w:rsidR="00C767D6" w:rsidRPr="00C767D6">
        <w:rPr>
          <w:rFonts w:ascii="Times New Roman" w:hAnsi="Times New Roman" w:cs="Times New Roman"/>
          <w:sz w:val="24"/>
          <w:szCs w:val="24"/>
        </w:rPr>
        <w:t xml:space="preserve">correction and rehabilitation centre. </w:t>
      </w:r>
    </w:p>
    <w:p w14:paraId="772E1CA1" w14:textId="563C6C77" w:rsidR="00206018" w:rsidRDefault="00E86A1C" w:rsidP="00DC5E6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ICHR assessment also unveiled many gaps in the </w:t>
      </w:r>
      <w:r w:rsidRPr="00E86A1C">
        <w:rPr>
          <w:rFonts w:ascii="Times New Roman" w:hAnsi="Times New Roman" w:cs="Times New Roman"/>
          <w:sz w:val="24"/>
          <w:szCs w:val="24"/>
        </w:rPr>
        <w:t>application of due process of law</w:t>
      </w:r>
      <w:r>
        <w:rPr>
          <w:rFonts w:ascii="Times New Roman" w:hAnsi="Times New Roman" w:cs="Times New Roman"/>
          <w:sz w:val="24"/>
          <w:szCs w:val="24"/>
        </w:rPr>
        <w:t xml:space="preserve">. Police personnel did not make clear the legal rights of, and charges imputed to, female inmates. Prosecutors did not interrogate inmates in the presence of a legal counsel. Poor attention was paid to arrangements for </w:t>
      </w:r>
      <w:r w:rsidRPr="00E86A1C">
        <w:rPr>
          <w:rFonts w:ascii="Times New Roman" w:hAnsi="Times New Roman" w:cs="Times New Roman"/>
          <w:sz w:val="24"/>
          <w:szCs w:val="24"/>
        </w:rPr>
        <w:t>consultation with a psychiatrist</w:t>
      </w:r>
      <w:r>
        <w:rPr>
          <w:rFonts w:ascii="Times New Roman" w:hAnsi="Times New Roman" w:cs="Times New Roman"/>
          <w:sz w:val="24"/>
          <w:szCs w:val="24"/>
        </w:rPr>
        <w:t xml:space="preserve"> to examine </w:t>
      </w:r>
      <w:r w:rsidR="00206018">
        <w:rPr>
          <w:rFonts w:ascii="Times New Roman" w:hAnsi="Times New Roman" w:cs="Times New Roman"/>
          <w:sz w:val="24"/>
          <w:szCs w:val="24"/>
        </w:rPr>
        <w:t xml:space="preserve">if </w:t>
      </w:r>
      <w:r w:rsidR="00E83E4D">
        <w:rPr>
          <w:rFonts w:ascii="Times New Roman" w:hAnsi="Times New Roman" w:cs="Times New Roman"/>
          <w:sz w:val="24"/>
          <w:szCs w:val="24"/>
        </w:rPr>
        <w:t xml:space="preserve">inmate were </w:t>
      </w:r>
      <w:r w:rsidR="00206018">
        <w:rPr>
          <w:rFonts w:ascii="Times New Roman" w:hAnsi="Times New Roman" w:cs="Times New Roman"/>
          <w:sz w:val="24"/>
          <w:szCs w:val="24"/>
        </w:rPr>
        <w:t xml:space="preserve">psychologically fit </w:t>
      </w:r>
      <w:r w:rsidR="00E83E4D">
        <w:rPr>
          <w:rFonts w:ascii="Times New Roman" w:hAnsi="Times New Roman" w:cs="Times New Roman"/>
          <w:sz w:val="24"/>
          <w:szCs w:val="24"/>
        </w:rPr>
        <w:t xml:space="preserve">and </w:t>
      </w:r>
      <w:r w:rsidR="00206018">
        <w:rPr>
          <w:rFonts w:ascii="Times New Roman" w:hAnsi="Times New Roman" w:cs="Times New Roman"/>
          <w:sz w:val="24"/>
          <w:szCs w:val="24"/>
        </w:rPr>
        <w:t xml:space="preserve">legally legible for judicial proceedings. </w:t>
      </w:r>
    </w:p>
    <w:p w14:paraId="3FA2B813" w14:textId="22F149D8" w:rsidR="00C767D6" w:rsidRDefault="00206018" w:rsidP="00DC5E6D">
      <w:pPr>
        <w:jc w:val="both"/>
        <w:rPr>
          <w:rFonts w:ascii="Times New Roman" w:hAnsi="Times New Roman" w:cs="Times New Roman"/>
          <w:sz w:val="24"/>
          <w:szCs w:val="24"/>
        </w:rPr>
      </w:pPr>
      <w:r>
        <w:rPr>
          <w:rFonts w:ascii="Times New Roman" w:hAnsi="Times New Roman" w:cs="Times New Roman"/>
          <w:sz w:val="24"/>
          <w:szCs w:val="24"/>
        </w:rPr>
        <w:t xml:space="preserve">Against this backdrop, the ICHR recommends that the </w:t>
      </w:r>
      <w:r w:rsidR="00E83E4D">
        <w:rPr>
          <w:rFonts w:ascii="Times New Roman" w:hAnsi="Times New Roman" w:cs="Times New Roman"/>
          <w:sz w:val="24"/>
          <w:szCs w:val="24"/>
        </w:rPr>
        <w:t>C</w:t>
      </w:r>
      <w:r>
        <w:rPr>
          <w:rFonts w:ascii="Times New Roman" w:hAnsi="Times New Roman" w:cs="Times New Roman"/>
          <w:sz w:val="24"/>
          <w:szCs w:val="24"/>
        </w:rPr>
        <w:t>ommittee urge the State of Palestine to apply best practices under human rights conventions while handling cases of violence against women.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00E940B4">
        <w:rPr>
          <w:rFonts w:ascii="Times New Roman" w:hAnsi="Times New Roman" w:cs="Times New Roman"/>
          <w:sz w:val="24"/>
          <w:szCs w:val="24"/>
        </w:rPr>
        <w:t xml:space="preserve">The State of Palestine will ensure that proactive policies and processes are integrated and mainstreamed to institutionalise the protection and support of women’s rights under the existing legal and justice systems. The Palestinian government needs to finalise the training law enforcement personnel on the rights of women, including female detainees. Particular attention will be paid to </w:t>
      </w:r>
      <w:r w:rsidR="00B33FD8">
        <w:rPr>
          <w:rFonts w:ascii="Times New Roman" w:hAnsi="Times New Roman" w:cs="Times New Roman"/>
          <w:sz w:val="24"/>
          <w:szCs w:val="24"/>
        </w:rPr>
        <w:t xml:space="preserve">the </w:t>
      </w:r>
      <w:r w:rsidR="00B33FD8" w:rsidRPr="00B33FD8">
        <w:rPr>
          <w:rFonts w:ascii="Times New Roman" w:hAnsi="Times New Roman" w:cs="Times New Roman"/>
          <w:sz w:val="24"/>
          <w:szCs w:val="24"/>
        </w:rPr>
        <w:t xml:space="preserve">general recommendation No. </w:t>
      </w:r>
      <w:r w:rsidR="00B33FD8">
        <w:rPr>
          <w:rFonts w:ascii="Times New Roman" w:hAnsi="Times New Roman" w:cs="Times New Roman"/>
          <w:sz w:val="24"/>
          <w:szCs w:val="24"/>
        </w:rPr>
        <w:t>30</w:t>
      </w:r>
      <w:r w:rsidR="00B33FD8" w:rsidRPr="00B33FD8">
        <w:rPr>
          <w:rFonts w:ascii="Times New Roman" w:hAnsi="Times New Roman" w:cs="Times New Roman"/>
          <w:sz w:val="24"/>
          <w:szCs w:val="24"/>
        </w:rPr>
        <w:t xml:space="preserve"> (20</w:t>
      </w:r>
      <w:r w:rsidR="00B33FD8">
        <w:rPr>
          <w:rFonts w:ascii="Times New Roman" w:hAnsi="Times New Roman" w:cs="Times New Roman"/>
          <w:sz w:val="24"/>
          <w:szCs w:val="24"/>
        </w:rPr>
        <w:t>15</w:t>
      </w:r>
      <w:r w:rsidR="00B33FD8" w:rsidRPr="00B33FD8">
        <w:rPr>
          <w:rFonts w:ascii="Times New Roman" w:hAnsi="Times New Roman" w:cs="Times New Roman"/>
          <w:sz w:val="24"/>
          <w:szCs w:val="24"/>
        </w:rPr>
        <w:t>) of the Convention</w:t>
      </w:r>
      <w:r w:rsidR="00B33FD8">
        <w:rPr>
          <w:rFonts w:ascii="Times New Roman" w:hAnsi="Times New Roman" w:cs="Times New Roman"/>
          <w:sz w:val="24"/>
          <w:szCs w:val="24"/>
        </w:rPr>
        <w:t xml:space="preserve"> and </w:t>
      </w:r>
      <w:r w:rsidR="00B33FD8" w:rsidRPr="00B33FD8">
        <w:rPr>
          <w:rFonts w:ascii="Times New Roman" w:hAnsi="Times New Roman" w:cs="Times New Roman"/>
          <w:sz w:val="24"/>
          <w:szCs w:val="24"/>
        </w:rPr>
        <w:t>Model Strategies and Practical Measures on the Elimination of Violence against Women in the Field of Crime Prevention and Criminal Justice</w:t>
      </w:r>
      <w:r w:rsidR="00B33FD8">
        <w:rPr>
          <w:rFonts w:ascii="Times New Roman" w:hAnsi="Times New Roman" w:cs="Times New Roman"/>
          <w:sz w:val="24"/>
          <w:szCs w:val="24"/>
        </w:rPr>
        <w:t xml:space="preserve"> (UN General Assembly Resolution </w:t>
      </w:r>
      <w:r w:rsidR="00637FF8" w:rsidRPr="00637FF8">
        <w:rPr>
          <w:rFonts w:ascii="Times New Roman" w:hAnsi="Times New Roman" w:cs="Times New Roman"/>
          <w:sz w:val="24"/>
          <w:szCs w:val="24"/>
        </w:rPr>
        <w:t>A/RES/65/228</w:t>
      </w:r>
      <w:r w:rsidR="00B33FD8">
        <w:rPr>
          <w:rFonts w:ascii="Times New Roman" w:hAnsi="Times New Roman" w:cs="Times New Roman"/>
          <w:sz w:val="24"/>
          <w:szCs w:val="24"/>
        </w:rPr>
        <w:t xml:space="preserve">). </w:t>
      </w:r>
    </w:p>
    <w:p w14:paraId="7ED20693" w14:textId="16EA13D5" w:rsidR="00B33FD8" w:rsidRPr="00637FF8" w:rsidRDefault="00B33FD8" w:rsidP="00DC5E6D">
      <w:pPr>
        <w:jc w:val="both"/>
        <w:rPr>
          <w:rFonts w:ascii="Times New Roman" w:hAnsi="Times New Roman" w:cs="Times New Roman"/>
          <w:b/>
          <w:bCs/>
          <w:sz w:val="24"/>
          <w:szCs w:val="24"/>
        </w:rPr>
      </w:pPr>
      <w:r w:rsidRPr="00637FF8">
        <w:rPr>
          <w:rFonts w:ascii="Times New Roman" w:hAnsi="Times New Roman" w:cs="Times New Roman"/>
          <w:b/>
          <w:bCs/>
          <w:sz w:val="24"/>
          <w:szCs w:val="24"/>
        </w:rPr>
        <w:t xml:space="preserve">Protection of </w:t>
      </w:r>
      <w:r w:rsidR="00B83895" w:rsidRPr="00637FF8">
        <w:rPr>
          <w:rFonts w:ascii="Times New Roman" w:hAnsi="Times New Roman" w:cs="Times New Roman"/>
          <w:b/>
          <w:bCs/>
          <w:sz w:val="24"/>
          <w:szCs w:val="24"/>
        </w:rPr>
        <w:t xml:space="preserve">women </w:t>
      </w:r>
      <w:r w:rsidRPr="00637FF8">
        <w:rPr>
          <w:rFonts w:ascii="Times New Roman" w:hAnsi="Times New Roman" w:cs="Times New Roman"/>
          <w:b/>
          <w:bCs/>
          <w:sz w:val="24"/>
          <w:szCs w:val="24"/>
        </w:rPr>
        <w:t xml:space="preserve">human rights defenders </w:t>
      </w:r>
    </w:p>
    <w:p w14:paraId="73AEA615" w14:textId="55ACCD26" w:rsidR="00B33FD8" w:rsidRDefault="00095D70" w:rsidP="00DC5E6D">
      <w:pPr>
        <w:jc w:val="both"/>
        <w:rPr>
          <w:rFonts w:ascii="Times New Roman" w:hAnsi="Times New Roman" w:cs="Times New Roman"/>
          <w:sz w:val="24"/>
          <w:szCs w:val="24"/>
        </w:rPr>
      </w:pPr>
      <w:r>
        <w:rPr>
          <w:rFonts w:ascii="Times New Roman" w:hAnsi="Times New Roman" w:cs="Times New Roman"/>
          <w:sz w:val="24"/>
          <w:szCs w:val="24"/>
        </w:rPr>
        <w:t xml:space="preserve">Effective legislation lacks a legal framework to ensure protection of male and </w:t>
      </w:r>
      <w:r w:rsidR="00637FF8">
        <w:rPr>
          <w:rFonts w:ascii="Times New Roman" w:hAnsi="Times New Roman" w:cs="Times New Roman"/>
          <w:sz w:val="24"/>
          <w:szCs w:val="24"/>
        </w:rPr>
        <w:t>female</w:t>
      </w:r>
      <w:r w:rsidR="00B83895">
        <w:rPr>
          <w:rFonts w:ascii="Times New Roman" w:hAnsi="Times New Roman" w:cs="Times New Roman"/>
          <w:sz w:val="24"/>
          <w:szCs w:val="24"/>
        </w:rPr>
        <w:t xml:space="preserve"> </w:t>
      </w:r>
      <w:r>
        <w:rPr>
          <w:rFonts w:ascii="Times New Roman" w:hAnsi="Times New Roman" w:cs="Times New Roman"/>
          <w:sz w:val="24"/>
          <w:szCs w:val="24"/>
        </w:rPr>
        <w:t xml:space="preserve">human rights defenders, nor is it adequate to guarantee such protection. The Palestinian government has not put in place a national strategy for the protection of human rights defenders. Protection is not provided to </w:t>
      </w:r>
      <w:r w:rsidR="00B83895">
        <w:rPr>
          <w:rFonts w:ascii="Times New Roman" w:hAnsi="Times New Roman" w:cs="Times New Roman"/>
          <w:sz w:val="24"/>
          <w:szCs w:val="24"/>
        </w:rPr>
        <w:t xml:space="preserve">women </w:t>
      </w:r>
      <w:r>
        <w:rPr>
          <w:rFonts w:ascii="Times New Roman" w:hAnsi="Times New Roman" w:cs="Times New Roman"/>
          <w:sz w:val="24"/>
          <w:szCs w:val="24"/>
        </w:rPr>
        <w:t xml:space="preserve">human rights </w:t>
      </w:r>
      <w:proofErr w:type="gramStart"/>
      <w:r>
        <w:rPr>
          <w:rFonts w:ascii="Times New Roman" w:hAnsi="Times New Roman" w:cs="Times New Roman"/>
          <w:sz w:val="24"/>
          <w:szCs w:val="24"/>
        </w:rPr>
        <w:t>defenders,</w:t>
      </w:r>
      <w:proofErr w:type="gramEnd"/>
      <w:r>
        <w:rPr>
          <w:rFonts w:ascii="Times New Roman" w:hAnsi="Times New Roman" w:cs="Times New Roman"/>
          <w:sz w:val="24"/>
          <w:szCs w:val="24"/>
        </w:rPr>
        <w:t xml:space="preserve"> whose lives are at risk. </w:t>
      </w:r>
    </w:p>
    <w:p w14:paraId="22681132" w14:textId="2F3BF549" w:rsidR="00095D70" w:rsidRDefault="00095D70" w:rsidP="00DC5E6D">
      <w:pPr>
        <w:jc w:val="both"/>
        <w:rPr>
          <w:rFonts w:ascii="Times New Roman" w:hAnsi="Times New Roman" w:cs="Times New Roman"/>
          <w:sz w:val="24"/>
          <w:szCs w:val="24"/>
        </w:rPr>
      </w:pPr>
      <w:r>
        <w:rPr>
          <w:rFonts w:ascii="Times New Roman" w:hAnsi="Times New Roman" w:cs="Times New Roman"/>
          <w:sz w:val="24"/>
          <w:szCs w:val="24"/>
        </w:rPr>
        <w:t xml:space="preserve">In 2019, many </w:t>
      </w:r>
      <w:r w:rsidR="00B83895">
        <w:rPr>
          <w:rFonts w:ascii="Times New Roman" w:hAnsi="Times New Roman" w:cs="Times New Roman"/>
          <w:sz w:val="24"/>
          <w:szCs w:val="24"/>
        </w:rPr>
        <w:t xml:space="preserve">women </w:t>
      </w:r>
      <w:r>
        <w:rPr>
          <w:rFonts w:ascii="Times New Roman" w:hAnsi="Times New Roman" w:cs="Times New Roman"/>
          <w:sz w:val="24"/>
          <w:szCs w:val="24"/>
        </w:rPr>
        <w:t xml:space="preserve">human rights defenders, lawyers, and women’s organisations </w:t>
      </w:r>
      <w:r w:rsidRPr="00095D70">
        <w:rPr>
          <w:rFonts w:ascii="Times New Roman" w:hAnsi="Times New Roman" w:cs="Times New Roman"/>
          <w:sz w:val="24"/>
          <w:szCs w:val="24"/>
        </w:rPr>
        <w:t>c</w:t>
      </w:r>
      <w:r>
        <w:rPr>
          <w:rFonts w:ascii="Times New Roman" w:hAnsi="Times New Roman" w:cs="Times New Roman"/>
          <w:sz w:val="24"/>
          <w:szCs w:val="24"/>
        </w:rPr>
        <w:t>a</w:t>
      </w:r>
      <w:r w:rsidRPr="00095D70">
        <w:rPr>
          <w:rFonts w:ascii="Times New Roman" w:hAnsi="Times New Roman" w:cs="Times New Roman"/>
          <w:sz w:val="24"/>
          <w:szCs w:val="24"/>
        </w:rPr>
        <w:t xml:space="preserve">me under </w:t>
      </w:r>
      <w:r>
        <w:rPr>
          <w:rFonts w:ascii="Times New Roman" w:hAnsi="Times New Roman" w:cs="Times New Roman"/>
          <w:sz w:val="24"/>
          <w:szCs w:val="24"/>
        </w:rPr>
        <w:t xml:space="preserve">a </w:t>
      </w:r>
      <w:r w:rsidRPr="00095D70">
        <w:rPr>
          <w:rFonts w:ascii="Times New Roman" w:hAnsi="Times New Roman" w:cs="Times New Roman"/>
          <w:sz w:val="24"/>
          <w:szCs w:val="24"/>
        </w:rPr>
        <w:t>ferocious attack</w:t>
      </w:r>
      <w:r>
        <w:rPr>
          <w:rFonts w:ascii="Times New Roman" w:hAnsi="Times New Roman" w:cs="Times New Roman"/>
          <w:sz w:val="24"/>
          <w:szCs w:val="24"/>
        </w:rPr>
        <w:t xml:space="preserve"> by the Islamic </w:t>
      </w:r>
      <w:proofErr w:type="spellStart"/>
      <w:r w:rsidRPr="00095D70">
        <w:rPr>
          <w:rFonts w:ascii="Times New Roman" w:hAnsi="Times New Roman" w:cs="Times New Roman"/>
          <w:sz w:val="24"/>
          <w:szCs w:val="24"/>
        </w:rPr>
        <w:t>Hizb</w:t>
      </w:r>
      <w:proofErr w:type="spellEnd"/>
      <w:r w:rsidRPr="00095D70">
        <w:rPr>
          <w:rFonts w:ascii="Times New Roman" w:hAnsi="Times New Roman" w:cs="Times New Roman"/>
          <w:sz w:val="24"/>
          <w:szCs w:val="24"/>
        </w:rPr>
        <w:t xml:space="preserve"> </w:t>
      </w:r>
      <w:r>
        <w:rPr>
          <w:rFonts w:ascii="Times New Roman" w:hAnsi="Times New Roman" w:cs="Times New Roman"/>
          <w:sz w:val="24"/>
          <w:szCs w:val="24"/>
        </w:rPr>
        <w:t>a</w:t>
      </w:r>
      <w:r w:rsidRPr="00095D70">
        <w:rPr>
          <w:rFonts w:ascii="Times New Roman" w:hAnsi="Times New Roman" w:cs="Times New Roman"/>
          <w:sz w:val="24"/>
          <w:szCs w:val="24"/>
        </w:rPr>
        <w:t>t-Tahrir (Party of Liberation)</w:t>
      </w:r>
      <w:r>
        <w:rPr>
          <w:rFonts w:ascii="Times New Roman" w:hAnsi="Times New Roman" w:cs="Times New Roman"/>
          <w:sz w:val="24"/>
          <w:szCs w:val="24"/>
        </w:rPr>
        <w:t xml:space="preserve"> and other traditional forces. </w:t>
      </w:r>
      <w:r w:rsidR="00681747">
        <w:rPr>
          <w:rFonts w:ascii="Times New Roman" w:hAnsi="Times New Roman" w:cs="Times New Roman"/>
          <w:sz w:val="24"/>
          <w:szCs w:val="24"/>
        </w:rPr>
        <w:t>I</w:t>
      </w:r>
      <w:r>
        <w:rPr>
          <w:rFonts w:ascii="Times New Roman" w:hAnsi="Times New Roman" w:cs="Times New Roman"/>
          <w:sz w:val="24"/>
          <w:szCs w:val="24"/>
        </w:rPr>
        <w:t>nvolv</w:t>
      </w:r>
      <w:r w:rsidR="00681747">
        <w:rPr>
          <w:rFonts w:ascii="Times New Roman" w:hAnsi="Times New Roman" w:cs="Times New Roman"/>
          <w:sz w:val="24"/>
          <w:szCs w:val="24"/>
        </w:rPr>
        <w:t>ing</w:t>
      </w:r>
      <w:r>
        <w:rPr>
          <w:rFonts w:ascii="Times New Roman" w:hAnsi="Times New Roman" w:cs="Times New Roman"/>
          <w:sz w:val="24"/>
          <w:szCs w:val="24"/>
        </w:rPr>
        <w:t xml:space="preserve"> mass sit-in protests </w:t>
      </w:r>
      <w:r w:rsidR="00681747">
        <w:rPr>
          <w:rFonts w:ascii="Times New Roman" w:hAnsi="Times New Roman" w:cs="Times New Roman"/>
          <w:sz w:val="24"/>
          <w:szCs w:val="24"/>
        </w:rPr>
        <w:t xml:space="preserve">on the streets and </w:t>
      </w:r>
      <w:r w:rsidR="00681747" w:rsidRPr="00681747">
        <w:rPr>
          <w:rFonts w:ascii="Times New Roman" w:hAnsi="Times New Roman" w:cs="Times New Roman"/>
          <w:sz w:val="24"/>
          <w:szCs w:val="24"/>
        </w:rPr>
        <w:t xml:space="preserve">in </w:t>
      </w:r>
      <w:r w:rsidR="00681747">
        <w:rPr>
          <w:rFonts w:ascii="Times New Roman" w:hAnsi="Times New Roman" w:cs="Times New Roman"/>
          <w:sz w:val="24"/>
          <w:szCs w:val="24"/>
        </w:rPr>
        <w:t xml:space="preserve">the </w:t>
      </w:r>
      <w:r w:rsidR="00681747" w:rsidRPr="00681747">
        <w:rPr>
          <w:rFonts w:ascii="Times New Roman" w:hAnsi="Times New Roman" w:cs="Times New Roman"/>
          <w:sz w:val="24"/>
          <w:szCs w:val="24"/>
        </w:rPr>
        <w:t>virtual space</w:t>
      </w:r>
      <w:r w:rsidR="00681747">
        <w:rPr>
          <w:rFonts w:ascii="Times New Roman" w:hAnsi="Times New Roman" w:cs="Times New Roman"/>
          <w:sz w:val="24"/>
          <w:szCs w:val="24"/>
        </w:rPr>
        <w:t xml:space="preserve">, the assault aimed at demonising the Convention as well as those institutions and persons who call for implementation of the Convention. The attack featured various threats, intimidation, and </w:t>
      </w:r>
      <w:r w:rsidR="00681747" w:rsidRPr="00681747">
        <w:rPr>
          <w:rFonts w:ascii="Times New Roman" w:hAnsi="Times New Roman" w:cs="Times New Roman"/>
          <w:sz w:val="24"/>
          <w:szCs w:val="24"/>
        </w:rPr>
        <w:t>label</w:t>
      </w:r>
      <w:r w:rsidR="00681747">
        <w:rPr>
          <w:rFonts w:ascii="Times New Roman" w:hAnsi="Times New Roman" w:cs="Times New Roman"/>
          <w:sz w:val="24"/>
          <w:szCs w:val="24"/>
        </w:rPr>
        <w:t>l</w:t>
      </w:r>
      <w:r w:rsidR="00681747" w:rsidRPr="00681747">
        <w:rPr>
          <w:rFonts w:ascii="Times New Roman" w:hAnsi="Times New Roman" w:cs="Times New Roman"/>
          <w:sz w:val="24"/>
          <w:szCs w:val="24"/>
        </w:rPr>
        <w:t>ing as unbeliever</w:t>
      </w:r>
      <w:r w:rsidR="00681747">
        <w:rPr>
          <w:rFonts w:ascii="Times New Roman" w:hAnsi="Times New Roman" w:cs="Times New Roman"/>
          <w:sz w:val="24"/>
          <w:szCs w:val="24"/>
        </w:rPr>
        <w:t xml:space="preserve"> </w:t>
      </w:r>
      <w:r w:rsidR="00DE5746">
        <w:rPr>
          <w:rFonts w:ascii="Times New Roman" w:hAnsi="Times New Roman" w:cs="Times New Roman"/>
          <w:sz w:val="24"/>
          <w:szCs w:val="24"/>
        </w:rPr>
        <w:t xml:space="preserve">of </w:t>
      </w:r>
      <w:r w:rsidR="00681747">
        <w:rPr>
          <w:rFonts w:ascii="Times New Roman" w:hAnsi="Times New Roman" w:cs="Times New Roman"/>
          <w:sz w:val="24"/>
          <w:szCs w:val="24"/>
        </w:rPr>
        <w:t xml:space="preserve">those who called for enforcing the Law by Decree on Family Protection against Violence and applying the Convention. The offensive has continued as at the time of reporting. </w:t>
      </w:r>
    </w:p>
    <w:p w14:paraId="1EF3244B" w14:textId="56D02861" w:rsidR="00681747" w:rsidRDefault="00681747" w:rsidP="00DC5E6D">
      <w:pPr>
        <w:jc w:val="both"/>
        <w:rPr>
          <w:rFonts w:ascii="Times New Roman" w:hAnsi="Times New Roman" w:cs="Times New Roman"/>
          <w:sz w:val="24"/>
          <w:szCs w:val="24"/>
        </w:rPr>
      </w:pPr>
      <w:r>
        <w:rPr>
          <w:rFonts w:ascii="Times New Roman" w:hAnsi="Times New Roman" w:cs="Times New Roman"/>
          <w:sz w:val="24"/>
          <w:szCs w:val="24"/>
        </w:rPr>
        <w:t xml:space="preserve">The government has not provided adequate protection to Palestinian </w:t>
      </w:r>
      <w:r w:rsidR="00DE5746">
        <w:rPr>
          <w:rFonts w:ascii="Times New Roman" w:hAnsi="Times New Roman" w:cs="Times New Roman"/>
          <w:sz w:val="24"/>
          <w:szCs w:val="24"/>
        </w:rPr>
        <w:t xml:space="preserve">women </w:t>
      </w:r>
      <w:r>
        <w:rPr>
          <w:rFonts w:ascii="Times New Roman" w:hAnsi="Times New Roman" w:cs="Times New Roman"/>
          <w:sz w:val="24"/>
          <w:szCs w:val="24"/>
        </w:rPr>
        <w:t xml:space="preserve">human rights defender. It also </w:t>
      </w:r>
      <w:r w:rsidR="00E6324A">
        <w:rPr>
          <w:rFonts w:ascii="Times New Roman" w:hAnsi="Times New Roman" w:cs="Times New Roman"/>
          <w:sz w:val="24"/>
          <w:szCs w:val="24"/>
        </w:rPr>
        <w:t>receded f</w:t>
      </w:r>
      <w:r w:rsidR="00DE5746">
        <w:rPr>
          <w:rFonts w:ascii="Times New Roman" w:hAnsi="Times New Roman" w:cs="Times New Roman"/>
          <w:sz w:val="24"/>
          <w:szCs w:val="24"/>
        </w:rPr>
        <w:t>rom</w:t>
      </w:r>
      <w:r w:rsidR="00E6324A">
        <w:rPr>
          <w:rFonts w:ascii="Times New Roman" w:hAnsi="Times New Roman" w:cs="Times New Roman"/>
          <w:sz w:val="24"/>
          <w:szCs w:val="24"/>
        </w:rPr>
        <w:t xml:space="preserve"> discussions of the Draft Law by Decree on Family Protection against Violence as well as from harmonising discriminat</w:t>
      </w:r>
      <w:r w:rsidR="00DE5746">
        <w:rPr>
          <w:rFonts w:ascii="Times New Roman" w:hAnsi="Times New Roman" w:cs="Times New Roman"/>
          <w:sz w:val="24"/>
          <w:szCs w:val="24"/>
        </w:rPr>
        <w:t xml:space="preserve">ory </w:t>
      </w:r>
      <w:r w:rsidR="00E6324A">
        <w:rPr>
          <w:rFonts w:ascii="Times New Roman" w:hAnsi="Times New Roman" w:cs="Times New Roman"/>
          <w:sz w:val="24"/>
          <w:szCs w:val="24"/>
        </w:rPr>
        <w:t xml:space="preserve">legislation in accordance with the Convention. </w:t>
      </w:r>
    </w:p>
    <w:p w14:paraId="02196709" w14:textId="1EFF22B0" w:rsidR="00E6324A" w:rsidRDefault="00E6324A" w:rsidP="00DC5E6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Additionally, law enforcement agencies assaulted a number of female journalists on duty. The ICHR received 10 complaints from female journalists, who had been beaten, verbally abused, and had their mobile </w:t>
      </w:r>
      <w:r w:rsidR="00576F98">
        <w:rPr>
          <w:rFonts w:ascii="Times New Roman" w:hAnsi="Times New Roman" w:cs="Times New Roman"/>
          <w:sz w:val="24"/>
          <w:szCs w:val="24"/>
        </w:rPr>
        <w:t xml:space="preserve">devices </w:t>
      </w:r>
      <w:r>
        <w:rPr>
          <w:rFonts w:ascii="Times New Roman" w:hAnsi="Times New Roman" w:cs="Times New Roman"/>
          <w:sz w:val="24"/>
          <w:szCs w:val="24"/>
        </w:rPr>
        <w:t xml:space="preserve">seized against the background of practicing journalism and exercising their right to freedom of </w:t>
      </w:r>
      <w:r w:rsidR="00576F98">
        <w:rPr>
          <w:rFonts w:ascii="Times New Roman" w:hAnsi="Times New Roman" w:cs="Times New Roman"/>
          <w:sz w:val="24"/>
          <w:szCs w:val="24"/>
        </w:rPr>
        <w:t xml:space="preserve">opinion and </w:t>
      </w:r>
      <w:r>
        <w:rPr>
          <w:rFonts w:ascii="Times New Roman" w:hAnsi="Times New Roman" w:cs="Times New Roman"/>
          <w:sz w:val="24"/>
          <w:szCs w:val="24"/>
        </w:rPr>
        <w:t xml:space="preserve">expression during peaceful assemblies in protest against the death of activist Nizar Banat. </w:t>
      </w:r>
    </w:p>
    <w:p w14:paraId="4F85B03E" w14:textId="0381FF25" w:rsidR="00E6324A" w:rsidRPr="00576F98" w:rsidRDefault="00E6324A" w:rsidP="00DC5E6D">
      <w:pPr>
        <w:jc w:val="both"/>
        <w:rPr>
          <w:rFonts w:ascii="Times New Roman" w:hAnsi="Times New Roman" w:cs="Times New Roman"/>
          <w:b/>
          <w:bCs/>
          <w:sz w:val="24"/>
          <w:szCs w:val="24"/>
        </w:rPr>
      </w:pPr>
      <w:r w:rsidRPr="00576F98">
        <w:rPr>
          <w:rFonts w:ascii="Times New Roman" w:hAnsi="Times New Roman" w:cs="Times New Roman"/>
          <w:b/>
          <w:bCs/>
          <w:sz w:val="24"/>
          <w:szCs w:val="24"/>
        </w:rPr>
        <w:t xml:space="preserve">Recommendations </w:t>
      </w:r>
    </w:p>
    <w:p w14:paraId="08AF5131" w14:textId="784D447C" w:rsidR="00E6324A" w:rsidRDefault="00E6324A" w:rsidP="00DC5E6D">
      <w:pPr>
        <w:jc w:val="both"/>
        <w:rPr>
          <w:rFonts w:ascii="Times New Roman" w:hAnsi="Times New Roman" w:cs="Times New Roman"/>
          <w:sz w:val="24"/>
          <w:szCs w:val="24"/>
        </w:rPr>
      </w:pPr>
      <w:r>
        <w:rPr>
          <w:rFonts w:ascii="Times New Roman" w:hAnsi="Times New Roman" w:cs="Times New Roman"/>
          <w:sz w:val="24"/>
          <w:szCs w:val="24"/>
        </w:rPr>
        <w:t xml:space="preserve">As no progress has been made towards implementing the Committee’s recommendations, the ICHR requests that the Committee urge the State of Palestine to comply with the Committee’s recommendations and concluding observations within a specific time frame. </w:t>
      </w:r>
    </w:p>
    <w:p w14:paraId="6A26E7E4" w14:textId="45B256B7" w:rsidR="00E6324A" w:rsidRPr="00576F98" w:rsidRDefault="00E6324A" w:rsidP="00DC5E6D">
      <w:pPr>
        <w:jc w:val="both"/>
        <w:rPr>
          <w:rFonts w:ascii="Times New Roman" w:hAnsi="Times New Roman" w:cs="Times New Roman"/>
          <w:b/>
          <w:bCs/>
          <w:sz w:val="24"/>
          <w:szCs w:val="24"/>
        </w:rPr>
      </w:pPr>
      <w:r w:rsidRPr="00576F98">
        <w:rPr>
          <w:rFonts w:ascii="Times New Roman" w:hAnsi="Times New Roman" w:cs="Times New Roman"/>
          <w:b/>
          <w:bCs/>
          <w:sz w:val="24"/>
          <w:szCs w:val="24"/>
        </w:rPr>
        <w:t xml:space="preserve">Attachments </w:t>
      </w:r>
    </w:p>
    <w:p w14:paraId="3B7D3087" w14:textId="10B642FF" w:rsidR="00005907" w:rsidRDefault="00E6324A" w:rsidP="00166CCC">
      <w:pPr>
        <w:jc w:val="both"/>
        <w:rPr>
          <w:rFonts w:ascii="Times New Roman" w:hAnsi="Times New Roman" w:cs="Times New Roman"/>
          <w:sz w:val="24"/>
          <w:szCs w:val="24"/>
        </w:rPr>
      </w:pPr>
      <w:r>
        <w:rPr>
          <w:rFonts w:ascii="Times New Roman" w:hAnsi="Times New Roman" w:cs="Times New Roman"/>
          <w:sz w:val="24"/>
          <w:szCs w:val="24"/>
        </w:rPr>
        <w:t xml:space="preserve">Women’s complaints filed to the ICHR in 2018-2021 </w:t>
      </w:r>
      <w:bookmarkStart w:id="2" w:name="_MON_1725963664"/>
      <w:bookmarkEnd w:id="2"/>
      <w:r w:rsidR="00166CCC">
        <w:rPr>
          <w:rFonts w:ascii="Times New Roman" w:hAnsi="Times New Roman" w:cs="Times New Roman"/>
          <w:sz w:val="24"/>
          <w:szCs w:val="24"/>
        </w:rPr>
        <w:object w:dxaOrig="1520" w:dyaOrig="987" w14:anchorId="11698B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Word.Document.12" ShapeID="_x0000_i1025" DrawAspect="Icon" ObjectID="_1726065539" r:id="rId10">
            <o:FieldCodes>\s</o:FieldCodes>
          </o:OLEObject>
        </w:object>
      </w:r>
    </w:p>
    <w:p w14:paraId="3B34FD37" w14:textId="77777777" w:rsidR="00166CCC" w:rsidRDefault="00166CCC" w:rsidP="00166CCC">
      <w:pPr>
        <w:jc w:val="both"/>
        <w:rPr>
          <w:rFonts w:ascii="Times New Roman" w:hAnsi="Times New Roman" w:cs="Times New Roman"/>
          <w:sz w:val="24"/>
          <w:szCs w:val="24"/>
        </w:rPr>
      </w:pPr>
    </w:p>
    <w:p w14:paraId="703C60A3" w14:textId="77777777" w:rsidR="00834984" w:rsidRPr="00C767D6" w:rsidRDefault="00834984" w:rsidP="00005907">
      <w:pPr>
        <w:rPr>
          <w:rFonts w:ascii="Times New Roman" w:hAnsi="Times New Roman" w:cs="Times New Roman"/>
          <w:sz w:val="24"/>
          <w:szCs w:val="24"/>
        </w:rPr>
      </w:pPr>
    </w:p>
    <w:sectPr w:rsidR="00834984" w:rsidRPr="00C767D6" w:rsidSect="00045B8C">
      <w:footerReference w:type="default" r:id="rId11"/>
      <w:pgSz w:w="12240" w:h="15840"/>
      <w:pgMar w:top="1440" w:right="1800" w:bottom="1276"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7FAC0" w14:textId="77777777" w:rsidR="00B245C7" w:rsidRDefault="00B245C7" w:rsidP="00C75D3D">
      <w:pPr>
        <w:spacing w:after="0" w:line="240" w:lineRule="auto"/>
      </w:pPr>
      <w:r>
        <w:separator/>
      </w:r>
    </w:p>
  </w:endnote>
  <w:endnote w:type="continuationSeparator" w:id="0">
    <w:p w14:paraId="72AAB679" w14:textId="77777777" w:rsidR="00B245C7" w:rsidRDefault="00B245C7" w:rsidP="00C75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48938312"/>
      <w:docPartObj>
        <w:docPartGallery w:val="Page Numbers (Bottom of Page)"/>
        <w:docPartUnique/>
      </w:docPartObj>
    </w:sdtPr>
    <w:sdtEndPr>
      <w:rPr>
        <w:noProof/>
      </w:rPr>
    </w:sdtEndPr>
    <w:sdtContent>
      <w:p w14:paraId="7D0DED12" w14:textId="7FB1D758" w:rsidR="00DC5E6D" w:rsidRPr="00DC5E6D" w:rsidRDefault="00DC5E6D" w:rsidP="00DC5E6D">
        <w:pPr>
          <w:pStyle w:val="Footer"/>
          <w:jc w:val="center"/>
          <w:rPr>
            <w:rFonts w:ascii="Times New Roman" w:hAnsi="Times New Roman" w:cs="Times New Roman"/>
          </w:rPr>
        </w:pPr>
        <w:r w:rsidRPr="00DC5E6D">
          <w:rPr>
            <w:rFonts w:ascii="Times New Roman" w:hAnsi="Times New Roman" w:cs="Times New Roman"/>
          </w:rPr>
          <w:fldChar w:fldCharType="begin"/>
        </w:r>
        <w:r w:rsidRPr="00DC5E6D">
          <w:rPr>
            <w:rFonts w:ascii="Times New Roman" w:hAnsi="Times New Roman" w:cs="Times New Roman"/>
          </w:rPr>
          <w:instrText xml:space="preserve"> PAGE   \* MERGEFORMAT </w:instrText>
        </w:r>
        <w:r w:rsidRPr="00DC5E6D">
          <w:rPr>
            <w:rFonts w:ascii="Times New Roman" w:hAnsi="Times New Roman" w:cs="Times New Roman"/>
          </w:rPr>
          <w:fldChar w:fldCharType="separate"/>
        </w:r>
        <w:r w:rsidRPr="00DC5E6D">
          <w:rPr>
            <w:rFonts w:ascii="Times New Roman" w:hAnsi="Times New Roman" w:cs="Times New Roman"/>
            <w:noProof/>
          </w:rPr>
          <w:t>2</w:t>
        </w:r>
        <w:r w:rsidRPr="00DC5E6D">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C326D" w14:textId="77777777" w:rsidR="00B245C7" w:rsidRDefault="00B245C7" w:rsidP="00C75D3D">
      <w:pPr>
        <w:spacing w:after="0" w:line="240" w:lineRule="auto"/>
      </w:pPr>
      <w:r>
        <w:separator/>
      </w:r>
    </w:p>
  </w:footnote>
  <w:footnote w:type="continuationSeparator" w:id="0">
    <w:p w14:paraId="3808C3CB" w14:textId="77777777" w:rsidR="00B245C7" w:rsidRDefault="00B245C7" w:rsidP="00C75D3D">
      <w:pPr>
        <w:spacing w:after="0" w:line="240" w:lineRule="auto"/>
      </w:pPr>
      <w:r>
        <w:continuationSeparator/>
      </w:r>
    </w:p>
  </w:footnote>
  <w:footnote w:id="1">
    <w:p w14:paraId="35846BB4" w14:textId="5C6AF204" w:rsidR="00C75D3D" w:rsidRPr="00045B8C" w:rsidRDefault="00C75D3D">
      <w:pPr>
        <w:pStyle w:val="FootnoteText"/>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lang w:val="en-US"/>
        </w:rPr>
        <w:t>.</w:t>
      </w:r>
      <w:r w:rsidRPr="00045B8C">
        <w:rPr>
          <w:rFonts w:ascii="Times New Roman" w:hAnsi="Times New Roman" w:cs="Times New Roman"/>
        </w:rPr>
        <w:t xml:space="preserve"> </w:t>
      </w:r>
      <w:r w:rsidR="00336AF7" w:rsidRPr="00045B8C">
        <w:rPr>
          <w:rFonts w:ascii="Times New Roman" w:hAnsi="Times New Roman" w:cs="Times New Roman"/>
          <w:lang w:val="en-US"/>
        </w:rPr>
        <w:t xml:space="preserve">The committee is still in operation as at the time of reporting. </w:t>
      </w:r>
    </w:p>
  </w:footnote>
  <w:footnote w:id="2">
    <w:p w14:paraId="51E5D9D9" w14:textId="0FCC61C1" w:rsidR="00171224" w:rsidRPr="00045B8C" w:rsidRDefault="00171224" w:rsidP="00045B8C">
      <w:pPr>
        <w:pStyle w:val="FootnoteText"/>
        <w:ind w:left="284" w:hanging="284"/>
        <w:jc w:val="both"/>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w:t>
      </w:r>
      <w:r w:rsidRPr="00045B8C">
        <w:rPr>
          <w:rFonts w:ascii="Times New Roman" w:hAnsi="Times New Roman" w:cs="Times New Roman"/>
        </w:rPr>
        <w:t xml:space="preserve"> </w:t>
      </w:r>
      <w:r w:rsidR="00033485" w:rsidRPr="00045B8C">
        <w:rPr>
          <w:rFonts w:ascii="Times New Roman" w:hAnsi="Times New Roman" w:cs="Times New Roman"/>
        </w:rPr>
        <w:t xml:space="preserve">Palestinian Central Bureau of Statistics (PCBS), </w:t>
      </w:r>
      <w:r w:rsidRPr="00045B8C">
        <w:rPr>
          <w:rFonts w:ascii="Times New Roman" w:hAnsi="Times New Roman" w:cs="Times New Roman"/>
        </w:rPr>
        <w:t xml:space="preserve">On the occasion of the International Youth Day, the Palestinian Central Bureau of Statistics (PCBS) issues a press release demonstrating the situation of the youth in the Palestinian society, available at: </w:t>
      </w:r>
      <w:hyperlink r:id="rId1" w:history="1">
        <w:r w:rsidRPr="00045B8C">
          <w:rPr>
            <w:rStyle w:val="Hyperlink"/>
            <w:rFonts w:ascii="Times New Roman" w:hAnsi="Times New Roman" w:cs="Times New Roman"/>
          </w:rPr>
          <w:t>https://www.pcbs.gov.ps/post.aspx?lang=en&amp;ItemID=3528</w:t>
        </w:r>
      </w:hyperlink>
      <w:r w:rsidRPr="00045B8C">
        <w:rPr>
          <w:rFonts w:ascii="Times New Roman" w:hAnsi="Times New Roman" w:cs="Times New Roman"/>
        </w:rPr>
        <w:t xml:space="preserve">. </w:t>
      </w:r>
    </w:p>
  </w:footnote>
  <w:footnote w:id="3">
    <w:p w14:paraId="76F5D170" w14:textId="2ECEE5A8" w:rsidR="006D344F" w:rsidRPr="00B83895" w:rsidRDefault="006D344F" w:rsidP="00045B8C">
      <w:pPr>
        <w:pStyle w:val="FootnoteText"/>
        <w:ind w:left="284" w:hanging="284"/>
        <w:jc w:val="both"/>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w:t>
      </w:r>
      <w:r w:rsidRPr="00045B8C">
        <w:rPr>
          <w:rFonts w:ascii="Times New Roman" w:hAnsi="Times New Roman" w:cs="Times New Roman"/>
        </w:rPr>
        <w:t xml:space="preserve"> </w:t>
      </w:r>
      <w:r w:rsidRPr="00045B8C">
        <w:rPr>
          <w:rFonts w:ascii="Times New Roman" w:hAnsi="Times New Roman" w:cs="Times New Roman"/>
          <w:lang w:val="en-US"/>
        </w:rPr>
        <w:t xml:space="preserve">PCBS. Data on the Reality of Youth in Palestinian Society, 2019, available at: </w:t>
      </w:r>
      <w:hyperlink r:id="rId2" w:history="1">
        <w:r w:rsidRPr="00045B8C">
          <w:rPr>
            <w:rStyle w:val="Hyperlink"/>
            <w:rFonts w:ascii="Times New Roman" w:hAnsi="Times New Roman" w:cs="Times New Roman"/>
          </w:rPr>
          <w:t>https://www.pcbs.gov.ps/postar.aspx?la</w:t>
        </w:r>
      </w:hyperlink>
      <w:r w:rsidRPr="00B83895">
        <w:rPr>
          <w:rStyle w:val="Hyperlink"/>
          <w:rFonts w:ascii="Times New Roman" w:hAnsi="Times New Roman" w:cs="Times New Roman"/>
        </w:rPr>
        <w:t xml:space="preserve">. </w:t>
      </w:r>
    </w:p>
  </w:footnote>
  <w:footnote w:id="4">
    <w:p w14:paraId="49B9C5DB" w14:textId="5328327D" w:rsidR="005D2606" w:rsidRPr="00045B8C" w:rsidRDefault="005D2606" w:rsidP="00045B8C">
      <w:pPr>
        <w:pStyle w:val="FootnoteText"/>
        <w:ind w:left="284" w:hanging="284"/>
        <w:jc w:val="both"/>
        <w:rPr>
          <w:rFonts w:ascii="Times New Roman" w:hAnsi="Times New Roman" w:cs="Times New Roman"/>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 xml:space="preserve">. </w:t>
      </w:r>
      <w:r w:rsidRPr="00045B8C">
        <w:rPr>
          <w:rFonts w:ascii="Times New Roman" w:hAnsi="Times New Roman" w:cs="Times New Roman"/>
        </w:rPr>
        <w:t xml:space="preserve"> </w:t>
      </w:r>
      <w:r w:rsidR="00F411E0" w:rsidRPr="00045B8C">
        <w:rPr>
          <w:rFonts w:ascii="Times New Roman" w:hAnsi="Times New Roman" w:cs="Times New Roman"/>
        </w:rPr>
        <w:t>Sa’id, Nader. Palestinian Women and Development. Birzeit University</w:t>
      </w:r>
      <w:r w:rsidR="00E83E4D" w:rsidRPr="00045B8C">
        <w:rPr>
          <w:rFonts w:ascii="Times New Roman" w:hAnsi="Times New Roman" w:cs="Times New Roman"/>
        </w:rPr>
        <w:t>.</w:t>
      </w:r>
      <w:r w:rsidR="00F411E0" w:rsidRPr="00045B8C">
        <w:rPr>
          <w:rFonts w:ascii="Times New Roman" w:hAnsi="Times New Roman" w:cs="Times New Roman"/>
        </w:rPr>
        <w:t xml:space="preserve"> Centre for Development Studies, 1998. </w:t>
      </w:r>
    </w:p>
  </w:footnote>
  <w:footnote w:id="5">
    <w:p w14:paraId="0B6AFE7F" w14:textId="6DC76DA8" w:rsidR="001F2CE3" w:rsidRPr="00045B8C" w:rsidRDefault="001F2CE3">
      <w:pPr>
        <w:pStyle w:val="FootnoteText"/>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w:t>
      </w:r>
      <w:r w:rsidRPr="00045B8C">
        <w:rPr>
          <w:rFonts w:ascii="Times New Roman" w:hAnsi="Times New Roman" w:cs="Times New Roman"/>
        </w:rPr>
        <w:t xml:space="preserve"> </w:t>
      </w:r>
      <w:r w:rsidR="007F2383" w:rsidRPr="00045B8C">
        <w:rPr>
          <w:rFonts w:ascii="Times New Roman" w:hAnsi="Times New Roman" w:cs="Times New Roman"/>
        </w:rPr>
        <w:t xml:space="preserve">PCBS, Multidimensional poverty: Main Results, 2017. </w:t>
      </w:r>
    </w:p>
  </w:footnote>
  <w:footnote w:id="6">
    <w:p w14:paraId="148C6F30" w14:textId="16C6C08B" w:rsidR="007F2383" w:rsidRPr="00045B8C" w:rsidRDefault="007F2383" w:rsidP="00045B8C">
      <w:pPr>
        <w:pStyle w:val="FootnoteText"/>
        <w:ind w:left="284" w:hanging="284"/>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w:t>
      </w:r>
      <w:r w:rsidRPr="00045B8C">
        <w:rPr>
          <w:rFonts w:ascii="Times New Roman" w:hAnsi="Times New Roman" w:cs="Times New Roman"/>
        </w:rPr>
        <w:t xml:space="preserve"> </w:t>
      </w:r>
      <w:r w:rsidR="00F411E0" w:rsidRPr="00045B8C">
        <w:rPr>
          <w:rFonts w:ascii="Times New Roman" w:hAnsi="Times New Roman" w:cs="Times New Roman"/>
        </w:rPr>
        <w:t xml:space="preserve">Ministry of Social Development (MoSA). </w:t>
      </w:r>
      <w:r w:rsidR="00217267" w:rsidRPr="00045B8C">
        <w:rPr>
          <w:rFonts w:ascii="Times New Roman" w:hAnsi="Times New Roman" w:cs="Times New Roman"/>
        </w:rPr>
        <w:t xml:space="preserve">MoSA issues a bulletin on women in MoSA programmes, available at: </w:t>
      </w:r>
      <w:hyperlink r:id="rId3" w:history="1">
        <w:r w:rsidR="00217267" w:rsidRPr="00045B8C">
          <w:rPr>
            <w:rStyle w:val="Hyperlink"/>
            <w:rFonts w:ascii="Times New Roman" w:hAnsi="Times New Roman" w:cs="Times New Roman"/>
            <w:lang w:val="en-US"/>
          </w:rPr>
          <w:t>https://www.mosa.gov.ps</w:t>
        </w:r>
      </w:hyperlink>
      <w:r w:rsidR="00217267" w:rsidRPr="00045B8C">
        <w:rPr>
          <w:rFonts w:ascii="Times New Roman" w:hAnsi="Times New Roman" w:cs="Times New Roman"/>
          <w:lang w:val="en-US"/>
        </w:rPr>
        <w:t xml:space="preserve">. </w:t>
      </w:r>
      <w:r w:rsidR="00F411E0" w:rsidRPr="00045B8C">
        <w:rPr>
          <w:rFonts w:ascii="Times New Roman" w:hAnsi="Times New Roman" w:cs="Times New Roman"/>
        </w:rPr>
        <w:t xml:space="preserve"> </w:t>
      </w:r>
    </w:p>
  </w:footnote>
  <w:footnote w:id="7">
    <w:p w14:paraId="60B4A4C2" w14:textId="053457AC" w:rsidR="00206018" w:rsidRPr="00045B8C" w:rsidRDefault="00206018" w:rsidP="00045B8C">
      <w:pPr>
        <w:pStyle w:val="FootnoteText"/>
        <w:ind w:left="284" w:hanging="284"/>
        <w:rPr>
          <w:rFonts w:ascii="Times New Roman" w:hAnsi="Times New Roman" w:cs="Times New Roman"/>
          <w:lang w:val="en-US"/>
        </w:rPr>
      </w:pPr>
      <w:r w:rsidRPr="00045B8C">
        <w:rPr>
          <w:rStyle w:val="FootnoteReference"/>
          <w:rFonts w:ascii="Times New Roman" w:hAnsi="Times New Roman" w:cs="Times New Roman"/>
          <w:vertAlign w:val="baseline"/>
        </w:rPr>
        <w:footnoteRef/>
      </w:r>
      <w:r w:rsidR="00045B8C">
        <w:rPr>
          <w:rFonts w:ascii="Times New Roman" w:hAnsi="Times New Roman" w:cs="Times New Roman"/>
        </w:rPr>
        <w:t xml:space="preserve">. </w:t>
      </w:r>
      <w:r w:rsidRPr="00045B8C">
        <w:rPr>
          <w:rFonts w:ascii="Times New Roman" w:hAnsi="Times New Roman" w:cs="Times New Roman"/>
        </w:rPr>
        <w:t xml:space="preserve">Convention on the Elimination of All Forms of Discrimination against Women, available at: </w:t>
      </w:r>
      <w:hyperlink r:id="rId4" w:history="1">
        <w:r w:rsidRPr="00045B8C">
          <w:rPr>
            <w:rStyle w:val="Hyperlink"/>
            <w:rFonts w:ascii="Times New Roman" w:hAnsi="Times New Roman" w:cs="Times New Roman"/>
          </w:rPr>
          <w:t>https://www.ohchr.org/sites/default/files/Documents/ProfessionalInterest/cedaw.pdf</w:t>
        </w:r>
      </w:hyperlink>
      <w:r w:rsidRPr="00045B8C">
        <w:rPr>
          <w:rFonts w:ascii="Times New Roman" w:hAnsi="Times New Roman" w:cs="Times New Roman"/>
        </w:rPr>
        <w:t xml:space="preserve">; Declaration on the Elimination of Violence against Women.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B258A"/>
    <w:multiLevelType w:val="multilevel"/>
    <w:tmpl w:val="A29C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94A"/>
    <w:rsid w:val="00000BD5"/>
    <w:rsid w:val="00005907"/>
    <w:rsid w:val="00005B0E"/>
    <w:rsid w:val="00005BC6"/>
    <w:rsid w:val="000172AD"/>
    <w:rsid w:val="00017EA9"/>
    <w:rsid w:val="00025602"/>
    <w:rsid w:val="00026100"/>
    <w:rsid w:val="00033485"/>
    <w:rsid w:val="00045B8C"/>
    <w:rsid w:val="000827DB"/>
    <w:rsid w:val="00086B6D"/>
    <w:rsid w:val="00087D0E"/>
    <w:rsid w:val="00091A5E"/>
    <w:rsid w:val="00095D70"/>
    <w:rsid w:val="000A47C7"/>
    <w:rsid w:val="000A6C3C"/>
    <w:rsid w:val="000D5F13"/>
    <w:rsid w:val="000E1BEA"/>
    <w:rsid w:val="00105F03"/>
    <w:rsid w:val="001229D5"/>
    <w:rsid w:val="00143D2E"/>
    <w:rsid w:val="001637FE"/>
    <w:rsid w:val="00166CCC"/>
    <w:rsid w:val="00171224"/>
    <w:rsid w:val="001769A7"/>
    <w:rsid w:val="001A0BCB"/>
    <w:rsid w:val="001C5EF7"/>
    <w:rsid w:val="001C781A"/>
    <w:rsid w:val="001E3932"/>
    <w:rsid w:val="001E49B8"/>
    <w:rsid w:val="001E5280"/>
    <w:rsid w:val="001F0166"/>
    <w:rsid w:val="001F2CE3"/>
    <w:rsid w:val="00206018"/>
    <w:rsid w:val="00217267"/>
    <w:rsid w:val="0023221C"/>
    <w:rsid w:val="0024102B"/>
    <w:rsid w:val="002856DA"/>
    <w:rsid w:val="002972DA"/>
    <w:rsid w:val="002C0F33"/>
    <w:rsid w:val="002D04FC"/>
    <w:rsid w:val="002D061F"/>
    <w:rsid w:val="002D333B"/>
    <w:rsid w:val="002D3D03"/>
    <w:rsid w:val="002E1D59"/>
    <w:rsid w:val="002E36BA"/>
    <w:rsid w:val="0030491E"/>
    <w:rsid w:val="003245CD"/>
    <w:rsid w:val="00336AF7"/>
    <w:rsid w:val="003730A6"/>
    <w:rsid w:val="00375010"/>
    <w:rsid w:val="00376093"/>
    <w:rsid w:val="003B4C8D"/>
    <w:rsid w:val="003B50C3"/>
    <w:rsid w:val="003B6031"/>
    <w:rsid w:val="003D762B"/>
    <w:rsid w:val="003E2ACF"/>
    <w:rsid w:val="003F7206"/>
    <w:rsid w:val="00404F5F"/>
    <w:rsid w:val="00411EE1"/>
    <w:rsid w:val="004164D4"/>
    <w:rsid w:val="00422008"/>
    <w:rsid w:val="00432D25"/>
    <w:rsid w:val="00441D61"/>
    <w:rsid w:val="00447C46"/>
    <w:rsid w:val="0045181D"/>
    <w:rsid w:val="00456580"/>
    <w:rsid w:val="0046034E"/>
    <w:rsid w:val="00475C05"/>
    <w:rsid w:val="00475E9E"/>
    <w:rsid w:val="00476D86"/>
    <w:rsid w:val="00482572"/>
    <w:rsid w:val="00485D62"/>
    <w:rsid w:val="004976A8"/>
    <w:rsid w:val="004B40F0"/>
    <w:rsid w:val="004B7831"/>
    <w:rsid w:val="004C3428"/>
    <w:rsid w:val="004D320D"/>
    <w:rsid w:val="004D671A"/>
    <w:rsid w:val="004D7757"/>
    <w:rsid w:val="004E1AE4"/>
    <w:rsid w:val="00530370"/>
    <w:rsid w:val="005312F0"/>
    <w:rsid w:val="00543031"/>
    <w:rsid w:val="00543086"/>
    <w:rsid w:val="00544DC2"/>
    <w:rsid w:val="0056417C"/>
    <w:rsid w:val="00576F98"/>
    <w:rsid w:val="005978F8"/>
    <w:rsid w:val="005C1CB6"/>
    <w:rsid w:val="005D2606"/>
    <w:rsid w:val="005D33CE"/>
    <w:rsid w:val="005D60A6"/>
    <w:rsid w:val="005D7078"/>
    <w:rsid w:val="005E394D"/>
    <w:rsid w:val="005E6D28"/>
    <w:rsid w:val="0060177F"/>
    <w:rsid w:val="006121C4"/>
    <w:rsid w:val="0062188E"/>
    <w:rsid w:val="00637FF8"/>
    <w:rsid w:val="00651269"/>
    <w:rsid w:val="0067263F"/>
    <w:rsid w:val="00675BFB"/>
    <w:rsid w:val="00681747"/>
    <w:rsid w:val="006A1786"/>
    <w:rsid w:val="006B3AE2"/>
    <w:rsid w:val="006B70CC"/>
    <w:rsid w:val="006D344F"/>
    <w:rsid w:val="006D4A83"/>
    <w:rsid w:val="006E5160"/>
    <w:rsid w:val="007044A6"/>
    <w:rsid w:val="00704BA5"/>
    <w:rsid w:val="0071377F"/>
    <w:rsid w:val="00720BE5"/>
    <w:rsid w:val="00721E9E"/>
    <w:rsid w:val="00735661"/>
    <w:rsid w:val="00755741"/>
    <w:rsid w:val="0078694A"/>
    <w:rsid w:val="00792610"/>
    <w:rsid w:val="007934E6"/>
    <w:rsid w:val="007C26A2"/>
    <w:rsid w:val="007D6840"/>
    <w:rsid w:val="007F2383"/>
    <w:rsid w:val="00812B30"/>
    <w:rsid w:val="008147A6"/>
    <w:rsid w:val="00834984"/>
    <w:rsid w:val="00841FEE"/>
    <w:rsid w:val="00867E8A"/>
    <w:rsid w:val="00874080"/>
    <w:rsid w:val="0088708B"/>
    <w:rsid w:val="008C2756"/>
    <w:rsid w:val="008D3E3D"/>
    <w:rsid w:val="008D54DB"/>
    <w:rsid w:val="009111A9"/>
    <w:rsid w:val="0091730C"/>
    <w:rsid w:val="00925ED9"/>
    <w:rsid w:val="00935E7B"/>
    <w:rsid w:val="00935E8B"/>
    <w:rsid w:val="009433F5"/>
    <w:rsid w:val="0094370F"/>
    <w:rsid w:val="009507BB"/>
    <w:rsid w:val="00983BF6"/>
    <w:rsid w:val="00993319"/>
    <w:rsid w:val="009965FA"/>
    <w:rsid w:val="009A0639"/>
    <w:rsid w:val="009A2608"/>
    <w:rsid w:val="009D4BA1"/>
    <w:rsid w:val="009E20FB"/>
    <w:rsid w:val="009E662D"/>
    <w:rsid w:val="009E7A0F"/>
    <w:rsid w:val="009F455E"/>
    <w:rsid w:val="009F78B5"/>
    <w:rsid w:val="00A01E42"/>
    <w:rsid w:val="00A05846"/>
    <w:rsid w:val="00A33CB8"/>
    <w:rsid w:val="00A371F3"/>
    <w:rsid w:val="00A6093E"/>
    <w:rsid w:val="00A63A25"/>
    <w:rsid w:val="00A83179"/>
    <w:rsid w:val="00A877F3"/>
    <w:rsid w:val="00A9517F"/>
    <w:rsid w:val="00A969C3"/>
    <w:rsid w:val="00AA12B8"/>
    <w:rsid w:val="00AB0B52"/>
    <w:rsid w:val="00AB0BEE"/>
    <w:rsid w:val="00AD5BF3"/>
    <w:rsid w:val="00AF4C68"/>
    <w:rsid w:val="00B04624"/>
    <w:rsid w:val="00B06896"/>
    <w:rsid w:val="00B245C7"/>
    <w:rsid w:val="00B33FD8"/>
    <w:rsid w:val="00B36589"/>
    <w:rsid w:val="00B630B4"/>
    <w:rsid w:val="00B63F15"/>
    <w:rsid w:val="00B65D3C"/>
    <w:rsid w:val="00B70699"/>
    <w:rsid w:val="00B83895"/>
    <w:rsid w:val="00BA66B8"/>
    <w:rsid w:val="00BD40E7"/>
    <w:rsid w:val="00C15BBD"/>
    <w:rsid w:val="00C17851"/>
    <w:rsid w:val="00C207EA"/>
    <w:rsid w:val="00C21AD0"/>
    <w:rsid w:val="00C241FD"/>
    <w:rsid w:val="00C54ED1"/>
    <w:rsid w:val="00C565C9"/>
    <w:rsid w:val="00C56A50"/>
    <w:rsid w:val="00C70599"/>
    <w:rsid w:val="00C72EC1"/>
    <w:rsid w:val="00C75D3D"/>
    <w:rsid w:val="00C767D6"/>
    <w:rsid w:val="00C823CB"/>
    <w:rsid w:val="00C90179"/>
    <w:rsid w:val="00CB3383"/>
    <w:rsid w:val="00CE7654"/>
    <w:rsid w:val="00CF5174"/>
    <w:rsid w:val="00CF5FF4"/>
    <w:rsid w:val="00D3520E"/>
    <w:rsid w:val="00D37B39"/>
    <w:rsid w:val="00D72313"/>
    <w:rsid w:val="00D94317"/>
    <w:rsid w:val="00D97752"/>
    <w:rsid w:val="00DA0BE0"/>
    <w:rsid w:val="00DB466A"/>
    <w:rsid w:val="00DB6683"/>
    <w:rsid w:val="00DB73C0"/>
    <w:rsid w:val="00DC5E6D"/>
    <w:rsid w:val="00DD588C"/>
    <w:rsid w:val="00DE5746"/>
    <w:rsid w:val="00E040DC"/>
    <w:rsid w:val="00E11E40"/>
    <w:rsid w:val="00E140F7"/>
    <w:rsid w:val="00E2507C"/>
    <w:rsid w:val="00E44AB9"/>
    <w:rsid w:val="00E57B33"/>
    <w:rsid w:val="00E6324A"/>
    <w:rsid w:val="00E83E4D"/>
    <w:rsid w:val="00E86A1C"/>
    <w:rsid w:val="00E91F1D"/>
    <w:rsid w:val="00E940B4"/>
    <w:rsid w:val="00EC6FA7"/>
    <w:rsid w:val="00EF60C8"/>
    <w:rsid w:val="00F11178"/>
    <w:rsid w:val="00F14EDA"/>
    <w:rsid w:val="00F411E0"/>
    <w:rsid w:val="00F41E43"/>
    <w:rsid w:val="00F43F99"/>
    <w:rsid w:val="00F46C6F"/>
    <w:rsid w:val="00F479B9"/>
    <w:rsid w:val="00F73B42"/>
    <w:rsid w:val="00F8086F"/>
    <w:rsid w:val="00FA1AD9"/>
    <w:rsid w:val="00FA2B0B"/>
    <w:rsid w:val="00FB7FEB"/>
    <w:rsid w:val="00FF07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2ECF4"/>
  <w15:chartTrackingRefBased/>
  <w15:docId w15:val="{C414F50A-B4ED-465B-9F0C-F2930A110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bidi="ar-J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F13"/>
    <w:pPr>
      <w:ind w:left="720"/>
      <w:contextualSpacing/>
    </w:pPr>
  </w:style>
  <w:style w:type="paragraph" w:styleId="FootnoteText">
    <w:name w:val="footnote text"/>
    <w:basedOn w:val="Normal"/>
    <w:link w:val="FootnoteTextChar"/>
    <w:uiPriority w:val="99"/>
    <w:semiHidden/>
    <w:unhideWhenUsed/>
    <w:rsid w:val="00C75D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5D3D"/>
    <w:rPr>
      <w:sz w:val="20"/>
      <w:szCs w:val="20"/>
      <w:lang w:val="en-GB" w:bidi="ar-JO"/>
    </w:rPr>
  </w:style>
  <w:style w:type="character" w:styleId="FootnoteReference">
    <w:name w:val="footnote reference"/>
    <w:basedOn w:val="DefaultParagraphFont"/>
    <w:uiPriority w:val="99"/>
    <w:semiHidden/>
    <w:unhideWhenUsed/>
    <w:rsid w:val="00C75D3D"/>
    <w:rPr>
      <w:vertAlign w:val="superscript"/>
    </w:rPr>
  </w:style>
  <w:style w:type="character" w:styleId="Hyperlink">
    <w:name w:val="Hyperlink"/>
    <w:basedOn w:val="DefaultParagraphFont"/>
    <w:uiPriority w:val="99"/>
    <w:unhideWhenUsed/>
    <w:rsid w:val="00171224"/>
    <w:rPr>
      <w:color w:val="0563C1" w:themeColor="hyperlink"/>
      <w:u w:val="single"/>
    </w:rPr>
  </w:style>
  <w:style w:type="character" w:styleId="UnresolvedMention">
    <w:name w:val="Unresolved Mention"/>
    <w:basedOn w:val="DefaultParagraphFont"/>
    <w:uiPriority w:val="99"/>
    <w:semiHidden/>
    <w:unhideWhenUsed/>
    <w:rsid w:val="00171224"/>
    <w:rPr>
      <w:color w:val="605E5C"/>
      <w:shd w:val="clear" w:color="auto" w:fill="E1DFDD"/>
    </w:rPr>
  </w:style>
  <w:style w:type="character" w:styleId="FollowedHyperlink">
    <w:name w:val="FollowedHyperlink"/>
    <w:basedOn w:val="DefaultParagraphFont"/>
    <w:uiPriority w:val="99"/>
    <w:semiHidden/>
    <w:unhideWhenUsed/>
    <w:rsid w:val="006D344F"/>
    <w:rPr>
      <w:color w:val="954F72" w:themeColor="followedHyperlink"/>
      <w:u w:val="single"/>
    </w:rPr>
  </w:style>
  <w:style w:type="table" w:styleId="TableGrid">
    <w:name w:val="Table Grid"/>
    <w:basedOn w:val="TableNormal"/>
    <w:uiPriority w:val="39"/>
    <w:rsid w:val="004C3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5E6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5E6D"/>
    <w:rPr>
      <w:lang w:val="en-GB" w:bidi="ar-JO"/>
    </w:rPr>
  </w:style>
  <w:style w:type="paragraph" w:styleId="Footer">
    <w:name w:val="footer"/>
    <w:basedOn w:val="Normal"/>
    <w:link w:val="FooterChar"/>
    <w:uiPriority w:val="99"/>
    <w:unhideWhenUsed/>
    <w:rsid w:val="00DC5E6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5E6D"/>
    <w:rPr>
      <w:lang w:val="en-GB"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355901">
      <w:bodyDiv w:val="1"/>
      <w:marLeft w:val="0"/>
      <w:marRight w:val="0"/>
      <w:marTop w:val="0"/>
      <w:marBottom w:val="0"/>
      <w:divBdr>
        <w:top w:val="none" w:sz="0" w:space="0" w:color="auto"/>
        <w:left w:val="none" w:sz="0" w:space="0" w:color="auto"/>
        <w:bottom w:val="none" w:sz="0" w:space="0" w:color="auto"/>
        <w:right w:val="none" w:sz="0" w:space="0" w:color="auto"/>
      </w:divBdr>
    </w:div>
    <w:div w:id="1553807758">
      <w:bodyDiv w:val="1"/>
      <w:marLeft w:val="0"/>
      <w:marRight w:val="0"/>
      <w:marTop w:val="0"/>
      <w:marBottom w:val="0"/>
      <w:divBdr>
        <w:top w:val="none" w:sz="0" w:space="0" w:color="auto"/>
        <w:left w:val="none" w:sz="0" w:space="0" w:color="auto"/>
        <w:bottom w:val="none" w:sz="0" w:space="0" w:color="auto"/>
        <w:right w:val="none" w:sz="0" w:space="0" w:color="auto"/>
      </w:divBdr>
    </w:div>
    <w:div w:id="2034379172">
      <w:bodyDiv w:val="1"/>
      <w:marLeft w:val="0"/>
      <w:marRight w:val="0"/>
      <w:marTop w:val="0"/>
      <w:marBottom w:val="0"/>
      <w:divBdr>
        <w:top w:val="none" w:sz="0" w:space="0" w:color="auto"/>
        <w:left w:val="none" w:sz="0" w:space="0" w:color="auto"/>
        <w:bottom w:val="none" w:sz="0" w:space="0" w:color="auto"/>
        <w:right w:val="none" w:sz="0" w:space="0" w:color="auto"/>
      </w:divBdr>
    </w:div>
    <w:div w:id="208039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mosa.gov.ps" TargetMode="External"/><Relationship Id="rId2" Type="http://schemas.openxmlformats.org/officeDocument/2006/relationships/hyperlink" Target="https://www.pcbs.gov.ps/postar.aspx?la" TargetMode="External"/><Relationship Id="rId1" Type="http://schemas.openxmlformats.org/officeDocument/2006/relationships/hyperlink" Target="https://www.pcbs.gov.ps/post.aspx?lang=en&amp;ItemID=3528" TargetMode="External"/><Relationship Id="rId4" Type="http://schemas.openxmlformats.org/officeDocument/2006/relationships/hyperlink" Target="https://www.ohchr.org/sites/default/files/Documents/ProfessionalInterest/ceda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57715-B20C-4348-9952-19324B734DF7}">
  <ds:schemaRefs>
    <ds:schemaRef ds:uri="http://schemas.openxmlformats.org/officeDocument/2006/bibliography"/>
  </ds:schemaRefs>
</ds:datastoreItem>
</file>

<file path=customXml/itemProps2.xml><?xml version="1.0" encoding="utf-8"?>
<ds:datastoreItem xmlns:ds="http://schemas.openxmlformats.org/officeDocument/2006/customXml" ds:itemID="{2F165548-3C46-4537-A33B-325D1DF49C3A}"/>
</file>

<file path=customXml/itemProps3.xml><?xml version="1.0" encoding="utf-8"?>
<ds:datastoreItem xmlns:ds="http://schemas.openxmlformats.org/officeDocument/2006/customXml" ds:itemID="{D78CA974-520F-4511-BCB5-71B54A331EA9}"/>
</file>

<file path=customXml/itemProps4.xml><?xml version="1.0" encoding="utf-8"?>
<ds:datastoreItem xmlns:ds="http://schemas.openxmlformats.org/officeDocument/2006/customXml" ds:itemID="{1CD5643B-9F19-4B22-BDF6-1BB668126D4C}"/>
</file>

<file path=docProps/app.xml><?xml version="1.0" encoding="utf-8"?>
<Properties xmlns="http://schemas.openxmlformats.org/officeDocument/2006/extended-properties" xmlns:vt="http://schemas.openxmlformats.org/officeDocument/2006/docPropsVTypes">
  <Template>Normal</Template>
  <TotalTime>2</TotalTime>
  <Pages>10</Pages>
  <Words>3097</Words>
  <Characters>16233</Characters>
  <Application>Microsoft Office Word</Application>
  <DocSecurity>0</DocSecurity>
  <Lines>901</Lines>
  <Paragraphs>644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Ola Adawi</cp:lastModifiedBy>
  <cp:revision>5</cp:revision>
  <dcterms:created xsi:type="dcterms:W3CDTF">2022-09-29T10:54:00Z</dcterms:created>
  <dcterms:modified xsi:type="dcterms:W3CDTF">2022-09-30T14:52:00Z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aef6c739073107dcee0fa451ce060b6b96859a1511e89794419a595a3fb486be</vt:lpwstr>
  </property>
  <property fmtid="{D5CDD505-2E9C-101B-9397-08002B2CF9AE}" pid="3" name="ContentTypeId">
    <vt:lpwstr>0x010100F397614B75B84E4C841CE911BA0CCB9D</vt:lpwstr>
  </property>
</Properties>
</file>