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1DD506" w14:textId="77777777" w:rsidR="0053655D" w:rsidRDefault="00000000">
      <w:pPr>
        <w:pStyle w:val="Heading1"/>
      </w:pPr>
      <w:r>
        <w:t>Supplementary information on the Republic of Malawi scheduled to be reviewed by the United Nations Committee Agaisnt Torture during its 75</w:t>
      </w:r>
      <w:r>
        <w:rPr>
          <w:vertAlign w:val="superscript"/>
        </w:rPr>
        <w:t>th</w:t>
      </w:r>
      <w:r>
        <w:t xml:space="preserve"> Session </w:t>
      </w:r>
    </w:p>
    <w:p w14:paraId="121DD507" w14:textId="77777777" w:rsidR="0053655D" w:rsidRDefault="00000000">
      <w:pPr>
        <w:jc w:val="center"/>
        <w:rPr>
          <w:b/>
          <w:color w:val="1F3864"/>
          <w:u w:val="single"/>
        </w:rPr>
      </w:pPr>
      <w:r>
        <w:rPr>
          <w:b/>
          <w:color w:val="1F3864"/>
          <w:u w:val="single"/>
        </w:rPr>
        <w:t>(31</w:t>
      </w:r>
      <w:r>
        <w:rPr>
          <w:b/>
          <w:color w:val="1F3864"/>
          <w:u w:val="single"/>
          <w:vertAlign w:val="superscript"/>
        </w:rPr>
        <w:t>st</w:t>
      </w:r>
      <w:r>
        <w:rPr>
          <w:b/>
          <w:color w:val="1F3864"/>
          <w:u w:val="single"/>
        </w:rPr>
        <w:t xml:space="preserve"> October 2022 – 25</w:t>
      </w:r>
      <w:r>
        <w:rPr>
          <w:b/>
          <w:color w:val="1F3864"/>
          <w:u w:val="single"/>
          <w:vertAlign w:val="superscript"/>
        </w:rPr>
        <w:t>th</w:t>
      </w:r>
      <w:r>
        <w:rPr>
          <w:b/>
          <w:color w:val="1F3864"/>
          <w:u w:val="single"/>
        </w:rPr>
        <w:t xml:space="preserve"> November 2022)</w:t>
      </w:r>
    </w:p>
    <w:p w14:paraId="121DD508" w14:textId="77777777" w:rsidR="0053655D" w:rsidRDefault="00000000">
      <w:r>
        <w:t xml:space="preserve">Dear Honorable members of the Committee, </w:t>
      </w:r>
    </w:p>
    <w:p w14:paraId="121DD509" w14:textId="77777777" w:rsidR="0053655D" w:rsidRDefault="00000000">
      <w:pPr>
        <w:pStyle w:val="Heading2"/>
      </w:pPr>
      <w:r>
        <w:t>Introduction</w:t>
      </w:r>
    </w:p>
    <w:p w14:paraId="121DD50A" w14:textId="77777777" w:rsidR="0053655D" w:rsidRDefault="00000000">
      <w:r>
        <w:t>The Center for Reproductive Rights (“</w:t>
      </w:r>
      <w:r>
        <w:rPr>
          <w:b/>
        </w:rPr>
        <w:t>the Center</w:t>
      </w:r>
      <w:r>
        <w:t>”) and Nyale Institute submit this letter to provide the Committee Against Torture (“</w:t>
      </w:r>
      <w:r>
        <w:rPr>
          <w:b/>
        </w:rPr>
        <w:t>the Committee</w:t>
      </w:r>
      <w:r>
        <w:t>”) with relevant information about the status of compliance by the Republic of Malawi (“</w:t>
      </w:r>
      <w:r>
        <w:rPr>
          <w:b/>
        </w:rPr>
        <w:t>Malawi</w:t>
      </w:r>
      <w:r>
        <w:t>”) with its obligations under the Convention Against Torture and Other Cruel, Inhuman or Degrading Treatment or Punishment (“</w:t>
      </w:r>
      <w:r>
        <w:rPr>
          <w:b/>
        </w:rPr>
        <w:t>the</w:t>
      </w:r>
      <w:r>
        <w:t xml:space="preserve"> </w:t>
      </w:r>
      <w:r>
        <w:rPr>
          <w:b/>
        </w:rPr>
        <w:t>CAT</w:t>
      </w:r>
      <w:r>
        <w:t xml:space="preserve">”). The Center is an international non–governmental legal advocacy organization that uses the law to advance reproductive freedom as a fundamental human right that all governments are legally obligated to respect, protect and fulfil. Nyale Institute is a non-governmental </w:t>
      </w:r>
      <w:proofErr w:type="spellStart"/>
      <w:r>
        <w:t>organisation</w:t>
      </w:r>
      <w:proofErr w:type="spellEnd"/>
      <w:r>
        <w:t xml:space="preserve"> registered in Malawi and its mission is to advance gender equality and sexual and reproductive justice. </w:t>
      </w:r>
    </w:p>
    <w:p w14:paraId="121DD50B" w14:textId="77777777" w:rsidR="0053655D" w:rsidRDefault="00000000">
      <w:pPr>
        <w:pStyle w:val="Heading2"/>
      </w:pPr>
      <w:r>
        <w:t>Background</w:t>
      </w:r>
    </w:p>
    <w:p w14:paraId="121DD50C" w14:textId="77777777" w:rsidR="0053655D" w:rsidRDefault="00000000">
      <w:r>
        <w:t>Malawi is a dualist country. Thus, ratified international laws such as the UNCAT do not directly apply unless domesticated by an act of parliament.</w:t>
      </w:r>
      <w:r>
        <w:rPr>
          <w:vertAlign w:val="superscript"/>
        </w:rPr>
        <w:footnoteReference w:id="1"/>
      </w:r>
      <w:r>
        <w:t xml:space="preserve"> However, customary international law including the absolute prohibition against torture, form part of the laws of the land.</w:t>
      </w:r>
      <w:r>
        <w:rPr>
          <w:vertAlign w:val="superscript"/>
        </w:rPr>
        <w:footnoteReference w:id="2"/>
      </w:r>
      <w:r>
        <w:t xml:space="preserve"> Additionally, the Constitution of the Republic of Malawi (“</w:t>
      </w:r>
      <w:r>
        <w:rPr>
          <w:b/>
        </w:rPr>
        <w:t>the Constitution</w:t>
      </w:r>
      <w:r>
        <w:t>”), which is the supreme law of the land,</w:t>
      </w:r>
      <w:r>
        <w:rPr>
          <w:vertAlign w:val="superscript"/>
        </w:rPr>
        <w:footnoteReference w:id="3"/>
      </w:r>
      <w:r>
        <w:t xml:space="preserve"> provides for the absolute prohibition of torture, cruel, inhuman and degrading treatment in Article 19(3) as read with Article 45(2)(b) of the Constitution. Thus, there are legally binding instruments enshrining the obligation of the government of Malawi to prevent and address torture, cruel, </w:t>
      </w:r>
      <w:proofErr w:type="gramStart"/>
      <w:r>
        <w:t>inhuman</w:t>
      </w:r>
      <w:proofErr w:type="gramEnd"/>
      <w:r>
        <w:t xml:space="preserve"> and degrading treatment (“</w:t>
      </w:r>
      <w:r>
        <w:rPr>
          <w:b/>
        </w:rPr>
        <w:t>TCIDT”</w:t>
      </w:r>
      <w:r>
        <w:t>) even though the government is yet to domesticate the CAT.</w:t>
      </w:r>
    </w:p>
    <w:p w14:paraId="121DD50D" w14:textId="77777777" w:rsidR="0053655D" w:rsidRDefault="00000000">
      <w:r>
        <w:t>Similarly, although Malawi has ratified various international instruments that provide for the right to health such as the International Covenant on Economic, Social and Cultural Rights and the Protocol to the African Charter on Human and People’s Rights on the Rights of Women in Africa (“</w:t>
      </w:r>
      <w:r>
        <w:rPr>
          <w:b/>
        </w:rPr>
        <w:t>the</w:t>
      </w:r>
      <w:r>
        <w:t xml:space="preserve"> </w:t>
      </w:r>
      <w:r>
        <w:rPr>
          <w:b/>
        </w:rPr>
        <w:t>Maputo</w:t>
      </w:r>
      <w:r>
        <w:t xml:space="preserve"> </w:t>
      </w:r>
      <w:r>
        <w:rPr>
          <w:b/>
        </w:rPr>
        <w:t>Protocol</w:t>
      </w:r>
      <w:r>
        <w:t xml:space="preserve">”), these laws are not directly binding unless they are domesticated by the Parliament. Fortunately, the Constitution of Malawi requires the government to progressively adopt and implement laws and policies that “… </w:t>
      </w:r>
      <w:r>
        <w:rPr>
          <w:i/>
        </w:rPr>
        <w:t xml:space="preserve">provide adequate health care, </w:t>
      </w:r>
      <w:r>
        <w:rPr>
          <w:i/>
        </w:rPr>
        <w:lastRenderedPageBreak/>
        <w:t>commensurate with the health needs of Malawian society and international standards of health care</w:t>
      </w:r>
      <w:r>
        <w:t>…”</w:t>
      </w:r>
      <w:r>
        <w:rPr>
          <w:vertAlign w:val="superscript"/>
        </w:rPr>
        <w:footnoteReference w:id="4"/>
      </w:r>
      <w:r>
        <w:t xml:space="preserve"> Also, the Gender Equality Act, 2014 partly domesticates the provisions of Article 14 of the Maputo Protocol and recognizes every person’s right to adequate sexual and reproductive health.</w:t>
      </w:r>
      <w:r>
        <w:rPr>
          <w:vertAlign w:val="superscript"/>
        </w:rPr>
        <w:footnoteReference w:id="5"/>
      </w:r>
      <w:r>
        <w:t xml:space="preserve"> Thus, the government has a constitutional obligation to not only put in place immediate measures that meet minimum standards with regards the right to health but also progressively put in place measures to ensure that all Malawians can fully realize their right to health, including sexual and reproductive health.</w:t>
      </w:r>
      <w:r>
        <w:rPr>
          <w:vertAlign w:val="superscript"/>
        </w:rPr>
        <w:footnoteReference w:id="6"/>
      </w:r>
      <w:r>
        <w:t xml:space="preserve"> </w:t>
      </w:r>
    </w:p>
    <w:p w14:paraId="121DD50E" w14:textId="77777777" w:rsidR="0053655D" w:rsidRDefault="00000000">
      <w:r>
        <w:t xml:space="preserve">Freedom from torture, cruel, </w:t>
      </w:r>
      <w:proofErr w:type="gramStart"/>
      <w:r>
        <w:t>inhuman</w:t>
      </w:r>
      <w:proofErr w:type="gramEnd"/>
      <w:r>
        <w:t xml:space="preserve"> and degrading treatment is inextricably linked to the right to health, including the right to sexual and reproductive health. For instance, provision of sexual and reproductive health services that is characterized by mistreatment, neglect and abuse; preventable mortality and morbidity arising from lack of access to maternal services or safe, comprehensive abortion care; and denial of services can, and often do, amount to TCIDT.</w:t>
      </w:r>
      <w:r>
        <w:rPr>
          <w:vertAlign w:val="superscript"/>
        </w:rPr>
        <w:footnoteReference w:id="7"/>
      </w:r>
      <w:r>
        <w:t xml:space="preserve"> Because of their unique reproductive functions, women are disproportionately affected by TCIDT arising from state’s failure to provide accessible, available, acceptable and quality reproductive health services and information.</w:t>
      </w:r>
      <w:r>
        <w:rPr>
          <w:vertAlign w:val="superscript"/>
        </w:rPr>
        <w:footnoteReference w:id="8"/>
      </w:r>
      <w:r>
        <w:t xml:space="preserve"> Thus, when evaluating a country’s fulfillment of its obligations under the CAT, it becomes crucial to examine, among other things, the situation of women and girls as they seek to realize their sexual and reproductive health and rights. To this end, through this letter, the Center and Nyale Institute shall seek to provide the Committee with information regarding instances of TCIDT which arise in this context, specifically as they relate to the lived realities of women and girls as they seek maternal healthcare and comprehensive safe abortion care.</w:t>
      </w:r>
    </w:p>
    <w:p w14:paraId="121DD50F" w14:textId="77777777" w:rsidR="0053655D" w:rsidRDefault="00000000">
      <w:pPr>
        <w:pStyle w:val="Heading2"/>
        <w:numPr>
          <w:ilvl w:val="0"/>
          <w:numId w:val="5"/>
        </w:numPr>
      </w:pPr>
      <w:r>
        <w:t>Challenges in accessing maternal health</w:t>
      </w:r>
    </w:p>
    <w:p w14:paraId="121DD510" w14:textId="77777777" w:rsidR="0053655D" w:rsidRDefault="00000000">
      <w:r>
        <w:t>Maternal mortality in Malawi stands at 439 deaths per 100,000 live births.</w:t>
      </w:r>
      <w:r>
        <w:rPr>
          <w:vertAlign w:val="superscript"/>
        </w:rPr>
        <w:footnoteReference w:id="9"/>
      </w:r>
      <w:r>
        <w:t xml:space="preserve"> Research conducted in Mangochi District, one of the largest districts in the country, found that the majority of maternal deaths occur among women who accessed healthcare facilities but delayed in deciding to seek care or were delayed in arriving at health facilities or were delayed in receiving services once they </w:t>
      </w:r>
      <w:r>
        <w:lastRenderedPageBreak/>
        <w:t>were at the facility.</w:t>
      </w:r>
      <w:r>
        <w:rPr>
          <w:vertAlign w:val="superscript"/>
        </w:rPr>
        <w:footnoteReference w:id="10"/>
      </w:r>
      <w:r>
        <w:t xml:space="preserve"> All three delays point to health system failures. This submission shall focus on the systemic and legal barriers that cause these delays and, in so doing, subject women and girls who seek maternal health to TCIDT. </w:t>
      </w:r>
    </w:p>
    <w:p w14:paraId="121DD511" w14:textId="77777777" w:rsidR="0053655D" w:rsidRDefault="00000000">
      <w:pPr>
        <w:pStyle w:val="Heading3"/>
        <w:numPr>
          <w:ilvl w:val="1"/>
          <w:numId w:val="5"/>
        </w:numPr>
        <w:ind w:left="426" w:hanging="426"/>
      </w:pPr>
      <w:r>
        <w:t>Legislative barriers</w:t>
      </w:r>
    </w:p>
    <w:p w14:paraId="121DD512" w14:textId="77777777" w:rsidR="0053655D" w:rsidRDefault="00000000">
      <w:r>
        <w:t>A key cause of the infliction of TCIDT during antenatal care (“</w:t>
      </w:r>
      <w:r>
        <w:rPr>
          <w:b/>
        </w:rPr>
        <w:t>ANC</w:t>
      </w:r>
      <w:r>
        <w:t>”) is the by-laws formulated by traditional elders, specifically chiefs at the village and group level. These by laws are enacted to increase uptake of various health services including maternal and neonatal care. Although these by-laws vary from village to village, there are some elements that are common across various villages for instance by-laws mandating the attendance of at least one antenatal healthcare clinic within the first 3 months of pregnancy; by-laws requiring the attendance of spouses or partners during antenatal visits or, where a spouse or partner is not present, a letter from the chief justifying the absence of the husband or spouse; by-laws requiring husbands to provide the supplies needed for child birth such as baby clothes and blankets, soaps and razors; and by-laws that require women to arrive in time and deliver at healthcare facilities. Where these by-laws are broken, various fines of up to 25,000 Malawian Kwacha (USD 25) are imposed on the woman or her family or her spouse or partner. While noble in their intention, these by-laws have had the effect of facilitating and justifying verbal abuse, unlawful detention and denial of services that leads to preventable maternal morbidity and mortality. For instance:</w:t>
      </w:r>
      <w:r>
        <w:rPr>
          <w:vertAlign w:val="superscript"/>
        </w:rPr>
        <w:footnoteReference w:id="11"/>
      </w:r>
      <w:r>
        <w:rPr>
          <w:vertAlign w:val="superscript"/>
        </w:rPr>
        <w:t>,</w:t>
      </w:r>
      <w:r>
        <w:rPr>
          <w:vertAlign w:val="superscript"/>
        </w:rPr>
        <w:footnoteReference w:id="12"/>
      </w:r>
      <w:r>
        <w:rPr>
          <w:vertAlign w:val="superscript"/>
        </w:rPr>
        <w:t>,</w:t>
      </w:r>
      <w:r>
        <w:rPr>
          <w:vertAlign w:val="superscript"/>
        </w:rPr>
        <w:footnoteReference w:id="13"/>
      </w:r>
      <w:r>
        <w:rPr>
          <w:vertAlign w:val="superscript"/>
        </w:rPr>
        <w:t>,</w:t>
      </w:r>
      <w:r>
        <w:rPr>
          <w:vertAlign w:val="superscript"/>
        </w:rPr>
        <w:footnoteReference w:id="14"/>
      </w:r>
    </w:p>
    <w:p w14:paraId="121DD513" w14:textId="77777777" w:rsidR="0053655D" w:rsidRDefault="00000000">
      <w:pPr>
        <w:numPr>
          <w:ilvl w:val="2"/>
          <w:numId w:val="5"/>
        </w:numPr>
        <w:pBdr>
          <w:top w:val="nil"/>
          <w:left w:val="nil"/>
          <w:bottom w:val="nil"/>
          <w:right w:val="nil"/>
          <w:between w:val="nil"/>
        </w:pBdr>
        <w:tabs>
          <w:tab w:val="left" w:pos="426"/>
        </w:tabs>
        <w:spacing w:after="0"/>
        <w:ind w:left="426" w:hanging="426"/>
      </w:pPr>
      <w:r>
        <w:rPr>
          <w:color w:val="000000"/>
        </w:rPr>
        <w:t>women who first seek ANC services after 3 months of pregnancy report being denied services and sent home to return with the money to pay the fine. Where they are unable to raise the money for the fine and return to the hospital without money, they are verbally abused and, in some instances, still denied services.</w:t>
      </w:r>
    </w:p>
    <w:p w14:paraId="121DD514" w14:textId="2E41AEB9" w:rsidR="0053655D" w:rsidRDefault="00000000">
      <w:pPr>
        <w:numPr>
          <w:ilvl w:val="2"/>
          <w:numId w:val="5"/>
        </w:numPr>
        <w:pBdr>
          <w:top w:val="nil"/>
          <w:left w:val="nil"/>
          <w:bottom w:val="nil"/>
          <w:right w:val="nil"/>
          <w:between w:val="nil"/>
        </w:pBdr>
        <w:tabs>
          <w:tab w:val="left" w:pos="426"/>
        </w:tabs>
        <w:spacing w:after="0"/>
        <w:ind w:left="426" w:hanging="426"/>
      </w:pPr>
      <w:r>
        <w:rPr>
          <w:color w:val="000000"/>
        </w:rPr>
        <w:t xml:space="preserve">Women who are unable to secure the attendance of their husband at ANC visits must go the chief and seek a letter allowing them to seek services alone. Women whose husbands, for cultural or other reasons, refuse to attend ANC clinics, women whose husbands work outside the village and unmarried women often have a difficult time securing this letter from the chief. In some instances, such women are even denied the letter thus barring them from </w:t>
      </w:r>
      <w:r>
        <w:rPr>
          <w:color w:val="000000"/>
        </w:rPr>
        <w:lastRenderedPageBreak/>
        <w:t xml:space="preserve">seeking ANC, </w:t>
      </w:r>
      <w:proofErr w:type="gramStart"/>
      <w:r>
        <w:rPr>
          <w:color w:val="000000"/>
        </w:rPr>
        <w:t>delivery</w:t>
      </w:r>
      <w:proofErr w:type="gramEnd"/>
      <w:r>
        <w:rPr>
          <w:color w:val="000000"/>
        </w:rPr>
        <w:t xml:space="preserve"> or post-natal care because they will be denied services without the letter, and they usually cannot afford to pay the fine. This means that, in addition to the indignity of having to explain and justify the absence of their spouse or partner to the chief and being dismissed, they are more susceptible to the physical and psychological suffering caused by mortality and morbidity that would have been averted had they not been forced to go through their pregnancy and delivery without skilled care. There are even recorded experiences of women whose </w:t>
      </w:r>
      <w:r w:rsidR="007D07F1">
        <w:rPr>
          <w:color w:val="000000"/>
        </w:rPr>
        <w:t xml:space="preserve">newborn </w:t>
      </w:r>
      <w:r>
        <w:rPr>
          <w:color w:val="000000"/>
        </w:rPr>
        <w:t>children have died because of these circumstances.</w:t>
      </w:r>
    </w:p>
    <w:p w14:paraId="121DD515" w14:textId="77777777" w:rsidR="0053655D" w:rsidRDefault="00000000">
      <w:pPr>
        <w:numPr>
          <w:ilvl w:val="2"/>
          <w:numId w:val="5"/>
        </w:numPr>
        <w:pBdr>
          <w:top w:val="nil"/>
          <w:left w:val="nil"/>
          <w:bottom w:val="nil"/>
          <w:right w:val="nil"/>
          <w:between w:val="nil"/>
        </w:pBdr>
        <w:tabs>
          <w:tab w:val="left" w:pos="426"/>
        </w:tabs>
        <w:ind w:left="426" w:hanging="426"/>
      </w:pPr>
      <w:r>
        <w:rPr>
          <w:color w:val="000000"/>
        </w:rPr>
        <w:t xml:space="preserve">Women who seek intrapartum care before their husbands or spouses can secure the supplies needed for childbirth are verbally abused and, after delivery, detained in healthcare facilities until their husbands or partners come to provide said supplies or pay for the supplies that the woman was given. It is of note that many healthcare facilities are plagued by overcrowding, poor </w:t>
      </w:r>
      <w:proofErr w:type="gramStart"/>
      <w:r>
        <w:rPr>
          <w:color w:val="000000"/>
        </w:rPr>
        <w:t>sanitation</w:t>
      </w:r>
      <w:proofErr w:type="gramEnd"/>
      <w:r>
        <w:rPr>
          <w:color w:val="000000"/>
        </w:rPr>
        <w:t xml:space="preserve"> and inadequate food and these are the conditions in which women are detained. </w:t>
      </w:r>
    </w:p>
    <w:p w14:paraId="121DD516" w14:textId="19850FFE" w:rsidR="0053655D" w:rsidRDefault="00000000">
      <w:r>
        <w:t xml:space="preserve">These kinds of treatment amount to torture, cruel, </w:t>
      </w:r>
      <w:proofErr w:type="gramStart"/>
      <w:r>
        <w:t>inhuman</w:t>
      </w:r>
      <w:proofErr w:type="gramEnd"/>
      <w:r>
        <w:t xml:space="preserve"> and degrading treatment as prohibited by Article 1 of the CAT because they cause severe physical and mental suffering. For instance, verbal abuse aimed at humiliating a woman seeking healthcare for being too poor to afford a fine or the health service being sought violates their dignity by targeting their sense of self-worth and identity which is a form of psychological torture.</w:t>
      </w:r>
      <w:r>
        <w:rPr>
          <w:vertAlign w:val="superscript"/>
        </w:rPr>
        <w:footnoteReference w:id="15"/>
      </w:r>
      <w:r>
        <w:t xml:space="preserve"> Also, denying a woman or girl access to maternal health services that her and </w:t>
      </w:r>
      <w:r w:rsidR="00D916BB">
        <w:t xml:space="preserve">the </w:t>
      </w:r>
      <w:proofErr w:type="spellStart"/>
      <w:r w:rsidR="00D916BB">
        <w:t>foetus</w:t>
      </w:r>
      <w:proofErr w:type="spellEnd"/>
      <w:r>
        <w:t xml:space="preserve"> or newborn child require to survive and prevent complications causes severe psychological and physical suffering.</w:t>
      </w:r>
      <w:r>
        <w:rPr>
          <w:vertAlign w:val="superscript"/>
        </w:rPr>
        <w:footnoteReference w:id="16"/>
      </w:r>
      <w:r>
        <w:t xml:space="preserve"> Finally, unlawful and arbitrary detention</w:t>
      </w:r>
      <w:r>
        <w:rPr>
          <w:vertAlign w:val="superscript"/>
        </w:rPr>
        <w:footnoteReference w:id="17"/>
      </w:r>
      <w:r>
        <w:t xml:space="preserve"> in overcrowded facilities with poor sanitation and inadequate food has been recognized by the Committee as treatment amounting to torture</w:t>
      </w:r>
      <w:r>
        <w:rPr>
          <w:vertAlign w:val="superscript"/>
        </w:rPr>
        <w:footnoteReference w:id="18"/>
      </w:r>
      <w:r>
        <w:t xml:space="preserve">- a situation that is exacerbated by the inclusion of a newborn. This suffering is based on discrimination on the grounds of sex as the by-laws impose unjust conditions on services that that only women and girls </w:t>
      </w:r>
      <w:proofErr w:type="gramStart"/>
      <w:r>
        <w:t>need</w:t>
      </w:r>
      <w:proofErr w:type="gramEnd"/>
      <w:r>
        <w:t xml:space="preserve"> and these conditions operate to deny women services or punish them for seeking services without fulfilling the prescribed unjust conditions. Finally, this treatment is inflicted </w:t>
      </w:r>
      <w:proofErr w:type="gramStart"/>
      <w:r>
        <w:t>in an attempt to</w:t>
      </w:r>
      <w:proofErr w:type="gramEnd"/>
      <w:r>
        <w:t xml:space="preserve"> implement </w:t>
      </w:r>
      <w:r>
        <w:lastRenderedPageBreak/>
        <w:t>the by-laws enacted by the Chiefs who are part of the local government as it is envisioned in the Constitution</w:t>
      </w:r>
      <w:r>
        <w:rPr>
          <w:vertAlign w:val="superscript"/>
        </w:rPr>
        <w:footnoteReference w:id="19"/>
      </w:r>
      <w:r>
        <w:t xml:space="preserve"> and are empowered to pass by-laws by the Local Government Act.</w:t>
      </w:r>
      <w:r>
        <w:rPr>
          <w:vertAlign w:val="superscript"/>
        </w:rPr>
        <w:footnoteReference w:id="20"/>
      </w:r>
      <w:r>
        <w:t xml:space="preserve"> </w:t>
      </w:r>
    </w:p>
    <w:p w14:paraId="121DD517" w14:textId="77777777" w:rsidR="0053655D" w:rsidRDefault="00000000">
      <w:pPr>
        <w:pStyle w:val="Heading3"/>
        <w:numPr>
          <w:ilvl w:val="1"/>
          <w:numId w:val="5"/>
        </w:numPr>
        <w:ind w:left="426" w:hanging="426"/>
      </w:pPr>
      <w:r>
        <w:t>Systemic barriers</w:t>
      </w:r>
    </w:p>
    <w:p w14:paraId="121DD518" w14:textId="77777777" w:rsidR="0053655D" w:rsidRDefault="00000000">
      <w:r>
        <w:t xml:space="preserve">The systemic barriers that give rise to instances of torture, cruel, </w:t>
      </w:r>
      <w:proofErr w:type="gramStart"/>
      <w:r>
        <w:t>inhuman</w:t>
      </w:r>
      <w:proofErr w:type="gramEnd"/>
      <w:r>
        <w:t xml:space="preserve"> and degrading treatment are occasioned by the failure of the government of Malawi to ensure access to quality maternal healthcare. A report prepared by the Ombudsman in 2019 details a list of violations suffered by women and girls in public hospitals which amount to TCIDT including:</w:t>
      </w:r>
      <w:r>
        <w:rPr>
          <w:vertAlign w:val="superscript"/>
        </w:rPr>
        <w:footnoteReference w:id="21"/>
      </w:r>
      <w:r>
        <w:t xml:space="preserve"> </w:t>
      </w:r>
    </w:p>
    <w:p w14:paraId="121DD519" w14:textId="77777777" w:rsidR="0053655D" w:rsidRDefault="00000000">
      <w:pPr>
        <w:numPr>
          <w:ilvl w:val="0"/>
          <w:numId w:val="1"/>
        </w:numPr>
        <w:pBdr>
          <w:top w:val="nil"/>
          <w:left w:val="nil"/>
          <w:bottom w:val="nil"/>
          <w:right w:val="nil"/>
          <w:between w:val="nil"/>
        </w:pBdr>
        <w:spacing w:after="0"/>
        <w:ind w:left="426" w:hanging="426"/>
      </w:pPr>
      <w:r>
        <w:rPr>
          <w:color w:val="000000"/>
        </w:rPr>
        <w:t>Negligent provision of maternal health services by healthcare providers resulting in infection and eventually sepsis, which in many cases, becomes so severe that it warrants a hysterectomy. In many cases, women are not explained to the causes of the infection which makes it impossible for them to seek accountability and redress.</w:t>
      </w:r>
    </w:p>
    <w:p w14:paraId="121DD51A" w14:textId="77777777" w:rsidR="0053655D" w:rsidRDefault="00000000">
      <w:pPr>
        <w:numPr>
          <w:ilvl w:val="0"/>
          <w:numId w:val="1"/>
        </w:numPr>
        <w:pBdr>
          <w:top w:val="nil"/>
          <w:left w:val="nil"/>
          <w:bottom w:val="nil"/>
          <w:right w:val="nil"/>
          <w:between w:val="nil"/>
        </w:pBdr>
        <w:spacing w:after="0"/>
        <w:ind w:left="426" w:hanging="426"/>
      </w:pPr>
      <w:r>
        <w:rPr>
          <w:color w:val="000000"/>
        </w:rPr>
        <w:t>neglect of pregnant women’s questions, complaints and medical conditions by healthcare providers which violates their right to autonomy and results in maternal mortality and morbidity. For instance, one of the respondents who was interviewed shared that when they took her sister to deliver, the sister was treated by an intern doctor who was negligent and unqualified and, as a result, did not remove the whole placenta. The questions and complaints raised by the respondent about her sister’s condition were ignored for over 10 hours until the sister went into septic shock. Only then did they take her for surgery and the surgery was negligently performed causing the infection to spread to her gastric system. The family eventually transferred her to a private hospital where she received proper treatment and was able to recover but cost the family 1.2 million Kwacha (USD 1,175).</w:t>
      </w:r>
    </w:p>
    <w:p w14:paraId="121DD51B" w14:textId="77777777" w:rsidR="0053655D" w:rsidRDefault="00000000">
      <w:pPr>
        <w:numPr>
          <w:ilvl w:val="0"/>
          <w:numId w:val="1"/>
        </w:numPr>
        <w:pBdr>
          <w:top w:val="nil"/>
          <w:left w:val="nil"/>
          <w:bottom w:val="nil"/>
          <w:right w:val="nil"/>
          <w:between w:val="nil"/>
        </w:pBdr>
        <w:spacing w:after="0"/>
        <w:ind w:left="426" w:hanging="426"/>
      </w:pPr>
      <w:r>
        <w:rPr>
          <w:color w:val="000000"/>
        </w:rPr>
        <w:t>delays in receiving care when women arrive at health facilities which leads to complications such as raptured uteruses especially among women who have previously delivered via caesarian section. In the case recorded in the Ombudsman’s report, in addition to the hysterectomy, the woman also lost her bay because of the delays she was forced to endure.</w:t>
      </w:r>
    </w:p>
    <w:p w14:paraId="121DD51C" w14:textId="77777777" w:rsidR="0053655D" w:rsidRDefault="00000000">
      <w:pPr>
        <w:numPr>
          <w:ilvl w:val="0"/>
          <w:numId w:val="1"/>
        </w:numPr>
        <w:pBdr>
          <w:top w:val="nil"/>
          <w:left w:val="nil"/>
          <w:bottom w:val="nil"/>
          <w:right w:val="nil"/>
          <w:between w:val="nil"/>
        </w:pBdr>
        <w:ind w:left="426" w:hanging="426"/>
      </w:pPr>
      <w:r>
        <w:rPr>
          <w:color w:val="000000"/>
        </w:rPr>
        <w:t>Being subjected to medical procedures they do not need. As one respondent who worked in a public hospital explained. “…</w:t>
      </w:r>
      <w:r>
        <w:rPr>
          <w:i/>
          <w:color w:val="000000"/>
        </w:rPr>
        <w:t xml:space="preserve">There is also a tendency at </w:t>
      </w:r>
      <w:proofErr w:type="spellStart"/>
      <w:r>
        <w:rPr>
          <w:i/>
          <w:color w:val="000000"/>
        </w:rPr>
        <w:t>Gynaecology</w:t>
      </w:r>
      <w:proofErr w:type="spellEnd"/>
      <w:r>
        <w:rPr>
          <w:i/>
          <w:color w:val="000000"/>
        </w:rPr>
        <w:t xml:space="preserve"> department that once someone is diagnosed with a fibroid, they rush to do a hysterectomy</w:t>
      </w:r>
      <w:r>
        <w:rPr>
          <w:color w:val="000000"/>
        </w:rPr>
        <w:t xml:space="preserve">. </w:t>
      </w:r>
      <w:r>
        <w:rPr>
          <w:i/>
          <w:color w:val="000000"/>
        </w:rPr>
        <w:t>I personally saved about 6 women who were on their way to the theatre for hysterectomy just because they had a fibroid</w:t>
      </w:r>
      <w:r>
        <w:rPr>
          <w:color w:val="000000"/>
        </w:rPr>
        <w:t>.”</w:t>
      </w:r>
    </w:p>
    <w:p w14:paraId="121DD51D" w14:textId="77777777" w:rsidR="0053655D" w:rsidRDefault="00000000">
      <w:r>
        <w:t xml:space="preserve">The investigation conducted by the Ombudsman into these occurrences found that most of them tie back to the government’s failure to ensure access to quality maternal healthcare. For example, </w:t>
      </w:r>
      <w:r>
        <w:lastRenderedPageBreak/>
        <w:t>the negligence, neglect and delays were attributed to insufficient numbers of staff such as doctors clinicians and nurses; insufficient number of operation theatres and insufficient amounts of ward space and bed capacity; lack of equipment and supplies including lack of running water for 8-10 hours in the maternity ward and operation theatre, lack of suturing materials and lack of medication including antibiotics; failure to adhere to service standards; and poor implementation of accountability and disciplinary measures.</w:t>
      </w:r>
      <w:r>
        <w:rPr>
          <w:vertAlign w:val="superscript"/>
        </w:rPr>
        <w:footnoteReference w:id="22"/>
      </w:r>
      <w:r>
        <w:t xml:space="preserve"> These findings are corroborated by other research such as a study that collected the perspectives of women from 3 districts: Mzimba district in the northern region; </w:t>
      </w:r>
      <w:proofErr w:type="spellStart"/>
      <w:r>
        <w:t>Ntcheu</w:t>
      </w:r>
      <w:proofErr w:type="spellEnd"/>
      <w:r>
        <w:t xml:space="preserve"> district which is in the central region; and </w:t>
      </w:r>
      <w:proofErr w:type="spellStart"/>
      <w:r>
        <w:t>Chiradzulu</w:t>
      </w:r>
      <w:proofErr w:type="spellEnd"/>
      <w:r>
        <w:t xml:space="preserve"> district in the southern region.</w:t>
      </w:r>
      <w:r>
        <w:rPr>
          <w:vertAlign w:val="superscript"/>
        </w:rPr>
        <w:footnoteReference w:id="23"/>
      </w:r>
      <w:r>
        <w:t xml:space="preserve"> Similar findings were captured in a 2021 study conducted in Mzuzu Central Hospital in the northern region.</w:t>
      </w:r>
      <w:r>
        <w:rPr>
          <w:vertAlign w:val="superscript"/>
        </w:rPr>
        <w:footnoteReference w:id="24"/>
      </w:r>
    </w:p>
    <w:p w14:paraId="121DD51E" w14:textId="77777777" w:rsidR="0053655D" w:rsidRDefault="00000000">
      <w:r>
        <w:t>Malawi’s obligation to progressively realize the right to health includes the immediate, core obligations to ensure access to facilities, goods and services on a non-discriminatory basis and to provide essential drugs, particularly in the context of maternal health.</w:t>
      </w:r>
      <w:r>
        <w:rPr>
          <w:vertAlign w:val="superscript"/>
        </w:rPr>
        <w:footnoteReference w:id="25"/>
      </w:r>
      <w:r>
        <w:t xml:space="preserve"> From the foregoing experiences of women and girls and gaps identified from these experiences, we see that the government of Malawi is not meeting even its core, immediate obligations with regards to health and subsequently, women and girls seeking maternal health services, especially intrapartum services, are being subjected to TCIDT.</w:t>
      </w:r>
    </w:p>
    <w:p w14:paraId="121DD51F" w14:textId="77777777" w:rsidR="0053655D" w:rsidRDefault="00000000">
      <w:pPr>
        <w:pStyle w:val="Heading2"/>
        <w:numPr>
          <w:ilvl w:val="0"/>
          <w:numId w:val="2"/>
        </w:numPr>
        <w:ind w:left="426" w:hanging="426"/>
      </w:pPr>
      <w:r>
        <w:t>Challenges in accessing safe abortion care</w:t>
      </w:r>
    </w:p>
    <w:p w14:paraId="121DD520" w14:textId="77777777" w:rsidR="0053655D" w:rsidRDefault="00000000">
      <w:r>
        <w:t xml:space="preserve">Unsafe abortion is a major cause of maternal mortality and morbidity globally. Furthermore, both the methods by which unsafe abortions are procured, the resulting, preventable mortality and short-term and long-term morbidity can amount to torture, cruel, </w:t>
      </w:r>
      <w:proofErr w:type="gramStart"/>
      <w:r>
        <w:t>inhuman</w:t>
      </w:r>
      <w:proofErr w:type="gramEnd"/>
      <w:r>
        <w:t xml:space="preserve"> and degrading treatment</w:t>
      </w:r>
      <w:r>
        <w:rPr>
          <w:vertAlign w:val="superscript"/>
        </w:rPr>
        <w:footnoteReference w:id="26"/>
      </w:r>
    </w:p>
    <w:p w14:paraId="121DD521" w14:textId="77777777" w:rsidR="0053655D" w:rsidRDefault="00000000">
      <w:r>
        <w:t xml:space="preserve">In 2015, approximately 469,700 pregnancies (53% of all pregnancies) among women aged 15-49 in Malawi were unintended. A significant number of these unintended pregnancies occurred among adolescent girls as 1 in 3 adolescent girls aged 15-19 are either pregnant or have already </w:t>
      </w:r>
      <w:r>
        <w:lastRenderedPageBreak/>
        <w:t>had their first child.</w:t>
      </w:r>
      <w:r>
        <w:rPr>
          <w:vertAlign w:val="superscript"/>
        </w:rPr>
        <w:footnoteReference w:id="27"/>
      </w:r>
      <w:r>
        <w:t xml:space="preserve"> Additionally, sexual violence is a common occurrence in Malawi as 1 in 3 women experience sexual violence before they are 30 years old.</w:t>
      </w:r>
      <w:r>
        <w:rPr>
          <w:vertAlign w:val="superscript"/>
        </w:rPr>
        <w:footnoteReference w:id="28"/>
      </w:r>
      <w:r>
        <w:t xml:space="preserve"> Subsequently, in 2015, there were approximately 141,044 abortions, that is 15% of all pregnancies ended in induced abortion. Of all the induced abortions, 38% resulted in complication for which medical treatment was sought and 22% resulted in complications that went untreated. Thus, we see that majority (60%) of the abortions occurring in Malawi are unsafe and, in about one third of the cases post-abortion care is needed but not sought.</w:t>
      </w:r>
      <w:r>
        <w:rPr>
          <w:vertAlign w:val="superscript"/>
        </w:rPr>
        <w:footnoteReference w:id="29"/>
      </w:r>
      <w:r>
        <w:t xml:space="preserve"> </w:t>
      </w:r>
    </w:p>
    <w:p w14:paraId="121DD522" w14:textId="77777777" w:rsidR="0053655D" w:rsidRDefault="00000000">
      <w:r>
        <w:t>Furthermore, the incidences of unsafe abortion are not the same across all groups, for instance, 65% of wealthy women living in urban areas were able to seek services from doctors, clinical officers, nurses, mid-</w:t>
      </w:r>
      <w:proofErr w:type="gramStart"/>
      <w:r>
        <w:t>wives</w:t>
      </w:r>
      <w:proofErr w:type="gramEnd"/>
      <w:r>
        <w:t xml:space="preserve"> and other trained health professionals whereas only 18% of poor women living in rural areas were able to access such healthcare providers. Consequently, 56% of poor women living in rural areas sought services from traditional healers and 16% tried to procure the abortion themselves. In comparison, 12% of wealthy women living in urban areas used traditional healers and 9% tried to procure the abortion themselves. Thus, we see that economic status and geographical area are key determinants of whether a woman or girl can access safe abortion services.</w:t>
      </w:r>
      <w:r>
        <w:rPr>
          <w:vertAlign w:val="superscript"/>
        </w:rPr>
        <w:footnoteReference w:id="30"/>
      </w:r>
    </w:p>
    <w:p w14:paraId="121DD523" w14:textId="77777777" w:rsidR="0053655D" w:rsidRDefault="00000000">
      <w:r>
        <w:t xml:space="preserve">From the foregoing we see that the denial and inaccessibility of safe abortion and post-abortion care not only puts women at risk for TCIDT but occasions instances of TCIDT as it results in denial of timely access to essential care that women and girls need for their </w:t>
      </w:r>
      <w:proofErr w:type="gramStart"/>
      <w:r>
        <w:t>survival</w:t>
      </w:r>
      <w:proofErr w:type="gramEnd"/>
      <w:r>
        <w:t xml:space="preserve"> and it has a disproportionate effect on vulnerable and marginalized women and girls including those who are poor and those living in rural areas.</w:t>
      </w:r>
      <w:r>
        <w:rPr>
          <w:vertAlign w:val="superscript"/>
        </w:rPr>
        <w:footnoteReference w:id="31"/>
      </w:r>
    </w:p>
    <w:p w14:paraId="121DD524" w14:textId="77777777" w:rsidR="0053655D" w:rsidRDefault="00000000">
      <w:r>
        <w:t>This form of TCIDT against women and girls is caused, in part, by the government’s failure to meet its obligation to progressively ensure access to health services, including sexual and reproductive health services</w:t>
      </w:r>
      <w:r>
        <w:rPr>
          <w:vertAlign w:val="superscript"/>
        </w:rPr>
        <w:footnoteReference w:id="32"/>
      </w:r>
      <w:r>
        <w:t xml:space="preserve"> which encompasses the immediate, core obligations to take measures to prevent unsafe abortion; to provide post abortion care; and to guarantee universal </w:t>
      </w:r>
      <w:r>
        <w:lastRenderedPageBreak/>
        <w:t>and equitable access to affordable, acceptable and quality abortion services.</w:t>
      </w:r>
      <w:r>
        <w:rPr>
          <w:vertAlign w:val="superscript"/>
        </w:rPr>
        <w:footnoteReference w:id="33"/>
      </w:r>
      <w:r>
        <w:t xml:space="preserve"> These obligations are not being fulfilled as the government has failed to enact a law providing for access to safe abortion and decriminalize abortion in all other instances.</w:t>
      </w:r>
    </w:p>
    <w:p w14:paraId="121DD525" w14:textId="1E983933" w:rsidR="0053655D" w:rsidRDefault="00000000">
      <w:r>
        <w:t xml:space="preserve">The state has failed to decriminalize abortion and thus, abortion remains criminalized by Sections 149-151 of the Penal Code of Malawi which </w:t>
      </w:r>
      <w:proofErr w:type="spellStart"/>
      <w:r>
        <w:t>penalise</w:t>
      </w:r>
      <w:proofErr w:type="spellEnd"/>
      <w:r>
        <w:t xml:space="preserve"> the unlawful provision of abortion services, seeking unlawful abortion services and supplying drugs or instruments for unlawful abortion services. Conversely, the Penal Code also provides that a person cannot be penalized for performing a surgical operation on a</w:t>
      </w:r>
      <w:r w:rsidR="007D07F1">
        <w:t xml:space="preserve"> </w:t>
      </w:r>
      <w:proofErr w:type="spellStart"/>
      <w:r w:rsidR="007D07F1">
        <w:t>foetus</w:t>
      </w:r>
      <w:proofErr w:type="spellEnd"/>
      <w:r>
        <w:t xml:space="preserve"> in good faith with reasonable care and skill to save the life of a pregnant woman.</w:t>
      </w:r>
      <w:r>
        <w:rPr>
          <w:vertAlign w:val="superscript"/>
        </w:rPr>
        <w:footnoteReference w:id="34"/>
      </w:r>
      <w:r>
        <w:t xml:space="preserve"> Building on this, the Gender Equality Act provides that “… </w:t>
      </w:r>
      <w:r>
        <w:rPr>
          <w:i/>
        </w:rPr>
        <w:t>subject to any other written law, every person has the right to choose whether or not to have a child</w:t>
      </w:r>
      <w:r>
        <w:t>”.</w:t>
      </w:r>
      <w:r>
        <w:rPr>
          <w:vertAlign w:val="superscript"/>
        </w:rPr>
        <w:footnoteReference w:id="35"/>
      </w:r>
      <w:r>
        <w:t xml:space="preserve"> Implying the need for a law that addresses access to safe and legal abortion.</w:t>
      </w:r>
    </w:p>
    <w:p w14:paraId="121DD526" w14:textId="77777777" w:rsidR="0053655D" w:rsidRDefault="00000000">
      <w:r>
        <w:t xml:space="preserve"> Some clarity was provided on the provisions of the Penal Code and how they apply in practice in the case of </w:t>
      </w:r>
      <w:r>
        <w:rPr>
          <w:b/>
          <w:i/>
          <w:u w:val="single"/>
        </w:rPr>
        <w:t>The State (On the application by HM (guardian) on behalf of CM (minor) v The Hospital Director Of Queen Elizabeth Central</w:t>
      </w:r>
      <w:r>
        <w:rPr>
          <w:vertAlign w:val="superscript"/>
        </w:rPr>
        <w:footnoteReference w:id="36"/>
      </w:r>
      <w:r>
        <w:t xml:space="preserve"> where the court interpreted these provisions to mean that a woman or girl seeking safe abortion services must approach a healthcare provider with a request to receive abortion services and, only upon her request can a healthcare provider examine her and determine whether her life, physical or mental health in endangered by the pregnancy. </w:t>
      </w:r>
    </w:p>
    <w:p w14:paraId="121DD527" w14:textId="77777777" w:rsidR="0053655D" w:rsidRDefault="00000000">
      <w:r>
        <w:t>This interpretation is insufficient as it provides very limited guidance on when and how abortion services can legally be sought and provided. Thus, there is still a need for parliament to enact laws and accompanying guidelines that give clear guidance on and are consistent with its core obligations as listed above. The government of Malawi has also failed to do this. In 2015, the Law Commission reviewed the laws on abortion in the country and issued a report which included the recommendation that a standalone law be enacted to provide for access to safe abortion.</w:t>
      </w:r>
      <w:r>
        <w:rPr>
          <w:vertAlign w:val="superscript"/>
        </w:rPr>
        <w:footnoteReference w:id="37"/>
      </w:r>
      <w:r>
        <w:t xml:space="preserve"> In furtherance of this recommendation, the Law Commission appended a proposed draft of a Termination of Pregnancy Bill (“</w:t>
      </w:r>
      <w:r>
        <w:rPr>
          <w:b/>
        </w:rPr>
        <w:t>Proposed</w:t>
      </w:r>
      <w:r>
        <w:t xml:space="preserve"> </w:t>
      </w:r>
      <w:proofErr w:type="spellStart"/>
      <w:r>
        <w:rPr>
          <w:b/>
        </w:rPr>
        <w:t>ToP</w:t>
      </w:r>
      <w:proofErr w:type="spellEnd"/>
      <w:r>
        <w:rPr>
          <w:b/>
        </w:rPr>
        <w:t xml:space="preserve"> Bill</w:t>
      </w:r>
      <w:r>
        <w:t xml:space="preserve">”) to the report, both of which were submitted to the Minister of Justice. Thereafter, there have been no efforts by the Executive to prepare a government bill for presentation before Parliament for its consideration. In a bid to encourage the government to make progress on reforming the country’s abortion law, civil society actors, led by the Coalition for the Prevention of Unsafe Abortion (COPUA) sought the support of a member </w:t>
      </w:r>
      <w:r>
        <w:lastRenderedPageBreak/>
        <w:t xml:space="preserve">of parliament to present the Proposed </w:t>
      </w:r>
      <w:proofErr w:type="spellStart"/>
      <w:r>
        <w:t>ToP</w:t>
      </w:r>
      <w:proofErr w:type="spellEnd"/>
      <w:r>
        <w:t xml:space="preserve"> Bill through a private members motion. Parliament blocked the presentation of this motion and, thus, to date, the recommendations of the Law Commission have not been acted upon by the government.</w:t>
      </w:r>
    </w:p>
    <w:p w14:paraId="121DD528" w14:textId="77777777" w:rsidR="0053655D" w:rsidRDefault="00000000">
      <w:r>
        <w:t xml:space="preserve">It is worth noting that the Proposed </w:t>
      </w:r>
      <w:proofErr w:type="spellStart"/>
      <w:r>
        <w:t>ToP</w:t>
      </w:r>
      <w:proofErr w:type="spellEnd"/>
      <w:r>
        <w:t xml:space="preserve"> Bill provides </w:t>
      </w:r>
      <w:proofErr w:type="spellStart"/>
      <w:r>
        <w:t>provides</w:t>
      </w:r>
      <w:proofErr w:type="spellEnd"/>
      <w:r>
        <w:t xml:space="preserve"> for four grounds on which abortion can be legally accessed, namely, where the pregnancy endangers the life of the woman; to prevent injury to the physical or mental health of the woman; in cases where the </w:t>
      </w:r>
      <w:proofErr w:type="spellStart"/>
      <w:r>
        <w:t>foetus</w:t>
      </w:r>
      <w:proofErr w:type="spellEnd"/>
      <w:r>
        <w:t xml:space="preserve"> has severe abnormalities that are inconsistent with life outside the womb; and in cases of sexual violence. While this is an improvement on the extremely limited provisions of the Penal Code on provision of </w:t>
      </w:r>
      <w:proofErr w:type="spellStart"/>
      <w:r>
        <w:t>leal</w:t>
      </w:r>
      <w:proofErr w:type="spellEnd"/>
      <w:r>
        <w:t xml:space="preserve"> abortion services, the Proposed </w:t>
      </w:r>
      <w:proofErr w:type="spellStart"/>
      <w:r>
        <w:t>ToP</w:t>
      </w:r>
      <w:proofErr w:type="spellEnd"/>
      <w:r>
        <w:t xml:space="preserve"> Bill still falls short of the government’s core obligations to provide for access to safe abortion services on a non-discriminatory basis and in a manner that reduces unsafe abortion.</w:t>
      </w:r>
      <w:r>
        <w:rPr>
          <w:vertAlign w:val="superscript"/>
        </w:rPr>
        <w:footnoteReference w:id="38"/>
      </w:r>
      <w:r>
        <w:rPr>
          <w:vertAlign w:val="superscript"/>
        </w:rPr>
        <w:t xml:space="preserve"> </w:t>
      </w:r>
      <w:r>
        <w:t xml:space="preserve"> For instance, the Proposed </w:t>
      </w:r>
      <w:proofErr w:type="spellStart"/>
      <w:r>
        <w:t>ToP</w:t>
      </w:r>
      <w:proofErr w:type="spellEnd"/>
      <w:r>
        <w:t xml:space="preserve"> Bill imposes a 16 week gestational limit for women and girls who get pregnant as a result of sexual violence. Consequently, if the Proposed </w:t>
      </w:r>
      <w:proofErr w:type="spellStart"/>
      <w:r>
        <w:t>ToP</w:t>
      </w:r>
      <w:proofErr w:type="spellEnd"/>
      <w:r>
        <w:t xml:space="preserve"> Bill were to be tabled before Parliament and discussed and passed as it is, women and girls who are survivors of sexual violence would not be able to legally access abortion services after the 16th </w:t>
      </w:r>
      <w:proofErr w:type="spellStart"/>
      <w:r>
        <w:t>wek</w:t>
      </w:r>
      <w:proofErr w:type="spellEnd"/>
      <w:r>
        <w:t xml:space="preserve"> of pregnancy. However, as discussed above, the Proposed </w:t>
      </w:r>
      <w:proofErr w:type="spellStart"/>
      <w:r>
        <w:t>ToP</w:t>
      </w:r>
      <w:proofErr w:type="spellEnd"/>
      <w:r>
        <w:t xml:space="preserve"> Bill is yet to even be tabled in parliament. Therefore, women, girls and healthcare providers remain bound by the Penal Code- which predates the Constitution and is inconsistent with sexual and reproductive rights- that still does not provide clear guidance on whether any victims of sexual violence can access legal abortion services.</w:t>
      </w:r>
      <w:r>
        <w:rPr>
          <w:vertAlign w:val="superscript"/>
        </w:rPr>
        <w:footnoteReference w:id="39"/>
      </w:r>
    </w:p>
    <w:p w14:paraId="121DD529" w14:textId="77777777" w:rsidR="0053655D" w:rsidRDefault="00000000">
      <w:pPr>
        <w:pStyle w:val="Heading2"/>
      </w:pPr>
      <w:r>
        <w:t>Questions and Recommendations</w:t>
      </w:r>
    </w:p>
    <w:p w14:paraId="121DD52A" w14:textId="77777777" w:rsidR="0053655D" w:rsidRDefault="00000000">
      <w:r>
        <w:t>The Center and Nyale Institute hope that the Committee will consider addressing the following questions to the Government of Malawi:</w:t>
      </w:r>
    </w:p>
    <w:p w14:paraId="121DD52B" w14:textId="77777777" w:rsidR="0053655D" w:rsidRDefault="00000000">
      <w:pPr>
        <w:numPr>
          <w:ilvl w:val="0"/>
          <w:numId w:val="3"/>
        </w:numPr>
        <w:pBdr>
          <w:top w:val="nil"/>
          <w:left w:val="nil"/>
          <w:bottom w:val="nil"/>
          <w:right w:val="nil"/>
          <w:between w:val="nil"/>
        </w:pBdr>
        <w:spacing w:after="0"/>
      </w:pPr>
      <w:r>
        <w:rPr>
          <w:color w:val="000000"/>
        </w:rPr>
        <w:t>What measures are being put in place to address TCIDT in the context of maternal health services, specifically:</w:t>
      </w:r>
    </w:p>
    <w:p w14:paraId="121DD52C" w14:textId="77777777" w:rsidR="0053655D" w:rsidRDefault="00000000">
      <w:pPr>
        <w:numPr>
          <w:ilvl w:val="1"/>
          <w:numId w:val="3"/>
        </w:numPr>
        <w:pBdr>
          <w:top w:val="nil"/>
          <w:left w:val="nil"/>
          <w:bottom w:val="nil"/>
          <w:right w:val="nil"/>
          <w:between w:val="nil"/>
        </w:pBdr>
        <w:spacing w:after="0"/>
      </w:pPr>
      <w:r>
        <w:rPr>
          <w:color w:val="000000"/>
        </w:rPr>
        <w:t>What measures are being put in place to review and amend the village level by-laws to remove the criminal sanctions that are attached to provision of maternal health services and ensure they adopt a rights-based approach towards increasing uptake of maternal health services?</w:t>
      </w:r>
    </w:p>
    <w:p w14:paraId="121DD52D" w14:textId="77777777" w:rsidR="0053655D" w:rsidRDefault="00000000">
      <w:pPr>
        <w:numPr>
          <w:ilvl w:val="1"/>
          <w:numId w:val="3"/>
        </w:numPr>
        <w:pBdr>
          <w:top w:val="nil"/>
          <w:left w:val="nil"/>
          <w:bottom w:val="nil"/>
          <w:right w:val="nil"/>
          <w:between w:val="nil"/>
        </w:pBdr>
        <w:spacing w:after="0"/>
      </w:pPr>
      <w:r>
        <w:rPr>
          <w:color w:val="000000"/>
        </w:rPr>
        <w:t xml:space="preserve">What measures are being put in place to address the violations raised in the 2019 report of Ombudsman and the systemic barriers that caused them including measures to ensure access to redress for the women who suffered the violations; measures to ensure that all health facilities, including public health facilities, have constant access to running water; </w:t>
      </w:r>
      <w:r>
        <w:rPr>
          <w:color w:val="000000"/>
        </w:rPr>
        <w:lastRenderedPageBreak/>
        <w:t>measures to ensure that public hospitals are adequately staffed and equipped to provide maternal health services; measures to ensure that women are able to exercise their right to informed consent to medical procedures and health services?</w:t>
      </w:r>
    </w:p>
    <w:p w14:paraId="121DD52E" w14:textId="77777777" w:rsidR="0053655D" w:rsidRDefault="00000000">
      <w:pPr>
        <w:numPr>
          <w:ilvl w:val="0"/>
          <w:numId w:val="3"/>
        </w:numPr>
        <w:pBdr>
          <w:top w:val="nil"/>
          <w:left w:val="nil"/>
          <w:bottom w:val="nil"/>
          <w:right w:val="nil"/>
          <w:between w:val="nil"/>
        </w:pBdr>
        <w:spacing w:after="0"/>
      </w:pPr>
      <w:r>
        <w:rPr>
          <w:color w:val="000000"/>
        </w:rPr>
        <w:t>What measures are being put in place to address TCIDT in the context of safe, comprehensive abortion care, specifically</w:t>
      </w:r>
    </w:p>
    <w:p w14:paraId="121DD52F" w14:textId="77777777" w:rsidR="0053655D" w:rsidRDefault="00000000">
      <w:pPr>
        <w:numPr>
          <w:ilvl w:val="1"/>
          <w:numId w:val="3"/>
        </w:numPr>
        <w:pBdr>
          <w:top w:val="nil"/>
          <w:left w:val="nil"/>
          <w:bottom w:val="nil"/>
          <w:right w:val="nil"/>
          <w:between w:val="nil"/>
        </w:pBdr>
        <w:spacing w:after="0"/>
      </w:pPr>
      <w:r>
        <w:rPr>
          <w:color w:val="000000"/>
        </w:rPr>
        <w:t xml:space="preserve">What measures are being put in place to address the gaps that exist in the </w:t>
      </w:r>
      <w:r>
        <w:t>recommended</w:t>
      </w:r>
      <w:r>
        <w:rPr>
          <w:color w:val="000000"/>
        </w:rPr>
        <w:t xml:space="preserve"> Termination of Pregnancy Bill and introduce a bill in parliament that meets the core obligations of the state with regards to provision of abortion care?</w:t>
      </w:r>
    </w:p>
    <w:p w14:paraId="121DD530" w14:textId="77777777" w:rsidR="0053655D" w:rsidRDefault="00000000">
      <w:pPr>
        <w:numPr>
          <w:ilvl w:val="1"/>
          <w:numId w:val="3"/>
        </w:numPr>
        <w:pBdr>
          <w:top w:val="nil"/>
          <w:left w:val="nil"/>
          <w:bottom w:val="nil"/>
          <w:right w:val="nil"/>
          <w:between w:val="nil"/>
        </w:pBdr>
        <w:spacing w:after="0"/>
      </w:pPr>
      <w:r>
        <w:rPr>
          <w:color w:val="000000"/>
        </w:rPr>
        <w:t xml:space="preserve">What measures are being put in place to ensure universal and non-discriminatory access to safe and legal abortion and post abortion care to the full extent allowed by the law of Malawi? </w:t>
      </w:r>
    </w:p>
    <w:p w14:paraId="121DD531" w14:textId="77777777" w:rsidR="0053655D" w:rsidRDefault="00000000">
      <w:pPr>
        <w:numPr>
          <w:ilvl w:val="1"/>
          <w:numId w:val="3"/>
        </w:numPr>
        <w:pBdr>
          <w:top w:val="nil"/>
          <w:left w:val="nil"/>
          <w:bottom w:val="nil"/>
          <w:right w:val="nil"/>
          <w:between w:val="nil"/>
        </w:pBdr>
      </w:pPr>
      <w:r>
        <w:rPr>
          <w:color w:val="000000"/>
        </w:rPr>
        <w:t>What measures are being put in place to decriminalize abortion in all other instances?</w:t>
      </w:r>
    </w:p>
    <w:p w14:paraId="121DD532" w14:textId="77777777" w:rsidR="0053655D" w:rsidRDefault="00000000">
      <w:r>
        <w:t>The Center and Nyale Institute hope that the Committee will consider making the following recommendations to the Government of Malawi:</w:t>
      </w:r>
    </w:p>
    <w:p w14:paraId="121DD533" w14:textId="77777777" w:rsidR="0053655D" w:rsidRDefault="00000000">
      <w:pPr>
        <w:numPr>
          <w:ilvl w:val="0"/>
          <w:numId w:val="4"/>
        </w:numPr>
        <w:pBdr>
          <w:top w:val="nil"/>
          <w:left w:val="nil"/>
          <w:bottom w:val="nil"/>
          <w:right w:val="nil"/>
          <w:between w:val="nil"/>
        </w:pBdr>
        <w:spacing w:after="0"/>
        <w:ind w:left="426" w:hanging="426"/>
      </w:pPr>
      <w:r>
        <w:rPr>
          <w:color w:val="000000"/>
        </w:rPr>
        <w:t xml:space="preserve">The government of Malawi should put in place legislative, administrative, </w:t>
      </w:r>
      <w:proofErr w:type="gramStart"/>
      <w:r>
        <w:rPr>
          <w:color w:val="000000"/>
        </w:rPr>
        <w:t>programmatic</w:t>
      </w:r>
      <w:proofErr w:type="gramEnd"/>
      <w:r>
        <w:rPr>
          <w:color w:val="000000"/>
        </w:rPr>
        <w:t xml:space="preserve"> and other measures to ensure that the enactment and implementation of all subsidiary legislation relating to maternal health and other sexual and reproductive health and rights, applies a human rights-based approach.</w:t>
      </w:r>
    </w:p>
    <w:p w14:paraId="121DD534" w14:textId="77777777" w:rsidR="0053655D" w:rsidRDefault="00000000">
      <w:pPr>
        <w:numPr>
          <w:ilvl w:val="0"/>
          <w:numId w:val="4"/>
        </w:numPr>
        <w:pBdr>
          <w:top w:val="nil"/>
          <w:left w:val="nil"/>
          <w:bottom w:val="nil"/>
          <w:right w:val="nil"/>
          <w:between w:val="nil"/>
        </w:pBdr>
        <w:spacing w:after="0"/>
        <w:ind w:left="426" w:hanging="426"/>
      </w:pPr>
      <w:r>
        <w:rPr>
          <w:color w:val="000000"/>
        </w:rPr>
        <w:t xml:space="preserve">The government of Malawi should put in place legislative, administrative, budgetary, </w:t>
      </w:r>
      <w:proofErr w:type="gramStart"/>
      <w:r>
        <w:rPr>
          <w:color w:val="000000"/>
        </w:rPr>
        <w:t>programmatic</w:t>
      </w:r>
      <w:proofErr w:type="gramEnd"/>
      <w:r>
        <w:rPr>
          <w:color w:val="000000"/>
        </w:rPr>
        <w:t xml:space="preserve"> and other measures to ensure the accessibility, availability, quality and acceptability of maternal health services that are commensurate with the health needs of women and girls in Malawi and in line with international standards on healthcare.</w:t>
      </w:r>
    </w:p>
    <w:p w14:paraId="121DD535" w14:textId="77777777" w:rsidR="0053655D" w:rsidRDefault="00000000">
      <w:pPr>
        <w:numPr>
          <w:ilvl w:val="0"/>
          <w:numId w:val="4"/>
        </w:numPr>
        <w:pBdr>
          <w:top w:val="nil"/>
          <w:left w:val="nil"/>
          <w:bottom w:val="nil"/>
          <w:right w:val="nil"/>
          <w:between w:val="nil"/>
        </w:pBdr>
        <w:spacing w:after="0"/>
        <w:ind w:left="426" w:hanging="426"/>
      </w:pPr>
      <w:r>
        <w:rPr>
          <w:color w:val="000000"/>
        </w:rPr>
        <w:t>The government of Malawi should put in place legislative and other measures to ensure universal access to quality, comprehensive abortion care to the full extent of the law of Malawi including enacting a law to provide for access to safe, legal abortion in accordance with the Gender Equality Act.</w:t>
      </w:r>
    </w:p>
    <w:p w14:paraId="121DD536" w14:textId="77777777" w:rsidR="0053655D" w:rsidRDefault="00000000">
      <w:pPr>
        <w:numPr>
          <w:ilvl w:val="0"/>
          <w:numId w:val="4"/>
        </w:numPr>
        <w:pBdr>
          <w:top w:val="nil"/>
          <w:left w:val="nil"/>
          <w:bottom w:val="nil"/>
          <w:right w:val="nil"/>
          <w:between w:val="nil"/>
        </w:pBdr>
        <w:ind w:left="426" w:hanging="426"/>
      </w:pPr>
      <w:r>
        <w:rPr>
          <w:color w:val="000000"/>
        </w:rPr>
        <w:t xml:space="preserve"> The government of Malawi should put in place legislative measures to decriminalize abortion in all other circumstances</w:t>
      </w:r>
    </w:p>
    <w:p w14:paraId="121DD537" w14:textId="77777777" w:rsidR="0053655D" w:rsidRDefault="0053655D"/>
    <w:p w14:paraId="121DD538" w14:textId="77777777" w:rsidR="0053655D" w:rsidRDefault="0053655D"/>
    <w:p w14:paraId="121DD539" w14:textId="77777777" w:rsidR="0053655D" w:rsidRDefault="0053655D"/>
    <w:p w14:paraId="121DD53A" w14:textId="77777777" w:rsidR="0053655D" w:rsidRDefault="0053655D"/>
    <w:p w14:paraId="121DD53B" w14:textId="77777777" w:rsidR="0053655D" w:rsidRDefault="0053655D"/>
    <w:p w14:paraId="121DD53C" w14:textId="77777777" w:rsidR="0053655D" w:rsidRDefault="00000000">
      <w:r>
        <w:t xml:space="preserve"> </w:t>
      </w:r>
    </w:p>
    <w:p w14:paraId="121DD53D" w14:textId="77777777" w:rsidR="0053655D" w:rsidRDefault="0053655D"/>
    <w:sectPr w:rsidR="0053655D">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07B900" w14:textId="77777777" w:rsidR="00AD14E9" w:rsidRDefault="00AD14E9">
      <w:pPr>
        <w:spacing w:after="0" w:line="240" w:lineRule="auto"/>
      </w:pPr>
      <w:r>
        <w:separator/>
      </w:r>
    </w:p>
  </w:endnote>
  <w:endnote w:type="continuationSeparator" w:id="0">
    <w:p w14:paraId="421DFD86" w14:textId="77777777" w:rsidR="00AD14E9" w:rsidRDefault="00AD14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Palatino Linotype">
    <w:panose1 w:val="02040502050505030304"/>
    <w:charset w:val="00"/>
    <w:family w:val="roman"/>
    <w:pitch w:val="variable"/>
    <w:sig w:usb0="E0000287" w:usb1="4000001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C96971" w14:textId="77777777" w:rsidR="00AD14E9" w:rsidRDefault="00AD14E9">
      <w:pPr>
        <w:spacing w:after="0" w:line="240" w:lineRule="auto"/>
      </w:pPr>
      <w:r>
        <w:separator/>
      </w:r>
    </w:p>
  </w:footnote>
  <w:footnote w:type="continuationSeparator" w:id="0">
    <w:p w14:paraId="598F5C06" w14:textId="77777777" w:rsidR="00AD14E9" w:rsidRDefault="00AD14E9">
      <w:pPr>
        <w:spacing w:after="0" w:line="240" w:lineRule="auto"/>
      </w:pPr>
      <w:r>
        <w:continuationSeparator/>
      </w:r>
    </w:p>
  </w:footnote>
  <w:footnote w:id="1">
    <w:p w14:paraId="121DD53E" w14:textId="77777777" w:rsidR="0053655D"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Article 211(1), Constitution of the Republic of Malawi</w:t>
      </w:r>
    </w:p>
  </w:footnote>
  <w:footnote w:id="2">
    <w:p w14:paraId="121DD53F" w14:textId="77777777" w:rsidR="0053655D"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Article 211(3), Constitution of the Republic of Malawi</w:t>
      </w:r>
    </w:p>
  </w:footnote>
  <w:footnote w:id="3">
    <w:p w14:paraId="121DD540" w14:textId="77777777" w:rsidR="0053655D"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Article 5, Constitution of the Republic of Malawi</w:t>
      </w:r>
    </w:p>
  </w:footnote>
  <w:footnote w:id="4">
    <w:p w14:paraId="121DD541" w14:textId="77777777" w:rsidR="0053655D"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Article 13(c), Constitution of the Republic of Malawi</w:t>
      </w:r>
    </w:p>
  </w:footnote>
  <w:footnote w:id="5">
    <w:p w14:paraId="121DD542" w14:textId="77777777" w:rsidR="0053655D"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Section 19, Gender Equality Act, 2014</w:t>
      </w:r>
    </w:p>
  </w:footnote>
  <w:footnote w:id="6">
    <w:p w14:paraId="121DD543" w14:textId="77777777" w:rsidR="0053655D"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Pg. 34-35, Human Rights: Handbook for Parliamentarians N° 26, Office of the High Commissioner for Human Rights and the Inter-Parliamentary Union, 2016.</w:t>
      </w:r>
    </w:p>
  </w:footnote>
  <w:footnote w:id="7">
    <w:p w14:paraId="121DD544" w14:textId="77777777" w:rsidR="0053655D"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Committee on Economic, Social and Cultural Rights, General comment No. 22 on the right to sexual and reproductive health (article 12 of the International Covenant on Economic, Social and Cultural Rights), (2016). Paragraph 10, U.N. Document E/C.12/GC/22.</w:t>
      </w:r>
    </w:p>
  </w:footnote>
  <w:footnote w:id="8">
    <w:p w14:paraId="121DD545" w14:textId="77777777" w:rsidR="0053655D"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Committee on the Elimination of Discrimination Against Women, General recommendation No. 24: Article 12 of the Convention (women and health) (1999). Paragraph 6.</w:t>
      </w:r>
    </w:p>
  </w:footnote>
  <w:footnote w:id="9">
    <w:p w14:paraId="121DD546" w14:textId="77777777" w:rsidR="0053655D"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Pg. 248, Malawi Demographic and Health Survey 2015-16</w:t>
      </w:r>
    </w:p>
  </w:footnote>
  <w:footnote w:id="10">
    <w:p w14:paraId="121DD547" w14:textId="77777777" w:rsidR="0053655D"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proofErr w:type="spellStart"/>
      <w:r>
        <w:rPr>
          <w:color w:val="000000"/>
          <w:sz w:val="20"/>
          <w:szCs w:val="20"/>
        </w:rPr>
        <w:t>Mgawadere</w:t>
      </w:r>
      <w:proofErr w:type="spellEnd"/>
      <w:r>
        <w:rPr>
          <w:color w:val="000000"/>
          <w:sz w:val="20"/>
          <w:szCs w:val="20"/>
        </w:rPr>
        <w:t xml:space="preserve"> F., </w:t>
      </w:r>
      <w:proofErr w:type="spellStart"/>
      <w:r>
        <w:rPr>
          <w:color w:val="000000"/>
          <w:sz w:val="20"/>
          <w:szCs w:val="20"/>
        </w:rPr>
        <w:t>Unkels</w:t>
      </w:r>
      <w:proofErr w:type="spellEnd"/>
      <w:r>
        <w:rPr>
          <w:color w:val="000000"/>
          <w:sz w:val="20"/>
          <w:szCs w:val="20"/>
        </w:rPr>
        <w:t xml:space="preserve"> R. et al., </w:t>
      </w:r>
      <w:r>
        <w:rPr>
          <w:i/>
          <w:color w:val="000000"/>
          <w:sz w:val="20"/>
          <w:szCs w:val="20"/>
        </w:rPr>
        <w:t>Factors associated with maternal mortality in Malawi: application of the three delays model</w:t>
      </w:r>
      <w:r>
        <w:rPr>
          <w:color w:val="000000"/>
          <w:sz w:val="20"/>
          <w:szCs w:val="20"/>
        </w:rPr>
        <w:t>, BMC Pregnancy and Childbirth (2017)</w:t>
      </w:r>
    </w:p>
  </w:footnote>
  <w:footnote w:id="11">
    <w:p w14:paraId="121DD548" w14:textId="77777777" w:rsidR="0053655D"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proofErr w:type="spellStart"/>
      <w:r>
        <w:rPr>
          <w:color w:val="000000"/>
          <w:sz w:val="20"/>
          <w:szCs w:val="20"/>
        </w:rPr>
        <w:t>Lodenstein</w:t>
      </w:r>
      <w:proofErr w:type="spellEnd"/>
      <w:r>
        <w:rPr>
          <w:color w:val="000000"/>
          <w:sz w:val="20"/>
          <w:szCs w:val="20"/>
        </w:rPr>
        <w:t xml:space="preserve"> E., Pedersen K., Botha K. et al., </w:t>
      </w:r>
      <w:r>
        <w:rPr>
          <w:i/>
          <w:color w:val="000000"/>
          <w:sz w:val="20"/>
          <w:szCs w:val="20"/>
        </w:rPr>
        <w:t xml:space="preserve">Gendered norms of responsibility: reflections on accountability politics in maternal health care in Malawi, </w:t>
      </w:r>
      <w:r>
        <w:rPr>
          <w:color w:val="000000"/>
          <w:sz w:val="20"/>
          <w:szCs w:val="20"/>
        </w:rPr>
        <w:t>International Journal for Equity in Health (2018).</w:t>
      </w:r>
    </w:p>
  </w:footnote>
  <w:footnote w:id="12">
    <w:p w14:paraId="121DD549" w14:textId="77777777" w:rsidR="0053655D"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Stewart, C., A. Lipsky, and P. </w:t>
      </w:r>
      <w:proofErr w:type="spellStart"/>
      <w:r>
        <w:rPr>
          <w:color w:val="000000"/>
          <w:sz w:val="20"/>
          <w:szCs w:val="20"/>
        </w:rPr>
        <w:t>Mingkwan</w:t>
      </w:r>
      <w:proofErr w:type="spellEnd"/>
      <w:r>
        <w:rPr>
          <w:color w:val="000000"/>
          <w:sz w:val="20"/>
          <w:szCs w:val="20"/>
        </w:rPr>
        <w:t xml:space="preserve">. </w:t>
      </w:r>
      <w:r>
        <w:rPr>
          <w:i/>
          <w:color w:val="000000"/>
          <w:sz w:val="20"/>
          <w:szCs w:val="20"/>
        </w:rPr>
        <w:t>Assessment of By-Laws Related to Maternal, Child, and Reproductive Health in Malawi</w:t>
      </w:r>
      <w:r>
        <w:rPr>
          <w:color w:val="000000"/>
          <w:sz w:val="20"/>
          <w:szCs w:val="20"/>
        </w:rPr>
        <w:t>. Palladium (2020).</w:t>
      </w:r>
    </w:p>
  </w:footnote>
  <w:footnote w:id="13">
    <w:p w14:paraId="121DD54A" w14:textId="77777777" w:rsidR="0053655D"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proofErr w:type="spellStart"/>
      <w:r>
        <w:rPr>
          <w:color w:val="000000"/>
          <w:sz w:val="20"/>
          <w:szCs w:val="20"/>
        </w:rPr>
        <w:t>Machira</w:t>
      </w:r>
      <w:proofErr w:type="spellEnd"/>
      <w:r>
        <w:rPr>
          <w:color w:val="000000"/>
          <w:sz w:val="20"/>
          <w:szCs w:val="20"/>
        </w:rPr>
        <w:t xml:space="preserve"> K., </w:t>
      </w:r>
      <w:proofErr w:type="spellStart"/>
      <w:r>
        <w:rPr>
          <w:color w:val="000000"/>
          <w:sz w:val="20"/>
          <w:szCs w:val="20"/>
        </w:rPr>
        <w:t>Palamuleni</w:t>
      </w:r>
      <w:proofErr w:type="spellEnd"/>
      <w:r>
        <w:rPr>
          <w:color w:val="000000"/>
          <w:sz w:val="20"/>
          <w:szCs w:val="20"/>
        </w:rPr>
        <w:t xml:space="preserve"> M</w:t>
      </w:r>
      <w:r>
        <w:rPr>
          <w:i/>
          <w:color w:val="000000"/>
          <w:sz w:val="20"/>
          <w:szCs w:val="20"/>
        </w:rPr>
        <w:t>., Women’s perspectives on quality of maternal health care services in Malawi</w:t>
      </w:r>
      <w:r>
        <w:rPr>
          <w:color w:val="000000"/>
          <w:sz w:val="20"/>
          <w:szCs w:val="20"/>
        </w:rPr>
        <w:t>, International Journal for Women’s Health (2018)</w:t>
      </w:r>
    </w:p>
  </w:footnote>
  <w:footnote w:id="14">
    <w:p w14:paraId="121DD54B" w14:textId="77777777" w:rsidR="0053655D"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C. Zampas, A. Amin et al., </w:t>
      </w:r>
      <w:r>
        <w:rPr>
          <w:i/>
          <w:color w:val="000000"/>
          <w:sz w:val="20"/>
          <w:szCs w:val="20"/>
        </w:rPr>
        <w:t>Operationalizing a Human Rights-Based Approach to Address Mistreatment against Women during Childbirth</w:t>
      </w:r>
      <w:r>
        <w:rPr>
          <w:color w:val="000000"/>
          <w:sz w:val="20"/>
          <w:szCs w:val="20"/>
        </w:rPr>
        <w:t xml:space="preserve">, </w:t>
      </w:r>
      <w:proofErr w:type="gramStart"/>
      <w:r>
        <w:rPr>
          <w:color w:val="000000"/>
          <w:sz w:val="20"/>
          <w:szCs w:val="20"/>
        </w:rPr>
        <w:t>Health</w:t>
      </w:r>
      <w:proofErr w:type="gramEnd"/>
      <w:r>
        <w:rPr>
          <w:color w:val="000000"/>
          <w:sz w:val="20"/>
          <w:szCs w:val="20"/>
        </w:rPr>
        <w:t xml:space="preserve"> and Human Rights Journal (2020)</w:t>
      </w:r>
    </w:p>
  </w:footnote>
  <w:footnote w:id="15">
    <w:p w14:paraId="121DD54C" w14:textId="77777777" w:rsidR="0053655D"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Human Rights Council, Report of the Special Rapporteur on Psychological </w:t>
      </w:r>
      <w:proofErr w:type="gramStart"/>
      <w:r>
        <w:rPr>
          <w:color w:val="000000"/>
          <w:sz w:val="20"/>
          <w:szCs w:val="20"/>
        </w:rPr>
        <w:t>Torture</w:t>
      </w:r>
      <w:proofErr w:type="gramEnd"/>
      <w:r>
        <w:rPr>
          <w:color w:val="000000"/>
          <w:sz w:val="20"/>
          <w:szCs w:val="20"/>
        </w:rPr>
        <w:t xml:space="preserve"> and Ill Treatment, (2020). Paragraph 51, U.N. Document A/HRC/43/49.</w:t>
      </w:r>
    </w:p>
  </w:footnote>
  <w:footnote w:id="16">
    <w:p w14:paraId="121DD54D" w14:textId="77777777" w:rsidR="0053655D"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Committee on Economic, Social and Cultural Rights, General comment No. 22 on the right to sexual and reproductive health (article 12 of the International Covenant on Economic, Social and Cultural Rights), (2016). Paragraph 10, U.N. Document E/C.12/GC/22.</w:t>
      </w:r>
    </w:p>
  </w:footnote>
  <w:footnote w:id="17">
    <w:p w14:paraId="121DD54E" w14:textId="77777777" w:rsidR="0053655D"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Human Rights Committee, General comment No. 35 Article 9 (Liberty and security of person), (2014). Paragraph 10, U.N. Document CCPR/C/GC/35.</w:t>
      </w:r>
    </w:p>
  </w:footnote>
  <w:footnote w:id="18">
    <w:p w14:paraId="121DD54F" w14:textId="77777777" w:rsidR="0053655D"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Committee Against Torture, </w:t>
      </w:r>
      <w:proofErr w:type="gramStart"/>
      <w:r>
        <w:rPr>
          <w:color w:val="000000"/>
          <w:sz w:val="20"/>
          <w:szCs w:val="20"/>
        </w:rPr>
        <w:t>Conclusions</w:t>
      </w:r>
      <w:proofErr w:type="gramEnd"/>
      <w:r>
        <w:rPr>
          <w:color w:val="000000"/>
          <w:sz w:val="20"/>
          <w:szCs w:val="20"/>
        </w:rPr>
        <w:t xml:space="preserve"> and recommendations of the Committee against Torture: Burundi (2007). Paragraph 17, U.N. Document CAT/C/BDI/CO/1.</w:t>
      </w:r>
    </w:p>
  </w:footnote>
  <w:footnote w:id="19">
    <w:p w14:paraId="121DD550" w14:textId="77777777" w:rsidR="0053655D"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Article 146, Constitution of the Republic of Malawi</w:t>
      </w:r>
    </w:p>
  </w:footnote>
  <w:footnote w:id="20">
    <w:p w14:paraId="121DD551" w14:textId="77777777" w:rsidR="0053655D"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Section 103, Local Government Act, 1998, Malawi Government </w:t>
      </w:r>
    </w:p>
  </w:footnote>
  <w:footnote w:id="21">
    <w:p w14:paraId="121DD552" w14:textId="77777777" w:rsidR="0053655D"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Pg. 1-4, </w:t>
      </w:r>
      <w:r>
        <w:rPr>
          <w:i/>
          <w:color w:val="000000"/>
          <w:sz w:val="20"/>
          <w:szCs w:val="20"/>
        </w:rPr>
        <w:t>Woes of the Womb: A Report on an Investigation into Allegations of Medical Malpractices Resulting in Removal of Uteruses from Expectant Women in Public Health Facilities</w:t>
      </w:r>
      <w:r>
        <w:rPr>
          <w:color w:val="000000"/>
          <w:sz w:val="20"/>
          <w:szCs w:val="20"/>
        </w:rPr>
        <w:t>, Office of the Ombudsman of the Republic of Malawi (2019)</w:t>
      </w:r>
    </w:p>
  </w:footnote>
  <w:footnote w:id="22">
    <w:p w14:paraId="121DD553" w14:textId="77777777" w:rsidR="0053655D"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Pg. 7-14, </w:t>
      </w:r>
      <w:r>
        <w:rPr>
          <w:i/>
          <w:color w:val="000000"/>
          <w:sz w:val="20"/>
          <w:szCs w:val="20"/>
        </w:rPr>
        <w:t>Woes of the Womb: A Report on an Investigation into Allegations of Medical Malpractices Resulting in Removal of Uteruses from Expectant Women in Public Health Facilities</w:t>
      </w:r>
      <w:r>
        <w:rPr>
          <w:color w:val="000000"/>
          <w:sz w:val="20"/>
          <w:szCs w:val="20"/>
        </w:rPr>
        <w:t>, Office of the Ombudsman of the Republic of Malawi (2019)</w:t>
      </w:r>
    </w:p>
  </w:footnote>
  <w:footnote w:id="23">
    <w:p w14:paraId="121DD554" w14:textId="77777777" w:rsidR="0053655D"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proofErr w:type="spellStart"/>
      <w:r>
        <w:rPr>
          <w:color w:val="000000"/>
          <w:sz w:val="20"/>
          <w:szCs w:val="20"/>
        </w:rPr>
        <w:t>Machira</w:t>
      </w:r>
      <w:proofErr w:type="spellEnd"/>
      <w:r>
        <w:rPr>
          <w:color w:val="000000"/>
          <w:sz w:val="20"/>
          <w:szCs w:val="20"/>
        </w:rPr>
        <w:t xml:space="preserve"> K., </w:t>
      </w:r>
      <w:proofErr w:type="spellStart"/>
      <w:r>
        <w:rPr>
          <w:color w:val="000000"/>
          <w:sz w:val="20"/>
          <w:szCs w:val="20"/>
        </w:rPr>
        <w:t>Palamuleni</w:t>
      </w:r>
      <w:proofErr w:type="spellEnd"/>
      <w:r>
        <w:rPr>
          <w:color w:val="000000"/>
          <w:sz w:val="20"/>
          <w:szCs w:val="20"/>
        </w:rPr>
        <w:t xml:space="preserve"> M</w:t>
      </w:r>
      <w:r>
        <w:rPr>
          <w:i/>
          <w:color w:val="000000"/>
          <w:sz w:val="20"/>
          <w:szCs w:val="20"/>
        </w:rPr>
        <w:t>., Women’s perspectives on quality of maternal health care services in Malawi</w:t>
      </w:r>
      <w:r>
        <w:rPr>
          <w:color w:val="000000"/>
          <w:sz w:val="20"/>
          <w:szCs w:val="20"/>
        </w:rPr>
        <w:t>, International Journal for Women’s Health (2018)</w:t>
      </w:r>
    </w:p>
  </w:footnote>
  <w:footnote w:id="24">
    <w:p w14:paraId="121DD555" w14:textId="77777777" w:rsidR="0053655D"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proofErr w:type="spellStart"/>
      <w:r>
        <w:rPr>
          <w:color w:val="000000"/>
          <w:sz w:val="20"/>
          <w:szCs w:val="20"/>
        </w:rPr>
        <w:t>Sinyiza</w:t>
      </w:r>
      <w:proofErr w:type="spellEnd"/>
      <w:r>
        <w:rPr>
          <w:color w:val="000000"/>
          <w:sz w:val="20"/>
          <w:szCs w:val="20"/>
        </w:rPr>
        <w:t xml:space="preserve"> F., </w:t>
      </w:r>
      <w:proofErr w:type="spellStart"/>
      <w:r>
        <w:rPr>
          <w:color w:val="000000"/>
          <w:sz w:val="20"/>
          <w:szCs w:val="20"/>
        </w:rPr>
        <w:t>Kaseka</w:t>
      </w:r>
      <w:proofErr w:type="spellEnd"/>
      <w:r>
        <w:rPr>
          <w:color w:val="000000"/>
          <w:sz w:val="20"/>
          <w:szCs w:val="20"/>
        </w:rPr>
        <w:t xml:space="preserve"> P., </w:t>
      </w:r>
      <w:r>
        <w:rPr>
          <w:i/>
          <w:color w:val="000000"/>
          <w:sz w:val="20"/>
          <w:szCs w:val="20"/>
        </w:rPr>
        <w:t>Patient satisfaction with health care at a tertiary hospital in Northern Malawi: results from a triangulated cross‑sectional study</w:t>
      </w:r>
      <w:r>
        <w:rPr>
          <w:color w:val="000000"/>
          <w:sz w:val="20"/>
          <w:szCs w:val="20"/>
        </w:rPr>
        <w:t>, BMC Health Services Research (2022)</w:t>
      </w:r>
    </w:p>
  </w:footnote>
  <w:footnote w:id="25">
    <w:p w14:paraId="121DD556" w14:textId="77777777" w:rsidR="0053655D"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Committee On Economic, Social and Cultural Rights, General Comment No. 14 (2000): The right to the highest attainable standard of health (article 12 of the International Covenant on Economic, Social and Cultural Rights). Paragraph 43-45, U.N. Document E/C.12/2000/4</w:t>
      </w:r>
    </w:p>
  </w:footnote>
  <w:footnote w:id="26">
    <w:p w14:paraId="121DD557" w14:textId="77777777" w:rsidR="0053655D"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Committee on the Elimination of Discrimination against Women, General recommendation No. 35 on gender-based violence against women, updating general recommendation No. 19 (2017). Paragraph 18, U.N. Document CEDAW/C/GC/35.</w:t>
      </w:r>
    </w:p>
  </w:footnote>
  <w:footnote w:id="27">
    <w:p w14:paraId="121DD558" w14:textId="77777777" w:rsidR="0053655D"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Pg. 73, Malawi Demographic and Health Survey, 2015-16.</w:t>
      </w:r>
    </w:p>
  </w:footnote>
  <w:footnote w:id="28">
    <w:p w14:paraId="121DD559" w14:textId="77777777" w:rsidR="0053655D"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Pg. 293, Malawi Demographic and Health Survey, 2015-16.</w:t>
      </w:r>
    </w:p>
  </w:footnote>
  <w:footnote w:id="29">
    <w:p w14:paraId="121DD55A" w14:textId="77777777" w:rsidR="0053655D"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Polis C, Mhango C, et al. </w:t>
      </w:r>
      <w:r>
        <w:rPr>
          <w:i/>
          <w:color w:val="000000"/>
          <w:sz w:val="20"/>
          <w:szCs w:val="20"/>
        </w:rPr>
        <w:t>Incidence of Induced abortion in Malawi, 2015</w:t>
      </w:r>
      <w:r>
        <w:rPr>
          <w:color w:val="000000"/>
          <w:sz w:val="20"/>
          <w:szCs w:val="20"/>
        </w:rPr>
        <w:t xml:space="preserve">, </w:t>
      </w:r>
      <w:proofErr w:type="spellStart"/>
      <w:r>
        <w:rPr>
          <w:color w:val="000000"/>
          <w:sz w:val="20"/>
          <w:szCs w:val="20"/>
        </w:rPr>
        <w:t>PLoS</w:t>
      </w:r>
      <w:proofErr w:type="spellEnd"/>
      <w:r>
        <w:rPr>
          <w:color w:val="000000"/>
          <w:sz w:val="20"/>
          <w:szCs w:val="20"/>
        </w:rPr>
        <w:t xml:space="preserve"> ONE (2017)</w:t>
      </w:r>
    </w:p>
  </w:footnote>
  <w:footnote w:id="30">
    <w:p w14:paraId="121DD55B" w14:textId="77777777" w:rsidR="0053655D"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Polis C, Mhango C, et al. </w:t>
      </w:r>
      <w:r>
        <w:rPr>
          <w:i/>
          <w:color w:val="000000"/>
          <w:sz w:val="20"/>
          <w:szCs w:val="20"/>
        </w:rPr>
        <w:t>Incidence of Induced abortion in Malawi, 2015</w:t>
      </w:r>
      <w:r>
        <w:rPr>
          <w:color w:val="000000"/>
          <w:sz w:val="20"/>
          <w:szCs w:val="20"/>
        </w:rPr>
        <w:t xml:space="preserve">, </w:t>
      </w:r>
      <w:proofErr w:type="spellStart"/>
      <w:r>
        <w:rPr>
          <w:color w:val="000000"/>
          <w:sz w:val="20"/>
          <w:szCs w:val="20"/>
        </w:rPr>
        <w:t>PLoS</w:t>
      </w:r>
      <w:proofErr w:type="spellEnd"/>
      <w:r>
        <w:rPr>
          <w:color w:val="000000"/>
          <w:sz w:val="20"/>
          <w:szCs w:val="20"/>
        </w:rPr>
        <w:t xml:space="preserve"> ONE (2017)</w:t>
      </w:r>
    </w:p>
  </w:footnote>
  <w:footnote w:id="31">
    <w:p w14:paraId="121DD55C" w14:textId="77777777" w:rsidR="0053655D"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Human Rights Committee, Report of the Special Rapporteur on torture and other cruel, </w:t>
      </w:r>
      <w:proofErr w:type="gramStart"/>
      <w:r>
        <w:rPr>
          <w:color w:val="000000"/>
          <w:sz w:val="20"/>
          <w:szCs w:val="20"/>
        </w:rPr>
        <w:t>inhuman</w:t>
      </w:r>
      <w:proofErr w:type="gramEnd"/>
      <w:r>
        <w:rPr>
          <w:color w:val="000000"/>
          <w:sz w:val="20"/>
          <w:szCs w:val="20"/>
        </w:rPr>
        <w:t xml:space="preserve"> or degrading treatment or punishment on the applicability of the prohibition of torture and other cruel, inhuman or degrading treatment or punishment in international law to the unique experiences of women, girls, and lesbian, gay, bisexual, transgender and intersex persons, (2016). Paragraph 44, U.N. Document A/HRC/31/57</w:t>
      </w:r>
    </w:p>
  </w:footnote>
  <w:footnote w:id="32">
    <w:p w14:paraId="121DD55D" w14:textId="77777777" w:rsidR="0053655D"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Article 13(c), Constitution of the Republic of Malawi</w:t>
      </w:r>
    </w:p>
  </w:footnote>
  <w:footnote w:id="33">
    <w:p w14:paraId="121DD55E" w14:textId="77777777" w:rsidR="0053655D"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Committee on Economic, Social and Cultural Rights, General comment No. 22 on the right to sexual and reproductive health (article 12 of the International Covenant on Economic, Social and Cultural Rights), (2016). Paragraph 49, U.N. Document E/C.12/GC/22.</w:t>
      </w:r>
    </w:p>
  </w:footnote>
  <w:footnote w:id="34">
    <w:p w14:paraId="121DD55F" w14:textId="77777777" w:rsidR="0053655D"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Section 243, Penal Code Malawi, Chapter 7:01</w:t>
      </w:r>
    </w:p>
  </w:footnote>
  <w:footnote w:id="35">
    <w:p w14:paraId="121DD560" w14:textId="77777777" w:rsidR="0053655D"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Section 19(2), Gender Equality Act, 2014</w:t>
      </w:r>
    </w:p>
  </w:footnote>
  <w:footnote w:id="36">
    <w:p w14:paraId="121DD561" w14:textId="77777777" w:rsidR="0053655D"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Judicial Review Cause No 03 of 2021</w:t>
      </w:r>
    </w:p>
  </w:footnote>
  <w:footnote w:id="37">
    <w:p w14:paraId="121DD562" w14:textId="77777777" w:rsidR="0053655D"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Pg. 81, Report of the Law Commission on the Review of the Law on Abortion</w:t>
      </w:r>
    </w:p>
  </w:footnote>
  <w:footnote w:id="38">
    <w:p w14:paraId="121DD563" w14:textId="77777777" w:rsidR="0053655D"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Pg. 28-29, Abortion Care Guideline, World Health Organization (2022). </w:t>
      </w:r>
    </w:p>
  </w:footnote>
  <w:footnote w:id="39">
    <w:p w14:paraId="121DD564" w14:textId="77777777" w:rsidR="0053655D" w:rsidRDefault="00000000">
      <w:pPr>
        <w:spacing w:after="0" w:line="240" w:lineRule="auto"/>
        <w:rPr>
          <w:sz w:val="20"/>
          <w:szCs w:val="20"/>
        </w:rPr>
      </w:pPr>
      <w:r>
        <w:rPr>
          <w:rStyle w:val="FootnoteReference"/>
        </w:rPr>
        <w:footnoteRef/>
      </w:r>
      <w:r>
        <w:rPr>
          <w:sz w:val="20"/>
          <w:szCs w:val="20"/>
        </w:rPr>
        <w:t xml:space="preserve"> </w:t>
      </w:r>
      <w:r>
        <w:rPr>
          <w:i/>
          <w:sz w:val="20"/>
          <w:szCs w:val="20"/>
        </w:rPr>
        <w:t xml:space="preserve">Through Her </w:t>
      </w:r>
      <w:proofErr w:type="spellStart"/>
      <w:proofErr w:type="gramStart"/>
      <w:r>
        <w:rPr>
          <w:i/>
          <w:sz w:val="20"/>
          <w:szCs w:val="20"/>
        </w:rPr>
        <w:t>Eyes:The</w:t>
      </w:r>
      <w:proofErr w:type="spellEnd"/>
      <w:proofErr w:type="gramEnd"/>
      <w:r>
        <w:rPr>
          <w:i/>
          <w:sz w:val="20"/>
          <w:szCs w:val="20"/>
        </w:rPr>
        <w:t xml:space="preserve"> Harms of Abortion </w:t>
      </w:r>
      <w:proofErr w:type="spellStart"/>
      <w:r>
        <w:rPr>
          <w:i/>
          <w:sz w:val="20"/>
          <w:szCs w:val="20"/>
        </w:rPr>
        <w:t>Criminalisation</w:t>
      </w:r>
      <w:proofErr w:type="spellEnd"/>
      <w:r>
        <w:rPr>
          <w:i/>
          <w:sz w:val="20"/>
          <w:szCs w:val="20"/>
        </w:rPr>
        <w:t xml:space="preserve"> and the Need for Reform</w:t>
      </w:r>
      <w:r>
        <w:rPr>
          <w:sz w:val="20"/>
          <w:szCs w:val="20"/>
        </w:rPr>
        <w:t xml:space="preserve">, Women and Law in Southern Africa Research and Educational Trust—Malawi and Godfrey </w:t>
      </w:r>
      <w:proofErr w:type="spellStart"/>
      <w:r>
        <w:rPr>
          <w:sz w:val="20"/>
          <w:szCs w:val="20"/>
        </w:rPr>
        <w:t>Dalitso</w:t>
      </w:r>
      <w:proofErr w:type="spellEnd"/>
      <w:r>
        <w:rPr>
          <w:sz w:val="20"/>
          <w:szCs w:val="20"/>
        </w:rPr>
        <w:t xml:space="preserve"> </w:t>
      </w:r>
      <w:proofErr w:type="spellStart"/>
      <w:r>
        <w:rPr>
          <w:sz w:val="20"/>
          <w:szCs w:val="20"/>
        </w:rPr>
        <w:t>Kangaude</w:t>
      </w:r>
      <w:proofErr w:type="spellEnd"/>
      <w:r>
        <w:rPr>
          <w:sz w:val="20"/>
          <w:szCs w:val="20"/>
        </w:rPr>
        <w:t>, the International Women’s Human Rights Clinic at Georgetown Law (2020).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811F1A"/>
    <w:multiLevelType w:val="multilevel"/>
    <w:tmpl w:val="C35C4D66"/>
    <w:lvl w:ilvl="0">
      <w:start w:val="1"/>
      <w:numFmt w:val="low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97C3CA0"/>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2EFE0961"/>
    <w:multiLevelType w:val="multilevel"/>
    <w:tmpl w:val="F20669F8"/>
    <w:lvl w:ilvl="0">
      <w:start w:val="2"/>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7C25B67"/>
    <w:multiLevelType w:val="multilevel"/>
    <w:tmpl w:val="8E70D36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3E1E33A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102532642">
    <w:abstractNumId w:val="0"/>
  </w:num>
  <w:num w:numId="2" w16cid:durableId="1421103816">
    <w:abstractNumId w:val="2"/>
  </w:num>
  <w:num w:numId="3" w16cid:durableId="1359576267">
    <w:abstractNumId w:val="1"/>
  </w:num>
  <w:num w:numId="4" w16cid:durableId="1237940783">
    <w:abstractNumId w:val="3"/>
  </w:num>
  <w:num w:numId="5" w16cid:durableId="12411381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655D"/>
    <w:rsid w:val="0053655D"/>
    <w:rsid w:val="007D07F1"/>
    <w:rsid w:val="00AD14E9"/>
    <w:rsid w:val="00D916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1DD506"/>
  <w15:docId w15:val="{BF6229E1-8825-495D-8B2B-D93091A260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Palatino Linotype" w:eastAsia="Palatino Linotype" w:hAnsi="Palatino Linotype" w:cs="Palatino Linotype"/>
        <w:sz w:val="22"/>
        <w:szCs w:val="22"/>
        <w:lang w:val="en-US" w:eastAsia="en-US" w:bidi="ar-SA"/>
      </w:rPr>
    </w:rPrDefault>
    <w:pPrDefault>
      <w:pPr>
        <w:spacing w:after="12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3F67"/>
  </w:style>
  <w:style w:type="paragraph" w:styleId="Heading1">
    <w:name w:val="heading 1"/>
    <w:basedOn w:val="Normal"/>
    <w:next w:val="Normal"/>
    <w:link w:val="Heading1Char"/>
    <w:uiPriority w:val="9"/>
    <w:qFormat/>
    <w:rsid w:val="00A77121"/>
    <w:pPr>
      <w:keepNext/>
      <w:keepLines/>
      <w:spacing w:before="120"/>
      <w:jc w:val="center"/>
      <w:outlineLvl w:val="0"/>
    </w:pPr>
    <w:rPr>
      <w:rFonts w:eastAsiaTheme="majorEastAsia" w:cstheme="majorBidi"/>
      <w:b/>
      <w:caps/>
      <w:color w:val="1F3864" w:themeColor="accent1" w:themeShade="80"/>
      <w:szCs w:val="32"/>
      <w:u w:val="single"/>
    </w:rPr>
  </w:style>
  <w:style w:type="paragraph" w:styleId="Heading2">
    <w:name w:val="heading 2"/>
    <w:basedOn w:val="Normal"/>
    <w:next w:val="Normal"/>
    <w:link w:val="Heading2Char"/>
    <w:uiPriority w:val="9"/>
    <w:unhideWhenUsed/>
    <w:qFormat/>
    <w:rsid w:val="00A77121"/>
    <w:pPr>
      <w:keepNext/>
      <w:keepLines/>
      <w:spacing w:before="120"/>
      <w:outlineLvl w:val="1"/>
    </w:pPr>
    <w:rPr>
      <w:rFonts w:eastAsiaTheme="majorEastAsia" w:cstheme="majorBidi"/>
      <w:b/>
      <w:color w:val="1F3864" w:themeColor="accent1" w:themeShade="80"/>
      <w:szCs w:val="26"/>
      <w:u w:val="single"/>
    </w:rPr>
  </w:style>
  <w:style w:type="paragraph" w:styleId="Heading3">
    <w:name w:val="heading 3"/>
    <w:basedOn w:val="Normal"/>
    <w:next w:val="Normal"/>
    <w:link w:val="Heading3Char"/>
    <w:uiPriority w:val="9"/>
    <w:unhideWhenUsed/>
    <w:qFormat/>
    <w:rsid w:val="00A77121"/>
    <w:pPr>
      <w:keepNext/>
      <w:keepLines/>
      <w:spacing w:before="40"/>
      <w:outlineLvl w:val="2"/>
    </w:pPr>
    <w:rPr>
      <w:rFonts w:eastAsiaTheme="majorEastAsia" w:cstheme="majorBidi"/>
      <w:b/>
      <w:color w:val="1F3864" w:themeColor="accent1" w:themeShade="80"/>
      <w:szCs w:val="24"/>
    </w:rPr>
  </w:style>
  <w:style w:type="paragraph" w:styleId="Heading4">
    <w:name w:val="heading 4"/>
    <w:basedOn w:val="Normal"/>
    <w:next w:val="Normal"/>
    <w:link w:val="Heading4Char"/>
    <w:uiPriority w:val="9"/>
    <w:semiHidden/>
    <w:unhideWhenUsed/>
    <w:qFormat/>
    <w:rsid w:val="009973EE"/>
    <w:pPr>
      <w:keepNext/>
      <w:keepLines/>
      <w:outlineLvl w:val="3"/>
    </w:pPr>
    <w:rPr>
      <w:rFonts w:eastAsiaTheme="majorEastAsia" w:cstheme="majorBidi"/>
      <w:b/>
      <w:i/>
      <w:iCs/>
      <w:color w:val="1F3864" w:themeColor="accent1" w:themeShade="80"/>
    </w:rPr>
  </w:style>
  <w:style w:type="paragraph" w:styleId="Heading5">
    <w:name w:val="heading 5"/>
    <w:basedOn w:val="Normal"/>
    <w:next w:val="Normal"/>
    <w:link w:val="Heading5Char"/>
    <w:uiPriority w:val="9"/>
    <w:semiHidden/>
    <w:unhideWhenUsed/>
    <w:qFormat/>
    <w:rsid w:val="002572E3"/>
    <w:pPr>
      <w:keepNext/>
      <w:keepLines/>
      <w:spacing w:before="40" w:after="0"/>
      <w:outlineLvl w:val="4"/>
    </w:pPr>
    <w:rPr>
      <w:rFonts w:eastAsiaTheme="majorEastAsia" w:cstheme="majorBidi"/>
      <w:color w:val="1F3864" w:themeColor="accent1" w:themeShade="80"/>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pPr>
    <w:rPr>
      <w:b/>
      <w:sz w:val="72"/>
      <w:szCs w:val="72"/>
    </w:rPr>
  </w:style>
  <w:style w:type="character" w:customStyle="1" w:styleId="Heading1Char">
    <w:name w:val="Heading 1 Char"/>
    <w:basedOn w:val="DefaultParagraphFont"/>
    <w:link w:val="Heading1"/>
    <w:uiPriority w:val="9"/>
    <w:rsid w:val="00A77121"/>
    <w:rPr>
      <w:rFonts w:ascii="Palatino Linotype" w:eastAsiaTheme="majorEastAsia" w:hAnsi="Palatino Linotype" w:cstheme="majorBidi"/>
      <w:b/>
      <w:caps/>
      <w:color w:val="1F3864" w:themeColor="accent1" w:themeShade="80"/>
      <w:sz w:val="24"/>
      <w:szCs w:val="32"/>
      <w:u w:val="single"/>
      <w:lang w:val="en-GB"/>
    </w:rPr>
  </w:style>
  <w:style w:type="character" w:customStyle="1" w:styleId="Heading2Char">
    <w:name w:val="Heading 2 Char"/>
    <w:basedOn w:val="DefaultParagraphFont"/>
    <w:link w:val="Heading2"/>
    <w:uiPriority w:val="9"/>
    <w:rsid w:val="00A77121"/>
    <w:rPr>
      <w:rFonts w:ascii="Palatino Linotype" w:eastAsiaTheme="majorEastAsia" w:hAnsi="Palatino Linotype" w:cstheme="majorBidi"/>
      <w:b/>
      <w:color w:val="1F3864" w:themeColor="accent1" w:themeShade="80"/>
      <w:sz w:val="24"/>
      <w:szCs w:val="26"/>
      <w:u w:val="single"/>
      <w:lang w:val="en-GB"/>
    </w:rPr>
  </w:style>
  <w:style w:type="character" w:customStyle="1" w:styleId="Heading3Char">
    <w:name w:val="Heading 3 Char"/>
    <w:basedOn w:val="DefaultParagraphFont"/>
    <w:link w:val="Heading3"/>
    <w:uiPriority w:val="9"/>
    <w:rsid w:val="00A77121"/>
    <w:rPr>
      <w:rFonts w:ascii="Palatino Linotype" w:eastAsiaTheme="majorEastAsia" w:hAnsi="Palatino Linotype" w:cstheme="majorBidi"/>
      <w:b/>
      <w:color w:val="1F3864" w:themeColor="accent1" w:themeShade="80"/>
      <w:sz w:val="24"/>
      <w:szCs w:val="24"/>
      <w:lang w:val="en-GB"/>
    </w:rPr>
  </w:style>
  <w:style w:type="character" w:customStyle="1" w:styleId="Heading4Char">
    <w:name w:val="Heading 4 Char"/>
    <w:basedOn w:val="DefaultParagraphFont"/>
    <w:link w:val="Heading4"/>
    <w:uiPriority w:val="9"/>
    <w:rsid w:val="009973EE"/>
    <w:rPr>
      <w:rFonts w:ascii="Palatino Linotype" w:eastAsiaTheme="majorEastAsia" w:hAnsi="Palatino Linotype" w:cstheme="majorBidi"/>
      <w:b/>
      <w:i/>
      <w:iCs/>
      <w:color w:val="1F3864" w:themeColor="accent1" w:themeShade="80"/>
      <w:sz w:val="24"/>
    </w:rPr>
  </w:style>
  <w:style w:type="character" w:customStyle="1" w:styleId="Heading5Char">
    <w:name w:val="Heading 5 Char"/>
    <w:basedOn w:val="DefaultParagraphFont"/>
    <w:link w:val="Heading5"/>
    <w:uiPriority w:val="9"/>
    <w:semiHidden/>
    <w:rsid w:val="002572E3"/>
    <w:rPr>
      <w:rFonts w:ascii="Palatino Linotype" w:eastAsiaTheme="majorEastAsia" w:hAnsi="Palatino Linotype" w:cstheme="majorBidi"/>
      <w:color w:val="1F3864" w:themeColor="accent1" w:themeShade="80"/>
      <w:sz w:val="24"/>
      <w:lang w:val="en-GB"/>
    </w:rPr>
  </w:style>
  <w:style w:type="character" w:customStyle="1" w:styleId="normaltextrun">
    <w:name w:val="normaltextrun"/>
    <w:basedOn w:val="DefaultParagraphFont"/>
    <w:rsid w:val="00D53F67"/>
  </w:style>
  <w:style w:type="character" w:styleId="CommentReference">
    <w:name w:val="annotation reference"/>
    <w:basedOn w:val="DefaultParagraphFont"/>
    <w:uiPriority w:val="99"/>
    <w:semiHidden/>
    <w:unhideWhenUsed/>
    <w:rsid w:val="00D53F67"/>
    <w:rPr>
      <w:sz w:val="16"/>
      <w:szCs w:val="16"/>
    </w:rPr>
  </w:style>
  <w:style w:type="paragraph" w:styleId="CommentText">
    <w:name w:val="annotation text"/>
    <w:basedOn w:val="Normal"/>
    <w:link w:val="CommentTextChar"/>
    <w:uiPriority w:val="99"/>
    <w:unhideWhenUsed/>
    <w:rsid w:val="00D53F67"/>
    <w:pPr>
      <w:spacing w:line="240" w:lineRule="auto"/>
    </w:pPr>
    <w:rPr>
      <w:sz w:val="20"/>
      <w:szCs w:val="20"/>
    </w:rPr>
  </w:style>
  <w:style w:type="character" w:customStyle="1" w:styleId="CommentTextChar">
    <w:name w:val="Comment Text Char"/>
    <w:basedOn w:val="DefaultParagraphFont"/>
    <w:link w:val="CommentText"/>
    <w:uiPriority w:val="99"/>
    <w:rsid w:val="00D53F67"/>
    <w:rPr>
      <w:rFonts w:ascii="Palatino Linotype" w:hAnsi="Palatino Linotype"/>
      <w:sz w:val="20"/>
      <w:szCs w:val="20"/>
    </w:rPr>
  </w:style>
  <w:style w:type="paragraph" w:styleId="FootnoteText">
    <w:name w:val="footnote text"/>
    <w:basedOn w:val="Normal"/>
    <w:link w:val="FootnoteTextChar"/>
    <w:uiPriority w:val="99"/>
    <w:semiHidden/>
    <w:unhideWhenUsed/>
    <w:rsid w:val="00BD4E4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D4E40"/>
    <w:rPr>
      <w:rFonts w:ascii="Palatino Linotype" w:hAnsi="Palatino Linotype"/>
      <w:sz w:val="20"/>
      <w:szCs w:val="20"/>
    </w:rPr>
  </w:style>
  <w:style w:type="character" w:styleId="FootnoteReference">
    <w:name w:val="footnote reference"/>
    <w:basedOn w:val="DefaultParagraphFont"/>
    <w:uiPriority w:val="99"/>
    <w:semiHidden/>
    <w:unhideWhenUsed/>
    <w:rsid w:val="00BD4E40"/>
    <w:rPr>
      <w:vertAlign w:val="superscript"/>
    </w:rPr>
  </w:style>
  <w:style w:type="paragraph" w:styleId="ListParagraph">
    <w:name w:val="List Paragraph"/>
    <w:basedOn w:val="Normal"/>
    <w:uiPriority w:val="34"/>
    <w:qFormat/>
    <w:rsid w:val="00965EA2"/>
    <w:pPr>
      <w:ind w:left="720"/>
      <w:contextualSpacing/>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3.xml"/><Relationship Id="rId5" Type="http://schemas.openxmlformats.org/officeDocument/2006/relationships/webSettings" Target="webSettings.xml"/><Relationship Id="rId10"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ejYDPQe8aKECnZNdzts8BS83JA==">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</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FCA96DCA-5041-4E08-94A3-7ADF0AE96CA1}"/>
</file>

<file path=customXml/itemProps3.xml><?xml version="1.0" encoding="utf-8"?>
<ds:datastoreItem xmlns:ds="http://schemas.openxmlformats.org/officeDocument/2006/customXml" ds:itemID="{E7E4EAD9-4AA4-419F-8F16-7A4E45783A25}"/>
</file>

<file path=customXml/itemProps4.xml><?xml version="1.0" encoding="utf-8"?>
<ds:datastoreItem xmlns:ds="http://schemas.openxmlformats.org/officeDocument/2006/customXml" ds:itemID="{70DC928A-094D-4325-AE69-6F9289908965}"/>
</file>

<file path=docProps/app.xml><?xml version="1.0" encoding="utf-8"?>
<Properties xmlns="http://schemas.openxmlformats.org/officeDocument/2006/extended-properties" xmlns:vt="http://schemas.openxmlformats.org/officeDocument/2006/docPropsVTypes">
  <Template>Normal</Template>
  <TotalTime>2</TotalTime>
  <Pages>11</Pages>
  <Words>3543</Words>
  <Characters>20200</Characters>
  <Application>Microsoft Office Word</Application>
  <DocSecurity>0</DocSecurity>
  <Lines>168</Lines>
  <Paragraphs>47</Paragraphs>
  <ScaleCrop>false</ScaleCrop>
  <Company/>
  <LinksUpToDate>false</LinksUpToDate>
  <CharactersWithSpaces>23696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Betty Kabari</dc:creator>
  <cp:lastModifiedBy>Betty Kabari</cp:lastModifiedBy>
  <cp:revision>3</cp:revision>
  <dcterms:created xsi:type="dcterms:W3CDTF">2022-09-25T09:40:00Z</dcterms:created>
  <dcterms:modified xsi:type="dcterms:W3CDTF">2022-10-02T18:00:00Z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