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EB9EF" w14:textId="77777777" w:rsidR="00D00592" w:rsidRDefault="009D4D1F">
      <w:pPr>
        <w:rPr>
          <w:color w:val="000000"/>
          <w:sz w:val="24"/>
          <w:szCs w:val="24"/>
        </w:rPr>
      </w:pPr>
      <w:r>
        <w:rPr>
          <w:noProof/>
        </w:rPr>
        <w:drawing>
          <wp:anchor distT="0" distB="0" distL="0" distR="0" simplePos="0" relativeHeight="251658240" behindDoc="0" locked="0" layoutInCell="1" hidden="0" allowOverlap="1" wp14:anchorId="5AC36888" wp14:editId="158E1634">
            <wp:simplePos x="0" y="0"/>
            <wp:positionH relativeFrom="column">
              <wp:posOffset>-13331</wp:posOffset>
            </wp:positionH>
            <wp:positionV relativeFrom="paragraph">
              <wp:posOffset>909320</wp:posOffset>
            </wp:positionV>
            <wp:extent cx="6130925" cy="18415"/>
            <wp:effectExtent l="0" t="0" r="0" b="0"/>
            <wp:wrapSquare wrapText="bothSides" distT="0" distB="0" distL="0" distR="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6130925" cy="18415"/>
                    </a:xfrm>
                    <a:prstGeom prst="rect">
                      <a:avLst/>
                    </a:prstGeom>
                    <a:ln/>
                  </pic:spPr>
                </pic:pic>
              </a:graphicData>
            </a:graphic>
          </wp:anchor>
        </w:drawing>
      </w:r>
    </w:p>
    <w:p w14:paraId="49CFC92F" w14:textId="084E5B7C" w:rsidR="00D00592" w:rsidRDefault="009D4D1F">
      <w:pPr>
        <w:jc w:val="right"/>
        <w:rPr>
          <w:sz w:val="24"/>
          <w:szCs w:val="24"/>
        </w:rPr>
      </w:pPr>
      <w:r>
        <w:rPr>
          <w:sz w:val="24"/>
          <w:szCs w:val="24"/>
        </w:rPr>
        <w:t>81</w:t>
      </w:r>
      <w:proofErr w:type="spellStart"/>
      <w:r w:rsidR="00037A32">
        <w:rPr>
          <w:sz w:val="24"/>
          <w:szCs w:val="24"/>
          <w:vertAlign w:val="superscript"/>
          <w:lang w:val="en-US"/>
        </w:rPr>
        <w:t>st</w:t>
      </w:r>
      <w:proofErr w:type="spellEnd"/>
      <w:r>
        <w:rPr>
          <w:sz w:val="24"/>
          <w:szCs w:val="24"/>
        </w:rPr>
        <w:t xml:space="preserve"> Session</w:t>
      </w:r>
    </w:p>
    <w:p w14:paraId="4365F53A" w14:textId="77777777" w:rsidR="00D00592" w:rsidRDefault="009D4D1F">
      <w:pPr>
        <w:jc w:val="right"/>
        <w:rPr>
          <w:sz w:val="24"/>
          <w:szCs w:val="24"/>
        </w:rPr>
      </w:pPr>
      <w:r>
        <w:rPr>
          <w:sz w:val="24"/>
          <w:szCs w:val="24"/>
        </w:rPr>
        <w:t>Committee on the Elimination of Discrimination Against Women</w:t>
      </w:r>
    </w:p>
    <w:p w14:paraId="397D9427" w14:textId="77777777" w:rsidR="00D00592" w:rsidRDefault="009D4D1F">
      <w:pPr>
        <w:jc w:val="right"/>
        <w:rPr>
          <w:sz w:val="24"/>
          <w:szCs w:val="24"/>
        </w:rPr>
      </w:pPr>
      <w:r>
        <w:rPr>
          <w:sz w:val="24"/>
          <w:szCs w:val="24"/>
        </w:rPr>
        <w:t>Review of the Sixth Periodic Report by Uzbekistan</w:t>
      </w:r>
    </w:p>
    <w:p w14:paraId="21A96D18" w14:textId="77777777" w:rsidR="00D00592" w:rsidRDefault="00D00592">
      <w:pPr>
        <w:rPr>
          <w:sz w:val="24"/>
          <w:szCs w:val="24"/>
        </w:rPr>
      </w:pPr>
    </w:p>
    <w:p w14:paraId="7BCAEBC9" w14:textId="77777777" w:rsidR="00D00592" w:rsidRDefault="00D00592">
      <w:pPr>
        <w:rPr>
          <w:sz w:val="24"/>
          <w:szCs w:val="24"/>
        </w:rPr>
      </w:pPr>
    </w:p>
    <w:p w14:paraId="32C47575" w14:textId="77777777" w:rsidR="00D00592" w:rsidRDefault="00D00592">
      <w:pPr>
        <w:rPr>
          <w:sz w:val="24"/>
          <w:szCs w:val="24"/>
        </w:rPr>
      </w:pPr>
    </w:p>
    <w:p w14:paraId="35DAD1A9" w14:textId="77777777" w:rsidR="00D00592" w:rsidRDefault="00D00592">
      <w:pPr>
        <w:rPr>
          <w:sz w:val="24"/>
          <w:szCs w:val="24"/>
        </w:rPr>
      </w:pPr>
    </w:p>
    <w:p w14:paraId="26AA172A" w14:textId="77777777" w:rsidR="00D00592" w:rsidRDefault="00D00592">
      <w:pPr>
        <w:rPr>
          <w:sz w:val="24"/>
          <w:szCs w:val="24"/>
        </w:rPr>
      </w:pPr>
    </w:p>
    <w:p w14:paraId="664766C5" w14:textId="77777777" w:rsidR="00D00592" w:rsidRDefault="00D00592">
      <w:pPr>
        <w:rPr>
          <w:sz w:val="24"/>
          <w:szCs w:val="24"/>
        </w:rPr>
      </w:pPr>
    </w:p>
    <w:p w14:paraId="5C3E7C77" w14:textId="77777777" w:rsidR="00D00592" w:rsidRDefault="00D00592">
      <w:pPr>
        <w:rPr>
          <w:sz w:val="24"/>
          <w:szCs w:val="24"/>
        </w:rPr>
      </w:pPr>
    </w:p>
    <w:p w14:paraId="6439C675" w14:textId="77777777" w:rsidR="00D00592" w:rsidRDefault="00D00592">
      <w:pPr>
        <w:rPr>
          <w:sz w:val="24"/>
          <w:szCs w:val="24"/>
        </w:rPr>
      </w:pPr>
    </w:p>
    <w:p w14:paraId="177F5F8E" w14:textId="77777777" w:rsidR="00D00592" w:rsidRDefault="00D00592">
      <w:pPr>
        <w:rPr>
          <w:sz w:val="24"/>
          <w:szCs w:val="24"/>
        </w:rPr>
      </w:pPr>
    </w:p>
    <w:p w14:paraId="0C819764" w14:textId="77777777" w:rsidR="00D00592" w:rsidRDefault="00D00592">
      <w:pPr>
        <w:rPr>
          <w:sz w:val="24"/>
          <w:szCs w:val="24"/>
        </w:rPr>
      </w:pPr>
    </w:p>
    <w:p w14:paraId="629991C5" w14:textId="77777777" w:rsidR="00D00592" w:rsidRDefault="00D00592">
      <w:pPr>
        <w:rPr>
          <w:sz w:val="24"/>
          <w:szCs w:val="24"/>
        </w:rPr>
      </w:pPr>
    </w:p>
    <w:p w14:paraId="387A267B" w14:textId="77777777" w:rsidR="00D00592" w:rsidRDefault="009D4D1F">
      <w:pPr>
        <w:ind w:right="15"/>
        <w:jc w:val="center"/>
        <w:rPr>
          <w:b/>
          <w:sz w:val="34"/>
          <w:szCs w:val="34"/>
        </w:rPr>
      </w:pPr>
      <w:r>
        <w:rPr>
          <w:b/>
          <w:sz w:val="34"/>
          <w:szCs w:val="34"/>
        </w:rPr>
        <w:t>Alternative Report</w:t>
      </w:r>
    </w:p>
    <w:p w14:paraId="41231673" w14:textId="77777777" w:rsidR="00D00592" w:rsidRDefault="009D4D1F">
      <w:pPr>
        <w:ind w:right="15"/>
        <w:jc w:val="center"/>
        <w:rPr>
          <w:b/>
          <w:sz w:val="34"/>
          <w:szCs w:val="34"/>
        </w:rPr>
      </w:pPr>
      <w:r>
        <w:rPr>
          <w:b/>
          <w:sz w:val="34"/>
          <w:szCs w:val="34"/>
        </w:rPr>
        <w:t>Regarding CEDAW/C/UZB/RQ/6</w:t>
      </w:r>
    </w:p>
    <w:p w14:paraId="7A21047A" w14:textId="77777777" w:rsidR="00D00592" w:rsidRDefault="009D4D1F">
      <w:pPr>
        <w:ind w:right="15"/>
        <w:jc w:val="center"/>
        <w:rPr>
          <w:b/>
          <w:sz w:val="34"/>
          <w:szCs w:val="34"/>
        </w:rPr>
      </w:pPr>
      <w:r>
        <w:rPr>
          <w:b/>
          <w:sz w:val="34"/>
          <w:szCs w:val="34"/>
        </w:rPr>
        <w:t>by Uzbekistan</w:t>
      </w:r>
    </w:p>
    <w:p w14:paraId="5FB5C031" w14:textId="77777777" w:rsidR="00D00592" w:rsidRDefault="009D4D1F">
      <w:pPr>
        <w:ind w:right="15"/>
        <w:jc w:val="center"/>
        <w:rPr>
          <w:b/>
          <w:sz w:val="34"/>
          <w:szCs w:val="34"/>
        </w:rPr>
      </w:pPr>
      <w:r>
        <w:rPr>
          <w:b/>
          <w:sz w:val="34"/>
          <w:szCs w:val="34"/>
        </w:rPr>
        <w:t>and</w:t>
      </w:r>
    </w:p>
    <w:p w14:paraId="5A9B0C03" w14:textId="77777777" w:rsidR="00D00592" w:rsidRDefault="009D4D1F">
      <w:pPr>
        <w:ind w:right="15"/>
        <w:jc w:val="center"/>
        <w:rPr>
          <w:b/>
          <w:sz w:val="34"/>
          <w:szCs w:val="34"/>
        </w:rPr>
      </w:pPr>
      <w:r>
        <w:rPr>
          <w:b/>
          <w:sz w:val="34"/>
          <w:szCs w:val="34"/>
        </w:rPr>
        <w:t>List of Issues CEDAW/C/UZB/Q/6</w:t>
      </w:r>
    </w:p>
    <w:p w14:paraId="0928C4BB" w14:textId="77777777" w:rsidR="00D00592" w:rsidRDefault="00D00592">
      <w:pPr>
        <w:spacing w:line="246" w:lineRule="auto"/>
        <w:rPr>
          <w:color w:val="000000"/>
          <w:sz w:val="24"/>
          <w:szCs w:val="24"/>
        </w:rPr>
      </w:pPr>
    </w:p>
    <w:p w14:paraId="7C0FF426" w14:textId="77777777" w:rsidR="00D00592" w:rsidRDefault="00D00592">
      <w:pPr>
        <w:ind w:left="6140"/>
        <w:rPr>
          <w:color w:val="000000"/>
          <w:sz w:val="20"/>
          <w:szCs w:val="20"/>
        </w:rPr>
      </w:pPr>
    </w:p>
    <w:p w14:paraId="0B165B2E" w14:textId="77777777" w:rsidR="00D00592" w:rsidRDefault="00D00592">
      <w:pPr>
        <w:rPr>
          <w:color w:val="000000"/>
          <w:sz w:val="24"/>
          <w:szCs w:val="24"/>
        </w:rPr>
      </w:pPr>
    </w:p>
    <w:p w14:paraId="73B4B379" w14:textId="77777777" w:rsidR="00D00592" w:rsidRDefault="00D00592">
      <w:pPr>
        <w:rPr>
          <w:color w:val="000000"/>
          <w:sz w:val="24"/>
          <w:szCs w:val="24"/>
        </w:rPr>
      </w:pPr>
    </w:p>
    <w:p w14:paraId="765618E6" w14:textId="77777777" w:rsidR="00D00592" w:rsidRDefault="00D00592">
      <w:pPr>
        <w:rPr>
          <w:color w:val="000000"/>
          <w:sz w:val="24"/>
          <w:szCs w:val="24"/>
        </w:rPr>
      </w:pPr>
    </w:p>
    <w:p w14:paraId="600617C7" w14:textId="77777777" w:rsidR="00D00592" w:rsidRDefault="00D00592">
      <w:pPr>
        <w:rPr>
          <w:color w:val="000000"/>
          <w:sz w:val="24"/>
          <w:szCs w:val="24"/>
        </w:rPr>
      </w:pPr>
    </w:p>
    <w:p w14:paraId="64CB209B" w14:textId="77777777" w:rsidR="00D00592" w:rsidRDefault="00D00592">
      <w:pPr>
        <w:rPr>
          <w:color w:val="000000"/>
          <w:sz w:val="24"/>
          <w:szCs w:val="24"/>
        </w:rPr>
      </w:pPr>
    </w:p>
    <w:p w14:paraId="5FAEC90D" w14:textId="77777777" w:rsidR="00D00592" w:rsidRDefault="00D00592">
      <w:pPr>
        <w:rPr>
          <w:color w:val="000000"/>
          <w:sz w:val="24"/>
          <w:szCs w:val="24"/>
        </w:rPr>
      </w:pPr>
    </w:p>
    <w:p w14:paraId="4F63E365" w14:textId="77777777" w:rsidR="00D00592" w:rsidRDefault="00D00592">
      <w:pPr>
        <w:rPr>
          <w:color w:val="000000"/>
          <w:sz w:val="24"/>
          <w:szCs w:val="24"/>
        </w:rPr>
      </w:pPr>
    </w:p>
    <w:p w14:paraId="46177434" w14:textId="77777777" w:rsidR="00D00592" w:rsidRDefault="00D00592">
      <w:pPr>
        <w:rPr>
          <w:color w:val="000000"/>
          <w:sz w:val="24"/>
          <w:szCs w:val="24"/>
        </w:rPr>
      </w:pPr>
    </w:p>
    <w:p w14:paraId="0CD1D8EB" w14:textId="77777777" w:rsidR="00D00592" w:rsidRDefault="00D00592">
      <w:pPr>
        <w:rPr>
          <w:color w:val="000000"/>
          <w:sz w:val="24"/>
          <w:szCs w:val="24"/>
        </w:rPr>
      </w:pPr>
    </w:p>
    <w:p w14:paraId="697B63AB" w14:textId="77777777" w:rsidR="00D00592" w:rsidRDefault="00D00592">
      <w:pPr>
        <w:rPr>
          <w:color w:val="000000"/>
          <w:sz w:val="24"/>
          <w:szCs w:val="24"/>
        </w:rPr>
      </w:pPr>
    </w:p>
    <w:p w14:paraId="3DAB8F15" w14:textId="77777777" w:rsidR="00D00592" w:rsidRDefault="00D00592">
      <w:pPr>
        <w:rPr>
          <w:color w:val="000000"/>
          <w:sz w:val="24"/>
          <w:szCs w:val="24"/>
        </w:rPr>
      </w:pPr>
    </w:p>
    <w:p w14:paraId="799CEB0C" w14:textId="77777777" w:rsidR="00D00592" w:rsidRDefault="00D00592">
      <w:pPr>
        <w:rPr>
          <w:color w:val="000000"/>
          <w:sz w:val="24"/>
          <w:szCs w:val="24"/>
        </w:rPr>
      </w:pPr>
    </w:p>
    <w:p w14:paraId="13F22412" w14:textId="77777777" w:rsidR="00D00592" w:rsidRDefault="00D00592">
      <w:pPr>
        <w:rPr>
          <w:color w:val="000000"/>
          <w:sz w:val="24"/>
          <w:szCs w:val="24"/>
        </w:rPr>
      </w:pPr>
    </w:p>
    <w:p w14:paraId="4B5E91FE" w14:textId="77777777" w:rsidR="00D00592" w:rsidRDefault="00D00592">
      <w:pPr>
        <w:rPr>
          <w:color w:val="000000"/>
          <w:sz w:val="24"/>
          <w:szCs w:val="24"/>
        </w:rPr>
      </w:pPr>
    </w:p>
    <w:p w14:paraId="061393BF" w14:textId="77777777" w:rsidR="00D00592" w:rsidRDefault="00D00592">
      <w:pPr>
        <w:rPr>
          <w:color w:val="000000"/>
          <w:sz w:val="24"/>
          <w:szCs w:val="24"/>
        </w:rPr>
      </w:pPr>
    </w:p>
    <w:p w14:paraId="3817AB07" w14:textId="77777777" w:rsidR="00D00592" w:rsidRDefault="00D00592">
      <w:pPr>
        <w:rPr>
          <w:color w:val="000000"/>
          <w:sz w:val="24"/>
          <w:szCs w:val="24"/>
        </w:rPr>
      </w:pPr>
    </w:p>
    <w:p w14:paraId="7F08FE8F" w14:textId="77777777" w:rsidR="00D00592" w:rsidRDefault="00D00592">
      <w:pPr>
        <w:rPr>
          <w:color w:val="000000"/>
          <w:sz w:val="24"/>
          <w:szCs w:val="24"/>
        </w:rPr>
      </w:pPr>
    </w:p>
    <w:p w14:paraId="171ABE0B" w14:textId="77777777" w:rsidR="00D00592" w:rsidRDefault="00D00592">
      <w:pPr>
        <w:rPr>
          <w:color w:val="000000"/>
          <w:sz w:val="24"/>
          <w:szCs w:val="24"/>
        </w:rPr>
      </w:pPr>
    </w:p>
    <w:p w14:paraId="77F97CD7" w14:textId="77777777" w:rsidR="00D00592" w:rsidRDefault="00D00592">
      <w:pPr>
        <w:rPr>
          <w:color w:val="000000"/>
          <w:sz w:val="24"/>
          <w:szCs w:val="24"/>
        </w:rPr>
      </w:pPr>
    </w:p>
    <w:p w14:paraId="393743EF" w14:textId="77777777" w:rsidR="00D00592" w:rsidRDefault="00D00592">
      <w:pPr>
        <w:rPr>
          <w:color w:val="000000"/>
          <w:sz w:val="24"/>
          <w:szCs w:val="24"/>
        </w:rPr>
      </w:pPr>
    </w:p>
    <w:p w14:paraId="1835FD2C" w14:textId="77777777" w:rsidR="00D00592" w:rsidRDefault="00D00592">
      <w:pPr>
        <w:rPr>
          <w:color w:val="000000"/>
          <w:sz w:val="24"/>
          <w:szCs w:val="24"/>
        </w:rPr>
      </w:pPr>
    </w:p>
    <w:p w14:paraId="6A3E3030" w14:textId="77777777" w:rsidR="00D00592" w:rsidRDefault="00D00592">
      <w:pPr>
        <w:rPr>
          <w:color w:val="000000"/>
          <w:sz w:val="24"/>
          <w:szCs w:val="24"/>
        </w:rPr>
      </w:pPr>
    </w:p>
    <w:p w14:paraId="6ECB8BE8" w14:textId="77777777" w:rsidR="00D00592" w:rsidRDefault="00D00592">
      <w:pPr>
        <w:widowControl w:val="0"/>
        <w:pBdr>
          <w:top w:val="nil"/>
          <w:left w:val="nil"/>
          <w:bottom w:val="nil"/>
          <w:right w:val="nil"/>
          <w:between w:val="nil"/>
        </w:pBdr>
        <w:spacing w:line="276" w:lineRule="auto"/>
      </w:pPr>
    </w:p>
    <w:p w14:paraId="11C347C2" w14:textId="77777777" w:rsidR="00D00592" w:rsidRDefault="00D00592">
      <w:pPr>
        <w:widowControl w:val="0"/>
        <w:pBdr>
          <w:top w:val="nil"/>
          <w:left w:val="nil"/>
          <w:bottom w:val="nil"/>
          <w:right w:val="nil"/>
          <w:between w:val="nil"/>
        </w:pBdr>
        <w:spacing w:line="276" w:lineRule="auto"/>
      </w:pPr>
    </w:p>
    <w:p w14:paraId="0BA4965A" w14:textId="77777777" w:rsidR="00D00592" w:rsidRDefault="00D00592">
      <w:pPr>
        <w:widowControl w:val="0"/>
        <w:pBdr>
          <w:top w:val="nil"/>
          <w:left w:val="nil"/>
          <w:bottom w:val="nil"/>
          <w:right w:val="nil"/>
          <w:between w:val="nil"/>
        </w:pBdr>
        <w:spacing w:line="276" w:lineRule="auto"/>
      </w:pPr>
    </w:p>
    <w:p w14:paraId="4428A900" w14:textId="77777777" w:rsidR="00D00592" w:rsidRDefault="00D00592">
      <w:pPr>
        <w:widowControl w:val="0"/>
        <w:pBdr>
          <w:top w:val="nil"/>
          <w:left w:val="nil"/>
          <w:bottom w:val="nil"/>
          <w:right w:val="nil"/>
          <w:between w:val="nil"/>
        </w:pBdr>
        <w:spacing w:line="276" w:lineRule="auto"/>
      </w:pPr>
    </w:p>
    <w:p w14:paraId="66E84894" w14:textId="77777777" w:rsidR="00D00592" w:rsidRDefault="00D00592">
      <w:pPr>
        <w:widowControl w:val="0"/>
        <w:pBdr>
          <w:top w:val="nil"/>
          <w:left w:val="nil"/>
          <w:bottom w:val="nil"/>
          <w:right w:val="nil"/>
          <w:between w:val="nil"/>
        </w:pBdr>
        <w:spacing w:line="276" w:lineRule="auto"/>
      </w:pPr>
    </w:p>
    <w:p w14:paraId="78353EF6" w14:textId="77777777" w:rsidR="00D00592" w:rsidRDefault="00D00592">
      <w:pPr>
        <w:widowControl w:val="0"/>
        <w:pBdr>
          <w:top w:val="nil"/>
          <w:left w:val="nil"/>
          <w:bottom w:val="nil"/>
          <w:right w:val="nil"/>
          <w:between w:val="nil"/>
        </w:pBdr>
        <w:spacing w:line="276" w:lineRule="auto"/>
        <w:sectPr w:rsidR="00D00592">
          <w:headerReference w:type="default" r:id="rId8"/>
          <w:headerReference w:type="first" r:id="rId9"/>
          <w:pgSz w:w="11900" w:h="16841"/>
          <w:pgMar w:top="650" w:right="1126" w:bottom="567" w:left="1140" w:header="0" w:footer="0" w:gutter="0"/>
          <w:pgNumType w:start="1"/>
          <w:cols w:space="720"/>
          <w:titlePg/>
        </w:sectPr>
      </w:pPr>
    </w:p>
    <w:p w14:paraId="2DBD6478" w14:textId="77777777" w:rsidR="00D00592" w:rsidRDefault="00D00592"/>
    <w:p w14:paraId="55C4283C" w14:textId="77777777" w:rsidR="00D00592" w:rsidRDefault="00D00592"/>
    <w:p w14:paraId="61485B10" w14:textId="77777777" w:rsidR="00D00592" w:rsidRDefault="00D00592">
      <w:pPr>
        <w:sectPr w:rsidR="00D00592">
          <w:type w:val="continuous"/>
          <w:pgSz w:w="11900" w:h="16841"/>
          <w:pgMar w:top="650" w:right="1126" w:bottom="567" w:left="1140" w:header="0" w:footer="0" w:gutter="0"/>
          <w:cols w:space="720"/>
        </w:sectPr>
      </w:pPr>
    </w:p>
    <w:p w14:paraId="2FDA69C7" w14:textId="77777777" w:rsidR="00D00592" w:rsidRDefault="009D4D1F">
      <w:pPr>
        <w:rPr>
          <w:color w:val="000000"/>
          <w:sz w:val="20"/>
          <w:szCs w:val="20"/>
        </w:rPr>
      </w:pPr>
      <w:r>
        <w:rPr>
          <w:b/>
          <w:color w:val="000000"/>
          <w:sz w:val="24"/>
          <w:szCs w:val="24"/>
        </w:rPr>
        <w:t>Introduction</w:t>
      </w:r>
    </w:p>
    <w:p w14:paraId="6918BF86" w14:textId="77777777" w:rsidR="00D00592" w:rsidRDefault="00D00592">
      <w:pPr>
        <w:rPr>
          <w:color w:val="000000"/>
          <w:sz w:val="20"/>
          <w:szCs w:val="20"/>
        </w:rPr>
      </w:pPr>
    </w:p>
    <w:p w14:paraId="75785569" w14:textId="77777777" w:rsidR="00D00592" w:rsidRDefault="009D4D1F" w:rsidP="00037A32">
      <w:pPr>
        <w:numPr>
          <w:ilvl w:val="1"/>
          <w:numId w:val="2"/>
        </w:numPr>
        <w:tabs>
          <w:tab w:val="left" w:pos="426"/>
        </w:tabs>
        <w:spacing w:line="244" w:lineRule="auto"/>
        <w:ind w:right="826"/>
        <w:jc w:val="both"/>
        <w:rPr>
          <w:color w:val="000000"/>
          <w:sz w:val="20"/>
          <w:szCs w:val="20"/>
        </w:rPr>
      </w:pPr>
      <w:r>
        <w:rPr>
          <w:sz w:val="20"/>
          <w:szCs w:val="20"/>
        </w:rPr>
        <w:t xml:space="preserve">The current Alternative </w:t>
      </w:r>
      <w:r>
        <w:rPr>
          <w:color w:val="000000"/>
          <w:sz w:val="20"/>
          <w:szCs w:val="20"/>
        </w:rPr>
        <w:t xml:space="preserve">Report </w:t>
      </w:r>
      <w:r>
        <w:rPr>
          <w:sz w:val="20"/>
          <w:szCs w:val="20"/>
        </w:rPr>
        <w:t>—</w:t>
      </w:r>
      <w:r>
        <w:rPr>
          <w:color w:val="000000"/>
          <w:sz w:val="20"/>
          <w:szCs w:val="20"/>
        </w:rPr>
        <w:t xml:space="preserve"> a commentary o</w:t>
      </w:r>
      <w:r>
        <w:rPr>
          <w:sz w:val="20"/>
          <w:szCs w:val="20"/>
        </w:rPr>
        <w:t xml:space="preserve">n Replies to LOI CEDAW/C/UZB/RQ/6 and List of Issues (LOI) CEDAW/C/UZB/Q/6 — is submitted as per the invitation of the Committee on the Elimination of Discrimination against Women (hereinafter, Committee) that welcomes alternative reports from various NGOs regarding the observation of the Convention on the Elimination of All Forms of Discrimination against Women (later referred to as Convention) by a State party, in this case, by Uzbekistan. </w:t>
      </w:r>
    </w:p>
    <w:p w14:paraId="2471A644" w14:textId="77777777" w:rsidR="00D00592" w:rsidRDefault="00D00592" w:rsidP="00037A32">
      <w:pPr>
        <w:tabs>
          <w:tab w:val="left" w:pos="426"/>
        </w:tabs>
        <w:spacing w:line="246" w:lineRule="auto"/>
        <w:ind w:right="826"/>
        <w:jc w:val="both"/>
        <w:rPr>
          <w:sz w:val="20"/>
          <w:szCs w:val="20"/>
        </w:rPr>
      </w:pPr>
    </w:p>
    <w:p w14:paraId="370441C4"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In para 4 LOI CEDAW/C/UZB/Q/6 (hereinafter, CO), the Committee inquired whether Uzbekistan was planning on incorporating a definition of discrimination against women that prohibits direct and indirect discrimination in the public and private spheres, including intersecting forms of discrimination, in accordance with articles 1 and 2 of the Convention, including on the basis of sexual orientation and gender identity. Further, in para 16, the Committee requested that Uzbekistan described the measures being taken to achieve results in the review of school textbooks and curricula (para. 103) and the availability of gender equality education and age-appropriate sexuality education, including education to promote tolerance and non-discrimination based on sexual orientation and gender identity. Finally, in para 23, the Committee queried for Uzbekistan to eliminate stigmatization and discrimination against women living with HIV/AIDS and ensure their access to health care and employment; (c) investigate reports of lesbian, bisexual, transgender and intersex women being subjected to gender-based violence, correctional rape, forced marriage, arrest and discrimination and take remedial action, ensure their access to health care, including reproductive technologies and gender reassignment, repeal article 120 of the Criminal Code criminalizing homosexual intercourse and criminalize hate crime. Regrettably, even though it is the sixth time that the Committee reviews Uzbekistan, the country still adamantly chooses to deny LBTI women their human rights. In its replies to the aforementioned requests, Uzbekistan does not even mention the words sexual orientation or gender identity. In Replies CEDAW/C/UZB/RQ/6, Uzbekistan considers its existing norms that prohibit descrimination based on sex are satisfactory to prevent or effectively protect people from discrimination. However, as the Committee is well aware, based on numerous reports in previous submission periods and now: had that been the case, then NGOs would not be making a rigorous stand for Uzbekistan LBTI women then, now, and, it seems, will have to continue making it for a long time in the future to come.</w:t>
      </w:r>
    </w:p>
    <w:p w14:paraId="395BC57C" w14:textId="77777777" w:rsidR="00D00592" w:rsidRDefault="00D00592" w:rsidP="00037A32">
      <w:pPr>
        <w:tabs>
          <w:tab w:val="left" w:pos="426"/>
        </w:tabs>
        <w:spacing w:line="246" w:lineRule="auto"/>
        <w:ind w:right="826"/>
        <w:jc w:val="both"/>
        <w:rPr>
          <w:sz w:val="20"/>
          <w:szCs w:val="20"/>
        </w:rPr>
      </w:pPr>
    </w:p>
    <w:p w14:paraId="10B3F241"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The Estonian Network of People Living with HIV (EHPV) takes this opportunity to submit an alternative report in response to CEDAW/C/UZB/RQ/6 and alongside CEDAW/C/UZB/Q/6 because the reality that the LBTI women face in Uzbekistan when it comes to enjoying their fundamental human rights and freedoms does not match with any decent standard of living. When it comes to the highest attainable standard of health, CESCR General Comment No. 14 infers it going beyond simply healthcare. Specifically, “the drafting history and the express wording of article 12.2 acknowledge that the right to health embraces a wide range of socio-economic factors that promote conditions in which people can lead a healthy life, and extends to the underlying determinants of health, such as food and nutrition, housing, access to safe and potable water and adequate sanitation, safe and healthy working conditions, and a healthy environment.”</w:t>
      </w:r>
      <w:r>
        <w:rPr>
          <w:sz w:val="20"/>
          <w:szCs w:val="20"/>
          <w:vertAlign w:val="superscript"/>
        </w:rPr>
        <w:footnoteReference w:id="1"/>
      </w:r>
      <w:r>
        <w:rPr>
          <w:sz w:val="20"/>
          <w:szCs w:val="20"/>
        </w:rPr>
        <w:t xml:space="preserve"> EHPV is a non-governmental organisation based in Tallinn, Estonia, that provides diverse support programmes and services for LGBT people, including HIV-prevention and treatment services. EHPV’s project “Protection through mobility: Emergency response to hostility” focuses on creating protection mechanisms and enhancing access to healthcare services for men who have sex with men (MSM) and trans people, including HIV-positive ones, who experience SOGI-based state-sponsored prosecution in the Caucasus region of Russia, as well as in Turkmenistan, Tajikistan, and Uzbekistan. With this in mind, the commentary and reports provided below regarding the human rights of LBTI women in Uzbekistan are forwarded to the Committee as there is an urgent need to tackle the state-sponsored stigma and violence they endure in this country due to the ongoing reign of debilitatingly discriminatory patriarchy and growing enmity toward them.</w:t>
      </w:r>
    </w:p>
    <w:p w14:paraId="626150AC" w14:textId="77777777" w:rsidR="00D00592" w:rsidRDefault="00D00592" w:rsidP="00037A32">
      <w:pPr>
        <w:tabs>
          <w:tab w:val="left" w:pos="426"/>
        </w:tabs>
        <w:spacing w:line="246" w:lineRule="auto"/>
        <w:ind w:right="826"/>
        <w:jc w:val="both"/>
        <w:rPr>
          <w:sz w:val="20"/>
          <w:szCs w:val="20"/>
        </w:rPr>
      </w:pPr>
    </w:p>
    <w:p w14:paraId="4A60C501"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 xml:space="preserve">Having studied Replies CEDAW/C/UZB/RQ/6, EHPV considers that, within the scope of the right to equality (Article 2 of the Convention) and the right to health (Article 12 section 1; Article 14 section 2 para (b) of the Convention), Uzbekistan’s report does not provide the Committee with the answers it actually inquired for. Uzbekistan, yet again, chose to actively ignore the Committee’s mentioning of sexual orientation and gender identity, which require expressly legalised anti-discrimination protection, and chose to submit information that was not pertinent to the topic or avoided it completely. In relation to LBTI women, the Uzbekistan government continues to use pseudo-science and weaponize religious sentiment to uphold SOGI-based discrimination. Based on its ongoing work with various actors in Uzbekistan, EHPV files the current Alternative Report, as part of its activity, to present the Committee with additional information and help invest in ensuring the highest attainable standard of health for LBTI women in Uzbekistan. </w:t>
      </w:r>
    </w:p>
    <w:p w14:paraId="7D728E20" w14:textId="77777777" w:rsidR="00D00592" w:rsidRDefault="00D00592" w:rsidP="00037A32">
      <w:pPr>
        <w:tabs>
          <w:tab w:val="left" w:pos="426"/>
        </w:tabs>
        <w:spacing w:line="246" w:lineRule="auto"/>
        <w:ind w:right="826"/>
        <w:jc w:val="both"/>
        <w:rPr>
          <w:sz w:val="20"/>
          <w:szCs w:val="20"/>
        </w:rPr>
      </w:pPr>
    </w:p>
    <w:p w14:paraId="2EC36EDE" w14:textId="77777777" w:rsidR="00D00592" w:rsidRDefault="009D4D1F" w:rsidP="00037A32">
      <w:pPr>
        <w:tabs>
          <w:tab w:val="left" w:pos="426"/>
        </w:tabs>
        <w:spacing w:line="246" w:lineRule="auto"/>
        <w:ind w:right="826"/>
        <w:jc w:val="both"/>
        <w:rPr>
          <w:b/>
          <w:sz w:val="24"/>
          <w:szCs w:val="24"/>
        </w:rPr>
      </w:pPr>
      <w:r>
        <w:rPr>
          <w:b/>
          <w:sz w:val="24"/>
          <w:szCs w:val="24"/>
        </w:rPr>
        <w:t>Article 2 — Right to Non-Discrimination</w:t>
      </w:r>
    </w:p>
    <w:p w14:paraId="1A80FD43" w14:textId="77777777" w:rsidR="00D00592" w:rsidRDefault="00D00592" w:rsidP="00037A32">
      <w:pPr>
        <w:tabs>
          <w:tab w:val="left" w:pos="426"/>
        </w:tabs>
        <w:spacing w:line="246" w:lineRule="auto"/>
        <w:ind w:right="826"/>
        <w:jc w:val="both"/>
        <w:rPr>
          <w:sz w:val="20"/>
          <w:szCs w:val="20"/>
        </w:rPr>
      </w:pPr>
    </w:p>
    <w:p w14:paraId="6180B92C"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Until Uzbekistan decriminalises Article 120 of its Criminal Code, which criminalises consensual same-sex conduct between adult men, non-discrimination and observation of human rights within its borders are impossible. Although EHPV is an NGO based in Estonia, it is a stakeholder when it comes to Uzbekistan LGBTQIA+ welfare. Based on EHPV’s practice, partner NGO data and other information channels, LGBTQIA+ persons have been fleeing Uzbekistan to seek refuge in other countries. EHPV’s partner NGOs report that due to institutionalised stigma against gay men in Uzbekistan, the general public’s hate spills over to lesbian, bisexual, and trans people as a result of rejection of homosexuality and queerness as something illegal, wrong, and dangerous. The continued presence of Article 120 only solidifies this discriminatory belief and puts consensual non-heterosexual intercourse on par with actual criminally dangerous activities, like rape, murder, burglary, and other criminal acts. Such intersectional discrimination results in LBTI women being discriminated against in all areas of life.</w:t>
      </w:r>
      <w:r>
        <w:rPr>
          <w:sz w:val="20"/>
          <w:szCs w:val="20"/>
        </w:rPr>
        <w:br/>
      </w:r>
      <w:r>
        <w:rPr>
          <w:sz w:val="20"/>
          <w:szCs w:val="20"/>
        </w:rPr>
        <w:tab/>
      </w:r>
    </w:p>
    <w:p w14:paraId="224CB1EA"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The presence of definitions of direct and indirect discrimination based on sex in the Act on the Guarantees of Equal Rights and Opportunities for Women and Men (2019) is irrelevant to the protection of LBTI women against discrimination based on sexual orientation and gender identity (SOGI). There is no way those legal provisions can be extended to prevent people from committing hate crimes and hate speech against LBTI women, nor can they be used to defend them once their rights and freedoms have been violated because of SOGI-based discrimination. The presence of Article 120 exudes an aura of legimization and authorisation of the illegality of non-heterosexual and/or non-cisgender people, further bolstering acts of discrimination, violence, and even murder committed against the LGBTQIA+ community overall.</w:t>
      </w:r>
    </w:p>
    <w:p w14:paraId="73522B2E" w14:textId="77777777" w:rsidR="00D00592" w:rsidRDefault="009D4D1F" w:rsidP="00037A32">
      <w:pPr>
        <w:tabs>
          <w:tab w:val="left" w:pos="426"/>
        </w:tabs>
        <w:spacing w:line="246" w:lineRule="auto"/>
        <w:ind w:right="826"/>
        <w:jc w:val="both"/>
        <w:rPr>
          <w:sz w:val="20"/>
          <w:szCs w:val="20"/>
        </w:rPr>
      </w:pPr>
      <w:r>
        <w:rPr>
          <w:sz w:val="20"/>
          <w:szCs w:val="20"/>
        </w:rPr>
        <w:tab/>
      </w:r>
      <w:r>
        <w:rPr>
          <w:sz w:val="20"/>
          <w:szCs w:val="20"/>
        </w:rPr>
        <w:tab/>
      </w:r>
      <w:r>
        <w:rPr>
          <w:sz w:val="20"/>
          <w:szCs w:val="20"/>
        </w:rPr>
        <w:tab/>
      </w:r>
      <w:r>
        <w:rPr>
          <w:sz w:val="20"/>
          <w:szCs w:val="20"/>
        </w:rPr>
        <w:tab/>
      </w:r>
    </w:p>
    <w:p w14:paraId="324F875C"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Further supporting Uzbekistan’s equivocation from explicitly stating its position on LGBTQIA+ human rights to the Committee, several positions of the Uzbekistan government and its representatives would be worth mentioning here. Notably, Uzbekistan has made it clear during the review of its Fifth Periodic Report to the Human Rights Committee (HRCtee) that “decriminalising article 120 of the Criminal Code runs counter to traditions of the country’s multi-ethnic population, its family values and national customs, which have been formed over the course of thousands of years, and would be strongly opposed by the public at large.”</w:t>
      </w:r>
      <w:r>
        <w:rPr>
          <w:sz w:val="20"/>
          <w:szCs w:val="20"/>
          <w:vertAlign w:val="superscript"/>
        </w:rPr>
        <w:footnoteReference w:id="2"/>
      </w:r>
      <w:r>
        <w:rPr>
          <w:sz w:val="20"/>
          <w:szCs w:val="20"/>
        </w:rPr>
        <w:t xml:space="preserve"> In 2019, Uzbekistan Deputy Justice Minister Mahmud Istamov, after human rights reviews regarding the State, told the reporters that decriminalisation of same-sex intercourse “is not on our agenda. We have not accepted this recommendation. This is not a topical subject for us.”</w:t>
      </w:r>
      <w:r>
        <w:rPr>
          <w:sz w:val="20"/>
          <w:szCs w:val="20"/>
          <w:vertAlign w:val="superscript"/>
        </w:rPr>
        <w:footnoteReference w:id="3"/>
      </w:r>
      <w:r>
        <w:rPr>
          <w:sz w:val="20"/>
          <w:szCs w:val="20"/>
        </w:rPr>
        <w:t xml:space="preserve"> Earlier in 2021, a young parliamentarian, Rasul Kusherbayev, made a post on the Telegram app saying </w:t>
      </w:r>
      <w:r>
        <w:rPr>
          <w:color w:val="100F0F"/>
          <w:sz w:val="20"/>
          <w:szCs w:val="20"/>
          <w:highlight w:val="white"/>
        </w:rPr>
        <w:t>that the day same-sex relations are legalised would mark the death of the Uzbekistan nation. Kusherbayev also added, “If they say that this is against human rights, I spit on those rights. A nation’s friend won’t put forward such an illogical, unnatural proposal that will ultimately lead to the extinction of generations.”</w:t>
      </w:r>
      <w:r>
        <w:rPr>
          <w:color w:val="100F0F"/>
          <w:sz w:val="20"/>
          <w:szCs w:val="20"/>
          <w:highlight w:val="white"/>
          <w:vertAlign w:val="superscript"/>
        </w:rPr>
        <w:footnoteReference w:id="4"/>
      </w:r>
      <w:r>
        <w:rPr>
          <w:color w:val="100F0F"/>
          <w:sz w:val="20"/>
          <w:szCs w:val="20"/>
          <w:highlight w:val="white"/>
        </w:rPr>
        <w:t xml:space="preserve"> </w:t>
      </w:r>
      <w:r>
        <w:rPr>
          <w:color w:val="100F0F"/>
          <w:sz w:val="20"/>
          <w:szCs w:val="20"/>
          <w:highlight w:val="white"/>
        </w:rPr>
        <w:br/>
      </w:r>
    </w:p>
    <w:p w14:paraId="3008B3CF"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Being universally damaging already, in the Draft of the New Criminal Code of Uzbekistan, once adopted, Article 120 will transform into Article 154, which will ensure an even more elevated state of institutionlised SOGI-based discrimination in the country. Notably</w:t>
      </w:r>
      <w:r>
        <w:rPr>
          <w:color w:val="333333"/>
          <w:sz w:val="20"/>
          <w:szCs w:val="20"/>
        </w:rPr>
        <w:t xml:space="preserve">, Article 120 will become Article 154 </w:t>
      </w:r>
      <w:r>
        <w:rPr>
          <w:color w:val="333333"/>
          <w:sz w:val="20"/>
          <w:szCs w:val="20"/>
          <w:highlight w:val="white"/>
        </w:rPr>
        <w:t>and will be included in a newly created Chapter V of the Code, entitled: “Crimes against Family, Children and Morality.” This has been done by the Uzbekistan parliament to create a loophole akin to Russia’s law against the “propaganda of homosexuality.” Once adopted, anything that will remotely diverge from “traditional values” in the media, on the Internet, or in public (appearance, statements, posts, freedom of expression and self-determination) can be deemed by the government as infringing “morality” and be punished, on top of the article already being used for arbitrary detention, home arrest, or imprisonment of others.</w:t>
      </w:r>
      <w:r>
        <w:rPr>
          <w:sz w:val="20"/>
          <w:szCs w:val="20"/>
        </w:rPr>
        <w:t xml:space="preserve"> Earlier in 2021, ILGA-Europe and many other human rights NGOs signed and forwarded a petition to the President of Uzbekistan, which called to decriminalise Article 120 as the Draft of the new Criminal Code was still in progress and being considered by the legislative body of Uzbekistan.</w:t>
      </w:r>
      <w:r>
        <w:rPr>
          <w:sz w:val="20"/>
          <w:szCs w:val="20"/>
          <w:vertAlign w:val="superscript"/>
        </w:rPr>
        <w:footnoteReference w:id="5"/>
      </w:r>
      <w:r>
        <w:rPr>
          <w:sz w:val="20"/>
          <w:szCs w:val="20"/>
        </w:rPr>
        <w:t xml:space="preserve"> Per usual, Uzbekistan ignored said pleas.</w:t>
      </w:r>
    </w:p>
    <w:p w14:paraId="58E6C871" w14:textId="77777777" w:rsidR="00D00592" w:rsidRDefault="00D00592" w:rsidP="00037A32">
      <w:pPr>
        <w:tabs>
          <w:tab w:val="left" w:pos="426"/>
        </w:tabs>
        <w:spacing w:line="246" w:lineRule="auto"/>
        <w:ind w:right="826"/>
        <w:jc w:val="both"/>
        <w:rPr>
          <w:sz w:val="20"/>
          <w:szCs w:val="20"/>
        </w:rPr>
      </w:pPr>
    </w:p>
    <w:p w14:paraId="28A47264"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EHPV would like to emphasise that fundamental human rights and freedoms cannot be arbitrarily discriminated against based on cultural or any other kind of dissimilarity of a State Party to the Convention or to any other UN Human Rights Treaties. Uzbekistan acknowledged the universality of CEDAW principles by ratifying the Convention. Among such principles, the Preamble states: “</w:t>
      </w:r>
      <w:r>
        <w:rPr>
          <w:sz w:val="20"/>
          <w:szCs w:val="20"/>
          <w:highlight w:val="white"/>
        </w:rPr>
        <w:t xml:space="preserve">Noting that the Universal Declaration of Human Rights affirms the principle of the inadmissibility of discrimination and proclaims that all human beings are born free and equal in dignity and rights and that everyone is entitled to all the rights and freedoms set forth therein, without distinction of any kind [...and] [n]oting that the States Parties to the International Covenants on Human Rights have the obligation to ensure the equal rights of men and women to enjoy all economic, social, cultural, civil and political rights [...].” With this in mind, the Human Rights Council, in its </w:t>
      </w:r>
      <w:r>
        <w:rPr>
          <w:sz w:val="20"/>
          <w:szCs w:val="20"/>
          <w:highlight w:val="white"/>
        </w:rPr>
        <w:lastRenderedPageBreak/>
        <w:t>Annual Report to the UNHCR A/HRC/19/41 (para 62) stipulates that “[u]nder the Covenant, States parties may limit enjoyment of these rights only insofar as restrictions are provided for by law and necessary to protect rights of others, national security, or public safety, order, health or morals. Any such restrictions should be compatible with the provisions, aims and objectives of the Covenant and should not be discriminatory.”</w:t>
      </w:r>
      <w:r>
        <w:rPr>
          <w:sz w:val="20"/>
          <w:szCs w:val="20"/>
          <w:highlight w:val="white"/>
          <w:vertAlign w:val="superscript"/>
        </w:rPr>
        <w:footnoteReference w:id="6"/>
      </w:r>
      <w:r>
        <w:rPr>
          <w:sz w:val="20"/>
          <w:szCs w:val="20"/>
          <w:highlight w:val="white"/>
        </w:rPr>
        <w:t xml:space="preserve"> The Uzbekistan government should note that public morals do not equal religious morals pertaining to any denomination. </w:t>
      </w:r>
    </w:p>
    <w:p w14:paraId="47C529EA" w14:textId="77777777" w:rsidR="00D00592" w:rsidRDefault="00D00592" w:rsidP="00037A32">
      <w:pPr>
        <w:tabs>
          <w:tab w:val="left" w:pos="426"/>
        </w:tabs>
        <w:spacing w:line="246" w:lineRule="auto"/>
        <w:ind w:right="826"/>
        <w:jc w:val="both"/>
        <w:rPr>
          <w:sz w:val="20"/>
          <w:szCs w:val="20"/>
          <w:highlight w:val="white"/>
        </w:rPr>
      </w:pPr>
    </w:p>
    <w:p w14:paraId="71E5C9B3"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highlight w:val="white"/>
        </w:rPr>
        <w:t>By ratifying the Convention, Uzbekistan voluntarily subscribed to its provisions, which expressly stipulate the inalienability and universality of fundamental human rights and freedoms of all people. T</w:t>
      </w:r>
      <w:r>
        <w:rPr>
          <w:sz w:val="20"/>
          <w:szCs w:val="20"/>
        </w:rPr>
        <w:t>he HRC Advisory Committee’s Study A/HRC/22/71 states: “Human rights have moral universality, since human rights are held universally by all persons ‘simply because one is a human being’, and international normative universality, meaning that human rights are universally accepted by Governments through their commitments and obligations under international human rights law.”</w:t>
      </w:r>
      <w:r>
        <w:rPr>
          <w:sz w:val="20"/>
          <w:szCs w:val="20"/>
          <w:vertAlign w:val="superscript"/>
        </w:rPr>
        <w:footnoteReference w:id="7"/>
      </w:r>
      <w:r>
        <w:rPr>
          <w:sz w:val="20"/>
          <w:szCs w:val="20"/>
        </w:rPr>
        <w:t xml:space="preserve"> Continuing, the Study explains that “[n]o one may invoke cultural diversity as an excuse to infringe on human rights guaranteed by international law or limit their scope [...to] seek to sanctify differences that run counter to the universality, indivisibility and interdependence of human rights.”</w:t>
      </w:r>
      <w:r>
        <w:rPr>
          <w:sz w:val="20"/>
          <w:szCs w:val="20"/>
          <w:vertAlign w:val="superscript"/>
        </w:rPr>
        <w:footnoteReference w:id="8"/>
      </w:r>
      <w:r>
        <w:rPr>
          <w:sz w:val="20"/>
          <w:szCs w:val="20"/>
        </w:rPr>
        <w:t xml:space="preserve"> Therefore any hate crimes and hate speech that degrades LBTI women based on “traditional values,” “family values,” and “moral norms” or “religious norms” should be reprimanded and punished as SOGI-based crimes. </w:t>
      </w:r>
    </w:p>
    <w:p w14:paraId="1777D41D" w14:textId="77777777" w:rsidR="00D00592" w:rsidRDefault="00D00592" w:rsidP="00037A32">
      <w:pPr>
        <w:tabs>
          <w:tab w:val="left" w:pos="426"/>
        </w:tabs>
        <w:spacing w:line="246" w:lineRule="auto"/>
        <w:ind w:right="826"/>
        <w:jc w:val="both"/>
        <w:rPr>
          <w:sz w:val="20"/>
          <w:szCs w:val="20"/>
        </w:rPr>
      </w:pPr>
    </w:p>
    <w:p w14:paraId="6B110837" w14:textId="079ADC6E" w:rsidR="00D00592" w:rsidRDefault="009D4D1F" w:rsidP="00037A32">
      <w:pPr>
        <w:numPr>
          <w:ilvl w:val="1"/>
          <w:numId w:val="2"/>
        </w:numPr>
        <w:tabs>
          <w:tab w:val="left" w:pos="426"/>
        </w:tabs>
        <w:spacing w:line="246" w:lineRule="auto"/>
        <w:ind w:right="826"/>
        <w:jc w:val="both"/>
        <w:rPr>
          <w:sz w:val="20"/>
          <w:szCs w:val="20"/>
        </w:rPr>
      </w:pPr>
      <w:r>
        <w:rPr>
          <w:sz w:val="20"/>
          <w:szCs w:val="20"/>
        </w:rPr>
        <w:t xml:space="preserve">Uzbekistan not only intentionally and overtly avoids decriminalising consensual same-sex conduct between men (Article 120), which is directly discriminatory against the LGBTQIA+ community overall, but it also seems to encourage violence against the community members. </w:t>
      </w:r>
      <w:r>
        <w:rPr>
          <w:color w:val="333333"/>
          <w:sz w:val="20"/>
          <w:szCs w:val="20"/>
          <w:highlight w:val="white"/>
        </w:rPr>
        <w:t xml:space="preserve">After the above-mentioned petition by ILGA-Europe, violent clashes broke out in Tashkent based on anti-LGBTQIA+ sentiment. </w:t>
      </w:r>
      <w:r>
        <w:rPr>
          <w:color w:val="121212"/>
          <w:sz w:val="20"/>
          <w:szCs w:val="20"/>
          <w:highlight w:val="white"/>
        </w:rPr>
        <w:t>Anti-LGBTQIA+ violence erupted in Tashkent, after heated social media debate around calls to reform the penal code on homosexuality. Two teenagers were badly injured in the clashes. M</w:t>
      </w:r>
      <w:r w:rsidR="004865AB">
        <w:rPr>
          <w:color w:val="121212"/>
          <w:sz w:val="20"/>
          <w:szCs w:val="20"/>
          <w:highlight w:val="white"/>
          <w:lang w:val="en-US"/>
        </w:rPr>
        <w:t>.</w:t>
      </w:r>
      <w:r>
        <w:rPr>
          <w:color w:val="121212"/>
          <w:sz w:val="20"/>
          <w:szCs w:val="20"/>
          <w:highlight w:val="white"/>
        </w:rPr>
        <w:t xml:space="preserve"> B</w:t>
      </w:r>
      <w:r w:rsidR="004865AB">
        <w:rPr>
          <w:color w:val="121212"/>
          <w:sz w:val="20"/>
          <w:szCs w:val="20"/>
          <w:highlight w:val="white"/>
          <w:lang w:val="en-US"/>
        </w:rPr>
        <w:t>.</w:t>
      </w:r>
      <w:r>
        <w:rPr>
          <w:color w:val="121212"/>
          <w:sz w:val="20"/>
          <w:szCs w:val="20"/>
          <w:highlight w:val="white"/>
        </w:rPr>
        <w:t>, a popular blogger and critic of Uzbekistan conservative values who actively supported LGBTQIA+ rights, was also beaten by a group of masked men and hospitalised. Three days later, his house was searched by the security services and documents and a computer confiscated. Members of the LGBTQIA+ community in Uzbekistan, speaking to the Guardian on condition of anonymity,</w:t>
      </w:r>
      <w:r>
        <w:rPr>
          <w:b/>
          <w:color w:val="121212"/>
          <w:sz w:val="20"/>
          <w:szCs w:val="20"/>
          <w:highlight w:val="white"/>
        </w:rPr>
        <w:t xml:space="preserve"> </w:t>
      </w:r>
      <w:r>
        <w:rPr>
          <w:color w:val="121212"/>
          <w:sz w:val="20"/>
          <w:szCs w:val="20"/>
          <w:highlight w:val="white"/>
        </w:rPr>
        <w:t>say that the protests and the publication of the photos, names and addresses of LGBTQ+ people on social media, along with calls for violence, have left them fearing for their lives.</w:t>
      </w:r>
      <w:r>
        <w:rPr>
          <w:color w:val="121212"/>
          <w:sz w:val="20"/>
          <w:szCs w:val="20"/>
          <w:highlight w:val="white"/>
          <w:vertAlign w:val="superscript"/>
        </w:rPr>
        <w:footnoteReference w:id="9"/>
      </w:r>
      <w:r>
        <w:rPr>
          <w:color w:val="121212"/>
          <w:sz w:val="20"/>
          <w:szCs w:val="20"/>
          <w:highlight w:val="white"/>
        </w:rPr>
        <w:t xml:space="preserve">  On top of “spitting” on human rights, the Uzbekistan government encourages others to trample them and then prosecutes the victims of hate crimes as criminals. State-sponsored disinformation on SOGI and HIV is used as one such lever. Wrongly, the state equalizes homosexuality and HIV, so, by extension and improperly, PLHIV are discriminated against, too, while the hate for gay men is extended to everyone else non-heterosexual and non-cisgender.</w:t>
      </w:r>
    </w:p>
    <w:p w14:paraId="07752237" w14:textId="77777777" w:rsidR="00D00592" w:rsidRDefault="00D00592" w:rsidP="00037A32">
      <w:pPr>
        <w:tabs>
          <w:tab w:val="left" w:pos="426"/>
        </w:tabs>
        <w:spacing w:line="246" w:lineRule="auto"/>
        <w:ind w:right="826"/>
        <w:jc w:val="both"/>
        <w:rPr>
          <w:color w:val="121212"/>
          <w:sz w:val="20"/>
          <w:szCs w:val="20"/>
          <w:highlight w:val="white"/>
        </w:rPr>
      </w:pPr>
    </w:p>
    <w:p w14:paraId="33AE51C0"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 xml:space="preserve">EHPV through its monitoring work in Uzbekistan collects data on LGBTQIA+ prosecutions in Uzbekistan. In 2020, a trans woman’s rights were violated by law enforcement. The trans woman met a man online, whom, after a series of conversations, she invited over. When she opened the door, 15 men broke into her apartment. There were five other trans women in the apartment as well. The men coerced the other trans women to provide a statement against their friend (who met and invited the man from the Internet). The statement should say that the trans woman illegally detained the other trans women and forced them to perform sex work. Otherwise, the men threatened the trans women with Article 120, if they did not make and sign the statement against their friend, plus, they would forcefully “out” them and shame them. The men took the statement against the trans woman in question and launched an investigation and trial against her for forced detainment and exploitation of people. The trans woman had to sell all her belongings to hire an attorney. The trial is ongoing. </w:t>
      </w:r>
    </w:p>
    <w:p w14:paraId="41830E50" w14:textId="77777777" w:rsidR="00D00592" w:rsidRDefault="00D00592" w:rsidP="00037A32">
      <w:pPr>
        <w:tabs>
          <w:tab w:val="left" w:pos="426"/>
        </w:tabs>
        <w:spacing w:line="246" w:lineRule="auto"/>
        <w:ind w:right="826"/>
        <w:jc w:val="both"/>
        <w:rPr>
          <w:sz w:val="20"/>
          <w:szCs w:val="20"/>
        </w:rPr>
      </w:pPr>
    </w:p>
    <w:p w14:paraId="5BC8EB8D"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 xml:space="preserve">Another 2020 case involved a trans woman sex worker. After a client contacted the trans woman and received her coordinates, he arrived with 20 other men. The men searched the apartment and threatened the trans woman with commencing investigation based on Article 120 and Article 113 (Transmission of HIV). The men were law enforcement officers. One of the officers forced the trans woman to take off her wig and dress and state her identifying information, threatening that they would beat her up if she refused, while filming the process on  camera. After prolonged degrading treatment, the trans woman was taken to the station for preliminary detention. The victim said she was abused mentally and physically while in detention: she was deprived of food, assaulted with a stun gun and further threatened with Articles 120 and 113. Not having gathered enough evidence, the officers released the victim after three days of detention. They disclosed the trans woman’s activity and other identity information to her family without her consent. </w:t>
      </w:r>
    </w:p>
    <w:p w14:paraId="46016DEB" w14:textId="77777777" w:rsidR="00D00592" w:rsidRDefault="00D00592" w:rsidP="00037A32">
      <w:pPr>
        <w:tabs>
          <w:tab w:val="left" w:pos="426"/>
        </w:tabs>
        <w:spacing w:line="246" w:lineRule="auto"/>
        <w:ind w:right="826"/>
        <w:jc w:val="both"/>
        <w:rPr>
          <w:sz w:val="20"/>
          <w:szCs w:val="20"/>
        </w:rPr>
      </w:pPr>
    </w:p>
    <w:p w14:paraId="3FE2A737"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lastRenderedPageBreak/>
        <w:t>One other 2020 case invovled another trans woman sex-worker. One of her regular clients arrived under alcohol influence and started to demand that she stop seeing other men but him. In a flash of jealousy, the man had assaulted and beaten up the woman. The woman started screaming and the man took a knife, threatening to kill her if she would not shut up. The woman attempted to flee and the man tried to stab her several times in the abdomen area but, luckily, only the woman’s hands got slashed in the process during her trying to protect herself. The woman got out and fled to a police station nearby. The officers tried to provide first aid but the woman said to not touch her. Either out of shock or for any other reason, while stating her case, the woman indicated her HIV-positive status. The officer started threatening to launch investigations against her under Articles 120 and 113. The officers did not prosecute the man who assaulted her, but they sometimes still contact her and keep her under psychological pressure, threatening with investigations against her under Articles 120 and 113. Although they did not launch the investigation, the harassment continues. The woman says hiring a lawyer will not achieve justice and that she would rather pay the bribe and avoid further humiliation and violence.</w:t>
      </w:r>
    </w:p>
    <w:p w14:paraId="7535B076" w14:textId="77777777" w:rsidR="00D00592" w:rsidRDefault="00D00592" w:rsidP="00037A32">
      <w:pPr>
        <w:tabs>
          <w:tab w:val="left" w:pos="426"/>
        </w:tabs>
        <w:spacing w:line="246" w:lineRule="auto"/>
        <w:ind w:right="826"/>
        <w:jc w:val="both"/>
        <w:rPr>
          <w:sz w:val="20"/>
          <w:szCs w:val="20"/>
        </w:rPr>
      </w:pPr>
    </w:p>
    <w:p w14:paraId="27BF83A6"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In 2018, a case involving border control and a transgender woman took place. Particularly, a transgender person from Samarkand faced numerous harassments including when travelling from the country during passport control. In September 2018, the transgender woman was travelling outside of the country and she was requested to undergo personal physical check. She was taken to the utility room by two male officers breaking all legal procedures required during such searches. Commonly, frisking, pat-downs, and other body searches should be performed by an officer of the same sex or gender.</w:t>
      </w:r>
      <w:r>
        <w:rPr>
          <w:sz w:val="20"/>
          <w:szCs w:val="20"/>
          <w:vertAlign w:val="superscript"/>
        </w:rPr>
        <w:footnoteReference w:id="10"/>
      </w:r>
      <w:r>
        <w:rPr>
          <w:sz w:val="20"/>
          <w:szCs w:val="20"/>
        </w:rPr>
        <w:t xml:space="preserve"> Here, officers assumed the victim’s gender and enacted the body search voluntarily and in discriminatory fashion. She was stripped naked and insulted. Afterwards, this transgender woman made numerous complaints on it but to no avail.</w:t>
      </w:r>
    </w:p>
    <w:p w14:paraId="792A369E" w14:textId="77777777" w:rsidR="00D00592" w:rsidRDefault="00D00592" w:rsidP="00037A32">
      <w:pPr>
        <w:tabs>
          <w:tab w:val="left" w:pos="426"/>
        </w:tabs>
        <w:spacing w:line="246" w:lineRule="auto"/>
        <w:ind w:right="826"/>
        <w:jc w:val="both"/>
        <w:rPr>
          <w:sz w:val="20"/>
          <w:szCs w:val="20"/>
        </w:rPr>
      </w:pPr>
    </w:p>
    <w:p w14:paraId="637E37E5"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In 2017, the police representatives performed another violation of human right against a transgender woman. Specifically, a 26 years-old transgender woman reported that she was raped by a police officer when she was detained. She provided the perpetrator’s name and details of this incident in her application for asylum. She also stated that she was detained three times before January 2017. “They detain a person in the night and do not record the fact of detention. If something happens to you, there is no possibility to prove anything. If they write a detainment protocol, they record that the person was detained to identify their personality. They beat you badly, so you can only lay down for 5-6 days.” Arbitrary detention, correctional rape, physical and mental violence are committed by law enforcement officers against LBTI women under the sanction of Article 120.</w:t>
      </w:r>
    </w:p>
    <w:p w14:paraId="7C3326A0" w14:textId="77777777" w:rsidR="00D00592" w:rsidRDefault="00D00592" w:rsidP="00037A32">
      <w:pPr>
        <w:tabs>
          <w:tab w:val="left" w:pos="426"/>
        </w:tabs>
        <w:spacing w:line="246" w:lineRule="auto"/>
        <w:ind w:right="826"/>
        <w:jc w:val="both"/>
        <w:rPr>
          <w:sz w:val="20"/>
          <w:szCs w:val="20"/>
        </w:rPr>
      </w:pPr>
    </w:p>
    <w:p w14:paraId="515DD18B"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 xml:space="preserve">It becomes apparent that Article 120 and 113 serve as instruments for homophobic and transphobic law enforcement officers to actively seek out trans women to harrass and commit acts of violence against them. It should be also noted that such trans women resort to sex work as a result of increased state-sponsored stigma and violence against them, which prevents them from acquiring a decent standard of living, including desired employment. Based on the incongruence between their gender identity and biological sex, both forcefully living as their birth-assigned sex/gender or living based on their chosen gender identity results in mental and physical anguish for them. Regardless of the case, inhuman treatment will find them unless they are exceptionally careful and good at masking their SOGI status. </w:t>
      </w:r>
    </w:p>
    <w:p w14:paraId="173CA06F" w14:textId="77777777" w:rsidR="00D00592" w:rsidRDefault="00D00592" w:rsidP="00037A32">
      <w:pPr>
        <w:tabs>
          <w:tab w:val="left" w:pos="426"/>
        </w:tabs>
        <w:spacing w:line="246" w:lineRule="auto"/>
        <w:ind w:right="826"/>
        <w:jc w:val="both"/>
        <w:rPr>
          <w:sz w:val="20"/>
          <w:szCs w:val="20"/>
        </w:rPr>
      </w:pPr>
    </w:p>
    <w:p w14:paraId="0BE37B20"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 xml:space="preserve">On another note, a case of forced marriage took place in 2018. Sadly, this time, the case resulted in suicide. With this in mind, a 20 year-old lesbian woman committed suicide as a result of her parents’ rejection of her sexuality and planned forced marriage. Both parents and militia officers agreed to register this case as a heart attack in order to avoid investigation. This illustrates that the state-sponsored discrimination against the LGBTQIA+ and Article 120 virtually dehumanizes non-heterosexual and/or non-cisgender people not only in the eyes of politicians, law enforcement, religious figures, but also in the eyes of their parents, which results in torture or inhuman, degrading treatment, all the way, as in this case, unto death. </w:t>
      </w:r>
    </w:p>
    <w:p w14:paraId="30F721F7" w14:textId="77777777" w:rsidR="00D00592" w:rsidRDefault="00D00592" w:rsidP="00037A32">
      <w:pPr>
        <w:tabs>
          <w:tab w:val="left" w:pos="426"/>
        </w:tabs>
        <w:spacing w:line="246" w:lineRule="auto"/>
        <w:ind w:right="826"/>
        <w:jc w:val="both"/>
        <w:rPr>
          <w:sz w:val="20"/>
          <w:szCs w:val="20"/>
        </w:rPr>
      </w:pPr>
    </w:p>
    <w:p w14:paraId="13DEC212"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Another case involves correctional rape in 2017. Two lesbian women were having a date outside, when they were detained by police officers under the Article 120, interpreting it as prohibition of homosexual relationship. One was released after writing an explanatory letter but the other who refused to do so, was tortured for two days. Police officers raped the second lesbian woman for two days, stating that afterwards she would understand that it is better to have sex with a man. Correctional rape was used in this case while torturing the second woman to force her sign necessary papers. She was released only when she wrote an explanatory letter and signed papers that she was treated well and had no claims against law enforcement officers. Such cases are widespread but victims are scared to come forward because of law enforcement retaliation or forced outing. Attorneys are hesitant to protect LGBTQIA+ people under Article 120, fearing for their reputation. The judiciary also is either reluctant to take the victim’s side or happily indulge in delivering “justice” under Article 120.</w:t>
      </w:r>
    </w:p>
    <w:p w14:paraId="63C7EF00" w14:textId="77777777" w:rsidR="00D00592" w:rsidRDefault="00D00592" w:rsidP="00037A32">
      <w:pPr>
        <w:tabs>
          <w:tab w:val="left" w:pos="426"/>
        </w:tabs>
        <w:spacing w:line="246" w:lineRule="auto"/>
        <w:ind w:right="826"/>
        <w:jc w:val="both"/>
        <w:rPr>
          <w:sz w:val="20"/>
          <w:szCs w:val="20"/>
        </w:rPr>
      </w:pPr>
    </w:p>
    <w:p w14:paraId="0828B143"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 xml:space="preserve">Another case obtained by EHPV from its partner NGOs in 2017 involves SOGI-based discrimination at work. Notably, a lesbian woman was working as a sports teacher in school. Parents who lived nearby her </w:t>
      </w:r>
      <w:r>
        <w:rPr>
          <w:sz w:val="20"/>
          <w:szCs w:val="20"/>
        </w:rPr>
        <w:lastRenderedPageBreak/>
        <w:t>complained to the school director that they did not want a masculine woman who might be a lesbian to teach their children. This way she was fired in 2016. Moreover, the headmaster informed all his colleagues in the same area about the reason for her dismissal. She managed to find a job only in 2018 in a different region. Therefore, this discrimination broke down the lesbian woman’s entire life and she was forced to move to avoid further harassment, all while being unable to provide for herself financially in a proper way.</w:t>
      </w:r>
    </w:p>
    <w:p w14:paraId="1C251E26" w14:textId="77777777" w:rsidR="00D00592" w:rsidRDefault="00D00592" w:rsidP="00037A32">
      <w:pPr>
        <w:tabs>
          <w:tab w:val="left" w:pos="426"/>
        </w:tabs>
        <w:spacing w:line="246" w:lineRule="auto"/>
        <w:ind w:right="826"/>
        <w:jc w:val="both"/>
        <w:rPr>
          <w:sz w:val="20"/>
          <w:szCs w:val="20"/>
        </w:rPr>
      </w:pPr>
    </w:p>
    <w:p w14:paraId="5702643B"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 xml:space="preserve">In another 2017 case reported to EHPV by a partner NGO, conversion therapy was used. The case was reported in 2017, but took place in 2015. In 2015, a mother found out about her daughter’s homosexuality. The daughter was locked up at </w:t>
      </w:r>
      <w:r>
        <w:rPr>
          <w:i/>
          <w:sz w:val="20"/>
          <w:szCs w:val="20"/>
        </w:rPr>
        <w:t>mullah</w:t>
      </w:r>
      <w:r>
        <w:rPr>
          <w:sz w:val="20"/>
          <w:szCs w:val="20"/>
        </w:rPr>
        <w:t>’s house upon the request of her mother for 1 month. They were trying to exorcise her demons. The daughter faced continued humiliation and insults during this period. She was forced to read religious literature for long hours, she was beaten and locked up in the basement room. It should be noted that conversion therapy or any other form of “treatment” for non-heterosexuality is recognized by the UN as torture.</w:t>
      </w:r>
      <w:r>
        <w:rPr>
          <w:sz w:val="20"/>
          <w:szCs w:val="20"/>
          <w:vertAlign w:val="superscript"/>
        </w:rPr>
        <w:footnoteReference w:id="11"/>
      </w:r>
      <w:r>
        <w:rPr>
          <w:sz w:val="20"/>
          <w:szCs w:val="20"/>
        </w:rPr>
        <w:t xml:space="preserve"> Obviously, nobody of the wrongdoers were reported or prosecuted. It should also be noted that such conversion therapies happen in rural areas and behind closed doors, while the LGBTQIA+ victims of such “therapies” have no proper way to protect themselves. If reported, their sexuality will be exposed, inciting further discrimination or prosecution under Article 120.</w:t>
      </w:r>
    </w:p>
    <w:p w14:paraId="11CC0FC4" w14:textId="77777777" w:rsidR="00D00592" w:rsidRDefault="00D00592" w:rsidP="00037A32">
      <w:pPr>
        <w:tabs>
          <w:tab w:val="left" w:pos="426"/>
        </w:tabs>
        <w:spacing w:line="246" w:lineRule="auto"/>
        <w:ind w:right="826"/>
        <w:jc w:val="both"/>
        <w:rPr>
          <w:sz w:val="20"/>
          <w:szCs w:val="20"/>
        </w:rPr>
      </w:pPr>
    </w:p>
    <w:p w14:paraId="5C858DFF" w14:textId="77777777" w:rsidR="00D00592" w:rsidRDefault="009D4D1F" w:rsidP="00037A32">
      <w:pPr>
        <w:tabs>
          <w:tab w:val="left" w:pos="426"/>
        </w:tabs>
        <w:spacing w:line="246" w:lineRule="auto"/>
        <w:ind w:right="826"/>
        <w:jc w:val="both"/>
        <w:rPr>
          <w:b/>
          <w:sz w:val="24"/>
          <w:szCs w:val="24"/>
        </w:rPr>
      </w:pPr>
      <w:r>
        <w:rPr>
          <w:b/>
          <w:sz w:val="24"/>
          <w:szCs w:val="24"/>
        </w:rPr>
        <w:t>Article 12 and 14 — Right to Health</w:t>
      </w:r>
    </w:p>
    <w:p w14:paraId="0AA54788" w14:textId="77777777" w:rsidR="00D00592" w:rsidRDefault="00D00592" w:rsidP="00037A32">
      <w:pPr>
        <w:tabs>
          <w:tab w:val="left" w:pos="426"/>
        </w:tabs>
        <w:spacing w:line="246" w:lineRule="auto"/>
        <w:ind w:right="826"/>
        <w:jc w:val="both"/>
        <w:rPr>
          <w:sz w:val="20"/>
          <w:szCs w:val="20"/>
        </w:rPr>
      </w:pPr>
    </w:p>
    <w:p w14:paraId="01B5E25C"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Right to health is a fundamental human right of every person simply by virtue of them being human and which is the foundation for a person to enjoy all the other fundamental rights and freedoms. The Covenant, the Universal Declaration, the UN Charter, and the WHO have all established that. Within the scope of subject of the right to health of LBTI  women in Uzbekistan, the international scientific community has excluded homosexuality from the list of psychiatric disorders decades ago. Transgenderism, gender dysphoria, and other related issues have also been excluded from the International Classification of Diseases (ICD).  The Preamble of the Constitution of the World Health Organisation outlines that health is “a state of complete physical, mental and social well-being and not merely the absence of disease or infirmity.”</w:t>
      </w:r>
      <w:r>
        <w:rPr>
          <w:sz w:val="20"/>
          <w:szCs w:val="20"/>
          <w:vertAlign w:val="superscript"/>
        </w:rPr>
        <w:footnoteReference w:id="12"/>
      </w:r>
      <w:r>
        <w:rPr>
          <w:sz w:val="20"/>
          <w:szCs w:val="20"/>
        </w:rPr>
        <w:t xml:space="preserve"> However, based on the cases and statements provided above, it is apparent that Uzbekistan acts to actively undermine the right to health of LBTI women. </w:t>
      </w:r>
    </w:p>
    <w:p w14:paraId="39B98E82" w14:textId="77777777" w:rsidR="00D00592" w:rsidRDefault="00D00592" w:rsidP="00037A32">
      <w:pPr>
        <w:tabs>
          <w:tab w:val="left" w:pos="426"/>
        </w:tabs>
        <w:spacing w:line="246" w:lineRule="auto"/>
        <w:ind w:right="826"/>
        <w:jc w:val="both"/>
        <w:rPr>
          <w:sz w:val="20"/>
          <w:szCs w:val="20"/>
        </w:rPr>
      </w:pPr>
    </w:p>
    <w:p w14:paraId="1E9CD5B7"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Considering the right to health, the above-mentioned Article 113 of the Uzbekistan Criminal Code deserves additional scrutiny. Article 113 is another leeway used by law enforcement or others to discriminate against the LGBTI and PLHIV. Notably, PLHIV can still be prosecuted under article 113 paragraph 4 of the Uzbekistan Criminal Code even if they disclosed their status to the other person and that person voluntarily and consciously engaged in sexual activities with them. Such an approach does not comply with UNAIDS recommendations when it comes to criminalisation of HIV and STI transmission, where the perpetrator is to be punished for direct intent and for the result of transmission, either of the combinations, while leaving out unintentional transmission or transmission by a person who did not know their status, or if the other person gave their consent after being informed.</w:t>
      </w:r>
      <w:r>
        <w:rPr>
          <w:sz w:val="20"/>
          <w:szCs w:val="20"/>
          <w:vertAlign w:val="superscript"/>
        </w:rPr>
        <w:footnoteReference w:id="13"/>
      </w:r>
      <w:r>
        <w:rPr>
          <w:sz w:val="20"/>
          <w:szCs w:val="20"/>
        </w:rPr>
        <w:t xml:space="preserve"> Such laws also violate the person’s privacy and the right to confidentiality of personal medication information. The current Uzbekistan laws define that after the person is tested positive, they are forced to reveal the route of transmission. Then, the medical worker checks for the other sexual partner in the electronic database of infected persons, after which the information is sent in writing to relevant internal affairs agencies to take legal action against the person who was the source of infection.</w:t>
      </w:r>
      <w:r>
        <w:rPr>
          <w:sz w:val="20"/>
          <w:szCs w:val="20"/>
          <w:vertAlign w:val="superscript"/>
        </w:rPr>
        <w:footnoteReference w:id="14"/>
      </w:r>
    </w:p>
    <w:p w14:paraId="01BF98B6" w14:textId="77777777" w:rsidR="00D00592" w:rsidRDefault="00D00592" w:rsidP="00037A32">
      <w:pPr>
        <w:tabs>
          <w:tab w:val="left" w:pos="426"/>
        </w:tabs>
        <w:spacing w:line="246" w:lineRule="auto"/>
        <w:ind w:right="826"/>
        <w:jc w:val="both"/>
        <w:rPr>
          <w:sz w:val="20"/>
          <w:szCs w:val="20"/>
        </w:rPr>
      </w:pPr>
    </w:p>
    <w:p w14:paraId="2E523FAE" w14:textId="77777777" w:rsidR="00D00592" w:rsidRDefault="009D4D1F" w:rsidP="00037A32">
      <w:pPr>
        <w:numPr>
          <w:ilvl w:val="1"/>
          <w:numId w:val="2"/>
        </w:numPr>
        <w:tabs>
          <w:tab w:val="left" w:pos="426"/>
        </w:tabs>
        <w:ind w:right="826"/>
        <w:jc w:val="both"/>
        <w:rPr>
          <w:sz w:val="20"/>
          <w:szCs w:val="20"/>
        </w:rPr>
      </w:pPr>
      <w:r>
        <w:rPr>
          <w:sz w:val="20"/>
          <w:szCs w:val="20"/>
        </w:rPr>
        <w:t>In its recent Replies to LOI E/C.12/UZB/RQ/3 (para 65) to the International Committee on Social, Economic, and Cultural Rights, Uzbekistan stated that “the decriminalisation of homosexuality has not been considered owing to the pressing need to combat the spread of HIV.” From this, Uzbekistan deems gay men to be responsible for HIV, which is why they deny decriminalising homosexuality, which is untrue. “</w:t>
      </w:r>
      <w:r>
        <w:rPr>
          <w:color w:val="111111"/>
          <w:sz w:val="20"/>
          <w:szCs w:val="20"/>
          <w:highlight w:val="white"/>
        </w:rPr>
        <w:t>Anyone—regardless of sexual orientation, gender identity, gender expression or other factors—can acquire HIV. Calling HIV a “gay” or “LGBTQ” disease is medically untrue and only serves to perpetuate harmful stereotypes about people living with HIV and members of the LGBT community.”</w:t>
      </w:r>
      <w:r>
        <w:rPr>
          <w:color w:val="111111"/>
          <w:sz w:val="20"/>
          <w:szCs w:val="20"/>
          <w:highlight w:val="white"/>
          <w:vertAlign w:val="superscript"/>
        </w:rPr>
        <w:footnoteReference w:id="15"/>
      </w:r>
      <w:r>
        <w:rPr>
          <w:color w:val="111111"/>
          <w:sz w:val="20"/>
          <w:szCs w:val="20"/>
          <w:highlight w:val="white"/>
        </w:rPr>
        <w:t xml:space="preserve"> Such discriminatory statements only further exacerbate discrimination of LBTI women and PLHIV. “Social and structural issues—such as HIV stigma, homophobia, discrimination, poverty, and limited access to high-quality health care—influence health outcomes and continue to drive inequities.”</w:t>
      </w:r>
      <w:r>
        <w:rPr>
          <w:color w:val="111111"/>
          <w:sz w:val="20"/>
          <w:szCs w:val="20"/>
          <w:highlight w:val="white"/>
          <w:vertAlign w:val="superscript"/>
        </w:rPr>
        <w:footnoteReference w:id="16"/>
      </w:r>
      <w:r>
        <w:rPr>
          <w:rFonts w:ascii="Arial" w:eastAsia="Arial" w:hAnsi="Arial" w:cs="Arial"/>
          <w:color w:val="111111"/>
          <w:sz w:val="26"/>
          <w:szCs w:val="26"/>
          <w:highlight w:val="white"/>
        </w:rPr>
        <w:t xml:space="preserve"> </w:t>
      </w:r>
      <w:r>
        <w:rPr>
          <w:sz w:val="20"/>
          <w:szCs w:val="20"/>
        </w:rPr>
        <w:t>Based on the cases above, the effects of Article 120 and 113 spill over to LBTI women. Therefore, it is worth mentioning that Uzbekistan has a disastrous national HIV prevention policy overall that does not abide by any UNAIDS or other evidence-based standards. MSM, trans people, as well as non-heterosexual women are not included as key populations when it comes to HIV monitoring and prevention in Uzbekistan, in contradiction to UNAIDS practices.</w:t>
      </w:r>
      <w:r>
        <w:rPr>
          <w:sz w:val="20"/>
          <w:szCs w:val="20"/>
          <w:vertAlign w:val="superscript"/>
        </w:rPr>
        <w:footnoteReference w:id="17"/>
      </w:r>
      <w:r>
        <w:rPr>
          <w:sz w:val="20"/>
          <w:szCs w:val="20"/>
        </w:rPr>
        <w:t xml:space="preserve"> Thus, any implications by the State that LGBTQIA+ people are responsible for HIV/AIDS prevalence is grounded on zero scientific data. </w:t>
      </w:r>
      <w:r>
        <w:rPr>
          <w:sz w:val="20"/>
          <w:szCs w:val="20"/>
        </w:rPr>
        <w:lastRenderedPageBreak/>
        <w:t>That being said, UNAIDS reports that the prevailing route of HIV transmission (69.5%) in Uzbekistan is sexual, which is mainly linked to working migrants and trafficking of people.</w:t>
      </w:r>
      <w:r>
        <w:rPr>
          <w:sz w:val="20"/>
          <w:szCs w:val="20"/>
          <w:vertAlign w:val="superscript"/>
        </w:rPr>
        <w:footnoteReference w:id="18"/>
      </w:r>
      <w:r>
        <w:rPr>
          <w:sz w:val="20"/>
          <w:szCs w:val="20"/>
        </w:rPr>
        <w:t xml:space="preserve"> With this in mind, UNAIDS’ research also states that 94.6% of MSM in Uzbekistan use condoms during sex.</w:t>
      </w:r>
      <w:r>
        <w:rPr>
          <w:sz w:val="20"/>
          <w:szCs w:val="20"/>
          <w:vertAlign w:val="superscript"/>
        </w:rPr>
        <w:footnoteReference w:id="19"/>
      </w:r>
      <w:r>
        <w:rPr>
          <w:sz w:val="20"/>
          <w:szCs w:val="20"/>
        </w:rPr>
        <w:t xml:space="preserve"> This means that the continuous rise of HIV prevalence in the State overall cannot be linked to the LGBTQIA+ as the primary source. EHPV’s partner organisation, Eurasian Coalition on Health, Rights, Gender and Sexual Diversity (ECOM), indicates that PLHIV are associated with “antisocial behavior” in Uzbekistan. The general public’s knowledge on HIV and HIV prevention is either absent at all or heavily distorted with improper or pseudo-knowledge disseminated by the Uzbekistan government.</w:t>
      </w:r>
      <w:r>
        <w:rPr>
          <w:sz w:val="20"/>
          <w:szCs w:val="20"/>
          <w:vertAlign w:val="superscript"/>
        </w:rPr>
        <w:footnoteReference w:id="20"/>
      </w:r>
      <w:r>
        <w:rPr>
          <w:sz w:val="20"/>
          <w:szCs w:val="20"/>
        </w:rPr>
        <w:t xml:space="preserve"> Harmful stereotypes and prejudice regarding HIV and PLHIV are prominent among the general public. There is little investment in educating people about HIV and sharing information about where to get tested and treated. Medical workers are also improperly educated on HIV, PLHIV, and SOGI, and further invest in prejudice and stereotypes, aggravating the HIV epidemic in Uzbekistan. Overall, Uzbekistan fails its entire population, not only the LBTI women key population groups, when it comes to HIV: the government has no solid HIV prevention policy in place, does not have a proper mechanism of gathering disaggregated data and, consequently, does not provide HIV prevention and HIV treatment properly. It is impossible to find any proper HIV statistics on government websites. In Uzbekistan, data on HIV is gathered loosely and fragmentarily by filing some statistics to WHO, UNAIDS, or its applications for donations of the Global Fund. LBTI women are not included as key population groups in Uzbekistan national HIV policies. </w:t>
      </w:r>
    </w:p>
    <w:p w14:paraId="2461CD95" w14:textId="77777777" w:rsidR="00D00592" w:rsidRDefault="00D00592" w:rsidP="00037A32">
      <w:pPr>
        <w:tabs>
          <w:tab w:val="left" w:pos="426"/>
        </w:tabs>
        <w:spacing w:line="246" w:lineRule="auto"/>
        <w:ind w:right="826"/>
        <w:jc w:val="both"/>
        <w:rPr>
          <w:sz w:val="20"/>
          <w:szCs w:val="20"/>
        </w:rPr>
      </w:pPr>
    </w:p>
    <w:p w14:paraId="57188FAA" w14:textId="6B7F7FB1" w:rsidR="00D00592" w:rsidRDefault="009D4D1F" w:rsidP="00037A32">
      <w:pPr>
        <w:numPr>
          <w:ilvl w:val="1"/>
          <w:numId w:val="2"/>
        </w:numPr>
        <w:tabs>
          <w:tab w:val="left" w:pos="426"/>
        </w:tabs>
        <w:spacing w:line="246" w:lineRule="auto"/>
        <w:ind w:right="826"/>
        <w:rPr>
          <w:sz w:val="20"/>
          <w:szCs w:val="20"/>
        </w:rPr>
      </w:pPr>
      <w:r>
        <w:rPr>
          <w:sz w:val="20"/>
          <w:szCs w:val="20"/>
        </w:rPr>
        <w:t>There is another discriminatory regulation, which further violates the right to health of PLHIV, including LBTI PLHIV. According to the law “On counteracting the spread of diseases caused by the human immunodefi- ciency virus,” the following groups of people are required to undergo medical examinations for HIV:</w:t>
      </w:r>
      <w:r>
        <w:rPr>
          <w:sz w:val="20"/>
          <w:szCs w:val="20"/>
        </w:rPr>
        <w:br/>
      </w:r>
      <w:r w:rsidR="00037A32">
        <w:rPr>
          <w:sz w:val="20"/>
          <w:szCs w:val="20"/>
          <w:lang w:val="en-US"/>
        </w:rPr>
        <w:t xml:space="preserve">- </w:t>
      </w:r>
      <w:r>
        <w:rPr>
          <w:sz w:val="20"/>
          <w:szCs w:val="20"/>
        </w:rPr>
        <w:t>Donors of blood and other biological fluids;</w:t>
      </w:r>
      <w:r>
        <w:rPr>
          <w:sz w:val="20"/>
          <w:szCs w:val="20"/>
        </w:rPr>
        <w:br/>
      </w:r>
      <w:r w:rsidR="00037A32">
        <w:rPr>
          <w:sz w:val="20"/>
          <w:szCs w:val="20"/>
          <w:lang w:val="en-US"/>
        </w:rPr>
        <w:t xml:space="preserve">- </w:t>
      </w:r>
      <w:r>
        <w:rPr>
          <w:sz w:val="20"/>
          <w:szCs w:val="20"/>
        </w:rPr>
        <w:t>Persons under the age of 50 who are getting married;</w:t>
      </w:r>
      <w:r>
        <w:rPr>
          <w:sz w:val="20"/>
          <w:szCs w:val="20"/>
        </w:rPr>
        <w:br/>
      </w:r>
      <w:r w:rsidR="00037A32">
        <w:rPr>
          <w:sz w:val="20"/>
          <w:szCs w:val="20"/>
          <w:lang w:val="en-US"/>
        </w:rPr>
        <w:t xml:space="preserve">- </w:t>
      </w:r>
      <w:r>
        <w:rPr>
          <w:sz w:val="20"/>
          <w:szCs w:val="20"/>
        </w:rPr>
        <w:t>Pregnant women;</w:t>
      </w:r>
      <w:r>
        <w:rPr>
          <w:sz w:val="20"/>
          <w:szCs w:val="20"/>
        </w:rPr>
        <w:br/>
      </w:r>
      <w:r w:rsidR="00037A32">
        <w:rPr>
          <w:sz w:val="20"/>
          <w:szCs w:val="20"/>
          <w:lang w:val="en-US"/>
        </w:rPr>
        <w:t xml:space="preserve">- </w:t>
      </w:r>
      <w:r>
        <w:rPr>
          <w:sz w:val="20"/>
          <w:szCs w:val="20"/>
        </w:rPr>
        <w:t>Persons who are suspected of using injecting drugs;</w:t>
      </w:r>
      <w:r>
        <w:rPr>
          <w:sz w:val="20"/>
          <w:szCs w:val="20"/>
        </w:rPr>
        <w:br/>
      </w:r>
      <w:r w:rsidR="00037A32">
        <w:rPr>
          <w:sz w:val="20"/>
          <w:szCs w:val="20"/>
          <w:lang w:val="en-US"/>
        </w:rPr>
        <w:t xml:space="preserve">- </w:t>
      </w:r>
      <w:r>
        <w:rPr>
          <w:sz w:val="20"/>
          <w:szCs w:val="20"/>
        </w:rPr>
        <w:t>Children born to HIV-positive mothers;</w:t>
      </w:r>
    </w:p>
    <w:p w14:paraId="644C51FC" w14:textId="6FF79154" w:rsidR="00D00592" w:rsidRPr="00037A32" w:rsidRDefault="00037A32" w:rsidP="00037A32">
      <w:pPr>
        <w:tabs>
          <w:tab w:val="left" w:pos="426"/>
        </w:tabs>
        <w:spacing w:line="246" w:lineRule="auto"/>
        <w:ind w:right="826"/>
        <w:rPr>
          <w:sz w:val="20"/>
          <w:szCs w:val="20"/>
        </w:rPr>
      </w:pPr>
      <w:r w:rsidRPr="00037A32">
        <w:rPr>
          <w:sz w:val="20"/>
          <w:szCs w:val="20"/>
          <w:lang w:val="en-US"/>
        </w:rPr>
        <w:t>-</w:t>
      </w:r>
      <w:r>
        <w:rPr>
          <w:sz w:val="20"/>
          <w:szCs w:val="20"/>
        </w:rPr>
        <w:t xml:space="preserve"> </w:t>
      </w:r>
      <w:r w:rsidR="009D4D1F" w:rsidRPr="00037A32">
        <w:rPr>
          <w:sz w:val="20"/>
          <w:szCs w:val="20"/>
        </w:rPr>
        <w:t>Medical workers in contact with blood, biological fluids, and human organs and tissues;</w:t>
      </w:r>
    </w:p>
    <w:p w14:paraId="5EF21998" w14:textId="4D532156" w:rsidR="00D00592" w:rsidRDefault="00037A32" w:rsidP="00037A32">
      <w:pPr>
        <w:tabs>
          <w:tab w:val="left" w:pos="426"/>
        </w:tabs>
        <w:spacing w:line="246" w:lineRule="auto"/>
        <w:ind w:right="15"/>
        <w:rPr>
          <w:sz w:val="20"/>
          <w:szCs w:val="20"/>
        </w:rPr>
      </w:pPr>
      <w:r>
        <w:rPr>
          <w:sz w:val="20"/>
          <w:szCs w:val="20"/>
          <w:lang w:val="en-US"/>
        </w:rPr>
        <w:t xml:space="preserve">- </w:t>
      </w:r>
      <w:r w:rsidR="009D4D1F">
        <w:rPr>
          <w:sz w:val="20"/>
          <w:szCs w:val="20"/>
        </w:rPr>
        <w:t>Persons whose partner contracts HIV.</w:t>
      </w:r>
    </w:p>
    <w:p w14:paraId="08CCCF63" w14:textId="0932CA7F" w:rsidR="00D00592" w:rsidRDefault="00037A32" w:rsidP="00037A32">
      <w:pPr>
        <w:tabs>
          <w:tab w:val="left" w:pos="426"/>
        </w:tabs>
        <w:spacing w:line="246" w:lineRule="auto"/>
        <w:ind w:right="845"/>
        <w:jc w:val="both"/>
        <w:rPr>
          <w:sz w:val="20"/>
          <w:szCs w:val="20"/>
        </w:rPr>
      </w:pPr>
      <w:r>
        <w:rPr>
          <w:sz w:val="20"/>
          <w:szCs w:val="20"/>
        </w:rPr>
        <w:br/>
      </w:r>
      <w:r w:rsidR="009D4D1F">
        <w:rPr>
          <w:sz w:val="20"/>
          <w:szCs w:val="20"/>
        </w:rPr>
        <w:t>Mandatory HIV testing is applied according to Article 16 of the said law and is carried out without the consent of the relevant person or their legal representative by order of the official of the body conducting the preliminary investigation, the person leading the inquiry, the investigator, or the prosecutor, or by court order in the manner established by law.</w:t>
      </w:r>
      <w:r w:rsidR="009D4D1F">
        <w:rPr>
          <w:sz w:val="20"/>
          <w:szCs w:val="20"/>
          <w:vertAlign w:val="superscript"/>
        </w:rPr>
        <w:footnoteReference w:id="21"/>
      </w:r>
      <w:r w:rsidR="009D4D1F">
        <w:rPr>
          <w:sz w:val="20"/>
          <w:szCs w:val="20"/>
        </w:rPr>
        <w:t xml:space="preserve"> Which means that people have no say in undergoing HIV-screening and would be forced to do it.</w:t>
      </w:r>
    </w:p>
    <w:p w14:paraId="343CC369" w14:textId="77777777" w:rsidR="00D00592" w:rsidRDefault="00D00592" w:rsidP="00037A32">
      <w:pPr>
        <w:tabs>
          <w:tab w:val="left" w:pos="426"/>
        </w:tabs>
        <w:spacing w:line="246" w:lineRule="auto"/>
        <w:ind w:right="826"/>
        <w:jc w:val="both"/>
        <w:rPr>
          <w:sz w:val="20"/>
          <w:szCs w:val="20"/>
        </w:rPr>
      </w:pPr>
    </w:p>
    <w:p w14:paraId="1A2160B3"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LBTI women cannot acquire satisfactory healthcare services because of the danger to the secrecy of their health, including their sexuality or HIV status being disclosed, or because of them being harassed or blackmailed by medical workers or law-enforcement officers. With this in mind, adult LBTI women are often blackmailed or afraid of blackmail because they can lose their jobs, families or be subjected to public physical and verbal abuse. Apart from this, these minorities (being in any age group) are reluctant to turn to the police or attorneys because of the existence of Article 120 and 113. The intersection of the mentioned factors create a permanent danger to the health and very lives of LBTI women since not only do they not receive regular healthcare and legal protection, they are also discriminated against in receiving adequate sexual and reproductive education, as well as in receiving HIV-related services that the country is obliged to qualitatively provide to everyone indiscriminately.</w:t>
      </w:r>
    </w:p>
    <w:p w14:paraId="0D87666E" w14:textId="77777777" w:rsidR="00D00592" w:rsidRDefault="00D00592" w:rsidP="00037A32">
      <w:pPr>
        <w:tabs>
          <w:tab w:val="left" w:pos="426"/>
        </w:tabs>
        <w:spacing w:line="246" w:lineRule="auto"/>
        <w:ind w:right="826"/>
        <w:jc w:val="both"/>
        <w:rPr>
          <w:sz w:val="20"/>
          <w:szCs w:val="20"/>
        </w:rPr>
      </w:pPr>
    </w:p>
    <w:p w14:paraId="1E7154AB"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 xml:space="preserve">One 2020 case involved a lesbian couple turning for HIV services. The lesbian couple turned to a Tashkent City Centre for HIV Prevention for HIV testing during pregnancy. The test came HIV-positive for the pregnant one of the lesbian couple. The Centre conducted an epidemiological investigation into the pair after the HIV test results. The medical worker told the couple that antiretroviral (ART) therapy is akin to chemotherapy for cancer treatment, that ART posed risks for the baby to be born with defects, and that the pregnant lesbian woman that would be receiving ART would have her hair and teeth fall out, declining her health and posing risk of death for the embryo. The medical worker urged the woman to perform abortion. The pregnant lesbian woman was so distressed that she fled her home and wanted to commit suicide, fearing what the medical worker said was true. Her partner was lucky to find her in time and turned for help to psychologists and epidemiologists. The new medical workers revealed that the information provided by the Centre’s medical worker was not only unprofessional but false. During an internal investigation, the pregnant lesbian woman denied stating the name of the Centre’s medical worker, fearing for retaliation of forced outing of her sexuality and HIV status to the public, family, and friends. Such negligent or malfeasant handling of LBTI women at HIV Centres further </w:t>
      </w:r>
      <w:r>
        <w:rPr>
          <w:sz w:val="20"/>
          <w:szCs w:val="20"/>
        </w:rPr>
        <w:lastRenderedPageBreak/>
        <w:t xml:space="preserve">proves Uzbekistan’s horrible state of national HIV policies, as well as intentional discrimination against LBTI women based on their SOGI and HIV status. </w:t>
      </w:r>
    </w:p>
    <w:p w14:paraId="7CC9DB44" w14:textId="77777777" w:rsidR="00D00592" w:rsidRDefault="00D00592" w:rsidP="00037A32">
      <w:pPr>
        <w:tabs>
          <w:tab w:val="left" w:pos="426"/>
        </w:tabs>
        <w:spacing w:line="246" w:lineRule="auto"/>
        <w:ind w:right="826"/>
        <w:jc w:val="both"/>
        <w:rPr>
          <w:sz w:val="20"/>
          <w:szCs w:val="20"/>
        </w:rPr>
      </w:pPr>
    </w:p>
    <w:p w14:paraId="66EDB3EA"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On another note, although the legislation of Uzbekistan provides the possibility to change sex, trans people are not recognized in Uzbekistan. The Family Code of Uzbekistan provides a possibility to change gender identity: Article 201 provides that the change of gender is recorded in the acts of civil registry; further Article 229 provides that gender amendment is possible with the conclusion of health authorities. However, in practice, this procedure is carried out through the examination of psychiatrists, meaning that a trans person needs to go through at least 1 month of hospitalization in a psychiatric clinic. Those refusing to go through psychiatric examination procedures incur further risk since their SOGI information is already out to the authorities. There are no proper regulations for gender confirmation and sex reassignment surgery, or any other adjacent procedures. Therefore, even if a person is willing to undergo sex reassignment surgery, they cannot do this in Uzbekistan. If they perform it somewhere else, they will be detained based on the incongruence between their appearance and their documents, and then will be prosecuted under Article 120. Trans people are not recognised by Uzbekistan and have no adequate regulations to protect or support their SOGI status and their lives.</w:t>
      </w:r>
    </w:p>
    <w:p w14:paraId="481C0DB8" w14:textId="77777777" w:rsidR="00D00592" w:rsidRDefault="00D00592" w:rsidP="00037A32">
      <w:pPr>
        <w:tabs>
          <w:tab w:val="left" w:pos="426"/>
        </w:tabs>
        <w:spacing w:line="246" w:lineRule="auto"/>
        <w:ind w:right="826"/>
        <w:jc w:val="both"/>
        <w:rPr>
          <w:sz w:val="20"/>
          <w:szCs w:val="20"/>
        </w:rPr>
      </w:pPr>
    </w:p>
    <w:p w14:paraId="77473364" w14:textId="77777777" w:rsidR="00D00592" w:rsidRDefault="009D4D1F" w:rsidP="00037A32">
      <w:pPr>
        <w:tabs>
          <w:tab w:val="left" w:pos="426"/>
        </w:tabs>
        <w:spacing w:line="246" w:lineRule="auto"/>
        <w:ind w:right="826"/>
        <w:jc w:val="both"/>
        <w:rPr>
          <w:b/>
          <w:sz w:val="24"/>
          <w:szCs w:val="24"/>
        </w:rPr>
      </w:pPr>
      <w:r>
        <w:rPr>
          <w:b/>
          <w:sz w:val="24"/>
          <w:szCs w:val="24"/>
        </w:rPr>
        <w:t>Concluding Note</w:t>
      </w:r>
    </w:p>
    <w:p w14:paraId="018B8495" w14:textId="77777777" w:rsidR="00D00592" w:rsidRDefault="00D00592" w:rsidP="00037A32">
      <w:pPr>
        <w:tabs>
          <w:tab w:val="left" w:pos="426"/>
        </w:tabs>
        <w:spacing w:line="246" w:lineRule="auto"/>
        <w:ind w:right="826"/>
        <w:jc w:val="both"/>
        <w:rPr>
          <w:sz w:val="18"/>
          <w:szCs w:val="18"/>
        </w:rPr>
      </w:pPr>
    </w:p>
    <w:p w14:paraId="606A0857"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 xml:space="preserve">Taking into consideration the statements made by Uzbekistan to UN Human Rights Treaties Bodies, as well as the cases which reveal the position and actions of its political elite, law enforcement officers, medical workers, and the general public — it is obvious that Uzbekistan tackles SOGI issues based on severe undereducation, pseudoscience, debilitating stereotypes, misinformation, prejudice, and religious sentiment distorted to support SOGI-based stigma, discrimination, and violence. Until consensual same-sex sexual conduct between men (Article 120) is not decriminalised, LBTI women will not be able to enjoy any of their rights under CEDAW, including those under Articles 2, 12, and 14. No comprehensive anti-discrimination laws will function or make sense while Article 120 is in force. Once the New Criminal Code is adopted and Article 120 becomes Article 154 in another Chapter, then Uzbekistan will be able to police and harass all freedoms and rights of LBTI women in all areas of life. The right to health of LBTI women, and their right to life, is in permanent danger. The HIV policy is virtually absent, shifting all blame for HIV in Uzbekistan to gay men and the LGBTQIA+ people in general, without any data to support the claim. Article 113 is also used as an instrument of discrimination alognside Article 120. Urgent, determined, and expansive help from the Committee is needed by LBTI women and PLHIV in Uzbekistan, as they are violated in their country up until being forced to flee, if lucky, to the EU, including Estonia, where EHPV and other NGOs meet them to provide necessary help. </w:t>
      </w:r>
    </w:p>
    <w:p w14:paraId="5ECEE4FF" w14:textId="77777777" w:rsidR="00D00592" w:rsidRDefault="00D00592" w:rsidP="00037A32">
      <w:pPr>
        <w:tabs>
          <w:tab w:val="left" w:pos="426"/>
        </w:tabs>
        <w:spacing w:line="246" w:lineRule="auto"/>
        <w:ind w:right="826"/>
        <w:jc w:val="both"/>
        <w:rPr>
          <w:sz w:val="20"/>
          <w:szCs w:val="20"/>
        </w:rPr>
      </w:pPr>
    </w:p>
    <w:p w14:paraId="4233E573" w14:textId="77777777" w:rsidR="00D00592" w:rsidRDefault="009D4D1F" w:rsidP="00037A32">
      <w:pPr>
        <w:tabs>
          <w:tab w:val="left" w:pos="426"/>
        </w:tabs>
        <w:spacing w:line="246" w:lineRule="auto"/>
        <w:ind w:right="826"/>
        <w:jc w:val="both"/>
        <w:rPr>
          <w:sz w:val="20"/>
          <w:szCs w:val="20"/>
        </w:rPr>
      </w:pPr>
      <w:r>
        <w:rPr>
          <w:b/>
          <w:sz w:val="24"/>
          <w:szCs w:val="24"/>
        </w:rPr>
        <w:t>Recommendations</w:t>
      </w:r>
    </w:p>
    <w:p w14:paraId="5BF64C4F" w14:textId="77777777" w:rsidR="00D00592" w:rsidRDefault="00D00592" w:rsidP="00037A32">
      <w:pPr>
        <w:tabs>
          <w:tab w:val="left" w:pos="426"/>
        </w:tabs>
        <w:spacing w:line="246" w:lineRule="auto"/>
        <w:ind w:right="826"/>
        <w:jc w:val="both"/>
        <w:rPr>
          <w:sz w:val="20"/>
          <w:szCs w:val="20"/>
        </w:rPr>
      </w:pPr>
    </w:p>
    <w:p w14:paraId="12DA633F"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Considering Uzbekistan’s active anti-human rights sentiment and practices, EHPV urges the Committee to study the alternative reports from the civil society with heightened attention and apply context. EHPV also asks the Committee to apply the entire range of its authority, including cooperation with special mandates and other UN Human Rights Bodies, while reviewing Uzbekistan and adopting Concluding Observations.</w:t>
      </w:r>
    </w:p>
    <w:p w14:paraId="5F1E149E" w14:textId="77777777" w:rsidR="00D00592" w:rsidRDefault="00D00592" w:rsidP="00037A32">
      <w:pPr>
        <w:tabs>
          <w:tab w:val="left" w:pos="426"/>
        </w:tabs>
        <w:spacing w:line="246" w:lineRule="auto"/>
        <w:ind w:right="826"/>
        <w:jc w:val="both"/>
        <w:rPr>
          <w:sz w:val="20"/>
          <w:szCs w:val="20"/>
        </w:rPr>
      </w:pPr>
    </w:p>
    <w:p w14:paraId="2009DC19" w14:textId="77777777" w:rsidR="00D00592" w:rsidRDefault="009D4D1F" w:rsidP="00037A32">
      <w:pPr>
        <w:numPr>
          <w:ilvl w:val="1"/>
          <w:numId w:val="2"/>
        </w:numPr>
        <w:tabs>
          <w:tab w:val="left" w:pos="426"/>
        </w:tabs>
        <w:spacing w:line="246" w:lineRule="auto"/>
        <w:ind w:right="826"/>
        <w:jc w:val="both"/>
        <w:rPr>
          <w:sz w:val="20"/>
          <w:szCs w:val="20"/>
        </w:rPr>
      </w:pPr>
      <w:r>
        <w:rPr>
          <w:sz w:val="20"/>
          <w:szCs w:val="20"/>
        </w:rPr>
        <w:t>All things considered, EHPV humbly asks the Committee on the Elimination of Discrimination against Women to consider the following recommendations when it comes to Uzbekistan:</w:t>
      </w:r>
    </w:p>
    <w:p w14:paraId="354D77BC" w14:textId="77777777" w:rsidR="00D00592" w:rsidRDefault="00D00592" w:rsidP="00037A32">
      <w:pPr>
        <w:tabs>
          <w:tab w:val="left" w:pos="426"/>
        </w:tabs>
        <w:spacing w:line="246" w:lineRule="auto"/>
        <w:ind w:right="845"/>
        <w:jc w:val="both"/>
        <w:rPr>
          <w:sz w:val="20"/>
          <w:szCs w:val="20"/>
        </w:rPr>
      </w:pPr>
    </w:p>
    <w:p w14:paraId="77F73A2A" w14:textId="77777777" w:rsidR="00D00592" w:rsidRDefault="009D4D1F" w:rsidP="00037A32">
      <w:pPr>
        <w:numPr>
          <w:ilvl w:val="0"/>
          <w:numId w:val="1"/>
        </w:numPr>
        <w:tabs>
          <w:tab w:val="left" w:pos="426"/>
        </w:tabs>
        <w:spacing w:line="246" w:lineRule="auto"/>
        <w:ind w:right="845"/>
        <w:jc w:val="both"/>
        <w:rPr>
          <w:sz w:val="20"/>
          <w:szCs w:val="20"/>
        </w:rPr>
      </w:pPr>
      <w:r>
        <w:rPr>
          <w:sz w:val="20"/>
          <w:szCs w:val="20"/>
        </w:rPr>
        <w:t>Decriminalise consensual same-sex conduct between men without delay;</w:t>
      </w:r>
    </w:p>
    <w:p w14:paraId="627F596A" w14:textId="77777777" w:rsidR="00D00592" w:rsidRDefault="009D4D1F" w:rsidP="00037A32">
      <w:pPr>
        <w:numPr>
          <w:ilvl w:val="0"/>
          <w:numId w:val="1"/>
        </w:numPr>
        <w:tabs>
          <w:tab w:val="left" w:pos="426"/>
        </w:tabs>
        <w:spacing w:line="246" w:lineRule="auto"/>
        <w:ind w:right="845"/>
        <w:jc w:val="both"/>
        <w:rPr>
          <w:sz w:val="20"/>
          <w:szCs w:val="20"/>
        </w:rPr>
      </w:pPr>
      <w:r>
        <w:rPr>
          <w:sz w:val="20"/>
          <w:szCs w:val="20"/>
        </w:rPr>
        <w:t>Develop and adopt legislation that would ban all forms of discrimination, including discrimination based on sexual orientation and gender identity (SOGI), with the help of UN Human Rights Treaties Bodies;</w:t>
      </w:r>
    </w:p>
    <w:p w14:paraId="4A961099" w14:textId="77777777" w:rsidR="00D00592" w:rsidRDefault="009D4D1F" w:rsidP="00037A32">
      <w:pPr>
        <w:numPr>
          <w:ilvl w:val="0"/>
          <w:numId w:val="1"/>
        </w:numPr>
        <w:tabs>
          <w:tab w:val="left" w:pos="426"/>
        </w:tabs>
        <w:spacing w:line="246" w:lineRule="auto"/>
        <w:ind w:right="845"/>
        <w:jc w:val="both"/>
        <w:rPr>
          <w:sz w:val="20"/>
          <w:szCs w:val="20"/>
        </w:rPr>
      </w:pPr>
      <w:r>
        <w:rPr>
          <w:sz w:val="20"/>
          <w:szCs w:val="20"/>
        </w:rPr>
        <w:t>Forthwith revise its article on criminalisation of HIV transmission and harmonise it with UNAIDS best practices;</w:t>
      </w:r>
    </w:p>
    <w:p w14:paraId="7A07964B" w14:textId="77777777" w:rsidR="00D00592" w:rsidRDefault="009D4D1F" w:rsidP="00037A32">
      <w:pPr>
        <w:numPr>
          <w:ilvl w:val="0"/>
          <w:numId w:val="1"/>
        </w:numPr>
        <w:tabs>
          <w:tab w:val="left" w:pos="426"/>
        </w:tabs>
        <w:spacing w:line="246" w:lineRule="auto"/>
        <w:ind w:right="845"/>
        <w:jc w:val="both"/>
        <w:rPr>
          <w:sz w:val="20"/>
          <w:szCs w:val="20"/>
        </w:rPr>
      </w:pPr>
      <w:r>
        <w:rPr>
          <w:sz w:val="20"/>
          <w:szCs w:val="20"/>
        </w:rPr>
        <w:t>Urgently bring its current data collection, prevention, and treatment measures in line with UNAIDS best practices;</w:t>
      </w:r>
    </w:p>
    <w:p w14:paraId="101DBDD9" w14:textId="77777777" w:rsidR="00D00592" w:rsidRDefault="009D4D1F" w:rsidP="00037A32">
      <w:pPr>
        <w:numPr>
          <w:ilvl w:val="0"/>
          <w:numId w:val="1"/>
        </w:numPr>
        <w:tabs>
          <w:tab w:val="left" w:pos="426"/>
        </w:tabs>
        <w:spacing w:line="246" w:lineRule="auto"/>
        <w:ind w:right="845"/>
        <w:jc w:val="both"/>
        <w:rPr>
          <w:sz w:val="20"/>
          <w:szCs w:val="20"/>
        </w:rPr>
      </w:pPr>
      <w:r>
        <w:rPr>
          <w:sz w:val="20"/>
          <w:szCs w:val="20"/>
        </w:rPr>
        <w:t>Reverse the laws that foresee forced HIV testing for migrants and other involuntary HIV testing laws;</w:t>
      </w:r>
    </w:p>
    <w:p w14:paraId="6008F862" w14:textId="77777777" w:rsidR="00D00592" w:rsidRDefault="009D4D1F" w:rsidP="00037A32">
      <w:pPr>
        <w:numPr>
          <w:ilvl w:val="0"/>
          <w:numId w:val="1"/>
        </w:numPr>
        <w:tabs>
          <w:tab w:val="left" w:pos="426"/>
        </w:tabs>
        <w:spacing w:line="246" w:lineRule="auto"/>
        <w:ind w:right="845"/>
        <w:jc w:val="both"/>
        <w:rPr>
          <w:sz w:val="20"/>
          <w:szCs w:val="20"/>
        </w:rPr>
      </w:pPr>
      <w:r>
        <w:rPr>
          <w:sz w:val="20"/>
          <w:szCs w:val="20"/>
        </w:rPr>
        <w:t>Ensure the confidentiality of personal medical information of PLHIV and that all those who breach it are punished in accordance with national criminal laws;</w:t>
      </w:r>
    </w:p>
    <w:p w14:paraId="532DBD8A" w14:textId="77777777" w:rsidR="00D00592" w:rsidRDefault="009D4D1F" w:rsidP="00037A32">
      <w:pPr>
        <w:numPr>
          <w:ilvl w:val="0"/>
          <w:numId w:val="1"/>
        </w:numPr>
        <w:tabs>
          <w:tab w:val="left" w:pos="426"/>
        </w:tabs>
        <w:spacing w:line="246" w:lineRule="auto"/>
        <w:ind w:right="845"/>
        <w:jc w:val="both"/>
        <w:rPr>
          <w:sz w:val="20"/>
          <w:szCs w:val="20"/>
        </w:rPr>
      </w:pPr>
      <w:r>
        <w:rPr>
          <w:sz w:val="20"/>
          <w:szCs w:val="20"/>
        </w:rPr>
        <w:t>Ensure that hate speech, including hate speech based on SOGI, is reprimanded and punished as hate speech, regardless of the perpetrator’s social and economic status;</w:t>
      </w:r>
    </w:p>
    <w:p w14:paraId="1CCD2D3A" w14:textId="77777777" w:rsidR="00D00592" w:rsidRDefault="009D4D1F" w:rsidP="00037A32">
      <w:pPr>
        <w:numPr>
          <w:ilvl w:val="0"/>
          <w:numId w:val="1"/>
        </w:numPr>
        <w:tabs>
          <w:tab w:val="left" w:pos="426"/>
        </w:tabs>
        <w:spacing w:line="246" w:lineRule="auto"/>
        <w:ind w:right="845"/>
        <w:jc w:val="both"/>
        <w:rPr>
          <w:sz w:val="20"/>
          <w:szCs w:val="20"/>
        </w:rPr>
      </w:pPr>
      <w:r>
        <w:rPr>
          <w:sz w:val="20"/>
          <w:szCs w:val="20"/>
        </w:rPr>
        <w:t>Develop and adopt hate crimes and hate speech crimes which would enforce the protection of people from all forms of discrimination, including based on SOGI, according to UN best practices;</w:t>
      </w:r>
    </w:p>
    <w:p w14:paraId="064CD899" w14:textId="77777777" w:rsidR="00D00592" w:rsidRDefault="009D4D1F" w:rsidP="00037A32">
      <w:pPr>
        <w:numPr>
          <w:ilvl w:val="0"/>
          <w:numId w:val="1"/>
        </w:numPr>
        <w:tabs>
          <w:tab w:val="left" w:pos="426"/>
        </w:tabs>
        <w:spacing w:line="246" w:lineRule="auto"/>
        <w:ind w:right="845"/>
        <w:jc w:val="both"/>
        <w:rPr>
          <w:sz w:val="20"/>
          <w:szCs w:val="20"/>
        </w:rPr>
      </w:pPr>
      <w:r>
        <w:rPr>
          <w:sz w:val="20"/>
          <w:szCs w:val="20"/>
        </w:rPr>
        <w:t>Adopt laws that would establish a simplistic gender confirmation procedure, aking to an administrative process, for any trans person to use regardless of whether they undergo sex reassignment surgery or not;</w:t>
      </w:r>
    </w:p>
    <w:p w14:paraId="18C50E54" w14:textId="6071BA28" w:rsidR="00D00592" w:rsidRPr="00037A32" w:rsidRDefault="009D4D1F" w:rsidP="00037A32">
      <w:pPr>
        <w:numPr>
          <w:ilvl w:val="0"/>
          <w:numId w:val="1"/>
        </w:numPr>
        <w:tabs>
          <w:tab w:val="left" w:pos="426"/>
        </w:tabs>
        <w:spacing w:line="246" w:lineRule="auto"/>
        <w:ind w:right="845"/>
        <w:jc w:val="both"/>
        <w:rPr>
          <w:sz w:val="20"/>
          <w:szCs w:val="20"/>
        </w:rPr>
      </w:pPr>
      <w:r>
        <w:rPr>
          <w:sz w:val="20"/>
          <w:szCs w:val="20"/>
        </w:rPr>
        <w:t xml:space="preserve">Develop a comprehensive national procedure for gender confirmation, sex reassignment surgery, and other protocols relevant for trans health in accordance with WHO and UN standards. </w:t>
      </w:r>
    </w:p>
    <w:sectPr w:rsidR="00D00592" w:rsidRPr="00037A32">
      <w:type w:val="continuous"/>
      <w:pgSz w:w="11900" w:h="16841"/>
      <w:pgMar w:top="650" w:right="1126" w:bottom="567" w:left="11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3BC4B" w14:textId="77777777" w:rsidR="005A4BE0" w:rsidRDefault="005A4BE0">
      <w:r>
        <w:separator/>
      </w:r>
    </w:p>
  </w:endnote>
  <w:endnote w:type="continuationSeparator" w:id="0">
    <w:p w14:paraId="37B535C6" w14:textId="77777777" w:rsidR="005A4BE0" w:rsidRDefault="005A4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51C56" w14:textId="77777777" w:rsidR="005A4BE0" w:rsidRDefault="005A4BE0">
      <w:r>
        <w:separator/>
      </w:r>
    </w:p>
  </w:footnote>
  <w:footnote w:type="continuationSeparator" w:id="0">
    <w:p w14:paraId="483B3DED" w14:textId="77777777" w:rsidR="005A4BE0" w:rsidRDefault="005A4BE0">
      <w:r>
        <w:continuationSeparator/>
      </w:r>
    </w:p>
  </w:footnote>
  <w:footnote w:id="1">
    <w:p w14:paraId="28846C82" w14:textId="77777777" w:rsidR="00D00592" w:rsidRPr="00037A32" w:rsidRDefault="009D4D1F">
      <w:pPr>
        <w:rPr>
          <w:sz w:val="16"/>
          <w:szCs w:val="16"/>
        </w:rPr>
      </w:pPr>
      <w:r w:rsidRPr="00037A32">
        <w:rPr>
          <w:sz w:val="16"/>
          <w:szCs w:val="16"/>
          <w:vertAlign w:val="superscript"/>
        </w:rPr>
        <w:footnoteRef/>
      </w:r>
      <w:r w:rsidRPr="00037A32">
        <w:rPr>
          <w:sz w:val="16"/>
          <w:szCs w:val="16"/>
        </w:rPr>
        <w:t xml:space="preserve"> CESCR General Comment No. 14: The Right to the Highest Attainable Standard of Health (Art. 12), OHCHR, </w:t>
      </w:r>
      <w:hyperlink r:id="rId1">
        <w:r w:rsidRPr="00037A32">
          <w:rPr>
            <w:sz w:val="16"/>
            <w:szCs w:val="16"/>
          </w:rPr>
          <w:t>https://www.refworld.org/pdfid/4538838d0.pdf</w:t>
        </w:r>
      </w:hyperlink>
      <w:r w:rsidRPr="00037A32">
        <w:rPr>
          <w:sz w:val="16"/>
          <w:szCs w:val="16"/>
        </w:rPr>
        <w:t>, para 4</w:t>
      </w:r>
    </w:p>
  </w:footnote>
  <w:footnote w:id="2">
    <w:p w14:paraId="7B436FA5" w14:textId="77777777" w:rsidR="00D00592" w:rsidRPr="00037A32" w:rsidRDefault="009D4D1F">
      <w:pPr>
        <w:rPr>
          <w:sz w:val="16"/>
          <w:szCs w:val="16"/>
        </w:rPr>
      </w:pPr>
      <w:r w:rsidRPr="00037A32">
        <w:rPr>
          <w:sz w:val="16"/>
          <w:szCs w:val="16"/>
          <w:vertAlign w:val="superscript"/>
        </w:rPr>
        <w:footnoteRef/>
      </w:r>
      <w:r w:rsidRPr="00037A32">
        <w:rPr>
          <w:sz w:val="16"/>
          <w:szCs w:val="16"/>
        </w:rPr>
        <w:t xml:space="preserve">  Fifth Periodic Report Submitted by Uzbekistan CCPR/C/UZB/5, UNDOCS, 2018, </w:t>
      </w:r>
      <w:hyperlink r:id="rId2">
        <w:r w:rsidRPr="00037A32">
          <w:rPr>
            <w:color w:val="1155CC"/>
            <w:sz w:val="16"/>
            <w:szCs w:val="16"/>
            <w:u w:val="single"/>
          </w:rPr>
          <w:t>https://undocs.org/en/CCPR/C/UZB/5</w:t>
        </w:r>
      </w:hyperlink>
      <w:r w:rsidRPr="00037A32">
        <w:rPr>
          <w:sz w:val="16"/>
          <w:szCs w:val="16"/>
        </w:rPr>
        <w:t xml:space="preserve"> , para 69</w:t>
      </w:r>
    </w:p>
  </w:footnote>
  <w:footnote w:id="3">
    <w:p w14:paraId="651F0486" w14:textId="77777777" w:rsidR="00D00592" w:rsidRPr="00037A32" w:rsidRDefault="009D4D1F">
      <w:pPr>
        <w:rPr>
          <w:sz w:val="16"/>
          <w:szCs w:val="16"/>
        </w:rPr>
      </w:pPr>
      <w:r w:rsidRPr="00037A32">
        <w:rPr>
          <w:sz w:val="16"/>
          <w:szCs w:val="16"/>
          <w:vertAlign w:val="superscript"/>
        </w:rPr>
        <w:footnoteRef/>
      </w:r>
      <w:r w:rsidRPr="00037A32">
        <w:rPr>
          <w:sz w:val="16"/>
          <w:szCs w:val="16"/>
        </w:rPr>
        <w:t xml:space="preserve">  “The Missing Piece in Uzbekistan’s Reform Puzzle,” The Diplomat, 2019, </w:t>
      </w:r>
      <w:hyperlink r:id="rId3">
        <w:r w:rsidRPr="00037A32">
          <w:rPr>
            <w:color w:val="1155CC"/>
            <w:sz w:val="16"/>
            <w:szCs w:val="16"/>
            <w:u w:val="single"/>
          </w:rPr>
          <w:t>https://thediplomat.com/2019/01/the-missing-piece-in-uzbekistans-reform-puzzle/</w:t>
        </w:r>
      </w:hyperlink>
      <w:r w:rsidRPr="00037A32">
        <w:rPr>
          <w:sz w:val="16"/>
          <w:szCs w:val="16"/>
        </w:rPr>
        <w:t xml:space="preserve">  </w:t>
      </w:r>
    </w:p>
  </w:footnote>
  <w:footnote w:id="4">
    <w:p w14:paraId="71FD84FC" w14:textId="77777777" w:rsidR="00D00592" w:rsidRPr="00037A32" w:rsidRDefault="009D4D1F">
      <w:pPr>
        <w:rPr>
          <w:sz w:val="16"/>
          <w:szCs w:val="16"/>
        </w:rPr>
      </w:pPr>
      <w:r w:rsidRPr="00037A32">
        <w:rPr>
          <w:sz w:val="16"/>
          <w:szCs w:val="16"/>
          <w:vertAlign w:val="superscript"/>
        </w:rPr>
        <w:footnoteRef/>
      </w:r>
      <w:r w:rsidRPr="00037A32">
        <w:rPr>
          <w:sz w:val="16"/>
          <w:szCs w:val="16"/>
        </w:rPr>
        <w:t xml:space="preserve">  “Uzbekistan Law Reforms Still Criminalize Homosexiality,” </w:t>
      </w:r>
      <w:hyperlink r:id="rId4">
        <w:r w:rsidRPr="00037A32">
          <w:rPr>
            <w:color w:val="1155CC"/>
            <w:sz w:val="16"/>
            <w:szCs w:val="16"/>
            <w:u w:val="single"/>
          </w:rPr>
          <w:t>https://www.codastory.com/disinformation/uzbekistan-lgbtq-rights/</w:t>
        </w:r>
      </w:hyperlink>
      <w:r w:rsidRPr="00037A32">
        <w:rPr>
          <w:sz w:val="16"/>
          <w:szCs w:val="16"/>
        </w:rPr>
        <w:t xml:space="preserve"> </w:t>
      </w:r>
    </w:p>
  </w:footnote>
  <w:footnote w:id="5">
    <w:p w14:paraId="25E39E80" w14:textId="77777777" w:rsidR="00D00592" w:rsidRDefault="009D4D1F">
      <w:pPr>
        <w:rPr>
          <w:sz w:val="20"/>
          <w:szCs w:val="20"/>
        </w:rPr>
      </w:pPr>
      <w:r w:rsidRPr="00037A32">
        <w:rPr>
          <w:sz w:val="16"/>
          <w:szCs w:val="16"/>
          <w:vertAlign w:val="superscript"/>
        </w:rPr>
        <w:footnoteRef/>
      </w:r>
      <w:r w:rsidRPr="00037A32">
        <w:rPr>
          <w:sz w:val="16"/>
          <w:szCs w:val="16"/>
        </w:rPr>
        <w:t xml:space="preserve">  “Joint Statement: Unique Opportunity for Uzbekistan to Decriminalise Same-Sex Conduct,” </w:t>
      </w:r>
      <w:hyperlink r:id="rId5">
        <w:r w:rsidRPr="00037A32">
          <w:rPr>
            <w:color w:val="1155CC"/>
            <w:sz w:val="16"/>
            <w:szCs w:val="16"/>
            <w:u w:val="single"/>
          </w:rPr>
          <w:t>https://www.ilga-europe.org/resources/news/latest-news/joint-statement-unique-opportunity-uzbekistan-decriminalise-same-sex</w:t>
        </w:r>
      </w:hyperlink>
      <w:r>
        <w:rPr>
          <w:sz w:val="16"/>
          <w:szCs w:val="16"/>
        </w:rPr>
        <w:t xml:space="preserve"> </w:t>
      </w:r>
    </w:p>
  </w:footnote>
  <w:footnote w:id="6">
    <w:p w14:paraId="28445E28" w14:textId="77777777" w:rsidR="00D00592" w:rsidRPr="00037A32" w:rsidRDefault="009D4D1F">
      <w:pPr>
        <w:rPr>
          <w:sz w:val="16"/>
          <w:szCs w:val="16"/>
        </w:rPr>
      </w:pPr>
      <w:r w:rsidRPr="00037A32">
        <w:rPr>
          <w:sz w:val="16"/>
          <w:szCs w:val="16"/>
          <w:vertAlign w:val="superscript"/>
        </w:rPr>
        <w:footnoteRef/>
      </w:r>
      <w:r w:rsidRPr="00037A32">
        <w:rPr>
          <w:sz w:val="16"/>
          <w:szCs w:val="16"/>
        </w:rPr>
        <w:t xml:space="preserve"> UNHCR A/HRC/19/41,</w:t>
      </w:r>
      <w:hyperlink r:id="rId6">
        <w:r w:rsidRPr="00037A32">
          <w:rPr>
            <w:sz w:val="16"/>
            <w:szCs w:val="16"/>
          </w:rPr>
          <w:t xml:space="preserve"> </w:t>
        </w:r>
      </w:hyperlink>
      <w:hyperlink r:id="rId7">
        <w:r w:rsidRPr="00037A32">
          <w:rPr>
            <w:color w:val="1155CC"/>
            <w:sz w:val="16"/>
            <w:szCs w:val="16"/>
            <w:u w:val="single"/>
          </w:rPr>
          <w:t>https://www.ohchr.org/Documents/Issues/Discrimination/A.HRC.19.41_English.pdf</w:t>
        </w:r>
      </w:hyperlink>
    </w:p>
  </w:footnote>
  <w:footnote w:id="7">
    <w:p w14:paraId="61DCED36" w14:textId="77777777" w:rsidR="00D00592" w:rsidRPr="00037A32" w:rsidRDefault="009D4D1F">
      <w:pPr>
        <w:rPr>
          <w:sz w:val="16"/>
          <w:szCs w:val="16"/>
        </w:rPr>
      </w:pPr>
      <w:r w:rsidRPr="00037A32">
        <w:rPr>
          <w:sz w:val="16"/>
          <w:szCs w:val="16"/>
          <w:vertAlign w:val="superscript"/>
        </w:rPr>
        <w:footnoteRef/>
      </w:r>
      <w:r w:rsidRPr="00037A32">
        <w:rPr>
          <w:sz w:val="16"/>
          <w:szCs w:val="16"/>
        </w:rPr>
        <w:t xml:space="preserve"> HRC Advisory Committee’s Study A/HRC/22/71,</w:t>
      </w:r>
      <w:hyperlink r:id="rId8">
        <w:r w:rsidRPr="00037A32">
          <w:rPr>
            <w:sz w:val="16"/>
            <w:szCs w:val="16"/>
          </w:rPr>
          <w:t xml:space="preserve"> </w:t>
        </w:r>
      </w:hyperlink>
      <w:hyperlink r:id="rId9">
        <w:r w:rsidRPr="00037A32">
          <w:rPr>
            <w:color w:val="1155CC"/>
            <w:sz w:val="16"/>
            <w:szCs w:val="16"/>
            <w:u w:val="single"/>
          </w:rPr>
          <w:t>https://www.ohchr.org/documents/HRBodies/HRCouncil/AdvisoryCom/Session10/A.HRC.22.71_en.pdf</w:t>
        </w:r>
      </w:hyperlink>
    </w:p>
  </w:footnote>
  <w:footnote w:id="8">
    <w:p w14:paraId="738511CC" w14:textId="77777777" w:rsidR="00D00592" w:rsidRPr="00037A32" w:rsidRDefault="009D4D1F">
      <w:pPr>
        <w:rPr>
          <w:sz w:val="16"/>
          <w:szCs w:val="16"/>
        </w:rPr>
      </w:pPr>
      <w:r w:rsidRPr="00037A32">
        <w:rPr>
          <w:sz w:val="16"/>
          <w:szCs w:val="16"/>
          <w:vertAlign w:val="superscript"/>
        </w:rPr>
        <w:footnoteRef/>
      </w:r>
      <w:r w:rsidRPr="00037A32">
        <w:rPr>
          <w:sz w:val="16"/>
          <w:szCs w:val="16"/>
        </w:rPr>
        <w:t xml:space="preserve"> Ibid., para 11</w:t>
      </w:r>
    </w:p>
  </w:footnote>
  <w:footnote w:id="9">
    <w:p w14:paraId="5308AF80" w14:textId="77777777" w:rsidR="00D00592" w:rsidRDefault="009D4D1F">
      <w:pPr>
        <w:rPr>
          <w:sz w:val="20"/>
          <w:szCs w:val="20"/>
        </w:rPr>
      </w:pPr>
      <w:r w:rsidRPr="00037A32">
        <w:rPr>
          <w:sz w:val="16"/>
          <w:szCs w:val="16"/>
          <w:vertAlign w:val="superscript"/>
        </w:rPr>
        <w:footnoteRef/>
      </w:r>
      <w:r w:rsidRPr="00037A32">
        <w:rPr>
          <w:sz w:val="16"/>
          <w:szCs w:val="16"/>
        </w:rPr>
        <w:t xml:space="preserve">  “Anti-LGBTQ Laws in Uzbekistan Fuel Hate and Violence,” </w:t>
      </w:r>
      <w:hyperlink r:id="rId10">
        <w:r w:rsidRPr="00037A32">
          <w:rPr>
            <w:color w:val="1155CC"/>
            <w:sz w:val="16"/>
            <w:szCs w:val="16"/>
            <w:u w:val="single"/>
          </w:rPr>
          <w:t>https://www.theguardian.com/global-development/2021/apr/02/new-laws-fuelling-increasing-hostility-and-anti-lgbtq-violence-in-uzbekistan</w:t>
        </w:r>
      </w:hyperlink>
      <w:r>
        <w:rPr>
          <w:sz w:val="16"/>
          <w:szCs w:val="16"/>
        </w:rPr>
        <w:t xml:space="preserve"> </w:t>
      </w:r>
    </w:p>
  </w:footnote>
  <w:footnote w:id="10">
    <w:p w14:paraId="0F41AD07" w14:textId="77777777" w:rsidR="00D00592" w:rsidRPr="00037A32" w:rsidRDefault="009D4D1F">
      <w:pPr>
        <w:rPr>
          <w:sz w:val="16"/>
          <w:szCs w:val="16"/>
        </w:rPr>
      </w:pPr>
      <w:r w:rsidRPr="00037A32">
        <w:rPr>
          <w:sz w:val="16"/>
          <w:szCs w:val="16"/>
          <w:vertAlign w:val="superscript"/>
        </w:rPr>
        <w:footnoteRef/>
      </w:r>
      <w:r w:rsidRPr="00037A32">
        <w:rPr>
          <w:sz w:val="16"/>
          <w:szCs w:val="16"/>
        </w:rPr>
        <w:t xml:space="preserve"> </w:t>
      </w:r>
      <w:hyperlink r:id="rId11">
        <w:r w:rsidRPr="00037A32">
          <w:rPr>
            <w:color w:val="1155CC"/>
            <w:sz w:val="16"/>
            <w:szCs w:val="16"/>
            <w:u w:val="single"/>
          </w:rPr>
          <w:t>https://www.theiacp.org/sites/default/files/2019-10/Arrests%20-%202019.pdf</w:t>
        </w:r>
      </w:hyperlink>
      <w:r w:rsidRPr="00037A32">
        <w:rPr>
          <w:sz w:val="16"/>
          <w:szCs w:val="16"/>
        </w:rPr>
        <w:t xml:space="preserve"> </w:t>
      </w:r>
    </w:p>
  </w:footnote>
  <w:footnote w:id="11">
    <w:p w14:paraId="65978BC1" w14:textId="77777777" w:rsidR="00D00592" w:rsidRPr="00037A32" w:rsidRDefault="009D4D1F">
      <w:pPr>
        <w:rPr>
          <w:sz w:val="16"/>
          <w:szCs w:val="16"/>
        </w:rPr>
      </w:pPr>
      <w:r w:rsidRPr="00037A32">
        <w:rPr>
          <w:sz w:val="16"/>
          <w:szCs w:val="16"/>
          <w:vertAlign w:val="superscript"/>
        </w:rPr>
        <w:footnoteRef/>
      </w:r>
      <w:r w:rsidRPr="00037A32">
        <w:rPr>
          <w:sz w:val="16"/>
          <w:szCs w:val="16"/>
        </w:rPr>
        <w:t xml:space="preserve">  </w:t>
      </w:r>
      <w:r w:rsidRPr="00037A32">
        <w:rPr>
          <w:i/>
          <w:sz w:val="16"/>
          <w:szCs w:val="16"/>
        </w:rPr>
        <w:t xml:space="preserve">Practices of the So-Called “Conversion Therapy,” </w:t>
      </w:r>
      <w:r w:rsidRPr="00037A32">
        <w:rPr>
          <w:sz w:val="16"/>
          <w:szCs w:val="16"/>
        </w:rPr>
        <w:t xml:space="preserve">UNDOCS, </w:t>
      </w:r>
      <w:hyperlink r:id="rId12">
        <w:r w:rsidRPr="00037A32">
          <w:rPr>
            <w:color w:val="1155CC"/>
            <w:sz w:val="16"/>
            <w:szCs w:val="16"/>
            <w:u w:val="single"/>
          </w:rPr>
          <w:t>https://undocs.org/A/HRC/44/53</w:t>
        </w:r>
      </w:hyperlink>
      <w:r w:rsidRPr="00037A32">
        <w:rPr>
          <w:sz w:val="16"/>
          <w:szCs w:val="16"/>
        </w:rPr>
        <w:t xml:space="preserve"> </w:t>
      </w:r>
    </w:p>
  </w:footnote>
  <w:footnote w:id="12">
    <w:p w14:paraId="01D95D62" w14:textId="77777777" w:rsidR="00D00592" w:rsidRPr="00037A32" w:rsidRDefault="009D4D1F">
      <w:pPr>
        <w:rPr>
          <w:sz w:val="16"/>
          <w:szCs w:val="16"/>
        </w:rPr>
      </w:pPr>
      <w:r w:rsidRPr="00037A32">
        <w:rPr>
          <w:sz w:val="16"/>
          <w:szCs w:val="16"/>
          <w:vertAlign w:val="superscript"/>
        </w:rPr>
        <w:footnoteRef/>
      </w:r>
      <w:r w:rsidRPr="00037A32">
        <w:rPr>
          <w:sz w:val="16"/>
          <w:szCs w:val="16"/>
        </w:rPr>
        <w:t xml:space="preserve">   Constitution of WHO, </w:t>
      </w:r>
      <w:hyperlink r:id="rId13">
        <w:r w:rsidRPr="00037A32">
          <w:rPr>
            <w:color w:val="1155CC"/>
            <w:sz w:val="16"/>
            <w:szCs w:val="16"/>
            <w:u w:val="single"/>
          </w:rPr>
          <w:t>https://www.who.int/governance/eb/who_constitution_en.pdf</w:t>
        </w:r>
      </w:hyperlink>
    </w:p>
  </w:footnote>
  <w:footnote w:id="13">
    <w:p w14:paraId="0AE02C28" w14:textId="77777777" w:rsidR="00D00592" w:rsidRPr="00037A32" w:rsidRDefault="009D4D1F">
      <w:pPr>
        <w:rPr>
          <w:sz w:val="16"/>
          <w:szCs w:val="16"/>
        </w:rPr>
      </w:pPr>
      <w:r w:rsidRPr="00037A32">
        <w:rPr>
          <w:sz w:val="16"/>
          <w:szCs w:val="16"/>
          <w:vertAlign w:val="superscript"/>
        </w:rPr>
        <w:footnoteRef/>
      </w:r>
      <w:r w:rsidRPr="00037A32">
        <w:rPr>
          <w:sz w:val="16"/>
          <w:szCs w:val="16"/>
        </w:rPr>
        <w:t xml:space="preserve">  “Criminalization of HIV Transmission,” </w:t>
      </w:r>
      <w:hyperlink r:id="rId14">
        <w:r w:rsidRPr="00037A32">
          <w:rPr>
            <w:color w:val="1155CC"/>
            <w:sz w:val="16"/>
            <w:szCs w:val="16"/>
            <w:u w:val="single"/>
          </w:rPr>
          <w:t>http://data.unaids.org/pub/manual/2008/jc1601_policy_brief_criminalization_long_en.pdf</w:t>
        </w:r>
      </w:hyperlink>
      <w:r w:rsidRPr="00037A32">
        <w:rPr>
          <w:sz w:val="16"/>
          <w:szCs w:val="16"/>
        </w:rPr>
        <w:t xml:space="preserve"> </w:t>
      </w:r>
    </w:p>
  </w:footnote>
  <w:footnote w:id="14">
    <w:p w14:paraId="550AACCF" w14:textId="77777777" w:rsidR="00D00592" w:rsidRPr="00037A32" w:rsidRDefault="009D4D1F">
      <w:pPr>
        <w:rPr>
          <w:sz w:val="16"/>
          <w:szCs w:val="16"/>
        </w:rPr>
      </w:pPr>
      <w:r w:rsidRPr="00037A32">
        <w:rPr>
          <w:sz w:val="16"/>
          <w:szCs w:val="16"/>
          <w:vertAlign w:val="superscript"/>
        </w:rPr>
        <w:footnoteRef/>
      </w:r>
      <w:r w:rsidRPr="00037A32">
        <w:rPr>
          <w:sz w:val="16"/>
          <w:szCs w:val="16"/>
        </w:rPr>
        <w:t xml:space="preserve">  </w:t>
      </w:r>
      <w:r w:rsidRPr="00037A32">
        <w:rPr>
          <w:i/>
          <w:sz w:val="16"/>
          <w:szCs w:val="16"/>
        </w:rPr>
        <w:t>Legislative Analysis Related to LGBT Rights and HIV in Uzbekistan</w:t>
      </w:r>
      <w:r w:rsidRPr="00037A32">
        <w:rPr>
          <w:sz w:val="16"/>
          <w:szCs w:val="16"/>
        </w:rPr>
        <w:t>, ECOM, 2019.</w:t>
      </w:r>
    </w:p>
  </w:footnote>
  <w:footnote w:id="15">
    <w:p w14:paraId="15946D77" w14:textId="77777777" w:rsidR="00D00592" w:rsidRPr="00037A32" w:rsidRDefault="009D4D1F">
      <w:pPr>
        <w:rPr>
          <w:sz w:val="16"/>
          <w:szCs w:val="16"/>
        </w:rPr>
      </w:pPr>
      <w:r w:rsidRPr="00037A32">
        <w:rPr>
          <w:sz w:val="16"/>
          <w:szCs w:val="16"/>
          <w:vertAlign w:val="superscript"/>
        </w:rPr>
        <w:footnoteRef/>
      </w:r>
      <w:r w:rsidRPr="00037A32">
        <w:rPr>
          <w:sz w:val="16"/>
          <w:szCs w:val="16"/>
        </w:rPr>
        <w:t xml:space="preserve"> “Debunking Common Myths About HIV,” 2017, Human Rights Campaign, </w:t>
      </w:r>
      <w:hyperlink r:id="rId15">
        <w:r w:rsidRPr="00037A32">
          <w:rPr>
            <w:color w:val="1155CC"/>
            <w:sz w:val="16"/>
            <w:szCs w:val="16"/>
            <w:u w:val="single"/>
          </w:rPr>
          <w:t>https://www.hrc.org/resources/debunking-common-myths-about-hiv</w:t>
        </w:r>
      </w:hyperlink>
      <w:r w:rsidRPr="00037A32">
        <w:rPr>
          <w:sz w:val="16"/>
          <w:szCs w:val="16"/>
        </w:rPr>
        <w:t xml:space="preserve"> </w:t>
      </w:r>
    </w:p>
  </w:footnote>
  <w:footnote w:id="16">
    <w:p w14:paraId="7A38247A" w14:textId="77777777" w:rsidR="00D00592" w:rsidRDefault="009D4D1F">
      <w:pPr>
        <w:rPr>
          <w:sz w:val="16"/>
          <w:szCs w:val="16"/>
        </w:rPr>
      </w:pPr>
      <w:r w:rsidRPr="00037A32">
        <w:rPr>
          <w:sz w:val="16"/>
          <w:szCs w:val="16"/>
          <w:vertAlign w:val="superscript"/>
        </w:rPr>
        <w:footnoteRef/>
      </w:r>
      <w:r w:rsidRPr="00037A32">
        <w:rPr>
          <w:sz w:val="16"/>
          <w:szCs w:val="16"/>
        </w:rPr>
        <w:t xml:space="preserve"> </w:t>
      </w:r>
      <w:hyperlink r:id="rId16">
        <w:r w:rsidRPr="00037A32">
          <w:rPr>
            <w:color w:val="1155CC"/>
            <w:sz w:val="16"/>
            <w:szCs w:val="16"/>
            <w:u w:val="single"/>
          </w:rPr>
          <w:t>https://www.cdc.gov/hiv/group/msm/index.html</w:t>
        </w:r>
      </w:hyperlink>
      <w:r>
        <w:rPr>
          <w:sz w:val="16"/>
          <w:szCs w:val="16"/>
        </w:rPr>
        <w:t xml:space="preserve"> </w:t>
      </w:r>
    </w:p>
  </w:footnote>
  <w:footnote w:id="17">
    <w:p w14:paraId="56DC49A4" w14:textId="77777777" w:rsidR="00D00592" w:rsidRPr="00037A32" w:rsidRDefault="009D4D1F">
      <w:pPr>
        <w:rPr>
          <w:sz w:val="16"/>
          <w:szCs w:val="16"/>
        </w:rPr>
      </w:pPr>
      <w:r w:rsidRPr="00037A32">
        <w:rPr>
          <w:sz w:val="16"/>
          <w:szCs w:val="16"/>
          <w:vertAlign w:val="superscript"/>
        </w:rPr>
        <w:footnoteRef/>
      </w:r>
      <w:r w:rsidRPr="00037A32">
        <w:rPr>
          <w:sz w:val="16"/>
          <w:szCs w:val="16"/>
        </w:rPr>
        <w:t xml:space="preserve"> “Key Populations,” UNAIDS, </w:t>
      </w:r>
      <w:hyperlink r:id="rId17">
        <w:r w:rsidRPr="00037A32">
          <w:rPr>
            <w:color w:val="1155CC"/>
            <w:sz w:val="16"/>
            <w:szCs w:val="16"/>
            <w:u w:val="single"/>
          </w:rPr>
          <w:t>https://www.unaids.org/en/topic/key-populations</w:t>
        </w:r>
      </w:hyperlink>
      <w:r w:rsidRPr="00037A32">
        <w:rPr>
          <w:sz w:val="16"/>
          <w:szCs w:val="16"/>
        </w:rPr>
        <w:t xml:space="preserve"> </w:t>
      </w:r>
    </w:p>
  </w:footnote>
  <w:footnote w:id="18">
    <w:p w14:paraId="5C01F304" w14:textId="77777777" w:rsidR="00D00592" w:rsidRPr="00037A32" w:rsidRDefault="009D4D1F">
      <w:pPr>
        <w:rPr>
          <w:sz w:val="16"/>
          <w:szCs w:val="16"/>
        </w:rPr>
      </w:pPr>
      <w:r w:rsidRPr="00037A32">
        <w:rPr>
          <w:sz w:val="16"/>
          <w:szCs w:val="16"/>
          <w:vertAlign w:val="superscript"/>
        </w:rPr>
        <w:footnoteRef/>
      </w:r>
      <w:r w:rsidRPr="00037A32">
        <w:rPr>
          <w:sz w:val="16"/>
          <w:szCs w:val="16"/>
        </w:rPr>
        <w:t xml:space="preserve"> </w:t>
      </w:r>
      <w:r w:rsidRPr="00037A32">
        <w:rPr>
          <w:i/>
          <w:sz w:val="16"/>
          <w:szCs w:val="16"/>
        </w:rPr>
        <w:t>Country Progress Report — Uzbekistan</w:t>
      </w:r>
      <w:r w:rsidRPr="00037A32">
        <w:rPr>
          <w:sz w:val="16"/>
          <w:szCs w:val="16"/>
        </w:rPr>
        <w:t xml:space="preserve">, UNAIDS, 2018, </w:t>
      </w:r>
      <w:hyperlink r:id="rId18">
        <w:r w:rsidRPr="00037A32">
          <w:rPr>
            <w:color w:val="1155CC"/>
            <w:sz w:val="16"/>
            <w:szCs w:val="16"/>
            <w:u w:val="single"/>
          </w:rPr>
          <w:t>https://www.unaids.org/sites/default/files/country/documents/UZB_2018_countryreport.pdf</w:t>
        </w:r>
      </w:hyperlink>
      <w:r w:rsidRPr="00037A32">
        <w:rPr>
          <w:sz w:val="16"/>
          <w:szCs w:val="16"/>
        </w:rPr>
        <w:t xml:space="preserve"> </w:t>
      </w:r>
    </w:p>
  </w:footnote>
  <w:footnote w:id="19">
    <w:p w14:paraId="51D4C382" w14:textId="77777777" w:rsidR="00D00592" w:rsidRPr="00037A32" w:rsidRDefault="009D4D1F">
      <w:pPr>
        <w:rPr>
          <w:sz w:val="16"/>
          <w:szCs w:val="16"/>
        </w:rPr>
      </w:pPr>
      <w:r w:rsidRPr="00037A32">
        <w:rPr>
          <w:sz w:val="16"/>
          <w:szCs w:val="16"/>
          <w:vertAlign w:val="superscript"/>
        </w:rPr>
        <w:footnoteRef/>
      </w:r>
      <w:r w:rsidRPr="00037A32">
        <w:rPr>
          <w:sz w:val="16"/>
          <w:szCs w:val="16"/>
        </w:rPr>
        <w:t xml:space="preserve">  “Country Factsheets: Uzbekistan,” UNAIDS, 2019, </w:t>
      </w:r>
      <w:hyperlink r:id="rId19">
        <w:r w:rsidRPr="00037A32">
          <w:rPr>
            <w:color w:val="1155CC"/>
            <w:sz w:val="16"/>
            <w:szCs w:val="16"/>
            <w:u w:val="single"/>
          </w:rPr>
          <w:t>https://www.unaids.org/en/regionscountries/countries/uzbekistan</w:t>
        </w:r>
      </w:hyperlink>
      <w:r w:rsidRPr="00037A32">
        <w:rPr>
          <w:sz w:val="16"/>
          <w:szCs w:val="16"/>
        </w:rPr>
        <w:t xml:space="preserve"> </w:t>
      </w:r>
    </w:p>
  </w:footnote>
  <w:footnote w:id="20">
    <w:p w14:paraId="6A5D3102" w14:textId="77777777" w:rsidR="00D00592" w:rsidRPr="00037A32" w:rsidRDefault="009D4D1F">
      <w:pPr>
        <w:rPr>
          <w:sz w:val="16"/>
          <w:szCs w:val="16"/>
        </w:rPr>
      </w:pPr>
      <w:r w:rsidRPr="00037A32">
        <w:rPr>
          <w:sz w:val="16"/>
          <w:szCs w:val="16"/>
          <w:vertAlign w:val="superscript"/>
        </w:rPr>
        <w:footnoteRef/>
      </w:r>
      <w:r w:rsidRPr="00037A32">
        <w:rPr>
          <w:sz w:val="16"/>
          <w:szCs w:val="16"/>
        </w:rPr>
        <w:t xml:space="preserve"> Short Overview of HIV with Regards to MSM and Trans People in Uzbekistan,” ECOM, 2019. </w:t>
      </w:r>
    </w:p>
  </w:footnote>
  <w:footnote w:id="21">
    <w:p w14:paraId="142E1151" w14:textId="77777777" w:rsidR="00D00592" w:rsidRDefault="009D4D1F">
      <w:pPr>
        <w:rPr>
          <w:sz w:val="20"/>
          <w:szCs w:val="20"/>
        </w:rPr>
      </w:pPr>
      <w:r w:rsidRPr="00037A32">
        <w:rPr>
          <w:sz w:val="16"/>
          <w:szCs w:val="16"/>
          <w:vertAlign w:val="superscript"/>
        </w:rPr>
        <w:footnoteRef/>
      </w:r>
      <w:r w:rsidRPr="00037A32">
        <w:rPr>
          <w:sz w:val="16"/>
          <w:szCs w:val="16"/>
        </w:rPr>
        <w:t xml:space="preserve">  Law of the Republic of Uzbekistan “On preventing the spread of diseases caused by the human immunodeficiency virus (HIV-infection).” Article 16 “Mandatory medical testing for HIV” of 23 September, 2013, ЗРУ-353.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166B8" w14:textId="77777777" w:rsidR="00D00592" w:rsidRDefault="009D4D1F">
    <w:pPr>
      <w:jc w:val="right"/>
      <w:rPr>
        <w:i/>
        <w:sz w:val="20"/>
        <w:szCs w:val="20"/>
      </w:rPr>
    </w:pPr>
    <w:r>
      <w:rPr>
        <w:i/>
        <w:sz w:val="20"/>
        <w:szCs w:val="20"/>
      </w:rPr>
      <w:t>Submitted by “EHPV - Estonian Network of People Living with HIV”</w:t>
    </w:r>
  </w:p>
  <w:p w14:paraId="351E633B" w14:textId="77777777" w:rsidR="00D00592" w:rsidRDefault="009D4D1F">
    <w:pPr>
      <w:jc w:val="right"/>
      <w:rPr>
        <w:i/>
        <w:sz w:val="20"/>
        <w:szCs w:val="20"/>
      </w:rPr>
    </w:pPr>
    <w:r>
      <w:rPr>
        <w:sz w:val="20"/>
        <w:szCs w:val="20"/>
      </w:rPr>
      <w:t>Alternative Report Regarding E/C.12/UZB/RQ/3</w:t>
    </w:r>
  </w:p>
  <w:p w14:paraId="69D1A5B9" w14:textId="77777777" w:rsidR="00D00592" w:rsidRDefault="009D4D1F">
    <w:pPr>
      <w:jc w:val="right"/>
      <w:rPr>
        <w:sz w:val="20"/>
        <w:szCs w:val="20"/>
      </w:rPr>
    </w:pPr>
    <w:r>
      <w:rPr>
        <w:sz w:val="20"/>
        <w:szCs w:val="20"/>
      </w:rPr>
      <w:t>________________________________________________________________________________________________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87B0D" w14:textId="77777777" w:rsidR="00037A32" w:rsidRDefault="00037A32">
    <w:pPr>
      <w:jc w:val="center"/>
      <w:rPr>
        <w:sz w:val="24"/>
        <w:szCs w:val="24"/>
      </w:rPr>
    </w:pPr>
  </w:p>
  <w:p w14:paraId="3C4B8E13" w14:textId="5442F78D" w:rsidR="00D00592" w:rsidRPr="00037A32" w:rsidRDefault="009D4D1F" w:rsidP="00037A32">
    <w:pPr>
      <w:jc w:val="center"/>
      <w:rPr>
        <w:sz w:val="24"/>
        <w:szCs w:val="24"/>
        <w:highlight w:val="yellow"/>
      </w:rPr>
    </w:pPr>
    <w:r>
      <w:rPr>
        <w:sz w:val="24"/>
        <w:szCs w:val="24"/>
      </w:rPr>
      <w:t>Submitted by “EHPV - Estonian Network of People Living with HIV”</w:t>
    </w:r>
  </w:p>
  <w:p w14:paraId="39963F73" w14:textId="5C68DB46" w:rsidR="00D00592" w:rsidRDefault="009D4D1F">
    <w:pPr>
      <w:jc w:val="center"/>
      <w:rPr>
        <w:sz w:val="24"/>
        <w:szCs w:val="24"/>
      </w:rPr>
    </w:pPr>
    <w:r>
      <w:rPr>
        <w:sz w:val="24"/>
        <w:szCs w:val="24"/>
      </w:rPr>
      <w:t>Alternative Report Regarding CEDAW/C/UZB/RQ/6</w:t>
    </w:r>
  </w:p>
  <w:p w14:paraId="3DB0EE10" w14:textId="47A9A94A" w:rsidR="00037A32" w:rsidRDefault="00037A32">
    <w:pPr>
      <w:jc w:val="center"/>
      <w:rPr>
        <w:sz w:val="24"/>
        <w:szCs w:val="24"/>
      </w:rPr>
    </w:pPr>
  </w:p>
  <w:p w14:paraId="52D04EAE" w14:textId="1C67380A" w:rsidR="00037A32" w:rsidRDefault="00037A32">
    <w:pPr>
      <w:jc w:val="center"/>
      <w:rPr>
        <w:sz w:val="20"/>
        <w:szCs w:val="20"/>
      </w:rPr>
    </w:pPr>
    <w:r w:rsidRPr="005E0FE8">
      <w:rPr>
        <w:sz w:val="24"/>
        <w:szCs w:val="24"/>
      </w:rPr>
      <w:fldChar w:fldCharType="begin"/>
    </w:r>
    <w:r w:rsidRPr="005E0FE8">
      <w:rPr>
        <w:sz w:val="24"/>
        <w:szCs w:val="24"/>
      </w:rPr>
      <w:instrText xml:space="preserve"> INCLUDEPICTURE "/var/folders/f8/8x4wm6mj3vj11c_mqw2dsvxc0000gn/T/com.microsoft.Word/WebArchiveCopyPasteTempFiles/ehpv_logo_en.jpg" \* MERGEFORMATINET </w:instrText>
    </w:r>
    <w:r w:rsidRPr="005E0FE8">
      <w:rPr>
        <w:sz w:val="24"/>
        <w:szCs w:val="24"/>
      </w:rPr>
      <w:fldChar w:fldCharType="separate"/>
    </w:r>
    <w:r w:rsidRPr="005E0FE8">
      <w:rPr>
        <w:noProof/>
        <w:sz w:val="24"/>
        <w:szCs w:val="24"/>
      </w:rPr>
      <w:drawing>
        <wp:inline distT="0" distB="0" distL="0" distR="0" wp14:anchorId="3EDD8E68" wp14:editId="54ACFD27">
          <wp:extent cx="1998921" cy="653206"/>
          <wp:effectExtent l="0" t="0" r="0" b="0"/>
          <wp:docPr id="2" name="Picture 2" descr="EHPV – Eesti HIV-positiivsite Võrgust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PV – Eesti HIV-positiivsite Võrgust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8464" cy="659592"/>
                  </a:xfrm>
                  <a:prstGeom prst="rect">
                    <a:avLst/>
                  </a:prstGeom>
                  <a:noFill/>
                  <a:ln>
                    <a:noFill/>
                  </a:ln>
                </pic:spPr>
              </pic:pic>
            </a:graphicData>
          </a:graphic>
        </wp:inline>
      </w:drawing>
    </w:r>
    <w:r w:rsidRPr="005E0FE8">
      <w:rPr>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45D1B"/>
    <w:multiLevelType w:val="multilevel"/>
    <w:tmpl w:val="51825C9C"/>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3CDE4238"/>
    <w:multiLevelType w:val="multilevel"/>
    <w:tmpl w:val="28B87A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C16EBE"/>
    <w:multiLevelType w:val="hybridMultilevel"/>
    <w:tmpl w:val="757205C4"/>
    <w:lvl w:ilvl="0" w:tplc="278CB0E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0C50F5"/>
    <w:multiLevelType w:val="hybridMultilevel"/>
    <w:tmpl w:val="38FC897C"/>
    <w:lvl w:ilvl="0" w:tplc="4EA204B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8F7A2D"/>
    <w:multiLevelType w:val="hybridMultilevel"/>
    <w:tmpl w:val="90FA588E"/>
    <w:lvl w:ilvl="0" w:tplc="E9BA169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592"/>
    <w:rsid w:val="00037A32"/>
    <w:rsid w:val="004865AB"/>
    <w:rsid w:val="005A4BE0"/>
    <w:rsid w:val="009D4D1F"/>
    <w:rsid w:val="00D00592"/>
  </w:rsids>
  <m:mathPr>
    <m:mathFont m:val="Cambria Math"/>
    <m:brkBin m:val="before"/>
    <m:brkBinSub m:val="--"/>
    <m:smallFrac m:val="0"/>
    <m:dispDef/>
    <m:lMargin m:val="0"/>
    <m:rMargin m:val="0"/>
    <m:defJc m:val="centerGroup"/>
    <m:wrapIndent m:val="1440"/>
    <m:intLim m:val="subSup"/>
    <m:naryLim m:val="undOvr"/>
  </m:mathPr>
  <w:themeFontLang w:val="en-EE"/>
  <w:clrSchemeMapping w:bg1="light1" w:t1="dark1" w:bg2="light2" w:t2="dark2" w:accent1="accent1" w:accent2="accent2" w:accent3="accent3" w:accent4="accent4" w:accent5="accent5" w:accent6="accent6" w:hyperlink="hyperlink" w:followedHyperlink="followedHyperlink"/>
  <w:decimalSymbol w:val=","/>
  <w:listSeparator w:val=","/>
  <w14:docId w14:val="4B37A5EE"/>
  <w15:docId w15:val="{D499F067-882B-A440-BC8B-FE46220D4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EE"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037A32"/>
    <w:pPr>
      <w:tabs>
        <w:tab w:val="center" w:pos="4513"/>
        <w:tab w:val="right" w:pos="9026"/>
      </w:tabs>
    </w:pPr>
  </w:style>
  <w:style w:type="character" w:customStyle="1" w:styleId="HeaderChar">
    <w:name w:val="Header Char"/>
    <w:basedOn w:val="DefaultParagraphFont"/>
    <w:link w:val="Header"/>
    <w:uiPriority w:val="99"/>
    <w:rsid w:val="00037A32"/>
  </w:style>
  <w:style w:type="paragraph" w:styleId="Footer">
    <w:name w:val="footer"/>
    <w:basedOn w:val="Normal"/>
    <w:link w:val="FooterChar"/>
    <w:uiPriority w:val="99"/>
    <w:unhideWhenUsed/>
    <w:rsid w:val="00037A32"/>
    <w:pPr>
      <w:tabs>
        <w:tab w:val="center" w:pos="4513"/>
        <w:tab w:val="right" w:pos="9026"/>
      </w:tabs>
    </w:pPr>
  </w:style>
  <w:style w:type="character" w:customStyle="1" w:styleId="FooterChar">
    <w:name w:val="Footer Char"/>
    <w:basedOn w:val="DefaultParagraphFont"/>
    <w:link w:val="Footer"/>
    <w:uiPriority w:val="99"/>
    <w:rsid w:val="00037A32"/>
  </w:style>
  <w:style w:type="paragraph" w:styleId="ListParagraph">
    <w:name w:val="List Paragraph"/>
    <w:basedOn w:val="Normal"/>
    <w:uiPriority w:val="34"/>
    <w:qFormat/>
    <w:rsid w:val="00037A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documents/HRBodies/HRCouncil/AdvisoryCom/Session10/A.HRC.22.71_en.pdf" TargetMode="External"/><Relationship Id="rId13" Type="http://schemas.openxmlformats.org/officeDocument/2006/relationships/hyperlink" Target="https://www.who.int/governance/eb/who_constitution_en.pdf" TargetMode="External"/><Relationship Id="rId18" Type="http://schemas.openxmlformats.org/officeDocument/2006/relationships/hyperlink" Target="https://www.unaids.org/sites/default/files/country/documents/UZB_2018_countryreport.pdf" TargetMode="External"/><Relationship Id="rId3" Type="http://schemas.openxmlformats.org/officeDocument/2006/relationships/hyperlink" Target="https://thediplomat.com/2019/01/the-missing-piece-in-uzbekistans-reform-puzzle/" TargetMode="External"/><Relationship Id="rId7" Type="http://schemas.openxmlformats.org/officeDocument/2006/relationships/hyperlink" Target="https://www.ohchr.org/Documents/Issues/Discrimination/A.HRC.19.41_English.pdf" TargetMode="External"/><Relationship Id="rId12" Type="http://schemas.openxmlformats.org/officeDocument/2006/relationships/hyperlink" Target="https://undocs.org/A/HRC/44/53" TargetMode="External"/><Relationship Id="rId17" Type="http://schemas.openxmlformats.org/officeDocument/2006/relationships/hyperlink" Target="https://www.unaids.org/en/topic/key-populations" TargetMode="External"/><Relationship Id="rId2" Type="http://schemas.openxmlformats.org/officeDocument/2006/relationships/hyperlink" Target="https://undocs.org/en/CCPR/C/UZB/5" TargetMode="External"/><Relationship Id="rId16" Type="http://schemas.openxmlformats.org/officeDocument/2006/relationships/hyperlink" Target="https://www.cdc.gov/hiv/group/msm/index.html" TargetMode="External"/><Relationship Id="rId1" Type="http://schemas.openxmlformats.org/officeDocument/2006/relationships/hyperlink" Target="https://www.refworld.org/pdfid/4538838d0.pdf" TargetMode="External"/><Relationship Id="rId6" Type="http://schemas.openxmlformats.org/officeDocument/2006/relationships/hyperlink" Target="https://www.ohchr.org/Documents/Issues/Discrimination/A.HRC.19.41_English.pdf" TargetMode="External"/><Relationship Id="rId11" Type="http://schemas.openxmlformats.org/officeDocument/2006/relationships/hyperlink" Target="https://www.theiacp.org/sites/default/files/2019-10/Arrests%20-%202019.pdf" TargetMode="External"/><Relationship Id="rId5" Type="http://schemas.openxmlformats.org/officeDocument/2006/relationships/hyperlink" Target="https://www.ilga-europe.org/resources/news/latest-news/joint-statement-unique-opportunity-uzbekistan-decriminalise-same-sex" TargetMode="External"/><Relationship Id="rId15" Type="http://schemas.openxmlformats.org/officeDocument/2006/relationships/hyperlink" Target="https://www.hrc.org/resources/debunking-common-myths-about-hiv" TargetMode="External"/><Relationship Id="rId10" Type="http://schemas.openxmlformats.org/officeDocument/2006/relationships/hyperlink" Target="https://www.theguardian.com/global-development/2021/apr/02/new-laws-fuelling-increasing-hostility-and-anti-lgbtq-violence-in-uzbekistan" TargetMode="External"/><Relationship Id="rId19" Type="http://schemas.openxmlformats.org/officeDocument/2006/relationships/hyperlink" Target="https://www.unaids.org/en/regionscountries/countries/uzbekistan" TargetMode="External"/><Relationship Id="rId4" Type="http://schemas.openxmlformats.org/officeDocument/2006/relationships/hyperlink" Target="https://www.codastory.com/disinformation/uzbekistan-lgbtq-rights/" TargetMode="External"/><Relationship Id="rId9" Type="http://schemas.openxmlformats.org/officeDocument/2006/relationships/hyperlink" Target="https://www.ohchr.org/documents/HRBodies/HRCouncil/AdvisoryCom/Session10/A.HRC.22.71_en.pdf" TargetMode="External"/><Relationship Id="rId14" Type="http://schemas.openxmlformats.org/officeDocument/2006/relationships/hyperlink" Target="http://data.unaids.org/pub/manual/2008/jc1601_policy_brief_criminalization_long_en.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E78982-EADC-483A-8299-69652F549F6F}"/>
</file>

<file path=customXml/itemProps2.xml><?xml version="1.0" encoding="utf-8"?>
<ds:datastoreItem xmlns:ds="http://schemas.openxmlformats.org/officeDocument/2006/customXml" ds:itemID="{D62F2223-A746-4079-8146-1159E81DA9DD}"/>
</file>

<file path=customXml/itemProps3.xml><?xml version="1.0" encoding="utf-8"?>
<ds:datastoreItem xmlns:ds="http://schemas.openxmlformats.org/officeDocument/2006/customXml" ds:itemID="{C63A582D-0F11-49E9-B9BD-A67001BD34B7}"/>
</file>

<file path=docProps/app.xml><?xml version="1.0" encoding="utf-8"?>
<Properties xmlns="http://schemas.openxmlformats.org/officeDocument/2006/extended-properties" xmlns:vt="http://schemas.openxmlformats.org/officeDocument/2006/docPropsVTypes">
  <Template>Normal.dotm</Template>
  <TotalTime>2</TotalTime>
  <Pages>8</Pages>
  <Words>5782</Words>
  <Characters>32958</Characters>
  <Application>Microsoft Office Word</Application>
  <DocSecurity>0</DocSecurity>
  <Lines>274</Lines>
  <Paragraphs>77</Paragraphs>
  <ScaleCrop>false</ScaleCrop>
  <Company/>
  <LinksUpToDate>false</LinksUpToDate>
  <CharactersWithSpaces>38663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Yuri Yoursky</cp:lastModifiedBy>
  <cp:revision>3</cp:revision>
  <dcterms:created xsi:type="dcterms:W3CDTF">2022-01-10T16:44:00Z</dcterms:created>
  <dcterms:modified xsi:type="dcterms:W3CDTF">2022-02-01T06:46:00Z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