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ayout w:type="fixed"/>
        <w:tblLook w:val="04A0" w:firstRow="1" w:lastRow="0" w:firstColumn="1" w:lastColumn="0" w:noHBand="0" w:noVBand="1"/>
      </w:tblPr>
      <w:tblGrid>
        <w:gridCol w:w="4541"/>
        <w:gridCol w:w="4315"/>
      </w:tblGrid>
      <w:tr w:rsidR="00C23A9F" w:rsidRPr="004922D7" w14:paraId="157CC491" w14:textId="77777777" w:rsidTr="00B027EC">
        <w:tc>
          <w:tcPr>
            <w:tcW w:w="4541" w:type="dxa"/>
          </w:tcPr>
          <w:p w14:paraId="687947E4" w14:textId="4A320CE1" w:rsidR="00C23A9F" w:rsidRPr="004922D7" w:rsidRDefault="00C23A9F">
            <w:pPr>
              <w:rPr>
                <w:rFonts w:ascii="Times New Roman" w:hAnsi="Times New Roman" w:cs="Times New Roman"/>
              </w:rPr>
            </w:pPr>
            <w:bookmarkStart w:id="0" w:name="_GoBack"/>
            <w:bookmarkEnd w:id="0"/>
            <w:r w:rsidRPr="004922D7">
              <w:rPr>
                <w:rFonts w:ascii="Times New Roman" w:hAnsi="Times New Roman" w:cs="Times New Roman"/>
                <w:noProof/>
                <w:lang w:val="en-GB" w:eastAsia="en-GB"/>
              </w:rPr>
              <w:drawing>
                <wp:anchor distT="0" distB="0" distL="114300" distR="114300" simplePos="0" relativeHeight="251658240" behindDoc="0" locked="0" layoutInCell="1" allowOverlap="1" wp14:anchorId="4BE912A6" wp14:editId="7477D896">
                  <wp:simplePos x="0" y="0"/>
                  <wp:positionH relativeFrom="margin">
                    <wp:posOffset>882051</wp:posOffset>
                  </wp:positionH>
                  <wp:positionV relativeFrom="margin">
                    <wp:posOffset>0</wp:posOffset>
                  </wp:positionV>
                  <wp:extent cx="898525" cy="887095"/>
                  <wp:effectExtent l="0" t="0" r="0" b="1905"/>
                  <wp:wrapTight wrapText="bothSides">
                    <wp:wrapPolygon edited="0">
                      <wp:start x="0" y="0"/>
                      <wp:lineTo x="0" y="21028"/>
                      <wp:lineTo x="20760" y="21028"/>
                      <wp:lineTo x="2076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JA_english_med.jpg"/>
                          <pic:cNvPicPr/>
                        </pic:nvPicPr>
                        <pic:blipFill>
                          <a:blip r:embed="rId8">
                            <a:extLst>
                              <a:ext uri="{28A0092B-C50C-407E-A947-70E740481C1C}">
                                <a14:useLocalDpi xmlns:a14="http://schemas.microsoft.com/office/drawing/2010/main" val="0"/>
                              </a:ext>
                            </a:extLst>
                          </a:blip>
                          <a:stretch>
                            <a:fillRect/>
                          </a:stretch>
                        </pic:blipFill>
                        <pic:spPr>
                          <a:xfrm>
                            <a:off x="0" y="0"/>
                            <a:ext cx="898525" cy="887095"/>
                          </a:xfrm>
                          <a:prstGeom prst="rect">
                            <a:avLst/>
                          </a:prstGeom>
                        </pic:spPr>
                      </pic:pic>
                    </a:graphicData>
                  </a:graphic>
                </wp:anchor>
              </w:drawing>
            </w:r>
          </w:p>
          <w:p w14:paraId="0FC7DE0F" w14:textId="77777777" w:rsidR="00C23A9F" w:rsidRPr="004922D7" w:rsidRDefault="00C23A9F">
            <w:pPr>
              <w:rPr>
                <w:rFonts w:ascii="Times New Roman" w:hAnsi="Times New Roman" w:cs="Times New Roman"/>
              </w:rPr>
            </w:pPr>
          </w:p>
          <w:p w14:paraId="019E8BF7" w14:textId="77777777" w:rsidR="00C23A9F" w:rsidRPr="004922D7" w:rsidRDefault="00C23A9F">
            <w:pPr>
              <w:rPr>
                <w:rFonts w:ascii="Times New Roman" w:hAnsi="Times New Roman" w:cs="Times New Roman"/>
              </w:rPr>
            </w:pPr>
          </w:p>
        </w:tc>
        <w:tc>
          <w:tcPr>
            <w:tcW w:w="4315" w:type="dxa"/>
          </w:tcPr>
          <w:p w14:paraId="11A66546" w14:textId="024B22FB" w:rsidR="007F465D" w:rsidRPr="004922D7" w:rsidRDefault="007F465D" w:rsidP="007F465D">
            <w:pPr>
              <w:rPr>
                <w:rFonts w:ascii="Times New Roman" w:hAnsi="Times New Roman" w:cs="Times New Roman"/>
                <w:b/>
              </w:rPr>
            </w:pPr>
            <w:r w:rsidRPr="004922D7">
              <w:rPr>
                <w:rFonts w:ascii="Times New Roman" w:hAnsi="Times New Roman" w:cs="Times New Roman"/>
                <w:b/>
              </w:rPr>
              <w:t xml:space="preserve">CRC </w:t>
            </w:r>
            <w:r w:rsidR="009F0A61" w:rsidRPr="004922D7">
              <w:rPr>
                <w:rFonts w:ascii="Times New Roman" w:hAnsi="Times New Roman" w:cs="Times New Roman"/>
                <w:b/>
              </w:rPr>
              <w:t>May</w:t>
            </w:r>
            <w:r w:rsidRPr="004922D7">
              <w:rPr>
                <w:rFonts w:ascii="Times New Roman" w:hAnsi="Times New Roman" w:cs="Times New Roman"/>
                <w:b/>
              </w:rPr>
              <w:t xml:space="preserve"> Sessional Working Group</w:t>
            </w:r>
            <w:r w:rsidR="00773F2C" w:rsidRPr="004922D7">
              <w:rPr>
                <w:rFonts w:ascii="Times New Roman" w:hAnsi="Times New Roman" w:cs="Times New Roman"/>
                <w:b/>
              </w:rPr>
              <w:t xml:space="preserve"> (8</w:t>
            </w:r>
            <w:r w:rsidR="009F0A61" w:rsidRPr="004922D7">
              <w:rPr>
                <w:rFonts w:ascii="Times New Roman" w:hAnsi="Times New Roman" w:cs="Times New Roman"/>
                <w:b/>
              </w:rPr>
              <w:t>1</w:t>
            </w:r>
            <w:r w:rsidR="009F0A61" w:rsidRPr="004922D7">
              <w:rPr>
                <w:rFonts w:ascii="Times New Roman" w:hAnsi="Times New Roman" w:cs="Times New Roman"/>
                <w:b/>
                <w:vertAlign w:val="superscript"/>
              </w:rPr>
              <w:t>st</w:t>
            </w:r>
            <w:r w:rsidR="009F0A61" w:rsidRPr="004922D7">
              <w:rPr>
                <w:rFonts w:ascii="Times New Roman" w:hAnsi="Times New Roman" w:cs="Times New Roman"/>
                <w:b/>
              </w:rPr>
              <w:t xml:space="preserve"> </w:t>
            </w:r>
            <w:r w:rsidR="00773F2C" w:rsidRPr="004922D7">
              <w:rPr>
                <w:rFonts w:ascii="Times New Roman" w:hAnsi="Times New Roman" w:cs="Times New Roman"/>
                <w:b/>
              </w:rPr>
              <w:t>Session)</w:t>
            </w:r>
          </w:p>
          <w:p w14:paraId="667F08DF" w14:textId="0F22EAED" w:rsidR="00C23A9F" w:rsidRPr="004922D7" w:rsidRDefault="00C23A9F">
            <w:pPr>
              <w:rPr>
                <w:rFonts w:ascii="Times New Roman" w:hAnsi="Times New Roman" w:cs="Times New Roman"/>
              </w:rPr>
            </w:pPr>
            <w:r w:rsidRPr="004922D7">
              <w:rPr>
                <w:rFonts w:ascii="Times New Roman" w:hAnsi="Times New Roman" w:cs="Times New Roman"/>
              </w:rPr>
              <w:t>Country name:</w:t>
            </w:r>
            <w:r w:rsidR="009F0A61" w:rsidRPr="004922D7">
              <w:rPr>
                <w:rFonts w:ascii="Times New Roman" w:hAnsi="Times New Roman" w:cs="Times New Roman"/>
              </w:rPr>
              <w:t xml:space="preserve"> </w:t>
            </w:r>
            <w:r w:rsidR="00B07E2A">
              <w:rPr>
                <w:rFonts w:ascii="Times New Roman" w:hAnsi="Times New Roman" w:cs="Times New Roman"/>
              </w:rPr>
              <w:t>Cabo Verde</w:t>
            </w:r>
          </w:p>
          <w:p w14:paraId="3284389E" w14:textId="77777777" w:rsidR="00C23A9F" w:rsidRPr="004922D7" w:rsidRDefault="00C23A9F">
            <w:pPr>
              <w:rPr>
                <w:rFonts w:ascii="Times New Roman" w:hAnsi="Times New Roman" w:cs="Times New Roman"/>
              </w:rPr>
            </w:pPr>
          </w:p>
        </w:tc>
      </w:tr>
      <w:tr w:rsidR="00187935" w:rsidRPr="004922D7" w14:paraId="6FF3C477" w14:textId="77777777" w:rsidTr="0095046B">
        <w:tc>
          <w:tcPr>
            <w:tcW w:w="8856" w:type="dxa"/>
            <w:gridSpan w:val="2"/>
          </w:tcPr>
          <w:p w14:paraId="4D2E14A6" w14:textId="77777777" w:rsidR="00CD0839" w:rsidRPr="004922D7" w:rsidRDefault="00CD0839" w:rsidP="00CD0839">
            <w:pPr>
              <w:jc w:val="center"/>
              <w:rPr>
                <w:rFonts w:ascii="Times New Roman" w:eastAsia="Times New Roman" w:hAnsi="Times New Roman" w:cs="Times New Roman"/>
                <w:b/>
                <w:color w:val="222222"/>
                <w:shd w:val="clear" w:color="auto" w:fill="FFFFFF"/>
              </w:rPr>
            </w:pPr>
            <w:r w:rsidRPr="004922D7">
              <w:rPr>
                <w:rFonts w:ascii="Times New Roman" w:eastAsia="Times New Roman" w:hAnsi="Times New Roman" w:cs="Times New Roman"/>
                <w:b/>
                <w:color w:val="222222"/>
                <w:shd w:val="clear" w:color="auto" w:fill="FFFFFF"/>
              </w:rPr>
              <w:t>Appropriate pretrial detention times for children</w:t>
            </w:r>
          </w:p>
          <w:p w14:paraId="7BDAF60C" w14:textId="77777777" w:rsidR="00CD0839" w:rsidRPr="004922D7" w:rsidRDefault="00CD0839" w:rsidP="00CD0839">
            <w:pPr>
              <w:jc w:val="both"/>
              <w:rPr>
                <w:rFonts w:ascii="Times New Roman" w:eastAsia="Times New Roman" w:hAnsi="Times New Roman" w:cs="Times New Roman"/>
                <w:color w:val="222222"/>
                <w:shd w:val="clear" w:color="auto" w:fill="FFFFFF"/>
              </w:rPr>
            </w:pPr>
          </w:p>
          <w:p w14:paraId="1A1E3115" w14:textId="77777777" w:rsidR="00CD0839" w:rsidRPr="004922D7" w:rsidRDefault="00CD0839" w:rsidP="00CD0839">
            <w:pPr>
              <w:jc w:val="both"/>
              <w:rPr>
                <w:rFonts w:ascii="Times New Roman" w:eastAsia="Times New Roman" w:hAnsi="Times New Roman" w:cs="Times New Roman"/>
                <w:color w:val="222222"/>
                <w:shd w:val="clear" w:color="auto" w:fill="FFFFFF"/>
              </w:rPr>
            </w:pPr>
            <w:r w:rsidRPr="004922D7">
              <w:rPr>
                <w:rFonts w:ascii="Times New Roman" w:eastAsia="Times New Roman" w:hAnsi="Times New Roman" w:cs="Times New Roman"/>
                <w:color w:val="222222"/>
                <w:shd w:val="clear" w:color="auto" w:fill="FFFFFF"/>
              </w:rPr>
              <w:t>Cluster of rights:</w:t>
            </w:r>
          </w:p>
          <w:p w14:paraId="134DBCE3" w14:textId="77777777" w:rsidR="00CD0839" w:rsidRPr="004922D7" w:rsidRDefault="00CD0839" w:rsidP="00CD0839">
            <w:pPr>
              <w:pStyle w:val="NormalWeb"/>
              <w:spacing w:before="0" w:beforeAutospacing="0" w:after="0" w:afterAutospacing="0"/>
              <w:jc w:val="both"/>
              <w:rPr>
                <w:color w:val="222222"/>
                <w:shd w:val="clear" w:color="auto" w:fill="FFFFFF"/>
              </w:rPr>
            </w:pPr>
          </w:p>
          <w:p w14:paraId="2854042B" w14:textId="77777777" w:rsidR="00CD0839" w:rsidRPr="004922D7" w:rsidRDefault="00CD0839" w:rsidP="00CD0839">
            <w:pPr>
              <w:pStyle w:val="NormalWeb"/>
              <w:spacing w:before="0" w:beforeAutospacing="0" w:after="0" w:afterAutospacing="0"/>
              <w:jc w:val="both"/>
              <w:rPr>
                <w:color w:val="222222"/>
                <w:shd w:val="clear" w:color="auto" w:fill="FFFFFF"/>
              </w:rPr>
            </w:pPr>
            <w:r w:rsidRPr="004922D7">
              <w:rPr>
                <w:color w:val="222222"/>
                <w:shd w:val="clear" w:color="auto" w:fill="FFFFFF"/>
              </w:rPr>
              <w:t>Right to lawful deprivation of liberty</w:t>
            </w:r>
          </w:p>
          <w:p w14:paraId="3A30A5D6" w14:textId="77777777" w:rsidR="00CD0839" w:rsidRPr="004922D7" w:rsidRDefault="00CD0839" w:rsidP="00CD0839">
            <w:pPr>
              <w:pStyle w:val="NormalWeb"/>
              <w:spacing w:before="0" w:beforeAutospacing="0" w:after="0" w:afterAutospacing="0"/>
              <w:jc w:val="both"/>
              <w:rPr>
                <w:color w:val="222222"/>
                <w:shd w:val="clear" w:color="auto" w:fill="FFFFFF"/>
              </w:rPr>
            </w:pPr>
            <w:r w:rsidRPr="004922D7">
              <w:rPr>
                <w:color w:val="222222"/>
                <w:shd w:val="clear" w:color="auto" w:fill="FFFFFF"/>
              </w:rPr>
              <w:t>Right to speedy trial and brevity of pretrial detention</w:t>
            </w:r>
          </w:p>
          <w:p w14:paraId="7756CFC4" w14:textId="26724CFF" w:rsidR="00CD0839" w:rsidRPr="004922D7" w:rsidRDefault="00CD0839" w:rsidP="00CD0839">
            <w:pPr>
              <w:pStyle w:val="NormalWeb"/>
              <w:spacing w:before="0" w:beforeAutospacing="0" w:after="0" w:afterAutospacing="0"/>
              <w:jc w:val="both"/>
              <w:rPr>
                <w:color w:val="222222"/>
                <w:shd w:val="clear" w:color="auto" w:fill="FFFFFF"/>
              </w:rPr>
            </w:pPr>
            <w:r w:rsidRPr="004922D7">
              <w:rPr>
                <w:color w:val="222222"/>
                <w:shd w:val="clear" w:color="auto" w:fill="FFFFFF"/>
              </w:rPr>
              <w:t>Convention on the Rights of the Child Article 37(b</w:t>
            </w:r>
            <w:r w:rsidR="00471E05">
              <w:rPr>
                <w:color w:val="222222"/>
                <w:shd w:val="clear" w:color="auto" w:fill="FFFFFF"/>
              </w:rPr>
              <w:t>)</w:t>
            </w:r>
            <w:r w:rsidRPr="004922D7">
              <w:rPr>
                <w:color w:val="222222"/>
                <w:shd w:val="clear" w:color="auto" w:fill="FFFFFF"/>
              </w:rPr>
              <w:t xml:space="preserve"> </w:t>
            </w:r>
          </w:p>
          <w:p w14:paraId="586D87EA" w14:textId="77777777" w:rsidR="00CD0839" w:rsidRPr="004922D7" w:rsidRDefault="00CD0839" w:rsidP="00CD0839">
            <w:pPr>
              <w:pStyle w:val="NormalWeb"/>
              <w:spacing w:before="0" w:beforeAutospacing="0" w:after="0" w:afterAutospacing="0"/>
              <w:jc w:val="both"/>
              <w:rPr>
                <w:color w:val="222222"/>
                <w:shd w:val="clear" w:color="auto" w:fill="FFFFFF"/>
              </w:rPr>
            </w:pPr>
            <w:r w:rsidRPr="004922D7">
              <w:rPr>
                <w:color w:val="222222"/>
                <w:shd w:val="clear" w:color="auto" w:fill="FFFFFF"/>
              </w:rPr>
              <w:t>Convention Against Torture Article 2</w:t>
            </w:r>
          </w:p>
          <w:p w14:paraId="7D0403A1" w14:textId="77777777" w:rsidR="00CD0839" w:rsidRPr="004922D7" w:rsidRDefault="00CD0839" w:rsidP="00CD0839">
            <w:pPr>
              <w:jc w:val="both"/>
              <w:rPr>
                <w:rFonts w:ascii="Times New Roman" w:eastAsia="Times New Roman" w:hAnsi="Times New Roman" w:cs="Times New Roman"/>
                <w:color w:val="222222"/>
                <w:shd w:val="clear" w:color="auto" w:fill="FFFFFF"/>
              </w:rPr>
            </w:pPr>
          </w:p>
          <w:p w14:paraId="1E0C3FB6" w14:textId="77777777" w:rsidR="00CD0839" w:rsidRPr="004922D7" w:rsidRDefault="00CD0839" w:rsidP="00CD0839">
            <w:pPr>
              <w:jc w:val="both"/>
              <w:rPr>
                <w:rFonts w:ascii="Times New Roman" w:eastAsia="Times New Roman" w:hAnsi="Times New Roman" w:cs="Times New Roman"/>
                <w:color w:val="222222"/>
                <w:shd w:val="clear" w:color="auto" w:fill="FFFFFF"/>
              </w:rPr>
            </w:pPr>
            <w:r w:rsidRPr="004922D7">
              <w:rPr>
                <w:rFonts w:ascii="Times New Roman" w:eastAsia="Times New Roman" w:hAnsi="Times New Roman" w:cs="Times New Roman"/>
                <w:color w:val="222222"/>
                <w:shd w:val="clear" w:color="auto" w:fill="FFFFFF"/>
              </w:rPr>
              <w:t>Areas of concern:</w:t>
            </w:r>
          </w:p>
          <w:p w14:paraId="56F4E549" w14:textId="77777777" w:rsidR="00CD0839" w:rsidRPr="004922D7" w:rsidRDefault="00CD0839" w:rsidP="00CD0839">
            <w:pPr>
              <w:jc w:val="both"/>
              <w:rPr>
                <w:rFonts w:ascii="Times New Roman" w:eastAsia="Times New Roman" w:hAnsi="Times New Roman" w:cs="Times New Roman"/>
                <w:color w:val="222222"/>
                <w:shd w:val="clear" w:color="auto" w:fill="FFFFFF"/>
              </w:rPr>
            </w:pPr>
          </w:p>
          <w:p w14:paraId="0C0CF5E4" w14:textId="77777777" w:rsidR="00CD0839" w:rsidRPr="004922D7" w:rsidRDefault="00CD0839" w:rsidP="00CD0839">
            <w:pPr>
              <w:jc w:val="both"/>
              <w:rPr>
                <w:rFonts w:ascii="Times New Roman" w:hAnsi="Times New Roman" w:cs="Times New Roman"/>
              </w:rPr>
            </w:pPr>
            <w:r w:rsidRPr="004922D7">
              <w:rPr>
                <w:rFonts w:ascii="Times New Roman" w:hAnsi="Times New Roman" w:cs="Times New Roman"/>
              </w:rPr>
              <w:t>International law strictly limits the circumstances in which children can be placed in detention while awaiting trial or while under investigation pre-charge. Pretrial detention should only be used in exceptional circumstances, where it is necessary to ensure the child’s appearance at the court proceedings, or where the child is an immediate danger to himself/herself or others.</w:t>
            </w:r>
            <w:r w:rsidRPr="004922D7">
              <w:rPr>
                <w:rFonts w:ascii="Times New Roman" w:hAnsi="Times New Roman" w:cs="Times New Roman"/>
                <w:vertAlign w:val="superscript"/>
              </w:rPr>
              <w:footnoteReference w:id="1"/>
            </w:r>
            <w:r w:rsidRPr="004922D7">
              <w:rPr>
                <w:rFonts w:ascii="Times New Roman" w:hAnsi="Times New Roman" w:cs="Times New Roman"/>
              </w:rPr>
              <w:t xml:space="preserve"> Pretrial detention is only permitted as a measure of last resort and for “</w:t>
            </w:r>
            <w:r w:rsidRPr="004922D7">
              <w:rPr>
                <w:rFonts w:ascii="Times New Roman" w:hAnsi="Times New Roman" w:cs="Times New Roman"/>
                <w:i/>
              </w:rPr>
              <w:t>the shortest appropriate period of time</w:t>
            </w:r>
            <w:r w:rsidRPr="004922D7">
              <w:rPr>
                <w:rFonts w:ascii="Times New Roman" w:hAnsi="Times New Roman" w:cs="Times New Roman"/>
              </w:rPr>
              <w:t>.”</w:t>
            </w:r>
            <w:bookmarkStart w:id="1" w:name="_Ref509599856"/>
            <w:r w:rsidRPr="004922D7">
              <w:rPr>
                <w:rFonts w:ascii="Times New Roman" w:hAnsi="Times New Roman" w:cs="Times New Roman"/>
                <w:vertAlign w:val="superscript"/>
              </w:rPr>
              <w:footnoteReference w:id="2"/>
            </w:r>
            <w:bookmarkEnd w:id="1"/>
            <w:r w:rsidRPr="004922D7">
              <w:rPr>
                <w:rFonts w:ascii="Times New Roman" w:hAnsi="Times New Roman" w:cs="Times New Roman"/>
              </w:rPr>
              <w:t> However, there is no clarity around what is meant by an “</w:t>
            </w:r>
            <w:r w:rsidRPr="004922D7">
              <w:rPr>
                <w:rFonts w:ascii="Times New Roman" w:hAnsi="Times New Roman" w:cs="Times New Roman"/>
                <w:i/>
              </w:rPr>
              <w:t>appropriate period of time</w:t>
            </w:r>
            <w:r w:rsidRPr="004922D7">
              <w:rPr>
                <w:rFonts w:ascii="Times New Roman" w:hAnsi="Times New Roman" w:cs="Times New Roman"/>
              </w:rPr>
              <w:t>.” The Committee on the Rights of the Child, in General Comment 10, recommended that children who are detained should be formally charged within 30 days and once charged, that a final decision should be made by the court within six months.</w:t>
            </w:r>
            <w:bookmarkStart w:id="2" w:name="_Ref511739094"/>
            <w:r w:rsidRPr="004922D7">
              <w:rPr>
                <w:rStyle w:val="FootnoteReference"/>
                <w:rFonts w:ascii="Times New Roman" w:hAnsi="Times New Roman" w:cs="Times New Roman"/>
              </w:rPr>
              <w:footnoteReference w:id="3"/>
            </w:r>
            <w:bookmarkEnd w:id="2"/>
            <w:r w:rsidRPr="004922D7">
              <w:rPr>
                <w:rFonts w:ascii="Times New Roman" w:hAnsi="Times New Roman" w:cs="Times New Roman"/>
              </w:rPr>
              <w:t xml:space="preserve"> The Committee additionally recommended that any such detention should be reviewed regularly by a competent body</w:t>
            </w:r>
            <w:r w:rsidRPr="004922D7">
              <w:rPr>
                <w:rStyle w:val="FootnoteReference"/>
                <w:rFonts w:ascii="Times New Roman" w:hAnsi="Times New Roman" w:cs="Times New Roman"/>
              </w:rPr>
              <w:footnoteReference w:id="4"/>
            </w:r>
            <w:r w:rsidRPr="004922D7">
              <w:rPr>
                <w:rFonts w:ascii="Times New Roman" w:hAnsi="Times New Roman" w:cs="Times New Roman"/>
              </w:rPr>
              <w:t xml:space="preserve"> These recommendations can and should be strengthened.</w:t>
            </w:r>
          </w:p>
          <w:p w14:paraId="6841F388" w14:textId="77777777" w:rsidR="00CD0839" w:rsidRPr="004922D7" w:rsidRDefault="00CD0839" w:rsidP="00CD0839">
            <w:pPr>
              <w:jc w:val="both"/>
              <w:rPr>
                <w:rFonts w:ascii="Times New Roman" w:hAnsi="Times New Roman" w:cs="Times New Roman"/>
              </w:rPr>
            </w:pPr>
          </w:p>
          <w:p w14:paraId="4528A217" w14:textId="77777777" w:rsidR="00CD0839" w:rsidRPr="004922D7" w:rsidRDefault="00CD0839" w:rsidP="00CD0839">
            <w:pPr>
              <w:jc w:val="both"/>
              <w:rPr>
                <w:rFonts w:ascii="Times New Roman" w:hAnsi="Times New Roman" w:cs="Times New Roman"/>
              </w:rPr>
            </w:pPr>
            <w:r w:rsidRPr="004922D7">
              <w:rPr>
                <w:rFonts w:ascii="Times New Roman" w:hAnsi="Times New Roman" w:cs="Times New Roman"/>
              </w:rPr>
              <w:t>Defendants in pretrial detention are more likely to be abused, mistreated and tortured,</w:t>
            </w:r>
            <w:bookmarkStart w:id="3" w:name="_Ref509596657"/>
            <w:r w:rsidRPr="004922D7">
              <w:rPr>
                <w:rFonts w:ascii="Times New Roman" w:hAnsi="Times New Roman" w:cs="Times New Roman"/>
                <w:vertAlign w:val="superscript"/>
              </w:rPr>
              <w:footnoteReference w:id="5"/>
            </w:r>
            <w:bookmarkEnd w:id="3"/>
            <w:r w:rsidRPr="004922D7">
              <w:rPr>
                <w:rFonts w:ascii="Times New Roman" w:hAnsi="Times New Roman" w:cs="Times New Roman"/>
              </w:rPr>
              <w:t xml:space="preserve"> and children are particularly vulnerable. In many countries, the lack of adequate facilities, food and sanitation, insufficient access to education and training, and compromised contact with family and friends makes even short periods of time in pretrial detention traumatic for children. Detention has been shown to significantly increase the risk of depression, suicide, </w:t>
            </w:r>
            <w:r w:rsidRPr="004922D7">
              <w:rPr>
                <w:rFonts w:ascii="Times New Roman" w:hAnsi="Times New Roman" w:cs="Times New Roman"/>
              </w:rPr>
              <w:lastRenderedPageBreak/>
              <w:t>school drop-out, and drug use among children.</w:t>
            </w:r>
            <w:bookmarkStart w:id="4" w:name="_Ref509598336"/>
            <w:r w:rsidRPr="004922D7">
              <w:rPr>
                <w:rFonts w:ascii="Times New Roman" w:hAnsi="Times New Roman" w:cs="Times New Roman"/>
                <w:vertAlign w:val="superscript"/>
              </w:rPr>
              <w:footnoteReference w:id="6"/>
            </w:r>
            <w:bookmarkEnd w:id="4"/>
            <w:r w:rsidRPr="004922D7">
              <w:rPr>
                <w:rFonts w:ascii="Times New Roman" w:hAnsi="Times New Roman" w:cs="Times New Roman"/>
              </w:rPr>
              <w:t xml:space="preserve"> Unfortunately, in many countries the majority of children in detention are awaiting trial and may spend months or years behind bars before having their cases resolved. Even in jurisdictions that have successfully implemented alternatives to detention, children still spend months or years in pretrial detention, often longer than any sentence they might receive on conviction. It is reportedly common for children to receive conditional release or diversion after months of pretrial detention</w:t>
            </w:r>
            <w:r w:rsidRPr="004922D7">
              <w:rPr>
                <w:rFonts w:ascii="Times New Roman" w:hAnsi="Times New Roman" w:cs="Times New Roman"/>
                <w:vertAlign w:val="superscript"/>
              </w:rPr>
              <w:footnoteReference w:id="7"/>
            </w:r>
            <w:r w:rsidRPr="004922D7">
              <w:rPr>
                <w:rFonts w:ascii="Times New Roman" w:hAnsi="Times New Roman" w:cs="Times New Roman"/>
              </w:rPr>
              <w:t>. This means that the most significant time spent deprived of liberty is while awaiting trial, when children are ostensibly presumed innocent.</w:t>
            </w:r>
          </w:p>
          <w:p w14:paraId="42DF2598" w14:textId="77777777" w:rsidR="00CD0839" w:rsidRPr="004922D7" w:rsidRDefault="00CD0839" w:rsidP="00CD0839">
            <w:pPr>
              <w:jc w:val="both"/>
              <w:rPr>
                <w:rFonts w:ascii="Times New Roman" w:hAnsi="Times New Roman" w:cs="Times New Roman"/>
              </w:rPr>
            </w:pPr>
          </w:p>
          <w:p w14:paraId="05B21EE0" w14:textId="77777777" w:rsidR="00CD0839" w:rsidRPr="004922D7" w:rsidRDefault="00CD0839" w:rsidP="00CD0839">
            <w:pPr>
              <w:jc w:val="both"/>
              <w:rPr>
                <w:rFonts w:ascii="Times New Roman" w:hAnsi="Times New Roman" w:cs="Times New Roman"/>
              </w:rPr>
            </w:pPr>
            <w:r w:rsidRPr="004922D7">
              <w:rPr>
                <w:rFonts w:ascii="Times New Roman" w:hAnsi="Times New Roman" w:cs="Times New Roman"/>
              </w:rPr>
              <w:t xml:space="preserve">The 2018 report “Children in Pretrial Detention: Promoting Stronger International Time Limits” is the first study of how long countries allow children to be detained awaiting trial. Looking at the legal limits in 118 countries, the report found that 26% of countries have no time limit and 40% of countries allow exceptions to their time limit, risking indefinite detention. However, the length of time that children actually spend in detention awaiting trial is data that countries have not be collecting or reporting. </w:t>
            </w:r>
          </w:p>
          <w:p w14:paraId="1D572502" w14:textId="77777777" w:rsidR="00CD0839" w:rsidRPr="004922D7" w:rsidRDefault="00CD0839" w:rsidP="00CD0839">
            <w:pPr>
              <w:jc w:val="both"/>
              <w:rPr>
                <w:rFonts w:ascii="Times New Roman" w:hAnsi="Times New Roman" w:cs="Times New Roman"/>
              </w:rPr>
            </w:pPr>
          </w:p>
          <w:p w14:paraId="333388F5" w14:textId="77777777" w:rsidR="00CD0839" w:rsidRPr="004922D7" w:rsidRDefault="00CD0839" w:rsidP="00CD0839">
            <w:pPr>
              <w:jc w:val="both"/>
              <w:rPr>
                <w:rFonts w:ascii="Times New Roman" w:hAnsi="Times New Roman" w:cs="Times New Roman"/>
              </w:rPr>
            </w:pPr>
          </w:p>
          <w:p w14:paraId="5B19E091" w14:textId="77777777" w:rsidR="00CD0839" w:rsidRPr="004922D7" w:rsidRDefault="00CD0839" w:rsidP="00CD0839">
            <w:pPr>
              <w:jc w:val="both"/>
              <w:rPr>
                <w:rFonts w:ascii="Times New Roman" w:hAnsi="Times New Roman" w:cs="Times New Roman"/>
              </w:rPr>
            </w:pPr>
            <w:r w:rsidRPr="004922D7">
              <w:rPr>
                <w:rFonts w:ascii="Times New Roman" w:hAnsi="Times New Roman" w:cs="Times New Roman"/>
              </w:rPr>
              <w:t xml:space="preserve">The </w:t>
            </w:r>
            <w:r w:rsidRPr="004922D7">
              <w:rPr>
                <w:rFonts w:ascii="Times New Roman" w:hAnsi="Times New Roman" w:cs="Times New Roman"/>
                <w:i/>
              </w:rPr>
              <w:t>Children in Pretrial Detention: Promoting Stronger International Time Limits</w:t>
            </w:r>
            <w:r w:rsidRPr="004922D7">
              <w:rPr>
                <w:rFonts w:ascii="Times New Roman" w:hAnsi="Times New Roman" w:cs="Times New Roman"/>
              </w:rPr>
              <w:t xml:space="preserve"> report serves as a baseline for the Committee to expand on country practices regarding times of pretrial detention of children. </w:t>
            </w:r>
          </w:p>
          <w:p w14:paraId="0AC8F20C" w14:textId="77777777" w:rsidR="00CD0839" w:rsidRPr="004922D7" w:rsidRDefault="00CD0839" w:rsidP="00CD0839">
            <w:pPr>
              <w:jc w:val="both"/>
              <w:rPr>
                <w:rFonts w:ascii="Times New Roman" w:eastAsia="Times New Roman" w:hAnsi="Times New Roman" w:cs="Times New Roman"/>
                <w:color w:val="222222"/>
                <w:shd w:val="clear" w:color="auto" w:fill="FFFFFF"/>
              </w:rPr>
            </w:pPr>
            <w:r w:rsidRPr="004922D7">
              <w:rPr>
                <w:rFonts w:ascii="Times New Roman" w:hAnsi="Times New Roman" w:cs="Times New Roman"/>
              </w:rPr>
              <w:br w:type="page"/>
            </w:r>
            <w:bookmarkStart w:id="5" w:name="_4g83oi30h3up" w:colFirst="0" w:colLast="0"/>
            <w:bookmarkEnd w:id="5"/>
          </w:p>
          <w:p w14:paraId="59FA61E4" w14:textId="77777777" w:rsidR="00CD0839" w:rsidRPr="004922D7" w:rsidRDefault="00CD0839" w:rsidP="00CD0839">
            <w:pPr>
              <w:jc w:val="both"/>
              <w:rPr>
                <w:rFonts w:ascii="Times New Roman" w:eastAsia="Times New Roman" w:hAnsi="Times New Roman" w:cs="Times New Roman"/>
                <w:color w:val="222222"/>
                <w:shd w:val="clear" w:color="auto" w:fill="FFFFFF"/>
              </w:rPr>
            </w:pPr>
            <w:r w:rsidRPr="004922D7">
              <w:rPr>
                <w:rFonts w:ascii="Times New Roman" w:eastAsia="Times New Roman" w:hAnsi="Times New Roman" w:cs="Times New Roman"/>
                <w:color w:val="222222"/>
                <w:shd w:val="clear" w:color="auto" w:fill="FFFFFF"/>
              </w:rPr>
              <w:t>Methodology:</w:t>
            </w:r>
          </w:p>
          <w:p w14:paraId="758A561F" w14:textId="77777777" w:rsidR="00CD0839" w:rsidRPr="004922D7" w:rsidRDefault="00CD0839" w:rsidP="00CD0839">
            <w:pPr>
              <w:jc w:val="both"/>
              <w:rPr>
                <w:rFonts w:ascii="Times New Roman" w:eastAsia="Times New Roman" w:hAnsi="Times New Roman" w:cs="Times New Roman"/>
                <w:color w:val="222222"/>
                <w:shd w:val="clear" w:color="auto" w:fill="FFFFFF"/>
              </w:rPr>
            </w:pPr>
          </w:p>
          <w:p w14:paraId="5716CB7C" w14:textId="77777777" w:rsidR="00CD0839" w:rsidRPr="004922D7" w:rsidRDefault="00CD0839" w:rsidP="00CD0839">
            <w:pPr>
              <w:jc w:val="both"/>
              <w:rPr>
                <w:rFonts w:ascii="Times New Roman" w:eastAsia="Times New Roman" w:hAnsi="Times New Roman" w:cs="Times New Roman"/>
                <w:color w:val="222222"/>
                <w:shd w:val="clear" w:color="auto" w:fill="FFFFFF"/>
              </w:rPr>
            </w:pPr>
            <w:r w:rsidRPr="004922D7">
              <w:rPr>
                <w:rFonts w:ascii="Times New Roman" w:eastAsia="Times New Roman" w:hAnsi="Times New Roman" w:cs="Times New Roman"/>
                <w:color w:val="222222"/>
                <w:shd w:val="clear" w:color="auto" w:fill="FFFFFF"/>
              </w:rPr>
              <w:t xml:space="preserve">This alternative report is based on the </w:t>
            </w:r>
            <w:r w:rsidRPr="004922D7">
              <w:rPr>
                <w:rFonts w:ascii="Times New Roman" w:eastAsia="Times New Roman" w:hAnsi="Times New Roman" w:cs="Times New Roman"/>
                <w:i/>
                <w:color w:val="222222"/>
                <w:shd w:val="clear" w:color="auto" w:fill="FFFFFF"/>
              </w:rPr>
              <w:t xml:space="preserve">Children in Pretrial Detention </w:t>
            </w:r>
            <w:r w:rsidRPr="004922D7">
              <w:rPr>
                <w:rFonts w:ascii="Times New Roman" w:eastAsia="Times New Roman" w:hAnsi="Times New Roman" w:cs="Times New Roman"/>
                <w:color w:val="222222"/>
                <w:shd w:val="clear" w:color="auto" w:fill="FFFFFF"/>
              </w:rPr>
              <w:t>report on pretrial detention times of 119 CRC State parties.</w:t>
            </w:r>
            <w:r w:rsidRPr="004922D7">
              <w:rPr>
                <w:rStyle w:val="FootnoteReference"/>
                <w:rFonts w:ascii="Times New Roman" w:eastAsia="Times New Roman" w:hAnsi="Times New Roman" w:cs="Times New Roman"/>
                <w:color w:val="222222"/>
                <w:shd w:val="clear" w:color="auto" w:fill="FFFFFF"/>
              </w:rPr>
              <w:footnoteReference w:id="8"/>
            </w:r>
            <w:r w:rsidRPr="004922D7">
              <w:rPr>
                <w:rFonts w:ascii="Times New Roman" w:eastAsia="Times New Roman" w:hAnsi="Times New Roman" w:cs="Times New Roman"/>
                <w:color w:val="222222"/>
                <w:shd w:val="clear" w:color="auto" w:fill="FFFFFF"/>
              </w:rPr>
              <w:t xml:space="preserve"> Such report was conducted by reviewing the respective current statutes or court rules in force at the time that the data was collected. </w:t>
            </w:r>
          </w:p>
          <w:p w14:paraId="2089475D" w14:textId="77777777" w:rsidR="00CD0839" w:rsidRPr="004922D7" w:rsidRDefault="00CD0839" w:rsidP="00CD0839">
            <w:pPr>
              <w:jc w:val="both"/>
              <w:rPr>
                <w:rFonts w:ascii="Times New Roman" w:eastAsia="Times New Roman" w:hAnsi="Times New Roman" w:cs="Times New Roman"/>
                <w:color w:val="222222"/>
                <w:shd w:val="clear" w:color="auto" w:fill="FFFFFF"/>
              </w:rPr>
            </w:pPr>
            <w:r w:rsidRPr="004922D7">
              <w:rPr>
                <w:rFonts w:ascii="Times New Roman" w:eastAsia="Times New Roman" w:hAnsi="Times New Roman" w:cs="Times New Roman"/>
                <w:color w:val="222222"/>
                <w:shd w:val="clear" w:color="auto" w:fill="FFFFFF"/>
              </w:rPr>
              <w:t>In defining the statutory time period of pretrial detention, when possible, the report applied the statutory maximum for pretrial detention based on the time allowed in detention from arrest until a sentence was established. However, varying jurisdictions defined pretrial detention</w:t>
            </w:r>
            <w:r w:rsidRPr="004922D7" w:rsidDel="002B3A25">
              <w:rPr>
                <w:rFonts w:ascii="Times New Roman" w:eastAsia="Times New Roman" w:hAnsi="Times New Roman" w:cs="Times New Roman"/>
                <w:color w:val="222222"/>
                <w:shd w:val="clear" w:color="auto" w:fill="FFFFFF"/>
              </w:rPr>
              <w:t xml:space="preserve"> </w:t>
            </w:r>
            <w:r w:rsidRPr="004922D7">
              <w:rPr>
                <w:rFonts w:ascii="Times New Roman" w:eastAsia="Times New Roman" w:hAnsi="Times New Roman" w:cs="Times New Roman"/>
                <w:color w:val="222222"/>
                <w:shd w:val="clear" w:color="auto" w:fill="FFFFFF"/>
              </w:rPr>
              <w:t xml:space="preserve">differently or set limits based on alternative procedural milestones. Where the statute did not provide a length of days or it was unclear, the number of days was based on the national law’s definition of pretrial detention. </w:t>
            </w:r>
          </w:p>
          <w:p w14:paraId="4D83832A" w14:textId="77777777" w:rsidR="00CD0839" w:rsidRPr="004922D7" w:rsidRDefault="00CD0839" w:rsidP="00CD0839">
            <w:pPr>
              <w:jc w:val="both"/>
              <w:rPr>
                <w:rFonts w:ascii="Times New Roman" w:eastAsia="Times New Roman" w:hAnsi="Times New Roman" w:cs="Times New Roman"/>
                <w:color w:val="222222"/>
                <w:shd w:val="clear" w:color="auto" w:fill="FFFFFF"/>
              </w:rPr>
            </w:pPr>
          </w:p>
          <w:p w14:paraId="24691FC0" w14:textId="494BCDEE" w:rsidR="00187935" w:rsidRPr="004922D7" w:rsidRDefault="00CD0839" w:rsidP="00CD0839">
            <w:pPr>
              <w:jc w:val="both"/>
              <w:rPr>
                <w:rFonts w:ascii="Times New Roman" w:eastAsia="Times New Roman" w:hAnsi="Times New Roman" w:cs="Times New Roman"/>
                <w:color w:val="222222"/>
                <w:shd w:val="clear" w:color="auto" w:fill="FFFFFF"/>
              </w:rPr>
            </w:pPr>
            <w:r w:rsidRPr="004922D7">
              <w:rPr>
                <w:rFonts w:ascii="Times New Roman" w:hAnsi="Times New Roman" w:cs="Times New Roman"/>
              </w:rPr>
              <w:t xml:space="preserve">Most jurisdictions did not indicate any time limit for children in pretrial detention pending appeals. For the sake of uniformity, only limits based on pretrial detention before the first adjudication were used. State practices are unclear when a case is appealed, and the child is in pretrial detention, such as if the clock is suspended or if the time limit still applies. </w:t>
            </w:r>
          </w:p>
        </w:tc>
      </w:tr>
    </w:tbl>
    <w:p w14:paraId="7EC040D9" w14:textId="7C5F4E80" w:rsidR="00CD0839" w:rsidRPr="004922D7" w:rsidRDefault="00CD0839">
      <w:pPr>
        <w:rPr>
          <w:rFonts w:ascii="Times New Roman" w:hAnsi="Times New Roman" w:cs="Times New Roman"/>
        </w:rPr>
      </w:pPr>
    </w:p>
    <w:p w14:paraId="6F537CC2" w14:textId="77777777" w:rsidR="00CD0839" w:rsidRPr="004922D7" w:rsidRDefault="00CD0839">
      <w:pPr>
        <w:rPr>
          <w:rFonts w:ascii="Times New Roman" w:hAnsi="Times New Roman" w:cs="Times New Roman"/>
        </w:rPr>
      </w:pPr>
      <w:r w:rsidRPr="004922D7">
        <w:rPr>
          <w:rFonts w:ascii="Times New Roman" w:hAnsi="Times New Roman" w:cs="Times New Roman"/>
        </w:rPr>
        <w:br w:type="page"/>
      </w:r>
    </w:p>
    <w:p w14:paraId="51B36BBF" w14:textId="6F7B4BB9" w:rsidR="00AA22CB" w:rsidRPr="004922D7" w:rsidRDefault="00AA22CB">
      <w:pPr>
        <w:rPr>
          <w:rFonts w:ascii="Times New Roman" w:hAnsi="Times New Roman" w:cs="Times New Roman"/>
        </w:rPr>
      </w:pPr>
    </w:p>
    <w:p w14:paraId="6814E108" w14:textId="760951D0" w:rsidR="00AA22CB" w:rsidRPr="004922D7" w:rsidRDefault="00310A40" w:rsidP="00AA22CB">
      <w:pPr>
        <w:jc w:val="center"/>
        <w:rPr>
          <w:rFonts w:ascii="Times New Roman" w:hAnsi="Times New Roman" w:cs="Times New Roman"/>
          <w:b/>
        </w:rPr>
      </w:pPr>
      <w:r>
        <w:rPr>
          <w:rFonts w:ascii="Times New Roman" w:hAnsi="Times New Roman" w:cs="Times New Roman"/>
          <w:b/>
        </w:rPr>
        <w:t>Cabo Verde</w:t>
      </w:r>
    </w:p>
    <w:p w14:paraId="61CAF52A" w14:textId="77777777" w:rsidR="00AA22CB" w:rsidRPr="004922D7" w:rsidRDefault="00AA22CB">
      <w:pPr>
        <w:rPr>
          <w:rFonts w:ascii="Times New Roman" w:hAnsi="Times New Roman" w:cs="Times New Roman"/>
        </w:rPr>
      </w:pPr>
    </w:p>
    <w:tbl>
      <w:tblPr>
        <w:tblStyle w:val="TableGrid"/>
        <w:tblW w:w="8856" w:type="dxa"/>
        <w:tblLayout w:type="fixed"/>
        <w:tblLook w:val="04A0" w:firstRow="1" w:lastRow="0" w:firstColumn="1" w:lastColumn="0" w:noHBand="0" w:noVBand="1"/>
      </w:tblPr>
      <w:tblGrid>
        <w:gridCol w:w="2141"/>
        <w:gridCol w:w="6715"/>
      </w:tblGrid>
      <w:tr w:rsidR="00AA22CB" w:rsidRPr="004922D7" w14:paraId="75EBC69E" w14:textId="77777777" w:rsidTr="00771AF5">
        <w:tc>
          <w:tcPr>
            <w:tcW w:w="8856" w:type="dxa"/>
            <w:gridSpan w:val="2"/>
          </w:tcPr>
          <w:p w14:paraId="30B39F1C" w14:textId="743D1F43" w:rsidR="00AA22CB" w:rsidRPr="004922D7" w:rsidRDefault="00471E05" w:rsidP="00471E05">
            <w:pPr>
              <w:jc w:val="both"/>
              <w:rPr>
                <w:rFonts w:ascii="Times New Roman" w:hAnsi="Times New Roman" w:cs="Times New Roman"/>
              </w:rPr>
            </w:pPr>
            <w:r>
              <w:rPr>
                <w:rFonts w:ascii="Times New Roman" w:hAnsi="Times New Roman" w:cs="Times New Roman"/>
              </w:rPr>
              <w:t>Cabo Verde has a procedural-</w:t>
            </w:r>
            <w:r w:rsidR="006B183F">
              <w:rPr>
                <w:rFonts w:ascii="Times New Roman" w:hAnsi="Times New Roman" w:cs="Times New Roman"/>
              </w:rPr>
              <w:t xml:space="preserve">type limit without an exception </w:t>
            </w:r>
            <w:r>
              <w:rPr>
                <w:rFonts w:ascii="Times New Roman" w:hAnsi="Times New Roman" w:cs="Times New Roman"/>
              </w:rPr>
              <w:t>that</w:t>
            </w:r>
            <w:r w:rsidR="006B183F">
              <w:rPr>
                <w:rFonts w:ascii="Times New Roman" w:hAnsi="Times New Roman" w:cs="Times New Roman"/>
              </w:rPr>
              <w:t xml:space="preserve"> range</w:t>
            </w:r>
            <w:r>
              <w:rPr>
                <w:rFonts w:ascii="Times New Roman" w:hAnsi="Times New Roman" w:cs="Times New Roman"/>
              </w:rPr>
              <w:t>s from a minimum of</w:t>
            </w:r>
            <w:r w:rsidR="006B183F">
              <w:rPr>
                <w:rFonts w:ascii="Times New Roman" w:hAnsi="Times New Roman" w:cs="Times New Roman"/>
              </w:rPr>
              <w:t xml:space="preserve"> four </w:t>
            </w:r>
            <w:r>
              <w:rPr>
                <w:rFonts w:ascii="Times New Roman" w:hAnsi="Times New Roman" w:cs="Times New Roman"/>
              </w:rPr>
              <w:t xml:space="preserve">months </w:t>
            </w:r>
            <w:r w:rsidR="006B183F">
              <w:rPr>
                <w:rFonts w:ascii="Times New Roman" w:hAnsi="Times New Roman" w:cs="Times New Roman"/>
              </w:rPr>
              <w:t>to</w:t>
            </w:r>
            <w:r>
              <w:rPr>
                <w:rFonts w:ascii="Times New Roman" w:hAnsi="Times New Roman" w:cs="Times New Roman"/>
              </w:rPr>
              <w:t xml:space="preserve"> a maximum of</w:t>
            </w:r>
            <w:r w:rsidR="006B183F">
              <w:rPr>
                <w:rFonts w:ascii="Times New Roman" w:hAnsi="Times New Roman" w:cs="Times New Roman"/>
              </w:rPr>
              <w:t xml:space="preserve"> twenty-two months.</w:t>
            </w:r>
          </w:p>
        </w:tc>
      </w:tr>
      <w:tr w:rsidR="00AA22CB" w:rsidRPr="004922D7" w14:paraId="2F9E47C4" w14:textId="77777777" w:rsidTr="00771AF5">
        <w:tc>
          <w:tcPr>
            <w:tcW w:w="2141" w:type="dxa"/>
          </w:tcPr>
          <w:p w14:paraId="712F863E" w14:textId="77777777" w:rsidR="00AA22CB" w:rsidRPr="004922D7" w:rsidRDefault="00AA22CB" w:rsidP="00650F1F">
            <w:pPr>
              <w:rPr>
                <w:rFonts w:ascii="Times New Roman" w:hAnsi="Times New Roman" w:cs="Times New Roman"/>
              </w:rPr>
            </w:pPr>
            <w:r w:rsidRPr="004922D7">
              <w:rPr>
                <w:rFonts w:ascii="Times New Roman" w:hAnsi="Times New Roman" w:cs="Times New Roman"/>
              </w:rPr>
              <w:t>Statute Citation</w:t>
            </w:r>
          </w:p>
        </w:tc>
        <w:tc>
          <w:tcPr>
            <w:tcW w:w="6715" w:type="dxa"/>
          </w:tcPr>
          <w:p w14:paraId="15416EB4" w14:textId="77777777" w:rsidR="008D17E0" w:rsidRPr="008D17E0" w:rsidRDefault="008D17E0" w:rsidP="008D17E0">
            <w:pPr>
              <w:rPr>
                <w:rFonts w:ascii="Times New Roman" w:hAnsi="Times New Roman" w:cs="Times New Roman"/>
                <w:bCs/>
              </w:rPr>
            </w:pPr>
            <w:proofErr w:type="spellStart"/>
            <w:r w:rsidRPr="008D17E0">
              <w:rPr>
                <w:rFonts w:ascii="Times New Roman" w:hAnsi="Times New Roman" w:cs="Times New Roman"/>
                <w:bCs/>
              </w:rPr>
              <w:t>Artigo</w:t>
            </w:r>
            <w:proofErr w:type="spellEnd"/>
            <w:r w:rsidRPr="008D17E0">
              <w:rPr>
                <w:rFonts w:ascii="Times New Roman" w:hAnsi="Times New Roman" w:cs="Times New Roman"/>
                <w:bCs/>
              </w:rPr>
              <w:t xml:space="preserve"> 279</w:t>
            </w:r>
            <w:proofErr w:type="gramStart"/>
            <w:r w:rsidRPr="008D17E0">
              <w:rPr>
                <w:rFonts w:ascii="Times New Roman" w:hAnsi="Times New Roman" w:cs="Times New Roman"/>
                <w:bCs/>
              </w:rPr>
              <w:t>.°</w:t>
            </w:r>
            <w:proofErr w:type="gramEnd"/>
            <w:r w:rsidRPr="008D17E0">
              <w:rPr>
                <w:rFonts w:ascii="Times New Roman" w:hAnsi="Times New Roman" w:cs="Times New Roman"/>
                <w:bCs/>
              </w:rPr>
              <w:t xml:space="preserve"> </w:t>
            </w:r>
          </w:p>
          <w:p w14:paraId="0A40A8CA" w14:textId="77777777" w:rsidR="008D17E0" w:rsidRPr="008D17E0" w:rsidRDefault="008D17E0" w:rsidP="008D17E0">
            <w:pPr>
              <w:rPr>
                <w:rFonts w:ascii="Times New Roman" w:hAnsi="Times New Roman" w:cs="Times New Roman"/>
                <w:bCs/>
              </w:rPr>
            </w:pPr>
            <w:r w:rsidRPr="008D17E0">
              <w:rPr>
                <w:rFonts w:ascii="Times New Roman" w:hAnsi="Times New Roman" w:cs="Times New Roman"/>
                <w:bCs/>
              </w:rPr>
              <w:t>(</w:t>
            </w:r>
            <w:proofErr w:type="spellStart"/>
            <w:r w:rsidRPr="008D17E0">
              <w:rPr>
                <w:rFonts w:ascii="Times New Roman" w:hAnsi="Times New Roman" w:cs="Times New Roman"/>
                <w:bCs/>
              </w:rPr>
              <w:t>Bigamia</w:t>
            </w:r>
            <w:proofErr w:type="spellEnd"/>
            <w:r w:rsidRPr="008D17E0">
              <w:rPr>
                <w:rFonts w:ascii="Times New Roman" w:hAnsi="Times New Roman" w:cs="Times New Roman"/>
                <w:bCs/>
              </w:rPr>
              <w:t xml:space="preserve">) </w:t>
            </w:r>
          </w:p>
          <w:p w14:paraId="6D98061A" w14:textId="77777777" w:rsidR="008D17E0" w:rsidRPr="008D17E0" w:rsidRDefault="008D17E0" w:rsidP="008D17E0">
            <w:pPr>
              <w:rPr>
                <w:rFonts w:ascii="Times New Roman" w:hAnsi="Times New Roman" w:cs="Times New Roman"/>
                <w:bCs/>
              </w:rPr>
            </w:pPr>
            <w:r w:rsidRPr="008D17E0">
              <w:rPr>
                <w:rFonts w:ascii="Times New Roman" w:hAnsi="Times New Roman" w:cs="Times New Roman"/>
                <w:bCs/>
              </w:rPr>
              <w:t xml:space="preserve">1 - </w:t>
            </w:r>
            <w:proofErr w:type="spellStart"/>
            <w:r w:rsidRPr="008D17E0">
              <w:rPr>
                <w:rFonts w:ascii="Times New Roman" w:hAnsi="Times New Roman" w:cs="Times New Roman"/>
                <w:bCs/>
              </w:rPr>
              <w:t>Quem</w:t>
            </w:r>
            <w:proofErr w:type="spellEnd"/>
            <w:r w:rsidRPr="008D17E0">
              <w:rPr>
                <w:rFonts w:ascii="Times New Roman" w:hAnsi="Times New Roman" w:cs="Times New Roman"/>
                <w:bCs/>
              </w:rPr>
              <w:t xml:space="preserve">, </w:t>
            </w:r>
            <w:proofErr w:type="spellStart"/>
            <w:r w:rsidRPr="008D17E0">
              <w:rPr>
                <w:rFonts w:ascii="Times New Roman" w:hAnsi="Times New Roman" w:cs="Times New Roman"/>
                <w:bCs/>
              </w:rPr>
              <w:t>sendo</w:t>
            </w:r>
            <w:proofErr w:type="spellEnd"/>
            <w:r w:rsidRPr="008D17E0">
              <w:rPr>
                <w:rFonts w:ascii="Times New Roman" w:hAnsi="Times New Roman" w:cs="Times New Roman"/>
                <w:bCs/>
              </w:rPr>
              <w:t xml:space="preserve"> </w:t>
            </w:r>
            <w:proofErr w:type="spellStart"/>
            <w:r w:rsidRPr="008D17E0">
              <w:rPr>
                <w:rFonts w:ascii="Times New Roman" w:hAnsi="Times New Roman" w:cs="Times New Roman"/>
                <w:bCs/>
              </w:rPr>
              <w:t>casado</w:t>
            </w:r>
            <w:proofErr w:type="spellEnd"/>
            <w:r w:rsidRPr="008D17E0">
              <w:rPr>
                <w:rFonts w:ascii="Times New Roman" w:hAnsi="Times New Roman" w:cs="Times New Roman"/>
                <w:bCs/>
              </w:rPr>
              <w:t xml:space="preserve">, </w:t>
            </w:r>
            <w:proofErr w:type="spellStart"/>
            <w:r w:rsidRPr="008D17E0">
              <w:rPr>
                <w:rFonts w:ascii="Times New Roman" w:hAnsi="Times New Roman" w:cs="Times New Roman"/>
                <w:bCs/>
              </w:rPr>
              <w:t>contrair</w:t>
            </w:r>
            <w:proofErr w:type="spellEnd"/>
            <w:r w:rsidRPr="008D17E0">
              <w:rPr>
                <w:rFonts w:ascii="Times New Roman" w:hAnsi="Times New Roman" w:cs="Times New Roman"/>
                <w:bCs/>
              </w:rPr>
              <w:t xml:space="preserve"> outro </w:t>
            </w:r>
            <w:proofErr w:type="spellStart"/>
            <w:r w:rsidRPr="008D17E0">
              <w:rPr>
                <w:rFonts w:ascii="Times New Roman" w:hAnsi="Times New Roman" w:cs="Times New Roman"/>
                <w:bCs/>
              </w:rPr>
              <w:t>casamento</w:t>
            </w:r>
            <w:proofErr w:type="spellEnd"/>
            <w:r w:rsidRPr="008D17E0">
              <w:rPr>
                <w:rFonts w:ascii="Times New Roman" w:hAnsi="Times New Roman" w:cs="Times New Roman"/>
                <w:bCs/>
              </w:rPr>
              <w:t xml:space="preserve">, </w:t>
            </w:r>
            <w:proofErr w:type="spellStart"/>
            <w:r w:rsidRPr="008D17E0">
              <w:rPr>
                <w:rFonts w:ascii="Times New Roman" w:hAnsi="Times New Roman" w:cs="Times New Roman"/>
                <w:bCs/>
              </w:rPr>
              <w:t>ou</w:t>
            </w:r>
            <w:proofErr w:type="spellEnd"/>
            <w:r w:rsidRPr="008D17E0">
              <w:rPr>
                <w:rFonts w:ascii="Times New Roman" w:hAnsi="Times New Roman" w:cs="Times New Roman"/>
                <w:bCs/>
              </w:rPr>
              <w:t xml:space="preserve"> </w:t>
            </w:r>
            <w:proofErr w:type="spellStart"/>
            <w:r w:rsidRPr="008D17E0">
              <w:rPr>
                <w:rFonts w:ascii="Times New Roman" w:hAnsi="Times New Roman" w:cs="Times New Roman"/>
                <w:bCs/>
              </w:rPr>
              <w:t>quem</w:t>
            </w:r>
            <w:proofErr w:type="spellEnd"/>
            <w:r w:rsidRPr="008D17E0">
              <w:rPr>
                <w:rFonts w:ascii="Times New Roman" w:hAnsi="Times New Roman" w:cs="Times New Roman"/>
                <w:bCs/>
              </w:rPr>
              <w:t xml:space="preserve"> </w:t>
            </w:r>
            <w:proofErr w:type="spellStart"/>
            <w:r w:rsidRPr="008D17E0">
              <w:rPr>
                <w:rFonts w:ascii="Times New Roman" w:hAnsi="Times New Roman" w:cs="Times New Roman"/>
                <w:bCs/>
              </w:rPr>
              <w:t>contrair</w:t>
            </w:r>
            <w:proofErr w:type="spellEnd"/>
            <w:r w:rsidRPr="008D17E0">
              <w:rPr>
                <w:rFonts w:ascii="Times New Roman" w:hAnsi="Times New Roman" w:cs="Times New Roman"/>
                <w:bCs/>
              </w:rPr>
              <w:t xml:space="preserve"> </w:t>
            </w:r>
            <w:proofErr w:type="spellStart"/>
            <w:r w:rsidRPr="008D17E0">
              <w:rPr>
                <w:rFonts w:ascii="Times New Roman" w:hAnsi="Times New Roman" w:cs="Times New Roman"/>
                <w:bCs/>
              </w:rPr>
              <w:t>casamento</w:t>
            </w:r>
            <w:proofErr w:type="spellEnd"/>
            <w:r w:rsidRPr="008D17E0">
              <w:rPr>
                <w:rFonts w:ascii="Times New Roman" w:hAnsi="Times New Roman" w:cs="Times New Roman"/>
                <w:bCs/>
              </w:rPr>
              <w:t xml:space="preserve"> com </w:t>
            </w:r>
            <w:proofErr w:type="spellStart"/>
            <w:r w:rsidRPr="008D17E0">
              <w:rPr>
                <w:rFonts w:ascii="Times New Roman" w:hAnsi="Times New Roman" w:cs="Times New Roman"/>
                <w:bCs/>
              </w:rPr>
              <w:t>pessoa</w:t>
            </w:r>
            <w:proofErr w:type="spellEnd"/>
            <w:r w:rsidRPr="008D17E0">
              <w:rPr>
                <w:rFonts w:ascii="Times New Roman" w:hAnsi="Times New Roman" w:cs="Times New Roman"/>
                <w:bCs/>
              </w:rPr>
              <w:t xml:space="preserve"> </w:t>
            </w:r>
            <w:proofErr w:type="spellStart"/>
            <w:r w:rsidRPr="008D17E0">
              <w:rPr>
                <w:rFonts w:ascii="Times New Roman" w:hAnsi="Times New Roman" w:cs="Times New Roman"/>
                <w:bCs/>
              </w:rPr>
              <w:t>casada</w:t>
            </w:r>
            <w:proofErr w:type="spellEnd"/>
            <w:r w:rsidRPr="008D17E0">
              <w:rPr>
                <w:rFonts w:ascii="Times New Roman" w:hAnsi="Times New Roman" w:cs="Times New Roman"/>
                <w:bCs/>
              </w:rPr>
              <w:t xml:space="preserve">, </w:t>
            </w:r>
            <w:proofErr w:type="spellStart"/>
            <w:r w:rsidRPr="008D17E0">
              <w:rPr>
                <w:rFonts w:ascii="Times New Roman" w:hAnsi="Times New Roman" w:cs="Times New Roman"/>
                <w:bCs/>
              </w:rPr>
              <w:t>será</w:t>
            </w:r>
            <w:proofErr w:type="spellEnd"/>
            <w:r w:rsidRPr="008D17E0">
              <w:rPr>
                <w:rFonts w:ascii="Times New Roman" w:hAnsi="Times New Roman" w:cs="Times New Roman"/>
                <w:bCs/>
              </w:rPr>
              <w:t xml:space="preserve"> </w:t>
            </w:r>
            <w:proofErr w:type="spellStart"/>
            <w:r w:rsidRPr="008D17E0">
              <w:rPr>
                <w:rFonts w:ascii="Times New Roman" w:hAnsi="Times New Roman" w:cs="Times New Roman"/>
                <w:bCs/>
              </w:rPr>
              <w:t>punido</w:t>
            </w:r>
            <w:proofErr w:type="spellEnd"/>
            <w:r w:rsidRPr="008D17E0">
              <w:rPr>
                <w:rFonts w:ascii="Times New Roman" w:hAnsi="Times New Roman" w:cs="Times New Roman"/>
                <w:bCs/>
              </w:rPr>
              <w:t xml:space="preserve"> com </w:t>
            </w:r>
            <w:proofErr w:type="spellStart"/>
            <w:r w:rsidRPr="008D17E0">
              <w:rPr>
                <w:rFonts w:ascii="Times New Roman" w:hAnsi="Times New Roman" w:cs="Times New Roman"/>
                <w:bCs/>
              </w:rPr>
              <w:t>pena</w:t>
            </w:r>
            <w:proofErr w:type="spellEnd"/>
            <w:r w:rsidRPr="008D17E0">
              <w:rPr>
                <w:rFonts w:ascii="Times New Roman" w:hAnsi="Times New Roman" w:cs="Times New Roman"/>
                <w:bCs/>
              </w:rPr>
              <w:t xml:space="preserve"> de </w:t>
            </w:r>
            <w:proofErr w:type="spellStart"/>
            <w:r w:rsidRPr="008D17E0">
              <w:rPr>
                <w:rFonts w:ascii="Times New Roman" w:hAnsi="Times New Roman" w:cs="Times New Roman"/>
                <w:bCs/>
              </w:rPr>
              <w:t>prisão</w:t>
            </w:r>
            <w:proofErr w:type="spellEnd"/>
            <w:r w:rsidRPr="008D17E0">
              <w:rPr>
                <w:rFonts w:ascii="Times New Roman" w:hAnsi="Times New Roman" w:cs="Times New Roman"/>
                <w:bCs/>
              </w:rPr>
              <w:t xml:space="preserve"> </w:t>
            </w:r>
            <w:proofErr w:type="spellStart"/>
            <w:r w:rsidRPr="008D17E0">
              <w:rPr>
                <w:rFonts w:ascii="Times New Roman" w:hAnsi="Times New Roman" w:cs="Times New Roman"/>
                <w:bCs/>
              </w:rPr>
              <w:t>até</w:t>
            </w:r>
            <w:proofErr w:type="spellEnd"/>
            <w:r w:rsidRPr="008D17E0">
              <w:rPr>
                <w:rFonts w:ascii="Times New Roman" w:hAnsi="Times New Roman" w:cs="Times New Roman"/>
                <w:bCs/>
              </w:rPr>
              <w:t xml:space="preserve"> 2 </w:t>
            </w:r>
            <w:proofErr w:type="spellStart"/>
            <w:r w:rsidRPr="008D17E0">
              <w:rPr>
                <w:rFonts w:ascii="Times New Roman" w:hAnsi="Times New Roman" w:cs="Times New Roman"/>
                <w:bCs/>
              </w:rPr>
              <w:t>anos</w:t>
            </w:r>
            <w:proofErr w:type="spellEnd"/>
            <w:r w:rsidRPr="008D17E0">
              <w:rPr>
                <w:rFonts w:ascii="Times New Roman" w:hAnsi="Times New Roman" w:cs="Times New Roman"/>
                <w:bCs/>
              </w:rPr>
              <w:t xml:space="preserve"> </w:t>
            </w:r>
            <w:proofErr w:type="spellStart"/>
            <w:r w:rsidRPr="008D17E0">
              <w:rPr>
                <w:rFonts w:ascii="Times New Roman" w:hAnsi="Times New Roman" w:cs="Times New Roman"/>
                <w:bCs/>
              </w:rPr>
              <w:t>ou</w:t>
            </w:r>
            <w:proofErr w:type="spellEnd"/>
            <w:r w:rsidRPr="008D17E0">
              <w:rPr>
                <w:rFonts w:ascii="Times New Roman" w:hAnsi="Times New Roman" w:cs="Times New Roman"/>
                <w:bCs/>
              </w:rPr>
              <w:t xml:space="preserve"> com </w:t>
            </w:r>
            <w:proofErr w:type="spellStart"/>
            <w:r w:rsidRPr="008D17E0">
              <w:rPr>
                <w:rFonts w:ascii="Times New Roman" w:hAnsi="Times New Roman" w:cs="Times New Roman"/>
                <w:bCs/>
              </w:rPr>
              <w:t>pena</w:t>
            </w:r>
            <w:proofErr w:type="spellEnd"/>
            <w:r w:rsidRPr="008D17E0">
              <w:rPr>
                <w:rFonts w:ascii="Times New Roman" w:hAnsi="Times New Roman" w:cs="Times New Roman"/>
                <w:bCs/>
              </w:rPr>
              <w:t xml:space="preserve"> de </w:t>
            </w:r>
            <w:proofErr w:type="spellStart"/>
            <w:r w:rsidRPr="008D17E0">
              <w:rPr>
                <w:rFonts w:ascii="Times New Roman" w:hAnsi="Times New Roman" w:cs="Times New Roman"/>
                <w:bCs/>
              </w:rPr>
              <w:t>multa</w:t>
            </w:r>
            <w:proofErr w:type="spellEnd"/>
            <w:r w:rsidRPr="008D17E0">
              <w:rPr>
                <w:rFonts w:ascii="Times New Roman" w:hAnsi="Times New Roman" w:cs="Times New Roman"/>
                <w:bCs/>
              </w:rPr>
              <w:t xml:space="preserve"> de 60 a 150 </w:t>
            </w:r>
            <w:proofErr w:type="spellStart"/>
            <w:r w:rsidRPr="008D17E0">
              <w:rPr>
                <w:rFonts w:ascii="Times New Roman" w:hAnsi="Times New Roman" w:cs="Times New Roman"/>
                <w:bCs/>
              </w:rPr>
              <w:t>dias</w:t>
            </w:r>
            <w:proofErr w:type="spellEnd"/>
            <w:r w:rsidRPr="008D17E0">
              <w:rPr>
                <w:rFonts w:ascii="Times New Roman" w:hAnsi="Times New Roman" w:cs="Times New Roman"/>
                <w:bCs/>
              </w:rPr>
              <w:t xml:space="preserve">. </w:t>
            </w:r>
          </w:p>
          <w:p w14:paraId="7C2F008A" w14:textId="77777777" w:rsidR="008D17E0" w:rsidRPr="008D17E0" w:rsidRDefault="008D17E0" w:rsidP="008D17E0">
            <w:pPr>
              <w:rPr>
                <w:rFonts w:ascii="Times New Roman" w:hAnsi="Times New Roman" w:cs="Times New Roman"/>
                <w:bCs/>
              </w:rPr>
            </w:pPr>
            <w:r w:rsidRPr="008D17E0">
              <w:rPr>
                <w:rFonts w:ascii="Times New Roman" w:hAnsi="Times New Roman" w:cs="Times New Roman"/>
                <w:bCs/>
              </w:rPr>
              <w:t xml:space="preserve">2 - Na </w:t>
            </w:r>
            <w:proofErr w:type="spellStart"/>
            <w:r w:rsidRPr="008D17E0">
              <w:rPr>
                <w:rFonts w:ascii="Times New Roman" w:hAnsi="Times New Roman" w:cs="Times New Roman"/>
                <w:bCs/>
              </w:rPr>
              <w:t>mesma</w:t>
            </w:r>
            <w:proofErr w:type="spellEnd"/>
            <w:r w:rsidRPr="008D17E0">
              <w:rPr>
                <w:rFonts w:ascii="Times New Roman" w:hAnsi="Times New Roman" w:cs="Times New Roman"/>
                <w:bCs/>
              </w:rPr>
              <w:t xml:space="preserve"> </w:t>
            </w:r>
            <w:proofErr w:type="spellStart"/>
            <w:r w:rsidRPr="008D17E0">
              <w:rPr>
                <w:rFonts w:ascii="Times New Roman" w:hAnsi="Times New Roman" w:cs="Times New Roman"/>
                <w:bCs/>
              </w:rPr>
              <w:t>pena</w:t>
            </w:r>
            <w:proofErr w:type="spellEnd"/>
            <w:r w:rsidRPr="008D17E0">
              <w:rPr>
                <w:rFonts w:ascii="Times New Roman" w:hAnsi="Times New Roman" w:cs="Times New Roman"/>
                <w:bCs/>
              </w:rPr>
              <w:t xml:space="preserve"> </w:t>
            </w:r>
            <w:proofErr w:type="spellStart"/>
            <w:r w:rsidRPr="008D17E0">
              <w:rPr>
                <w:rFonts w:ascii="Times New Roman" w:hAnsi="Times New Roman" w:cs="Times New Roman"/>
                <w:bCs/>
              </w:rPr>
              <w:t>incorrerá</w:t>
            </w:r>
            <w:proofErr w:type="spellEnd"/>
            <w:r w:rsidRPr="008D17E0">
              <w:rPr>
                <w:rFonts w:ascii="Times New Roman" w:hAnsi="Times New Roman" w:cs="Times New Roman"/>
                <w:bCs/>
              </w:rPr>
              <w:t xml:space="preserve"> </w:t>
            </w:r>
            <w:proofErr w:type="spellStart"/>
            <w:r w:rsidRPr="008D17E0">
              <w:rPr>
                <w:rFonts w:ascii="Times New Roman" w:hAnsi="Times New Roman" w:cs="Times New Roman"/>
                <w:bCs/>
              </w:rPr>
              <w:t>quem</w:t>
            </w:r>
            <w:proofErr w:type="spellEnd"/>
            <w:r w:rsidRPr="008D17E0">
              <w:rPr>
                <w:rFonts w:ascii="Times New Roman" w:hAnsi="Times New Roman" w:cs="Times New Roman"/>
                <w:bCs/>
              </w:rPr>
              <w:t xml:space="preserve">, </w:t>
            </w:r>
            <w:proofErr w:type="spellStart"/>
            <w:r w:rsidRPr="008D17E0">
              <w:rPr>
                <w:rFonts w:ascii="Times New Roman" w:hAnsi="Times New Roman" w:cs="Times New Roman"/>
                <w:bCs/>
              </w:rPr>
              <w:t>tendo</w:t>
            </w:r>
            <w:proofErr w:type="spellEnd"/>
            <w:r w:rsidRPr="008D17E0">
              <w:rPr>
                <w:rFonts w:ascii="Times New Roman" w:hAnsi="Times New Roman" w:cs="Times New Roman"/>
                <w:bCs/>
              </w:rPr>
              <w:t xml:space="preserve"> para </w:t>
            </w:r>
            <w:proofErr w:type="spellStart"/>
            <w:r w:rsidRPr="008D17E0">
              <w:rPr>
                <w:rFonts w:ascii="Times New Roman" w:hAnsi="Times New Roman" w:cs="Times New Roman"/>
                <w:bCs/>
              </w:rPr>
              <w:t>tal</w:t>
            </w:r>
            <w:proofErr w:type="spellEnd"/>
            <w:r w:rsidRPr="008D17E0">
              <w:rPr>
                <w:rFonts w:ascii="Times New Roman" w:hAnsi="Times New Roman" w:cs="Times New Roman"/>
                <w:bCs/>
              </w:rPr>
              <w:t xml:space="preserve"> </w:t>
            </w:r>
            <w:proofErr w:type="spellStart"/>
            <w:r w:rsidRPr="008D17E0">
              <w:rPr>
                <w:rFonts w:ascii="Times New Roman" w:hAnsi="Times New Roman" w:cs="Times New Roman"/>
                <w:bCs/>
              </w:rPr>
              <w:t>competência</w:t>
            </w:r>
            <w:proofErr w:type="spellEnd"/>
            <w:r w:rsidRPr="008D17E0">
              <w:rPr>
                <w:rFonts w:ascii="Times New Roman" w:hAnsi="Times New Roman" w:cs="Times New Roman"/>
                <w:bCs/>
              </w:rPr>
              <w:t xml:space="preserve">, </w:t>
            </w:r>
            <w:proofErr w:type="spellStart"/>
            <w:r w:rsidRPr="008D17E0">
              <w:rPr>
                <w:rFonts w:ascii="Times New Roman" w:hAnsi="Times New Roman" w:cs="Times New Roman"/>
                <w:bCs/>
              </w:rPr>
              <w:t>realizar</w:t>
            </w:r>
            <w:proofErr w:type="spellEnd"/>
            <w:r w:rsidRPr="008D17E0">
              <w:rPr>
                <w:rFonts w:ascii="Times New Roman" w:hAnsi="Times New Roman" w:cs="Times New Roman"/>
                <w:bCs/>
              </w:rPr>
              <w:t xml:space="preserve"> </w:t>
            </w:r>
            <w:proofErr w:type="spellStart"/>
            <w:r w:rsidRPr="008D17E0">
              <w:rPr>
                <w:rFonts w:ascii="Times New Roman" w:hAnsi="Times New Roman" w:cs="Times New Roman"/>
                <w:bCs/>
              </w:rPr>
              <w:t>ou</w:t>
            </w:r>
            <w:proofErr w:type="spellEnd"/>
            <w:r w:rsidRPr="008D17E0">
              <w:rPr>
                <w:rFonts w:ascii="Times New Roman" w:hAnsi="Times New Roman" w:cs="Times New Roman"/>
                <w:bCs/>
              </w:rPr>
              <w:t xml:space="preserve"> </w:t>
            </w:r>
            <w:proofErr w:type="spellStart"/>
            <w:r w:rsidRPr="008D17E0">
              <w:rPr>
                <w:rFonts w:ascii="Times New Roman" w:hAnsi="Times New Roman" w:cs="Times New Roman"/>
                <w:bCs/>
              </w:rPr>
              <w:t>autorizar</w:t>
            </w:r>
            <w:proofErr w:type="spellEnd"/>
            <w:r w:rsidRPr="008D17E0">
              <w:rPr>
                <w:rFonts w:ascii="Times New Roman" w:hAnsi="Times New Roman" w:cs="Times New Roman"/>
                <w:bCs/>
              </w:rPr>
              <w:t xml:space="preserve"> a </w:t>
            </w:r>
            <w:proofErr w:type="spellStart"/>
            <w:r w:rsidRPr="008D17E0">
              <w:rPr>
                <w:rFonts w:ascii="Times New Roman" w:hAnsi="Times New Roman" w:cs="Times New Roman"/>
                <w:bCs/>
              </w:rPr>
              <w:t>realização</w:t>
            </w:r>
            <w:proofErr w:type="spellEnd"/>
            <w:r w:rsidRPr="008D17E0">
              <w:rPr>
                <w:rFonts w:ascii="Times New Roman" w:hAnsi="Times New Roman" w:cs="Times New Roman"/>
                <w:bCs/>
              </w:rPr>
              <w:t xml:space="preserve"> de </w:t>
            </w:r>
            <w:proofErr w:type="spellStart"/>
            <w:r w:rsidRPr="008D17E0">
              <w:rPr>
                <w:rFonts w:ascii="Times New Roman" w:hAnsi="Times New Roman" w:cs="Times New Roman"/>
                <w:bCs/>
              </w:rPr>
              <w:t>casamento</w:t>
            </w:r>
            <w:proofErr w:type="spellEnd"/>
            <w:r w:rsidRPr="008D17E0">
              <w:rPr>
                <w:rFonts w:ascii="Times New Roman" w:hAnsi="Times New Roman" w:cs="Times New Roman"/>
                <w:bCs/>
              </w:rPr>
              <w:t xml:space="preserve"> </w:t>
            </w:r>
            <w:proofErr w:type="spellStart"/>
            <w:r w:rsidRPr="008D17E0">
              <w:rPr>
                <w:rFonts w:ascii="Times New Roman" w:hAnsi="Times New Roman" w:cs="Times New Roman"/>
                <w:bCs/>
              </w:rPr>
              <w:t>nas</w:t>
            </w:r>
            <w:proofErr w:type="spellEnd"/>
            <w:r w:rsidRPr="008D17E0">
              <w:rPr>
                <w:rFonts w:ascii="Times New Roman" w:hAnsi="Times New Roman" w:cs="Times New Roman"/>
                <w:bCs/>
              </w:rPr>
              <w:t xml:space="preserve"> </w:t>
            </w:r>
            <w:proofErr w:type="spellStart"/>
            <w:r w:rsidRPr="008D17E0">
              <w:rPr>
                <w:rFonts w:ascii="Times New Roman" w:hAnsi="Times New Roman" w:cs="Times New Roman"/>
                <w:bCs/>
              </w:rPr>
              <w:t>condições</w:t>
            </w:r>
            <w:proofErr w:type="spellEnd"/>
            <w:r w:rsidRPr="008D17E0">
              <w:rPr>
                <w:rFonts w:ascii="Times New Roman" w:hAnsi="Times New Roman" w:cs="Times New Roman"/>
                <w:bCs/>
              </w:rPr>
              <w:t xml:space="preserve"> </w:t>
            </w:r>
            <w:proofErr w:type="spellStart"/>
            <w:r w:rsidRPr="008D17E0">
              <w:rPr>
                <w:rFonts w:ascii="Times New Roman" w:hAnsi="Times New Roman" w:cs="Times New Roman"/>
                <w:bCs/>
              </w:rPr>
              <w:t>referidas</w:t>
            </w:r>
            <w:proofErr w:type="spellEnd"/>
            <w:r w:rsidRPr="008D17E0">
              <w:rPr>
                <w:rFonts w:ascii="Times New Roman" w:hAnsi="Times New Roman" w:cs="Times New Roman"/>
                <w:bCs/>
              </w:rPr>
              <w:t xml:space="preserve"> no </w:t>
            </w:r>
            <w:proofErr w:type="spellStart"/>
            <w:r w:rsidRPr="008D17E0">
              <w:rPr>
                <w:rFonts w:ascii="Times New Roman" w:hAnsi="Times New Roman" w:cs="Times New Roman"/>
                <w:bCs/>
              </w:rPr>
              <w:t>número</w:t>
            </w:r>
            <w:proofErr w:type="spellEnd"/>
            <w:r w:rsidRPr="008D17E0">
              <w:rPr>
                <w:rFonts w:ascii="Times New Roman" w:hAnsi="Times New Roman" w:cs="Times New Roman"/>
                <w:bCs/>
              </w:rPr>
              <w:t xml:space="preserve"> anterior. </w:t>
            </w:r>
          </w:p>
          <w:p w14:paraId="31F671CB" w14:textId="77777777" w:rsidR="008D17E0" w:rsidRDefault="008D17E0" w:rsidP="00310A40">
            <w:pPr>
              <w:rPr>
                <w:rFonts w:ascii="Times New Roman" w:hAnsi="Times New Roman" w:cs="Times New Roman"/>
                <w:bCs/>
              </w:rPr>
            </w:pPr>
          </w:p>
          <w:p w14:paraId="56784DA4" w14:textId="77777777" w:rsidR="008D17E0" w:rsidRDefault="008D17E0" w:rsidP="00310A40">
            <w:pPr>
              <w:rPr>
                <w:rFonts w:ascii="Times New Roman" w:hAnsi="Times New Roman" w:cs="Times New Roman"/>
                <w:bCs/>
              </w:rPr>
            </w:pPr>
          </w:p>
          <w:p w14:paraId="6F8A9521" w14:textId="3288052E" w:rsidR="008D17E0" w:rsidRDefault="00310A40" w:rsidP="00310A40">
            <w:pPr>
              <w:rPr>
                <w:rFonts w:ascii="Times New Roman" w:hAnsi="Times New Roman" w:cs="Times New Roman"/>
                <w:bCs/>
              </w:rPr>
            </w:pPr>
            <w:r w:rsidRPr="00310A40">
              <w:rPr>
                <w:rFonts w:ascii="Times New Roman" w:hAnsi="Times New Roman" w:cs="Times New Roman"/>
                <w:bCs/>
              </w:rPr>
              <w:t xml:space="preserve">Art. 279: </w:t>
            </w:r>
          </w:p>
          <w:p w14:paraId="57523B77" w14:textId="0EE9106B" w:rsidR="00310A40" w:rsidRPr="00310A40" w:rsidRDefault="00310A40" w:rsidP="00310A40">
            <w:pPr>
              <w:rPr>
                <w:rFonts w:ascii="Times New Roman" w:hAnsi="Times New Roman" w:cs="Times New Roman"/>
                <w:bCs/>
              </w:rPr>
            </w:pPr>
            <w:r w:rsidRPr="00310A40">
              <w:rPr>
                <w:rFonts w:ascii="Times New Roman" w:hAnsi="Times New Roman" w:cs="Times New Roman"/>
                <w:bCs/>
              </w:rPr>
              <w:t>1. Pre-trial detention shall be extinguished when, from the outset, it has elapsed: a) Four months without charge; b) Eight months without having, in the event of a preliminary inter part</w:t>
            </w:r>
            <w:r w:rsidR="008D17E0">
              <w:rPr>
                <w:rFonts w:ascii="Times New Roman" w:hAnsi="Times New Roman" w:cs="Times New Roman"/>
                <w:bCs/>
              </w:rPr>
              <w:t>i</w:t>
            </w:r>
            <w:r w:rsidRPr="00310A40">
              <w:rPr>
                <w:rFonts w:ascii="Times New Roman" w:hAnsi="Times New Roman" w:cs="Times New Roman"/>
                <w:bCs/>
              </w:rPr>
              <w:t>es hearing, a pronouncement of pronunciation has been issued; c) Sixteen months without a conviction at first instance; d) Twenty-two months without a final judgment.</w:t>
            </w:r>
          </w:p>
          <w:p w14:paraId="50C3C261" w14:textId="77777777" w:rsidR="00A35EE0" w:rsidRDefault="00A35EE0" w:rsidP="00310A40">
            <w:pPr>
              <w:rPr>
                <w:rFonts w:ascii="Times New Roman" w:hAnsi="Times New Roman" w:cs="Times New Roman"/>
                <w:bCs/>
              </w:rPr>
            </w:pPr>
          </w:p>
          <w:p w14:paraId="340EBD6B" w14:textId="1E86B575" w:rsidR="00310A40" w:rsidRPr="00310A40" w:rsidRDefault="00310A40" w:rsidP="00310A40">
            <w:pPr>
              <w:rPr>
                <w:rFonts w:ascii="Times New Roman" w:hAnsi="Times New Roman" w:cs="Times New Roman"/>
                <w:bCs/>
              </w:rPr>
            </w:pPr>
            <w:proofErr w:type="spellStart"/>
            <w:r w:rsidRPr="00310A40">
              <w:rPr>
                <w:rFonts w:ascii="Times New Roman" w:hAnsi="Times New Roman" w:cs="Times New Roman"/>
                <w:bCs/>
              </w:rPr>
              <w:t>Código</w:t>
            </w:r>
            <w:proofErr w:type="spellEnd"/>
            <w:r w:rsidRPr="00310A40">
              <w:rPr>
                <w:rFonts w:ascii="Times New Roman" w:hAnsi="Times New Roman" w:cs="Times New Roman"/>
                <w:bCs/>
              </w:rPr>
              <w:t xml:space="preserve"> de </w:t>
            </w:r>
            <w:proofErr w:type="spellStart"/>
            <w:r w:rsidRPr="00310A40">
              <w:rPr>
                <w:rFonts w:ascii="Times New Roman" w:hAnsi="Times New Roman" w:cs="Times New Roman"/>
                <w:bCs/>
              </w:rPr>
              <w:t>Processo</w:t>
            </w:r>
            <w:proofErr w:type="spellEnd"/>
            <w:r w:rsidRPr="00310A40">
              <w:rPr>
                <w:rFonts w:ascii="Times New Roman" w:hAnsi="Times New Roman" w:cs="Times New Roman"/>
                <w:bCs/>
              </w:rPr>
              <w:t xml:space="preserve"> Penal [Criminal Procedure Code], </w:t>
            </w:r>
            <w:proofErr w:type="spellStart"/>
            <w:r w:rsidRPr="00310A40">
              <w:rPr>
                <w:rFonts w:ascii="Times New Roman" w:hAnsi="Times New Roman" w:cs="Times New Roman"/>
                <w:bCs/>
              </w:rPr>
              <w:t>Decreto-Legislativo</w:t>
            </w:r>
            <w:proofErr w:type="spellEnd"/>
            <w:r w:rsidRPr="00310A40">
              <w:rPr>
                <w:rFonts w:ascii="Times New Roman" w:hAnsi="Times New Roman" w:cs="Times New Roman"/>
                <w:bCs/>
              </w:rPr>
              <w:t xml:space="preserve"> n</w:t>
            </w:r>
            <w:r w:rsidR="008D17E0">
              <w:rPr>
                <w:rFonts w:ascii="Times New Roman" w:hAnsi="Times New Roman" w:cs="Times New Roman"/>
                <w:bCs/>
              </w:rPr>
              <w:t xml:space="preserve">º2/ 2005, art. 279 (Cabo Verde), </w:t>
            </w:r>
            <w:r w:rsidR="00A01B88" w:rsidRPr="00A01B88">
              <w:rPr>
                <w:rFonts w:ascii="Times New Roman" w:hAnsi="Times New Roman" w:cs="Times New Roman"/>
                <w:bCs/>
              </w:rPr>
              <w:t>https://iccdb.hrlc.net/documents/implementations/pdf/Cape_Verde-Code_of_criminal_procedure.pdf</w:t>
            </w:r>
            <w:r w:rsidR="00A01B88">
              <w:rPr>
                <w:rFonts w:ascii="Times New Roman" w:hAnsi="Times New Roman" w:cs="Times New Roman"/>
                <w:bCs/>
              </w:rPr>
              <w:t>.</w:t>
            </w:r>
          </w:p>
          <w:p w14:paraId="473DF9A0" w14:textId="31CB5AAF" w:rsidR="00310A40" w:rsidRPr="004922D7" w:rsidRDefault="00310A40" w:rsidP="00310A40">
            <w:pPr>
              <w:rPr>
                <w:rFonts w:ascii="Times New Roman" w:hAnsi="Times New Roman" w:cs="Times New Roman"/>
                <w:bCs/>
              </w:rPr>
            </w:pPr>
          </w:p>
        </w:tc>
      </w:tr>
      <w:tr w:rsidR="00AA22CB" w:rsidRPr="004922D7" w14:paraId="70159D2D" w14:textId="77777777" w:rsidTr="00771AF5">
        <w:tc>
          <w:tcPr>
            <w:tcW w:w="2141" w:type="dxa"/>
          </w:tcPr>
          <w:p w14:paraId="6633FF78" w14:textId="4E534598" w:rsidR="00AA22CB" w:rsidRPr="004922D7" w:rsidRDefault="00AA22CB" w:rsidP="00650F1F">
            <w:pPr>
              <w:rPr>
                <w:rFonts w:ascii="Times New Roman" w:hAnsi="Times New Roman" w:cs="Times New Roman"/>
              </w:rPr>
            </w:pPr>
            <w:r w:rsidRPr="004922D7">
              <w:rPr>
                <w:rFonts w:ascii="Times New Roman" w:hAnsi="Times New Roman" w:cs="Times New Roman"/>
              </w:rPr>
              <w:t>Recommended changes to statutory limit according to international law:</w:t>
            </w:r>
          </w:p>
        </w:tc>
        <w:tc>
          <w:tcPr>
            <w:tcW w:w="6715" w:type="dxa"/>
          </w:tcPr>
          <w:p w14:paraId="4B06D579" w14:textId="6038535A" w:rsidR="006B183F" w:rsidRDefault="006B183F" w:rsidP="001C5973">
            <w:pPr>
              <w:pStyle w:val="ListParagraph"/>
              <w:numPr>
                <w:ilvl w:val="0"/>
                <w:numId w:val="3"/>
              </w:numPr>
              <w:ind w:left="354"/>
              <w:rPr>
                <w:rFonts w:ascii="Times New Roman" w:hAnsi="Times New Roman" w:cs="Times New Roman"/>
                <w:sz w:val="24"/>
                <w:szCs w:val="24"/>
              </w:rPr>
            </w:pPr>
            <w:r>
              <w:rPr>
                <w:rFonts w:ascii="Times New Roman" w:hAnsi="Times New Roman" w:cs="Times New Roman"/>
                <w:sz w:val="24"/>
                <w:szCs w:val="24"/>
              </w:rPr>
              <w:t>Juveniles should be charged within the first 24 hours after being arrested.</w:t>
            </w:r>
          </w:p>
          <w:p w14:paraId="4BE83998" w14:textId="2C5AF21D" w:rsidR="00772996" w:rsidRPr="001C5973" w:rsidRDefault="001E0AA3" w:rsidP="001C5973">
            <w:pPr>
              <w:pStyle w:val="ListParagraph"/>
              <w:numPr>
                <w:ilvl w:val="0"/>
                <w:numId w:val="3"/>
              </w:numPr>
              <w:ind w:left="354"/>
              <w:rPr>
                <w:rFonts w:ascii="Times New Roman" w:hAnsi="Times New Roman" w:cs="Times New Roman"/>
                <w:sz w:val="24"/>
                <w:szCs w:val="24"/>
              </w:rPr>
            </w:pPr>
            <w:r w:rsidRPr="001C5973">
              <w:rPr>
                <w:rFonts w:ascii="Times New Roman" w:hAnsi="Times New Roman" w:cs="Times New Roman"/>
                <w:sz w:val="24"/>
                <w:szCs w:val="24"/>
              </w:rPr>
              <w:t xml:space="preserve">JJAI recommends that </w:t>
            </w:r>
            <w:r w:rsidR="00310A40" w:rsidRPr="001C5973">
              <w:rPr>
                <w:rFonts w:ascii="Times New Roman" w:hAnsi="Times New Roman" w:cs="Times New Roman"/>
                <w:sz w:val="24"/>
                <w:szCs w:val="24"/>
              </w:rPr>
              <w:t>Cabo Verde</w:t>
            </w:r>
            <w:r w:rsidR="00772996" w:rsidRPr="001C5973">
              <w:rPr>
                <w:rFonts w:ascii="Times New Roman" w:hAnsi="Times New Roman" w:cs="Times New Roman"/>
                <w:sz w:val="24"/>
                <w:szCs w:val="24"/>
              </w:rPr>
              <w:t xml:space="preserve"> starts working towards a </w:t>
            </w:r>
            <w:r w:rsidR="006B183F">
              <w:rPr>
                <w:rFonts w:ascii="Times New Roman" w:hAnsi="Times New Roman" w:cs="Times New Roman"/>
                <w:sz w:val="24"/>
                <w:szCs w:val="24"/>
              </w:rPr>
              <w:t xml:space="preserve">blanket </w:t>
            </w:r>
            <w:r w:rsidR="00772996" w:rsidRPr="001C5973">
              <w:rPr>
                <w:rFonts w:ascii="Times New Roman" w:hAnsi="Times New Roman" w:cs="Times New Roman"/>
                <w:sz w:val="24"/>
                <w:szCs w:val="24"/>
              </w:rPr>
              <w:t xml:space="preserve">30-day </w:t>
            </w:r>
            <w:r w:rsidR="006B183F">
              <w:rPr>
                <w:rFonts w:ascii="Times New Roman" w:hAnsi="Times New Roman" w:cs="Times New Roman"/>
                <w:sz w:val="24"/>
                <w:szCs w:val="24"/>
              </w:rPr>
              <w:t>limit</w:t>
            </w:r>
            <w:r w:rsidR="00772996" w:rsidRPr="001C5973">
              <w:rPr>
                <w:rFonts w:ascii="Times New Roman" w:hAnsi="Times New Roman" w:cs="Times New Roman"/>
                <w:sz w:val="24"/>
                <w:szCs w:val="24"/>
              </w:rPr>
              <w:t xml:space="preserve"> for children detained while awaiting trial. </w:t>
            </w:r>
          </w:p>
          <w:p w14:paraId="68493414" w14:textId="77777777" w:rsidR="00772996" w:rsidRPr="004922D7" w:rsidRDefault="00772996" w:rsidP="00772996">
            <w:pPr>
              <w:pStyle w:val="ListParagraph"/>
              <w:numPr>
                <w:ilvl w:val="0"/>
                <w:numId w:val="3"/>
              </w:numPr>
              <w:ind w:left="354"/>
              <w:rPr>
                <w:rFonts w:ascii="Times New Roman" w:hAnsi="Times New Roman" w:cs="Times New Roman"/>
                <w:sz w:val="24"/>
                <w:szCs w:val="24"/>
              </w:rPr>
            </w:pPr>
            <w:r w:rsidRPr="004922D7">
              <w:rPr>
                <w:rFonts w:ascii="Times New Roman" w:hAnsi="Times New Roman" w:cs="Times New Roman"/>
                <w:sz w:val="24"/>
                <w:szCs w:val="24"/>
                <w:lang w:val="en-US"/>
              </w:rPr>
              <w:t xml:space="preserve">The use of extending the time should be more clearly limited. JJAI recommends that pretrial detention should only be allowed to be extended once by a judge for up to 30 more days based upon the procedural needs of the case. </w:t>
            </w:r>
            <w:r w:rsidRPr="004922D7">
              <w:rPr>
                <w:rFonts w:ascii="Times New Roman" w:hAnsi="Times New Roman" w:cs="Times New Roman"/>
                <w:sz w:val="24"/>
                <w:szCs w:val="24"/>
              </w:rPr>
              <w:t xml:space="preserve">It should be defined by the statute the specific possible needs for extending the pretrial detention period. </w:t>
            </w:r>
          </w:p>
          <w:p w14:paraId="6B4EF4AF" w14:textId="77777777" w:rsidR="00AA22CB" w:rsidRPr="001968ED" w:rsidRDefault="00772996" w:rsidP="00771AF5">
            <w:pPr>
              <w:pStyle w:val="ListParagraph"/>
              <w:numPr>
                <w:ilvl w:val="0"/>
                <w:numId w:val="3"/>
              </w:numPr>
              <w:ind w:left="354"/>
              <w:rPr>
                <w:rFonts w:ascii="Times New Roman" w:hAnsi="Times New Roman" w:cs="Times New Roman"/>
                <w:sz w:val="24"/>
                <w:szCs w:val="24"/>
              </w:rPr>
            </w:pPr>
            <w:r w:rsidRPr="004922D7">
              <w:rPr>
                <w:rFonts w:ascii="Times New Roman" w:hAnsi="Times New Roman" w:cs="Times New Roman"/>
                <w:sz w:val="24"/>
                <w:szCs w:val="24"/>
                <w:lang w:val="en-US"/>
              </w:rPr>
              <w:t>Children who are in detention for the statutory maximum number of days should be placed in supervised release immediately and not re-detained for the same offense.</w:t>
            </w:r>
          </w:p>
          <w:p w14:paraId="4F0DC8A5" w14:textId="77777777" w:rsidR="001968ED" w:rsidRPr="001968ED" w:rsidRDefault="001968ED" w:rsidP="00771AF5">
            <w:pPr>
              <w:pStyle w:val="ListParagraph"/>
              <w:numPr>
                <w:ilvl w:val="0"/>
                <w:numId w:val="3"/>
              </w:numPr>
              <w:ind w:left="354"/>
              <w:rPr>
                <w:rFonts w:ascii="Times New Roman" w:hAnsi="Times New Roman" w:cs="Times New Roman"/>
                <w:sz w:val="24"/>
                <w:szCs w:val="24"/>
              </w:rPr>
            </w:pPr>
            <w:r>
              <w:rPr>
                <w:rFonts w:ascii="Times New Roman" w:hAnsi="Times New Roman" w:cs="Times New Roman"/>
                <w:sz w:val="24"/>
                <w:szCs w:val="24"/>
                <w:lang w:val="en-US"/>
              </w:rPr>
              <w:t xml:space="preserve">These protections should be juvenile specific. </w:t>
            </w:r>
          </w:p>
          <w:p w14:paraId="73DC938E" w14:textId="055ED3D4" w:rsidR="001968ED" w:rsidRPr="004922D7" w:rsidRDefault="001968ED" w:rsidP="00771AF5">
            <w:pPr>
              <w:pStyle w:val="ListParagraph"/>
              <w:numPr>
                <w:ilvl w:val="0"/>
                <w:numId w:val="3"/>
              </w:numPr>
              <w:ind w:left="354"/>
              <w:rPr>
                <w:rFonts w:ascii="Times New Roman" w:hAnsi="Times New Roman" w:cs="Times New Roman"/>
                <w:sz w:val="24"/>
                <w:szCs w:val="24"/>
              </w:rPr>
            </w:pPr>
            <w:r>
              <w:rPr>
                <w:rFonts w:ascii="Times New Roman" w:hAnsi="Times New Roman" w:cs="Times New Roman"/>
                <w:sz w:val="24"/>
                <w:szCs w:val="24"/>
                <w:lang w:val="en-US"/>
              </w:rPr>
              <w:t>Children between the ages of 16 and 17 should be considered as juveniles and not adults.</w:t>
            </w:r>
          </w:p>
        </w:tc>
      </w:tr>
      <w:tr w:rsidR="00AA22CB" w:rsidRPr="004922D7" w14:paraId="789AB5C3" w14:textId="77777777" w:rsidTr="00771AF5">
        <w:tc>
          <w:tcPr>
            <w:tcW w:w="2141" w:type="dxa"/>
          </w:tcPr>
          <w:p w14:paraId="083BCB73" w14:textId="5ED75182" w:rsidR="00AA22CB" w:rsidRPr="004922D7" w:rsidRDefault="00AA22CB" w:rsidP="00650F1F">
            <w:pPr>
              <w:rPr>
                <w:rFonts w:ascii="Times New Roman" w:hAnsi="Times New Roman" w:cs="Times New Roman"/>
              </w:rPr>
            </w:pPr>
            <w:r w:rsidRPr="004922D7">
              <w:rPr>
                <w:rFonts w:ascii="Times New Roman" w:hAnsi="Times New Roman" w:cs="Times New Roman"/>
              </w:rPr>
              <w:lastRenderedPageBreak/>
              <w:t>Additional Information on the country</w:t>
            </w:r>
          </w:p>
        </w:tc>
        <w:tc>
          <w:tcPr>
            <w:tcW w:w="6715" w:type="dxa"/>
          </w:tcPr>
          <w:p w14:paraId="2339D169" w14:textId="44137DF8" w:rsidR="00C22420" w:rsidRPr="001C5973" w:rsidRDefault="00B3016D" w:rsidP="001C5973">
            <w:pPr>
              <w:pStyle w:val="ListParagraph"/>
              <w:numPr>
                <w:ilvl w:val="0"/>
                <w:numId w:val="2"/>
              </w:numPr>
              <w:rPr>
                <w:rFonts w:ascii="Times New Roman" w:eastAsia="Times New Roman" w:hAnsi="Times New Roman" w:cs="Times New Roman"/>
              </w:rPr>
            </w:pPr>
            <w:r w:rsidRPr="004922D7">
              <w:rPr>
                <w:rFonts w:ascii="Times New Roman" w:hAnsi="Times New Roman" w:cs="Times New Roman"/>
                <w:sz w:val="24"/>
                <w:szCs w:val="24"/>
              </w:rPr>
              <w:t>Children under the age of</w:t>
            </w:r>
            <w:r w:rsidR="001C5973">
              <w:rPr>
                <w:rFonts w:ascii="Times New Roman" w:hAnsi="Times New Roman" w:cs="Times New Roman"/>
                <w:sz w:val="24"/>
                <w:szCs w:val="24"/>
              </w:rPr>
              <w:t xml:space="preserve"> sixteen cannot be held criminally responsible.</w:t>
            </w:r>
          </w:p>
          <w:p w14:paraId="3AD46930" w14:textId="77777777" w:rsidR="001C5973" w:rsidRPr="00BA63CB" w:rsidRDefault="001C5973" w:rsidP="001C5973">
            <w:pPr>
              <w:pStyle w:val="ListParagraph"/>
              <w:numPr>
                <w:ilvl w:val="0"/>
                <w:numId w:val="2"/>
              </w:numPr>
              <w:rPr>
                <w:rFonts w:ascii="Times New Roman" w:eastAsia="Times New Roman" w:hAnsi="Times New Roman" w:cs="Times New Roman"/>
              </w:rPr>
            </w:pPr>
            <w:r>
              <w:rPr>
                <w:rFonts w:ascii="Times New Roman" w:hAnsi="Times New Roman" w:cs="Times New Roman"/>
                <w:sz w:val="24"/>
                <w:szCs w:val="24"/>
              </w:rPr>
              <w:t xml:space="preserve">Juveniles are detained with adults. </w:t>
            </w:r>
          </w:p>
          <w:p w14:paraId="120E91D8" w14:textId="53FDC1CA" w:rsidR="00BA63CB" w:rsidRPr="001C5973" w:rsidRDefault="00BA63CB" w:rsidP="001C5973">
            <w:pPr>
              <w:pStyle w:val="ListParagraph"/>
              <w:numPr>
                <w:ilvl w:val="0"/>
                <w:numId w:val="2"/>
              </w:numPr>
              <w:rPr>
                <w:rFonts w:ascii="Times New Roman" w:eastAsia="Times New Roman" w:hAnsi="Times New Roman" w:cs="Times New Roman"/>
              </w:rPr>
            </w:pPr>
            <w:r>
              <w:rPr>
                <w:rFonts w:ascii="Times New Roman" w:hAnsi="Times New Roman" w:cs="Times New Roman"/>
                <w:sz w:val="24"/>
                <w:szCs w:val="24"/>
              </w:rPr>
              <w:t xml:space="preserve">There is a lack of alternatives to detention for juveniles over the age of 16. </w:t>
            </w:r>
          </w:p>
          <w:p w14:paraId="01D424F7" w14:textId="518B6D5F" w:rsidR="001C5973" w:rsidRPr="00455533" w:rsidRDefault="001C5973" w:rsidP="001C5973">
            <w:pPr>
              <w:pStyle w:val="ListParagraph"/>
              <w:numPr>
                <w:ilvl w:val="0"/>
                <w:numId w:val="2"/>
              </w:numPr>
              <w:rPr>
                <w:rFonts w:ascii="Times New Roman" w:eastAsia="Times New Roman" w:hAnsi="Times New Roman" w:cs="Times New Roman"/>
              </w:rPr>
            </w:pPr>
            <w:r w:rsidRPr="00455533">
              <w:rPr>
                <w:rFonts w:ascii="Times New Roman" w:hAnsi="Times New Roman" w:cs="Times New Roman"/>
                <w:sz w:val="24"/>
                <w:szCs w:val="24"/>
              </w:rPr>
              <w:t>Detained juveniles do not receive any formal education.</w:t>
            </w:r>
          </w:p>
          <w:p w14:paraId="34BD77F3" w14:textId="4ADAFC32" w:rsidR="00BA63CB" w:rsidRPr="00BA63CB" w:rsidRDefault="002239EE" w:rsidP="00BA63CB">
            <w:pPr>
              <w:rPr>
                <w:rFonts w:ascii="Times New Roman" w:eastAsia="Times New Roman" w:hAnsi="Times New Roman" w:cs="Times New Roman"/>
              </w:rPr>
            </w:pPr>
            <w:r w:rsidRPr="00455533">
              <w:rPr>
                <w:rFonts w:ascii="Times New Roman" w:eastAsia="Times New Roman" w:hAnsi="Times New Roman" w:cs="Times New Roman"/>
              </w:rPr>
              <w:t xml:space="preserve">Committee on the Rights of the Child, </w:t>
            </w:r>
            <w:r w:rsidRPr="00455533">
              <w:rPr>
                <w:rFonts w:ascii="Times New Roman" w:eastAsia="Times New Roman" w:hAnsi="Times New Roman" w:cs="Times New Roman"/>
                <w:i/>
              </w:rPr>
              <w:t>Concluding Observations of the Committee on the Rights of the Child: Cape Verde</w:t>
            </w:r>
            <w:r w:rsidR="00D46B0E" w:rsidRPr="00455533">
              <w:rPr>
                <w:rFonts w:ascii="Times New Roman" w:eastAsia="Times New Roman" w:hAnsi="Times New Roman" w:cs="Times New Roman"/>
              </w:rPr>
              <w:t>, ¶</w:t>
            </w:r>
            <w:r w:rsidR="00455533" w:rsidRPr="00455533">
              <w:rPr>
                <w:rFonts w:ascii="Times New Roman" w:eastAsia="Times New Roman" w:hAnsi="Times New Roman" w:cs="Times New Roman"/>
              </w:rPr>
              <w:t xml:space="preserve"> </w:t>
            </w:r>
            <w:r w:rsidR="00D46B0E" w:rsidRPr="00455533">
              <w:rPr>
                <w:rFonts w:ascii="Times New Roman" w:eastAsia="Times New Roman" w:hAnsi="Times New Roman" w:cs="Times New Roman"/>
              </w:rPr>
              <w:t>65</w:t>
            </w:r>
            <w:r w:rsidR="00455533" w:rsidRPr="00455533">
              <w:rPr>
                <w:rFonts w:ascii="Times New Roman" w:eastAsia="Times New Roman" w:hAnsi="Times New Roman" w:cs="Times New Roman"/>
              </w:rPr>
              <w:t xml:space="preserve">, U.N. Doc. CRC/C/15/Add.168 (Nov. 7, 2001), </w:t>
            </w:r>
            <w:r w:rsidR="00BA63CB" w:rsidRPr="00455533">
              <w:rPr>
                <w:rFonts w:ascii="Times New Roman" w:eastAsia="Times New Roman" w:hAnsi="Times New Roman" w:cs="Times New Roman"/>
              </w:rPr>
              <w:t>https://tbinternet.ohchr.org/_layouts/treatybodyexternal/Download.aspx?symbolno=CRC%2fC%2f15%2fAdd.168&amp;Lang=en</w:t>
            </w:r>
            <w:r w:rsidR="00BA63CB" w:rsidRPr="00BA63CB">
              <w:rPr>
                <w:rFonts w:ascii="Times New Roman" w:eastAsia="Times New Roman" w:hAnsi="Times New Roman" w:cs="Times New Roman"/>
              </w:rPr>
              <w:t xml:space="preserve"> </w:t>
            </w:r>
          </w:p>
          <w:p w14:paraId="78F8B73E" w14:textId="11E23D81" w:rsidR="00C22420" w:rsidRPr="004922D7" w:rsidRDefault="00C22420" w:rsidP="00C22420">
            <w:pPr>
              <w:rPr>
                <w:rFonts w:ascii="Times New Roman" w:hAnsi="Times New Roman" w:cs="Times New Roman"/>
              </w:rPr>
            </w:pPr>
          </w:p>
        </w:tc>
      </w:tr>
      <w:tr w:rsidR="00AA22CB" w:rsidRPr="004922D7" w14:paraId="71B074E7" w14:textId="77777777" w:rsidTr="00771AF5">
        <w:tc>
          <w:tcPr>
            <w:tcW w:w="2141" w:type="dxa"/>
          </w:tcPr>
          <w:p w14:paraId="623BFDF0" w14:textId="429AD8FE" w:rsidR="00AA22CB" w:rsidRPr="004922D7" w:rsidRDefault="00AA22CB" w:rsidP="00650F1F">
            <w:pPr>
              <w:rPr>
                <w:rFonts w:ascii="Times New Roman" w:hAnsi="Times New Roman" w:cs="Times New Roman"/>
              </w:rPr>
            </w:pPr>
            <w:r w:rsidRPr="004922D7">
              <w:rPr>
                <w:rFonts w:ascii="Times New Roman" w:hAnsi="Times New Roman" w:cs="Times New Roman"/>
              </w:rPr>
              <w:t>Questions for the state party related to child pretrial detention time limits:</w:t>
            </w:r>
          </w:p>
        </w:tc>
        <w:tc>
          <w:tcPr>
            <w:tcW w:w="6715" w:type="dxa"/>
          </w:tcPr>
          <w:p w14:paraId="6A0B60B2" w14:textId="77777777" w:rsidR="00AA22CB" w:rsidRPr="004922D7" w:rsidRDefault="00AA22CB" w:rsidP="00650F1F">
            <w:pPr>
              <w:pStyle w:val="ListParagraph"/>
              <w:numPr>
                <w:ilvl w:val="1"/>
                <w:numId w:val="1"/>
              </w:numPr>
              <w:pBdr>
                <w:top w:val="nil"/>
                <w:left w:val="nil"/>
                <w:bottom w:val="nil"/>
                <w:right w:val="nil"/>
                <w:between w:val="nil"/>
              </w:pBdr>
              <w:jc w:val="both"/>
              <w:rPr>
                <w:rFonts w:ascii="Times New Roman" w:hAnsi="Times New Roman" w:cs="Times New Roman"/>
                <w:sz w:val="24"/>
                <w:szCs w:val="24"/>
                <w:lang w:val="en-US"/>
              </w:rPr>
            </w:pPr>
            <w:r w:rsidRPr="004922D7">
              <w:rPr>
                <w:rFonts w:ascii="Times New Roman" w:hAnsi="Times New Roman" w:cs="Times New Roman"/>
                <w:sz w:val="24"/>
                <w:szCs w:val="24"/>
                <w:lang w:val="en-US"/>
              </w:rPr>
              <w:t>Data on the average time children actually spend in pretrial detention.</w:t>
            </w:r>
          </w:p>
          <w:p w14:paraId="51896A40" w14:textId="77777777" w:rsidR="00AA22CB" w:rsidRPr="004922D7" w:rsidRDefault="00AA22CB" w:rsidP="00650F1F">
            <w:pPr>
              <w:pStyle w:val="ListParagraph"/>
              <w:numPr>
                <w:ilvl w:val="1"/>
                <w:numId w:val="1"/>
              </w:numPr>
              <w:pBdr>
                <w:top w:val="nil"/>
                <w:left w:val="nil"/>
                <w:bottom w:val="nil"/>
                <w:right w:val="nil"/>
                <w:between w:val="nil"/>
              </w:pBdr>
              <w:jc w:val="both"/>
              <w:rPr>
                <w:rFonts w:ascii="Times New Roman" w:hAnsi="Times New Roman" w:cs="Times New Roman"/>
                <w:sz w:val="24"/>
                <w:szCs w:val="24"/>
                <w:lang w:val="en-US"/>
              </w:rPr>
            </w:pPr>
            <w:r w:rsidRPr="004922D7">
              <w:rPr>
                <w:rFonts w:ascii="Times New Roman" w:hAnsi="Times New Roman" w:cs="Times New Roman"/>
                <w:sz w:val="24"/>
                <w:szCs w:val="24"/>
                <w:lang w:val="en-US"/>
              </w:rPr>
              <w:t>Data on the number of children who spend longer than the maximum time in pretrial detention.</w:t>
            </w:r>
          </w:p>
          <w:p w14:paraId="1FBDEE12" w14:textId="77777777" w:rsidR="00AA22CB" w:rsidRPr="004922D7" w:rsidRDefault="00AA22CB" w:rsidP="00650F1F">
            <w:pPr>
              <w:pStyle w:val="ListParagraph"/>
              <w:numPr>
                <w:ilvl w:val="1"/>
                <w:numId w:val="1"/>
              </w:numPr>
              <w:pBdr>
                <w:top w:val="nil"/>
                <w:left w:val="nil"/>
                <w:bottom w:val="nil"/>
                <w:right w:val="nil"/>
                <w:between w:val="nil"/>
              </w:pBdr>
              <w:jc w:val="both"/>
              <w:rPr>
                <w:rFonts w:ascii="Times New Roman" w:hAnsi="Times New Roman" w:cs="Times New Roman"/>
                <w:sz w:val="24"/>
                <w:szCs w:val="24"/>
                <w:lang w:val="en-US"/>
              </w:rPr>
            </w:pPr>
            <w:r w:rsidRPr="004922D7">
              <w:rPr>
                <w:rFonts w:ascii="Times New Roman" w:hAnsi="Times New Roman" w:cs="Times New Roman"/>
                <w:sz w:val="24"/>
                <w:szCs w:val="24"/>
                <w:lang w:val="en-US"/>
              </w:rPr>
              <w:t>Data on duration of pretrial detention as it varies by race, gender, religion or other relevant characteristics.</w:t>
            </w:r>
          </w:p>
          <w:p w14:paraId="5462F3B1" w14:textId="77777777" w:rsidR="00AA22CB" w:rsidRPr="004922D7" w:rsidRDefault="00AA22CB" w:rsidP="00650F1F">
            <w:pPr>
              <w:pStyle w:val="ListParagraph"/>
              <w:numPr>
                <w:ilvl w:val="1"/>
                <w:numId w:val="1"/>
              </w:numPr>
              <w:pBdr>
                <w:top w:val="nil"/>
                <w:left w:val="nil"/>
                <w:bottom w:val="nil"/>
                <w:right w:val="nil"/>
                <w:between w:val="nil"/>
              </w:pBdr>
              <w:jc w:val="both"/>
              <w:rPr>
                <w:rFonts w:ascii="Times New Roman" w:hAnsi="Times New Roman" w:cs="Times New Roman"/>
                <w:sz w:val="24"/>
                <w:szCs w:val="24"/>
                <w:lang w:val="en-US"/>
              </w:rPr>
            </w:pPr>
            <w:r w:rsidRPr="004922D7">
              <w:rPr>
                <w:rFonts w:ascii="Times New Roman" w:hAnsi="Times New Roman" w:cs="Times New Roman"/>
                <w:sz w:val="24"/>
                <w:szCs w:val="24"/>
                <w:lang w:val="en-US"/>
              </w:rPr>
              <w:t>Data on efforts to reduce the length of pretrial detention and expedite cases.</w:t>
            </w:r>
          </w:p>
          <w:p w14:paraId="5C9C4283" w14:textId="5736514D" w:rsidR="00AA22CB" w:rsidRPr="004922D7" w:rsidRDefault="00AA22CB" w:rsidP="00B3016D">
            <w:pPr>
              <w:pStyle w:val="ListParagraph"/>
              <w:numPr>
                <w:ilvl w:val="1"/>
                <w:numId w:val="1"/>
              </w:numPr>
              <w:pBdr>
                <w:top w:val="nil"/>
                <w:left w:val="nil"/>
                <w:bottom w:val="nil"/>
                <w:right w:val="nil"/>
                <w:between w:val="nil"/>
              </w:pBdr>
              <w:jc w:val="both"/>
              <w:rPr>
                <w:rFonts w:ascii="Times New Roman" w:hAnsi="Times New Roman" w:cs="Times New Roman"/>
                <w:sz w:val="24"/>
                <w:szCs w:val="24"/>
                <w:lang w:val="en-US"/>
              </w:rPr>
            </w:pPr>
            <w:r w:rsidRPr="004922D7">
              <w:rPr>
                <w:rFonts w:ascii="Times New Roman" w:hAnsi="Times New Roman" w:cs="Times New Roman"/>
                <w:sz w:val="24"/>
                <w:szCs w:val="24"/>
                <w:lang w:val="en-US"/>
              </w:rPr>
              <w:t>Information on how appeals and other challenges affect duration of pretrial detention.</w:t>
            </w:r>
          </w:p>
        </w:tc>
      </w:tr>
      <w:tr w:rsidR="00AA22CB" w:rsidRPr="004922D7" w14:paraId="6543F5CF" w14:textId="77777777" w:rsidTr="00771AF5">
        <w:tc>
          <w:tcPr>
            <w:tcW w:w="2141" w:type="dxa"/>
          </w:tcPr>
          <w:p w14:paraId="1981AF8A" w14:textId="77777777" w:rsidR="00AA22CB" w:rsidRPr="004922D7" w:rsidRDefault="00AA22CB" w:rsidP="00650F1F">
            <w:pPr>
              <w:rPr>
                <w:rFonts w:ascii="Times New Roman" w:hAnsi="Times New Roman" w:cs="Times New Roman"/>
              </w:rPr>
            </w:pPr>
            <w:r w:rsidRPr="004922D7">
              <w:rPr>
                <w:rFonts w:ascii="Times New Roman" w:hAnsi="Times New Roman" w:cs="Times New Roman"/>
              </w:rPr>
              <w:t>Link to Global Study</w:t>
            </w:r>
          </w:p>
        </w:tc>
        <w:tc>
          <w:tcPr>
            <w:tcW w:w="6715" w:type="dxa"/>
          </w:tcPr>
          <w:p w14:paraId="1F381115" w14:textId="77777777" w:rsidR="00AA22CB" w:rsidRPr="004922D7" w:rsidRDefault="00C53607" w:rsidP="00650F1F">
            <w:pPr>
              <w:shd w:val="clear" w:color="auto" w:fill="FFFFFF"/>
              <w:rPr>
                <w:rFonts w:ascii="Times New Roman" w:hAnsi="Times New Roman" w:cs="Times New Roman"/>
                <w:color w:val="222222"/>
              </w:rPr>
            </w:pPr>
            <w:hyperlink r:id="rId9" w:tgtFrame="_blank" w:history="1">
              <w:r w:rsidR="00AA22CB" w:rsidRPr="004922D7">
                <w:rPr>
                  <w:rFonts w:ascii="Times New Roman" w:hAnsi="Times New Roman" w:cs="Times New Roman"/>
                  <w:color w:val="1155CC"/>
                  <w:u w:val="single"/>
                </w:rPr>
                <w:br/>
              </w:r>
              <w:r w:rsidR="00AA22CB" w:rsidRPr="004922D7">
                <w:rPr>
                  <w:rStyle w:val="Hyperlink"/>
                  <w:rFonts w:ascii="Times New Roman" w:hAnsi="Times New Roman" w:cs="Times New Roman"/>
                  <w:color w:val="1155CC"/>
                </w:rPr>
                <w:t>https://jjimexico.org/ptd-report/</w:t>
              </w:r>
            </w:hyperlink>
          </w:p>
          <w:p w14:paraId="44F42533" w14:textId="77777777" w:rsidR="00AA22CB" w:rsidRPr="004922D7" w:rsidRDefault="00AA22CB" w:rsidP="00650F1F">
            <w:pPr>
              <w:rPr>
                <w:rFonts w:ascii="Times New Roman" w:hAnsi="Times New Roman" w:cs="Times New Roman"/>
              </w:rPr>
            </w:pPr>
          </w:p>
        </w:tc>
      </w:tr>
    </w:tbl>
    <w:p w14:paraId="7B39EFB2" w14:textId="77777777" w:rsidR="00AA22CB" w:rsidRPr="004922D7" w:rsidRDefault="00AA22CB" w:rsidP="00AA22CB">
      <w:pPr>
        <w:rPr>
          <w:rFonts w:ascii="Times New Roman" w:hAnsi="Times New Roman" w:cs="Times New Roman"/>
        </w:rPr>
      </w:pPr>
    </w:p>
    <w:p w14:paraId="113143CC" w14:textId="2A02B011" w:rsidR="00AA22CB" w:rsidRPr="004922D7" w:rsidRDefault="00AA22CB">
      <w:pPr>
        <w:rPr>
          <w:rFonts w:ascii="Times New Roman" w:hAnsi="Times New Roman" w:cs="Times New Roman"/>
        </w:rPr>
      </w:pPr>
    </w:p>
    <w:p w14:paraId="4429568A" w14:textId="00E9C839" w:rsidR="00AA22CB" w:rsidRPr="004922D7" w:rsidRDefault="00AA22CB">
      <w:pPr>
        <w:rPr>
          <w:rFonts w:ascii="Times New Roman" w:hAnsi="Times New Roman" w:cs="Times New Roman"/>
        </w:rPr>
      </w:pPr>
    </w:p>
    <w:p w14:paraId="23B2EF40" w14:textId="22913B1A" w:rsidR="00AA22CB" w:rsidRPr="004922D7" w:rsidRDefault="00AA22CB">
      <w:pPr>
        <w:rPr>
          <w:rFonts w:ascii="Times New Roman" w:hAnsi="Times New Roman" w:cs="Times New Roman"/>
        </w:rPr>
      </w:pPr>
    </w:p>
    <w:p w14:paraId="3895130C" w14:textId="77777777" w:rsidR="00AA22CB" w:rsidRPr="004922D7" w:rsidRDefault="00AA22CB">
      <w:pPr>
        <w:rPr>
          <w:rFonts w:ascii="Times New Roman" w:hAnsi="Times New Roman" w:cs="Times New Roman"/>
        </w:rPr>
      </w:pPr>
    </w:p>
    <w:sectPr w:rsidR="00AA22CB" w:rsidRPr="004922D7" w:rsidSect="00522026">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858A02" w14:textId="77777777" w:rsidR="00DA611D" w:rsidRDefault="00DA611D" w:rsidP="000A296B">
      <w:r>
        <w:separator/>
      </w:r>
    </w:p>
  </w:endnote>
  <w:endnote w:type="continuationSeparator" w:id="0">
    <w:p w14:paraId="4DFFD285" w14:textId="77777777" w:rsidR="00DA611D" w:rsidRDefault="00DA611D" w:rsidP="000A29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52E73D" w14:textId="77777777" w:rsidR="00DA611D" w:rsidRDefault="00DA611D" w:rsidP="000A296B">
      <w:r>
        <w:separator/>
      </w:r>
    </w:p>
  </w:footnote>
  <w:footnote w:type="continuationSeparator" w:id="0">
    <w:p w14:paraId="2CADE7BF" w14:textId="77777777" w:rsidR="00DA611D" w:rsidRDefault="00DA611D" w:rsidP="000A296B">
      <w:r>
        <w:continuationSeparator/>
      </w:r>
    </w:p>
  </w:footnote>
  <w:footnote w:id="1">
    <w:p w14:paraId="7C27FDF9" w14:textId="77777777" w:rsidR="00CD0839" w:rsidRPr="00251BCE" w:rsidRDefault="00CD0839" w:rsidP="00CD0839">
      <w:pPr>
        <w:rPr>
          <w:rFonts w:eastAsia="Calibri"/>
          <w:sz w:val="20"/>
          <w:szCs w:val="20"/>
        </w:rPr>
      </w:pPr>
      <w:r w:rsidRPr="00C828DE">
        <w:rPr>
          <w:sz w:val="20"/>
          <w:szCs w:val="20"/>
          <w:vertAlign w:val="superscript"/>
        </w:rPr>
        <w:footnoteRef/>
      </w:r>
      <w:r w:rsidRPr="00C828DE">
        <w:rPr>
          <w:rFonts w:eastAsia="Calibri"/>
          <w:sz w:val="20"/>
          <w:szCs w:val="20"/>
        </w:rPr>
        <w:t xml:space="preserve"> </w:t>
      </w:r>
      <w:r w:rsidRPr="00253B3B">
        <w:rPr>
          <w:rFonts w:eastAsia="Calibri"/>
          <w:sz w:val="20"/>
          <w:szCs w:val="20"/>
        </w:rPr>
        <w:t xml:space="preserve">Patrick Webb &amp; William Allen </w:t>
      </w:r>
      <w:proofErr w:type="spellStart"/>
      <w:r w:rsidRPr="00253B3B">
        <w:rPr>
          <w:rFonts w:eastAsia="Calibri"/>
          <w:sz w:val="20"/>
          <w:szCs w:val="20"/>
        </w:rPr>
        <w:t>Kritsonis</w:t>
      </w:r>
      <w:proofErr w:type="spellEnd"/>
      <w:r w:rsidRPr="00253B3B">
        <w:rPr>
          <w:rFonts w:eastAsia="Calibri"/>
          <w:sz w:val="20"/>
          <w:szCs w:val="20"/>
        </w:rPr>
        <w:t xml:space="preserve">, </w:t>
      </w:r>
      <w:r w:rsidRPr="003D0A00">
        <w:rPr>
          <w:rFonts w:eastAsia="Calibri"/>
          <w:i/>
          <w:sz w:val="20"/>
          <w:szCs w:val="20"/>
        </w:rPr>
        <w:t>Controlling those Kids: Social Control and the Use of Pretrial Detention among Youth in the United States of America: National Implications</w:t>
      </w:r>
      <w:r w:rsidRPr="00253B3B">
        <w:rPr>
          <w:rFonts w:eastAsia="Calibri"/>
          <w:sz w:val="20"/>
          <w:szCs w:val="20"/>
        </w:rPr>
        <w:t xml:space="preserve">, </w:t>
      </w:r>
      <w:r>
        <w:rPr>
          <w:rFonts w:eastAsia="Calibri"/>
          <w:smallCaps/>
          <w:sz w:val="20"/>
          <w:szCs w:val="20"/>
        </w:rPr>
        <w:t xml:space="preserve">ERIC </w:t>
      </w:r>
      <w:r w:rsidRPr="00253B3B">
        <w:rPr>
          <w:rFonts w:eastAsia="Calibri"/>
          <w:sz w:val="20"/>
          <w:szCs w:val="20"/>
        </w:rPr>
        <w:t>(Oct. 2006), https://eric.ed.gov/?id=ED493565.</w:t>
      </w:r>
      <w:r w:rsidRPr="00253B3B" w:rsidDel="00253B3B">
        <w:rPr>
          <w:rFonts w:eastAsia="Calibri"/>
          <w:sz w:val="20"/>
          <w:szCs w:val="20"/>
        </w:rPr>
        <w:t xml:space="preserve"> </w:t>
      </w:r>
    </w:p>
  </w:footnote>
  <w:footnote w:id="2">
    <w:p w14:paraId="2547237C" w14:textId="77777777" w:rsidR="00CD0839" w:rsidRPr="00D96CED" w:rsidRDefault="00CD0839" w:rsidP="00CD0839">
      <w:pPr>
        <w:rPr>
          <w:rFonts w:eastAsia="Calibri"/>
          <w:sz w:val="20"/>
          <w:szCs w:val="20"/>
        </w:rPr>
      </w:pPr>
      <w:r w:rsidRPr="00D96CED">
        <w:rPr>
          <w:sz w:val="20"/>
          <w:szCs w:val="20"/>
          <w:vertAlign w:val="superscript"/>
        </w:rPr>
        <w:footnoteRef/>
      </w:r>
      <w:r w:rsidRPr="00D96CED">
        <w:rPr>
          <w:rFonts w:eastAsia="Calibri"/>
          <w:sz w:val="20"/>
          <w:szCs w:val="20"/>
        </w:rPr>
        <w:t xml:space="preserve"> </w:t>
      </w:r>
      <w:r w:rsidRPr="00B83369">
        <w:rPr>
          <w:sz w:val="20"/>
          <w:szCs w:val="20"/>
        </w:rPr>
        <w:t>G.A. Res. 44/25, Convention on the Rights of the Child, art. 37(b) (Nov. 20, 1989) [hereinafter CRC].</w:t>
      </w:r>
    </w:p>
  </w:footnote>
  <w:footnote w:id="3">
    <w:p w14:paraId="3529006C" w14:textId="77777777" w:rsidR="00CD0839" w:rsidRDefault="00CD0839" w:rsidP="00CD0839">
      <w:pPr>
        <w:pStyle w:val="FootnoteText"/>
        <w:jc w:val="left"/>
      </w:pPr>
      <w:r>
        <w:rPr>
          <w:rStyle w:val="FootnoteReference"/>
        </w:rPr>
        <w:footnoteRef/>
      </w:r>
      <w:r>
        <w:t xml:space="preserve"> Comm. on the Rights of the Child, </w:t>
      </w:r>
      <w:r w:rsidRPr="00D47D44">
        <w:rPr>
          <w:bCs/>
        </w:rPr>
        <w:t>General Comment 10: Children's Rights in Juvenile Justice</w:t>
      </w:r>
      <w:r>
        <w:t>, § 80, U.N. Doc. CRC/C/GC/10 (Apr. 25, 2007) [hereinafter CRC General Comment 10].</w:t>
      </w:r>
    </w:p>
  </w:footnote>
  <w:footnote w:id="4">
    <w:p w14:paraId="010207CE" w14:textId="77777777" w:rsidR="00CD0839" w:rsidRPr="00764FDC" w:rsidRDefault="00CD0839" w:rsidP="00CD0839">
      <w:pPr>
        <w:pStyle w:val="FootnoteText"/>
      </w:pPr>
      <w:r>
        <w:rPr>
          <w:rStyle w:val="FootnoteReference"/>
        </w:rPr>
        <w:footnoteRef/>
      </w:r>
      <w:r>
        <w:t xml:space="preserve"> </w:t>
      </w:r>
      <w:r>
        <w:rPr>
          <w:i/>
        </w:rPr>
        <w:t xml:space="preserve">Id. </w:t>
      </w:r>
      <w:r>
        <w:t>¶ 83 (specifying that regular review is “preferably every two weeks”).</w:t>
      </w:r>
    </w:p>
  </w:footnote>
  <w:footnote w:id="5">
    <w:p w14:paraId="45F211C6" w14:textId="77777777" w:rsidR="00CD0839" w:rsidRPr="00D96CED" w:rsidRDefault="00CD0839" w:rsidP="00CD0839">
      <w:pPr>
        <w:rPr>
          <w:rFonts w:eastAsia="Calibri"/>
          <w:sz w:val="20"/>
          <w:szCs w:val="20"/>
        </w:rPr>
      </w:pPr>
      <w:r w:rsidRPr="00D96CED">
        <w:rPr>
          <w:sz w:val="20"/>
          <w:szCs w:val="20"/>
          <w:vertAlign w:val="superscript"/>
        </w:rPr>
        <w:footnoteRef/>
      </w:r>
      <w:r w:rsidRPr="00D96CED">
        <w:rPr>
          <w:rFonts w:eastAsia="Calibri"/>
          <w:sz w:val="20"/>
          <w:szCs w:val="20"/>
        </w:rPr>
        <w:t xml:space="preserve"> </w:t>
      </w:r>
      <w:r w:rsidRPr="00B83369">
        <w:rPr>
          <w:sz w:val="20"/>
          <w:szCs w:val="20"/>
        </w:rPr>
        <w:t xml:space="preserve">Moritz </w:t>
      </w:r>
      <w:proofErr w:type="spellStart"/>
      <w:r w:rsidRPr="00B83369">
        <w:rPr>
          <w:sz w:val="20"/>
          <w:szCs w:val="20"/>
        </w:rPr>
        <w:t>Birk</w:t>
      </w:r>
      <w:proofErr w:type="spellEnd"/>
      <w:r w:rsidRPr="00B83369">
        <w:rPr>
          <w:sz w:val="20"/>
          <w:szCs w:val="20"/>
        </w:rPr>
        <w:t xml:space="preserve"> et. al., </w:t>
      </w:r>
      <w:r w:rsidRPr="00D96CED">
        <w:rPr>
          <w:rFonts w:eastAsia="Calibri"/>
          <w:i/>
          <w:sz w:val="20"/>
          <w:szCs w:val="20"/>
        </w:rPr>
        <w:t>Pretrial Detention and Torture: Why Pretrial Detainees Face the Greatest Risk</w:t>
      </w:r>
      <w:r w:rsidRPr="00D96CED">
        <w:rPr>
          <w:rFonts w:eastAsia="Calibri"/>
          <w:sz w:val="20"/>
          <w:szCs w:val="20"/>
        </w:rPr>
        <w:t xml:space="preserve">, </w:t>
      </w:r>
      <w:r>
        <w:rPr>
          <w:rFonts w:eastAsia="Calibri"/>
          <w:sz w:val="20"/>
          <w:szCs w:val="20"/>
        </w:rPr>
        <w:t xml:space="preserve">27, </w:t>
      </w:r>
      <w:r>
        <w:rPr>
          <w:rFonts w:eastAsia="Calibri"/>
          <w:smallCaps/>
          <w:sz w:val="20"/>
          <w:szCs w:val="20"/>
        </w:rPr>
        <w:t>Open Soc’</w:t>
      </w:r>
      <w:r w:rsidRPr="00D96CED">
        <w:rPr>
          <w:rFonts w:eastAsia="Calibri"/>
          <w:smallCaps/>
          <w:sz w:val="20"/>
          <w:szCs w:val="20"/>
        </w:rPr>
        <w:t>y Found</w:t>
      </w:r>
      <w:r w:rsidRPr="00C828DE">
        <w:rPr>
          <w:rFonts w:eastAsia="Calibri"/>
          <w:sz w:val="20"/>
          <w:szCs w:val="20"/>
        </w:rPr>
        <w:t>. (2011))</w:t>
      </w:r>
      <w:r>
        <w:rPr>
          <w:rFonts w:eastAsia="Calibri"/>
          <w:sz w:val="20"/>
          <w:szCs w:val="20"/>
        </w:rPr>
        <w:t xml:space="preserve">, </w:t>
      </w:r>
      <w:hyperlink r:id="rId1" w:history="1">
        <w:r w:rsidRPr="00D96CED">
          <w:rPr>
            <w:rStyle w:val="Hyperlink"/>
            <w:rFonts w:eastAsia="Calibri"/>
            <w:sz w:val="20"/>
            <w:szCs w:val="20"/>
          </w:rPr>
          <w:t>https://www.opensocietyfoundations.org/sites/default/files/pretrial-detention-and-torture-06222011.pdf</w:t>
        </w:r>
      </w:hyperlink>
      <w:r w:rsidRPr="00D96CED">
        <w:rPr>
          <w:rFonts w:eastAsia="Calibri"/>
          <w:sz w:val="20"/>
          <w:szCs w:val="20"/>
        </w:rPr>
        <w:t xml:space="preserve">. </w:t>
      </w:r>
    </w:p>
  </w:footnote>
  <w:footnote w:id="6">
    <w:p w14:paraId="72A0ABA6" w14:textId="77777777" w:rsidR="00CD0839" w:rsidRPr="00D96CED" w:rsidRDefault="00CD0839" w:rsidP="00CD0839">
      <w:pPr>
        <w:rPr>
          <w:rFonts w:eastAsia="Calibri"/>
          <w:sz w:val="20"/>
          <w:szCs w:val="20"/>
        </w:rPr>
      </w:pPr>
      <w:r w:rsidRPr="00D96CED">
        <w:rPr>
          <w:sz w:val="20"/>
          <w:szCs w:val="20"/>
          <w:vertAlign w:val="superscript"/>
        </w:rPr>
        <w:footnoteRef/>
      </w:r>
      <w:r w:rsidRPr="00D96CED">
        <w:rPr>
          <w:rFonts w:eastAsia="Calibri"/>
          <w:sz w:val="20"/>
          <w:szCs w:val="20"/>
        </w:rPr>
        <w:t xml:space="preserve"> Barry Holman &amp; Jason </w:t>
      </w:r>
      <w:proofErr w:type="spellStart"/>
      <w:r w:rsidRPr="00D96CED">
        <w:rPr>
          <w:rFonts w:eastAsia="Calibri"/>
          <w:sz w:val="20"/>
          <w:szCs w:val="20"/>
        </w:rPr>
        <w:t>Ziedenber</w:t>
      </w:r>
      <w:r>
        <w:rPr>
          <w:rFonts w:eastAsia="Calibri"/>
          <w:sz w:val="20"/>
          <w:szCs w:val="20"/>
        </w:rPr>
        <w:t>g</w:t>
      </w:r>
      <w:proofErr w:type="spellEnd"/>
      <w:r w:rsidRPr="00D96CED">
        <w:rPr>
          <w:rFonts w:eastAsia="Calibri"/>
          <w:sz w:val="20"/>
          <w:szCs w:val="20"/>
        </w:rPr>
        <w:t xml:space="preserve">. </w:t>
      </w:r>
      <w:r w:rsidRPr="00D96CED">
        <w:rPr>
          <w:rFonts w:eastAsia="Calibri"/>
          <w:i/>
          <w:sz w:val="20"/>
          <w:szCs w:val="20"/>
        </w:rPr>
        <w:t>The Dangers of Detention: The Impact of Incarcerating Youth in Detention and Other Secure Facilities</w:t>
      </w:r>
      <w:r w:rsidRPr="00D96CED">
        <w:rPr>
          <w:rFonts w:eastAsia="Calibri"/>
          <w:sz w:val="20"/>
          <w:szCs w:val="20"/>
        </w:rPr>
        <w:t xml:space="preserve">, </w:t>
      </w:r>
      <w:r>
        <w:rPr>
          <w:rFonts w:eastAsia="Calibri"/>
          <w:sz w:val="20"/>
          <w:szCs w:val="20"/>
        </w:rPr>
        <w:t xml:space="preserve">3–10, </w:t>
      </w:r>
      <w:r w:rsidRPr="00B0537C">
        <w:rPr>
          <w:rFonts w:eastAsia="Calibri"/>
          <w:smallCaps/>
          <w:sz w:val="20"/>
          <w:szCs w:val="20"/>
        </w:rPr>
        <w:t>Just</w:t>
      </w:r>
      <w:r>
        <w:rPr>
          <w:rFonts w:eastAsia="Calibri"/>
          <w:smallCaps/>
          <w:sz w:val="20"/>
          <w:szCs w:val="20"/>
        </w:rPr>
        <w:t>.</w:t>
      </w:r>
      <w:r w:rsidRPr="00B0537C">
        <w:rPr>
          <w:rFonts w:eastAsia="Calibri"/>
          <w:smallCaps/>
          <w:sz w:val="20"/>
          <w:szCs w:val="20"/>
        </w:rPr>
        <w:t xml:space="preserve"> </w:t>
      </w:r>
      <w:proofErr w:type="spellStart"/>
      <w:r w:rsidRPr="00B0537C">
        <w:rPr>
          <w:rFonts w:eastAsia="Calibri"/>
          <w:smallCaps/>
          <w:sz w:val="20"/>
          <w:szCs w:val="20"/>
        </w:rPr>
        <w:t>Pol</w:t>
      </w:r>
      <w:r>
        <w:rPr>
          <w:rFonts w:eastAsia="Calibri"/>
          <w:smallCaps/>
          <w:sz w:val="20"/>
          <w:szCs w:val="20"/>
        </w:rPr>
        <w:t>’</w:t>
      </w:r>
      <w:r w:rsidRPr="00B0537C">
        <w:rPr>
          <w:rFonts w:eastAsia="Calibri"/>
          <w:smallCaps/>
          <w:sz w:val="20"/>
          <w:szCs w:val="20"/>
        </w:rPr>
        <w:t>y</w:t>
      </w:r>
      <w:proofErr w:type="spellEnd"/>
      <w:r w:rsidRPr="00B0537C">
        <w:rPr>
          <w:rFonts w:eastAsia="Calibri"/>
          <w:smallCaps/>
          <w:sz w:val="20"/>
          <w:szCs w:val="20"/>
        </w:rPr>
        <w:t xml:space="preserve"> Inst</w:t>
      </w:r>
      <w:r>
        <w:rPr>
          <w:rFonts w:eastAsia="Calibri"/>
          <w:smallCaps/>
          <w:sz w:val="20"/>
          <w:szCs w:val="20"/>
        </w:rPr>
        <w:t>.</w:t>
      </w:r>
      <w:r w:rsidRPr="00D96CED">
        <w:rPr>
          <w:rFonts w:eastAsia="Calibri"/>
          <w:sz w:val="20"/>
          <w:szCs w:val="20"/>
        </w:rPr>
        <w:t xml:space="preserve"> (Nov. 28, 2006)</w:t>
      </w:r>
      <w:r>
        <w:rPr>
          <w:rFonts w:eastAsia="Calibri"/>
          <w:sz w:val="20"/>
          <w:szCs w:val="20"/>
        </w:rPr>
        <w:t xml:space="preserve">, </w:t>
      </w:r>
      <w:hyperlink r:id="rId2" w:history="1">
        <w:r w:rsidRPr="00933000">
          <w:rPr>
            <w:rStyle w:val="Hyperlink"/>
            <w:rFonts w:eastAsia="Calibri"/>
            <w:sz w:val="20"/>
            <w:szCs w:val="20"/>
          </w:rPr>
          <w:t>http://www.justicepolicy.org/images/upload/06-11_rep_dangersofdetention_jj.pdf</w:t>
        </w:r>
      </w:hyperlink>
      <w:r>
        <w:rPr>
          <w:rFonts w:eastAsia="Calibri"/>
          <w:sz w:val="20"/>
          <w:szCs w:val="20"/>
        </w:rPr>
        <w:t xml:space="preserve">. </w:t>
      </w:r>
    </w:p>
  </w:footnote>
  <w:footnote w:id="7">
    <w:p w14:paraId="18E5F8FE" w14:textId="77777777" w:rsidR="00CD0839" w:rsidRPr="005F3659" w:rsidRDefault="00CD0839" w:rsidP="00CD0839">
      <w:pPr>
        <w:rPr>
          <w:rFonts w:eastAsia="Calibri"/>
          <w:sz w:val="20"/>
          <w:lang w:val="es-MX"/>
        </w:rPr>
      </w:pPr>
      <w:r w:rsidRPr="00D96CED">
        <w:rPr>
          <w:sz w:val="20"/>
          <w:szCs w:val="20"/>
          <w:vertAlign w:val="superscript"/>
        </w:rPr>
        <w:footnoteRef/>
      </w:r>
      <w:r w:rsidRPr="009C3BC5">
        <w:rPr>
          <w:rFonts w:eastAsia="Calibri"/>
          <w:sz w:val="20"/>
          <w:szCs w:val="20"/>
          <w:lang w:val="es-MX"/>
        </w:rPr>
        <w:t xml:space="preserve"> </w:t>
      </w:r>
      <w:r w:rsidRPr="009C3BC5">
        <w:rPr>
          <w:rFonts w:eastAsia="Calibri"/>
          <w:i/>
          <w:sz w:val="20"/>
          <w:szCs w:val="20"/>
          <w:lang w:val="es-MX"/>
        </w:rPr>
        <w:t>E.g.</w:t>
      </w:r>
      <w:r w:rsidRPr="009C3BC5">
        <w:rPr>
          <w:rFonts w:eastAsia="Calibri"/>
          <w:sz w:val="20"/>
          <w:szCs w:val="20"/>
          <w:lang w:val="es-MX"/>
        </w:rPr>
        <w:t xml:space="preserve">, </w:t>
      </w:r>
      <w:r w:rsidRPr="003D0A00">
        <w:rPr>
          <w:i/>
          <w:sz w:val="20"/>
          <w:szCs w:val="20"/>
          <w:lang w:val="es-MX"/>
        </w:rPr>
        <w:t xml:space="preserve">Diagnóstico del Sistema de Justicia Para Adolescentes del Estado de Chihuahua: </w:t>
      </w:r>
      <w:r>
        <w:rPr>
          <w:i/>
          <w:sz w:val="20"/>
          <w:szCs w:val="20"/>
          <w:lang w:val="es-MX"/>
        </w:rPr>
        <w:t>“</w:t>
      </w:r>
      <w:r w:rsidRPr="003D0A00">
        <w:rPr>
          <w:i/>
          <w:sz w:val="20"/>
          <w:szCs w:val="20"/>
          <w:lang w:val="es-MX"/>
        </w:rPr>
        <w:t>Buenas Prácticas para las Alternativas a la Detención</w:t>
      </w:r>
      <w:r>
        <w:rPr>
          <w:i/>
          <w:sz w:val="20"/>
          <w:szCs w:val="20"/>
          <w:lang w:val="es-MX"/>
        </w:rPr>
        <w:t>”</w:t>
      </w:r>
      <w:r w:rsidRPr="00423E44">
        <w:rPr>
          <w:sz w:val="20"/>
          <w:szCs w:val="20"/>
          <w:lang w:val="es-MX"/>
        </w:rPr>
        <w:t xml:space="preserve">, </w:t>
      </w:r>
      <w:r>
        <w:rPr>
          <w:sz w:val="20"/>
          <w:szCs w:val="20"/>
          <w:lang w:val="es-MX"/>
        </w:rPr>
        <w:t>8–10</w:t>
      </w:r>
      <w:r w:rsidRPr="003D0A00">
        <w:rPr>
          <w:sz w:val="20"/>
          <w:szCs w:val="20"/>
          <w:lang w:val="es-MX"/>
        </w:rPr>
        <w:t xml:space="preserve">, </w:t>
      </w:r>
      <w:r w:rsidRPr="003D0A00">
        <w:rPr>
          <w:smallCaps/>
          <w:sz w:val="20"/>
          <w:szCs w:val="20"/>
          <w:lang w:val="es-MX"/>
        </w:rPr>
        <w:t>Justicia Juvenil Int’l</w:t>
      </w:r>
      <w:r w:rsidRPr="00423E44">
        <w:rPr>
          <w:sz w:val="20"/>
          <w:szCs w:val="20"/>
          <w:lang w:val="es-MX"/>
        </w:rPr>
        <w:t xml:space="preserve"> (Sept. 2017)</w:t>
      </w:r>
      <w:r>
        <w:rPr>
          <w:sz w:val="20"/>
          <w:szCs w:val="20"/>
          <w:lang w:val="es-MX"/>
        </w:rPr>
        <w:t xml:space="preserve"> </w:t>
      </w:r>
      <w:r w:rsidRPr="003D0A00">
        <w:rPr>
          <w:sz w:val="20"/>
          <w:szCs w:val="20"/>
          <w:lang w:val="es-MX"/>
        </w:rPr>
        <w:t>https://jjimexico.org/projects/chihuahua</w:t>
      </w:r>
      <w:r w:rsidRPr="003D0A00">
        <w:rPr>
          <w:color w:val="FF0000"/>
          <w:sz w:val="20"/>
          <w:szCs w:val="20"/>
          <w:lang w:val="es-MX"/>
        </w:rPr>
        <w:t xml:space="preserve"> </w:t>
      </w:r>
      <w:r w:rsidRPr="003D0A00">
        <w:rPr>
          <w:sz w:val="20"/>
          <w:szCs w:val="20"/>
          <w:lang w:val="es-MX"/>
        </w:rPr>
        <w:t xml:space="preserve">[hereinafter </w:t>
      </w:r>
      <w:r w:rsidRPr="003D0A00">
        <w:rPr>
          <w:i/>
          <w:sz w:val="20"/>
          <w:szCs w:val="20"/>
          <w:lang w:val="es-MX"/>
        </w:rPr>
        <w:t>Diagnóstico 2017</w:t>
      </w:r>
      <w:r w:rsidRPr="00965283">
        <w:rPr>
          <w:sz w:val="20"/>
          <w:szCs w:val="20"/>
          <w:lang w:val="es-MX"/>
        </w:rPr>
        <w:t>]</w:t>
      </w:r>
      <w:r>
        <w:rPr>
          <w:sz w:val="20"/>
          <w:szCs w:val="20"/>
          <w:lang w:val="es-MX"/>
        </w:rPr>
        <w:t>.</w:t>
      </w:r>
    </w:p>
  </w:footnote>
  <w:footnote w:id="8">
    <w:p w14:paraId="498DDB26" w14:textId="77777777" w:rsidR="00CD0839" w:rsidRPr="00BA721A" w:rsidRDefault="00CD0839" w:rsidP="00CD0839">
      <w:pPr>
        <w:pStyle w:val="FootnoteText"/>
      </w:pPr>
      <w:r>
        <w:rPr>
          <w:rStyle w:val="FootnoteReference"/>
        </w:rPr>
        <w:footnoteRef/>
      </w:r>
      <w:r>
        <w:rPr>
          <w:rStyle w:val="FootnoteReference"/>
        </w:rPr>
        <w:footnoteRef/>
      </w:r>
      <w:r>
        <w:rPr>
          <w:rStyle w:val="FootnoteReference"/>
        </w:rPr>
        <w:footnoteRef/>
      </w:r>
      <w:r>
        <w:t xml:space="preserve"> </w:t>
      </w:r>
      <w:r w:rsidRPr="00FF2B5D">
        <w:t xml:space="preserve">Additional methodological information available in </w:t>
      </w:r>
      <w:r>
        <w:rPr>
          <w:i/>
        </w:rPr>
        <w:t xml:space="preserve">Children in Pretrial Detention: Promoting Stronger International Time Limits, </w:t>
      </w:r>
      <w:proofErr w:type="spellStart"/>
      <w:r>
        <w:t>i</w:t>
      </w:r>
      <w:proofErr w:type="spellEnd"/>
      <w:r>
        <w:t>, May, 2018 (available at https:jjimexico.org/ptd-report/)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6F2CD1"/>
    <w:multiLevelType w:val="hybridMultilevel"/>
    <w:tmpl w:val="10B076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D786E4B"/>
    <w:multiLevelType w:val="hybridMultilevel"/>
    <w:tmpl w:val="E15AEA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45911F32"/>
    <w:multiLevelType w:val="hybridMultilevel"/>
    <w:tmpl w:val="87684882"/>
    <w:lvl w:ilvl="0" w:tplc="0409000F">
      <w:start w:val="1"/>
      <w:numFmt w:val="decimal"/>
      <w:lvlText w:val="%1."/>
      <w:lvlJc w:val="left"/>
      <w:pPr>
        <w:ind w:left="720" w:hanging="360"/>
      </w:pPr>
      <w:rPr>
        <w:rFonts w:hint="default"/>
      </w:rPr>
    </w:lvl>
    <w:lvl w:ilvl="1" w:tplc="04090001">
      <w:start w:val="1"/>
      <w:numFmt w:val="bullet"/>
      <w:lvlText w:val=""/>
      <w:lvlJc w:val="left"/>
      <w:pPr>
        <w:ind w:left="72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1F61448"/>
    <w:multiLevelType w:val="hybridMultilevel"/>
    <w:tmpl w:val="8C60BED8"/>
    <w:lvl w:ilvl="0" w:tplc="04090001">
      <w:start w:val="1"/>
      <w:numFmt w:val="bullet"/>
      <w:lvlText w:val=""/>
      <w:lvlJc w:val="left"/>
      <w:pPr>
        <w:ind w:left="783" w:hanging="360"/>
      </w:pPr>
      <w:rPr>
        <w:rFonts w:ascii="Symbol" w:hAnsi="Symbol"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4" w15:restartNumberingAfterBreak="0">
    <w:nsid w:val="58ED428B"/>
    <w:multiLevelType w:val="hybridMultilevel"/>
    <w:tmpl w:val="8426048E"/>
    <w:lvl w:ilvl="0" w:tplc="863AF5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260265B"/>
    <w:multiLevelType w:val="hybridMultilevel"/>
    <w:tmpl w:val="79A08A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5"/>
  </w:num>
  <w:num w:numId="4">
    <w:abstractNumId w:val="3"/>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3A9F"/>
    <w:rsid w:val="000070B9"/>
    <w:rsid w:val="00086EB7"/>
    <w:rsid w:val="00090ADD"/>
    <w:rsid w:val="000A296B"/>
    <w:rsid w:val="000A49C3"/>
    <w:rsid w:val="000D1DE4"/>
    <w:rsid w:val="001237E7"/>
    <w:rsid w:val="00187935"/>
    <w:rsid w:val="00195F22"/>
    <w:rsid w:val="001968ED"/>
    <w:rsid w:val="001A4212"/>
    <w:rsid w:val="001C5973"/>
    <w:rsid w:val="001E0AA3"/>
    <w:rsid w:val="001F09DF"/>
    <w:rsid w:val="001F1B5F"/>
    <w:rsid w:val="002239EE"/>
    <w:rsid w:val="00225B1A"/>
    <w:rsid w:val="002A386C"/>
    <w:rsid w:val="002B3D54"/>
    <w:rsid w:val="00303B05"/>
    <w:rsid w:val="00310A40"/>
    <w:rsid w:val="00312FED"/>
    <w:rsid w:val="003629A5"/>
    <w:rsid w:val="003E7DA5"/>
    <w:rsid w:val="003F2B67"/>
    <w:rsid w:val="00440E87"/>
    <w:rsid w:val="00455533"/>
    <w:rsid w:val="00462AF4"/>
    <w:rsid w:val="00471E05"/>
    <w:rsid w:val="00473A3B"/>
    <w:rsid w:val="004922D7"/>
    <w:rsid w:val="0049596E"/>
    <w:rsid w:val="004977BA"/>
    <w:rsid w:val="0051331A"/>
    <w:rsid w:val="00522026"/>
    <w:rsid w:val="00537903"/>
    <w:rsid w:val="00554125"/>
    <w:rsid w:val="005E645F"/>
    <w:rsid w:val="005F4C56"/>
    <w:rsid w:val="00613979"/>
    <w:rsid w:val="006B183F"/>
    <w:rsid w:val="00711FCC"/>
    <w:rsid w:val="00746562"/>
    <w:rsid w:val="007641BC"/>
    <w:rsid w:val="00771AF5"/>
    <w:rsid w:val="00772996"/>
    <w:rsid w:val="00773F2C"/>
    <w:rsid w:val="007E67BD"/>
    <w:rsid w:val="007F384B"/>
    <w:rsid w:val="007F465D"/>
    <w:rsid w:val="00817E06"/>
    <w:rsid w:val="008924DA"/>
    <w:rsid w:val="008D17E0"/>
    <w:rsid w:val="0090460C"/>
    <w:rsid w:val="00924B32"/>
    <w:rsid w:val="009A3ECB"/>
    <w:rsid w:val="009A7B2B"/>
    <w:rsid w:val="009E4689"/>
    <w:rsid w:val="009F0A61"/>
    <w:rsid w:val="00A01B88"/>
    <w:rsid w:val="00A35EE0"/>
    <w:rsid w:val="00A52B1F"/>
    <w:rsid w:val="00A81EC4"/>
    <w:rsid w:val="00A87A53"/>
    <w:rsid w:val="00AA22CB"/>
    <w:rsid w:val="00B027EC"/>
    <w:rsid w:val="00B07E2A"/>
    <w:rsid w:val="00B3016D"/>
    <w:rsid w:val="00B451C2"/>
    <w:rsid w:val="00B574D3"/>
    <w:rsid w:val="00B756AD"/>
    <w:rsid w:val="00B83D6F"/>
    <w:rsid w:val="00BA1DBB"/>
    <w:rsid w:val="00BA63CB"/>
    <w:rsid w:val="00BC015E"/>
    <w:rsid w:val="00BD5469"/>
    <w:rsid w:val="00C22420"/>
    <w:rsid w:val="00C23A9F"/>
    <w:rsid w:val="00C32FDE"/>
    <w:rsid w:val="00C53607"/>
    <w:rsid w:val="00CD0839"/>
    <w:rsid w:val="00CF2E23"/>
    <w:rsid w:val="00CF4972"/>
    <w:rsid w:val="00D12330"/>
    <w:rsid w:val="00D300CC"/>
    <w:rsid w:val="00D46B0E"/>
    <w:rsid w:val="00DA611D"/>
    <w:rsid w:val="00DB615B"/>
    <w:rsid w:val="00DD7CEB"/>
    <w:rsid w:val="00DE4012"/>
    <w:rsid w:val="00DF19BE"/>
    <w:rsid w:val="00EB2356"/>
    <w:rsid w:val="00EF56C3"/>
    <w:rsid w:val="00F1413F"/>
    <w:rsid w:val="00F162A8"/>
    <w:rsid w:val="00F16676"/>
    <w:rsid w:val="00F249ED"/>
    <w:rsid w:val="00FB7D38"/>
    <w:rsid w:val="00FC7E94"/>
    <w:rsid w:val="00FE51A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733921C"/>
  <w14:defaultImageDpi w14:val="300"/>
  <w15:docId w15:val="{F12DF4DD-5C33-C842-8793-9F797EE855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17E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23A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23A9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23A9F"/>
    <w:rPr>
      <w:rFonts w:ascii="Lucida Grande" w:hAnsi="Lucida Grande" w:cs="Lucida Grande"/>
      <w:sz w:val="18"/>
      <w:szCs w:val="18"/>
    </w:rPr>
  </w:style>
  <w:style w:type="paragraph" w:styleId="ListParagraph">
    <w:name w:val="List Paragraph"/>
    <w:basedOn w:val="Normal"/>
    <w:uiPriority w:val="34"/>
    <w:qFormat/>
    <w:rsid w:val="007641BC"/>
    <w:pPr>
      <w:spacing w:after="160" w:line="259" w:lineRule="auto"/>
      <w:ind w:left="720"/>
      <w:contextualSpacing/>
    </w:pPr>
    <w:rPr>
      <w:rFonts w:eastAsiaTheme="minorHAnsi"/>
      <w:sz w:val="22"/>
      <w:szCs w:val="22"/>
      <w:lang w:val="es-MX"/>
    </w:rPr>
  </w:style>
  <w:style w:type="character" w:styleId="CommentReference">
    <w:name w:val="annotation reference"/>
    <w:basedOn w:val="DefaultParagraphFont"/>
    <w:uiPriority w:val="99"/>
    <w:semiHidden/>
    <w:unhideWhenUsed/>
    <w:rsid w:val="0090460C"/>
    <w:rPr>
      <w:sz w:val="18"/>
      <w:szCs w:val="18"/>
    </w:rPr>
  </w:style>
  <w:style w:type="paragraph" w:styleId="CommentText">
    <w:name w:val="annotation text"/>
    <w:basedOn w:val="Normal"/>
    <w:link w:val="CommentTextChar"/>
    <w:uiPriority w:val="99"/>
    <w:semiHidden/>
    <w:unhideWhenUsed/>
    <w:rsid w:val="0090460C"/>
  </w:style>
  <w:style w:type="character" w:customStyle="1" w:styleId="CommentTextChar">
    <w:name w:val="Comment Text Char"/>
    <w:basedOn w:val="DefaultParagraphFont"/>
    <w:link w:val="CommentText"/>
    <w:uiPriority w:val="99"/>
    <w:semiHidden/>
    <w:rsid w:val="0090460C"/>
  </w:style>
  <w:style w:type="paragraph" w:styleId="CommentSubject">
    <w:name w:val="annotation subject"/>
    <w:basedOn w:val="CommentText"/>
    <w:next w:val="CommentText"/>
    <w:link w:val="CommentSubjectChar"/>
    <w:uiPriority w:val="99"/>
    <w:semiHidden/>
    <w:unhideWhenUsed/>
    <w:rsid w:val="0090460C"/>
    <w:rPr>
      <w:b/>
      <w:bCs/>
      <w:sz w:val="20"/>
      <w:szCs w:val="20"/>
    </w:rPr>
  </w:style>
  <w:style w:type="character" w:customStyle="1" w:styleId="CommentSubjectChar">
    <w:name w:val="Comment Subject Char"/>
    <w:basedOn w:val="CommentTextChar"/>
    <w:link w:val="CommentSubject"/>
    <w:uiPriority w:val="99"/>
    <w:semiHidden/>
    <w:rsid w:val="0090460C"/>
    <w:rPr>
      <w:b/>
      <w:bCs/>
      <w:sz w:val="20"/>
      <w:szCs w:val="20"/>
    </w:rPr>
  </w:style>
  <w:style w:type="paragraph" w:styleId="NormalWeb">
    <w:name w:val="Normal (Web)"/>
    <w:basedOn w:val="Normal"/>
    <w:uiPriority w:val="99"/>
    <w:unhideWhenUsed/>
    <w:rsid w:val="00312FED"/>
    <w:pPr>
      <w:spacing w:before="100" w:beforeAutospacing="1" w:after="100" w:afterAutospacing="1"/>
    </w:pPr>
    <w:rPr>
      <w:rFonts w:ascii="Times New Roman" w:eastAsia="Times New Roman" w:hAnsi="Times New Roman" w:cs="Times New Roman"/>
    </w:rPr>
  </w:style>
  <w:style w:type="paragraph" w:styleId="FootnoteText">
    <w:name w:val="footnote text"/>
    <w:basedOn w:val="Normal"/>
    <w:link w:val="FootnoteTextChar"/>
    <w:uiPriority w:val="99"/>
    <w:unhideWhenUsed/>
    <w:rsid w:val="000A296B"/>
    <w:pPr>
      <w:pBdr>
        <w:top w:val="nil"/>
        <w:left w:val="nil"/>
        <w:bottom w:val="nil"/>
        <w:right w:val="nil"/>
        <w:between w:val="nil"/>
      </w:pBdr>
      <w:jc w:val="both"/>
    </w:pPr>
    <w:rPr>
      <w:rFonts w:ascii="Times New Roman" w:eastAsia="Times New Roman" w:hAnsi="Times New Roman" w:cs="Times New Roman"/>
      <w:color w:val="000000"/>
      <w:sz w:val="20"/>
      <w:szCs w:val="20"/>
    </w:rPr>
  </w:style>
  <w:style w:type="character" w:customStyle="1" w:styleId="FootnoteTextChar">
    <w:name w:val="Footnote Text Char"/>
    <w:basedOn w:val="DefaultParagraphFont"/>
    <w:link w:val="FootnoteText"/>
    <w:uiPriority w:val="99"/>
    <w:rsid w:val="000A296B"/>
    <w:rPr>
      <w:rFonts w:ascii="Times New Roman" w:eastAsia="Times New Roman" w:hAnsi="Times New Roman" w:cs="Times New Roman"/>
      <w:color w:val="000000"/>
      <w:sz w:val="20"/>
      <w:szCs w:val="20"/>
    </w:rPr>
  </w:style>
  <w:style w:type="character" w:styleId="FootnoteReference">
    <w:name w:val="footnote reference"/>
    <w:basedOn w:val="DefaultParagraphFont"/>
    <w:uiPriority w:val="99"/>
    <w:unhideWhenUsed/>
    <w:rsid w:val="000A296B"/>
    <w:rPr>
      <w:vertAlign w:val="superscript"/>
    </w:rPr>
  </w:style>
  <w:style w:type="character" w:styleId="Hyperlink">
    <w:name w:val="Hyperlink"/>
    <w:basedOn w:val="DefaultParagraphFont"/>
    <w:uiPriority w:val="99"/>
    <w:unhideWhenUsed/>
    <w:rsid w:val="00F249ED"/>
    <w:rPr>
      <w:color w:val="auto"/>
      <w:u w:val="single"/>
    </w:rPr>
  </w:style>
  <w:style w:type="paragraph" w:styleId="Revision">
    <w:name w:val="Revision"/>
    <w:hidden/>
    <w:uiPriority w:val="99"/>
    <w:semiHidden/>
    <w:rsid w:val="00AA22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264018">
      <w:bodyDiv w:val="1"/>
      <w:marLeft w:val="0"/>
      <w:marRight w:val="0"/>
      <w:marTop w:val="0"/>
      <w:marBottom w:val="0"/>
      <w:divBdr>
        <w:top w:val="none" w:sz="0" w:space="0" w:color="auto"/>
        <w:left w:val="none" w:sz="0" w:space="0" w:color="auto"/>
        <w:bottom w:val="none" w:sz="0" w:space="0" w:color="auto"/>
        <w:right w:val="none" w:sz="0" w:space="0" w:color="auto"/>
      </w:divBdr>
    </w:div>
    <w:div w:id="255721862">
      <w:bodyDiv w:val="1"/>
      <w:marLeft w:val="0"/>
      <w:marRight w:val="0"/>
      <w:marTop w:val="0"/>
      <w:marBottom w:val="0"/>
      <w:divBdr>
        <w:top w:val="none" w:sz="0" w:space="0" w:color="auto"/>
        <w:left w:val="none" w:sz="0" w:space="0" w:color="auto"/>
        <w:bottom w:val="none" w:sz="0" w:space="0" w:color="auto"/>
        <w:right w:val="none" w:sz="0" w:space="0" w:color="auto"/>
      </w:divBdr>
    </w:div>
    <w:div w:id="326791417">
      <w:bodyDiv w:val="1"/>
      <w:marLeft w:val="0"/>
      <w:marRight w:val="0"/>
      <w:marTop w:val="0"/>
      <w:marBottom w:val="0"/>
      <w:divBdr>
        <w:top w:val="none" w:sz="0" w:space="0" w:color="auto"/>
        <w:left w:val="none" w:sz="0" w:space="0" w:color="auto"/>
        <w:bottom w:val="none" w:sz="0" w:space="0" w:color="auto"/>
        <w:right w:val="none" w:sz="0" w:space="0" w:color="auto"/>
      </w:divBdr>
    </w:div>
    <w:div w:id="386689677">
      <w:bodyDiv w:val="1"/>
      <w:marLeft w:val="0"/>
      <w:marRight w:val="0"/>
      <w:marTop w:val="0"/>
      <w:marBottom w:val="0"/>
      <w:divBdr>
        <w:top w:val="none" w:sz="0" w:space="0" w:color="auto"/>
        <w:left w:val="none" w:sz="0" w:space="0" w:color="auto"/>
        <w:bottom w:val="none" w:sz="0" w:space="0" w:color="auto"/>
        <w:right w:val="none" w:sz="0" w:space="0" w:color="auto"/>
      </w:divBdr>
    </w:div>
    <w:div w:id="520243645">
      <w:bodyDiv w:val="1"/>
      <w:marLeft w:val="0"/>
      <w:marRight w:val="0"/>
      <w:marTop w:val="0"/>
      <w:marBottom w:val="0"/>
      <w:divBdr>
        <w:top w:val="none" w:sz="0" w:space="0" w:color="auto"/>
        <w:left w:val="none" w:sz="0" w:space="0" w:color="auto"/>
        <w:bottom w:val="none" w:sz="0" w:space="0" w:color="auto"/>
        <w:right w:val="none" w:sz="0" w:space="0" w:color="auto"/>
      </w:divBdr>
    </w:div>
    <w:div w:id="579290464">
      <w:bodyDiv w:val="1"/>
      <w:marLeft w:val="0"/>
      <w:marRight w:val="0"/>
      <w:marTop w:val="0"/>
      <w:marBottom w:val="0"/>
      <w:divBdr>
        <w:top w:val="none" w:sz="0" w:space="0" w:color="auto"/>
        <w:left w:val="none" w:sz="0" w:space="0" w:color="auto"/>
        <w:bottom w:val="none" w:sz="0" w:space="0" w:color="auto"/>
        <w:right w:val="none" w:sz="0" w:space="0" w:color="auto"/>
      </w:divBdr>
    </w:div>
    <w:div w:id="627785156">
      <w:bodyDiv w:val="1"/>
      <w:marLeft w:val="0"/>
      <w:marRight w:val="0"/>
      <w:marTop w:val="0"/>
      <w:marBottom w:val="0"/>
      <w:divBdr>
        <w:top w:val="none" w:sz="0" w:space="0" w:color="auto"/>
        <w:left w:val="none" w:sz="0" w:space="0" w:color="auto"/>
        <w:bottom w:val="none" w:sz="0" w:space="0" w:color="auto"/>
        <w:right w:val="none" w:sz="0" w:space="0" w:color="auto"/>
      </w:divBdr>
    </w:div>
    <w:div w:id="1095518394">
      <w:bodyDiv w:val="1"/>
      <w:marLeft w:val="0"/>
      <w:marRight w:val="0"/>
      <w:marTop w:val="0"/>
      <w:marBottom w:val="0"/>
      <w:divBdr>
        <w:top w:val="none" w:sz="0" w:space="0" w:color="auto"/>
        <w:left w:val="none" w:sz="0" w:space="0" w:color="auto"/>
        <w:bottom w:val="none" w:sz="0" w:space="0" w:color="auto"/>
        <w:right w:val="none" w:sz="0" w:space="0" w:color="auto"/>
      </w:divBdr>
    </w:div>
    <w:div w:id="1122724886">
      <w:bodyDiv w:val="1"/>
      <w:marLeft w:val="0"/>
      <w:marRight w:val="0"/>
      <w:marTop w:val="0"/>
      <w:marBottom w:val="0"/>
      <w:divBdr>
        <w:top w:val="none" w:sz="0" w:space="0" w:color="auto"/>
        <w:left w:val="none" w:sz="0" w:space="0" w:color="auto"/>
        <w:bottom w:val="none" w:sz="0" w:space="0" w:color="auto"/>
        <w:right w:val="none" w:sz="0" w:space="0" w:color="auto"/>
      </w:divBdr>
    </w:div>
    <w:div w:id="1123041480">
      <w:bodyDiv w:val="1"/>
      <w:marLeft w:val="0"/>
      <w:marRight w:val="0"/>
      <w:marTop w:val="0"/>
      <w:marBottom w:val="0"/>
      <w:divBdr>
        <w:top w:val="none" w:sz="0" w:space="0" w:color="auto"/>
        <w:left w:val="none" w:sz="0" w:space="0" w:color="auto"/>
        <w:bottom w:val="none" w:sz="0" w:space="0" w:color="auto"/>
        <w:right w:val="none" w:sz="0" w:space="0" w:color="auto"/>
      </w:divBdr>
      <w:divsChild>
        <w:div w:id="1627270549">
          <w:marLeft w:val="0"/>
          <w:marRight w:val="0"/>
          <w:marTop w:val="0"/>
          <w:marBottom w:val="0"/>
          <w:divBdr>
            <w:top w:val="none" w:sz="0" w:space="0" w:color="auto"/>
            <w:left w:val="none" w:sz="0" w:space="0" w:color="auto"/>
            <w:bottom w:val="none" w:sz="0" w:space="0" w:color="auto"/>
            <w:right w:val="none" w:sz="0" w:space="0" w:color="auto"/>
          </w:divBdr>
        </w:div>
      </w:divsChild>
    </w:div>
    <w:div w:id="1226724216">
      <w:bodyDiv w:val="1"/>
      <w:marLeft w:val="0"/>
      <w:marRight w:val="0"/>
      <w:marTop w:val="0"/>
      <w:marBottom w:val="0"/>
      <w:divBdr>
        <w:top w:val="none" w:sz="0" w:space="0" w:color="auto"/>
        <w:left w:val="none" w:sz="0" w:space="0" w:color="auto"/>
        <w:bottom w:val="none" w:sz="0" w:space="0" w:color="auto"/>
        <w:right w:val="none" w:sz="0" w:space="0" w:color="auto"/>
      </w:divBdr>
      <w:divsChild>
        <w:div w:id="241839933">
          <w:marLeft w:val="0"/>
          <w:marRight w:val="0"/>
          <w:marTop w:val="0"/>
          <w:marBottom w:val="0"/>
          <w:divBdr>
            <w:top w:val="none" w:sz="0" w:space="0" w:color="auto"/>
            <w:left w:val="none" w:sz="0" w:space="0" w:color="auto"/>
            <w:bottom w:val="none" w:sz="0" w:space="0" w:color="auto"/>
            <w:right w:val="none" w:sz="0" w:space="0" w:color="auto"/>
          </w:divBdr>
          <w:divsChild>
            <w:div w:id="1617374485">
              <w:marLeft w:val="0"/>
              <w:marRight w:val="0"/>
              <w:marTop w:val="0"/>
              <w:marBottom w:val="0"/>
              <w:divBdr>
                <w:top w:val="none" w:sz="0" w:space="0" w:color="auto"/>
                <w:left w:val="none" w:sz="0" w:space="0" w:color="auto"/>
                <w:bottom w:val="none" w:sz="0" w:space="0" w:color="auto"/>
                <w:right w:val="none" w:sz="0" w:space="0" w:color="auto"/>
              </w:divBdr>
              <w:divsChild>
                <w:div w:id="1263999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2256468">
      <w:bodyDiv w:val="1"/>
      <w:marLeft w:val="0"/>
      <w:marRight w:val="0"/>
      <w:marTop w:val="0"/>
      <w:marBottom w:val="0"/>
      <w:divBdr>
        <w:top w:val="none" w:sz="0" w:space="0" w:color="auto"/>
        <w:left w:val="none" w:sz="0" w:space="0" w:color="auto"/>
        <w:bottom w:val="none" w:sz="0" w:space="0" w:color="auto"/>
        <w:right w:val="none" w:sz="0" w:space="0" w:color="auto"/>
      </w:divBdr>
    </w:div>
    <w:div w:id="1342970872">
      <w:bodyDiv w:val="1"/>
      <w:marLeft w:val="0"/>
      <w:marRight w:val="0"/>
      <w:marTop w:val="0"/>
      <w:marBottom w:val="0"/>
      <w:divBdr>
        <w:top w:val="none" w:sz="0" w:space="0" w:color="auto"/>
        <w:left w:val="none" w:sz="0" w:space="0" w:color="auto"/>
        <w:bottom w:val="none" w:sz="0" w:space="0" w:color="auto"/>
        <w:right w:val="none" w:sz="0" w:space="0" w:color="auto"/>
      </w:divBdr>
    </w:div>
    <w:div w:id="1504082740">
      <w:bodyDiv w:val="1"/>
      <w:marLeft w:val="0"/>
      <w:marRight w:val="0"/>
      <w:marTop w:val="0"/>
      <w:marBottom w:val="0"/>
      <w:divBdr>
        <w:top w:val="none" w:sz="0" w:space="0" w:color="auto"/>
        <w:left w:val="none" w:sz="0" w:space="0" w:color="auto"/>
        <w:bottom w:val="none" w:sz="0" w:space="0" w:color="auto"/>
        <w:right w:val="none" w:sz="0" w:space="0" w:color="auto"/>
      </w:divBdr>
    </w:div>
    <w:div w:id="1646467724">
      <w:bodyDiv w:val="1"/>
      <w:marLeft w:val="0"/>
      <w:marRight w:val="0"/>
      <w:marTop w:val="0"/>
      <w:marBottom w:val="0"/>
      <w:divBdr>
        <w:top w:val="none" w:sz="0" w:space="0" w:color="auto"/>
        <w:left w:val="none" w:sz="0" w:space="0" w:color="auto"/>
        <w:bottom w:val="none" w:sz="0" w:space="0" w:color="auto"/>
        <w:right w:val="none" w:sz="0" w:space="0" w:color="auto"/>
      </w:divBdr>
    </w:div>
    <w:div w:id="1674071018">
      <w:bodyDiv w:val="1"/>
      <w:marLeft w:val="0"/>
      <w:marRight w:val="0"/>
      <w:marTop w:val="0"/>
      <w:marBottom w:val="0"/>
      <w:divBdr>
        <w:top w:val="none" w:sz="0" w:space="0" w:color="auto"/>
        <w:left w:val="none" w:sz="0" w:space="0" w:color="auto"/>
        <w:bottom w:val="none" w:sz="0" w:space="0" w:color="auto"/>
        <w:right w:val="none" w:sz="0" w:space="0" w:color="auto"/>
      </w:divBdr>
    </w:div>
    <w:div w:id="1897230332">
      <w:bodyDiv w:val="1"/>
      <w:marLeft w:val="0"/>
      <w:marRight w:val="0"/>
      <w:marTop w:val="0"/>
      <w:marBottom w:val="0"/>
      <w:divBdr>
        <w:top w:val="none" w:sz="0" w:space="0" w:color="auto"/>
        <w:left w:val="none" w:sz="0" w:space="0" w:color="auto"/>
        <w:bottom w:val="none" w:sz="0" w:space="0" w:color="auto"/>
        <w:right w:val="none" w:sz="0" w:space="0" w:color="auto"/>
      </w:divBdr>
    </w:div>
    <w:div w:id="1932083449">
      <w:bodyDiv w:val="1"/>
      <w:marLeft w:val="0"/>
      <w:marRight w:val="0"/>
      <w:marTop w:val="0"/>
      <w:marBottom w:val="0"/>
      <w:divBdr>
        <w:top w:val="none" w:sz="0" w:space="0" w:color="auto"/>
        <w:left w:val="none" w:sz="0" w:space="0" w:color="auto"/>
        <w:bottom w:val="none" w:sz="0" w:space="0" w:color="auto"/>
        <w:right w:val="none" w:sz="0" w:space="0" w:color="auto"/>
      </w:divBdr>
    </w:div>
    <w:div w:id="21081900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jjimexico.org/ptd-report/" TargetMode="Externa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2" Type="http://schemas.openxmlformats.org/officeDocument/2006/relationships/hyperlink" Target="http://www.justicepolicy.org/images/upload/06-11_rep_dangersofdetention_jj.pdf" TargetMode="External"/><Relationship Id="rId1" Type="http://schemas.openxmlformats.org/officeDocument/2006/relationships/hyperlink" Target="https://www.opensocietyfoundations.org/sites/default/files/pretrial-detention-and-torture-0622201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D08978C-32D7-44B8-9BD5-C13C9E8A2C8E}"/>
</file>

<file path=customXml/itemProps2.xml><?xml version="1.0" encoding="utf-8"?>
<ds:datastoreItem xmlns:ds="http://schemas.openxmlformats.org/officeDocument/2006/customXml" ds:itemID="{0A1DEBE6-6E55-44C9-B28A-3F5DF95E2922}"/>
</file>

<file path=customXml/itemProps3.xml><?xml version="1.0" encoding="utf-8"?>
<ds:datastoreItem xmlns:ds="http://schemas.openxmlformats.org/officeDocument/2006/customXml" ds:itemID="{75E95739-F45B-44F4-8E13-419C3F572C4B}"/>
</file>

<file path=customXml/itemProps4.xml><?xml version="1.0" encoding="utf-8"?>
<ds:datastoreItem xmlns:ds="http://schemas.openxmlformats.org/officeDocument/2006/customXml" ds:itemID="{414C078F-6766-49ED-992C-996AC45A1F1B}"/>
</file>

<file path=docProps/app.xml><?xml version="1.0" encoding="utf-8"?>
<Properties xmlns="http://schemas.openxmlformats.org/officeDocument/2006/extended-properties" xmlns:vt="http://schemas.openxmlformats.org/officeDocument/2006/docPropsVTypes">
  <Template>Normal.dotm</Template>
  <TotalTime>1</TotalTime>
  <Pages>4</Pages>
  <Words>1137</Words>
  <Characters>6483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ITESM</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Sarahi Garcia</dc:creator>
  <cp:keywords/>
  <dc:description/>
  <cp:lastModifiedBy>BOIT James</cp:lastModifiedBy>
  <cp:revision>2</cp:revision>
  <dcterms:created xsi:type="dcterms:W3CDTF">2019-04-18T09:25:00Z</dcterms:created>
  <dcterms:modified xsi:type="dcterms:W3CDTF">2019-04-18T09:25:00Z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