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DAF20E" w14:textId="4B84E731" w:rsidR="00D2571A" w:rsidRDefault="00D2571A" w:rsidP="009540AA">
      <w:r w:rsidRPr="003C572F">
        <w:rPr>
          <w:rFonts w:ascii="MetaPro-Norm" w:hAnsi="MetaPro-Norm"/>
          <w:noProof/>
        </w:rPr>
        <w:drawing>
          <wp:anchor distT="0" distB="0" distL="114300" distR="114300" simplePos="0" relativeHeight="251659264" behindDoc="1" locked="0" layoutInCell="1" hidden="0" allowOverlap="1" wp14:anchorId="44A6100D" wp14:editId="14E348BE">
            <wp:simplePos x="914400" y="1200150"/>
            <wp:positionH relativeFrom="margin">
              <wp:align>center</wp:align>
            </wp:positionH>
            <wp:positionV relativeFrom="margin">
              <wp:align>top</wp:align>
            </wp:positionV>
            <wp:extent cx="1341120" cy="1341120"/>
            <wp:effectExtent l="0" t="0" r="0" b="0"/>
            <wp:wrapSquare wrapText="bothSides"/>
            <wp:docPr id="1" name="image1.jpg" descr="HRWLogo"/>
            <wp:cNvGraphicFramePr/>
            <a:graphic xmlns:a="http://schemas.openxmlformats.org/drawingml/2006/main">
              <a:graphicData uri="http://schemas.openxmlformats.org/drawingml/2006/picture">
                <pic:pic xmlns:pic="http://schemas.openxmlformats.org/drawingml/2006/picture">
                  <pic:nvPicPr>
                    <pic:cNvPr id="0" name="image1.jpg" descr="HRWLogo"/>
                    <pic:cNvPicPr preferRelativeResize="0"/>
                  </pic:nvPicPr>
                  <pic:blipFill>
                    <a:blip r:embed="rId11"/>
                    <a:srcRect/>
                    <a:stretch>
                      <a:fillRect/>
                    </a:stretch>
                  </pic:blipFill>
                  <pic:spPr>
                    <a:xfrm>
                      <a:off x="0" y="0"/>
                      <a:ext cx="1341120" cy="1341120"/>
                    </a:xfrm>
                    <a:prstGeom prst="rect">
                      <a:avLst/>
                    </a:prstGeom>
                    <a:ln/>
                  </pic:spPr>
                </pic:pic>
              </a:graphicData>
            </a:graphic>
          </wp:anchor>
        </w:drawing>
      </w:r>
    </w:p>
    <w:p w14:paraId="0089008E" w14:textId="77777777" w:rsidR="00D2571A" w:rsidRDefault="00D2571A" w:rsidP="009540AA"/>
    <w:p w14:paraId="12236786" w14:textId="77777777" w:rsidR="00D2571A" w:rsidRDefault="00D2571A" w:rsidP="009540AA"/>
    <w:p w14:paraId="0E5B5D71" w14:textId="77777777" w:rsidR="00D2571A" w:rsidRDefault="00D2571A" w:rsidP="009540AA"/>
    <w:p w14:paraId="68D694A5" w14:textId="77777777" w:rsidR="00D2571A" w:rsidRDefault="00D2571A" w:rsidP="009540AA"/>
    <w:p w14:paraId="3248CCD3" w14:textId="77777777" w:rsidR="009540AA" w:rsidRDefault="002C1D99" w:rsidP="009540AA">
      <w:pPr>
        <w:jc w:val="center"/>
        <w:rPr>
          <w:b/>
          <w:bCs/>
        </w:rPr>
      </w:pPr>
      <w:r w:rsidRPr="00D2571A">
        <w:rPr>
          <w:b/>
          <w:bCs/>
        </w:rPr>
        <w:t xml:space="preserve">Human Rights Watch </w:t>
      </w:r>
      <w:r w:rsidR="00B1735C">
        <w:rPr>
          <w:b/>
          <w:bCs/>
        </w:rPr>
        <w:t xml:space="preserve">Submission </w:t>
      </w:r>
    </w:p>
    <w:p w14:paraId="7204AC38" w14:textId="2A51570E" w:rsidR="00B1735C" w:rsidRDefault="00B1735C" w:rsidP="009540AA">
      <w:pPr>
        <w:jc w:val="center"/>
        <w:rPr>
          <w:b/>
          <w:bCs/>
        </w:rPr>
      </w:pPr>
      <w:r>
        <w:rPr>
          <w:b/>
          <w:bCs/>
        </w:rPr>
        <w:t xml:space="preserve">to </w:t>
      </w:r>
      <w:r w:rsidR="002C1D99" w:rsidRPr="00D2571A">
        <w:rPr>
          <w:b/>
          <w:bCs/>
        </w:rPr>
        <w:t xml:space="preserve">the </w:t>
      </w:r>
      <w:r w:rsidR="009540AA">
        <w:rPr>
          <w:b/>
          <w:bCs/>
        </w:rPr>
        <w:t>United Nations C</w:t>
      </w:r>
      <w:r w:rsidR="00D2571A">
        <w:rPr>
          <w:b/>
          <w:bCs/>
        </w:rPr>
        <w:t xml:space="preserve">ommittee on the </w:t>
      </w:r>
      <w:r w:rsidR="002C1D99" w:rsidRPr="00D2571A">
        <w:rPr>
          <w:b/>
          <w:bCs/>
        </w:rPr>
        <w:t>E</w:t>
      </w:r>
      <w:r w:rsidR="00D2571A">
        <w:rPr>
          <w:b/>
          <w:bCs/>
        </w:rPr>
        <w:t xml:space="preserve">limination of </w:t>
      </w:r>
      <w:r w:rsidR="002C1D99" w:rsidRPr="00D2571A">
        <w:rPr>
          <w:b/>
          <w:bCs/>
        </w:rPr>
        <w:t>R</w:t>
      </w:r>
      <w:r w:rsidR="00D2571A">
        <w:rPr>
          <w:b/>
          <w:bCs/>
        </w:rPr>
        <w:t xml:space="preserve">acial </w:t>
      </w:r>
      <w:r w:rsidR="002C1D99" w:rsidRPr="00D2571A">
        <w:rPr>
          <w:b/>
          <w:bCs/>
        </w:rPr>
        <w:t>D</w:t>
      </w:r>
      <w:r w:rsidR="00D2571A">
        <w:rPr>
          <w:b/>
          <w:bCs/>
        </w:rPr>
        <w:t>iscrimination</w:t>
      </w:r>
    </w:p>
    <w:p w14:paraId="7CCFA849" w14:textId="2DCD44F6" w:rsidR="002C1D99" w:rsidRPr="00D2571A" w:rsidRDefault="00B1735C" w:rsidP="009540AA">
      <w:pPr>
        <w:jc w:val="center"/>
        <w:rPr>
          <w:b/>
          <w:bCs/>
        </w:rPr>
      </w:pPr>
      <w:r>
        <w:rPr>
          <w:b/>
          <w:bCs/>
        </w:rPr>
        <w:t>Consideration of China’s Follow-Up Report</w:t>
      </w:r>
    </w:p>
    <w:p w14:paraId="7099A33E" w14:textId="0E5AD652" w:rsidR="002C1D99" w:rsidRDefault="002C1D99" w:rsidP="00FB2A2F">
      <w:pPr>
        <w:jc w:val="center"/>
      </w:pPr>
      <w:r w:rsidRPr="00D2571A">
        <w:rPr>
          <w:b/>
          <w:bCs/>
        </w:rPr>
        <w:t>August 2020</w:t>
      </w:r>
    </w:p>
    <w:p w14:paraId="6252CDC7" w14:textId="4DBD2944" w:rsidR="00B37F83" w:rsidRPr="005972AD" w:rsidRDefault="00B37F83" w:rsidP="002151AE">
      <w:pPr>
        <w:spacing w:after="0" w:line="240" w:lineRule="auto"/>
        <w:jc w:val="both"/>
        <w:rPr>
          <w:b/>
          <w:bCs/>
        </w:rPr>
      </w:pPr>
      <w:r w:rsidRPr="005972AD">
        <w:rPr>
          <w:b/>
          <w:bCs/>
        </w:rPr>
        <w:t>Introduction</w:t>
      </w:r>
    </w:p>
    <w:p w14:paraId="25401F51" w14:textId="6694B1C9" w:rsidR="002C1D99" w:rsidRDefault="002C1D99" w:rsidP="002151AE">
      <w:pPr>
        <w:spacing w:after="0" w:line="240" w:lineRule="auto"/>
        <w:jc w:val="both"/>
      </w:pPr>
      <w:r>
        <w:t>Human Rights Watch would like to express its appreciation to the United Nations Committee on the</w:t>
      </w:r>
      <w:r w:rsidR="00B37F83">
        <w:t xml:space="preserve"> </w:t>
      </w:r>
      <w:r>
        <w:t xml:space="preserve">Elimination of Racial Discrimination (the “Committee”) for this opportunity to provide </w:t>
      </w:r>
      <w:r w:rsidR="00B37F83">
        <w:t>a follow-up civil society assessment of China’s</w:t>
      </w:r>
      <w:r>
        <w:t xml:space="preserve"> </w:t>
      </w:r>
      <w:r w:rsidR="00B37F83">
        <w:t>implementation of the Committee’s most recent Concluding Observations.</w:t>
      </w:r>
      <w:r w:rsidR="00B37F83">
        <w:rPr>
          <w:rStyle w:val="FootnoteReference"/>
        </w:rPr>
        <w:footnoteReference w:id="1"/>
      </w:r>
      <w:r w:rsidR="00B37F83">
        <w:t xml:space="preserve"> The following submission will focus on the Committee’s recommendations contained in paragraphs 42(a)-(d), 42(f)-(h) and 44(c), and is based on research </w:t>
      </w:r>
      <w:r w:rsidR="009540AA">
        <w:t xml:space="preserve">that </w:t>
      </w:r>
      <w:r w:rsidR="00B37F83">
        <w:t xml:space="preserve">Human Rights Watch </w:t>
      </w:r>
      <w:r w:rsidR="009540AA">
        <w:t>carried out</w:t>
      </w:r>
      <w:r w:rsidR="00B37F83">
        <w:t xml:space="preserve"> on the</w:t>
      </w:r>
      <w:r w:rsidR="00B1735C">
        <w:t xml:space="preserve"> </w:t>
      </w:r>
      <w:r>
        <w:t>ethnic minority regions of Tibet and Xinjiang, where the ethnic minority populations are systematically</w:t>
      </w:r>
      <w:r w:rsidR="00310272">
        <w:t xml:space="preserve"> </w:t>
      </w:r>
      <w:r>
        <w:t xml:space="preserve">discriminated against by the government of China. All points stem from China’s obligations under </w:t>
      </w:r>
      <w:r w:rsidR="00B37F83">
        <w:t xml:space="preserve">article 5 of the </w:t>
      </w:r>
      <w:r>
        <w:t>I</w:t>
      </w:r>
      <w:r w:rsidR="00B37F83">
        <w:t xml:space="preserve">nternational </w:t>
      </w:r>
      <w:r>
        <w:t>C</w:t>
      </w:r>
      <w:r w:rsidR="00B37F83">
        <w:t xml:space="preserve">onvention on the </w:t>
      </w:r>
      <w:r>
        <w:t>E</w:t>
      </w:r>
      <w:r w:rsidR="00B37F83">
        <w:t xml:space="preserve">limination of All Forms of </w:t>
      </w:r>
      <w:r>
        <w:t>R</w:t>
      </w:r>
      <w:r w:rsidR="00B37F83">
        <w:t xml:space="preserve">acial </w:t>
      </w:r>
      <w:r>
        <w:t>D</w:t>
      </w:r>
      <w:r w:rsidR="00B37F83">
        <w:t>iscrimination (ICERD)</w:t>
      </w:r>
      <w:r>
        <w:t>, which requires that, “States Parties undertake to prohibit and to eliminate racial discrimination</w:t>
      </w:r>
      <w:r w:rsidR="00310272">
        <w:t xml:space="preserve"> </w:t>
      </w:r>
      <w:r>
        <w:t xml:space="preserve">in all its forms and to guarantee the right of everyone, without distinction as to race, </w:t>
      </w:r>
      <w:proofErr w:type="spellStart"/>
      <w:r>
        <w:t>colour</w:t>
      </w:r>
      <w:proofErr w:type="spellEnd"/>
      <w:r>
        <w:t>, or national</w:t>
      </w:r>
      <w:r w:rsidR="00310272">
        <w:t xml:space="preserve"> </w:t>
      </w:r>
      <w:r>
        <w:t>or ethnic origin, to equality before the law.”</w:t>
      </w:r>
    </w:p>
    <w:p w14:paraId="6CACAF64" w14:textId="74994601" w:rsidR="002C1D99" w:rsidRDefault="00D07AF0" w:rsidP="002151AE">
      <w:pPr>
        <w:spacing w:line="240" w:lineRule="auto"/>
        <w:jc w:val="both"/>
      </w:pPr>
      <w:r>
        <w:t xml:space="preserve"> </w:t>
      </w:r>
    </w:p>
    <w:p w14:paraId="371F8E6C" w14:textId="563DD33F" w:rsidR="00D07AF0" w:rsidRPr="005972AD" w:rsidRDefault="00D07AF0" w:rsidP="002151AE">
      <w:pPr>
        <w:jc w:val="both"/>
        <w:rPr>
          <w:b/>
          <w:bCs/>
        </w:rPr>
      </w:pPr>
      <w:r w:rsidRPr="005972AD">
        <w:rPr>
          <w:b/>
          <w:bCs/>
        </w:rPr>
        <w:t xml:space="preserve">On </w:t>
      </w:r>
      <w:r w:rsidR="00B830A5">
        <w:rPr>
          <w:b/>
          <w:bCs/>
        </w:rPr>
        <w:t xml:space="preserve">violations against </w:t>
      </w:r>
      <w:r w:rsidRPr="005972AD">
        <w:rPr>
          <w:b/>
          <w:bCs/>
        </w:rPr>
        <w:t xml:space="preserve">Uyghurs and other Turkic </w:t>
      </w:r>
      <w:r w:rsidR="004408A2" w:rsidRPr="005972AD">
        <w:rPr>
          <w:b/>
          <w:bCs/>
        </w:rPr>
        <w:t>M</w:t>
      </w:r>
      <w:r w:rsidRPr="005972AD">
        <w:rPr>
          <w:b/>
          <w:bCs/>
        </w:rPr>
        <w:t>uslims</w:t>
      </w:r>
      <w:r w:rsidR="009540AA">
        <w:rPr>
          <w:b/>
          <w:bCs/>
        </w:rPr>
        <w:t xml:space="preserve"> in Xinjiang</w:t>
      </w:r>
    </w:p>
    <w:p w14:paraId="6EC88258" w14:textId="6250B44A" w:rsidR="00CC79B9" w:rsidRDefault="004408A2" w:rsidP="002151AE">
      <w:pPr>
        <w:jc w:val="both"/>
      </w:pPr>
      <w:r>
        <w:t>In September 2018, Human Rights Watch published new evidence</w:t>
      </w:r>
      <w:r w:rsidRPr="004408A2">
        <w:t xml:space="preserve"> of the Chinese government’s mass arbitrary detention, torture, and mistreatment of Turkic Muslims in Xinjiang</w:t>
      </w:r>
      <w:r>
        <w:t xml:space="preserve">, </w:t>
      </w:r>
      <w:r w:rsidRPr="004408A2">
        <w:t>and detail</w:t>
      </w:r>
      <w:r>
        <w:t>ed</w:t>
      </w:r>
      <w:r w:rsidRPr="004408A2">
        <w:t xml:space="preserve"> systemic and increasingly pervasive controls on daily life there. </w:t>
      </w:r>
      <w:r w:rsidR="00E50AB5">
        <w:t xml:space="preserve">Approximately one million Uyghurs </w:t>
      </w:r>
      <w:r w:rsidR="009540AA">
        <w:t>and</w:t>
      </w:r>
      <w:r w:rsidR="00E50AB5">
        <w:t xml:space="preserve"> other Turkic Muslims </w:t>
      </w:r>
      <w:r w:rsidR="005712B2">
        <w:t>have been</w:t>
      </w:r>
      <w:r w:rsidR="00E50AB5">
        <w:t xml:space="preserve"> held in “political education” camps or other forms of formal or informal detention wholly outside any recognized legal processes with fair trial rights. </w:t>
      </w:r>
      <w:r w:rsidRPr="004408A2">
        <w:t xml:space="preserve">These rampant abuses violate fundamental rights to freedom of expression, religion, and privacy, and protections from torture and unfair trials. More broadly, governmental controls over day-to-day life in Xinjiang primarily affect ethnic Uyghurs, Kazakhs, and other </w:t>
      </w:r>
      <w:r w:rsidR="00E50AB5">
        <w:t xml:space="preserve">Muslim </w:t>
      </w:r>
      <w:r w:rsidRPr="004408A2">
        <w:t>minorities, in violation of international l</w:t>
      </w:r>
      <w:r w:rsidR="001C5B74">
        <w:t>egal</w:t>
      </w:r>
      <w:r w:rsidRPr="004408A2">
        <w:t xml:space="preserve"> prohibitions against discrimination.</w:t>
      </w:r>
      <w:r>
        <w:t xml:space="preserve">  Chinese government officials continue to deny these allegations, insisting as recently as July 2020 that people in Xinjiang are “happy,”</w:t>
      </w:r>
      <w:r w:rsidR="00515F4D">
        <w:rPr>
          <w:rStyle w:val="FootnoteReference"/>
        </w:rPr>
        <w:footnoteReference w:id="2"/>
      </w:r>
      <w:r>
        <w:t xml:space="preserve"> </w:t>
      </w:r>
      <w:r w:rsidR="005712B2">
        <w:t xml:space="preserve">and </w:t>
      </w:r>
      <w:r w:rsidR="00E50AB5">
        <w:t xml:space="preserve">that people were not held in camps but in “voluntary vocational training” </w:t>
      </w:r>
      <w:r w:rsidR="00C52522">
        <w:t>and</w:t>
      </w:r>
      <w:r w:rsidR="00E50AB5">
        <w:t xml:space="preserve"> have all since “graduated</w:t>
      </w:r>
      <w:r w:rsidR="005712B2">
        <w:t>.</w:t>
      </w:r>
      <w:r w:rsidR="00E50AB5">
        <w:t xml:space="preserve">” </w:t>
      </w:r>
      <w:r w:rsidR="005712B2">
        <w:t>Despite this the</w:t>
      </w:r>
      <w:r w:rsidR="00C52522">
        <w:t xml:space="preserve"> government</w:t>
      </w:r>
      <w:r w:rsidR="005712B2">
        <w:t xml:space="preserve"> continue</w:t>
      </w:r>
      <w:r w:rsidR="00C52522">
        <w:t>s</w:t>
      </w:r>
      <w:r w:rsidR="005712B2">
        <w:t xml:space="preserve"> to block </w:t>
      </w:r>
      <w:r>
        <w:t>unfettered visit</w:t>
      </w:r>
      <w:r w:rsidR="00C52522">
        <w:t>s</w:t>
      </w:r>
      <w:r>
        <w:t xml:space="preserve"> by UN </w:t>
      </w:r>
      <w:r w:rsidR="00C52522">
        <w:t>experts</w:t>
      </w:r>
      <w:r>
        <w:t xml:space="preserve">. </w:t>
      </w:r>
    </w:p>
    <w:p w14:paraId="2721AC55" w14:textId="42517AC9" w:rsidR="004408A2" w:rsidRDefault="00F813B8" w:rsidP="002151AE">
      <w:pPr>
        <w:jc w:val="both"/>
      </w:pPr>
      <w:r>
        <w:lastRenderedPageBreak/>
        <w:t xml:space="preserve">The government crackdown has also had a devastating impact on </w:t>
      </w:r>
      <w:r w:rsidR="00CC79B9">
        <w:t>Turkic Muslim children.</w:t>
      </w:r>
      <w:r w:rsidR="005F18F1">
        <w:rPr>
          <w:rStyle w:val="FootnoteReference"/>
        </w:rPr>
        <w:footnoteReference w:id="3"/>
      </w:r>
      <w:r w:rsidR="00CC79B9">
        <w:t xml:space="preserve">  As increasing numbers of parents have been arbitrarily detained, </w:t>
      </w:r>
      <w:r>
        <w:t xml:space="preserve">the authorities have placed </w:t>
      </w:r>
      <w:r w:rsidR="00CC79B9">
        <w:t>their children in state-run institutions, even if parents have not given consent or other close relatives are willing to care for the children. Government documents explicitly state a goal of institutionalizing all “orphans” by</w:t>
      </w:r>
      <w:r w:rsidR="00515F4D">
        <w:t xml:space="preserve"> </w:t>
      </w:r>
      <w:r w:rsidR="00CC79B9">
        <w:t xml:space="preserve"> 2020.</w:t>
      </w:r>
      <w:r w:rsidR="00515F4D">
        <w:rPr>
          <w:rStyle w:val="FootnoteReference"/>
        </w:rPr>
        <w:footnoteReference w:id="4"/>
      </w:r>
      <w:r w:rsidR="00CC79B9">
        <w:t xml:space="preserve">  Across the </w:t>
      </w:r>
      <w:r w:rsidR="008D4AB5">
        <w:t xml:space="preserve">Xinjiang </w:t>
      </w:r>
      <w:r w:rsidR="00CC79B9">
        <w:t>region</w:t>
      </w:r>
      <w:r w:rsidR="008D4AB5">
        <w:t>,</w:t>
      </w:r>
      <w:r w:rsidR="00CC79B9">
        <w:t xml:space="preserve"> authorities have </w:t>
      </w:r>
      <w:r w:rsidR="00CC79B9" w:rsidRPr="00CC79B9">
        <w:t>long prohibited children from learning religion</w:t>
      </w:r>
      <w:r w:rsidR="00CC79B9">
        <w:t xml:space="preserve">, and </w:t>
      </w:r>
      <w:r w:rsidR="001A1990">
        <w:t>increasingly</w:t>
      </w:r>
      <w:r w:rsidR="001A1990" w:rsidRPr="00CC79B9">
        <w:t xml:space="preserve"> </w:t>
      </w:r>
      <w:r w:rsidR="00CC79B9" w:rsidRPr="00CC79B9">
        <w:t>marginalized the use of ethnic languages while promoting the use of Mandarin as the medium of instruction</w:t>
      </w:r>
      <w:r w:rsidR="00CC79B9">
        <w:t xml:space="preserve"> placing them in state-run institutions heightens the risk of erasing their distinct  identity</w:t>
      </w:r>
      <w:r w:rsidR="00CC79B9" w:rsidRPr="00CC79B9">
        <w:t xml:space="preserve">. </w:t>
      </w:r>
    </w:p>
    <w:p w14:paraId="0428E17E" w14:textId="7B5C8EAB" w:rsidR="00120208" w:rsidRDefault="004408A2" w:rsidP="002151AE">
      <w:pPr>
        <w:jc w:val="both"/>
      </w:pPr>
      <w:r>
        <w:t>Human Rights Watch research in 2019 reverse</w:t>
      </w:r>
      <w:r w:rsidR="001A1990">
        <w:t>-</w:t>
      </w:r>
      <w:r>
        <w:t xml:space="preserve">engineered a mobile app </w:t>
      </w:r>
      <w:r w:rsidR="00E50AB5">
        <w:t xml:space="preserve">connected to a big data system called the Integrated Joint Operations Platform </w:t>
      </w:r>
      <w:r w:rsidR="001A1990">
        <w:t xml:space="preserve">(IJOP) </w:t>
      </w:r>
      <w:r>
        <w:t xml:space="preserve">used by Xinjiang authorities to track people’s conduct </w:t>
      </w:r>
      <w:r w:rsidR="00E50AB5">
        <w:t xml:space="preserve">and relationships </w:t>
      </w:r>
      <w:r>
        <w:t>across the region</w:t>
      </w:r>
      <w:r w:rsidR="00E50AB5">
        <w:t>.</w:t>
      </w:r>
      <w:r w:rsidR="0000527B">
        <w:t xml:space="preserve"> The IJOP is also c</w:t>
      </w:r>
      <w:r w:rsidR="00E50AB5">
        <w:t>onnected to the region’s numerous checkpoints, some of them equipped with “data doors” to collect people’s biometric and cellphone identifying information</w:t>
      </w:r>
      <w:r w:rsidR="0000527B">
        <w:t xml:space="preserve"> to match against those stored in the system. Through this mechanism, the Xinjiang authorities use the IJOP system to restrict people’s </w:t>
      </w:r>
      <w:r w:rsidR="00E50AB5">
        <w:t xml:space="preserve">movements across the region depending on the level of </w:t>
      </w:r>
      <w:r w:rsidR="0000527B">
        <w:t xml:space="preserve">political </w:t>
      </w:r>
      <w:r w:rsidR="00E50AB5">
        <w:t>risk</w:t>
      </w:r>
      <w:r w:rsidR="008E0BAA">
        <w:t xml:space="preserve"> authorities perceive them to present</w:t>
      </w:r>
      <w:r w:rsidR="0000527B">
        <w:t>,</w:t>
      </w:r>
      <w:r w:rsidR="00E50AB5">
        <w:t xml:space="preserve"> and </w:t>
      </w:r>
      <w:r w:rsidR="0000527B">
        <w:t>pick out those with “unusual” behavior—such as donating to mosques, using too much electricity</w:t>
      </w:r>
      <w:r w:rsidR="008E0BAA">
        <w:t>, or other legal conduct</w:t>
      </w:r>
      <w:r w:rsidR="0000527B">
        <w:t xml:space="preserve">—for further investigation and </w:t>
      </w:r>
      <w:r w:rsidR="00E50AB5">
        <w:t>arbitrary detention</w:t>
      </w:r>
      <w:r>
        <w:t>.</w:t>
      </w:r>
      <w:r w:rsidR="0025146B">
        <w:rPr>
          <w:rStyle w:val="FootnoteReference"/>
        </w:rPr>
        <w:footnoteReference w:id="5"/>
      </w:r>
      <w:r>
        <w:t xml:space="preserve"> </w:t>
      </w:r>
    </w:p>
    <w:p w14:paraId="4A6302B7" w14:textId="4AAFC360" w:rsidR="00CC79B9" w:rsidRDefault="00CC79B9" w:rsidP="002151AE">
      <w:pPr>
        <w:jc w:val="both"/>
      </w:pPr>
      <w:r>
        <w:t xml:space="preserve">Human Rights Watch </w:t>
      </w:r>
      <w:r w:rsidR="005972AD">
        <w:t xml:space="preserve">has tracked enforced disappearances and forced returns of Uyghurs for over a decade.  We </w:t>
      </w:r>
      <w:r>
        <w:t>remain unaware of information on the whereabouts or well</w:t>
      </w:r>
      <w:r w:rsidR="001A1990">
        <w:t>-</w:t>
      </w:r>
      <w:r>
        <w:t xml:space="preserve">being of any of the Uyghurs forcibly returned from Cambodia, Egypt, </w:t>
      </w:r>
      <w:r w:rsidR="00E133FE">
        <w:t xml:space="preserve">and </w:t>
      </w:r>
      <w:r>
        <w:t>Pakistan,</w:t>
      </w:r>
      <w:r w:rsidR="00B92C6A">
        <w:rPr>
          <w:rStyle w:val="FootnoteReference"/>
        </w:rPr>
        <w:footnoteReference w:id="6"/>
      </w:r>
      <w:r>
        <w:t xml:space="preserve"> </w:t>
      </w:r>
      <w:r w:rsidR="00E133FE">
        <w:t xml:space="preserve">among others, </w:t>
      </w:r>
      <w:r>
        <w:t xml:space="preserve">or of the men and boys </w:t>
      </w:r>
      <w:r w:rsidR="001A1990">
        <w:t xml:space="preserve">forcibly </w:t>
      </w:r>
      <w:r>
        <w:t xml:space="preserve">disappeared in the wake of the 2009 unrest in Urumqi. </w:t>
      </w:r>
    </w:p>
    <w:p w14:paraId="6F2E72CA" w14:textId="0D47661F" w:rsidR="00E2414A" w:rsidRPr="003D1106" w:rsidRDefault="00310272" w:rsidP="002151AE">
      <w:pPr>
        <w:jc w:val="both"/>
      </w:pPr>
      <w:r>
        <w:rPr>
          <w:i/>
          <w:iCs/>
        </w:rPr>
        <w:t>Human Rights Watch encourages the Committee to make the following r</w:t>
      </w:r>
      <w:r w:rsidR="00E2414A" w:rsidRPr="008A5A14">
        <w:rPr>
          <w:i/>
          <w:iCs/>
        </w:rPr>
        <w:t>ecommendations</w:t>
      </w:r>
      <w:r>
        <w:rPr>
          <w:i/>
          <w:iCs/>
        </w:rPr>
        <w:t xml:space="preserve"> to the Chinese government</w:t>
      </w:r>
      <w:r w:rsidR="00E2414A" w:rsidRPr="008A5A14">
        <w:rPr>
          <w:i/>
          <w:iCs/>
        </w:rPr>
        <w:t>:</w:t>
      </w:r>
    </w:p>
    <w:p w14:paraId="47ECDE51" w14:textId="39796D5B" w:rsidR="003D1106" w:rsidRPr="003D1106" w:rsidRDefault="003D1106" w:rsidP="002151AE">
      <w:pPr>
        <w:pStyle w:val="ListParagraph"/>
        <w:numPr>
          <w:ilvl w:val="0"/>
          <w:numId w:val="2"/>
        </w:numPr>
        <w:jc w:val="both"/>
      </w:pPr>
      <w:r w:rsidRPr="003D1106">
        <w:t>Close immediately all political education camps in Xinjiang, and release all individuals held</w:t>
      </w:r>
      <w:r>
        <w:t>.</w:t>
      </w:r>
    </w:p>
    <w:p w14:paraId="5864CE2E" w14:textId="6C28AAA4" w:rsidR="003D1106" w:rsidRPr="003D1106" w:rsidRDefault="003D1106" w:rsidP="002151AE">
      <w:pPr>
        <w:pStyle w:val="ListParagraph"/>
        <w:numPr>
          <w:ilvl w:val="0"/>
          <w:numId w:val="2"/>
        </w:numPr>
        <w:jc w:val="both"/>
      </w:pPr>
      <w:r w:rsidRPr="003D1106">
        <w:t xml:space="preserve">Respect the rights to freedom of expression, </w:t>
      </w:r>
      <w:r w:rsidR="001A1990">
        <w:t xml:space="preserve">peaceful </w:t>
      </w:r>
      <w:r w:rsidRPr="003D1106">
        <w:t>assembly, association, religion, and culture to ensure that Turkic Muslims are able to engage in peaceful activities and raise concerns and criticisms</w:t>
      </w:r>
      <w:r>
        <w:t>.</w:t>
      </w:r>
    </w:p>
    <w:p w14:paraId="45FDEF86" w14:textId="5226F602" w:rsidR="003D1106" w:rsidRPr="003D1106" w:rsidRDefault="003D1106" w:rsidP="002151AE">
      <w:pPr>
        <w:pStyle w:val="ListParagraph"/>
        <w:numPr>
          <w:ilvl w:val="0"/>
          <w:numId w:val="2"/>
        </w:numPr>
        <w:jc w:val="both"/>
      </w:pPr>
      <w:r w:rsidRPr="003D1106">
        <w:t>Make public the whereabouts and well</w:t>
      </w:r>
      <w:r w:rsidR="001A1990">
        <w:t>-</w:t>
      </w:r>
      <w:r w:rsidRPr="003D1106">
        <w:t xml:space="preserve">being of all Turkic Muslims </w:t>
      </w:r>
      <w:r w:rsidR="001A1990">
        <w:t xml:space="preserve">forcibly </w:t>
      </w:r>
      <w:r w:rsidRPr="003D1106">
        <w:t>disappeared in 2009 and forcibly returned to China</w:t>
      </w:r>
      <w:r>
        <w:t>.</w:t>
      </w:r>
    </w:p>
    <w:p w14:paraId="73BEE33D" w14:textId="623B8260" w:rsidR="003D1106" w:rsidRPr="003D1106" w:rsidRDefault="003D1106" w:rsidP="002151AE">
      <w:pPr>
        <w:pStyle w:val="ListParagraph"/>
        <w:numPr>
          <w:ilvl w:val="0"/>
          <w:numId w:val="2"/>
        </w:numPr>
        <w:jc w:val="both"/>
      </w:pPr>
      <w:r w:rsidRPr="003D1106">
        <w:t>Shut down the Integrated Joint Operations Platform (IJOP) in Xinjiang and delete all data it has collected</w:t>
      </w:r>
      <w:r>
        <w:t>.</w:t>
      </w:r>
    </w:p>
    <w:p w14:paraId="6AC8506A" w14:textId="0F377EAB" w:rsidR="003D1106" w:rsidRPr="003D1106" w:rsidRDefault="003D1106" w:rsidP="002151AE">
      <w:pPr>
        <w:pStyle w:val="ListParagraph"/>
        <w:numPr>
          <w:ilvl w:val="0"/>
          <w:numId w:val="2"/>
        </w:numPr>
        <w:jc w:val="both"/>
      </w:pPr>
      <w:r w:rsidRPr="003D1106">
        <w:t>Suspend the collection and use of biometrics in Xinjiang until there is a comprehensive national law that protects people’s privacy</w:t>
      </w:r>
      <w:r>
        <w:t>.</w:t>
      </w:r>
    </w:p>
    <w:p w14:paraId="40DF8C73" w14:textId="4544E485" w:rsidR="003D1106" w:rsidRPr="003D1106" w:rsidRDefault="003D1106" w:rsidP="002151AE">
      <w:pPr>
        <w:pStyle w:val="ListParagraph"/>
        <w:numPr>
          <w:ilvl w:val="0"/>
          <w:numId w:val="2"/>
        </w:numPr>
        <w:jc w:val="both"/>
      </w:pPr>
      <w:r w:rsidRPr="003D1106">
        <w:lastRenderedPageBreak/>
        <w:t xml:space="preserve">Immediately release and return to their families any children held in </w:t>
      </w:r>
      <w:r w:rsidR="00BB1EED">
        <w:t>state-run institutions</w:t>
      </w:r>
      <w:r w:rsidRPr="003D1106">
        <w:t xml:space="preserve"> in Xinjiang because their parents have been arbitrarily detained</w:t>
      </w:r>
      <w:r>
        <w:t>.</w:t>
      </w:r>
    </w:p>
    <w:p w14:paraId="5020BBEF" w14:textId="53E71669" w:rsidR="00FA5482" w:rsidRPr="008A5A14" w:rsidRDefault="00D07AF0" w:rsidP="002151AE">
      <w:pPr>
        <w:jc w:val="both"/>
        <w:rPr>
          <w:b/>
          <w:bCs/>
        </w:rPr>
      </w:pPr>
      <w:proofErr w:type="gramStart"/>
      <w:r w:rsidRPr="008A5A14">
        <w:rPr>
          <w:b/>
          <w:bCs/>
        </w:rPr>
        <w:t xml:space="preserve">On the </w:t>
      </w:r>
      <w:r w:rsidR="002C1D99" w:rsidRPr="008A5A14">
        <w:rPr>
          <w:b/>
          <w:bCs/>
        </w:rPr>
        <w:t>situation of</w:t>
      </w:r>
      <w:proofErr w:type="gramEnd"/>
      <w:r w:rsidR="002C1D99" w:rsidRPr="008A5A14">
        <w:rPr>
          <w:b/>
          <w:bCs/>
        </w:rPr>
        <w:t xml:space="preserve"> Tibetans</w:t>
      </w:r>
      <w:r w:rsidR="00487832" w:rsidRPr="008A5A14">
        <w:rPr>
          <w:b/>
          <w:bCs/>
        </w:rPr>
        <w:t xml:space="preserve"> and restrictions on </w:t>
      </w:r>
      <w:r w:rsidR="00B830A5">
        <w:rPr>
          <w:b/>
          <w:bCs/>
        </w:rPr>
        <w:t>their</w:t>
      </w:r>
      <w:r w:rsidR="00487832" w:rsidRPr="008A5A14">
        <w:rPr>
          <w:b/>
          <w:bCs/>
        </w:rPr>
        <w:t xml:space="preserve"> ethnic minority language</w:t>
      </w:r>
    </w:p>
    <w:p w14:paraId="2287AE22" w14:textId="6CD20544" w:rsidR="0012571D" w:rsidRDefault="0012571D" w:rsidP="002151AE">
      <w:pPr>
        <w:jc w:val="both"/>
      </w:pPr>
      <w:r>
        <w:t xml:space="preserve">Human Rights Watch </w:t>
      </w:r>
      <w:r w:rsidR="00406A48">
        <w:t xml:space="preserve">in March 2020 </w:t>
      </w:r>
      <w:r>
        <w:t>documented Chinese authorities’ “</w:t>
      </w:r>
      <w:r w:rsidR="001D044E" w:rsidRPr="005972AD">
        <w:t>bilingual education</w:t>
      </w:r>
      <w:r>
        <w:t xml:space="preserve">” policy </w:t>
      </w:r>
      <w:r w:rsidR="004D47D3">
        <w:t xml:space="preserve">and its acceleration of </w:t>
      </w:r>
      <w:r>
        <w:t>the demise of Tibetan-medium instruction in primary schools in Tibetan areas.</w:t>
      </w:r>
      <w:r w:rsidR="001D044E">
        <w:rPr>
          <w:rStyle w:val="FootnoteReference"/>
        </w:rPr>
        <w:footnoteReference w:id="7"/>
      </w:r>
      <w:r>
        <w:t xml:space="preserve"> The policy, carried out over the past decade in the Tibet Autonomous Region (TAR) and other Tibetan areas, has increased Chinese language schooling</w:t>
      </w:r>
      <w:r w:rsidR="005E5CA9">
        <w:t xml:space="preserve"> in all subjects, and</w:t>
      </w:r>
      <w:r>
        <w:t xml:space="preserve"> at all levels</w:t>
      </w:r>
      <w:r w:rsidR="005E5CA9">
        <w:t xml:space="preserve">, </w:t>
      </w:r>
      <w:r w:rsidR="009B0C41">
        <w:t>including in pre-school and primary school</w:t>
      </w:r>
      <w:r w:rsidR="005E5CA9">
        <w:t>. The only exception is</w:t>
      </w:r>
      <w:r w:rsidR="00BB1EED">
        <w:t xml:space="preserve"> </w:t>
      </w:r>
      <w:r>
        <w:t>the study of Tibetan language</w:t>
      </w:r>
      <w:r w:rsidR="005E5CA9">
        <w:t xml:space="preserve"> as a stand-alone class</w:t>
      </w:r>
      <w:r>
        <w:t xml:space="preserve">. </w:t>
      </w:r>
    </w:p>
    <w:p w14:paraId="1F7A90EB" w14:textId="708B3DA9" w:rsidR="0012571D" w:rsidRDefault="0085621A" w:rsidP="002151AE">
      <w:pPr>
        <w:jc w:val="both"/>
      </w:pPr>
      <w:r>
        <w:t>Human Rights Watch’s</w:t>
      </w:r>
      <w:r w:rsidR="0012571D">
        <w:t xml:space="preserve"> research drew on </w:t>
      </w:r>
      <w:r w:rsidR="0012571D" w:rsidRPr="0012571D">
        <w:t>in-depth interviews with Tibetan schoolteachers, academics, and former officials, and includes translations of recent petitions by Tibetans and debates on language rights and education</w:t>
      </w:r>
      <w:r w:rsidR="0012571D">
        <w:t xml:space="preserve"> to examine the Chinese government’s rollback of minority education rights in Tibet under the guise of improving access to education. It details compulsory “bilingual” kindergartens that immerse Tibetan children in Chinese language and state propaganda from age 3, in the name of “strengthening the unity of nationalities.” These developments reflect an assimilationist policy for minorities that has gained momentum under President Xi Jinping’s leadership.</w:t>
      </w:r>
    </w:p>
    <w:p w14:paraId="5C986EB4" w14:textId="291A0517" w:rsidR="0012571D" w:rsidRDefault="0012571D" w:rsidP="002151AE">
      <w:pPr>
        <w:jc w:val="both"/>
      </w:pPr>
      <w:r>
        <w:t xml:space="preserve">China’s constitution guarantees minority language rights, and Tibetan-medium education began to be introduced in schools in the relatively liberal 1980s, although only at the primary level in the TAR. In an increasingly repressive political climate, the authorities now consider even local initiatives for the promotion of Tibetan language as “separatist” activities. Many Tibetans view the primacy and continuity of their language as the fundamental guarantee of their future as a distinct people within China. </w:t>
      </w:r>
    </w:p>
    <w:p w14:paraId="5EDBD9B6" w14:textId="1A3C820F" w:rsidR="0012571D" w:rsidRDefault="0089657B" w:rsidP="002151AE">
      <w:pPr>
        <w:jc w:val="both"/>
      </w:pPr>
      <w:r>
        <w:t xml:space="preserve">From </w:t>
      </w:r>
      <w:r w:rsidR="0012571D">
        <w:t xml:space="preserve">2010 to 2012, the proposed phasing-out of Tibetan-medium instruction in Tibetan areas of Qinghai province sparked school protests that the authorities </w:t>
      </w:r>
      <w:proofErr w:type="gramStart"/>
      <w:r w:rsidR="0012571D">
        <w:t>crushed, but</w:t>
      </w:r>
      <w:proofErr w:type="gramEnd"/>
      <w:r w:rsidR="0012571D">
        <w:t xml:space="preserve"> caused the new policy to be put on hold. In May 2019, however, </w:t>
      </w:r>
      <w:proofErr w:type="spellStart"/>
      <w:r w:rsidR="0012571D">
        <w:t>Golok</w:t>
      </w:r>
      <w:proofErr w:type="spellEnd"/>
      <w:r w:rsidR="0012571D">
        <w:t xml:space="preserve"> Prefecture in Qinghai announced that Chinese would be made the medium of instruction at all levels, starting from the September semester.</w:t>
      </w:r>
    </w:p>
    <w:p w14:paraId="227E1B25" w14:textId="1E56402F" w:rsidR="0012571D" w:rsidRPr="00BB1EED" w:rsidRDefault="0012571D" w:rsidP="002151AE">
      <w:pPr>
        <w:jc w:val="both"/>
        <w:rPr>
          <w:rFonts w:cstheme="minorHAnsi"/>
        </w:rPr>
      </w:pPr>
      <w:r>
        <w:t xml:space="preserve">No such announcement has been made in the TAR, and officials claim that each primary school can decide whether to switch from Tibetan to Chinese-medium teaching. But </w:t>
      </w:r>
      <w:r w:rsidR="004D47D3">
        <w:t>evidence shows that a</w:t>
      </w:r>
      <w:r>
        <w:t>uthorities there have adopted measures that appear designed to pressure local schools to switch to Chinese-medium. These measures include hiring thousands of non-Tibetan</w:t>
      </w:r>
      <w:r w:rsidR="0089657B">
        <w:t>-</w:t>
      </w:r>
      <w:r>
        <w:t>speaking teachers from other parts of China under the “Aid Tibet” program and the promotion of ethnically “mixed classes,” also for the sake of “nationality unity.” These make the adoption of the Chinese language largely inevitable, especially in urban areas, even without direct compulsion.</w:t>
      </w:r>
      <w:r w:rsidR="005E5CA9">
        <w:t xml:space="preserve"> </w:t>
      </w:r>
      <w:r w:rsidR="003D35C2">
        <w:t xml:space="preserve">Non-Tibetan teachers teaching in the TAR are not required to know Tibetan. </w:t>
      </w:r>
      <w:r w:rsidR="005E5CA9">
        <w:t>From at least 2016, hundreds of Tibetan teachers have been sent to other provinces for training</w:t>
      </w:r>
      <w:r w:rsidR="003D35C2">
        <w:t xml:space="preserve"> to improve their ability at “nurturing bilingual education” and to “establish the correct national </w:t>
      </w:r>
      <w:r w:rsidR="003D35C2">
        <w:lastRenderedPageBreak/>
        <w:t>standpoint,” including national unification</w:t>
      </w:r>
      <w:r w:rsidR="005E5CA9">
        <w:t>.</w:t>
      </w:r>
      <w:r w:rsidR="003D35C2">
        <w:rPr>
          <w:rStyle w:val="FootnoteReference"/>
        </w:rPr>
        <w:footnoteReference w:id="8"/>
      </w:r>
      <w:r w:rsidR="005E5CA9">
        <w:t xml:space="preserve"> Since 2017, all Tibetan teachers are required to be fluent in </w:t>
      </w:r>
      <w:r w:rsidR="005E5CA9" w:rsidRPr="00BB1EED">
        <w:rPr>
          <w:rFonts w:cstheme="minorHAnsi"/>
        </w:rPr>
        <w:t>Chinese</w:t>
      </w:r>
      <w:r w:rsidR="003D35C2" w:rsidRPr="00BB1EED">
        <w:rPr>
          <w:rFonts w:cstheme="minorHAnsi"/>
        </w:rPr>
        <w:t>; and those with weaker Chinese language skills have been laid off, according to media reports</w:t>
      </w:r>
      <w:r w:rsidR="005E5CA9" w:rsidRPr="00BB1EED">
        <w:rPr>
          <w:rFonts w:cstheme="minorHAnsi"/>
        </w:rPr>
        <w:t>.</w:t>
      </w:r>
      <w:r w:rsidR="003D35C2" w:rsidRPr="00BB1EED">
        <w:rPr>
          <w:rStyle w:val="FootnoteReference"/>
          <w:rFonts w:cstheme="minorHAnsi"/>
        </w:rPr>
        <w:footnoteReference w:id="9"/>
      </w:r>
      <w:r w:rsidR="005E5CA9" w:rsidRPr="00BB1EED">
        <w:rPr>
          <w:rFonts w:cstheme="minorHAnsi"/>
        </w:rPr>
        <w:t xml:space="preserve"> </w:t>
      </w:r>
    </w:p>
    <w:p w14:paraId="33640BD6" w14:textId="4AF78DF1" w:rsidR="005E5CA9" w:rsidRPr="00BB1EED" w:rsidRDefault="005E5CA9" w:rsidP="002151AE">
      <w:pPr>
        <w:jc w:val="both"/>
        <w:rPr>
          <w:rFonts w:cstheme="minorHAnsi"/>
        </w:rPr>
      </w:pPr>
      <w:r w:rsidRPr="00BB1EED">
        <w:rPr>
          <w:rFonts w:cstheme="minorHAnsi"/>
          <w:color w:val="444444"/>
        </w:rPr>
        <w:t>Another measure, known as “concentrated schooling,” involves closing local schools in rural areas and consolidating them in a nearby town, where rural students usually have to board. While this brings benefits in terms of facilities and standards, it also reduces children’s contact with their family and with a Tibetan-speaking environment. These measures all improve Tibetan children’s exposure to Chinese but can weaken children’s access to</w:t>
      </w:r>
      <w:r w:rsidR="009B0C41" w:rsidRPr="00BB1EED">
        <w:rPr>
          <w:rFonts w:cstheme="minorHAnsi"/>
          <w:color w:val="444444"/>
        </w:rPr>
        <w:t>, exposure</w:t>
      </w:r>
      <w:r w:rsidRPr="00BB1EED">
        <w:rPr>
          <w:rFonts w:cstheme="minorHAnsi"/>
          <w:color w:val="444444"/>
        </w:rPr>
        <w:t xml:space="preserve"> and familiarity with their own language.</w:t>
      </w:r>
    </w:p>
    <w:p w14:paraId="6EF369D5" w14:textId="6FBEA059" w:rsidR="0012571D" w:rsidRDefault="0012571D" w:rsidP="002151AE">
      <w:pPr>
        <w:jc w:val="both"/>
      </w:pPr>
      <w:r w:rsidRPr="00BB1EED">
        <w:rPr>
          <w:rFonts w:cstheme="minorHAnsi"/>
        </w:rPr>
        <w:t xml:space="preserve">Tibetans </w:t>
      </w:r>
      <w:r w:rsidR="004D47D3" w:rsidRPr="00BB1EED">
        <w:rPr>
          <w:rFonts w:cstheme="minorHAnsi"/>
        </w:rPr>
        <w:t>expressed</w:t>
      </w:r>
      <w:r>
        <w:t xml:space="preserve"> that while it is necessary and desirable for children to acquire fluency in Chinese, this was in no way incompatible with Tibetan-medium instruction at the kindergarten and primary level. Some were aware of international academic research showing that children learn faster and better in their own language and are better placed to learn a second language once they have acquired competency in their mother tongue. </w:t>
      </w:r>
    </w:p>
    <w:p w14:paraId="1B18D7F9" w14:textId="6DE91088" w:rsidR="004D47D3" w:rsidRDefault="004D47D3" w:rsidP="002151AE">
      <w:pPr>
        <w:jc w:val="both"/>
      </w:pPr>
      <w:r>
        <w:t>I</w:t>
      </w:r>
      <w:r w:rsidRPr="004D47D3">
        <w:t>n April</w:t>
      </w:r>
      <w:r w:rsidR="003D35C2">
        <w:t xml:space="preserve"> 2020</w:t>
      </w:r>
      <w:r w:rsidRPr="004D47D3">
        <w:t xml:space="preserve">, </w:t>
      </w:r>
      <w:r>
        <w:t xml:space="preserve">officials announced that when </w:t>
      </w:r>
      <w:r w:rsidRPr="004D47D3">
        <w:t xml:space="preserve">schools in </w:t>
      </w:r>
      <w:proofErr w:type="spellStart"/>
      <w:r w:rsidRPr="004D47D3">
        <w:t>Ngawa</w:t>
      </w:r>
      <w:proofErr w:type="spellEnd"/>
      <w:r w:rsidRPr="004D47D3">
        <w:t xml:space="preserve"> [Ch.: Aba] prefecture, a largely Tibetan region of Sichuan province, reopen</w:t>
      </w:r>
      <w:r>
        <w:t xml:space="preserve"> in September, they will no longer use </w:t>
      </w:r>
      <w:r w:rsidRPr="004D47D3">
        <w:t>Tibetan language in classes.</w:t>
      </w:r>
      <w:r w:rsidR="003F5364">
        <w:rPr>
          <w:rStyle w:val="FootnoteReference"/>
        </w:rPr>
        <w:footnoteReference w:id="10"/>
      </w:r>
    </w:p>
    <w:p w14:paraId="69D44284" w14:textId="42B63362" w:rsidR="004D47D3" w:rsidRPr="005972AD" w:rsidRDefault="00310272" w:rsidP="002151AE">
      <w:pPr>
        <w:jc w:val="both"/>
        <w:rPr>
          <w:i/>
          <w:iCs/>
        </w:rPr>
      </w:pPr>
      <w:r>
        <w:rPr>
          <w:i/>
          <w:iCs/>
        </w:rPr>
        <w:t>Human Rights Watch encourages the Committee to make the following r</w:t>
      </w:r>
      <w:r w:rsidR="004D47D3" w:rsidRPr="005972AD">
        <w:rPr>
          <w:i/>
          <w:iCs/>
        </w:rPr>
        <w:t>ecommendations</w:t>
      </w:r>
      <w:r>
        <w:rPr>
          <w:i/>
          <w:iCs/>
        </w:rPr>
        <w:t xml:space="preserve"> to the Chinese government:</w:t>
      </w:r>
    </w:p>
    <w:p w14:paraId="0C787C07" w14:textId="7D48B5D8" w:rsidR="004D47D3" w:rsidRDefault="004D47D3" w:rsidP="002151AE">
      <w:pPr>
        <w:pStyle w:val="ListParagraph"/>
        <w:numPr>
          <w:ilvl w:val="0"/>
          <w:numId w:val="1"/>
        </w:numPr>
        <w:jc w:val="both"/>
      </w:pPr>
      <w:r>
        <w:t>Reaffirm the established rights of minorities to mother-tongue instruction in schools.</w:t>
      </w:r>
    </w:p>
    <w:p w14:paraId="6D1FDE34" w14:textId="77777777" w:rsidR="009B0C41" w:rsidRDefault="004D47D3" w:rsidP="002151AE">
      <w:pPr>
        <w:pStyle w:val="ListParagraph"/>
        <w:numPr>
          <w:ilvl w:val="0"/>
          <w:numId w:val="1"/>
        </w:numPr>
        <w:jc w:val="both"/>
      </w:pPr>
      <w:r>
        <w:t>Revise the bilingual education policy to</w:t>
      </w:r>
      <w:r w:rsidR="009B0C41">
        <w:t>:</w:t>
      </w:r>
      <w:r>
        <w:t xml:space="preserve"> </w:t>
      </w:r>
    </w:p>
    <w:p w14:paraId="12D491FE" w14:textId="212C19DC" w:rsidR="009B0C41" w:rsidRDefault="009B0C41" w:rsidP="002151AE">
      <w:pPr>
        <w:pStyle w:val="ListParagraph"/>
        <w:numPr>
          <w:ilvl w:val="1"/>
          <w:numId w:val="1"/>
        </w:numPr>
        <w:jc w:val="both"/>
      </w:pPr>
      <w:r>
        <w:t>E</w:t>
      </w:r>
      <w:r w:rsidR="004D47D3">
        <w:t>nsure the use and promotion of ethnic minority languages in schools</w:t>
      </w:r>
      <w:r w:rsidR="00C74DBB">
        <w:t>.</w:t>
      </w:r>
    </w:p>
    <w:p w14:paraId="6D544481" w14:textId="33E8C87E" w:rsidR="009B0C41" w:rsidRDefault="009B0C41" w:rsidP="002151AE">
      <w:pPr>
        <w:pStyle w:val="ListParagraph"/>
        <w:numPr>
          <w:ilvl w:val="1"/>
          <w:numId w:val="1"/>
        </w:numPr>
        <w:jc w:val="both"/>
      </w:pPr>
      <w:r>
        <w:t>A</w:t>
      </w:r>
      <w:r w:rsidR="004D47D3">
        <w:t>llow mother-tongue instruction in pre-school and primary school</w:t>
      </w:r>
      <w:r w:rsidR="00C74DBB">
        <w:t>.</w:t>
      </w:r>
    </w:p>
    <w:p w14:paraId="053ABF49" w14:textId="3409B2BF" w:rsidR="004D47D3" w:rsidRDefault="009B0C41" w:rsidP="002151AE">
      <w:pPr>
        <w:pStyle w:val="ListParagraph"/>
        <w:numPr>
          <w:ilvl w:val="1"/>
          <w:numId w:val="1"/>
        </w:numPr>
        <w:jc w:val="both"/>
      </w:pPr>
      <w:r>
        <w:t>E</w:t>
      </w:r>
      <w:r w:rsidR="004D47D3">
        <w:t>nsure voluntary and consensual implementation of language policy in schools, including by consulting with and ensuring participation of ethnic minorities during the revision process.</w:t>
      </w:r>
    </w:p>
    <w:p w14:paraId="095A5B8F" w14:textId="77777777" w:rsidR="009B0C41" w:rsidRDefault="009B0C41" w:rsidP="002151AE">
      <w:pPr>
        <w:pStyle w:val="ListParagraph"/>
        <w:numPr>
          <w:ilvl w:val="1"/>
          <w:numId w:val="1"/>
        </w:numPr>
        <w:jc w:val="both"/>
      </w:pPr>
      <w:r w:rsidRPr="009B0C41">
        <w:t>Ensure that all teaching and learning materials for pre-school and primary levels are available in ethnic minority languages and as feasible for secondary levels, and reflect culturally appropriate content</w:t>
      </w:r>
      <w:r>
        <w:t>.</w:t>
      </w:r>
    </w:p>
    <w:p w14:paraId="39C90379" w14:textId="4A6D26FA" w:rsidR="004D47D3" w:rsidRDefault="004D47D3" w:rsidP="002151AE">
      <w:pPr>
        <w:pStyle w:val="ListParagraph"/>
        <w:numPr>
          <w:ilvl w:val="0"/>
          <w:numId w:val="1"/>
        </w:numPr>
        <w:jc w:val="both"/>
      </w:pPr>
      <w:r>
        <w:t>Ensure that educational objectives and not political objectives hold priority in the formulation of education policy in minority areas.</w:t>
      </w:r>
    </w:p>
    <w:p w14:paraId="4B3D673E" w14:textId="332BB5F2" w:rsidR="0012571D" w:rsidRDefault="009B0C41" w:rsidP="002151AE">
      <w:pPr>
        <w:pStyle w:val="ListParagraph"/>
        <w:numPr>
          <w:ilvl w:val="0"/>
          <w:numId w:val="1"/>
        </w:numPr>
        <w:jc w:val="both"/>
      </w:pPr>
      <w:r>
        <w:t>End the forced imposition of “ethnic mingling” measures in Tibetan education such as concentrated schooling and “mixed classes</w:t>
      </w:r>
      <w:r w:rsidR="00BB1EED">
        <w:t>.</w:t>
      </w:r>
      <w:r>
        <w:t>”</w:t>
      </w:r>
      <w:r w:rsidR="00BB1EED">
        <w:t xml:space="preserve"> </w:t>
      </w:r>
      <w:r w:rsidR="004D47D3">
        <w:t>Ensure that promotion of “nationality unity” does not violate basic civil and cultural rights and does not restrict public debate over issues such as education and migration in nationality areas.</w:t>
      </w:r>
    </w:p>
    <w:p w14:paraId="3C709271" w14:textId="77777777" w:rsidR="004D47D3" w:rsidRDefault="004D47D3" w:rsidP="002151AE">
      <w:pPr>
        <w:pStyle w:val="ListParagraph"/>
        <w:numPr>
          <w:ilvl w:val="0"/>
          <w:numId w:val="1"/>
        </w:numPr>
        <w:jc w:val="both"/>
      </w:pPr>
      <w:r>
        <w:t>Unconditionally release Tashi Wangchuk and others prosecuted for peaceful opposition to state education policies.</w:t>
      </w:r>
    </w:p>
    <w:p w14:paraId="0E170EFC" w14:textId="77777777" w:rsidR="00310272" w:rsidRDefault="004D47D3" w:rsidP="002151AE">
      <w:pPr>
        <w:pStyle w:val="ListParagraph"/>
        <w:numPr>
          <w:ilvl w:val="0"/>
          <w:numId w:val="1"/>
        </w:numPr>
        <w:jc w:val="both"/>
      </w:pPr>
      <w:r>
        <w:lastRenderedPageBreak/>
        <w:t xml:space="preserve">End the suppression of any activities or organizations calling for increased mother-tongue education and reverse the classification of such activities as “organized crime.” </w:t>
      </w:r>
    </w:p>
    <w:p w14:paraId="0FB33E43" w14:textId="61A303D0" w:rsidR="004D47D3" w:rsidRDefault="004D47D3" w:rsidP="002151AE">
      <w:pPr>
        <w:pStyle w:val="ListParagraph"/>
        <w:numPr>
          <w:ilvl w:val="0"/>
          <w:numId w:val="1"/>
        </w:numPr>
        <w:jc w:val="both"/>
      </w:pPr>
      <w:r>
        <w:t>Allow all public discussion of education issues without threat of reprisal.</w:t>
      </w:r>
    </w:p>
    <w:p w14:paraId="45D61EB9" w14:textId="18F34D8E" w:rsidR="008E0BAA" w:rsidRDefault="008E0BAA" w:rsidP="002151AE">
      <w:pPr>
        <w:pStyle w:val="ListParagraph"/>
        <w:numPr>
          <w:ilvl w:val="0"/>
          <w:numId w:val="1"/>
        </w:numPr>
        <w:jc w:val="both"/>
      </w:pPr>
      <w:r w:rsidRPr="008E0BAA">
        <w:t xml:space="preserve">Document efforts made to address above-mentioned issues in the next periodic </w:t>
      </w:r>
      <w:r w:rsidR="00C74DBB">
        <w:t>I</w:t>
      </w:r>
      <w:r w:rsidR="00801D63">
        <w:t xml:space="preserve">CERD </w:t>
      </w:r>
      <w:r w:rsidRPr="008E0BAA">
        <w:t>report</w:t>
      </w:r>
      <w:r>
        <w:t>.</w:t>
      </w:r>
    </w:p>
    <w:p w14:paraId="21BBDD34" w14:textId="77777777" w:rsidR="004D47D3" w:rsidRDefault="004D47D3" w:rsidP="009540AA"/>
    <w:sectPr w:rsidR="004D47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B0D7B4" w14:textId="77777777" w:rsidR="00867E65" w:rsidRDefault="00867E65" w:rsidP="00B37F83">
      <w:pPr>
        <w:spacing w:after="0" w:line="240" w:lineRule="auto"/>
      </w:pPr>
      <w:r>
        <w:separator/>
      </w:r>
    </w:p>
  </w:endnote>
  <w:endnote w:type="continuationSeparator" w:id="0">
    <w:p w14:paraId="69ABEE8D" w14:textId="77777777" w:rsidR="00867E65" w:rsidRDefault="00867E65" w:rsidP="00B37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AEACA7" w14:textId="77777777" w:rsidR="00867E65" w:rsidRDefault="00867E65" w:rsidP="00B37F83">
      <w:pPr>
        <w:spacing w:after="0" w:line="240" w:lineRule="auto"/>
      </w:pPr>
      <w:r>
        <w:separator/>
      </w:r>
    </w:p>
  </w:footnote>
  <w:footnote w:type="continuationSeparator" w:id="0">
    <w:p w14:paraId="04213A74" w14:textId="77777777" w:rsidR="00867E65" w:rsidRDefault="00867E65" w:rsidP="00B37F83">
      <w:pPr>
        <w:spacing w:after="0" w:line="240" w:lineRule="auto"/>
      </w:pPr>
      <w:r>
        <w:continuationSeparator/>
      </w:r>
    </w:p>
  </w:footnote>
  <w:footnote w:id="1">
    <w:p w14:paraId="0E18E1C9" w14:textId="226EB21B" w:rsidR="0089657B" w:rsidRPr="005972AD" w:rsidRDefault="0089657B">
      <w:pPr>
        <w:pStyle w:val="FootnoteText"/>
        <w:rPr>
          <w:lang w:val="en-GB"/>
        </w:rPr>
      </w:pPr>
      <w:r>
        <w:rPr>
          <w:rStyle w:val="FootnoteReference"/>
        </w:rPr>
        <w:footnoteRef/>
      </w:r>
      <w:r>
        <w:t xml:space="preserve"> </w:t>
      </w:r>
      <w:r>
        <w:rPr>
          <w:lang w:val="en-GB"/>
        </w:rPr>
        <w:t xml:space="preserve">U.N. Doc. </w:t>
      </w:r>
      <w:r w:rsidRPr="00B37F83">
        <w:rPr>
          <w:lang w:val="en-GB"/>
        </w:rPr>
        <w:t>CERD/C/CHN/CO/14-17</w:t>
      </w:r>
      <w:r>
        <w:rPr>
          <w:lang w:val="en-GB"/>
        </w:rPr>
        <w:t xml:space="preserve"> (2018).</w:t>
      </w:r>
    </w:p>
  </w:footnote>
  <w:footnote w:id="2">
    <w:p w14:paraId="4D2168F4" w14:textId="4FEC3DD3" w:rsidR="00515F4D" w:rsidRPr="00515F4D" w:rsidRDefault="00515F4D">
      <w:pPr>
        <w:pStyle w:val="FootnoteText"/>
      </w:pPr>
      <w:r>
        <w:rPr>
          <w:rStyle w:val="FootnoteReference"/>
        </w:rPr>
        <w:footnoteRef/>
      </w:r>
      <w:r>
        <w:t xml:space="preserve"> BBC News, ‘China’s ambassador challenged on treatment of Uighurs,’ 19 July 2020, </w:t>
      </w:r>
      <w:hyperlink r:id="rId1" w:history="1">
        <w:r>
          <w:rPr>
            <w:rStyle w:val="Hyperlink"/>
          </w:rPr>
          <w:t>https://www.bbc.com/news/av/world-asia-53463242/china-s-ambassador-challenged-on-treatment-of-uighurs</w:t>
        </w:r>
      </w:hyperlink>
      <w:r>
        <w:t xml:space="preserve">. </w:t>
      </w:r>
    </w:p>
  </w:footnote>
  <w:footnote w:id="3">
    <w:p w14:paraId="1453704A" w14:textId="7D6D9726" w:rsidR="0089657B" w:rsidRPr="005972AD" w:rsidRDefault="0089657B">
      <w:pPr>
        <w:pStyle w:val="FootnoteText"/>
        <w:rPr>
          <w:lang w:val="en-GB"/>
        </w:rPr>
      </w:pPr>
      <w:r>
        <w:rPr>
          <w:rStyle w:val="FootnoteReference"/>
        </w:rPr>
        <w:footnoteRef/>
      </w:r>
      <w:r>
        <w:t xml:space="preserve"> </w:t>
      </w:r>
      <w:r>
        <w:rPr>
          <w:i/>
          <w:iCs/>
          <w:lang w:val="en-GB"/>
        </w:rPr>
        <w:t xml:space="preserve">See </w:t>
      </w:r>
      <w:r>
        <w:rPr>
          <w:lang w:val="en-GB"/>
        </w:rPr>
        <w:t xml:space="preserve">Human Rights Watch, </w:t>
      </w:r>
      <w:r w:rsidR="00C74DBB">
        <w:rPr>
          <w:lang w:val="en-GB"/>
        </w:rPr>
        <w:t>“</w:t>
      </w:r>
      <w:r>
        <w:rPr>
          <w:lang w:val="en-GB"/>
        </w:rPr>
        <w:t>China: Children Caught in Xinjiang Crackdown</w:t>
      </w:r>
      <w:r w:rsidR="00C74DBB">
        <w:rPr>
          <w:lang w:val="en-GB"/>
        </w:rPr>
        <w:t>”</w:t>
      </w:r>
      <w:r>
        <w:rPr>
          <w:lang w:val="en-GB"/>
        </w:rPr>
        <w:t xml:space="preserve"> (October 16, 2018), </w:t>
      </w:r>
      <w:r w:rsidRPr="00CC79B9">
        <w:t>https://www.hrw.org/news/2018/10/16/china-children-caught-xinjiang-crackdown</w:t>
      </w:r>
      <w:r>
        <w:t>.</w:t>
      </w:r>
    </w:p>
  </w:footnote>
  <w:footnote w:id="4">
    <w:p w14:paraId="4AE046BD" w14:textId="439F9610" w:rsidR="00515F4D" w:rsidRPr="00515F4D" w:rsidRDefault="00515F4D">
      <w:pPr>
        <w:pStyle w:val="FootnoteText"/>
      </w:pPr>
      <w:r>
        <w:rPr>
          <w:rStyle w:val="FootnoteReference"/>
        </w:rPr>
        <w:footnoteRef/>
      </w:r>
      <w:r>
        <w:t xml:space="preserve"> </w:t>
      </w:r>
      <w:r>
        <w:rPr>
          <w:i/>
          <w:iCs/>
        </w:rPr>
        <w:t>I</w:t>
      </w:r>
      <w:r w:rsidR="00B92C6A">
        <w:rPr>
          <w:i/>
          <w:iCs/>
        </w:rPr>
        <w:t>d</w:t>
      </w:r>
      <w:r>
        <w:rPr>
          <w:i/>
          <w:iCs/>
        </w:rPr>
        <w:t>.</w:t>
      </w:r>
    </w:p>
  </w:footnote>
  <w:footnote w:id="5">
    <w:p w14:paraId="0675FBEF" w14:textId="425D47D3" w:rsidR="0089657B" w:rsidRPr="005972AD" w:rsidRDefault="0089657B">
      <w:pPr>
        <w:pStyle w:val="FootnoteText"/>
        <w:rPr>
          <w:lang w:val="en-GB"/>
        </w:rPr>
      </w:pPr>
      <w:r>
        <w:rPr>
          <w:rStyle w:val="FootnoteReference"/>
        </w:rPr>
        <w:footnoteRef/>
      </w:r>
      <w:r>
        <w:t xml:space="preserve"> Human Rights Watch, </w:t>
      </w:r>
      <w:r w:rsidR="00C74DBB">
        <w:t>“</w:t>
      </w:r>
      <w:r>
        <w:rPr>
          <w:lang w:val="en-GB"/>
        </w:rPr>
        <w:t>How Mass Surveillance Works in Xinjiang, China</w:t>
      </w:r>
      <w:r w:rsidR="00C74DBB">
        <w:rPr>
          <w:lang w:val="en-GB"/>
        </w:rPr>
        <w:t>”</w:t>
      </w:r>
      <w:r>
        <w:rPr>
          <w:lang w:val="en-GB"/>
        </w:rPr>
        <w:t xml:space="preserve"> (May 2, 2019), </w:t>
      </w:r>
      <w:r w:rsidRPr="004408A2">
        <w:t>https://www.hrw.org/video-photos/interactive/2019/05/02/china-how-mass-surveillance-works-xinjiang</w:t>
      </w:r>
      <w:r>
        <w:t>.</w:t>
      </w:r>
    </w:p>
  </w:footnote>
  <w:footnote w:id="6">
    <w:p w14:paraId="06EF2306" w14:textId="330A94E9" w:rsidR="00B92C6A" w:rsidRPr="00B92C6A" w:rsidRDefault="00B92C6A">
      <w:pPr>
        <w:pStyle w:val="FootnoteText"/>
      </w:pPr>
      <w:r>
        <w:rPr>
          <w:rStyle w:val="FootnoteReference"/>
        </w:rPr>
        <w:footnoteRef/>
      </w:r>
      <w:r>
        <w:t xml:space="preserve"> </w:t>
      </w:r>
      <w:r>
        <w:rPr>
          <w:i/>
          <w:iCs/>
        </w:rPr>
        <w:t xml:space="preserve">See </w:t>
      </w:r>
      <w:r>
        <w:t>Human Rights Watch, “</w:t>
      </w:r>
      <w:r w:rsidRPr="00B92C6A">
        <w:t>China: Forcibly Returned Uighur Asylum Seekers At Risk</w:t>
      </w:r>
      <w:r>
        <w:t>” (December 22, 2009)</w:t>
      </w:r>
      <w:r w:rsidR="00C063D0">
        <w:t xml:space="preserve">, </w:t>
      </w:r>
      <w:hyperlink r:id="rId2" w:history="1">
        <w:r w:rsidR="00C063D0">
          <w:rPr>
            <w:rStyle w:val="Hyperlink"/>
          </w:rPr>
          <w:t>https://www.hrw.org/news/2009/12/22/china-forcibly-returned-uighur-asylum-seekers-risk</w:t>
        </w:r>
      </w:hyperlink>
      <w:r w:rsidR="00C063D0">
        <w:t xml:space="preserve">; “Egypt: Don’t Deport Uyghurs to China” (July 7, 2017), </w:t>
      </w:r>
      <w:hyperlink r:id="rId3" w:history="1">
        <w:r w:rsidR="00C063D0" w:rsidRPr="0044712E">
          <w:rPr>
            <w:rStyle w:val="Hyperlink"/>
          </w:rPr>
          <w:t>https://www.hrw.org/news/2017/07/07/egypt-dont-deport-uyghurs-china</w:t>
        </w:r>
      </w:hyperlink>
      <w:r w:rsidR="00C063D0">
        <w:t xml:space="preserve">; “China: Account for Forcibly Returned Uighurs” (September 2, 2011), </w:t>
      </w:r>
      <w:r w:rsidR="00C063D0" w:rsidRPr="00E133FE">
        <w:t>https://www.hrw.org/news/2011/09/02/china-account-forcibly-returned-uighurs</w:t>
      </w:r>
      <w:r w:rsidR="00C063D0">
        <w:t>.</w:t>
      </w:r>
    </w:p>
  </w:footnote>
  <w:footnote w:id="7">
    <w:p w14:paraId="62D700DD" w14:textId="7DB516F0" w:rsidR="0089657B" w:rsidRPr="005972AD" w:rsidRDefault="0089657B">
      <w:pPr>
        <w:pStyle w:val="FootnoteText"/>
        <w:rPr>
          <w:lang w:val="en-GB"/>
        </w:rPr>
      </w:pPr>
      <w:r>
        <w:rPr>
          <w:rStyle w:val="FootnoteReference"/>
        </w:rPr>
        <w:footnoteRef/>
      </w:r>
      <w:r>
        <w:t xml:space="preserve"> </w:t>
      </w:r>
      <w:r>
        <w:rPr>
          <w:lang w:val="en-GB"/>
        </w:rPr>
        <w:t xml:space="preserve">Human Rights Watch, </w:t>
      </w:r>
      <w:r w:rsidR="00C74DBB">
        <w:rPr>
          <w:lang w:val="en-GB"/>
        </w:rPr>
        <w:t>“</w:t>
      </w:r>
      <w:r>
        <w:rPr>
          <w:lang w:val="en-GB"/>
        </w:rPr>
        <w:t xml:space="preserve">China’s </w:t>
      </w:r>
      <w:r w:rsidR="00C74DBB">
        <w:rPr>
          <w:lang w:val="en-GB"/>
        </w:rPr>
        <w:t>‘</w:t>
      </w:r>
      <w:r>
        <w:rPr>
          <w:lang w:val="en-GB"/>
        </w:rPr>
        <w:t>Bilingual Education</w:t>
      </w:r>
      <w:r w:rsidR="00C74DBB">
        <w:rPr>
          <w:lang w:val="en-GB"/>
        </w:rPr>
        <w:t>’</w:t>
      </w:r>
      <w:r>
        <w:rPr>
          <w:lang w:val="en-GB"/>
        </w:rPr>
        <w:t xml:space="preserve"> Policy in Tibet</w:t>
      </w:r>
      <w:r w:rsidR="00C74DBB">
        <w:rPr>
          <w:lang w:val="en-GB"/>
        </w:rPr>
        <w:t>”</w:t>
      </w:r>
      <w:r>
        <w:rPr>
          <w:lang w:val="en-GB"/>
        </w:rPr>
        <w:t xml:space="preserve"> (March 4, 2020), </w:t>
      </w:r>
      <w:hyperlink r:id="rId4" w:history="1">
        <w:r>
          <w:rPr>
            <w:rStyle w:val="Hyperlink"/>
          </w:rPr>
          <w:t>https://www.hrw.org/report/2020/03/04/chinas-bilingual-education-policy-tibet/tibetan-medium-schooling-under-threat</w:t>
        </w:r>
      </w:hyperlink>
      <w:r>
        <w:t>.</w:t>
      </w:r>
    </w:p>
  </w:footnote>
  <w:footnote w:id="8">
    <w:p w14:paraId="4D88853F" w14:textId="28A7EDB2" w:rsidR="0089657B" w:rsidRDefault="0089657B">
      <w:pPr>
        <w:pStyle w:val="FootnoteText"/>
      </w:pPr>
      <w:r>
        <w:rPr>
          <w:rStyle w:val="FootnoteReference"/>
        </w:rPr>
        <w:footnoteRef/>
      </w:r>
      <w:r>
        <w:t xml:space="preserve"> See “The Ministry of Education’s Suggestions on Work to Strengthen Counterpart Support for Education in Tibet and Tibetan Areas in the Four Provinces During the Period of the Thirteenth Five-Year Plan,” PRC Ministry of Education, “Teach People [2016] No. 5,” December 30, 2016, http://www.moe.edu.cn/srcsite/A09/s3082/201701/t20170112_294684.html.</w:t>
      </w:r>
    </w:p>
  </w:footnote>
  <w:footnote w:id="9">
    <w:p w14:paraId="0EE1AF2F" w14:textId="77684E5B" w:rsidR="0089657B" w:rsidRDefault="0089657B">
      <w:pPr>
        <w:pStyle w:val="FootnoteText"/>
      </w:pPr>
      <w:r>
        <w:rPr>
          <w:rStyle w:val="FootnoteReference"/>
        </w:rPr>
        <w:footnoteRef/>
      </w:r>
      <w:r>
        <w:t xml:space="preserve"> Edward Wong, “Tibetans Fight to Salvage Fading Culture in China,” New York Times, November 28, 2015, https://www.nytimes.com/2015/11/29/world/asia/china-tibet-language-education.html.</w:t>
      </w:r>
    </w:p>
  </w:footnote>
  <w:footnote w:id="10">
    <w:p w14:paraId="1B107F1E" w14:textId="55102577" w:rsidR="0089657B" w:rsidRPr="005972AD" w:rsidRDefault="0089657B">
      <w:pPr>
        <w:pStyle w:val="FootnoteText"/>
        <w:rPr>
          <w:lang w:val="en-GB"/>
        </w:rPr>
      </w:pPr>
      <w:r>
        <w:rPr>
          <w:rStyle w:val="FootnoteReference"/>
        </w:rPr>
        <w:footnoteRef/>
      </w:r>
      <w:r>
        <w:t xml:space="preserve"> </w:t>
      </w:r>
      <w:r w:rsidRPr="00FB2A2F">
        <w:rPr>
          <w:iCs/>
          <w:lang w:val="en-GB"/>
        </w:rPr>
        <w:t>See</w:t>
      </w:r>
      <w:r>
        <w:rPr>
          <w:i/>
          <w:iCs/>
          <w:lang w:val="en-GB"/>
        </w:rPr>
        <w:t xml:space="preserve"> </w:t>
      </w:r>
      <w:r w:rsidRPr="005972AD">
        <w:rPr>
          <w:lang w:val="en-GB"/>
        </w:rPr>
        <w:t>Sophie Richardson,</w:t>
      </w:r>
      <w:r>
        <w:rPr>
          <w:i/>
          <w:iCs/>
          <w:lang w:val="en-GB"/>
        </w:rPr>
        <w:t xml:space="preserve"> </w:t>
      </w:r>
      <w:r>
        <w:rPr>
          <w:lang w:val="en-GB"/>
        </w:rPr>
        <w:t xml:space="preserve">‘Bitter Blow for Tibetan Mother-tongue Education’, Human Rights Watch (April 23, 2020), </w:t>
      </w:r>
      <w:r w:rsidRPr="004D47D3">
        <w:t>https://www.hrw.org/news/2020/04/23/bitter-blow-tibetan-mother-tongue-education</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2D280E"/>
    <w:multiLevelType w:val="hybridMultilevel"/>
    <w:tmpl w:val="4B660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CC4F35"/>
    <w:multiLevelType w:val="hybridMultilevel"/>
    <w:tmpl w:val="7F50C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0FB"/>
    <w:rsid w:val="0000527B"/>
    <w:rsid w:val="000432EA"/>
    <w:rsid w:val="00054745"/>
    <w:rsid w:val="000C4D55"/>
    <w:rsid w:val="000E388C"/>
    <w:rsid w:val="00116936"/>
    <w:rsid w:val="00120208"/>
    <w:rsid w:val="0012571D"/>
    <w:rsid w:val="00153AA5"/>
    <w:rsid w:val="001A1990"/>
    <w:rsid w:val="001C5B74"/>
    <w:rsid w:val="001D044E"/>
    <w:rsid w:val="002151AE"/>
    <w:rsid w:val="0025146B"/>
    <w:rsid w:val="002C1D99"/>
    <w:rsid w:val="002E6E01"/>
    <w:rsid w:val="00310272"/>
    <w:rsid w:val="003347C9"/>
    <w:rsid w:val="003D1106"/>
    <w:rsid w:val="003D35C2"/>
    <w:rsid w:val="003E44D8"/>
    <w:rsid w:val="003F5364"/>
    <w:rsid w:val="00406A48"/>
    <w:rsid w:val="004408A2"/>
    <w:rsid w:val="00487832"/>
    <w:rsid w:val="004B024F"/>
    <w:rsid w:val="004D47D3"/>
    <w:rsid w:val="00515F4D"/>
    <w:rsid w:val="005712B2"/>
    <w:rsid w:val="00595EC1"/>
    <w:rsid w:val="005972AD"/>
    <w:rsid w:val="005E59C8"/>
    <w:rsid w:val="005E5CA9"/>
    <w:rsid w:val="005F18F1"/>
    <w:rsid w:val="00624BDA"/>
    <w:rsid w:val="0076068F"/>
    <w:rsid w:val="007D203A"/>
    <w:rsid w:val="007E18CF"/>
    <w:rsid w:val="00801D63"/>
    <w:rsid w:val="00835E2D"/>
    <w:rsid w:val="0085621A"/>
    <w:rsid w:val="00867E65"/>
    <w:rsid w:val="00876529"/>
    <w:rsid w:val="0089657B"/>
    <w:rsid w:val="008A5A14"/>
    <w:rsid w:val="008D4AB5"/>
    <w:rsid w:val="008E0BAA"/>
    <w:rsid w:val="008F3BA6"/>
    <w:rsid w:val="00940DDA"/>
    <w:rsid w:val="009540AA"/>
    <w:rsid w:val="009B0C41"/>
    <w:rsid w:val="009C667A"/>
    <w:rsid w:val="00AD1400"/>
    <w:rsid w:val="00B1735C"/>
    <w:rsid w:val="00B37F83"/>
    <w:rsid w:val="00B52727"/>
    <w:rsid w:val="00B830A5"/>
    <w:rsid w:val="00B92C6A"/>
    <w:rsid w:val="00BB1EED"/>
    <w:rsid w:val="00BB4C13"/>
    <w:rsid w:val="00C063D0"/>
    <w:rsid w:val="00C52522"/>
    <w:rsid w:val="00C74DBB"/>
    <w:rsid w:val="00CC79B9"/>
    <w:rsid w:val="00CD30C0"/>
    <w:rsid w:val="00D07AF0"/>
    <w:rsid w:val="00D2571A"/>
    <w:rsid w:val="00D650FB"/>
    <w:rsid w:val="00E133FE"/>
    <w:rsid w:val="00E2414A"/>
    <w:rsid w:val="00E50AB5"/>
    <w:rsid w:val="00E91DEE"/>
    <w:rsid w:val="00EE2673"/>
    <w:rsid w:val="00F700A7"/>
    <w:rsid w:val="00F813B8"/>
    <w:rsid w:val="00F9331F"/>
    <w:rsid w:val="00FA5482"/>
    <w:rsid w:val="00FB2A2F"/>
    <w:rsid w:val="00FE5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EEE3A3"/>
  <w15:docId w15:val="{3DAC2971-D8D5-4143-9AF7-9A2370CF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C1D99"/>
    <w:rPr>
      <w:sz w:val="16"/>
      <w:szCs w:val="16"/>
    </w:rPr>
  </w:style>
  <w:style w:type="paragraph" w:styleId="CommentText">
    <w:name w:val="annotation text"/>
    <w:basedOn w:val="Normal"/>
    <w:link w:val="CommentTextChar"/>
    <w:uiPriority w:val="99"/>
    <w:semiHidden/>
    <w:unhideWhenUsed/>
    <w:rsid w:val="002C1D99"/>
    <w:pPr>
      <w:spacing w:line="240" w:lineRule="auto"/>
    </w:pPr>
    <w:rPr>
      <w:sz w:val="20"/>
      <w:szCs w:val="20"/>
    </w:rPr>
  </w:style>
  <w:style w:type="character" w:customStyle="1" w:styleId="CommentTextChar">
    <w:name w:val="Comment Text Char"/>
    <w:basedOn w:val="DefaultParagraphFont"/>
    <w:link w:val="CommentText"/>
    <w:uiPriority w:val="99"/>
    <w:semiHidden/>
    <w:rsid w:val="002C1D99"/>
    <w:rPr>
      <w:sz w:val="20"/>
      <w:szCs w:val="20"/>
    </w:rPr>
  </w:style>
  <w:style w:type="paragraph" w:styleId="CommentSubject">
    <w:name w:val="annotation subject"/>
    <w:basedOn w:val="CommentText"/>
    <w:next w:val="CommentText"/>
    <w:link w:val="CommentSubjectChar"/>
    <w:uiPriority w:val="99"/>
    <w:semiHidden/>
    <w:unhideWhenUsed/>
    <w:rsid w:val="002C1D99"/>
    <w:rPr>
      <w:b/>
      <w:bCs/>
    </w:rPr>
  </w:style>
  <w:style w:type="character" w:customStyle="1" w:styleId="CommentSubjectChar">
    <w:name w:val="Comment Subject Char"/>
    <w:basedOn w:val="CommentTextChar"/>
    <w:link w:val="CommentSubject"/>
    <w:uiPriority w:val="99"/>
    <w:semiHidden/>
    <w:rsid w:val="002C1D99"/>
    <w:rPr>
      <w:b/>
      <w:bCs/>
      <w:sz w:val="20"/>
      <w:szCs w:val="20"/>
    </w:rPr>
  </w:style>
  <w:style w:type="paragraph" w:styleId="BalloonText">
    <w:name w:val="Balloon Text"/>
    <w:basedOn w:val="Normal"/>
    <w:link w:val="BalloonTextChar"/>
    <w:uiPriority w:val="99"/>
    <w:semiHidden/>
    <w:unhideWhenUsed/>
    <w:rsid w:val="002C1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D99"/>
    <w:rPr>
      <w:rFonts w:ascii="Segoe UI" w:hAnsi="Segoe UI" w:cs="Segoe UI"/>
      <w:sz w:val="18"/>
      <w:szCs w:val="18"/>
    </w:rPr>
  </w:style>
  <w:style w:type="character" w:styleId="Hyperlink">
    <w:name w:val="Hyperlink"/>
    <w:basedOn w:val="DefaultParagraphFont"/>
    <w:uiPriority w:val="99"/>
    <w:unhideWhenUsed/>
    <w:rsid w:val="004D47D3"/>
    <w:rPr>
      <w:color w:val="0563C1" w:themeColor="hyperlink"/>
      <w:u w:val="single"/>
    </w:rPr>
  </w:style>
  <w:style w:type="character" w:customStyle="1" w:styleId="UnresolvedMention1">
    <w:name w:val="Unresolved Mention1"/>
    <w:basedOn w:val="DefaultParagraphFont"/>
    <w:uiPriority w:val="99"/>
    <w:semiHidden/>
    <w:unhideWhenUsed/>
    <w:rsid w:val="004D47D3"/>
    <w:rPr>
      <w:color w:val="605E5C"/>
      <w:shd w:val="clear" w:color="auto" w:fill="E1DFDD"/>
    </w:rPr>
  </w:style>
  <w:style w:type="paragraph" w:styleId="FootnoteText">
    <w:name w:val="footnote text"/>
    <w:basedOn w:val="Normal"/>
    <w:link w:val="FootnoteTextChar"/>
    <w:uiPriority w:val="99"/>
    <w:semiHidden/>
    <w:unhideWhenUsed/>
    <w:rsid w:val="00B37F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7F83"/>
    <w:rPr>
      <w:sz w:val="20"/>
      <w:szCs w:val="20"/>
    </w:rPr>
  </w:style>
  <w:style w:type="character" w:styleId="FootnoteReference">
    <w:name w:val="footnote reference"/>
    <w:basedOn w:val="DefaultParagraphFont"/>
    <w:uiPriority w:val="99"/>
    <w:semiHidden/>
    <w:unhideWhenUsed/>
    <w:rsid w:val="00B37F83"/>
    <w:rPr>
      <w:vertAlign w:val="superscript"/>
    </w:rPr>
  </w:style>
  <w:style w:type="character" w:styleId="FollowedHyperlink">
    <w:name w:val="FollowedHyperlink"/>
    <w:basedOn w:val="DefaultParagraphFont"/>
    <w:uiPriority w:val="99"/>
    <w:semiHidden/>
    <w:unhideWhenUsed/>
    <w:rsid w:val="002E6E01"/>
    <w:rPr>
      <w:color w:val="954F72" w:themeColor="followedHyperlink"/>
      <w:u w:val="single"/>
    </w:rPr>
  </w:style>
  <w:style w:type="paragraph" w:styleId="ListParagraph">
    <w:name w:val="List Paragraph"/>
    <w:basedOn w:val="Normal"/>
    <w:uiPriority w:val="34"/>
    <w:qFormat/>
    <w:rsid w:val="005972AD"/>
    <w:pPr>
      <w:ind w:left="720"/>
      <w:contextualSpacing/>
    </w:pPr>
  </w:style>
  <w:style w:type="character" w:styleId="UnresolvedMention">
    <w:name w:val="Unresolved Mention"/>
    <w:basedOn w:val="DefaultParagraphFont"/>
    <w:uiPriority w:val="99"/>
    <w:semiHidden/>
    <w:unhideWhenUsed/>
    <w:rsid w:val="00C06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17/07/07/egypt-dont-deport-uyghurs-china" TargetMode="External"/><Relationship Id="rId2" Type="http://schemas.openxmlformats.org/officeDocument/2006/relationships/hyperlink" Target="https://www.hrw.org/news/2009/12/22/china-forcibly-returned-uighur-asylum-seekers-risk" TargetMode="External"/><Relationship Id="rId1" Type="http://schemas.openxmlformats.org/officeDocument/2006/relationships/hyperlink" Target="https://www.bbc.com/news/av/world-asia-53463242/china-s-ambassador-challenged-on-treatment-of-uighurs" TargetMode="External"/><Relationship Id="rId4" Type="http://schemas.openxmlformats.org/officeDocument/2006/relationships/hyperlink" Target="https://www.hrw.org/report/2020/03/04/chinas-bilingual-education-policy-tibet/tibetan-medium-schooling-under-thr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CDF95A-6418-7440-A2FC-4AD50C8425B6}">
  <ds:schemaRefs>
    <ds:schemaRef ds:uri="http://schemas.openxmlformats.org/officeDocument/2006/bibliography"/>
  </ds:schemaRefs>
</ds:datastoreItem>
</file>

<file path=customXml/itemProps2.xml><?xml version="1.0" encoding="utf-8"?>
<ds:datastoreItem xmlns:ds="http://schemas.openxmlformats.org/officeDocument/2006/customXml" ds:itemID="{6DA4DE80-E818-4B51-9DFE-259605C59C78}"/>
</file>

<file path=customXml/itemProps3.xml><?xml version="1.0" encoding="utf-8"?>
<ds:datastoreItem xmlns:ds="http://schemas.openxmlformats.org/officeDocument/2006/customXml" ds:itemID="{1E18FE26-6C14-48B5-8F86-C341EA902613}">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513C067-782D-46FD-879A-A6E4AA0556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1705</Words>
  <Characters>9722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Richardson</dc:creator>
  <cp:keywords/>
  <dc:description/>
  <cp:lastModifiedBy>Floriane</cp:lastModifiedBy>
  <cp:revision>4</cp:revision>
  <dcterms:created xsi:type="dcterms:W3CDTF">2020-08-06T09:04:00Z</dcterms:created>
  <dcterms:modified xsi:type="dcterms:W3CDTF">2020-08-06T09:08:00Z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