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8B1F3" w14:textId="77777777" w:rsidR="00D136A8" w:rsidRPr="00B838EF" w:rsidRDefault="00BE16B2" w:rsidP="00D136A8">
      <w:pPr>
        <w:pStyle w:val="BFrontcovermaintitle"/>
      </w:pPr>
      <w:r w:rsidRPr="00A7673B">
        <w:t xml:space="preserve"> </w:t>
      </w:r>
      <w:r w:rsidR="00D136A8">
        <w:t>venezuela </w:t>
      </w:r>
    </w:p>
    <w:p w14:paraId="424F837B" w14:textId="511CEC3B" w:rsidR="00D136A8" w:rsidRPr="008905D9" w:rsidRDefault="00D136A8" w:rsidP="00D136A8">
      <w:pPr>
        <w:rPr>
          <w:rFonts w:ascii="Amnesty Trade Gothic Cn" w:eastAsiaTheme="minorEastAsia" w:hAnsi="Amnesty Trade Gothic Cn"/>
          <w:bCs/>
          <w:caps/>
          <w:sz w:val="44"/>
          <w:szCs w:val="44"/>
        </w:rPr>
      </w:pPr>
      <w:r w:rsidRPr="008905D9">
        <w:rPr>
          <w:rFonts w:ascii="Amnesty Trade Gothic Cn" w:eastAsiaTheme="minorEastAsia" w:hAnsi="Amnesty Trade Gothic Cn"/>
          <w:bCs/>
          <w:caps/>
          <w:sz w:val="44"/>
          <w:szCs w:val="44"/>
        </w:rPr>
        <w:t>INFORMACIÓN PARA EL COMITÉ DE DERECHOS HUMANOS DE LA</w:t>
      </w:r>
      <w:r w:rsidR="000541CB">
        <w:rPr>
          <w:rFonts w:ascii="Amnesty Trade Gothic Cn" w:eastAsiaTheme="minorEastAsia" w:hAnsi="Amnesty Trade Gothic Cn"/>
          <w:bCs/>
          <w:caps/>
          <w:sz w:val="44"/>
          <w:szCs w:val="44"/>
        </w:rPr>
        <w:t>s NACIONES UNIDAS</w:t>
      </w:r>
    </w:p>
    <w:p w14:paraId="7F73D51B" w14:textId="77777777" w:rsidR="00D136A8" w:rsidRPr="008905D9" w:rsidDel="00334422" w:rsidRDefault="00D136A8" w:rsidP="00D136A8">
      <w:pPr>
        <w:rPr>
          <w:rFonts w:ascii="Amnesty Trade Gothic Cn" w:eastAsiaTheme="minorEastAsia" w:hAnsi="Amnesty Trade Gothic Cn"/>
          <w:bCs/>
          <w:caps/>
          <w:sz w:val="36"/>
          <w:szCs w:val="36"/>
        </w:rPr>
      </w:pPr>
      <w:r w:rsidRPr="008905D9">
        <w:rPr>
          <w:rFonts w:ascii="Amnesty Trade Gothic Cn" w:eastAsiaTheme="minorEastAsia" w:hAnsi="Amnesty Trade Gothic Cn"/>
          <w:bCs/>
          <w:caps/>
          <w:sz w:val="36"/>
          <w:szCs w:val="36"/>
        </w:rPr>
        <w:t>139º período de sesiones, 9 octubre – 3 noviembre de 2023</w:t>
      </w:r>
    </w:p>
    <w:p w14:paraId="19C35B55" w14:textId="77777777" w:rsidR="00D136A8" w:rsidRDefault="00D136A8" w:rsidP="00D136A8"/>
    <w:p w14:paraId="76937C5B" w14:textId="69862910" w:rsidR="00D136A8" w:rsidRDefault="00D136A8" w:rsidP="00D136A8"/>
    <w:p w14:paraId="078D4C4C" w14:textId="57E3E08B" w:rsidR="00776153" w:rsidRPr="00A7673B" w:rsidRDefault="00DC3E07" w:rsidP="003262AF">
      <w:pPr>
        <w:pStyle w:val="Baltcovermaintitletext"/>
        <w:sectPr w:rsidR="00776153" w:rsidRPr="00A7673B" w:rsidSect="000541CB">
          <w:footerReference w:type="default" r:id="rId11"/>
          <w:footerReference w:type="first" r:id="rId12"/>
          <w:pgSz w:w="11906" w:h="16838" w:code="9"/>
          <w:pgMar w:top="1134" w:right="794" w:bottom="794" w:left="794" w:header="709" w:footer="709" w:gutter="0"/>
          <w:cols w:space="708"/>
          <w:titlePg/>
          <w:docGrid w:linePitch="360"/>
        </w:sectPr>
      </w:pPr>
      <w:r w:rsidRPr="003F788D">
        <w:rPr>
          <w:rStyle w:val="FootnoteTextChar"/>
          <w:noProof/>
          <w:sz w:val="36"/>
          <w:szCs w:val="36"/>
          <w:lang w:val="en-US"/>
        </w:rPr>
        <w:drawing>
          <wp:anchor distT="0" distB="0" distL="114300" distR="114300" simplePos="0" relativeHeight="251658250" behindDoc="1" locked="0" layoutInCell="1" allowOverlap="1" wp14:anchorId="658E2ED8" wp14:editId="0DEB6ECA">
            <wp:simplePos x="0" y="0"/>
            <wp:positionH relativeFrom="column">
              <wp:posOffset>1904188</wp:posOffset>
            </wp:positionH>
            <wp:positionV relativeFrom="page">
              <wp:posOffset>3538441</wp:posOffset>
            </wp:positionV>
            <wp:extent cx="2685415" cy="4525010"/>
            <wp:effectExtent l="0" t="0" r="635" b="8890"/>
            <wp:wrapTight wrapText="bothSides">
              <wp:wrapPolygon edited="0">
                <wp:start x="0" y="0"/>
                <wp:lineTo x="0" y="21552"/>
                <wp:lineTo x="21452" y="21552"/>
                <wp:lineTo x="21452" y="0"/>
                <wp:lineTo x="0" y="0"/>
              </wp:wrapPolygon>
            </wp:wrapTight>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du="http://schemas.microsoft.com/office/word/2023/wordml/word16du" val="1"/>
                      </a:ext>
                    </a:extLst>
                  </pic:spPr>
                </pic:pic>
              </a:graphicData>
            </a:graphic>
          </wp:anchor>
        </w:drawing>
      </w:r>
      <w:r w:rsidR="000E3560" w:rsidRPr="00A7673B">
        <w:t xml:space="preserve"> </w:t>
      </w:r>
    </w:p>
    <w:p w14:paraId="52B4C72A" w14:textId="77777777" w:rsidR="00CD20D4" w:rsidRPr="00A7673B" w:rsidRDefault="00BE16B2" w:rsidP="00065FFC">
      <w:pPr>
        <w:pStyle w:val="BContentsheading"/>
      </w:pPr>
      <w:r w:rsidRPr="00A7673B">
        <w:t>Índice</w:t>
      </w:r>
    </w:p>
    <w:p w14:paraId="7C498200" w14:textId="3FE73829" w:rsidR="003320DA" w:rsidRPr="00A7673B" w:rsidRDefault="003320DA">
      <w:pPr>
        <w:pStyle w:val="TOCHeading"/>
      </w:pPr>
    </w:p>
    <w:p w14:paraId="66F44D17" w14:textId="4DEDA325" w:rsidR="00D35116" w:rsidRDefault="003320DA">
      <w:pPr>
        <w:pStyle w:val="TOC1"/>
        <w:rPr>
          <w:rFonts w:asciiTheme="minorHAnsi" w:eastAsiaTheme="minorEastAsia" w:hAnsiTheme="minorHAnsi" w:cstheme="minorBidi"/>
          <w:b w:val="0"/>
          <w:bCs w:val="0"/>
          <w:caps w:val="0"/>
          <w:color w:val="auto"/>
          <w:sz w:val="22"/>
          <w:szCs w:val="22"/>
          <w:u w:val="none"/>
          <w:lang w:val="en-GB"/>
        </w:rPr>
      </w:pPr>
      <w:r w:rsidRPr="00A7673B">
        <w:rPr>
          <w:b w:val="0"/>
          <w:color w:val="auto"/>
          <w:szCs w:val="24"/>
        </w:rPr>
        <w:fldChar w:fldCharType="begin"/>
      </w:r>
      <w:r w:rsidRPr="00A7673B">
        <w:instrText xml:space="preserve"> TOC \o "1-3" \h \z \u </w:instrText>
      </w:r>
      <w:r w:rsidRPr="00A7673B">
        <w:rPr>
          <w:b w:val="0"/>
          <w:color w:val="auto"/>
          <w:szCs w:val="24"/>
        </w:rPr>
        <w:fldChar w:fldCharType="separate"/>
      </w:r>
      <w:hyperlink w:anchor="_Toc145441854" w:history="1">
        <w:r w:rsidR="00D35116" w:rsidRPr="00C80493">
          <w:rPr>
            <w:rStyle w:val="Hyperlink"/>
          </w:rPr>
          <w:t>1.</w:t>
        </w:r>
        <w:r w:rsidR="00D35116">
          <w:rPr>
            <w:rFonts w:asciiTheme="minorHAnsi" w:eastAsiaTheme="minorEastAsia" w:hAnsiTheme="minorHAnsi" w:cstheme="minorBidi"/>
            <w:b w:val="0"/>
            <w:bCs w:val="0"/>
            <w:caps w:val="0"/>
            <w:color w:val="auto"/>
            <w:sz w:val="22"/>
            <w:szCs w:val="22"/>
            <w:u w:val="none"/>
            <w:lang w:val="en-GB"/>
          </w:rPr>
          <w:tab/>
        </w:r>
        <w:r w:rsidR="00D35116" w:rsidRPr="00C80493">
          <w:rPr>
            <w:rStyle w:val="Hyperlink"/>
          </w:rPr>
          <w:t>INTRODUCCIÓN</w:t>
        </w:r>
        <w:r w:rsidR="00D35116">
          <w:rPr>
            <w:webHidden/>
          </w:rPr>
          <w:tab/>
        </w:r>
        <w:r w:rsidR="00D35116">
          <w:rPr>
            <w:webHidden/>
          </w:rPr>
          <w:fldChar w:fldCharType="begin"/>
        </w:r>
        <w:r w:rsidR="00D35116">
          <w:rPr>
            <w:webHidden/>
          </w:rPr>
          <w:instrText xml:space="preserve"> PAGEREF _Toc145441854 \h </w:instrText>
        </w:r>
        <w:r w:rsidR="00D35116">
          <w:rPr>
            <w:webHidden/>
          </w:rPr>
        </w:r>
        <w:r w:rsidR="00D35116">
          <w:rPr>
            <w:webHidden/>
          </w:rPr>
          <w:fldChar w:fldCharType="separate"/>
        </w:r>
        <w:r w:rsidR="00BB629D">
          <w:rPr>
            <w:webHidden/>
          </w:rPr>
          <w:t>3</w:t>
        </w:r>
        <w:r w:rsidR="00D35116">
          <w:rPr>
            <w:webHidden/>
          </w:rPr>
          <w:fldChar w:fldCharType="end"/>
        </w:r>
      </w:hyperlink>
    </w:p>
    <w:p w14:paraId="453E61F8" w14:textId="7071C708" w:rsidR="00D35116" w:rsidRDefault="00D35116">
      <w:pPr>
        <w:pStyle w:val="TOC1"/>
        <w:rPr>
          <w:rFonts w:asciiTheme="minorHAnsi" w:eastAsiaTheme="minorEastAsia" w:hAnsiTheme="minorHAnsi" w:cstheme="minorBidi"/>
          <w:b w:val="0"/>
          <w:bCs w:val="0"/>
          <w:caps w:val="0"/>
          <w:color w:val="auto"/>
          <w:sz w:val="22"/>
          <w:szCs w:val="22"/>
          <w:u w:val="none"/>
          <w:lang w:val="en-GB"/>
        </w:rPr>
      </w:pPr>
      <w:hyperlink w:anchor="_Toc145441855" w:history="1">
        <w:r w:rsidRPr="00C80493">
          <w:rPr>
            <w:rStyle w:val="Hyperlink"/>
          </w:rPr>
          <w:t>2.</w:t>
        </w:r>
        <w:r>
          <w:rPr>
            <w:rFonts w:asciiTheme="minorHAnsi" w:eastAsiaTheme="minorEastAsia" w:hAnsiTheme="minorHAnsi" w:cstheme="minorBidi"/>
            <w:b w:val="0"/>
            <w:bCs w:val="0"/>
            <w:caps w:val="0"/>
            <w:color w:val="auto"/>
            <w:sz w:val="22"/>
            <w:szCs w:val="22"/>
            <w:u w:val="none"/>
            <w:lang w:val="en-GB"/>
          </w:rPr>
          <w:tab/>
        </w:r>
        <w:r w:rsidRPr="00C80493">
          <w:rPr>
            <w:rStyle w:val="Hyperlink"/>
          </w:rPr>
          <w:t>MARCO CONSTITUCIONAL Y JURÍDICO DE LA APLICACIÓN DEL PACTO (ARTÍCULO 2)</w:t>
        </w:r>
        <w:r>
          <w:rPr>
            <w:webHidden/>
          </w:rPr>
          <w:tab/>
        </w:r>
        <w:r>
          <w:rPr>
            <w:webHidden/>
          </w:rPr>
          <w:fldChar w:fldCharType="begin"/>
        </w:r>
        <w:r>
          <w:rPr>
            <w:webHidden/>
          </w:rPr>
          <w:instrText xml:space="preserve"> PAGEREF _Toc145441855 \h </w:instrText>
        </w:r>
        <w:r>
          <w:rPr>
            <w:webHidden/>
          </w:rPr>
        </w:r>
        <w:r>
          <w:rPr>
            <w:webHidden/>
          </w:rPr>
          <w:fldChar w:fldCharType="separate"/>
        </w:r>
        <w:r w:rsidR="00BB629D">
          <w:rPr>
            <w:webHidden/>
          </w:rPr>
          <w:t>3</w:t>
        </w:r>
        <w:r>
          <w:rPr>
            <w:webHidden/>
          </w:rPr>
          <w:fldChar w:fldCharType="end"/>
        </w:r>
      </w:hyperlink>
    </w:p>
    <w:p w14:paraId="05412F2E" w14:textId="4AF801EB" w:rsidR="00D35116" w:rsidRDefault="00D35116">
      <w:pPr>
        <w:pStyle w:val="TOC1"/>
        <w:rPr>
          <w:rFonts w:asciiTheme="minorHAnsi" w:eastAsiaTheme="minorEastAsia" w:hAnsiTheme="minorHAnsi" w:cstheme="minorBidi"/>
          <w:b w:val="0"/>
          <w:bCs w:val="0"/>
          <w:caps w:val="0"/>
          <w:color w:val="auto"/>
          <w:sz w:val="22"/>
          <w:szCs w:val="22"/>
          <w:u w:val="none"/>
          <w:lang w:val="en-GB"/>
        </w:rPr>
      </w:pPr>
      <w:hyperlink w:anchor="_Toc145441856" w:history="1">
        <w:r w:rsidRPr="00C80493">
          <w:rPr>
            <w:rStyle w:val="Hyperlink"/>
          </w:rPr>
          <w:t>3.</w:t>
        </w:r>
        <w:r>
          <w:rPr>
            <w:rFonts w:asciiTheme="minorHAnsi" w:eastAsiaTheme="minorEastAsia" w:hAnsiTheme="minorHAnsi" w:cstheme="minorBidi"/>
            <w:b w:val="0"/>
            <w:bCs w:val="0"/>
            <w:caps w:val="0"/>
            <w:color w:val="auto"/>
            <w:sz w:val="22"/>
            <w:szCs w:val="22"/>
            <w:u w:val="none"/>
            <w:lang w:val="en-GB"/>
          </w:rPr>
          <w:tab/>
        </w:r>
        <w:r w:rsidRPr="00C80493">
          <w:rPr>
            <w:rStyle w:val="Hyperlink"/>
          </w:rPr>
          <w:t>NO DISCRIMINACIÓN (Artículo 26)</w:t>
        </w:r>
        <w:r>
          <w:rPr>
            <w:webHidden/>
          </w:rPr>
          <w:tab/>
        </w:r>
        <w:r>
          <w:rPr>
            <w:webHidden/>
          </w:rPr>
          <w:fldChar w:fldCharType="begin"/>
        </w:r>
        <w:r>
          <w:rPr>
            <w:webHidden/>
          </w:rPr>
          <w:instrText xml:space="preserve"> PAGEREF _Toc145441856 \h </w:instrText>
        </w:r>
        <w:r>
          <w:rPr>
            <w:webHidden/>
          </w:rPr>
        </w:r>
        <w:r>
          <w:rPr>
            <w:webHidden/>
          </w:rPr>
          <w:fldChar w:fldCharType="separate"/>
        </w:r>
        <w:r w:rsidR="00BB629D">
          <w:rPr>
            <w:webHidden/>
          </w:rPr>
          <w:t>4</w:t>
        </w:r>
        <w:r>
          <w:rPr>
            <w:webHidden/>
          </w:rPr>
          <w:fldChar w:fldCharType="end"/>
        </w:r>
      </w:hyperlink>
    </w:p>
    <w:p w14:paraId="30BBA126" w14:textId="53D1706A" w:rsidR="00D35116" w:rsidRDefault="00D35116">
      <w:pPr>
        <w:pStyle w:val="TOC2"/>
        <w:rPr>
          <w:rFonts w:asciiTheme="minorHAnsi" w:eastAsiaTheme="minorEastAsia" w:hAnsiTheme="minorHAnsi" w:cstheme="minorBidi"/>
          <w:bCs w:val="0"/>
          <w:sz w:val="22"/>
          <w:szCs w:val="22"/>
          <w:u w:val="none"/>
          <w:lang w:val="en-GB"/>
        </w:rPr>
      </w:pPr>
      <w:hyperlink w:anchor="_Toc145441857" w:history="1">
        <w:r w:rsidRPr="00C80493">
          <w:rPr>
            <w:rStyle w:val="Hyperlink"/>
          </w:rPr>
          <w:t>3.1</w:t>
        </w:r>
        <w:r>
          <w:rPr>
            <w:rFonts w:asciiTheme="minorHAnsi" w:eastAsiaTheme="minorEastAsia" w:hAnsiTheme="minorHAnsi" w:cstheme="minorBidi"/>
            <w:bCs w:val="0"/>
            <w:sz w:val="22"/>
            <w:szCs w:val="22"/>
            <w:u w:val="none"/>
            <w:lang w:val="en-GB"/>
          </w:rPr>
          <w:tab/>
        </w:r>
        <w:r w:rsidRPr="00C80493">
          <w:rPr>
            <w:rStyle w:val="Hyperlink"/>
          </w:rPr>
          <w:t>PERSONAS LGTBIQ+</w:t>
        </w:r>
        <w:r>
          <w:rPr>
            <w:webHidden/>
          </w:rPr>
          <w:tab/>
        </w:r>
        <w:r>
          <w:rPr>
            <w:webHidden/>
          </w:rPr>
          <w:fldChar w:fldCharType="begin"/>
        </w:r>
        <w:r>
          <w:rPr>
            <w:webHidden/>
          </w:rPr>
          <w:instrText xml:space="preserve"> PAGEREF _Toc145441857 \h </w:instrText>
        </w:r>
        <w:r>
          <w:rPr>
            <w:webHidden/>
          </w:rPr>
        </w:r>
        <w:r>
          <w:rPr>
            <w:webHidden/>
          </w:rPr>
          <w:fldChar w:fldCharType="separate"/>
        </w:r>
        <w:r w:rsidR="00BB629D">
          <w:rPr>
            <w:webHidden/>
          </w:rPr>
          <w:t>4</w:t>
        </w:r>
        <w:r>
          <w:rPr>
            <w:webHidden/>
          </w:rPr>
          <w:fldChar w:fldCharType="end"/>
        </w:r>
      </w:hyperlink>
    </w:p>
    <w:p w14:paraId="2921F371" w14:textId="3B3999F9" w:rsidR="00D35116" w:rsidRDefault="00D35116">
      <w:pPr>
        <w:pStyle w:val="TOC2"/>
        <w:rPr>
          <w:rFonts w:asciiTheme="minorHAnsi" w:eastAsiaTheme="minorEastAsia" w:hAnsiTheme="minorHAnsi" w:cstheme="minorBidi"/>
          <w:bCs w:val="0"/>
          <w:sz w:val="22"/>
          <w:szCs w:val="22"/>
          <w:u w:val="none"/>
          <w:lang w:val="en-GB"/>
        </w:rPr>
      </w:pPr>
      <w:hyperlink w:anchor="_Toc145441858" w:history="1">
        <w:r w:rsidRPr="00C80493">
          <w:rPr>
            <w:rStyle w:val="Hyperlink"/>
          </w:rPr>
          <w:t>3.2</w:t>
        </w:r>
        <w:r>
          <w:rPr>
            <w:rFonts w:asciiTheme="minorHAnsi" w:eastAsiaTheme="minorEastAsia" w:hAnsiTheme="minorHAnsi" w:cstheme="minorBidi"/>
            <w:bCs w:val="0"/>
            <w:sz w:val="22"/>
            <w:szCs w:val="22"/>
            <w:u w:val="none"/>
            <w:lang w:val="en-GB"/>
          </w:rPr>
          <w:tab/>
        </w:r>
        <w:r w:rsidRPr="00C80493">
          <w:rPr>
            <w:rStyle w:val="Hyperlink"/>
          </w:rPr>
          <w:t>PUEBLOS INDÍGENAS</w:t>
        </w:r>
        <w:r>
          <w:rPr>
            <w:webHidden/>
          </w:rPr>
          <w:tab/>
        </w:r>
        <w:r>
          <w:rPr>
            <w:webHidden/>
          </w:rPr>
          <w:fldChar w:fldCharType="begin"/>
        </w:r>
        <w:r>
          <w:rPr>
            <w:webHidden/>
          </w:rPr>
          <w:instrText xml:space="preserve"> PAGEREF _Toc145441858 \h </w:instrText>
        </w:r>
        <w:r>
          <w:rPr>
            <w:webHidden/>
          </w:rPr>
        </w:r>
        <w:r>
          <w:rPr>
            <w:webHidden/>
          </w:rPr>
          <w:fldChar w:fldCharType="separate"/>
        </w:r>
        <w:r w:rsidR="00BB629D">
          <w:rPr>
            <w:webHidden/>
          </w:rPr>
          <w:t>4</w:t>
        </w:r>
        <w:r>
          <w:rPr>
            <w:webHidden/>
          </w:rPr>
          <w:fldChar w:fldCharType="end"/>
        </w:r>
      </w:hyperlink>
    </w:p>
    <w:p w14:paraId="1684F837" w14:textId="1C2BB33D" w:rsidR="00D35116" w:rsidRDefault="00D35116">
      <w:pPr>
        <w:pStyle w:val="TOC1"/>
        <w:rPr>
          <w:rFonts w:asciiTheme="minorHAnsi" w:eastAsiaTheme="minorEastAsia" w:hAnsiTheme="minorHAnsi" w:cstheme="minorBidi"/>
          <w:b w:val="0"/>
          <w:bCs w:val="0"/>
          <w:caps w:val="0"/>
          <w:color w:val="auto"/>
          <w:sz w:val="22"/>
          <w:szCs w:val="22"/>
          <w:u w:val="none"/>
          <w:lang w:val="en-GB"/>
        </w:rPr>
      </w:pPr>
      <w:hyperlink w:anchor="_Toc145441859" w:history="1">
        <w:r w:rsidRPr="00C80493">
          <w:rPr>
            <w:rStyle w:val="Hyperlink"/>
          </w:rPr>
          <w:t>4.</w:t>
        </w:r>
        <w:r>
          <w:rPr>
            <w:rFonts w:asciiTheme="minorHAnsi" w:eastAsiaTheme="minorEastAsia" w:hAnsiTheme="minorHAnsi" w:cstheme="minorBidi"/>
            <w:b w:val="0"/>
            <w:bCs w:val="0"/>
            <w:caps w:val="0"/>
            <w:color w:val="auto"/>
            <w:sz w:val="22"/>
            <w:szCs w:val="22"/>
            <w:u w:val="none"/>
            <w:lang w:val="en-GB"/>
          </w:rPr>
          <w:tab/>
        </w:r>
        <w:r w:rsidRPr="00C80493">
          <w:rPr>
            <w:rStyle w:val="Hyperlink"/>
          </w:rPr>
          <w:t>VIOLENCIA CONTRA LAS MUJERES (ARTíCULO 2)</w:t>
        </w:r>
        <w:r>
          <w:rPr>
            <w:webHidden/>
          </w:rPr>
          <w:tab/>
        </w:r>
        <w:r>
          <w:rPr>
            <w:webHidden/>
          </w:rPr>
          <w:fldChar w:fldCharType="begin"/>
        </w:r>
        <w:r>
          <w:rPr>
            <w:webHidden/>
          </w:rPr>
          <w:instrText xml:space="preserve"> PAGEREF _Toc145441859 \h </w:instrText>
        </w:r>
        <w:r>
          <w:rPr>
            <w:webHidden/>
          </w:rPr>
        </w:r>
        <w:r>
          <w:rPr>
            <w:webHidden/>
          </w:rPr>
          <w:fldChar w:fldCharType="separate"/>
        </w:r>
        <w:r w:rsidR="00BB629D">
          <w:rPr>
            <w:webHidden/>
          </w:rPr>
          <w:t>5</w:t>
        </w:r>
        <w:r>
          <w:rPr>
            <w:webHidden/>
          </w:rPr>
          <w:fldChar w:fldCharType="end"/>
        </w:r>
      </w:hyperlink>
    </w:p>
    <w:p w14:paraId="0633185F" w14:textId="230C8FFF" w:rsidR="00D35116" w:rsidRDefault="00D35116">
      <w:pPr>
        <w:pStyle w:val="TOC2"/>
        <w:rPr>
          <w:rFonts w:asciiTheme="minorHAnsi" w:eastAsiaTheme="minorEastAsia" w:hAnsiTheme="minorHAnsi" w:cstheme="minorBidi"/>
          <w:bCs w:val="0"/>
          <w:sz w:val="22"/>
          <w:szCs w:val="22"/>
          <w:u w:val="none"/>
          <w:lang w:val="en-GB"/>
        </w:rPr>
      </w:pPr>
      <w:hyperlink w:anchor="_Toc145441860" w:history="1">
        <w:r w:rsidRPr="00C80493">
          <w:rPr>
            <w:rStyle w:val="Hyperlink"/>
          </w:rPr>
          <w:t>4.1</w:t>
        </w:r>
        <w:r>
          <w:rPr>
            <w:rFonts w:asciiTheme="minorHAnsi" w:eastAsiaTheme="minorEastAsia" w:hAnsiTheme="minorHAnsi" w:cstheme="minorBidi"/>
            <w:bCs w:val="0"/>
            <w:sz w:val="22"/>
            <w:szCs w:val="22"/>
            <w:u w:val="none"/>
            <w:lang w:val="en-GB"/>
          </w:rPr>
          <w:tab/>
        </w:r>
        <w:r w:rsidRPr="00C80493">
          <w:rPr>
            <w:rStyle w:val="Hyperlink"/>
          </w:rPr>
          <w:t>INTERRUPCIÓN VOLUNTARIA DEL EMBARAZO Y DERECHOS REPRODUCTIVOS</w:t>
        </w:r>
        <w:r>
          <w:rPr>
            <w:webHidden/>
          </w:rPr>
          <w:tab/>
        </w:r>
        <w:r>
          <w:rPr>
            <w:webHidden/>
          </w:rPr>
          <w:fldChar w:fldCharType="begin"/>
        </w:r>
        <w:r>
          <w:rPr>
            <w:webHidden/>
          </w:rPr>
          <w:instrText xml:space="preserve"> PAGEREF _Toc145441860 \h </w:instrText>
        </w:r>
        <w:r>
          <w:rPr>
            <w:webHidden/>
          </w:rPr>
        </w:r>
        <w:r>
          <w:rPr>
            <w:webHidden/>
          </w:rPr>
          <w:fldChar w:fldCharType="separate"/>
        </w:r>
        <w:r w:rsidR="00BB629D">
          <w:rPr>
            <w:webHidden/>
          </w:rPr>
          <w:t>5</w:t>
        </w:r>
        <w:r>
          <w:rPr>
            <w:webHidden/>
          </w:rPr>
          <w:fldChar w:fldCharType="end"/>
        </w:r>
      </w:hyperlink>
    </w:p>
    <w:p w14:paraId="713AA570" w14:textId="07090FB8" w:rsidR="00D35116" w:rsidRDefault="00D35116">
      <w:pPr>
        <w:pStyle w:val="TOC1"/>
        <w:rPr>
          <w:rFonts w:asciiTheme="minorHAnsi" w:eastAsiaTheme="minorEastAsia" w:hAnsiTheme="minorHAnsi" w:cstheme="minorBidi"/>
          <w:b w:val="0"/>
          <w:bCs w:val="0"/>
          <w:caps w:val="0"/>
          <w:color w:val="auto"/>
          <w:sz w:val="22"/>
          <w:szCs w:val="22"/>
          <w:u w:val="none"/>
          <w:lang w:val="en-GB"/>
        </w:rPr>
      </w:pPr>
      <w:hyperlink w:anchor="_Toc145441861" w:history="1">
        <w:r w:rsidRPr="00C80493">
          <w:rPr>
            <w:rStyle w:val="Hyperlink"/>
          </w:rPr>
          <w:t>5.</w:t>
        </w:r>
        <w:r>
          <w:rPr>
            <w:rFonts w:asciiTheme="minorHAnsi" w:eastAsiaTheme="minorEastAsia" w:hAnsiTheme="minorHAnsi" w:cstheme="minorBidi"/>
            <w:b w:val="0"/>
            <w:bCs w:val="0"/>
            <w:caps w:val="0"/>
            <w:color w:val="auto"/>
            <w:sz w:val="22"/>
            <w:szCs w:val="22"/>
            <w:u w:val="none"/>
            <w:lang w:val="en-GB"/>
          </w:rPr>
          <w:tab/>
        </w:r>
        <w:r w:rsidRPr="00C80493">
          <w:rPr>
            <w:rStyle w:val="Hyperlink"/>
          </w:rPr>
          <w:t>DERECHO A LA VIDA (ARTÍCULOS 2 Y 6)</w:t>
        </w:r>
        <w:r>
          <w:rPr>
            <w:webHidden/>
          </w:rPr>
          <w:tab/>
        </w:r>
        <w:r>
          <w:rPr>
            <w:webHidden/>
          </w:rPr>
          <w:fldChar w:fldCharType="begin"/>
        </w:r>
        <w:r>
          <w:rPr>
            <w:webHidden/>
          </w:rPr>
          <w:instrText xml:space="preserve"> PAGEREF _Toc145441861 \h </w:instrText>
        </w:r>
        <w:r>
          <w:rPr>
            <w:webHidden/>
          </w:rPr>
        </w:r>
        <w:r>
          <w:rPr>
            <w:webHidden/>
          </w:rPr>
          <w:fldChar w:fldCharType="separate"/>
        </w:r>
        <w:r w:rsidR="00BB629D">
          <w:rPr>
            <w:webHidden/>
          </w:rPr>
          <w:t>6</w:t>
        </w:r>
        <w:r>
          <w:rPr>
            <w:webHidden/>
          </w:rPr>
          <w:fldChar w:fldCharType="end"/>
        </w:r>
      </w:hyperlink>
    </w:p>
    <w:p w14:paraId="71E9AAFA" w14:textId="5ACFAAA4" w:rsidR="00D35116" w:rsidRDefault="00D35116">
      <w:pPr>
        <w:pStyle w:val="TOC2"/>
        <w:rPr>
          <w:rFonts w:asciiTheme="minorHAnsi" w:eastAsiaTheme="minorEastAsia" w:hAnsiTheme="minorHAnsi" w:cstheme="minorBidi"/>
          <w:bCs w:val="0"/>
          <w:sz w:val="22"/>
          <w:szCs w:val="22"/>
          <w:u w:val="none"/>
          <w:lang w:val="en-GB"/>
        </w:rPr>
      </w:pPr>
      <w:hyperlink w:anchor="_Toc145441862" w:history="1">
        <w:r w:rsidRPr="00C80493">
          <w:rPr>
            <w:rStyle w:val="Hyperlink"/>
          </w:rPr>
          <w:t>5.1</w:t>
        </w:r>
        <w:r>
          <w:rPr>
            <w:rFonts w:asciiTheme="minorHAnsi" w:eastAsiaTheme="minorEastAsia" w:hAnsiTheme="minorHAnsi" w:cstheme="minorBidi"/>
            <w:bCs w:val="0"/>
            <w:sz w:val="22"/>
            <w:szCs w:val="22"/>
            <w:u w:val="none"/>
            <w:lang w:val="en-GB"/>
          </w:rPr>
          <w:tab/>
        </w:r>
        <w:r w:rsidRPr="00C80493">
          <w:rPr>
            <w:rStyle w:val="Hyperlink"/>
          </w:rPr>
          <w:t>EJECUCIONES EXTRAJUDICIALES EN OPERATIVOS DE SEGURIDAD</w:t>
        </w:r>
        <w:r>
          <w:rPr>
            <w:webHidden/>
          </w:rPr>
          <w:tab/>
        </w:r>
        <w:r>
          <w:rPr>
            <w:webHidden/>
          </w:rPr>
          <w:fldChar w:fldCharType="begin"/>
        </w:r>
        <w:r>
          <w:rPr>
            <w:webHidden/>
          </w:rPr>
          <w:instrText xml:space="preserve"> PAGEREF _Toc145441862 \h </w:instrText>
        </w:r>
        <w:r>
          <w:rPr>
            <w:webHidden/>
          </w:rPr>
        </w:r>
        <w:r>
          <w:rPr>
            <w:webHidden/>
          </w:rPr>
          <w:fldChar w:fldCharType="separate"/>
        </w:r>
        <w:r w:rsidR="00BB629D">
          <w:rPr>
            <w:webHidden/>
          </w:rPr>
          <w:t>6</w:t>
        </w:r>
        <w:r>
          <w:rPr>
            <w:webHidden/>
          </w:rPr>
          <w:fldChar w:fldCharType="end"/>
        </w:r>
      </w:hyperlink>
    </w:p>
    <w:p w14:paraId="2C512B3D" w14:textId="7A551A53" w:rsidR="00D35116" w:rsidRDefault="00D35116">
      <w:pPr>
        <w:pStyle w:val="TOC2"/>
        <w:rPr>
          <w:rFonts w:asciiTheme="minorHAnsi" w:eastAsiaTheme="minorEastAsia" w:hAnsiTheme="minorHAnsi" w:cstheme="minorBidi"/>
          <w:bCs w:val="0"/>
          <w:sz w:val="22"/>
          <w:szCs w:val="22"/>
          <w:u w:val="none"/>
          <w:lang w:val="en-GB"/>
        </w:rPr>
      </w:pPr>
      <w:hyperlink w:anchor="_Toc145441863" w:history="1">
        <w:r w:rsidRPr="00C80493">
          <w:rPr>
            <w:rStyle w:val="Hyperlink"/>
          </w:rPr>
          <w:t>5.2</w:t>
        </w:r>
        <w:r>
          <w:rPr>
            <w:rFonts w:asciiTheme="minorHAnsi" w:eastAsiaTheme="minorEastAsia" w:hAnsiTheme="minorHAnsi" w:cstheme="minorBidi"/>
            <w:bCs w:val="0"/>
            <w:sz w:val="22"/>
            <w:szCs w:val="22"/>
            <w:u w:val="none"/>
            <w:lang w:val="en-GB"/>
          </w:rPr>
          <w:tab/>
        </w:r>
        <w:r w:rsidRPr="00C80493">
          <w:rPr>
            <w:rStyle w:val="Hyperlink"/>
          </w:rPr>
          <w:t>EJECUCIONES EXTRAJUDICIALES Y MUERTES POR MOTIVOS POLÍTICOS</w:t>
        </w:r>
        <w:r>
          <w:rPr>
            <w:webHidden/>
          </w:rPr>
          <w:tab/>
        </w:r>
        <w:r>
          <w:rPr>
            <w:webHidden/>
          </w:rPr>
          <w:fldChar w:fldCharType="begin"/>
        </w:r>
        <w:r>
          <w:rPr>
            <w:webHidden/>
          </w:rPr>
          <w:instrText xml:space="preserve"> PAGEREF _Toc145441863 \h </w:instrText>
        </w:r>
        <w:r>
          <w:rPr>
            <w:webHidden/>
          </w:rPr>
        </w:r>
        <w:r>
          <w:rPr>
            <w:webHidden/>
          </w:rPr>
          <w:fldChar w:fldCharType="separate"/>
        </w:r>
        <w:r w:rsidR="00BB629D">
          <w:rPr>
            <w:webHidden/>
          </w:rPr>
          <w:t>7</w:t>
        </w:r>
        <w:r>
          <w:rPr>
            <w:webHidden/>
          </w:rPr>
          <w:fldChar w:fldCharType="end"/>
        </w:r>
      </w:hyperlink>
    </w:p>
    <w:p w14:paraId="40F484B9" w14:textId="02827D39" w:rsidR="00D35116" w:rsidRDefault="00D35116">
      <w:pPr>
        <w:pStyle w:val="TOC2"/>
        <w:rPr>
          <w:rFonts w:asciiTheme="minorHAnsi" w:eastAsiaTheme="minorEastAsia" w:hAnsiTheme="minorHAnsi" w:cstheme="minorBidi"/>
          <w:bCs w:val="0"/>
          <w:sz w:val="22"/>
          <w:szCs w:val="22"/>
          <w:u w:val="none"/>
          <w:lang w:val="en-GB"/>
        </w:rPr>
      </w:pPr>
      <w:hyperlink w:anchor="_Toc145441864" w:history="1">
        <w:r w:rsidRPr="00C80493">
          <w:rPr>
            <w:rStyle w:val="Hyperlink"/>
          </w:rPr>
          <w:t>5.3</w:t>
        </w:r>
        <w:r>
          <w:rPr>
            <w:rFonts w:asciiTheme="minorHAnsi" w:eastAsiaTheme="minorEastAsia" w:hAnsiTheme="minorHAnsi" w:cstheme="minorBidi"/>
            <w:bCs w:val="0"/>
            <w:sz w:val="22"/>
            <w:szCs w:val="22"/>
            <w:u w:val="none"/>
            <w:lang w:val="en-GB"/>
          </w:rPr>
          <w:tab/>
        </w:r>
        <w:r w:rsidRPr="00C80493">
          <w:rPr>
            <w:rStyle w:val="Hyperlink"/>
          </w:rPr>
          <w:t>IMPUNIDAD POR VIOLACIONES DEL DERECHO A LA VIDA</w:t>
        </w:r>
        <w:r>
          <w:rPr>
            <w:webHidden/>
          </w:rPr>
          <w:tab/>
        </w:r>
        <w:r>
          <w:rPr>
            <w:webHidden/>
          </w:rPr>
          <w:fldChar w:fldCharType="begin"/>
        </w:r>
        <w:r>
          <w:rPr>
            <w:webHidden/>
          </w:rPr>
          <w:instrText xml:space="preserve"> PAGEREF _Toc145441864 \h </w:instrText>
        </w:r>
        <w:r>
          <w:rPr>
            <w:webHidden/>
          </w:rPr>
        </w:r>
        <w:r>
          <w:rPr>
            <w:webHidden/>
          </w:rPr>
          <w:fldChar w:fldCharType="separate"/>
        </w:r>
        <w:r w:rsidR="00BB629D">
          <w:rPr>
            <w:webHidden/>
          </w:rPr>
          <w:t>7</w:t>
        </w:r>
        <w:r>
          <w:rPr>
            <w:webHidden/>
          </w:rPr>
          <w:fldChar w:fldCharType="end"/>
        </w:r>
      </w:hyperlink>
    </w:p>
    <w:p w14:paraId="7F948492" w14:textId="2835C4D9" w:rsidR="00D35116" w:rsidRDefault="00D35116">
      <w:pPr>
        <w:pStyle w:val="TOC2"/>
        <w:rPr>
          <w:rFonts w:asciiTheme="minorHAnsi" w:eastAsiaTheme="minorEastAsia" w:hAnsiTheme="minorHAnsi" w:cstheme="minorBidi"/>
          <w:bCs w:val="0"/>
          <w:sz w:val="22"/>
          <w:szCs w:val="22"/>
          <w:u w:val="none"/>
          <w:lang w:val="en-GB"/>
        </w:rPr>
      </w:pPr>
      <w:hyperlink w:anchor="_Toc145441865" w:history="1">
        <w:r w:rsidRPr="00C80493">
          <w:rPr>
            <w:rStyle w:val="Hyperlink"/>
          </w:rPr>
          <w:t>5.4</w:t>
        </w:r>
        <w:r>
          <w:rPr>
            <w:rFonts w:asciiTheme="minorHAnsi" w:eastAsiaTheme="minorEastAsia" w:hAnsiTheme="minorHAnsi" w:cstheme="minorBidi"/>
            <w:bCs w:val="0"/>
            <w:sz w:val="22"/>
            <w:szCs w:val="22"/>
            <w:u w:val="none"/>
            <w:lang w:val="en-GB"/>
          </w:rPr>
          <w:tab/>
        </w:r>
        <w:r w:rsidRPr="00C80493">
          <w:rPr>
            <w:rStyle w:val="Hyperlink"/>
          </w:rPr>
          <w:t>MUERTES DE PERSONAS BAJO CUSTODIA DEL ESTADO</w:t>
        </w:r>
        <w:r>
          <w:rPr>
            <w:webHidden/>
          </w:rPr>
          <w:tab/>
        </w:r>
        <w:r>
          <w:rPr>
            <w:webHidden/>
          </w:rPr>
          <w:fldChar w:fldCharType="begin"/>
        </w:r>
        <w:r>
          <w:rPr>
            <w:webHidden/>
          </w:rPr>
          <w:instrText xml:space="preserve"> PAGEREF _Toc145441865 \h </w:instrText>
        </w:r>
        <w:r>
          <w:rPr>
            <w:webHidden/>
          </w:rPr>
        </w:r>
        <w:r>
          <w:rPr>
            <w:webHidden/>
          </w:rPr>
          <w:fldChar w:fldCharType="separate"/>
        </w:r>
        <w:r w:rsidR="00BB629D">
          <w:rPr>
            <w:webHidden/>
          </w:rPr>
          <w:t>8</w:t>
        </w:r>
        <w:r>
          <w:rPr>
            <w:webHidden/>
          </w:rPr>
          <w:fldChar w:fldCharType="end"/>
        </w:r>
      </w:hyperlink>
    </w:p>
    <w:p w14:paraId="7FAECD4C" w14:textId="351C3232" w:rsidR="00D35116" w:rsidRDefault="00D35116">
      <w:pPr>
        <w:pStyle w:val="TOC1"/>
        <w:rPr>
          <w:rFonts w:asciiTheme="minorHAnsi" w:eastAsiaTheme="minorEastAsia" w:hAnsiTheme="minorHAnsi" w:cstheme="minorBidi"/>
          <w:b w:val="0"/>
          <w:bCs w:val="0"/>
          <w:caps w:val="0"/>
          <w:color w:val="auto"/>
          <w:sz w:val="22"/>
          <w:szCs w:val="22"/>
          <w:u w:val="none"/>
          <w:lang w:val="en-GB"/>
        </w:rPr>
      </w:pPr>
      <w:hyperlink w:anchor="_Toc145441866" w:history="1">
        <w:r w:rsidRPr="00C80493">
          <w:rPr>
            <w:rStyle w:val="Hyperlink"/>
          </w:rPr>
          <w:t>6.</w:t>
        </w:r>
        <w:r>
          <w:rPr>
            <w:rFonts w:asciiTheme="minorHAnsi" w:eastAsiaTheme="minorEastAsia" w:hAnsiTheme="minorHAnsi" w:cstheme="minorBidi"/>
            <w:b w:val="0"/>
            <w:bCs w:val="0"/>
            <w:caps w:val="0"/>
            <w:color w:val="auto"/>
            <w:sz w:val="22"/>
            <w:szCs w:val="22"/>
            <w:u w:val="none"/>
            <w:lang w:val="en-GB"/>
          </w:rPr>
          <w:tab/>
        </w:r>
        <w:r w:rsidRPr="00C80493">
          <w:rPr>
            <w:rStyle w:val="Hyperlink"/>
          </w:rPr>
          <w:t>PROHIBICIÓN DE LA TORTURA y desaparición forzada de personas (ARTÍCULOS 2, 7 y 10)</w:t>
        </w:r>
        <w:r>
          <w:rPr>
            <w:webHidden/>
          </w:rPr>
          <w:tab/>
        </w:r>
        <w:r>
          <w:rPr>
            <w:webHidden/>
          </w:rPr>
          <w:fldChar w:fldCharType="begin"/>
        </w:r>
        <w:r>
          <w:rPr>
            <w:webHidden/>
          </w:rPr>
          <w:instrText xml:space="preserve"> PAGEREF _Toc145441866 \h </w:instrText>
        </w:r>
        <w:r>
          <w:rPr>
            <w:webHidden/>
          </w:rPr>
        </w:r>
        <w:r>
          <w:rPr>
            <w:webHidden/>
          </w:rPr>
          <w:fldChar w:fldCharType="separate"/>
        </w:r>
        <w:r w:rsidR="00BB629D">
          <w:rPr>
            <w:webHidden/>
          </w:rPr>
          <w:t>9</w:t>
        </w:r>
        <w:r>
          <w:rPr>
            <w:webHidden/>
          </w:rPr>
          <w:fldChar w:fldCharType="end"/>
        </w:r>
      </w:hyperlink>
    </w:p>
    <w:p w14:paraId="7006CAFA" w14:textId="44949FD1" w:rsidR="00D35116" w:rsidRDefault="00D35116">
      <w:pPr>
        <w:pStyle w:val="TOC2"/>
        <w:rPr>
          <w:rFonts w:asciiTheme="minorHAnsi" w:eastAsiaTheme="minorEastAsia" w:hAnsiTheme="minorHAnsi" w:cstheme="minorBidi"/>
          <w:bCs w:val="0"/>
          <w:sz w:val="22"/>
          <w:szCs w:val="22"/>
          <w:u w:val="none"/>
          <w:lang w:val="en-GB"/>
        </w:rPr>
      </w:pPr>
      <w:hyperlink w:anchor="_Toc145441867" w:history="1">
        <w:r w:rsidRPr="00C80493">
          <w:rPr>
            <w:rStyle w:val="Hyperlink"/>
          </w:rPr>
          <w:t>6.1</w:t>
        </w:r>
        <w:r>
          <w:rPr>
            <w:rFonts w:asciiTheme="minorHAnsi" w:eastAsiaTheme="minorEastAsia" w:hAnsiTheme="minorHAnsi" w:cstheme="minorBidi"/>
            <w:bCs w:val="0"/>
            <w:sz w:val="22"/>
            <w:szCs w:val="22"/>
            <w:u w:val="none"/>
            <w:lang w:val="en-GB"/>
          </w:rPr>
          <w:tab/>
        </w:r>
        <w:r w:rsidRPr="00C80493">
          <w:rPr>
            <w:rStyle w:val="Hyperlink"/>
          </w:rPr>
          <w:t>TORTURA EN EL MARCO DE LAS DETENCIONES ARBITRARIAS POR MOTIVOS POLÍTICOS</w:t>
        </w:r>
        <w:r>
          <w:rPr>
            <w:webHidden/>
          </w:rPr>
          <w:tab/>
        </w:r>
        <w:r>
          <w:rPr>
            <w:webHidden/>
          </w:rPr>
          <w:fldChar w:fldCharType="begin"/>
        </w:r>
        <w:r>
          <w:rPr>
            <w:webHidden/>
          </w:rPr>
          <w:instrText xml:space="preserve"> PAGEREF _Toc145441867 \h </w:instrText>
        </w:r>
        <w:r>
          <w:rPr>
            <w:webHidden/>
          </w:rPr>
        </w:r>
        <w:r>
          <w:rPr>
            <w:webHidden/>
          </w:rPr>
          <w:fldChar w:fldCharType="separate"/>
        </w:r>
        <w:r w:rsidR="00BB629D">
          <w:rPr>
            <w:webHidden/>
          </w:rPr>
          <w:t>9</w:t>
        </w:r>
        <w:r>
          <w:rPr>
            <w:webHidden/>
          </w:rPr>
          <w:fldChar w:fldCharType="end"/>
        </w:r>
      </w:hyperlink>
    </w:p>
    <w:p w14:paraId="4FA5C817" w14:textId="3BC2A5D7" w:rsidR="00D35116" w:rsidRDefault="00D35116">
      <w:pPr>
        <w:pStyle w:val="TOC2"/>
        <w:rPr>
          <w:rFonts w:asciiTheme="minorHAnsi" w:eastAsiaTheme="minorEastAsia" w:hAnsiTheme="minorHAnsi" w:cstheme="minorBidi"/>
          <w:bCs w:val="0"/>
          <w:sz w:val="22"/>
          <w:szCs w:val="22"/>
          <w:u w:val="none"/>
          <w:lang w:val="en-GB"/>
        </w:rPr>
      </w:pPr>
      <w:hyperlink w:anchor="_Toc145441868" w:history="1">
        <w:r w:rsidRPr="00C80493">
          <w:rPr>
            <w:rStyle w:val="Hyperlink"/>
          </w:rPr>
          <w:t>6.2</w:t>
        </w:r>
        <w:r>
          <w:rPr>
            <w:rFonts w:asciiTheme="minorHAnsi" w:eastAsiaTheme="minorEastAsia" w:hAnsiTheme="minorHAnsi" w:cstheme="minorBidi"/>
            <w:bCs w:val="0"/>
            <w:sz w:val="22"/>
            <w:szCs w:val="22"/>
            <w:u w:val="none"/>
            <w:lang w:val="en-GB"/>
          </w:rPr>
          <w:tab/>
        </w:r>
        <w:r w:rsidRPr="00C80493">
          <w:rPr>
            <w:rStyle w:val="Hyperlink"/>
          </w:rPr>
          <w:t>DESAPARICIONES FORZADAS DE PERSONAS POR MOTIVOS POLÍTICOS</w:t>
        </w:r>
        <w:r>
          <w:rPr>
            <w:webHidden/>
          </w:rPr>
          <w:tab/>
        </w:r>
        <w:r>
          <w:rPr>
            <w:webHidden/>
          </w:rPr>
          <w:fldChar w:fldCharType="begin"/>
        </w:r>
        <w:r>
          <w:rPr>
            <w:webHidden/>
          </w:rPr>
          <w:instrText xml:space="preserve"> PAGEREF _Toc145441868 \h </w:instrText>
        </w:r>
        <w:r>
          <w:rPr>
            <w:webHidden/>
          </w:rPr>
        </w:r>
        <w:r>
          <w:rPr>
            <w:webHidden/>
          </w:rPr>
          <w:fldChar w:fldCharType="separate"/>
        </w:r>
        <w:r w:rsidR="00BB629D">
          <w:rPr>
            <w:webHidden/>
          </w:rPr>
          <w:t>9</w:t>
        </w:r>
        <w:r>
          <w:rPr>
            <w:webHidden/>
          </w:rPr>
          <w:fldChar w:fldCharType="end"/>
        </w:r>
      </w:hyperlink>
    </w:p>
    <w:p w14:paraId="25F9EA28" w14:textId="6678870C" w:rsidR="00D35116" w:rsidRDefault="00D35116">
      <w:pPr>
        <w:pStyle w:val="TOC2"/>
        <w:rPr>
          <w:rFonts w:asciiTheme="minorHAnsi" w:eastAsiaTheme="minorEastAsia" w:hAnsiTheme="minorHAnsi" w:cstheme="minorBidi"/>
          <w:bCs w:val="0"/>
          <w:sz w:val="22"/>
          <w:szCs w:val="22"/>
          <w:u w:val="none"/>
          <w:lang w:val="en-GB"/>
        </w:rPr>
      </w:pPr>
      <w:hyperlink w:anchor="_Toc145441869" w:history="1">
        <w:r w:rsidRPr="00C80493">
          <w:rPr>
            <w:rStyle w:val="Hyperlink"/>
          </w:rPr>
          <w:t>6.3</w:t>
        </w:r>
        <w:r>
          <w:rPr>
            <w:rFonts w:asciiTheme="minorHAnsi" w:eastAsiaTheme="minorEastAsia" w:hAnsiTheme="minorHAnsi" w:cstheme="minorBidi"/>
            <w:bCs w:val="0"/>
            <w:sz w:val="22"/>
            <w:szCs w:val="22"/>
            <w:u w:val="none"/>
            <w:lang w:val="en-GB"/>
          </w:rPr>
          <w:tab/>
        </w:r>
        <w:r w:rsidRPr="00C80493">
          <w:rPr>
            <w:rStyle w:val="Hyperlink"/>
          </w:rPr>
          <w:t>INVESTIGACIONES PENALES Y ACCESO A LA JUSTICIA</w:t>
        </w:r>
        <w:r>
          <w:rPr>
            <w:webHidden/>
          </w:rPr>
          <w:tab/>
        </w:r>
        <w:r>
          <w:rPr>
            <w:webHidden/>
          </w:rPr>
          <w:fldChar w:fldCharType="begin"/>
        </w:r>
        <w:r>
          <w:rPr>
            <w:webHidden/>
          </w:rPr>
          <w:instrText xml:space="preserve"> PAGEREF _Toc145441869 \h </w:instrText>
        </w:r>
        <w:r>
          <w:rPr>
            <w:webHidden/>
          </w:rPr>
        </w:r>
        <w:r>
          <w:rPr>
            <w:webHidden/>
          </w:rPr>
          <w:fldChar w:fldCharType="separate"/>
        </w:r>
        <w:r w:rsidR="00BB629D">
          <w:rPr>
            <w:webHidden/>
          </w:rPr>
          <w:t>10</w:t>
        </w:r>
        <w:r>
          <w:rPr>
            <w:webHidden/>
          </w:rPr>
          <w:fldChar w:fldCharType="end"/>
        </w:r>
      </w:hyperlink>
    </w:p>
    <w:p w14:paraId="7F98C529" w14:textId="4A8207B5" w:rsidR="00D35116" w:rsidRDefault="00D35116">
      <w:pPr>
        <w:pStyle w:val="TOC1"/>
        <w:rPr>
          <w:rFonts w:asciiTheme="minorHAnsi" w:eastAsiaTheme="minorEastAsia" w:hAnsiTheme="minorHAnsi" w:cstheme="minorBidi"/>
          <w:b w:val="0"/>
          <w:bCs w:val="0"/>
          <w:caps w:val="0"/>
          <w:color w:val="auto"/>
          <w:sz w:val="22"/>
          <w:szCs w:val="22"/>
          <w:u w:val="none"/>
          <w:lang w:val="en-GB"/>
        </w:rPr>
      </w:pPr>
      <w:hyperlink w:anchor="_Toc145441870" w:history="1">
        <w:r w:rsidRPr="00C80493">
          <w:rPr>
            <w:rStyle w:val="Hyperlink"/>
          </w:rPr>
          <w:t>7.</w:t>
        </w:r>
        <w:r>
          <w:rPr>
            <w:rFonts w:asciiTheme="minorHAnsi" w:eastAsiaTheme="minorEastAsia" w:hAnsiTheme="minorHAnsi" w:cstheme="minorBidi"/>
            <w:b w:val="0"/>
            <w:bCs w:val="0"/>
            <w:caps w:val="0"/>
            <w:color w:val="auto"/>
            <w:sz w:val="22"/>
            <w:szCs w:val="22"/>
            <w:u w:val="none"/>
            <w:lang w:val="en-GB"/>
          </w:rPr>
          <w:tab/>
        </w:r>
        <w:r w:rsidRPr="00C80493">
          <w:rPr>
            <w:rStyle w:val="Hyperlink"/>
          </w:rPr>
          <w:t>PERSONAS PRIVADAS DE LIBERTAD Y CONDICIONES DE DETENCIÓN (ARTÍCULOS 7 Y 9)</w:t>
        </w:r>
        <w:r>
          <w:rPr>
            <w:webHidden/>
          </w:rPr>
          <w:tab/>
        </w:r>
        <w:r>
          <w:rPr>
            <w:webHidden/>
          </w:rPr>
          <w:fldChar w:fldCharType="begin"/>
        </w:r>
        <w:r>
          <w:rPr>
            <w:webHidden/>
          </w:rPr>
          <w:instrText xml:space="preserve"> PAGEREF _Toc145441870 \h </w:instrText>
        </w:r>
        <w:r>
          <w:rPr>
            <w:webHidden/>
          </w:rPr>
        </w:r>
        <w:r>
          <w:rPr>
            <w:webHidden/>
          </w:rPr>
          <w:fldChar w:fldCharType="separate"/>
        </w:r>
        <w:r w:rsidR="00BB629D">
          <w:rPr>
            <w:webHidden/>
          </w:rPr>
          <w:t>11</w:t>
        </w:r>
        <w:r>
          <w:rPr>
            <w:webHidden/>
          </w:rPr>
          <w:fldChar w:fldCharType="end"/>
        </w:r>
      </w:hyperlink>
    </w:p>
    <w:p w14:paraId="22D0C4C9" w14:textId="232EA6DF" w:rsidR="00D35116" w:rsidRDefault="00D35116">
      <w:pPr>
        <w:pStyle w:val="TOC2"/>
        <w:rPr>
          <w:rFonts w:asciiTheme="minorHAnsi" w:eastAsiaTheme="minorEastAsia" w:hAnsiTheme="minorHAnsi" w:cstheme="minorBidi"/>
          <w:bCs w:val="0"/>
          <w:sz w:val="22"/>
          <w:szCs w:val="22"/>
          <w:u w:val="none"/>
          <w:lang w:val="en-GB"/>
        </w:rPr>
      </w:pPr>
      <w:hyperlink w:anchor="_Toc145441871" w:history="1">
        <w:r w:rsidRPr="00C80493">
          <w:rPr>
            <w:rStyle w:val="Hyperlink"/>
          </w:rPr>
          <w:t>7.1</w:t>
        </w:r>
        <w:r>
          <w:rPr>
            <w:rFonts w:asciiTheme="minorHAnsi" w:eastAsiaTheme="minorEastAsia" w:hAnsiTheme="minorHAnsi" w:cstheme="minorBidi"/>
            <w:bCs w:val="0"/>
            <w:sz w:val="22"/>
            <w:szCs w:val="22"/>
            <w:u w:val="none"/>
            <w:lang w:val="en-GB"/>
          </w:rPr>
          <w:tab/>
        </w:r>
        <w:r w:rsidRPr="00C80493">
          <w:rPr>
            <w:rStyle w:val="Hyperlink"/>
          </w:rPr>
          <w:t>CONDICIONES INHUMANAS DE RECLUSIÓN</w:t>
        </w:r>
        <w:r>
          <w:rPr>
            <w:webHidden/>
          </w:rPr>
          <w:tab/>
        </w:r>
        <w:r>
          <w:rPr>
            <w:webHidden/>
          </w:rPr>
          <w:fldChar w:fldCharType="begin"/>
        </w:r>
        <w:r>
          <w:rPr>
            <w:webHidden/>
          </w:rPr>
          <w:instrText xml:space="preserve"> PAGEREF _Toc145441871 \h </w:instrText>
        </w:r>
        <w:r>
          <w:rPr>
            <w:webHidden/>
          </w:rPr>
        </w:r>
        <w:r>
          <w:rPr>
            <w:webHidden/>
          </w:rPr>
          <w:fldChar w:fldCharType="separate"/>
        </w:r>
        <w:r w:rsidR="00BB629D">
          <w:rPr>
            <w:webHidden/>
          </w:rPr>
          <w:t>11</w:t>
        </w:r>
        <w:r>
          <w:rPr>
            <w:webHidden/>
          </w:rPr>
          <w:fldChar w:fldCharType="end"/>
        </w:r>
      </w:hyperlink>
    </w:p>
    <w:p w14:paraId="3E1A157B" w14:textId="3FD8AE2F" w:rsidR="00D35116" w:rsidRDefault="00D35116">
      <w:pPr>
        <w:pStyle w:val="TOC2"/>
        <w:rPr>
          <w:rFonts w:asciiTheme="minorHAnsi" w:eastAsiaTheme="minorEastAsia" w:hAnsiTheme="minorHAnsi" w:cstheme="minorBidi"/>
          <w:bCs w:val="0"/>
          <w:sz w:val="22"/>
          <w:szCs w:val="22"/>
          <w:u w:val="none"/>
          <w:lang w:val="en-GB"/>
        </w:rPr>
      </w:pPr>
      <w:hyperlink w:anchor="_Toc145441872" w:history="1">
        <w:r w:rsidRPr="00C80493">
          <w:rPr>
            <w:rStyle w:val="Hyperlink"/>
          </w:rPr>
          <w:t>7.2</w:t>
        </w:r>
        <w:r>
          <w:rPr>
            <w:rFonts w:asciiTheme="minorHAnsi" w:eastAsiaTheme="minorEastAsia" w:hAnsiTheme="minorHAnsi" w:cstheme="minorBidi"/>
            <w:bCs w:val="0"/>
            <w:sz w:val="22"/>
            <w:szCs w:val="22"/>
            <w:u w:val="none"/>
            <w:lang w:val="en-GB"/>
          </w:rPr>
          <w:tab/>
        </w:r>
        <w:r w:rsidRPr="00C80493">
          <w:rPr>
            <w:rStyle w:val="Hyperlink"/>
          </w:rPr>
          <w:t>RECLUSIÓN PROLONGADA EN CENTROS NO AUTORIZADOS</w:t>
        </w:r>
        <w:r>
          <w:rPr>
            <w:webHidden/>
          </w:rPr>
          <w:tab/>
        </w:r>
        <w:r>
          <w:rPr>
            <w:webHidden/>
          </w:rPr>
          <w:fldChar w:fldCharType="begin"/>
        </w:r>
        <w:r>
          <w:rPr>
            <w:webHidden/>
          </w:rPr>
          <w:instrText xml:space="preserve"> PAGEREF _Toc145441872 \h </w:instrText>
        </w:r>
        <w:r>
          <w:rPr>
            <w:webHidden/>
          </w:rPr>
        </w:r>
        <w:r>
          <w:rPr>
            <w:webHidden/>
          </w:rPr>
          <w:fldChar w:fldCharType="separate"/>
        </w:r>
        <w:r w:rsidR="00BB629D">
          <w:rPr>
            <w:webHidden/>
          </w:rPr>
          <w:t>11</w:t>
        </w:r>
        <w:r>
          <w:rPr>
            <w:webHidden/>
          </w:rPr>
          <w:fldChar w:fldCharType="end"/>
        </w:r>
      </w:hyperlink>
    </w:p>
    <w:p w14:paraId="09B6EDF2" w14:textId="4ECD2C37" w:rsidR="00D35116" w:rsidRDefault="00D35116">
      <w:pPr>
        <w:pStyle w:val="TOC2"/>
        <w:rPr>
          <w:rFonts w:asciiTheme="minorHAnsi" w:eastAsiaTheme="minorEastAsia" w:hAnsiTheme="minorHAnsi" w:cstheme="minorBidi"/>
          <w:bCs w:val="0"/>
          <w:sz w:val="22"/>
          <w:szCs w:val="22"/>
          <w:u w:val="none"/>
          <w:lang w:val="en-GB"/>
        </w:rPr>
      </w:pPr>
      <w:hyperlink w:anchor="_Toc145441873" w:history="1">
        <w:r w:rsidRPr="00C80493">
          <w:rPr>
            <w:rStyle w:val="Hyperlink"/>
          </w:rPr>
          <w:t>7.3</w:t>
        </w:r>
        <w:r>
          <w:rPr>
            <w:rFonts w:asciiTheme="minorHAnsi" w:eastAsiaTheme="minorEastAsia" w:hAnsiTheme="minorHAnsi" w:cstheme="minorBidi"/>
            <w:bCs w:val="0"/>
            <w:sz w:val="22"/>
            <w:szCs w:val="22"/>
            <w:u w:val="none"/>
            <w:lang w:val="en-GB"/>
          </w:rPr>
          <w:tab/>
        </w:r>
        <w:r w:rsidRPr="00C80493">
          <w:rPr>
            <w:rStyle w:val="Hyperlink"/>
          </w:rPr>
          <w:t>DETENCIONES ARBITRARIAS POR MOTIVOS POLÍTICOS</w:t>
        </w:r>
        <w:r>
          <w:rPr>
            <w:webHidden/>
          </w:rPr>
          <w:tab/>
        </w:r>
        <w:r>
          <w:rPr>
            <w:webHidden/>
          </w:rPr>
          <w:fldChar w:fldCharType="begin"/>
        </w:r>
        <w:r>
          <w:rPr>
            <w:webHidden/>
          </w:rPr>
          <w:instrText xml:space="preserve"> PAGEREF _Toc145441873 \h </w:instrText>
        </w:r>
        <w:r>
          <w:rPr>
            <w:webHidden/>
          </w:rPr>
        </w:r>
        <w:r>
          <w:rPr>
            <w:webHidden/>
          </w:rPr>
          <w:fldChar w:fldCharType="separate"/>
        </w:r>
        <w:r w:rsidR="00BB629D">
          <w:rPr>
            <w:webHidden/>
          </w:rPr>
          <w:t>12</w:t>
        </w:r>
        <w:r>
          <w:rPr>
            <w:webHidden/>
          </w:rPr>
          <w:fldChar w:fldCharType="end"/>
        </w:r>
      </w:hyperlink>
    </w:p>
    <w:p w14:paraId="49D323B9" w14:textId="42EC8D44" w:rsidR="00D35116" w:rsidRDefault="00D35116">
      <w:pPr>
        <w:pStyle w:val="TOC2"/>
        <w:rPr>
          <w:rFonts w:asciiTheme="minorHAnsi" w:eastAsiaTheme="minorEastAsia" w:hAnsiTheme="minorHAnsi" w:cstheme="minorBidi"/>
          <w:bCs w:val="0"/>
          <w:sz w:val="22"/>
          <w:szCs w:val="22"/>
          <w:u w:val="none"/>
          <w:lang w:val="en-GB"/>
        </w:rPr>
      </w:pPr>
      <w:hyperlink w:anchor="_Toc145441874" w:history="1">
        <w:r w:rsidRPr="00C80493">
          <w:rPr>
            <w:rStyle w:val="Hyperlink"/>
          </w:rPr>
          <w:t>7.4</w:t>
        </w:r>
        <w:r>
          <w:rPr>
            <w:rFonts w:asciiTheme="minorHAnsi" w:eastAsiaTheme="minorEastAsia" w:hAnsiTheme="minorHAnsi" w:cstheme="minorBidi"/>
            <w:bCs w:val="0"/>
            <w:sz w:val="22"/>
            <w:szCs w:val="22"/>
            <w:u w:val="none"/>
            <w:lang w:val="en-GB"/>
          </w:rPr>
          <w:tab/>
        </w:r>
        <w:r w:rsidRPr="00C80493">
          <w:rPr>
            <w:rStyle w:val="Hyperlink"/>
          </w:rPr>
          <w:t>ABUSO DE LA PRISIÓN PREVENTIVA</w:t>
        </w:r>
        <w:r>
          <w:rPr>
            <w:webHidden/>
          </w:rPr>
          <w:tab/>
        </w:r>
        <w:r>
          <w:rPr>
            <w:webHidden/>
          </w:rPr>
          <w:fldChar w:fldCharType="begin"/>
        </w:r>
        <w:r>
          <w:rPr>
            <w:webHidden/>
          </w:rPr>
          <w:instrText xml:space="preserve"> PAGEREF _Toc145441874 \h </w:instrText>
        </w:r>
        <w:r>
          <w:rPr>
            <w:webHidden/>
          </w:rPr>
        </w:r>
        <w:r>
          <w:rPr>
            <w:webHidden/>
          </w:rPr>
          <w:fldChar w:fldCharType="separate"/>
        </w:r>
        <w:r w:rsidR="00BB629D">
          <w:rPr>
            <w:webHidden/>
          </w:rPr>
          <w:t>13</w:t>
        </w:r>
        <w:r>
          <w:rPr>
            <w:webHidden/>
          </w:rPr>
          <w:fldChar w:fldCharType="end"/>
        </w:r>
      </w:hyperlink>
    </w:p>
    <w:p w14:paraId="440E3CA2" w14:textId="42C426AA" w:rsidR="00D35116" w:rsidRDefault="00D35116">
      <w:pPr>
        <w:pStyle w:val="TOC2"/>
        <w:rPr>
          <w:rFonts w:asciiTheme="minorHAnsi" w:eastAsiaTheme="minorEastAsia" w:hAnsiTheme="minorHAnsi" w:cstheme="minorBidi"/>
          <w:bCs w:val="0"/>
          <w:sz w:val="22"/>
          <w:szCs w:val="22"/>
          <w:u w:val="none"/>
          <w:lang w:val="en-GB"/>
        </w:rPr>
      </w:pPr>
      <w:hyperlink w:anchor="_Toc145441875" w:history="1">
        <w:r w:rsidRPr="00C80493">
          <w:rPr>
            <w:rStyle w:val="Hyperlink"/>
          </w:rPr>
          <w:t>7.5</w:t>
        </w:r>
        <w:r>
          <w:rPr>
            <w:rFonts w:asciiTheme="minorHAnsi" w:eastAsiaTheme="minorEastAsia" w:hAnsiTheme="minorHAnsi" w:cstheme="minorBidi"/>
            <w:bCs w:val="0"/>
            <w:sz w:val="22"/>
            <w:szCs w:val="22"/>
            <w:u w:val="none"/>
            <w:lang w:val="en-GB"/>
          </w:rPr>
          <w:tab/>
        </w:r>
        <w:r w:rsidRPr="00C80493">
          <w:rPr>
            <w:rStyle w:val="Hyperlink"/>
          </w:rPr>
          <w:t>ARBITRARIEDAD Y DESCONOCIMIENTO DE BOLETAS DE EXCARCELACIÓN</w:t>
        </w:r>
        <w:r>
          <w:rPr>
            <w:webHidden/>
          </w:rPr>
          <w:tab/>
        </w:r>
        <w:r>
          <w:rPr>
            <w:webHidden/>
          </w:rPr>
          <w:fldChar w:fldCharType="begin"/>
        </w:r>
        <w:r>
          <w:rPr>
            <w:webHidden/>
          </w:rPr>
          <w:instrText xml:space="preserve"> PAGEREF _Toc145441875 \h </w:instrText>
        </w:r>
        <w:r>
          <w:rPr>
            <w:webHidden/>
          </w:rPr>
        </w:r>
        <w:r>
          <w:rPr>
            <w:webHidden/>
          </w:rPr>
          <w:fldChar w:fldCharType="separate"/>
        </w:r>
        <w:r w:rsidR="00BB629D">
          <w:rPr>
            <w:webHidden/>
          </w:rPr>
          <w:t>14</w:t>
        </w:r>
        <w:r>
          <w:rPr>
            <w:webHidden/>
          </w:rPr>
          <w:fldChar w:fldCharType="end"/>
        </w:r>
      </w:hyperlink>
    </w:p>
    <w:p w14:paraId="7138F72E" w14:textId="4026A899" w:rsidR="00D35116" w:rsidRDefault="00D35116">
      <w:pPr>
        <w:pStyle w:val="TOC1"/>
        <w:rPr>
          <w:rFonts w:asciiTheme="minorHAnsi" w:eastAsiaTheme="minorEastAsia" w:hAnsiTheme="minorHAnsi" w:cstheme="minorBidi"/>
          <w:b w:val="0"/>
          <w:bCs w:val="0"/>
          <w:caps w:val="0"/>
          <w:color w:val="auto"/>
          <w:sz w:val="22"/>
          <w:szCs w:val="22"/>
          <w:u w:val="none"/>
          <w:lang w:val="en-GB"/>
        </w:rPr>
      </w:pPr>
      <w:hyperlink w:anchor="_Toc145441876" w:history="1">
        <w:r w:rsidRPr="00C80493">
          <w:rPr>
            <w:rStyle w:val="Hyperlink"/>
          </w:rPr>
          <w:t>8.</w:t>
        </w:r>
        <w:r>
          <w:rPr>
            <w:rFonts w:asciiTheme="minorHAnsi" w:eastAsiaTheme="minorEastAsia" w:hAnsiTheme="minorHAnsi" w:cstheme="minorBidi"/>
            <w:b w:val="0"/>
            <w:bCs w:val="0"/>
            <w:caps w:val="0"/>
            <w:color w:val="auto"/>
            <w:sz w:val="22"/>
            <w:szCs w:val="22"/>
            <w:u w:val="none"/>
            <w:lang w:val="en-GB"/>
          </w:rPr>
          <w:tab/>
        </w:r>
        <w:r w:rsidRPr="00C80493">
          <w:rPr>
            <w:rStyle w:val="Hyperlink"/>
          </w:rPr>
          <w:t>ACCESO A LA JUSTICIA, INDEPENDENCIA DEL PODER JUDICIAL Y ADMINISTRACIÓN DE JUSTICIA (ARTÍCULOS 2 Y 26)</w:t>
        </w:r>
        <w:r>
          <w:rPr>
            <w:webHidden/>
          </w:rPr>
          <w:tab/>
        </w:r>
        <w:r>
          <w:rPr>
            <w:webHidden/>
          </w:rPr>
          <w:fldChar w:fldCharType="begin"/>
        </w:r>
        <w:r>
          <w:rPr>
            <w:webHidden/>
          </w:rPr>
          <w:instrText xml:space="preserve"> PAGEREF _Toc145441876 \h </w:instrText>
        </w:r>
        <w:r>
          <w:rPr>
            <w:webHidden/>
          </w:rPr>
        </w:r>
        <w:r>
          <w:rPr>
            <w:webHidden/>
          </w:rPr>
          <w:fldChar w:fldCharType="separate"/>
        </w:r>
        <w:r w:rsidR="00BB629D">
          <w:rPr>
            <w:webHidden/>
          </w:rPr>
          <w:t>14</w:t>
        </w:r>
        <w:r>
          <w:rPr>
            <w:webHidden/>
          </w:rPr>
          <w:fldChar w:fldCharType="end"/>
        </w:r>
      </w:hyperlink>
    </w:p>
    <w:p w14:paraId="316F81DE" w14:textId="0519CA27" w:rsidR="00D35116" w:rsidRDefault="00D35116">
      <w:pPr>
        <w:pStyle w:val="TOC2"/>
        <w:rPr>
          <w:rFonts w:asciiTheme="minorHAnsi" w:eastAsiaTheme="minorEastAsia" w:hAnsiTheme="minorHAnsi" w:cstheme="minorBidi"/>
          <w:bCs w:val="0"/>
          <w:sz w:val="22"/>
          <w:szCs w:val="22"/>
          <w:u w:val="none"/>
          <w:lang w:val="en-GB"/>
        </w:rPr>
      </w:pPr>
      <w:hyperlink w:anchor="_Toc145441877" w:history="1">
        <w:r w:rsidRPr="00C80493">
          <w:rPr>
            <w:rStyle w:val="Hyperlink"/>
          </w:rPr>
          <w:t>8.1</w:t>
        </w:r>
        <w:r>
          <w:rPr>
            <w:rFonts w:asciiTheme="minorHAnsi" w:eastAsiaTheme="minorEastAsia" w:hAnsiTheme="minorHAnsi" w:cstheme="minorBidi"/>
            <w:bCs w:val="0"/>
            <w:sz w:val="22"/>
            <w:szCs w:val="22"/>
            <w:u w:val="none"/>
            <w:lang w:val="en-GB"/>
          </w:rPr>
          <w:tab/>
        </w:r>
        <w:r w:rsidRPr="00C80493">
          <w:rPr>
            <w:rStyle w:val="Hyperlink"/>
          </w:rPr>
          <w:t>FALTA DE INDEPENDENCIA E INJERENCIA DE OTROS PODERES PÚBLICOS EN LA ADMINISTRACIÓN DE JUSTICIA</w:t>
        </w:r>
        <w:r>
          <w:rPr>
            <w:webHidden/>
          </w:rPr>
          <w:tab/>
        </w:r>
        <w:r>
          <w:rPr>
            <w:webHidden/>
          </w:rPr>
          <w:fldChar w:fldCharType="begin"/>
        </w:r>
        <w:r>
          <w:rPr>
            <w:webHidden/>
          </w:rPr>
          <w:instrText xml:space="preserve"> PAGEREF _Toc145441877 \h </w:instrText>
        </w:r>
        <w:r>
          <w:rPr>
            <w:webHidden/>
          </w:rPr>
        </w:r>
        <w:r>
          <w:rPr>
            <w:webHidden/>
          </w:rPr>
          <w:fldChar w:fldCharType="separate"/>
        </w:r>
        <w:r w:rsidR="00BB629D">
          <w:rPr>
            <w:webHidden/>
          </w:rPr>
          <w:t>14</w:t>
        </w:r>
        <w:r>
          <w:rPr>
            <w:webHidden/>
          </w:rPr>
          <w:fldChar w:fldCharType="end"/>
        </w:r>
      </w:hyperlink>
    </w:p>
    <w:p w14:paraId="1DD5F9B1" w14:textId="7591C5D5" w:rsidR="00D35116" w:rsidRDefault="00D35116">
      <w:pPr>
        <w:pStyle w:val="TOC2"/>
        <w:rPr>
          <w:rFonts w:asciiTheme="minorHAnsi" w:eastAsiaTheme="minorEastAsia" w:hAnsiTheme="minorHAnsi" w:cstheme="minorBidi"/>
          <w:bCs w:val="0"/>
          <w:sz w:val="22"/>
          <w:szCs w:val="22"/>
          <w:u w:val="none"/>
          <w:lang w:val="en-GB"/>
        </w:rPr>
      </w:pPr>
      <w:hyperlink w:anchor="_Toc145441878" w:history="1">
        <w:r w:rsidRPr="00C80493">
          <w:rPr>
            <w:rStyle w:val="Hyperlink"/>
          </w:rPr>
          <w:t>8.2</w:t>
        </w:r>
        <w:r>
          <w:rPr>
            <w:rFonts w:asciiTheme="minorHAnsi" w:eastAsiaTheme="minorEastAsia" w:hAnsiTheme="minorHAnsi" w:cstheme="minorBidi"/>
            <w:bCs w:val="0"/>
            <w:sz w:val="22"/>
            <w:szCs w:val="22"/>
            <w:u w:val="none"/>
            <w:lang w:val="en-GB"/>
          </w:rPr>
          <w:tab/>
        </w:r>
        <w:r w:rsidRPr="00C80493">
          <w:rPr>
            <w:rStyle w:val="Hyperlink"/>
          </w:rPr>
          <w:t>PROVISIONALIDAD DE LOS JUECES A PESAR DE LAS REFORMAS JUDICIALES</w:t>
        </w:r>
        <w:r>
          <w:rPr>
            <w:webHidden/>
          </w:rPr>
          <w:tab/>
        </w:r>
        <w:r>
          <w:rPr>
            <w:webHidden/>
          </w:rPr>
          <w:fldChar w:fldCharType="begin"/>
        </w:r>
        <w:r>
          <w:rPr>
            <w:webHidden/>
          </w:rPr>
          <w:instrText xml:space="preserve"> PAGEREF _Toc145441878 \h </w:instrText>
        </w:r>
        <w:r>
          <w:rPr>
            <w:webHidden/>
          </w:rPr>
        </w:r>
        <w:r>
          <w:rPr>
            <w:webHidden/>
          </w:rPr>
          <w:fldChar w:fldCharType="separate"/>
        </w:r>
        <w:r w:rsidR="00BB629D">
          <w:rPr>
            <w:webHidden/>
          </w:rPr>
          <w:t>15</w:t>
        </w:r>
        <w:r>
          <w:rPr>
            <w:webHidden/>
          </w:rPr>
          <w:fldChar w:fldCharType="end"/>
        </w:r>
      </w:hyperlink>
    </w:p>
    <w:p w14:paraId="34D8BF30" w14:textId="0AE85829" w:rsidR="00D35116" w:rsidRDefault="00D35116">
      <w:pPr>
        <w:pStyle w:val="TOC2"/>
        <w:rPr>
          <w:rFonts w:asciiTheme="minorHAnsi" w:eastAsiaTheme="minorEastAsia" w:hAnsiTheme="minorHAnsi" w:cstheme="minorBidi"/>
          <w:bCs w:val="0"/>
          <w:sz w:val="22"/>
          <w:szCs w:val="22"/>
          <w:u w:val="none"/>
          <w:lang w:val="en-GB"/>
        </w:rPr>
      </w:pPr>
      <w:hyperlink w:anchor="_Toc145441879" w:history="1">
        <w:r w:rsidRPr="00C80493">
          <w:rPr>
            <w:rStyle w:val="Hyperlink"/>
          </w:rPr>
          <w:t>8.3</w:t>
        </w:r>
        <w:r>
          <w:rPr>
            <w:rFonts w:asciiTheme="minorHAnsi" w:eastAsiaTheme="minorEastAsia" w:hAnsiTheme="minorHAnsi" w:cstheme="minorBidi"/>
            <w:bCs w:val="0"/>
            <w:sz w:val="22"/>
            <w:szCs w:val="22"/>
            <w:u w:val="none"/>
            <w:lang w:val="en-GB"/>
          </w:rPr>
          <w:tab/>
        </w:r>
        <w:r w:rsidRPr="00C80493">
          <w:rPr>
            <w:rStyle w:val="Hyperlink"/>
          </w:rPr>
          <w:t>ARBITRARIEDAD EN LA DISTRIBUCIÓN DE LAS COMPETENCIAS Y CASOS</w:t>
        </w:r>
        <w:r>
          <w:rPr>
            <w:webHidden/>
          </w:rPr>
          <w:tab/>
        </w:r>
        <w:r>
          <w:rPr>
            <w:webHidden/>
          </w:rPr>
          <w:fldChar w:fldCharType="begin"/>
        </w:r>
        <w:r>
          <w:rPr>
            <w:webHidden/>
          </w:rPr>
          <w:instrText xml:space="preserve"> PAGEREF _Toc145441879 \h </w:instrText>
        </w:r>
        <w:r>
          <w:rPr>
            <w:webHidden/>
          </w:rPr>
        </w:r>
        <w:r>
          <w:rPr>
            <w:webHidden/>
          </w:rPr>
          <w:fldChar w:fldCharType="separate"/>
        </w:r>
        <w:r w:rsidR="00BB629D">
          <w:rPr>
            <w:webHidden/>
          </w:rPr>
          <w:t>15</w:t>
        </w:r>
        <w:r>
          <w:rPr>
            <w:webHidden/>
          </w:rPr>
          <w:fldChar w:fldCharType="end"/>
        </w:r>
      </w:hyperlink>
    </w:p>
    <w:p w14:paraId="7A2B5DA4" w14:textId="7E3AA040" w:rsidR="00D35116" w:rsidRDefault="00D35116">
      <w:pPr>
        <w:pStyle w:val="TOC2"/>
        <w:rPr>
          <w:rFonts w:asciiTheme="minorHAnsi" w:eastAsiaTheme="minorEastAsia" w:hAnsiTheme="minorHAnsi" w:cstheme="minorBidi"/>
          <w:bCs w:val="0"/>
          <w:sz w:val="22"/>
          <w:szCs w:val="22"/>
          <w:u w:val="none"/>
          <w:lang w:val="en-GB"/>
        </w:rPr>
      </w:pPr>
      <w:hyperlink w:anchor="_Toc145441880" w:history="1">
        <w:r w:rsidRPr="00C80493">
          <w:rPr>
            <w:rStyle w:val="Hyperlink"/>
          </w:rPr>
          <w:t>8.4</w:t>
        </w:r>
        <w:r>
          <w:rPr>
            <w:rFonts w:asciiTheme="minorHAnsi" w:eastAsiaTheme="minorEastAsia" w:hAnsiTheme="minorHAnsi" w:cstheme="minorBidi"/>
            <w:bCs w:val="0"/>
            <w:sz w:val="22"/>
            <w:szCs w:val="22"/>
            <w:u w:val="none"/>
            <w:lang w:val="en-GB"/>
          </w:rPr>
          <w:tab/>
        </w:r>
        <w:r w:rsidRPr="00C80493">
          <w:rPr>
            <w:rStyle w:val="Hyperlink"/>
          </w:rPr>
          <w:t>ACCESO A UNA ASISTENCIA LEGAL DE SU ELECCIÓN</w:t>
        </w:r>
        <w:r>
          <w:rPr>
            <w:webHidden/>
          </w:rPr>
          <w:tab/>
        </w:r>
        <w:r>
          <w:rPr>
            <w:webHidden/>
          </w:rPr>
          <w:fldChar w:fldCharType="begin"/>
        </w:r>
        <w:r>
          <w:rPr>
            <w:webHidden/>
          </w:rPr>
          <w:instrText xml:space="preserve"> PAGEREF _Toc145441880 \h </w:instrText>
        </w:r>
        <w:r>
          <w:rPr>
            <w:webHidden/>
          </w:rPr>
        </w:r>
        <w:r>
          <w:rPr>
            <w:webHidden/>
          </w:rPr>
          <w:fldChar w:fldCharType="separate"/>
        </w:r>
        <w:r w:rsidR="00BB629D">
          <w:rPr>
            <w:webHidden/>
          </w:rPr>
          <w:t>15</w:t>
        </w:r>
        <w:r>
          <w:rPr>
            <w:webHidden/>
          </w:rPr>
          <w:fldChar w:fldCharType="end"/>
        </w:r>
      </w:hyperlink>
    </w:p>
    <w:p w14:paraId="6CB4482C" w14:textId="0F35824A" w:rsidR="00D35116" w:rsidRDefault="00D35116">
      <w:pPr>
        <w:pStyle w:val="TOC1"/>
        <w:rPr>
          <w:rFonts w:asciiTheme="minorHAnsi" w:eastAsiaTheme="minorEastAsia" w:hAnsiTheme="minorHAnsi" w:cstheme="minorBidi"/>
          <w:b w:val="0"/>
          <w:bCs w:val="0"/>
          <w:caps w:val="0"/>
          <w:color w:val="auto"/>
          <w:sz w:val="22"/>
          <w:szCs w:val="22"/>
          <w:u w:val="none"/>
          <w:lang w:val="en-GB"/>
        </w:rPr>
      </w:pPr>
      <w:hyperlink w:anchor="_Toc145441881" w:history="1">
        <w:r w:rsidRPr="00C80493">
          <w:rPr>
            <w:rStyle w:val="Hyperlink"/>
          </w:rPr>
          <w:t>9.</w:t>
        </w:r>
        <w:r>
          <w:rPr>
            <w:rFonts w:asciiTheme="minorHAnsi" w:eastAsiaTheme="minorEastAsia" w:hAnsiTheme="minorHAnsi" w:cstheme="minorBidi"/>
            <w:b w:val="0"/>
            <w:bCs w:val="0"/>
            <w:caps w:val="0"/>
            <w:color w:val="auto"/>
            <w:sz w:val="22"/>
            <w:szCs w:val="22"/>
            <w:u w:val="none"/>
            <w:lang w:val="en-GB"/>
          </w:rPr>
          <w:tab/>
        </w:r>
        <w:r w:rsidRPr="00C80493">
          <w:rPr>
            <w:rStyle w:val="Hyperlink"/>
          </w:rPr>
          <w:t>LIBERTAD DE EXPRESIÓN (ARTICULO 19)</w:t>
        </w:r>
        <w:r>
          <w:rPr>
            <w:webHidden/>
          </w:rPr>
          <w:tab/>
        </w:r>
        <w:r>
          <w:rPr>
            <w:webHidden/>
          </w:rPr>
          <w:fldChar w:fldCharType="begin"/>
        </w:r>
        <w:r>
          <w:rPr>
            <w:webHidden/>
          </w:rPr>
          <w:instrText xml:space="preserve"> PAGEREF _Toc145441881 \h </w:instrText>
        </w:r>
        <w:r>
          <w:rPr>
            <w:webHidden/>
          </w:rPr>
        </w:r>
        <w:r>
          <w:rPr>
            <w:webHidden/>
          </w:rPr>
          <w:fldChar w:fldCharType="separate"/>
        </w:r>
        <w:r w:rsidR="00BB629D">
          <w:rPr>
            <w:webHidden/>
          </w:rPr>
          <w:t>16</w:t>
        </w:r>
        <w:r>
          <w:rPr>
            <w:webHidden/>
          </w:rPr>
          <w:fldChar w:fldCharType="end"/>
        </w:r>
      </w:hyperlink>
    </w:p>
    <w:p w14:paraId="5B41B9E4" w14:textId="6C58DC57" w:rsidR="00D35116" w:rsidRDefault="00D35116">
      <w:pPr>
        <w:pStyle w:val="TOC2"/>
        <w:rPr>
          <w:rFonts w:asciiTheme="minorHAnsi" w:eastAsiaTheme="minorEastAsia" w:hAnsiTheme="minorHAnsi" w:cstheme="minorBidi"/>
          <w:bCs w:val="0"/>
          <w:sz w:val="22"/>
          <w:szCs w:val="22"/>
          <w:u w:val="none"/>
          <w:lang w:val="en-GB"/>
        </w:rPr>
      </w:pPr>
      <w:hyperlink w:anchor="_Toc145441882" w:history="1">
        <w:r w:rsidRPr="00C80493">
          <w:rPr>
            <w:rStyle w:val="Hyperlink"/>
          </w:rPr>
          <w:t>9.1</w:t>
        </w:r>
        <w:r>
          <w:rPr>
            <w:rFonts w:asciiTheme="minorHAnsi" w:eastAsiaTheme="minorEastAsia" w:hAnsiTheme="minorHAnsi" w:cstheme="minorBidi"/>
            <w:bCs w:val="0"/>
            <w:sz w:val="22"/>
            <w:szCs w:val="22"/>
            <w:u w:val="none"/>
            <w:lang w:val="en-GB"/>
          </w:rPr>
          <w:tab/>
        </w:r>
        <w:r w:rsidRPr="00C80493">
          <w:rPr>
            <w:rStyle w:val="Hyperlink"/>
          </w:rPr>
          <w:t>LEY CONTRA EL ODIO</w:t>
        </w:r>
        <w:r>
          <w:rPr>
            <w:webHidden/>
          </w:rPr>
          <w:tab/>
        </w:r>
        <w:r>
          <w:rPr>
            <w:webHidden/>
          </w:rPr>
          <w:fldChar w:fldCharType="begin"/>
        </w:r>
        <w:r>
          <w:rPr>
            <w:webHidden/>
          </w:rPr>
          <w:instrText xml:space="preserve"> PAGEREF _Toc145441882 \h </w:instrText>
        </w:r>
        <w:r>
          <w:rPr>
            <w:webHidden/>
          </w:rPr>
        </w:r>
        <w:r>
          <w:rPr>
            <w:webHidden/>
          </w:rPr>
          <w:fldChar w:fldCharType="separate"/>
        </w:r>
        <w:r w:rsidR="00BB629D">
          <w:rPr>
            <w:webHidden/>
          </w:rPr>
          <w:t>16</w:t>
        </w:r>
        <w:r>
          <w:rPr>
            <w:webHidden/>
          </w:rPr>
          <w:fldChar w:fldCharType="end"/>
        </w:r>
      </w:hyperlink>
    </w:p>
    <w:p w14:paraId="03854E0D" w14:textId="1DC69EF3" w:rsidR="00D35116" w:rsidRDefault="00D35116">
      <w:pPr>
        <w:pStyle w:val="TOC2"/>
        <w:rPr>
          <w:rFonts w:asciiTheme="minorHAnsi" w:eastAsiaTheme="minorEastAsia" w:hAnsiTheme="minorHAnsi" w:cstheme="minorBidi"/>
          <w:bCs w:val="0"/>
          <w:sz w:val="22"/>
          <w:szCs w:val="22"/>
          <w:u w:val="none"/>
          <w:lang w:val="en-GB"/>
        </w:rPr>
      </w:pPr>
      <w:hyperlink w:anchor="_Toc145441883" w:history="1">
        <w:r w:rsidRPr="00C80493">
          <w:rPr>
            <w:rStyle w:val="Hyperlink"/>
          </w:rPr>
          <w:t>9.2</w:t>
        </w:r>
        <w:r>
          <w:rPr>
            <w:rFonts w:asciiTheme="minorHAnsi" w:eastAsiaTheme="minorEastAsia" w:hAnsiTheme="minorHAnsi" w:cstheme="minorBidi"/>
            <w:bCs w:val="0"/>
            <w:sz w:val="22"/>
            <w:szCs w:val="22"/>
            <w:u w:val="none"/>
            <w:lang w:val="en-GB"/>
          </w:rPr>
          <w:tab/>
        </w:r>
        <w:r w:rsidRPr="00C80493">
          <w:rPr>
            <w:rStyle w:val="Hyperlink"/>
          </w:rPr>
          <w:t>ACCESO A LA INFORMACIÓN PÚBLICA Y TRANSPARENCIA</w:t>
        </w:r>
        <w:r>
          <w:rPr>
            <w:webHidden/>
          </w:rPr>
          <w:tab/>
        </w:r>
        <w:r>
          <w:rPr>
            <w:webHidden/>
          </w:rPr>
          <w:fldChar w:fldCharType="begin"/>
        </w:r>
        <w:r>
          <w:rPr>
            <w:webHidden/>
          </w:rPr>
          <w:instrText xml:space="preserve"> PAGEREF _Toc145441883 \h </w:instrText>
        </w:r>
        <w:r>
          <w:rPr>
            <w:webHidden/>
          </w:rPr>
        </w:r>
        <w:r>
          <w:rPr>
            <w:webHidden/>
          </w:rPr>
          <w:fldChar w:fldCharType="separate"/>
        </w:r>
        <w:r w:rsidR="00BB629D">
          <w:rPr>
            <w:webHidden/>
          </w:rPr>
          <w:t>16</w:t>
        </w:r>
        <w:r>
          <w:rPr>
            <w:webHidden/>
          </w:rPr>
          <w:fldChar w:fldCharType="end"/>
        </w:r>
      </w:hyperlink>
    </w:p>
    <w:p w14:paraId="2C10039E" w14:textId="2FD84765" w:rsidR="00D35116" w:rsidRDefault="00D35116">
      <w:pPr>
        <w:pStyle w:val="TOC2"/>
        <w:rPr>
          <w:rFonts w:asciiTheme="minorHAnsi" w:eastAsiaTheme="minorEastAsia" w:hAnsiTheme="minorHAnsi" w:cstheme="minorBidi"/>
          <w:bCs w:val="0"/>
          <w:sz w:val="22"/>
          <w:szCs w:val="22"/>
          <w:u w:val="none"/>
          <w:lang w:val="en-GB"/>
        </w:rPr>
      </w:pPr>
      <w:hyperlink w:anchor="_Toc145441884" w:history="1">
        <w:r w:rsidRPr="00C80493">
          <w:rPr>
            <w:rStyle w:val="Hyperlink"/>
          </w:rPr>
          <w:t>9.3</w:t>
        </w:r>
        <w:r>
          <w:rPr>
            <w:rFonts w:asciiTheme="minorHAnsi" w:eastAsiaTheme="minorEastAsia" w:hAnsiTheme="minorHAnsi" w:cstheme="minorBidi"/>
            <w:bCs w:val="0"/>
            <w:sz w:val="22"/>
            <w:szCs w:val="22"/>
            <w:u w:val="none"/>
            <w:lang w:val="en-GB"/>
          </w:rPr>
          <w:tab/>
        </w:r>
        <w:r w:rsidRPr="00C80493">
          <w:rPr>
            <w:rStyle w:val="Hyperlink"/>
          </w:rPr>
          <w:t>BLOQUEOS DE PÁGINAS WEB Y OTRAS MEDIDAS DE CENSURA</w:t>
        </w:r>
        <w:r>
          <w:rPr>
            <w:webHidden/>
          </w:rPr>
          <w:tab/>
        </w:r>
        <w:r>
          <w:rPr>
            <w:webHidden/>
          </w:rPr>
          <w:fldChar w:fldCharType="begin"/>
        </w:r>
        <w:r>
          <w:rPr>
            <w:webHidden/>
          </w:rPr>
          <w:instrText xml:space="preserve"> PAGEREF _Toc145441884 \h </w:instrText>
        </w:r>
        <w:r>
          <w:rPr>
            <w:webHidden/>
          </w:rPr>
        </w:r>
        <w:r>
          <w:rPr>
            <w:webHidden/>
          </w:rPr>
          <w:fldChar w:fldCharType="separate"/>
        </w:r>
        <w:r w:rsidR="00BB629D">
          <w:rPr>
            <w:webHidden/>
          </w:rPr>
          <w:t>17</w:t>
        </w:r>
        <w:r>
          <w:rPr>
            <w:webHidden/>
          </w:rPr>
          <w:fldChar w:fldCharType="end"/>
        </w:r>
      </w:hyperlink>
    </w:p>
    <w:p w14:paraId="7D679564" w14:textId="4DCF8D8A" w:rsidR="00D35116" w:rsidRDefault="00D35116">
      <w:pPr>
        <w:pStyle w:val="TOC2"/>
        <w:rPr>
          <w:rFonts w:asciiTheme="minorHAnsi" w:eastAsiaTheme="minorEastAsia" w:hAnsiTheme="minorHAnsi" w:cstheme="minorBidi"/>
          <w:bCs w:val="0"/>
          <w:sz w:val="22"/>
          <w:szCs w:val="22"/>
          <w:u w:val="none"/>
          <w:lang w:val="en-GB"/>
        </w:rPr>
      </w:pPr>
      <w:hyperlink w:anchor="_Toc145441885" w:history="1">
        <w:r w:rsidRPr="00C80493">
          <w:rPr>
            <w:rStyle w:val="Hyperlink"/>
          </w:rPr>
          <w:t>9.4</w:t>
        </w:r>
        <w:r>
          <w:rPr>
            <w:rFonts w:asciiTheme="minorHAnsi" w:eastAsiaTheme="minorEastAsia" w:hAnsiTheme="minorHAnsi" w:cstheme="minorBidi"/>
            <w:bCs w:val="0"/>
            <w:sz w:val="22"/>
            <w:szCs w:val="22"/>
            <w:u w:val="none"/>
            <w:lang w:val="en-GB"/>
          </w:rPr>
          <w:tab/>
        </w:r>
        <w:r w:rsidRPr="00C80493">
          <w:rPr>
            <w:rStyle w:val="Hyperlink"/>
          </w:rPr>
          <w:t>CENSURA Y CIERRE DE MEDIOS DE COMUNICACIÓN</w:t>
        </w:r>
        <w:r>
          <w:rPr>
            <w:webHidden/>
          </w:rPr>
          <w:tab/>
        </w:r>
        <w:r>
          <w:rPr>
            <w:webHidden/>
          </w:rPr>
          <w:fldChar w:fldCharType="begin"/>
        </w:r>
        <w:r>
          <w:rPr>
            <w:webHidden/>
          </w:rPr>
          <w:instrText xml:space="preserve"> PAGEREF _Toc145441885 \h </w:instrText>
        </w:r>
        <w:r>
          <w:rPr>
            <w:webHidden/>
          </w:rPr>
        </w:r>
        <w:r>
          <w:rPr>
            <w:webHidden/>
          </w:rPr>
          <w:fldChar w:fldCharType="separate"/>
        </w:r>
        <w:r w:rsidR="00BB629D">
          <w:rPr>
            <w:webHidden/>
          </w:rPr>
          <w:t>17</w:t>
        </w:r>
        <w:r>
          <w:rPr>
            <w:webHidden/>
          </w:rPr>
          <w:fldChar w:fldCharType="end"/>
        </w:r>
      </w:hyperlink>
    </w:p>
    <w:p w14:paraId="09DB2B19" w14:textId="78D766D7" w:rsidR="00D35116" w:rsidRDefault="00D35116">
      <w:pPr>
        <w:pStyle w:val="TOC2"/>
        <w:rPr>
          <w:rFonts w:asciiTheme="minorHAnsi" w:eastAsiaTheme="minorEastAsia" w:hAnsiTheme="minorHAnsi" w:cstheme="minorBidi"/>
          <w:bCs w:val="0"/>
          <w:sz w:val="22"/>
          <w:szCs w:val="22"/>
          <w:u w:val="none"/>
          <w:lang w:val="en-GB"/>
        </w:rPr>
      </w:pPr>
      <w:hyperlink w:anchor="_Toc145441886" w:history="1">
        <w:r w:rsidRPr="00C80493">
          <w:rPr>
            <w:rStyle w:val="Hyperlink"/>
          </w:rPr>
          <w:t>9.5</w:t>
        </w:r>
        <w:r>
          <w:rPr>
            <w:rFonts w:asciiTheme="minorHAnsi" w:eastAsiaTheme="minorEastAsia" w:hAnsiTheme="minorHAnsi" w:cstheme="minorBidi"/>
            <w:bCs w:val="0"/>
            <w:sz w:val="22"/>
            <w:szCs w:val="22"/>
            <w:u w:val="none"/>
            <w:lang w:val="en-GB"/>
          </w:rPr>
          <w:tab/>
        </w:r>
        <w:r w:rsidRPr="00C80493">
          <w:rPr>
            <w:rStyle w:val="Hyperlink"/>
          </w:rPr>
          <w:t>ATAQUES CONTRA PERIODISTAS E IMPUNIDAD</w:t>
        </w:r>
        <w:r>
          <w:rPr>
            <w:webHidden/>
          </w:rPr>
          <w:tab/>
        </w:r>
        <w:r>
          <w:rPr>
            <w:webHidden/>
          </w:rPr>
          <w:fldChar w:fldCharType="begin"/>
        </w:r>
        <w:r>
          <w:rPr>
            <w:webHidden/>
          </w:rPr>
          <w:instrText xml:space="preserve"> PAGEREF _Toc145441886 \h </w:instrText>
        </w:r>
        <w:r>
          <w:rPr>
            <w:webHidden/>
          </w:rPr>
        </w:r>
        <w:r>
          <w:rPr>
            <w:webHidden/>
          </w:rPr>
          <w:fldChar w:fldCharType="separate"/>
        </w:r>
        <w:r w:rsidR="00BB629D">
          <w:rPr>
            <w:webHidden/>
          </w:rPr>
          <w:t>17</w:t>
        </w:r>
        <w:r>
          <w:rPr>
            <w:webHidden/>
          </w:rPr>
          <w:fldChar w:fldCharType="end"/>
        </w:r>
      </w:hyperlink>
    </w:p>
    <w:p w14:paraId="381104AC" w14:textId="2E5DA340" w:rsidR="00D35116" w:rsidRDefault="00D35116">
      <w:pPr>
        <w:pStyle w:val="TOC1"/>
        <w:rPr>
          <w:rFonts w:asciiTheme="minorHAnsi" w:eastAsiaTheme="minorEastAsia" w:hAnsiTheme="minorHAnsi" w:cstheme="minorBidi"/>
          <w:b w:val="0"/>
          <w:bCs w:val="0"/>
          <w:caps w:val="0"/>
          <w:color w:val="auto"/>
          <w:sz w:val="22"/>
          <w:szCs w:val="22"/>
          <w:u w:val="none"/>
          <w:lang w:val="en-GB"/>
        </w:rPr>
      </w:pPr>
      <w:hyperlink w:anchor="_Toc145441887" w:history="1">
        <w:r w:rsidRPr="00C80493">
          <w:rPr>
            <w:rStyle w:val="Hyperlink"/>
          </w:rPr>
          <w:t>10.</w:t>
        </w:r>
        <w:r>
          <w:rPr>
            <w:rFonts w:asciiTheme="minorHAnsi" w:eastAsiaTheme="minorEastAsia" w:hAnsiTheme="minorHAnsi" w:cstheme="minorBidi"/>
            <w:b w:val="0"/>
            <w:bCs w:val="0"/>
            <w:caps w:val="0"/>
            <w:color w:val="auto"/>
            <w:sz w:val="22"/>
            <w:szCs w:val="22"/>
            <w:u w:val="none"/>
            <w:lang w:val="en-GB"/>
          </w:rPr>
          <w:tab/>
        </w:r>
        <w:r w:rsidRPr="00C80493">
          <w:rPr>
            <w:rStyle w:val="Hyperlink"/>
          </w:rPr>
          <w:t>DERECHOS A LA LIBERTAD DE REUNIÓN PACÍFICA Y DE ASOCIACIÓN (ARTÍCULOS 7, 21 Y 22)</w:t>
        </w:r>
        <w:r>
          <w:rPr>
            <w:webHidden/>
          </w:rPr>
          <w:tab/>
        </w:r>
        <w:r>
          <w:rPr>
            <w:webHidden/>
          </w:rPr>
          <w:fldChar w:fldCharType="begin"/>
        </w:r>
        <w:r>
          <w:rPr>
            <w:webHidden/>
          </w:rPr>
          <w:instrText xml:space="preserve"> PAGEREF _Toc145441887 \h </w:instrText>
        </w:r>
        <w:r>
          <w:rPr>
            <w:webHidden/>
          </w:rPr>
        </w:r>
        <w:r>
          <w:rPr>
            <w:webHidden/>
          </w:rPr>
          <w:fldChar w:fldCharType="separate"/>
        </w:r>
        <w:r w:rsidR="00BB629D">
          <w:rPr>
            <w:webHidden/>
          </w:rPr>
          <w:t>18</w:t>
        </w:r>
        <w:r>
          <w:rPr>
            <w:webHidden/>
          </w:rPr>
          <w:fldChar w:fldCharType="end"/>
        </w:r>
      </w:hyperlink>
    </w:p>
    <w:p w14:paraId="7FED02DD" w14:textId="68A07CA7" w:rsidR="00D35116" w:rsidRDefault="00D35116">
      <w:pPr>
        <w:pStyle w:val="TOC2"/>
        <w:rPr>
          <w:rFonts w:asciiTheme="minorHAnsi" w:eastAsiaTheme="minorEastAsia" w:hAnsiTheme="minorHAnsi" w:cstheme="minorBidi"/>
          <w:bCs w:val="0"/>
          <w:sz w:val="22"/>
          <w:szCs w:val="22"/>
          <w:u w:val="none"/>
          <w:lang w:val="en-GB"/>
        </w:rPr>
      </w:pPr>
      <w:hyperlink w:anchor="_Toc145441888" w:history="1">
        <w:r w:rsidRPr="00C80493">
          <w:rPr>
            <w:rStyle w:val="Hyperlink"/>
          </w:rPr>
          <w:t>10.1</w:t>
        </w:r>
        <w:r>
          <w:rPr>
            <w:rFonts w:asciiTheme="minorHAnsi" w:eastAsiaTheme="minorEastAsia" w:hAnsiTheme="minorHAnsi" w:cstheme="minorBidi"/>
            <w:bCs w:val="0"/>
            <w:sz w:val="22"/>
            <w:szCs w:val="22"/>
            <w:u w:val="none"/>
            <w:lang w:val="en-GB"/>
          </w:rPr>
          <w:tab/>
        </w:r>
        <w:r w:rsidRPr="00C80493">
          <w:rPr>
            <w:rStyle w:val="Hyperlink"/>
          </w:rPr>
          <w:t>USO EXCESIVO DE LA FUERZA Y REPRESIÓN DE LAS MANIFESTACIONES PACÍFICAS</w:t>
        </w:r>
        <w:r>
          <w:rPr>
            <w:webHidden/>
          </w:rPr>
          <w:tab/>
        </w:r>
        <w:r>
          <w:rPr>
            <w:webHidden/>
          </w:rPr>
          <w:fldChar w:fldCharType="begin"/>
        </w:r>
        <w:r>
          <w:rPr>
            <w:webHidden/>
          </w:rPr>
          <w:instrText xml:space="preserve"> PAGEREF _Toc145441888 \h </w:instrText>
        </w:r>
        <w:r>
          <w:rPr>
            <w:webHidden/>
          </w:rPr>
        </w:r>
        <w:r>
          <w:rPr>
            <w:webHidden/>
          </w:rPr>
          <w:fldChar w:fldCharType="separate"/>
        </w:r>
        <w:r w:rsidR="00BB629D">
          <w:rPr>
            <w:webHidden/>
          </w:rPr>
          <w:t>18</w:t>
        </w:r>
        <w:r>
          <w:rPr>
            <w:webHidden/>
          </w:rPr>
          <w:fldChar w:fldCharType="end"/>
        </w:r>
      </w:hyperlink>
    </w:p>
    <w:p w14:paraId="4293C3F5" w14:textId="3EDDAFCF" w:rsidR="00D35116" w:rsidRDefault="00D35116">
      <w:pPr>
        <w:pStyle w:val="TOC2"/>
        <w:rPr>
          <w:rFonts w:asciiTheme="minorHAnsi" w:eastAsiaTheme="minorEastAsia" w:hAnsiTheme="minorHAnsi" w:cstheme="minorBidi"/>
          <w:bCs w:val="0"/>
          <w:sz w:val="22"/>
          <w:szCs w:val="22"/>
          <w:u w:val="none"/>
          <w:lang w:val="en-GB"/>
        </w:rPr>
      </w:pPr>
      <w:hyperlink w:anchor="_Toc145441889" w:history="1">
        <w:r w:rsidRPr="00C80493">
          <w:rPr>
            <w:rStyle w:val="Hyperlink"/>
          </w:rPr>
          <w:t>10.2</w:t>
        </w:r>
        <w:r>
          <w:rPr>
            <w:rFonts w:asciiTheme="minorHAnsi" w:eastAsiaTheme="minorEastAsia" w:hAnsiTheme="minorHAnsi" w:cstheme="minorBidi"/>
            <w:bCs w:val="0"/>
            <w:sz w:val="22"/>
            <w:szCs w:val="22"/>
            <w:u w:val="none"/>
            <w:lang w:val="en-GB"/>
          </w:rPr>
          <w:tab/>
        </w:r>
        <w:r w:rsidRPr="00C80493">
          <w:rPr>
            <w:rStyle w:val="Hyperlink"/>
          </w:rPr>
          <w:t>DERECHO A LA LIBERTAD DE ASOCIACIÓN</w:t>
        </w:r>
        <w:r>
          <w:rPr>
            <w:webHidden/>
          </w:rPr>
          <w:tab/>
        </w:r>
        <w:r>
          <w:rPr>
            <w:webHidden/>
          </w:rPr>
          <w:fldChar w:fldCharType="begin"/>
        </w:r>
        <w:r>
          <w:rPr>
            <w:webHidden/>
          </w:rPr>
          <w:instrText xml:space="preserve"> PAGEREF _Toc145441889 \h </w:instrText>
        </w:r>
        <w:r>
          <w:rPr>
            <w:webHidden/>
          </w:rPr>
        </w:r>
        <w:r>
          <w:rPr>
            <w:webHidden/>
          </w:rPr>
          <w:fldChar w:fldCharType="separate"/>
        </w:r>
        <w:r w:rsidR="00BB629D">
          <w:rPr>
            <w:webHidden/>
          </w:rPr>
          <w:t>19</w:t>
        </w:r>
        <w:r>
          <w:rPr>
            <w:webHidden/>
          </w:rPr>
          <w:fldChar w:fldCharType="end"/>
        </w:r>
      </w:hyperlink>
    </w:p>
    <w:p w14:paraId="39D16898" w14:textId="1534317B" w:rsidR="00D35116" w:rsidRDefault="00D35116">
      <w:pPr>
        <w:pStyle w:val="TOC1"/>
        <w:rPr>
          <w:rFonts w:asciiTheme="minorHAnsi" w:eastAsiaTheme="minorEastAsia" w:hAnsiTheme="minorHAnsi" w:cstheme="minorBidi"/>
          <w:b w:val="0"/>
          <w:bCs w:val="0"/>
          <w:caps w:val="0"/>
          <w:color w:val="auto"/>
          <w:sz w:val="22"/>
          <w:szCs w:val="22"/>
          <w:u w:val="none"/>
          <w:lang w:val="en-GB"/>
        </w:rPr>
      </w:pPr>
      <w:hyperlink w:anchor="_Toc145441890" w:history="1">
        <w:r w:rsidRPr="00C80493">
          <w:rPr>
            <w:rStyle w:val="Hyperlink"/>
          </w:rPr>
          <w:t>11.</w:t>
        </w:r>
        <w:r>
          <w:rPr>
            <w:rFonts w:asciiTheme="minorHAnsi" w:eastAsiaTheme="minorEastAsia" w:hAnsiTheme="minorHAnsi" w:cstheme="minorBidi"/>
            <w:b w:val="0"/>
            <w:bCs w:val="0"/>
            <w:caps w:val="0"/>
            <w:color w:val="auto"/>
            <w:sz w:val="22"/>
            <w:szCs w:val="22"/>
            <w:u w:val="none"/>
            <w:lang w:val="en-GB"/>
          </w:rPr>
          <w:tab/>
        </w:r>
        <w:r w:rsidRPr="00C80493">
          <w:rPr>
            <w:rStyle w:val="Hyperlink"/>
          </w:rPr>
          <w:t>DERECHO A LA PARTICIPACIÓN EN ASUNTOS PÚBLICOS (ARTÍCULO 25)</w:t>
        </w:r>
        <w:r>
          <w:rPr>
            <w:webHidden/>
          </w:rPr>
          <w:tab/>
        </w:r>
        <w:r>
          <w:rPr>
            <w:webHidden/>
          </w:rPr>
          <w:fldChar w:fldCharType="begin"/>
        </w:r>
        <w:r>
          <w:rPr>
            <w:webHidden/>
          </w:rPr>
          <w:instrText xml:space="preserve"> PAGEREF _Toc145441890 \h </w:instrText>
        </w:r>
        <w:r>
          <w:rPr>
            <w:webHidden/>
          </w:rPr>
        </w:r>
        <w:r>
          <w:rPr>
            <w:webHidden/>
          </w:rPr>
          <w:fldChar w:fldCharType="separate"/>
        </w:r>
        <w:r w:rsidR="00BB629D">
          <w:rPr>
            <w:webHidden/>
          </w:rPr>
          <w:t>21</w:t>
        </w:r>
        <w:r>
          <w:rPr>
            <w:webHidden/>
          </w:rPr>
          <w:fldChar w:fldCharType="end"/>
        </w:r>
      </w:hyperlink>
    </w:p>
    <w:p w14:paraId="0A7E60C3" w14:textId="31A659D9" w:rsidR="003320DA" w:rsidRPr="00A7673B" w:rsidRDefault="003320DA">
      <w:r w:rsidRPr="00A7673B">
        <w:rPr>
          <w:b/>
          <w:bCs/>
        </w:rPr>
        <w:fldChar w:fldCharType="end"/>
      </w:r>
    </w:p>
    <w:p w14:paraId="2D52C2E0" w14:textId="2C14D490" w:rsidR="001153D5" w:rsidRPr="00A7673B" w:rsidRDefault="00CD3AAB" w:rsidP="001153D5">
      <w:pPr>
        <w:pStyle w:val="BBodyText"/>
        <w:rPr>
          <w:rFonts w:ascii="Amnesty Trade Gothic Cn" w:hAnsi="Amnesty Trade Gothic Cn"/>
          <w:b/>
          <w:caps/>
          <w:color w:val="000000"/>
          <w:sz w:val="17"/>
          <w:szCs w:val="22"/>
          <w:u w:val="single"/>
        </w:rPr>
      </w:pPr>
      <w:r>
        <w:rPr>
          <w:b/>
          <w:bCs w:val="0"/>
          <w:noProof/>
          <w:lang w:val="en-GB" w:eastAsia="en-GB"/>
        </w:rPr>
        <mc:AlternateContent>
          <mc:Choice Requires="wps">
            <w:drawing>
              <wp:anchor distT="0" distB="0" distL="114300" distR="114300" simplePos="0" relativeHeight="251658251" behindDoc="0" locked="1" layoutInCell="1" allowOverlap="0" wp14:anchorId="362B615E" wp14:editId="6B9C5D0C">
                <wp:simplePos x="0" y="0"/>
                <wp:positionH relativeFrom="page">
                  <wp:posOffset>2914015</wp:posOffset>
                </wp:positionH>
                <wp:positionV relativeFrom="page">
                  <wp:posOffset>7339330</wp:posOffset>
                </wp:positionV>
                <wp:extent cx="3760470" cy="2343150"/>
                <wp:effectExtent l="0" t="0" r="0" b="0"/>
                <wp:wrapNone/>
                <wp:docPr id="4" name="Text Box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760470" cy="2343150"/>
                        </a:xfrm>
                        <a:prstGeom prst="rect">
                          <a:avLst/>
                        </a:prstGeom>
                        <a:solidFill>
                          <a:sysClr val="window" lastClr="FFFFFF"/>
                        </a:solidFill>
                        <a:ln w="6350">
                          <a:noFill/>
                        </a:ln>
                      </wps:spPr>
                      <wps:txbx>
                        <w:txbxContent>
                          <w:p w14:paraId="58B40598" w14:textId="77777777" w:rsidR="007A7B29" w:rsidRPr="007A7B29" w:rsidRDefault="007A7B29" w:rsidP="007A7B29">
                            <w:pPr>
                              <w:pStyle w:val="Babstract"/>
                              <w:rPr>
                                <w:bCs/>
                                <w:sz w:val="21"/>
                                <w:szCs w:val="21"/>
                              </w:rPr>
                            </w:pPr>
                            <w:r w:rsidRPr="007A7B29">
                              <w:rPr>
                                <w:bCs/>
                                <w:sz w:val="21"/>
                                <w:szCs w:val="21"/>
                              </w:rPr>
                              <w:t xml:space="preserve">En este informe al Comité de Derechos Humanos de la ONU, Amnistía Internacional presenta sus preocupaciones relacionadas a la profundización de la crisis de derechos humanos en Venezuela desde 2014 en adelante, incluyendo el recrudecimiento de los patrones represivos y la consolidación de una política estatal para silenciar a la disidencia, compuesta principalmente de detenciones arbitrarias por motivos políticos, tortura y tratos crueles inhumanos y degradantes, desapariciones forzadas por períodos cortos, ejecuciones extrajudiciales y persecución política. Estos hechos han sido parte de ataques sistemáticos y generalizados contra la población civil, por lo que podrían catalogarse como crímenes de lesa humanidad. </w:t>
                            </w:r>
                          </w:p>
                          <w:p w14:paraId="0B830152" w14:textId="77777777" w:rsidR="00CD3AAB" w:rsidRPr="00FA7A46" w:rsidRDefault="00CD3AAB" w:rsidP="00CD3AAB">
                            <w:pPr>
                              <w:pStyle w:val="Babstract"/>
                              <w:rPr>
                                <w:sz w:val="21"/>
                                <w:szCs w:val="21"/>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2B615E" id="_x0000_t202" coordsize="21600,21600" o:spt="202" path="m,l,21600r21600,l21600,xe">
                <v:stroke joinstyle="miter"/>
                <v:path gradientshapeok="t" o:connecttype="rect"/>
              </v:shapetype>
              <v:shape id="Text Box 4" o:spid="_x0000_s1026" type="#_x0000_t202" style="position:absolute;margin-left:229.45pt;margin-top:577.9pt;width:296.1pt;height:184.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" o:allowoverlap="f" fillcolor="window" stroked="f" strokeweight=".5pt">
                <o:lock v:ext="edit" aspectratio="t"/>
                <v:textbox>
                  <w:txbxContent>
                    <w:p w14:paraId="58B40598" w14:textId="77777777" w:rsidR="007A7B29" w:rsidRPr="007A7B29" w:rsidRDefault="007A7B29" w:rsidP="007A7B29">
                      <w:pPr>
                        <w:pStyle w:val="Babstract"/>
                        <w:rPr>
                          <w:bCs/>
                          <w:sz w:val="21"/>
                          <w:szCs w:val="21"/>
                        </w:rPr>
                      </w:pPr>
                      <w:r w:rsidRPr="007A7B29">
                        <w:rPr>
                          <w:bCs/>
                          <w:sz w:val="21"/>
                          <w:szCs w:val="21"/>
                        </w:rPr>
                        <w:t xml:space="preserve">En este informe al Comité de Derechos Humanos de la ONU, Amnistía Internacional presenta sus preocupaciones relacionadas a la profundización de la crisis de derechos humanos en Venezuela desde 2014 en adelante, incluyendo el recrudecimiento de los patrones represivos y la consolidación de una política estatal para silenciar a la disidencia, compuesta principalmente de detenciones arbitrarias por motivos políticos, tortura y tratos crueles inhumanos y degradantes, desapariciones forzadas por períodos cortos, ejecuciones extrajudiciales y persecución política. Estos hechos han sido parte de ataques sistemáticos y generalizados contra la población civil, por lo que podrían catalogarse como crímenes de lesa humanidad. </w:t>
                      </w:r>
                    </w:p>
                    <w:p w14:paraId="0B830152" w14:textId="77777777" w:rsidR="00CD3AAB" w:rsidRPr="00FA7A46" w:rsidRDefault="00CD3AAB" w:rsidP="00CD3AAB">
                      <w:pPr>
                        <w:pStyle w:val="Babstract"/>
                        <w:rPr>
                          <w:sz w:val="21"/>
                          <w:szCs w:val="21"/>
                        </w:rPr>
                      </w:pPr>
                    </w:p>
                  </w:txbxContent>
                </v:textbox>
                <w10:wrap anchorx="page" anchory="page"/>
                <w10:anchorlock/>
              </v:shape>
            </w:pict>
          </mc:Fallback>
        </mc:AlternateContent>
      </w:r>
    </w:p>
    <w:p w14:paraId="5B0AE164" w14:textId="0050D857" w:rsidR="00776153" w:rsidRPr="00A7673B" w:rsidRDefault="00776153" w:rsidP="001153D5">
      <w:pPr>
        <w:pStyle w:val="BBodyText"/>
        <w:rPr>
          <w:caps/>
        </w:rPr>
      </w:pPr>
    </w:p>
    <w:p w14:paraId="4B75A73F" w14:textId="1AF87F06" w:rsidR="00782D47" w:rsidRPr="00A7673B" w:rsidRDefault="00BE16B2">
      <w:r w:rsidRPr="00A7673B">
        <w:br w:type="page"/>
      </w:r>
    </w:p>
    <w:p w14:paraId="7B9E07A1" w14:textId="100FFC4B" w:rsidR="00B14895" w:rsidRPr="00A7673B" w:rsidRDefault="00B11CB2" w:rsidP="00D35116">
      <w:pPr>
        <w:pStyle w:val="BNumberedHeading"/>
        <w:spacing w:line="240" w:lineRule="auto"/>
      </w:pPr>
      <w:bookmarkStart w:id="0" w:name="_Toc74236202"/>
      <w:bookmarkStart w:id="1" w:name="_Hlk97144843"/>
      <w:bookmarkStart w:id="2" w:name="_Toc145441854"/>
      <w:bookmarkEnd w:id="0"/>
      <w:bookmarkEnd w:id="1"/>
      <w:r w:rsidRPr="00A7673B">
        <w:t>INTRODUCCIÓN</w:t>
      </w:r>
      <w:bookmarkEnd w:id="2"/>
    </w:p>
    <w:p w14:paraId="63BF2F48" w14:textId="76E5E83C" w:rsidR="00CD20D4" w:rsidRDefault="000B7F13" w:rsidP="00B14895">
      <w:pPr>
        <w:pStyle w:val="BBodyText"/>
      </w:pPr>
      <w:r w:rsidRPr="00123DB0">
        <w:t xml:space="preserve">Amnistía Internacional ha documentado la profundización de la crisis de derechos humanos en Venezuela desde 2014 en adelante y ha podido constatar el recrudecimiento de los patrones represivos y la consolidación de una política estatal </w:t>
      </w:r>
      <w:r w:rsidR="005E26AC" w:rsidRPr="00123DB0">
        <w:t xml:space="preserve">para silenciar a la disidencia, compuesta </w:t>
      </w:r>
      <w:r w:rsidR="00123DB0" w:rsidRPr="00123DB0">
        <w:t>principalmente</w:t>
      </w:r>
      <w:r w:rsidR="005E26AC" w:rsidRPr="00123DB0">
        <w:t xml:space="preserve"> de detenciones arbitrarias por motivos políticos, tortura y tratos crueles inhumanos y degradantes, desapariciones forzadas por períodos cortos, ejecuciones extrajudiciales</w:t>
      </w:r>
      <w:r w:rsidR="00123DB0" w:rsidRPr="00123DB0">
        <w:t xml:space="preserve"> y persecución política. Estos hechos han sido parte de ataques sistemáticos y generalizados contra la población civil, por lo que podrían catalogarse como crímenes de lesa humanidad. </w:t>
      </w:r>
    </w:p>
    <w:p w14:paraId="27D573DA" w14:textId="520EA57B" w:rsidR="00123DB0" w:rsidRDefault="00123DB0" w:rsidP="00B14895">
      <w:pPr>
        <w:pStyle w:val="BBodyText"/>
      </w:pPr>
      <w:r>
        <w:t xml:space="preserve">En los últimos años el Consejo de Derechos Humanos ha tenido un rol fundamental en la veeduría de la situación de derechos humanos en Venezuela, otorgándole varios mandatos consecutivos y coexistentes a la </w:t>
      </w:r>
      <w:r w:rsidR="001D4C9A">
        <w:t xml:space="preserve">Oficina del Alto </w:t>
      </w:r>
      <w:r w:rsidR="00D73EF5">
        <w:t>Comisionado</w:t>
      </w:r>
      <w:r w:rsidR="001D4C9A">
        <w:t xml:space="preserve"> para los Derechos Humanos de las Naciones Unidas y a la creación de una Misión Internacional e Independiente de Determinación de los Hechos con el objetivo de </w:t>
      </w:r>
      <w:r w:rsidR="00723FEC">
        <w:t xml:space="preserve">apuntar a la rendición de cuentas por las graves violaciones de derechos humanos que ocurren en el país. </w:t>
      </w:r>
    </w:p>
    <w:p w14:paraId="1292536C" w14:textId="6BB15C58" w:rsidR="009823F4" w:rsidRDefault="009823F4" w:rsidP="00B14895">
      <w:pPr>
        <w:pStyle w:val="BBodyText"/>
      </w:pPr>
      <w:r>
        <w:t>Amnistía Internacional observó la lista de cuestiones establecida por este Comité como prioritarias para la revisión del cumplimiento de Venezuela de sus obligaciones de acuerdo con el Pacto Internacional de Derechos Civiles y Políticos, y analizó la información aportada por el Estado en su escrito</w:t>
      </w:r>
      <w:r w:rsidR="0004244C">
        <w:t xml:space="preserve"> de </w:t>
      </w:r>
      <w:r w:rsidR="00BD6DB8">
        <w:t xml:space="preserve">respuesta a la lista de cuestiones del mayo de 2023. </w:t>
      </w:r>
    </w:p>
    <w:p w14:paraId="7F8EA6BD" w14:textId="4C2529C9" w:rsidR="00482952" w:rsidRDefault="00482952" w:rsidP="00B14895">
      <w:pPr>
        <w:pStyle w:val="BBodyText"/>
      </w:pPr>
      <w:r>
        <w:t xml:space="preserve">La organización </w:t>
      </w:r>
      <w:r w:rsidR="00C45860">
        <w:t>comentará esta información y ofrecerá recomendaciones al respecto</w:t>
      </w:r>
      <w:r>
        <w:t xml:space="preserve">. </w:t>
      </w:r>
    </w:p>
    <w:p w14:paraId="3997CB83" w14:textId="44444CCE" w:rsidR="008900B2" w:rsidRPr="00A7673B" w:rsidRDefault="00B11CB2" w:rsidP="005F0B45">
      <w:pPr>
        <w:pStyle w:val="BNumberedHeading"/>
      </w:pPr>
      <w:bookmarkStart w:id="3" w:name="_Toc145413276"/>
      <w:bookmarkStart w:id="4" w:name="_Toc145441855"/>
      <w:bookmarkEnd w:id="3"/>
      <w:r w:rsidRPr="00A7673B">
        <w:t>MARCO CONSTITUCIONAL Y JURÍDICO DE LA APLICACIÓN DEL PACTO</w:t>
      </w:r>
      <w:r w:rsidR="00E0405D" w:rsidRPr="00A7673B">
        <w:t xml:space="preserve"> (</w:t>
      </w:r>
      <w:r w:rsidR="00CB7434" w:rsidRPr="00A7673B">
        <w:t>ARTÍCULO</w:t>
      </w:r>
      <w:r w:rsidR="00A36B3C" w:rsidRPr="00A7673B">
        <w:t xml:space="preserve"> 2</w:t>
      </w:r>
      <w:r w:rsidR="00017DE4" w:rsidRPr="00A7673B">
        <w:t>)</w:t>
      </w:r>
      <w:bookmarkEnd w:id="4"/>
    </w:p>
    <w:p w14:paraId="02387E21" w14:textId="77777777" w:rsidR="007D3F55" w:rsidRPr="00A7673B" w:rsidRDefault="007D3F55" w:rsidP="007D3F55"/>
    <w:p w14:paraId="06748E3E" w14:textId="130B404F" w:rsidR="007D3F55" w:rsidRPr="00A7673B" w:rsidRDefault="007D3F55" w:rsidP="007D3F55">
      <w:r w:rsidRPr="00A7673B">
        <w:t xml:space="preserve">Venezuela continúa sin publicar el Plan Nacional de Derechos Humanos, y tampoco ha hecho disponible para la sociedad civil y las organizaciones de derechos humanos los indicadores que </w:t>
      </w:r>
      <w:r w:rsidR="003157CD" w:rsidRPr="00A7673B">
        <w:t xml:space="preserve">ha remitido al Comité en el presente proceso de revisión. Desde la revisión anterior en el año 2015 Amnistía Internacional señaló la importancia de que el Plan Nacional de Derechos Humanos </w:t>
      </w:r>
      <w:r w:rsidR="00A9160A" w:rsidRPr="00A7673B">
        <w:t xml:space="preserve">sea público y ampliamente difundido y </w:t>
      </w:r>
      <w:r w:rsidR="003157CD" w:rsidRPr="00A7673B">
        <w:t xml:space="preserve">cuente con indicadores específicos </w:t>
      </w:r>
      <w:r w:rsidR="00A9160A" w:rsidRPr="00A7673B">
        <w:t xml:space="preserve">que </w:t>
      </w:r>
      <w:r w:rsidR="003157CD" w:rsidRPr="00A7673B">
        <w:t xml:space="preserve">estén disponibles para el escrutinio por parte de organizaciones de sociedad civil. </w:t>
      </w:r>
    </w:p>
    <w:p w14:paraId="4F75AE1E" w14:textId="77777777" w:rsidR="00A9160A" w:rsidRPr="00A7673B" w:rsidRDefault="00A9160A" w:rsidP="007D3F55"/>
    <w:p w14:paraId="7306E4DE" w14:textId="77777777" w:rsidR="00501AAE" w:rsidRPr="00A7673B" w:rsidRDefault="00A9160A" w:rsidP="00501AAE">
      <w:r w:rsidRPr="00A7673B">
        <w:t xml:space="preserve">La Defensoría del Pueblo en Venezuela sigue cuestionada por su falta de independencia de otros poderes públicos. A la organización le preocupa que el rol de denuncia y promoción de los derechos humanos en Venezuela </w:t>
      </w:r>
      <w:r w:rsidR="00501AAE" w:rsidRPr="00A7673B">
        <w:t xml:space="preserve">no esté liderado por la Defensoría del Pueblo. </w:t>
      </w:r>
    </w:p>
    <w:p w14:paraId="58EE7641" w14:textId="77777777" w:rsidR="00501AAE" w:rsidRPr="00A7673B" w:rsidRDefault="00501AAE" w:rsidP="00501AAE"/>
    <w:p w14:paraId="36D95787" w14:textId="299E26BB" w:rsidR="00501AAE" w:rsidRPr="00A7673B" w:rsidRDefault="00E0554F" w:rsidP="00501AAE">
      <w:r w:rsidRPr="00A7673B">
        <w:t xml:space="preserve">Respecto del marco institucional a Amnistía Internacional le preocupa el cierre del espacio cívico, los ataques, estigmatizaciones y criminalización de personas defensoras de derechos humanos y en general de cualquier persona, con fines políticos por parte de las autoridades. </w:t>
      </w:r>
    </w:p>
    <w:p w14:paraId="6DE00793" w14:textId="77777777" w:rsidR="00DC1478" w:rsidRPr="00A7673B" w:rsidRDefault="00DC1478" w:rsidP="00501AAE"/>
    <w:p w14:paraId="603381BA" w14:textId="77777777" w:rsidR="002F0766" w:rsidRPr="00A7673B" w:rsidRDefault="00333068" w:rsidP="00501AAE">
      <w:r w:rsidRPr="00A7673B">
        <w:t>Muchas personas son detenidas arbitrariamente por motivos políticos y llevadas ante</w:t>
      </w:r>
      <w:r w:rsidR="00DC1478" w:rsidRPr="00A7673B">
        <w:t xml:space="preserve"> tribunales con competencia especial en terrorismo</w:t>
      </w:r>
      <w:r w:rsidRPr="00A7673B">
        <w:t>, en los que se les aplica</w:t>
      </w:r>
      <w:r w:rsidR="00DC1478" w:rsidRPr="00A7673B">
        <w:t xml:space="preserve"> la</w:t>
      </w:r>
      <w:r w:rsidR="00A0082A" w:rsidRPr="00A7673B">
        <w:t xml:space="preserve"> Ley Orgánica en contra de la Financiación al Terrorismo</w:t>
      </w:r>
      <w:r w:rsidR="00200B90" w:rsidRPr="00A7673B">
        <w:t xml:space="preserve">, la cual tiene un amplio margen de discrecionalidad </w:t>
      </w:r>
      <w:r w:rsidR="002F0766" w:rsidRPr="00A7673B">
        <w:t xml:space="preserve">con penas sumamente severas. </w:t>
      </w:r>
    </w:p>
    <w:p w14:paraId="540D94AB" w14:textId="77777777" w:rsidR="002F0766" w:rsidRPr="00A7673B" w:rsidRDefault="002F0766" w:rsidP="00501AAE"/>
    <w:p w14:paraId="08E784E0" w14:textId="49CAB73E" w:rsidR="00DC1478" w:rsidRPr="00A7673B" w:rsidRDefault="002F0766" w:rsidP="00501AAE">
      <w:r w:rsidRPr="00A7673B">
        <w:t xml:space="preserve">Asimismo, varias iniciativas legales han sido </w:t>
      </w:r>
      <w:r w:rsidR="00B84686" w:rsidRPr="00A7673B">
        <w:t xml:space="preserve">impulsadas dentro de la Asamblea Nacional con el fin de supervisar y controlar a las organizaciones de sociedad civil. A Amnistía Internacional le preocupa particularmente la posible aprobación de la Ley de Cooperación Internacional y de la Ley para la Regularización y Fiscalización de </w:t>
      </w:r>
      <w:r w:rsidR="003D20EE" w:rsidRPr="00A7673B">
        <w:t>la Sociedad Civil</w:t>
      </w:r>
      <w:r w:rsidR="006117DE" w:rsidRPr="00A7673B">
        <w:t xml:space="preserve"> (ver abajo)</w:t>
      </w:r>
      <w:r w:rsidR="003D20EE" w:rsidRPr="00A7673B">
        <w:t xml:space="preserve">, que pondría </w:t>
      </w:r>
      <w:r w:rsidR="5BA40F88" w:rsidRPr="00A7673B">
        <w:t>en</w:t>
      </w:r>
      <w:r w:rsidR="003D20EE" w:rsidRPr="00A7673B">
        <w:t xml:space="preserve"> alto riesgo el funcionamiento de las organizaciones de defensa y promoción de los derechos humanos y de trabajo humanitario, a las personas defensoras de derechos humanos y a las víctimas y sobrevivientes de violaciones de derechos humanos.</w:t>
      </w:r>
      <w:r w:rsidR="0087334F">
        <w:rPr>
          <w:rStyle w:val="FootnoteReference"/>
        </w:rPr>
        <w:footnoteReference w:id="2"/>
      </w:r>
      <w:r w:rsidR="003D20EE" w:rsidRPr="00A7673B">
        <w:t xml:space="preserve"> </w:t>
      </w:r>
    </w:p>
    <w:p w14:paraId="4F72929B" w14:textId="77777777" w:rsidR="00501AAE" w:rsidRPr="00A7673B" w:rsidRDefault="00501AAE" w:rsidP="00501AAE"/>
    <w:p w14:paraId="5796E5DD" w14:textId="0BE56061" w:rsidR="00F270E6" w:rsidRPr="00A7673B" w:rsidRDefault="00F270E6" w:rsidP="00501AAE">
      <w:r w:rsidRPr="00A7673B">
        <w:t xml:space="preserve">Amnistía Internacional reconoce como un logro de este período bajo revisión </w:t>
      </w:r>
      <w:r w:rsidR="004B2D29" w:rsidRPr="00A7673B">
        <w:t>la reforma al Código de Justicia Militar publicada en septiembre de 2021 mediante la cual se reconoce el principio de juez natural y se excluye a civiles de la jurisdicción militar.</w:t>
      </w:r>
      <w:r w:rsidR="00493341" w:rsidRPr="00A7673B">
        <w:rPr>
          <w:rStyle w:val="FootnoteReference"/>
        </w:rPr>
        <w:footnoteReference w:id="3"/>
      </w:r>
      <w:r w:rsidR="004B2D29" w:rsidRPr="00A7673B">
        <w:t xml:space="preserve"> </w:t>
      </w:r>
    </w:p>
    <w:p w14:paraId="2D06C63B" w14:textId="77777777" w:rsidR="00EE386C" w:rsidRDefault="00EE386C" w:rsidP="00EA28D8">
      <w:pPr>
        <w:pStyle w:val="BBodyText"/>
      </w:pPr>
    </w:p>
    <w:p w14:paraId="1BBF0819" w14:textId="489591CA" w:rsidR="00941EDC" w:rsidRDefault="00082129" w:rsidP="00EA28D8">
      <w:pPr>
        <w:pStyle w:val="BBodyText"/>
      </w:pPr>
      <w:r>
        <w:t>Amnistía Internacional recomienda</w:t>
      </w:r>
      <w:r w:rsidR="004F0443">
        <w:t xml:space="preserve"> al Estado venezolano que:</w:t>
      </w:r>
    </w:p>
    <w:p w14:paraId="7430F32D" w14:textId="4AA4ED1F" w:rsidR="004F0443" w:rsidRDefault="004F0443" w:rsidP="0016514B">
      <w:pPr>
        <w:pStyle w:val="BBodyText"/>
        <w:numPr>
          <w:ilvl w:val="0"/>
          <w:numId w:val="18"/>
        </w:numPr>
      </w:pPr>
      <w:r>
        <w:t xml:space="preserve">Publique el Plan Nacional de Derechos Humanos a la brevedad posible </w:t>
      </w:r>
      <w:r w:rsidR="0016514B">
        <w:t>y se establezcan indicadores en conjunto con la sociedad civil sobre su implementación y cumplimiento</w:t>
      </w:r>
      <w:r w:rsidR="00025B1C">
        <w:t>.</w:t>
      </w:r>
    </w:p>
    <w:p w14:paraId="402C6EC3" w14:textId="7CEAB521" w:rsidR="0016514B" w:rsidRDefault="00B468B1" w:rsidP="0016514B">
      <w:pPr>
        <w:pStyle w:val="BBodyText"/>
        <w:numPr>
          <w:ilvl w:val="0"/>
          <w:numId w:val="18"/>
        </w:numPr>
      </w:pPr>
      <w:r>
        <w:t>Se garantice la independencia e imparcialidad de la Defensoría del Pueblo</w:t>
      </w:r>
      <w:r w:rsidR="00025B1C">
        <w:t>.</w:t>
      </w:r>
    </w:p>
    <w:p w14:paraId="687E4308" w14:textId="77777777" w:rsidR="0047484E" w:rsidRDefault="00025B1C" w:rsidP="0016514B">
      <w:pPr>
        <w:pStyle w:val="BBodyText"/>
        <w:numPr>
          <w:ilvl w:val="0"/>
          <w:numId w:val="18"/>
        </w:numPr>
      </w:pPr>
      <w:r>
        <w:t>Se deje sin efecto y se desmantele la política de represión orquestada por los distintos poderes públicos y encabezada por el poder ejecutivo, poder judicial y poder legislativo.</w:t>
      </w:r>
    </w:p>
    <w:p w14:paraId="02DAD476" w14:textId="77777777" w:rsidR="0001155E" w:rsidRDefault="001651AD" w:rsidP="0016514B">
      <w:pPr>
        <w:pStyle w:val="BBodyText"/>
        <w:numPr>
          <w:ilvl w:val="0"/>
          <w:numId w:val="18"/>
        </w:numPr>
      </w:pPr>
      <w:r>
        <w:t>Se restrinja al máximo la interpretación y aplicación de la Ley Orgánica en contra de la Financiación al Terrorismo</w:t>
      </w:r>
      <w:r w:rsidR="0001155E">
        <w:t xml:space="preserve"> y se definan claramente y a través de las vías legales previstas para ello, la asignación de competencias en esta materia. </w:t>
      </w:r>
    </w:p>
    <w:p w14:paraId="0B84890A" w14:textId="3D675D9F" w:rsidR="00941EDC" w:rsidRDefault="0001155E" w:rsidP="00A20013">
      <w:pPr>
        <w:pStyle w:val="BBodyText"/>
        <w:numPr>
          <w:ilvl w:val="0"/>
          <w:numId w:val="18"/>
        </w:numPr>
      </w:pPr>
      <w:r>
        <w:t>Se desista de iniciar</w:t>
      </w:r>
      <w:r w:rsidR="008178EA">
        <w:t xml:space="preserve"> o continuar discusiones en el poder legislativo sobre proyectos de ley que continúen menoscabando </w:t>
      </w:r>
      <w:r w:rsidR="00EA28D8">
        <w:t>la defensa de derechos humanos y el derecho a la libertad de asociación.</w:t>
      </w:r>
    </w:p>
    <w:p w14:paraId="761EE799" w14:textId="4123E67A" w:rsidR="00B02B89" w:rsidRPr="00A7673B" w:rsidRDefault="000042ED" w:rsidP="005F0B45">
      <w:pPr>
        <w:pStyle w:val="BNumberedHeading"/>
      </w:pPr>
      <w:bookmarkStart w:id="5" w:name="_Toc145413278"/>
      <w:bookmarkStart w:id="6" w:name="_Toc145441856"/>
      <w:bookmarkEnd w:id="5"/>
      <w:r w:rsidRPr="00A7673B">
        <w:t>NO DISCRIMINACIÓN</w:t>
      </w:r>
      <w:r w:rsidR="00C26DBD" w:rsidRPr="00A7673B">
        <w:t xml:space="preserve"> </w:t>
      </w:r>
      <w:r w:rsidR="00D65B18">
        <w:t>(Artículo 26)</w:t>
      </w:r>
      <w:bookmarkEnd w:id="6"/>
    </w:p>
    <w:p w14:paraId="04C6690D" w14:textId="694C9B06" w:rsidR="000042ED" w:rsidRDefault="00F22CD2" w:rsidP="00B02B89">
      <w:pPr>
        <w:pStyle w:val="BBodyText"/>
      </w:pPr>
      <w:r w:rsidRPr="00A7673B">
        <w:t xml:space="preserve">En el período bajo revisión poblaciones vulnerables </w:t>
      </w:r>
      <w:r w:rsidR="00292FC4" w:rsidRPr="00A7673B">
        <w:t xml:space="preserve">o de categorías sospechosas de discriminación continuaron siendo objeto de un trato diferenciado que afectó el acceso de estos grupos a sus derechos humanos. </w:t>
      </w:r>
    </w:p>
    <w:p w14:paraId="058C2A44" w14:textId="5E13F603" w:rsidR="0076051A" w:rsidRPr="00A7673B" w:rsidRDefault="001C4A1E" w:rsidP="005F0B45">
      <w:pPr>
        <w:pStyle w:val="BNumberedSubheading"/>
      </w:pPr>
      <w:bookmarkStart w:id="7" w:name="_Toc145441857"/>
      <w:r>
        <w:t>PERSONAS LGTBIQ+</w:t>
      </w:r>
      <w:bookmarkEnd w:id="7"/>
    </w:p>
    <w:p w14:paraId="2FED40FC" w14:textId="5809EAC0" w:rsidR="00F22CD2" w:rsidRPr="005C5263" w:rsidRDefault="00C900DC" w:rsidP="00B02B89">
      <w:pPr>
        <w:pStyle w:val="BBodyText"/>
      </w:pPr>
      <w:r w:rsidRPr="00A7673B">
        <w:t>Amnistía Internacional reconoce la anulación de</w:t>
      </w:r>
      <w:r w:rsidR="008D3934" w:rsidRPr="00A7673B">
        <w:t xml:space="preserve"> un apartado discriminatorio del Código de Justicia Militar por parte del Tribunal Supremo de Justicia, en el que se inaplica la sanción en contra de personas que sean parte del estamento militar y que tuvieran relaciones con personas del mismo sexo.</w:t>
      </w:r>
      <w:r w:rsidR="00CF61AE" w:rsidRPr="00A7673B">
        <w:rPr>
          <w:rStyle w:val="FootnoteReference"/>
        </w:rPr>
        <w:footnoteReference w:id="4"/>
      </w:r>
      <w:r w:rsidR="008D3934" w:rsidRPr="00A7673B">
        <w:t xml:space="preserve"> No obstante, e</w:t>
      </w:r>
      <w:r w:rsidR="004C5F7E" w:rsidRPr="00A7673B">
        <w:t xml:space="preserve">l 23 de julio de 2023, 33 hombres gay fueron detenidos arbitrariamente </w:t>
      </w:r>
      <w:r w:rsidR="00C658B1" w:rsidRPr="00A7673B">
        <w:t xml:space="preserve">en la ciudad de Valencia, estado Carabobo, </w:t>
      </w:r>
      <w:r w:rsidR="00142F1D" w:rsidRPr="00A7673B">
        <w:t>en una sauna de esta localidad.</w:t>
      </w:r>
      <w:r w:rsidR="00CF1939" w:rsidRPr="00A7673B">
        <w:rPr>
          <w:rStyle w:val="FootnoteReference"/>
        </w:rPr>
        <w:footnoteReference w:id="5"/>
      </w:r>
      <w:r w:rsidR="00142F1D" w:rsidRPr="00A7673B">
        <w:t xml:space="preserve"> A Amnistía Internacional le preocupa particularmente la imputación </w:t>
      </w:r>
      <w:r w:rsidR="004E1A06" w:rsidRPr="00A7673B">
        <w:t xml:space="preserve">por delitos de: ultraje al pudor, agavillamiento y contaminación sónica. </w:t>
      </w:r>
      <w:r w:rsidR="0096725D" w:rsidRPr="00A7673B">
        <w:t>La causa fue sobreseída semanas después</w:t>
      </w:r>
      <w:r w:rsidR="00A92313" w:rsidRPr="00A7673B">
        <w:t>.</w:t>
      </w:r>
      <w:r w:rsidR="00F81E42" w:rsidRPr="00A7673B">
        <w:t xml:space="preserve"> </w:t>
      </w:r>
    </w:p>
    <w:p w14:paraId="03D8BD57" w14:textId="720CC75C" w:rsidR="001C4A1E" w:rsidRDefault="001C4A1E" w:rsidP="005F0B45">
      <w:pPr>
        <w:pStyle w:val="BNumberedSubheading"/>
      </w:pPr>
      <w:bookmarkStart w:id="8" w:name="_Toc145441858"/>
      <w:r>
        <w:t>PUEBLOS INDÍGENAS</w:t>
      </w:r>
      <w:bookmarkEnd w:id="8"/>
    </w:p>
    <w:p w14:paraId="3595569F" w14:textId="6ABEECDE" w:rsidR="001C4A1E" w:rsidRPr="001C4A1E" w:rsidRDefault="001C4A1E" w:rsidP="001C4A1E">
      <w:pPr>
        <w:pStyle w:val="BBodyText"/>
        <w:rPr>
          <w:lang w:val="es-MX"/>
        </w:rPr>
      </w:pPr>
      <w:r>
        <w:rPr>
          <w:lang w:val="es-MX"/>
        </w:rPr>
        <w:t>En el período bajo revisión l</w:t>
      </w:r>
      <w:r w:rsidRPr="001C4A1E">
        <w:rPr>
          <w:lang w:val="es-MX"/>
        </w:rPr>
        <w:t>a minería ilegal que se practicaba en la zona del Arco Minero del Orinoco</w:t>
      </w:r>
      <w:r>
        <w:rPr>
          <w:rStyle w:val="FootnoteReference"/>
          <w:lang w:val="es-MX"/>
        </w:rPr>
        <w:footnoteReference w:id="6"/>
      </w:r>
      <w:r w:rsidRPr="001C4A1E">
        <w:rPr>
          <w:lang w:val="es-MX"/>
        </w:rPr>
        <w:t xml:space="preserve"> afectaba seriamente a los derechos humanos en el estado Bolívar, sobre todo al derecho de los </w:t>
      </w:r>
      <w:r w:rsidR="00F34C73">
        <w:rPr>
          <w:lang w:val="es-MX"/>
        </w:rPr>
        <w:t>P</w:t>
      </w:r>
      <w:r w:rsidRPr="001C4A1E">
        <w:rPr>
          <w:lang w:val="es-MX"/>
        </w:rPr>
        <w:t xml:space="preserve">ueblos </w:t>
      </w:r>
      <w:r w:rsidR="00F34C73">
        <w:rPr>
          <w:lang w:val="es-MX"/>
        </w:rPr>
        <w:t>I</w:t>
      </w:r>
      <w:r w:rsidRPr="001C4A1E">
        <w:rPr>
          <w:lang w:val="es-MX"/>
        </w:rPr>
        <w:t>ndígenas a la libre determinación y a un medioambiente saludable</w:t>
      </w:r>
      <w:r>
        <w:rPr>
          <w:lang w:val="es-MX"/>
        </w:rPr>
        <w:t>. L</w:t>
      </w:r>
      <w:r w:rsidRPr="001C4A1E">
        <w:rPr>
          <w:lang w:val="es-MX"/>
        </w:rPr>
        <w:t>a</w:t>
      </w:r>
      <w:r w:rsidR="00F34C73">
        <w:rPr>
          <w:lang w:val="es-MX"/>
        </w:rPr>
        <w:t xml:space="preserve"> Misión Internacional e Independiente de Determinación de los Hechos de las Naciones Unidas (</w:t>
      </w:r>
      <w:r>
        <w:rPr>
          <w:lang w:val="es-MX"/>
        </w:rPr>
        <w:t>MIIDH</w:t>
      </w:r>
      <w:r w:rsidR="00F34C73">
        <w:rPr>
          <w:lang w:val="es-MX"/>
        </w:rPr>
        <w:t>)</w:t>
      </w:r>
      <w:r w:rsidRPr="001C4A1E">
        <w:rPr>
          <w:lang w:val="es-MX"/>
        </w:rPr>
        <w:t xml:space="preserve"> documentó los graves abusos y violaciones de derechos humanos que se cometían en el Arco y señaló la connivencia de algunas autoridades estatales con los grupos delictivos que actuaban en las zonas mineras —y en ocasiones las controlaban— y la falta de investigación y castigo de las personas responsables de esos actos.</w:t>
      </w:r>
    </w:p>
    <w:p w14:paraId="3D28DF9D" w14:textId="35B81FF2" w:rsidR="001C4A1E" w:rsidRPr="001C4A1E" w:rsidRDefault="00B20871" w:rsidP="001C4A1E">
      <w:pPr>
        <w:pStyle w:val="BBodyText"/>
        <w:rPr>
          <w:lang w:val="es-MX"/>
        </w:rPr>
      </w:pPr>
      <w:r>
        <w:rPr>
          <w:lang w:val="es-MX"/>
        </w:rPr>
        <w:t>Debido a la alta conflictividad en la zona</w:t>
      </w:r>
      <w:r w:rsidR="00255835">
        <w:rPr>
          <w:lang w:val="es-MX"/>
        </w:rPr>
        <w:t xml:space="preserve"> sur del país y en los territorios indígenas</w:t>
      </w:r>
      <w:r>
        <w:rPr>
          <w:lang w:val="es-MX"/>
        </w:rPr>
        <w:t>, se han registrado muertes de personas indígenas</w:t>
      </w:r>
      <w:r w:rsidR="006A6D8F">
        <w:rPr>
          <w:lang w:val="es-MX"/>
        </w:rPr>
        <w:t>, por ejemplo</w:t>
      </w:r>
      <w:r w:rsidR="00EC63DF">
        <w:rPr>
          <w:lang w:val="es-MX"/>
        </w:rPr>
        <w:t>,</w:t>
      </w:r>
      <w:r w:rsidR="006A6D8F">
        <w:rPr>
          <w:lang w:val="es-MX"/>
        </w:rPr>
        <w:t xml:space="preserve"> en el caso de los eventos de Parima B en 2022, donde </w:t>
      </w:r>
      <w:r w:rsidR="001C4A1E" w:rsidRPr="001C4A1E">
        <w:rPr>
          <w:lang w:val="es-MX"/>
        </w:rPr>
        <w:t>cuatro personas indígenas</w:t>
      </w:r>
      <w:r w:rsidR="00AA4CFE">
        <w:rPr>
          <w:lang w:val="es-MX"/>
        </w:rPr>
        <w:t xml:space="preserve"> resultaron muertas</w:t>
      </w:r>
      <w:r w:rsidR="00810DD8">
        <w:rPr>
          <w:lang w:val="es-MX"/>
        </w:rPr>
        <w:t xml:space="preserve"> y otras fueron lesionadas</w:t>
      </w:r>
      <w:r w:rsidR="001C4A1E" w:rsidRPr="001C4A1E">
        <w:rPr>
          <w:lang w:val="es-MX"/>
        </w:rPr>
        <w:t>.</w:t>
      </w:r>
      <w:r w:rsidR="00E61B32">
        <w:rPr>
          <w:rStyle w:val="FootnoteReference"/>
          <w:lang w:val="es-MX"/>
        </w:rPr>
        <w:footnoteReference w:id="7"/>
      </w:r>
      <w:r w:rsidR="001C4A1E" w:rsidRPr="001C4A1E">
        <w:rPr>
          <w:lang w:val="es-MX"/>
        </w:rPr>
        <w:t xml:space="preserve"> </w:t>
      </w:r>
    </w:p>
    <w:p w14:paraId="6417594F" w14:textId="70E1387F" w:rsidR="001C4A1E" w:rsidRPr="001C4A1E" w:rsidRDefault="001C4A1E" w:rsidP="001C4A1E">
      <w:pPr>
        <w:pStyle w:val="BBodyText"/>
      </w:pPr>
      <w:r w:rsidRPr="001C4A1E">
        <w:rPr>
          <w:lang w:val="es-MX"/>
        </w:rPr>
        <w:t>En junio</w:t>
      </w:r>
      <w:r w:rsidR="00DB0412">
        <w:rPr>
          <w:lang w:val="es-MX"/>
        </w:rPr>
        <w:t xml:space="preserve"> de 2022</w:t>
      </w:r>
      <w:r w:rsidRPr="001C4A1E">
        <w:rPr>
          <w:lang w:val="es-MX"/>
        </w:rPr>
        <w:t>, el líder indígena y defensor del territorio, la tierra y el medioambiente Virgilio Trujillo fue asesinado en la ciudad de Puerto Ayacucho, capital del estado Amazonas.</w:t>
      </w:r>
      <w:r w:rsidR="008259EF">
        <w:rPr>
          <w:rStyle w:val="FootnoteReference"/>
          <w:lang w:val="es-MX"/>
        </w:rPr>
        <w:footnoteReference w:id="8"/>
      </w:r>
      <w:r w:rsidRPr="001C4A1E">
        <w:rPr>
          <w:lang w:val="es-MX"/>
        </w:rPr>
        <w:t xml:space="preserve"> No se tuvo conocimiento de que se hubiera realizado ningún avance</w:t>
      </w:r>
      <w:r w:rsidR="00255835">
        <w:rPr>
          <w:lang w:val="es-MX"/>
        </w:rPr>
        <w:t xml:space="preserve"> en </w:t>
      </w:r>
      <w:r w:rsidRPr="001C4A1E">
        <w:rPr>
          <w:lang w:val="es-MX"/>
        </w:rPr>
        <w:t>la investigación de su muerte.</w:t>
      </w:r>
    </w:p>
    <w:p w14:paraId="58887710" w14:textId="62A35FB7" w:rsidR="00C55734" w:rsidRDefault="00C55734" w:rsidP="00B02B89">
      <w:pPr>
        <w:pStyle w:val="BBodyText"/>
      </w:pPr>
      <w:r>
        <w:t>Amnistía Internacional recomienda al Estado venezolano que:</w:t>
      </w:r>
    </w:p>
    <w:p w14:paraId="5032145B" w14:textId="75C45795" w:rsidR="00C55734" w:rsidRDefault="00083132" w:rsidP="00C55734">
      <w:pPr>
        <w:pStyle w:val="BBodyText"/>
        <w:numPr>
          <w:ilvl w:val="0"/>
          <w:numId w:val="19"/>
        </w:numPr>
      </w:pPr>
      <w:r>
        <w:t xml:space="preserve">Se abstenga de discriminar a las poblaciones </w:t>
      </w:r>
      <w:r w:rsidR="00793BCF">
        <w:t xml:space="preserve">marginalizadas </w:t>
      </w:r>
      <w:r>
        <w:t>y garantice la igualdad ante la ley</w:t>
      </w:r>
      <w:r w:rsidR="00777D28">
        <w:t xml:space="preserve"> para todas las personas. </w:t>
      </w:r>
    </w:p>
    <w:p w14:paraId="05D26731" w14:textId="52959EA9" w:rsidR="00777D28" w:rsidRDefault="00777D28" w:rsidP="000643AB">
      <w:pPr>
        <w:pStyle w:val="BBodyText"/>
        <w:numPr>
          <w:ilvl w:val="0"/>
          <w:numId w:val="19"/>
        </w:numPr>
      </w:pPr>
      <w:r>
        <w:t xml:space="preserve">Se abstenga de criminalizar </w:t>
      </w:r>
      <w:r w:rsidR="00C541B0">
        <w:t xml:space="preserve">arbitrariamente </w:t>
      </w:r>
      <w:r>
        <w:t xml:space="preserve">a personas </w:t>
      </w:r>
      <w:r w:rsidR="00C541B0">
        <w:t xml:space="preserve">pertenecientes al colectivo </w:t>
      </w:r>
      <w:r>
        <w:t>LGTBI+</w:t>
      </w:r>
      <w:r w:rsidR="00C541B0">
        <w:t>.</w:t>
      </w:r>
    </w:p>
    <w:p w14:paraId="38E1E535" w14:textId="2BF7FE87" w:rsidR="00255835" w:rsidRDefault="008E4BBD" w:rsidP="000643AB">
      <w:pPr>
        <w:pStyle w:val="BBodyText"/>
        <w:numPr>
          <w:ilvl w:val="0"/>
          <w:numId w:val="19"/>
        </w:numPr>
      </w:pPr>
      <w:r>
        <w:t>Garantice y respete los derechos de los pueblos indígenas a sus tierras, territorio y al medioambiente.</w:t>
      </w:r>
    </w:p>
    <w:p w14:paraId="745DE25D" w14:textId="3196FBF6" w:rsidR="008E4BBD" w:rsidRDefault="008E4BBD" w:rsidP="000643AB">
      <w:pPr>
        <w:pStyle w:val="BBodyText"/>
        <w:numPr>
          <w:ilvl w:val="0"/>
          <w:numId w:val="19"/>
        </w:numPr>
        <w:rPr>
          <w:lang w:val="es-MX"/>
        </w:rPr>
      </w:pPr>
      <w:r w:rsidRPr="008E4BBD">
        <w:rPr>
          <w:lang w:val="es-MX"/>
        </w:rPr>
        <w:t>Investigue de manera pronta, exhaustiva e imparcial las muert</w:t>
      </w:r>
      <w:r>
        <w:rPr>
          <w:lang w:val="es-MX"/>
        </w:rPr>
        <w:t>es de personas indígenas y personas defensoras de derechos humanos en el contexto de</w:t>
      </w:r>
      <w:r w:rsidR="0032370A">
        <w:rPr>
          <w:lang w:val="es-MX"/>
        </w:rPr>
        <w:t xml:space="preserve">l Arco Minero del Orinoco. </w:t>
      </w:r>
    </w:p>
    <w:p w14:paraId="2E51630C" w14:textId="665A0B24" w:rsidR="007F1EDB" w:rsidRDefault="000C604A" w:rsidP="000643AB">
      <w:pPr>
        <w:pStyle w:val="BBodyText"/>
        <w:numPr>
          <w:ilvl w:val="0"/>
          <w:numId w:val="19"/>
        </w:numPr>
        <w:rPr>
          <w:lang w:val="es-MX"/>
        </w:rPr>
      </w:pPr>
      <w:r>
        <w:rPr>
          <w:lang w:val="es-MX"/>
        </w:rPr>
        <w:t xml:space="preserve">Garantice los derechos de los pueblos indígenas en consonancia con la obligación de </w:t>
      </w:r>
      <w:r w:rsidR="0080261B">
        <w:rPr>
          <w:lang w:val="es-MX"/>
        </w:rPr>
        <w:t xml:space="preserve">consentimiento </w:t>
      </w:r>
      <w:r w:rsidR="009F3E76">
        <w:rPr>
          <w:lang w:val="es-MX"/>
        </w:rPr>
        <w:t xml:space="preserve">libre, </w:t>
      </w:r>
      <w:r w:rsidR="539BC61D" w:rsidRPr="5DFD19F5">
        <w:rPr>
          <w:lang w:val="es-MX"/>
        </w:rPr>
        <w:t>previ</w:t>
      </w:r>
      <w:r w:rsidR="31D81CC8" w:rsidRPr="5DFD19F5">
        <w:rPr>
          <w:lang w:val="es-MX"/>
        </w:rPr>
        <w:t>o</w:t>
      </w:r>
      <w:r w:rsidR="00EE14A2">
        <w:rPr>
          <w:lang w:val="es-MX"/>
        </w:rPr>
        <w:t xml:space="preserve"> e </w:t>
      </w:r>
      <w:r w:rsidR="2876367F" w:rsidRPr="5DFD19F5">
        <w:rPr>
          <w:lang w:val="es-MX"/>
        </w:rPr>
        <w:t>informad</w:t>
      </w:r>
      <w:r w:rsidR="3028105F" w:rsidRPr="5DFD19F5">
        <w:rPr>
          <w:lang w:val="es-MX"/>
        </w:rPr>
        <w:t>o</w:t>
      </w:r>
      <w:r w:rsidR="00EE14A2">
        <w:rPr>
          <w:lang w:val="es-MX"/>
        </w:rPr>
        <w:t xml:space="preserve"> en torno a la explotación minera </w:t>
      </w:r>
      <w:r w:rsidR="009829AC">
        <w:rPr>
          <w:lang w:val="es-MX"/>
        </w:rPr>
        <w:t xml:space="preserve">en los territorios protegidos o indígenas. </w:t>
      </w:r>
    </w:p>
    <w:p w14:paraId="77841720" w14:textId="019A5A56" w:rsidR="00A12ADB" w:rsidRPr="00A7673B" w:rsidRDefault="00D27BE4" w:rsidP="00B9647E">
      <w:pPr>
        <w:pStyle w:val="BNumberedHeading"/>
      </w:pPr>
      <w:bookmarkStart w:id="9" w:name="_Toc145413282"/>
      <w:bookmarkStart w:id="10" w:name="_Toc145441859"/>
      <w:bookmarkEnd w:id="9"/>
      <w:r w:rsidRPr="00A7673B">
        <w:t>VIOLENCIA CONTRA LAS MUJERES</w:t>
      </w:r>
      <w:r w:rsidR="00134940" w:rsidRPr="00A7673B">
        <w:t xml:space="preserve"> (ART</w:t>
      </w:r>
      <w:r w:rsidR="008A5A01">
        <w:t>í</w:t>
      </w:r>
      <w:r w:rsidR="00134940" w:rsidRPr="00A7673B">
        <w:t>CULO 2</w:t>
      </w:r>
      <w:r w:rsidR="008515CF" w:rsidRPr="00A7673B">
        <w:t>)</w:t>
      </w:r>
      <w:bookmarkEnd w:id="10"/>
    </w:p>
    <w:p w14:paraId="228F70E6" w14:textId="643134B2" w:rsidR="00E779B4" w:rsidRPr="00A7673B" w:rsidRDefault="00E779B4" w:rsidP="00E779B4">
      <w:r w:rsidRPr="00A7673B">
        <w:t>Las mod</w:t>
      </w:r>
      <w:r w:rsidR="00AF7B76" w:rsidRPr="00A7673B">
        <w:t>i</w:t>
      </w:r>
      <w:r w:rsidRPr="00A7673B">
        <w:t>fi</w:t>
      </w:r>
      <w:r w:rsidR="00AF7B76" w:rsidRPr="00A7673B">
        <w:t>c</w:t>
      </w:r>
      <w:r w:rsidRPr="00A7673B">
        <w:t xml:space="preserve">aciones a la </w:t>
      </w:r>
      <w:bookmarkStart w:id="11" w:name="_Hlk144133113"/>
      <w:r w:rsidRPr="00A7673B">
        <w:t>Ley Orgánica sobre el Derecho de las Mujeres a una Vida Libre de Violencia</w:t>
      </w:r>
      <w:r w:rsidR="00AF7B76" w:rsidRPr="00A7673B">
        <w:t xml:space="preserve"> </w:t>
      </w:r>
      <w:bookmarkEnd w:id="11"/>
      <w:r w:rsidR="00AF7B76" w:rsidRPr="00A7673B">
        <w:t xml:space="preserve">no parecen atender de manera integral la situación de las mujeres </w:t>
      </w:r>
      <w:r w:rsidR="009E6272" w:rsidRPr="00A7673B">
        <w:t>víctimas</w:t>
      </w:r>
      <w:r w:rsidR="00AF7B76" w:rsidRPr="00A7673B">
        <w:t xml:space="preserve"> de violencia de género en Venezuela. </w:t>
      </w:r>
    </w:p>
    <w:p w14:paraId="18230291" w14:textId="77777777" w:rsidR="00E779B4" w:rsidRPr="00A7673B" w:rsidRDefault="00E779B4" w:rsidP="00E779B4"/>
    <w:p w14:paraId="7597F884" w14:textId="12330EC3" w:rsidR="00475ECF" w:rsidRPr="00A7673B" w:rsidRDefault="00BE2572" w:rsidP="00475ECF">
      <w:r w:rsidRPr="00A7673B">
        <w:t xml:space="preserve">De acuerdo con </w:t>
      </w:r>
      <w:r w:rsidR="00667278" w:rsidRPr="00A7673B">
        <w:t>varias organizaciones locales</w:t>
      </w:r>
      <w:r w:rsidR="00475ECF" w:rsidRPr="00A7673B">
        <w:t xml:space="preserve"> entre 2021 y 2022 en Venezuela se registraron </w:t>
      </w:r>
      <w:r w:rsidR="00BE1B36" w:rsidRPr="00A7673B">
        <w:t xml:space="preserve">al menos </w:t>
      </w:r>
      <w:r w:rsidR="0039184F" w:rsidRPr="00A7673B">
        <w:t>572 femicidios</w:t>
      </w:r>
      <w:r w:rsidR="001A32FE" w:rsidRPr="00A7673B">
        <w:t xml:space="preserve"> en un contexto de amplias carencias institucionales</w:t>
      </w:r>
      <w:r w:rsidR="005F4643" w:rsidRPr="00A7673B">
        <w:t xml:space="preserve"> y de infraestructura</w:t>
      </w:r>
      <w:r w:rsidR="001A32FE" w:rsidRPr="00A7673B">
        <w:t>, opacidad y ausencia de cifras estatales que permitan un mejor aborde del problema y</w:t>
      </w:r>
      <w:r w:rsidR="00F70451" w:rsidRPr="00A7673B">
        <w:t xml:space="preserve"> </w:t>
      </w:r>
      <w:r w:rsidR="005F4643" w:rsidRPr="00A7673B">
        <w:t>con profundas dificultades para que las mujeres puedan acceder a protección y a justicia por parte de las autoridades.</w:t>
      </w:r>
      <w:r w:rsidR="005F4643" w:rsidRPr="00A7673B">
        <w:rPr>
          <w:rStyle w:val="FootnoteReference"/>
        </w:rPr>
        <w:footnoteReference w:id="9"/>
      </w:r>
      <w:r w:rsidR="005F4643" w:rsidRPr="00A7673B">
        <w:t xml:space="preserve"> </w:t>
      </w:r>
      <w:r w:rsidR="001A32FE" w:rsidRPr="00A7673B">
        <w:t xml:space="preserve"> </w:t>
      </w:r>
      <w:r w:rsidR="0039184F" w:rsidRPr="00A7673B">
        <w:t xml:space="preserve"> </w:t>
      </w:r>
      <w:r w:rsidR="00BE1B36" w:rsidRPr="00A7673B">
        <w:t xml:space="preserve"> </w:t>
      </w:r>
    </w:p>
    <w:p w14:paraId="5C9A101B" w14:textId="206956D9" w:rsidR="005D5F09" w:rsidRPr="00A7673B" w:rsidRDefault="005D5F09" w:rsidP="00B9647E">
      <w:pPr>
        <w:pStyle w:val="BNumberedSubheading"/>
      </w:pPr>
      <w:bookmarkStart w:id="12" w:name="_Toc145441860"/>
      <w:r w:rsidRPr="00A7673B">
        <w:t>INTERRUPCIÓN VOLUNTARIA DEL EMBARAZO Y DERECHOS REPRODUCTIVOS</w:t>
      </w:r>
      <w:bookmarkEnd w:id="12"/>
    </w:p>
    <w:p w14:paraId="36DD6F28" w14:textId="3BE62267" w:rsidR="00EA4BC6" w:rsidRPr="00A7673B" w:rsidRDefault="00EA4BC6" w:rsidP="00EA4BC6">
      <w:pPr>
        <w:pStyle w:val="BBodyText"/>
      </w:pPr>
      <w:r w:rsidRPr="00A7673B">
        <w:t xml:space="preserve">En Venezuela la interrupción del embarazo se encuentra penada bajo </w:t>
      </w:r>
      <w:r w:rsidR="52E16B92">
        <w:t xml:space="preserve">en la mayoría de </w:t>
      </w:r>
      <w:r w:rsidRPr="00A7673B">
        <w:t xml:space="preserve">las circunstancias </w:t>
      </w:r>
      <w:r w:rsidR="00C623A1">
        <w:t>excepto</w:t>
      </w:r>
      <w:r w:rsidR="0041719B" w:rsidRPr="00A7673B">
        <w:t xml:space="preserve"> ante </w:t>
      </w:r>
      <w:r w:rsidRPr="00A7673B">
        <w:t>la existencia de un caso de riesgo para la vida de la mujer</w:t>
      </w:r>
      <w:r w:rsidR="7A4296AB">
        <w:t>.</w:t>
      </w:r>
      <w:r w:rsidR="0041719B" w:rsidRPr="00A7673B">
        <w:t xml:space="preserve"> </w:t>
      </w:r>
      <w:r w:rsidR="362F913A">
        <w:t>Est</w:t>
      </w:r>
      <w:r w:rsidR="21393C6D">
        <w:t>a</w:t>
      </w:r>
      <w:r w:rsidR="0041719B" w:rsidRPr="00A7673B">
        <w:t xml:space="preserve"> prohibición atenta contra el acceso de las mujeres a servicios de salud</w:t>
      </w:r>
      <w:r w:rsidR="006560CB" w:rsidRPr="00A7673B">
        <w:t xml:space="preserve"> en vista </w:t>
      </w:r>
      <w:r w:rsidR="79EFE288">
        <w:t>de</w:t>
      </w:r>
      <w:r w:rsidR="63977C06">
        <w:t xml:space="preserve"> </w:t>
      </w:r>
      <w:r w:rsidR="006560CB" w:rsidRPr="00A7673B">
        <w:t xml:space="preserve">que no existen protocolos médicos para estos casos. </w:t>
      </w:r>
      <w:r w:rsidR="000C0536" w:rsidRPr="00A7673B">
        <w:t xml:space="preserve"> </w:t>
      </w:r>
    </w:p>
    <w:p w14:paraId="388380D2" w14:textId="722C4199" w:rsidR="002208A8" w:rsidRPr="00A7673B" w:rsidRDefault="002208A8" w:rsidP="00EA4BC6">
      <w:pPr>
        <w:pStyle w:val="BBodyText"/>
      </w:pPr>
      <w:r w:rsidRPr="00A7673B">
        <w:t>El Estado venezolano no aporta información sobre la situación de datos de abortos ni cifras sobre embarazo de niñas y adolescentes</w:t>
      </w:r>
      <w:r w:rsidR="00012930" w:rsidRPr="00A7673B">
        <w:t>, lo cual es sinónimo de la falta de transparencia y ausencia de medidas adecuadas para garantizar la vida y la salud de mujeres y niñas</w:t>
      </w:r>
      <w:r w:rsidR="004307FD" w:rsidRPr="00A7673B">
        <w:t xml:space="preserve">. </w:t>
      </w:r>
    </w:p>
    <w:p w14:paraId="7813A561" w14:textId="4A5EA310" w:rsidR="004307FD" w:rsidRPr="00A7673B" w:rsidRDefault="00F10738" w:rsidP="00EA4BC6">
      <w:pPr>
        <w:pStyle w:val="BBodyText"/>
      </w:pPr>
      <w:r w:rsidRPr="00A7673B">
        <w:t>En los últimos años y en el contexto de la emergencia humanitaria compleja el acceso a anticonceptivos</w:t>
      </w:r>
      <w:r w:rsidR="007D5D62" w:rsidRPr="00A7673B">
        <w:t xml:space="preserve">, </w:t>
      </w:r>
      <w:r w:rsidR="006560CB" w:rsidRPr="00A7673B">
        <w:t>medicamentos antirretrovirales</w:t>
      </w:r>
      <w:r w:rsidRPr="00A7673B">
        <w:t xml:space="preserve"> y </w:t>
      </w:r>
      <w:r w:rsidR="00A678A1">
        <w:t>servicios</w:t>
      </w:r>
      <w:r w:rsidRPr="00A7673B">
        <w:t xml:space="preserve"> de salud </w:t>
      </w:r>
      <w:r w:rsidR="007D5D62" w:rsidRPr="00A7673B">
        <w:t xml:space="preserve">sexual y </w:t>
      </w:r>
      <w:r w:rsidRPr="00A7673B">
        <w:t>reproductiva ha estado seriamente obstaculiza</w:t>
      </w:r>
      <w:r w:rsidR="007D5D62" w:rsidRPr="00A7673B">
        <w:t>do</w:t>
      </w:r>
      <w:r w:rsidR="00D72247" w:rsidRPr="00A7673B">
        <w:t>.</w:t>
      </w:r>
      <w:r w:rsidR="00F61495" w:rsidRPr="00A7673B">
        <w:rPr>
          <w:rStyle w:val="FootnoteReference"/>
        </w:rPr>
        <w:footnoteReference w:id="10"/>
      </w:r>
      <w:r w:rsidR="00D72247" w:rsidRPr="00A7673B">
        <w:t xml:space="preserve"> </w:t>
      </w:r>
    </w:p>
    <w:p w14:paraId="4FF8B388" w14:textId="775393A9" w:rsidR="00D85B82" w:rsidRDefault="00D85B82" w:rsidP="008A7795">
      <w:pPr>
        <w:rPr>
          <w:bCs/>
          <w:color w:val="auto"/>
          <w:sz w:val="21"/>
          <w:szCs w:val="24"/>
        </w:rPr>
      </w:pPr>
      <w:r>
        <w:rPr>
          <w:bCs/>
          <w:color w:val="auto"/>
          <w:sz w:val="21"/>
          <w:szCs w:val="24"/>
        </w:rPr>
        <w:t>Amnistía Internacional recomienda al Estado venezolano que:</w:t>
      </w:r>
    </w:p>
    <w:p w14:paraId="4CC89EA5" w14:textId="6E2B5EBC" w:rsidR="00D85B82" w:rsidRPr="00D77C7D" w:rsidRDefault="00D85B82" w:rsidP="00D85B82">
      <w:pPr>
        <w:pStyle w:val="ListParagraph"/>
        <w:numPr>
          <w:ilvl w:val="0"/>
          <w:numId w:val="20"/>
        </w:numPr>
        <w:rPr>
          <w:sz w:val="20"/>
          <w:szCs w:val="20"/>
          <w:lang w:val="es-MX"/>
        </w:rPr>
      </w:pPr>
      <w:r w:rsidRPr="00D77C7D">
        <w:rPr>
          <w:sz w:val="20"/>
          <w:szCs w:val="20"/>
          <w:lang w:val="es-MX"/>
        </w:rPr>
        <w:t>Implemente de manera urgente</w:t>
      </w:r>
      <w:r w:rsidR="006E6AF7" w:rsidRPr="00D77C7D">
        <w:rPr>
          <w:sz w:val="20"/>
          <w:szCs w:val="20"/>
          <w:lang w:val="es-MX"/>
        </w:rPr>
        <w:t xml:space="preserve"> e integral las reformas y en su conjunto la </w:t>
      </w:r>
      <w:r w:rsidR="006E6AF7" w:rsidRPr="00D77C7D">
        <w:rPr>
          <w:sz w:val="20"/>
          <w:szCs w:val="20"/>
        </w:rPr>
        <w:t>Ley Orgánica sobre el Derecho de las Mujeres a una Vida Libre de Violencia</w:t>
      </w:r>
      <w:r w:rsidR="003506E5" w:rsidRPr="00D77C7D">
        <w:rPr>
          <w:sz w:val="20"/>
          <w:szCs w:val="20"/>
        </w:rPr>
        <w:t>, incluyendo la adjudicación y ejecución de los recursos de forma transparente y auditable por parte de la sociedad civil</w:t>
      </w:r>
      <w:r w:rsidR="00414964">
        <w:rPr>
          <w:sz w:val="20"/>
          <w:szCs w:val="20"/>
        </w:rPr>
        <w:t xml:space="preserve"> con el fin de prevenir erradicar y sancionar todas las formas de violencia basada en género.</w:t>
      </w:r>
    </w:p>
    <w:p w14:paraId="056E81CF" w14:textId="0AC5B878" w:rsidR="00405DDD" w:rsidRPr="00D77C7D" w:rsidRDefault="00405DDD" w:rsidP="00D85B82">
      <w:pPr>
        <w:pStyle w:val="ListParagraph"/>
        <w:numPr>
          <w:ilvl w:val="0"/>
          <w:numId w:val="20"/>
        </w:numPr>
        <w:rPr>
          <w:sz w:val="20"/>
          <w:szCs w:val="20"/>
          <w:lang w:val="es-MX"/>
        </w:rPr>
      </w:pPr>
      <w:r>
        <w:rPr>
          <w:sz w:val="20"/>
          <w:szCs w:val="20"/>
        </w:rPr>
        <w:t xml:space="preserve">Publique de manera periódica y constante las cifras sobre </w:t>
      </w:r>
      <w:r w:rsidR="002972A2">
        <w:rPr>
          <w:sz w:val="20"/>
          <w:szCs w:val="20"/>
        </w:rPr>
        <w:t xml:space="preserve">las distintas formas de violencia </w:t>
      </w:r>
      <w:r w:rsidR="009C219D">
        <w:rPr>
          <w:sz w:val="20"/>
          <w:szCs w:val="20"/>
        </w:rPr>
        <w:t>basada</w:t>
      </w:r>
      <w:r w:rsidR="002972A2">
        <w:rPr>
          <w:sz w:val="20"/>
          <w:szCs w:val="20"/>
        </w:rPr>
        <w:t xml:space="preserve"> en género, incluido el número de feminicidios registrados en el país y las medidas que se están tomando para su investigación, procesamiento y sanción de las personas </w:t>
      </w:r>
      <w:r w:rsidR="00675A60">
        <w:rPr>
          <w:sz w:val="20"/>
          <w:szCs w:val="20"/>
        </w:rPr>
        <w:t>responsables,</w:t>
      </w:r>
      <w:r w:rsidR="002972A2">
        <w:rPr>
          <w:sz w:val="20"/>
          <w:szCs w:val="20"/>
        </w:rPr>
        <w:t xml:space="preserve"> así como las medidas integrales de reparación para víctimas de violencia basada en género. </w:t>
      </w:r>
    </w:p>
    <w:p w14:paraId="5570C22E" w14:textId="3D83209E" w:rsidR="00A678A1" w:rsidRPr="00D77C7D" w:rsidRDefault="00022DC9" w:rsidP="00D85B82">
      <w:pPr>
        <w:pStyle w:val="ListParagraph"/>
        <w:numPr>
          <w:ilvl w:val="0"/>
          <w:numId w:val="20"/>
        </w:numPr>
        <w:rPr>
          <w:sz w:val="20"/>
          <w:szCs w:val="20"/>
          <w:lang w:val="es-MX"/>
        </w:rPr>
      </w:pPr>
      <w:r>
        <w:rPr>
          <w:sz w:val="20"/>
          <w:szCs w:val="20"/>
          <w:lang w:val="es-MX"/>
        </w:rPr>
        <w:t>Deje sin efecto la prohibición del aborto y apruebe el acceso a la interrupción del embarazo al menos en las causales de vida</w:t>
      </w:r>
      <w:r w:rsidR="00756DFB">
        <w:rPr>
          <w:sz w:val="20"/>
          <w:szCs w:val="20"/>
          <w:lang w:val="es-MX"/>
        </w:rPr>
        <w:t xml:space="preserve"> y salud de la mujer gestante</w:t>
      </w:r>
      <w:r>
        <w:rPr>
          <w:sz w:val="20"/>
          <w:szCs w:val="20"/>
          <w:lang w:val="es-MX"/>
        </w:rPr>
        <w:t xml:space="preserve">, </w:t>
      </w:r>
      <w:r w:rsidR="00756DFB">
        <w:rPr>
          <w:sz w:val="20"/>
          <w:szCs w:val="20"/>
          <w:lang w:val="es-MX"/>
        </w:rPr>
        <w:t xml:space="preserve">en casos de embarazos consecuencia de violación sexual y en casos que el producto de la gestación sea incompatible con la vida extrauterina. </w:t>
      </w:r>
    </w:p>
    <w:p w14:paraId="47DBB499" w14:textId="0621B030" w:rsidR="002972A2" w:rsidRPr="00D77C7D" w:rsidRDefault="009C219D" w:rsidP="00D85B82">
      <w:pPr>
        <w:pStyle w:val="ListParagraph"/>
        <w:numPr>
          <w:ilvl w:val="0"/>
          <w:numId w:val="20"/>
        </w:numPr>
        <w:rPr>
          <w:sz w:val="20"/>
          <w:szCs w:val="20"/>
          <w:lang w:val="es-MX"/>
        </w:rPr>
      </w:pPr>
      <w:r>
        <w:rPr>
          <w:sz w:val="20"/>
          <w:szCs w:val="20"/>
        </w:rPr>
        <w:t xml:space="preserve">Apruebe e implemente protocolos de atención en salud sexual y reproductiva que contemplen la interrupción del embarazo en casos de riesgo para la salud y vida de la mujer gestante. </w:t>
      </w:r>
    </w:p>
    <w:p w14:paraId="786132BF" w14:textId="20AA6830" w:rsidR="009C219D" w:rsidRPr="00D77C7D" w:rsidRDefault="00F607B7" w:rsidP="00D85B82">
      <w:pPr>
        <w:pStyle w:val="ListParagraph"/>
        <w:numPr>
          <w:ilvl w:val="0"/>
          <w:numId w:val="20"/>
        </w:numPr>
        <w:rPr>
          <w:sz w:val="20"/>
          <w:szCs w:val="20"/>
          <w:lang w:val="es-MX"/>
        </w:rPr>
      </w:pPr>
      <w:r>
        <w:rPr>
          <w:sz w:val="20"/>
          <w:szCs w:val="20"/>
        </w:rPr>
        <w:t>Se recaben y publiquen periódicamente datos sobre abortos clandestinos, embarazos de niñas y adolescentes y muerte materna</w:t>
      </w:r>
      <w:r w:rsidR="00675A60">
        <w:rPr>
          <w:sz w:val="20"/>
          <w:szCs w:val="20"/>
        </w:rPr>
        <w:t xml:space="preserve"> para informar las políticas públicas en la materia. </w:t>
      </w:r>
    </w:p>
    <w:p w14:paraId="6322C70D" w14:textId="707A6A9A" w:rsidR="00675A60" w:rsidRDefault="00675A60" w:rsidP="00D77C7D">
      <w:pPr>
        <w:pStyle w:val="ListParagraph"/>
        <w:numPr>
          <w:ilvl w:val="0"/>
          <w:numId w:val="20"/>
        </w:numPr>
        <w:rPr>
          <w:sz w:val="20"/>
          <w:szCs w:val="20"/>
          <w:lang w:val="es-MX"/>
        </w:rPr>
      </w:pPr>
      <w:r>
        <w:rPr>
          <w:sz w:val="20"/>
          <w:szCs w:val="20"/>
          <w:lang w:val="es-MX"/>
        </w:rPr>
        <w:t xml:space="preserve">Garantice el acceso a anticonceptivos y otros métodos de planificación familiar, medicamentos y </w:t>
      </w:r>
      <w:r w:rsidR="00756DFB">
        <w:rPr>
          <w:sz w:val="20"/>
          <w:szCs w:val="20"/>
          <w:lang w:val="es-MX"/>
        </w:rPr>
        <w:t>servicios de</w:t>
      </w:r>
      <w:r w:rsidR="00C21F01">
        <w:rPr>
          <w:sz w:val="20"/>
          <w:szCs w:val="20"/>
          <w:lang w:val="es-MX"/>
        </w:rPr>
        <w:t xml:space="preserve"> salud sexual y reproductiva de manera universal y gratuita. </w:t>
      </w:r>
    </w:p>
    <w:p w14:paraId="43614416" w14:textId="493C2F84" w:rsidR="00AC0FB5" w:rsidRPr="00A7673B" w:rsidRDefault="00B11CB2" w:rsidP="00B9647E">
      <w:pPr>
        <w:pStyle w:val="BNumberedHeading"/>
      </w:pPr>
      <w:bookmarkStart w:id="13" w:name="_Toc145413285"/>
      <w:bookmarkStart w:id="14" w:name="_Toc145441861"/>
      <w:bookmarkEnd w:id="13"/>
      <w:r w:rsidRPr="00A7673B">
        <w:t>DERECHO A LA VIDA</w:t>
      </w:r>
      <w:r w:rsidR="008A7795" w:rsidRPr="00A7673B">
        <w:t xml:space="preserve"> (</w:t>
      </w:r>
      <w:r w:rsidR="00CB7434" w:rsidRPr="00A7673B">
        <w:t>ART</w:t>
      </w:r>
      <w:r w:rsidR="00E20C6E">
        <w:t>Í</w:t>
      </w:r>
      <w:r w:rsidR="00CB7434" w:rsidRPr="00A7673B">
        <w:t>CULOS</w:t>
      </w:r>
      <w:r w:rsidR="008A7795" w:rsidRPr="00A7673B">
        <w:t xml:space="preserve"> </w:t>
      </w:r>
      <w:r w:rsidR="00CB7434" w:rsidRPr="00A7673B">
        <w:t>2 Y 6</w:t>
      </w:r>
      <w:r w:rsidR="008A7795" w:rsidRPr="00A7673B">
        <w:t>)</w:t>
      </w:r>
      <w:bookmarkEnd w:id="14"/>
    </w:p>
    <w:p w14:paraId="4A08FBCE" w14:textId="7DBEBB89" w:rsidR="00AC0FB5" w:rsidRPr="00A7673B" w:rsidRDefault="00EC0EEF" w:rsidP="00B07CBC">
      <w:pPr>
        <w:pStyle w:val="BBodyText"/>
        <w:rPr>
          <w:color w:val="2F5496" w:themeColor="accent1" w:themeShade="BF"/>
        </w:rPr>
      </w:pPr>
      <w:r>
        <w:t>El Estado venezolano ha incumplido sus obligaciones internacionales de respetar y garantizar el derecho a la vida tal como lo establece el Pacto y otros instrumentos</w:t>
      </w:r>
      <w:r w:rsidR="00007669">
        <w:t xml:space="preserve">. </w:t>
      </w:r>
    </w:p>
    <w:p w14:paraId="392D7951" w14:textId="65FABDBE" w:rsidR="00293689" w:rsidRPr="00A7673B" w:rsidRDefault="006F460C" w:rsidP="00B9647E">
      <w:pPr>
        <w:pStyle w:val="BNumberedSubheading"/>
      </w:pPr>
      <w:bookmarkStart w:id="15" w:name="_Toc145441862"/>
      <w:r w:rsidRPr="00A7673B">
        <w:t>EJECUCIONES EXTRAJUDICIALES EN OPERATIVOS DE SEGURIDAD</w:t>
      </w:r>
      <w:bookmarkEnd w:id="15"/>
    </w:p>
    <w:p w14:paraId="40E85463" w14:textId="0DACC1DE" w:rsidR="00752E8C" w:rsidRPr="00A7673B" w:rsidRDefault="00C170C1" w:rsidP="00752E8C">
      <w:pPr>
        <w:pStyle w:val="BBodyText"/>
      </w:pPr>
      <w:r w:rsidRPr="00A7673B">
        <w:t xml:space="preserve">Amnistía Internacional ha denunciado las ejecuciones extrajudiciales cometidas por organismos de seguridad venezolanos en el período bajo revisión. </w:t>
      </w:r>
      <w:r w:rsidR="009E18C0" w:rsidRPr="00A7673B">
        <w:t xml:space="preserve">Estas violaciones de derechos humanos también han sido motivo de preocupación de la Oficina del Alto Comisionado para los Derechos Humanos de las Naciones Unidas, y para la MIIDH. </w:t>
      </w:r>
    </w:p>
    <w:p w14:paraId="16D73A38" w14:textId="3F87515F" w:rsidR="009E18C0" w:rsidRPr="00A7673B" w:rsidRDefault="00E1637B" w:rsidP="00752E8C">
      <w:pPr>
        <w:pStyle w:val="BBodyText"/>
      </w:pPr>
      <w:r w:rsidRPr="00A7673B">
        <w:t>De acuerdo a la documentación obtenida por Amnistía Internacional, en Venezuela los operativos de seguridad del Estado</w:t>
      </w:r>
      <w:r w:rsidR="004C403F" w:rsidRPr="00A7673B">
        <w:t>, ya en su forma de Operación de Liberación del Pueblo y más tarde en operativos conjuntos entre distintas fuerzas de seguridad y liderados por las Fuerzas de Acciones Especiales</w:t>
      </w:r>
      <w:r w:rsidR="00D36B5D" w:rsidRPr="00A7673B">
        <w:t xml:space="preserve"> (FAES)</w:t>
      </w:r>
      <w:r w:rsidR="004C403F" w:rsidRPr="00A7673B">
        <w:t xml:space="preserve"> de la Policía Nacional Bolivariana</w:t>
      </w:r>
      <w:r w:rsidR="00D36B5D" w:rsidRPr="00A7673B">
        <w:t xml:space="preserve"> (PNB), tienen un modus operandi consistente en el que se utiliza la fuerza letal </w:t>
      </w:r>
      <w:r w:rsidR="000C2EB4" w:rsidRPr="00A7673B">
        <w:t xml:space="preserve">intencionalmente </w:t>
      </w:r>
      <w:r w:rsidR="000C2EB4">
        <w:t xml:space="preserve">mayormente </w:t>
      </w:r>
      <w:r w:rsidR="00D36B5D" w:rsidRPr="00A7673B">
        <w:t>en contra de hombres jóvenes y en situación de pobreza</w:t>
      </w:r>
      <w:r w:rsidR="00AB42B6" w:rsidRPr="00A7673B">
        <w:t xml:space="preserve">, </w:t>
      </w:r>
      <w:r w:rsidR="006A1F5A">
        <w:t>resultando en</w:t>
      </w:r>
      <w:r w:rsidR="006A1F5A" w:rsidRPr="00A7673B">
        <w:t xml:space="preserve"> </w:t>
      </w:r>
      <w:r w:rsidR="00AB42B6" w:rsidRPr="00A7673B">
        <w:t>ejecuciones extrajudiciales</w:t>
      </w:r>
      <w:r w:rsidR="008A611F">
        <w:t>.</w:t>
      </w:r>
      <w:r w:rsidR="00AB42B6" w:rsidRPr="00A7673B">
        <w:t xml:space="preserve"> </w:t>
      </w:r>
      <w:r w:rsidR="008A611F">
        <w:t>Amnistia Internacional también ha documentado c</w:t>
      </w:r>
      <w:r w:rsidR="00932BC9">
        <w:t>ó</w:t>
      </w:r>
      <w:r w:rsidR="008A611F">
        <w:t>mo</w:t>
      </w:r>
      <w:r w:rsidR="00AB42B6" w:rsidRPr="00A7673B">
        <w:t xml:space="preserve"> esas mismas fuerzas de seguridad simulan un enfrentamiento con las víctimas</w:t>
      </w:r>
      <w:r w:rsidR="006659C9" w:rsidRPr="00A7673B">
        <w:t xml:space="preserve"> para justificar su actuación.</w:t>
      </w:r>
      <w:r w:rsidR="006C5427">
        <w:rPr>
          <w:rStyle w:val="FootnoteReference"/>
        </w:rPr>
        <w:footnoteReference w:id="11"/>
      </w:r>
      <w:r w:rsidR="006C1DE3" w:rsidRPr="00A7673B">
        <w:t xml:space="preserve"> </w:t>
      </w:r>
      <w:r w:rsidR="006659C9" w:rsidRPr="00A7673B">
        <w:t xml:space="preserve"> </w:t>
      </w:r>
    </w:p>
    <w:p w14:paraId="1DF0257D" w14:textId="0C21EE61" w:rsidR="00D705DD" w:rsidRDefault="001243F9" w:rsidP="00752E8C">
      <w:pPr>
        <w:pStyle w:val="BBodyText"/>
      </w:pPr>
      <w:r w:rsidRPr="00A7673B">
        <w:t>En 20</w:t>
      </w:r>
      <w:r w:rsidR="00A7711D">
        <w:t>19</w:t>
      </w:r>
      <w:r w:rsidRPr="00A7673B">
        <w:t xml:space="preserve"> la OACNUDH reportaba </w:t>
      </w:r>
      <w:r w:rsidR="00932BC9">
        <w:t>que,</w:t>
      </w:r>
      <w:r w:rsidR="00024105">
        <w:t xml:space="preserve"> de un total de 5.287 muertes violentas calificadas como tal por el gobierno venezolano</w:t>
      </w:r>
      <w:r w:rsidR="00BF491F">
        <w:t xml:space="preserve"> en operativos de seguridad en 2018, muchas de ellas podrían constituir ejecuciones extrajudiciales</w:t>
      </w:r>
      <w:r w:rsidR="003E548A">
        <w:t>.</w:t>
      </w:r>
      <w:r w:rsidR="00BF491F">
        <w:t xml:space="preserve"> </w:t>
      </w:r>
      <w:r w:rsidR="003E548A">
        <w:t xml:space="preserve">Por su parte, </w:t>
      </w:r>
      <w:r w:rsidR="00BF491F">
        <w:t xml:space="preserve">organizaciones de sociedad civil </w:t>
      </w:r>
      <w:r w:rsidR="00506CB7">
        <w:t xml:space="preserve">denunciaban más de </w:t>
      </w:r>
      <w:r w:rsidR="003E548A">
        <w:t>7.000</w:t>
      </w:r>
      <w:r w:rsidR="00506CB7">
        <w:t xml:space="preserve"> ejecuciones extrajudiciales. </w:t>
      </w:r>
      <w:r w:rsidR="00B22A11">
        <w:t xml:space="preserve">De acuerdo </w:t>
      </w:r>
      <w:r w:rsidR="00557C1A">
        <w:t xml:space="preserve">con el </w:t>
      </w:r>
      <w:r w:rsidR="00B22A11">
        <w:t>mismo informe de la OACNUDH</w:t>
      </w:r>
      <w:r w:rsidR="003E548A">
        <w:t>,</w:t>
      </w:r>
      <w:r w:rsidR="00B22A11">
        <w:t xml:space="preserve"> el gobierno informó de 1.569 muertes por “resistencia a la autoridad” en los primeros </w:t>
      </w:r>
      <w:r w:rsidR="00D705DD">
        <w:t>cinco meses de 2019.</w:t>
      </w:r>
      <w:r w:rsidR="00D705DD">
        <w:rPr>
          <w:rStyle w:val="FootnoteReference"/>
        </w:rPr>
        <w:footnoteReference w:id="12"/>
      </w:r>
    </w:p>
    <w:p w14:paraId="694EBC7C" w14:textId="568EB93D" w:rsidR="00703CFB" w:rsidRPr="00A7673B" w:rsidRDefault="00703CFB" w:rsidP="00752E8C">
      <w:pPr>
        <w:pStyle w:val="BBodyText"/>
      </w:pPr>
      <w:r>
        <w:t>La MIIDH determinó en 2020 que</w:t>
      </w:r>
      <w:r w:rsidR="005608CD">
        <w:t xml:space="preserve"> en Venezuela existía “[u]</w:t>
      </w:r>
      <w:proofErr w:type="spellStart"/>
      <w:r w:rsidR="005608CD">
        <w:t>na</w:t>
      </w:r>
      <w:proofErr w:type="spellEnd"/>
      <w:r w:rsidR="005608CD">
        <w:t xml:space="preserve"> política para combatir la delincuencia, incluida la eliminación de las personas percibidas como “delincuentes” mediante la ejecución extrajudicial</w:t>
      </w:r>
      <w:r w:rsidR="00C068DA">
        <w:t>.”</w:t>
      </w:r>
      <w:r w:rsidR="00C068DA">
        <w:rPr>
          <w:rStyle w:val="FootnoteReference"/>
        </w:rPr>
        <w:footnoteReference w:id="13"/>
      </w:r>
    </w:p>
    <w:p w14:paraId="21D15B1D" w14:textId="1FDBF3A7" w:rsidR="006C1DE3" w:rsidRPr="00A7673B" w:rsidRDefault="001243F9" w:rsidP="00752E8C">
      <w:pPr>
        <w:pStyle w:val="BBodyText"/>
      </w:pPr>
      <w:r w:rsidRPr="00A7673B">
        <w:t>Si bie</w:t>
      </w:r>
      <w:r w:rsidR="003A1FD4" w:rsidRPr="00A7673B">
        <w:t xml:space="preserve">n el Estado venezolano ha procurado no emitir cifras sobre las violaciones al derecho a la vida por parte de fuerzas de seguridad, el uso de la categoría de muerte en “enfrentamiento” o “resistencia a la autoridad” son un indicador de suma preocupación sobre </w:t>
      </w:r>
      <w:r w:rsidR="003949AF">
        <w:t>los estándares sobre uso de la fuerza</w:t>
      </w:r>
      <w:r w:rsidR="00942AD4" w:rsidRPr="00A7673B">
        <w:t xml:space="preserve"> y dan cuenta de la naturaleza deliberada de estas muertes</w:t>
      </w:r>
      <w:r w:rsidR="006A13BE" w:rsidRPr="00A7673B">
        <w:t xml:space="preserve">. Para </w:t>
      </w:r>
      <w:r w:rsidR="006C1DE3" w:rsidRPr="00A7673B">
        <w:t>Amnistía</w:t>
      </w:r>
      <w:r w:rsidR="006A13BE" w:rsidRPr="00A7673B">
        <w:t xml:space="preserve"> Internacional es de suma preocupación que exista una política de control a la ciudadanía a través del uso </w:t>
      </w:r>
      <w:r w:rsidR="00942AD4" w:rsidRPr="00A7673B">
        <w:t>ilegal de la fuerza por parte de agentes de seguridad.</w:t>
      </w:r>
    </w:p>
    <w:p w14:paraId="29F445B1" w14:textId="3A0BA4A7" w:rsidR="00C3517C" w:rsidRPr="00A7673B" w:rsidRDefault="00C3517C" w:rsidP="00752E8C">
      <w:pPr>
        <w:pStyle w:val="BBodyText"/>
      </w:pPr>
      <w:r w:rsidRPr="00A7673B">
        <w:t xml:space="preserve">Si bien la OACNUDH y la MIIDH han emitido extensas recomendaciones para detener las ejecuciones extrajudiciales en el marco de operativos de seguridad, aún se desconoce el estado de cumplimiento de </w:t>
      </w:r>
      <w:proofErr w:type="gramStart"/>
      <w:r w:rsidRPr="00A7673B">
        <w:t>las mismas</w:t>
      </w:r>
      <w:proofErr w:type="gramEnd"/>
      <w:r w:rsidRPr="00A7673B">
        <w:t>. Ejemplo de ello ha sido la falta de transparencia respecto de la adopción de la recomendación emitida por la OACNUDH sobre el desmantelamiento de las FAES de la PNB</w:t>
      </w:r>
      <w:r w:rsidR="001B3109">
        <w:t>,</w:t>
      </w:r>
      <w:r w:rsidR="00D128E1">
        <w:rPr>
          <w:rStyle w:val="FootnoteReference"/>
        </w:rPr>
        <w:footnoteReference w:id="14"/>
      </w:r>
      <w:r w:rsidR="001B3109">
        <w:t xml:space="preserve"> sobre la cual se desconoce</w:t>
      </w:r>
      <w:r w:rsidR="0045751B">
        <w:t xml:space="preserve"> su implementación.</w:t>
      </w:r>
      <w:r w:rsidRPr="00A7673B">
        <w:t xml:space="preserve"> </w:t>
      </w:r>
    </w:p>
    <w:p w14:paraId="7A57E135" w14:textId="4187FAFD" w:rsidR="00874446" w:rsidRPr="00A7673B" w:rsidRDefault="001927CC" w:rsidP="00752E8C">
      <w:pPr>
        <w:pStyle w:val="BBodyText"/>
      </w:pPr>
      <w:r>
        <w:t>Los</w:t>
      </w:r>
      <w:r w:rsidR="00874446" w:rsidRPr="00A7673B">
        <w:t xml:space="preserve"> operativos realizado</w:t>
      </w:r>
      <w:r>
        <w:t>s</w:t>
      </w:r>
      <w:r w:rsidR="00874446" w:rsidRPr="00A7673B">
        <w:t xml:space="preserve"> por la</w:t>
      </w:r>
      <w:r w:rsidR="002E4F91" w:rsidRPr="00A7673B">
        <w:t xml:space="preserve">s FAES de la </w:t>
      </w:r>
      <w:r w:rsidR="00874446" w:rsidRPr="00A7673B">
        <w:t xml:space="preserve">PNB </w:t>
      </w:r>
      <w:r>
        <w:t xml:space="preserve">han continuado a pesar de esta recomendación. Por ejemplo, </w:t>
      </w:r>
      <w:r w:rsidR="00874446" w:rsidRPr="00A7673B">
        <w:t>en el sector La Vega</w:t>
      </w:r>
      <w:r w:rsidR="002E4F91" w:rsidRPr="00A7673B">
        <w:t xml:space="preserve"> entre el 6 y el 9 de enero de 2021, </w:t>
      </w:r>
      <w:r>
        <w:t>Amnistia Internacional documentó</w:t>
      </w:r>
      <w:r w:rsidR="002E4F91" w:rsidRPr="00A7673B">
        <w:t xml:space="preserve"> al menos 14 presuntas ejecuciones extrajudiciales</w:t>
      </w:r>
      <w:r w:rsidR="00D44F3A" w:rsidRPr="00A7673B">
        <w:t xml:space="preserve"> en un operativo de seguridad que atemorizó a la población</w:t>
      </w:r>
      <w:r w:rsidR="000E0E3B" w:rsidRPr="00A7673B">
        <w:t>.</w:t>
      </w:r>
      <w:r w:rsidR="0014715E" w:rsidRPr="00A7673B">
        <w:rPr>
          <w:rStyle w:val="FootnoteReference"/>
        </w:rPr>
        <w:footnoteReference w:id="15"/>
      </w:r>
      <w:r w:rsidR="000E0E3B" w:rsidRPr="00A7673B">
        <w:t xml:space="preserve"> Hasta la fecha se desconocen investigaciones independientes sobre los responsables de estos hechos. </w:t>
      </w:r>
    </w:p>
    <w:p w14:paraId="0AF625F2" w14:textId="0FA06582" w:rsidR="00AF3C19" w:rsidRPr="00A7673B" w:rsidRDefault="00EA79F9" w:rsidP="00B9647E">
      <w:pPr>
        <w:pStyle w:val="BNumberedSubheading"/>
      </w:pPr>
      <w:bookmarkStart w:id="16" w:name="_Toc145441863"/>
      <w:r w:rsidRPr="00A7673B">
        <w:t>EJECUCIONES EXTRAJUDICIALES Y MUERTES POR MOTIVOS POLÍTICOS</w:t>
      </w:r>
      <w:bookmarkEnd w:id="16"/>
    </w:p>
    <w:p w14:paraId="3ABC239A" w14:textId="01EB57A9" w:rsidR="00AF3C19" w:rsidRPr="00A7673B" w:rsidRDefault="00E351E5" w:rsidP="00AF3C19">
      <w:pPr>
        <w:pStyle w:val="BBodyText"/>
      </w:pPr>
      <w:r w:rsidRPr="00A7673B">
        <w:t xml:space="preserve">En 2019, </w:t>
      </w:r>
      <w:r w:rsidR="001927CC">
        <w:t>la</w:t>
      </w:r>
      <w:r w:rsidRPr="00A7673B">
        <w:t xml:space="preserve"> política de represión</w:t>
      </w:r>
      <w:r w:rsidR="0055469A">
        <w:t xml:space="preserve"> en contra de la disidencia</w:t>
      </w:r>
      <w:r w:rsidRPr="00A7673B">
        <w:t xml:space="preserve"> incluyó ejecuciones extrajudiciales </w:t>
      </w:r>
      <w:r w:rsidR="00034594" w:rsidRPr="00A7673B">
        <w:t xml:space="preserve">con fines políticos en un contexto de conmoción social que provocó protestas masivas a nivel nacional. </w:t>
      </w:r>
    </w:p>
    <w:p w14:paraId="47C76285" w14:textId="140C888D" w:rsidR="00034594" w:rsidRPr="00A7673B" w:rsidRDefault="001927CC" w:rsidP="00AF3C19">
      <w:pPr>
        <w:pStyle w:val="BBodyText"/>
      </w:pPr>
      <w:r>
        <w:t xml:space="preserve">Amnistia Internacional </w:t>
      </w:r>
      <w:r w:rsidR="004E1FDB" w:rsidRPr="00A7673B">
        <w:t xml:space="preserve">documentó seis ejecuciones extrajudiciales que se produjeron en este </w:t>
      </w:r>
      <w:r w:rsidR="002F57DF">
        <w:t>marco</w:t>
      </w:r>
      <w:r w:rsidR="002F57DF" w:rsidRPr="00A7673B">
        <w:t xml:space="preserve"> </w:t>
      </w:r>
      <w:r w:rsidR="004E1FDB" w:rsidRPr="00A7673B">
        <w:t xml:space="preserve">y que tenían motivación política. Si bien las fuerzas de seguridad </w:t>
      </w:r>
      <w:r w:rsidR="00392FD4" w:rsidRPr="00A7673B">
        <w:t>involucradas</w:t>
      </w:r>
      <w:r w:rsidR="004E1FDB" w:rsidRPr="00A7673B">
        <w:t xml:space="preserve"> en estos</w:t>
      </w:r>
      <w:r w:rsidR="002F48F1" w:rsidRPr="00A7673B">
        <w:t xml:space="preserve"> hechos emplearon métodos similares a los que se emplean en los operativos de seguridad ciudadana, en este contexto la motivación política </w:t>
      </w:r>
      <w:r w:rsidR="00392FD4" w:rsidRPr="00A7673B">
        <w:t>y el objetivo de enviar un mensaje disuasorio al resto de la población fueron evidentes.</w:t>
      </w:r>
      <w:r w:rsidR="0032673E">
        <w:rPr>
          <w:rStyle w:val="FootnoteReference"/>
        </w:rPr>
        <w:footnoteReference w:id="16"/>
      </w:r>
      <w:r w:rsidR="00392FD4" w:rsidRPr="00A7673B">
        <w:t xml:space="preserve"> </w:t>
      </w:r>
    </w:p>
    <w:p w14:paraId="1BF291F4" w14:textId="7BB49790" w:rsidR="00AA5A00" w:rsidRPr="00A7673B" w:rsidRDefault="00AA5A00" w:rsidP="00AF3C19">
      <w:pPr>
        <w:pStyle w:val="BBodyText"/>
      </w:pPr>
      <w:r w:rsidRPr="00A7673B">
        <w:t xml:space="preserve">Asimismo, el uso excesivo de la fuerza para el control de manifestaciones ha sido una constante en Venezuela durante </w:t>
      </w:r>
      <w:r w:rsidR="5EA75580" w:rsidRPr="00A7673B">
        <w:t>el</w:t>
      </w:r>
      <w:r w:rsidRPr="00A7673B">
        <w:t xml:space="preserve"> período de revisión</w:t>
      </w:r>
      <w:r w:rsidR="00C61BEE">
        <w:t xml:space="preserve"> (ver abajo en “Uso Excesivo de la Fuerza”).</w:t>
      </w:r>
      <w:r w:rsidR="006F7AC4" w:rsidRPr="00A7673B">
        <w:t xml:space="preserve"> </w:t>
      </w:r>
    </w:p>
    <w:p w14:paraId="4C122284" w14:textId="3596C8B6" w:rsidR="00AF3C19" w:rsidRPr="00A7673B" w:rsidRDefault="00AA5A00" w:rsidP="00B9647E">
      <w:pPr>
        <w:pStyle w:val="BNumberedSubheading"/>
      </w:pPr>
      <w:bookmarkStart w:id="17" w:name="_Toc145441864"/>
      <w:r w:rsidRPr="00A7673B">
        <w:t>IMPUNIDAD POR VIOLACIONES DEL DERECHO A LA VIDA</w:t>
      </w:r>
      <w:bookmarkEnd w:id="17"/>
      <w:r w:rsidRPr="00A7673B">
        <w:t xml:space="preserve"> </w:t>
      </w:r>
    </w:p>
    <w:p w14:paraId="1E13D072" w14:textId="1FDA9AA2" w:rsidR="00C85205" w:rsidRPr="00A7673B" w:rsidRDefault="00C85205" w:rsidP="002A5E4F">
      <w:pPr>
        <w:pStyle w:val="BBodyText"/>
      </w:pPr>
      <w:r w:rsidRPr="00A7673B">
        <w:t xml:space="preserve">El Estado venezolano informa sobre investigaciones a funcionarios en relación con desapariciones forzadas en el período 2015-2022 con un total de </w:t>
      </w:r>
      <w:r w:rsidR="00640016">
        <w:t>cinco</w:t>
      </w:r>
      <w:r w:rsidRPr="00A7673B">
        <w:t xml:space="preserve"> funcionarios públicos condenados por este delito.</w:t>
      </w:r>
      <w:r w:rsidR="00BE01D0" w:rsidRPr="00A7673B">
        <w:t xml:space="preserve"> Por otro lado, no se informa sobre la cantidad de funcionarios públicos investigados, procesados y sancionados por</w:t>
      </w:r>
      <w:r w:rsidR="00844E3C" w:rsidRPr="00A7673B">
        <w:t xml:space="preserve"> uso excesivo de la fuerza que provocó la muerte de otra persona, ni por casos de presuntas ejecuciones extrajudiciales. </w:t>
      </w:r>
    </w:p>
    <w:p w14:paraId="75784F76" w14:textId="21DE86BA" w:rsidR="00844E3C" w:rsidRPr="00A7673B" w:rsidRDefault="00844E3C" w:rsidP="002A5E4F">
      <w:pPr>
        <w:pStyle w:val="BBodyText"/>
      </w:pPr>
      <w:r w:rsidRPr="00A7673B">
        <w:t>La OACNUDH y la MIIDH han relevado la falta de investigación en la mayoría de estos casos, y</w:t>
      </w:r>
      <w:r w:rsidR="008A5BDF">
        <w:t xml:space="preserve"> cómo se ha perpetuado</w:t>
      </w:r>
      <w:r w:rsidRPr="00A7673B">
        <w:t xml:space="preserve"> la impunidad en materia de violaciones al derecho a la vida</w:t>
      </w:r>
      <w:r w:rsidR="008A5BDF">
        <w:t xml:space="preserve"> y otras violaciones graves de los derechos humanos.</w:t>
      </w:r>
      <w:r w:rsidR="00CA6414">
        <w:rPr>
          <w:rStyle w:val="FootnoteReference"/>
        </w:rPr>
        <w:footnoteReference w:id="17"/>
      </w:r>
      <w:r w:rsidRPr="00A7673B">
        <w:t xml:space="preserve"> </w:t>
      </w:r>
    </w:p>
    <w:p w14:paraId="74459CBC" w14:textId="7F9768D9" w:rsidR="00DB3E01" w:rsidRPr="00A7673B" w:rsidRDefault="00DB3E01" w:rsidP="002A5E4F">
      <w:pPr>
        <w:pStyle w:val="BBodyText"/>
      </w:pPr>
      <w:r w:rsidRPr="00A7673B">
        <w:t>De los casos documentados por Amnistía Internacional</w:t>
      </w:r>
      <w:r w:rsidR="00EA767F">
        <w:t>,</w:t>
      </w:r>
      <w:r w:rsidRPr="00A7673B">
        <w:t xml:space="preserve"> los avances en materia de investigación fueron mínimos en la mayoría de ellos</w:t>
      </w:r>
      <w:r w:rsidR="00EA767F">
        <w:t>. E</w:t>
      </w:r>
      <w:r w:rsidRPr="00A7673B">
        <w:t>n el caso de Rafael Acosta Arévalo, que se obtuvo una sentencia condenatoria, esta no comprende la gravedad y sistematicidad de los hechos</w:t>
      </w:r>
      <w:r w:rsidR="002D63FD">
        <w:t xml:space="preserve"> (ver abajo en “Tortura”).</w:t>
      </w:r>
      <w:r w:rsidR="00724341">
        <w:rPr>
          <w:rStyle w:val="FootnoteReference"/>
        </w:rPr>
        <w:footnoteReference w:id="18"/>
      </w:r>
      <w:r w:rsidR="002A5E4F" w:rsidRPr="00A7673B">
        <w:t xml:space="preserve"> </w:t>
      </w:r>
    </w:p>
    <w:p w14:paraId="0E0FEC51" w14:textId="1F8671D0" w:rsidR="00AB1395" w:rsidRPr="00A7673B" w:rsidRDefault="00AB1395" w:rsidP="00B9647E">
      <w:pPr>
        <w:pStyle w:val="BNumberedSubheading"/>
      </w:pPr>
      <w:bookmarkStart w:id="18" w:name="_Toc145441865"/>
      <w:r w:rsidRPr="00A7673B">
        <w:t>MUERTES DE PERSONAS BAJO CUSTODIA DEL ESTADO</w:t>
      </w:r>
      <w:bookmarkEnd w:id="18"/>
    </w:p>
    <w:p w14:paraId="508232C6" w14:textId="6A871088" w:rsidR="00AB1395" w:rsidRPr="00A7673B" w:rsidRDefault="00AB1395" w:rsidP="00650611">
      <w:pPr>
        <w:pStyle w:val="BBodyText"/>
      </w:pPr>
      <w:r w:rsidRPr="00A7673B">
        <w:t xml:space="preserve">En el período bajo revisión </w:t>
      </w:r>
      <w:r w:rsidR="00650611" w:rsidRPr="00A7673B">
        <w:t xml:space="preserve">las muertes de personas privadas de libertad bajo custodia del Estado han continuado. Las condiciones de reclusión en Venezuela continúan siendo un motivo de amplia preocupación para las organizaciones de derechos humanos en el país (ver abajo). </w:t>
      </w:r>
      <w:r w:rsidR="00003E41" w:rsidRPr="00A7673B">
        <w:t>Además de las precarias condiciones de reclusión, las muertes bajo custodia del Estado venezolano muchas veces no son investigadas de manera pronta, efectiva e imparcial.</w:t>
      </w:r>
    </w:p>
    <w:p w14:paraId="2A6F204F" w14:textId="051E7C93" w:rsidR="0035469B" w:rsidRPr="00A7673B" w:rsidRDefault="0035469B" w:rsidP="00650611">
      <w:pPr>
        <w:pStyle w:val="BBodyText"/>
      </w:pPr>
      <w:r w:rsidRPr="00A7673B">
        <w:t xml:space="preserve">Ejemplo de ello fue la muerte de </w:t>
      </w:r>
      <w:r w:rsidR="00B53950" w:rsidRPr="00A7673B">
        <w:t>46</w:t>
      </w:r>
      <w:r w:rsidRPr="00A7673B">
        <w:t xml:space="preserve"> personas en el Centro </w:t>
      </w:r>
      <w:r w:rsidR="00EF23DE" w:rsidRPr="00A7673B">
        <w:t>Penitenciario de Los Llanos</w:t>
      </w:r>
      <w:r w:rsidRPr="00A7673B">
        <w:t xml:space="preserve"> de la ciudad de Guanare, en el estado Portuguesa en </w:t>
      </w:r>
      <w:r w:rsidR="00EF23DE" w:rsidRPr="00A7673B">
        <w:t xml:space="preserve">mayo de </w:t>
      </w:r>
      <w:r w:rsidRPr="00A7673B">
        <w:t>2020</w:t>
      </w:r>
      <w:r w:rsidR="00EF23DE" w:rsidRPr="00A7673B">
        <w:t>.</w:t>
      </w:r>
      <w:r w:rsidR="00207F6D" w:rsidRPr="00A7673B">
        <w:rPr>
          <w:rStyle w:val="FootnoteReference"/>
        </w:rPr>
        <w:footnoteReference w:id="19"/>
      </w:r>
      <w:r w:rsidR="00EF23DE" w:rsidRPr="00A7673B">
        <w:t xml:space="preserve"> </w:t>
      </w:r>
      <w:r w:rsidR="006D6B10">
        <w:t>Asimismo</w:t>
      </w:r>
      <w:r w:rsidR="004C450F">
        <w:t>,</w:t>
      </w:r>
      <w:r w:rsidR="006D6B10">
        <w:t xml:space="preserve"> el Foro Penal </w:t>
      </w:r>
      <w:r w:rsidR="002F3D11">
        <w:t>ha documentado 1</w:t>
      </w:r>
      <w:r w:rsidR="004970DD">
        <w:t>1</w:t>
      </w:r>
      <w:r w:rsidR="002F3D11">
        <w:t xml:space="preserve"> muertes de personas detenidas por motivos políticos mientras estaban bajo custodia del Estado</w:t>
      </w:r>
      <w:r w:rsidR="00D706BF">
        <w:t xml:space="preserve"> hasta el 2021</w:t>
      </w:r>
      <w:r w:rsidR="002F3D11">
        <w:t>.</w:t>
      </w:r>
      <w:r w:rsidR="008601E4">
        <w:rPr>
          <w:rStyle w:val="FootnoteReference"/>
        </w:rPr>
        <w:footnoteReference w:id="20"/>
      </w:r>
      <w:r w:rsidR="008601E4">
        <w:t xml:space="preserve"> </w:t>
      </w:r>
      <w:r w:rsidR="002F3D11">
        <w:t xml:space="preserve"> </w:t>
      </w:r>
      <w:r w:rsidR="00CF39D4" w:rsidRPr="00A7673B">
        <w:t>El Estado venezolano</w:t>
      </w:r>
      <w:r w:rsidR="00BE3138" w:rsidRPr="00A7673B">
        <w:t xml:space="preserve"> solo aporta estadísticas entre 2015 y 2019, </w:t>
      </w:r>
      <w:r w:rsidR="003378EC" w:rsidRPr="00A7673B">
        <w:rPr>
          <w:rStyle w:val="FootnoteReference"/>
        </w:rPr>
        <w:footnoteReference w:id="21"/>
      </w:r>
      <w:r w:rsidR="00BE3138" w:rsidRPr="00A7673B">
        <w:t xml:space="preserve"> por lo que la mejora en la situación de muerte</w:t>
      </w:r>
      <w:r w:rsidR="00D17487" w:rsidRPr="00A7673B">
        <w:t xml:space="preserve">s de personas privadas de libertad </w:t>
      </w:r>
      <w:r w:rsidR="00D12E13">
        <w:t xml:space="preserve">que señala el Estado </w:t>
      </w:r>
      <w:r w:rsidR="00D17487" w:rsidRPr="00A7673B">
        <w:t xml:space="preserve">no puede tenerse como cierta. </w:t>
      </w:r>
      <w:r w:rsidR="00BE3138" w:rsidRPr="00A7673B">
        <w:t xml:space="preserve"> </w:t>
      </w:r>
    </w:p>
    <w:p w14:paraId="37D8EE6F" w14:textId="1393C450" w:rsidR="00222787" w:rsidRDefault="00CC436E" w:rsidP="00650611">
      <w:pPr>
        <w:pStyle w:val="BBodyText"/>
      </w:pPr>
      <w:r>
        <w:t>En otros casos</w:t>
      </w:r>
      <w:r w:rsidR="00E875BD">
        <w:t>,</w:t>
      </w:r>
      <w:r>
        <w:t xml:space="preserve"> las muertes bajo custodia han generado denuncias de</w:t>
      </w:r>
      <w:r w:rsidR="0055469A">
        <w:t xml:space="preserve"> casos de tortura</w:t>
      </w:r>
      <w:r w:rsidR="0040786A">
        <w:t xml:space="preserve"> y otros malos tratos</w:t>
      </w:r>
      <w:r w:rsidR="0055469A">
        <w:t>.</w:t>
      </w:r>
      <w:r w:rsidR="00222787" w:rsidRPr="00A7673B">
        <w:t xml:space="preserve"> Los ejemplos más emblemáticos han sido la muerte de Rafael Acosta Arévalo en la sede judicial donde se celebraría su audiencia de presentación;</w:t>
      </w:r>
      <w:r w:rsidR="00E94C6E">
        <w:rPr>
          <w:rStyle w:val="FootnoteReference"/>
        </w:rPr>
        <w:footnoteReference w:id="22"/>
      </w:r>
      <w:r w:rsidR="00222787" w:rsidRPr="00A7673B">
        <w:t xml:space="preserve"> la muerte de Fernando Albán en la sede del Servicio Bolivariano de Inteligencia Nacional durante los interrogatorios posteriores a su detención;</w:t>
      </w:r>
      <w:r w:rsidR="00D41AC3">
        <w:rPr>
          <w:rStyle w:val="FootnoteReference"/>
        </w:rPr>
        <w:footnoteReference w:id="23"/>
      </w:r>
      <w:r w:rsidR="00222787" w:rsidRPr="00A7673B">
        <w:t xml:space="preserve"> y la muerte de Raúl Isaías </w:t>
      </w:r>
      <w:proofErr w:type="spellStart"/>
      <w:r w:rsidR="00222787" w:rsidRPr="00A7673B">
        <w:t>Baduel</w:t>
      </w:r>
      <w:proofErr w:type="spellEnd"/>
      <w:r w:rsidR="00483EDC" w:rsidRPr="00A7673B">
        <w:t xml:space="preserve"> en la sede del </w:t>
      </w:r>
      <w:r w:rsidR="004769D4">
        <w:t>SEBIN El Helicoide</w:t>
      </w:r>
      <w:r w:rsidR="00483EDC" w:rsidRPr="00A7673B">
        <w:t>, cuyas circunstancias no han sido aún aclaradas por las autoridades.</w:t>
      </w:r>
      <w:r w:rsidR="007D0E7A">
        <w:rPr>
          <w:rStyle w:val="FootnoteReference"/>
        </w:rPr>
        <w:footnoteReference w:id="24"/>
      </w:r>
      <w:r w:rsidR="00483EDC" w:rsidRPr="00A7673B">
        <w:t xml:space="preserve"> </w:t>
      </w:r>
    </w:p>
    <w:p w14:paraId="50208E68" w14:textId="4B2C9541" w:rsidR="008A7795" w:rsidRDefault="004769D4" w:rsidP="008A7795">
      <w:r>
        <w:t>Amnistía Internacional recomienda al estado venezolano que:</w:t>
      </w:r>
    </w:p>
    <w:p w14:paraId="6BAA7C4F" w14:textId="77777777" w:rsidR="004769D4" w:rsidRDefault="004769D4" w:rsidP="008A7795"/>
    <w:p w14:paraId="00024A9D" w14:textId="07FC73FE" w:rsidR="004769D4" w:rsidRPr="000C6AFD" w:rsidRDefault="001B3770" w:rsidP="004769D4">
      <w:pPr>
        <w:pStyle w:val="ListParagraph"/>
        <w:numPr>
          <w:ilvl w:val="0"/>
          <w:numId w:val="21"/>
        </w:numPr>
        <w:rPr>
          <w:sz w:val="20"/>
          <w:szCs w:val="20"/>
        </w:rPr>
      </w:pPr>
      <w:r>
        <w:rPr>
          <w:sz w:val="20"/>
          <w:szCs w:val="20"/>
        </w:rPr>
        <w:t>Detenga de forma inmediata</w:t>
      </w:r>
      <w:r w:rsidR="004769D4" w:rsidRPr="000C6AFD">
        <w:rPr>
          <w:sz w:val="20"/>
          <w:szCs w:val="20"/>
        </w:rPr>
        <w:t xml:space="preserve"> la política de control social a través del uso excesivo e ilegal de la fuerza</w:t>
      </w:r>
      <w:r>
        <w:rPr>
          <w:sz w:val="20"/>
          <w:szCs w:val="20"/>
        </w:rPr>
        <w:t>, incluyendo</w:t>
      </w:r>
      <w:r w:rsidR="004769D4" w:rsidRPr="000C6AFD">
        <w:rPr>
          <w:sz w:val="20"/>
          <w:szCs w:val="20"/>
        </w:rPr>
        <w:t xml:space="preserve"> ejecuciones extrajudiciales</w:t>
      </w:r>
      <w:r>
        <w:rPr>
          <w:sz w:val="20"/>
          <w:szCs w:val="20"/>
        </w:rPr>
        <w:t>,</w:t>
      </w:r>
      <w:r w:rsidR="00A5503A" w:rsidRPr="000C6AFD">
        <w:rPr>
          <w:sz w:val="20"/>
          <w:szCs w:val="20"/>
        </w:rPr>
        <w:t xml:space="preserve"> por parte de las fuerzas de seguridad venezolanas.</w:t>
      </w:r>
    </w:p>
    <w:p w14:paraId="2EF88C67" w14:textId="39CA8A5B" w:rsidR="00A5503A" w:rsidRPr="000C6AFD" w:rsidRDefault="001E5D14" w:rsidP="004769D4">
      <w:pPr>
        <w:pStyle w:val="ListParagraph"/>
        <w:numPr>
          <w:ilvl w:val="0"/>
          <w:numId w:val="21"/>
        </w:numPr>
        <w:rPr>
          <w:sz w:val="20"/>
          <w:szCs w:val="20"/>
        </w:rPr>
      </w:pPr>
      <w:r w:rsidRPr="000C6AFD">
        <w:rPr>
          <w:sz w:val="20"/>
          <w:szCs w:val="20"/>
        </w:rPr>
        <w:t>Informe de manera clara</w:t>
      </w:r>
      <w:r w:rsidR="006356CC" w:rsidRPr="000C6AFD">
        <w:rPr>
          <w:sz w:val="20"/>
          <w:szCs w:val="20"/>
        </w:rPr>
        <w:t>,</w:t>
      </w:r>
      <w:r w:rsidRPr="000C6AFD">
        <w:rPr>
          <w:sz w:val="20"/>
          <w:szCs w:val="20"/>
        </w:rPr>
        <w:t xml:space="preserve"> transparente </w:t>
      </w:r>
      <w:r w:rsidR="006356CC" w:rsidRPr="000C6AFD">
        <w:rPr>
          <w:sz w:val="20"/>
          <w:szCs w:val="20"/>
        </w:rPr>
        <w:t xml:space="preserve">y específica </w:t>
      </w:r>
      <w:r w:rsidRPr="000C6AFD">
        <w:rPr>
          <w:sz w:val="20"/>
          <w:szCs w:val="20"/>
        </w:rPr>
        <w:t xml:space="preserve">las cifras sobre muertes en operativos policiales, </w:t>
      </w:r>
      <w:r w:rsidR="007967EC" w:rsidRPr="000C6AFD">
        <w:rPr>
          <w:sz w:val="20"/>
          <w:szCs w:val="20"/>
        </w:rPr>
        <w:t xml:space="preserve">absteniéndose del uso de </w:t>
      </w:r>
      <w:r w:rsidR="00043DFC" w:rsidRPr="000C6AFD">
        <w:rPr>
          <w:sz w:val="20"/>
          <w:szCs w:val="20"/>
        </w:rPr>
        <w:t>categorías</w:t>
      </w:r>
      <w:r w:rsidR="007967EC" w:rsidRPr="000C6AFD">
        <w:rPr>
          <w:sz w:val="20"/>
          <w:szCs w:val="20"/>
        </w:rPr>
        <w:t xml:space="preserve"> ambiguas </w:t>
      </w:r>
      <w:r w:rsidR="003167AF" w:rsidRPr="000C6AFD">
        <w:rPr>
          <w:sz w:val="20"/>
          <w:szCs w:val="20"/>
        </w:rPr>
        <w:t xml:space="preserve">o amplias para catalogar las muertes </w:t>
      </w:r>
      <w:r w:rsidR="00043DFC" w:rsidRPr="000C6AFD">
        <w:rPr>
          <w:sz w:val="20"/>
          <w:szCs w:val="20"/>
        </w:rPr>
        <w:t>violentas.</w:t>
      </w:r>
      <w:r w:rsidR="006356CC" w:rsidRPr="000C6AFD">
        <w:rPr>
          <w:sz w:val="20"/>
          <w:szCs w:val="20"/>
        </w:rPr>
        <w:t xml:space="preserve"> </w:t>
      </w:r>
      <w:r w:rsidR="001B3770">
        <w:rPr>
          <w:sz w:val="20"/>
          <w:szCs w:val="20"/>
        </w:rPr>
        <w:t>Asimismo,</w:t>
      </w:r>
      <w:r w:rsidR="006356CC" w:rsidRPr="000C6AFD">
        <w:rPr>
          <w:sz w:val="20"/>
          <w:szCs w:val="20"/>
        </w:rPr>
        <w:t xml:space="preserve"> garanti</w:t>
      </w:r>
      <w:r w:rsidR="001B3770">
        <w:rPr>
          <w:sz w:val="20"/>
          <w:szCs w:val="20"/>
        </w:rPr>
        <w:t>zar</w:t>
      </w:r>
      <w:r w:rsidR="006356CC" w:rsidRPr="000C6AFD">
        <w:rPr>
          <w:sz w:val="20"/>
          <w:szCs w:val="20"/>
        </w:rPr>
        <w:t xml:space="preserve"> </w:t>
      </w:r>
      <w:r w:rsidR="004F53B2" w:rsidRPr="000C6AFD">
        <w:rPr>
          <w:sz w:val="20"/>
          <w:szCs w:val="20"/>
        </w:rPr>
        <w:t>el acceso a la</w:t>
      </w:r>
      <w:r w:rsidR="006356CC" w:rsidRPr="000C6AFD">
        <w:rPr>
          <w:sz w:val="20"/>
          <w:szCs w:val="20"/>
        </w:rPr>
        <w:t xml:space="preserve"> información</w:t>
      </w:r>
      <w:r w:rsidR="004F53B2" w:rsidRPr="000C6AFD">
        <w:rPr>
          <w:sz w:val="20"/>
          <w:szCs w:val="20"/>
        </w:rPr>
        <w:t xml:space="preserve"> sobre operativos policiales y uso de la fuerza. </w:t>
      </w:r>
    </w:p>
    <w:p w14:paraId="6E83055B" w14:textId="6F66F150" w:rsidR="006356CC" w:rsidRPr="000C6AFD" w:rsidRDefault="006356CC" w:rsidP="004769D4">
      <w:pPr>
        <w:pStyle w:val="ListParagraph"/>
        <w:numPr>
          <w:ilvl w:val="0"/>
          <w:numId w:val="21"/>
        </w:numPr>
        <w:rPr>
          <w:sz w:val="20"/>
          <w:szCs w:val="20"/>
        </w:rPr>
      </w:pPr>
      <w:r w:rsidRPr="000C6AFD">
        <w:rPr>
          <w:sz w:val="20"/>
          <w:szCs w:val="20"/>
        </w:rPr>
        <w:t xml:space="preserve">Informe de manera clara, transparente y específica las cifras sobre muertes violentas en Venezuela.  </w:t>
      </w:r>
    </w:p>
    <w:p w14:paraId="74C22226" w14:textId="26CFDD69" w:rsidR="00043DFC" w:rsidRPr="000C6AFD" w:rsidRDefault="00D54351" w:rsidP="004769D4">
      <w:pPr>
        <w:pStyle w:val="ListParagraph"/>
        <w:numPr>
          <w:ilvl w:val="0"/>
          <w:numId w:val="21"/>
        </w:numPr>
        <w:rPr>
          <w:sz w:val="20"/>
          <w:szCs w:val="20"/>
        </w:rPr>
      </w:pPr>
      <w:r w:rsidRPr="000C6AFD">
        <w:rPr>
          <w:sz w:val="20"/>
          <w:szCs w:val="20"/>
        </w:rPr>
        <w:t>Implemente</w:t>
      </w:r>
      <w:r w:rsidR="0091703D" w:rsidRPr="000C6AFD">
        <w:rPr>
          <w:sz w:val="20"/>
          <w:szCs w:val="20"/>
        </w:rPr>
        <w:t xml:space="preserve"> a cabalidad e íntegramente</w:t>
      </w:r>
      <w:r w:rsidRPr="000C6AFD">
        <w:rPr>
          <w:sz w:val="20"/>
          <w:szCs w:val="20"/>
        </w:rPr>
        <w:t xml:space="preserve"> las recomendaciones </w:t>
      </w:r>
      <w:r w:rsidR="0091703D" w:rsidRPr="000C6AFD">
        <w:rPr>
          <w:sz w:val="20"/>
          <w:szCs w:val="20"/>
        </w:rPr>
        <w:t>de los mecanismos internacionales para el respeto y garantía del derecho a la vida, en particular las emitidas por el Alto Comisionado para los Derechos Humanos y la Misión Internacional e Independiente de Determinación de los Hechos de las Naciones Unidas.</w:t>
      </w:r>
    </w:p>
    <w:p w14:paraId="66A0D5B8" w14:textId="2A2A8F9D" w:rsidR="00154A1A" w:rsidRPr="000C6AFD" w:rsidRDefault="009D455D" w:rsidP="004769D4">
      <w:pPr>
        <w:pStyle w:val="ListParagraph"/>
        <w:numPr>
          <w:ilvl w:val="0"/>
          <w:numId w:val="21"/>
        </w:numPr>
        <w:rPr>
          <w:sz w:val="20"/>
          <w:szCs w:val="20"/>
        </w:rPr>
      </w:pPr>
      <w:r w:rsidRPr="000C6AFD">
        <w:rPr>
          <w:sz w:val="20"/>
          <w:szCs w:val="20"/>
        </w:rPr>
        <w:t>Haga p</w:t>
      </w:r>
      <w:r w:rsidR="00E40B50" w:rsidRPr="000C6AFD">
        <w:rPr>
          <w:sz w:val="20"/>
          <w:szCs w:val="20"/>
        </w:rPr>
        <w:t>ú</w:t>
      </w:r>
      <w:r w:rsidRPr="000C6AFD">
        <w:rPr>
          <w:sz w:val="20"/>
          <w:szCs w:val="20"/>
        </w:rPr>
        <w:t xml:space="preserve">blica la información y garantice el derecho a la información relativa a las fuerzas de seguridad que están actualmente operando en Venezuela, sus cadenas de mando, sus competencias territoriales y materiales y </w:t>
      </w:r>
      <w:r w:rsidR="00157241" w:rsidRPr="000C6AFD">
        <w:rPr>
          <w:sz w:val="20"/>
          <w:szCs w:val="20"/>
        </w:rPr>
        <w:t>cualquier otro elemento de interés público</w:t>
      </w:r>
      <w:r w:rsidR="00F77A7F" w:rsidRPr="000C6AFD">
        <w:rPr>
          <w:sz w:val="20"/>
          <w:szCs w:val="20"/>
        </w:rPr>
        <w:t xml:space="preserve"> para garantizar la rendición de cuentas de estos organismos.</w:t>
      </w:r>
    </w:p>
    <w:p w14:paraId="7760233B" w14:textId="1418BBC4" w:rsidR="00F77A7F" w:rsidRPr="000C6AFD" w:rsidRDefault="00F77A7F" w:rsidP="004769D4">
      <w:pPr>
        <w:pStyle w:val="ListParagraph"/>
        <w:numPr>
          <w:ilvl w:val="0"/>
          <w:numId w:val="21"/>
        </w:numPr>
        <w:rPr>
          <w:sz w:val="20"/>
          <w:szCs w:val="20"/>
          <w:lang w:val="es-MX"/>
        </w:rPr>
      </w:pPr>
      <w:r w:rsidRPr="000C6AFD">
        <w:rPr>
          <w:sz w:val="20"/>
          <w:szCs w:val="20"/>
          <w:lang w:val="es-MX"/>
        </w:rPr>
        <w:t>Investigue de manera pronta, exhaustiva e imparcial las muertes bajo custodia del Estado y e</w:t>
      </w:r>
      <w:r w:rsidR="006372B8" w:rsidRPr="000C6AFD">
        <w:rPr>
          <w:sz w:val="20"/>
          <w:szCs w:val="20"/>
          <w:lang w:val="es-MX"/>
        </w:rPr>
        <w:t>n</w:t>
      </w:r>
      <w:r w:rsidRPr="000C6AFD">
        <w:rPr>
          <w:sz w:val="20"/>
          <w:szCs w:val="20"/>
          <w:lang w:val="es-MX"/>
        </w:rPr>
        <w:t xml:space="preserve"> particular aquellas</w:t>
      </w:r>
      <w:r w:rsidR="00333049" w:rsidRPr="000C6AFD">
        <w:rPr>
          <w:sz w:val="20"/>
          <w:szCs w:val="20"/>
          <w:lang w:val="es-MX"/>
        </w:rPr>
        <w:t xml:space="preserve"> en las </w:t>
      </w:r>
      <w:r w:rsidR="00D7483F">
        <w:rPr>
          <w:sz w:val="20"/>
          <w:szCs w:val="20"/>
          <w:lang w:val="es-MX"/>
        </w:rPr>
        <w:t xml:space="preserve">que </w:t>
      </w:r>
      <w:r w:rsidR="00EA1616">
        <w:rPr>
          <w:sz w:val="20"/>
          <w:szCs w:val="20"/>
          <w:lang w:val="es-MX"/>
        </w:rPr>
        <w:t xml:space="preserve">se denuncien </w:t>
      </w:r>
      <w:r w:rsidR="00D7483F">
        <w:rPr>
          <w:sz w:val="20"/>
          <w:szCs w:val="20"/>
          <w:lang w:val="es-MX"/>
        </w:rPr>
        <w:t xml:space="preserve">tortura u otros malos </w:t>
      </w:r>
      <w:r w:rsidR="00E34B9C" w:rsidRPr="000C6AFD">
        <w:rPr>
          <w:sz w:val="20"/>
          <w:szCs w:val="20"/>
          <w:lang w:val="es-MX"/>
        </w:rPr>
        <w:t>tratos</w:t>
      </w:r>
      <w:r w:rsidR="00D7483F">
        <w:rPr>
          <w:sz w:val="20"/>
          <w:szCs w:val="20"/>
          <w:lang w:val="es-MX"/>
        </w:rPr>
        <w:t>,</w:t>
      </w:r>
      <w:r w:rsidR="00E34B9C" w:rsidRPr="000C6AFD">
        <w:rPr>
          <w:sz w:val="20"/>
          <w:szCs w:val="20"/>
          <w:lang w:val="es-MX"/>
        </w:rPr>
        <w:t xml:space="preserve"> </w:t>
      </w:r>
      <w:r w:rsidR="00D7483F">
        <w:rPr>
          <w:sz w:val="20"/>
          <w:szCs w:val="20"/>
          <w:lang w:val="es-MX"/>
        </w:rPr>
        <w:t>i</w:t>
      </w:r>
      <w:r w:rsidR="006372B8" w:rsidRPr="000C6AFD">
        <w:rPr>
          <w:sz w:val="20"/>
          <w:szCs w:val="20"/>
          <w:lang w:val="es-MX"/>
        </w:rPr>
        <w:t>ncluyendo las cadenas de mando y la naturaleza sistemática y generalizada de estos hechos.</w:t>
      </w:r>
    </w:p>
    <w:p w14:paraId="358B67A9" w14:textId="15552068" w:rsidR="00066512" w:rsidRPr="000C6AFD" w:rsidRDefault="00066512" w:rsidP="004769D4">
      <w:pPr>
        <w:pStyle w:val="ListParagraph"/>
        <w:numPr>
          <w:ilvl w:val="0"/>
          <w:numId w:val="21"/>
        </w:numPr>
        <w:rPr>
          <w:sz w:val="20"/>
          <w:szCs w:val="20"/>
          <w:lang w:val="es-MX"/>
        </w:rPr>
      </w:pPr>
      <w:r w:rsidRPr="000C6AFD">
        <w:rPr>
          <w:sz w:val="20"/>
          <w:szCs w:val="20"/>
          <w:lang w:val="es-MX"/>
        </w:rPr>
        <w:t xml:space="preserve">Repare de manera </w:t>
      </w:r>
      <w:r w:rsidR="00D7483F">
        <w:rPr>
          <w:sz w:val="20"/>
          <w:szCs w:val="20"/>
          <w:lang w:val="es-MX"/>
        </w:rPr>
        <w:t xml:space="preserve">adecuada e </w:t>
      </w:r>
      <w:r w:rsidRPr="000C6AFD">
        <w:rPr>
          <w:sz w:val="20"/>
          <w:szCs w:val="20"/>
          <w:lang w:val="es-MX"/>
        </w:rPr>
        <w:t>integral a las víctimas de</w:t>
      </w:r>
      <w:r w:rsidR="00266FCC" w:rsidRPr="000C6AFD">
        <w:rPr>
          <w:sz w:val="20"/>
          <w:szCs w:val="20"/>
          <w:lang w:val="es-MX"/>
        </w:rPr>
        <w:t xml:space="preserve"> ejecuciones extrajudiciales </w:t>
      </w:r>
      <w:r w:rsidR="00D7483F">
        <w:rPr>
          <w:sz w:val="20"/>
          <w:szCs w:val="20"/>
          <w:lang w:val="es-MX"/>
        </w:rPr>
        <w:t xml:space="preserve">y otras violaciones a derechos humanos </w:t>
      </w:r>
      <w:r w:rsidR="00266FCC" w:rsidRPr="000C6AFD">
        <w:rPr>
          <w:sz w:val="20"/>
          <w:szCs w:val="20"/>
          <w:lang w:val="es-MX"/>
        </w:rPr>
        <w:t xml:space="preserve">en Venezuela. </w:t>
      </w:r>
    </w:p>
    <w:p w14:paraId="39AB8ABD" w14:textId="535D2796" w:rsidR="002F43FB" w:rsidRPr="00A7673B" w:rsidRDefault="00B11CB2" w:rsidP="00B9647E">
      <w:pPr>
        <w:pStyle w:val="BNumberedHeading"/>
      </w:pPr>
      <w:bookmarkStart w:id="19" w:name="_Toc145413291"/>
      <w:bookmarkStart w:id="20" w:name="_Toc145441866"/>
      <w:bookmarkEnd w:id="19"/>
      <w:r w:rsidRPr="00A7673B">
        <w:t>PROHIBICIÓN DE LA TORTURA</w:t>
      </w:r>
      <w:r w:rsidR="004959F4">
        <w:t xml:space="preserve"> y desaparición forzada de personas</w:t>
      </w:r>
      <w:r w:rsidR="00CB7434" w:rsidRPr="00A7673B">
        <w:t xml:space="preserve"> (ARTÍCULOS 2</w:t>
      </w:r>
      <w:r w:rsidR="00FE2739">
        <w:t xml:space="preserve">, </w:t>
      </w:r>
      <w:r w:rsidR="00CB7434" w:rsidRPr="00A7673B">
        <w:t>7</w:t>
      </w:r>
      <w:r w:rsidR="00FE2739">
        <w:t xml:space="preserve"> y 10</w:t>
      </w:r>
      <w:r w:rsidR="00CB7434" w:rsidRPr="00A7673B">
        <w:t>)</w:t>
      </w:r>
      <w:bookmarkEnd w:id="20"/>
    </w:p>
    <w:p w14:paraId="079A899E" w14:textId="3C309858" w:rsidR="00B679B5" w:rsidRPr="00A7673B" w:rsidRDefault="00F142A6" w:rsidP="00B9647E">
      <w:pPr>
        <w:pStyle w:val="BNumberedSubheading"/>
      </w:pPr>
      <w:bookmarkStart w:id="21" w:name="_Toc145441867"/>
      <w:r>
        <w:t>TORTURA EN EL MARCO DE LAS DETENCIONES ARBITRARIAS POR MOTIVOS POLÍTICOS</w:t>
      </w:r>
      <w:bookmarkEnd w:id="21"/>
    </w:p>
    <w:p w14:paraId="512A14BF" w14:textId="618210DD" w:rsidR="00481BFF" w:rsidRPr="00A7673B" w:rsidRDefault="00A60889" w:rsidP="00A60889">
      <w:pPr>
        <w:pStyle w:val="BBodyText"/>
      </w:pPr>
      <w:r w:rsidRPr="00A7673B">
        <w:t>La tortura y los tratos crueles</w:t>
      </w:r>
      <w:r w:rsidR="35656A21">
        <w:t>,</w:t>
      </w:r>
      <w:r w:rsidRPr="00A7673B">
        <w:t xml:space="preserve"> inhumanos y degradantes han sido parte de la política de represión implementada por el gobierno de Nicolás Maduro. Amnistía Internacional, la MIIDH, la OACNUDH, y otras organizaciones internacionales y nacionales han documentado el uso de tortura en las detenciones motivadas políticamente y con distintos fines </w:t>
      </w:r>
      <w:r w:rsidR="16DF3D59">
        <w:t xml:space="preserve">- </w:t>
      </w:r>
      <w:r w:rsidRPr="00A7673B">
        <w:t>como el de obtener confesiones o incriminación a terceras personas, y también como retaliación a las personas</w:t>
      </w:r>
      <w:r w:rsidR="00DD26CC" w:rsidRPr="00A7673B">
        <w:t xml:space="preserve"> críticas al gobierno</w:t>
      </w:r>
      <w:r w:rsidR="26641E32">
        <w:t xml:space="preserve"> o percibidas como tales</w:t>
      </w:r>
      <w:r w:rsidR="00DD26CC" w:rsidRPr="00A7673B">
        <w:t xml:space="preserve">. </w:t>
      </w:r>
    </w:p>
    <w:p w14:paraId="25E3971E" w14:textId="42750BF7" w:rsidR="00F23D41" w:rsidRDefault="00DD26CC" w:rsidP="00A60889">
      <w:pPr>
        <w:pStyle w:val="BBodyText"/>
      </w:pPr>
      <w:r w:rsidRPr="00A7673B">
        <w:t xml:space="preserve">La MIIDH ha catalogado la tortura </w:t>
      </w:r>
      <w:r w:rsidR="00F35693" w:rsidRPr="00A7673B">
        <w:t>aplicada por los órganos de inteligencia venezolanos como crímenes de derecho internacional y como parte de un ataque generalizado y sistemático contra la población</w:t>
      </w:r>
      <w:r w:rsidR="5087B1CC" w:rsidRPr="00A7673B">
        <w:t xml:space="preserve"> civil</w:t>
      </w:r>
      <w:r w:rsidR="00F35693" w:rsidRPr="00A7673B">
        <w:t>, por lo que estos actos podrían constituir crímenes de lesa humanidad.</w:t>
      </w:r>
      <w:r w:rsidR="00DF44CC">
        <w:rPr>
          <w:rStyle w:val="FootnoteReference"/>
        </w:rPr>
        <w:footnoteReference w:id="25"/>
      </w:r>
    </w:p>
    <w:p w14:paraId="77C2B390" w14:textId="70F35B3E" w:rsidR="00C232AF" w:rsidRDefault="00F23D41" w:rsidP="00200350">
      <w:pPr>
        <w:pStyle w:val="BBodyText"/>
      </w:pPr>
      <w:r>
        <w:t>Amnistía Internacional hizo pública la documentación del caso de Rafael Acosta Arévalo, militar en situación de retiro que fue detenido arbitrariamente, desapar</w:t>
      </w:r>
      <w:r w:rsidR="00EF7A12">
        <w:t>e</w:t>
      </w:r>
      <w:r>
        <w:t xml:space="preserve">cido forzosamente, </w:t>
      </w:r>
      <w:r w:rsidR="00EF7A12">
        <w:t xml:space="preserve">torturado y que murió ante el juez antes de </w:t>
      </w:r>
      <w:r w:rsidR="080BD63B">
        <w:t xml:space="preserve">que se </w:t>
      </w:r>
      <w:r w:rsidR="00EF7A12">
        <w:t xml:space="preserve">celebrase la audiencia de presentación en la que se le </w:t>
      </w:r>
      <w:r w:rsidR="34B3CE4C">
        <w:t xml:space="preserve">iban a </w:t>
      </w:r>
      <w:r w:rsidR="00EF7A12">
        <w:t>imputar los cargos y se determinaría la legalidad de su detención. Este caso</w:t>
      </w:r>
      <w:r w:rsidR="00226E60">
        <w:t>,</w:t>
      </w:r>
      <w:r w:rsidR="00EF7A12">
        <w:t xml:space="preserve"> que también ha sido documentado por otros organismos internacionales</w:t>
      </w:r>
      <w:r w:rsidR="002C3261">
        <w:t xml:space="preserve"> como la MIIDH</w:t>
      </w:r>
      <w:r w:rsidR="00226E60">
        <w:t>,</w:t>
      </w:r>
      <w:r w:rsidR="00EF7A12">
        <w:t xml:space="preserve"> da cuenta de los</w:t>
      </w:r>
      <w:r w:rsidR="007E67A6">
        <w:t xml:space="preserve"> métodos de tortura utilizados por la DGCIM.</w:t>
      </w:r>
      <w:r w:rsidR="009C72D5">
        <w:rPr>
          <w:rStyle w:val="FootnoteReference"/>
        </w:rPr>
        <w:footnoteReference w:id="26"/>
      </w:r>
      <w:r w:rsidR="007E67A6">
        <w:t xml:space="preserve"> En el caso de Rafael Acosta Arévalo, </w:t>
      </w:r>
      <w:r w:rsidR="00200350" w:rsidRPr="00200350">
        <w:t>la inspección de</w:t>
      </w:r>
      <w:r w:rsidR="38E130D7" w:rsidRPr="00200350">
        <w:t xml:space="preserve"> su</w:t>
      </w:r>
      <w:r w:rsidR="00200350" w:rsidRPr="00200350">
        <w:t xml:space="preserve"> cadáver realizada por el CICPC recoge la mayoría de las lesiones corporales, tales como escoriaciones, hematomas y quemaduras en</w:t>
      </w:r>
      <w:r w:rsidR="7B7F0054" w:rsidRPr="00200350">
        <w:t>,</w:t>
      </w:r>
      <w:r w:rsidR="00200350" w:rsidRPr="00200350">
        <w:t xml:space="preserve"> al menos</w:t>
      </w:r>
      <w:r w:rsidR="1C3EC8ED" w:rsidRPr="00200350">
        <w:t>,</w:t>
      </w:r>
      <w:r w:rsidR="00200350" w:rsidRPr="00200350">
        <w:t xml:space="preserve"> 50 partes diferentes del cuerpo</w:t>
      </w:r>
      <w:r w:rsidR="00200350">
        <w:t>.</w:t>
      </w:r>
      <w:r w:rsidR="00CA075B">
        <w:rPr>
          <w:rStyle w:val="FootnoteReference"/>
        </w:rPr>
        <w:footnoteReference w:id="27"/>
      </w:r>
    </w:p>
    <w:p w14:paraId="71E8C2CC" w14:textId="21527144" w:rsidR="00E54E06" w:rsidRDefault="00C232AF" w:rsidP="00200350">
      <w:pPr>
        <w:pStyle w:val="BBodyText"/>
      </w:pPr>
      <w:r>
        <w:t xml:space="preserve">Asimismo, </w:t>
      </w:r>
      <w:proofErr w:type="spellStart"/>
      <w:r>
        <w:t>Emirlendris</w:t>
      </w:r>
      <w:proofErr w:type="spellEnd"/>
      <w:r>
        <w:t xml:space="preserve"> Benítez, detenida arbitrariamente por motivos políticos en 2018, ha relatado las distintas formas de torturas a las que </w:t>
      </w:r>
      <w:r w:rsidR="00C42A25">
        <w:t>fue</w:t>
      </w:r>
      <w:r>
        <w:t xml:space="preserve"> sometid</w:t>
      </w:r>
      <w:r w:rsidR="14DD5B31">
        <w:t>a</w:t>
      </w:r>
      <w:r>
        <w:t>, incluido golpes, asfixias, inmovilización de manos y pies, y golpes contundentes en la zona abdominal a pesar de</w:t>
      </w:r>
      <w:r w:rsidR="00A5238D">
        <w:t xml:space="preserve"> informar a los funcionarios que practicaron su detención, de que estaba embarazada.</w:t>
      </w:r>
      <w:r w:rsidR="00A5238D">
        <w:rPr>
          <w:rStyle w:val="FootnoteReference"/>
        </w:rPr>
        <w:footnoteReference w:id="28"/>
      </w:r>
    </w:p>
    <w:p w14:paraId="220FDCEB" w14:textId="487F78A6" w:rsidR="00F142A6" w:rsidRPr="00A7673B" w:rsidRDefault="00EA79F9" w:rsidP="00B9647E">
      <w:pPr>
        <w:pStyle w:val="BNumberedSubheading"/>
      </w:pPr>
      <w:bookmarkStart w:id="22" w:name="_Toc145441868"/>
      <w:r w:rsidRPr="00A7673B">
        <w:t>DESAPARICIONES FORZADAS DE PERSONAS POR MOTIVOS POLÍTICOS</w:t>
      </w:r>
      <w:bookmarkEnd w:id="22"/>
      <w:r w:rsidRPr="00A7673B">
        <w:t xml:space="preserve"> </w:t>
      </w:r>
    </w:p>
    <w:p w14:paraId="2FF4B739" w14:textId="51B8A942" w:rsidR="00F142A6" w:rsidRPr="00A7673B" w:rsidRDefault="00F142A6" w:rsidP="00F142A6">
      <w:pPr>
        <w:pStyle w:val="BBodyText"/>
      </w:pPr>
      <w:r w:rsidRPr="00A7673B">
        <w:t xml:space="preserve">El Comité ha incluido en su lista de cuestiones al Estado venezolano la pregunta sobre cómo se previenen las desapariciones forzadas de personas, cómo se investigan hechos relacionados </w:t>
      </w:r>
      <w:r w:rsidR="2DE8CDE3">
        <w:t xml:space="preserve">con </w:t>
      </w:r>
      <w:r>
        <w:t>ell</w:t>
      </w:r>
      <w:r w:rsidR="4025588F">
        <w:t>as</w:t>
      </w:r>
      <w:r w:rsidRPr="00A7673B">
        <w:t xml:space="preserve"> y ha pedido información sobre la motivación política detrás de estas actuaciones. </w:t>
      </w:r>
    </w:p>
    <w:p w14:paraId="5A25C28C" w14:textId="34422C55" w:rsidR="00F142A6" w:rsidRPr="00A7673B" w:rsidRDefault="00F142A6" w:rsidP="00F142A6">
      <w:pPr>
        <w:pStyle w:val="BBodyText"/>
      </w:pPr>
      <w:r w:rsidRPr="00A7673B">
        <w:t>Amnistía Internacional ha documentado un patrón de desapariciones forzadas de corta duración que suceden después de las detenciones arbitrarias por motivos políticos en Venezuela y como parte de una política de represión implementada por el gobierno de Nicolás Maduro. En el último informe, Amnistía Internacional relató c</w:t>
      </w:r>
      <w:r w:rsidR="5CD6CD63" w:rsidRPr="00A7673B">
        <w:t>ó</w:t>
      </w:r>
      <w:r w:rsidRPr="00A7673B">
        <w:t xml:space="preserve">mo la detención arbitraria de </w:t>
      </w:r>
      <w:r w:rsidR="00517B98">
        <w:t>ocho</w:t>
      </w:r>
      <w:r w:rsidR="00144AE2" w:rsidRPr="00A7673B">
        <w:t xml:space="preserve"> </w:t>
      </w:r>
      <w:r w:rsidRPr="00A7673B">
        <w:t>personas fue seguida de un período de desaparición forzada.</w:t>
      </w:r>
      <w:r w:rsidRPr="00A7673B">
        <w:rPr>
          <w:rStyle w:val="FootnoteReference"/>
        </w:rPr>
        <w:footnoteReference w:id="29"/>
      </w:r>
      <w:r w:rsidRPr="00A7673B">
        <w:t xml:space="preserve"> </w:t>
      </w:r>
    </w:p>
    <w:p w14:paraId="75A56194" w14:textId="08AAC6D9" w:rsidR="00F142A6" w:rsidRPr="00A7673B" w:rsidRDefault="00F142A6" w:rsidP="00F142A6">
      <w:pPr>
        <w:pStyle w:val="BBodyText"/>
      </w:pPr>
      <w:r w:rsidRPr="00A7673B">
        <w:t xml:space="preserve">Asimismo, la organización denunció en 2020 la detención arbitraria, desaparición forzada, tortura y muerte de Rafael Acosta Arévalo por parte de supuestos funcionarios de la Dirección General de Contrainteligencia Militar (DGCIM) en 2019. Si bien este caso ha tenido </w:t>
      </w:r>
      <w:r w:rsidR="05CBEFBD" w:rsidRPr="00A7673B">
        <w:t xml:space="preserve">cierta </w:t>
      </w:r>
      <w:r w:rsidRPr="00A7673B">
        <w:t>atención por parte de las autoridades, no se ha investigado penalmente como desaparición forzada, ni tampoco se han esclarecido las cadenas de mando que habrían facilitado los hechos.</w:t>
      </w:r>
      <w:r w:rsidRPr="00A7673B">
        <w:rPr>
          <w:rStyle w:val="FootnoteReference"/>
        </w:rPr>
        <w:footnoteReference w:id="30"/>
      </w:r>
      <w:r w:rsidRPr="00A7673B">
        <w:t xml:space="preserve"> </w:t>
      </w:r>
    </w:p>
    <w:p w14:paraId="649D5A1B" w14:textId="40B88D8B" w:rsidR="00F142A6" w:rsidRPr="00A7673B" w:rsidRDefault="00F142A6" w:rsidP="00F142A6">
      <w:pPr>
        <w:pStyle w:val="BBodyText"/>
      </w:pPr>
      <w:r w:rsidRPr="00A7673B">
        <w:t xml:space="preserve">La MIIDH en </w:t>
      </w:r>
      <w:r>
        <w:t>2020</w:t>
      </w:r>
      <w:r w:rsidRPr="00A7673B">
        <w:t xml:space="preserve"> e</w:t>
      </w:r>
      <w:r w:rsidR="4FEE7971" w:rsidRPr="00A7673B">
        <w:t>xpresó</w:t>
      </w:r>
      <w:r w:rsidRPr="00A7673B">
        <w:t xml:space="preserve"> su preocupación por </w:t>
      </w:r>
      <w:r w:rsidR="19D4AE5B" w:rsidRPr="00A7673B">
        <w:t>aquel</w:t>
      </w:r>
      <w:r w:rsidRPr="00A7673B">
        <w:t xml:space="preserve">las personas detenidas por los órganos de inteligencia estatal y luego sometidas a períodos de desaparición forzada en centros detención clandestinos conocidos como “casas </w:t>
      </w:r>
      <w:r w:rsidR="0030582E">
        <w:t>seguras</w:t>
      </w:r>
      <w:r w:rsidRPr="00A7673B">
        <w:t>”.</w:t>
      </w:r>
      <w:r w:rsidR="0030582E">
        <w:rPr>
          <w:rStyle w:val="FootnoteReference"/>
        </w:rPr>
        <w:footnoteReference w:id="31"/>
      </w:r>
      <w:r w:rsidRPr="00A7673B">
        <w:t xml:space="preserve"> El caso de Rafael Acosta Arévalo </w:t>
      </w:r>
      <w:r w:rsidR="000D2D20">
        <w:t>(</w:t>
      </w:r>
      <w:r w:rsidR="002A4044">
        <w:t>ver en “Tortura”</w:t>
      </w:r>
      <w:r w:rsidR="000D2D20">
        <w:t xml:space="preserve">) </w:t>
      </w:r>
      <w:r w:rsidRPr="00A7673B">
        <w:t xml:space="preserve">es un ejemplo de esta práctica que se inserta en la política </w:t>
      </w:r>
      <w:r>
        <w:t>de represión</w:t>
      </w:r>
      <w:r w:rsidRPr="00A7673B">
        <w:t xml:space="preserve"> implementada por el gobierno. </w:t>
      </w:r>
    </w:p>
    <w:p w14:paraId="0396BB05" w14:textId="4D6CBA5A" w:rsidR="00F142A6" w:rsidRPr="00A7673B" w:rsidRDefault="3E0261FE" w:rsidP="00F142A6">
      <w:pPr>
        <w:pStyle w:val="BBodyText"/>
      </w:pPr>
      <w:r>
        <w:t>Las autoridades</w:t>
      </w:r>
      <w:r w:rsidR="00F142A6" w:rsidRPr="00A7673B">
        <w:t xml:space="preserve"> </w:t>
      </w:r>
      <w:r w:rsidR="00F142A6">
        <w:t>venezolan</w:t>
      </w:r>
      <w:r w:rsidR="498F136B">
        <w:t>as</w:t>
      </w:r>
      <w:r w:rsidR="00F142A6">
        <w:t xml:space="preserve"> </w:t>
      </w:r>
      <w:r w:rsidR="1162FFCF">
        <w:t xml:space="preserve">han </w:t>
      </w:r>
      <w:r w:rsidR="00F142A6">
        <w:t>informa</w:t>
      </w:r>
      <w:r w:rsidR="63FA80D0">
        <w:t>do</w:t>
      </w:r>
      <w:r w:rsidR="00F142A6" w:rsidRPr="00A7673B">
        <w:t xml:space="preserve"> al Comité el avance de </w:t>
      </w:r>
      <w:r w:rsidR="1BD5CB1D">
        <w:t xml:space="preserve">las </w:t>
      </w:r>
      <w:r w:rsidR="00F142A6" w:rsidRPr="00A7673B">
        <w:t xml:space="preserve">investigaciones penales. Si bien la organización no conoce el contenido específico de </w:t>
      </w:r>
      <w:r w:rsidR="06AC5941">
        <w:t>tales informes</w:t>
      </w:r>
      <w:r w:rsidR="00F142A6" w:rsidRPr="00A7673B">
        <w:t xml:space="preserve">, </w:t>
      </w:r>
      <w:r w:rsidR="56507C0A">
        <w:t xml:space="preserve">debe señalarse </w:t>
      </w:r>
      <w:r w:rsidR="00F142A6" w:rsidRPr="00A7673B">
        <w:t xml:space="preserve">que la motivación política detrás de estos hechos ha sido negada por </w:t>
      </w:r>
      <w:r w:rsidR="529FC52C">
        <w:t>las autoridades</w:t>
      </w:r>
      <w:r w:rsidR="00F142A6" w:rsidRPr="00A7673B">
        <w:t xml:space="preserve">. No obstante, Amnistía Internacional y otros actores </w:t>
      </w:r>
      <w:r w:rsidR="00F142A6">
        <w:t>h</w:t>
      </w:r>
      <w:r w:rsidR="0B91C751">
        <w:t>an</w:t>
      </w:r>
      <w:r w:rsidR="00F142A6" w:rsidRPr="00A7673B">
        <w:t xml:space="preserve"> documentado consistentemente la motivación política detrás de este tipo de hechos y cómo esos períodos </w:t>
      </w:r>
      <w:r w:rsidR="354332E3">
        <w:t xml:space="preserve">relativamente cortos </w:t>
      </w:r>
      <w:r w:rsidR="00F142A6" w:rsidRPr="00A7673B">
        <w:t xml:space="preserve">de desaparición forzada favorecen y propician que se apliquen métodos de tortura para extraer información de las personas detenidas. </w:t>
      </w:r>
    </w:p>
    <w:p w14:paraId="7260E26A" w14:textId="5AB76872" w:rsidR="000A7CA9" w:rsidRPr="002C3261" w:rsidRDefault="00F142A6" w:rsidP="00F142A6">
      <w:pPr>
        <w:pStyle w:val="BSmallheadingCAPS"/>
        <w:rPr>
          <w:rFonts w:ascii="Amnesty Trade Gothic Light" w:eastAsia="Times New Roman" w:hAnsi="Amnesty Trade Gothic Light" w:cs="Arial"/>
          <w:b w:val="0"/>
          <w:caps w:val="0"/>
          <w:color w:val="auto"/>
          <w:sz w:val="21"/>
          <w:szCs w:val="21"/>
          <w:lang w:eastAsia="en-US"/>
        </w:rPr>
      </w:pPr>
      <w:r w:rsidRPr="69C4296C">
        <w:rPr>
          <w:rFonts w:ascii="Amnesty Trade Gothic Light" w:eastAsia="Times New Roman" w:hAnsi="Amnesty Trade Gothic Light" w:cs="Arial"/>
          <w:b w:val="0"/>
          <w:caps w:val="0"/>
          <w:color w:val="auto"/>
          <w:sz w:val="21"/>
          <w:szCs w:val="21"/>
          <w:lang w:eastAsia="en-US"/>
        </w:rPr>
        <w:t>Venezuela aún no ha ratificado la Convención Internacional para Proteger a Todas las Personas de la Desaparición Forzada</w:t>
      </w:r>
      <w:r w:rsidR="38BDF184" w:rsidRPr="69C4296C">
        <w:rPr>
          <w:rFonts w:ascii="Amnesty Trade Gothic Light" w:eastAsia="Times New Roman" w:hAnsi="Amnesty Trade Gothic Light" w:cs="Arial"/>
          <w:b w:val="0"/>
          <w:caps w:val="0"/>
          <w:noProof w:val="0"/>
          <w:color w:val="auto"/>
          <w:sz w:val="21"/>
          <w:szCs w:val="21"/>
          <w:lang w:eastAsia="en-US"/>
        </w:rPr>
        <w:t>, que fuera firmada el 21 de octubre de 2008</w:t>
      </w:r>
      <w:r w:rsidRPr="69C4296C">
        <w:rPr>
          <w:rFonts w:ascii="Amnesty Trade Gothic Light" w:eastAsia="Times New Roman" w:hAnsi="Amnesty Trade Gothic Light" w:cs="Arial"/>
          <w:b w:val="0"/>
          <w:caps w:val="0"/>
          <w:color w:val="auto"/>
          <w:sz w:val="21"/>
          <w:szCs w:val="21"/>
          <w:lang w:eastAsia="en-US"/>
        </w:rPr>
        <w:t>.</w:t>
      </w:r>
    </w:p>
    <w:p w14:paraId="3165E0FF" w14:textId="3E7D9243" w:rsidR="00E30EBA" w:rsidRPr="00A7673B" w:rsidRDefault="00E30EBA" w:rsidP="00B9647E">
      <w:pPr>
        <w:pStyle w:val="BNumberedSubheading"/>
      </w:pPr>
      <w:bookmarkStart w:id="23" w:name="_Toc145441869"/>
      <w:r w:rsidRPr="00A7673B">
        <w:t>INVESTIGACIONES PENALES Y ACCESO A LA JUSTICIA</w:t>
      </w:r>
      <w:bookmarkEnd w:id="23"/>
    </w:p>
    <w:p w14:paraId="327572B9" w14:textId="4E1E31F8" w:rsidR="0026550C" w:rsidRPr="00A7673B" w:rsidRDefault="77220747" w:rsidP="0070380B">
      <w:pPr>
        <w:pStyle w:val="BBodyText"/>
      </w:pPr>
      <w:r>
        <w:t>Las autoridades</w:t>
      </w:r>
      <w:r w:rsidR="00E30EBA" w:rsidRPr="00A7673B">
        <w:t xml:space="preserve"> venezolan</w:t>
      </w:r>
      <w:r w:rsidR="30A80A58">
        <w:t>as</w:t>
      </w:r>
      <w:r w:rsidR="00E30EBA" w:rsidRPr="00A7673B">
        <w:t xml:space="preserve"> </w:t>
      </w:r>
      <w:r w:rsidR="7176BCE9">
        <w:t xml:space="preserve">han </w:t>
      </w:r>
      <w:r w:rsidR="00E30EBA" w:rsidRPr="00A7673B">
        <w:t>inform</w:t>
      </w:r>
      <w:r w:rsidR="201E76E7">
        <w:t>ado</w:t>
      </w:r>
      <w:r w:rsidR="00E30EBA" w:rsidRPr="00A7673B">
        <w:t xml:space="preserve"> que s</w:t>
      </w:r>
      <w:r w:rsidR="00F36860" w:rsidRPr="00A7673B">
        <w:t xml:space="preserve">e </w:t>
      </w:r>
      <w:r w:rsidR="1451F216" w:rsidRPr="00A7673B">
        <w:t xml:space="preserve">ha </w:t>
      </w:r>
      <w:r w:rsidR="00F36860" w:rsidRPr="00A7673B">
        <w:t>i</w:t>
      </w:r>
      <w:r w:rsidR="00A315EF">
        <w:t xml:space="preserve">nvestigado </w:t>
      </w:r>
      <w:r w:rsidR="7172FF6F" w:rsidRPr="00A7673B">
        <w:t xml:space="preserve">a </w:t>
      </w:r>
      <w:r w:rsidR="00F36860" w:rsidRPr="00A7673B">
        <w:t>1.486 funcionarios</w:t>
      </w:r>
      <w:r w:rsidR="00D351ED" w:rsidRPr="00A7673B">
        <w:t xml:space="preserve"> por tortura</w:t>
      </w:r>
      <w:r w:rsidR="00F36860" w:rsidRPr="00A7673B">
        <w:t>,</w:t>
      </w:r>
      <w:r w:rsidR="00D351ED" w:rsidRPr="00A7673B">
        <w:t xml:space="preserve"> se acusaron</w:t>
      </w:r>
      <w:r w:rsidR="00F36860" w:rsidRPr="00A7673B">
        <w:t xml:space="preserve"> 993 funcionarios y se logró la condena de 108 funcionarios</w:t>
      </w:r>
      <w:r w:rsidR="0069563E" w:rsidRPr="00A7673B">
        <w:t xml:space="preserve"> entre 2017 y 2022.</w:t>
      </w:r>
      <w:r w:rsidR="00D351ED" w:rsidRPr="00A7673B">
        <w:rPr>
          <w:rStyle w:val="FootnoteReference"/>
        </w:rPr>
        <w:footnoteReference w:id="32"/>
      </w:r>
    </w:p>
    <w:p w14:paraId="5CD5218C" w14:textId="63D9E0B1" w:rsidR="00FD29F5" w:rsidRPr="00A7673B" w:rsidRDefault="00393563" w:rsidP="0070380B">
      <w:pPr>
        <w:pStyle w:val="BBodyText"/>
      </w:pPr>
      <w:r w:rsidRPr="00A7673B">
        <w:t xml:space="preserve">No obstante, Amnistía Internacional ha documentado </w:t>
      </w:r>
      <w:r w:rsidR="5374B3DB">
        <w:t xml:space="preserve">numerosos </w:t>
      </w:r>
      <w:r w:rsidRPr="00A7673B">
        <w:t>casos de torturas que no han sido cabalmente investigados</w:t>
      </w:r>
      <w:r w:rsidR="237454B1">
        <w:t>,</w:t>
      </w:r>
      <w:r w:rsidRPr="00A7673B">
        <w:t xml:space="preserve"> sin importar que las víctimas hayan aparecido ante los tribunales con evidentes signos de </w:t>
      </w:r>
      <w:r w:rsidR="00FD2D81" w:rsidRPr="00A7673B">
        <w:t>tortura y que</w:t>
      </w:r>
      <w:r w:rsidR="05B5CD54">
        <w:t>,</w:t>
      </w:r>
      <w:r w:rsidR="00FD2D81" w:rsidRPr="00A7673B">
        <w:t xml:space="preserve"> posteriormente</w:t>
      </w:r>
      <w:r w:rsidR="7318777A">
        <w:t>,</w:t>
      </w:r>
      <w:r w:rsidR="00FD2D81" w:rsidRPr="00A7673B">
        <w:t xml:space="preserve"> se </w:t>
      </w:r>
      <w:r w:rsidR="00FD2D81">
        <w:t>haya</w:t>
      </w:r>
      <w:r w:rsidR="2C0C9879">
        <w:t>n</w:t>
      </w:r>
      <w:r w:rsidR="00FD2D81" w:rsidRPr="00A7673B">
        <w:t xml:space="preserve"> denunciado por parte de los equipos de defensa legal de las víctimas.</w:t>
      </w:r>
    </w:p>
    <w:p w14:paraId="1CAFD5E2" w14:textId="67A15C69" w:rsidR="00961EF1" w:rsidRPr="00A7673B" w:rsidRDefault="00FD2D81" w:rsidP="0070380B">
      <w:pPr>
        <w:pStyle w:val="BBodyText"/>
      </w:pPr>
      <w:r w:rsidRPr="00A7673B">
        <w:t xml:space="preserve">Ejemplo de ello es el caso de </w:t>
      </w:r>
      <w:proofErr w:type="spellStart"/>
      <w:r w:rsidRPr="00A7673B">
        <w:t>Emirlendris</w:t>
      </w:r>
      <w:proofErr w:type="spellEnd"/>
      <w:r w:rsidRPr="00A7673B">
        <w:t xml:space="preserve"> Benítez</w:t>
      </w:r>
      <w:r w:rsidR="009E60A3">
        <w:t xml:space="preserve"> (ver arriba).</w:t>
      </w:r>
      <w:r w:rsidR="004F6AA4" w:rsidRPr="00A7673B">
        <w:t xml:space="preserve"> Su detención ha sido catalogada como arbitraria por el Grupo de Trabajo de Detenciones Arbitrarias de las Naciones Unidas, pero </w:t>
      </w:r>
      <w:r w:rsidR="000D08E6" w:rsidRPr="00A7673B">
        <w:t>además</w:t>
      </w:r>
      <w:r w:rsidR="2A9624E1" w:rsidRPr="00A7673B">
        <w:t>,</w:t>
      </w:r>
      <w:r w:rsidR="000D08E6" w:rsidRPr="00A7673B">
        <w:t xml:space="preserve"> se han documentado las torturas que sufrió en los primeros días de su detención -</w:t>
      </w:r>
      <w:r w:rsidR="291D926F" w:rsidRPr="00A7673B">
        <w:t xml:space="preserve"> período durante el </w:t>
      </w:r>
      <w:r w:rsidR="000D08E6" w:rsidRPr="00A7673B">
        <w:t xml:space="preserve">cual estuvo </w:t>
      </w:r>
      <w:r w:rsidR="5925780E" w:rsidRPr="00A7673B">
        <w:t xml:space="preserve">sometida a </w:t>
      </w:r>
      <w:r w:rsidR="00A315EF" w:rsidRPr="00A7673B">
        <w:t>desaparición</w:t>
      </w:r>
      <w:r w:rsidR="000D08E6" w:rsidRPr="00A7673B">
        <w:t xml:space="preserve"> forzada- y que han dejado graves secuelas </w:t>
      </w:r>
      <w:r w:rsidR="5FDDE72F" w:rsidRPr="00A7673B">
        <w:t>en</w:t>
      </w:r>
      <w:r w:rsidR="000D08E6" w:rsidRPr="00A7673B">
        <w:t xml:space="preserve"> su salud</w:t>
      </w:r>
      <w:r w:rsidR="001D722A" w:rsidRPr="00A7673B">
        <w:t xml:space="preserve"> </w:t>
      </w:r>
      <w:r w:rsidR="7E07EE75" w:rsidRPr="00A7673B">
        <w:t xml:space="preserve">y </w:t>
      </w:r>
      <w:r w:rsidR="001D722A" w:rsidRPr="00A7673B">
        <w:t xml:space="preserve">que la han dejado con movilidad reducida. </w:t>
      </w:r>
      <w:proofErr w:type="spellStart"/>
      <w:r w:rsidR="001D722A" w:rsidRPr="00A7673B">
        <w:t>Emirlendris</w:t>
      </w:r>
      <w:proofErr w:type="spellEnd"/>
      <w:r w:rsidR="001D722A" w:rsidRPr="00A7673B">
        <w:t xml:space="preserve"> </w:t>
      </w:r>
      <w:r w:rsidR="009D0098" w:rsidRPr="00A7673B">
        <w:t>Benítez estaba embarazada cuando fue detenida y</w:t>
      </w:r>
      <w:r w:rsidR="49EF9638" w:rsidRPr="00A7673B">
        <w:t>,</w:t>
      </w:r>
      <w:r w:rsidR="009D0098" w:rsidRPr="00A7673B">
        <w:t xml:space="preserve"> sin embargo</w:t>
      </w:r>
      <w:r w:rsidR="6AAF5ED0" w:rsidRPr="00A7673B">
        <w:t>,</w:t>
      </w:r>
      <w:r w:rsidR="009D0098" w:rsidRPr="00A7673B">
        <w:t xml:space="preserve"> fue torturada</w:t>
      </w:r>
      <w:r w:rsidR="00164E42" w:rsidRPr="00A7673B">
        <w:t xml:space="preserve"> físicamente</w:t>
      </w:r>
      <w:r w:rsidR="009D0098" w:rsidRPr="00A7673B">
        <w:t xml:space="preserve"> a pesar de que los funcionarios conocían su situación. </w:t>
      </w:r>
      <w:r w:rsidR="00164E42" w:rsidRPr="00A7673B">
        <w:t>La evidencia indica que semanas más tarde se le habría provocado un aborto forzado en las instalaciones del Hospital Militar Carlos Arvelo</w:t>
      </w:r>
      <w:r w:rsidR="00254017" w:rsidRPr="00A7673B">
        <w:t>.</w:t>
      </w:r>
      <w:r w:rsidR="007A79DC">
        <w:rPr>
          <w:rStyle w:val="FootnoteReference"/>
        </w:rPr>
        <w:footnoteReference w:id="33"/>
      </w:r>
      <w:r w:rsidR="009E60A3">
        <w:t xml:space="preserve"> Estos hechos no han sido investigados y no se conoce que se haya</w:t>
      </w:r>
      <w:r w:rsidR="007A79DC">
        <w:t xml:space="preserve"> establecido alguna responsabilidad de cualquier índole por los mismos.</w:t>
      </w:r>
      <w:r w:rsidR="00254017" w:rsidRPr="00A7673B">
        <w:t xml:space="preserve"> </w:t>
      </w:r>
    </w:p>
    <w:p w14:paraId="776894D0" w14:textId="43295121" w:rsidR="00F5316E" w:rsidRPr="00A7673B" w:rsidRDefault="00F5316E" w:rsidP="0070380B">
      <w:pPr>
        <w:pStyle w:val="BBodyText"/>
      </w:pPr>
      <w:r w:rsidRPr="00A7673B">
        <w:t>Otro ejemplo fue el caso de Rafael Acosta Arévalo,</w:t>
      </w:r>
      <w:r w:rsidR="00045C8D">
        <w:t xml:space="preserve"> (ver </w:t>
      </w:r>
      <w:r w:rsidR="005338B8">
        <w:t>en “Tortura”</w:t>
      </w:r>
      <w:r w:rsidR="00045C8D">
        <w:t>)</w:t>
      </w:r>
      <w:r w:rsidR="00991A2A">
        <w:t xml:space="preserve">, en cuya situación a pesar de la grave y evidente condición física en la que fue presentado ante el tribunal, </w:t>
      </w:r>
      <w:r w:rsidR="00B7411F" w:rsidRPr="00A7673B">
        <w:t xml:space="preserve">el juez de la causa no abrió una investigación inmediatamente, las autoridades simularon que </w:t>
      </w:r>
      <w:r w:rsidR="0088502F" w:rsidRPr="00A7673B">
        <w:t>Acosta habría fallecido en un Hospital horas más tarde</w:t>
      </w:r>
      <w:r w:rsidR="00974ABC">
        <w:t>. Las autoridades iniciaron</w:t>
      </w:r>
      <w:r w:rsidR="0088502F" w:rsidRPr="00A7673B">
        <w:t xml:space="preserve"> una investigación por homicidio preterintencional que no se ajustaba a los hechos ni mencionaba la tortura. </w:t>
      </w:r>
      <w:r w:rsidR="00961EF1" w:rsidRPr="00A7673B">
        <w:t>A pesar de que</w:t>
      </w:r>
      <w:r w:rsidR="000007D8" w:rsidRPr="00A7673B">
        <w:t xml:space="preserve"> esta sentencia fue anulada y una nueva investigación s</w:t>
      </w:r>
      <w:r w:rsidR="00974ABC">
        <w:t>í</w:t>
      </w:r>
      <w:r w:rsidR="000007D8" w:rsidRPr="00A7673B">
        <w:t xml:space="preserve"> incluyó la tortura como parte de los hechos del caso, no se han investigado a los superiores jerárquicos de los supuestos perpetradores</w:t>
      </w:r>
      <w:r w:rsidR="00FA39FF" w:rsidRPr="00A7673B">
        <w:t xml:space="preserve"> ni tampoco a los funcionarios judiciales que </w:t>
      </w:r>
      <w:r w:rsidR="00605109" w:rsidRPr="00A7673B">
        <w:t xml:space="preserve">pretendieron </w:t>
      </w:r>
      <w:r w:rsidR="00513637" w:rsidRPr="00A7673B">
        <w:t xml:space="preserve">encubrir las torturas a las que fue sometido. </w:t>
      </w:r>
    </w:p>
    <w:p w14:paraId="0C28ECD7" w14:textId="05906005" w:rsidR="007D26E6" w:rsidRDefault="007D26E6" w:rsidP="00D727A6">
      <w:pPr>
        <w:pStyle w:val="BBodyText"/>
      </w:pPr>
      <w:r>
        <w:t xml:space="preserve">Por lo tanto, Amnistía Internacional </w:t>
      </w:r>
      <w:r w:rsidR="7CB21268">
        <w:t>reclama a las autoridades</w:t>
      </w:r>
      <w:r>
        <w:t xml:space="preserve"> </w:t>
      </w:r>
      <w:r w:rsidR="192CF1BC">
        <w:t>venezolan</w:t>
      </w:r>
      <w:r w:rsidR="118C2A6A">
        <w:t>as</w:t>
      </w:r>
      <w:r>
        <w:t xml:space="preserve"> que:</w:t>
      </w:r>
    </w:p>
    <w:p w14:paraId="22CA8B96" w14:textId="2D034829" w:rsidR="007D26E6" w:rsidRDefault="001D2C0C" w:rsidP="007D26E6">
      <w:pPr>
        <w:pStyle w:val="BBodyText"/>
        <w:numPr>
          <w:ilvl w:val="0"/>
          <w:numId w:val="22"/>
        </w:numPr>
      </w:pPr>
      <w:r>
        <w:t>Detenga las prácticas de</w:t>
      </w:r>
      <w:r w:rsidR="00C0660C">
        <w:t xml:space="preserve"> tortura y </w:t>
      </w:r>
      <w:r w:rsidR="6F4D6A89">
        <w:t xml:space="preserve">de toda </w:t>
      </w:r>
      <w:r w:rsidR="00C0660C">
        <w:t xml:space="preserve">otra forma de tratos crueles, inhumanos </w:t>
      </w:r>
      <w:r w:rsidR="6A98E33F">
        <w:t>o</w:t>
      </w:r>
      <w:r w:rsidR="00C0660C">
        <w:t xml:space="preserve"> degradantes en contra de </w:t>
      </w:r>
      <w:r w:rsidR="474DBDA4">
        <w:t>toda</w:t>
      </w:r>
      <w:r w:rsidR="00C0660C">
        <w:t xml:space="preserve"> persona detenida.</w:t>
      </w:r>
    </w:p>
    <w:p w14:paraId="1661DBCF" w14:textId="5F35F9B1" w:rsidR="00C0660C" w:rsidRDefault="000458AD" w:rsidP="007D26E6">
      <w:pPr>
        <w:pStyle w:val="BBodyText"/>
        <w:numPr>
          <w:ilvl w:val="0"/>
          <w:numId w:val="22"/>
        </w:numPr>
      </w:pPr>
      <w:r>
        <w:t xml:space="preserve">Desmantele la política de represión que incluye el uso de torturas en interrogatorios por parte de </w:t>
      </w:r>
      <w:r w:rsidR="00C84002">
        <w:t>agencias de inteligencia del Estado u otros cuerpos de seguridad.</w:t>
      </w:r>
    </w:p>
    <w:p w14:paraId="357959F0" w14:textId="1E726B7A" w:rsidR="00C84002" w:rsidRDefault="00C84002" w:rsidP="007D26E6">
      <w:pPr>
        <w:pStyle w:val="BBodyText"/>
        <w:numPr>
          <w:ilvl w:val="0"/>
          <w:numId w:val="22"/>
        </w:numPr>
      </w:pPr>
      <w:r>
        <w:t>Desmantele el funcionamiento de centros de detención temporal clandestinos conocidos como “casas seguras”</w:t>
      </w:r>
      <w:r w:rsidR="00B068BB">
        <w:t>.</w:t>
      </w:r>
    </w:p>
    <w:p w14:paraId="7D2671F8" w14:textId="2B65C9C1" w:rsidR="00B068BB" w:rsidRDefault="00B068BB" w:rsidP="007D26E6">
      <w:pPr>
        <w:pStyle w:val="BBodyText"/>
        <w:numPr>
          <w:ilvl w:val="0"/>
          <w:numId w:val="22"/>
        </w:numPr>
      </w:pPr>
      <w:r>
        <w:t xml:space="preserve">Ponga fin a las prácticas de desapariciones forzadas en las primeras horas de la detención de una persona, cumpliendo con los plazos y protocolos legales para la </w:t>
      </w:r>
      <w:r w:rsidR="00A83EDF">
        <w:t xml:space="preserve">presentación de la persona detenida ante un tribunal </w:t>
      </w:r>
      <w:r w:rsidR="032F1E67">
        <w:t xml:space="preserve">civil ordinario </w:t>
      </w:r>
      <w:r w:rsidR="00A83EDF">
        <w:t xml:space="preserve">que pueda determinar la legalidad de la detención y la condición de la persona detenida. </w:t>
      </w:r>
    </w:p>
    <w:p w14:paraId="5124CB82" w14:textId="24FF911A" w:rsidR="00A7598B" w:rsidRDefault="00A7598B" w:rsidP="00A7598B">
      <w:pPr>
        <w:pStyle w:val="BBodyText"/>
        <w:numPr>
          <w:ilvl w:val="0"/>
          <w:numId w:val="22"/>
        </w:numPr>
        <w:rPr>
          <w:bCs w:val="0"/>
        </w:rPr>
      </w:pPr>
      <w:r>
        <w:t xml:space="preserve">Ratifique </w:t>
      </w:r>
      <w:r w:rsidR="398830F2">
        <w:t xml:space="preserve">prontamente </w:t>
      </w:r>
      <w:r>
        <w:t xml:space="preserve">la </w:t>
      </w:r>
      <w:r w:rsidRPr="0002234D">
        <w:rPr>
          <w:bCs w:val="0"/>
        </w:rPr>
        <w:t>Convención Internacional para Proteger a Todas las Personas de la Desaparición Forzada</w:t>
      </w:r>
      <w:r w:rsidR="1BC9A995">
        <w:t xml:space="preserve"> sin efectuar reserva alguna y que reconozca la competencia del Comité sobre Desapariciones Forzadas para recibir y considerar peticiones efectuadas por víct</w:t>
      </w:r>
      <w:r w:rsidR="7114EB42">
        <w:t>i</w:t>
      </w:r>
      <w:r w:rsidR="1BC9A995">
        <w:t>mas o sus familiares o allegados</w:t>
      </w:r>
      <w:r w:rsidR="68886BA3">
        <w:t xml:space="preserve"> y por otros Estados parte</w:t>
      </w:r>
      <w:r>
        <w:t>.</w:t>
      </w:r>
    </w:p>
    <w:p w14:paraId="01CF173B" w14:textId="21C51AA8" w:rsidR="00A7598B" w:rsidRPr="00EE386C" w:rsidRDefault="0002234D" w:rsidP="00BE28B2">
      <w:pPr>
        <w:pStyle w:val="BBodyText"/>
        <w:numPr>
          <w:ilvl w:val="0"/>
          <w:numId w:val="22"/>
        </w:numPr>
        <w:rPr>
          <w:lang w:val="es-MX"/>
        </w:rPr>
      </w:pPr>
      <w:r w:rsidRPr="00BE28B2">
        <w:rPr>
          <w:bCs w:val="0"/>
          <w:lang w:val="es-MX"/>
        </w:rPr>
        <w:t>Investigue de manera pronta, exhaustiva e imparcial todas las denuncias de torturas, tratos crueles, inhumanos y degradantes y desaparición forzada de person</w:t>
      </w:r>
      <w:r>
        <w:rPr>
          <w:bCs w:val="0"/>
          <w:lang w:val="es-MX"/>
        </w:rPr>
        <w:t>as, incluyendo las cadenas de mando</w:t>
      </w:r>
      <w:r w:rsidR="00E6032A">
        <w:rPr>
          <w:bCs w:val="0"/>
          <w:lang w:val="es-MX"/>
        </w:rPr>
        <w:t xml:space="preserve"> y su naturaleza sistemática y generalizada</w:t>
      </w:r>
      <w:r w:rsidR="024572D3" w:rsidRPr="50632A28">
        <w:rPr>
          <w:lang w:val="es-MX"/>
        </w:rPr>
        <w:t>.</w:t>
      </w:r>
      <w:r>
        <w:rPr>
          <w:bCs w:val="0"/>
          <w:lang w:val="es-MX"/>
        </w:rPr>
        <w:t xml:space="preserve">  </w:t>
      </w:r>
    </w:p>
    <w:p w14:paraId="60990CC6" w14:textId="18BEA39D" w:rsidR="008A60C5" w:rsidRPr="00A7673B" w:rsidRDefault="00B11CB2" w:rsidP="00B9647E">
      <w:pPr>
        <w:pStyle w:val="BNumberedHeading"/>
      </w:pPr>
      <w:bookmarkStart w:id="24" w:name="_Toc145413296"/>
      <w:bookmarkStart w:id="25" w:name="_Toc145441870"/>
      <w:bookmarkEnd w:id="24"/>
      <w:r w:rsidRPr="00A7673B">
        <w:t>PERSONAS PRIVADAS DE LIBERTAD Y CONDICIONES DE DETENCIÓ</w:t>
      </w:r>
      <w:r w:rsidR="0092672A" w:rsidRPr="00A7673B">
        <w:t>N</w:t>
      </w:r>
      <w:r w:rsidR="008A60C5" w:rsidRPr="00A7673B">
        <w:t xml:space="preserve"> </w:t>
      </w:r>
      <w:r w:rsidR="00494A19" w:rsidRPr="00A7673B">
        <w:t>(ARTÍCULOS 7 Y 9)</w:t>
      </w:r>
      <w:bookmarkEnd w:id="25"/>
    </w:p>
    <w:p w14:paraId="728D960B" w14:textId="77777777" w:rsidR="00E97037" w:rsidRPr="00A7673B" w:rsidRDefault="00E97037" w:rsidP="00E97037">
      <w:pPr>
        <w:rPr>
          <w:lang w:eastAsia="en-GB"/>
        </w:rPr>
      </w:pPr>
    </w:p>
    <w:p w14:paraId="7D0240B8" w14:textId="094BA440" w:rsidR="00E97037" w:rsidRPr="00A7673B" w:rsidRDefault="00E97037" w:rsidP="00E97037">
      <w:pPr>
        <w:rPr>
          <w:lang w:eastAsia="en-GB"/>
        </w:rPr>
      </w:pPr>
      <w:r w:rsidRPr="00A7673B">
        <w:rPr>
          <w:lang w:eastAsia="en-GB"/>
        </w:rPr>
        <w:t xml:space="preserve">La situación de personas privadas de libertad en Venezuela continúa siendo uno de los temas </w:t>
      </w:r>
      <w:r w:rsidRPr="5051E4B9">
        <w:rPr>
          <w:lang w:eastAsia="en-GB"/>
        </w:rPr>
        <w:t>principal</w:t>
      </w:r>
      <w:r w:rsidR="3BD23A78" w:rsidRPr="5051E4B9">
        <w:rPr>
          <w:lang w:eastAsia="en-GB"/>
        </w:rPr>
        <w:t>es de</w:t>
      </w:r>
      <w:r w:rsidRPr="00A7673B">
        <w:rPr>
          <w:lang w:eastAsia="en-GB"/>
        </w:rPr>
        <w:t xml:space="preserve"> preocupación en materia de cumplimiento del Pacto. </w:t>
      </w:r>
    </w:p>
    <w:p w14:paraId="53A83B3C" w14:textId="548AE132" w:rsidR="00CF0D70" w:rsidRPr="00A7673B" w:rsidRDefault="00CF0D70" w:rsidP="00B9647E">
      <w:pPr>
        <w:pStyle w:val="BNumberedSubheading"/>
      </w:pPr>
      <w:bookmarkStart w:id="26" w:name="_Toc145441871"/>
      <w:r w:rsidRPr="00A7673B">
        <w:t>CONDICIONES INHUMANAS DE RECLUSIÓN</w:t>
      </w:r>
      <w:bookmarkEnd w:id="26"/>
    </w:p>
    <w:p w14:paraId="506121DC" w14:textId="0125DFB1" w:rsidR="002B656E" w:rsidRPr="00ED2DBC" w:rsidRDefault="00CF0D70" w:rsidP="00ED2DBC">
      <w:pPr>
        <w:pStyle w:val="BBodyText"/>
        <w:rPr>
          <w:lang w:eastAsia="en-GB"/>
        </w:rPr>
      </w:pPr>
      <w:r w:rsidRPr="00AC1E57">
        <w:rPr>
          <w:lang w:eastAsia="en-GB"/>
        </w:rPr>
        <w:t>Los centros de detención en Venezuela se caracterizan por contar con serias deficiencias de estructura, salubridad</w:t>
      </w:r>
      <w:r w:rsidR="002B656E" w:rsidRPr="00AC1E57">
        <w:rPr>
          <w:lang w:eastAsia="en-GB"/>
        </w:rPr>
        <w:t xml:space="preserve"> y seguridad para las personas privadas de libertad. En primer lugar, </w:t>
      </w:r>
      <w:r w:rsidR="00782F79" w:rsidRPr="00AC1E57">
        <w:rPr>
          <w:lang w:eastAsia="en-GB"/>
        </w:rPr>
        <w:t xml:space="preserve">el Observatorio Venezolano de Prisiones </w:t>
      </w:r>
      <w:r w:rsidR="00782F79" w:rsidRPr="00C75CFE">
        <w:rPr>
          <w:lang w:eastAsia="en-GB"/>
        </w:rPr>
        <w:t>estima un hacinamiento de 164</w:t>
      </w:r>
      <w:r w:rsidR="002B656E" w:rsidRPr="00C75CFE">
        <w:rPr>
          <w:lang w:eastAsia="en-GB"/>
        </w:rPr>
        <w:t>% en promedio,</w:t>
      </w:r>
      <w:r w:rsidR="002B656E" w:rsidRPr="00AC1E57">
        <w:rPr>
          <w:lang w:eastAsia="en-GB"/>
        </w:rPr>
        <w:t xml:space="preserve"> </w:t>
      </w:r>
      <w:r w:rsidR="00826582">
        <w:rPr>
          <w:lang w:eastAsia="en-GB"/>
        </w:rPr>
        <w:t>es decir que los</w:t>
      </w:r>
      <w:r w:rsidR="007810F4">
        <w:rPr>
          <w:lang w:eastAsia="en-GB"/>
        </w:rPr>
        <w:t xml:space="preserve"> centros de reclusión en Venezuela albergan a más del doble de la población para la cual existe </w:t>
      </w:r>
      <w:r w:rsidR="00C75CFE">
        <w:rPr>
          <w:lang w:eastAsia="en-GB"/>
        </w:rPr>
        <w:t xml:space="preserve">infraestructura instalada, </w:t>
      </w:r>
      <w:r w:rsidR="002B656E" w:rsidRPr="00AC1E57">
        <w:rPr>
          <w:lang w:eastAsia="en-GB"/>
        </w:rPr>
        <w:t xml:space="preserve">lo cual es un serio indicador sobre el resto de </w:t>
      </w:r>
      <w:r w:rsidR="00601BCE" w:rsidRPr="00AC1E57">
        <w:rPr>
          <w:lang w:eastAsia="en-GB"/>
        </w:rPr>
        <w:t>las condiciones</w:t>
      </w:r>
      <w:r w:rsidR="002B656E" w:rsidRPr="00AC1E57">
        <w:rPr>
          <w:lang w:eastAsia="en-GB"/>
        </w:rPr>
        <w:t xml:space="preserve"> de salubridad y seguridad.</w:t>
      </w:r>
      <w:r w:rsidR="00E3313A" w:rsidRPr="00AC1E57">
        <w:rPr>
          <w:rStyle w:val="FootnoteReference"/>
          <w:lang w:eastAsia="en-GB"/>
        </w:rPr>
        <w:footnoteReference w:id="34"/>
      </w:r>
      <w:r w:rsidR="002B656E" w:rsidRPr="00ED2DBC">
        <w:rPr>
          <w:lang w:eastAsia="en-GB"/>
        </w:rPr>
        <w:t xml:space="preserve"> </w:t>
      </w:r>
    </w:p>
    <w:p w14:paraId="24D7E396" w14:textId="586F3F46" w:rsidR="00601BCE" w:rsidRPr="00ED2DBC" w:rsidRDefault="002B656E" w:rsidP="00ED2DBC">
      <w:pPr>
        <w:pStyle w:val="BBodyText"/>
        <w:rPr>
          <w:lang w:eastAsia="en-GB"/>
        </w:rPr>
      </w:pPr>
      <w:r w:rsidRPr="00ED2DBC">
        <w:rPr>
          <w:lang w:eastAsia="en-GB"/>
        </w:rPr>
        <w:t xml:space="preserve">Asimismo, familias de las personas privadas de libertad han relatado consistentemente a Amnistía Internacional </w:t>
      </w:r>
      <w:r w:rsidR="00007B57">
        <w:rPr>
          <w:lang w:eastAsia="en-GB"/>
        </w:rPr>
        <w:t>la falta de</w:t>
      </w:r>
      <w:r w:rsidRPr="00ED2DBC">
        <w:rPr>
          <w:lang w:eastAsia="en-GB"/>
        </w:rPr>
        <w:t xml:space="preserve"> acceso a servicios básicos como </w:t>
      </w:r>
      <w:r w:rsidR="39E0E3F6" w:rsidRPr="5051E4B9">
        <w:rPr>
          <w:lang w:eastAsia="en-GB"/>
        </w:rPr>
        <w:t xml:space="preserve">el </w:t>
      </w:r>
      <w:r w:rsidRPr="00ED2DBC">
        <w:rPr>
          <w:lang w:eastAsia="en-GB"/>
        </w:rPr>
        <w:t xml:space="preserve">agua y </w:t>
      </w:r>
      <w:r w:rsidR="03ECF4C6" w:rsidRPr="5051E4B9">
        <w:rPr>
          <w:lang w:eastAsia="en-GB"/>
        </w:rPr>
        <w:t xml:space="preserve">la </w:t>
      </w:r>
      <w:r w:rsidRPr="00ED2DBC">
        <w:rPr>
          <w:lang w:eastAsia="en-GB"/>
        </w:rPr>
        <w:t xml:space="preserve">alimentación, así como </w:t>
      </w:r>
      <w:r w:rsidR="2E5DD7D8" w:rsidRPr="5051E4B9">
        <w:rPr>
          <w:lang w:eastAsia="en-GB"/>
        </w:rPr>
        <w:t xml:space="preserve">la </w:t>
      </w:r>
      <w:r w:rsidR="00517F53" w:rsidRPr="00ED2DBC">
        <w:rPr>
          <w:lang w:eastAsia="en-GB"/>
        </w:rPr>
        <w:t xml:space="preserve">atención y tratamiento médico para las personas que se encuentran privadas de libertad. Se conoce </w:t>
      </w:r>
      <w:r w:rsidR="00601BCE" w:rsidRPr="00ED2DBC">
        <w:rPr>
          <w:lang w:eastAsia="en-GB"/>
        </w:rPr>
        <w:t>que,</w:t>
      </w:r>
      <w:r w:rsidR="00517F53" w:rsidRPr="00ED2DBC">
        <w:rPr>
          <w:lang w:eastAsia="en-GB"/>
        </w:rPr>
        <w:t xml:space="preserve"> en la mayoría de los centros de reclusión en Venezuela, </w:t>
      </w:r>
      <w:r w:rsidR="0E60CF81" w:rsidRPr="5051E4B9">
        <w:rPr>
          <w:lang w:eastAsia="en-GB"/>
        </w:rPr>
        <w:t>las autoridades</w:t>
      </w:r>
      <w:r w:rsidR="00517F53" w:rsidRPr="00ED2DBC">
        <w:rPr>
          <w:lang w:eastAsia="en-GB"/>
        </w:rPr>
        <w:t xml:space="preserve"> no </w:t>
      </w:r>
      <w:r w:rsidR="00517F53" w:rsidRPr="5051E4B9">
        <w:rPr>
          <w:lang w:eastAsia="en-GB"/>
        </w:rPr>
        <w:t>satisface</w:t>
      </w:r>
      <w:r w:rsidR="6C883036" w:rsidRPr="5051E4B9">
        <w:rPr>
          <w:lang w:eastAsia="en-GB"/>
        </w:rPr>
        <w:t>n</w:t>
      </w:r>
      <w:r w:rsidR="00517F53" w:rsidRPr="00ED2DBC">
        <w:rPr>
          <w:lang w:eastAsia="en-GB"/>
        </w:rPr>
        <w:t xml:space="preserve"> los requisitos básicos de alimentación y acceso a agua potable</w:t>
      </w:r>
      <w:r w:rsidR="6164DFD8" w:rsidRPr="5051E4B9">
        <w:rPr>
          <w:lang w:eastAsia="en-GB"/>
        </w:rPr>
        <w:t>,</w:t>
      </w:r>
      <w:r w:rsidR="00517F53" w:rsidRPr="00ED2DBC">
        <w:rPr>
          <w:lang w:eastAsia="en-GB"/>
        </w:rPr>
        <w:t xml:space="preserve"> por lo que los familiares de las personas detenidas deben semanalmente hacerles llegar alimentos,</w:t>
      </w:r>
      <w:r w:rsidR="00601BCE" w:rsidRPr="00ED2DBC">
        <w:rPr>
          <w:lang w:eastAsia="en-GB"/>
        </w:rPr>
        <w:t xml:space="preserve"> agua y productos de primera necesidad para su higiene. </w:t>
      </w:r>
    </w:p>
    <w:p w14:paraId="6100849A" w14:textId="2916E0F4" w:rsidR="007F7734" w:rsidRPr="005B7834" w:rsidRDefault="007F7734" w:rsidP="00B9647E">
      <w:pPr>
        <w:pStyle w:val="BNumberedSubheading"/>
      </w:pPr>
      <w:bookmarkStart w:id="27" w:name="_Toc145441872"/>
      <w:r w:rsidRPr="005B7834">
        <w:t>RECLUSIÓN PROLONGADA EN CENTROS</w:t>
      </w:r>
      <w:r w:rsidR="000E7DA0" w:rsidRPr="005B7834">
        <w:t xml:space="preserve"> NO AUTORIZADOS</w:t>
      </w:r>
      <w:bookmarkEnd w:id="27"/>
    </w:p>
    <w:p w14:paraId="50E41F19" w14:textId="2723041B" w:rsidR="00C0597F" w:rsidRPr="005B7834" w:rsidRDefault="000C5DC1" w:rsidP="00ED2DBC">
      <w:pPr>
        <w:pStyle w:val="BBodyText"/>
        <w:rPr>
          <w:lang w:eastAsia="en-GB"/>
        </w:rPr>
      </w:pPr>
      <w:r>
        <w:rPr>
          <w:lang w:eastAsia="en-GB"/>
        </w:rPr>
        <w:t>Las</w:t>
      </w:r>
      <w:r w:rsidR="00242A78" w:rsidRPr="005B7834">
        <w:rPr>
          <w:lang w:eastAsia="en-GB"/>
        </w:rPr>
        <w:t xml:space="preserve"> detenciones preventivas</w:t>
      </w:r>
      <w:r>
        <w:rPr>
          <w:lang w:eastAsia="en-GB"/>
        </w:rPr>
        <w:t xml:space="preserve">, en muchas ocasiones </w:t>
      </w:r>
      <w:r w:rsidR="287954BC">
        <w:rPr>
          <w:lang w:eastAsia="en-GB"/>
        </w:rPr>
        <w:t>excediendo</w:t>
      </w:r>
      <w:r>
        <w:rPr>
          <w:lang w:eastAsia="en-GB"/>
        </w:rPr>
        <w:t xml:space="preserve"> los plazos legales,</w:t>
      </w:r>
      <w:r w:rsidR="005B7834">
        <w:rPr>
          <w:lang w:eastAsia="en-GB"/>
        </w:rPr>
        <w:t xml:space="preserve"> también se han caracterizado en los últimos años por tener como </w:t>
      </w:r>
      <w:r w:rsidR="3025CE16">
        <w:rPr>
          <w:lang w:eastAsia="en-GB"/>
        </w:rPr>
        <w:t>sitio</w:t>
      </w:r>
      <w:r w:rsidR="005B7834">
        <w:rPr>
          <w:lang w:eastAsia="en-GB"/>
        </w:rPr>
        <w:t xml:space="preserve"> de reclusión los </w:t>
      </w:r>
      <w:r w:rsidR="00242A78" w:rsidRPr="005B7834">
        <w:rPr>
          <w:lang w:eastAsia="en-GB"/>
        </w:rPr>
        <w:t xml:space="preserve">calabozos policiales en todo el país. </w:t>
      </w:r>
      <w:r w:rsidR="00370CB2" w:rsidRPr="005B7834">
        <w:rPr>
          <w:lang w:eastAsia="en-GB"/>
        </w:rPr>
        <w:t>Una Ventana a la Libertad, organización venezolana, estim</w:t>
      </w:r>
      <w:r w:rsidR="00913F08" w:rsidRPr="005B7834">
        <w:rPr>
          <w:lang w:eastAsia="en-GB"/>
        </w:rPr>
        <w:t>ó en 2022 que en 335 calabozos policiales había detenidas alrededor de 16.778 personas</w:t>
      </w:r>
      <w:r w:rsidR="00C36F78" w:rsidRPr="005B7834">
        <w:rPr>
          <w:lang w:eastAsia="en-GB"/>
        </w:rPr>
        <w:t>.</w:t>
      </w:r>
      <w:r w:rsidR="00C36F78" w:rsidRPr="005B7834">
        <w:rPr>
          <w:rStyle w:val="FootnoteReference"/>
          <w:lang w:eastAsia="en-GB"/>
        </w:rPr>
        <w:footnoteReference w:id="35"/>
      </w:r>
      <w:r w:rsidR="00913F08" w:rsidRPr="005B7834">
        <w:rPr>
          <w:lang w:eastAsia="en-GB"/>
        </w:rPr>
        <w:t xml:space="preserve"> </w:t>
      </w:r>
    </w:p>
    <w:p w14:paraId="5146C9C3" w14:textId="25E81F3E" w:rsidR="000E1149" w:rsidRPr="00AC1E57" w:rsidRDefault="002E2A49" w:rsidP="00ED2DBC">
      <w:pPr>
        <w:pStyle w:val="BBodyText"/>
        <w:rPr>
          <w:lang w:eastAsia="en-GB"/>
        </w:rPr>
      </w:pPr>
      <w:r w:rsidRPr="005B7834">
        <w:rPr>
          <w:lang w:eastAsia="en-GB"/>
        </w:rPr>
        <w:t xml:space="preserve">A Amnistía Internacional le preocupa particularmente la </w:t>
      </w:r>
      <w:r w:rsidRPr="00AC1E57">
        <w:rPr>
          <w:lang w:eastAsia="en-GB"/>
        </w:rPr>
        <w:t>situación de reclusión de mujeres en centros penitenciarios</w:t>
      </w:r>
      <w:r w:rsidR="6580DB02" w:rsidRPr="5051E4B9">
        <w:rPr>
          <w:lang w:eastAsia="en-GB"/>
        </w:rPr>
        <w:t>,</w:t>
      </w:r>
      <w:r w:rsidRPr="00AC1E57">
        <w:rPr>
          <w:lang w:eastAsia="en-GB"/>
        </w:rPr>
        <w:t xml:space="preserve"> como el Instituto Nacional de Orientación Femenina (INOF), y la situación de personas indígenas privadas de libertad</w:t>
      </w:r>
      <w:r w:rsidR="00AE0780" w:rsidRPr="00AC1E57">
        <w:rPr>
          <w:lang w:eastAsia="en-GB"/>
        </w:rPr>
        <w:t xml:space="preserve"> sin que se considere la pertinencia cultural de las medidas. </w:t>
      </w:r>
    </w:p>
    <w:p w14:paraId="38F31A98" w14:textId="6E8BF5EF" w:rsidR="00796628" w:rsidRPr="00A7673B" w:rsidRDefault="0078782A" w:rsidP="00ED2DBC">
      <w:pPr>
        <w:pStyle w:val="BBodyText"/>
      </w:pPr>
      <w:r w:rsidRPr="00AC1E57">
        <w:rPr>
          <w:lang w:eastAsia="en-GB"/>
        </w:rPr>
        <w:t xml:space="preserve">Lo anterior, y la precariedad de la situación de detención hacen que las personas privadas de libertad sufran altos riesgos de ver afectada su salud y de no recibir atención o tratamiento médico oportuno. </w:t>
      </w:r>
      <w:r w:rsidR="006C350D" w:rsidRPr="00AC1E57">
        <w:rPr>
          <w:lang w:eastAsia="en-GB"/>
        </w:rPr>
        <w:t xml:space="preserve">Amnistía Internacional ha intervenido en varios casos con el mismo patrón de denegación o dilación prolongada de la atención médica de personas con afectaciones graves y que se encuentran privadas de libertad. Tal ha sido el caso de </w:t>
      </w:r>
      <w:proofErr w:type="spellStart"/>
      <w:r w:rsidR="006C350D" w:rsidRPr="00AC1E57">
        <w:rPr>
          <w:lang w:eastAsia="en-GB"/>
        </w:rPr>
        <w:t>Emirlendris</w:t>
      </w:r>
      <w:proofErr w:type="spellEnd"/>
      <w:r w:rsidR="006C350D" w:rsidRPr="00AC1E57">
        <w:rPr>
          <w:lang w:eastAsia="en-GB"/>
        </w:rPr>
        <w:t xml:space="preserve"> Benítez y de Guillermo </w:t>
      </w:r>
      <w:proofErr w:type="spellStart"/>
      <w:r w:rsidR="006C350D" w:rsidRPr="00AC1E57">
        <w:rPr>
          <w:lang w:eastAsia="en-GB"/>
        </w:rPr>
        <w:t>Zárraga</w:t>
      </w:r>
      <w:proofErr w:type="spellEnd"/>
      <w:r w:rsidR="006C350D" w:rsidRPr="00AC1E57">
        <w:rPr>
          <w:lang w:eastAsia="en-GB"/>
        </w:rPr>
        <w:t>.</w:t>
      </w:r>
      <w:r w:rsidR="006C350D" w:rsidRPr="00AC1E57">
        <w:rPr>
          <w:rStyle w:val="FootnoteReference"/>
          <w:lang w:eastAsia="en-GB"/>
        </w:rPr>
        <w:footnoteReference w:id="36"/>
      </w:r>
      <w:r w:rsidR="006C350D" w:rsidRPr="00AC1E57">
        <w:rPr>
          <w:lang w:eastAsia="en-GB"/>
        </w:rPr>
        <w:t xml:space="preserve">  </w:t>
      </w:r>
    </w:p>
    <w:p w14:paraId="7E67F0F4" w14:textId="355F8D9F" w:rsidR="0055732B" w:rsidRPr="00A7673B" w:rsidRDefault="00682303" w:rsidP="00B9647E">
      <w:pPr>
        <w:pStyle w:val="BNumberedSubheading"/>
      </w:pPr>
      <w:bookmarkStart w:id="28" w:name="_Toc145441873"/>
      <w:r w:rsidRPr="00A7673B">
        <w:t>DETENCIONES ARBITRARIAS POR MOTIVOS POLÍTICOS</w:t>
      </w:r>
      <w:bookmarkEnd w:id="28"/>
    </w:p>
    <w:p w14:paraId="1FAF541D" w14:textId="7ECF09CD" w:rsidR="00682303" w:rsidRPr="00A7673B" w:rsidRDefault="00682303" w:rsidP="008152C6">
      <w:pPr>
        <w:pStyle w:val="BBodyText"/>
      </w:pPr>
      <w:r w:rsidRPr="00A7673B">
        <w:t>Amnistía Internacional</w:t>
      </w:r>
      <w:r w:rsidR="00A340A0" w:rsidRPr="00A7673B">
        <w:t>,</w:t>
      </w:r>
      <w:r w:rsidRPr="00A7673B">
        <w:t xml:space="preserve"> así como otr</w:t>
      </w:r>
      <w:r w:rsidR="001F506A">
        <w:t>a</w:t>
      </w:r>
      <w:r w:rsidRPr="00A7673B">
        <w:t>s organi</w:t>
      </w:r>
      <w:r w:rsidR="2E234BD0" w:rsidRPr="00A7673B">
        <w:t>zaciones</w:t>
      </w:r>
      <w:r w:rsidRPr="00A7673B">
        <w:t xml:space="preserve"> nacionales e internacionales han documentado ampliamente el uso de las detenciones arbitrarias como método dentro de la política de represión implementada por el gobierno de Nicolás Maduro para silenciar a la disidencia, o a quienes son percibidos como tal, y con otros fines políticos.</w:t>
      </w:r>
      <w:r w:rsidR="00F01B20" w:rsidRPr="00F01B20">
        <w:rPr>
          <w:vertAlign w:val="superscript"/>
          <w:lang w:eastAsia="en-GB"/>
        </w:rPr>
        <w:t xml:space="preserve"> </w:t>
      </w:r>
      <w:r w:rsidR="00F01B20" w:rsidRPr="00A7673B">
        <w:rPr>
          <w:vertAlign w:val="superscript"/>
          <w:lang w:eastAsia="en-GB"/>
        </w:rPr>
        <w:footnoteReference w:id="37"/>
      </w:r>
      <w:r w:rsidRPr="00A7673B">
        <w:t xml:space="preserve"> </w:t>
      </w:r>
    </w:p>
    <w:p w14:paraId="58CD5CB3" w14:textId="11BCFB7D" w:rsidR="00160DA0" w:rsidRPr="00A7673B" w:rsidRDefault="00160DA0" w:rsidP="00160DA0">
      <w:pPr>
        <w:pStyle w:val="BBodyText"/>
        <w:jc w:val="both"/>
        <w:rPr>
          <w:lang w:eastAsia="en-GB"/>
        </w:rPr>
      </w:pPr>
      <w:r w:rsidRPr="00A7673B">
        <w:rPr>
          <w:lang w:eastAsia="en-GB"/>
        </w:rPr>
        <w:t xml:space="preserve">Los patrones más reiterados son las detenciones arbitrarias sin órdenes judiciales, interferencia de poderes públicos en decisiones judiciales, la falta de independencia judicial, la aplicación de leyes penales </w:t>
      </w:r>
      <w:r w:rsidR="27E34AA8" w:rsidRPr="5051E4B9">
        <w:rPr>
          <w:lang w:eastAsia="en-GB"/>
        </w:rPr>
        <w:t xml:space="preserve">vagas o </w:t>
      </w:r>
      <w:r w:rsidRPr="00A7673B">
        <w:rPr>
          <w:lang w:eastAsia="en-GB"/>
        </w:rPr>
        <w:t xml:space="preserve">ambiguas, el uso de la incomunicación y el aislamiento de las personas detenidas, el uso de testigos anónimos, el desacato a órdenes judiciales por parte de los organismos de seguridad, torturas y tratos inhumanos durante la detención, etc. </w:t>
      </w:r>
    </w:p>
    <w:p w14:paraId="596A2ED2" w14:textId="04E02A4B" w:rsidR="00160DA0" w:rsidRPr="00A7673B" w:rsidRDefault="00160DA0" w:rsidP="00160DA0">
      <w:pPr>
        <w:pStyle w:val="BBodyText"/>
        <w:jc w:val="both"/>
        <w:rPr>
          <w:vertAlign w:val="superscript"/>
          <w:lang w:eastAsia="en-GB"/>
        </w:rPr>
      </w:pPr>
      <w:r w:rsidRPr="00A7673B">
        <w:rPr>
          <w:lang w:eastAsia="en-GB"/>
        </w:rPr>
        <w:t xml:space="preserve">Organizaciones que defienden </w:t>
      </w:r>
      <w:r w:rsidR="2C04E90A" w:rsidRPr="00A7673B">
        <w:rPr>
          <w:lang w:eastAsia="en-GB"/>
        </w:rPr>
        <w:t xml:space="preserve">los </w:t>
      </w:r>
      <w:r w:rsidRPr="00A7673B">
        <w:rPr>
          <w:lang w:eastAsia="en-GB"/>
        </w:rPr>
        <w:t>derechos humanos en Venezuela han documentado que entre 2014 y 2023 se han producido alrededor de 15.700 detenciones arbitrarias por motivos políticos.</w:t>
      </w:r>
      <w:r w:rsidRPr="00A7673B">
        <w:rPr>
          <w:vertAlign w:val="superscript"/>
          <w:lang w:eastAsia="en-GB"/>
        </w:rPr>
        <w:footnoteReference w:id="38"/>
      </w:r>
      <w:r w:rsidRPr="00A7673B">
        <w:rPr>
          <w:vertAlign w:val="superscript"/>
          <w:lang w:eastAsia="en-GB"/>
        </w:rPr>
        <w:t xml:space="preserve"> </w:t>
      </w:r>
      <w:r w:rsidRPr="00A7673B">
        <w:rPr>
          <w:lang w:eastAsia="en-GB"/>
        </w:rPr>
        <w:t>Y que en la actualidad alrededor de 300 personas siguen privadas de libertad en esas condiciones.</w:t>
      </w:r>
      <w:r w:rsidRPr="00A7673B">
        <w:rPr>
          <w:vertAlign w:val="superscript"/>
          <w:lang w:eastAsia="en-GB"/>
        </w:rPr>
        <w:footnoteReference w:id="39"/>
      </w:r>
      <w:r w:rsidRPr="00A7673B">
        <w:rPr>
          <w:vertAlign w:val="superscript"/>
          <w:lang w:eastAsia="en-GB"/>
        </w:rPr>
        <w:t xml:space="preserve"> </w:t>
      </w:r>
    </w:p>
    <w:p w14:paraId="731D2356" w14:textId="341B9473" w:rsidR="00F47ED4" w:rsidRDefault="00DD4E80" w:rsidP="00DD4E80">
      <w:pPr>
        <w:pStyle w:val="BBodyText"/>
        <w:rPr>
          <w:vertAlign w:val="superscript"/>
          <w:lang w:eastAsia="en-GB"/>
        </w:rPr>
      </w:pPr>
      <w:r w:rsidRPr="00A7673B">
        <w:t xml:space="preserve">Asimismo, la </w:t>
      </w:r>
      <w:r w:rsidR="361B26DF" w:rsidRPr="00A7673B">
        <w:t xml:space="preserve">Fiscalía de la </w:t>
      </w:r>
      <w:r w:rsidRPr="00A7673B">
        <w:t xml:space="preserve">Corte Penal Internacional ha abierto una investigación por crímenes de lesa humanidad en Venezuela, en particular sobre </w:t>
      </w:r>
      <w:r w:rsidR="1741A9F6" w:rsidRPr="00A7673B">
        <w:t xml:space="preserve">los presuntos crímenes de lesa humanidad de </w:t>
      </w:r>
      <w:r w:rsidRPr="00A7673B">
        <w:t>privación arbitraria de la libertad, tortura, violencia basada en género y persecución.</w:t>
      </w:r>
      <w:r w:rsidR="00793845" w:rsidRPr="00A7673B">
        <w:rPr>
          <w:vertAlign w:val="superscript"/>
          <w:lang w:eastAsia="en-GB"/>
        </w:rPr>
        <w:t xml:space="preserve"> </w:t>
      </w:r>
      <w:r w:rsidR="00793845" w:rsidRPr="00A7673B">
        <w:rPr>
          <w:vertAlign w:val="superscript"/>
          <w:lang w:eastAsia="en-GB"/>
        </w:rPr>
        <w:footnoteReference w:id="40"/>
      </w:r>
    </w:p>
    <w:p w14:paraId="0E774CD7" w14:textId="77DF853F" w:rsidR="00281ECB" w:rsidRDefault="000C5DC1" w:rsidP="002D78F9">
      <w:pPr>
        <w:pStyle w:val="BBodyText"/>
        <w:rPr>
          <w:lang w:eastAsia="en-GB"/>
        </w:rPr>
      </w:pPr>
      <w:r>
        <w:rPr>
          <w:lang w:eastAsia="en-GB"/>
        </w:rPr>
        <w:t xml:space="preserve">Por otro lado, </w:t>
      </w:r>
      <w:r w:rsidR="00CD229C" w:rsidRPr="00895C48">
        <w:rPr>
          <w:lang w:eastAsia="en-GB"/>
        </w:rPr>
        <w:t xml:space="preserve">Amnistía Internacional </w:t>
      </w:r>
      <w:r w:rsidR="00CD229C">
        <w:rPr>
          <w:lang w:eastAsia="en-GB"/>
        </w:rPr>
        <w:t xml:space="preserve">también </w:t>
      </w:r>
      <w:r w:rsidR="00CD229C" w:rsidRPr="00895C48">
        <w:rPr>
          <w:lang w:eastAsia="en-GB"/>
        </w:rPr>
        <w:t xml:space="preserve">denunció en 2017 el uso de centros de detenciones para prisión preventiva que no estaban autorizados legalmente como </w:t>
      </w:r>
      <w:r w:rsidR="243CA6B6" w:rsidRPr="00895C48">
        <w:rPr>
          <w:lang w:eastAsia="en-GB"/>
        </w:rPr>
        <w:t>tal</w:t>
      </w:r>
      <w:r w:rsidR="6A93C898" w:rsidRPr="00895C48">
        <w:rPr>
          <w:lang w:eastAsia="en-GB"/>
        </w:rPr>
        <w:t>es</w:t>
      </w:r>
      <w:r w:rsidR="00CD229C" w:rsidRPr="00895C48">
        <w:rPr>
          <w:lang w:eastAsia="en-GB"/>
        </w:rPr>
        <w:t>, así era el caso de la sede del Servicio Bolivariano de Inteligencia Nacional (SEBIN) en El Helicoide, Caracas; y la sede de la Dirección General de Contrainteligencia Militar (DGCIM) en Boleíta, Caracas.</w:t>
      </w:r>
      <w:r w:rsidR="00CD229C">
        <w:rPr>
          <w:rStyle w:val="FootnoteReference"/>
          <w:lang w:eastAsia="en-GB"/>
        </w:rPr>
        <w:footnoteReference w:id="41"/>
      </w:r>
      <w:r w:rsidR="00CD229C" w:rsidRPr="00895C48">
        <w:rPr>
          <w:lang w:eastAsia="en-GB"/>
        </w:rPr>
        <w:t xml:space="preserve"> </w:t>
      </w:r>
    </w:p>
    <w:p w14:paraId="121BF051" w14:textId="647AF0F2" w:rsidR="00CD229C" w:rsidRDefault="00CD229C" w:rsidP="002D78F9">
      <w:pPr>
        <w:pStyle w:val="BBodyText"/>
        <w:rPr>
          <w:lang w:eastAsia="en-GB"/>
        </w:rPr>
      </w:pPr>
      <w:r w:rsidRPr="00895C48">
        <w:rPr>
          <w:lang w:eastAsia="en-GB"/>
        </w:rPr>
        <w:t xml:space="preserve">A pesar de que </w:t>
      </w:r>
      <w:r w:rsidR="65C9C7C6" w:rsidRPr="5051E4B9">
        <w:rPr>
          <w:lang w:eastAsia="en-GB"/>
        </w:rPr>
        <w:t>las autoridades</w:t>
      </w:r>
      <w:r w:rsidRPr="00895C48">
        <w:rPr>
          <w:lang w:eastAsia="en-GB"/>
        </w:rPr>
        <w:t xml:space="preserve"> </w:t>
      </w:r>
      <w:r w:rsidRPr="5051E4B9">
        <w:rPr>
          <w:lang w:eastAsia="en-GB"/>
        </w:rPr>
        <w:t>venezolan</w:t>
      </w:r>
      <w:r w:rsidR="1AA5EFB2" w:rsidRPr="5051E4B9">
        <w:rPr>
          <w:lang w:eastAsia="en-GB"/>
        </w:rPr>
        <w:t>as</w:t>
      </w:r>
      <w:r w:rsidRPr="5051E4B9">
        <w:rPr>
          <w:lang w:eastAsia="en-GB"/>
        </w:rPr>
        <w:t xml:space="preserve"> informa</w:t>
      </w:r>
      <w:r w:rsidR="54510CC8" w:rsidRPr="5051E4B9">
        <w:rPr>
          <w:lang w:eastAsia="en-GB"/>
        </w:rPr>
        <w:t>n</w:t>
      </w:r>
      <w:r w:rsidRPr="00895C48">
        <w:rPr>
          <w:lang w:eastAsia="en-GB"/>
        </w:rPr>
        <w:t xml:space="preserve"> que las sedes del SEBIN y de la DGCIM han pasado a la administración del Ministerio de Asuntos Penitenciarios, </w:t>
      </w:r>
      <w:r w:rsidRPr="5051E4B9">
        <w:rPr>
          <w:lang w:eastAsia="en-GB"/>
        </w:rPr>
        <w:t>omite</w:t>
      </w:r>
      <w:r w:rsidR="0D5EEF6D" w:rsidRPr="5051E4B9">
        <w:rPr>
          <w:lang w:eastAsia="en-GB"/>
        </w:rPr>
        <w:t>n</w:t>
      </w:r>
      <w:r w:rsidRPr="00895C48">
        <w:rPr>
          <w:lang w:eastAsia="en-GB"/>
        </w:rPr>
        <w:t xml:space="preserve"> informar que estos centros de detención se caracterizan por albergar a personas detenidas por motivos políticos y </w:t>
      </w:r>
      <w:r w:rsidR="03BBB7F6" w:rsidRPr="5051E4B9">
        <w:rPr>
          <w:lang w:eastAsia="en-GB"/>
        </w:rPr>
        <w:t xml:space="preserve">que </w:t>
      </w:r>
      <w:r w:rsidRPr="00895C48">
        <w:rPr>
          <w:lang w:eastAsia="en-GB"/>
        </w:rPr>
        <w:t>se ha denunciado en múltiples ocasiones el uso de tortura, tratos crueles</w:t>
      </w:r>
      <w:r w:rsidR="0B2E5176" w:rsidRPr="5051E4B9">
        <w:rPr>
          <w:lang w:eastAsia="en-GB"/>
        </w:rPr>
        <w:t>,</w:t>
      </w:r>
      <w:r w:rsidRPr="00895C48">
        <w:rPr>
          <w:lang w:eastAsia="en-GB"/>
        </w:rPr>
        <w:t xml:space="preserve"> inhumanos </w:t>
      </w:r>
      <w:r w:rsidR="7A1442CA" w:rsidRPr="5051E4B9">
        <w:rPr>
          <w:lang w:eastAsia="en-GB"/>
        </w:rPr>
        <w:t>o</w:t>
      </w:r>
      <w:r w:rsidRPr="00895C48">
        <w:rPr>
          <w:lang w:eastAsia="en-GB"/>
        </w:rPr>
        <w:t xml:space="preserve"> degradantes, la incomunicación y el aislamiento de personas en estos centros de detención</w:t>
      </w:r>
      <w:r w:rsidR="000C5DC1">
        <w:rPr>
          <w:lang w:eastAsia="en-GB"/>
        </w:rPr>
        <w:t xml:space="preserve"> (ver arriba)</w:t>
      </w:r>
      <w:r w:rsidRPr="00895C48">
        <w:rPr>
          <w:lang w:eastAsia="en-GB"/>
        </w:rPr>
        <w:t xml:space="preserve">. </w:t>
      </w:r>
    </w:p>
    <w:p w14:paraId="0CD5C691" w14:textId="5B7A51A6" w:rsidR="008221E1" w:rsidRDefault="00281ECB" w:rsidP="006646A5">
      <w:pPr>
        <w:pStyle w:val="BBodyText"/>
      </w:pPr>
      <w:r w:rsidRPr="002D78F9">
        <w:t xml:space="preserve">A las detenciones arbitrarias por motivos políticos también las ha caracterizado el uso </w:t>
      </w:r>
      <w:r w:rsidR="006646A5">
        <w:t>de tribunales o jurisdicciones especiales</w:t>
      </w:r>
      <w:r w:rsidR="51E96727">
        <w:t xml:space="preserve">, </w:t>
      </w:r>
      <w:r w:rsidR="006646A5">
        <w:t xml:space="preserve">contraviniendo </w:t>
      </w:r>
      <w:r w:rsidR="0F4FEFD8">
        <w:t xml:space="preserve">de ese modo </w:t>
      </w:r>
      <w:r w:rsidR="006646A5">
        <w:t>la garantía del juez natural</w:t>
      </w:r>
      <w:r w:rsidR="008221E1">
        <w:t xml:space="preserve">. Entre los años 2017 y 2021 se hizo uso de los tribunales militares y del Código de Justicia Militar para procesar penalmente a personas </w:t>
      </w:r>
      <w:r w:rsidR="58A1D648">
        <w:t xml:space="preserve">civiles </w:t>
      </w:r>
      <w:r w:rsidR="008221E1">
        <w:t>disidentes del gobierno de Nicolás Maduro.</w:t>
      </w:r>
      <w:r w:rsidR="00B849AA">
        <w:rPr>
          <w:rStyle w:val="FootnoteReference"/>
        </w:rPr>
        <w:footnoteReference w:id="42"/>
      </w:r>
      <w:r w:rsidR="008221E1">
        <w:t xml:space="preserve"> </w:t>
      </w:r>
    </w:p>
    <w:p w14:paraId="66A7EBFD" w14:textId="15983D13" w:rsidR="00281ECB" w:rsidRPr="00A7673B" w:rsidRDefault="00B849AA" w:rsidP="006646A5">
      <w:pPr>
        <w:pStyle w:val="BBodyText"/>
      </w:pPr>
      <w:r>
        <w:t>Asimismo, la organización</w:t>
      </w:r>
      <w:r w:rsidR="00281ECB" w:rsidRPr="00A7673B">
        <w:t xml:space="preserve"> </w:t>
      </w:r>
      <w:r w:rsidR="002D78F9">
        <w:t xml:space="preserve">recientemente </w:t>
      </w:r>
      <w:r w:rsidR="00281ECB" w:rsidRPr="00A7673B">
        <w:t>ha documentado la existencia de al menos nueve casos de personas privadas de libertad por motivos políticos entre 201</w:t>
      </w:r>
      <w:r w:rsidR="00281ECB">
        <w:t>8</w:t>
      </w:r>
      <w:r w:rsidR="00281ECB" w:rsidRPr="00A7673B">
        <w:t xml:space="preserve"> y 202</w:t>
      </w:r>
      <w:r w:rsidR="00281ECB">
        <w:t>2</w:t>
      </w:r>
      <w:r w:rsidR="00281ECB" w:rsidRPr="00A7673B">
        <w:t xml:space="preserve"> que están siendo conducidos por tribunales especiales con competencia en </w:t>
      </w:r>
      <w:r w:rsidR="7431DE88" w:rsidRPr="00A7673B">
        <w:t>‘</w:t>
      </w:r>
      <w:r w:rsidR="00281ECB" w:rsidRPr="00A7673B">
        <w:t>terrorismo</w:t>
      </w:r>
      <w:r w:rsidR="001A0E02" w:rsidRPr="00A7673B">
        <w:t>’</w:t>
      </w:r>
      <w:r w:rsidR="00281ECB" w:rsidRPr="00A7673B">
        <w:t>.</w:t>
      </w:r>
      <w:r w:rsidR="00281ECB" w:rsidRPr="006646A5">
        <w:rPr>
          <w:vertAlign w:val="superscript"/>
        </w:rPr>
        <w:footnoteReference w:id="43"/>
      </w:r>
    </w:p>
    <w:p w14:paraId="53152645" w14:textId="26C05470" w:rsidR="00281ECB" w:rsidRPr="00A7673B" w:rsidRDefault="00281ECB" w:rsidP="006646A5">
      <w:pPr>
        <w:pStyle w:val="BBodyText"/>
      </w:pPr>
      <w:r w:rsidRPr="00A7673B">
        <w:t xml:space="preserve">En estos casos, a la organización le preocupa </w:t>
      </w:r>
      <w:r w:rsidR="03DF1EEB">
        <w:t xml:space="preserve">especialmente </w:t>
      </w:r>
      <w:r w:rsidRPr="00A7673B">
        <w:t>el uso de tribunales de excepción para aplicar la política de represión a través de la criminalización de la disidencia, por la posibilidad de aplicar tipos penales muy amplios y con menos posibilidades de ejercer el derecho a la defensa</w:t>
      </w:r>
      <w:r w:rsidR="0A39F126">
        <w:t>. T</w:t>
      </w:r>
      <w:r w:rsidRPr="00A7673B">
        <w:t xml:space="preserve">ambién </w:t>
      </w:r>
      <w:r w:rsidR="0B5B5DBA">
        <w:t xml:space="preserve">le </w:t>
      </w:r>
      <w:r w:rsidRPr="00A7673B">
        <w:t xml:space="preserve">preocupa </w:t>
      </w:r>
      <w:r w:rsidR="6FCFB8EE">
        <w:t xml:space="preserve">a la organización </w:t>
      </w:r>
      <w:r w:rsidRPr="00A7673B">
        <w:t xml:space="preserve">la notoria falta de independencia </w:t>
      </w:r>
      <w:r w:rsidR="6B03E6C3">
        <w:t xml:space="preserve">judicial, la </w:t>
      </w:r>
      <w:r w:rsidRPr="00A7673B">
        <w:t xml:space="preserve">que se hace </w:t>
      </w:r>
      <w:r w:rsidR="44592407">
        <w:t xml:space="preserve">más </w:t>
      </w:r>
      <w:r w:rsidRPr="00A7673B">
        <w:t>patente</w:t>
      </w:r>
      <w:r>
        <w:t xml:space="preserve"> </w:t>
      </w:r>
      <w:r w:rsidR="2DA3D51B">
        <w:t>aún</w:t>
      </w:r>
      <w:r w:rsidRPr="00A7673B">
        <w:t xml:space="preserve"> en estos juzgados, como se explicará en la sección sobre independencia judicial. </w:t>
      </w:r>
    </w:p>
    <w:p w14:paraId="6D6A0B57" w14:textId="5267D879" w:rsidR="00281ECB" w:rsidRPr="00A7673B" w:rsidRDefault="00281ECB" w:rsidP="00281ECB">
      <w:pPr>
        <w:pStyle w:val="BBodyText"/>
      </w:pPr>
      <w:r w:rsidRPr="00A7673B">
        <w:t xml:space="preserve">Asimismo, Amnistía Internacional analizó estadísticamente los patrones represivos en Venezuela, concluyendo que existe una alta correlación entre la estigmatización de personas defensoras por parte de medios de propaganda </w:t>
      </w:r>
      <w:proofErr w:type="spellStart"/>
      <w:r w:rsidRPr="00A7673B">
        <w:t>pro-gobierno</w:t>
      </w:r>
      <w:proofErr w:type="spellEnd"/>
      <w:r w:rsidRPr="00A7673B">
        <w:t xml:space="preserve"> y las detenciones arbitrarias avaladas los tribunales con competencia especial en </w:t>
      </w:r>
      <w:r w:rsidR="371223C2" w:rsidRPr="00A7673B">
        <w:t>‘</w:t>
      </w:r>
      <w:r w:rsidRPr="00A7673B">
        <w:t>terrorismo</w:t>
      </w:r>
      <w:r w:rsidR="2E8494B6" w:rsidRPr="00A7673B">
        <w:t>’</w:t>
      </w:r>
      <w:r w:rsidRPr="00A7673B">
        <w:t>.</w:t>
      </w:r>
      <w:r w:rsidRPr="00A7673B">
        <w:rPr>
          <w:vertAlign w:val="superscript"/>
        </w:rPr>
        <w:footnoteReference w:id="44"/>
      </w:r>
      <w:r w:rsidRPr="00A7673B">
        <w:rPr>
          <w:vertAlign w:val="superscript"/>
        </w:rPr>
        <w:t xml:space="preserve"> </w:t>
      </w:r>
      <w:r w:rsidRPr="00A7673B">
        <w:t xml:space="preserve"> </w:t>
      </w:r>
    </w:p>
    <w:p w14:paraId="2FC48D0B" w14:textId="575703F3" w:rsidR="006117DE" w:rsidRPr="00A7673B" w:rsidRDefault="00281ECB" w:rsidP="00EE0128">
      <w:pPr>
        <w:pStyle w:val="BBodyText"/>
      </w:pPr>
      <w:r w:rsidRPr="00A7673B">
        <w:t xml:space="preserve">La organización estima que el gobierno de Nicolás Maduro instrumentaliza la competencia especial en materia de </w:t>
      </w:r>
      <w:r w:rsidR="6777A647">
        <w:t>‘</w:t>
      </w:r>
      <w:r>
        <w:t>terrorismo</w:t>
      </w:r>
      <w:r w:rsidR="54DA506E">
        <w:t>’</w:t>
      </w:r>
      <w:r w:rsidRPr="00A7673B">
        <w:t xml:space="preserve"> para llevar a cabo detenciones arbitrarias por motivos políticos y para perseguir a quienes opinan diferente a las autoridades o que son percibidos como tales. </w:t>
      </w:r>
    </w:p>
    <w:p w14:paraId="596D7FD1" w14:textId="06D7E45B" w:rsidR="00160DA0" w:rsidRPr="00A7673B" w:rsidRDefault="008638C9" w:rsidP="00B9647E">
      <w:pPr>
        <w:pStyle w:val="BNumberedSubheading"/>
      </w:pPr>
      <w:bookmarkStart w:id="29" w:name="_Toc145441874"/>
      <w:r w:rsidRPr="00A7673B">
        <w:t>ABUSO DE LA PRISIÓN PREVENTIVA</w:t>
      </w:r>
      <w:bookmarkEnd w:id="29"/>
    </w:p>
    <w:p w14:paraId="6CBC6B47" w14:textId="2847149C" w:rsidR="00C908BE" w:rsidRPr="00A7673B" w:rsidRDefault="008638C9" w:rsidP="00B14895">
      <w:pPr>
        <w:pStyle w:val="BBodyText"/>
      </w:pPr>
      <w:r w:rsidRPr="00A7673B">
        <w:t xml:space="preserve">Amnistía Internacional ha identificado varios factores que indican cómo </w:t>
      </w:r>
      <w:r w:rsidR="51299990">
        <w:t>las autoridades</w:t>
      </w:r>
      <w:r w:rsidRPr="00A7673B">
        <w:t xml:space="preserve"> </w:t>
      </w:r>
      <w:r>
        <w:t>venezolan</w:t>
      </w:r>
      <w:r w:rsidR="1E9597EE">
        <w:t>as</w:t>
      </w:r>
      <w:r>
        <w:t xml:space="preserve"> ha</w:t>
      </w:r>
      <w:r w:rsidR="0BF84215">
        <w:t>n</w:t>
      </w:r>
      <w:r w:rsidRPr="00A7673B">
        <w:t xml:space="preserve"> hecho un uso discrecional </w:t>
      </w:r>
      <w:r w:rsidR="00AB3F90" w:rsidRPr="00A7673B">
        <w:t xml:space="preserve">e ilegal de la prisión preventiva, tanto en casos que las personas son criminalizadas por </w:t>
      </w:r>
      <w:r w:rsidR="00F05DB9" w:rsidRPr="00A7673B">
        <w:t>razones políticas como en otros casos.</w:t>
      </w:r>
    </w:p>
    <w:p w14:paraId="3BF733A5" w14:textId="5BC62CCA" w:rsidR="00BC29F7" w:rsidRPr="00A7673B" w:rsidRDefault="00F05DB9" w:rsidP="00B14895">
      <w:pPr>
        <w:pStyle w:val="BBodyText"/>
      </w:pPr>
      <w:r w:rsidRPr="00A7673B">
        <w:t>En general</w:t>
      </w:r>
      <w:r w:rsidR="000022CC" w:rsidRPr="00A7673B">
        <w:t>,</w:t>
      </w:r>
      <w:r w:rsidRPr="00A7673B">
        <w:t xml:space="preserve"> en Venezuela se hace un </w:t>
      </w:r>
      <w:r w:rsidR="008F70DD">
        <w:t>u</w:t>
      </w:r>
      <w:r w:rsidRPr="00A7673B">
        <w:t>so excesivo de la prisión preventiva</w:t>
      </w:r>
      <w:r w:rsidR="000022CC" w:rsidRPr="00A7673B">
        <w:t>. En primer lugar, el Código Orgánico Procesal Penal</w:t>
      </w:r>
      <w:r w:rsidR="00DC2C63" w:rsidRPr="00A7673B">
        <w:t xml:space="preserve"> (COPP)</w:t>
      </w:r>
      <w:r w:rsidR="000022CC" w:rsidRPr="00A7673B">
        <w:t xml:space="preserve"> establec</w:t>
      </w:r>
      <w:r w:rsidR="009E244B" w:rsidRPr="00A7673B">
        <w:t>ía</w:t>
      </w:r>
      <w:r w:rsidR="000022CC" w:rsidRPr="00A7673B">
        <w:t xml:space="preserve"> la presunción </w:t>
      </w:r>
      <w:r w:rsidR="00BC29F7" w:rsidRPr="00A7673B">
        <w:t xml:space="preserve">legal del riesgo de fuga en casos de penas superiores a los 10 años de prisión; por lo tanto, en muchos casos </w:t>
      </w:r>
      <w:r w:rsidR="009E244B" w:rsidRPr="00A7673B">
        <w:t>se dictó prisión preventiva de ma</w:t>
      </w:r>
      <w:r w:rsidR="00DC2C63" w:rsidRPr="00A7673B">
        <w:t>nera automática,</w:t>
      </w:r>
      <w:r w:rsidR="00BC29F7" w:rsidRPr="00A7673B">
        <w:t xml:space="preserve"> lo cual se contrapone </w:t>
      </w:r>
      <w:r w:rsidR="1675C21F">
        <w:t>con e</w:t>
      </w:r>
      <w:r w:rsidR="00BC29F7" w:rsidRPr="00A7673B">
        <w:t>l carácter excepcional de la prisión preventiva.</w:t>
      </w:r>
      <w:r w:rsidR="00DC2C63" w:rsidRPr="00A7673B">
        <w:t xml:space="preserve"> Amnistía Internacional </w:t>
      </w:r>
      <w:r w:rsidR="61A44EEF">
        <w:t>observa con agrado</w:t>
      </w:r>
      <w:r w:rsidR="00DC2C63" w:rsidRPr="00A7673B">
        <w:t xml:space="preserve"> la eliminación de esta disposición en la última reforma al Código. </w:t>
      </w:r>
    </w:p>
    <w:p w14:paraId="630ECD7F" w14:textId="6D5C4FBC" w:rsidR="000022CC" w:rsidRPr="00A7673B" w:rsidRDefault="00BC29F7" w:rsidP="00B14895">
      <w:pPr>
        <w:pStyle w:val="BBodyText"/>
      </w:pPr>
      <w:r w:rsidRPr="00A7673B">
        <w:t xml:space="preserve">En segundo lugar, </w:t>
      </w:r>
      <w:r w:rsidR="00693509" w:rsidRPr="00A7673B">
        <w:t xml:space="preserve">debido a la precaria situación del sistema judicial en Venezuela, rara vez los órganos jurisdiccionales cumplen con los plazos establecidos en el Código Orgánico Procesal Penal para investigar, acusar y </w:t>
      </w:r>
      <w:r w:rsidR="00DA7770" w:rsidRPr="00A7673B">
        <w:t xml:space="preserve">enjuiciar </w:t>
      </w:r>
      <w:r w:rsidR="001E5D1E" w:rsidRPr="00A7673B">
        <w:t>a las personas que están imputadas, por lo que en muchas ocasiones, una vez dictada la medida privativa de libertad, no se respeta</w:t>
      </w:r>
      <w:r w:rsidR="00D20666" w:rsidRPr="00A7673B">
        <w:t>n los términos legales máximos para la presentación de acto conclusivo</w:t>
      </w:r>
      <w:r w:rsidR="00366BF2" w:rsidRPr="00A7673B">
        <w:t xml:space="preserve"> </w:t>
      </w:r>
      <w:r w:rsidR="002264E1" w:rsidRPr="00A7673B">
        <w:t>(</w:t>
      </w:r>
      <w:r w:rsidR="00D20666" w:rsidRPr="00A7673B">
        <w:t xml:space="preserve">de 45 días </w:t>
      </w:r>
      <w:r w:rsidR="00AD6926" w:rsidRPr="00A7673B">
        <w:t>si la persona está privada de libertad</w:t>
      </w:r>
      <w:r w:rsidR="00D20666" w:rsidRPr="00A7673B">
        <w:t>)</w:t>
      </w:r>
      <w:r w:rsidR="00447007" w:rsidRPr="00A7673B">
        <w:t>, lo cual daría pie a un decaimiento de la investigación y una obligación de archivar la causa por parte del Juez,</w:t>
      </w:r>
      <w:r w:rsidR="008E5E69" w:rsidRPr="00A7673B">
        <w:rPr>
          <w:rStyle w:val="FootnoteReference"/>
        </w:rPr>
        <w:footnoteReference w:id="45"/>
      </w:r>
      <w:r w:rsidR="00203839" w:rsidRPr="00A7673B">
        <w:t xml:space="preserve"> o en caso de existir el acto conclusivo,</w:t>
      </w:r>
      <w:r w:rsidR="002264E1" w:rsidRPr="00A7673B">
        <w:t xml:space="preserve"> se i</w:t>
      </w:r>
      <w:r w:rsidR="3EBD8DAF" w:rsidRPr="00A7673B">
        <w:t>nobserva</w:t>
      </w:r>
      <w:r w:rsidR="00203839" w:rsidRPr="00A7673B">
        <w:t xml:space="preserve"> el plazo máximo de dos años para investigar</w:t>
      </w:r>
      <w:r w:rsidR="00EB2ED7" w:rsidRPr="00A7673B">
        <w:t xml:space="preserve">, o el plazo máximo de dos años </w:t>
      </w:r>
      <w:r w:rsidR="002264E1" w:rsidRPr="00A7673B">
        <w:t>durante</w:t>
      </w:r>
      <w:r w:rsidR="00EB2ED7" w:rsidRPr="00A7673B">
        <w:t xml:space="preserve"> la fase de juicio</w:t>
      </w:r>
      <w:r w:rsidR="004C6DC7" w:rsidRPr="00A7673B">
        <w:t>.</w:t>
      </w:r>
      <w:r w:rsidR="00A941DB" w:rsidRPr="00A7673B">
        <w:rPr>
          <w:rStyle w:val="FootnoteReference"/>
        </w:rPr>
        <w:footnoteReference w:id="46"/>
      </w:r>
      <w:r w:rsidR="004C6DC7" w:rsidRPr="00A7673B">
        <w:t xml:space="preserve"> </w:t>
      </w:r>
      <w:r w:rsidRPr="00A7673B">
        <w:t xml:space="preserve"> </w:t>
      </w:r>
    </w:p>
    <w:p w14:paraId="29C33EBC" w14:textId="12A1BD8B" w:rsidR="007E4393" w:rsidRPr="00A7673B" w:rsidRDefault="007E4393" w:rsidP="00B14895">
      <w:pPr>
        <w:pStyle w:val="BBodyText"/>
      </w:pPr>
      <w:r w:rsidRPr="00A7673B">
        <w:t>Amnistía Internacional ha acompañado una decena de casos en los que las personas privadas de libertad están sujetas a múltiples dilaciones que no les son imputables, y tampoco a sus defensas</w:t>
      </w:r>
      <w:r w:rsidR="1B10DDE7">
        <w:t xml:space="preserve">. </w:t>
      </w:r>
      <w:r w:rsidR="68D85A50">
        <w:t>P</w:t>
      </w:r>
      <w:r w:rsidR="000C3EE2">
        <w:t>or ejemplo</w:t>
      </w:r>
      <w:r w:rsidR="71062D9C">
        <w:t>,</w:t>
      </w:r>
      <w:r w:rsidR="000C3EE2">
        <w:t xml:space="preserve"> l</w:t>
      </w:r>
      <w:r w:rsidR="000C3EE2" w:rsidRPr="000C3EE2">
        <w:t>as causas incluyen falta de traslados desde prisiones para audiencias, ausencia de testigos y cierres injustificados de tribunales, lo que genera incertidumbre en la celebración de juicios</w:t>
      </w:r>
      <w:r w:rsidR="007117E8">
        <w:t xml:space="preserve"> y en el acceso al derecho a la defensa</w:t>
      </w:r>
      <w:r w:rsidR="00A55FA9" w:rsidRPr="00A7673B">
        <w:t xml:space="preserve">. </w:t>
      </w:r>
    </w:p>
    <w:p w14:paraId="09920F7E" w14:textId="096A0249" w:rsidR="006117DE" w:rsidRPr="00A7673B" w:rsidRDefault="00A55FA9" w:rsidP="00B14895">
      <w:pPr>
        <w:pStyle w:val="BBodyText"/>
      </w:pPr>
      <w:r w:rsidRPr="00A7673B">
        <w:t xml:space="preserve">Tal es el caso del juicio seguido en contra de Robert Franco y Darío Estrada, en cuyo caso la </w:t>
      </w:r>
      <w:r w:rsidR="00E16043" w:rsidRPr="00A7673B">
        <w:t xml:space="preserve">revocación de la competencia especial en </w:t>
      </w:r>
      <w:r w:rsidR="05E54D31" w:rsidRPr="00A7673B">
        <w:t>‘</w:t>
      </w:r>
      <w:r w:rsidR="00E16043" w:rsidRPr="00A7673B">
        <w:t>terrorismo</w:t>
      </w:r>
      <w:r w:rsidR="26A515C9" w:rsidRPr="00A7673B">
        <w:t>’</w:t>
      </w:r>
      <w:r w:rsidR="00E16043" w:rsidRPr="00A7673B">
        <w:t xml:space="preserve"> a un tribunal ordinario ha provocado el rein</w:t>
      </w:r>
      <w:r w:rsidR="006A60AE" w:rsidRPr="00A7673B">
        <w:t>i</w:t>
      </w:r>
      <w:r w:rsidR="00E16043" w:rsidRPr="00A7673B">
        <w:t>cio del juicio a pesar</w:t>
      </w:r>
      <w:r w:rsidR="009344B7" w:rsidRPr="00A7673B">
        <w:t xml:space="preserve"> de</w:t>
      </w:r>
      <w:r w:rsidR="00E16043" w:rsidRPr="00A7673B">
        <w:t xml:space="preserve"> que se encontraban a la espera de la decisión</w:t>
      </w:r>
      <w:r w:rsidR="00882E9E" w:rsidRPr="00A7673B">
        <w:t xml:space="preserve"> y tras más de </w:t>
      </w:r>
      <w:r w:rsidR="006A60AE" w:rsidRPr="00A7673B">
        <w:t>dos años privados de libertad de manera preventiva.</w:t>
      </w:r>
      <w:r w:rsidR="00BE6850">
        <w:rPr>
          <w:rStyle w:val="FootnoteReference"/>
        </w:rPr>
        <w:footnoteReference w:id="47"/>
      </w:r>
      <w:r w:rsidR="006A60AE" w:rsidRPr="00A7673B">
        <w:t xml:space="preserve"> </w:t>
      </w:r>
    </w:p>
    <w:p w14:paraId="3DBDDE0B" w14:textId="519F2AE4" w:rsidR="009F0A5C" w:rsidRPr="00A7673B" w:rsidRDefault="009A1413" w:rsidP="00B9647E">
      <w:pPr>
        <w:pStyle w:val="BNumberedSubheading"/>
      </w:pPr>
      <w:bookmarkStart w:id="30" w:name="_Toc145441875"/>
      <w:r w:rsidRPr="00A7673B">
        <w:t>ARBITRARIEDAD Y DESCONOCIMIENTO DE BOLETAS DE EXCARCELACIÓN</w:t>
      </w:r>
      <w:bookmarkEnd w:id="30"/>
    </w:p>
    <w:p w14:paraId="0552BE8C" w14:textId="10B9C956" w:rsidR="00BC29F7" w:rsidRPr="00A7673B" w:rsidRDefault="000B0D41" w:rsidP="00B14895">
      <w:pPr>
        <w:pStyle w:val="BBodyText"/>
      </w:pPr>
      <w:r w:rsidRPr="00A7673B">
        <w:t xml:space="preserve">Amnistía Internacional ha podido documentar cómo organismos de seguridad del Estado y el Ministerio de Asuntos Penitenciarios hacen caso omiso a las órdenes emitidas por autoridades judiciales. </w:t>
      </w:r>
    </w:p>
    <w:p w14:paraId="00C5417D" w14:textId="43AED5C1" w:rsidR="000B0D41" w:rsidRPr="00795697" w:rsidRDefault="00594074" w:rsidP="00B14895">
      <w:pPr>
        <w:pStyle w:val="BBodyText"/>
        <w:rPr>
          <w:sz w:val="20"/>
          <w:szCs w:val="20"/>
        </w:rPr>
      </w:pPr>
      <w:r w:rsidRPr="00A7673B">
        <w:t xml:space="preserve">Aunque se tienen reportes de que esto ocurre en casos de distinta naturaleza, la organización ha documentado situaciones de detenciones arbitrarias por motivos políticos en las que se desconocen las órdenes de liberaciones emitidas por </w:t>
      </w:r>
      <w:r w:rsidR="00C41DBC" w:rsidRPr="00A7673B">
        <w:t xml:space="preserve">los jueces de la causa y también de casos donde los tribunales habrían ordenado traslados a centros médicos que tampoco son acatados por parte de las autoridades que mantienen a la </w:t>
      </w:r>
      <w:r w:rsidR="00C41DBC" w:rsidRPr="00795697">
        <w:rPr>
          <w:sz w:val="20"/>
          <w:szCs w:val="20"/>
        </w:rPr>
        <w:t xml:space="preserve">persona bajo custodia. </w:t>
      </w:r>
    </w:p>
    <w:p w14:paraId="30A39800" w14:textId="6EE918B8" w:rsidR="000A1D9E" w:rsidRPr="00795697" w:rsidRDefault="00467798" w:rsidP="00B14895">
      <w:pPr>
        <w:pStyle w:val="BBodyText"/>
        <w:rPr>
          <w:sz w:val="20"/>
          <w:szCs w:val="20"/>
        </w:rPr>
      </w:pPr>
      <w:r w:rsidRPr="00795697">
        <w:rPr>
          <w:sz w:val="20"/>
          <w:szCs w:val="20"/>
        </w:rPr>
        <w:t xml:space="preserve">Esta arbitrariedad ha sido ampliamente documentada por la MIIDH, y da cuenta de la falta de </w:t>
      </w:r>
      <w:r w:rsidR="51A16E0F" w:rsidRPr="00795697">
        <w:rPr>
          <w:sz w:val="20"/>
          <w:szCs w:val="20"/>
        </w:rPr>
        <w:t>e</w:t>
      </w:r>
      <w:r w:rsidRPr="00795697">
        <w:rPr>
          <w:sz w:val="20"/>
          <w:szCs w:val="20"/>
        </w:rPr>
        <w:t xml:space="preserve">stado de </w:t>
      </w:r>
      <w:r w:rsidR="2598055E" w:rsidRPr="00795697">
        <w:rPr>
          <w:sz w:val="20"/>
          <w:szCs w:val="20"/>
        </w:rPr>
        <w:t>d</w:t>
      </w:r>
      <w:r w:rsidRPr="00795697">
        <w:rPr>
          <w:sz w:val="20"/>
          <w:szCs w:val="20"/>
        </w:rPr>
        <w:t xml:space="preserve">erecho y de independencia </w:t>
      </w:r>
      <w:r w:rsidR="7B92ED4A" w:rsidRPr="00795697">
        <w:rPr>
          <w:sz w:val="20"/>
          <w:szCs w:val="20"/>
        </w:rPr>
        <w:t>de</w:t>
      </w:r>
      <w:r w:rsidR="50701A4A" w:rsidRPr="00795697">
        <w:rPr>
          <w:sz w:val="20"/>
          <w:szCs w:val="20"/>
        </w:rPr>
        <w:t>l Poder Judicial</w:t>
      </w:r>
      <w:r w:rsidRPr="00795697">
        <w:rPr>
          <w:sz w:val="20"/>
          <w:szCs w:val="20"/>
        </w:rPr>
        <w:t xml:space="preserve"> en Venezuela. </w:t>
      </w:r>
    </w:p>
    <w:p w14:paraId="02A0BD92" w14:textId="7DD94AC9" w:rsidR="000A1D9E" w:rsidRPr="00795697" w:rsidRDefault="00AC1E57" w:rsidP="000A1D9E">
      <w:pPr>
        <w:rPr>
          <w:lang w:eastAsia="en-GB"/>
        </w:rPr>
      </w:pPr>
      <w:r w:rsidRPr="00795697">
        <w:rPr>
          <w:lang w:eastAsia="en-GB"/>
        </w:rPr>
        <w:t xml:space="preserve">Amnistía Internacional </w:t>
      </w:r>
      <w:r w:rsidR="5F88D5E6" w:rsidRPr="00795697">
        <w:rPr>
          <w:lang w:eastAsia="en-GB"/>
        </w:rPr>
        <w:t>solicita</w:t>
      </w:r>
      <w:r w:rsidR="4A43A37A" w:rsidRPr="00795697">
        <w:rPr>
          <w:lang w:eastAsia="en-GB"/>
        </w:rPr>
        <w:t xml:space="preserve"> a</w:t>
      </w:r>
      <w:r w:rsidR="0D57C1D5" w:rsidRPr="00795697">
        <w:rPr>
          <w:lang w:eastAsia="en-GB"/>
        </w:rPr>
        <w:t xml:space="preserve"> </w:t>
      </w:r>
      <w:r w:rsidR="4A43A37A" w:rsidRPr="00795697">
        <w:rPr>
          <w:lang w:eastAsia="en-GB"/>
        </w:rPr>
        <w:t>l</w:t>
      </w:r>
      <w:r w:rsidR="76176ED2" w:rsidRPr="00795697">
        <w:rPr>
          <w:lang w:eastAsia="en-GB"/>
        </w:rPr>
        <w:t>as autoridades</w:t>
      </w:r>
      <w:r w:rsidRPr="00795697">
        <w:rPr>
          <w:lang w:eastAsia="en-GB"/>
        </w:rPr>
        <w:t xml:space="preserve"> </w:t>
      </w:r>
      <w:r w:rsidR="4A43A37A" w:rsidRPr="00795697">
        <w:rPr>
          <w:lang w:eastAsia="en-GB"/>
        </w:rPr>
        <w:t>venezolan</w:t>
      </w:r>
      <w:r w:rsidR="1D68F325" w:rsidRPr="00795697">
        <w:rPr>
          <w:lang w:eastAsia="en-GB"/>
        </w:rPr>
        <w:t>as</w:t>
      </w:r>
      <w:r w:rsidRPr="00795697">
        <w:rPr>
          <w:lang w:eastAsia="en-GB"/>
        </w:rPr>
        <w:t xml:space="preserve"> que:</w:t>
      </w:r>
    </w:p>
    <w:p w14:paraId="1D71BC37" w14:textId="78F2D634" w:rsidR="00AC1E57" w:rsidRPr="00795697" w:rsidRDefault="5010F03D" w:rsidP="00AC1E57">
      <w:pPr>
        <w:pStyle w:val="ListParagraph"/>
        <w:numPr>
          <w:ilvl w:val="0"/>
          <w:numId w:val="23"/>
        </w:numPr>
        <w:rPr>
          <w:rFonts w:cs="Arial"/>
          <w:color w:val="000000" w:themeColor="text1"/>
          <w:sz w:val="20"/>
          <w:szCs w:val="20"/>
          <w:lang w:eastAsia="en-GB"/>
        </w:rPr>
      </w:pPr>
      <w:r w:rsidRPr="00795697">
        <w:rPr>
          <w:sz w:val="20"/>
          <w:szCs w:val="20"/>
          <w:lang w:eastAsia="en-GB"/>
        </w:rPr>
        <w:t>Garantice</w:t>
      </w:r>
      <w:r w:rsidR="48291B6B" w:rsidRPr="00795697">
        <w:rPr>
          <w:sz w:val="20"/>
          <w:szCs w:val="20"/>
          <w:lang w:eastAsia="en-GB"/>
        </w:rPr>
        <w:t>n</w:t>
      </w:r>
      <w:r w:rsidR="00B12281" w:rsidRPr="00795697">
        <w:rPr>
          <w:sz w:val="20"/>
          <w:szCs w:val="20"/>
          <w:lang w:eastAsia="en-GB"/>
        </w:rPr>
        <w:t xml:space="preserve"> la seguridad, </w:t>
      </w:r>
      <w:r w:rsidR="55B0A5AB" w:rsidRPr="00795697">
        <w:rPr>
          <w:sz w:val="20"/>
          <w:szCs w:val="20"/>
          <w:lang w:eastAsia="en-GB"/>
        </w:rPr>
        <w:t xml:space="preserve">la </w:t>
      </w:r>
      <w:r w:rsidR="00B12281" w:rsidRPr="00795697">
        <w:rPr>
          <w:sz w:val="20"/>
          <w:szCs w:val="20"/>
          <w:lang w:eastAsia="en-GB"/>
        </w:rPr>
        <w:t>salud y</w:t>
      </w:r>
      <w:r w:rsidRPr="00795697">
        <w:rPr>
          <w:sz w:val="20"/>
          <w:szCs w:val="20"/>
          <w:lang w:eastAsia="en-GB"/>
        </w:rPr>
        <w:t xml:space="preserve"> </w:t>
      </w:r>
      <w:r w:rsidR="07F2F26C" w:rsidRPr="00795697">
        <w:rPr>
          <w:sz w:val="20"/>
          <w:szCs w:val="20"/>
          <w:lang w:eastAsia="en-GB"/>
        </w:rPr>
        <w:t>la</w:t>
      </w:r>
      <w:r w:rsidR="00B12281" w:rsidRPr="00795697">
        <w:rPr>
          <w:sz w:val="20"/>
          <w:szCs w:val="20"/>
          <w:lang w:eastAsia="en-GB"/>
        </w:rPr>
        <w:t xml:space="preserve"> vida de las personas privadas de libertad acorde a los estándares internacionales, las Reglas </w:t>
      </w:r>
      <w:r w:rsidR="1FF4A310" w:rsidRPr="00795697">
        <w:rPr>
          <w:sz w:val="20"/>
          <w:szCs w:val="20"/>
          <w:lang w:eastAsia="en-GB"/>
        </w:rPr>
        <w:t xml:space="preserve">Mínimas de las Naciones Unidas para el Tratamiento de los Reclusos (Reglas Nelson </w:t>
      </w:r>
      <w:r w:rsidRPr="00795697">
        <w:rPr>
          <w:sz w:val="20"/>
          <w:szCs w:val="20"/>
          <w:lang w:eastAsia="en-GB"/>
        </w:rPr>
        <w:t>Mandela</w:t>
      </w:r>
      <w:r w:rsidR="6F00F289" w:rsidRPr="00795697">
        <w:rPr>
          <w:sz w:val="20"/>
          <w:szCs w:val="20"/>
          <w:lang w:eastAsia="en-GB"/>
        </w:rPr>
        <w:t>)</w:t>
      </w:r>
      <w:r w:rsidR="00E15E0A">
        <w:rPr>
          <w:rStyle w:val="FootnoteReference"/>
          <w:sz w:val="20"/>
          <w:szCs w:val="20"/>
          <w:lang w:eastAsia="en-GB"/>
        </w:rPr>
        <w:footnoteReference w:id="48"/>
      </w:r>
      <w:r w:rsidR="00B12281" w:rsidRPr="00795697">
        <w:rPr>
          <w:sz w:val="20"/>
          <w:szCs w:val="20"/>
          <w:lang w:eastAsia="en-GB"/>
        </w:rPr>
        <w:t xml:space="preserve"> y </w:t>
      </w:r>
      <w:r w:rsidR="00A95223" w:rsidRPr="00795697">
        <w:rPr>
          <w:sz w:val="20"/>
          <w:szCs w:val="20"/>
          <w:lang w:eastAsia="en-GB"/>
        </w:rPr>
        <w:t>las obligaciones internacionales adquiridas por el Estado.</w:t>
      </w:r>
    </w:p>
    <w:p w14:paraId="48F09CB8" w14:textId="5DEB8307" w:rsidR="00A95223" w:rsidRPr="00795697" w:rsidRDefault="00A95223" w:rsidP="00AC1E57">
      <w:pPr>
        <w:pStyle w:val="ListParagraph"/>
        <w:numPr>
          <w:ilvl w:val="0"/>
          <w:numId w:val="23"/>
        </w:numPr>
        <w:rPr>
          <w:sz w:val="20"/>
          <w:szCs w:val="20"/>
          <w:lang w:eastAsia="en-GB"/>
        </w:rPr>
      </w:pPr>
      <w:r w:rsidRPr="00795697">
        <w:rPr>
          <w:sz w:val="20"/>
          <w:szCs w:val="20"/>
          <w:lang w:eastAsia="en-GB"/>
        </w:rPr>
        <w:t xml:space="preserve">Garantice acceso a la salud, alimentación, agua potable y otros bienes básicos a las personas privadas de libertad. </w:t>
      </w:r>
    </w:p>
    <w:p w14:paraId="0DA1C88B" w14:textId="1417056C" w:rsidR="00A95223" w:rsidRPr="00795697" w:rsidRDefault="00A95223" w:rsidP="00AC1E57">
      <w:pPr>
        <w:pStyle w:val="ListParagraph"/>
        <w:numPr>
          <w:ilvl w:val="0"/>
          <w:numId w:val="23"/>
        </w:numPr>
        <w:rPr>
          <w:sz w:val="20"/>
          <w:szCs w:val="20"/>
          <w:lang w:eastAsia="en-GB"/>
        </w:rPr>
      </w:pPr>
      <w:r w:rsidRPr="00795697">
        <w:rPr>
          <w:sz w:val="20"/>
          <w:szCs w:val="20"/>
          <w:lang w:eastAsia="en-GB"/>
        </w:rPr>
        <w:t xml:space="preserve">Se abstenga de utilizar </w:t>
      </w:r>
      <w:r w:rsidR="0030054E" w:rsidRPr="00795697">
        <w:rPr>
          <w:sz w:val="20"/>
          <w:szCs w:val="20"/>
          <w:lang w:eastAsia="en-GB"/>
        </w:rPr>
        <w:t xml:space="preserve">calabozos policiales u otras instalaciones no </w:t>
      </w:r>
      <w:r w:rsidR="14534181" w:rsidRPr="00795697">
        <w:rPr>
          <w:sz w:val="20"/>
          <w:szCs w:val="20"/>
          <w:lang w:eastAsia="en-GB"/>
        </w:rPr>
        <w:t>a</w:t>
      </w:r>
      <w:r w:rsidR="6E49C42C" w:rsidRPr="00795697">
        <w:rPr>
          <w:sz w:val="20"/>
          <w:szCs w:val="20"/>
          <w:lang w:eastAsia="en-GB"/>
        </w:rPr>
        <w:t>decuadas</w:t>
      </w:r>
      <w:r w:rsidR="0030054E" w:rsidRPr="00795697">
        <w:rPr>
          <w:sz w:val="20"/>
          <w:szCs w:val="20"/>
          <w:lang w:eastAsia="en-GB"/>
        </w:rPr>
        <w:t xml:space="preserve"> para la privación de libertad por períodos prolongados.</w:t>
      </w:r>
    </w:p>
    <w:p w14:paraId="5D7405CF" w14:textId="33FD5BB7" w:rsidR="0030054E" w:rsidRPr="00795697" w:rsidRDefault="00C53700" w:rsidP="00AC1E57">
      <w:pPr>
        <w:pStyle w:val="ListParagraph"/>
        <w:numPr>
          <w:ilvl w:val="0"/>
          <w:numId w:val="23"/>
        </w:numPr>
        <w:rPr>
          <w:sz w:val="20"/>
          <w:szCs w:val="20"/>
          <w:lang w:eastAsia="en-GB"/>
        </w:rPr>
      </w:pPr>
      <w:r w:rsidRPr="00795697">
        <w:rPr>
          <w:sz w:val="20"/>
          <w:szCs w:val="20"/>
          <w:lang w:eastAsia="en-GB"/>
        </w:rPr>
        <w:t xml:space="preserve">Se abstenga de utilizar las detenciones arbitrarias para silenciar a disidentes políticos o a quienes son percibidos como </w:t>
      </w:r>
      <w:r w:rsidR="5315FA12" w:rsidRPr="00795697">
        <w:rPr>
          <w:sz w:val="20"/>
          <w:szCs w:val="20"/>
          <w:lang w:eastAsia="en-GB"/>
        </w:rPr>
        <w:t>tal</w:t>
      </w:r>
      <w:r w:rsidR="768C4A3F" w:rsidRPr="00795697">
        <w:rPr>
          <w:sz w:val="20"/>
          <w:szCs w:val="20"/>
          <w:lang w:eastAsia="en-GB"/>
        </w:rPr>
        <w:t>es</w:t>
      </w:r>
      <w:r w:rsidR="00580EC0" w:rsidRPr="00795697">
        <w:rPr>
          <w:sz w:val="20"/>
          <w:szCs w:val="20"/>
          <w:lang w:eastAsia="en-GB"/>
        </w:rPr>
        <w:t>.</w:t>
      </w:r>
    </w:p>
    <w:p w14:paraId="24878AA0" w14:textId="5237B236" w:rsidR="00580EC0" w:rsidRPr="00795697" w:rsidRDefault="00580EC0" w:rsidP="00AC1E57">
      <w:pPr>
        <w:pStyle w:val="ListParagraph"/>
        <w:numPr>
          <w:ilvl w:val="0"/>
          <w:numId w:val="23"/>
        </w:numPr>
        <w:rPr>
          <w:sz w:val="20"/>
          <w:szCs w:val="20"/>
          <w:lang w:eastAsia="en-GB"/>
        </w:rPr>
      </w:pPr>
      <w:r w:rsidRPr="00795697">
        <w:rPr>
          <w:sz w:val="20"/>
          <w:szCs w:val="20"/>
          <w:lang w:eastAsia="en-GB"/>
        </w:rPr>
        <w:t xml:space="preserve">Libere de manera inmediata e incondicional a todas las personas detenidas arbitrariamente </w:t>
      </w:r>
    </w:p>
    <w:p w14:paraId="1D140791" w14:textId="3DBCA160" w:rsidR="00580EC0" w:rsidRPr="00795697" w:rsidRDefault="00580EC0" w:rsidP="00AC1E57">
      <w:pPr>
        <w:pStyle w:val="ListParagraph"/>
        <w:numPr>
          <w:ilvl w:val="0"/>
          <w:numId w:val="23"/>
        </w:numPr>
        <w:rPr>
          <w:sz w:val="20"/>
          <w:szCs w:val="20"/>
          <w:lang w:eastAsia="en-GB"/>
        </w:rPr>
      </w:pPr>
      <w:r w:rsidRPr="00795697">
        <w:rPr>
          <w:sz w:val="20"/>
          <w:szCs w:val="20"/>
          <w:lang w:eastAsia="en-GB"/>
        </w:rPr>
        <w:t xml:space="preserve">Se abstenga de utilizar jurisdicciones o tribunales con competencias especiales para procesar penalmente a personas disidentes o </w:t>
      </w:r>
      <w:r w:rsidR="341C043E" w:rsidRPr="00795697">
        <w:rPr>
          <w:sz w:val="20"/>
          <w:szCs w:val="20"/>
          <w:lang w:eastAsia="en-GB"/>
        </w:rPr>
        <w:t>por</w:t>
      </w:r>
      <w:r w:rsidRPr="00795697">
        <w:rPr>
          <w:sz w:val="20"/>
          <w:szCs w:val="20"/>
          <w:lang w:eastAsia="en-GB"/>
        </w:rPr>
        <w:t xml:space="preserve"> motivos políticos. </w:t>
      </w:r>
    </w:p>
    <w:p w14:paraId="29FC75F4" w14:textId="0887BEF6" w:rsidR="00580EC0" w:rsidRPr="00795697" w:rsidRDefault="00DA6D4E" w:rsidP="00AC1E57">
      <w:pPr>
        <w:pStyle w:val="ListParagraph"/>
        <w:numPr>
          <w:ilvl w:val="0"/>
          <w:numId w:val="23"/>
        </w:numPr>
        <w:rPr>
          <w:sz w:val="20"/>
          <w:szCs w:val="20"/>
          <w:lang w:eastAsia="en-GB"/>
        </w:rPr>
      </w:pPr>
      <w:r w:rsidRPr="00795697">
        <w:rPr>
          <w:sz w:val="20"/>
          <w:szCs w:val="20"/>
          <w:lang w:eastAsia="en-GB"/>
        </w:rPr>
        <w:t>Se cumplan con los plazos legales y requisitos y se fundamente la prisión preventiva reconociendo su carácter excepcional.</w:t>
      </w:r>
    </w:p>
    <w:p w14:paraId="5F7C591D" w14:textId="5AB5AA19" w:rsidR="00DA6D4E" w:rsidRDefault="00922B8A" w:rsidP="00AC1E57">
      <w:pPr>
        <w:pStyle w:val="ListParagraph"/>
        <w:numPr>
          <w:ilvl w:val="0"/>
          <w:numId w:val="23"/>
        </w:numPr>
        <w:rPr>
          <w:sz w:val="20"/>
          <w:szCs w:val="20"/>
          <w:lang w:eastAsia="en-GB"/>
        </w:rPr>
      </w:pPr>
      <w:r w:rsidRPr="00795697">
        <w:rPr>
          <w:sz w:val="20"/>
          <w:szCs w:val="20"/>
          <w:lang w:eastAsia="en-GB"/>
        </w:rPr>
        <w:t>Los organismos de seguridad que mantienen a las personas bajo su custodia y las autoridades</w:t>
      </w:r>
      <w:r w:rsidR="00DA6D4E" w:rsidRPr="00795697">
        <w:rPr>
          <w:sz w:val="20"/>
          <w:szCs w:val="20"/>
          <w:lang w:eastAsia="en-GB"/>
        </w:rPr>
        <w:t xml:space="preserve"> </w:t>
      </w:r>
      <w:r w:rsidR="5FF2EAD8" w:rsidRPr="00795697">
        <w:rPr>
          <w:sz w:val="20"/>
          <w:szCs w:val="20"/>
          <w:lang w:eastAsia="en-GB"/>
        </w:rPr>
        <w:t xml:space="preserve">todas </w:t>
      </w:r>
      <w:r w:rsidR="00C74B60" w:rsidRPr="00795697">
        <w:rPr>
          <w:sz w:val="20"/>
          <w:szCs w:val="20"/>
          <w:lang w:eastAsia="en-GB"/>
        </w:rPr>
        <w:t>acaten</w:t>
      </w:r>
      <w:r w:rsidR="2E0A4A00" w:rsidRPr="00795697">
        <w:rPr>
          <w:sz w:val="20"/>
          <w:szCs w:val="20"/>
          <w:lang w:eastAsia="en-GB"/>
        </w:rPr>
        <w:t xml:space="preserve"> </w:t>
      </w:r>
      <w:r w:rsidR="3F66FBA6" w:rsidRPr="00795697">
        <w:rPr>
          <w:sz w:val="20"/>
          <w:szCs w:val="20"/>
          <w:lang w:eastAsia="en-GB"/>
        </w:rPr>
        <w:t>las</w:t>
      </w:r>
      <w:r w:rsidR="00C74B60" w:rsidRPr="00795697">
        <w:rPr>
          <w:sz w:val="20"/>
          <w:szCs w:val="20"/>
          <w:lang w:eastAsia="en-GB"/>
        </w:rPr>
        <w:t xml:space="preserve"> órdenes judiciales de liberación y traslado de las personas detenidas</w:t>
      </w:r>
      <w:r w:rsidR="52F826B2" w:rsidRPr="00795697">
        <w:rPr>
          <w:sz w:val="20"/>
          <w:szCs w:val="20"/>
          <w:lang w:eastAsia="en-GB"/>
        </w:rPr>
        <w:t>.</w:t>
      </w:r>
      <w:r w:rsidR="00C74B60" w:rsidRPr="00795697">
        <w:rPr>
          <w:sz w:val="20"/>
          <w:szCs w:val="20"/>
          <w:lang w:eastAsia="en-GB"/>
        </w:rPr>
        <w:t xml:space="preserve"> </w:t>
      </w:r>
    </w:p>
    <w:p w14:paraId="53FE7ED4" w14:textId="4D5765CC" w:rsidR="00084B0A" w:rsidRPr="00A7673B" w:rsidRDefault="00B11CB2" w:rsidP="00B9647E">
      <w:pPr>
        <w:pStyle w:val="BNumberedHeading"/>
      </w:pPr>
      <w:bookmarkStart w:id="31" w:name="_Toc145413303"/>
      <w:bookmarkStart w:id="32" w:name="_Toc145441876"/>
      <w:bookmarkEnd w:id="31"/>
      <w:r w:rsidRPr="00A7673B">
        <w:t>ACCESO A LA JUSTICIA, INDEPENDENCIA DEL PODER JUDICIAL Y ADMINISTRACIÓN DE JUSTICIA</w:t>
      </w:r>
      <w:r w:rsidR="00A7673B" w:rsidRPr="00A7673B">
        <w:t xml:space="preserve"> (ARTÍCULOS 2 Y 26)</w:t>
      </w:r>
      <w:bookmarkEnd w:id="32"/>
    </w:p>
    <w:p w14:paraId="4C57BD65" w14:textId="77777777" w:rsidR="00137639" w:rsidRPr="00A7673B" w:rsidRDefault="00137639" w:rsidP="00137639"/>
    <w:p w14:paraId="54B5F45F" w14:textId="6E7F0B10" w:rsidR="00137639" w:rsidRPr="00A7673B" w:rsidRDefault="00137639" w:rsidP="00AD4F51">
      <w:pPr>
        <w:pStyle w:val="BBodyText"/>
      </w:pPr>
      <w:r w:rsidRPr="00A7673B">
        <w:t xml:space="preserve">El acceso a la justicia y la independencia del </w:t>
      </w:r>
      <w:r w:rsidR="7570B47D">
        <w:t>P</w:t>
      </w:r>
      <w:r w:rsidR="2F6DCE72">
        <w:t xml:space="preserve">oder </w:t>
      </w:r>
      <w:r w:rsidR="4B9E7A79">
        <w:t>J</w:t>
      </w:r>
      <w:r w:rsidR="2F6DCE72">
        <w:t>udicial</w:t>
      </w:r>
      <w:r w:rsidRPr="00A7673B">
        <w:t xml:space="preserve"> no se encuentran garantizados por </w:t>
      </w:r>
      <w:r w:rsidR="01570FD4">
        <w:t>las autoridades venezolanas</w:t>
      </w:r>
      <w:r w:rsidRPr="00A7673B">
        <w:t xml:space="preserve"> en violación al Pacto Internacional de Derechos Civiles y Políticos y </w:t>
      </w:r>
      <w:r w:rsidR="77E8D088">
        <w:t>de</w:t>
      </w:r>
      <w:r w:rsidRPr="00A7673B">
        <w:t xml:space="preserve"> otras obligaciones internacionales. </w:t>
      </w:r>
    </w:p>
    <w:p w14:paraId="651DA3A8" w14:textId="657008D6" w:rsidR="000A405A" w:rsidRPr="00EB07D8" w:rsidRDefault="000A405A" w:rsidP="00B9647E">
      <w:pPr>
        <w:pStyle w:val="BNumberedSubheading"/>
      </w:pPr>
      <w:bookmarkStart w:id="33" w:name="_Toc145401926"/>
      <w:bookmarkStart w:id="34" w:name="_Toc145412400"/>
      <w:bookmarkStart w:id="35" w:name="_Toc145413305"/>
      <w:bookmarkStart w:id="36" w:name="_Toc145441877"/>
      <w:bookmarkEnd w:id="33"/>
      <w:bookmarkEnd w:id="34"/>
      <w:bookmarkEnd w:id="35"/>
      <w:r w:rsidRPr="00EB07D8">
        <w:t>FALTA DE INDEPENDENCIA E INJERENCIA DE OTROS PODERES PÚBLICOS EN LA ADMINISTRACIÓN DE JUSTICIA</w:t>
      </w:r>
      <w:bookmarkEnd w:id="36"/>
      <w:r w:rsidRPr="00EB07D8">
        <w:t xml:space="preserve"> </w:t>
      </w:r>
    </w:p>
    <w:p w14:paraId="00775E8C" w14:textId="323DFB4C" w:rsidR="00137639" w:rsidRPr="00A7673B" w:rsidRDefault="002834BC" w:rsidP="00137639">
      <w:r w:rsidRPr="00A7673B">
        <w:t xml:space="preserve">Respecto de la falta de </w:t>
      </w:r>
      <w:r w:rsidR="38B45C99">
        <w:t>independencia</w:t>
      </w:r>
      <w:r w:rsidRPr="00A7673B">
        <w:t xml:space="preserve"> de quienes operan la justicia, es decir funcionarios judiciales, fiscales, defensores públicos, </w:t>
      </w:r>
      <w:r w:rsidR="00D255A4" w:rsidRPr="00A7673B">
        <w:t>se evidencia la injerencia</w:t>
      </w:r>
      <w:r w:rsidR="00D62D82">
        <w:t xml:space="preserve"> en sus labores</w:t>
      </w:r>
      <w:r w:rsidR="00D255A4" w:rsidRPr="00A7673B">
        <w:t xml:space="preserve"> por parte de funcionarios de otros poderes públicos,</w:t>
      </w:r>
      <w:r w:rsidR="005052F8" w:rsidRPr="00A7673B">
        <w:t xml:space="preserve"> o de</w:t>
      </w:r>
      <w:r w:rsidR="00D048C3" w:rsidRPr="00A7673B">
        <w:t xml:space="preserve">sde </w:t>
      </w:r>
      <w:r w:rsidR="00D255A4" w:rsidRPr="00A7673B">
        <w:t>el propio poder judicial</w:t>
      </w:r>
      <w:r w:rsidR="00D048C3" w:rsidRPr="00A7673B">
        <w:t xml:space="preserve">. </w:t>
      </w:r>
    </w:p>
    <w:p w14:paraId="2D55378B" w14:textId="77777777" w:rsidR="00D048C3" w:rsidRPr="00A7673B" w:rsidRDefault="00D048C3" w:rsidP="00137639"/>
    <w:p w14:paraId="008AB279" w14:textId="63D45D9C" w:rsidR="00D048C3" w:rsidRPr="00A7673B" w:rsidRDefault="00D048C3" w:rsidP="00137639">
      <w:r w:rsidRPr="00A7673B">
        <w:t xml:space="preserve">Amnistía Internacional ha denunciado la falta de </w:t>
      </w:r>
      <w:r w:rsidR="035F13DE" w:rsidRPr="00A7673B">
        <w:t>independencia de numerosos</w:t>
      </w:r>
      <w:r w:rsidRPr="00A7673B">
        <w:t xml:space="preserve"> jueces y fiscales </w:t>
      </w:r>
      <w:r w:rsidR="73161E12" w:rsidRPr="00A7673B">
        <w:t>y</w:t>
      </w:r>
      <w:r w:rsidRPr="00A7673B">
        <w:t xml:space="preserve"> la existencia de una correlación entr</w:t>
      </w:r>
      <w:r w:rsidR="00B57218" w:rsidRPr="00A7673B">
        <w:t>e las detenciones arbitr</w:t>
      </w:r>
      <w:r w:rsidR="00BB67FF" w:rsidRPr="00A7673B">
        <w:t>ar</w:t>
      </w:r>
      <w:r w:rsidR="00B57218" w:rsidRPr="00A7673B">
        <w:t xml:space="preserve">ias por motivos políticos y los ataques en medios de comunicación que estigmatizan a personas defensoras de derechos humanos, dejando en evidencia que </w:t>
      </w:r>
      <w:r w:rsidR="00BB67FF" w:rsidRPr="00A7673B">
        <w:t xml:space="preserve">no existe independencia judicial y que </w:t>
      </w:r>
      <w:r w:rsidR="009609C8" w:rsidRPr="00A7673B">
        <w:t>los órganos de justicia entran en coordinación con otros mecanismos represivos.</w:t>
      </w:r>
      <w:r w:rsidR="00BC6CFD">
        <w:rPr>
          <w:rStyle w:val="FootnoteReference"/>
        </w:rPr>
        <w:footnoteReference w:id="49"/>
      </w:r>
      <w:r w:rsidR="009609C8" w:rsidRPr="00A7673B">
        <w:t xml:space="preserve"> </w:t>
      </w:r>
      <w:r w:rsidR="000A405A" w:rsidRPr="00A7673B">
        <w:t xml:space="preserve">Asimismo, la organización ha denunciado que </w:t>
      </w:r>
      <w:r w:rsidR="0018068D">
        <w:t>como parte del</w:t>
      </w:r>
      <w:r w:rsidR="00DD0B0A" w:rsidRPr="00A7673B">
        <w:t xml:space="preserve"> patrón de detenciones arbitrarias por motivos políticos, las autoridades </w:t>
      </w:r>
      <w:r w:rsidR="0018068D">
        <w:t>hacen</w:t>
      </w:r>
      <w:r w:rsidR="0018068D" w:rsidRPr="00A7673B">
        <w:t xml:space="preserve"> </w:t>
      </w:r>
      <w:r w:rsidR="00DD0B0A" w:rsidRPr="00A7673B">
        <w:t>declaraciones públicas en torno a casos que aún no han sido juzgados, afectando seriamente el principio de presunción de inocencia. En muchas ocasiones, las familias de las víctimas de las detenciones se habrían enterado de la detención a través de est</w:t>
      </w:r>
      <w:r w:rsidR="00E83FBA" w:rsidRPr="00A7673B">
        <w:t>as declaraciones públicas en medios masivos, aun cuando otros funcionarios negaran la detención.</w:t>
      </w:r>
      <w:r w:rsidR="00E83FBA" w:rsidRPr="00A7673B">
        <w:rPr>
          <w:rStyle w:val="FootnoteReference"/>
        </w:rPr>
        <w:footnoteReference w:id="50"/>
      </w:r>
      <w:r w:rsidR="00E83FBA" w:rsidRPr="00A7673B">
        <w:t xml:space="preserve"> </w:t>
      </w:r>
    </w:p>
    <w:p w14:paraId="47CC8C51" w14:textId="77777777" w:rsidR="009609C8" w:rsidRPr="00A7673B" w:rsidRDefault="009609C8" w:rsidP="00137639"/>
    <w:p w14:paraId="7E250917" w14:textId="5A7A6DCC" w:rsidR="009609C8" w:rsidRPr="00A7673B" w:rsidRDefault="009609C8" w:rsidP="00137639">
      <w:r w:rsidRPr="00A7673B">
        <w:t xml:space="preserve">La MIIDH ha documentado ampliamente </w:t>
      </w:r>
      <w:r w:rsidR="00F9405D" w:rsidRPr="00A7673B">
        <w:t xml:space="preserve">no solo la falta de independencia judicial o la omisión en la administración de justicia en Venezuela, sino que además ha identificado el rol fundamental que han tenido jueces, juezas, fiscales y otros </w:t>
      </w:r>
      <w:r w:rsidR="6AEC72E1" w:rsidRPr="00A7673B">
        <w:t>funcionarios</w:t>
      </w:r>
      <w:r w:rsidR="00F9405D" w:rsidRPr="00A7673B">
        <w:t xml:space="preserve"> ju</w:t>
      </w:r>
      <w:r w:rsidR="4D874AB6" w:rsidRPr="00A7673B">
        <w:t>diciales</w:t>
      </w:r>
      <w:r w:rsidR="00F9405D" w:rsidRPr="00A7673B">
        <w:t xml:space="preserve"> para la represión en contra de quienes son percibidos como disidentes al gobierno de Nicolás Maduro.</w:t>
      </w:r>
      <w:r w:rsidR="00BC6CFD">
        <w:rPr>
          <w:rStyle w:val="FootnoteReference"/>
        </w:rPr>
        <w:footnoteReference w:id="51"/>
      </w:r>
      <w:r w:rsidR="00F9405D" w:rsidRPr="00A7673B">
        <w:t xml:space="preserve"> </w:t>
      </w:r>
    </w:p>
    <w:p w14:paraId="1525DB3E" w14:textId="77777777" w:rsidR="004B78BF" w:rsidRPr="00A7673B" w:rsidRDefault="004B78BF" w:rsidP="00137639"/>
    <w:p w14:paraId="2A50D1B7" w14:textId="4F667BCC" w:rsidR="004B78BF" w:rsidRPr="00C05B8A" w:rsidRDefault="00F50676" w:rsidP="00137639">
      <w:pPr>
        <w:rPr>
          <w:highlight w:val="yellow"/>
        </w:rPr>
      </w:pPr>
      <w:r w:rsidRPr="00103627">
        <w:t xml:space="preserve">En marzo 2023 </w:t>
      </w:r>
      <w:r w:rsidR="004B78BF" w:rsidRPr="00103627">
        <w:t xml:space="preserve">se dio a conocer la noticia de que el juez </w:t>
      </w:r>
      <w:r w:rsidR="1F1C6DEB" w:rsidRPr="00103627">
        <w:t>que</w:t>
      </w:r>
      <w:r w:rsidR="00B8619A" w:rsidRPr="00103627">
        <w:t xml:space="preserve"> estaba </w:t>
      </w:r>
      <w:r w:rsidR="004B78BF" w:rsidRPr="00103627">
        <w:t xml:space="preserve">designado </w:t>
      </w:r>
      <w:r w:rsidR="650F763A" w:rsidRPr="00103627">
        <w:t>para integrar</w:t>
      </w:r>
      <w:r w:rsidR="004B78BF" w:rsidRPr="00103627">
        <w:t xml:space="preserve"> el Tribunal Especial Cuarto en funciones de </w:t>
      </w:r>
      <w:r w:rsidR="004B78BF" w:rsidRPr="00685746">
        <w:t xml:space="preserve">Control con Competencia en Terrorismo se encuentra privado de libertad desde marzo de 2023. Este juez está siendo investigado por presuntos actos de corrupción en la administración de justicia, vinculados a un supuesto caso de malversación de fondos millonarios en </w:t>
      </w:r>
      <w:r w:rsidR="00B8619A" w:rsidRPr="00685746">
        <w:t>Petróleos de Venezuela (</w:t>
      </w:r>
      <w:r w:rsidR="004B78BF" w:rsidRPr="00685746">
        <w:t>PDVSA</w:t>
      </w:r>
      <w:r w:rsidR="00B8619A" w:rsidRPr="00685746">
        <w:t>)</w:t>
      </w:r>
      <w:r w:rsidR="00E27EFB" w:rsidRPr="00685746">
        <w:t>, la compañía petrolera estatal</w:t>
      </w:r>
      <w:r w:rsidR="004B78BF" w:rsidRPr="00685746">
        <w:t>.</w:t>
      </w:r>
      <w:r w:rsidR="004B78BF" w:rsidRPr="00685746">
        <w:rPr>
          <w:vertAlign w:val="superscript"/>
        </w:rPr>
        <w:footnoteReference w:id="52"/>
      </w:r>
      <w:r w:rsidR="004B78BF" w:rsidRPr="00685746">
        <w:rPr>
          <w:vertAlign w:val="superscript"/>
        </w:rPr>
        <w:t xml:space="preserve"> </w:t>
      </w:r>
      <w:r w:rsidR="00E27EFB" w:rsidRPr="00685746">
        <w:t xml:space="preserve">Este caso podría dar cuenta de cómo </w:t>
      </w:r>
      <w:r w:rsidR="0032282A" w:rsidRPr="00685746">
        <w:t>funciona la injerencia del poder ejecutivo en el poder judicial, poniendo</w:t>
      </w:r>
      <w:r w:rsidR="004B78BF" w:rsidRPr="00685746">
        <w:t xml:space="preserve"> de manifiesto la preocupación sobre la independencia con la que ha actuado este tribunal de control, de comprobarse los cargos de corrupción por los que ha sido señalado</w:t>
      </w:r>
      <w:r w:rsidR="007E45AC" w:rsidRPr="00685746">
        <w:t xml:space="preserve">. </w:t>
      </w:r>
    </w:p>
    <w:p w14:paraId="32424E07" w14:textId="32818334" w:rsidR="00912DD3" w:rsidRPr="00A7673B" w:rsidRDefault="00912DD3" w:rsidP="00B9647E">
      <w:pPr>
        <w:pStyle w:val="BNumberedSubheading"/>
      </w:pPr>
      <w:bookmarkStart w:id="37" w:name="_Toc145441878"/>
      <w:r w:rsidRPr="00A7673B">
        <w:t>PROVISIONALIDAD DE LOS JUECES A PESAR DE LAS REFORMAS JUDICIALES</w:t>
      </w:r>
      <w:bookmarkEnd w:id="37"/>
      <w:r w:rsidRPr="00A7673B">
        <w:t xml:space="preserve"> </w:t>
      </w:r>
    </w:p>
    <w:p w14:paraId="08B8350F" w14:textId="692CEE85" w:rsidR="00B46D7D" w:rsidRPr="00A7673B" w:rsidRDefault="00B46D7D" w:rsidP="00137639">
      <w:r w:rsidRPr="00A7673B">
        <w:t xml:space="preserve">Respecto de la implementación de </w:t>
      </w:r>
      <w:r w:rsidR="76B64CE9" w:rsidRPr="00A7673B">
        <w:t xml:space="preserve">la </w:t>
      </w:r>
      <w:r w:rsidRPr="00A7673B">
        <w:t xml:space="preserve">carrera judicial y del Código de Ética del Juez Venezolano y la Jueza Venezolana, Amnistía Internacional considera que no se ha implementado </w:t>
      </w:r>
      <w:proofErr w:type="gramStart"/>
      <w:r w:rsidRPr="00A7673B">
        <w:t>de acuerdo a</w:t>
      </w:r>
      <w:proofErr w:type="gramEnd"/>
      <w:r w:rsidRPr="00A7673B">
        <w:t xml:space="preserve"> las recomendaciones de los organismos internacionales</w:t>
      </w:r>
      <w:r w:rsidR="4008335A" w:rsidRPr="00A7673B">
        <w:t>. Ello, pues</w:t>
      </w:r>
      <w:r w:rsidRPr="00A7673B">
        <w:t xml:space="preserve"> la gran mayoría de </w:t>
      </w:r>
      <w:proofErr w:type="gramStart"/>
      <w:r w:rsidRPr="00A7673B">
        <w:t>jueces y juezas</w:t>
      </w:r>
      <w:proofErr w:type="gramEnd"/>
      <w:r w:rsidRPr="00A7673B">
        <w:t xml:space="preserve"> en Venezuela no son </w:t>
      </w:r>
      <w:r w:rsidR="18FEC44B" w:rsidRPr="00A7673B">
        <w:t xml:space="preserve">designados </w:t>
      </w:r>
      <w:r w:rsidRPr="00A7673B">
        <w:t>de manera permanente ni a través de concursos a sus posiciones</w:t>
      </w:r>
      <w:r w:rsidR="0042361B" w:rsidRPr="00A7673B">
        <w:t xml:space="preserve"> -que no se realizan desde el año 2000-</w:t>
      </w:r>
      <w:r w:rsidRPr="00A7673B">
        <w:t xml:space="preserve">, sino que </w:t>
      </w:r>
      <w:r w:rsidR="0019150C" w:rsidRPr="00A7673B">
        <w:t xml:space="preserve">son asignados discrecionalmente y </w:t>
      </w:r>
      <w:r w:rsidR="4CBFF6AA" w:rsidRPr="00A7673B">
        <w:t xml:space="preserve">que, </w:t>
      </w:r>
      <w:r w:rsidR="0019150C" w:rsidRPr="00A7673B">
        <w:t>por lo tanto</w:t>
      </w:r>
      <w:r w:rsidR="58AA44FD" w:rsidRPr="00A7673B">
        <w:t>,</w:t>
      </w:r>
      <w:r w:rsidR="0019150C" w:rsidRPr="00A7673B">
        <w:t xml:space="preserve"> no tienen garantía para administrar justicia imparcial e independientemente.</w:t>
      </w:r>
      <w:r w:rsidR="0042361B" w:rsidRPr="00A7673B">
        <w:rPr>
          <w:rStyle w:val="FootnoteReference"/>
        </w:rPr>
        <w:footnoteReference w:id="53"/>
      </w:r>
      <w:r w:rsidR="0019150C" w:rsidRPr="00A7673B">
        <w:t xml:space="preserve"> </w:t>
      </w:r>
    </w:p>
    <w:p w14:paraId="02E4EF0A" w14:textId="72581DB3" w:rsidR="002D2B90" w:rsidRPr="00A7673B" w:rsidRDefault="00DB76BB" w:rsidP="00B9647E">
      <w:pPr>
        <w:pStyle w:val="BNumberedSubheading"/>
      </w:pPr>
      <w:bookmarkStart w:id="38" w:name="_Toc145441879"/>
      <w:r w:rsidRPr="00A7673B">
        <w:t>ARBITRARIEDAD EN LA DISTRIBUCIÓN DE LAS COMPETENCIAS Y CASOS</w:t>
      </w:r>
      <w:bookmarkEnd w:id="38"/>
    </w:p>
    <w:p w14:paraId="2C5DE755" w14:textId="5E4D6571" w:rsidR="00884DAC" w:rsidRPr="00A7673B" w:rsidRDefault="00A545EC" w:rsidP="00137639">
      <w:r w:rsidRPr="00A7673B">
        <w:t xml:space="preserve">La discrecionalidad con la que se asignan </w:t>
      </w:r>
      <w:proofErr w:type="gramStart"/>
      <w:r w:rsidRPr="00A7673B">
        <w:t>jueces y juezas</w:t>
      </w:r>
      <w:proofErr w:type="gramEnd"/>
      <w:r w:rsidRPr="00A7673B">
        <w:t xml:space="preserve"> también se aplica para la distribución de competencias especiales</w:t>
      </w:r>
      <w:r w:rsidR="00196F7F" w:rsidRPr="00A7673B">
        <w:t xml:space="preserve"> y en la distribución de los casos. Ejemplo de ello</w:t>
      </w:r>
      <w:r w:rsidR="000E67FF" w:rsidRPr="00A7673B">
        <w:t xml:space="preserve"> ha sido la revocatoria de la competencia especial en terrorismo al </w:t>
      </w:r>
      <w:r w:rsidR="3738E7E8" w:rsidRPr="00A7673B">
        <w:t>T</w:t>
      </w:r>
      <w:r w:rsidR="000E67FF" w:rsidRPr="00A7673B">
        <w:t xml:space="preserve">ribunal </w:t>
      </w:r>
      <w:r w:rsidR="1DEEE717" w:rsidRPr="00A7673B">
        <w:t>T</w:t>
      </w:r>
      <w:r w:rsidR="000E67FF" w:rsidRPr="00A7673B">
        <w:t xml:space="preserve">ercero de </w:t>
      </w:r>
      <w:r w:rsidR="48BB4835" w:rsidRPr="00A7673B">
        <w:t>J</w:t>
      </w:r>
      <w:r w:rsidR="000E67FF" w:rsidRPr="00A7673B">
        <w:t>uicio con competencia nacional</w:t>
      </w:r>
      <w:r w:rsidR="00CC54AF" w:rsidRPr="00A7673B">
        <w:t xml:space="preserve"> en julio de 2023</w:t>
      </w:r>
      <w:r w:rsidR="00C85935" w:rsidRPr="00A7673B">
        <w:t>, y que ha dejado a varias personas en una situación de dilación indebida del proceso y</w:t>
      </w:r>
      <w:r w:rsidR="07455C54" w:rsidRPr="00A7673B">
        <w:t>,</w:t>
      </w:r>
      <w:r w:rsidR="00C85935" w:rsidRPr="00A7673B">
        <w:t xml:space="preserve"> en definitiva</w:t>
      </w:r>
      <w:r w:rsidR="59826EB6" w:rsidRPr="00A7673B">
        <w:t>,</w:t>
      </w:r>
      <w:r w:rsidR="00C85935" w:rsidRPr="00A7673B">
        <w:t xml:space="preserve"> de una injerencia arbitraria que cercena su derecho a un juicio justo.</w:t>
      </w:r>
      <w:r w:rsidR="000E3AC9" w:rsidRPr="00A7673B">
        <w:rPr>
          <w:rStyle w:val="FootnoteReference"/>
        </w:rPr>
        <w:footnoteReference w:id="54"/>
      </w:r>
      <w:r w:rsidR="00C85935" w:rsidRPr="00A7673B">
        <w:t xml:space="preserve"> Esta </w:t>
      </w:r>
      <w:r w:rsidR="00CC54AF" w:rsidRPr="00A7673B">
        <w:t>reasignación</w:t>
      </w:r>
      <w:r w:rsidR="00C85935" w:rsidRPr="00A7673B">
        <w:t xml:space="preserve"> de la competencia en terrorismo se ha hecho sin que se conozca una resolución administrativa para ello, </w:t>
      </w:r>
      <w:r w:rsidR="00675F1B" w:rsidRPr="00A7673B">
        <w:t>y coincide con que varios de los casos de personas detenidas arbitrariamente por motivos políticos estaban bajo la jurisdicción de este juzgado</w:t>
      </w:r>
      <w:r w:rsidR="000F0C81" w:rsidRPr="00A7673B">
        <w:t>, entre ellos Roland Carreño, Javier Tarazona</w:t>
      </w:r>
      <w:r w:rsidR="00454E09" w:rsidRPr="00A7673B">
        <w:t>, Darío Estrada, Robert Franco</w:t>
      </w:r>
      <w:r w:rsidR="00B01539" w:rsidRPr="00A7673B">
        <w:t xml:space="preserve"> y</w:t>
      </w:r>
      <w:r w:rsidR="000F0C81" w:rsidRPr="00A7673B">
        <w:t xml:space="preserve"> Guillermo </w:t>
      </w:r>
      <w:proofErr w:type="spellStart"/>
      <w:r w:rsidR="000F0C81" w:rsidRPr="00A7673B">
        <w:t>Zárraga</w:t>
      </w:r>
      <w:proofErr w:type="spellEnd"/>
      <w:r w:rsidR="00CC54AF" w:rsidRPr="00A7673B">
        <w:t>.</w:t>
      </w:r>
      <w:r w:rsidR="00EF0D0A">
        <w:rPr>
          <w:rStyle w:val="FootnoteReference"/>
        </w:rPr>
        <w:footnoteReference w:id="55"/>
      </w:r>
    </w:p>
    <w:p w14:paraId="3D0AE1E8" w14:textId="39ED45EB" w:rsidR="00DB76BB" w:rsidRPr="00A7673B" w:rsidRDefault="00B535DD" w:rsidP="00B9647E">
      <w:pPr>
        <w:pStyle w:val="BNumberedSubheading"/>
      </w:pPr>
      <w:bookmarkStart w:id="39" w:name="_Toc145441880"/>
      <w:r w:rsidRPr="00A7673B">
        <w:t>ACCESO A UNA ASISTENCIA LEGAL DE SU ELECCIÓN</w:t>
      </w:r>
      <w:bookmarkEnd w:id="39"/>
    </w:p>
    <w:p w14:paraId="097251B7" w14:textId="4792AC4F" w:rsidR="008A040A" w:rsidRPr="00A7673B" w:rsidRDefault="008A040A" w:rsidP="00137639">
      <w:r w:rsidRPr="00A7673B">
        <w:t xml:space="preserve">En lo relativo a que las personas detenidas puedan tener una defensa legal adecuada y de su confianza y elección, </w:t>
      </w:r>
      <w:r w:rsidR="0FE635FE">
        <w:t>las autoridades</w:t>
      </w:r>
      <w:r w:rsidRPr="00A7673B">
        <w:t xml:space="preserve"> </w:t>
      </w:r>
      <w:r w:rsidR="002D0E46">
        <w:t>da</w:t>
      </w:r>
      <w:r w:rsidR="63FEDF53">
        <w:t>n</w:t>
      </w:r>
      <w:r w:rsidR="002D0E46" w:rsidRPr="00A7673B">
        <w:t xml:space="preserve"> cuenta de la labor de la Defensa Pública y </w:t>
      </w:r>
      <w:r w:rsidR="002D0E46">
        <w:t>aporta</w:t>
      </w:r>
      <w:r w:rsidR="3819A783">
        <w:t>n</w:t>
      </w:r>
      <w:r w:rsidR="002D0E46" w:rsidRPr="00A7673B">
        <w:t xml:space="preserve"> las estadísticas sobre los casos representados por este órgano. </w:t>
      </w:r>
      <w:r w:rsidR="009A5F33" w:rsidRPr="00A7673B">
        <w:t xml:space="preserve">No obstante, </w:t>
      </w:r>
      <w:r w:rsidR="00B74461" w:rsidRPr="00A7673B">
        <w:t xml:space="preserve">se desprende de </w:t>
      </w:r>
      <w:r w:rsidR="009A5F33" w:rsidRPr="00A7673B">
        <w:t xml:space="preserve">la documentación </w:t>
      </w:r>
      <w:r w:rsidR="00B74461" w:rsidRPr="00A7673B">
        <w:t>obtenida</w:t>
      </w:r>
      <w:r w:rsidR="009A5F33" w:rsidRPr="00A7673B">
        <w:t xml:space="preserve"> por Amnistía Internacional, que</w:t>
      </w:r>
      <w:r w:rsidR="00B74461" w:rsidRPr="00A7673B">
        <w:t xml:space="preserve"> es común que</w:t>
      </w:r>
      <w:r w:rsidR="009A5F33" w:rsidRPr="00A7673B">
        <w:t xml:space="preserve"> las personas deteni</w:t>
      </w:r>
      <w:r w:rsidR="00B74461" w:rsidRPr="00A7673B">
        <w:t>d</w:t>
      </w:r>
      <w:r w:rsidR="009A5F33" w:rsidRPr="00A7673B">
        <w:t xml:space="preserve">as arbitrariamente por motivos políticos </w:t>
      </w:r>
      <w:r w:rsidR="00B74461" w:rsidRPr="00A7673B">
        <w:t xml:space="preserve">sean </w:t>
      </w:r>
      <w:r w:rsidR="002443B7" w:rsidRPr="00A7673B">
        <w:t xml:space="preserve">impedidas de elegir su representación legal. La organización ha recibido consistentes reportes sobre la coacción ejercida por funcionarios judiciales para que las personas asignen a defensores públicos </w:t>
      </w:r>
      <w:r w:rsidR="00BA369C" w:rsidRPr="00A7673B">
        <w:t xml:space="preserve">o para que excluyan a ciertos profesionales del derecho de su representación legal. Lo anterior menoscaba el acceso a la justicia </w:t>
      </w:r>
      <w:r w:rsidR="00BF7821" w:rsidRPr="00A7673B">
        <w:t xml:space="preserve">y el derecho de las personas a ser asistidas por abogados de su elección. </w:t>
      </w:r>
    </w:p>
    <w:p w14:paraId="237A4ED1" w14:textId="2980829E" w:rsidR="002D2B90" w:rsidRPr="00A7673B" w:rsidRDefault="00CC54AF" w:rsidP="00137639">
      <w:r w:rsidRPr="00A7673B">
        <w:t xml:space="preserve"> </w:t>
      </w:r>
    </w:p>
    <w:p w14:paraId="3B9B2E1A" w14:textId="50563AB0" w:rsidR="00C15C9E" w:rsidRDefault="0078588D" w:rsidP="00C15C9E">
      <w:r w:rsidRPr="00A7673B">
        <w:t xml:space="preserve">Amnistía Internacional reconoce que </w:t>
      </w:r>
      <w:r w:rsidR="317154B9" w:rsidRPr="00A7673B">
        <w:t>se</w:t>
      </w:r>
      <w:r w:rsidRPr="00A7673B">
        <w:t xml:space="preserve"> ha modificado el Código de Justicia Militar para excluir a personas </w:t>
      </w:r>
      <w:r w:rsidR="00EB5F47" w:rsidRPr="00A7673B">
        <w:t>civiles de dicha jurisdicción</w:t>
      </w:r>
      <w:r w:rsidR="3EDCCB60" w:rsidRPr="00A7673B">
        <w:t>. S</w:t>
      </w:r>
      <w:r w:rsidR="00EB5F47" w:rsidRPr="00A7673B">
        <w:t>in embargo, aún se procesa en esta jurisdicción a militares no activos o en situación de retiro, aunque se trata de delitos de carácter</w:t>
      </w:r>
      <w:r w:rsidR="00F41DCF" w:rsidRPr="00A7673B">
        <w:t xml:space="preserve"> no militar, que suelen usarse en casos de detenciones arbitrarias por motivos políticos.</w:t>
      </w:r>
      <w:r w:rsidR="001C1A33">
        <w:rPr>
          <w:rStyle w:val="FootnoteReference"/>
        </w:rPr>
        <w:footnoteReference w:id="56"/>
      </w:r>
      <w:r w:rsidR="00F41DCF" w:rsidRPr="00A7673B">
        <w:t xml:space="preserve"> </w:t>
      </w:r>
    </w:p>
    <w:p w14:paraId="38A69471" w14:textId="77777777" w:rsidR="00C15C9E" w:rsidRDefault="00C15C9E" w:rsidP="00C15C9E"/>
    <w:p w14:paraId="0D1B76E8" w14:textId="216F1684" w:rsidR="00A7673B" w:rsidRDefault="00AD4F51" w:rsidP="00C15C9E">
      <w:r>
        <w:t>Amnistía Internacional rec</w:t>
      </w:r>
      <w:r w:rsidR="329C669C">
        <w:t>lama de las autoridades</w:t>
      </w:r>
      <w:r>
        <w:t xml:space="preserve"> venezolan</w:t>
      </w:r>
      <w:r w:rsidR="56BB0D55">
        <w:t>as</w:t>
      </w:r>
      <w:r>
        <w:t xml:space="preserve"> que:</w:t>
      </w:r>
    </w:p>
    <w:p w14:paraId="48EF1722" w14:textId="3AC205BC" w:rsidR="00AD4F51" w:rsidRDefault="001B7726" w:rsidP="001B7726">
      <w:pPr>
        <w:pStyle w:val="BBodyText"/>
        <w:numPr>
          <w:ilvl w:val="0"/>
          <w:numId w:val="24"/>
        </w:numPr>
      </w:pPr>
      <w:r>
        <w:t>Implement</w:t>
      </w:r>
      <w:r w:rsidR="70EB355C">
        <w:t>en</w:t>
      </w:r>
      <w:r>
        <w:t xml:space="preserve"> una reforma judicial que </w:t>
      </w:r>
      <w:r w:rsidR="00F86323">
        <w:t>subsane la provisionalidad de los funcionarios judiciales, p</w:t>
      </w:r>
      <w:r w:rsidR="00642BA2">
        <w:t xml:space="preserve">riorice la carrera judicial y contenga garantías para </w:t>
      </w:r>
      <w:r w:rsidR="00853FA1">
        <w:t xml:space="preserve">promover la independencia e imparcialidad de los funcionarios </w:t>
      </w:r>
      <w:r w:rsidR="009537C0">
        <w:t>ju</w:t>
      </w:r>
      <w:r w:rsidR="632CD68B">
        <w:t>diciales</w:t>
      </w:r>
      <w:r w:rsidR="00853FA1">
        <w:t xml:space="preserve">. </w:t>
      </w:r>
    </w:p>
    <w:p w14:paraId="5301A3E5" w14:textId="1FD1EDBD" w:rsidR="00853FA1" w:rsidRDefault="009F3696" w:rsidP="001B7726">
      <w:pPr>
        <w:pStyle w:val="BBodyText"/>
        <w:numPr>
          <w:ilvl w:val="0"/>
          <w:numId w:val="24"/>
        </w:numPr>
      </w:pPr>
      <w:r>
        <w:t>Los poderes públicos se abstengan de interferir en la administración de justicia</w:t>
      </w:r>
      <w:r w:rsidR="00823FDB">
        <w:t xml:space="preserve"> y se sancione cualquier práctica dirigida a </w:t>
      </w:r>
      <w:r w:rsidR="00955AE6">
        <w:t>intervenir desde otros poderes públicos</w:t>
      </w:r>
      <w:r w:rsidR="1EC16D98">
        <w:t>.</w:t>
      </w:r>
      <w:r w:rsidR="00955AE6">
        <w:t xml:space="preserve">  </w:t>
      </w:r>
    </w:p>
    <w:p w14:paraId="515E000D" w14:textId="539A3324" w:rsidR="00955AE6" w:rsidRDefault="00A2527A" w:rsidP="001B7726">
      <w:pPr>
        <w:pStyle w:val="BBodyText"/>
        <w:numPr>
          <w:ilvl w:val="0"/>
          <w:numId w:val="24"/>
        </w:numPr>
      </w:pPr>
      <w:r>
        <w:t>Se</w:t>
      </w:r>
      <w:r w:rsidR="451A5797">
        <w:t xml:space="preserve"> sigan</w:t>
      </w:r>
      <w:r>
        <w:t xml:space="preserve"> </w:t>
      </w:r>
      <w:r w:rsidR="7220FBFB">
        <w:t>escrupulosamente</w:t>
      </w:r>
      <w:r>
        <w:t xml:space="preserve"> los preceptos legales en cuanto al proceso para la </w:t>
      </w:r>
      <w:r w:rsidR="003136CD">
        <w:t>atribución de competencias especiales</w:t>
      </w:r>
      <w:r w:rsidR="75223D36">
        <w:t>,</w:t>
      </w:r>
      <w:r w:rsidR="003136CD">
        <w:t xml:space="preserve"> como la competencia especial sobre terrorismo. </w:t>
      </w:r>
    </w:p>
    <w:p w14:paraId="720535DC" w14:textId="5DA8D0DB" w:rsidR="00480A5E" w:rsidRDefault="36FE5BE0" w:rsidP="00E53F2A">
      <w:pPr>
        <w:pStyle w:val="BBodyText"/>
        <w:numPr>
          <w:ilvl w:val="0"/>
          <w:numId w:val="24"/>
        </w:numPr>
      </w:pPr>
      <w:r>
        <w:t xml:space="preserve">Se </w:t>
      </w:r>
      <w:r w:rsidR="34C0EA53">
        <w:t>g</w:t>
      </w:r>
      <w:r w:rsidR="007C2A2B">
        <w:t xml:space="preserve">arantice que las personas imputadas podrán acceder en todos los casos a una defensa letrada de su confianza sin hostigamientos o sin ser constreñidas a </w:t>
      </w:r>
      <w:r w:rsidR="54C5791F">
        <w:t xml:space="preserve">designar </w:t>
      </w:r>
      <w:r w:rsidR="007C2A2B">
        <w:t xml:space="preserve">otra opción. </w:t>
      </w:r>
    </w:p>
    <w:p w14:paraId="5802EA67" w14:textId="12B460C7" w:rsidR="00BD2E65" w:rsidRPr="00A7673B" w:rsidRDefault="00B11CB2" w:rsidP="00B9647E">
      <w:pPr>
        <w:pStyle w:val="BNumberedHeading"/>
      </w:pPr>
      <w:bookmarkStart w:id="40" w:name="_Toc145413310"/>
      <w:bookmarkStart w:id="41" w:name="_Toc145441881"/>
      <w:bookmarkEnd w:id="40"/>
      <w:r w:rsidRPr="00A7673B">
        <w:t xml:space="preserve">LIBERTAD DE </w:t>
      </w:r>
      <w:r w:rsidR="00A7673B" w:rsidRPr="00A7673B">
        <w:t>EXPRESIÓN (ARTICULO 19)</w:t>
      </w:r>
      <w:bookmarkEnd w:id="41"/>
    </w:p>
    <w:p w14:paraId="2FB2188C" w14:textId="49604CD9" w:rsidR="00C27D80" w:rsidRPr="00A7673B" w:rsidRDefault="003B5663" w:rsidP="00B9647E">
      <w:pPr>
        <w:pStyle w:val="BNumberedSubheading"/>
      </w:pPr>
      <w:bookmarkStart w:id="42" w:name="_Toc145441882"/>
      <w:r w:rsidRPr="00A7673B">
        <w:t>LEY CONTRA EL ODIO</w:t>
      </w:r>
      <w:bookmarkEnd w:id="42"/>
    </w:p>
    <w:p w14:paraId="4FA2214A" w14:textId="4062C72D" w:rsidR="00C27D80" w:rsidRPr="00A7673B" w:rsidRDefault="00C27D80" w:rsidP="00B11239">
      <w:r w:rsidRPr="00A7673B">
        <w:t xml:space="preserve">En </w:t>
      </w:r>
      <w:r w:rsidR="00061658">
        <w:t xml:space="preserve">2017, </w:t>
      </w:r>
      <w:r w:rsidR="00061658" w:rsidRPr="00A7673B">
        <w:t xml:space="preserve">la Asamblea Nacional Constituyente </w:t>
      </w:r>
      <w:r w:rsidRPr="00A7673B">
        <w:t xml:space="preserve">aprobó la </w:t>
      </w:r>
      <w:r w:rsidR="001B596A" w:rsidRPr="00A7673B">
        <w:t xml:space="preserve">Ley Constitucional </w:t>
      </w:r>
      <w:r w:rsidR="00957501">
        <w:t>c</w:t>
      </w:r>
      <w:r w:rsidR="001B596A" w:rsidRPr="00A7673B">
        <w:t>ontra el Odio, por la Convivencia Pacífica y la Tolerancia</w:t>
      </w:r>
      <w:r w:rsidR="00D42011" w:rsidRPr="00A7673B">
        <w:t>. Esta legislación ha sido empleada por tribunales y fiscales para criminalizar la disidencia</w:t>
      </w:r>
      <w:r w:rsidR="001A4E5C" w:rsidRPr="00A7673B">
        <w:t>, imputando delitos de instigación al odio</w:t>
      </w:r>
      <w:r w:rsidR="00D90230" w:rsidRPr="00A7673B">
        <w:t xml:space="preserve"> contenido en su artículo 6. A pesar de que esta ley ha sido ampliamente cuestionada por </w:t>
      </w:r>
      <w:r w:rsidR="00E74B9F" w:rsidRPr="00A7673B">
        <w:t>violar el principio de legal</w:t>
      </w:r>
      <w:r w:rsidR="002760A2">
        <w:t>idad</w:t>
      </w:r>
      <w:r w:rsidR="00E74B9F" w:rsidRPr="00A7673B">
        <w:t xml:space="preserve"> al haber sido emitida por un órgano que no tiene competencias constitucionales para hacerlo, </w:t>
      </w:r>
      <w:r w:rsidR="00A2399B">
        <w:t>las autoridades han detenido</w:t>
      </w:r>
      <w:r w:rsidR="00A2399B" w:rsidRPr="00A7673B">
        <w:t xml:space="preserve"> </w:t>
      </w:r>
      <w:r w:rsidR="006C0A39" w:rsidRPr="00A7673B">
        <w:t>arbitraria</w:t>
      </w:r>
      <w:r w:rsidR="00A2399B">
        <w:t>mente a</w:t>
      </w:r>
      <w:r w:rsidR="00103627">
        <w:t xml:space="preserve"> muchas</w:t>
      </w:r>
      <w:r w:rsidR="00A2399B">
        <w:t xml:space="preserve"> </w:t>
      </w:r>
      <w:r w:rsidR="00103627">
        <w:t>personas</w:t>
      </w:r>
      <w:r w:rsidR="006C0A39" w:rsidRPr="00A7673B">
        <w:t xml:space="preserve"> por motivos políticos </w:t>
      </w:r>
      <w:r w:rsidR="00A2399B">
        <w:t>bajo</w:t>
      </w:r>
      <w:r w:rsidR="006C0A39" w:rsidRPr="00A7673B">
        <w:t xml:space="preserve"> este precepto. </w:t>
      </w:r>
      <w:r w:rsidR="00DA1F39" w:rsidRPr="00A7673B">
        <w:t>Asimismo, la disposición en cuestión es contraria a</w:t>
      </w:r>
      <w:r w:rsidR="009B75A7" w:rsidRPr="00A7673B">
        <w:t xml:space="preserve">l derecho a la libertad de expresión protegido por el Pacto Internacional de Derechos Civiles y Políticos, al </w:t>
      </w:r>
      <w:r w:rsidR="00BF1717">
        <w:t>permitir la</w:t>
      </w:r>
      <w:r w:rsidR="00610D06">
        <w:t xml:space="preserve"> restricción indebida y la</w:t>
      </w:r>
      <w:r w:rsidR="00BF1717">
        <w:t xml:space="preserve"> criminalización de una amplia gama de </w:t>
      </w:r>
      <w:r w:rsidR="00610D06">
        <w:t>expresiones</w:t>
      </w:r>
      <w:r w:rsidR="009B75A7" w:rsidRPr="00A7673B">
        <w:t xml:space="preserve">. </w:t>
      </w:r>
    </w:p>
    <w:p w14:paraId="0FDD28B0" w14:textId="73D1DD16" w:rsidR="00DA1F39" w:rsidRPr="00A7673B" w:rsidRDefault="0077796F" w:rsidP="00B9647E">
      <w:pPr>
        <w:pStyle w:val="BNumberedSubheading"/>
      </w:pPr>
      <w:bookmarkStart w:id="43" w:name="_Toc145401933"/>
      <w:bookmarkStart w:id="44" w:name="_Toc145412407"/>
      <w:bookmarkStart w:id="45" w:name="_Toc145413313"/>
      <w:bookmarkStart w:id="46" w:name="_Toc145441883"/>
      <w:bookmarkEnd w:id="43"/>
      <w:bookmarkEnd w:id="44"/>
      <w:bookmarkEnd w:id="45"/>
      <w:r w:rsidRPr="00A7673B">
        <w:t>ACCESO A LA INFORMACIÓN PÚBLICA Y TRANSPARENCIA</w:t>
      </w:r>
      <w:bookmarkEnd w:id="46"/>
    </w:p>
    <w:p w14:paraId="16C1D976" w14:textId="706F5045" w:rsidR="00D90230" w:rsidRPr="00A7673B" w:rsidRDefault="0077796F" w:rsidP="00B11239">
      <w:r w:rsidRPr="00A7673B">
        <w:t>El Estado venezolano no cuenta con mecanismos estandarizados de solicitud de información pública ni de acceso a la información</w:t>
      </w:r>
      <w:r w:rsidR="00B21A9F" w:rsidRPr="00A7673B">
        <w:t xml:space="preserve">, a pesar de que en 2021 se aprobó una ley de transparencia y acceso a la comunicación. </w:t>
      </w:r>
    </w:p>
    <w:p w14:paraId="457915CC" w14:textId="77777777" w:rsidR="00B21A9F" w:rsidRPr="00A7673B" w:rsidRDefault="00B21A9F" w:rsidP="00B11239"/>
    <w:p w14:paraId="0D56863C" w14:textId="55A4917A" w:rsidR="00B21A9F" w:rsidRPr="00A7673B" w:rsidRDefault="00B21A9F" w:rsidP="00B11239">
      <w:r w:rsidRPr="00A7673B">
        <w:t>En la última década</w:t>
      </w:r>
      <w:r w:rsidR="00EE0944">
        <w:t>,</w:t>
      </w:r>
      <w:r w:rsidRPr="00A7673B">
        <w:t xml:space="preserve"> el Estado venezolano no sólo ha negado el acceso a la información pública por omisión al no responder a </w:t>
      </w:r>
      <w:r w:rsidR="00181782" w:rsidRPr="00A7673B">
        <w:t>la mayoría o responder inadecuadamente las s</w:t>
      </w:r>
      <w:r w:rsidRPr="00A7673B">
        <w:t>olicitudes realizadas,</w:t>
      </w:r>
      <w:r w:rsidR="00D7177F" w:rsidRPr="00A7673B">
        <w:rPr>
          <w:rStyle w:val="FootnoteReference"/>
        </w:rPr>
        <w:footnoteReference w:id="57"/>
      </w:r>
      <w:r w:rsidRPr="00A7673B">
        <w:t xml:space="preserve"> sino que además </w:t>
      </w:r>
      <w:r w:rsidR="005B1742" w:rsidRPr="00A7673B">
        <w:t xml:space="preserve">ha dejado de publicar datos estadísticos de la mayoría de </w:t>
      </w:r>
      <w:r w:rsidR="005D4E43" w:rsidRPr="00A7673B">
        <w:t>los ámbitos</w:t>
      </w:r>
      <w:r w:rsidR="005B1742" w:rsidRPr="00A7673B">
        <w:t xml:space="preserve"> de gobierno. </w:t>
      </w:r>
      <w:r w:rsidR="006C2587" w:rsidRPr="00A7673B">
        <w:t xml:space="preserve">No existen en Venezuela indicadores confiables, transparentes y con metodologías públicas que sustenten los planes del gobierno. Tampoco se ha publicado desde </w:t>
      </w:r>
      <w:r w:rsidR="00204A05">
        <w:t>2017</w:t>
      </w:r>
      <w:r w:rsidR="00204A05" w:rsidRPr="00A7673B">
        <w:t xml:space="preserve"> </w:t>
      </w:r>
      <w:r w:rsidR="006C2587" w:rsidRPr="00A7673B">
        <w:t xml:space="preserve">el presupuesto de la Nación, </w:t>
      </w:r>
      <w:r w:rsidR="005D4E43" w:rsidRPr="00A7673B">
        <w:t>a pesar de que</w:t>
      </w:r>
      <w:r w:rsidR="006C2587" w:rsidRPr="00A7673B">
        <w:t xml:space="preserve"> existe un mandato constitucional para ello, y</w:t>
      </w:r>
      <w:r w:rsidR="00973484" w:rsidRPr="00A7673B">
        <w:t xml:space="preserve"> se constata una opacidad generalizada sobre las actuaciones gubernamentales.</w:t>
      </w:r>
      <w:r w:rsidR="00204A05">
        <w:rPr>
          <w:rStyle w:val="FootnoteReference"/>
        </w:rPr>
        <w:footnoteReference w:id="58"/>
      </w:r>
      <w:r w:rsidR="00973484" w:rsidRPr="00A7673B">
        <w:t xml:space="preserve"> </w:t>
      </w:r>
    </w:p>
    <w:p w14:paraId="59F40E42" w14:textId="5B676036" w:rsidR="00D90230" w:rsidRPr="00A7673B" w:rsidRDefault="005D4E43" w:rsidP="00B9647E">
      <w:pPr>
        <w:pStyle w:val="BNumberedSubheading"/>
      </w:pPr>
      <w:bookmarkStart w:id="47" w:name="_Toc145441884"/>
      <w:r w:rsidRPr="00A7673B">
        <w:t>BLOQUEOS DE PÁGINAS WEB Y OTRAS MEDIDAS DE CENSURA</w:t>
      </w:r>
      <w:bookmarkEnd w:id="47"/>
      <w:r w:rsidRPr="00A7673B">
        <w:t xml:space="preserve"> </w:t>
      </w:r>
    </w:p>
    <w:p w14:paraId="7014CDD3" w14:textId="626F8B7B" w:rsidR="00C32106" w:rsidRPr="006D03FE" w:rsidRDefault="00954FAD" w:rsidP="00954FAD">
      <w:pPr>
        <w:pStyle w:val="BBodyText"/>
        <w:rPr>
          <w:sz w:val="20"/>
          <w:szCs w:val="20"/>
        </w:rPr>
      </w:pPr>
      <w:r w:rsidRPr="006D03FE">
        <w:rPr>
          <w:sz w:val="20"/>
          <w:szCs w:val="20"/>
        </w:rPr>
        <w:t>En el período bajo revisión</w:t>
      </w:r>
      <w:r w:rsidR="0048354F" w:rsidRPr="006D03FE">
        <w:rPr>
          <w:sz w:val="20"/>
          <w:szCs w:val="20"/>
        </w:rPr>
        <w:t>,</w:t>
      </w:r>
      <w:r w:rsidRPr="006D03FE">
        <w:rPr>
          <w:sz w:val="20"/>
          <w:szCs w:val="20"/>
        </w:rPr>
        <w:t xml:space="preserve"> el Estado venezolano ha </w:t>
      </w:r>
      <w:r w:rsidR="00F16D2F" w:rsidRPr="006D03FE">
        <w:rPr>
          <w:sz w:val="20"/>
          <w:szCs w:val="20"/>
        </w:rPr>
        <w:t>impuesto múltiples</w:t>
      </w:r>
      <w:r w:rsidRPr="006D03FE">
        <w:rPr>
          <w:sz w:val="20"/>
          <w:szCs w:val="20"/>
        </w:rPr>
        <w:t xml:space="preserve"> </w:t>
      </w:r>
      <w:r w:rsidR="00F16D2F" w:rsidRPr="006D03FE">
        <w:rPr>
          <w:sz w:val="20"/>
          <w:szCs w:val="20"/>
        </w:rPr>
        <w:t>obstáculos en e</w:t>
      </w:r>
      <w:r w:rsidRPr="006D03FE">
        <w:rPr>
          <w:sz w:val="20"/>
          <w:szCs w:val="20"/>
        </w:rPr>
        <w:t>l acceso a internet y en particular el bloqueo de páginas web de manera directa o indirecta.</w:t>
      </w:r>
    </w:p>
    <w:p w14:paraId="2BEA5194" w14:textId="72EE0B03" w:rsidR="00954FAD" w:rsidRPr="006D03FE" w:rsidRDefault="00954FAD" w:rsidP="00954FAD">
      <w:pPr>
        <w:pStyle w:val="BBodyText"/>
        <w:rPr>
          <w:sz w:val="20"/>
          <w:szCs w:val="20"/>
        </w:rPr>
      </w:pPr>
      <w:r w:rsidRPr="006D03FE">
        <w:rPr>
          <w:sz w:val="20"/>
          <w:szCs w:val="20"/>
        </w:rPr>
        <w:t>En 2022 se hizo público un informe del proveedor de servicio de internet Telefónica, en el que se revelaba</w:t>
      </w:r>
      <w:r w:rsidR="000D1965" w:rsidRPr="006D03FE">
        <w:rPr>
          <w:sz w:val="20"/>
          <w:szCs w:val="20"/>
        </w:rPr>
        <w:t xml:space="preserve"> el bloqueo de 27 sitios web por solicitud de autoridades en materia de telecomunicación, pero sin órdenes judiciales.</w:t>
      </w:r>
      <w:r w:rsidR="00031915" w:rsidRPr="006D03FE">
        <w:rPr>
          <w:rStyle w:val="FootnoteReference"/>
          <w:sz w:val="20"/>
          <w:szCs w:val="20"/>
        </w:rPr>
        <w:footnoteReference w:id="59"/>
      </w:r>
      <w:r w:rsidRPr="006D03FE">
        <w:rPr>
          <w:sz w:val="20"/>
          <w:szCs w:val="20"/>
        </w:rPr>
        <w:t xml:space="preserve"> </w:t>
      </w:r>
      <w:r w:rsidR="00F16D2F" w:rsidRPr="006D03FE">
        <w:rPr>
          <w:sz w:val="20"/>
          <w:szCs w:val="20"/>
        </w:rPr>
        <w:t>Tan</w:t>
      </w:r>
      <w:r w:rsidR="00141482" w:rsidRPr="006D03FE">
        <w:rPr>
          <w:sz w:val="20"/>
          <w:szCs w:val="20"/>
        </w:rPr>
        <w:t xml:space="preserve"> solo en 2022 se reporta</w:t>
      </w:r>
      <w:r w:rsidR="00F16D2F" w:rsidRPr="006D03FE">
        <w:rPr>
          <w:sz w:val="20"/>
          <w:szCs w:val="20"/>
        </w:rPr>
        <w:t>ro</w:t>
      </w:r>
      <w:r w:rsidR="00141482" w:rsidRPr="006D03FE">
        <w:rPr>
          <w:sz w:val="20"/>
          <w:szCs w:val="20"/>
        </w:rPr>
        <w:t>n al menos 74 bloqueos de páginas web en Venezuela</w:t>
      </w:r>
      <w:r w:rsidR="00047FB4" w:rsidRPr="006D03FE">
        <w:rPr>
          <w:sz w:val="20"/>
          <w:szCs w:val="20"/>
        </w:rPr>
        <w:t>.</w:t>
      </w:r>
      <w:r w:rsidR="00141482" w:rsidRPr="006D03FE">
        <w:rPr>
          <w:rStyle w:val="FootnoteReference"/>
          <w:sz w:val="20"/>
          <w:szCs w:val="20"/>
        </w:rPr>
        <w:footnoteReference w:id="60"/>
      </w:r>
      <w:r w:rsidR="00047FB4" w:rsidRPr="006D03FE">
        <w:rPr>
          <w:sz w:val="20"/>
          <w:szCs w:val="20"/>
        </w:rPr>
        <w:t xml:space="preserve"> </w:t>
      </w:r>
    </w:p>
    <w:p w14:paraId="47D758A6" w14:textId="5A5AE5F2" w:rsidR="00C32106" w:rsidRPr="00285DC0" w:rsidRDefault="00C32106" w:rsidP="00B9647E">
      <w:pPr>
        <w:pStyle w:val="BNumberedSubheading"/>
      </w:pPr>
      <w:bookmarkStart w:id="48" w:name="_Toc145441885"/>
      <w:r w:rsidRPr="00285DC0">
        <w:t>CENSURA Y CIERRE DE MEDIOS DE COMUNICACIÓN</w:t>
      </w:r>
      <w:bookmarkEnd w:id="48"/>
      <w:r w:rsidRPr="00285DC0">
        <w:t xml:space="preserve"> </w:t>
      </w:r>
    </w:p>
    <w:p w14:paraId="2D98B578" w14:textId="7BB22849" w:rsidR="00C32106" w:rsidRPr="00876692" w:rsidRDefault="001F7052" w:rsidP="001F7052">
      <w:pPr>
        <w:pStyle w:val="BBodyText"/>
        <w:rPr>
          <w:sz w:val="20"/>
          <w:szCs w:val="20"/>
        </w:rPr>
      </w:pPr>
      <w:r w:rsidRPr="00876692">
        <w:rPr>
          <w:sz w:val="20"/>
          <w:szCs w:val="20"/>
        </w:rPr>
        <w:t xml:space="preserve">Las autoridades han cerrado decenas de medios de comunicación haciendo un uso indebido </w:t>
      </w:r>
      <w:r w:rsidR="00DF3796" w:rsidRPr="00876692">
        <w:rPr>
          <w:sz w:val="20"/>
          <w:szCs w:val="20"/>
        </w:rPr>
        <w:t xml:space="preserve">y </w:t>
      </w:r>
      <w:r w:rsidRPr="00876692">
        <w:rPr>
          <w:sz w:val="20"/>
          <w:szCs w:val="20"/>
        </w:rPr>
        <w:t>arbitrario del derecho penal</w:t>
      </w:r>
      <w:r w:rsidR="00DF3796" w:rsidRPr="00876692">
        <w:rPr>
          <w:sz w:val="20"/>
          <w:szCs w:val="20"/>
        </w:rPr>
        <w:t>.</w:t>
      </w:r>
      <w:r w:rsidRPr="00876692">
        <w:rPr>
          <w:sz w:val="20"/>
          <w:szCs w:val="20"/>
        </w:rPr>
        <w:t xml:space="preserve"> </w:t>
      </w:r>
      <w:r w:rsidR="00DF3796" w:rsidRPr="00876692">
        <w:rPr>
          <w:sz w:val="20"/>
          <w:szCs w:val="20"/>
        </w:rPr>
        <w:t>P</w:t>
      </w:r>
      <w:r w:rsidRPr="00876692">
        <w:rPr>
          <w:sz w:val="20"/>
          <w:szCs w:val="20"/>
        </w:rPr>
        <w:t xml:space="preserve">or ejemplo, </w:t>
      </w:r>
      <w:r w:rsidR="00DF3796" w:rsidRPr="00876692">
        <w:rPr>
          <w:sz w:val="20"/>
          <w:szCs w:val="20"/>
        </w:rPr>
        <w:t xml:space="preserve">las autoridades </w:t>
      </w:r>
      <w:r w:rsidRPr="00876692">
        <w:rPr>
          <w:sz w:val="20"/>
          <w:szCs w:val="20"/>
        </w:rPr>
        <w:t>alega</w:t>
      </w:r>
      <w:r w:rsidR="00DF3796" w:rsidRPr="00876692">
        <w:rPr>
          <w:sz w:val="20"/>
          <w:szCs w:val="20"/>
        </w:rPr>
        <w:t>ro</w:t>
      </w:r>
      <w:r w:rsidRPr="00876692">
        <w:rPr>
          <w:sz w:val="20"/>
          <w:szCs w:val="20"/>
        </w:rPr>
        <w:t xml:space="preserve">n que </w:t>
      </w:r>
      <w:r w:rsidR="00DF3796" w:rsidRPr="00876692">
        <w:rPr>
          <w:sz w:val="20"/>
          <w:szCs w:val="20"/>
        </w:rPr>
        <w:t xml:space="preserve">ciertos medios de comunicación </w:t>
      </w:r>
      <w:r w:rsidRPr="00876692">
        <w:rPr>
          <w:sz w:val="20"/>
          <w:szCs w:val="20"/>
        </w:rPr>
        <w:t>no cumplen los requisitos administrativos.</w:t>
      </w:r>
      <w:r w:rsidR="008704E8" w:rsidRPr="00876692">
        <w:rPr>
          <w:rStyle w:val="FootnoteReference"/>
          <w:sz w:val="20"/>
          <w:szCs w:val="20"/>
        </w:rPr>
        <w:footnoteReference w:id="61"/>
      </w:r>
    </w:p>
    <w:p w14:paraId="5F06EE54" w14:textId="4BC8BE39" w:rsidR="00EF218A" w:rsidRPr="00876692" w:rsidRDefault="00EF218A" w:rsidP="001F7052">
      <w:pPr>
        <w:pStyle w:val="BBodyText"/>
        <w:rPr>
          <w:sz w:val="20"/>
          <w:szCs w:val="20"/>
        </w:rPr>
      </w:pPr>
      <w:r w:rsidRPr="00876692">
        <w:rPr>
          <w:sz w:val="20"/>
          <w:szCs w:val="20"/>
        </w:rPr>
        <w:t xml:space="preserve">Espacio Público, una organización local </w:t>
      </w:r>
      <w:r w:rsidR="00F90FC8" w:rsidRPr="00876692">
        <w:rPr>
          <w:sz w:val="20"/>
          <w:szCs w:val="20"/>
        </w:rPr>
        <w:t>que defiende la libertad de expresión en Venezuela, ha documentado que entre 2003 y 2022 se han cerrado al menos 285 emisoras de radio</w:t>
      </w:r>
      <w:r w:rsidR="00D5688F" w:rsidRPr="00876692">
        <w:rPr>
          <w:sz w:val="20"/>
          <w:szCs w:val="20"/>
        </w:rPr>
        <w:t xml:space="preserve"> </w:t>
      </w:r>
      <w:r w:rsidR="00F90FC8" w:rsidRPr="00876692">
        <w:rPr>
          <w:sz w:val="20"/>
          <w:szCs w:val="20"/>
        </w:rPr>
        <w:t>a nivel nacional</w:t>
      </w:r>
      <w:r w:rsidR="00D5688F" w:rsidRPr="00876692">
        <w:rPr>
          <w:sz w:val="20"/>
          <w:szCs w:val="20"/>
        </w:rPr>
        <w:t>, y en particular el año 2022 se produjeron 81 de estos cierres.</w:t>
      </w:r>
      <w:r w:rsidR="00D5688F" w:rsidRPr="00876692">
        <w:rPr>
          <w:rStyle w:val="FootnoteReference"/>
          <w:sz w:val="20"/>
          <w:szCs w:val="20"/>
        </w:rPr>
        <w:footnoteReference w:id="62"/>
      </w:r>
      <w:r w:rsidR="00D5688F" w:rsidRPr="00876692">
        <w:rPr>
          <w:sz w:val="20"/>
          <w:szCs w:val="20"/>
        </w:rPr>
        <w:t xml:space="preserve"> </w:t>
      </w:r>
    </w:p>
    <w:p w14:paraId="036A6581" w14:textId="3D78AF78" w:rsidR="00490AB0" w:rsidRPr="00876692" w:rsidRDefault="00DF3796" w:rsidP="001F7052">
      <w:pPr>
        <w:pStyle w:val="BBodyText"/>
        <w:rPr>
          <w:sz w:val="20"/>
          <w:szCs w:val="20"/>
        </w:rPr>
      </w:pPr>
      <w:r w:rsidRPr="00876692">
        <w:rPr>
          <w:sz w:val="20"/>
          <w:szCs w:val="20"/>
        </w:rPr>
        <w:t xml:space="preserve">En </w:t>
      </w:r>
      <w:r w:rsidR="00876692" w:rsidRPr="00876692">
        <w:rPr>
          <w:sz w:val="20"/>
          <w:szCs w:val="20"/>
        </w:rPr>
        <w:t>2021</w:t>
      </w:r>
      <w:r w:rsidRPr="00876692">
        <w:rPr>
          <w:sz w:val="20"/>
          <w:szCs w:val="20"/>
        </w:rPr>
        <w:t xml:space="preserve"> </w:t>
      </w:r>
      <w:r w:rsidR="00FD5F94" w:rsidRPr="00876692">
        <w:rPr>
          <w:sz w:val="20"/>
          <w:szCs w:val="20"/>
        </w:rPr>
        <w:t xml:space="preserve">un tribunal impuso una sanción al medio de comunicación </w:t>
      </w:r>
      <w:r w:rsidR="00EC15DC" w:rsidRPr="00876692">
        <w:rPr>
          <w:sz w:val="20"/>
          <w:szCs w:val="20"/>
        </w:rPr>
        <w:t xml:space="preserve">El Nacional, como consecuencia de una demanda por difamación e injuria. El tribunal de la causa impuso una sanción monetaria que ascendió a los 13 millones de dólares </w:t>
      </w:r>
      <w:r w:rsidR="1D3538AF" w:rsidRPr="00876692">
        <w:rPr>
          <w:sz w:val="20"/>
          <w:szCs w:val="20"/>
        </w:rPr>
        <w:t>estadounidense</w:t>
      </w:r>
      <w:r w:rsidR="3ED5B9C6" w:rsidRPr="00876692">
        <w:rPr>
          <w:sz w:val="20"/>
          <w:szCs w:val="20"/>
        </w:rPr>
        <w:t>s</w:t>
      </w:r>
      <w:r w:rsidR="00EC15DC" w:rsidRPr="00876692">
        <w:rPr>
          <w:sz w:val="20"/>
          <w:szCs w:val="20"/>
        </w:rPr>
        <w:t>,</w:t>
      </w:r>
      <w:r w:rsidR="00F43F38" w:rsidRPr="00876692">
        <w:rPr>
          <w:rStyle w:val="FootnoteReference"/>
          <w:sz w:val="20"/>
          <w:szCs w:val="20"/>
        </w:rPr>
        <w:footnoteReference w:id="63"/>
      </w:r>
      <w:r w:rsidR="00450B1E" w:rsidRPr="00876692">
        <w:rPr>
          <w:sz w:val="20"/>
          <w:szCs w:val="20"/>
        </w:rPr>
        <w:t xml:space="preserve"> </w:t>
      </w:r>
      <w:r w:rsidR="005D0EFD" w:rsidRPr="00876692">
        <w:rPr>
          <w:sz w:val="20"/>
          <w:szCs w:val="20"/>
        </w:rPr>
        <w:t>lo cual se convirtió en una pena confiscatoria</w:t>
      </w:r>
      <w:r w:rsidR="002B250C" w:rsidRPr="00876692">
        <w:rPr>
          <w:sz w:val="20"/>
          <w:szCs w:val="20"/>
        </w:rPr>
        <w:t xml:space="preserve">. </w:t>
      </w:r>
    </w:p>
    <w:p w14:paraId="1AEF5A9B" w14:textId="4E21F854" w:rsidR="00C32106" w:rsidRPr="00915F11" w:rsidRDefault="00C32106" w:rsidP="00B9647E">
      <w:pPr>
        <w:pStyle w:val="BNumberedSubheading"/>
      </w:pPr>
      <w:bookmarkStart w:id="49" w:name="_Toc145441886"/>
      <w:r w:rsidRPr="00915F11">
        <w:t>ATAQUES CONTRA PERIODISTAS</w:t>
      </w:r>
      <w:r w:rsidR="00C912C6" w:rsidRPr="00915F11">
        <w:t xml:space="preserve"> E IMPUNIDAD</w:t>
      </w:r>
      <w:bookmarkEnd w:id="49"/>
    </w:p>
    <w:p w14:paraId="6315A0A3" w14:textId="02D6BBF5" w:rsidR="00C912C6" w:rsidRPr="00C2761E" w:rsidRDefault="00AD1202" w:rsidP="00C03AF3">
      <w:pPr>
        <w:pStyle w:val="BBodyText"/>
        <w:rPr>
          <w:sz w:val="20"/>
          <w:szCs w:val="20"/>
        </w:rPr>
      </w:pPr>
      <w:r w:rsidRPr="00C2761E">
        <w:rPr>
          <w:sz w:val="20"/>
          <w:szCs w:val="20"/>
        </w:rPr>
        <w:t xml:space="preserve">Los ataques contra periodistas, su hostigamiento, estigmatización a través de medios </w:t>
      </w:r>
      <w:r w:rsidR="00C03AF3" w:rsidRPr="00C2761E">
        <w:rPr>
          <w:sz w:val="20"/>
          <w:szCs w:val="20"/>
        </w:rPr>
        <w:t xml:space="preserve">de </w:t>
      </w:r>
      <w:r w:rsidR="009A58A4" w:rsidRPr="00C2761E">
        <w:rPr>
          <w:sz w:val="20"/>
          <w:szCs w:val="20"/>
        </w:rPr>
        <w:t>comunicación vinculados a</w:t>
      </w:r>
      <w:r w:rsidR="00C03AF3" w:rsidRPr="00C2761E">
        <w:rPr>
          <w:sz w:val="20"/>
          <w:szCs w:val="20"/>
        </w:rPr>
        <w:t xml:space="preserve">l </w:t>
      </w:r>
      <w:r w:rsidR="000351AC" w:rsidRPr="00C2761E">
        <w:rPr>
          <w:sz w:val="20"/>
          <w:szCs w:val="20"/>
        </w:rPr>
        <w:t>E</w:t>
      </w:r>
      <w:r w:rsidR="00C03AF3" w:rsidRPr="00C2761E">
        <w:rPr>
          <w:sz w:val="20"/>
          <w:szCs w:val="20"/>
        </w:rPr>
        <w:t xml:space="preserve">stado venezolano, y su criminalización también han sido motivo de preocupación para Amnistía Internacional y las organizaciones de derechos humanos que trabajan en Venezuela. </w:t>
      </w:r>
    </w:p>
    <w:p w14:paraId="773DA330" w14:textId="74AEC3AD" w:rsidR="00C03AF3" w:rsidRPr="00C2761E" w:rsidRDefault="0001213D" w:rsidP="00C03AF3">
      <w:pPr>
        <w:pStyle w:val="BBodyText"/>
        <w:rPr>
          <w:sz w:val="20"/>
          <w:szCs w:val="20"/>
        </w:rPr>
      </w:pPr>
      <w:r w:rsidRPr="00C2761E">
        <w:rPr>
          <w:sz w:val="20"/>
          <w:szCs w:val="20"/>
        </w:rPr>
        <w:t xml:space="preserve">Mientras el Estado venezolano dice reconocer la labor periodística y protegerla, han sido varios los casos de periodistas privados de libertad, hostigados por medios de comunicación y por altas autoridades del </w:t>
      </w:r>
      <w:r w:rsidR="00CD140E" w:rsidRPr="00C2761E">
        <w:rPr>
          <w:sz w:val="20"/>
          <w:szCs w:val="20"/>
        </w:rPr>
        <w:t>gobierno</w:t>
      </w:r>
      <w:r w:rsidR="007A0FCD" w:rsidRPr="00C2761E">
        <w:rPr>
          <w:sz w:val="20"/>
          <w:szCs w:val="20"/>
        </w:rPr>
        <w:t xml:space="preserve">, </w:t>
      </w:r>
      <w:r w:rsidR="00CD140E" w:rsidRPr="00C2761E">
        <w:rPr>
          <w:sz w:val="20"/>
          <w:szCs w:val="20"/>
        </w:rPr>
        <w:t xml:space="preserve">y atacados en redes sociales </w:t>
      </w:r>
      <w:r w:rsidR="008B0C63" w:rsidRPr="00C2761E">
        <w:rPr>
          <w:sz w:val="20"/>
          <w:szCs w:val="20"/>
        </w:rPr>
        <w:t xml:space="preserve">masivamente por informar hechos </w:t>
      </w:r>
      <w:r w:rsidR="00804726" w:rsidRPr="00C2761E">
        <w:rPr>
          <w:sz w:val="20"/>
          <w:szCs w:val="20"/>
        </w:rPr>
        <w:t>u opiniones críticas al gobierno</w:t>
      </w:r>
      <w:r w:rsidR="009A58A4" w:rsidRPr="00C2761E">
        <w:rPr>
          <w:sz w:val="20"/>
          <w:szCs w:val="20"/>
        </w:rPr>
        <w:t>. En muchos casos</w:t>
      </w:r>
      <w:r w:rsidR="00CD140E" w:rsidRPr="00C2761E">
        <w:rPr>
          <w:sz w:val="20"/>
          <w:szCs w:val="20"/>
        </w:rPr>
        <w:t xml:space="preserve">, </w:t>
      </w:r>
      <w:r w:rsidR="009A58A4" w:rsidRPr="00C2761E">
        <w:rPr>
          <w:sz w:val="20"/>
          <w:szCs w:val="20"/>
        </w:rPr>
        <w:t xml:space="preserve">los periodistas </w:t>
      </w:r>
      <w:r w:rsidR="00CD140E" w:rsidRPr="00C2761E">
        <w:rPr>
          <w:sz w:val="20"/>
          <w:szCs w:val="20"/>
        </w:rPr>
        <w:t>han tenido que recurrir al exilio</w:t>
      </w:r>
      <w:r w:rsidR="007A0FCD" w:rsidRPr="00C2761E">
        <w:rPr>
          <w:sz w:val="20"/>
          <w:szCs w:val="20"/>
        </w:rPr>
        <w:t xml:space="preserve"> por miedo a sufrir represalias.</w:t>
      </w:r>
      <w:r w:rsidR="00CD140E" w:rsidRPr="00C2761E">
        <w:rPr>
          <w:sz w:val="20"/>
          <w:szCs w:val="20"/>
        </w:rPr>
        <w:t xml:space="preserve"> </w:t>
      </w:r>
    </w:p>
    <w:p w14:paraId="1BF51D30" w14:textId="3BDCC8BF" w:rsidR="005B769C" w:rsidRPr="00C2761E" w:rsidRDefault="00804726" w:rsidP="00C03AF3">
      <w:pPr>
        <w:pStyle w:val="BBodyText"/>
        <w:rPr>
          <w:sz w:val="20"/>
          <w:szCs w:val="20"/>
        </w:rPr>
      </w:pPr>
      <w:r w:rsidRPr="00C2761E">
        <w:rPr>
          <w:sz w:val="20"/>
          <w:szCs w:val="20"/>
        </w:rPr>
        <w:t xml:space="preserve">Ejemplo de ello </w:t>
      </w:r>
      <w:r w:rsidR="008764E7" w:rsidRPr="00C2761E">
        <w:rPr>
          <w:sz w:val="20"/>
          <w:szCs w:val="20"/>
        </w:rPr>
        <w:t xml:space="preserve">han sido las detenciones </w:t>
      </w:r>
      <w:r w:rsidR="003519D5" w:rsidRPr="00C2761E">
        <w:rPr>
          <w:sz w:val="20"/>
          <w:szCs w:val="20"/>
        </w:rPr>
        <w:t>arbitrarias</w:t>
      </w:r>
      <w:r w:rsidR="008764E7" w:rsidRPr="00C2761E">
        <w:rPr>
          <w:sz w:val="20"/>
          <w:szCs w:val="20"/>
        </w:rPr>
        <w:t xml:space="preserve"> por motivos políticos de Luis Carlos Díaz en el 2019, </w:t>
      </w:r>
      <w:r w:rsidR="004A67D3" w:rsidRPr="00C2761E">
        <w:rPr>
          <w:sz w:val="20"/>
          <w:szCs w:val="20"/>
        </w:rPr>
        <w:t xml:space="preserve">después de que las autoridades lo vincularan con un supuesto saboteo de </w:t>
      </w:r>
      <w:r w:rsidR="006E1325" w:rsidRPr="00C2761E">
        <w:rPr>
          <w:sz w:val="20"/>
          <w:szCs w:val="20"/>
        </w:rPr>
        <w:t>energía eléctrica en el país</w:t>
      </w:r>
      <w:r w:rsidR="003519D5" w:rsidRPr="00C2761E">
        <w:rPr>
          <w:sz w:val="20"/>
          <w:szCs w:val="20"/>
        </w:rPr>
        <w:t>;</w:t>
      </w:r>
      <w:r w:rsidR="00890802" w:rsidRPr="00C2761E">
        <w:rPr>
          <w:rStyle w:val="FootnoteReference"/>
          <w:sz w:val="20"/>
          <w:szCs w:val="20"/>
        </w:rPr>
        <w:footnoteReference w:id="64"/>
      </w:r>
      <w:r w:rsidR="003519D5" w:rsidRPr="00C2761E">
        <w:rPr>
          <w:sz w:val="20"/>
          <w:szCs w:val="20"/>
        </w:rPr>
        <w:t xml:space="preserve"> de</w:t>
      </w:r>
      <w:r w:rsidRPr="00C2761E">
        <w:rPr>
          <w:sz w:val="20"/>
          <w:szCs w:val="20"/>
        </w:rPr>
        <w:t xml:space="preserve"> </w:t>
      </w:r>
      <w:proofErr w:type="spellStart"/>
      <w:r w:rsidRPr="00C2761E">
        <w:rPr>
          <w:sz w:val="20"/>
          <w:szCs w:val="20"/>
        </w:rPr>
        <w:t>Darvinson</w:t>
      </w:r>
      <w:proofErr w:type="spellEnd"/>
      <w:r w:rsidRPr="00C2761E">
        <w:rPr>
          <w:sz w:val="20"/>
          <w:szCs w:val="20"/>
        </w:rPr>
        <w:t xml:space="preserve"> Rojas en abril de 2020 cuando reportó </w:t>
      </w:r>
      <w:r w:rsidR="008764E7" w:rsidRPr="00C2761E">
        <w:rPr>
          <w:sz w:val="20"/>
          <w:szCs w:val="20"/>
        </w:rPr>
        <w:t>sobre las medidas que el gobierno de Nicolás Maduro estaría implementado para contrarrestar la pandemia por la Covid-19</w:t>
      </w:r>
      <w:r w:rsidR="006657C1" w:rsidRPr="00C2761E">
        <w:rPr>
          <w:sz w:val="20"/>
          <w:szCs w:val="20"/>
        </w:rPr>
        <w:t>;</w:t>
      </w:r>
      <w:r w:rsidR="00A4274A" w:rsidRPr="00C2761E">
        <w:rPr>
          <w:rStyle w:val="FootnoteReference"/>
          <w:sz w:val="20"/>
          <w:szCs w:val="20"/>
        </w:rPr>
        <w:footnoteReference w:id="65"/>
      </w:r>
      <w:r w:rsidR="006657C1" w:rsidRPr="00C2761E">
        <w:rPr>
          <w:sz w:val="20"/>
          <w:szCs w:val="20"/>
        </w:rPr>
        <w:t xml:space="preserve"> o de Roland Carreño, quien además de periodista es activista político perteneciente al partido Voluntad Popular, opuesto a Nicolás Maduro.</w:t>
      </w:r>
      <w:r w:rsidR="00E46570" w:rsidRPr="00C2761E">
        <w:rPr>
          <w:rStyle w:val="FootnoteReference"/>
          <w:sz w:val="20"/>
          <w:szCs w:val="20"/>
        </w:rPr>
        <w:footnoteReference w:id="66"/>
      </w:r>
    </w:p>
    <w:p w14:paraId="519D90B5" w14:textId="328E2C4E" w:rsidR="00804726" w:rsidRPr="00C2761E" w:rsidRDefault="00754E21" w:rsidP="00C03AF3">
      <w:pPr>
        <w:pStyle w:val="BBodyText"/>
        <w:rPr>
          <w:sz w:val="20"/>
          <w:szCs w:val="20"/>
        </w:rPr>
      </w:pPr>
      <w:r w:rsidRPr="00C2761E">
        <w:rPr>
          <w:sz w:val="20"/>
          <w:szCs w:val="20"/>
        </w:rPr>
        <w:t>Andrés Eloy Zacarías Nieves y Víctor Manuel Torres</w:t>
      </w:r>
      <w:r w:rsidR="002009F1" w:rsidRPr="00C2761E">
        <w:rPr>
          <w:sz w:val="20"/>
          <w:szCs w:val="20"/>
        </w:rPr>
        <w:t>, ambos periodistas,</w:t>
      </w:r>
      <w:r w:rsidR="005B769C" w:rsidRPr="00C2761E">
        <w:rPr>
          <w:sz w:val="20"/>
          <w:szCs w:val="20"/>
        </w:rPr>
        <w:t xml:space="preserve"> fueron asesinados en el Estado Zulia en un evento que posiblemente se </w:t>
      </w:r>
      <w:r w:rsidR="00266CE8" w:rsidRPr="00C2761E">
        <w:rPr>
          <w:sz w:val="20"/>
          <w:szCs w:val="20"/>
        </w:rPr>
        <w:t>constituye una ejecución extrajudicial</w:t>
      </w:r>
      <w:r w:rsidRPr="00C2761E">
        <w:rPr>
          <w:sz w:val="20"/>
          <w:szCs w:val="20"/>
        </w:rPr>
        <w:t xml:space="preserve"> por parte de las FAES de la PNB.</w:t>
      </w:r>
      <w:r w:rsidR="00A7189E" w:rsidRPr="00C2761E">
        <w:rPr>
          <w:rStyle w:val="FootnoteReference"/>
          <w:sz w:val="20"/>
          <w:szCs w:val="20"/>
        </w:rPr>
        <w:footnoteReference w:id="67"/>
      </w:r>
      <w:r w:rsidRPr="00C2761E">
        <w:rPr>
          <w:sz w:val="20"/>
          <w:szCs w:val="20"/>
        </w:rPr>
        <w:t xml:space="preserve"> </w:t>
      </w:r>
    </w:p>
    <w:p w14:paraId="4BC92A86" w14:textId="287FE6EF" w:rsidR="003A2087" w:rsidRPr="00C2761E" w:rsidRDefault="00CE3FD9" w:rsidP="003A2087">
      <w:pPr>
        <w:pStyle w:val="BBodyText"/>
        <w:rPr>
          <w:sz w:val="20"/>
          <w:szCs w:val="20"/>
        </w:rPr>
      </w:pPr>
      <w:r w:rsidRPr="00C2761E">
        <w:rPr>
          <w:sz w:val="20"/>
          <w:szCs w:val="20"/>
        </w:rPr>
        <w:t>Si bien estos casos han sido los más graves, también resulta de suma preocupación el ambiente hostil</w:t>
      </w:r>
      <w:r w:rsidR="00374464" w:rsidRPr="00C2761E">
        <w:rPr>
          <w:sz w:val="20"/>
          <w:szCs w:val="20"/>
        </w:rPr>
        <w:t>, estigmatizante y de riesgo en el que periodistas desempeñan sus labores en Venezuela</w:t>
      </w:r>
      <w:r w:rsidR="007B2E8E" w:rsidRPr="00C2761E">
        <w:rPr>
          <w:sz w:val="20"/>
          <w:szCs w:val="20"/>
        </w:rPr>
        <w:t>, por lo que muchos han salido de Venezuela buscando protección internacional</w:t>
      </w:r>
      <w:r w:rsidR="008B5BF0" w:rsidRPr="00C2761E">
        <w:rPr>
          <w:sz w:val="20"/>
          <w:szCs w:val="20"/>
        </w:rPr>
        <w:t xml:space="preserve">. Ejemplo de ello es el caso de Roberto Déniz, quien pertenece al colectivo </w:t>
      </w:r>
      <w:proofErr w:type="spellStart"/>
      <w:r w:rsidR="008B5BF0" w:rsidRPr="00C2761E">
        <w:rPr>
          <w:sz w:val="20"/>
          <w:szCs w:val="20"/>
        </w:rPr>
        <w:t>Armando.Info</w:t>
      </w:r>
      <w:proofErr w:type="spellEnd"/>
      <w:r w:rsidR="5A5F9570" w:rsidRPr="00C2761E">
        <w:rPr>
          <w:sz w:val="20"/>
          <w:szCs w:val="20"/>
        </w:rPr>
        <w:t>,</w:t>
      </w:r>
      <w:r w:rsidR="00FA7A67" w:rsidRPr="00C2761E">
        <w:rPr>
          <w:sz w:val="20"/>
          <w:szCs w:val="20"/>
        </w:rPr>
        <w:t xml:space="preserve"> quien ha expuesto </w:t>
      </w:r>
      <w:r w:rsidR="004732BC" w:rsidRPr="00C2761E">
        <w:rPr>
          <w:sz w:val="20"/>
          <w:szCs w:val="20"/>
        </w:rPr>
        <w:t xml:space="preserve">detalles sobre posibles eventos de lavado de dinero y corrupción en el país, </w:t>
      </w:r>
      <w:r w:rsidR="46A7AA81" w:rsidRPr="00C2761E">
        <w:rPr>
          <w:sz w:val="20"/>
          <w:szCs w:val="20"/>
        </w:rPr>
        <w:t xml:space="preserve">y </w:t>
      </w:r>
      <w:r w:rsidR="004732BC" w:rsidRPr="00C2761E">
        <w:rPr>
          <w:sz w:val="20"/>
          <w:szCs w:val="20"/>
        </w:rPr>
        <w:t xml:space="preserve">ha sido víctima de campañas en redes sociales y en medios de </w:t>
      </w:r>
      <w:r w:rsidR="00946B88" w:rsidRPr="00C2761E">
        <w:rPr>
          <w:sz w:val="20"/>
          <w:szCs w:val="20"/>
        </w:rPr>
        <w:t>comunicación vinculados a</w:t>
      </w:r>
      <w:r w:rsidR="004732BC" w:rsidRPr="00C2761E">
        <w:rPr>
          <w:sz w:val="20"/>
          <w:szCs w:val="20"/>
        </w:rPr>
        <w:t>l Estado</w:t>
      </w:r>
      <w:r w:rsidR="00E8068A" w:rsidRPr="00C2761E">
        <w:rPr>
          <w:sz w:val="20"/>
          <w:szCs w:val="20"/>
        </w:rPr>
        <w:t xml:space="preserve">, así como una orden de allanamiento en su contra </w:t>
      </w:r>
      <w:r w:rsidR="009D6337" w:rsidRPr="00C2761E">
        <w:rPr>
          <w:sz w:val="20"/>
          <w:szCs w:val="20"/>
        </w:rPr>
        <w:t>por una supuesta causa de incitación al odio,</w:t>
      </w:r>
      <w:r w:rsidR="004732BC" w:rsidRPr="00C2761E">
        <w:rPr>
          <w:sz w:val="20"/>
          <w:szCs w:val="20"/>
        </w:rPr>
        <w:t xml:space="preserve"> que han ocasionado </w:t>
      </w:r>
      <w:r w:rsidR="00B131E9" w:rsidRPr="00C2761E">
        <w:rPr>
          <w:sz w:val="20"/>
          <w:szCs w:val="20"/>
        </w:rPr>
        <w:t>su reubicación fuera del país</w:t>
      </w:r>
      <w:r w:rsidR="00FA7A67" w:rsidRPr="00C2761E">
        <w:rPr>
          <w:sz w:val="20"/>
          <w:szCs w:val="20"/>
        </w:rPr>
        <w:t>.</w:t>
      </w:r>
      <w:r w:rsidR="009D6337" w:rsidRPr="00C2761E">
        <w:rPr>
          <w:rStyle w:val="FootnoteReference"/>
          <w:sz w:val="20"/>
          <w:szCs w:val="20"/>
        </w:rPr>
        <w:footnoteReference w:id="68"/>
      </w:r>
    </w:p>
    <w:p w14:paraId="3D45FAFF" w14:textId="5BC3C87C" w:rsidR="00A7673B" w:rsidRPr="00C2761E" w:rsidRDefault="00AB2F28" w:rsidP="00A7673B">
      <w:pPr>
        <w:pStyle w:val="BBodyText"/>
        <w:rPr>
          <w:sz w:val="20"/>
          <w:szCs w:val="20"/>
        </w:rPr>
      </w:pPr>
      <w:r w:rsidRPr="00C2761E">
        <w:rPr>
          <w:sz w:val="20"/>
          <w:szCs w:val="20"/>
        </w:rPr>
        <w:t xml:space="preserve">Amnistía Internacional recomienda al Estado venezolano que: </w:t>
      </w:r>
    </w:p>
    <w:p w14:paraId="04754EB8" w14:textId="2CECF216" w:rsidR="00A7673B" w:rsidRPr="00C2761E" w:rsidRDefault="00957501" w:rsidP="00DB5E88">
      <w:pPr>
        <w:pStyle w:val="BBodyText"/>
        <w:numPr>
          <w:ilvl w:val="0"/>
          <w:numId w:val="25"/>
        </w:numPr>
        <w:rPr>
          <w:sz w:val="20"/>
          <w:szCs w:val="20"/>
        </w:rPr>
      </w:pPr>
      <w:r w:rsidRPr="00C2761E">
        <w:rPr>
          <w:sz w:val="20"/>
          <w:szCs w:val="20"/>
        </w:rPr>
        <w:t>Deje sin efecto la Ley Constitucional contra el Odio, por la Convivencia Pacífica y la Tolerancia</w:t>
      </w:r>
      <w:r w:rsidR="00ED0113" w:rsidRPr="00C2761E">
        <w:rPr>
          <w:sz w:val="20"/>
          <w:szCs w:val="20"/>
        </w:rPr>
        <w:t xml:space="preserve"> y se abstenga de criminalizar la </w:t>
      </w:r>
      <w:r w:rsidR="00396A22" w:rsidRPr="00C2761E">
        <w:rPr>
          <w:sz w:val="20"/>
          <w:szCs w:val="20"/>
        </w:rPr>
        <w:t>libertad de expresión</w:t>
      </w:r>
      <w:r w:rsidR="000135F3" w:rsidRPr="00C2761E">
        <w:rPr>
          <w:sz w:val="20"/>
          <w:szCs w:val="20"/>
        </w:rPr>
        <w:t xml:space="preserve"> a través de normativas similares</w:t>
      </w:r>
      <w:r w:rsidR="00C574EF" w:rsidRPr="00C2761E">
        <w:rPr>
          <w:sz w:val="20"/>
          <w:szCs w:val="20"/>
        </w:rPr>
        <w:t xml:space="preserve">. </w:t>
      </w:r>
    </w:p>
    <w:p w14:paraId="65761162" w14:textId="73801EF6" w:rsidR="00957501" w:rsidRPr="00C2761E" w:rsidRDefault="00C574EF" w:rsidP="00DB5E88">
      <w:pPr>
        <w:pStyle w:val="BBodyText"/>
        <w:numPr>
          <w:ilvl w:val="0"/>
          <w:numId w:val="25"/>
        </w:numPr>
        <w:rPr>
          <w:sz w:val="20"/>
          <w:szCs w:val="20"/>
        </w:rPr>
      </w:pPr>
      <w:r w:rsidRPr="00C2761E">
        <w:rPr>
          <w:sz w:val="20"/>
          <w:szCs w:val="20"/>
        </w:rPr>
        <w:t xml:space="preserve">Implemente un mecanismo rápido, transparente y efectivo para </w:t>
      </w:r>
      <w:r w:rsidR="00946B88" w:rsidRPr="00C2761E">
        <w:rPr>
          <w:sz w:val="20"/>
          <w:szCs w:val="20"/>
        </w:rPr>
        <w:t>garantizar el</w:t>
      </w:r>
      <w:r w:rsidRPr="00C2761E">
        <w:rPr>
          <w:sz w:val="20"/>
          <w:szCs w:val="20"/>
        </w:rPr>
        <w:t xml:space="preserve"> acce</w:t>
      </w:r>
      <w:r w:rsidR="00946B88" w:rsidRPr="00C2761E">
        <w:rPr>
          <w:sz w:val="20"/>
          <w:szCs w:val="20"/>
        </w:rPr>
        <w:t>so</w:t>
      </w:r>
      <w:r w:rsidRPr="00C2761E">
        <w:rPr>
          <w:sz w:val="20"/>
          <w:szCs w:val="20"/>
        </w:rPr>
        <w:t xml:space="preserve"> a la información pública en todos los organismos del Estado, además de publicar la información de los años anteriores que permitan la rendición de cuentas sobre la gestión pública. </w:t>
      </w:r>
    </w:p>
    <w:p w14:paraId="5E989D45" w14:textId="58B3EA99" w:rsidR="00C574EF" w:rsidRPr="00C2761E" w:rsidRDefault="00C574EF" w:rsidP="00DB5E88">
      <w:pPr>
        <w:pStyle w:val="BBodyText"/>
        <w:numPr>
          <w:ilvl w:val="0"/>
          <w:numId w:val="25"/>
        </w:numPr>
        <w:rPr>
          <w:sz w:val="20"/>
          <w:szCs w:val="20"/>
        </w:rPr>
      </w:pPr>
      <w:r w:rsidRPr="00C2761E">
        <w:rPr>
          <w:sz w:val="20"/>
          <w:szCs w:val="20"/>
        </w:rPr>
        <w:t xml:space="preserve">Se abstenga de bloquear </w:t>
      </w:r>
      <w:r w:rsidR="007B25DC" w:rsidRPr="00C2761E">
        <w:rPr>
          <w:sz w:val="20"/>
          <w:szCs w:val="20"/>
        </w:rPr>
        <w:t>páginas y sitios web</w:t>
      </w:r>
      <w:r w:rsidR="00FF5669" w:rsidRPr="00C2761E">
        <w:rPr>
          <w:sz w:val="20"/>
          <w:szCs w:val="20"/>
        </w:rPr>
        <w:t xml:space="preserve"> de manera directa o a través de la coacción hacia los proveedores del servicio de internet. </w:t>
      </w:r>
    </w:p>
    <w:p w14:paraId="2676322F" w14:textId="41FB5B86" w:rsidR="00F72A42" w:rsidRPr="00C2761E" w:rsidRDefault="002458AF" w:rsidP="00DB5E88">
      <w:pPr>
        <w:pStyle w:val="BBodyText"/>
        <w:numPr>
          <w:ilvl w:val="0"/>
          <w:numId w:val="25"/>
        </w:numPr>
        <w:rPr>
          <w:sz w:val="20"/>
          <w:szCs w:val="20"/>
        </w:rPr>
      </w:pPr>
      <w:r w:rsidRPr="00C2761E">
        <w:rPr>
          <w:sz w:val="20"/>
          <w:szCs w:val="20"/>
        </w:rPr>
        <w:t>Garantice la li</w:t>
      </w:r>
      <w:r w:rsidR="006F7E14" w:rsidRPr="00C2761E">
        <w:rPr>
          <w:sz w:val="20"/>
          <w:szCs w:val="20"/>
        </w:rPr>
        <w:t>bertad de expresión</w:t>
      </w:r>
      <w:r w:rsidR="008D16A4" w:rsidRPr="00C2761E">
        <w:rPr>
          <w:sz w:val="20"/>
          <w:szCs w:val="20"/>
        </w:rPr>
        <w:t xml:space="preserve"> </w:t>
      </w:r>
      <w:r w:rsidR="004A4458" w:rsidRPr="00C2761E">
        <w:rPr>
          <w:sz w:val="20"/>
          <w:szCs w:val="20"/>
        </w:rPr>
        <w:t>a través de todos los medios de difusión de la información</w:t>
      </w:r>
      <w:r w:rsidR="00A51EE2" w:rsidRPr="00C2761E">
        <w:rPr>
          <w:sz w:val="20"/>
          <w:szCs w:val="20"/>
        </w:rPr>
        <w:t xml:space="preserve"> y </w:t>
      </w:r>
      <w:r w:rsidR="00FC4C62" w:rsidRPr="00C2761E">
        <w:rPr>
          <w:sz w:val="20"/>
          <w:szCs w:val="20"/>
        </w:rPr>
        <w:t xml:space="preserve">se abstenga de imponer sanciones discrecionales, sin seguir el debido proceso y de manera arbitraria en contra de medios de comunicación. </w:t>
      </w:r>
    </w:p>
    <w:p w14:paraId="36373E91" w14:textId="0AABEB23" w:rsidR="008F140B" w:rsidRPr="00C2761E" w:rsidRDefault="00287485" w:rsidP="00DB5E88">
      <w:pPr>
        <w:pStyle w:val="BBodyText"/>
        <w:numPr>
          <w:ilvl w:val="0"/>
          <w:numId w:val="25"/>
        </w:numPr>
        <w:rPr>
          <w:sz w:val="20"/>
          <w:szCs w:val="20"/>
        </w:rPr>
      </w:pPr>
      <w:r w:rsidRPr="00C2761E">
        <w:rPr>
          <w:sz w:val="20"/>
          <w:szCs w:val="20"/>
        </w:rPr>
        <w:t>Investigue todas las</w:t>
      </w:r>
      <w:r w:rsidR="000146EC" w:rsidRPr="00C2761E">
        <w:rPr>
          <w:sz w:val="20"/>
          <w:szCs w:val="20"/>
        </w:rPr>
        <w:t xml:space="preserve"> actuaciones estatales y de particulares que </w:t>
      </w:r>
      <w:r w:rsidR="002A632F" w:rsidRPr="00C2761E">
        <w:rPr>
          <w:sz w:val="20"/>
          <w:szCs w:val="20"/>
        </w:rPr>
        <w:t>restrinjan indebidamente la labor periodística</w:t>
      </w:r>
      <w:r w:rsidR="001263F1" w:rsidRPr="00C2761E">
        <w:rPr>
          <w:sz w:val="20"/>
          <w:szCs w:val="20"/>
        </w:rPr>
        <w:t xml:space="preserve"> y a la libertad de expresión</w:t>
      </w:r>
      <w:r w:rsidR="008D40D3" w:rsidRPr="00C2761E">
        <w:rPr>
          <w:sz w:val="20"/>
          <w:szCs w:val="20"/>
        </w:rPr>
        <w:t xml:space="preserve">, incluidos los hostigamientos físicos y virtuales y las amenazas en contra de estas personas. </w:t>
      </w:r>
    </w:p>
    <w:p w14:paraId="5ABA4F35" w14:textId="1514ABB6" w:rsidR="0014445B" w:rsidRPr="00B9647E" w:rsidRDefault="00907E14" w:rsidP="00C2761E">
      <w:pPr>
        <w:pStyle w:val="BBodyText"/>
        <w:numPr>
          <w:ilvl w:val="0"/>
          <w:numId w:val="25"/>
        </w:numPr>
      </w:pPr>
      <w:r w:rsidRPr="00C2761E">
        <w:rPr>
          <w:sz w:val="20"/>
          <w:szCs w:val="20"/>
        </w:rPr>
        <w:t>Libere de manera inmediata e incondicional a todas las personas que se encuentran detenidas únicamente por haber ejercido su derecho a la libertad de expresión y s</w:t>
      </w:r>
      <w:r w:rsidR="008D40D3" w:rsidRPr="00C2761E">
        <w:rPr>
          <w:sz w:val="20"/>
          <w:szCs w:val="20"/>
        </w:rPr>
        <w:t xml:space="preserve">e abstenga de criminalizar a personas que ejercen el periodismo o su libertad de expresión. </w:t>
      </w:r>
    </w:p>
    <w:p w14:paraId="7C2FACB5" w14:textId="0DF813E3" w:rsidR="00FD2B35" w:rsidRDefault="009C36A0" w:rsidP="00B9647E">
      <w:pPr>
        <w:pStyle w:val="BNumberedHeading"/>
      </w:pPr>
      <w:bookmarkStart w:id="50" w:name="_Toc145413318"/>
      <w:bookmarkStart w:id="51" w:name="_Toc145441887"/>
      <w:bookmarkEnd w:id="50"/>
      <w:r>
        <w:t xml:space="preserve">DERECHOS A LA LIBERTAD DE </w:t>
      </w:r>
      <w:r w:rsidR="00B11CB2" w:rsidRPr="00A7673B">
        <w:t>REUNIÓN PACÍFICA Y DE ASOCIACIÓN</w:t>
      </w:r>
      <w:r w:rsidR="00A7673B">
        <w:t xml:space="preserve"> (ART</w:t>
      </w:r>
      <w:r w:rsidR="00535252">
        <w:t>Í</w:t>
      </w:r>
      <w:r w:rsidR="00A7673B">
        <w:t>CULOS 7, 21 Y 22)</w:t>
      </w:r>
      <w:bookmarkEnd w:id="51"/>
    </w:p>
    <w:p w14:paraId="0403963D" w14:textId="662C7D3E" w:rsidR="003A2087" w:rsidRPr="00A7673B" w:rsidRDefault="0014445B" w:rsidP="00B9647E">
      <w:pPr>
        <w:pStyle w:val="BNumberedSubheading"/>
      </w:pPr>
      <w:bookmarkStart w:id="52" w:name="_Toc145441888"/>
      <w:r w:rsidRPr="00A7673B">
        <w:t xml:space="preserve">USO EXCESIVO DE LA FUERZA </w:t>
      </w:r>
      <w:r>
        <w:t>Y REPRESIÓN DE LAS MANIFESTACIONES PACÍFICAS</w:t>
      </w:r>
      <w:bookmarkEnd w:id="52"/>
    </w:p>
    <w:p w14:paraId="0A7C1660" w14:textId="30F7DBDF" w:rsidR="00C43DAB" w:rsidRPr="00A7673B" w:rsidRDefault="00C43DAB" w:rsidP="00986172">
      <w:r w:rsidRPr="00A7673B">
        <w:t>Amnistía Internacional y otros organismos internacionales han documentado ampliamente el uso excesivo e ilegal de la fuerza en contextos de manifestaciones pacíficas en Venezuela. En particular</w:t>
      </w:r>
      <w:r w:rsidR="00C73C98">
        <w:t>,</w:t>
      </w:r>
      <w:r w:rsidRPr="00A7673B">
        <w:t xml:space="preserve"> en los períodos de mayor movilización de personas </w:t>
      </w:r>
      <w:r w:rsidR="003C51B4" w:rsidRPr="00A7673B">
        <w:t xml:space="preserve">en torno a </w:t>
      </w:r>
      <w:r w:rsidR="00B966C9" w:rsidRPr="00A7673B">
        <w:t>reivindicaciones</w:t>
      </w:r>
      <w:r w:rsidR="003C51B4" w:rsidRPr="00A7673B">
        <w:t xml:space="preserve"> políticas</w:t>
      </w:r>
      <w:r w:rsidR="00B966C9" w:rsidRPr="00A7673B">
        <w:t xml:space="preserve"> en los años 2017 y 2019</w:t>
      </w:r>
      <w:r w:rsidR="003C51B4" w:rsidRPr="00A7673B">
        <w:t xml:space="preserve">, el Estado venezolano ha empleado </w:t>
      </w:r>
      <w:r w:rsidR="000116B9">
        <w:t>la fuerza de forma</w:t>
      </w:r>
      <w:r w:rsidR="000116B9" w:rsidRPr="00A7673B">
        <w:t xml:space="preserve"> </w:t>
      </w:r>
      <w:r w:rsidR="003C51B4" w:rsidRPr="00A7673B">
        <w:t>innecesari</w:t>
      </w:r>
      <w:r w:rsidR="000116B9">
        <w:t>a</w:t>
      </w:r>
      <w:r w:rsidR="003C51B4" w:rsidRPr="00A7673B">
        <w:t xml:space="preserve">, </w:t>
      </w:r>
      <w:r w:rsidR="000116B9">
        <w:t>excesiva</w:t>
      </w:r>
      <w:r w:rsidR="000116B9" w:rsidRPr="00A7673B">
        <w:t xml:space="preserve"> </w:t>
      </w:r>
      <w:r w:rsidR="003C51B4" w:rsidRPr="00A7673B">
        <w:t>e ilegal para reprimir la protesta</w:t>
      </w:r>
      <w:r w:rsidR="00B966C9" w:rsidRPr="00A7673B">
        <w:t xml:space="preserve">. </w:t>
      </w:r>
    </w:p>
    <w:p w14:paraId="2227D41E" w14:textId="77777777" w:rsidR="005F28E3" w:rsidRPr="00A7673B" w:rsidRDefault="005F28E3" w:rsidP="00986172"/>
    <w:p w14:paraId="019AAE41" w14:textId="2FBAB4C2" w:rsidR="00C9444D" w:rsidRPr="00A7673B" w:rsidRDefault="00225A21" w:rsidP="00986172">
      <w:r w:rsidRPr="00A7673B">
        <w:t xml:space="preserve">Desde la evaluación de Venezuela por este Comité en 2015, los patrones de uso </w:t>
      </w:r>
      <w:r w:rsidR="000116B9">
        <w:t>innecesario y</w:t>
      </w:r>
      <w:r w:rsidRPr="00A7673B">
        <w:t xml:space="preserve"> excesivo de la fuerza continuaron, e incluso se incrementaron. </w:t>
      </w:r>
      <w:r w:rsidR="003B6A22">
        <w:t xml:space="preserve">En el contexto de </w:t>
      </w:r>
      <w:r w:rsidRPr="00A7673B">
        <w:t>protestas masivas en 2017</w:t>
      </w:r>
      <w:r w:rsidR="000116B9">
        <w:t>,</w:t>
      </w:r>
      <w:r w:rsidRPr="00A7673B">
        <w:t xml:space="preserve"> </w:t>
      </w:r>
      <w:r w:rsidR="003B6A22">
        <w:t xml:space="preserve">el saldo fue de </w:t>
      </w:r>
      <w:r w:rsidR="007E2009" w:rsidRPr="00A7673B">
        <w:t>al menos</w:t>
      </w:r>
      <w:r w:rsidRPr="00A7673B">
        <w:t xml:space="preserve"> </w:t>
      </w:r>
      <w:r w:rsidR="00A53FF0" w:rsidRPr="00A7673B">
        <w:t>12</w:t>
      </w:r>
      <w:r w:rsidR="003B6A22">
        <w:t>4</w:t>
      </w:r>
      <w:r w:rsidR="00A53FF0" w:rsidRPr="00A7673B">
        <w:t xml:space="preserve"> personas fallecidas</w:t>
      </w:r>
      <w:r w:rsidR="003B6A22">
        <w:t xml:space="preserve"> </w:t>
      </w:r>
      <w:proofErr w:type="gramStart"/>
      <w:r w:rsidR="000116B9">
        <w:t>de acuerdo a</w:t>
      </w:r>
      <w:proofErr w:type="gramEnd"/>
      <w:r w:rsidR="003B6A22">
        <w:t xml:space="preserve"> cifra</w:t>
      </w:r>
      <w:r w:rsidR="000116B9">
        <w:t>s</w:t>
      </w:r>
      <w:r w:rsidR="003B6A22">
        <w:t xml:space="preserve"> publicada por el Ministerio Público venezolano</w:t>
      </w:r>
      <w:r w:rsidR="00A53FF0" w:rsidRPr="00A7673B">
        <w:t xml:space="preserve">, </w:t>
      </w:r>
      <w:r w:rsidR="00CC4272">
        <w:t>de las cuales al menos 46 habrían sido manifestantes que perdieron la vida a manos de fuerzas de seguridad del Estado</w:t>
      </w:r>
      <w:r w:rsidR="00BA6938">
        <w:t>.</w:t>
      </w:r>
      <w:r w:rsidR="00F57755">
        <w:rPr>
          <w:rStyle w:val="FootnoteReference"/>
        </w:rPr>
        <w:footnoteReference w:id="69"/>
      </w:r>
      <w:r w:rsidR="00DB626E" w:rsidRPr="00A7673B">
        <w:t xml:space="preserve"> </w:t>
      </w:r>
    </w:p>
    <w:p w14:paraId="10053697" w14:textId="77777777" w:rsidR="00C9444D" w:rsidRPr="00A7673B" w:rsidRDefault="00C9444D" w:rsidP="00986172"/>
    <w:p w14:paraId="04103BCE" w14:textId="42C0BE6F" w:rsidR="006D0315" w:rsidRDefault="00DB626E" w:rsidP="00986172">
      <w:r w:rsidRPr="00A7673B">
        <w:t xml:space="preserve">A pesar de las denuncias y la lucha de las familias, víctimas </w:t>
      </w:r>
      <w:r w:rsidR="00C9444D" w:rsidRPr="00A7673B">
        <w:t xml:space="preserve">y sobrevivientes </w:t>
      </w:r>
      <w:r w:rsidR="00431F3E">
        <w:t xml:space="preserve">por obtener justicia y </w:t>
      </w:r>
      <w:r w:rsidR="00CE13FA">
        <w:t>reparación</w:t>
      </w:r>
      <w:r w:rsidR="00C9444D" w:rsidRPr="00A7673B">
        <w:t>, en 2019 se repitió el modus operandi de uso de armas de fuego en contra de manifestantes pacíficos</w:t>
      </w:r>
      <w:r w:rsidR="007E2009" w:rsidRPr="00A7673B">
        <w:t xml:space="preserve"> que causaron muertes y lesiones graves en manifestantes.</w:t>
      </w:r>
      <w:r w:rsidR="007E2009" w:rsidRPr="00A7673B">
        <w:rPr>
          <w:rStyle w:val="FootnoteReference"/>
        </w:rPr>
        <w:footnoteReference w:id="70"/>
      </w:r>
      <w:r w:rsidR="007E2009" w:rsidRPr="00A7673B">
        <w:t xml:space="preserve"> </w:t>
      </w:r>
    </w:p>
    <w:p w14:paraId="5E8EA4E7" w14:textId="77777777" w:rsidR="006D0315" w:rsidRDefault="006D0315" w:rsidP="00986172"/>
    <w:p w14:paraId="343BE962" w14:textId="5BFE0780" w:rsidR="00803672" w:rsidRPr="00A7673B" w:rsidRDefault="00CE13FA" w:rsidP="00986172">
      <w:r>
        <w:t>Amnistia Internacional ha considerado que e</w:t>
      </w:r>
      <w:r w:rsidR="00803672" w:rsidRPr="00A7673B">
        <w:t xml:space="preserve">stos ataques en contra de </w:t>
      </w:r>
      <w:r w:rsidR="00431F3E">
        <w:t>quienes se sumaron a las manifestaciones</w:t>
      </w:r>
      <w:r w:rsidR="00803672" w:rsidRPr="00A7673B">
        <w:t xml:space="preserve"> podrían catalogarse </w:t>
      </w:r>
      <w:r>
        <w:t>como</w:t>
      </w:r>
      <w:r w:rsidRPr="00A7673B">
        <w:t xml:space="preserve"> </w:t>
      </w:r>
      <w:r w:rsidR="00803672" w:rsidRPr="00A7673B">
        <w:t xml:space="preserve">crímenes de lesa humanidad y por lo tanto deben ser investigados como tal. Si bien el Estado venezolano informa al Comité que ha recibido cooperación técnica de la Oficina del Alto Comisionado </w:t>
      </w:r>
      <w:r w:rsidR="002163BE" w:rsidRPr="00A7673B">
        <w:t xml:space="preserve">para los Derechos Humanos, no existe evidencia </w:t>
      </w:r>
      <w:r w:rsidR="00167A08">
        <w:t xml:space="preserve">sobre investigaciones y sanciones </w:t>
      </w:r>
      <w:r w:rsidR="00167A08" w:rsidRPr="00A7673B">
        <w:t xml:space="preserve">a los funcionarios policiales y militares al frente de estos hechos en la mayoría de los casos. </w:t>
      </w:r>
      <w:r w:rsidR="4720964C">
        <w:t>M</w:t>
      </w:r>
      <w:r w:rsidR="7F31D49A">
        <w:t>á</w:t>
      </w:r>
      <w:r w:rsidR="4720964C">
        <w:t>s a</w:t>
      </w:r>
      <w:r w:rsidR="23B44839">
        <w:t>ú</w:t>
      </w:r>
      <w:r w:rsidR="4720964C">
        <w:t>n</w:t>
      </w:r>
      <w:r w:rsidR="00167A08">
        <w:t>, el Estado no ha tomado acciones para asegurar</w:t>
      </w:r>
      <w:r w:rsidR="00167A08" w:rsidRPr="00A7673B">
        <w:t xml:space="preserve"> </w:t>
      </w:r>
      <w:r w:rsidR="002163BE" w:rsidRPr="00A7673B">
        <w:t xml:space="preserve">que la actuación de las autoridades </w:t>
      </w:r>
      <w:r w:rsidR="00167A08">
        <w:t>se</w:t>
      </w:r>
      <w:r w:rsidR="00167A08" w:rsidRPr="00A7673B">
        <w:t xml:space="preserve"> </w:t>
      </w:r>
      <w:r w:rsidR="00167A08">
        <w:t>apegue</w:t>
      </w:r>
      <w:r w:rsidR="002C002F" w:rsidRPr="00A7673B">
        <w:t xml:space="preserve"> a los </w:t>
      </w:r>
      <w:r w:rsidR="00293A6D" w:rsidRPr="00A7673B">
        <w:t xml:space="preserve">Principios Básicos sobre el Empleo de la Fuerza y de Armas de Fuego por los </w:t>
      </w:r>
      <w:proofErr w:type="gramStart"/>
      <w:r w:rsidR="00293A6D" w:rsidRPr="00A7673B">
        <w:t>Funcionarios</w:t>
      </w:r>
      <w:proofErr w:type="gramEnd"/>
      <w:r w:rsidR="00293A6D" w:rsidRPr="00A7673B">
        <w:t xml:space="preserve"> Encargados de Hacer Cumplir la Ley</w:t>
      </w:r>
      <w:r w:rsidR="00167A08">
        <w:t xml:space="preserve"> </w:t>
      </w:r>
      <w:r w:rsidR="00167A08" w:rsidRPr="00A7673B">
        <w:t>de presentarse nuevas manifestaciones pacíficas masivas en Venezuela</w:t>
      </w:r>
      <w:r w:rsidR="00167A08">
        <w:t>.</w:t>
      </w:r>
      <w:r w:rsidR="00293A6D" w:rsidRPr="00A7673B">
        <w:t xml:space="preserve"> </w:t>
      </w:r>
    </w:p>
    <w:p w14:paraId="5ABF6956" w14:textId="77777777" w:rsidR="00C43DAB" w:rsidRPr="00A7673B" w:rsidRDefault="00C43DAB" w:rsidP="00986172"/>
    <w:p w14:paraId="31EC1BC3" w14:textId="60396628" w:rsidR="00C43DAB" w:rsidRDefault="00114FD1" w:rsidP="00986172">
      <w:r w:rsidRPr="00A7673B">
        <w:t xml:space="preserve">Además, en los </w:t>
      </w:r>
      <w:r w:rsidR="004C5CCA">
        <w:t>poco</w:t>
      </w:r>
      <w:r w:rsidR="008E423E">
        <w:t>s</w:t>
      </w:r>
      <w:r w:rsidR="004C5CCA">
        <w:t xml:space="preserve"> casos investigados</w:t>
      </w:r>
      <w:r w:rsidR="008E423E">
        <w:t>,</w:t>
      </w:r>
      <w:r w:rsidR="004C5CCA">
        <w:t xml:space="preserve"> </w:t>
      </w:r>
      <w:r w:rsidR="00874CB2" w:rsidRPr="00A7673B">
        <w:t xml:space="preserve">no se han investigado a los superiores jerárquicos ni se han investigado los hechos con la perspectiva de haber sido parte de una política de represión y de un ataque sistemático y generalizado en contra de la población, por lo que no puede entenderse que </w:t>
      </w:r>
      <w:r w:rsidR="008E423E">
        <w:t xml:space="preserve">las investigaciones cumplan </w:t>
      </w:r>
      <w:r w:rsidR="00874CB2" w:rsidRPr="00A7673B">
        <w:t>con los principios de verdad, justicia y reparación a las víctimas.</w:t>
      </w:r>
      <w:r w:rsidR="002E0C20" w:rsidRPr="00A7673B">
        <w:rPr>
          <w:rStyle w:val="FootnoteReference"/>
        </w:rPr>
        <w:footnoteReference w:id="71"/>
      </w:r>
      <w:r w:rsidR="00874CB2" w:rsidRPr="00A7673B">
        <w:t xml:space="preserve"> </w:t>
      </w:r>
    </w:p>
    <w:p w14:paraId="382E4389" w14:textId="77777777" w:rsidR="00574EBB" w:rsidRDefault="00574EBB" w:rsidP="00986172"/>
    <w:p w14:paraId="5A14502A" w14:textId="3B72B2E2" w:rsidR="00574EBB" w:rsidRDefault="00574EBB" w:rsidP="00574EBB">
      <w:pPr>
        <w:rPr>
          <w:bCs/>
        </w:rPr>
      </w:pPr>
      <w:r>
        <w:rPr>
          <w:bCs/>
        </w:rPr>
        <w:t>Por otro lado, e</w:t>
      </w:r>
      <w:r w:rsidRPr="00574EBB">
        <w:rPr>
          <w:bCs/>
        </w:rPr>
        <w:t xml:space="preserve">l contexto social y económico en Venezuela continúa deteriorándose a pesar de la narrativa que existe sobre una supuesta mejora de la capacidad económica en el país. El Observatorio Venezolano de Conflictividad Social establece que, para </w:t>
      </w:r>
      <w:r w:rsidR="00CC3C31">
        <w:rPr>
          <w:bCs/>
        </w:rPr>
        <w:t>agosto</w:t>
      </w:r>
      <w:r w:rsidRPr="00574EBB">
        <w:rPr>
          <w:bCs/>
        </w:rPr>
        <w:t xml:space="preserve"> de 2023, el 8</w:t>
      </w:r>
      <w:r w:rsidR="00E42794">
        <w:rPr>
          <w:bCs/>
        </w:rPr>
        <w:t>6</w:t>
      </w:r>
      <w:r w:rsidRPr="00574EBB">
        <w:rPr>
          <w:bCs/>
        </w:rPr>
        <w:t>% de las protestas a nivel nacional exigían la reivindicación de bienes y servicios como el servicio eléctrico, el acceso a agua y a combustible, el reclamo de pensiones para personas adultas mayores, el acceso a servicios de salud, entre otros.</w:t>
      </w:r>
      <w:r w:rsidRPr="00574EBB">
        <w:rPr>
          <w:bCs/>
          <w:vertAlign w:val="superscript"/>
        </w:rPr>
        <w:footnoteReference w:id="72"/>
      </w:r>
      <w:r w:rsidRPr="00574EBB">
        <w:rPr>
          <w:bCs/>
        </w:rPr>
        <w:t xml:space="preserve"> Estas protestas si bien no son masivas, ocurren a menudo en todo el país</w:t>
      </w:r>
      <w:r w:rsidR="00B8161C">
        <w:rPr>
          <w:bCs/>
        </w:rPr>
        <w:t>.</w:t>
      </w:r>
      <w:r w:rsidR="00E42794">
        <w:rPr>
          <w:bCs/>
        </w:rPr>
        <w:t xml:space="preserve"> </w:t>
      </w:r>
      <w:r w:rsidR="00B8161C">
        <w:rPr>
          <w:bCs/>
        </w:rPr>
        <w:t>Tan solo</w:t>
      </w:r>
      <w:r w:rsidR="00E42794">
        <w:rPr>
          <w:bCs/>
        </w:rPr>
        <w:t xml:space="preserve"> en el primer semestre de 2023 tuvieron como saldo </w:t>
      </w:r>
      <w:r w:rsidR="007E70B3">
        <w:rPr>
          <w:bCs/>
        </w:rPr>
        <w:t>14 manifestantes detenidos y ocho personas heridas.</w:t>
      </w:r>
      <w:r w:rsidR="007E70B3">
        <w:rPr>
          <w:rStyle w:val="FootnoteReference"/>
          <w:bCs/>
        </w:rPr>
        <w:footnoteReference w:id="73"/>
      </w:r>
      <w:r w:rsidR="007E70B3">
        <w:rPr>
          <w:bCs/>
        </w:rPr>
        <w:t xml:space="preserve"> </w:t>
      </w:r>
      <w:r w:rsidRPr="00574EBB">
        <w:rPr>
          <w:bCs/>
        </w:rPr>
        <w:t xml:space="preserve"> </w:t>
      </w:r>
    </w:p>
    <w:p w14:paraId="1B1672DC" w14:textId="77777777" w:rsidR="00574EBB" w:rsidRPr="00574EBB" w:rsidRDefault="00574EBB" w:rsidP="00574EBB">
      <w:pPr>
        <w:rPr>
          <w:bCs/>
        </w:rPr>
      </w:pPr>
    </w:p>
    <w:p w14:paraId="5854491A" w14:textId="77777777" w:rsidR="00574EBB" w:rsidRDefault="00574EBB" w:rsidP="00574EBB">
      <w:pPr>
        <w:rPr>
          <w:bCs/>
        </w:rPr>
      </w:pPr>
      <w:r w:rsidRPr="00574EBB">
        <w:rPr>
          <w:bCs/>
        </w:rPr>
        <w:t>La crítica situación económica y social que persiste en Venezuela se refleja también en la cifra de 7.3 millones de personas que han salido del país en búsqueda de protección.</w:t>
      </w:r>
      <w:r w:rsidRPr="00574EBB">
        <w:rPr>
          <w:bCs/>
          <w:vertAlign w:val="superscript"/>
        </w:rPr>
        <w:footnoteReference w:id="74"/>
      </w:r>
      <w:r w:rsidRPr="00574EBB">
        <w:t xml:space="preserve"> </w:t>
      </w:r>
      <w:r w:rsidRPr="00574EBB">
        <w:rPr>
          <w:bCs/>
        </w:rPr>
        <w:t>Estos 7.3 millones de personas representan aproximadamente el 25% de la población total, y refleja un aumento de más de un millón de personas que salieron del país entre mayo de 2022 y mayo de 2023, lo cual a su vez demuestra la continuidad de la profunda crisis de derechos humanos en el país.</w:t>
      </w:r>
    </w:p>
    <w:p w14:paraId="3A8DCD92" w14:textId="77777777" w:rsidR="00574EBB" w:rsidRPr="00574EBB" w:rsidRDefault="00574EBB" w:rsidP="00574EBB">
      <w:pPr>
        <w:rPr>
          <w:bCs/>
        </w:rPr>
      </w:pPr>
    </w:p>
    <w:p w14:paraId="34854F3A" w14:textId="77777777" w:rsidR="00574EBB" w:rsidRPr="00574EBB" w:rsidRDefault="00574EBB" w:rsidP="00574EBB">
      <w:pPr>
        <w:rPr>
          <w:bCs/>
        </w:rPr>
      </w:pPr>
      <w:r w:rsidRPr="00574EBB">
        <w:rPr>
          <w:bCs/>
        </w:rPr>
        <w:t xml:space="preserve">La gravedad de la situación social apunta a que el descontento de las personas en Venezuela demande cambios en las políticas gubernamentales, lo cual, a su vez, repercute en una mayor represión. La imposibilidad de que las personas gocen de sus derechos a la libertad de expresión, a la reunión pacífica, a la participación política y a la defensa de los derechos humanos, atenta contra la dignidad humana y vulnera los derechos fundamentales de las personas en Venezuela de manera continua e incesante. </w:t>
      </w:r>
    </w:p>
    <w:p w14:paraId="0E1BE9E5" w14:textId="22D92AE0" w:rsidR="00C9757F" w:rsidRPr="00A7673B" w:rsidRDefault="0014445B" w:rsidP="003E4B99">
      <w:pPr>
        <w:pStyle w:val="BNumberedSubheading"/>
      </w:pPr>
      <w:bookmarkStart w:id="53" w:name="_Toc145441889"/>
      <w:r w:rsidRPr="00A7673B">
        <w:t>DERECHO A LA LIBERTAD DE ASOCIACIÓN</w:t>
      </w:r>
      <w:bookmarkEnd w:id="53"/>
      <w:r w:rsidRPr="00A7673B">
        <w:t xml:space="preserve"> </w:t>
      </w:r>
    </w:p>
    <w:p w14:paraId="0BCDE8AB" w14:textId="4D85D302" w:rsidR="00D6419F" w:rsidRPr="00A7673B" w:rsidRDefault="00D6419F" w:rsidP="00D6419F">
      <w:pPr>
        <w:pStyle w:val="BBodyText"/>
      </w:pPr>
      <w:r w:rsidRPr="00A7673B">
        <w:t>El Estado venezolano</w:t>
      </w:r>
      <w:r w:rsidR="003B46A7" w:rsidRPr="00A7673B">
        <w:t xml:space="preserve"> ha obstaculizado el ejercicio del derecho a la libertad de asociación en el período bajo revisión. </w:t>
      </w:r>
    </w:p>
    <w:p w14:paraId="7B38DBE7" w14:textId="2FC2F7D6" w:rsidR="003B46A7" w:rsidRPr="00A7673B" w:rsidRDefault="008253BD" w:rsidP="00D6419F">
      <w:pPr>
        <w:pStyle w:val="BBodyText"/>
      </w:pPr>
      <w:r w:rsidRPr="00A7673B">
        <w:t>En los últimos años los ataques contra la sociedad civil se han incrementado</w:t>
      </w:r>
      <w:r w:rsidR="006C4834">
        <w:t>,</w:t>
      </w:r>
      <w:r w:rsidRPr="00A7673B">
        <w:t xml:space="preserve"> </w:t>
      </w:r>
      <w:r w:rsidR="006C4834">
        <w:t>incluyendo</w:t>
      </w:r>
      <w:r w:rsidRPr="00A7673B">
        <w:t xml:space="preserve"> hostigamientos a las personas que conforman asociaciones civiles, estigmatizaciones, </w:t>
      </w:r>
      <w:r w:rsidR="00682572" w:rsidRPr="00A7673B">
        <w:t>criminalización, detenciones arbitrarias, intervenciones judiciales,</w:t>
      </w:r>
      <w:r w:rsidR="006F6778" w:rsidRPr="00A7673B">
        <w:t xml:space="preserve"> entre otras. </w:t>
      </w:r>
    </w:p>
    <w:p w14:paraId="59F575BD" w14:textId="6344E585" w:rsidR="006F6778" w:rsidRPr="00A7673B" w:rsidRDefault="00D86158" w:rsidP="00D6419F">
      <w:pPr>
        <w:pStyle w:val="BBodyText"/>
      </w:pPr>
      <w:r>
        <w:t>A inicios de</w:t>
      </w:r>
      <w:r w:rsidR="00C51C14" w:rsidRPr="00A7673B">
        <w:t xml:space="preserve"> 202</w:t>
      </w:r>
      <w:r>
        <w:t>1</w:t>
      </w:r>
      <w:r w:rsidR="00F171B4">
        <w:t xml:space="preserve">, el gobierno detuvo </w:t>
      </w:r>
      <w:r w:rsidR="006C4834">
        <w:t xml:space="preserve">a </w:t>
      </w:r>
      <w:r w:rsidR="00C51C14" w:rsidRPr="00A7673B">
        <w:t xml:space="preserve">cinco miembros de una asociación con carácter humanitario y se les mantuvo privados de libertad por </w:t>
      </w:r>
      <w:r w:rsidR="00AE40E6">
        <w:t>28</w:t>
      </w:r>
      <w:r w:rsidR="00AE40E6" w:rsidRPr="00A7673B">
        <w:t xml:space="preserve"> </w:t>
      </w:r>
      <w:r w:rsidR="00C51C14" w:rsidRPr="00A7673B">
        <w:t xml:space="preserve">días bajo alegatos de </w:t>
      </w:r>
      <w:r w:rsidR="002E38BC" w:rsidRPr="002E38BC">
        <w:t>manejo fraudulento de tarjeta inteligente, asociación para delinquir y legitimación de capitales</w:t>
      </w:r>
      <w:r w:rsidR="00C51C14" w:rsidRPr="00A7673B">
        <w:t>.</w:t>
      </w:r>
      <w:r w:rsidR="002E38BC">
        <w:rPr>
          <w:rStyle w:val="FootnoteReference"/>
        </w:rPr>
        <w:footnoteReference w:id="75"/>
      </w:r>
      <w:r w:rsidR="00C51C14" w:rsidRPr="00A7673B">
        <w:t xml:space="preserve"> </w:t>
      </w:r>
    </w:p>
    <w:p w14:paraId="10F3789C" w14:textId="7929F0A9" w:rsidR="004B30EA" w:rsidRPr="00A7673B" w:rsidRDefault="004B30EA" w:rsidP="00D6419F">
      <w:pPr>
        <w:pStyle w:val="BBodyText"/>
      </w:pPr>
      <w:r w:rsidRPr="00A7673B">
        <w:t xml:space="preserve">Asimismo, </w:t>
      </w:r>
      <w:r w:rsidR="009B00A9">
        <w:t>e</w:t>
      </w:r>
      <w:r w:rsidR="009B00A9" w:rsidRPr="009B00A9">
        <w:t xml:space="preserve">l 2 de julio de 2021 Javier Tarazona fue detenido de manera arbitraria por funcionarios del Servicio Bolivariano de Inteligencia Nacional (SEBIN). Javier Tarazona es el director y fundador de la organización no gubernamental </w:t>
      </w:r>
      <w:proofErr w:type="spellStart"/>
      <w:r w:rsidR="009B00A9" w:rsidRPr="009B00A9">
        <w:t>FundaRedes</w:t>
      </w:r>
      <w:proofErr w:type="spellEnd"/>
      <w:r w:rsidR="009B00A9" w:rsidRPr="009B00A9">
        <w:t>, la cual opera en el estado Táchira, frontera con Colombia, y que ha denunciado la actuación de grupos armados irregulares en esta zona.</w:t>
      </w:r>
      <w:r w:rsidR="009B00A9" w:rsidRPr="009B00A9">
        <w:rPr>
          <w:vertAlign w:val="superscript"/>
        </w:rPr>
        <w:footnoteReference w:id="76"/>
      </w:r>
      <w:r w:rsidR="009B00A9" w:rsidRPr="009B00A9">
        <w:t xml:space="preserve"> </w:t>
      </w:r>
    </w:p>
    <w:p w14:paraId="4B0EDE28" w14:textId="131BE3C4" w:rsidR="000465E6" w:rsidRDefault="006C4834" w:rsidP="00D6419F">
      <w:pPr>
        <w:pStyle w:val="BBodyText"/>
      </w:pPr>
      <w:r>
        <w:t xml:space="preserve">Las autoridades han también </w:t>
      </w:r>
      <w:r w:rsidR="00F86D6B">
        <w:t>intervenido judicialmente</w:t>
      </w:r>
      <w:r w:rsidR="005D2CDD">
        <w:t xml:space="preserve"> partidos político</w:t>
      </w:r>
      <w:r w:rsidR="000465E6">
        <w:t>s</w:t>
      </w:r>
      <w:r w:rsidR="00F86D6B">
        <w:t xml:space="preserve"> de oposición</w:t>
      </w:r>
      <w:r w:rsidR="002F4865">
        <w:t xml:space="preserve"> al gobierno de Nicolás Maduro</w:t>
      </w:r>
      <w:r w:rsidR="002B55B8">
        <w:t>.</w:t>
      </w:r>
      <w:r w:rsidR="002F4865">
        <w:rPr>
          <w:rStyle w:val="FootnoteReference"/>
        </w:rPr>
        <w:footnoteReference w:id="77"/>
      </w:r>
      <w:r w:rsidR="004B30EA" w:rsidRPr="00A7673B">
        <w:t xml:space="preserve"> </w:t>
      </w:r>
    </w:p>
    <w:p w14:paraId="44216985" w14:textId="770843F1" w:rsidR="004B30EA" w:rsidRPr="00A7673B" w:rsidRDefault="00625307" w:rsidP="00D6419F">
      <w:pPr>
        <w:pStyle w:val="BBodyText"/>
      </w:pPr>
      <w:r>
        <w:t xml:space="preserve">En 2023, </w:t>
      </w:r>
      <w:r w:rsidR="00DC536D">
        <w:t xml:space="preserve">las autoridades </w:t>
      </w:r>
      <w:r w:rsidR="002A6661">
        <w:t xml:space="preserve">judiciales </w:t>
      </w:r>
      <w:r w:rsidR="000465E6">
        <w:t xml:space="preserve">también </w:t>
      </w:r>
      <w:r w:rsidR="00DC536D">
        <w:t xml:space="preserve">intervinieron indebidamente </w:t>
      </w:r>
      <w:r w:rsidR="009C4C38">
        <w:t>en</w:t>
      </w:r>
      <w:r w:rsidR="00DC536D">
        <w:t xml:space="preserve"> </w:t>
      </w:r>
      <w:r w:rsidR="004B4EFD" w:rsidRPr="00A7673B">
        <w:t>la junta directiva del Comité de la Cruz Roja en Venezuela</w:t>
      </w:r>
      <w:r w:rsidR="00A9767A">
        <w:t xml:space="preserve">, </w:t>
      </w:r>
      <w:r w:rsidR="009C4C38">
        <w:t xml:space="preserve">nombrando a sus miembros y </w:t>
      </w:r>
      <w:r w:rsidR="00A9767A">
        <w:t xml:space="preserve">afectando así el derecho de la asociación a </w:t>
      </w:r>
      <w:r w:rsidR="00B904CD">
        <w:t xml:space="preserve">determinar libremente </w:t>
      </w:r>
      <w:r w:rsidR="00695EBA">
        <w:t>sus integrantes y sus objetivos</w:t>
      </w:r>
      <w:r w:rsidR="004B4EFD" w:rsidRPr="00A7673B">
        <w:t>.</w:t>
      </w:r>
      <w:r w:rsidR="007B1A04">
        <w:rPr>
          <w:rStyle w:val="FootnoteReference"/>
        </w:rPr>
        <w:footnoteReference w:id="78"/>
      </w:r>
      <w:r w:rsidR="004B4EFD" w:rsidRPr="00A7673B">
        <w:t xml:space="preserve"> </w:t>
      </w:r>
    </w:p>
    <w:p w14:paraId="0B69C4A4" w14:textId="552566D8" w:rsidR="004B4EFD" w:rsidRPr="00A7673B" w:rsidRDefault="00695EBA" w:rsidP="00D6419F">
      <w:pPr>
        <w:pStyle w:val="BBodyText"/>
      </w:pPr>
      <w:r>
        <w:t>Por otra parte,</w:t>
      </w:r>
      <w:r w:rsidR="005F227B" w:rsidRPr="00A7673B">
        <w:t xml:space="preserve"> resulta de suma preocupación las iniciativas legales que están siendo promovidas desde hace algunos años por miembros del poder ejecutivo o del partido de gobierno (Partido </w:t>
      </w:r>
      <w:r w:rsidR="005A065A" w:rsidRPr="00A7673B">
        <w:t>Socialista Unido de Venezuela)</w:t>
      </w:r>
      <w:r>
        <w:t xml:space="preserve"> para restringir el derecho a la l</w:t>
      </w:r>
      <w:r w:rsidR="00852BE1">
        <w:t>ibertad de asociación</w:t>
      </w:r>
      <w:r w:rsidR="005A065A" w:rsidRPr="00A7673B">
        <w:t>. La Ley de Cooperación Internacional</w:t>
      </w:r>
      <w:r w:rsidR="00852BE1">
        <w:t xml:space="preserve"> </w:t>
      </w:r>
      <w:r w:rsidR="005A065A" w:rsidRPr="00A7673B">
        <w:t xml:space="preserve">tiene como objetivo prohibir la cooperación internacional y el financiamiento de las organizaciones de sociedad civil, incluidas las agencias de ayuda humanitaria. La segunda iniciativa es el proyecto de Ley de Regularización y Fiscalización de </w:t>
      </w:r>
      <w:r w:rsidR="006117DE" w:rsidRPr="00A7673B">
        <w:t>la Sociedad Civi</w:t>
      </w:r>
      <w:r w:rsidR="006117DE" w:rsidRPr="00132B50">
        <w:t>l</w:t>
      </w:r>
      <w:r w:rsidR="005000DE" w:rsidRPr="00132B50">
        <w:t>.</w:t>
      </w:r>
      <w:r w:rsidR="005000DE" w:rsidRPr="00A7673B">
        <w:t xml:space="preserve"> A pesar de que no se ha hecho público oficialmente el contenido de esta iniciativa legislativa, Amnistía Internacional y otras organizaciones de derechos humanos temen que se utilice con el fin de</w:t>
      </w:r>
      <w:r w:rsidR="007A4B1C" w:rsidRPr="00A7673B">
        <w:t xml:space="preserve"> </w:t>
      </w:r>
      <w:r w:rsidR="00ED4C2B">
        <w:t>impedir</w:t>
      </w:r>
      <w:r w:rsidR="00ED4C2B" w:rsidRPr="00A7673B">
        <w:t xml:space="preserve"> </w:t>
      </w:r>
      <w:r w:rsidR="007A4B1C" w:rsidRPr="00A7673B">
        <w:t>la labor de defensa de los derechos humanos y de ayuda humanitaria en el país.</w:t>
      </w:r>
      <w:r w:rsidR="001C0A7E">
        <w:rPr>
          <w:rStyle w:val="FootnoteReference"/>
        </w:rPr>
        <w:footnoteReference w:id="79"/>
      </w:r>
      <w:r w:rsidR="007A4B1C" w:rsidRPr="00A7673B">
        <w:t xml:space="preserve"> </w:t>
      </w:r>
    </w:p>
    <w:p w14:paraId="56311BC4" w14:textId="41E29DC3" w:rsidR="001136F1" w:rsidRDefault="001136F1" w:rsidP="00D6419F">
      <w:pPr>
        <w:pStyle w:val="BBodyText"/>
      </w:pPr>
      <w:r w:rsidRPr="00A7673B">
        <w:t>Desde hace año</w:t>
      </w:r>
      <w:r w:rsidR="00ED4C2B">
        <w:t>s,</w:t>
      </w:r>
      <w:r w:rsidRPr="00A7673B">
        <w:t xml:space="preserve"> los organismos de regularización administrativa de las asociaciones civiles en Venezuela han impuesto trámites y requisitos arbitrari</w:t>
      </w:r>
      <w:r w:rsidR="00ED4C2B">
        <w:t>o</w:t>
      </w:r>
      <w:r w:rsidRPr="00A7673B">
        <w:t xml:space="preserve">s que han dificultado </w:t>
      </w:r>
      <w:r w:rsidR="00745EE3" w:rsidRPr="00A7673B">
        <w:t>seriamente la capacidad de las organizaciones de sociedad civil de funcionar</w:t>
      </w:r>
      <w:r w:rsidR="00D038F8" w:rsidRPr="00A7673B">
        <w:t xml:space="preserve"> con seguridad jurídica y de manera estable.</w:t>
      </w:r>
      <w:r w:rsidR="00281571">
        <w:rPr>
          <w:rStyle w:val="FootnoteReference"/>
        </w:rPr>
        <w:footnoteReference w:id="80"/>
      </w:r>
      <w:r w:rsidR="00D038F8" w:rsidRPr="00A7673B">
        <w:t xml:space="preserve"> La posibilidad que se aprueben nuevos mecanismos de regularización y fiscalización </w:t>
      </w:r>
      <w:r w:rsidR="007A7053" w:rsidRPr="00A7673B">
        <w:t xml:space="preserve">para las organizaciones de </w:t>
      </w:r>
      <w:r w:rsidR="00ED4C2B">
        <w:t xml:space="preserve">la </w:t>
      </w:r>
      <w:r w:rsidR="007A7053" w:rsidRPr="00A7673B">
        <w:t xml:space="preserve">sociedad </w:t>
      </w:r>
      <w:r w:rsidR="00C45630" w:rsidRPr="00A7673B">
        <w:t>civil</w:t>
      </w:r>
      <w:r w:rsidR="007A7053" w:rsidRPr="00A7673B">
        <w:t xml:space="preserve"> representa un grave riesgo para sus </w:t>
      </w:r>
      <w:r w:rsidR="00ED4C2B">
        <w:t>integrantes</w:t>
      </w:r>
      <w:r w:rsidR="007A7053" w:rsidRPr="00A7673B">
        <w:t>, las juntas directivas</w:t>
      </w:r>
      <w:r w:rsidR="001A6808" w:rsidRPr="00A7673B">
        <w:t xml:space="preserve"> y</w:t>
      </w:r>
      <w:r w:rsidR="007A7053" w:rsidRPr="00A7673B">
        <w:t xml:space="preserve"> personas trabajadoras</w:t>
      </w:r>
      <w:r w:rsidR="001A6808" w:rsidRPr="00A7673B">
        <w:t xml:space="preserve"> de cualquier </w:t>
      </w:r>
      <w:r w:rsidR="00EE4675">
        <w:t>asociación</w:t>
      </w:r>
      <w:r w:rsidR="00ED4C2B">
        <w:t xml:space="preserve"> civil</w:t>
      </w:r>
      <w:r w:rsidR="001A6808" w:rsidRPr="00A7673B">
        <w:t xml:space="preserve"> en Venezuela, incluyendo </w:t>
      </w:r>
      <w:r w:rsidR="00EE4675">
        <w:t>organizaciones</w:t>
      </w:r>
      <w:r w:rsidR="00EE4675" w:rsidRPr="00A7673B">
        <w:t xml:space="preserve"> </w:t>
      </w:r>
      <w:r w:rsidR="001A6808" w:rsidRPr="00A7673B">
        <w:t xml:space="preserve">de derechos humanos, universidades, asociaciones con carácter humanitario, </w:t>
      </w:r>
      <w:r w:rsidR="00DD6BB6" w:rsidRPr="00A7673B">
        <w:t xml:space="preserve">partidos políticos, entre otras. </w:t>
      </w:r>
    </w:p>
    <w:p w14:paraId="6E622074" w14:textId="09179D8B" w:rsidR="000643F8" w:rsidRDefault="000643F8" w:rsidP="00D6419F">
      <w:pPr>
        <w:pStyle w:val="BBodyText"/>
      </w:pPr>
      <w:r>
        <w:t>Amnistía Internacional recomienda al Estado venezolano que:</w:t>
      </w:r>
    </w:p>
    <w:p w14:paraId="4C3763AF" w14:textId="59062A1C" w:rsidR="000643F8" w:rsidRDefault="00866CB5" w:rsidP="000643F8">
      <w:pPr>
        <w:pStyle w:val="BBodyText"/>
        <w:numPr>
          <w:ilvl w:val="0"/>
          <w:numId w:val="26"/>
        </w:numPr>
      </w:pPr>
      <w:r>
        <w:t>Respete y g</w:t>
      </w:r>
      <w:r w:rsidR="000643F8">
        <w:t>arantice el derecho a la manifestación pacífica</w:t>
      </w:r>
      <w:r w:rsidR="008B4CC7">
        <w:t>, así como el derecho a la integridad personal, a la vida y a la libertad en el marco de las manifestaciones</w:t>
      </w:r>
      <w:r w:rsidR="00A75DD5">
        <w:t xml:space="preserve"> pacíficas</w:t>
      </w:r>
      <w:r>
        <w:t>.</w:t>
      </w:r>
    </w:p>
    <w:p w14:paraId="0F7BFA10" w14:textId="21AA860A" w:rsidR="00866CB5" w:rsidRDefault="00113EAA" w:rsidP="000643F8">
      <w:pPr>
        <w:pStyle w:val="BBodyText"/>
        <w:numPr>
          <w:ilvl w:val="0"/>
          <w:numId w:val="26"/>
        </w:numPr>
      </w:pPr>
      <w:r>
        <w:t xml:space="preserve">Garantice que las fuerzas de seguridad en control de las </w:t>
      </w:r>
      <w:r w:rsidR="00A9642E">
        <w:t>manifestaciones</w:t>
      </w:r>
      <w:r>
        <w:t xml:space="preserve"> harán </w:t>
      </w:r>
      <w:r w:rsidR="00A9642E">
        <w:t xml:space="preserve">un uso de la fuerza acorde a </w:t>
      </w:r>
      <w:r w:rsidR="00A9642E" w:rsidRPr="00A7673B">
        <w:t xml:space="preserve">los Principios Básicos sobre el Empleo de la Fuerza y de Armas de Fuego por los </w:t>
      </w:r>
      <w:proofErr w:type="gramStart"/>
      <w:r w:rsidR="00A9642E" w:rsidRPr="00A7673B">
        <w:t>Funcionarios</w:t>
      </w:r>
      <w:proofErr w:type="gramEnd"/>
      <w:r w:rsidR="00A9642E" w:rsidRPr="00A7673B">
        <w:t xml:space="preserve"> Encargados de Hacer Cumplir la Ley</w:t>
      </w:r>
      <w:r w:rsidR="00A9642E">
        <w:t>.</w:t>
      </w:r>
    </w:p>
    <w:p w14:paraId="64AF0F54" w14:textId="3A456BD5" w:rsidR="005E23FC" w:rsidRDefault="005E23FC" w:rsidP="000643F8">
      <w:pPr>
        <w:pStyle w:val="BBodyText"/>
        <w:numPr>
          <w:ilvl w:val="0"/>
          <w:numId w:val="26"/>
        </w:numPr>
      </w:pPr>
      <w:r>
        <w:t xml:space="preserve">Respete y garantice la labor de defensa de derechos humanos y en general </w:t>
      </w:r>
      <w:r w:rsidR="00B37A17">
        <w:t xml:space="preserve">se abstenga de interferir </w:t>
      </w:r>
      <w:r w:rsidR="00A75DD5">
        <w:t xml:space="preserve">indebidamente </w:t>
      </w:r>
      <w:r w:rsidR="00B37A17">
        <w:t xml:space="preserve">con las labores y el funcionamiento de las organizaciones de </w:t>
      </w:r>
      <w:r w:rsidR="00A75DD5">
        <w:t xml:space="preserve">la </w:t>
      </w:r>
      <w:r w:rsidR="00B37A17">
        <w:t>sociedad civil.</w:t>
      </w:r>
    </w:p>
    <w:p w14:paraId="24367302" w14:textId="6F92F6CD" w:rsidR="00B37A17" w:rsidRDefault="00841452" w:rsidP="000643F8">
      <w:pPr>
        <w:pStyle w:val="BBodyText"/>
        <w:numPr>
          <w:ilvl w:val="0"/>
          <w:numId w:val="26"/>
        </w:numPr>
      </w:pPr>
      <w:r>
        <w:t xml:space="preserve">Se abstenga de aprobar iniciativas de ley que procuren fiscalizar y </w:t>
      </w:r>
      <w:r w:rsidR="00A75DD5">
        <w:t>restringir</w:t>
      </w:r>
      <w:r>
        <w:t xml:space="preserve"> las labores de defensa y promoción de derechos humanos y de ayuda humanitaria. </w:t>
      </w:r>
    </w:p>
    <w:p w14:paraId="584401B0" w14:textId="013C7747" w:rsidR="00A9642E" w:rsidRDefault="00132B50" w:rsidP="00B45CED">
      <w:pPr>
        <w:pStyle w:val="BBodyText"/>
        <w:numPr>
          <w:ilvl w:val="0"/>
          <w:numId w:val="26"/>
        </w:numPr>
      </w:pPr>
      <w:r>
        <w:t xml:space="preserve">Garantice el funcionamiento de las organizaciones de sociedad civil a través de la simplificación y estandarización de los procesos administrativos para el registro </w:t>
      </w:r>
      <w:r w:rsidR="00600214">
        <w:t>y fiscalización de estos organismos</w:t>
      </w:r>
      <w:r w:rsidR="00A75DD5">
        <w:t>, incluyendo garantías para asegurar que las organizaciones de la sociedad civil puedan buscar y utilizar recursos de fuente internacional sin restricciones</w:t>
      </w:r>
      <w:r w:rsidR="00600214">
        <w:t xml:space="preserve">. </w:t>
      </w:r>
    </w:p>
    <w:p w14:paraId="1AA642BD" w14:textId="77777777" w:rsidR="00EE386C" w:rsidRPr="00A7673B" w:rsidRDefault="00EE386C" w:rsidP="00C20ADF">
      <w:pPr>
        <w:pStyle w:val="BBodyText"/>
      </w:pPr>
    </w:p>
    <w:p w14:paraId="01510446" w14:textId="7C6B2341" w:rsidR="009207B5" w:rsidRPr="00373B9C" w:rsidRDefault="00B11CB2" w:rsidP="00C20ADF">
      <w:pPr>
        <w:pStyle w:val="BNumberedHeading"/>
      </w:pPr>
      <w:bookmarkStart w:id="54" w:name="_Toc145441890"/>
      <w:r w:rsidRPr="00373B9C">
        <w:t>DERECHO A LA PARTICIPACIÓN EN ASUNTOS PÚBLICOS</w:t>
      </w:r>
      <w:r w:rsidR="0042048D" w:rsidRPr="00373B9C">
        <w:t xml:space="preserve"> (ARTÍCULO </w:t>
      </w:r>
      <w:r w:rsidR="00687263" w:rsidRPr="00373B9C">
        <w:t>25)</w:t>
      </w:r>
      <w:bookmarkEnd w:id="54"/>
    </w:p>
    <w:p w14:paraId="1EC8A7D0" w14:textId="1349D80C" w:rsidR="00133530" w:rsidRPr="00816140" w:rsidRDefault="00E01250" w:rsidP="009207B5">
      <w:pPr>
        <w:rPr>
          <w:bCs/>
          <w:color w:val="auto"/>
          <w:sz w:val="21"/>
          <w:szCs w:val="24"/>
        </w:rPr>
      </w:pPr>
      <w:r w:rsidRPr="00816140">
        <w:rPr>
          <w:bCs/>
          <w:color w:val="auto"/>
          <w:sz w:val="21"/>
          <w:szCs w:val="24"/>
        </w:rPr>
        <w:t xml:space="preserve">Amnistía Internacional considera que la política de represión implementada por el gobierno de Nicolás Maduro tiene como uno de sus principales objetivos la </w:t>
      </w:r>
      <w:r w:rsidR="00133530" w:rsidRPr="00816140">
        <w:rPr>
          <w:bCs/>
          <w:color w:val="auto"/>
          <w:sz w:val="21"/>
          <w:szCs w:val="24"/>
        </w:rPr>
        <w:t xml:space="preserve">obstaculización de la participación política de quienes son percibidos como de oposición por el gobierno. </w:t>
      </w:r>
    </w:p>
    <w:p w14:paraId="76A2ECCD" w14:textId="100B3122" w:rsidR="00657D99" w:rsidRPr="00722138" w:rsidRDefault="00657D99" w:rsidP="009207B5">
      <w:pPr>
        <w:rPr>
          <w:bCs/>
          <w:color w:val="auto"/>
          <w:sz w:val="21"/>
          <w:szCs w:val="24"/>
        </w:rPr>
      </w:pPr>
    </w:p>
    <w:p w14:paraId="62CD5B01" w14:textId="69C2A1C0" w:rsidR="000E3294" w:rsidRPr="00722138" w:rsidRDefault="00657D99" w:rsidP="009207B5">
      <w:pPr>
        <w:rPr>
          <w:color w:val="auto"/>
          <w:sz w:val="21"/>
          <w:szCs w:val="21"/>
        </w:rPr>
      </w:pPr>
      <w:r w:rsidRPr="00816140">
        <w:rPr>
          <w:color w:val="auto"/>
          <w:sz w:val="21"/>
          <w:szCs w:val="21"/>
        </w:rPr>
        <w:t xml:space="preserve">Organizaciones defensoras de derechos humanos en Venezuela han advertido que los picos represivos </w:t>
      </w:r>
      <w:r w:rsidR="007B06B3" w:rsidRPr="00816140">
        <w:rPr>
          <w:color w:val="auto"/>
          <w:sz w:val="21"/>
          <w:szCs w:val="21"/>
        </w:rPr>
        <w:t xml:space="preserve">de los derechos a la libertad de expresión, asociación y manifestación </w:t>
      </w:r>
      <w:r w:rsidR="009B2920" w:rsidRPr="00816140">
        <w:rPr>
          <w:color w:val="auto"/>
          <w:sz w:val="21"/>
          <w:szCs w:val="21"/>
        </w:rPr>
        <w:t>pacífica</w:t>
      </w:r>
      <w:r w:rsidR="007B06B3" w:rsidRPr="00816140">
        <w:rPr>
          <w:color w:val="auto"/>
          <w:sz w:val="21"/>
          <w:szCs w:val="21"/>
        </w:rPr>
        <w:t xml:space="preserve"> </w:t>
      </w:r>
      <w:r w:rsidRPr="00816140">
        <w:rPr>
          <w:color w:val="auto"/>
          <w:sz w:val="21"/>
          <w:szCs w:val="21"/>
        </w:rPr>
        <w:t xml:space="preserve">han estado </w:t>
      </w:r>
      <w:r w:rsidR="007B06B3" w:rsidRPr="00816140">
        <w:rPr>
          <w:color w:val="auto"/>
          <w:sz w:val="21"/>
          <w:szCs w:val="21"/>
        </w:rPr>
        <w:t xml:space="preserve">directamente </w:t>
      </w:r>
      <w:r w:rsidRPr="00816140">
        <w:rPr>
          <w:color w:val="auto"/>
          <w:sz w:val="21"/>
          <w:szCs w:val="21"/>
        </w:rPr>
        <w:t xml:space="preserve">asociados a períodos preelectorales </w:t>
      </w:r>
      <w:r w:rsidR="00E11E6B" w:rsidRPr="00816140">
        <w:rPr>
          <w:color w:val="auto"/>
          <w:sz w:val="21"/>
          <w:szCs w:val="21"/>
        </w:rPr>
        <w:t>y electorales</w:t>
      </w:r>
      <w:r w:rsidR="003B1B91" w:rsidRPr="00816140">
        <w:rPr>
          <w:color w:val="auto"/>
          <w:sz w:val="21"/>
          <w:szCs w:val="21"/>
        </w:rPr>
        <w:t xml:space="preserve">, en particular a través del uso del mecanismo de inhabilitación política para evitar que </w:t>
      </w:r>
      <w:r w:rsidR="007B06B3" w:rsidRPr="00816140">
        <w:rPr>
          <w:color w:val="auto"/>
          <w:sz w:val="21"/>
          <w:szCs w:val="21"/>
        </w:rPr>
        <w:t xml:space="preserve">quienes son </w:t>
      </w:r>
      <w:r w:rsidR="005855C9" w:rsidRPr="00816140">
        <w:rPr>
          <w:color w:val="auto"/>
          <w:sz w:val="21"/>
          <w:szCs w:val="21"/>
        </w:rPr>
        <w:t>percibidos</w:t>
      </w:r>
      <w:r w:rsidR="007B06B3" w:rsidRPr="00816140">
        <w:rPr>
          <w:color w:val="auto"/>
          <w:sz w:val="21"/>
          <w:szCs w:val="21"/>
        </w:rPr>
        <w:t xml:space="preserve"> por las autoridades como opositoras políticos</w:t>
      </w:r>
      <w:r w:rsidR="003B1B91" w:rsidRPr="00816140">
        <w:rPr>
          <w:color w:val="auto"/>
          <w:sz w:val="21"/>
          <w:szCs w:val="21"/>
        </w:rPr>
        <w:t xml:space="preserve"> se presenten a cargos de elección popular</w:t>
      </w:r>
      <w:r w:rsidR="003B1B91" w:rsidRPr="00722138">
        <w:rPr>
          <w:color w:val="auto"/>
          <w:sz w:val="21"/>
          <w:szCs w:val="21"/>
        </w:rPr>
        <w:t>.</w:t>
      </w:r>
      <w:r w:rsidR="00044C31" w:rsidRPr="00722138">
        <w:rPr>
          <w:rStyle w:val="FootnoteReference"/>
          <w:color w:val="auto"/>
          <w:sz w:val="21"/>
          <w:szCs w:val="21"/>
        </w:rPr>
        <w:footnoteReference w:id="81"/>
      </w:r>
      <w:r w:rsidR="003B1B91" w:rsidRPr="00722138">
        <w:rPr>
          <w:color w:val="auto"/>
          <w:sz w:val="21"/>
          <w:szCs w:val="21"/>
        </w:rPr>
        <w:t xml:space="preserve"> Esto </w:t>
      </w:r>
      <w:r w:rsidR="003B1B91" w:rsidRPr="00816140">
        <w:rPr>
          <w:color w:val="auto"/>
          <w:sz w:val="21"/>
          <w:szCs w:val="21"/>
        </w:rPr>
        <w:t>ha</w:t>
      </w:r>
      <w:r w:rsidR="0080149E" w:rsidRPr="00816140">
        <w:rPr>
          <w:color w:val="auto"/>
          <w:sz w:val="21"/>
          <w:szCs w:val="21"/>
        </w:rPr>
        <w:t xml:space="preserve"> afectado seriamente los derechos de las personas </w:t>
      </w:r>
      <w:r w:rsidR="00FF2336">
        <w:rPr>
          <w:color w:val="auto"/>
          <w:sz w:val="21"/>
          <w:szCs w:val="21"/>
        </w:rPr>
        <w:t xml:space="preserve">de </w:t>
      </w:r>
      <w:r w:rsidR="000C1324" w:rsidRPr="00816140">
        <w:rPr>
          <w:color w:val="auto"/>
          <w:sz w:val="21"/>
          <w:szCs w:val="21"/>
        </w:rPr>
        <w:t xml:space="preserve">participar efectivamente en asuntos públicos y ha limitado la posibilidad de la </w:t>
      </w:r>
      <w:r w:rsidR="0080149E" w:rsidRPr="00816140">
        <w:rPr>
          <w:color w:val="auto"/>
          <w:sz w:val="21"/>
          <w:szCs w:val="21"/>
        </w:rPr>
        <w:t xml:space="preserve">población en su conjunto </w:t>
      </w:r>
      <w:r w:rsidR="00D12F27" w:rsidRPr="00816140">
        <w:rPr>
          <w:color w:val="auto"/>
          <w:sz w:val="21"/>
          <w:szCs w:val="21"/>
        </w:rPr>
        <w:t xml:space="preserve">a influir directamente en </w:t>
      </w:r>
      <w:r w:rsidR="00C865B8" w:rsidRPr="00816140">
        <w:rPr>
          <w:color w:val="auto"/>
          <w:sz w:val="21"/>
          <w:szCs w:val="21"/>
        </w:rPr>
        <w:t>los asuntos que les afectan</w:t>
      </w:r>
      <w:r w:rsidR="000E3294" w:rsidRPr="00816140">
        <w:rPr>
          <w:color w:val="auto"/>
          <w:sz w:val="21"/>
          <w:szCs w:val="21"/>
        </w:rPr>
        <w:t xml:space="preserve">. </w:t>
      </w:r>
    </w:p>
    <w:p w14:paraId="1F1AA6C5" w14:textId="3271AB3B" w:rsidR="000E3294" w:rsidRPr="00722138" w:rsidRDefault="000E3294" w:rsidP="009207B5">
      <w:pPr>
        <w:rPr>
          <w:color w:val="auto"/>
          <w:sz w:val="21"/>
          <w:szCs w:val="21"/>
        </w:rPr>
      </w:pPr>
    </w:p>
    <w:p w14:paraId="39467D4E" w14:textId="0D8FDE6A" w:rsidR="00C563E1" w:rsidRPr="00722138" w:rsidRDefault="005A6D25" w:rsidP="009207B5">
      <w:r w:rsidRPr="00722138">
        <w:t xml:space="preserve">De acuerdo con </w:t>
      </w:r>
      <w:r w:rsidR="00147362" w:rsidRPr="00722138">
        <w:rPr>
          <w:color w:val="auto"/>
          <w:sz w:val="21"/>
          <w:szCs w:val="21"/>
        </w:rPr>
        <w:t>la Misión de Observación Electoral de la Unión Europea</w:t>
      </w:r>
      <w:r w:rsidRPr="00722138">
        <w:t xml:space="preserve">, </w:t>
      </w:r>
      <w:r w:rsidR="0054020F" w:rsidRPr="00722138">
        <w:t>en el periodo previo a</w:t>
      </w:r>
      <w:r w:rsidRPr="00722138">
        <w:t xml:space="preserve"> las elecciones de 2021 </w:t>
      </w:r>
      <w:r w:rsidR="00816140" w:rsidRPr="00722138">
        <w:t>la Contraloría General de la República</w:t>
      </w:r>
      <w:r w:rsidRPr="00722138">
        <w:t xml:space="preserve"> inhabilit</w:t>
      </w:r>
      <w:r w:rsidR="00816140" w:rsidRPr="00722138">
        <w:t>ó</w:t>
      </w:r>
      <w:r w:rsidRPr="00722138">
        <w:t xml:space="preserve"> </w:t>
      </w:r>
      <w:r w:rsidR="00CF11CF" w:rsidRPr="00722138">
        <w:t>administrativamente</w:t>
      </w:r>
      <w:r w:rsidRPr="00722138">
        <w:t xml:space="preserve"> a 27 personas </w:t>
      </w:r>
      <w:r w:rsidR="005855C9" w:rsidRPr="00722138">
        <w:t xml:space="preserve">de la oposición política que habían mostrado su interés en presentar sus </w:t>
      </w:r>
      <w:r w:rsidRPr="00722138">
        <w:t>candidat</w:t>
      </w:r>
      <w:r w:rsidR="005855C9" w:rsidRPr="00722138">
        <w:t>ur</w:t>
      </w:r>
      <w:r w:rsidRPr="00722138">
        <w:t>as</w:t>
      </w:r>
      <w:r w:rsidR="00CF11CF" w:rsidRPr="00722138">
        <w:t>.</w:t>
      </w:r>
      <w:r w:rsidR="004B2A02" w:rsidRPr="00722138">
        <w:rPr>
          <w:rStyle w:val="FootnoteReference"/>
        </w:rPr>
        <w:footnoteReference w:id="82"/>
      </w:r>
      <w:r w:rsidR="004B2A02" w:rsidRPr="00722138">
        <w:t xml:space="preserve"> </w:t>
      </w:r>
      <w:r w:rsidR="00CF11CF" w:rsidRPr="00722138">
        <w:t xml:space="preserve"> </w:t>
      </w:r>
      <w:r w:rsidR="00EB0607" w:rsidRPr="00722138">
        <w:t>En ju</w:t>
      </w:r>
      <w:r w:rsidR="00972FBD" w:rsidRPr="00722138">
        <w:t>ni</w:t>
      </w:r>
      <w:r w:rsidR="00EB0607" w:rsidRPr="00722138">
        <w:t xml:space="preserve">o </w:t>
      </w:r>
      <w:r w:rsidR="004F6F4F">
        <w:t xml:space="preserve">de </w:t>
      </w:r>
      <w:r w:rsidR="00EB0607" w:rsidRPr="00722138">
        <w:t>2023</w:t>
      </w:r>
      <w:r w:rsidR="00404C08" w:rsidRPr="00722138">
        <w:t xml:space="preserve"> las autoridades hicieron</w:t>
      </w:r>
      <w:r w:rsidR="00CF11CF" w:rsidRPr="00722138">
        <w:t xml:space="preserve"> pública la inhabilitación de María Corina Machado,</w:t>
      </w:r>
      <w:r w:rsidR="00972FBD" w:rsidRPr="00722138">
        <w:rPr>
          <w:rStyle w:val="FootnoteReference"/>
        </w:rPr>
        <w:footnoteReference w:id="83"/>
      </w:r>
      <w:r w:rsidR="00CF11CF" w:rsidRPr="00722138">
        <w:t xml:space="preserve"> quien</w:t>
      </w:r>
      <w:r w:rsidR="00EB0607" w:rsidRPr="00722138">
        <w:t xml:space="preserve"> </w:t>
      </w:r>
      <w:r w:rsidR="0013420B" w:rsidRPr="00722138">
        <w:t xml:space="preserve">ha hecho público su interés de participar en las elecciones presidenciales de 2024. </w:t>
      </w:r>
      <w:r w:rsidR="00FE5789" w:rsidRPr="00722138">
        <w:t xml:space="preserve"> </w:t>
      </w:r>
    </w:p>
    <w:p w14:paraId="5077795E" w14:textId="77777777" w:rsidR="000C1324" w:rsidRPr="00722138" w:rsidRDefault="000C1324" w:rsidP="009207B5"/>
    <w:p w14:paraId="4A293520" w14:textId="61D7D350" w:rsidR="000C1324" w:rsidRPr="00722138" w:rsidRDefault="000C1324" w:rsidP="009207B5">
      <w:r w:rsidRPr="00722138">
        <w:rPr>
          <w:color w:val="auto"/>
          <w:sz w:val="21"/>
          <w:szCs w:val="21"/>
        </w:rPr>
        <w:t>En este sentido, la Misión de Observación Electoral de la Unión Europea ha recomendado</w:t>
      </w:r>
      <w:r w:rsidR="00A133D6" w:rsidRPr="00722138">
        <w:rPr>
          <w:color w:val="auto"/>
          <w:sz w:val="21"/>
          <w:szCs w:val="21"/>
        </w:rPr>
        <w:t xml:space="preserve"> “</w:t>
      </w:r>
      <w:r w:rsidRPr="00722138">
        <w:rPr>
          <w:color w:val="auto"/>
          <w:sz w:val="21"/>
          <w:szCs w:val="21"/>
        </w:rPr>
        <w:t>[s]</w:t>
      </w:r>
      <w:proofErr w:type="spellStart"/>
      <w:r w:rsidRPr="00722138">
        <w:t>uprimir</w:t>
      </w:r>
      <w:proofErr w:type="spellEnd"/>
      <w:r w:rsidRPr="00722138">
        <w:t xml:space="preserve"> la prerrogativa de la Contraloría General de despojar a ciudadanos de su derecho fundamental a presentarse a las elecciones mediante un procedimiento administrativo y sin notificación oportuna, lo que repercute negativamente en el derecho a la defensa”</w:t>
      </w:r>
      <w:r w:rsidR="00A133D6" w:rsidRPr="00722138">
        <w:t>.</w:t>
      </w:r>
      <w:r w:rsidR="00DE3B9D">
        <w:rPr>
          <w:rStyle w:val="FootnoteReference"/>
        </w:rPr>
        <w:footnoteReference w:id="84"/>
      </w:r>
    </w:p>
    <w:p w14:paraId="3E72B3DC" w14:textId="77777777" w:rsidR="005E5197" w:rsidRPr="00722138" w:rsidRDefault="005E5197" w:rsidP="009207B5">
      <w:pPr>
        <w:rPr>
          <w:color w:val="auto"/>
          <w:sz w:val="21"/>
          <w:szCs w:val="21"/>
        </w:rPr>
      </w:pPr>
    </w:p>
    <w:p w14:paraId="24E504F5" w14:textId="25A1351A" w:rsidR="00E01250" w:rsidRPr="00722138" w:rsidRDefault="00A133D6" w:rsidP="009207B5">
      <w:pPr>
        <w:rPr>
          <w:color w:val="auto"/>
          <w:sz w:val="21"/>
          <w:szCs w:val="21"/>
        </w:rPr>
      </w:pPr>
      <w:r w:rsidRPr="00722138">
        <w:rPr>
          <w:color w:val="auto"/>
          <w:sz w:val="21"/>
          <w:szCs w:val="21"/>
        </w:rPr>
        <w:t>Amnistia Internacional ve con</w:t>
      </w:r>
      <w:r w:rsidR="001D6041" w:rsidRPr="00722138">
        <w:rPr>
          <w:color w:val="auto"/>
          <w:sz w:val="21"/>
          <w:szCs w:val="21"/>
        </w:rPr>
        <w:t xml:space="preserve"> preocupación </w:t>
      </w:r>
      <w:r w:rsidR="005E17D1" w:rsidRPr="00722138">
        <w:rPr>
          <w:color w:val="auto"/>
          <w:sz w:val="21"/>
          <w:szCs w:val="21"/>
        </w:rPr>
        <w:t xml:space="preserve">la forma en que las autoridades venezolanas han utilizado los mecanismos de inhabilitación administrativa de forma discriminatoria en contra de quienes son percibidos como opositores políticos. </w:t>
      </w:r>
      <w:r w:rsidR="0054304E" w:rsidRPr="00722138">
        <w:rPr>
          <w:color w:val="auto"/>
          <w:sz w:val="21"/>
          <w:szCs w:val="21"/>
        </w:rPr>
        <w:t xml:space="preserve">La organización considera que la descalificación de candidaturas de la oposición </w:t>
      </w:r>
      <w:r w:rsidR="002A4D7B" w:rsidRPr="00722138">
        <w:rPr>
          <w:color w:val="auto"/>
          <w:sz w:val="21"/>
          <w:szCs w:val="21"/>
        </w:rPr>
        <w:t>socava el derecho a la participación en asuntos públicos y repercute directamente en los derechos a la libertad de expresión y asociación.</w:t>
      </w:r>
      <w:r w:rsidR="001D6041" w:rsidRPr="00722138">
        <w:rPr>
          <w:color w:val="auto"/>
          <w:sz w:val="21"/>
          <w:szCs w:val="21"/>
        </w:rPr>
        <w:t xml:space="preserve"> </w:t>
      </w:r>
    </w:p>
    <w:p w14:paraId="4F5E3FB8" w14:textId="77777777" w:rsidR="00DB67FF" w:rsidRPr="00722138" w:rsidRDefault="00DB67FF" w:rsidP="009207B5">
      <w:pPr>
        <w:rPr>
          <w:bCs/>
          <w:color w:val="auto"/>
          <w:sz w:val="21"/>
          <w:szCs w:val="24"/>
        </w:rPr>
      </w:pPr>
    </w:p>
    <w:p w14:paraId="4CD2DCB9" w14:textId="33B558DB" w:rsidR="00DB67FF" w:rsidRPr="00373B9C" w:rsidRDefault="00DB67FF" w:rsidP="009207B5">
      <w:pPr>
        <w:rPr>
          <w:bCs/>
          <w:color w:val="auto"/>
          <w:sz w:val="21"/>
          <w:szCs w:val="24"/>
        </w:rPr>
      </w:pPr>
      <w:r w:rsidRPr="00373B9C">
        <w:rPr>
          <w:bCs/>
          <w:color w:val="auto"/>
          <w:sz w:val="21"/>
          <w:szCs w:val="24"/>
        </w:rPr>
        <w:t>Amnistía Internacional recomienda al Estado venezolano que:</w:t>
      </w:r>
    </w:p>
    <w:p w14:paraId="0EBCCF25" w14:textId="6A7F10F8" w:rsidR="00DB67FF" w:rsidRPr="00DE3B9D" w:rsidRDefault="007C6703" w:rsidP="00634195">
      <w:pPr>
        <w:pStyle w:val="BBodyText"/>
        <w:numPr>
          <w:ilvl w:val="0"/>
          <w:numId w:val="26"/>
        </w:numPr>
      </w:pPr>
      <w:r w:rsidRPr="00DE3B9D">
        <w:t xml:space="preserve">Remueva todos los obstáculos legales y de hecho para </w:t>
      </w:r>
      <w:r w:rsidR="002A4D7B" w:rsidRPr="00DE3B9D">
        <w:t xml:space="preserve">garantizar </w:t>
      </w:r>
      <w:r w:rsidRPr="00DE3B9D">
        <w:t>la</w:t>
      </w:r>
      <w:r w:rsidR="002A4D7B" w:rsidRPr="00DE3B9D">
        <w:t xml:space="preserve"> efectiva</w:t>
      </w:r>
      <w:r w:rsidRPr="00DE3B9D">
        <w:t xml:space="preserve"> participación política</w:t>
      </w:r>
      <w:r w:rsidR="002A4D7B" w:rsidRPr="00DE3B9D">
        <w:t xml:space="preserve"> de todas las personas sin discriminación, incluyendo por opinión política</w:t>
      </w:r>
      <w:r w:rsidRPr="00DE3B9D">
        <w:t xml:space="preserve">. </w:t>
      </w:r>
    </w:p>
    <w:p w14:paraId="7761C2C6" w14:textId="2AC3CB57" w:rsidR="0045659A" w:rsidRPr="00DE3B9D" w:rsidRDefault="00E5370B" w:rsidP="00634195">
      <w:pPr>
        <w:pStyle w:val="BBodyText"/>
        <w:numPr>
          <w:ilvl w:val="0"/>
          <w:numId w:val="26"/>
        </w:numPr>
      </w:pPr>
      <w:r w:rsidRPr="00DE3B9D">
        <w:t>Abstenerse</w:t>
      </w:r>
      <w:r w:rsidR="0045659A" w:rsidRPr="00DE3B9D">
        <w:t xml:space="preserve"> del uso </w:t>
      </w:r>
      <w:r w:rsidRPr="00DE3B9D">
        <w:t>de</w:t>
      </w:r>
      <w:r w:rsidR="0045659A" w:rsidRPr="00DE3B9D">
        <w:t xml:space="preserve"> </w:t>
      </w:r>
      <w:r w:rsidRPr="00DE3B9D">
        <w:t>inhabilitaciones</w:t>
      </w:r>
      <w:r w:rsidR="0045659A" w:rsidRPr="00DE3B9D">
        <w:t xml:space="preserve"> administrativas </w:t>
      </w:r>
      <w:r w:rsidR="002A4D7B" w:rsidRPr="00DE3B9D">
        <w:t xml:space="preserve">de forma discriminatoria </w:t>
      </w:r>
      <w:r w:rsidR="0045659A" w:rsidRPr="00DE3B9D">
        <w:t xml:space="preserve">en contra de </w:t>
      </w:r>
      <w:r w:rsidRPr="00DE3B9D">
        <w:t xml:space="preserve">personas candidatas a </w:t>
      </w:r>
      <w:r w:rsidR="002A4D7B" w:rsidRPr="00DE3B9D">
        <w:t>cargos de elección</w:t>
      </w:r>
      <w:r w:rsidRPr="00DE3B9D">
        <w:t xml:space="preserve"> </w:t>
      </w:r>
      <w:r w:rsidR="002A4D7B" w:rsidRPr="00DE3B9D">
        <w:t>popular</w:t>
      </w:r>
      <w:r w:rsidRPr="00DE3B9D">
        <w:t>.</w:t>
      </w:r>
    </w:p>
    <w:p w14:paraId="211A0B15" w14:textId="67AB269D" w:rsidR="007C6703" w:rsidRPr="00373B9C" w:rsidRDefault="0037423C" w:rsidP="00634195">
      <w:pPr>
        <w:pStyle w:val="BBodyText"/>
        <w:numPr>
          <w:ilvl w:val="0"/>
          <w:numId w:val="26"/>
        </w:numPr>
      </w:pPr>
      <w:r w:rsidRPr="00373B9C">
        <w:t>Poner fin al</w:t>
      </w:r>
      <w:r w:rsidR="007C6703" w:rsidRPr="00373B9C">
        <w:t xml:space="preserve"> uso de mecanismos de persecución y/o criminalización en contra de personas </w:t>
      </w:r>
      <w:r w:rsidRPr="00373B9C">
        <w:t xml:space="preserve">percibidas como opositoras políticas </w:t>
      </w:r>
      <w:r w:rsidR="007C6703" w:rsidRPr="00373B9C">
        <w:t xml:space="preserve">que tengan como objetivo participar </w:t>
      </w:r>
      <w:r w:rsidRPr="00373B9C">
        <w:t>en los</w:t>
      </w:r>
      <w:r w:rsidR="007C6703" w:rsidRPr="00373B9C">
        <w:t xml:space="preserve"> asuntos públicos en el país. </w:t>
      </w:r>
    </w:p>
    <w:p w14:paraId="34958EE6" w14:textId="7806EFE1" w:rsidR="00DB67FF" w:rsidRPr="002F5E8A" w:rsidRDefault="00DB67FF" w:rsidP="005C5263">
      <w:pPr>
        <w:pStyle w:val="BBodyText"/>
        <w:rPr>
          <w:b/>
          <w:caps/>
        </w:rPr>
        <w:sectPr w:rsidR="00DB67FF" w:rsidRPr="002F5E8A">
          <w:footerReference w:type="first" r:id="rId14"/>
          <w:pgSz w:w="11906" w:h="16838" w:code="9"/>
          <w:pgMar w:top="1474" w:right="1418" w:bottom="1418" w:left="1418" w:header="709" w:footer="709" w:gutter="0"/>
          <w:cols w:space="708"/>
          <w:titlePg/>
          <w:docGrid w:linePitch="360"/>
        </w:sectPr>
      </w:pPr>
    </w:p>
    <w:p w14:paraId="6897E84A" w14:textId="77777777" w:rsidR="00EE3C56" w:rsidRPr="00A7673B" w:rsidRDefault="003C4C4B" w:rsidP="00AC7EE9">
      <w:pPr>
        <w:pStyle w:val="BBodyText"/>
      </w:pPr>
      <w:r w:rsidRPr="00A7673B">
        <w:rPr>
          <w:noProof/>
        </w:rPr>
        <mc:AlternateContent>
          <mc:Choice Requires="wps">
            <w:drawing>
              <wp:anchor distT="0" distB="0" distL="114300" distR="114300" simplePos="0" relativeHeight="251658242" behindDoc="0" locked="0" layoutInCell="1" allowOverlap="1" wp14:anchorId="69EEEB77" wp14:editId="0DCC1A49">
                <wp:simplePos x="0" y="0"/>
                <wp:positionH relativeFrom="column">
                  <wp:posOffset>-253365</wp:posOffset>
                </wp:positionH>
                <wp:positionV relativeFrom="paragraph">
                  <wp:posOffset>238125</wp:posOffset>
                </wp:positionV>
                <wp:extent cx="6726555" cy="4933950"/>
                <wp:effectExtent l="0" t="2540" r="0" b="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6555" cy="4933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8A6BD05" w14:textId="77777777" w:rsidR="008D2844" w:rsidRDefault="00BE16B2" w:rsidP="008D2844">
                            <w:pPr>
                              <w:pStyle w:val="BMissionStatement"/>
                              <w:rPr>
                                <w:rStyle w:val="BHighlightedtext"/>
                                <w:rFonts w:cs="Arial"/>
                              </w:rPr>
                            </w:pPr>
                            <w:r>
                              <w:rPr>
                                <w:rStyle w:val="BHighlightedtext"/>
                              </w:rPr>
                              <w:t> Amnistía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y la compasión hacia nuestros semejantes en todo el mundo puede hacer mejorar nuestras sociedades. </w:t>
                            </w:r>
                          </w:p>
                          <w:p w14:paraId="0FAE5A09"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EEEB77" id="Text Box 23" o:spid="_x0000_s1027" type="#_x0000_t202" style="position:absolute;margin-left:-19.95pt;margin-top:18.75pt;width:529.65pt;height:38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" filled="f" stroked="f" strokeweight=".5pt">
                <v:textbox>
                  <w:txbxContent>
                    <w:p w14:paraId="58A6BD05" w14:textId="77777777" w:rsidR="008D2844" w:rsidRDefault="00BE16B2" w:rsidP="008D2844">
                      <w:pPr>
                        <w:pStyle w:val="BMissionStatement"/>
                        <w:rPr>
                          <w:rStyle w:val="BHighlightedtext"/>
                          <w:rFonts w:cs="Arial"/>
                        </w:rPr>
                      </w:pPr>
                      <w:r>
                        <w:rPr>
                          <w:rStyle w:val="BHighlightedtext"/>
                        </w:rPr>
                        <w:t> Amnistía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y la compasión hacia nuestros semejantes en todo el mundo puede hacer mejorar nuestras sociedades. </w:t>
                      </w:r>
                    </w:p>
                    <w:p w14:paraId="0FAE5A09"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r w:rsidRPr="00A7673B">
        <w:rPr>
          <w:noProof/>
        </w:rPr>
        <mc:AlternateContent>
          <mc:Choice Requires="wps">
            <w:drawing>
              <wp:anchor distT="0" distB="0" distL="114300" distR="114300" simplePos="0" relativeHeight="251658241" behindDoc="0" locked="0" layoutInCell="1" allowOverlap="1" wp14:anchorId="6A192521" wp14:editId="61B24F2F">
                <wp:simplePos x="0" y="0"/>
                <wp:positionH relativeFrom="column">
                  <wp:posOffset>-112395</wp:posOffset>
                </wp:positionH>
                <wp:positionV relativeFrom="page">
                  <wp:posOffset>6407150</wp:posOffset>
                </wp:positionV>
                <wp:extent cx="3299460" cy="2088515"/>
                <wp:effectExtent l="0" t="0" r="0" b="635"/>
                <wp:wrapThrough wrapText="bothSides">
                  <wp:wrapPolygon edited="0">
                    <wp:start x="-62" y="0"/>
                    <wp:lineTo x="-62" y="21501"/>
                    <wp:lineTo x="21600" y="21501"/>
                    <wp:lineTo x="21600" y="0"/>
                    <wp:lineTo x="-62" y="0"/>
                  </wp:wrapPolygon>
                </wp:wrapThrough>
                <wp:docPr id="22" name="Text Box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299460" cy="2088515"/>
                        </a:xfrm>
                        <a:prstGeom prst="rect">
                          <a:avLst/>
                        </a:prstGeom>
                        <a:solidFill>
                          <a:srgbClr val="F2F2F2"/>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605F8AB" w14:textId="77777777" w:rsidR="00116223" w:rsidRPr="00D4065A" w:rsidRDefault="00116223" w:rsidP="0081658E">
                            <w:pPr>
                              <w:pStyle w:val="BBodyText"/>
                              <w:rPr>
                                <w:rFonts w:ascii="Amnesty Trade Gothic Cn" w:hAnsi="Amnesty Trade Gothic Cn"/>
                                <w:b/>
                                <w:bCs w:val="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192521" id="Text Box 22" o:spid="_x0000_s1028" type="#_x0000_t202" style="position:absolute;margin-left:-8.85pt;margin-top:504.5pt;width:259.8pt;height:164.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" fillcolor="#f2f2f2" stroked="f" strokeweight=".5pt">
                <o:lock v:ext="edit" aspectratio="t"/>
                <v:textbox>
                  <w:txbxContent>
                    <w:p w14:paraId="3605F8AB"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r w:rsidRPr="00A7673B">
        <w:rPr>
          <w:noProof/>
        </w:rPr>
        <mc:AlternateContent>
          <mc:Choice Requires="wps">
            <w:drawing>
              <wp:anchor distT="0" distB="0" distL="114300" distR="114300" simplePos="0" relativeHeight="251658246" behindDoc="0" locked="0" layoutInCell="1" allowOverlap="1" wp14:anchorId="1094A301" wp14:editId="313E2A8A">
                <wp:simplePos x="0" y="0"/>
                <wp:positionH relativeFrom="column">
                  <wp:posOffset>-164465</wp:posOffset>
                </wp:positionH>
                <wp:positionV relativeFrom="paragraph">
                  <wp:posOffset>5713730</wp:posOffset>
                </wp:positionV>
                <wp:extent cx="1698625" cy="1807845"/>
                <wp:effectExtent l="2540" t="1270" r="3810" b="63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8625" cy="1807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770CCFC" w14:textId="77777777" w:rsidR="004E5E19" w:rsidRPr="00D4065A" w:rsidRDefault="00BE16B2" w:rsidP="004E5E19">
                            <w:pPr>
                              <w:pStyle w:val="NormalIndent"/>
                              <w:spacing w:after="120"/>
                              <w:ind w:left="0"/>
                              <w:jc w:val="center"/>
                              <w:rPr>
                                <w:rFonts w:ascii="Amnesty Trade Gothic Cn" w:hAnsi="Amnesty Trade Gothic Cn"/>
                                <w:b/>
                                <w:bCs/>
                                <w:color w:val="auto"/>
                              </w:rPr>
                            </w:pPr>
                            <w:r w:rsidRPr="00BE16B2">
                              <w:rPr>
                                <w:rFonts w:ascii="Amnesty Trade Gothic Cn" w:hAnsi="Amnesty Trade Gothic Cn"/>
                                <w:b/>
                                <w:noProof/>
                                <w:sz w:val="30"/>
                                <w:szCs w:val="30"/>
                              </w:rPr>
                              <w:drawing>
                                <wp:inline distT="0" distB="0" distL="0" distR="0" wp14:anchorId="72D1FE9B" wp14:editId="7D217A23">
                                  <wp:extent cx="361950" cy="228600"/>
                                  <wp:effectExtent l="0" t="0" r="0" b="0"/>
                                  <wp:docPr id="5" name="Picture 5"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con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1950" cy="228600"/>
                                          </a:xfrm>
                                          <a:prstGeom prst="rect">
                                            <a:avLst/>
                                          </a:prstGeom>
                                          <a:noFill/>
                                          <a:ln>
                                            <a:noFill/>
                                          </a:ln>
                                        </pic:spPr>
                                      </pic:pic>
                                    </a:graphicData>
                                  </a:graphic>
                                </wp:inline>
                              </w:drawing>
                            </w:r>
                            <w:r>
                              <w:rPr>
                                <w:rFonts w:ascii="Amnesty Trade Gothic Cn" w:hAnsi="Amnesty Trade Gothic Cn"/>
                                <w:b/>
                                <w:bCs/>
                                <w:sz w:val="30"/>
                                <w:szCs w:val="30"/>
                              </w:rPr>
                              <w:br/>
                            </w:r>
                            <w:hyperlink r:id="rId16" w:history="1">
                              <w:r>
                                <w:rPr>
                                  <w:rStyle w:val="Hyperlink"/>
                                  <w:rFonts w:ascii="Amnesty Trade Gothic Cn" w:hAnsi="Amnesty Trade Gothic Cn"/>
                                  <w:b/>
                                  <w:bCs/>
                                  <w:color w:val="auto"/>
                                  <w:szCs w:val="21"/>
                                </w:rPr>
                                <w:t>info@amnesty.org</w:t>
                              </w:r>
                            </w:hyperlink>
                          </w:p>
                          <w:p w14:paraId="0D749559" w14:textId="77777777" w:rsidR="004E5E19" w:rsidRPr="00D4065A" w:rsidRDefault="00061C37" w:rsidP="004E5E19">
                            <w:pPr>
                              <w:pStyle w:val="BBodyText"/>
                              <w:jc w:val="center"/>
                              <w:rPr>
                                <w:rStyle w:val="Hyperlink"/>
                                <w:rFonts w:ascii="Amnesty Trade Gothic Cn" w:hAnsi="Amnesty Trade Gothic Cn" w:cs="Arial"/>
                                <w:color w:val="auto"/>
                              </w:rPr>
                            </w:pPr>
                            <w:hyperlink r:id="rId17" w:history="1">
                              <w:r w:rsidR="00BE16B2" w:rsidRPr="00BE16B2">
                                <w:rPr>
                                  <w:rFonts w:ascii="Amnesty Trade Gothic Cn" w:hAnsi="Amnesty Trade Gothic Cn"/>
                                  <w:noProof/>
                                  <w:vertAlign w:val="subscript"/>
                                </w:rPr>
                                <w:drawing>
                                  <wp:inline distT="0" distB="0" distL="0" distR="0" wp14:anchorId="08579E68" wp14:editId="2464C1D7">
                                    <wp:extent cx="247650" cy="247650"/>
                                    <wp:effectExtent l="0" t="0" r="0" b="0"/>
                                    <wp:docPr id="6" name="Picture 6"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n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BE16B2">
                                <w:rPr>
                                  <w:rFonts w:ascii="Amnesty Trade Gothic Cn" w:hAnsi="Amnesty Trade Gothic Cn"/>
                                </w:rPr>
                                <w:br/>
                              </w:r>
                              <w:r w:rsidR="00BE16B2">
                                <w:rPr>
                                  <w:rStyle w:val="Hyperlink"/>
                                  <w:rFonts w:ascii="Amnesty Trade Gothic Cn" w:hAnsi="Amnesty Trade Gothic Cn"/>
                                  <w:color w:val="auto"/>
                                </w:rPr>
                                <w:t>facebook.com/</w:t>
                              </w:r>
                              <w:r w:rsidR="00BE16B2">
                                <w:rPr>
                                  <w:rStyle w:val="Hyperlink"/>
                                  <w:rFonts w:ascii="Amnesty Trade Gothic Cn" w:hAnsi="Amnesty Trade Gothic Cn"/>
                                  <w:color w:val="auto"/>
                                </w:rPr>
                                <w:br/>
                              </w:r>
                              <w:proofErr w:type="spellStart"/>
                              <w:r w:rsidR="00BE16B2">
                                <w:rPr>
                                  <w:rStyle w:val="Hyperlink"/>
                                  <w:rFonts w:ascii="Amnesty Trade Gothic Cn" w:hAnsi="Amnesty Trade Gothic Cn"/>
                                  <w:b/>
                                  <w:bCs w:val="0"/>
                                  <w:color w:val="auto"/>
                                </w:rPr>
                                <w:t>AmnistiaAmericas</w:t>
                              </w:r>
                              <w:proofErr w:type="spellEnd"/>
                            </w:hyperlink>
                          </w:p>
                          <w:p w14:paraId="4C923AD8" w14:textId="77777777" w:rsidR="004E5E19" w:rsidRPr="00B772D5" w:rsidRDefault="00BE16B2" w:rsidP="004E5E19">
                            <w:pPr>
                              <w:pStyle w:val="BBodyText"/>
                              <w:spacing w:after="0"/>
                              <w:jc w:val="center"/>
                              <w:rPr>
                                <w:rStyle w:val="Hyperlink"/>
                                <w:rFonts w:cs="Arial"/>
                                <w:color w:val="auto"/>
                              </w:rPr>
                            </w:pPr>
                            <w:r w:rsidRPr="00B47C79">
                              <w:rPr>
                                <w:noProof/>
                              </w:rPr>
                              <w:drawing>
                                <wp:inline distT="0" distB="0" distL="0" distR="0" wp14:anchorId="486D2893" wp14:editId="1EBA7695">
                                  <wp:extent cx="295275" cy="304800"/>
                                  <wp:effectExtent l="0" t="0" r="0" b="0"/>
                                  <wp:docPr id="7" name="Picture 7" descr="A picture containing shap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picture containing shape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5275" cy="304800"/>
                                          </a:xfrm>
                                          <a:prstGeom prst="rect">
                                            <a:avLst/>
                                          </a:prstGeom>
                                          <a:noFill/>
                                          <a:ln>
                                            <a:noFill/>
                                          </a:ln>
                                        </pic:spPr>
                                      </pic:pic>
                                    </a:graphicData>
                                  </a:graphic>
                                </wp:inline>
                              </w:drawing>
                            </w:r>
                          </w:p>
                          <w:p w14:paraId="20E83D33" w14:textId="77777777" w:rsidR="004E5E19" w:rsidRPr="00D4065A" w:rsidRDefault="00BE16B2" w:rsidP="004E5E19">
                            <w:pPr>
                              <w:pStyle w:val="BBodyText"/>
                              <w:jc w:val="center"/>
                              <w:rPr>
                                <w:rFonts w:ascii="Amnesty Trade Gothic Cn" w:hAnsi="Amnesty Trade Gothic Cn"/>
                                <w:b/>
                                <w:bCs w:val="0"/>
                              </w:rPr>
                            </w:pPr>
                            <w:r>
                              <w:rPr>
                                <w:rFonts w:ascii="Amnesty Trade Gothic Cn" w:hAnsi="Amnesty Trade Gothic Cn"/>
                                <w:b/>
                                <w:bCs w:val="0"/>
                              </w:rPr>
                              <w:t>@AmnistiaOnline</w:t>
                            </w:r>
                          </w:p>
                          <w:p w14:paraId="08808102" w14:textId="77777777" w:rsidR="004E5E19" w:rsidRDefault="004E5E19" w:rsidP="004E5E1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094A301" id="Text Box 21" o:spid="_x0000_s1029" type="#_x0000_t202" style="position:absolute;margin-left:-12.95pt;margin-top:449.9pt;width:133.75pt;height:142.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" filled="f" stroked="f" strokeweight=".5pt">
                <v:textbox>
                  <w:txbxContent>
                    <w:p w14:paraId="0770CCFC" w14:textId="77777777" w:rsidR="004E5E19" w:rsidRPr="00D4065A" w:rsidRDefault="00BE16B2" w:rsidP="004E5E19">
                      <w:pPr>
                        <w:pStyle w:val="NormalIndent"/>
                        <w:spacing w:after="120"/>
                        <w:ind w:left="0"/>
                        <w:jc w:val="center"/>
                        <w:rPr>
                          <w:rFonts w:ascii="Amnesty Trade Gothic Cn" w:hAnsi="Amnesty Trade Gothic Cn"/>
                          <w:b/>
                          <w:bCs/>
                          <w:color w:val="auto"/>
                        </w:rPr>
                      </w:pPr>
                      <w:r w:rsidRPr="00BE16B2">
                        <w:rPr>
                          <w:rFonts w:ascii="Amnesty Trade Gothic Cn" w:hAnsi="Amnesty Trade Gothic Cn"/>
                          <w:b/>
                          <w:noProof/>
                          <w:sz w:val="30"/>
                          <w:szCs w:val="30"/>
                        </w:rPr>
                        <w:drawing>
                          <wp:inline distT="0" distB="0" distL="0" distR="0" wp14:anchorId="72D1FE9B" wp14:editId="7D217A23">
                            <wp:extent cx="361950" cy="228600"/>
                            <wp:effectExtent l="0" t="0" r="0" b="0"/>
                            <wp:docPr id="5" name="Picture 5"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con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1950" cy="228600"/>
                                    </a:xfrm>
                                    <a:prstGeom prst="rect">
                                      <a:avLst/>
                                    </a:prstGeom>
                                    <a:noFill/>
                                    <a:ln>
                                      <a:noFill/>
                                    </a:ln>
                                  </pic:spPr>
                                </pic:pic>
                              </a:graphicData>
                            </a:graphic>
                          </wp:inline>
                        </w:drawing>
                      </w:r>
                      <w:r>
                        <w:rPr>
                          <w:rFonts w:ascii="Amnesty Trade Gothic Cn" w:hAnsi="Amnesty Trade Gothic Cn"/>
                          <w:b/>
                          <w:bCs/>
                          <w:sz w:val="30"/>
                          <w:szCs w:val="30"/>
                        </w:rPr>
                        <w:br/>
                      </w:r>
                      <w:hyperlink r:id="rId20" w:history="1">
                        <w:r>
                          <w:rPr>
                            <w:rStyle w:val="Hyperlink"/>
                            <w:rFonts w:ascii="Amnesty Trade Gothic Cn" w:hAnsi="Amnesty Trade Gothic Cn"/>
                            <w:b/>
                            <w:bCs/>
                            <w:color w:val="auto"/>
                            <w:szCs w:val="21"/>
                          </w:rPr>
                          <w:t>info@amnesty.org</w:t>
                        </w:r>
                      </w:hyperlink>
                    </w:p>
                    <w:p w14:paraId="0D749559" w14:textId="77777777" w:rsidR="004E5E19" w:rsidRPr="00D4065A" w:rsidRDefault="00061C37" w:rsidP="004E5E19">
                      <w:pPr>
                        <w:pStyle w:val="BBodyText"/>
                        <w:jc w:val="center"/>
                        <w:rPr>
                          <w:rStyle w:val="Hyperlink"/>
                          <w:rFonts w:ascii="Amnesty Trade Gothic Cn" w:hAnsi="Amnesty Trade Gothic Cn" w:cs="Arial"/>
                          <w:color w:val="auto"/>
                        </w:rPr>
                      </w:pPr>
                      <w:hyperlink r:id="rId21" w:history="1">
                        <w:r w:rsidR="00BE16B2" w:rsidRPr="00BE16B2">
                          <w:rPr>
                            <w:rFonts w:ascii="Amnesty Trade Gothic Cn" w:hAnsi="Amnesty Trade Gothic Cn"/>
                            <w:noProof/>
                            <w:vertAlign w:val="subscript"/>
                          </w:rPr>
                          <w:drawing>
                            <wp:inline distT="0" distB="0" distL="0" distR="0" wp14:anchorId="08579E68" wp14:editId="2464C1D7">
                              <wp:extent cx="247650" cy="247650"/>
                              <wp:effectExtent l="0" t="0" r="0" b="0"/>
                              <wp:docPr id="6" name="Picture 6"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n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BE16B2">
                          <w:rPr>
                            <w:rFonts w:ascii="Amnesty Trade Gothic Cn" w:hAnsi="Amnesty Trade Gothic Cn"/>
                          </w:rPr>
                          <w:br/>
                        </w:r>
                        <w:r w:rsidR="00BE16B2">
                          <w:rPr>
                            <w:rStyle w:val="Hyperlink"/>
                            <w:rFonts w:ascii="Amnesty Trade Gothic Cn" w:hAnsi="Amnesty Trade Gothic Cn"/>
                            <w:color w:val="auto"/>
                          </w:rPr>
                          <w:t>facebook.com/</w:t>
                        </w:r>
                        <w:r w:rsidR="00BE16B2">
                          <w:rPr>
                            <w:rStyle w:val="Hyperlink"/>
                            <w:rFonts w:ascii="Amnesty Trade Gothic Cn" w:hAnsi="Amnesty Trade Gothic Cn"/>
                            <w:color w:val="auto"/>
                          </w:rPr>
                          <w:br/>
                        </w:r>
                        <w:proofErr w:type="spellStart"/>
                        <w:r w:rsidR="00BE16B2">
                          <w:rPr>
                            <w:rStyle w:val="Hyperlink"/>
                            <w:rFonts w:ascii="Amnesty Trade Gothic Cn" w:hAnsi="Amnesty Trade Gothic Cn"/>
                            <w:b/>
                            <w:bCs w:val="0"/>
                            <w:color w:val="auto"/>
                          </w:rPr>
                          <w:t>AmnistiaAmericas</w:t>
                        </w:r>
                        <w:proofErr w:type="spellEnd"/>
                      </w:hyperlink>
                    </w:p>
                    <w:p w14:paraId="4C923AD8" w14:textId="77777777" w:rsidR="004E5E19" w:rsidRPr="00B772D5" w:rsidRDefault="00BE16B2" w:rsidP="004E5E19">
                      <w:pPr>
                        <w:pStyle w:val="BBodyText"/>
                        <w:spacing w:after="0"/>
                        <w:jc w:val="center"/>
                        <w:rPr>
                          <w:rStyle w:val="Hyperlink"/>
                          <w:rFonts w:cs="Arial"/>
                          <w:color w:val="auto"/>
                        </w:rPr>
                      </w:pPr>
                      <w:r w:rsidRPr="00B47C79">
                        <w:rPr>
                          <w:noProof/>
                        </w:rPr>
                        <w:drawing>
                          <wp:inline distT="0" distB="0" distL="0" distR="0" wp14:anchorId="486D2893" wp14:editId="1EBA7695">
                            <wp:extent cx="295275" cy="304800"/>
                            <wp:effectExtent l="0" t="0" r="0" b="0"/>
                            <wp:docPr id="7" name="Picture 7" descr="A picture containing shap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picture containing shape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5275" cy="304800"/>
                                    </a:xfrm>
                                    <a:prstGeom prst="rect">
                                      <a:avLst/>
                                    </a:prstGeom>
                                    <a:noFill/>
                                    <a:ln>
                                      <a:noFill/>
                                    </a:ln>
                                  </pic:spPr>
                                </pic:pic>
                              </a:graphicData>
                            </a:graphic>
                          </wp:inline>
                        </w:drawing>
                      </w:r>
                    </w:p>
                    <w:p w14:paraId="20E83D33" w14:textId="77777777" w:rsidR="004E5E19" w:rsidRPr="00D4065A" w:rsidRDefault="00BE16B2" w:rsidP="004E5E19">
                      <w:pPr>
                        <w:pStyle w:val="BBodyText"/>
                        <w:jc w:val="center"/>
                        <w:rPr>
                          <w:rFonts w:ascii="Amnesty Trade Gothic Cn" w:hAnsi="Amnesty Trade Gothic Cn"/>
                          <w:b/>
                          <w:bCs w:val="0"/>
                        </w:rPr>
                      </w:pPr>
                      <w:r>
                        <w:rPr>
                          <w:rFonts w:ascii="Amnesty Trade Gothic Cn" w:hAnsi="Amnesty Trade Gothic Cn"/>
                          <w:b/>
                          <w:bCs w:val="0"/>
                        </w:rPr>
                        <w:t>@AmnistiaOnline</w:t>
                      </w:r>
                    </w:p>
                    <w:p w14:paraId="08808102" w14:textId="77777777" w:rsidR="004E5E19" w:rsidRDefault="004E5E19" w:rsidP="004E5E19">
                      <w:pPr>
                        <w:jc w:val="center"/>
                      </w:pPr>
                    </w:p>
                  </w:txbxContent>
                </v:textbox>
              </v:shape>
            </w:pict>
          </mc:Fallback>
        </mc:AlternateContent>
      </w:r>
      <w:r w:rsidRPr="00A7673B">
        <w:rPr>
          <w:noProof/>
        </w:rPr>
        <mc:AlternateContent>
          <mc:Choice Requires="wps">
            <w:drawing>
              <wp:anchor distT="0" distB="0" distL="114300" distR="114300" simplePos="0" relativeHeight="251658243" behindDoc="0" locked="0" layoutInCell="1" allowOverlap="1" wp14:anchorId="38F2CD6B" wp14:editId="55BF612E">
                <wp:simplePos x="0" y="0"/>
                <wp:positionH relativeFrom="column">
                  <wp:posOffset>3924300</wp:posOffset>
                </wp:positionH>
                <wp:positionV relativeFrom="paragraph">
                  <wp:posOffset>5441950</wp:posOffset>
                </wp:positionV>
                <wp:extent cx="2247900" cy="2088515"/>
                <wp:effectExtent l="0" t="0" r="4445" b="1270"/>
                <wp:wrapNone/>
                <wp:docPr id="20" name="Text Box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247900" cy="2088515"/>
                        </a:xfrm>
                        <a:prstGeom prst="rect">
                          <a:avLst/>
                        </a:prstGeom>
                        <a:solidFill>
                          <a:srgbClr val="F2F2F2"/>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6B693A9" w14:textId="77777777" w:rsidR="008D2844" w:rsidRPr="000660E7" w:rsidRDefault="00BE16B2" w:rsidP="00C04CCB">
                            <w:pPr>
                              <w:pStyle w:val="BCopyrightsmallprint"/>
                            </w:pPr>
                            <w:r>
                              <w:t xml:space="preserve">Salvo cuando se indique lo contrario, el contenido de este documento está protegido por una licencia 4.0 de Creative </w:t>
                            </w:r>
                            <w:proofErr w:type="spellStart"/>
                            <w:r>
                              <w:t>Commons</w:t>
                            </w:r>
                            <w:proofErr w:type="spellEnd"/>
                            <w:r>
                              <w:t xml:space="preserve"> (atribución, no comercial, sin obra derivada, internacional) (véase https://creativecommons.org/licenses/by-nc-nd/4.0/legalcode.es)</w:t>
                            </w:r>
                          </w:p>
                          <w:p w14:paraId="454B889F" w14:textId="77777777" w:rsidR="008D2844" w:rsidRPr="000660E7" w:rsidRDefault="00BE16B2" w:rsidP="00C04CCB">
                            <w:pPr>
                              <w:pStyle w:val="BCopyrightsmallprint"/>
                            </w:pPr>
                            <w:r>
                              <w:t xml:space="preserve">El material atribuido a titulares de derechos de autor distintos de Amnistía Internacional no está protegido por la licencia Creative </w:t>
                            </w:r>
                            <w:proofErr w:type="spellStart"/>
                            <w:r>
                              <w:t>Commons</w:t>
                            </w:r>
                            <w:proofErr w:type="spellEnd"/>
                            <w:r>
                              <w:t>.</w:t>
                            </w:r>
                          </w:p>
                          <w:p w14:paraId="7DC50783" w14:textId="77777777" w:rsidR="008D2844" w:rsidRPr="0081658E" w:rsidRDefault="00BE16B2" w:rsidP="00C04CCB">
                            <w:pPr>
                              <w:pStyle w:val="BCopyrightsmallprint"/>
                            </w:pPr>
                            <w:r>
                              <w:t xml:space="preserve">Para más información, visiten la </w:t>
                            </w:r>
                            <w:hyperlink r:id="rId22" w:history="1">
                              <w:r>
                                <w:rPr>
                                  <w:rStyle w:val="Hyperlink"/>
                                  <w:sz w:val="16"/>
                                  <w:szCs w:val="16"/>
                                </w:rPr>
                                <w:t xml:space="preserve">página </w:t>
                              </w:r>
                              <w:r>
                                <w:rPr>
                                  <w:rStyle w:val="Hyperlink"/>
                                  <w:i/>
                                  <w:iCs/>
                                  <w:sz w:val="16"/>
                                  <w:szCs w:val="16"/>
                                </w:rPr>
                                <w:t>Permisos</w:t>
                              </w:r>
                            </w:hyperlink>
                            <w:r w:rsidR="00755492">
                              <w:t xml:space="preserve"> </w:t>
                            </w:r>
                            <w:r>
                              <w:t xml:space="preserve">del sitio web de Amnistía Internacional.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F2CD6B" id="Text Box 20" o:spid="_x0000_s1030" type="#_x0000_t202" style="position:absolute;margin-left:309pt;margin-top:428.5pt;width:177pt;height:164.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" fillcolor="#f2f2f2" stroked="f" strokeweight=".5pt">
                <o:lock v:ext="edit" aspectratio="t"/>
                <v:textbox>
                  <w:txbxContent>
                    <w:p w14:paraId="26B693A9" w14:textId="77777777" w:rsidR="008D2844" w:rsidRPr="000660E7" w:rsidRDefault="00BE16B2" w:rsidP="00C04CCB">
                      <w:pPr>
                        <w:pStyle w:val="BCopyrightsmallprint"/>
                      </w:pPr>
                      <w:r>
                        <w:t xml:space="preserve">Salvo cuando se indique lo contrario, el contenido de este documento está protegido por una licencia 4.0 de Creative </w:t>
                      </w:r>
                      <w:proofErr w:type="spellStart"/>
                      <w:r>
                        <w:t>Commons</w:t>
                      </w:r>
                      <w:proofErr w:type="spellEnd"/>
                      <w:r>
                        <w:t xml:space="preserve"> (atribución, no comercial, sin obra derivada, internacional) (véase https://creativecommons.org/licenses/by-nc-nd/4.0/legalcode.es)</w:t>
                      </w:r>
                    </w:p>
                    <w:p w14:paraId="454B889F" w14:textId="77777777" w:rsidR="008D2844" w:rsidRPr="000660E7" w:rsidRDefault="00BE16B2" w:rsidP="00C04CCB">
                      <w:pPr>
                        <w:pStyle w:val="BCopyrightsmallprint"/>
                      </w:pPr>
                      <w:r>
                        <w:t xml:space="preserve">El material atribuido a titulares de derechos de autor distintos de Amnistía Internacional no está protegido por la licencia Creative </w:t>
                      </w:r>
                      <w:proofErr w:type="spellStart"/>
                      <w:r>
                        <w:t>Commons</w:t>
                      </w:r>
                      <w:proofErr w:type="spellEnd"/>
                      <w:r>
                        <w:t>.</w:t>
                      </w:r>
                    </w:p>
                    <w:p w14:paraId="7DC50783" w14:textId="77777777" w:rsidR="008D2844" w:rsidRPr="0081658E" w:rsidRDefault="00BE16B2" w:rsidP="00C04CCB">
                      <w:pPr>
                        <w:pStyle w:val="BCopyrightsmallprint"/>
                      </w:pPr>
                      <w:r>
                        <w:t xml:space="preserve">Para más información, visiten la </w:t>
                      </w:r>
                      <w:hyperlink r:id="rId23" w:history="1">
                        <w:r>
                          <w:rPr>
                            <w:rStyle w:val="Hyperlink"/>
                            <w:sz w:val="16"/>
                            <w:szCs w:val="16"/>
                          </w:rPr>
                          <w:t xml:space="preserve">página </w:t>
                        </w:r>
                        <w:r>
                          <w:rPr>
                            <w:rStyle w:val="Hyperlink"/>
                            <w:i/>
                            <w:iCs/>
                            <w:sz w:val="16"/>
                            <w:szCs w:val="16"/>
                          </w:rPr>
                          <w:t>Permisos</w:t>
                        </w:r>
                      </w:hyperlink>
                      <w:r w:rsidR="00755492">
                        <w:t xml:space="preserve"> </w:t>
                      </w:r>
                      <w:r>
                        <w:t xml:space="preserve">del sitio web de Amnistía Internacional. </w:t>
                      </w:r>
                    </w:p>
                  </w:txbxContent>
                </v:textbox>
              </v:shape>
            </w:pict>
          </mc:Fallback>
        </mc:AlternateContent>
      </w:r>
      <w:r w:rsidRPr="00A7673B">
        <w:rPr>
          <w:noProof/>
        </w:rPr>
        <w:drawing>
          <wp:anchor distT="0" distB="0" distL="114300" distR="114300" simplePos="0" relativeHeight="251658247" behindDoc="0" locked="0" layoutInCell="1" allowOverlap="1" wp14:anchorId="29FFFD5A" wp14:editId="5CA71ECA">
            <wp:simplePos x="0" y="0"/>
            <wp:positionH relativeFrom="column">
              <wp:posOffset>1997075</wp:posOffset>
            </wp:positionH>
            <wp:positionV relativeFrom="paragraph">
              <wp:posOffset>5634990</wp:posOffset>
            </wp:positionV>
            <wp:extent cx="464820" cy="46482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
                    <pic:cNvPicPr>
                      <a:picLocks noChangeAspect="1" noChangeArrowheads="1"/>
                    </pic:cNvPicPr>
                  </pic:nvPicPr>
                  <pic:blipFill>
                    <a:blip r:embed="rId24">
                      <a:extLst>
                        <a:ext uri="{28A0092B-C50C-407E-A947-70E740481C1C}">
                          <a14:useLocalDpi xmlns:a14="http://schemas.microsoft.com/office/drawing/2010/main" val="0"/>
                        </a:ext>
                      </a:extLst>
                    </a:blip>
                    <a:srcRect l="-9294" t="-7465" r="-8012" b="-6377"/>
                    <a:stretch>
                      <a:fillRect/>
                    </a:stretch>
                  </pic:blipFill>
                  <pic:spPr bwMode="auto">
                    <a:xfrm>
                      <a:off x="0" y="0"/>
                      <a:ext cx="46482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673B">
        <w:rPr>
          <w:noProof/>
        </w:rPr>
        <mc:AlternateContent>
          <mc:Choice Requires="wps">
            <w:drawing>
              <wp:anchor distT="0" distB="0" distL="114300" distR="114300" simplePos="0" relativeHeight="251658245" behindDoc="0" locked="0" layoutInCell="1" allowOverlap="1" wp14:anchorId="125514F6" wp14:editId="6511D238">
                <wp:simplePos x="0" y="0"/>
                <wp:positionH relativeFrom="column">
                  <wp:posOffset>1605280</wp:posOffset>
                </wp:positionH>
                <wp:positionV relativeFrom="paragraph">
                  <wp:posOffset>5970905</wp:posOffset>
                </wp:positionV>
                <wp:extent cx="1271905" cy="1659890"/>
                <wp:effectExtent l="635" t="1270" r="381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905" cy="165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AB5717E" w14:textId="77777777" w:rsidR="0081658E" w:rsidRDefault="00BE16B2" w:rsidP="007975C7">
                            <w:pPr>
                              <w:spacing w:before="40" w:after="120"/>
                              <w:jc w:val="center"/>
                              <w:rPr>
                                <w:rFonts w:ascii="Amnesty Trade Gothic Cn" w:hAnsi="Amnesty Trade Gothic Cn"/>
                                <w:b/>
                                <w:color w:val="auto"/>
                                <w:sz w:val="21"/>
                                <w:szCs w:val="24"/>
                              </w:rPr>
                            </w:pPr>
                            <w:r>
                              <w:rPr>
                                <w:rFonts w:ascii="Amnesty Trade Gothic Cn" w:hAnsi="Amnesty Trade Gothic Cn"/>
                                <w:b/>
                              </w:rPr>
                              <w:t>amnesty.org</w:t>
                            </w:r>
                          </w:p>
                          <w:p w14:paraId="5DCFD13A" w14:textId="77777777" w:rsidR="00C6112B" w:rsidRDefault="00BE16B2" w:rsidP="0081658E">
                            <w:pPr>
                              <w:spacing w:after="120"/>
                              <w:jc w:val="center"/>
                              <w:rPr>
                                <w:rFonts w:ascii="Amnesty Trade Gothic Cn" w:hAnsi="Amnesty Trade Gothic Cn"/>
                                <w:b/>
                                <w:color w:val="auto"/>
                                <w:sz w:val="21"/>
                                <w:szCs w:val="24"/>
                              </w:rPr>
                            </w:pPr>
                            <w:r w:rsidRPr="00BE16B2">
                              <w:rPr>
                                <w:rFonts w:ascii="Amnesty Trade Gothic Cn" w:hAnsi="Amnesty Trade Gothic Cn"/>
                                <w:b/>
                                <w:noProof/>
                                <w:color w:val="auto"/>
                                <w:sz w:val="21"/>
                                <w:szCs w:val="24"/>
                              </w:rPr>
                              <w:drawing>
                                <wp:inline distT="0" distB="0" distL="0" distR="0" wp14:anchorId="7263EA2C" wp14:editId="7E1B9517">
                                  <wp:extent cx="542925" cy="552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2"/>
                                          <pic:cNvPicPr>
                                            <a:picLocks noChangeAspect="1" noChangeArrowheads="1"/>
                                          </pic:cNvPicPr>
                                        </pic:nvPicPr>
                                        <pic:blipFill>
                                          <a:blip r:embed="rId25">
                                            <a:extLst>
                                              <a:ext uri="{28A0092B-C50C-407E-A947-70E740481C1C}">
                                                <a14:useLocalDpi xmlns:a14="http://schemas.microsoft.com/office/drawing/2010/main" val="0"/>
                                              </a:ext>
                                            </a:extLst>
                                          </a:blip>
                                          <a:srcRect l="-7455" t="-10548" r="-5270" b="-9589"/>
                                          <a:stretch>
                                            <a:fillRect/>
                                          </a:stretch>
                                        </pic:blipFill>
                                        <pic:spPr bwMode="auto">
                                          <a:xfrm>
                                            <a:off x="0" y="0"/>
                                            <a:ext cx="542925" cy="552450"/>
                                          </a:xfrm>
                                          <a:prstGeom prst="rect">
                                            <a:avLst/>
                                          </a:prstGeom>
                                          <a:noFill/>
                                          <a:ln>
                                            <a:noFill/>
                                          </a:ln>
                                        </pic:spPr>
                                      </pic:pic>
                                    </a:graphicData>
                                  </a:graphic>
                                </wp:inline>
                              </w:drawing>
                            </w:r>
                          </w:p>
                          <w:p w14:paraId="089A91D7" w14:textId="77777777" w:rsidR="0081658E" w:rsidRPr="00D967C8" w:rsidRDefault="00BE16B2" w:rsidP="00C8441B">
                            <w:pPr>
                              <w:rPr>
                                <w:bCs/>
                                <w:color w:val="auto"/>
                                <w:sz w:val="16"/>
                                <w:szCs w:val="16"/>
                                <w:lang w:val="en-US"/>
                              </w:rPr>
                            </w:pPr>
                            <w:r w:rsidRPr="00D967C8">
                              <w:rPr>
                                <w:bCs/>
                                <w:color w:val="auto"/>
                                <w:sz w:val="16"/>
                                <w:szCs w:val="16"/>
                                <w:lang w:val="en-US"/>
                              </w:rPr>
                              <w:t>Amnesty International</w:t>
                            </w:r>
                            <w:r w:rsidRPr="00D967C8">
                              <w:rPr>
                                <w:bCs/>
                                <w:color w:val="auto"/>
                                <w:sz w:val="16"/>
                                <w:szCs w:val="16"/>
                                <w:lang w:val="en-US"/>
                              </w:rPr>
                              <w:br/>
                              <w:t xml:space="preserve">Peter </w:t>
                            </w:r>
                            <w:proofErr w:type="spellStart"/>
                            <w:r w:rsidRPr="00D967C8">
                              <w:rPr>
                                <w:bCs/>
                                <w:color w:val="auto"/>
                                <w:sz w:val="16"/>
                                <w:szCs w:val="16"/>
                                <w:lang w:val="en-US"/>
                              </w:rPr>
                              <w:t>Benenson</w:t>
                            </w:r>
                            <w:proofErr w:type="spellEnd"/>
                            <w:r w:rsidRPr="00D967C8">
                              <w:rPr>
                                <w:bCs/>
                                <w:color w:val="auto"/>
                                <w:sz w:val="16"/>
                                <w:szCs w:val="16"/>
                                <w:lang w:val="en-US"/>
                              </w:rPr>
                              <w:t xml:space="preserve"> House</w:t>
                            </w:r>
                            <w:r w:rsidRPr="00D967C8">
                              <w:rPr>
                                <w:bCs/>
                                <w:color w:val="auto"/>
                                <w:sz w:val="16"/>
                                <w:szCs w:val="16"/>
                                <w:lang w:val="en-US"/>
                              </w:rPr>
                              <w:br/>
                              <w:t>1 Easton Street</w:t>
                            </w:r>
                            <w:r w:rsidRPr="00D967C8">
                              <w:rPr>
                                <w:bCs/>
                                <w:color w:val="auto"/>
                                <w:sz w:val="16"/>
                                <w:szCs w:val="16"/>
                                <w:lang w:val="en-US"/>
                              </w:rPr>
                              <w:br/>
                              <w:t xml:space="preserve">London WC1X 0DW, </w:t>
                            </w:r>
                            <w:proofErr w:type="spellStart"/>
                            <w:r w:rsidRPr="00D967C8">
                              <w:rPr>
                                <w:bCs/>
                                <w:color w:val="auto"/>
                                <w:sz w:val="16"/>
                                <w:szCs w:val="16"/>
                                <w:lang w:val="en-US"/>
                              </w:rPr>
                              <w:t>Reino</w:t>
                            </w:r>
                            <w:proofErr w:type="spellEnd"/>
                            <w:r w:rsidRPr="00D967C8">
                              <w:rPr>
                                <w:bCs/>
                                <w:color w:val="auto"/>
                                <w:sz w:val="16"/>
                                <w:szCs w:val="16"/>
                                <w:lang w:val="en-US"/>
                              </w:rPr>
                              <w:t xml:space="preserve"> </w:t>
                            </w:r>
                            <w:proofErr w:type="spellStart"/>
                            <w:r w:rsidRPr="00D967C8">
                              <w:rPr>
                                <w:bCs/>
                                <w:color w:val="auto"/>
                                <w:sz w:val="16"/>
                                <w:szCs w:val="16"/>
                                <w:lang w:val="en-US"/>
                              </w:rPr>
                              <w:t>Unido</w:t>
                            </w:r>
                            <w:proofErr w:type="spellEnd"/>
                          </w:p>
                          <w:p w14:paraId="2CD98A92" w14:textId="77777777" w:rsidR="0081658E" w:rsidRPr="00D967C8" w:rsidRDefault="0081658E" w:rsidP="00C8441B">
                            <w:pPr>
                              <w:rPr>
                                <w:sz w:val="14"/>
                                <w:szCs w:val="1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5514F6" id="Text Box 19" o:spid="_x0000_s1031" type="#_x0000_t202" style="position:absolute;margin-left:126.4pt;margin-top:470.15pt;width:100.15pt;height:130.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" filled="f" stroked="f" strokeweight=".5pt">
                <v:textbox>
                  <w:txbxContent>
                    <w:p w14:paraId="3AB5717E" w14:textId="77777777" w:rsidR="0081658E" w:rsidRDefault="00BE16B2" w:rsidP="007975C7">
                      <w:pPr>
                        <w:spacing w:before="40" w:after="120"/>
                        <w:jc w:val="center"/>
                        <w:rPr>
                          <w:rFonts w:ascii="Amnesty Trade Gothic Cn" w:hAnsi="Amnesty Trade Gothic Cn"/>
                          <w:b/>
                          <w:color w:val="auto"/>
                          <w:sz w:val="21"/>
                          <w:szCs w:val="24"/>
                        </w:rPr>
                      </w:pPr>
                      <w:r>
                        <w:rPr>
                          <w:rFonts w:ascii="Amnesty Trade Gothic Cn" w:hAnsi="Amnesty Trade Gothic Cn"/>
                          <w:b/>
                        </w:rPr>
                        <w:t>amnesty.org</w:t>
                      </w:r>
                    </w:p>
                    <w:p w14:paraId="5DCFD13A" w14:textId="77777777" w:rsidR="00C6112B" w:rsidRDefault="00BE16B2" w:rsidP="0081658E">
                      <w:pPr>
                        <w:spacing w:after="120"/>
                        <w:jc w:val="center"/>
                        <w:rPr>
                          <w:rFonts w:ascii="Amnesty Trade Gothic Cn" w:hAnsi="Amnesty Trade Gothic Cn"/>
                          <w:b/>
                          <w:color w:val="auto"/>
                          <w:sz w:val="21"/>
                          <w:szCs w:val="24"/>
                        </w:rPr>
                      </w:pPr>
                      <w:r w:rsidRPr="00BE16B2">
                        <w:rPr>
                          <w:rFonts w:ascii="Amnesty Trade Gothic Cn" w:hAnsi="Amnesty Trade Gothic Cn"/>
                          <w:b/>
                          <w:noProof/>
                          <w:color w:val="auto"/>
                          <w:sz w:val="21"/>
                          <w:szCs w:val="24"/>
                        </w:rPr>
                        <w:drawing>
                          <wp:inline distT="0" distB="0" distL="0" distR="0" wp14:anchorId="7263EA2C" wp14:editId="7E1B9517">
                            <wp:extent cx="542925" cy="552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2"/>
                                    <pic:cNvPicPr>
                                      <a:picLocks noChangeAspect="1" noChangeArrowheads="1"/>
                                    </pic:cNvPicPr>
                                  </pic:nvPicPr>
                                  <pic:blipFill>
                                    <a:blip r:embed="rId25">
                                      <a:extLst>
                                        <a:ext uri="{28A0092B-C50C-407E-A947-70E740481C1C}">
                                          <a14:useLocalDpi xmlns:a14="http://schemas.microsoft.com/office/drawing/2010/main" val="0"/>
                                        </a:ext>
                                      </a:extLst>
                                    </a:blip>
                                    <a:srcRect l="-7455" t="-10548" r="-5270" b="-9589"/>
                                    <a:stretch>
                                      <a:fillRect/>
                                    </a:stretch>
                                  </pic:blipFill>
                                  <pic:spPr bwMode="auto">
                                    <a:xfrm>
                                      <a:off x="0" y="0"/>
                                      <a:ext cx="542925" cy="552450"/>
                                    </a:xfrm>
                                    <a:prstGeom prst="rect">
                                      <a:avLst/>
                                    </a:prstGeom>
                                    <a:noFill/>
                                    <a:ln>
                                      <a:noFill/>
                                    </a:ln>
                                  </pic:spPr>
                                </pic:pic>
                              </a:graphicData>
                            </a:graphic>
                          </wp:inline>
                        </w:drawing>
                      </w:r>
                    </w:p>
                    <w:p w14:paraId="089A91D7" w14:textId="77777777" w:rsidR="0081658E" w:rsidRPr="00D967C8" w:rsidRDefault="00BE16B2" w:rsidP="00C8441B">
                      <w:pPr>
                        <w:rPr>
                          <w:bCs/>
                          <w:color w:val="auto"/>
                          <w:sz w:val="16"/>
                          <w:szCs w:val="16"/>
                          <w:lang w:val="en-US"/>
                        </w:rPr>
                      </w:pPr>
                      <w:r w:rsidRPr="00D967C8">
                        <w:rPr>
                          <w:bCs/>
                          <w:color w:val="auto"/>
                          <w:sz w:val="16"/>
                          <w:szCs w:val="16"/>
                          <w:lang w:val="en-US"/>
                        </w:rPr>
                        <w:t>Amnesty International</w:t>
                      </w:r>
                      <w:r w:rsidRPr="00D967C8">
                        <w:rPr>
                          <w:bCs/>
                          <w:color w:val="auto"/>
                          <w:sz w:val="16"/>
                          <w:szCs w:val="16"/>
                          <w:lang w:val="en-US"/>
                        </w:rPr>
                        <w:br/>
                        <w:t xml:space="preserve">Peter </w:t>
                      </w:r>
                      <w:proofErr w:type="spellStart"/>
                      <w:r w:rsidRPr="00D967C8">
                        <w:rPr>
                          <w:bCs/>
                          <w:color w:val="auto"/>
                          <w:sz w:val="16"/>
                          <w:szCs w:val="16"/>
                          <w:lang w:val="en-US"/>
                        </w:rPr>
                        <w:t>Benenson</w:t>
                      </w:r>
                      <w:proofErr w:type="spellEnd"/>
                      <w:r w:rsidRPr="00D967C8">
                        <w:rPr>
                          <w:bCs/>
                          <w:color w:val="auto"/>
                          <w:sz w:val="16"/>
                          <w:szCs w:val="16"/>
                          <w:lang w:val="en-US"/>
                        </w:rPr>
                        <w:t xml:space="preserve"> House</w:t>
                      </w:r>
                      <w:r w:rsidRPr="00D967C8">
                        <w:rPr>
                          <w:bCs/>
                          <w:color w:val="auto"/>
                          <w:sz w:val="16"/>
                          <w:szCs w:val="16"/>
                          <w:lang w:val="en-US"/>
                        </w:rPr>
                        <w:br/>
                        <w:t>1 Easton Street</w:t>
                      </w:r>
                      <w:r w:rsidRPr="00D967C8">
                        <w:rPr>
                          <w:bCs/>
                          <w:color w:val="auto"/>
                          <w:sz w:val="16"/>
                          <w:szCs w:val="16"/>
                          <w:lang w:val="en-US"/>
                        </w:rPr>
                        <w:br/>
                        <w:t xml:space="preserve">London WC1X 0DW, </w:t>
                      </w:r>
                      <w:proofErr w:type="spellStart"/>
                      <w:r w:rsidRPr="00D967C8">
                        <w:rPr>
                          <w:bCs/>
                          <w:color w:val="auto"/>
                          <w:sz w:val="16"/>
                          <w:szCs w:val="16"/>
                          <w:lang w:val="en-US"/>
                        </w:rPr>
                        <w:t>Reino</w:t>
                      </w:r>
                      <w:proofErr w:type="spellEnd"/>
                      <w:r w:rsidRPr="00D967C8">
                        <w:rPr>
                          <w:bCs/>
                          <w:color w:val="auto"/>
                          <w:sz w:val="16"/>
                          <w:szCs w:val="16"/>
                          <w:lang w:val="en-US"/>
                        </w:rPr>
                        <w:t xml:space="preserve"> </w:t>
                      </w:r>
                      <w:proofErr w:type="spellStart"/>
                      <w:r w:rsidRPr="00D967C8">
                        <w:rPr>
                          <w:bCs/>
                          <w:color w:val="auto"/>
                          <w:sz w:val="16"/>
                          <w:szCs w:val="16"/>
                          <w:lang w:val="en-US"/>
                        </w:rPr>
                        <w:t>Unido</w:t>
                      </w:r>
                      <w:proofErr w:type="spellEnd"/>
                    </w:p>
                    <w:p w14:paraId="2CD98A92" w14:textId="77777777" w:rsidR="0081658E" w:rsidRPr="00D967C8" w:rsidRDefault="0081658E" w:rsidP="00C8441B">
                      <w:pPr>
                        <w:rPr>
                          <w:sz w:val="14"/>
                          <w:szCs w:val="14"/>
                          <w:lang w:val="en-US"/>
                        </w:rPr>
                      </w:pPr>
                    </w:p>
                  </w:txbxContent>
                </v:textbox>
              </v:shape>
            </w:pict>
          </mc:Fallback>
        </mc:AlternateContent>
      </w:r>
      <w:r w:rsidRPr="00A7673B">
        <w:rPr>
          <w:noProof/>
        </w:rPr>
        <mc:AlternateContent>
          <mc:Choice Requires="wps">
            <w:drawing>
              <wp:anchor distT="0" distB="0" distL="114300" distR="114300" simplePos="0" relativeHeight="251658248" behindDoc="0" locked="0" layoutInCell="1" allowOverlap="1" wp14:anchorId="77BA98AA" wp14:editId="4C7FA84B">
                <wp:simplePos x="0" y="0"/>
                <wp:positionH relativeFrom="column">
                  <wp:posOffset>321310</wp:posOffset>
                </wp:positionH>
                <wp:positionV relativeFrom="paragraph">
                  <wp:posOffset>5414645</wp:posOffset>
                </wp:positionV>
                <wp:extent cx="2256790" cy="327025"/>
                <wp:effectExtent l="254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679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50F014E" w14:textId="77777777" w:rsidR="007A577D" w:rsidRPr="00D90830" w:rsidRDefault="00BE16B2"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0BB20899" w14:textId="77777777" w:rsidR="007A577D" w:rsidRDefault="007A577D"/>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77BA98AA" id="Text Box 18" o:spid="_x0000_s1032" type="#_x0000_t202" style="position:absolute;margin-left:25.3pt;margin-top:426.35pt;width:177.7pt;height:25.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" filled="f" stroked="f" strokeweight=".5pt">
                <v:textbox>
                  <w:txbxContent>
                    <w:p w14:paraId="650F014E" w14:textId="77777777" w:rsidR="007A577D" w:rsidRPr="00D90830" w:rsidRDefault="00BE16B2"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0BB20899" w14:textId="77777777" w:rsidR="007A577D" w:rsidRDefault="007A577D"/>
                  </w:txbxContent>
                </v:textbox>
              </v:shape>
            </w:pict>
          </mc:Fallback>
        </mc:AlternateContent>
      </w:r>
      <w:r w:rsidRPr="00A7673B">
        <w:rPr>
          <w:noProof/>
        </w:rPr>
        <mc:AlternateContent>
          <mc:Choice Requires="wps">
            <w:drawing>
              <wp:anchor distT="0" distB="0" distL="114300" distR="114300" simplePos="0" relativeHeight="251658244" behindDoc="0" locked="0" layoutInCell="1" allowOverlap="1" wp14:anchorId="58682CDF" wp14:editId="2F8E48DF">
                <wp:simplePos x="0" y="0"/>
                <wp:positionH relativeFrom="column">
                  <wp:posOffset>-254635</wp:posOffset>
                </wp:positionH>
                <wp:positionV relativeFrom="paragraph">
                  <wp:posOffset>8333105</wp:posOffset>
                </wp:positionV>
                <wp:extent cx="2267585" cy="930275"/>
                <wp:effectExtent l="0" t="1270" r="1270" b="190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7585" cy="93027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66EC371" w14:textId="782643CA" w:rsidR="0081658E" w:rsidRPr="00D967C8" w:rsidRDefault="00BE16B2" w:rsidP="00C04CCB">
                            <w:pPr>
                              <w:pStyle w:val="BCopyrightsmallprint"/>
                              <w:rPr>
                                <w:rStyle w:val="Boldbodycharacter"/>
                                <w:rFonts w:cs="Arial"/>
                                <w:sz w:val="21"/>
                                <w:szCs w:val="21"/>
                                <w:lang w:val="en-US"/>
                              </w:rPr>
                            </w:pPr>
                            <w:proofErr w:type="spellStart"/>
                            <w:r w:rsidRPr="00D967C8">
                              <w:rPr>
                                <w:lang w:val="en-US"/>
                              </w:rPr>
                              <w:t>Índice</w:t>
                            </w:r>
                            <w:proofErr w:type="spellEnd"/>
                            <w:r w:rsidRPr="00D967C8">
                              <w:rPr>
                                <w:lang w:val="en-US"/>
                              </w:rPr>
                              <w:t xml:space="preserve">: </w:t>
                            </w:r>
                            <w:r w:rsidR="00C04CCB">
                              <w:rPr>
                                <w:rFonts w:ascii="Segoe UI" w:hAnsi="Segoe UI" w:cs="Segoe UI"/>
                                <w:b/>
                                <w:bCs w:val="0"/>
                                <w:color w:val="3B1D1E"/>
                                <w:sz w:val="20"/>
                                <w:szCs w:val="20"/>
                              </w:rPr>
                              <w:t>AMR 53/7195/2023</w:t>
                            </w:r>
                            <w:r w:rsidR="00C04CCB">
                              <w:rPr>
                                <w:rFonts w:ascii="Segoe UI" w:hAnsi="Segoe UI" w:cs="Segoe UI"/>
                                <w:b/>
                                <w:bCs w:val="0"/>
                                <w:color w:val="3B1D1E"/>
                                <w:sz w:val="20"/>
                                <w:szCs w:val="20"/>
                              </w:rPr>
                              <w:t xml:space="preserve"> </w:t>
                            </w:r>
                            <w:r w:rsidRPr="00755492">
                              <w:rPr>
                                <w:rStyle w:val="Boldbodycharacter"/>
                                <w:sz w:val="21"/>
                                <w:szCs w:val="21"/>
                                <w:lang w:val="en-US"/>
                              </w:rPr>
                              <w:t>Spanish</w:t>
                            </w:r>
                          </w:p>
                          <w:p w14:paraId="724CA1E9" w14:textId="3B4A0886" w:rsidR="0081658E" w:rsidRPr="00B9647E" w:rsidRDefault="00BE16B2" w:rsidP="00C04CCB">
                            <w:pPr>
                              <w:pStyle w:val="BCopyrightsmallprint"/>
                            </w:pPr>
                            <w:r w:rsidRPr="00C20ADF">
                              <w:t xml:space="preserve">Publicación: </w:t>
                            </w:r>
                            <w:r w:rsidR="00FF6C0B" w:rsidRPr="00B9647E">
                              <w:rPr>
                                <w:rStyle w:val="Boldbodycharacter"/>
                                <w:sz w:val="21"/>
                                <w:szCs w:val="21"/>
                              </w:rPr>
                              <w:t>septiembre de 2023</w:t>
                            </w:r>
                          </w:p>
                          <w:p w14:paraId="00EC5C03" w14:textId="415508A5" w:rsidR="0081658E" w:rsidRPr="00B9647E" w:rsidRDefault="00BE16B2" w:rsidP="00C04CCB">
                            <w:pPr>
                              <w:pStyle w:val="BCopyrightsmallprint"/>
                            </w:pPr>
                            <w:r w:rsidRPr="00B9647E">
                              <w:t xml:space="preserve">Idioma original: </w:t>
                            </w:r>
                            <w:r w:rsidR="00FF6C0B" w:rsidRPr="00B9647E">
                              <w:rPr>
                                <w:rFonts w:ascii="Amnesty Trade Gothic" w:hAnsi="Amnesty Trade Gothic"/>
                                <w:b/>
                              </w:rPr>
                              <w:t xml:space="preserve">español </w:t>
                            </w:r>
                          </w:p>
                          <w:p w14:paraId="06929604" w14:textId="0BD2B372" w:rsidR="00140418" w:rsidRPr="000660E7" w:rsidRDefault="00BE16B2" w:rsidP="00C04CCB">
                            <w:pPr>
                              <w:pStyle w:val="BCopyrightsmallprint"/>
                            </w:pPr>
                            <w:r w:rsidRPr="00B9647E">
                              <w:t>© Amnesty International 20</w:t>
                            </w:r>
                            <w:r w:rsidR="00FF6C0B" w:rsidRPr="00B9647E">
                              <w:t>23</w:t>
                            </w:r>
                          </w:p>
                          <w:p w14:paraId="4091D066" w14:textId="77777777" w:rsidR="0081658E" w:rsidRDefault="0081658E"/>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58682CDF" id="Text Box 16" o:spid="_x0000_s1033" type="#_x0000_t202" style="position:absolute;margin-left:-20.05pt;margin-top:656.15pt;width:178.55pt;height:73.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" stroked="f" strokeweight=".5pt">
                <v:textbox>
                  <w:txbxContent>
                    <w:p w14:paraId="566EC371" w14:textId="782643CA" w:rsidR="0081658E" w:rsidRPr="00D967C8" w:rsidRDefault="00BE16B2" w:rsidP="00C04CCB">
                      <w:pPr>
                        <w:pStyle w:val="BCopyrightsmallprint"/>
                        <w:rPr>
                          <w:rStyle w:val="Boldbodycharacter"/>
                          <w:rFonts w:cs="Arial"/>
                          <w:sz w:val="21"/>
                          <w:szCs w:val="21"/>
                          <w:lang w:val="en-US"/>
                        </w:rPr>
                      </w:pPr>
                      <w:proofErr w:type="spellStart"/>
                      <w:r w:rsidRPr="00D967C8">
                        <w:rPr>
                          <w:lang w:val="en-US"/>
                        </w:rPr>
                        <w:t>Índice</w:t>
                      </w:r>
                      <w:proofErr w:type="spellEnd"/>
                      <w:r w:rsidRPr="00D967C8">
                        <w:rPr>
                          <w:lang w:val="en-US"/>
                        </w:rPr>
                        <w:t xml:space="preserve">: </w:t>
                      </w:r>
                      <w:r w:rsidR="00C04CCB">
                        <w:rPr>
                          <w:rFonts w:ascii="Segoe UI" w:hAnsi="Segoe UI" w:cs="Segoe UI"/>
                          <w:b/>
                          <w:bCs w:val="0"/>
                          <w:color w:val="3B1D1E"/>
                          <w:sz w:val="20"/>
                          <w:szCs w:val="20"/>
                        </w:rPr>
                        <w:t>AMR 53/7195/2023</w:t>
                      </w:r>
                      <w:r w:rsidR="00C04CCB">
                        <w:rPr>
                          <w:rFonts w:ascii="Segoe UI" w:hAnsi="Segoe UI" w:cs="Segoe UI"/>
                          <w:b/>
                          <w:bCs w:val="0"/>
                          <w:color w:val="3B1D1E"/>
                          <w:sz w:val="20"/>
                          <w:szCs w:val="20"/>
                        </w:rPr>
                        <w:t xml:space="preserve"> </w:t>
                      </w:r>
                      <w:r w:rsidRPr="00755492">
                        <w:rPr>
                          <w:rStyle w:val="Boldbodycharacter"/>
                          <w:sz w:val="21"/>
                          <w:szCs w:val="21"/>
                          <w:lang w:val="en-US"/>
                        </w:rPr>
                        <w:t>Spanish</w:t>
                      </w:r>
                    </w:p>
                    <w:p w14:paraId="724CA1E9" w14:textId="3B4A0886" w:rsidR="0081658E" w:rsidRPr="00B9647E" w:rsidRDefault="00BE16B2" w:rsidP="00C04CCB">
                      <w:pPr>
                        <w:pStyle w:val="BCopyrightsmallprint"/>
                      </w:pPr>
                      <w:r w:rsidRPr="00C20ADF">
                        <w:t xml:space="preserve">Publicación: </w:t>
                      </w:r>
                      <w:r w:rsidR="00FF6C0B" w:rsidRPr="00B9647E">
                        <w:rPr>
                          <w:rStyle w:val="Boldbodycharacter"/>
                          <w:sz w:val="21"/>
                          <w:szCs w:val="21"/>
                        </w:rPr>
                        <w:t>septiembre de 2023</w:t>
                      </w:r>
                    </w:p>
                    <w:p w14:paraId="00EC5C03" w14:textId="415508A5" w:rsidR="0081658E" w:rsidRPr="00B9647E" w:rsidRDefault="00BE16B2" w:rsidP="00C04CCB">
                      <w:pPr>
                        <w:pStyle w:val="BCopyrightsmallprint"/>
                      </w:pPr>
                      <w:r w:rsidRPr="00B9647E">
                        <w:t xml:space="preserve">Idioma original: </w:t>
                      </w:r>
                      <w:r w:rsidR="00FF6C0B" w:rsidRPr="00B9647E">
                        <w:rPr>
                          <w:rFonts w:ascii="Amnesty Trade Gothic" w:hAnsi="Amnesty Trade Gothic"/>
                          <w:b/>
                        </w:rPr>
                        <w:t xml:space="preserve">español </w:t>
                      </w:r>
                    </w:p>
                    <w:p w14:paraId="06929604" w14:textId="0BD2B372" w:rsidR="00140418" w:rsidRPr="000660E7" w:rsidRDefault="00BE16B2" w:rsidP="00C04CCB">
                      <w:pPr>
                        <w:pStyle w:val="BCopyrightsmallprint"/>
                      </w:pPr>
                      <w:r w:rsidRPr="00B9647E">
                        <w:t>© Amnesty International 20</w:t>
                      </w:r>
                      <w:r w:rsidR="00FF6C0B" w:rsidRPr="00B9647E">
                        <w:t>23</w:t>
                      </w:r>
                    </w:p>
                    <w:p w14:paraId="4091D066" w14:textId="77777777" w:rsidR="0081658E" w:rsidRDefault="0081658E"/>
                  </w:txbxContent>
                </v:textbox>
              </v:shape>
            </w:pict>
          </mc:Fallback>
        </mc:AlternateContent>
      </w:r>
    </w:p>
    <w:sectPr w:rsidR="00EE3C56" w:rsidRPr="00A7673B">
      <w:footerReference w:type="first" r:id="rId26"/>
      <w:pgSz w:w="11906" w:h="16838" w:code="9"/>
      <w:pgMar w:top="1474" w:right="1418" w:bottom="15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B0DAA" w14:textId="77777777" w:rsidR="00061C37" w:rsidRDefault="00061C37">
      <w:r>
        <w:separator/>
      </w:r>
    </w:p>
  </w:endnote>
  <w:endnote w:type="continuationSeparator" w:id="0">
    <w:p w14:paraId="5FB68502" w14:textId="77777777" w:rsidR="00061C37" w:rsidRDefault="00061C37">
      <w:r>
        <w:continuationSeparator/>
      </w:r>
    </w:p>
  </w:endnote>
  <w:endnote w:type="continuationNotice" w:id="1">
    <w:p w14:paraId="06FDE578" w14:textId="77777777" w:rsidR="00061C37" w:rsidRDefault="00061C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AF3B2" w14:textId="10D91562" w:rsidR="006C64A8" w:rsidRPr="0029582C" w:rsidRDefault="00FF6C0B" w:rsidP="006C64A8">
    <w:pPr>
      <w:tabs>
        <w:tab w:val="center" w:pos="4423"/>
        <w:tab w:val="right" w:pos="9923"/>
      </w:tabs>
      <w:rPr>
        <w:rFonts w:ascii="Amnesty Trade Gothic Cn" w:hAnsi="Amnesty Trade Gothic Cn"/>
        <w:b/>
        <w:bCs/>
        <w:caps/>
        <w:sz w:val="15"/>
        <w:szCs w:val="15"/>
      </w:rPr>
    </w:pPr>
    <w:r>
      <w:rPr>
        <w:rFonts w:ascii="Amnesty Trade Gothic Cn" w:hAnsi="Amnesty Trade Gothic Cn"/>
        <w:b/>
        <w:bCs/>
        <w:caps/>
        <w:sz w:val="15"/>
        <w:szCs w:val="15"/>
      </w:rPr>
      <w:t>VENEZUELA</w:t>
    </w:r>
  </w:p>
  <w:p w14:paraId="5BF5BF98" w14:textId="77777777" w:rsidR="00FF6C0B" w:rsidRPr="00FF6C0B" w:rsidRDefault="00FF6C0B" w:rsidP="00FF6C0B">
    <w:pPr>
      <w:tabs>
        <w:tab w:val="center" w:pos="4423"/>
        <w:tab w:val="right" w:pos="9923"/>
      </w:tabs>
      <w:rPr>
        <w:rFonts w:ascii="Amnesty Trade Gothic Cn" w:hAnsi="Amnesty Trade Gothic Cn"/>
        <w:bCs/>
        <w:caps/>
        <w:sz w:val="15"/>
        <w:szCs w:val="15"/>
      </w:rPr>
    </w:pPr>
    <w:r w:rsidRPr="00FF6C0B">
      <w:rPr>
        <w:rFonts w:ascii="Amnesty Trade Gothic Cn" w:hAnsi="Amnesty Trade Gothic Cn"/>
        <w:bCs/>
        <w:caps/>
        <w:sz w:val="15"/>
        <w:szCs w:val="15"/>
      </w:rPr>
      <w:t>INFORMACIÓN PARA EL COMITÉ DE DERECHOS HUMANOS DE LA onu</w:t>
    </w:r>
  </w:p>
  <w:p w14:paraId="003B8258" w14:textId="77777777" w:rsidR="00503E22" w:rsidRPr="003E2AA1" w:rsidRDefault="007D1DC9" w:rsidP="006C64A8">
    <w:pPr>
      <w:tabs>
        <w:tab w:val="center" w:pos="4423"/>
        <w:tab w:val="right" w:pos="9923"/>
      </w:tabs>
      <w:rPr>
        <w:rFonts w:ascii="Amnesty Trade Gothic Cn" w:hAnsi="Amnesty Trade Gothic Cn"/>
      </w:rPr>
    </w:pPr>
    <w:r w:rsidRPr="003E2AA1">
      <w:rPr>
        <w:rFonts w:ascii="Amnesty Trade Gothic Cn" w:hAnsi="Amnesty Trade Gothic Cn"/>
      </w:rPr>
      <w:t>Amn</w:t>
    </w:r>
    <w:r>
      <w:rPr>
        <w:rFonts w:ascii="Amnesty Trade Gothic Cn" w:hAnsi="Amnesty Trade Gothic Cn"/>
      </w:rPr>
      <w:t>istía Internacional</w:t>
    </w:r>
    <w:r w:rsidR="00BE16B2">
      <w:tab/>
    </w:r>
    <w:r w:rsidR="00BE16B2" w:rsidRPr="003E2AA1">
      <w:rPr>
        <w:rFonts w:ascii="Amnesty Trade Gothic Cn" w:hAnsi="Amnesty Trade Gothic Cn"/>
      </w:rPr>
      <w:fldChar w:fldCharType="begin"/>
    </w:r>
    <w:r w:rsidR="00BE16B2" w:rsidRPr="003E2AA1">
      <w:rPr>
        <w:rFonts w:ascii="Amnesty Trade Gothic Cn" w:hAnsi="Amnesty Trade Gothic Cn"/>
      </w:rPr>
      <w:instrText xml:space="preserve"> PAGE   \* MERGEFORMAT </w:instrText>
    </w:r>
    <w:r w:rsidR="00BE16B2" w:rsidRPr="003E2AA1">
      <w:rPr>
        <w:rFonts w:ascii="Amnesty Trade Gothic Cn" w:hAnsi="Amnesty Trade Gothic Cn"/>
      </w:rPr>
      <w:fldChar w:fldCharType="separate"/>
    </w:r>
    <w:r w:rsidR="00BE16B2">
      <w:rPr>
        <w:rFonts w:ascii="Amnesty Trade Gothic Cn" w:hAnsi="Amnesty Trade Gothic Cn"/>
      </w:rPr>
      <w:t>2</w:t>
    </w:r>
    <w:r w:rsidR="00BE16B2" w:rsidRPr="003E2AA1">
      <w:rPr>
        <w:rFonts w:ascii="Amnesty Trade Gothic Cn" w:hAnsi="Amnesty Trade Gothic 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0AC35" w14:textId="4252F456" w:rsidR="0081658E" w:rsidRPr="00971921" w:rsidRDefault="003320DA" w:rsidP="006073F2">
    <w:pPr>
      <w:pStyle w:val="Footer"/>
      <w:spacing w:line="520" w:lineRule="exact"/>
      <w:rPr>
        <w:rFonts w:ascii="Amnesty Trade Gothic Cn" w:hAnsi="Amnesty Trade Gothic Cn"/>
        <w:color w:val="AEAAAA"/>
        <w:sz w:val="52"/>
        <w:szCs w:val="52"/>
      </w:rPr>
    </w:pPr>
    <w:r>
      <w:rPr>
        <w:rFonts w:ascii="Amnesty Trade Gothic Cn" w:hAnsi="Amnesty Trade Gothic Cn"/>
        <w:caps/>
        <w:noProof/>
        <w:color w:val="AEAAAA"/>
        <w:sz w:val="52"/>
        <w:szCs w:val="52"/>
      </w:rPr>
      <w:drawing>
        <wp:anchor distT="0" distB="0" distL="114300" distR="114300" simplePos="0" relativeHeight="251658240" behindDoc="0" locked="0" layoutInCell="1" allowOverlap="0" wp14:anchorId="3633366C" wp14:editId="65BB8C06">
          <wp:simplePos x="0" y="0"/>
          <wp:positionH relativeFrom="margin">
            <wp:posOffset>5073650</wp:posOffset>
          </wp:positionH>
          <wp:positionV relativeFrom="page">
            <wp:posOffset>9596120</wp:posOffset>
          </wp:positionV>
          <wp:extent cx="1472565" cy="619125"/>
          <wp:effectExtent l="0" t="0" r="0" b="0"/>
          <wp:wrapSquare wrapText="bothSides"/>
          <wp:docPr id="31" name="Pictur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256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1A223" w14:textId="298F0B26" w:rsidR="0029582C" w:rsidRPr="003320DA" w:rsidRDefault="002169E4" w:rsidP="0029582C">
    <w:pPr>
      <w:tabs>
        <w:tab w:val="center" w:pos="4423"/>
        <w:tab w:val="right" w:pos="9923"/>
      </w:tabs>
      <w:rPr>
        <w:rFonts w:ascii="Amnesty Trade Gothic Cn" w:eastAsiaTheme="minorEastAsia" w:hAnsi="Amnesty Trade Gothic Cn"/>
        <w:b/>
        <w:bCs/>
        <w:caps/>
        <w:color w:val="000000" w:themeColor="text1"/>
        <w:sz w:val="15"/>
        <w:szCs w:val="15"/>
      </w:rPr>
    </w:pPr>
    <w:r>
      <w:rPr>
        <w:rFonts w:ascii="Amnesty Trade Gothic Cn" w:eastAsiaTheme="minorEastAsia" w:hAnsi="Amnesty Trade Gothic Cn"/>
        <w:b/>
        <w:bCs/>
        <w:caps/>
        <w:color w:val="000000" w:themeColor="text1"/>
        <w:sz w:val="15"/>
        <w:szCs w:val="15"/>
      </w:rPr>
      <w:t>VENEZUELA</w:t>
    </w:r>
  </w:p>
  <w:p w14:paraId="7A48B98B" w14:textId="77777777" w:rsidR="002169E4" w:rsidRPr="002169E4" w:rsidRDefault="002169E4" w:rsidP="002169E4">
    <w:pPr>
      <w:tabs>
        <w:tab w:val="center" w:pos="4423"/>
        <w:tab w:val="right" w:pos="9923"/>
      </w:tabs>
      <w:rPr>
        <w:rFonts w:ascii="Amnesty Trade Gothic Cn" w:eastAsiaTheme="minorEastAsia" w:hAnsi="Amnesty Trade Gothic Cn"/>
        <w:bCs/>
        <w:caps/>
        <w:color w:val="000000" w:themeColor="text1"/>
        <w:sz w:val="15"/>
        <w:szCs w:val="15"/>
      </w:rPr>
    </w:pPr>
    <w:r w:rsidRPr="002169E4">
      <w:rPr>
        <w:rFonts w:ascii="Amnesty Trade Gothic Cn" w:eastAsiaTheme="minorEastAsia" w:hAnsi="Amnesty Trade Gothic Cn"/>
        <w:bCs/>
        <w:caps/>
        <w:color w:val="000000" w:themeColor="text1"/>
        <w:sz w:val="15"/>
        <w:szCs w:val="15"/>
      </w:rPr>
      <w:t>INFORMACIÓN PARA EL COMITÉ DE DERECHOS HUMANOS DE LA onu</w:t>
    </w:r>
  </w:p>
  <w:p w14:paraId="571F6CF5" w14:textId="156A7815" w:rsidR="00503E22" w:rsidRPr="003E2AA1" w:rsidRDefault="00755492" w:rsidP="0029582C">
    <w:pPr>
      <w:tabs>
        <w:tab w:val="center" w:pos="4423"/>
        <w:tab w:val="right" w:pos="9923"/>
      </w:tabs>
      <w:rPr>
        <w:rFonts w:ascii="Amnesty Trade Gothic Cn" w:hAnsi="Amnesty Trade Gothic Cn"/>
      </w:rPr>
    </w:pPr>
    <w:proofErr w:type="spellStart"/>
    <w:r w:rsidRPr="00755492">
      <w:rPr>
        <w:rFonts w:ascii="Amnesty Trade Gothic Cn" w:hAnsi="Amnesty Trade Gothic Cn"/>
        <w:color w:val="000000" w:themeColor="text1"/>
        <w:lang w:val="en-GB"/>
      </w:rPr>
      <w:t>Amnistía</w:t>
    </w:r>
    <w:proofErr w:type="spellEnd"/>
    <w:r w:rsidRPr="00755492">
      <w:rPr>
        <w:rFonts w:ascii="Amnesty Trade Gothic Cn" w:hAnsi="Amnesty Trade Gothic Cn"/>
        <w:color w:val="000000" w:themeColor="text1"/>
        <w:lang w:val="en-GB"/>
      </w:rPr>
      <w:t xml:space="preserve"> </w:t>
    </w:r>
    <w:proofErr w:type="spellStart"/>
    <w:r w:rsidRPr="00755492">
      <w:rPr>
        <w:rFonts w:ascii="Amnesty Trade Gothic Cn" w:hAnsi="Amnesty Trade Gothic Cn"/>
        <w:color w:val="000000" w:themeColor="text1"/>
        <w:lang w:val="en-GB"/>
      </w:rPr>
      <w:t>Internacional</w:t>
    </w:r>
    <w:proofErr w:type="spellEnd"/>
    <w:r w:rsidR="00BE16B2">
      <w:tab/>
    </w:r>
    <w:r w:rsidR="00BE16B2" w:rsidRPr="003E2AA1">
      <w:rPr>
        <w:rFonts w:ascii="Amnesty Trade Gothic Cn" w:hAnsi="Amnesty Trade Gothic Cn"/>
      </w:rPr>
      <w:fldChar w:fldCharType="begin"/>
    </w:r>
    <w:r w:rsidR="00BE16B2" w:rsidRPr="003E2AA1">
      <w:rPr>
        <w:rFonts w:ascii="Amnesty Trade Gothic Cn" w:hAnsi="Amnesty Trade Gothic Cn"/>
      </w:rPr>
      <w:instrText xml:space="preserve"> PAGE   \* MERGEFORMAT </w:instrText>
    </w:r>
    <w:r w:rsidR="00BE16B2" w:rsidRPr="003E2AA1">
      <w:rPr>
        <w:rFonts w:ascii="Amnesty Trade Gothic Cn" w:hAnsi="Amnesty Trade Gothic Cn"/>
      </w:rPr>
      <w:fldChar w:fldCharType="separate"/>
    </w:r>
    <w:r w:rsidR="00BE16B2">
      <w:rPr>
        <w:rFonts w:ascii="Amnesty Trade Gothic Cn" w:hAnsi="Amnesty Trade Gothic Cn"/>
      </w:rPr>
      <w:t>2</w:t>
    </w:r>
    <w:r w:rsidR="00BE16B2" w:rsidRPr="003E2AA1">
      <w:rPr>
        <w:rFonts w:ascii="Amnesty Trade Gothic Cn" w:hAnsi="Amnesty Trade Gothic 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8692C" w14:textId="2D0D8627" w:rsidR="001E0E75" w:rsidRPr="001E0E75" w:rsidRDefault="00E441C6" w:rsidP="001E0E75">
    <w:pPr>
      <w:pStyle w:val="Footer"/>
    </w:pPr>
    <w:r w:rsidRPr="00341440">
      <w:rPr>
        <w:noProof/>
        <w:lang w:val="en-GB" w:eastAsia="en-GB"/>
      </w:rPr>
      <w:drawing>
        <wp:anchor distT="0" distB="0" distL="114300" distR="114300" simplePos="0" relativeHeight="251658241" behindDoc="0" locked="0" layoutInCell="1" allowOverlap="1" wp14:anchorId="7AE05EF4" wp14:editId="0A6686B0">
          <wp:simplePos x="0" y="0"/>
          <wp:positionH relativeFrom="margin">
            <wp:posOffset>4435642</wp:posOffset>
          </wp:positionH>
          <wp:positionV relativeFrom="paragraph">
            <wp:posOffset>-682424</wp:posOffset>
          </wp:positionV>
          <wp:extent cx="1470660" cy="6191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11900" w14:textId="77777777" w:rsidR="00061C37" w:rsidRDefault="00061C37" w:rsidP="003A7195">
      <w:r>
        <w:separator/>
      </w:r>
    </w:p>
  </w:footnote>
  <w:footnote w:type="continuationSeparator" w:id="0">
    <w:p w14:paraId="0D3CF6EE" w14:textId="77777777" w:rsidR="00061C37" w:rsidRDefault="00061C37" w:rsidP="003A7195">
      <w:r>
        <w:continuationSeparator/>
      </w:r>
    </w:p>
  </w:footnote>
  <w:footnote w:type="continuationNotice" w:id="1">
    <w:p w14:paraId="1B4AC982" w14:textId="77777777" w:rsidR="00061C37" w:rsidRDefault="00061C37"/>
  </w:footnote>
  <w:footnote w:id="2">
    <w:p w14:paraId="407329CE" w14:textId="22C0686A" w:rsidR="0087334F" w:rsidRPr="007620F9" w:rsidRDefault="0087334F">
      <w:pPr>
        <w:pStyle w:val="FootnoteText"/>
        <w:rPr>
          <w:b/>
          <w:bCs/>
          <w:lang w:val="es-MX"/>
        </w:rPr>
      </w:pPr>
      <w:r>
        <w:rPr>
          <w:rStyle w:val="FootnoteReference"/>
        </w:rPr>
        <w:footnoteRef/>
      </w:r>
      <w:r>
        <w:t xml:space="preserve"> </w:t>
      </w:r>
      <w:r w:rsidR="004346E9">
        <w:rPr>
          <w:lang w:val="es-MX"/>
        </w:rPr>
        <w:t>Amnistía Internacional</w:t>
      </w:r>
      <w:r w:rsidR="004346E9" w:rsidRPr="004346E9">
        <w:rPr>
          <w:lang w:val="es-MX"/>
        </w:rPr>
        <w:t xml:space="preserve">, </w:t>
      </w:r>
      <w:r w:rsidR="004346E9">
        <w:rPr>
          <w:lang w:val="es-MX"/>
        </w:rPr>
        <w:t xml:space="preserve">Acción Urgente: </w:t>
      </w:r>
      <w:r w:rsidR="004346E9" w:rsidRPr="00A20013">
        <w:rPr>
          <w:lang w:val="es-MX"/>
        </w:rPr>
        <w:t>Venezuela: ONGs en riesgo en Venezuela</w:t>
      </w:r>
      <w:r w:rsidR="00335618">
        <w:rPr>
          <w:lang w:val="es-MX"/>
        </w:rPr>
        <w:t>, 25 de enero de 2023</w:t>
      </w:r>
      <w:r w:rsidR="004346E9">
        <w:rPr>
          <w:lang w:val="es-MX"/>
        </w:rPr>
        <w:t xml:space="preserve"> (</w:t>
      </w:r>
      <w:r w:rsidR="00335618">
        <w:rPr>
          <w:lang w:val="es-MX"/>
        </w:rPr>
        <w:t xml:space="preserve">Índice: </w:t>
      </w:r>
      <w:r w:rsidR="00335618" w:rsidRPr="00335618">
        <w:t>AMR 53/6379/2023</w:t>
      </w:r>
      <w:r w:rsidR="00335618">
        <w:t xml:space="preserve">), </w:t>
      </w:r>
      <w:hyperlink r:id="rId1" w:history="1">
        <w:r w:rsidR="00A20013" w:rsidRPr="007620F9">
          <w:rPr>
            <w:rStyle w:val="Hyperlink"/>
            <w:rFonts w:cs="Arial"/>
            <w:u w:val="single"/>
          </w:rPr>
          <w:t>https://www.amnesty.org/es/documents/amr53/6379/2023/es/</w:t>
        </w:r>
      </w:hyperlink>
      <w:r w:rsidR="00A20013">
        <w:t xml:space="preserve"> </w:t>
      </w:r>
      <w:r w:rsidR="00335618">
        <w:t xml:space="preserve"> </w:t>
      </w:r>
    </w:p>
  </w:footnote>
  <w:footnote w:id="3">
    <w:p w14:paraId="79AF2B2C" w14:textId="5BA7182B" w:rsidR="00493341" w:rsidRPr="00493341" w:rsidRDefault="00493341">
      <w:pPr>
        <w:pStyle w:val="FootnoteText"/>
      </w:pPr>
      <w:r>
        <w:rPr>
          <w:rStyle w:val="FootnoteReference"/>
        </w:rPr>
        <w:footnoteRef/>
      </w:r>
      <w:r>
        <w:t xml:space="preserve"> </w:t>
      </w:r>
      <w:r w:rsidR="00386825">
        <w:t>Servicio Autónomo de Imprenta</w:t>
      </w:r>
      <w:r w:rsidR="00055617">
        <w:t xml:space="preserve"> Nacional</w:t>
      </w:r>
      <w:r w:rsidR="00386825">
        <w:t xml:space="preserve"> y Gaceta </w:t>
      </w:r>
      <w:r w:rsidR="00055617">
        <w:t xml:space="preserve">Oficial, </w:t>
      </w:r>
      <w:r w:rsidR="00055617" w:rsidRPr="00055617">
        <w:t xml:space="preserve">Gaceta </w:t>
      </w:r>
      <w:r w:rsidR="00055617">
        <w:t>Oficial número 6.646 Extraordinaria, 17 de septiembre de 2021</w:t>
      </w:r>
      <w:r w:rsidR="0097594A">
        <w:t xml:space="preserve">, Ley Orgánica de Código de Justicia Militar, </w:t>
      </w:r>
      <w:hyperlink r:id="rId2" w:history="1">
        <w:r w:rsidR="0097594A" w:rsidRPr="00873F86">
          <w:rPr>
            <w:rStyle w:val="Hyperlink"/>
            <w:rFonts w:cs="Arial"/>
            <w:u w:val="single"/>
          </w:rPr>
          <w:t>http://spgoin.imprentanacional.gob.ve/cgi-win/be_alex.cgi?Documento=T028700036801/0&amp;Nombrebd=spgoin&amp;CodAsocDoc=2650&amp;t04=1&amp;t05=png&amp;Sesion=1363484759</w:t>
        </w:r>
      </w:hyperlink>
      <w:r w:rsidR="0097594A">
        <w:t xml:space="preserve"> </w:t>
      </w:r>
    </w:p>
  </w:footnote>
  <w:footnote w:id="4">
    <w:p w14:paraId="1934C79A" w14:textId="59A4EDE9" w:rsidR="00CF61AE" w:rsidRPr="00CF61AE" w:rsidRDefault="00CF61AE">
      <w:pPr>
        <w:pStyle w:val="FootnoteText"/>
        <w:rPr>
          <w:lang w:val="es-MX"/>
        </w:rPr>
      </w:pPr>
      <w:r>
        <w:rPr>
          <w:rStyle w:val="FootnoteReference"/>
        </w:rPr>
        <w:footnoteRef/>
      </w:r>
      <w:r>
        <w:t xml:space="preserve"> Tribunal Supremo de Justicia,</w:t>
      </w:r>
      <w:r w:rsidR="003A2FB2">
        <w:t xml:space="preserve"> Jurisprudencia del Tribunal Supremo de Justicia, </w:t>
      </w:r>
      <w:r w:rsidR="003A2FB2" w:rsidRPr="003A2FB2">
        <w:t xml:space="preserve">Nulidad del aparte único Art 565 Cod. </w:t>
      </w:r>
      <w:proofErr w:type="spellStart"/>
      <w:r w:rsidR="003A2FB2" w:rsidRPr="003A2FB2">
        <w:t>Org</w:t>
      </w:r>
      <w:proofErr w:type="spellEnd"/>
      <w:r w:rsidR="003A2FB2" w:rsidRPr="003A2FB2">
        <w:t>. Justicia Militar 2021</w:t>
      </w:r>
      <w:r w:rsidR="003A2FB2">
        <w:t>,</w:t>
      </w:r>
      <w:r>
        <w:t xml:space="preserve"> </w:t>
      </w:r>
      <w:r w:rsidR="00576BB3">
        <w:t xml:space="preserve">16 de marzo de 2023, </w:t>
      </w:r>
      <w:hyperlink r:id="rId3" w:history="1">
        <w:r w:rsidR="00576BB3" w:rsidRPr="00576BB3">
          <w:rPr>
            <w:rStyle w:val="Hyperlink"/>
            <w:rFonts w:cs="Arial"/>
            <w:u w:val="single"/>
            <w:lang w:val="es-MX"/>
          </w:rPr>
          <w:t>http://www.tsj.gob.ve/-/tribunal-supremo-de-justicia-declara-nulidad-de-norma-preconstitucional-del-codigo-organico-de-justicia-militar</w:t>
        </w:r>
      </w:hyperlink>
      <w:r w:rsidR="00576BB3">
        <w:rPr>
          <w:lang w:val="es-MX"/>
        </w:rPr>
        <w:t xml:space="preserve"> </w:t>
      </w:r>
    </w:p>
  </w:footnote>
  <w:footnote w:id="5">
    <w:p w14:paraId="0A589C59" w14:textId="295F9225" w:rsidR="00CF1939" w:rsidRPr="000D2D6F" w:rsidRDefault="00CF1939">
      <w:pPr>
        <w:pStyle w:val="FootnoteText"/>
        <w:rPr>
          <w:lang w:val="es-MX"/>
        </w:rPr>
      </w:pPr>
      <w:r>
        <w:rPr>
          <w:rStyle w:val="FootnoteReference"/>
        </w:rPr>
        <w:footnoteRef/>
      </w:r>
      <w:r>
        <w:t xml:space="preserve"> </w:t>
      </w:r>
      <w:r w:rsidR="000D2D6F">
        <w:t xml:space="preserve">WOLA, </w:t>
      </w:r>
      <w:r w:rsidR="000D2D6F" w:rsidRPr="000D2D6F">
        <w:rPr>
          <w:lang w:val="es-MX"/>
        </w:rPr>
        <w:t>Justicia para los 33 en Venezuela: ser LGBTIQ+ no es delito</w:t>
      </w:r>
      <w:r w:rsidR="000D2D6F">
        <w:rPr>
          <w:lang w:val="es-MX"/>
        </w:rPr>
        <w:t xml:space="preserve">, 3 de agosto de 2023, </w:t>
      </w:r>
      <w:hyperlink r:id="rId4" w:history="1">
        <w:r w:rsidR="000D2D6F" w:rsidRPr="000D2D6F">
          <w:rPr>
            <w:rStyle w:val="Hyperlink"/>
            <w:rFonts w:cs="Arial"/>
            <w:u w:val="single"/>
            <w:lang w:val="es-MX"/>
          </w:rPr>
          <w:t>https://www.wola.org/es/2023/08/justicia-para-los-33-en-venezuela-ser-lgbtiq-no-es-delito/</w:t>
        </w:r>
      </w:hyperlink>
      <w:r w:rsidR="000D2D6F">
        <w:rPr>
          <w:lang w:val="es-MX"/>
        </w:rPr>
        <w:t xml:space="preserve"> </w:t>
      </w:r>
    </w:p>
  </w:footnote>
  <w:footnote w:id="6">
    <w:p w14:paraId="16A89133" w14:textId="36745415" w:rsidR="00C51CB9" w:rsidRPr="00C51CB9" w:rsidRDefault="001C4A1E" w:rsidP="00C51CB9">
      <w:pPr>
        <w:pStyle w:val="FootnoteText"/>
        <w:rPr>
          <w:lang w:val="es-MX"/>
        </w:rPr>
      </w:pPr>
      <w:r>
        <w:rPr>
          <w:rStyle w:val="FootnoteReference"/>
        </w:rPr>
        <w:footnoteRef/>
      </w:r>
      <w:r>
        <w:t xml:space="preserve"> </w:t>
      </w:r>
      <w:r w:rsidR="00790048">
        <w:t>“</w:t>
      </w:r>
      <w:r w:rsidR="00F833AC" w:rsidRPr="00F833AC">
        <w:t>En el año 2016, el actual gobernante, Nicolás Maduro, mediante el Decreto No 2.248, estableció la "Zona de Desarrollo Estratégico Nacional Arco Minero del Orinoco", la cual ocupa un área de 111.843,70 kilómetros cuadrados (una extensión mayor que la de Austria). La expectativa del Gobierno era extraer y comercializar los yacimientos de oro, diamantes, hierro, bauxita, coltán, cobre, caolín y dolomita</w:t>
      </w:r>
      <w:r w:rsidR="00790048">
        <w:t>”</w:t>
      </w:r>
      <w:r w:rsidR="00F833AC" w:rsidRPr="00F833AC">
        <w:t>.</w:t>
      </w:r>
      <w:r w:rsidR="00F833AC">
        <w:t xml:space="preserve"> </w:t>
      </w:r>
      <w:r w:rsidR="005D4C2A">
        <w:t xml:space="preserve">DW, </w:t>
      </w:r>
      <w:r w:rsidR="00C51CB9" w:rsidRPr="00C51CB9">
        <w:rPr>
          <w:lang w:val="es-MX"/>
        </w:rPr>
        <w:t>El Arco Minero venezolano: una política depredadora</w:t>
      </w:r>
      <w:r w:rsidR="00C51CB9">
        <w:rPr>
          <w:lang w:val="es-MX"/>
        </w:rPr>
        <w:t xml:space="preserve">, 25 de mayo de 2022, </w:t>
      </w:r>
      <w:hyperlink r:id="rId5" w:history="1">
        <w:r w:rsidR="00790048" w:rsidRPr="00790048">
          <w:rPr>
            <w:rStyle w:val="Hyperlink"/>
            <w:rFonts w:cs="Arial"/>
            <w:u w:val="single"/>
            <w:lang w:val="es-MX"/>
          </w:rPr>
          <w:t>https://www.dw.com/es/el-arco-minero-venezolano-una-pol%C3%ADtica-depredadora/a-61934013</w:t>
        </w:r>
      </w:hyperlink>
      <w:r w:rsidR="00790048">
        <w:rPr>
          <w:lang w:val="es-MX"/>
        </w:rPr>
        <w:t xml:space="preserve"> </w:t>
      </w:r>
    </w:p>
    <w:p w14:paraId="362E5A66" w14:textId="5BD721C6" w:rsidR="001C4A1E" w:rsidRPr="001C4A1E" w:rsidRDefault="001C4A1E">
      <w:pPr>
        <w:pStyle w:val="FootnoteText"/>
      </w:pPr>
    </w:p>
  </w:footnote>
  <w:footnote w:id="7">
    <w:p w14:paraId="19FAD888" w14:textId="5649D09F" w:rsidR="00E61B32" w:rsidRPr="00E61B32" w:rsidRDefault="00E61B32">
      <w:pPr>
        <w:pStyle w:val="FootnoteText"/>
        <w:rPr>
          <w:lang w:val="es-MX"/>
        </w:rPr>
      </w:pPr>
      <w:r>
        <w:rPr>
          <w:rStyle w:val="FootnoteReference"/>
        </w:rPr>
        <w:footnoteRef/>
      </w:r>
      <w:r>
        <w:t xml:space="preserve"> Amnistía Internacional, </w:t>
      </w:r>
      <w:r w:rsidRPr="00E61B32">
        <w:t>Venezuela: Paradero e integridad de indígenas yanomami debe esclarecerse de inmediato y garantizarse, 6 de abril</w:t>
      </w:r>
      <w:r>
        <w:t xml:space="preserve">, </w:t>
      </w:r>
      <w:r w:rsidR="00957FD4">
        <w:t xml:space="preserve">(Índice: </w:t>
      </w:r>
      <w:r w:rsidR="00957FD4" w:rsidRPr="00957FD4">
        <w:t>AMR 53/5454/2022</w:t>
      </w:r>
      <w:r w:rsidR="00957FD4">
        <w:t>),</w:t>
      </w:r>
      <w:r w:rsidR="00255835">
        <w:t xml:space="preserve"> </w:t>
      </w:r>
      <w:hyperlink r:id="rId6" w:history="1">
        <w:r w:rsidR="00255835" w:rsidRPr="006C1D2B">
          <w:rPr>
            <w:rStyle w:val="Hyperlink"/>
            <w:rFonts w:cs="Arial"/>
          </w:rPr>
          <w:t>https://www.amnesty.org/es/documents/amr53/5454/2022/es/?utm_source=annual_report&amp;utm_medium=epub&amp;utm_campaign=2021</w:t>
        </w:r>
      </w:hyperlink>
      <w:r w:rsidR="00255835">
        <w:t xml:space="preserve"> </w:t>
      </w:r>
    </w:p>
  </w:footnote>
  <w:footnote w:id="8">
    <w:p w14:paraId="0B4159C0" w14:textId="17870CA7" w:rsidR="008259EF" w:rsidRPr="008259EF" w:rsidRDefault="008259EF">
      <w:pPr>
        <w:pStyle w:val="FootnoteText"/>
      </w:pPr>
      <w:r>
        <w:rPr>
          <w:rStyle w:val="FootnoteReference"/>
        </w:rPr>
        <w:footnoteRef/>
      </w:r>
      <w:r>
        <w:t xml:space="preserve"> Centro para los Defensores y la Justicia, </w:t>
      </w:r>
      <w:r w:rsidR="00615BC1" w:rsidRPr="004253BB">
        <w:rPr>
          <w:i/>
          <w:iCs/>
        </w:rPr>
        <w:t>Situación de las Personas Defensoras de Derechos Humanos en Venezuela</w:t>
      </w:r>
      <w:r w:rsidR="00615BC1">
        <w:t xml:space="preserve">, </w:t>
      </w:r>
      <w:r w:rsidR="0084325F">
        <w:t xml:space="preserve">septiembre 2022, </w:t>
      </w:r>
      <w:hyperlink r:id="rId7" w:history="1">
        <w:r w:rsidR="0084325F" w:rsidRPr="005C5263">
          <w:rPr>
            <w:rStyle w:val="Hyperlink"/>
            <w:rFonts w:cs="Arial"/>
            <w:u w:val="single"/>
          </w:rPr>
          <w:t>https://centrodefensores.org.ve/wp-content/uploads/2022/07/CDJReportePrimerSemestre2022.pdf</w:t>
        </w:r>
      </w:hyperlink>
      <w:r w:rsidR="0084325F">
        <w:t xml:space="preserve">, p. 9. </w:t>
      </w:r>
      <w:r>
        <w:t xml:space="preserve"> </w:t>
      </w:r>
    </w:p>
  </w:footnote>
  <w:footnote w:id="9">
    <w:p w14:paraId="61D24E95" w14:textId="12047C3A" w:rsidR="005F4643" w:rsidRPr="005F4643" w:rsidRDefault="005F4643">
      <w:pPr>
        <w:pStyle w:val="FootnoteText"/>
      </w:pPr>
      <w:r>
        <w:rPr>
          <w:rStyle w:val="FootnoteReference"/>
        </w:rPr>
        <w:footnoteRef/>
      </w:r>
      <w:r>
        <w:t xml:space="preserve"> </w:t>
      </w:r>
      <w:r w:rsidR="00667278">
        <w:t xml:space="preserve">Centro de Derechos Humanos de la Universidad Metropolitana, CEPAZ y otras, </w:t>
      </w:r>
      <w:r w:rsidR="004A2A8D" w:rsidRPr="004A2A8D">
        <w:rPr>
          <w:i/>
          <w:iCs/>
        </w:rPr>
        <w:t>Informe sobre el acceso a la justicia, violencia basada en género y afectación diferenciada de víctimas secundarias mujeres en Venezuela, presentado al Comité CEDAW con arreglo a lo dispuesto en el Artículo 18 de la Convención, abril 2023</w:t>
      </w:r>
      <w:r w:rsidR="004A2A8D">
        <w:t xml:space="preserve">, </w:t>
      </w:r>
      <w:hyperlink r:id="rId8" w:history="1">
        <w:r w:rsidR="004A2A8D" w:rsidRPr="00731AC5">
          <w:rPr>
            <w:rStyle w:val="Hyperlink"/>
            <w:rFonts w:cs="Arial"/>
            <w:u w:val="single"/>
          </w:rPr>
          <w:t>https://cepaz.org/wp-content/uploads/2023/05/CEDAW_Justicia.VBG_.pdf</w:t>
        </w:r>
      </w:hyperlink>
      <w:r w:rsidR="004A2A8D">
        <w:t xml:space="preserve"> </w:t>
      </w:r>
    </w:p>
  </w:footnote>
  <w:footnote w:id="10">
    <w:p w14:paraId="50A055F0" w14:textId="295C7996" w:rsidR="00F61495" w:rsidRPr="00B30D7E" w:rsidRDefault="00F61495">
      <w:pPr>
        <w:pStyle w:val="FootnoteText"/>
        <w:rPr>
          <w:lang w:val="es-MX"/>
        </w:rPr>
      </w:pPr>
      <w:r>
        <w:rPr>
          <w:rStyle w:val="FootnoteReference"/>
        </w:rPr>
        <w:footnoteRef/>
      </w:r>
      <w:r w:rsidRPr="00B30D7E">
        <w:rPr>
          <w:lang w:val="es-MX"/>
        </w:rPr>
        <w:t xml:space="preserve"> Amnistía Internacional, </w:t>
      </w:r>
      <w:r w:rsidR="00B30D7E" w:rsidRPr="00984ADD">
        <w:rPr>
          <w:i/>
          <w:iCs/>
          <w:lang w:val="es-MX"/>
        </w:rPr>
        <w:t>Informe Anual, Situación de los Derechos Humanos en Venezuela, 2022-2023</w:t>
      </w:r>
      <w:r w:rsidR="00B30D7E">
        <w:rPr>
          <w:lang w:val="es-MX"/>
        </w:rPr>
        <w:t xml:space="preserve"> (Índice: </w:t>
      </w:r>
      <w:r w:rsidR="00502CD0" w:rsidRPr="00502CD0">
        <w:rPr>
          <w:lang w:val="es-MX"/>
        </w:rPr>
        <w:t>POL1056702023</w:t>
      </w:r>
      <w:r w:rsidR="00B30D7E">
        <w:rPr>
          <w:lang w:val="es-MX"/>
        </w:rPr>
        <w:t>)</w:t>
      </w:r>
      <w:r w:rsidR="00BE2E21">
        <w:rPr>
          <w:lang w:val="es-MX"/>
        </w:rPr>
        <w:t xml:space="preserve">, </w:t>
      </w:r>
      <w:hyperlink r:id="rId9" w:history="1">
        <w:r w:rsidR="00BE2E21" w:rsidRPr="00BE2E21">
          <w:rPr>
            <w:rStyle w:val="Hyperlink"/>
            <w:rFonts w:cs="Arial"/>
            <w:u w:val="single"/>
            <w:lang w:val="es-MX"/>
          </w:rPr>
          <w:t>https://www.amnesty.org/es/wp-content/uploads/sites/4/2023/04/WEBPOL1056702023SPANISH-2.pdf</w:t>
        </w:r>
      </w:hyperlink>
      <w:r w:rsidR="00BE2E21">
        <w:rPr>
          <w:lang w:val="es-MX"/>
        </w:rPr>
        <w:t xml:space="preserve"> </w:t>
      </w:r>
    </w:p>
  </w:footnote>
  <w:footnote w:id="11">
    <w:p w14:paraId="0ECB5C49" w14:textId="1D57B3E0" w:rsidR="006C5427" w:rsidRPr="002B43D2" w:rsidRDefault="006C5427">
      <w:pPr>
        <w:pStyle w:val="FootnoteText"/>
        <w:rPr>
          <w:lang w:val="es-MX"/>
        </w:rPr>
      </w:pPr>
      <w:r>
        <w:rPr>
          <w:rStyle w:val="FootnoteReference"/>
        </w:rPr>
        <w:footnoteRef/>
      </w:r>
      <w:r>
        <w:t xml:space="preserve"> </w:t>
      </w:r>
      <w:r w:rsidRPr="008A1C43">
        <w:rPr>
          <w:lang w:val="es-MX"/>
        </w:rPr>
        <w:t xml:space="preserve">Amnistía Internacional, </w:t>
      </w:r>
      <w:r>
        <w:rPr>
          <w:i/>
          <w:iCs/>
          <w:lang w:val="es-MX"/>
        </w:rPr>
        <w:t xml:space="preserve">Esto no es vida: </w:t>
      </w:r>
      <w:r w:rsidR="00BB5029" w:rsidRPr="002B43D2">
        <w:rPr>
          <w:i/>
          <w:iCs/>
          <w:lang w:val="es-MX"/>
        </w:rPr>
        <w:t>Seguridad ciudadana y derecho a la vida en Venezuela</w:t>
      </w:r>
      <w:r>
        <w:rPr>
          <w:lang w:val="es-MX"/>
        </w:rPr>
        <w:t xml:space="preserve"> (Índice: </w:t>
      </w:r>
      <w:r w:rsidRPr="00EC0938">
        <w:t xml:space="preserve">AMR </w:t>
      </w:r>
      <w:proofErr w:type="spellStart"/>
      <w:r w:rsidR="007C0288" w:rsidRPr="007C0288">
        <w:t>AMR</w:t>
      </w:r>
      <w:proofErr w:type="spellEnd"/>
      <w:r w:rsidR="007C0288" w:rsidRPr="007C0288">
        <w:t xml:space="preserve"> 53/8975/2018</w:t>
      </w:r>
      <w:r>
        <w:t>), 2</w:t>
      </w:r>
      <w:r w:rsidR="007C0288">
        <w:t>0 de septiembre de 2018</w:t>
      </w:r>
      <w:r>
        <w:t>,</w:t>
      </w:r>
      <w:r w:rsidRPr="00306CAB">
        <w:t xml:space="preserve"> </w:t>
      </w:r>
      <w:hyperlink r:id="rId10" w:history="1">
        <w:r w:rsidR="007E2B5E" w:rsidRPr="007620F9">
          <w:rPr>
            <w:rStyle w:val="Hyperlink"/>
            <w:rFonts w:cs="Arial"/>
            <w:u w:val="single"/>
          </w:rPr>
          <w:t>https://www.amnesty.org/es/documents/amr53/8975/2018/es/</w:t>
        </w:r>
      </w:hyperlink>
      <w:r w:rsidR="007E2B5E">
        <w:t xml:space="preserve">, p. 34 y ss. </w:t>
      </w:r>
    </w:p>
  </w:footnote>
  <w:footnote w:id="12">
    <w:p w14:paraId="26E48A65" w14:textId="0D1545AC" w:rsidR="00D705DD" w:rsidRPr="00CB1E05" w:rsidRDefault="00D705DD">
      <w:pPr>
        <w:pStyle w:val="FootnoteText"/>
        <w:rPr>
          <w:lang w:val="es-MX"/>
        </w:rPr>
      </w:pPr>
      <w:r>
        <w:rPr>
          <w:rStyle w:val="FootnoteReference"/>
        </w:rPr>
        <w:footnoteRef/>
      </w:r>
      <w:r w:rsidRPr="00CB1E05">
        <w:t xml:space="preserve"> </w:t>
      </w:r>
      <w:r w:rsidRPr="00A40AD9">
        <w:rPr>
          <w:lang w:val="es-MX"/>
        </w:rPr>
        <w:t>O</w:t>
      </w:r>
      <w:r w:rsidRPr="00CB1E05">
        <w:rPr>
          <w:lang w:val="es-MX"/>
        </w:rPr>
        <w:t xml:space="preserve">ACNUDH, </w:t>
      </w:r>
      <w:r w:rsidR="00A40AD9" w:rsidRPr="00CB1E05">
        <w:rPr>
          <w:i/>
          <w:iCs/>
        </w:rPr>
        <w:t>Los derechos humanos en la República Bolivariana de Venezuela Informe de la Alta Comisionada de las Naciones Unidas para los Derechos Humanos</w:t>
      </w:r>
      <w:r w:rsidR="00A40AD9">
        <w:t xml:space="preserve">, 9 de octubre de 2019, </w:t>
      </w:r>
      <w:r w:rsidR="007B63FA">
        <w:t xml:space="preserve">Documento de Naciones Unidas número A/HRC/41/18, </w:t>
      </w:r>
      <w:hyperlink r:id="rId11" w:history="1">
        <w:r w:rsidR="007B63FA" w:rsidRPr="007620F9">
          <w:rPr>
            <w:rStyle w:val="Hyperlink"/>
            <w:rFonts w:cs="Arial"/>
            <w:u w:val="single"/>
          </w:rPr>
          <w:t>https://documents-dds-ny.un.org/doc/UNDOC/GEN/G19/301/95/PDF/G1930195.pdf?OpenElement</w:t>
        </w:r>
      </w:hyperlink>
      <w:r w:rsidR="007B63FA">
        <w:t xml:space="preserve">, párr. 50.  </w:t>
      </w:r>
    </w:p>
  </w:footnote>
  <w:footnote w:id="13">
    <w:p w14:paraId="678C5559" w14:textId="09414924" w:rsidR="00C068DA" w:rsidRPr="0051194D" w:rsidRDefault="00C068DA">
      <w:pPr>
        <w:pStyle w:val="FootnoteText"/>
      </w:pPr>
      <w:r>
        <w:rPr>
          <w:rStyle w:val="FootnoteReference"/>
        </w:rPr>
        <w:footnoteRef/>
      </w:r>
      <w:r>
        <w:t xml:space="preserve"> </w:t>
      </w:r>
      <w:r w:rsidR="0051194D">
        <w:t xml:space="preserve">Misión Internacional e Independiente de Verificación de los Hechos de las Naciones Unidas sobre Venezuela (MIIDH), </w:t>
      </w:r>
      <w:r w:rsidR="0051194D" w:rsidRPr="009D4B0A">
        <w:rPr>
          <w:i/>
          <w:iCs/>
        </w:rPr>
        <w:t>Conclusiones detalladas de la Misión internacional independiente de determinación de los hechos sobre la República Bolivariana de Venezuela</w:t>
      </w:r>
      <w:r w:rsidR="0051194D">
        <w:t xml:space="preserve">, </w:t>
      </w:r>
      <w:r w:rsidR="0051194D" w:rsidRPr="009D4B0A">
        <w:t>15 de septiembre de 2020</w:t>
      </w:r>
      <w:r w:rsidR="0051194D">
        <w:t>,</w:t>
      </w:r>
      <w:r w:rsidR="00E54E06">
        <w:t xml:space="preserve"> Número de documento de Naciones Unidas </w:t>
      </w:r>
      <w:r w:rsidR="0051194D" w:rsidRPr="00446E93">
        <w:t>A/HRC/45/CRP.11</w:t>
      </w:r>
      <w:r w:rsidR="0051194D">
        <w:t xml:space="preserve">, </w:t>
      </w:r>
      <w:hyperlink r:id="rId12" w:history="1">
        <w:r w:rsidR="00E54E06" w:rsidRPr="007620F9">
          <w:rPr>
            <w:rStyle w:val="Hyperlink"/>
            <w:rFonts w:cs="Arial"/>
            <w:u w:val="single"/>
          </w:rPr>
          <w:t>https://www.ohchr.org/sites/default/files/Documents/HRBodies/HRCouncil/FFMV/A_HRC_45_CRP.11_SP.pdf</w:t>
        </w:r>
      </w:hyperlink>
      <w:r w:rsidR="00E54E06">
        <w:t xml:space="preserve">, </w:t>
      </w:r>
      <w:r w:rsidR="0051194D">
        <w:t xml:space="preserve">párr. </w:t>
      </w:r>
      <w:r w:rsidR="00F17483">
        <w:t xml:space="preserve">2088 (b). </w:t>
      </w:r>
      <w:r w:rsidR="0051194D">
        <w:t xml:space="preserve"> </w:t>
      </w:r>
    </w:p>
  </w:footnote>
  <w:footnote w:id="14">
    <w:p w14:paraId="53A5DFF5" w14:textId="2A1213EA" w:rsidR="00D128E1" w:rsidRPr="00CB1E05" w:rsidRDefault="00D128E1">
      <w:pPr>
        <w:pStyle w:val="FootnoteText"/>
        <w:rPr>
          <w:lang w:val="es-MX"/>
        </w:rPr>
      </w:pPr>
      <w:r>
        <w:rPr>
          <w:rStyle w:val="FootnoteReference"/>
        </w:rPr>
        <w:footnoteRef/>
      </w:r>
      <w:r>
        <w:t xml:space="preserve"> </w:t>
      </w:r>
      <w:r w:rsidRPr="00A40AD9">
        <w:rPr>
          <w:lang w:val="es-MX"/>
        </w:rPr>
        <w:t>O</w:t>
      </w:r>
      <w:r w:rsidRPr="00895C48">
        <w:rPr>
          <w:lang w:val="es-MX"/>
        </w:rPr>
        <w:t xml:space="preserve">ACNUDH, </w:t>
      </w:r>
      <w:r w:rsidRPr="00895C48">
        <w:rPr>
          <w:i/>
          <w:iCs/>
        </w:rPr>
        <w:t>Los derechos humanos en la República Bolivariana de Venezuela Informe de la Alta Comisionada de las Naciones Unidas para los Derechos Humanos</w:t>
      </w:r>
      <w:r>
        <w:t xml:space="preserve">, 9 de octubre de 2019, Documento de Naciones Unidas número A/HRC/41/18, </w:t>
      </w:r>
      <w:hyperlink r:id="rId13" w:history="1">
        <w:r w:rsidRPr="007620F9">
          <w:rPr>
            <w:rStyle w:val="Hyperlink"/>
            <w:rFonts w:cs="Arial"/>
            <w:u w:val="single"/>
          </w:rPr>
          <w:t>https://documents-dds-ny.un.org/doc/UNDOC/GEN/G19/301/95/PDF/G1930195.pdf?OpenElement</w:t>
        </w:r>
      </w:hyperlink>
      <w:r>
        <w:t>, párr. 81.</w:t>
      </w:r>
    </w:p>
  </w:footnote>
  <w:footnote w:id="15">
    <w:p w14:paraId="2CEAEDDD" w14:textId="750CDD2D" w:rsidR="0014715E" w:rsidRPr="00A40AD9" w:rsidRDefault="0014715E">
      <w:pPr>
        <w:pStyle w:val="FootnoteText"/>
        <w:rPr>
          <w:lang w:val="es-MX"/>
        </w:rPr>
      </w:pPr>
      <w:r>
        <w:rPr>
          <w:rStyle w:val="FootnoteReference"/>
        </w:rPr>
        <w:footnoteRef/>
      </w:r>
      <w:r w:rsidRPr="00CB1E05">
        <w:rPr>
          <w:lang w:val="es-MX"/>
        </w:rPr>
        <w:t xml:space="preserve"> </w:t>
      </w:r>
      <w:r w:rsidR="00695CDB">
        <w:rPr>
          <w:lang w:val="es-MX"/>
        </w:rPr>
        <w:t xml:space="preserve">Amnistía Internacional, </w:t>
      </w:r>
      <w:r w:rsidR="00695CDB" w:rsidRPr="00695CDB">
        <w:rPr>
          <w:lang w:val="es-MX"/>
        </w:rPr>
        <w:t>Venezuela: Impunidad ante política letal de control social</w:t>
      </w:r>
      <w:r w:rsidR="00695CDB">
        <w:rPr>
          <w:lang w:val="es-MX"/>
        </w:rPr>
        <w:t xml:space="preserve">, 18 de febrero de 2021, </w:t>
      </w:r>
      <w:r w:rsidR="003D01A0">
        <w:rPr>
          <w:lang w:val="es-MX"/>
        </w:rPr>
        <w:t>(</w:t>
      </w:r>
      <w:r w:rsidR="00FF4F12">
        <w:rPr>
          <w:lang w:val="es-MX"/>
        </w:rPr>
        <w:t>Í</w:t>
      </w:r>
      <w:r w:rsidR="003D01A0">
        <w:rPr>
          <w:lang w:val="es-MX"/>
        </w:rPr>
        <w:t>n</w:t>
      </w:r>
      <w:r w:rsidR="00FF4F12">
        <w:rPr>
          <w:lang w:val="es-MX"/>
        </w:rPr>
        <w:t xml:space="preserve">dice: </w:t>
      </w:r>
      <w:r w:rsidR="003D01A0" w:rsidRPr="003D01A0">
        <w:t>AMR 53/3632/2021</w:t>
      </w:r>
      <w:r w:rsidR="003D01A0">
        <w:t>)</w:t>
      </w:r>
      <w:r w:rsidR="00247C19">
        <w:t xml:space="preserve">, </w:t>
      </w:r>
      <w:hyperlink r:id="rId14" w:history="1">
        <w:r w:rsidR="00247C19" w:rsidRPr="007620F9">
          <w:rPr>
            <w:rStyle w:val="Hyperlink"/>
            <w:rFonts w:cs="Arial"/>
            <w:u w:val="single"/>
          </w:rPr>
          <w:t>https://www.amnesty.org/es/documents/amr53/3632/2021/es/</w:t>
        </w:r>
      </w:hyperlink>
      <w:r w:rsidR="00247C19">
        <w:t xml:space="preserve"> </w:t>
      </w:r>
      <w:r w:rsidR="007E794F" w:rsidRPr="00A40AD9">
        <w:rPr>
          <w:lang w:val="es-MX"/>
        </w:rPr>
        <w:t> </w:t>
      </w:r>
      <w:r w:rsidR="007E794F" w:rsidRPr="00CB1E05">
        <w:rPr>
          <w:lang w:val="es-MX"/>
        </w:rPr>
        <w:t> </w:t>
      </w:r>
    </w:p>
  </w:footnote>
  <w:footnote w:id="16">
    <w:p w14:paraId="4BA788D9" w14:textId="6E895A80" w:rsidR="0032673E" w:rsidRPr="0032673E" w:rsidRDefault="0032673E">
      <w:pPr>
        <w:pStyle w:val="FootnoteText"/>
      </w:pPr>
      <w:r>
        <w:rPr>
          <w:rStyle w:val="FootnoteReference"/>
        </w:rPr>
        <w:footnoteRef/>
      </w:r>
      <w:r>
        <w:t xml:space="preserve"> </w:t>
      </w:r>
      <w:r w:rsidRPr="00306CAB">
        <w:t>Amnistía Internacional,</w:t>
      </w:r>
      <w:r w:rsidRPr="00306CAB">
        <w:rPr>
          <w:lang w:val="es-MX"/>
        </w:rPr>
        <w:t xml:space="preserve"> </w:t>
      </w:r>
      <w:r w:rsidRPr="00306CAB">
        <w:rPr>
          <w:i/>
          <w:iCs/>
          <w:lang w:val="es-MX"/>
        </w:rPr>
        <w:t>Hambre de justicia: Crímenes de lesa humanidad en Venezuela</w:t>
      </w:r>
      <w:r>
        <w:rPr>
          <w:lang w:val="es-MX"/>
        </w:rPr>
        <w:t xml:space="preserve"> (Índice: </w:t>
      </w:r>
      <w:r w:rsidRPr="00056471">
        <w:t>AMR 53/0222/2019</w:t>
      </w:r>
      <w:r>
        <w:t xml:space="preserve">), 14 de mayo de 2019, </w:t>
      </w:r>
      <w:hyperlink r:id="rId15" w:history="1">
        <w:r w:rsidRPr="003315A8">
          <w:rPr>
            <w:rStyle w:val="Hyperlink"/>
            <w:rFonts w:cs="Arial"/>
            <w:u w:val="single"/>
          </w:rPr>
          <w:t>https://www.amnesty.org/es/documents/amr53/0222/2019/es/</w:t>
        </w:r>
      </w:hyperlink>
      <w:r>
        <w:t xml:space="preserve">, </w:t>
      </w:r>
      <w:r w:rsidR="00CB1E05">
        <w:t>p.16.</w:t>
      </w:r>
      <w:r>
        <w:t xml:space="preserve"> </w:t>
      </w:r>
    </w:p>
  </w:footnote>
  <w:footnote w:id="17">
    <w:p w14:paraId="5F67F200" w14:textId="5A51272C" w:rsidR="00CA6414" w:rsidRDefault="00CA6414">
      <w:pPr>
        <w:pStyle w:val="FootnoteText"/>
      </w:pPr>
      <w:r>
        <w:rPr>
          <w:rStyle w:val="FootnoteReference"/>
        </w:rPr>
        <w:footnoteRef/>
      </w:r>
      <w:r>
        <w:t xml:space="preserve"> </w:t>
      </w:r>
      <w:r w:rsidR="000C1D0C">
        <w:t xml:space="preserve">MIIDH, </w:t>
      </w:r>
      <w:r w:rsidR="008D0D55" w:rsidRPr="008D0D55">
        <w:rPr>
          <w:i/>
          <w:iCs/>
        </w:rPr>
        <w:t>Conclusiones detalladas de la Misión internacional independiente de determinación de los hechos sobre la República Bolivariana de Venezuela</w:t>
      </w:r>
      <w:r w:rsidR="000C1D0C">
        <w:rPr>
          <w:i/>
          <w:iCs/>
        </w:rPr>
        <w:t xml:space="preserve">, </w:t>
      </w:r>
      <w:r w:rsidR="002B4095">
        <w:t>16</w:t>
      </w:r>
      <w:r w:rsidR="000C1D0C">
        <w:t xml:space="preserve"> de septiembre de 202</w:t>
      </w:r>
      <w:r w:rsidR="002B4095">
        <w:t>1</w:t>
      </w:r>
      <w:r w:rsidR="000C1D0C">
        <w:t xml:space="preserve">, </w:t>
      </w:r>
      <w:r w:rsidR="00524CAE">
        <w:t xml:space="preserve">Número de documento de Naciones Unidas </w:t>
      </w:r>
      <w:r w:rsidR="00407032" w:rsidRPr="00407032">
        <w:t>A/HRC/48/CRP.5</w:t>
      </w:r>
      <w:r w:rsidR="009C49A0">
        <w:t>,</w:t>
      </w:r>
      <w:r w:rsidR="009C49A0" w:rsidRPr="002428D8">
        <w:rPr>
          <w:u w:val="single"/>
        </w:rPr>
        <w:t xml:space="preserve"> </w:t>
      </w:r>
      <w:hyperlink r:id="rId16" w:history="1">
        <w:r w:rsidR="009C49A0" w:rsidRPr="002428D8">
          <w:rPr>
            <w:rStyle w:val="Hyperlink"/>
            <w:rFonts w:cs="Arial"/>
            <w:u w:val="single"/>
          </w:rPr>
          <w:t>https://www.ohchr.org/sites/default/files/Documents/HRBodies/HRCouncil/FFMV/A-HRC-48-CRP.5_SP.pdf</w:t>
        </w:r>
      </w:hyperlink>
      <w:r w:rsidR="009C49A0">
        <w:t xml:space="preserve"> </w:t>
      </w:r>
    </w:p>
    <w:p w14:paraId="1E255956" w14:textId="1BFE7E70" w:rsidR="00A046F0" w:rsidRPr="003D2EB7" w:rsidRDefault="00A046F0">
      <w:pPr>
        <w:pStyle w:val="FootnoteText"/>
      </w:pPr>
      <w:r>
        <w:t xml:space="preserve">OACNUDH, </w:t>
      </w:r>
      <w:r w:rsidR="003D2EB7" w:rsidRPr="000E5AD8">
        <w:rPr>
          <w:i/>
          <w:iCs/>
        </w:rPr>
        <w:t>Independencia del sistema judicial y acceso a la justicia en la República Bolivariana de Venezuela, también respecto de las violaciones de los derechos económicos y sociales, y situación de los derechos humanos en la región del Arco Minero del Orinoco</w:t>
      </w:r>
      <w:r w:rsidR="003D2EB7">
        <w:t xml:space="preserve">, </w:t>
      </w:r>
      <w:r w:rsidR="00524CAE">
        <w:t>Informe de la Alta Comisionada de las Naciones Unidas para los Derechos Humanos</w:t>
      </w:r>
      <w:r w:rsidR="002C765E">
        <w:t xml:space="preserve">, </w:t>
      </w:r>
      <w:r w:rsidR="004A09CC">
        <w:t xml:space="preserve">29 de septiembre de 2020, Número de documento de Naciones Unidas </w:t>
      </w:r>
      <w:r w:rsidR="003A2B30">
        <w:t>A/HRC/44/54.</w:t>
      </w:r>
      <w:r w:rsidR="00535E23">
        <w:t xml:space="preserve"> </w:t>
      </w:r>
      <w:hyperlink r:id="rId17" w:history="1">
        <w:r w:rsidR="00535E23" w:rsidRPr="00495CFA">
          <w:rPr>
            <w:rStyle w:val="Hyperlink"/>
            <w:rFonts w:cs="Arial"/>
          </w:rPr>
          <w:t>https://www.ohchr.org/es/documents/country-reports/independence-justice-system-and-access-justice-bolivarian-republic</w:t>
        </w:r>
      </w:hyperlink>
      <w:r w:rsidR="00535E23">
        <w:t xml:space="preserve"> </w:t>
      </w:r>
      <w:r w:rsidR="003A2B30">
        <w:t xml:space="preserve"> </w:t>
      </w:r>
    </w:p>
  </w:footnote>
  <w:footnote w:id="18">
    <w:p w14:paraId="12F9085D" w14:textId="4C710B80" w:rsidR="00724341" w:rsidRPr="00724341" w:rsidRDefault="00724341">
      <w:pPr>
        <w:pStyle w:val="FootnoteText"/>
      </w:pPr>
      <w:r>
        <w:rPr>
          <w:rStyle w:val="FootnoteReference"/>
        </w:rPr>
        <w:footnoteRef/>
      </w:r>
      <w:r>
        <w:t xml:space="preserve"> </w:t>
      </w:r>
      <w:r w:rsidR="001A62AF">
        <w:t xml:space="preserve">Amnistía Internacional, </w:t>
      </w:r>
      <w:r w:rsidR="001A62AF" w:rsidRPr="009051E1">
        <w:rPr>
          <w:i/>
          <w:iCs/>
        </w:rPr>
        <w:t xml:space="preserve">Venezuela: </w:t>
      </w:r>
      <w:r w:rsidR="001A62AF" w:rsidRPr="009051E1">
        <w:rPr>
          <w:i/>
          <w:iCs/>
          <w:lang w:val="es-MX"/>
        </w:rPr>
        <w:t>Morir ante un juez: detención arbitraria, desaparición forzada, tortura y muerte de Rafael Acosta Arévalo</w:t>
      </w:r>
      <w:r w:rsidR="001A62AF">
        <w:rPr>
          <w:lang w:val="es-MX"/>
        </w:rPr>
        <w:t xml:space="preserve"> (Índice </w:t>
      </w:r>
      <w:r w:rsidR="001A62AF" w:rsidRPr="006F7372">
        <w:rPr>
          <w:lang w:val="es-MX"/>
        </w:rPr>
        <w:t>AMR 53/2909/2020</w:t>
      </w:r>
      <w:r w:rsidR="001A62AF">
        <w:rPr>
          <w:lang w:val="es-MX"/>
        </w:rPr>
        <w:t xml:space="preserve">), 4 de septiembre de 2020, </w:t>
      </w:r>
      <w:hyperlink r:id="rId18" w:history="1">
        <w:r w:rsidR="001A62AF" w:rsidRPr="007E4BE4">
          <w:rPr>
            <w:rStyle w:val="Hyperlink"/>
            <w:rFonts w:cs="Arial"/>
            <w:u w:val="single"/>
            <w:lang w:val="es-MX"/>
          </w:rPr>
          <w:t>https://www.amnesty.org/es/documents/amr53/2909/2020/es/</w:t>
        </w:r>
      </w:hyperlink>
      <w:r w:rsidR="001A62AF">
        <w:rPr>
          <w:rStyle w:val="Hyperlink"/>
          <w:rFonts w:cs="Arial"/>
          <w:u w:val="single"/>
          <w:lang w:val="es-MX"/>
        </w:rPr>
        <w:t xml:space="preserve"> </w:t>
      </w:r>
    </w:p>
  </w:footnote>
  <w:footnote w:id="19">
    <w:p w14:paraId="5966A4C8" w14:textId="718DAD79" w:rsidR="00207F6D" w:rsidRPr="00207F6D" w:rsidRDefault="00207F6D">
      <w:pPr>
        <w:pStyle w:val="FootnoteText"/>
        <w:rPr>
          <w:lang w:val="es-MX"/>
        </w:rPr>
      </w:pPr>
      <w:r>
        <w:rPr>
          <w:rStyle w:val="FootnoteReference"/>
        </w:rPr>
        <w:footnoteRef/>
      </w:r>
      <w:r>
        <w:t xml:space="preserve"> </w:t>
      </w:r>
      <w:r w:rsidR="002072E5">
        <w:t xml:space="preserve">Amnistía Internacional, </w:t>
      </w:r>
      <w:r w:rsidR="00E21AF5">
        <w:t>“</w:t>
      </w:r>
      <w:r w:rsidR="002072E5" w:rsidRPr="005D2490">
        <w:rPr>
          <w:lang w:val="es-MX"/>
        </w:rPr>
        <w:t>Venezuela: Masacre en centro de detención en Guanare no debe quedar impune</w:t>
      </w:r>
      <w:r w:rsidR="00E21AF5">
        <w:rPr>
          <w:lang w:val="es-MX"/>
        </w:rPr>
        <w:t>”</w:t>
      </w:r>
      <w:r w:rsidR="002072E5">
        <w:rPr>
          <w:lang w:val="es-MX"/>
        </w:rPr>
        <w:t xml:space="preserve">, 2 de mayo de 2020, </w:t>
      </w:r>
      <w:hyperlink r:id="rId19" w:history="1">
        <w:r w:rsidR="0094644C" w:rsidRPr="004769D4">
          <w:rPr>
            <w:rStyle w:val="Hyperlink"/>
            <w:rFonts w:cs="Arial"/>
            <w:u w:val="single"/>
            <w:lang w:val="es-MX"/>
          </w:rPr>
          <w:t>https://www.amnesty.org/es/latest/news/2020/05/venezuela-masacre-centro-detencion-guanare-no-debe-quedar-impune/</w:t>
        </w:r>
      </w:hyperlink>
      <w:r w:rsidR="0094644C">
        <w:rPr>
          <w:lang w:val="es-MX"/>
        </w:rPr>
        <w:t xml:space="preserve"> </w:t>
      </w:r>
    </w:p>
  </w:footnote>
  <w:footnote w:id="20">
    <w:p w14:paraId="1D1C6766" w14:textId="77777777" w:rsidR="008601E4" w:rsidRPr="004E3813" w:rsidRDefault="008601E4" w:rsidP="008601E4">
      <w:pPr>
        <w:pStyle w:val="FootnoteText"/>
      </w:pPr>
      <w:r>
        <w:rPr>
          <w:rStyle w:val="FootnoteReference"/>
        </w:rPr>
        <w:footnoteRef/>
      </w:r>
      <w:r>
        <w:t xml:space="preserve"> Foro Penal, R</w:t>
      </w:r>
      <w:r w:rsidRPr="005558CB">
        <w:t>eporte sobre la represión en Venezuela. Año 2021</w:t>
      </w:r>
      <w:r>
        <w:t xml:space="preserve">, 13 de enero de 2022, </w:t>
      </w:r>
      <w:hyperlink r:id="rId20" w:history="1">
        <w:r w:rsidRPr="00B9647E">
          <w:rPr>
            <w:rStyle w:val="Hyperlink"/>
            <w:rFonts w:cs="Arial"/>
            <w:u w:val="single"/>
          </w:rPr>
          <w:t>https://foropenal.com/reporte-sobre-la-represion-en-venezuela-ano-2021/</w:t>
        </w:r>
      </w:hyperlink>
      <w:r>
        <w:t xml:space="preserve">, p. 4.  </w:t>
      </w:r>
    </w:p>
  </w:footnote>
  <w:footnote w:id="21">
    <w:p w14:paraId="677FC916" w14:textId="5C684852" w:rsidR="003378EC" w:rsidRPr="003378EC" w:rsidRDefault="003378EC">
      <w:pPr>
        <w:pStyle w:val="FootnoteText"/>
        <w:rPr>
          <w:lang w:val="es-MX"/>
        </w:rPr>
      </w:pPr>
      <w:r>
        <w:rPr>
          <w:rStyle w:val="FootnoteReference"/>
        </w:rPr>
        <w:footnoteRef/>
      </w:r>
      <w:r>
        <w:t xml:space="preserve"> </w:t>
      </w:r>
      <w:r>
        <w:rPr>
          <w:lang w:val="es-MX"/>
        </w:rPr>
        <w:t xml:space="preserve">Informe del Estado venezolano a la lista de cuestiones del Comité de Derechos Humanos para. 74. </w:t>
      </w:r>
    </w:p>
  </w:footnote>
  <w:footnote w:id="22">
    <w:p w14:paraId="714AA32D" w14:textId="1E13E8EA" w:rsidR="00E94C6E" w:rsidRPr="00E94C6E" w:rsidRDefault="00E94C6E">
      <w:pPr>
        <w:pStyle w:val="FootnoteText"/>
      </w:pPr>
      <w:r>
        <w:rPr>
          <w:rStyle w:val="FootnoteReference"/>
        </w:rPr>
        <w:footnoteRef/>
      </w:r>
      <w:r>
        <w:t xml:space="preserve"> Amnistía Internacional, </w:t>
      </w:r>
      <w:r w:rsidRPr="009051E1">
        <w:rPr>
          <w:i/>
          <w:iCs/>
        </w:rPr>
        <w:t xml:space="preserve">Venezuela: </w:t>
      </w:r>
      <w:r w:rsidRPr="009051E1">
        <w:rPr>
          <w:i/>
          <w:iCs/>
          <w:lang w:val="es-MX"/>
        </w:rPr>
        <w:t>Morir ante un juez: detención arbitraria, desaparición forzada, tortura y muerte de Rafael Acosta Arévalo</w:t>
      </w:r>
      <w:r>
        <w:rPr>
          <w:lang w:val="es-MX"/>
        </w:rPr>
        <w:t xml:space="preserve"> (Índice </w:t>
      </w:r>
      <w:r w:rsidRPr="006F7372">
        <w:rPr>
          <w:lang w:val="es-MX"/>
        </w:rPr>
        <w:t>AMR 53/2909/2020</w:t>
      </w:r>
      <w:r>
        <w:rPr>
          <w:lang w:val="es-MX"/>
        </w:rPr>
        <w:t xml:space="preserve">), 4 de septiembre de 2020, </w:t>
      </w:r>
      <w:hyperlink r:id="rId21" w:history="1">
        <w:r w:rsidRPr="007E4BE4">
          <w:rPr>
            <w:rStyle w:val="Hyperlink"/>
            <w:rFonts w:cs="Arial"/>
            <w:u w:val="single"/>
            <w:lang w:val="es-MX"/>
          </w:rPr>
          <w:t>https://www.amnesty.org/es/documents/amr53/2909/2020/es/</w:t>
        </w:r>
      </w:hyperlink>
    </w:p>
  </w:footnote>
  <w:footnote w:id="23">
    <w:p w14:paraId="6B6D79ED" w14:textId="70F687E3" w:rsidR="00D41AC3" w:rsidRPr="00D41AC3" w:rsidRDefault="00D41AC3">
      <w:pPr>
        <w:pStyle w:val="FootnoteText"/>
      </w:pPr>
      <w:r>
        <w:rPr>
          <w:rStyle w:val="FootnoteReference"/>
        </w:rPr>
        <w:footnoteRef/>
      </w:r>
      <w:r>
        <w:t xml:space="preserve"> MIIDH, </w:t>
      </w:r>
      <w:r w:rsidRPr="008D0D55">
        <w:rPr>
          <w:i/>
          <w:iCs/>
        </w:rPr>
        <w:t>Conclusiones detalladas de la Misión internacional independiente de determinación de los hechos sobre la República Bolivariana de Venezuela</w:t>
      </w:r>
      <w:r>
        <w:rPr>
          <w:i/>
          <w:iCs/>
        </w:rPr>
        <w:t xml:space="preserve">, </w:t>
      </w:r>
      <w:r>
        <w:t xml:space="preserve">16 de septiembre de 2021, Número de documento de Naciones Unidas </w:t>
      </w:r>
      <w:r w:rsidRPr="00407032">
        <w:t>A/HRC/48/CRP.5</w:t>
      </w:r>
      <w:r>
        <w:t xml:space="preserve">, </w:t>
      </w:r>
      <w:hyperlink r:id="rId22" w:history="1">
        <w:r w:rsidR="00A5342C" w:rsidRPr="002428D8">
          <w:rPr>
            <w:rStyle w:val="Hyperlink"/>
            <w:rFonts w:cs="Arial"/>
            <w:u w:val="single"/>
          </w:rPr>
          <w:t>https://www.ohchr.org/sites/default/files/Documents/HRBodies/HRCouncil/FFMV/A-HRC-48-CRP.5_SP.pdf</w:t>
        </w:r>
      </w:hyperlink>
      <w:r w:rsidR="00A5342C">
        <w:t xml:space="preserve">, </w:t>
      </w:r>
      <w:r>
        <w:t xml:space="preserve">párr. </w:t>
      </w:r>
      <w:r w:rsidR="007A4CF6">
        <w:t xml:space="preserve">412-423. </w:t>
      </w:r>
    </w:p>
  </w:footnote>
  <w:footnote w:id="24">
    <w:p w14:paraId="5B3B988D" w14:textId="2FF83A8E" w:rsidR="007D0E7A" w:rsidRPr="004959F4" w:rsidRDefault="007D0E7A">
      <w:pPr>
        <w:pStyle w:val="FootnoteText"/>
        <w:rPr>
          <w:lang w:val="es-MX"/>
        </w:rPr>
      </w:pPr>
      <w:r>
        <w:rPr>
          <w:rStyle w:val="FootnoteReference"/>
        </w:rPr>
        <w:footnoteRef/>
      </w:r>
      <w:r>
        <w:t xml:space="preserve"> </w:t>
      </w:r>
      <w:r>
        <w:rPr>
          <w:lang w:val="es-MX"/>
        </w:rPr>
        <w:t>MIIDH, “</w:t>
      </w:r>
      <w:r w:rsidRPr="007D0E7A">
        <w:rPr>
          <w:lang w:val="es-MX"/>
        </w:rPr>
        <w:t xml:space="preserve">Muerte en custodia del general </w:t>
      </w:r>
      <w:proofErr w:type="spellStart"/>
      <w:r w:rsidRPr="007D0E7A">
        <w:rPr>
          <w:lang w:val="es-MX"/>
        </w:rPr>
        <w:t>Baduel</w:t>
      </w:r>
      <w:proofErr w:type="spellEnd"/>
      <w:r w:rsidRPr="007D0E7A">
        <w:rPr>
          <w:lang w:val="es-MX"/>
        </w:rPr>
        <w:t xml:space="preserve"> – Declaración de la Misión internacional independiente de determinación de los hechos sobre la República Bolivariana de Venezuela</w:t>
      </w:r>
      <w:r>
        <w:rPr>
          <w:lang w:val="es-MX"/>
        </w:rPr>
        <w:t xml:space="preserve">”, </w:t>
      </w:r>
      <w:r w:rsidR="002139DC">
        <w:rPr>
          <w:lang w:val="es-MX"/>
        </w:rPr>
        <w:t xml:space="preserve">14 de octubre de 2021, </w:t>
      </w:r>
      <w:hyperlink r:id="rId23" w:history="1">
        <w:r w:rsidR="00EF195C" w:rsidRPr="004959F4">
          <w:rPr>
            <w:rStyle w:val="Hyperlink"/>
            <w:rFonts w:cs="Arial"/>
            <w:u w:val="single"/>
            <w:lang w:val="es-MX"/>
          </w:rPr>
          <w:t>https://www.ohchr.org/SP/HRBodies/HRC/Pages/NewsDetail.aspx?NewsID=27659&amp;LangID=S</w:t>
        </w:r>
      </w:hyperlink>
      <w:r w:rsidR="00EF195C">
        <w:rPr>
          <w:lang w:val="es-MX"/>
        </w:rPr>
        <w:t xml:space="preserve"> </w:t>
      </w:r>
    </w:p>
  </w:footnote>
  <w:footnote w:id="25">
    <w:p w14:paraId="5ABEBF3B" w14:textId="0E622967" w:rsidR="00DF44CC" w:rsidRPr="00DF44CC" w:rsidRDefault="00DF44CC">
      <w:pPr>
        <w:pStyle w:val="FootnoteText"/>
      </w:pPr>
      <w:r>
        <w:rPr>
          <w:rStyle w:val="FootnoteReference"/>
        </w:rPr>
        <w:footnoteRef/>
      </w:r>
      <w:r>
        <w:t xml:space="preserve"> </w:t>
      </w:r>
      <w:r w:rsidR="00096277">
        <w:t xml:space="preserve">Misión Internacional e Independiente de Verificación de los Hechos de las Naciones Unidas sobre Venezuela (MIIDH), </w:t>
      </w:r>
      <w:r w:rsidR="00096277" w:rsidRPr="009D4B0A">
        <w:rPr>
          <w:i/>
          <w:iCs/>
        </w:rPr>
        <w:t>Conclusiones detalladas de la Misión internacional independiente de determinación de los hechos sobre la República Bolivariana de Venezuela</w:t>
      </w:r>
      <w:r w:rsidR="00096277">
        <w:t xml:space="preserve">, </w:t>
      </w:r>
      <w:r w:rsidR="00096277" w:rsidRPr="009D4B0A">
        <w:t>15 de septiembre de 2020</w:t>
      </w:r>
      <w:r w:rsidR="00096277">
        <w:t xml:space="preserve">, </w:t>
      </w:r>
      <w:r w:rsidR="00E54E06">
        <w:t>Número de documento Naciones Unidas</w:t>
      </w:r>
      <w:r w:rsidR="00096277">
        <w:t xml:space="preserve"> </w:t>
      </w:r>
      <w:r w:rsidR="00096277" w:rsidRPr="00446E93">
        <w:t>A/HRC/45/CRP.11</w:t>
      </w:r>
      <w:r w:rsidR="00096277">
        <w:t>,</w:t>
      </w:r>
      <w:r w:rsidR="00096277" w:rsidRPr="00E54E06">
        <w:rPr>
          <w:u w:val="single"/>
        </w:rPr>
        <w:t xml:space="preserve"> </w:t>
      </w:r>
      <w:hyperlink r:id="rId24" w:history="1">
        <w:r w:rsidR="00E54E06" w:rsidRPr="00E54E06">
          <w:rPr>
            <w:rStyle w:val="Hyperlink"/>
            <w:rFonts w:cs="Arial"/>
            <w:u w:val="single"/>
          </w:rPr>
          <w:t>https://www.ohchr.org/sites/default/files/Documents/HRBodies/HRCouncil/FFMV/A_HRC_45_CRP.11_SP.pdf</w:t>
        </w:r>
      </w:hyperlink>
      <w:r w:rsidR="00E54E06">
        <w:t xml:space="preserve">, </w:t>
      </w:r>
      <w:r w:rsidR="00096277">
        <w:t xml:space="preserve">párr. 2088 (b). </w:t>
      </w:r>
    </w:p>
  </w:footnote>
  <w:footnote w:id="26">
    <w:p w14:paraId="4296F3F8" w14:textId="63A1BB13" w:rsidR="009C72D5" w:rsidRPr="009C72D5" w:rsidRDefault="009C72D5">
      <w:pPr>
        <w:pStyle w:val="FootnoteText"/>
      </w:pPr>
      <w:r>
        <w:rPr>
          <w:rStyle w:val="FootnoteReference"/>
        </w:rPr>
        <w:footnoteRef/>
      </w:r>
      <w:r>
        <w:t xml:space="preserve"> MIIDH, </w:t>
      </w:r>
      <w:r w:rsidRPr="008D0D55">
        <w:rPr>
          <w:i/>
          <w:iCs/>
        </w:rPr>
        <w:t>Conclusiones detalladas de la Misión internacional independiente de determinación de los hechos sobre la República Bolivariana de Venezuela</w:t>
      </w:r>
      <w:r>
        <w:rPr>
          <w:i/>
          <w:iCs/>
        </w:rPr>
        <w:t xml:space="preserve">, </w:t>
      </w:r>
      <w:r>
        <w:t xml:space="preserve">16 de septiembre de 2021, Número de documento de Naciones Unidas </w:t>
      </w:r>
      <w:r w:rsidRPr="00407032">
        <w:t>A/HRC/48/CRP.5</w:t>
      </w:r>
      <w:r>
        <w:t>,</w:t>
      </w:r>
      <w:r w:rsidRPr="00895C48">
        <w:rPr>
          <w:u w:val="single"/>
        </w:rPr>
        <w:t xml:space="preserve"> </w:t>
      </w:r>
      <w:hyperlink r:id="rId25" w:history="1">
        <w:r w:rsidRPr="00895C48">
          <w:rPr>
            <w:rStyle w:val="Hyperlink"/>
            <w:rFonts w:cs="Arial"/>
            <w:u w:val="single"/>
          </w:rPr>
          <w:t>https://www.ohchr.org/sites/default/files/Documents/HRBodies/HRCouncil/FFMV/A-HRC-48-CRP.5_SP.pdf</w:t>
        </w:r>
      </w:hyperlink>
      <w:r w:rsidR="003700E9">
        <w:rPr>
          <w:rStyle w:val="Hyperlink"/>
          <w:rFonts w:cs="Arial"/>
          <w:u w:val="single"/>
        </w:rPr>
        <w:t xml:space="preserve">, párr. 424 y ss.  </w:t>
      </w:r>
      <w:r>
        <w:t xml:space="preserve"> </w:t>
      </w:r>
    </w:p>
  </w:footnote>
  <w:footnote w:id="27">
    <w:p w14:paraId="2F436900" w14:textId="5023FE3B" w:rsidR="00CA075B" w:rsidRPr="00CA075B" w:rsidRDefault="00CA075B">
      <w:pPr>
        <w:pStyle w:val="FootnoteText"/>
      </w:pPr>
      <w:r>
        <w:rPr>
          <w:rStyle w:val="FootnoteReference"/>
        </w:rPr>
        <w:footnoteRef/>
      </w:r>
      <w:r>
        <w:t xml:space="preserve"> Amnistía Internacional, </w:t>
      </w:r>
      <w:r w:rsidRPr="009051E1">
        <w:rPr>
          <w:i/>
          <w:iCs/>
        </w:rPr>
        <w:t xml:space="preserve">Venezuela: </w:t>
      </w:r>
      <w:r w:rsidRPr="009051E1">
        <w:rPr>
          <w:i/>
          <w:iCs/>
          <w:lang w:val="es-MX"/>
        </w:rPr>
        <w:t>Morir ante un juez: detención arbitraria, desaparición forzada, tortura y muerte de Rafael Acosta Arévalo</w:t>
      </w:r>
      <w:r>
        <w:rPr>
          <w:lang w:val="es-MX"/>
        </w:rPr>
        <w:t xml:space="preserve"> (Índice </w:t>
      </w:r>
      <w:r w:rsidRPr="006F7372">
        <w:rPr>
          <w:lang w:val="es-MX"/>
        </w:rPr>
        <w:t>AMR 53/2909/2020</w:t>
      </w:r>
      <w:r>
        <w:rPr>
          <w:lang w:val="es-MX"/>
        </w:rPr>
        <w:t xml:space="preserve">), 4 de septiembre de 2020, </w:t>
      </w:r>
      <w:hyperlink r:id="rId26" w:history="1">
        <w:r w:rsidRPr="007E4BE4">
          <w:rPr>
            <w:rStyle w:val="Hyperlink"/>
            <w:rFonts w:cs="Arial"/>
            <w:u w:val="single"/>
            <w:lang w:val="es-MX"/>
          </w:rPr>
          <w:t>https://www.amnesty.org/es/documents/amr53/2909/2020/es/</w:t>
        </w:r>
      </w:hyperlink>
      <w:r>
        <w:rPr>
          <w:rStyle w:val="Hyperlink"/>
          <w:rFonts w:cs="Arial"/>
          <w:u w:val="single"/>
          <w:lang w:val="es-MX"/>
        </w:rPr>
        <w:t xml:space="preserve">, p. </w:t>
      </w:r>
      <w:r w:rsidR="004B2412">
        <w:rPr>
          <w:rStyle w:val="Hyperlink"/>
          <w:rFonts w:cs="Arial"/>
          <w:u w:val="single"/>
          <w:lang w:val="es-MX"/>
        </w:rPr>
        <w:t>23.</w:t>
      </w:r>
    </w:p>
  </w:footnote>
  <w:footnote w:id="28">
    <w:p w14:paraId="0D836A8B" w14:textId="5F2FDD80" w:rsidR="00A5238D" w:rsidRPr="002C3261" w:rsidRDefault="00A5238D">
      <w:pPr>
        <w:pStyle w:val="FootnoteText"/>
        <w:rPr>
          <w:lang w:val="es-MX"/>
        </w:rPr>
      </w:pPr>
      <w:r>
        <w:rPr>
          <w:rStyle w:val="FootnoteReference"/>
        </w:rPr>
        <w:footnoteRef/>
      </w:r>
      <w:r>
        <w:t xml:space="preserve"> </w:t>
      </w:r>
      <w:r w:rsidR="00485F6E">
        <w:t xml:space="preserve">Amnistía Internacional, </w:t>
      </w:r>
      <w:r w:rsidR="00485F6E" w:rsidRPr="00485F6E">
        <w:t xml:space="preserve">Venezuela: </w:t>
      </w:r>
      <w:r w:rsidR="00485F6E" w:rsidRPr="002C3261">
        <w:rPr>
          <w:i/>
          <w:iCs/>
        </w:rPr>
        <w:t>Vidas detenidas: Continúan las detenciones arbitrarias por motivos políticos en Venezuela</w:t>
      </w:r>
      <w:r w:rsidR="00485F6E">
        <w:t xml:space="preserve">, </w:t>
      </w:r>
      <w:r w:rsidR="00252DAD">
        <w:t xml:space="preserve">29 de agosto de 2023, (Índice: </w:t>
      </w:r>
      <w:r w:rsidR="00252DAD" w:rsidRPr="00252DAD">
        <w:t>AMR 53/7077/2023</w:t>
      </w:r>
      <w:r w:rsidR="00252DAD">
        <w:t xml:space="preserve">), </w:t>
      </w:r>
      <w:hyperlink r:id="rId27" w:history="1">
        <w:r w:rsidR="00EF2E36" w:rsidRPr="002C3261">
          <w:rPr>
            <w:rStyle w:val="Hyperlink"/>
            <w:rFonts w:cs="Arial"/>
            <w:u w:val="single"/>
          </w:rPr>
          <w:t>https://www.amnesty.org/es/documents/amr53/7077/2023/es/</w:t>
        </w:r>
      </w:hyperlink>
      <w:r w:rsidR="000255F2">
        <w:t xml:space="preserve">, p. 15. </w:t>
      </w:r>
    </w:p>
  </w:footnote>
  <w:footnote w:id="29">
    <w:p w14:paraId="691DC18C" w14:textId="4EA26943" w:rsidR="00F142A6" w:rsidRPr="006C3731" w:rsidRDefault="00F142A6" w:rsidP="00F142A6">
      <w:pPr>
        <w:pStyle w:val="FootnoteText"/>
        <w:rPr>
          <w:lang w:val="es-MX"/>
        </w:rPr>
      </w:pPr>
      <w:r>
        <w:rPr>
          <w:rStyle w:val="FootnoteReference"/>
        </w:rPr>
        <w:footnoteRef/>
      </w:r>
      <w:r>
        <w:t xml:space="preserve"> </w:t>
      </w:r>
      <w:r w:rsidR="00441BE4">
        <w:t xml:space="preserve">Amnistía Internacional, </w:t>
      </w:r>
      <w:r w:rsidR="00441BE4" w:rsidRPr="00485F6E">
        <w:t xml:space="preserve">Venezuela: </w:t>
      </w:r>
      <w:r w:rsidR="00441BE4" w:rsidRPr="002C3261">
        <w:rPr>
          <w:i/>
          <w:iCs/>
        </w:rPr>
        <w:t>Vidas detenidas: Continúan las detenciones arbitrarias por motivos políticos en Venezuela</w:t>
      </w:r>
      <w:r w:rsidR="00441BE4">
        <w:t xml:space="preserve">, 29 de agosto de 2023, (Índice: </w:t>
      </w:r>
      <w:r w:rsidR="00441BE4" w:rsidRPr="00252DAD">
        <w:t>AMR 53/7077/2023</w:t>
      </w:r>
      <w:r w:rsidR="00441BE4">
        <w:t xml:space="preserve">), </w:t>
      </w:r>
      <w:hyperlink r:id="rId28" w:history="1">
        <w:r w:rsidR="00441BE4" w:rsidRPr="002C3261">
          <w:rPr>
            <w:rStyle w:val="Hyperlink"/>
            <w:rFonts w:cs="Arial"/>
            <w:u w:val="single"/>
          </w:rPr>
          <w:t>https://www.amnesty.org/es/documents/amr53/7077/2023/es/</w:t>
        </w:r>
      </w:hyperlink>
      <w:r>
        <w:rPr>
          <w:lang w:val="es-MX"/>
        </w:rPr>
        <w:t xml:space="preserve">. </w:t>
      </w:r>
    </w:p>
  </w:footnote>
  <w:footnote w:id="30">
    <w:p w14:paraId="3596FD63" w14:textId="77777777" w:rsidR="00F142A6" w:rsidRPr="005100CA" w:rsidRDefault="00F142A6" w:rsidP="00F142A6">
      <w:pPr>
        <w:pStyle w:val="FootnoteText"/>
        <w:rPr>
          <w:lang w:val="es-MX"/>
        </w:rPr>
      </w:pPr>
      <w:r>
        <w:rPr>
          <w:rStyle w:val="FootnoteReference"/>
        </w:rPr>
        <w:footnoteRef/>
      </w:r>
      <w:r>
        <w:t xml:space="preserve"> </w:t>
      </w:r>
      <w:r>
        <w:rPr>
          <w:lang w:val="es-MX"/>
        </w:rPr>
        <w:t xml:space="preserve">Amnistía Internacional, Venezuela: Morir ante un juez: Detención arbitraria, desaparición forzada, tortura y muerte de Rafael Acosta Arévalo, XXXXXX. </w:t>
      </w:r>
    </w:p>
  </w:footnote>
  <w:footnote w:id="31">
    <w:p w14:paraId="0A7B7C2F" w14:textId="2644CF8E" w:rsidR="0030582E" w:rsidRPr="0030582E" w:rsidRDefault="0030582E">
      <w:pPr>
        <w:pStyle w:val="FootnoteText"/>
      </w:pPr>
      <w:r>
        <w:rPr>
          <w:rStyle w:val="FootnoteReference"/>
        </w:rPr>
        <w:footnoteRef/>
      </w:r>
      <w:r>
        <w:t xml:space="preserve"> MIIDH, </w:t>
      </w:r>
      <w:r w:rsidRPr="008D0D55">
        <w:rPr>
          <w:i/>
          <w:iCs/>
        </w:rPr>
        <w:t>Conclusiones detalladas de la Misión internacional independiente de determinación de los hechos sobre la República Bolivariana de Venezuela</w:t>
      </w:r>
      <w:r>
        <w:rPr>
          <w:i/>
          <w:iCs/>
        </w:rPr>
        <w:t xml:space="preserve">, </w:t>
      </w:r>
      <w:r>
        <w:t xml:space="preserve">16 de septiembre de 2021, Número de documento de Naciones Unidas </w:t>
      </w:r>
      <w:r w:rsidRPr="00407032">
        <w:t>A/HRC/48/CRP.5</w:t>
      </w:r>
      <w:r>
        <w:t>,</w:t>
      </w:r>
      <w:r w:rsidRPr="00895C48">
        <w:rPr>
          <w:u w:val="single"/>
        </w:rPr>
        <w:t xml:space="preserve"> </w:t>
      </w:r>
      <w:hyperlink r:id="rId29" w:history="1">
        <w:r w:rsidRPr="00895C48">
          <w:rPr>
            <w:rStyle w:val="Hyperlink"/>
            <w:rFonts w:cs="Arial"/>
            <w:u w:val="single"/>
          </w:rPr>
          <w:t>https://www.ohchr.org/sites/default/files/Documents/HRBodies/HRCouncil/FFMV/A-HRC-48-CRP.5_SP.pdf</w:t>
        </w:r>
      </w:hyperlink>
      <w:r>
        <w:rPr>
          <w:rStyle w:val="Hyperlink"/>
          <w:rFonts w:cs="Arial"/>
          <w:u w:val="single"/>
        </w:rPr>
        <w:t xml:space="preserve">, párr. </w:t>
      </w:r>
      <w:r w:rsidR="00C15254">
        <w:rPr>
          <w:rStyle w:val="Hyperlink"/>
          <w:rFonts w:cs="Arial"/>
          <w:u w:val="single"/>
        </w:rPr>
        <w:t>250</w:t>
      </w:r>
      <w:r>
        <w:rPr>
          <w:rStyle w:val="Hyperlink"/>
          <w:rFonts w:cs="Arial"/>
          <w:u w:val="single"/>
        </w:rPr>
        <w:t xml:space="preserve">.  </w:t>
      </w:r>
      <w:r>
        <w:t xml:space="preserve"> </w:t>
      </w:r>
    </w:p>
  </w:footnote>
  <w:footnote w:id="32">
    <w:p w14:paraId="0D880886" w14:textId="093AA749" w:rsidR="00D351ED" w:rsidRPr="00D351ED" w:rsidRDefault="00D351ED">
      <w:pPr>
        <w:pStyle w:val="FootnoteText"/>
        <w:rPr>
          <w:lang w:val="es-MX"/>
        </w:rPr>
      </w:pPr>
      <w:r>
        <w:rPr>
          <w:rStyle w:val="FootnoteReference"/>
        </w:rPr>
        <w:footnoteRef/>
      </w:r>
      <w:r>
        <w:t xml:space="preserve"> </w:t>
      </w:r>
      <w:r w:rsidR="00647A12">
        <w:rPr>
          <w:lang w:val="es-MX"/>
        </w:rPr>
        <w:t>Informe del Estado venezolano a la lista de cuestiones del Comité de Derechos Humanos para. 75.</w:t>
      </w:r>
    </w:p>
  </w:footnote>
  <w:footnote w:id="33">
    <w:p w14:paraId="6729E7E7" w14:textId="3A04AEE8" w:rsidR="007A79DC" w:rsidRPr="007A79DC" w:rsidRDefault="007A79DC">
      <w:pPr>
        <w:pStyle w:val="FootnoteText"/>
      </w:pPr>
      <w:r>
        <w:rPr>
          <w:rStyle w:val="FootnoteReference"/>
        </w:rPr>
        <w:footnoteRef/>
      </w:r>
      <w:r>
        <w:t xml:space="preserve"> Amnistía Internacional, </w:t>
      </w:r>
      <w:r w:rsidRPr="00485F6E">
        <w:t xml:space="preserve">Venezuela: </w:t>
      </w:r>
      <w:r w:rsidRPr="002C3261">
        <w:rPr>
          <w:i/>
          <w:iCs/>
        </w:rPr>
        <w:t>Vidas detenidas: Continúan las detenciones arbitrarias por motivos políticos en Venezuela</w:t>
      </w:r>
      <w:r>
        <w:t xml:space="preserve">, 29 de agosto de 2023, (Índice: </w:t>
      </w:r>
      <w:r w:rsidRPr="00252DAD">
        <w:t>AMR 53/7077/2023</w:t>
      </w:r>
      <w:r>
        <w:t xml:space="preserve">), </w:t>
      </w:r>
      <w:hyperlink r:id="rId30" w:history="1">
        <w:r w:rsidRPr="002C3261">
          <w:rPr>
            <w:rStyle w:val="Hyperlink"/>
            <w:rFonts w:cs="Arial"/>
            <w:u w:val="single"/>
          </w:rPr>
          <w:t>https://www.amnesty.org/es/documents/amr53/7077/2023/es/</w:t>
        </w:r>
      </w:hyperlink>
      <w:r>
        <w:t xml:space="preserve">, p. 15. </w:t>
      </w:r>
    </w:p>
  </w:footnote>
  <w:footnote w:id="34">
    <w:p w14:paraId="5E282796" w14:textId="4632E46D" w:rsidR="00E3313A" w:rsidRPr="00E3313A" w:rsidRDefault="00E3313A">
      <w:pPr>
        <w:pStyle w:val="FootnoteText"/>
        <w:rPr>
          <w:lang w:val="es-MX"/>
        </w:rPr>
      </w:pPr>
      <w:r>
        <w:rPr>
          <w:rStyle w:val="FootnoteReference"/>
        </w:rPr>
        <w:footnoteRef/>
      </w:r>
      <w:r>
        <w:t xml:space="preserve"> </w:t>
      </w:r>
      <w:r>
        <w:rPr>
          <w:lang w:val="es-MX"/>
        </w:rPr>
        <w:t xml:space="preserve">Observatorio Venezolano de Prisiones, </w:t>
      </w:r>
      <w:r w:rsidRPr="00E3313A">
        <w:rPr>
          <w:lang w:val="es-MX"/>
        </w:rPr>
        <w:t>“En 2022, 55 presos murieron por hambre y falta de atención médica en las cárceles</w:t>
      </w:r>
      <w:r>
        <w:rPr>
          <w:lang w:val="es-MX"/>
        </w:rPr>
        <w:t xml:space="preserve">”, 23 de marzo de 2023, </w:t>
      </w:r>
      <w:hyperlink r:id="rId31" w:history="1">
        <w:r w:rsidR="007F7734" w:rsidRPr="004C7399">
          <w:rPr>
            <w:rStyle w:val="Hyperlink"/>
            <w:rFonts w:cs="Arial"/>
            <w:u w:val="single"/>
            <w:lang w:val="es-MX"/>
          </w:rPr>
          <w:t>https://oveprisiones.com/en-2022-55-presos-murieron-por-hambre-y-falta-de-atencion-medica-en-las-carceles/</w:t>
        </w:r>
      </w:hyperlink>
      <w:r w:rsidR="007F7734">
        <w:rPr>
          <w:lang w:val="es-MX"/>
        </w:rPr>
        <w:t xml:space="preserve"> </w:t>
      </w:r>
    </w:p>
  </w:footnote>
  <w:footnote w:id="35">
    <w:p w14:paraId="01BF2C47" w14:textId="781C5EA1" w:rsidR="00C36F78" w:rsidRPr="00C36F78" w:rsidRDefault="00C36F78">
      <w:pPr>
        <w:pStyle w:val="FootnoteText"/>
        <w:rPr>
          <w:lang w:val="es-MX"/>
        </w:rPr>
      </w:pPr>
      <w:r>
        <w:rPr>
          <w:rStyle w:val="FootnoteReference"/>
        </w:rPr>
        <w:footnoteRef/>
      </w:r>
      <w:r>
        <w:t xml:space="preserve"> </w:t>
      </w:r>
      <w:r w:rsidR="00315714">
        <w:rPr>
          <w:lang w:val="es-MX"/>
        </w:rPr>
        <w:t xml:space="preserve">El Diario, </w:t>
      </w:r>
      <w:r w:rsidR="00315714" w:rsidRPr="00315714">
        <w:rPr>
          <w:lang w:val="es-MX"/>
        </w:rPr>
        <w:t>Una Ventana a la Libertad: El hacinamiento en calabozos de Venezuela fue de 334 % en 2022</w:t>
      </w:r>
      <w:r w:rsidR="00315714">
        <w:rPr>
          <w:lang w:val="es-MX"/>
        </w:rPr>
        <w:t xml:space="preserve">, </w:t>
      </w:r>
      <w:r w:rsidR="008F2484">
        <w:rPr>
          <w:lang w:val="es-MX"/>
        </w:rPr>
        <w:t xml:space="preserve">13 de abril de 2023, </w:t>
      </w:r>
      <w:hyperlink r:id="rId32" w:history="1">
        <w:r w:rsidR="008F2484" w:rsidRPr="008F2484">
          <w:rPr>
            <w:rStyle w:val="Hyperlink"/>
            <w:rFonts w:cs="Arial"/>
            <w:u w:val="single"/>
            <w:lang w:val="es-MX"/>
          </w:rPr>
          <w:t>https://eldiario.com/2023/04/13/una-ventana-a-la-libertad-el-hacinamiento-en-calabozos-de-venezuela-fue-de-334-en-2022/</w:t>
        </w:r>
      </w:hyperlink>
      <w:r w:rsidR="008F2484">
        <w:rPr>
          <w:lang w:val="es-MX"/>
        </w:rPr>
        <w:t xml:space="preserve"> </w:t>
      </w:r>
    </w:p>
  </w:footnote>
  <w:footnote w:id="36">
    <w:p w14:paraId="7B37A96C" w14:textId="29F1CD16" w:rsidR="006C350D" w:rsidRPr="006C350D" w:rsidRDefault="006C350D">
      <w:pPr>
        <w:pStyle w:val="FootnoteText"/>
        <w:rPr>
          <w:lang w:val="es-MX"/>
        </w:rPr>
      </w:pPr>
      <w:r>
        <w:rPr>
          <w:rStyle w:val="FootnoteReference"/>
        </w:rPr>
        <w:footnoteRef/>
      </w:r>
      <w:r>
        <w:t xml:space="preserve"> </w:t>
      </w:r>
      <w:r w:rsidR="003A6E60">
        <w:t xml:space="preserve">Amnistía Internacional, </w:t>
      </w:r>
      <w:r w:rsidR="001F5B16">
        <w:t xml:space="preserve">Acción Urgente: </w:t>
      </w:r>
      <w:r w:rsidR="001F5B16" w:rsidRPr="001F5B16">
        <w:t xml:space="preserve">Venezuela: Una mujer detenida necesita atención médica vital: </w:t>
      </w:r>
      <w:proofErr w:type="spellStart"/>
      <w:r w:rsidR="001F5B16" w:rsidRPr="001F5B16">
        <w:t>Emirlendris</w:t>
      </w:r>
      <w:proofErr w:type="spellEnd"/>
      <w:r w:rsidR="001F5B16" w:rsidRPr="001F5B16">
        <w:t xml:space="preserve"> Benítez</w:t>
      </w:r>
      <w:r w:rsidR="00CA68B6">
        <w:t xml:space="preserve">, </w:t>
      </w:r>
      <w:r w:rsidR="008C611B">
        <w:t xml:space="preserve">11 de abril de 2023 (Índice: </w:t>
      </w:r>
      <w:r w:rsidR="008C611B" w:rsidRPr="008C611B">
        <w:t>AMR 53/6668/2023</w:t>
      </w:r>
      <w:r w:rsidR="008C611B">
        <w:t>)</w:t>
      </w:r>
      <w:r w:rsidR="00ED2DBC">
        <w:t>,</w:t>
      </w:r>
      <w:r w:rsidR="008C611B">
        <w:t xml:space="preserve"> </w:t>
      </w:r>
      <w:hyperlink r:id="rId33" w:history="1">
        <w:r w:rsidR="004C7399" w:rsidRPr="004C7399">
          <w:rPr>
            <w:rStyle w:val="Hyperlink"/>
            <w:rFonts w:cs="Arial"/>
            <w:u w:val="single"/>
          </w:rPr>
          <w:t>https://www.amnesty.org/es/documents/amr53/6668/2023/es/</w:t>
        </w:r>
      </w:hyperlink>
      <w:r w:rsidR="008C611B">
        <w:t>. Amnistía Internacional, Acción Urgente</w:t>
      </w:r>
      <w:r w:rsidR="00495FE1">
        <w:t xml:space="preserve">: </w:t>
      </w:r>
      <w:r w:rsidR="0018630C" w:rsidRPr="0018630C">
        <w:t>Venezuela: Un hombre recluido arbitrariamente, en peligro de muerte por falta de atención</w:t>
      </w:r>
      <w:r w:rsidR="0018630C">
        <w:t xml:space="preserve">, 31 de mayo de 2023, </w:t>
      </w:r>
      <w:r w:rsidR="00194725">
        <w:t xml:space="preserve">(Índice </w:t>
      </w:r>
      <w:r w:rsidR="00194725" w:rsidRPr="00194725">
        <w:t>AMR 53/6845/2023</w:t>
      </w:r>
      <w:r w:rsidR="00194725">
        <w:t xml:space="preserve">), </w:t>
      </w:r>
      <w:hyperlink r:id="rId34" w:history="1">
        <w:r w:rsidR="00ED2DBC" w:rsidRPr="004C7399">
          <w:rPr>
            <w:rStyle w:val="Hyperlink"/>
            <w:rFonts w:cs="Arial"/>
            <w:u w:val="single"/>
          </w:rPr>
          <w:t>https://www.amnesty.org/es/documents/amr53/6845/2023/es/</w:t>
        </w:r>
      </w:hyperlink>
      <w:r w:rsidR="00ED2DBC">
        <w:t xml:space="preserve"> </w:t>
      </w:r>
    </w:p>
  </w:footnote>
  <w:footnote w:id="37">
    <w:p w14:paraId="5C2072CE" w14:textId="77777777" w:rsidR="00CE1A50" w:rsidRDefault="00F01B20" w:rsidP="00F01B20">
      <w:pPr>
        <w:pStyle w:val="FootnoteText"/>
        <w:rPr>
          <w:rStyle w:val="Hyperlink"/>
          <w:rFonts w:cs="Arial"/>
          <w:u w:val="single"/>
        </w:rPr>
      </w:pPr>
      <w:r w:rsidRPr="00453923">
        <w:rPr>
          <w:vertAlign w:val="superscript"/>
        </w:rPr>
        <w:footnoteRef/>
      </w:r>
      <w:r w:rsidRPr="00453923">
        <w:rPr>
          <w:vertAlign w:val="superscript"/>
          <w:lang w:val="es-MX"/>
        </w:rPr>
        <w:t xml:space="preserve"> </w:t>
      </w:r>
      <w:r w:rsidRPr="008A1C43">
        <w:rPr>
          <w:lang w:val="es-MX"/>
        </w:rPr>
        <w:t xml:space="preserve">Amnistía Internacional, </w:t>
      </w:r>
      <w:r w:rsidRPr="008A1C43">
        <w:rPr>
          <w:i/>
          <w:iCs/>
          <w:lang w:val="es-MX"/>
        </w:rPr>
        <w:t>Silencio a la</w:t>
      </w:r>
      <w:r>
        <w:rPr>
          <w:i/>
          <w:iCs/>
          <w:lang w:val="es-MX"/>
        </w:rPr>
        <w:t xml:space="preserve"> fuerza: Detenciones arbitrarias por motivos políticos en Venezuela</w:t>
      </w:r>
      <w:r>
        <w:rPr>
          <w:lang w:val="es-MX"/>
        </w:rPr>
        <w:t xml:space="preserve"> (Índice: </w:t>
      </w:r>
      <w:r w:rsidRPr="00EC0938">
        <w:t>AMR 53/6014/2017</w:t>
      </w:r>
      <w:r>
        <w:t xml:space="preserve">), 26 de abril de </w:t>
      </w:r>
      <w:r w:rsidRPr="00306CAB">
        <w:t>2017</w:t>
      </w:r>
      <w:r>
        <w:t>,</w:t>
      </w:r>
      <w:r w:rsidRPr="00306CAB">
        <w:t xml:space="preserve"> </w:t>
      </w:r>
      <w:hyperlink r:id="rId35" w:history="1">
        <w:r w:rsidRPr="003315A8">
          <w:rPr>
            <w:rStyle w:val="Hyperlink"/>
            <w:rFonts w:cs="Arial"/>
            <w:u w:val="single"/>
          </w:rPr>
          <w:t>https://www.amnesty.org/es/documents/amr53/6014/2017/es/</w:t>
        </w:r>
      </w:hyperlink>
      <w:r>
        <w:rPr>
          <w:rStyle w:val="Hyperlink"/>
          <w:rFonts w:cs="Arial"/>
          <w:u w:val="single"/>
        </w:rPr>
        <w:t xml:space="preserve">, p. 8. </w:t>
      </w:r>
    </w:p>
    <w:p w14:paraId="341EE579" w14:textId="2616C426" w:rsidR="00F01B20" w:rsidRPr="00CE1A50" w:rsidRDefault="00CE1A50" w:rsidP="00F01B20">
      <w:pPr>
        <w:pStyle w:val="FootnoteText"/>
        <w:rPr>
          <w:lang w:val="es-MX"/>
        </w:rPr>
      </w:pPr>
      <w:r w:rsidRPr="00306CAB">
        <w:t>Amnistía Internacional,</w:t>
      </w:r>
      <w:r w:rsidRPr="00306CAB">
        <w:rPr>
          <w:lang w:val="es-MX"/>
        </w:rPr>
        <w:t xml:space="preserve"> </w:t>
      </w:r>
      <w:r w:rsidRPr="00306CAB">
        <w:rPr>
          <w:i/>
          <w:iCs/>
          <w:lang w:val="es-MX"/>
        </w:rPr>
        <w:t>Hambre de justicia: Crímenes de lesa humanidad en Venezuela</w:t>
      </w:r>
      <w:r>
        <w:rPr>
          <w:lang w:val="es-MX"/>
        </w:rPr>
        <w:t xml:space="preserve"> (Índice: </w:t>
      </w:r>
      <w:r w:rsidRPr="00056471">
        <w:t>AMR 53/0222/2019</w:t>
      </w:r>
      <w:r>
        <w:t xml:space="preserve">), 14 de mayo de 2019, </w:t>
      </w:r>
      <w:hyperlink r:id="rId36" w:history="1">
        <w:r w:rsidRPr="003315A8">
          <w:rPr>
            <w:rStyle w:val="Hyperlink"/>
            <w:rFonts w:cs="Arial"/>
            <w:u w:val="single"/>
          </w:rPr>
          <w:t>https://www.amnesty.org/es/documents/amr53/0222/2019/es/</w:t>
        </w:r>
      </w:hyperlink>
      <w:r>
        <w:t xml:space="preserve">, pp. 48 y 49. Misión Internacional e Independiente de Verificación de los Hechos de las Naciones Unidas sobre Venezuela (MIIDH), </w:t>
      </w:r>
      <w:r w:rsidRPr="009D4B0A">
        <w:rPr>
          <w:i/>
          <w:iCs/>
        </w:rPr>
        <w:t>Conclusiones detalladas de la Misión internacional independiente de determinación de los hechos sobre la República Bolivariana de Venezuela</w:t>
      </w:r>
      <w:r>
        <w:t xml:space="preserve">, </w:t>
      </w:r>
      <w:r w:rsidRPr="009D4B0A">
        <w:t>15 de septiembre de 2020</w:t>
      </w:r>
      <w:r>
        <w:t xml:space="preserve">, Doc. ONU </w:t>
      </w:r>
      <w:r w:rsidRPr="00446E93">
        <w:t>A/HRC/45/CRP.11</w:t>
      </w:r>
      <w:r>
        <w:t xml:space="preserve">. </w:t>
      </w:r>
      <w:r w:rsidR="00F01B20">
        <w:rPr>
          <w:rStyle w:val="Hyperlink"/>
          <w:rFonts w:cs="Arial"/>
          <w:u w:val="single"/>
        </w:rPr>
        <w:t xml:space="preserve">  </w:t>
      </w:r>
      <w:r w:rsidR="00F01B20" w:rsidRPr="003315A8">
        <w:rPr>
          <w:u w:val="single"/>
        </w:rPr>
        <w:t xml:space="preserve"> </w:t>
      </w:r>
    </w:p>
  </w:footnote>
  <w:footnote w:id="38">
    <w:p w14:paraId="5993086D" w14:textId="77777777" w:rsidR="00160DA0" w:rsidRPr="00D063EB" w:rsidRDefault="00160DA0" w:rsidP="00160DA0">
      <w:pPr>
        <w:pStyle w:val="FootnoteText"/>
        <w:rPr>
          <w:lang w:val="es-MX"/>
        </w:rPr>
      </w:pPr>
      <w:r w:rsidRPr="00453923">
        <w:rPr>
          <w:vertAlign w:val="superscript"/>
        </w:rPr>
        <w:footnoteRef/>
      </w:r>
      <w:r>
        <w:t xml:space="preserve"> </w:t>
      </w:r>
      <w:r>
        <w:rPr>
          <w:lang w:val="es-MX"/>
        </w:rPr>
        <w:t xml:space="preserve">Foro Penal, </w:t>
      </w:r>
      <w:r w:rsidRPr="003315A8">
        <w:rPr>
          <w:i/>
          <w:iCs/>
          <w:lang w:val="es-MX"/>
        </w:rPr>
        <w:t>Reporte sobre la Represión Política en Venezuela</w:t>
      </w:r>
      <w:r>
        <w:rPr>
          <w:lang w:val="es-MX"/>
        </w:rPr>
        <w:t xml:space="preserve">, marzo 2023, </w:t>
      </w:r>
      <w:hyperlink r:id="rId37" w:history="1">
        <w:r w:rsidRPr="00135FDD">
          <w:rPr>
            <w:rStyle w:val="Hyperlink"/>
            <w:rFonts w:cs="Arial"/>
            <w:u w:val="single"/>
            <w:lang w:val="es-MX"/>
          </w:rPr>
          <w:t>https://foropenal.com/reporte-sobre-la-represion-en-venezuela-marzo-2023/</w:t>
        </w:r>
      </w:hyperlink>
      <w:r w:rsidRPr="00135FDD">
        <w:rPr>
          <w:lang w:val="es-MX"/>
        </w:rPr>
        <w:t>, p.</w:t>
      </w:r>
      <w:r>
        <w:rPr>
          <w:lang w:val="es-MX"/>
        </w:rPr>
        <w:t xml:space="preserve"> </w:t>
      </w:r>
      <w:r w:rsidRPr="00D063EB">
        <w:rPr>
          <w:lang w:val="es-MX"/>
        </w:rPr>
        <w:t xml:space="preserve"> </w:t>
      </w:r>
      <w:r>
        <w:rPr>
          <w:lang w:val="es-MX"/>
        </w:rPr>
        <w:t>3.</w:t>
      </w:r>
    </w:p>
  </w:footnote>
  <w:footnote w:id="39">
    <w:p w14:paraId="78B72B24" w14:textId="77777777" w:rsidR="00160DA0" w:rsidRDefault="00160DA0" w:rsidP="00160DA0">
      <w:pPr>
        <w:pStyle w:val="FootnoteText"/>
        <w:rPr>
          <w:lang w:val="es-MX"/>
        </w:rPr>
      </w:pPr>
      <w:r w:rsidRPr="00453923">
        <w:rPr>
          <w:vertAlign w:val="superscript"/>
        </w:rPr>
        <w:footnoteRef/>
      </w:r>
      <w:r>
        <w:t xml:space="preserve"> </w:t>
      </w:r>
      <w:r>
        <w:rPr>
          <w:lang w:val="es-MX"/>
        </w:rPr>
        <w:t xml:space="preserve">Foro Penal, </w:t>
      </w:r>
      <w:r w:rsidRPr="003315A8">
        <w:rPr>
          <w:i/>
          <w:iCs/>
          <w:lang w:val="es-MX"/>
        </w:rPr>
        <w:t>Reporte sobre la Represión Política en Venezuela</w:t>
      </w:r>
      <w:r>
        <w:rPr>
          <w:lang w:val="es-MX"/>
        </w:rPr>
        <w:t xml:space="preserve">, marzo 2023, </w:t>
      </w:r>
      <w:hyperlink r:id="rId38" w:history="1">
        <w:r w:rsidRPr="00135FDD">
          <w:rPr>
            <w:rStyle w:val="Hyperlink"/>
            <w:rFonts w:cs="Arial"/>
            <w:u w:val="single"/>
            <w:lang w:val="es-MX"/>
          </w:rPr>
          <w:t>https://foropenal.com/reporte-sobre-la-represion-en-venezuela-marzo-2023/</w:t>
        </w:r>
      </w:hyperlink>
      <w:r w:rsidRPr="00135FDD">
        <w:rPr>
          <w:lang w:val="es-MX"/>
        </w:rPr>
        <w:t>, p.</w:t>
      </w:r>
      <w:r>
        <w:rPr>
          <w:lang w:val="es-MX"/>
        </w:rPr>
        <w:t xml:space="preserve"> </w:t>
      </w:r>
      <w:r w:rsidRPr="00D063EB">
        <w:rPr>
          <w:lang w:val="es-MX"/>
        </w:rPr>
        <w:t xml:space="preserve"> </w:t>
      </w:r>
      <w:r>
        <w:rPr>
          <w:lang w:val="es-MX"/>
        </w:rPr>
        <w:t>3.</w:t>
      </w:r>
    </w:p>
    <w:p w14:paraId="25FEF359" w14:textId="77777777" w:rsidR="00160DA0" w:rsidRPr="001B5466" w:rsidRDefault="00160DA0" w:rsidP="00160DA0">
      <w:pPr>
        <w:pStyle w:val="FootnoteText"/>
        <w:rPr>
          <w:lang w:val="es-MX"/>
        </w:rPr>
      </w:pPr>
      <w:r w:rsidRPr="001B5466">
        <w:rPr>
          <w:lang w:val="es-MX"/>
        </w:rPr>
        <w:t>Justicia, Encuentro y Perdón, Indicadores: Presos políticos, ju</w:t>
      </w:r>
      <w:r>
        <w:rPr>
          <w:lang w:val="es-MX"/>
        </w:rPr>
        <w:t xml:space="preserve">nio 2023, </w:t>
      </w:r>
      <w:hyperlink r:id="rId39" w:history="1">
        <w:r w:rsidRPr="001B5466">
          <w:rPr>
            <w:rStyle w:val="Hyperlink"/>
            <w:rFonts w:cs="Arial"/>
            <w:u w:val="single"/>
            <w:lang w:val="es-MX"/>
          </w:rPr>
          <w:t>https://www.jepvenezuela.com/indicadores/presos-politicos/</w:t>
        </w:r>
      </w:hyperlink>
      <w:r>
        <w:rPr>
          <w:lang w:val="es-MX"/>
        </w:rPr>
        <w:t xml:space="preserve"> </w:t>
      </w:r>
      <w:r w:rsidRPr="001B5466">
        <w:rPr>
          <w:lang w:val="es-MX"/>
        </w:rPr>
        <w:t xml:space="preserve"> </w:t>
      </w:r>
    </w:p>
  </w:footnote>
  <w:footnote w:id="40">
    <w:p w14:paraId="3725EDDB" w14:textId="77777777" w:rsidR="00793845" w:rsidRPr="005C72C2" w:rsidRDefault="00793845" w:rsidP="00793845">
      <w:pPr>
        <w:pStyle w:val="FootnoteText"/>
        <w:rPr>
          <w:lang w:val="es-MX"/>
        </w:rPr>
      </w:pPr>
      <w:r w:rsidRPr="00453923">
        <w:rPr>
          <w:vertAlign w:val="superscript"/>
        </w:rPr>
        <w:footnoteRef/>
      </w:r>
      <w:r w:rsidRPr="00453923">
        <w:rPr>
          <w:vertAlign w:val="superscript"/>
          <w:lang w:val="es-MX"/>
        </w:rPr>
        <w:t xml:space="preserve"> </w:t>
      </w:r>
      <w:r w:rsidRPr="00F71F3C">
        <w:rPr>
          <w:lang w:val="es-MX"/>
        </w:rPr>
        <w:t>Corte</w:t>
      </w:r>
      <w:r>
        <w:rPr>
          <w:lang w:val="es-MX"/>
        </w:rPr>
        <w:t xml:space="preserve"> Penal Internacional (CPI), Oficina de la Fiscalía, Solicitud de la fiscalía de reanudar la investigación sobre la situación de Venezuela I de acuerdo con el artículo 18(2) [</w:t>
      </w:r>
      <w:proofErr w:type="spellStart"/>
      <w:r>
        <w:t>Prosecution</w:t>
      </w:r>
      <w:proofErr w:type="spellEnd"/>
      <w:r>
        <w:t xml:space="preserve"> </w:t>
      </w:r>
      <w:proofErr w:type="spellStart"/>
      <w:r>
        <w:t>request</w:t>
      </w:r>
      <w:proofErr w:type="spellEnd"/>
      <w:r>
        <w:t xml:space="preserve"> </w:t>
      </w:r>
      <w:proofErr w:type="spellStart"/>
      <w:r>
        <w:t>to</w:t>
      </w:r>
      <w:proofErr w:type="spellEnd"/>
      <w:r>
        <w:t xml:space="preserve"> resume the </w:t>
      </w:r>
      <w:proofErr w:type="spellStart"/>
      <w:r>
        <w:t>investigation</w:t>
      </w:r>
      <w:proofErr w:type="spellEnd"/>
      <w:r>
        <w:t xml:space="preserve"> </w:t>
      </w:r>
      <w:proofErr w:type="spellStart"/>
      <w:r>
        <w:t>into</w:t>
      </w:r>
      <w:proofErr w:type="spellEnd"/>
      <w:r>
        <w:t xml:space="preserve"> the </w:t>
      </w:r>
      <w:proofErr w:type="spellStart"/>
      <w:r>
        <w:t>situation</w:t>
      </w:r>
      <w:proofErr w:type="spellEnd"/>
      <w:r>
        <w:t xml:space="preserve"> in the </w:t>
      </w:r>
      <w:proofErr w:type="spellStart"/>
      <w:r>
        <w:t>Bolivarian</w:t>
      </w:r>
      <w:proofErr w:type="spellEnd"/>
      <w:r>
        <w:t xml:space="preserve"> </w:t>
      </w:r>
      <w:proofErr w:type="spellStart"/>
      <w:r>
        <w:t>Republic</w:t>
      </w:r>
      <w:proofErr w:type="spellEnd"/>
      <w:r>
        <w:t xml:space="preserve"> of Venezuela I </w:t>
      </w:r>
      <w:proofErr w:type="spellStart"/>
      <w:r>
        <w:t>pursuant</w:t>
      </w:r>
      <w:proofErr w:type="spellEnd"/>
      <w:r>
        <w:t xml:space="preserve"> </w:t>
      </w:r>
      <w:proofErr w:type="spellStart"/>
      <w:r>
        <w:t>to</w:t>
      </w:r>
      <w:proofErr w:type="spellEnd"/>
      <w:r>
        <w:t xml:space="preserve"> </w:t>
      </w:r>
      <w:proofErr w:type="spellStart"/>
      <w:r>
        <w:t>article</w:t>
      </w:r>
      <w:proofErr w:type="spellEnd"/>
      <w:r>
        <w:t xml:space="preserve"> 18(2)] número de documento CPI: ICC-02/18 , 1 de noviembre de 2022, </w:t>
      </w:r>
      <w:hyperlink r:id="rId40" w:history="1">
        <w:r w:rsidRPr="002A0CA2">
          <w:rPr>
            <w:rStyle w:val="Hyperlink"/>
            <w:rFonts w:cs="Arial"/>
            <w:u w:val="single"/>
            <w:lang w:val="es-MX"/>
          </w:rPr>
          <w:t>https://www.icc-cpi.int/sites/default/files/CourtRecords/CR2022_06554.PDF</w:t>
        </w:r>
      </w:hyperlink>
      <w:r>
        <w:rPr>
          <w:lang w:val="es-MX"/>
        </w:rPr>
        <w:t xml:space="preserve">, p. 102.  </w:t>
      </w:r>
    </w:p>
  </w:footnote>
  <w:footnote w:id="41">
    <w:p w14:paraId="38E931CF" w14:textId="2A284315" w:rsidR="00CD229C" w:rsidRPr="00CD229C" w:rsidRDefault="00CD229C">
      <w:pPr>
        <w:pStyle w:val="FootnoteText"/>
      </w:pPr>
      <w:r>
        <w:rPr>
          <w:rStyle w:val="FootnoteReference"/>
        </w:rPr>
        <w:footnoteRef/>
      </w:r>
      <w:r>
        <w:t xml:space="preserve"> </w:t>
      </w:r>
      <w:r w:rsidR="004A4A4F" w:rsidRPr="008A1C43">
        <w:rPr>
          <w:lang w:val="es-MX"/>
        </w:rPr>
        <w:t xml:space="preserve">Amnistía Internacional, </w:t>
      </w:r>
      <w:r w:rsidR="004A4A4F" w:rsidRPr="008A1C43">
        <w:rPr>
          <w:i/>
          <w:iCs/>
          <w:lang w:val="es-MX"/>
        </w:rPr>
        <w:t>Silencio a la</w:t>
      </w:r>
      <w:r w:rsidR="004A4A4F">
        <w:rPr>
          <w:i/>
          <w:iCs/>
          <w:lang w:val="es-MX"/>
        </w:rPr>
        <w:t xml:space="preserve"> fuerza: Detenciones arbitrarias por motivos políticos en Venezuela</w:t>
      </w:r>
      <w:r w:rsidR="004A4A4F">
        <w:rPr>
          <w:lang w:val="es-MX"/>
        </w:rPr>
        <w:t xml:space="preserve"> (Índice: </w:t>
      </w:r>
      <w:r w:rsidR="004A4A4F" w:rsidRPr="00EC0938">
        <w:t>AMR 53/6014/2017</w:t>
      </w:r>
      <w:r w:rsidR="004A4A4F">
        <w:t xml:space="preserve">), 26 de abril de </w:t>
      </w:r>
      <w:r w:rsidR="004A4A4F" w:rsidRPr="00306CAB">
        <w:t>2017</w:t>
      </w:r>
      <w:r w:rsidR="004A4A4F">
        <w:t>,</w:t>
      </w:r>
      <w:r w:rsidR="004A4A4F" w:rsidRPr="00306CAB">
        <w:t xml:space="preserve"> </w:t>
      </w:r>
      <w:hyperlink r:id="rId41" w:history="1">
        <w:r w:rsidR="004A4A4F" w:rsidRPr="003315A8">
          <w:rPr>
            <w:rStyle w:val="Hyperlink"/>
            <w:rFonts w:cs="Arial"/>
            <w:u w:val="single"/>
          </w:rPr>
          <w:t>https://www.amnesty.org/es/documents/amr53/6014/2017/es/</w:t>
        </w:r>
      </w:hyperlink>
      <w:r w:rsidR="004A4A4F">
        <w:rPr>
          <w:rStyle w:val="Hyperlink"/>
          <w:rFonts w:cs="Arial"/>
          <w:u w:val="single"/>
        </w:rPr>
        <w:t xml:space="preserve"> </w:t>
      </w:r>
    </w:p>
  </w:footnote>
  <w:footnote w:id="42">
    <w:p w14:paraId="42AB76FD" w14:textId="5AC38A72" w:rsidR="00B849AA" w:rsidRPr="00B849AA" w:rsidRDefault="00B849AA">
      <w:pPr>
        <w:pStyle w:val="FootnoteText"/>
      </w:pPr>
      <w:r>
        <w:rPr>
          <w:rStyle w:val="FootnoteReference"/>
        </w:rPr>
        <w:footnoteRef/>
      </w:r>
      <w:r>
        <w:t xml:space="preserve"> </w:t>
      </w:r>
      <w:r w:rsidRPr="008A1C43">
        <w:rPr>
          <w:lang w:val="es-MX"/>
        </w:rPr>
        <w:t xml:space="preserve">Amnistía Internacional, </w:t>
      </w:r>
      <w:r w:rsidRPr="008A1C43">
        <w:rPr>
          <w:i/>
          <w:iCs/>
          <w:lang w:val="es-MX"/>
        </w:rPr>
        <w:t>Silencio a la</w:t>
      </w:r>
      <w:r>
        <w:rPr>
          <w:i/>
          <w:iCs/>
          <w:lang w:val="es-MX"/>
        </w:rPr>
        <w:t xml:space="preserve"> fuerza: Detenciones arbitrarias por motivos políticos en Venezuela</w:t>
      </w:r>
      <w:r>
        <w:rPr>
          <w:lang w:val="es-MX"/>
        </w:rPr>
        <w:t xml:space="preserve"> (Índice: </w:t>
      </w:r>
      <w:r w:rsidRPr="00EC0938">
        <w:t>AMR 53/6014/2017</w:t>
      </w:r>
      <w:r>
        <w:t xml:space="preserve">), 26 de abril de </w:t>
      </w:r>
      <w:r w:rsidRPr="00306CAB">
        <w:t>2017</w:t>
      </w:r>
      <w:r>
        <w:t>,</w:t>
      </w:r>
      <w:r w:rsidRPr="00306CAB">
        <w:t xml:space="preserve"> </w:t>
      </w:r>
      <w:hyperlink r:id="rId42" w:history="1">
        <w:r w:rsidRPr="003315A8">
          <w:rPr>
            <w:rStyle w:val="Hyperlink"/>
            <w:rFonts w:cs="Arial"/>
            <w:u w:val="single"/>
          </w:rPr>
          <w:t>https://www.amnesty.org/es/documents/amr53/6014/2017/es/</w:t>
        </w:r>
      </w:hyperlink>
      <w:r>
        <w:rPr>
          <w:rStyle w:val="Hyperlink"/>
          <w:rFonts w:cs="Arial"/>
          <w:u w:val="single"/>
        </w:rPr>
        <w:t xml:space="preserve"> </w:t>
      </w:r>
      <w:r w:rsidR="004F4FC2">
        <w:rPr>
          <w:rStyle w:val="Hyperlink"/>
          <w:rFonts w:cs="Arial"/>
          <w:u w:val="single"/>
        </w:rPr>
        <w:t xml:space="preserve">p. 13. </w:t>
      </w:r>
    </w:p>
  </w:footnote>
  <w:footnote w:id="43">
    <w:p w14:paraId="76B8695B" w14:textId="51555E24" w:rsidR="00281ECB" w:rsidRPr="009B70B3" w:rsidRDefault="00281ECB" w:rsidP="00281ECB">
      <w:pPr>
        <w:pStyle w:val="FootnoteText"/>
        <w:rPr>
          <w:bCs/>
        </w:rPr>
      </w:pPr>
      <w:r w:rsidRPr="00453923">
        <w:rPr>
          <w:vertAlign w:val="superscript"/>
        </w:rPr>
        <w:footnoteRef/>
      </w:r>
      <w:r w:rsidRPr="009B70B3">
        <w:rPr>
          <w:lang w:val="es-MX"/>
        </w:rPr>
        <w:t xml:space="preserve"> </w:t>
      </w:r>
      <w:r w:rsidRPr="009B70B3">
        <w:rPr>
          <w:bCs/>
        </w:rPr>
        <w:t xml:space="preserve">Los tribunales especiales con competencia en terrorismo fueron creados después de la adopción de la Ley Orgánica contra la Delincuencia Organizada y Financiamiento al Terrorismo en enero de 2012 por el Tribunal Supremo de Justicia. </w:t>
      </w:r>
      <w:r w:rsidR="009258E1">
        <w:t xml:space="preserve">Amnistía Internacional, </w:t>
      </w:r>
      <w:r w:rsidR="009258E1" w:rsidRPr="00485F6E">
        <w:t xml:space="preserve">Venezuela: </w:t>
      </w:r>
      <w:r w:rsidR="009258E1" w:rsidRPr="002C3261">
        <w:rPr>
          <w:i/>
          <w:iCs/>
        </w:rPr>
        <w:t>Vidas detenidas: Continúan las detenciones arbitrarias por motivos políticos en Venezuela</w:t>
      </w:r>
      <w:r w:rsidR="009258E1">
        <w:t xml:space="preserve">, 29 de agosto de 2023, (Índice: </w:t>
      </w:r>
      <w:r w:rsidR="009258E1" w:rsidRPr="00252DAD">
        <w:t>AMR 53/7077/2023</w:t>
      </w:r>
      <w:r w:rsidR="009258E1">
        <w:t xml:space="preserve">), </w:t>
      </w:r>
      <w:hyperlink r:id="rId43" w:history="1">
        <w:r w:rsidR="009258E1" w:rsidRPr="002C3261">
          <w:rPr>
            <w:rStyle w:val="Hyperlink"/>
            <w:rFonts w:cs="Arial"/>
            <w:u w:val="single"/>
          </w:rPr>
          <w:t>https://www.amnesty.org/es/documents/amr53/7077/2023/es/</w:t>
        </w:r>
      </w:hyperlink>
      <w:r w:rsidR="009258E1">
        <w:t>.</w:t>
      </w:r>
    </w:p>
  </w:footnote>
  <w:footnote w:id="44">
    <w:p w14:paraId="1BAEB442" w14:textId="77777777" w:rsidR="00281ECB" w:rsidRPr="00DB4ECB" w:rsidRDefault="00281ECB" w:rsidP="00281ECB">
      <w:pPr>
        <w:pStyle w:val="FootnoteText"/>
        <w:rPr>
          <w:lang w:val="es-MX"/>
        </w:rPr>
      </w:pPr>
      <w:r w:rsidRPr="00453923">
        <w:rPr>
          <w:vertAlign w:val="superscript"/>
        </w:rPr>
        <w:footnoteRef/>
      </w:r>
      <w:r>
        <w:t xml:space="preserve"> Amnistía Internacional, </w:t>
      </w:r>
      <w:r w:rsidRPr="00F73424">
        <w:rPr>
          <w:i/>
          <w:iCs/>
        </w:rPr>
        <w:t>Venezuela: Represión calculada: Correlación entre las estigmatizaciones y las detenciones arbitrarias por motivos políticos</w:t>
      </w:r>
      <w:r>
        <w:rPr>
          <w:i/>
          <w:iCs/>
        </w:rPr>
        <w:t xml:space="preserve"> </w:t>
      </w:r>
      <w:r>
        <w:t xml:space="preserve">(Índice: </w:t>
      </w:r>
      <w:r w:rsidRPr="00B867BB">
        <w:t>AMR 53/5133/2022</w:t>
      </w:r>
      <w:r>
        <w:t xml:space="preserve">), 10 de febrero de 2022, </w:t>
      </w:r>
      <w:hyperlink r:id="rId44" w:history="1">
        <w:r w:rsidRPr="001905C0">
          <w:rPr>
            <w:rStyle w:val="Hyperlink"/>
            <w:rFonts w:cs="Arial"/>
            <w:u w:val="single"/>
          </w:rPr>
          <w:t>https://www.amnesty.org/es/documents/amr53/5133/2022/es/</w:t>
        </w:r>
      </w:hyperlink>
      <w:r>
        <w:rPr>
          <w:lang w:val="es-MX"/>
        </w:rPr>
        <w:t xml:space="preserve"> p. 35.</w:t>
      </w:r>
    </w:p>
  </w:footnote>
  <w:footnote w:id="45">
    <w:p w14:paraId="1221EF56" w14:textId="62BB98F4" w:rsidR="008E5E69" w:rsidRPr="008E5E69" w:rsidRDefault="008E5E69">
      <w:pPr>
        <w:pStyle w:val="FootnoteText"/>
        <w:rPr>
          <w:lang w:val="pt-BR"/>
        </w:rPr>
      </w:pPr>
      <w:r>
        <w:rPr>
          <w:rStyle w:val="FootnoteReference"/>
        </w:rPr>
        <w:footnoteRef/>
      </w:r>
      <w:r w:rsidRPr="008E5E69">
        <w:rPr>
          <w:lang w:val="pt-BR"/>
        </w:rPr>
        <w:t xml:space="preserve"> Códig</w:t>
      </w:r>
      <w:r>
        <w:rPr>
          <w:lang w:val="pt-BR"/>
        </w:rPr>
        <w:t xml:space="preserve">o </w:t>
      </w:r>
      <w:proofErr w:type="spellStart"/>
      <w:r>
        <w:rPr>
          <w:lang w:val="pt-BR"/>
        </w:rPr>
        <w:t>Orgánico</w:t>
      </w:r>
      <w:proofErr w:type="spellEnd"/>
      <w:r>
        <w:rPr>
          <w:lang w:val="pt-BR"/>
        </w:rPr>
        <w:t xml:space="preserve"> </w:t>
      </w:r>
      <w:proofErr w:type="spellStart"/>
      <w:r>
        <w:rPr>
          <w:lang w:val="pt-BR"/>
        </w:rPr>
        <w:t>Procesal</w:t>
      </w:r>
      <w:proofErr w:type="spellEnd"/>
      <w:r>
        <w:rPr>
          <w:lang w:val="pt-BR"/>
        </w:rPr>
        <w:t xml:space="preserve"> Penal, artículo 295. </w:t>
      </w:r>
    </w:p>
  </w:footnote>
  <w:footnote w:id="46">
    <w:p w14:paraId="39106482" w14:textId="353C17F3" w:rsidR="00A941DB" w:rsidRPr="00A941DB" w:rsidRDefault="00A941DB">
      <w:pPr>
        <w:pStyle w:val="FootnoteText"/>
        <w:rPr>
          <w:lang w:val="pt-BR"/>
        </w:rPr>
      </w:pPr>
      <w:r>
        <w:rPr>
          <w:rStyle w:val="FootnoteReference"/>
        </w:rPr>
        <w:footnoteRef/>
      </w:r>
      <w:r w:rsidRPr="00A941DB">
        <w:rPr>
          <w:lang w:val="pt-BR"/>
        </w:rPr>
        <w:t xml:space="preserve"> </w:t>
      </w:r>
      <w:r>
        <w:rPr>
          <w:lang w:val="pt-BR"/>
        </w:rPr>
        <w:t xml:space="preserve">Código </w:t>
      </w:r>
      <w:proofErr w:type="spellStart"/>
      <w:r>
        <w:rPr>
          <w:lang w:val="pt-BR"/>
        </w:rPr>
        <w:t>Orgánico</w:t>
      </w:r>
      <w:proofErr w:type="spellEnd"/>
      <w:r>
        <w:rPr>
          <w:lang w:val="pt-BR"/>
        </w:rPr>
        <w:t xml:space="preserve"> </w:t>
      </w:r>
      <w:proofErr w:type="spellStart"/>
      <w:r>
        <w:rPr>
          <w:lang w:val="pt-BR"/>
        </w:rPr>
        <w:t>Procesal</w:t>
      </w:r>
      <w:proofErr w:type="spellEnd"/>
      <w:r>
        <w:rPr>
          <w:lang w:val="pt-BR"/>
        </w:rPr>
        <w:t xml:space="preserve"> Penal, </w:t>
      </w:r>
      <w:proofErr w:type="spellStart"/>
      <w:r>
        <w:rPr>
          <w:lang w:val="pt-BR"/>
        </w:rPr>
        <w:t>artíuclo</w:t>
      </w:r>
      <w:proofErr w:type="spellEnd"/>
      <w:r>
        <w:rPr>
          <w:lang w:val="pt-BR"/>
        </w:rPr>
        <w:t xml:space="preserve"> 229 </w:t>
      </w:r>
    </w:p>
  </w:footnote>
  <w:footnote w:id="47">
    <w:p w14:paraId="3474BF26" w14:textId="774AC40D" w:rsidR="00BE6850" w:rsidRPr="0005078F" w:rsidRDefault="00BE6850">
      <w:pPr>
        <w:pStyle w:val="FootnoteText"/>
        <w:rPr>
          <w:lang w:val="es-MX"/>
        </w:rPr>
      </w:pPr>
      <w:r>
        <w:rPr>
          <w:rStyle w:val="FootnoteReference"/>
        </w:rPr>
        <w:footnoteRef/>
      </w:r>
      <w:r>
        <w:t xml:space="preserve"> Amnistía Internacional, </w:t>
      </w:r>
      <w:r w:rsidRPr="00485F6E">
        <w:t xml:space="preserve">Venezuela: </w:t>
      </w:r>
      <w:r w:rsidRPr="002C3261">
        <w:rPr>
          <w:i/>
          <w:iCs/>
        </w:rPr>
        <w:t>Vidas detenidas: Continúan las detenciones arbitrarias por motivos políticos en Venezuela</w:t>
      </w:r>
      <w:r>
        <w:t xml:space="preserve">, 29 de agosto de 2023, (Índice: </w:t>
      </w:r>
      <w:r w:rsidRPr="00252DAD">
        <w:t>AMR 53/7077/2023</w:t>
      </w:r>
      <w:r>
        <w:t xml:space="preserve">), </w:t>
      </w:r>
      <w:hyperlink r:id="rId45" w:history="1">
        <w:r w:rsidRPr="002C3261">
          <w:rPr>
            <w:rStyle w:val="Hyperlink"/>
            <w:rFonts w:cs="Arial"/>
            <w:u w:val="single"/>
          </w:rPr>
          <w:t>https://www.amnesty.org/es/documents/amr53/7077/2023/es/</w:t>
        </w:r>
      </w:hyperlink>
      <w:r>
        <w:t xml:space="preserve">, p. 19 y ss. </w:t>
      </w:r>
    </w:p>
  </w:footnote>
  <w:footnote w:id="48">
    <w:p w14:paraId="6A4AB47A" w14:textId="5573D5FE" w:rsidR="00E15E0A" w:rsidRPr="00E15E0A" w:rsidRDefault="00E15E0A">
      <w:pPr>
        <w:pStyle w:val="FootnoteText"/>
      </w:pPr>
      <w:r>
        <w:rPr>
          <w:rStyle w:val="FootnoteReference"/>
        </w:rPr>
        <w:footnoteRef/>
      </w:r>
      <w:r>
        <w:t xml:space="preserve"> Asamblea General de las Naciones Unidas</w:t>
      </w:r>
      <w:r w:rsidRPr="00C05B8A">
        <w:rPr>
          <w:i/>
          <w:iCs/>
        </w:rPr>
        <w:t>, Reglas Mínimas de las Naciones Unidas para el Tratamiento de los Reclusos (Reglas Nelson Mandela)</w:t>
      </w:r>
      <w:r w:rsidR="00F80703" w:rsidRPr="00C05B8A">
        <w:rPr>
          <w:i/>
          <w:iCs/>
        </w:rPr>
        <w:t>, 8 de enero de 2016, Documento de Naciones Unidas A/RES/70/175</w:t>
      </w:r>
      <w:r w:rsidR="00DA5F7F" w:rsidRPr="00C05B8A">
        <w:rPr>
          <w:i/>
          <w:iCs/>
        </w:rPr>
        <w:t>,</w:t>
      </w:r>
      <w:r w:rsidR="00DA5F7F">
        <w:rPr>
          <w:u w:val="single"/>
        </w:rPr>
        <w:t xml:space="preserve"> </w:t>
      </w:r>
      <w:hyperlink r:id="rId46" w:history="1">
        <w:r w:rsidR="00DA5F7F" w:rsidRPr="00C05B8A">
          <w:rPr>
            <w:rStyle w:val="Hyperlink"/>
            <w:rFonts w:cs="Arial"/>
            <w:u w:val="single"/>
          </w:rPr>
          <w:t>https://documents-dds-ny.un.org/doc/UNDOC/GEN/N15/443/45/PDF/N1544345.pdf?OpenElement</w:t>
        </w:r>
      </w:hyperlink>
      <w:r w:rsidR="00DA5F7F">
        <w:rPr>
          <w:u w:val="single"/>
        </w:rPr>
        <w:t xml:space="preserve"> </w:t>
      </w:r>
    </w:p>
  </w:footnote>
  <w:footnote w:id="49">
    <w:p w14:paraId="0B908FE5" w14:textId="2BAC1B0C" w:rsidR="00BC6CFD" w:rsidRPr="00BC6CFD" w:rsidRDefault="00BC6CFD">
      <w:pPr>
        <w:pStyle w:val="FootnoteText"/>
        <w:rPr>
          <w:lang w:val="es-MX"/>
        </w:rPr>
      </w:pPr>
      <w:r>
        <w:rPr>
          <w:rStyle w:val="FootnoteReference"/>
        </w:rPr>
        <w:footnoteRef/>
      </w:r>
      <w:r>
        <w:t xml:space="preserve"> Amnistía Internacional, </w:t>
      </w:r>
      <w:r w:rsidRPr="00F73424">
        <w:rPr>
          <w:i/>
          <w:iCs/>
        </w:rPr>
        <w:t>Venezuela: Represión calculada: Correlación entre las estigmatizaciones y las detenciones arbitrarias por motivos políticos</w:t>
      </w:r>
      <w:r>
        <w:rPr>
          <w:i/>
          <w:iCs/>
        </w:rPr>
        <w:t xml:space="preserve"> </w:t>
      </w:r>
      <w:r>
        <w:t xml:space="preserve">(Índice: </w:t>
      </w:r>
      <w:r w:rsidRPr="00B867BB">
        <w:t>AMR 53/5133/2022</w:t>
      </w:r>
      <w:r>
        <w:t xml:space="preserve">), 10 de febrero de 2022, </w:t>
      </w:r>
      <w:hyperlink r:id="rId47" w:history="1">
        <w:r w:rsidRPr="001905C0">
          <w:rPr>
            <w:rStyle w:val="Hyperlink"/>
            <w:rFonts w:cs="Arial"/>
            <w:u w:val="single"/>
          </w:rPr>
          <w:t>https://www.amnesty.org/es/documents/amr53/5133/2022/es/</w:t>
        </w:r>
      </w:hyperlink>
      <w:r>
        <w:t xml:space="preserve">   </w:t>
      </w:r>
    </w:p>
  </w:footnote>
  <w:footnote w:id="50">
    <w:p w14:paraId="55332352" w14:textId="475B5FEC" w:rsidR="00E83FBA" w:rsidRPr="00F6703E" w:rsidRDefault="00E83FBA">
      <w:pPr>
        <w:pStyle w:val="FootnoteText"/>
        <w:rPr>
          <w:lang w:val="es-MX"/>
        </w:rPr>
      </w:pPr>
      <w:r w:rsidRPr="00F6703E">
        <w:rPr>
          <w:rStyle w:val="FootnoteReference"/>
        </w:rPr>
        <w:footnoteRef/>
      </w:r>
      <w:r w:rsidRPr="00F6703E">
        <w:rPr>
          <w:lang w:val="es-MX"/>
        </w:rPr>
        <w:t xml:space="preserve"> </w:t>
      </w:r>
      <w:r w:rsidR="00BC6CFD" w:rsidRPr="00BC6CFD">
        <w:t>A</w:t>
      </w:r>
      <w:r w:rsidR="00BC6CFD">
        <w:t xml:space="preserve">mnistía Internacional, </w:t>
      </w:r>
      <w:r w:rsidR="00BC6CFD" w:rsidRPr="00485F6E">
        <w:t xml:space="preserve">Venezuela: </w:t>
      </w:r>
      <w:r w:rsidR="00BC6CFD" w:rsidRPr="002C3261">
        <w:rPr>
          <w:i/>
          <w:iCs/>
        </w:rPr>
        <w:t>Vidas detenidas: Continúan las detenciones arbitrarias por motivos políticos en Venezuela</w:t>
      </w:r>
      <w:r w:rsidR="00BC6CFD">
        <w:t xml:space="preserve">, 29 de agosto de 2023, (Índice: </w:t>
      </w:r>
      <w:r w:rsidR="00BC6CFD" w:rsidRPr="00252DAD">
        <w:t>AMR 53/7077/2023</w:t>
      </w:r>
      <w:r w:rsidR="00BC6CFD">
        <w:t xml:space="preserve">), </w:t>
      </w:r>
      <w:hyperlink r:id="rId48" w:history="1">
        <w:r w:rsidR="00BC6CFD" w:rsidRPr="002C3261">
          <w:rPr>
            <w:rStyle w:val="Hyperlink"/>
            <w:rFonts w:cs="Arial"/>
            <w:u w:val="single"/>
          </w:rPr>
          <w:t>https://www.amnesty.org/es/documents/amr53/7077/2023/es/</w:t>
        </w:r>
      </w:hyperlink>
      <w:r w:rsidR="00BC6CFD">
        <w:t>, p. 15.</w:t>
      </w:r>
    </w:p>
  </w:footnote>
  <w:footnote w:id="51">
    <w:p w14:paraId="717C5866" w14:textId="1B5C706D" w:rsidR="00BC6CFD" w:rsidRPr="00F6703E" w:rsidRDefault="00BC6CFD">
      <w:pPr>
        <w:pStyle w:val="FootnoteText"/>
        <w:rPr>
          <w:lang w:val="es-MX"/>
        </w:rPr>
      </w:pPr>
      <w:r>
        <w:rPr>
          <w:rStyle w:val="FootnoteReference"/>
        </w:rPr>
        <w:footnoteRef/>
      </w:r>
      <w:r>
        <w:t xml:space="preserve"> </w:t>
      </w:r>
      <w:r w:rsidR="00373772">
        <w:t xml:space="preserve">MIIDH, </w:t>
      </w:r>
      <w:r w:rsidR="00373772" w:rsidRPr="008D0D55">
        <w:rPr>
          <w:i/>
          <w:iCs/>
        </w:rPr>
        <w:t>Conclusiones detalladas de la Misión internacional independiente de determinación de los hechos sobre la República Bolivariana de Venezuela</w:t>
      </w:r>
      <w:r w:rsidR="00373772">
        <w:rPr>
          <w:i/>
          <w:iCs/>
        </w:rPr>
        <w:t xml:space="preserve">, </w:t>
      </w:r>
      <w:r w:rsidR="00373772">
        <w:t xml:space="preserve">16 de septiembre de 2021, Número de documento de Naciones Unidas </w:t>
      </w:r>
      <w:r w:rsidR="00373772" w:rsidRPr="00407032">
        <w:t>A/HRC/48/CRP.5</w:t>
      </w:r>
      <w:r w:rsidR="00373772">
        <w:t>,</w:t>
      </w:r>
      <w:r w:rsidR="00373772" w:rsidRPr="00895C48">
        <w:rPr>
          <w:u w:val="single"/>
        </w:rPr>
        <w:t xml:space="preserve"> </w:t>
      </w:r>
      <w:hyperlink r:id="rId49" w:history="1">
        <w:r w:rsidR="00373772" w:rsidRPr="00895C48">
          <w:rPr>
            <w:rStyle w:val="Hyperlink"/>
            <w:rFonts w:cs="Arial"/>
            <w:u w:val="single"/>
          </w:rPr>
          <w:t>https://www.ohchr.org/sites/default/files/Documents/HRBodies/HRCouncil/FFMV/A-HRC-48-CRP.5_SP.pdf</w:t>
        </w:r>
      </w:hyperlink>
      <w:r w:rsidR="00373772">
        <w:rPr>
          <w:rStyle w:val="Hyperlink"/>
          <w:rFonts w:cs="Arial"/>
          <w:u w:val="single"/>
        </w:rPr>
        <w:t xml:space="preserve">, párr. 474. </w:t>
      </w:r>
    </w:p>
  </w:footnote>
  <w:footnote w:id="52">
    <w:p w14:paraId="297E6FBE" w14:textId="77777777" w:rsidR="004B78BF" w:rsidRPr="009B70B3" w:rsidRDefault="004B78BF" w:rsidP="004B78BF">
      <w:r w:rsidRPr="004B78BF">
        <w:rPr>
          <w:vertAlign w:val="superscript"/>
        </w:rPr>
        <w:footnoteRef/>
      </w:r>
      <w:r w:rsidRPr="004B78BF">
        <w:rPr>
          <w:vertAlign w:val="superscript"/>
        </w:rPr>
        <w:t xml:space="preserve"> </w:t>
      </w:r>
      <w:r w:rsidRPr="004B78BF">
        <w:rPr>
          <w:sz w:val="14"/>
        </w:rPr>
        <w:t xml:space="preserve">Efecto Cocuyo, “Perfil José </w:t>
      </w:r>
      <w:proofErr w:type="spellStart"/>
      <w:r w:rsidRPr="004B78BF">
        <w:rPr>
          <w:sz w:val="14"/>
        </w:rPr>
        <w:t>Mascimino</w:t>
      </w:r>
      <w:proofErr w:type="spellEnd"/>
      <w:r w:rsidRPr="004B78BF">
        <w:rPr>
          <w:sz w:val="14"/>
        </w:rPr>
        <w:t xml:space="preserve"> Márquez el juez tras las rejas que condenó a presos políticos”, 21 de marzo de 2023, </w:t>
      </w:r>
      <w:hyperlink r:id="rId50" w:history="1">
        <w:r w:rsidRPr="004B78BF">
          <w:rPr>
            <w:sz w:val="14"/>
          </w:rPr>
          <w:t>https://efectococuyo.com/politica/perfil-jose-mascimino-marquez-el-juez-tras-las-rejas-que-condeno-a-presos-politicos/</w:t>
        </w:r>
      </w:hyperlink>
      <w:r w:rsidRPr="009B70B3">
        <w:t xml:space="preserve"> </w:t>
      </w:r>
    </w:p>
  </w:footnote>
  <w:footnote w:id="53">
    <w:p w14:paraId="15135647" w14:textId="4D953A2B" w:rsidR="0042361B" w:rsidRPr="0042361B" w:rsidRDefault="0042361B">
      <w:pPr>
        <w:pStyle w:val="FootnoteText"/>
        <w:rPr>
          <w:lang w:val="es-MX"/>
        </w:rPr>
      </w:pPr>
      <w:r>
        <w:rPr>
          <w:rStyle w:val="FootnoteReference"/>
        </w:rPr>
        <w:footnoteRef/>
      </w:r>
      <w:r>
        <w:t xml:space="preserve"> </w:t>
      </w:r>
      <w:r>
        <w:rPr>
          <w:lang w:val="es-MX"/>
        </w:rPr>
        <w:t xml:space="preserve">Acceso a la justicia, </w:t>
      </w:r>
      <w:r w:rsidR="001B188C">
        <w:rPr>
          <w:lang w:val="es-MX"/>
        </w:rPr>
        <w:t>“</w:t>
      </w:r>
      <w:r w:rsidR="00DE7E08">
        <w:rPr>
          <w:lang w:val="es-MX"/>
        </w:rPr>
        <w:t>L</w:t>
      </w:r>
      <w:r w:rsidR="00DE7E08" w:rsidRPr="00DE7E08">
        <w:t>a administración de justicia penal en Venezuela</w:t>
      </w:r>
      <w:r w:rsidR="00933AD4">
        <w:t>, mayo 2022</w:t>
      </w:r>
      <w:r w:rsidR="001B188C">
        <w:t>”</w:t>
      </w:r>
      <w:r w:rsidR="00933AD4">
        <w:t>, p. 4</w:t>
      </w:r>
      <w:r w:rsidR="003B51F0">
        <w:t>5</w:t>
      </w:r>
      <w:r w:rsidR="00933AD4">
        <w:t xml:space="preserve">. </w:t>
      </w:r>
      <w:hyperlink r:id="rId51" w:history="1">
        <w:r w:rsidR="001B188C" w:rsidRPr="005F1FC3">
          <w:rPr>
            <w:rStyle w:val="Hyperlink"/>
            <w:rFonts w:cs="Arial"/>
            <w:u w:val="single"/>
          </w:rPr>
          <w:t>https://accesoalajusticia.org/wp-content/uploads/securepdfs/2022/05/La-administracion-de-justicia-penal-en-Venezuela.pdf</w:t>
        </w:r>
      </w:hyperlink>
      <w:r w:rsidR="001B188C">
        <w:t xml:space="preserve"> </w:t>
      </w:r>
    </w:p>
  </w:footnote>
  <w:footnote w:id="54">
    <w:p w14:paraId="6101E06F" w14:textId="411931B7" w:rsidR="0049649A" w:rsidRPr="0049649A" w:rsidRDefault="000E3AC9" w:rsidP="0049649A">
      <w:pPr>
        <w:pStyle w:val="FootnoteText"/>
        <w:rPr>
          <w:lang w:val="es-MX"/>
        </w:rPr>
      </w:pPr>
      <w:r>
        <w:rPr>
          <w:rStyle w:val="FootnoteReference"/>
        </w:rPr>
        <w:footnoteRef/>
      </w:r>
      <w:r>
        <w:t xml:space="preserve"> </w:t>
      </w:r>
      <w:r w:rsidR="0049649A">
        <w:rPr>
          <w:lang w:val="es-MX"/>
        </w:rPr>
        <w:t xml:space="preserve">Transparencia Venezuela, </w:t>
      </w:r>
      <w:r w:rsidR="00FB77CF">
        <w:rPr>
          <w:lang w:val="es-MX"/>
        </w:rPr>
        <w:t>TSJ</w:t>
      </w:r>
      <w:r w:rsidR="00FB77CF" w:rsidRPr="0049649A">
        <w:rPr>
          <w:lang w:val="es-MX"/>
        </w:rPr>
        <w:t xml:space="preserve"> despoja a juzgado penal de caracas de competencias sobre terrorismo</w:t>
      </w:r>
      <w:r w:rsidR="00FB77CF">
        <w:rPr>
          <w:lang w:val="es-MX"/>
        </w:rPr>
        <w:t>, 18 de julio de 2023,</w:t>
      </w:r>
    </w:p>
    <w:p w14:paraId="53A547CA" w14:textId="200BE814" w:rsidR="000E3AC9" w:rsidRPr="005F1FC3" w:rsidRDefault="0049649A">
      <w:pPr>
        <w:pStyle w:val="FootnoteText"/>
        <w:rPr>
          <w:u w:val="single"/>
          <w:lang w:val="es-MX"/>
        </w:rPr>
      </w:pPr>
      <w:r w:rsidRPr="005F1FC3">
        <w:rPr>
          <w:u w:val="single"/>
          <w:lang w:val="es-MX"/>
        </w:rPr>
        <w:t xml:space="preserve"> </w:t>
      </w:r>
      <w:hyperlink r:id="rId52" w:history="1">
        <w:r w:rsidRPr="005F1FC3">
          <w:rPr>
            <w:rStyle w:val="Hyperlink"/>
            <w:rFonts w:cs="Arial"/>
            <w:u w:val="single"/>
            <w:lang w:val="es-MX"/>
          </w:rPr>
          <w:t>https://transparenciave.org/tsj-despoja-juzgado-penal-de-competecias-terrorismo/</w:t>
        </w:r>
      </w:hyperlink>
      <w:r w:rsidRPr="005F1FC3">
        <w:rPr>
          <w:u w:val="single"/>
          <w:lang w:val="es-MX"/>
        </w:rPr>
        <w:t xml:space="preserve"> </w:t>
      </w:r>
    </w:p>
  </w:footnote>
  <w:footnote w:id="55">
    <w:p w14:paraId="4A2B16F4" w14:textId="6B62DF6C" w:rsidR="00EF0D0A" w:rsidRPr="00EF0D0A" w:rsidRDefault="00EF0D0A">
      <w:pPr>
        <w:pStyle w:val="FootnoteText"/>
      </w:pPr>
      <w:r>
        <w:rPr>
          <w:rStyle w:val="FootnoteReference"/>
        </w:rPr>
        <w:footnoteRef/>
      </w:r>
      <w:r>
        <w:t xml:space="preserve"> </w:t>
      </w:r>
      <w:r w:rsidR="00177A36">
        <w:t xml:space="preserve">Amnistía Internacional, </w:t>
      </w:r>
      <w:r w:rsidR="00177A36" w:rsidRPr="00485F6E">
        <w:t xml:space="preserve">Venezuela: </w:t>
      </w:r>
      <w:r w:rsidR="00177A36" w:rsidRPr="002C3261">
        <w:rPr>
          <w:i/>
          <w:iCs/>
        </w:rPr>
        <w:t>Vidas detenidas: Continúan las detenciones arbitrarias por motivos políticos en Venezuela</w:t>
      </w:r>
      <w:r w:rsidR="00177A36">
        <w:t xml:space="preserve">, 29 de agosto de 2023, (Índice: </w:t>
      </w:r>
      <w:r w:rsidR="00177A36" w:rsidRPr="00252DAD">
        <w:t>AMR 53/7077/2023</w:t>
      </w:r>
      <w:r w:rsidR="00177A36">
        <w:t xml:space="preserve">), </w:t>
      </w:r>
      <w:hyperlink r:id="rId53" w:history="1">
        <w:r w:rsidR="00177A36" w:rsidRPr="002C3261">
          <w:rPr>
            <w:rStyle w:val="Hyperlink"/>
            <w:rFonts w:cs="Arial"/>
            <w:u w:val="single"/>
          </w:rPr>
          <w:t>https://www.amnesty.org/es/documents/amr53/7077/2023/es/</w:t>
        </w:r>
      </w:hyperlink>
      <w:r w:rsidR="00177A36">
        <w:t xml:space="preserve">, pp. 26 y 27. </w:t>
      </w:r>
    </w:p>
  </w:footnote>
  <w:footnote w:id="56">
    <w:p w14:paraId="5E659C8E" w14:textId="391A5E2C" w:rsidR="001C1A33" w:rsidRPr="00285DC0" w:rsidRDefault="001C1A33">
      <w:pPr>
        <w:pStyle w:val="FootnoteText"/>
        <w:rPr>
          <w:lang w:val="es-MX"/>
        </w:rPr>
      </w:pPr>
      <w:r>
        <w:rPr>
          <w:rStyle w:val="FootnoteReference"/>
        </w:rPr>
        <w:footnoteRef/>
      </w:r>
      <w:r>
        <w:t xml:space="preserve"> </w:t>
      </w:r>
      <w:r w:rsidR="0060462C">
        <w:t>Acceso a la Justicia, “</w:t>
      </w:r>
      <w:r w:rsidR="0060462C" w:rsidRPr="0060462C">
        <w:t>Ley de Reforma Parcial del Código Orgánico de Justicia Militar</w:t>
      </w:r>
      <w:r w:rsidR="0060462C">
        <w:t xml:space="preserve">”, 4 de octubre de 2021, </w:t>
      </w:r>
      <w:hyperlink r:id="rId54" w:history="1">
        <w:r w:rsidR="00F6703E" w:rsidRPr="00285DC0">
          <w:rPr>
            <w:rStyle w:val="Hyperlink"/>
            <w:rFonts w:cs="Arial"/>
            <w:u w:val="single"/>
          </w:rPr>
          <w:t>https://accesoalajusticia.org/ley-de-reforma-parcial-del-codigo-organico-de-justicia-militar/</w:t>
        </w:r>
      </w:hyperlink>
      <w:r w:rsidR="00F6703E">
        <w:t xml:space="preserve">. </w:t>
      </w:r>
      <w:r>
        <w:t xml:space="preserve">Amnistía Internacional, </w:t>
      </w:r>
      <w:r w:rsidR="0024742F" w:rsidRPr="0024742F">
        <w:t>Informe 2021/22 Amnistía Internacional: La situación de los derechos humanos en el mundo</w:t>
      </w:r>
      <w:r w:rsidR="00830B90">
        <w:t xml:space="preserve">, </w:t>
      </w:r>
      <w:r w:rsidR="0053703A">
        <w:t xml:space="preserve">29 de marzo de 2022, </w:t>
      </w:r>
      <w:r w:rsidR="001940A2">
        <w:t xml:space="preserve">(Índice </w:t>
      </w:r>
      <w:r w:rsidR="001940A2" w:rsidRPr="001940A2">
        <w:t>POL 10/4870/2022</w:t>
      </w:r>
      <w:r w:rsidR="001940A2">
        <w:t xml:space="preserve">), </w:t>
      </w:r>
    </w:p>
  </w:footnote>
  <w:footnote w:id="57">
    <w:p w14:paraId="34D4909A" w14:textId="4B04770E" w:rsidR="00D7177F" w:rsidRPr="00D7177F" w:rsidRDefault="00D7177F">
      <w:pPr>
        <w:pStyle w:val="FootnoteText"/>
        <w:rPr>
          <w:lang w:val="es-MX"/>
        </w:rPr>
      </w:pPr>
      <w:r>
        <w:rPr>
          <w:rStyle w:val="FootnoteReference"/>
        </w:rPr>
        <w:footnoteRef/>
      </w:r>
      <w:r>
        <w:t xml:space="preserve"> Espacio </w:t>
      </w:r>
      <w:r w:rsidR="003C4642">
        <w:t>P</w:t>
      </w:r>
      <w:r>
        <w:t xml:space="preserve">úblico, Informe anual 2022: </w:t>
      </w:r>
      <w:r w:rsidRPr="00D7177F">
        <w:t>Un año de la ley de transparencia y acceso a la información de interés público</w:t>
      </w:r>
      <w:r>
        <w:t>, 3 de mayo de 2023</w:t>
      </w:r>
      <w:r w:rsidR="003552D6">
        <w:t xml:space="preserve">, </w:t>
      </w:r>
      <w:hyperlink r:id="rId55" w:history="1">
        <w:r w:rsidR="003552D6" w:rsidRPr="00285DC0">
          <w:rPr>
            <w:rStyle w:val="Hyperlink"/>
            <w:rFonts w:cs="Arial"/>
            <w:u w:val="single"/>
          </w:rPr>
          <w:t>https://espaciopublico.ong/un-ano-de-la-ley-de-transparencia-y-acceso-a-la-informacion-de-interes-publico/</w:t>
        </w:r>
      </w:hyperlink>
      <w:r w:rsidR="003552D6">
        <w:t xml:space="preserve"> </w:t>
      </w:r>
    </w:p>
  </w:footnote>
  <w:footnote w:id="58">
    <w:p w14:paraId="1DC5F8FA" w14:textId="587E0779" w:rsidR="00204A05" w:rsidRPr="00622671" w:rsidRDefault="00204A05">
      <w:pPr>
        <w:pStyle w:val="FootnoteText"/>
      </w:pPr>
      <w:r>
        <w:rPr>
          <w:rStyle w:val="FootnoteReference"/>
        </w:rPr>
        <w:footnoteRef/>
      </w:r>
      <w:r>
        <w:t xml:space="preserve"> Transparencia Venezuela, </w:t>
      </w:r>
      <w:r w:rsidR="00622671">
        <w:rPr>
          <w:i/>
          <w:iCs/>
        </w:rPr>
        <w:t xml:space="preserve">¿Cuánto y cómo se va a gastar </w:t>
      </w:r>
      <w:r w:rsidR="003D2565">
        <w:rPr>
          <w:i/>
          <w:iCs/>
        </w:rPr>
        <w:t xml:space="preserve">el dinero público </w:t>
      </w:r>
      <w:r w:rsidR="00622671">
        <w:rPr>
          <w:i/>
          <w:iCs/>
        </w:rPr>
        <w:t>este año?</w:t>
      </w:r>
      <w:r w:rsidR="00622671">
        <w:t xml:space="preserve">, </w:t>
      </w:r>
      <w:r w:rsidR="00E269C4">
        <w:t>e</w:t>
      </w:r>
      <w:r w:rsidR="0041076D">
        <w:t xml:space="preserve">nero 2022, </w:t>
      </w:r>
      <w:hyperlink r:id="rId56" w:history="1">
        <w:r w:rsidR="00692B4F" w:rsidRPr="00285DC0">
          <w:rPr>
            <w:rStyle w:val="Hyperlink"/>
            <w:rFonts w:cs="Arial"/>
            <w:u w:val="single"/>
          </w:rPr>
          <w:t>https://transparenciave.org/wp-content/uploads/2022/01/Nuestro-Presupuesto-2022_a.pdf</w:t>
        </w:r>
      </w:hyperlink>
      <w:r w:rsidR="006D7C91" w:rsidRPr="00285DC0">
        <w:t>, p. 4.</w:t>
      </w:r>
      <w:r w:rsidR="006D7C91">
        <w:rPr>
          <w:u w:val="single"/>
        </w:rPr>
        <w:t xml:space="preserve"> </w:t>
      </w:r>
      <w:r w:rsidR="00692B4F">
        <w:t xml:space="preserve"> </w:t>
      </w:r>
    </w:p>
  </w:footnote>
  <w:footnote w:id="59">
    <w:p w14:paraId="4B6E1F88" w14:textId="500D9A89" w:rsidR="00031915" w:rsidRPr="00031915" w:rsidRDefault="00031915">
      <w:pPr>
        <w:pStyle w:val="FootnoteText"/>
        <w:rPr>
          <w:lang w:val="es-MX"/>
        </w:rPr>
      </w:pPr>
      <w:r>
        <w:rPr>
          <w:rStyle w:val="FootnoteReference"/>
        </w:rPr>
        <w:footnoteRef/>
      </w:r>
      <w:r>
        <w:t xml:space="preserve"> </w:t>
      </w:r>
      <w:r>
        <w:rPr>
          <w:lang w:val="es-MX"/>
        </w:rPr>
        <w:t>Telefónica,</w:t>
      </w:r>
      <w:r w:rsidR="00501D33" w:rsidRPr="00501D33">
        <w:t xml:space="preserve"> </w:t>
      </w:r>
      <w:r w:rsidR="00501D33">
        <w:t xml:space="preserve">Informe de Transparencia en las Comunicaciones 2021, </w:t>
      </w:r>
      <w:r w:rsidR="00732B6E">
        <w:t xml:space="preserve">S.F., </w:t>
      </w:r>
      <w:hyperlink r:id="rId57" w:history="1">
        <w:r w:rsidR="00732B6E" w:rsidRPr="00297FC8">
          <w:rPr>
            <w:rStyle w:val="Hyperlink"/>
            <w:rFonts w:cs="Arial"/>
            <w:u w:val="single"/>
          </w:rPr>
          <w:t>https://www.telefonica.com/es/wp-content/uploads/sites/4/2021/08/Informe-de-Transparencia-en-las-Comunicaciones-2021.pdf</w:t>
        </w:r>
      </w:hyperlink>
      <w:r w:rsidR="00D50040">
        <w:t>,</w:t>
      </w:r>
      <w:r w:rsidR="00732B6E">
        <w:t xml:space="preserve"> p. 52. </w:t>
      </w:r>
    </w:p>
  </w:footnote>
  <w:footnote w:id="60">
    <w:p w14:paraId="4B453F5F" w14:textId="6306946D" w:rsidR="00141482" w:rsidRPr="00141482" w:rsidRDefault="00141482">
      <w:pPr>
        <w:pStyle w:val="FootnoteText"/>
      </w:pPr>
      <w:r>
        <w:rPr>
          <w:rStyle w:val="FootnoteReference"/>
        </w:rPr>
        <w:footnoteRef/>
      </w:r>
      <w:r>
        <w:t xml:space="preserve"> </w:t>
      </w:r>
      <w:r w:rsidR="00112C90">
        <w:rPr>
          <w:lang w:val="es-MX"/>
        </w:rPr>
        <w:t>Espacio Público, Informe anual 2022: S</w:t>
      </w:r>
      <w:r w:rsidR="00112C90" w:rsidRPr="003C4642">
        <w:rPr>
          <w:lang w:val="es-MX"/>
        </w:rPr>
        <w:t>ituación del derecho a la libertad de expresión e información en Venezuela</w:t>
      </w:r>
      <w:r w:rsidR="00112C90">
        <w:rPr>
          <w:lang w:val="es-MX"/>
        </w:rPr>
        <w:t xml:space="preserve">, mayo 2023, </w:t>
      </w:r>
      <w:hyperlink r:id="rId58" w:history="1">
        <w:r w:rsidR="00112C90" w:rsidRPr="00297FC8">
          <w:rPr>
            <w:rStyle w:val="Hyperlink"/>
            <w:rFonts w:cs="Arial"/>
            <w:u w:val="single"/>
            <w:lang w:val="es-MX"/>
          </w:rPr>
          <w:t>https://espaciopublico.ong/informe-2022-situacion-del-derecho-a-la-libertad-de-expresion-e-informacion-en-venezuela/</w:t>
        </w:r>
      </w:hyperlink>
    </w:p>
  </w:footnote>
  <w:footnote w:id="61">
    <w:p w14:paraId="6FF0C970" w14:textId="4E4A618E" w:rsidR="008704E8" w:rsidRPr="008704E8" w:rsidRDefault="008704E8">
      <w:pPr>
        <w:pStyle w:val="FootnoteText"/>
        <w:rPr>
          <w:lang w:val="es-MX"/>
        </w:rPr>
      </w:pPr>
      <w:r>
        <w:rPr>
          <w:rStyle w:val="FootnoteReference"/>
        </w:rPr>
        <w:footnoteRef/>
      </w:r>
      <w:r>
        <w:t xml:space="preserve"> Espacio Público, Informe 2020: Situación general del derecho a la libertad de expresión en Venezuela, 3 de mayo de 2021. </w:t>
      </w:r>
      <w:hyperlink r:id="rId59" w:history="1">
        <w:r w:rsidR="000A1157" w:rsidRPr="00297FC8">
          <w:rPr>
            <w:rStyle w:val="Hyperlink"/>
            <w:rFonts w:cs="Arial"/>
            <w:u w:val="single"/>
            <w:lang w:val="es-MX"/>
          </w:rPr>
          <w:t>https://espaciopublico.ong/informe-2022-situacion-del-derecho-a-la-libertad-de-expresion-e-informacion-en-venezuela/</w:t>
        </w:r>
      </w:hyperlink>
      <w:r w:rsidR="000A1157">
        <w:rPr>
          <w:rStyle w:val="Hyperlink"/>
          <w:rFonts w:cs="Arial"/>
          <w:u w:val="single"/>
          <w:lang w:val="es-MX"/>
        </w:rPr>
        <w:t xml:space="preserve"> </w:t>
      </w:r>
      <w:r w:rsidR="00297FC8">
        <w:t xml:space="preserve"> </w:t>
      </w:r>
      <w:r>
        <w:t xml:space="preserve">  </w:t>
      </w:r>
    </w:p>
  </w:footnote>
  <w:footnote w:id="62">
    <w:p w14:paraId="6F366C6B" w14:textId="55D9BD4B" w:rsidR="00D5688F" w:rsidRPr="00D5688F" w:rsidRDefault="00D5688F">
      <w:pPr>
        <w:pStyle w:val="FootnoteText"/>
        <w:rPr>
          <w:lang w:val="es-MX"/>
        </w:rPr>
      </w:pPr>
      <w:r>
        <w:rPr>
          <w:rStyle w:val="FootnoteReference"/>
        </w:rPr>
        <w:footnoteRef/>
      </w:r>
      <w:r>
        <w:t xml:space="preserve"> </w:t>
      </w:r>
      <w:r>
        <w:rPr>
          <w:lang w:val="es-MX"/>
        </w:rPr>
        <w:t xml:space="preserve">Espacio Público, Informe anual 2022: </w:t>
      </w:r>
      <w:r w:rsidR="003C4642">
        <w:rPr>
          <w:lang w:val="es-MX"/>
        </w:rPr>
        <w:t>S</w:t>
      </w:r>
      <w:r w:rsidR="003C4642" w:rsidRPr="003C4642">
        <w:rPr>
          <w:lang w:val="es-MX"/>
        </w:rPr>
        <w:t>ituación del derecho a la libertad de expresión e información en Venezuela</w:t>
      </w:r>
      <w:r w:rsidR="003C4642">
        <w:rPr>
          <w:lang w:val="es-MX"/>
        </w:rPr>
        <w:t xml:space="preserve">, mayo 2023, </w:t>
      </w:r>
      <w:hyperlink r:id="rId60" w:history="1">
        <w:r w:rsidR="000A1157" w:rsidRPr="00297FC8">
          <w:rPr>
            <w:rStyle w:val="Hyperlink"/>
            <w:rFonts w:cs="Arial"/>
            <w:u w:val="single"/>
            <w:lang w:val="es-MX"/>
          </w:rPr>
          <w:t>https://espaciopublico.ong/informe-2022-situacion-del-derecho-a-la-libertad-de-expresion-e-informacion-en-venezuela/</w:t>
        </w:r>
      </w:hyperlink>
    </w:p>
  </w:footnote>
  <w:footnote w:id="63">
    <w:p w14:paraId="75A5AD06" w14:textId="3E687EF5" w:rsidR="00F43F38" w:rsidRPr="00F43F38" w:rsidRDefault="00F43F38">
      <w:pPr>
        <w:pStyle w:val="FootnoteText"/>
        <w:rPr>
          <w:lang w:val="es-MX"/>
        </w:rPr>
      </w:pPr>
      <w:r>
        <w:rPr>
          <w:rStyle w:val="FootnoteReference"/>
        </w:rPr>
        <w:footnoteRef/>
      </w:r>
      <w:r>
        <w:t xml:space="preserve"> </w:t>
      </w:r>
      <w:r w:rsidR="00AA7B87">
        <w:rPr>
          <w:lang w:val="es-MX"/>
        </w:rPr>
        <w:t xml:space="preserve">El Nacional, </w:t>
      </w:r>
      <w:r w:rsidR="001E1998">
        <w:rPr>
          <w:lang w:val="es-MX"/>
        </w:rPr>
        <w:t>“</w:t>
      </w:r>
      <w:r w:rsidR="001E1998" w:rsidRPr="001E1998">
        <w:rPr>
          <w:lang w:val="es-MX"/>
        </w:rPr>
        <w:t>El régimen ordena a El Nacional pago de aproximadamente 13 millones de dólares por indemnización a Diosdado Cabello por daño moral</w:t>
      </w:r>
      <w:r w:rsidR="001E1998">
        <w:rPr>
          <w:lang w:val="es-MX"/>
        </w:rPr>
        <w:t>”, 16 de abril de 2021,</w:t>
      </w:r>
      <w:r w:rsidR="00AA7B87">
        <w:rPr>
          <w:lang w:val="es-MX"/>
        </w:rPr>
        <w:t xml:space="preserve"> </w:t>
      </w:r>
      <w:hyperlink r:id="rId61" w:history="1">
        <w:r w:rsidR="00AA7B87" w:rsidRPr="000A1157">
          <w:rPr>
            <w:rStyle w:val="Hyperlink"/>
            <w:rFonts w:cs="Arial"/>
            <w:u w:val="single"/>
            <w:lang w:val="es-MX"/>
          </w:rPr>
          <w:t>https://www.elnacional.com/venezuela/el-regimen-ordena-a-el-nacional-pago-de-aproximadamente-13-millones-de-dolares-por-indemnizacion-a-diosdado-cabello-por-dano-moral/</w:t>
        </w:r>
      </w:hyperlink>
      <w:r w:rsidR="00AA7B87">
        <w:rPr>
          <w:lang w:val="es-MX"/>
        </w:rPr>
        <w:t xml:space="preserve"> </w:t>
      </w:r>
    </w:p>
  </w:footnote>
  <w:footnote w:id="64">
    <w:p w14:paraId="23C94D77" w14:textId="57EA1697" w:rsidR="00890802" w:rsidRPr="00E46570" w:rsidRDefault="00890802">
      <w:pPr>
        <w:pStyle w:val="FootnoteText"/>
        <w:rPr>
          <w:lang w:val="es-MX"/>
        </w:rPr>
      </w:pPr>
      <w:r>
        <w:rPr>
          <w:rStyle w:val="FootnoteReference"/>
        </w:rPr>
        <w:footnoteRef/>
      </w:r>
      <w:r>
        <w:t xml:space="preserve"> </w:t>
      </w:r>
      <w:r>
        <w:rPr>
          <w:lang w:val="es-MX"/>
        </w:rPr>
        <w:t>Amnistía Internacional, “</w:t>
      </w:r>
      <w:r w:rsidRPr="00890802">
        <w:rPr>
          <w:lang w:val="es-MX"/>
        </w:rPr>
        <w:t>Venezuela: Autoridades deben liberar a Luis Carlos Díaz inmediatamente</w:t>
      </w:r>
      <w:r w:rsidR="0058551F">
        <w:rPr>
          <w:lang w:val="es-MX"/>
        </w:rPr>
        <w:t xml:space="preserve">”, 12 de marzo de 2019, </w:t>
      </w:r>
      <w:hyperlink r:id="rId62" w:history="1">
        <w:r w:rsidR="0058551F" w:rsidRPr="00E46570">
          <w:rPr>
            <w:rStyle w:val="Hyperlink"/>
            <w:rFonts w:cs="Arial"/>
            <w:u w:val="single"/>
            <w:lang w:val="es-MX"/>
          </w:rPr>
          <w:t>https://www.amnesty.org/es/latest/press-release/2019/03/venezuela-authorities-must-free-luis-carlos-diaz-immediately/</w:t>
        </w:r>
      </w:hyperlink>
      <w:r w:rsidR="0058551F">
        <w:rPr>
          <w:lang w:val="es-MX"/>
        </w:rPr>
        <w:t xml:space="preserve"> </w:t>
      </w:r>
    </w:p>
  </w:footnote>
  <w:footnote w:id="65">
    <w:p w14:paraId="29AEDEFB" w14:textId="106063D9" w:rsidR="00A4274A" w:rsidRPr="00E46570" w:rsidRDefault="00A4274A">
      <w:pPr>
        <w:pStyle w:val="FootnoteText"/>
        <w:rPr>
          <w:lang w:val="es-MX"/>
        </w:rPr>
      </w:pPr>
      <w:r>
        <w:rPr>
          <w:rStyle w:val="FootnoteReference"/>
        </w:rPr>
        <w:footnoteRef/>
      </w:r>
      <w:r>
        <w:t xml:space="preserve"> Amnistía Internacional, Acción urgente: </w:t>
      </w:r>
      <w:r w:rsidRPr="00A4274A">
        <w:t xml:space="preserve">Venezuela: Encarcelado un periodista que informaba sobre la covid-19: </w:t>
      </w:r>
      <w:proofErr w:type="spellStart"/>
      <w:r w:rsidRPr="00A4274A">
        <w:t>Darvinson</w:t>
      </w:r>
      <w:proofErr w:type="spellEnd"/>
      <w:r w:rsidRPr="00A4274A">
        <w:t xml:space="preserve"> Rojas</w:t>
      </w:r>
      <w:r>
        <w:t xml:space="preserve">, 23 de marzo de 2020 (Índice: </w:t>
      </w:r>
      <w:r w:rsidR="00DD5592" w:rsidRPr="00DD5592">
        <w:t>AMR 53/2019/2020</w:t>
      </w:r>
      <w:r w:rsidR="00DD5592">
        <w:t xml:space="preserve">), </w:t>
      </w:r>
      <w:hyperlink r:id="rId63" w:history="1">
        <w:r w:rsidR="00DD5592" w:rsidRPr="00E46570">
          <w:rPr>
            <w:rStyle w:val="Hyperlink"/>
            <w:rFonts w:cs="Arial"/>
            <w:u w:val="single"/>
          </w:rPr>
          <w:t>https://www.amnesty.org/es/documents/amr53/2019/2020/es/</w:t>
        </w:r>
      </w:hyperlink>
      <w:r w:rsidR="00DD5592">
        <w:t xml:space="preserve"> </w:t>
      </w:r>
    </w:p>
  </w:footnote>
  <w:footnote w:id="66">
    <w:p w14:paraId="200E2D4B" w14:textId="58875AD6" w:rsidR="00E46570" w:rsidRPr="00E46570" w:rsidRDefault="00E46570">
      <w:pPr>
        <w:pStyle w:val="FootnoteText"/>
      </w:pPr>
      <w:r>
        <w:rPr>
          <w:rStyle w:val="FootnoteReference"/>
        </w:rPr>
        <w:footnoteRef/>
      </w:r>
      <w:r>
        <w:t xml:space="preserve"> Amnistía Internacional, </w:t>
      </w:r>
      <w:r w:rsidRPr="00485F6E">
        <w:t xml:space="preserve">Venezuela: </w:t>
      </w:r>
      <w:r w:rsidRPr="002C3261">
        <w:rPr>
          <w:i/>
          <w:iCs/>
        </w:rPr>
        <w:t>Vidas detenidas: Continúan las detenciones arbitrarias por motivos políticos en Venezuela</w:t>
      </w:r>
      <w:r>
        <w:t xml:space="preserve">, 29 de agosto de 2023, (Índice: </w:t>
      </w:r>
      <w:r w:rsidRPr="00252DAD">
        <w:t>AMR 53/7077/2023</w:t>
      </w:r>
      <w:r>
        <w:t xml:space="preserve">), </w:t>
      </w:r>
      <w:hyperlink r:id="rId64" w:history="1">
        <w:r w:rsidRPr="002C3261">
          <w:rPr>
            <w:rStyle w:val="Hyperlink"/>
            <w:rFonts w:cs="Arial"/>
            <w:u w:val="single"/>
          </w:rPr>
          <w:t>https://www.amnesty.org/es/documents/amr53/7077/2023/es/</w:t>
        </w:r>
      </w:hyperlink>
      <w:r>
        <w:t>,</w:t>
      </w:r>
      <w:r w:rsidR="00046AD1">
        <w:t xml:space="preserve"> p. 10</w:t>
      </w:r>
    </w:p>
  </w:footnote>
  <w:footnote w:id="67">
    <w:p w14:paraId="39D9D73C" w14:textId="417B9CA8" w:rsidR="00A7189E" w:rsidRPr="00A7189E" w:rsidRDefault="00A7189E">
      <w:pPr>
        <w:pStyle w:val="FootnoteText"/>
        <w:rPr>
          <w:lang w:val="es-MX"/>
        </w:rPr>
      </w:pPr>
      <w:r>
        <w:rPr>
          <w:rStyle w:val="FootnoteReference"/>
        </w:rPr>
        <w:footnoteRef/>
      </w:r>
      <w:r>
        <w:t xml:space="preserve"> </w:t>
      </w:r>
      <w:r>
        <w:rPr>
          <w:lang w:val="es-MX"/>
        </w:rPr>
        <w:t xml:space="preserve">Ministerio del Poder Popular para la Cultura, </w:t>
      </w:r>
      <w:r w:rsidR="00DD36B6" w:rsidRPr="00DD36B6">
        <w:rPr>
          <w:lang w:val="es-MX"/>
        </w:rPr>
        <w:t>Fiscalía libró 9 órdenes de aprehensión contra funcionarios del FAES por caso de comunicadores asesinados en Cabimas (+Video)</w:t>
      </w:r>
      <w:r w:rsidR="00DD36B6">
        <w:rPr>
          <w:lang w:val="es-MX"/>
        </w:rPr>
        <w:t xml:space="preserve">, 25 de agosto de 2020, </w:t>
      </w:r>
      <w:hyperlink r:id="rId65" w:history="1">
        <w:r w:rsidR="00DD36B6" w:rsidRPr="00EB5FA7">
          <w:rPr>
            <w:rStyle w:val="Hyperlink"/>
            <w:rFonts w:cs="Arial"/>
            <w:u w:val="single"/>
            <w:lang w:val="es-MX"/>
          </w:rPr>
          <w:t>https://albaciudad.org/2020/08/fiscalia-libro-9-ordenes-de-aprehension-contra-funcionarios-del-faes-por-caso-de-comunicadores-asesinados-en-cabimas-video/</w:t>
        </w:r>
      </w:hyperlink>
      <w:r w:rsidR="00DD36B6">
        <w:rPr>
          <w:lang w:val="es-MX"/>
        </w:rPr>
        <w:t xml:space="preserve"> </w:t>
      </w:r>
    </w:p>
  </w:footnote>
  <w:footnote w:id="68">
    <w:p w14:paraId="2CD2B3B8" w14:textId="6E27C570" w:rsidR="009D6337" w:rsidRPr="00373B9C" w:rsidRDefault="009D6337">
      <w:pPr>
        <w:pStyle w:val="FootnoteText"/>
        <w:rPr>
          <w:lang w:val="es-MX"/>
        </w:rPr>
      </w:pPr>
      <w:r>
        <w:rPr>
          <w:rStyle w:val="FootnoteReference"/>
        </w:rPr>
        <w:footnoteRef/>
      </w:r>
      <w:r>
        <w:t xml:space="preserve"> Committee </w:t>
      </w:r>
      <w:proofErr w:type="spellStart"/>
      <w:r>
        <w:t>to</w:t>
      </w:r>
      <w:proofErr w:type="spellEnd"/>
      <w:r>
        <w:t xml:space="preserve"> </w:t>
      </w:r>
      <w:proofErr w:type="spellStart"/>
      <w:r>
        <w:t>Protect</w:t>
      </w:r>
      <w:proofErr w:type="spellEnd"/>
      <w:r>
        <w:t xml:space="preserve"> </w:t>
      </w:r>
      <w:proofErr w:type="spellStart"/>
      <w:r w:rsidR="00204D78">
        <w:t>Journalists</w:t>
      </w:r>
      <w:proofErr w:type="spellEnd"/>
      <w:r w:rsidR="00204D78">
        <w:t>, “</w:t>
      </w:r>
      <w:r w:rsidR="00204D78" w:rsidRPr="00204D78">
        <w:t>Las autoridades venezolanas dictan orden de arresto contra el periodista Roberto Deniz y allanan la casa de su familia</w:t>
      </w:r>
      <w:r w:rsidR="00204D78">
        <w:t xml:space="preserve">”, </w:t>
      </w:r>
      <w:r w:rsidR="00C040C0">
        <w:t xml:space="preserve">20 de octubre de 2021, </w:t>
      </w:r>
      <w:hyperlink r:id="rId66" w:history="1">
        <w:r w:rsidR="00C040C0" w:rsidRPr="00373B9C">
          <w:rPr>
            <w:rStyle w:val="Hyperlink"/>
            <w:rFonts w:cs="Arial"/>
            <w:u w:val="single"/>
          </w:rPr>
          <w:t>https://cpj.org/es/2021/10/las-autoridades-venezolanas-dictan-orden-de-arresto-contra-el-periodista-roberto-deniz-y-allanan-la-casa-de-su-familia/</w:t>
        </w:r>
      </w:hyperlink>
      <w:r w:rsidR="00C040C0">
        <w:t xml:space="preserve"> </w:t>
      </w:r>
    </w:p>
  </w:footnote>
  <w:footnote w:id="69">
    <w:p w14:paraId="7B885A62" w14:textId="4196849D" w:rsidR="00F57755" w:rsidRPr="00A81B20" w:rsidRDefault="00F57755">
      <w:pPr>
        <w:pStyle w:val="FootnoteText"/>
        <w:rPr>
          <w:lang w:val="es-MX"/>
        </w:rPr>
      </w:pPr>
      <w:r>
        <w:rPr>
          <w:rStyle w:val="FootnoteReference"/>
        </w:rPr>
        <w:footnoteRef/>
      </w:r>
      <w:r>
        <w:t xml:space="preserve"> </w:t>
      </w:r>
      <w:r>
        <w:rPr>
          <w:lang w:val="es-MX"/>
        </w:rPr>
        <w:t xml:space="preserve">Comisión </w:t>
      </w:r>
      <w:r w:rsidR="00BA6938">
        <w:rPr>
          <w:lang w:val="es-MX"/>
        </w:rPr>
        <w:t xml:space="preserve">Interamericana de Derechos Humanos, </w:t>
      </w:r>
      <w:r w:rsidR="002D301E">
        <w:rPr>
          <w:i/>
          <w:iCs/>
          <w:lang w:val="es-MX"/>
        </w:rPr>
        <w:t xml:space="preserve">Situación de Derechos Humanos en Venezuela, </w:t>
      </w:r>
      <w:r w:rsidR="0065052F">
        <w:rPr>
          <w:lang w:val="es-MX"/>
        </w:rPr>
        <w:t xml:space="preserve">31 de diciembre de 2017, </w:t>
      </w:r>
      <w:r w:rsidR="00741817">
        <w:rPr>
          <w:lang w:val="es-MX"/>
        </w:rPr>
        <w:t xml:space="preserve">número de documento de la OEA </w:t>
      </w:r>
      <w:r w:rsidR="00741817">
        <w:t xml:space="preserve">209, </w:t>
      </w:r>
      <w:hyperlink r:id="rId67" w:history="1">
        <w:r w:rsidR="00F65592" w:rsidRPr="00F65592">
          <w:rPr>
            <w:rStyle w:val="Hyperlink"/>
            <w:rFonts w:cs="Arial"/>
            <w:u w:val="single"/>
          </w:rPr>
          <w:t>https://www.oas.org/es/cidh/informes/pdfs/venezuela2018-es.pdf</w:t>
        </w:r>
      </w:hyperlink>
      <w:r w:rsidR="003B3589">
        <w:t xml:space="preserve">, párr. 210. </w:t>
      </w:r>
      <w:r w:rsidR="00741817">
        <w:t xml:space="preserve"> </w:t>
      </w:r>
    </w:p>
  </w:footnote>
  <w:footnote w:id="70">
    <w:p w14:paraId="43855711" w14:textId="1FADA9D0" w:rsidR="007E2009" w:rsidRPr="007E2009" w:rsidRDefault="007E2009">
      <w:pPr>
        <w:pStyle w:val="FootnoteText"/>
        <w:rPr>
          <w:lang w:val="es-MX"/>
        </w:rPr>
      </w:pPr>
      <w:r>
        <w:rPr>
          <w:rStyle w:val="FootnoteReference"/>
        </w:rPr>
        <w:footnoteRef/>
      </w:r>
      <w:r>
        <w:t xml:space="preserve"> </w:t>
      </w:r>
      <w:r>
        <w:rPr>
          <w:lang w:val="es-MX"/>
        </w:rPr>
        <w:t xml:space="preserve">Amnistía Internacional, Venezuela: Hambre de Justicia: crímenes de lesa humanidad en Venezuela, </w:t>
      </w:r>
      <w:r w:rsidR="00FD0663">
        <w:rPr>
          <w:lang w:val="es-MX"/>
        </w:rPr>
        <w:t xml:space="preserve">Índice: </w:t>
      </w:r>
      <w:r w:rsidR="00FD0663" w:rsidRPr="00FD0663">
        <w:t>AMR 53/0222/2019</w:t>
      </w:r>
      <w:r w:rsidR="00FD0663">
        <w:t xml:space="preserve">, </w:t>
      </w:r>
      <w:r>
        <w:rPr>
          <w:lang w:val="es-MX"/>
        </w:rPr>
        <w:t>1</w:t>
      </w:r>
      <w:r w:rsidR="00FD0663">
        <w:rPr>
          <w:lang w:val="es-MX"/>
        </w:rPr>
        <w:t>4</w:t>
      </w:r>
      <w:r>
        <w:rPr>
          <w:lang w:val="es-MX"/>
        </w:rPr>
        <w:t xml:space="preserve"> de mayo de 2019</w:t>
      </w:r>
      <w:r w:rsidR="00FD0663">
        <w:rPr>
          <w:lang w:val="es-MX"/>
        </w:rPr>
        <w:t xml:space="preserve">, </w:t>
      </w:r>
      <w:hyperlink r:id="rId68" w:history="1">
        <w:r w:rsidR="00C242BE" w:rsidRPr="00F65592">
          <w:rPr>
            <w:rStyle w:val="Hyperlink"/>
            <w:rFonts w:cs="Arial"/>
            <w:u w:val="single"/>
            <w:lang w:val="es-MX"/>
          </w:rPr>
          <w:t>https://www.amnesty.org/es/documents/amr53/0222/2019/es/</w:t>
        </w:r>
      </w:hyperlink>
      <w:r w:rsidR="00FD0663">
        <w:rPr>
          <w:lang w:val="es-MX"/>
        </w:rPr>
        <w:t xml:space="preserve">, p. </w:t>
      </w:r>
      <w:r w:rsidR="00B2784F">
        <w:rPr>
          <w:lang w:val="es-MX"/>
        </w:rPr>
        <w:t xml:space="preserve">26. </w:t>
      </w:r>
      <w:r>
        <w:rPr>
          <w:lang w:val="es-MX"/>
        </w:rPr>
        <w:t xml:space="preserve"> </w:t>
      </w:r>
    </w:p>
  </w:footnote>
  <w:footnote w:id="71">
    <w:p w14:paraId="061771BA" w14:textId="5EDC5B05" w:rsidR="002E0C20" w:rsidRPr="009A4644" w:rsidRDefault="002E0C20">
      <w:pPr>
        <w:pStyle w:val="FootnoteText"/>
        <w:rPr>
          <w:lang w:val="es-MX"/>
        </w:rPr>
      </w:pPr>
      <w:r>
        <w:rPr>
          <w:rStyle w:val="FootnoteReference"/>
        </w:rPr>
        <w:footnoteRef/>
      </w:r>
      <w:r>
        <w:t xml:space="preserve"> </w:t>
      </w:r>
      <w:r w:rsidR="005F7D3E">
        <w:t xml:space="preserve">Misión Internacional e Independiente de Verificación de los Hechos de las Naciones Unidas sobre Venezuela (MIIDH), </w:t>
      </w:r>
      <w:r w:rsidR="003427D2" w:rsidRPr="003427D2">
        <w:rPr>
          <w:i/>
          <w:iCs/>
        </w:rPr>
        <w:t>Conclusiones detalladas de la Misión internacional independiente de determinación de los hechos sobre la República Bolivariana de Venezuela</w:t>
      </w:r>
      <w:r w:rsidR="005F7D3E">
        <w:t xml:space="preserve">, </w:t>
      </w:r>
      <w:r w:rsidR="003427D2" w:rsidRPr="003427D2">
        <w:t>16 de septiembre de 2021</w:t>
      </w:r>
      <w:r w:rsidR="005F7D3E">
        <w:t xml:space="preserve">, Documento </w:t>
      </w:r>
      <w:r w:rsidR="005F7D3E" w:rsidRPr="00613DE5">
        <w:rPr>
          <w:lang w:val="es-MX"/>
        </w:rPr>
        <w:t xml:space="preserve">ONU </w:t>
      </w:r>
      <w:r w:rsidR="003427D2">
        <w:t>A/HRC/48/CRP.5</w:t>
      </w:r>
      <w:r w:rsidR="005F7D3E" w:rsidRPr="00613DE5">
        <w:rPr>
          <w:lang w:val="es-MX"/>
        </w:rPr>
        <w:t xml:space="preserve">. </w:t>
      </w:r>
      <w:hyperlink r:id="rId69" w:history="1">
        <w:r w:rsidR="009A4644" w:rsidRPr="00876597">
          <w:rPr>
            <w:rStyle w:val="Hyperlink"/>
            <w:rFonts w:cs="Arial"/>
            <w:u w:val="single"/>
            <w:lang w:val="es-MX"/>
          </w:rPr>
          <w:t>https://www.ohchr.org/sites/default/files/Documents/HRBodies/HRCouncil/FFMV/A-HRC-48-CRP.5_SP.pdf</w:t>
        </w:r>
      </w:hyperlink>
      <w:r w:rsidR="009A4644" w:rsidRPr="009A4644">
        <w:rPr>
          <w:lang w:val="es-MX"/>
        </w:rPr>
        <w:t>, pá</w:t>
      </w:r>
      <w:r w:rsidR="009A4644">
        <w:rPr>
          <w:lang w:val="es-MX"/>
        </w:rPr>
        <w:t xml:space="preserve">rr. </w:t>
      </w:r>
      <w:r w:rsidR="00876597">
        <w:rPr>
          <w:lang w:val="es-MX"/>
        </w:rPr>
        <w:t xml:space="preserve">445 y ss. </w:t>
      </w:r>
    </w:p>
  </w:footnote>
  <w:footnote w:id="72">
    <w:p w14:paraId="793D234E" w14:textId="13796258" w:rsidR="00574EBB" w:rsidRPr="00611421" w:rsidRDefault="00574EBB" w:rsidP="00574EBB">
      <w:pPr>
        <w:pStyle w:val="FootnoteText"/>
      </w:pPr>
      <w:r w:rsidRPr="00B553EA">
        <w:rPr>
          <w:vertAlign w:val="superscript"/>
        </w:rPr>
        <w:footnoteRef/>
      </w:r>
      <w:r>
        <w:t xml:space="preserve"> Observatorio Venezolano de Conflictividad Social, </w:t>
      </w:r>
      <w:r w:rsidRPr="00024B54">
        <w:t xml:space="preserve">Conflictividad durante el primer </w:t>
      </w:r>
      <w:r w:rsidR="00CF5968">
        <w:t>semestre</w:t>
      </w:r>
      <w:r w:rsidRPr="00024B54">
        <w:t xml:space="preserve"> de 2023,</w:t>
      </w:r>
      <w:r>
        <w:t xml:space="preserve"> 22 octubre 2022 (sic), </w:t>
      </w:r>
      <w:hyperlink r:id="rId70" w:history="1">
        <w:r w:rsidR="00F65592" w:rsidRPr="00F65592">
          <w:rPr>
            <w:rStyle w:val="Hyperlink"/>
            <w:rFonts w:cs="Arial"/>
            <w:u w:val="single"/>
          </w:rPr>
          <w:t>https://www.observatoriodeconflictos.org.ve/tendencias-de-la-conflictividad/conflictividad-durante-el-primer-semestre-de-2023</w:t>
        </w:r>
      </w:hyperlink>
      <w:r w:rsidR="00F65592">
        <w:t xml:space="preserve"> </w:t>
      </w:r>
      <w:r>
        <w:t xml:space="preserve"> </w:t>
      </w:r>
    </w:p>
  </w:footnote>
  <w:footnote w:id="73">
    <w:p w14:paraId="17F6E37E" w14:textId="714BF5CC" w:rsidR="007E70B3" w:rsidRPr="007E70B3" w:rsidRDefault="007E70B3">
      <w:pPr>
        <w:pStyle w:val="FootnoteText"/>
      </w:pPr>
      <w:r>
        <w:rPr>
          <w:rStyle w:val="FootnoteReference"/>
        </w:rPr>
        <w:footnoteRef/>
      </w:r>
      <w:r>
        <w:t xml:space="preserve"> Observatorio Venezolano de Conflictividad Social, </w:t>
      </w:r>
      <w:r w:rsidR="00CF5968" w:rsidRPr="00B553EA">
        <w:rPr>
          <w:lang w:val="es-MX"/>
        </w:rPr>
        <w:t>Conflictividad durante el primer semestre de 2023</w:t>
      </w:r>
      <w:r w:rsidRPr="00024B54">
        <w:t>,</w:t>
      </w:r>
      <w:r>
        <w:t xml:space="preserve"> 22 octubre 2022 (sic), </w:t>
      </w:r>
      <w:hyperlink r:id="rId71" w:history="1">
        <w:r w:rsidR="00F65592" w:rsidRPr="00F65592">
          <w:rPr>
            <w:rStyle w:val="Hyperlink"/>
            <w:rFonts w:cs="Arial"/>
            <w:u w:val="single"/>
          </w:rPr>
          <w:t>https://www.observatoriodeconflictos.org.ve/tendencias-de-la-conflictividad/conflictividad-durante-el-primer-semestre-de-2023</w:t>
        </w:r>
      </w:hyperlink>
      <w:r w:rsidR="00F65592">
        <w:t xml:space="preserve"> </w:t>
      </w:r>
      <w:r>
        <w:t xml:space="preserve"> </w:t>
      </w:r>
    </w:p>
  </w:footnote>
  <w:footnote w:id="74">
    <w:p w14:paraId="3980733A" w14:textId="77777777" w:rsidR="00574EBB" w:rsidRPr="00A33A2D" w:rsidRDefault="00574EBB" w:rsidP="00574EBB">
      <w:pPr>
        <w:pStyle w:val="FootnoteText"/>
      </w:pPr>
      <w:r w:rsidRPr="00453923">
        <w:rPr>
          <w:vertAlign w:val="superscript"/>
        </w:rPr>
        <w:footnoteRef/>
      </w:r>
      <w:r w:rsidRPr="00453923">
        <w:rPr>
          <w:vertAlign w:val="superscript"/>
        </w:rPr>
        <w:t xml:space="preserve"> </w:t>
      </w:r>
      <w:r>
        <w:t xml:space="preserve">Plataforma de coordinación interdisciplinaria para refugiados y migrantes de Venezuela, Cifras clave, 28 de marzo de 2023, </w:t>
      </w:r>
      <w:hyperlink r:id="rId72" w:history="1">
        <w:r w:rsidRPr="001917BE">
          <w:rPr>
            <w:rStyle w:val="Hyperlink"/>
            <w:rFonts w:cs="Arial"/>
            <w:u w:val="single"/>
          </w:rPr>
          <w:t>https://www.r4v.info/es/home</w:t>
        </w:r>
      </w:hyperlink>
      <w:r>
        <w:t xml:space="preserve"> </w:t>
      </w:r>
    </w:p>
  </w:footnote>
  <w:footnote w:id="75">
    <w:p w14:paraId="09D64EB7" w14:textId="4A44DB74" w:rsidR="002E38BC" w:rsidRPr="00B553EA" w:rsidRDefault="002E38BC">
      <w:pPr>
        <w:pStyle w:val="FootnoteText"/>
        <w:rPr>
          <w:lang w:val="es-MX"/>
        </w:rPr>
      </w:pPr>
      <w:r>
        <w:rPr>
          <w:rStyle w:val="FootnoteReference"/>
        </w:rPr>
        <w:footnoteRef/>
      </w:r>
      <w:r>
        <w:t xml:space="preserve"> </w:t>
      </w:r>
      <w:r w:rsidR="006062BF">
        <w:rPr>
          <w:lang w:val="es-MX"/>
        </w:rPr>
        <w:t>Amnistía Internacional, “</w:t>
      </w:r>
      <w:r w:rsidR="006062BF" w:rsidRPr="006062BF">
        <w:rPr>
          <w:lang w:val="es-MX"/>
        </w:rPr>
        <w:t>Venezuela: Amnistía Internacional nombra presos de conciencia a cinco miembros de la ONG humanitaria Azul Positivo</w:t>
      </w:r>
      <w:r w:rsidR="006062BF">
        <w:rPr>
          <w:lang w:val="es-MX"/>
        </w:rPr>
        <w:t xml:space="preserve">”, 19 de enero de 2021, </w:t>
      </w:r>
      <w:hyperlink r:id="rId73" w:history="1">
        <w:r w:rsidR="00933A9D" w:rsidRPr="00B553EA">
          <w:rPr>
            <w:rStyle w:val="Hyperlink"/>
            <w:rFonts w:cs="Arial"/>
            <w:u w:val="single"/>
            <w:lang w:val="es-MX"/>
          </w:rPr>
          <w:t>https://www.amnesty.org/es/latest/press-release/2021/01/venezuela-amnistia-internacional-nombra-presos-de-conciencia/</w:t>
        </w:r>
      </w:hyperlink>
      <w:r w:rsidR="00933A9D">
        <w:rPr>
          <w:lang w:val="es-MX"/>
        </w:rPr>
        <w:t xml:space="preserve"> </w:t>
      </w:r>
    </w:p>
  </w:footnote>
  <w:footnote w:id="76">
    <w:p w14:paraId="426AB9F6" w14:textId="77777777" w:rsidR="009B00A9" w:rsidRPr="006706BD" w:rsidRDefault="009B00A9" w:rsidP="009B00A9">
      <w:pPr>
        <w:pStyle w:val="FootnoteText"/>
        <w:rPr>
          <w:lang w:val="es-MX"/>
        </w:rPr>
      </w:pPr>
      <w:r w:rsidRPr="00453923">
        <w:rPr>
          <w:vertAlign w:val="superscript"/>
        </w:rPr>
        <w:footnoteRef/>
      </w:r>
      <w:r w:rsidRPr="006706BD">
        <w:rPr>
          <w:lang w:val="es-MX"/>
        </w:rPr>
        <w:t xml:space="preserve"> Info</w:t>
      </w:r>
      <w:r>
        <w:rPr>
          <w:lang w:val="es-MX"/>
        </w:rPr>
        <w:t>b</w:t>
      </w:r>
      <w:r w:rsidRPr="006706BD">
        <w:rPr>
          <w:lang w:val="es-MX"/>
        </w:rPr>
        <w:t xml:space="preserve">ae, “El régimen venezolano detuvo a Javier Tarazona: </w:t>
      </w:r>
      <w:r>
        <w:rPr>
          <w:lang w:val="es-MX"/>
        </w:rPr>
        <w:t>‘</w:t>
      </w:r>
      <w:r w:rsidRPr="006706BD">
        <w:rPr>
          <w:lang w:val="es-MX"/>
        </w:rPr>
        <w:t>Así actúa Maduro contra los que denuncian sus atrocidades</w:t>
      </w:r>
      <w:r>
        <w:rPr>
          <w:lang w:val="es-MX"/>
        </w:rPr>
        <w:t>’</w:t>
      </w:r>
      <w:r w:rsidRPr="006706BD">
        <w:rPr>
          <w:lang w:val="es-MX"/>
        </w:rPr>
        <w:t>”</w:t>
      </w:r>
      <w:r>
        <w:rPr>
          <w:lang w:val="es-MX"/>
        </w:rPr>
        <w:t xml:space="preserve">, 2 de julio de 2021, </w:t>
      </w:r>
      <w:hyperlink r:id="rId74" w:history="1">
        <w:r w:rsidRPr="00502DEF">
          <w:rPr>
            <w:rStyle w:val="Hyperlink"/>
            <w:rFonts w:cs="Arial"/>
            <w:u w:val="single"/>
            <w:lang w:val="es-MX"/>
          </w:rPr>
          <w:t>https://www.infobae.com/america/venezuela/2021/07/02/el-regimen-venezolano-detuvo-a-javier-tarazona-asi-actua-maduro-contra-los-que-denuncian-sus-atrocidades/</w:t>
        </w:r>
      </w:hyperlink>
    </w:p>
  </w:footnote>
  <w:footnote w:id="77">
    <w:p w14:paraId="1AB270D1" w14:textId="1C2053AA" w:rsidR="002F4865" w:rsidRPr="002F4865" w:rsidRDefault="002F4865">
      <w:pPr>
        <w:pStyle w:val="FootnoteText"/>
      </w:pPr>
      <w:r>
        <w:rPr>
          <w:rStyle w:val="FootnoteReference"/>
        </w:rPr>
        <w:footnoteRef/>
      </w:r>
      <w:r>
        <w:t xml:space="preserve"> Observatorio</w:t>
      </w:r>
      <w:r w:rsidR="008A440E">
        <w:t xml:space="preserve"> Electoral</w:t>
      </w:r>
      <w:r>
        <w:t xml:space="preserve"> Venezolano</w:t>
      </w:r>
      <w:r w:rsidR="008A440E">
        <w:t xml:space="preserve">, </w:t>
      </w:r>
      <w:r w:rsidR="000465E6">
        <w:t>“</w:t>
      </w:r>
      <w:r w:rsidR="000465E6" w:rsidRPr="000465E6">
        <w:t>Boletín 44 | Decisiones del TSJ impactan el sistema de partidos y la oferta</w:t>
      </w:r>
      <w:r w:rsidR="000465E6">
        <w:t>,” 15 de junio de 2020,</w:t>
      </w:r>
      <w:r w:rsidR="000465E6" w:rsidRPr="000465E6">
        <w:t xml:space="preserve"> </w:t>
      </w:r>
      <w:hyperlink r:id="rId75" w:history="1">
        <w:r w:rsidR="000465E6" w:rsidRPr="000465E6">
          <w:rPr>
            <w:rStyle w:val="Hyperlink"/>
            <w:rFonts w:cs="Arial"/>
          </w:rPr>
          <w:t>https://oevenezolano.org/2020/06/boletin-44-decisiones-del-tsj-impactan-el-sistema-de-partidos-y-la-oferta-electoral/</w:t>
        </w:r>
      </w:hyperlink>
      <w:r w:rsidR="008A440E">
        <w:t xml:space="preserve"> </w:t>
      </w:r>
      <w:r>
        <w:t xml:space="preserve"> </w:t>
      </w:r>
    </w:p>
  </w:footnote>
  <w:footnote w:id="78">
    <w:p w14:paraId="1B06EB76" w14:textId="26C91360" w:rsidR="007B1A04" w:rsidRPr="00FE3AD5" w:rsidRDefault="007B1A04">
      <w:pPr>
        <w:pStyle w:val="FootnoteText"/>
        <w:rPr>
          <w:lang w:val="es-MX"/>
        </w:rPr>
      </w:pPr>
      <w:r>
        <w:rPr>
          <w:rStyle w:val="FootnoteReference"/>
        </w:rPr>
        <w:footnoteRef/>
      </w:r>
      <w:r>
        <w:t xml:space="preserve"> </w:t>
      </w:r>
      <w:r>
        <w:rPr>
          <w:lang w:val="es-MX"/>
        </w:rPr>
        <w:t>Acceso a la Justicia y otras, “</w:t>
      </w:r>
      <w:r w:rsidRPr="007B1A04">
        <w:rPr>
          <w:lang w:val="es-MX"/>
        </w:rPr>
        <w:t>Con la intervención judicial de la Sociedad Venezolana de la Cruz Roja se agrava el patrón de violaciones contra la libertad de asociación en Venezuela</w:t>
      </w:r>
      <w:r>
        <w:rPr>
          <w:lang w:val="es-MX"/>
        </w:rPr>
        <w:t xml:space="preserve">”, 10 de agosto de 2023, </w:t>
      </w:r>
      <w:hyperlink r:id="rId76" w:history="1">
        <w:r w:rsidR="00A56C26" w:rsidRPr="00FE3AD5">
          <w:rPr>
            <w:rStyle w:val="Hyperlink"/>
            <w:rFonts w:cs="Arial"/>
            <w:u w:val="single"/>
            <w:lang w:val="es-MX"/>
          </w:rPr>
          <w:t>https://accesoalajusticia.org/con-intervencion-judicial-sociedad-venezolana-cruz-roja-agrava-patron-violaciones-contra-libertad-asociacion-venezuela/</w:t>
        </w:r>
      </w:hyperlink>
      <w:r w:rsidR="00A56C26">
        <w:rPr>
          <w:lang w:val="es-MX"/>
        </w:rPr>
        <w:t xml:space="preserve"> </w:t>
      </w:r>
    </w:p>
  </w:footnote>
  <w:footnote w:id="79">
    <w:p w14:paraId="464CC8DC" w14:textId="15BDD18F" w:rsidR="001C0A7E" w:rsidRPr="005D6ECA" w:rsidRDefault="001C0A7E">
      <w:pPr>
        <w:pStyle w:val="FootnoteText"/>
        <w:rPr>
          <w:lang w:val="es-MX"/>
        </w:rPr>
      </w:pPr>
      <w:r>
        <w:rPr>
          <w:rStyle w:val="FootnoteReference"/>
        </w:rPr>
        <w:footnoteRef/>
      </w:r>
      <w:r>
        <w:t xml:space="preserve"> </w:t>
      </w:r>
      <w:r>
        <w:rPr>
          <w:lang w:val="es-MX"/>
        </w:rPr>
        <w:t xml:space="preserve">Amnistía Internacional, Acción Urgente: </w:t>
      </w:r>
      <w:r w:rsidRPr="001C0A7E">
        <w:rPr>
          <w:lang w:val="es-MX"/>
        </w:rPr>
        <w:t>Venezuela: ONGs en riesgo en Venezuela</w:t>
      </w:r>
      <w:r>
        <w:rPr>
          <w:lang w:val="es-MX"/>
        </w:rPr>
        <w:t xml:space="preserve">, </w:t>
      </w:r>
      <w:r w:rsidR="005D6ECA">
        <w:rPr>
          <w:lang w:val="es-MX"/>
        </w:rPr>
        <w:t xml:space="preserve">25 de enero de 2023, (Índice: </w:t>
      </w:r>
      <w:r w:rsidR="005D6ECA" w:rsidRPr="005D6ECA">
        <w:rPr>
          <w:lang w:val="es-MX"/>
        </w:rPr>
        <w:t>AMR 53/6379/2023</w:t>
      </w:r>
      <w:r w:rsidR="005D6ECA">
        <w:rPr>
          <w:lang w:val="es-MX"/>
        </w:rPr>
        <w:t xml:space="preserve">, </w:t>
      </w:r>
      <w:hyperlink r:id="rId77" w:history="1">
        <w:r w:rsidR="005D6ECA" w:rsidRPr="005D6ECA">
          <w:rPr>
            <w:rStyle w:val="Hyperlink"/>
            <w:rFonts w:cs="Arial"/>
            <w:u w:val="single"/>
            <w:lang w:val="es-MX"/>
          </w:rPr>
          <w:t>https://www.amnesty.org/es/documents/amr53/6379/2023/es/</w:t>
        </w:r>
      </w:hyperlink>
      <w:r w:rsidR="005D6ECA">
        <w:rPr>
          <w:lang w:val="es-MX"/>
        </w:rPr>
        <w:t xml:space="preserve"> </w:t>
      </w:r>
    </w:p>
  </w:footnote>
  <w:footnote w:id="80">
    <w:p w14:paraId="2DCB0B6C" w14:textId="3A32A724" w:rsidR="00281571" w:rsidRPr="00D92FEB" w:rsidRDefault="00281571">
      <w:pPr>
        <w:pStyle w:val="FootnoteText"/>
        <w:rPr>
          <w:lang w:val="es-MX"/>
        </w:rPr>
      </w:pPr>
      <w:r>
        <w:rPr>
          <w:rStyle w:val="FootnoteReference"/>
        </w:rPr>
        <w:footnoteRef/>
      </w:r>
      <w:r>
        <w:t xml:space="preserve"> </w:t>
      </w:r>
      <w:r>
        <w:rPr>
          <w:lang w:val="es-MX"/>
        </w:rPr>
        <w:t>Acceso a la Justicia, “</w:t>
      </w:r>
      <w:r w:rsidRPr="00281571">
        <w:rPr>
          <w:lang w:val="es-MX"/>
        </w:rPr>
        <w:t>Una avalancha de registros, declaraciones y trámites</w:t>
      </w:r>
      <w:r>
        <w:rPr>
          <w:lang w:val="es-MX"/>
        </w:rPr>
        <w:t xml:space="preserve">”, 1 de febrero de 2023, </w:t>
      </w:r>
      <w:hyperlink r:id="rId78" w:history="1">
        <w:r w:rsidR="00D92FEB" w:rsidRPr="00D92FEB">
          <w:rPr>
            <w:rStyle w:val="Hyperlink"/>
            <w:rFonts w:cs="Arial"/>
            <w:u w:val="single"/>
            <w:lang w:val="es-MX"/>
          </w:rPr>
          <w:t>https://accesoalajusticia.org/avalancha-registros-declaraciones-tramites-estrategia-aniquilar-sociedad-civil-organizada-venezuela/</w:t>
        </w:r>
      </w:hyperlink>
      <w:r w:rsidR="00D92FEB">
        <w:rPr>
          <w:u w:val="single"/>
          <w:lang w:val="es-MX"/>
        </w:rPr>
        <w:t xml:space="preserve"> </w:t>
      </w:r>
    </w:p>
  </w:footnote>
  <w:footnote w:id="81">
    <w:p w14:paraId="6C8BA187" w14:textId="4A5B7D77" w:rsidR="00044C31" w:rsidRPr="00223C52" w:rsidRDefault="00044C31">
      <w:pPr>
        <w:pStyle w:val="FootnoteText"/>
        <w:rPr>
          <w:lang w:val="es-MX"/>
        </w:rPr>
      </w:pPr>
      <w:r>
        <w:rPr>
          <w:rStyle w:val="FootnoteReference"/>
        </w:rPr>
        <w:footnoteRef/>
      </w:r>
      <w:r>
        <w:t xml:space="preserve"> </w:t>
      </w:r>
      <w:r w:rsidR="00223C52">
        <w:t xml:space="preserve">CEPAZ, </w:t>
      </w:r>
      <w:r w:rsidR="00223C52" w:rsidRPr="00223C52">
        <w:t>Las inhabilitaciones políticas obstaculizan el camino hacia unas elecciones auténticas y democráticas</w:t>
      </w:r>
      <w:r w:rsidR="00223C52">
        <w:t xml:space="preserve">, 11 de julio de 2023, </w:t>
      </w:r>
      <w:hyperlink r:id="rId79" w:history="1">
        <w:r w:rsidR="00223C52" w:rsidRPr="00223C52">
          <w:rPr>
            <w:rStyle w:val="Hyperlink"/>
            <w:rFonts w:cs="Arial"/>
            <w:u w:val="single"/>
          </w:rPr>
          <w:t>https://cepaz.org/articulos/las-inhabilitaciones-politicas-obstaculizan-el-camino-hacia-unas-elecciones-autenticas-y-democraticas/</w:t>
        </w:r>
      </w:hyperlink>
      <w:r w:rsidR="00223C52">
        <w:t xml:space="preserve"> </w:t>
      </w:r>
    </w:p>
  </w:footnote>
  <w:footnote w:id="82">
    <w:p w14:paraId="222AE0A6" w14:textId="77777777" w:rsidR="004B2A02" w:rsidRPr="00C563E1" w:rsidRDefault="004B2A02" w:rsidP="004B2A02">
      <w:pPr>
        <w:pStyle w:val="FootnoteText"/>
        <w:rPr>
          <w:lang w:val="es-MX"/>
        </w:rPr>
      </w:pPr>
      <w:r>
        <w:rPr>
          <w:rStyle w:val="FootnoteReference"/>
        </w:rPr>
        <w:footnoteRef/>
      </w:r>
      <w:r>
        <w:t xml:space="preserve"> Misión de Observación Electoral de la UE República Bolivariana de Venezuela Elecciones regionales y municipales 21 de noviembre 2021, Informe Final, 21 de noviembre de 2021, </w:t>
      </w:r>
      <w:hyperlink r:id="rId80" w:history="1">
        <w:r w:rsidRPr="00BA1EBC">
          <w:rPr>
            <w:rStyle w:val="Hyperlink"/>
            <w:rFonts w:cs="Arial"/>
            <w:u w:val="single"/>
          </w:rPr>
          <w:t>https://www.eeas.europa.eu/sites/default/files/eu_eom_ven_2021_fr_es.pdf</w:t>
        </w:r>
      </w:hyperlink>
      <w:r>
        <w:rPr>
          <w:u w:val="single"/>
        </w:rPr>
        <w:t>,</w:t>
      </w:r>
      <w:r w:rsidRPr="00135BAE">
        <w:t xml:space="preserve"> p. 24.</w:t>
      </w:r>
      <w:r>
        <w:t xml:space="preserve"> </w:t>
      </w:r>
    </w:p>
  </w:footnote>
  <w:footnote w:id="83">
    <w:p w14:paraId="090133DB" w14:textId="4EABE33E" w:rsidR="00972FBD" w:rsidRPr="00972FBD" w:rsidRDefault="00972FBD">
      <w:pPr>
        <w:pStyle w:val="FootnoteText"/>
        <w:rPr>
          <w:lang w:val="es-MX"/>
        </w:rPr>
      </w:pPr>
      <w:r>
        <w:rPr>
          <w:rStyle w:val="FootnoteReference"/>
        </w:rPr>
        <w:footnoteRef/>
      </w:r>
      <w:r>
        <w:t xml:space="preserve"> </w:t>
      </w:r>
      <w:r>
        <w:rPr>
          <w:lang w:val="es-MX"/>
        </w:rPr>
        <w:t xml:space="preserve">BBC, </w:t>
      </w:r>
      <w:r w:rsidR="00EE32B7">
        <w:rPr>
          <w:lang w:val="es-MX"/>
        </w:rPr>
        <w:t>“</w:t>
      </w:r>
      <w:r w:rsidR="00EE32B7" w:rsidRPr="00EE32B7">
        <w:rPr>
          <w:lang w:val="es-MX"/>
        </w:rPr>
        <w:t>Inhabilitan para ocupar cargos públicos por 15 años a María Corina Machado, una de las precandidatas presidenciales más populares de Venezuela</w:t>
      </w:r>
      <w:r w:rsidR="00EE32B7">
        <w:rPr>
          <w:lang w:val="es-MX"/>
        </w:rPr>
        <w:t xml:space="preserve">”, 30 de junio de 2023, </w:t>
      </w:r>
      <w:hyperlink r:id="rId81" w:anchor=":~:text=Es%20una%20de%20las%20l%C3%ADderes,un%20plazo%20de%2015%20a%C3%B1os" w:history="1">
        <w:r w:rsidR="00152A04" w:rsidRPr="00152A04">
          <w:rPr>
            <w:rStyle w:val="Hyperlink"/>
            <w:rFonts w:cs="Arial"/>
            <w:u w:val="single"/>
            <w:lang w:val="es-MX"/>
          </w:rPr>
          <w:t>https://www.bbc.com/mundo/articles/cw5g464g3xwo#:~:text=Es%20una%20de%20las%20l%C3%ADderes,un%20plazo%20de%2015%20a%C3%B1os</w:t>
        </w:r>
      </w:hyperlink>
      <w:r w:rsidR="00152A04" w:rsidRPr="00152A04">
        <w:rPr>
          <w:u w:val="single"/>
          <w:lang w:val="es-MX"/>
        </w:rPr>
        <w:t>.</w:t>
      </w:r>
      <w:r w:rsidR="00152A04">
        <w:rPr>
          <w:lang w:val="es-MX"/>
        </w:rPr>
        <w:t xml:space="preserve"> </w:t>
      </w:r>
    </w:p>
  </w:footnote>
  <w:footnote w:id="84">
    <w:p w14:paraId="3A900DA5" w14:textId="4BE9E834" w:rsidR="00DE3B9D" w:rsidRPr="00373B9C" w:rsidRDefault="00DE3B9D">
      <w:pPr>
        <w:pStyle w:val="FootnoteText"/>
        <w:rPr>
          <w:lang w:val="es-MX"/>
        </w:rPr>
      </w:pPr>
      <w:r>
        <w:rPr>
          <w:rStyle w:val="FootnoteReference"/>
        </w:rPr>
        <w:footnoteRef/>
      </w:r>
      <w:r>
        <w:t xml:space="preserve"> Misión de Observación Electoral de la UE República Bolivariana de Venezuela Elecciones regionales y municipales 21 de noviembre 2021, Informe Final, 21 de noviembre de 2021, </w:t>
      </w:r>
      <w:hyperlink r:id="rId82" w:history="1">
        <w:r w:rsidRPr="00BA1EBC">
          <w:rPr>
            <w:rStyle w:val="Hyperlink"/>
            <w:rFonts w:cs="Arial"/>
            <w:u w:val="single"/>
          </w:rPr>
          <w:t>https://www.eeas.europa.eu/sites/default/files/eu_eom_ven_2021_fr_es.pdf</w:t>
        </w:r>
      </w:hyperlink>
      <w:r>
        <w:rPr>
          <w:u w:val="singl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EC6C5E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16C5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32CF19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A72D3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724FA1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12CDA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50CA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0FCA25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8EDA1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7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4E73EF"/>
    <w:multiLevelType w:val="hybridMultilevel"/>
    <w:tmpl w:val="336055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BEA0389"/>
    <w:multiLevelType w:val="hybridMultilevel"/>
    <w:tmpl w:val="A8008CBE"/>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12" w15:restartNumberingAfterBreak="0">
    <w:nsid w:val="1C5945CD"/>
    <w:multiLevelType w:val="hybridMultilevel"/>
    <w:tmpl w:val="0E309C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14" w15:restartNumberingAfterBreak="0">
    <w:nsid w:val="250F68BB"/>
    <w:multiLevelType w:val="hybridMultilevel"/>
    <w:tmpl w:val="50C88C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F92231F"/>
    <w:multiLevelType w:val="hybridMultilevel"/>
    <w:tmpl w:val="A23E8BBE"/>
    <w:lvl w:ilvl="0" w:tplc="E2846120">
      <w:numFmt w:val="bullet"/>
      <w:lvlText w:val="-"/>
      <w:lvlJc w:val="left"/>
      <w:pPr>
        <w:ind w:left="720" w:hanging="360"/>
      </w:pPr>
      <w:rPr>
        <w:rFonts w:ascii="Amnesty Trade Gothic Light" w:eastAsia="Times New Roman" w:hAnsi="Amnesty Trade Gothic Ligh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9900FD2"/>
    <w:multiLevelType w:val="hybridMultilevel"/>
    <w:tmpl w:val="432C63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DCA2B4A"/>
    <w:multiLevelType w:val="hybridMultilevel"/>
    <w:tmpl w:val="D244EF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A197349"/>
    <w:multiLevelType w:val="hybridMultilevel"/>
    <w:tmpl w:val="FF26DB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F6D4526"/>
    <w:multiLevelType w:val="multilevel"/>
    <w:tmpl w:val="6450BFE6"/>
    <w:lvl w:ilvl="0">
      <w:start w:val="1"/>
      <w:numFmt w:val="decimal"/>
      <w:pStyle w:val="BNumberedHeading"/>
      <w:lvlText w:val="%1."/>
      <w:lvlJc w:val="left"/>
      <w:pPr>
        <w:ind w:left="720" w:hanging="360"/>
      </w:pPr>
      <w:rPr>
        <w:rFonts w:cs="Times New Roman"/>
      </w:rPr>
    </w:lvl>
    <w:lvl w:ilvl="1">
      <w:start w:val="1"/>
      <w:numFmt w:val="decimal"/>
      <w:pStyle w:val="BNumberedSubheading"/>
      <w:lvlText w:val="%1.%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52AD7BD3"/>
    <w:multiLevelType w:val="hybridMultilevel"/>
    <w:tmpl w:val="4BE872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71877A7"/>
    <w:multiLevelType w:val="hybridMultilevel"/>
    <w:tmpl w:val="195069D8"/>
    <w:lvl w:ilvl="0" w:tplc="00000000">
      <w:start w:val="1"/>
      <w:numFmt w:val="decimal"/>
      <w:lvlText w:val="%1."/>
      <w:lvlJc w:val="left"/>
      <w:pPr>
        <w:ind w:left="720" w:hanging="360"/>
      </w:pPr>
      <w:rPr>
        <w:rFonts w:cs="Times New Roman"/>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22" w15:restartNumberingAfterBreak="0">
    <w:nsid w:val="58BB4050"/>
    <w:multiLevelType w:val="hybridMultilevel"/>
    <w:tmpl w:val="F496A1A0"/>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23" w15:restartNumberingAfterBreak="0">
    <w:nsid w:val="60197706"/>
    <w:multiLevelType w:val="hybridMultilevel"/>
    <w:tmpl w:val="D1EE30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5DC737E"/>
    <w:multiLevelType w:val="hybridMultilevel"/>
    <w:tmpl w:val="DB1411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71A10E6D"/>
    <w:multiLevelType w:val="hybridMultilevel"/>
    <w:tmpl w:val="3AD45E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743A1B65"/>
    <w:multiLevelType w:val="hybridMultilevel"/>
    <w:tmpl w:val="5804EB6E"/>
    <w:lvl w:ilvl="0" w:tplc="E9A29908">
      <w:start w:val="2"/>
      <w:numFmt w:val="bullet"/>
      <w:lvlText w:val="-"/>
      <w:lvlJc w:val="left"/>
      <w:pPr>
        <w:ind w:left="720" w:hanging="360"/>
      </w:pPr>
      <w:rPr>
        <w:rFonts w:ascii="Amnesty Trade Gothic Light" w:eastAsia="Times New Roman" w:hAnsi="Amnesty Trade Gothic Ligh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76B37470"/>
    <w:multiLevelType w:val="hybridMultilevel"/>
    <w:tmpl w:val="73E0B4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7EAE31EF"/>
    <w:multiLevelType w:val="hybridMultilevel"/>
    <w:tmpl w:val="94B8C1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026324659">
    <w:abstractNumId w:val="19"/>
  </w:num>
  <w:num w:numId="2" w16cid:durableId="538783464">
    <w:abstractNumId w:val="11"/>
  </w:num>
  <w:num w:numId="3" w16cid:durableId="437068283">
    <w:abstractNumId w:val="22"/>
  </w:num>
  <w:num w:numId="4" w16cid:durableId="505633026">
    <w:abstractNumId w:val="13"/>
  </w:num>
  <w:num w:numId="5" w16cid:durableId="874342552">
    <w:abstractNumId w:val="21"/>
  </w:num>
  <w:num w:numId="6" w16cid:durableId="516970198">
    <w:abstractNumId w:val="9"/>
  </w:num>
  <w:num w:numId="7" w16cid:durableId="227112918">
    <w:abstractNumId w:val="7"/>
  </w:num>
  <w:num w:numId="8" w16cid:durableId="764424669">
    <w:abstractNumId w:val="6"/>
  </w:num>
  <w:num w:numId="9" w16cid:durableId="780034609">
    <w:abstractNumId w:val="5"/>
  </w:num>
  <w:num w:numId="10" w16cid:durableId="1165852528">
    <w:abstractNumId w:val="4"/>
  </w:num>
  <w:num w:numId="11" w16cid:durableId="324359163">
    <w:abstractNumId w:val="8"/>
  </w:num>
  <w:num w:numId="12" w16cid:durableId="1662537130">
    <w:abstractNumId w:val="3"/>
  </w:num>
  <w:num w:numId="13" w16cid:durableId="2143107225">
    <w:abstractNumId w:val="2"/>
  </w:num>
  <w:num w:numId="14" w16cid:durableId="2014916074">
    <w:abstractNumId w:val="1"/>
  </w:num>
  <w:num w:numId="15" w16cid:durableId="559099064">
    <w:abstractNumId w:val="0"/>
  </w:num>
  <w:num w:numId="16" w16cid:durableId="1380544832">
    <w:abstractNumId w:val="26"/>
  </w:num>
  <w:num w:numId="17" w16cid:durableId="361982181">
    <w:abstractNumId w:val="15"/>
  </w:num>
  <w:num w:numId="18" w16cid:durableId="618102469">
    <w:abstractNumId w:val="12"/>
  </w:num>
  <w:num w:numId="19" w16cid:durableId="53048446">
    <w:abstractNumId w:val="23"/>
  </w:num>
  <w:num w:numId="20" w16cid:durableId="155730183">
    <w:abstractNumId w:val="25"/>
  </w:num>
  <w:num w:numId="21" w16cid:durableId="550848343">
    <w:abstractNumId w:val="14"/>
  </w:num>
  <w:num w:numId="22" w16cid:durableId="1856727048">
    <w:abstractNumId w:val="16"/>
  </w:num>
  <w:num w:numId="23" w16cid:durableId="1813978686">
    <w:abstractNumId w:val="27"/>
  </w:num>
  <w:num w:numId="24" w16cid:durableId="603809463">
    <w:abstractNumId w:val="20"/>
  </w:num>
  <w:num w:numId="25" w16cid:durableId="882639192">
    <w:abstractNumId w:val="18"/>
  </w:num>
  <w:num w:numId="26" w16cid:durableId="858734599">
    <w:abstractNumId w:val="28"/>
  </w:num>
  <w:num w:numId="27" w16cid:durableId="1172798748">
    <w:abstractNumId w:val="24"/>
  </w:num>
  <w:num w:numId="28" w16cid:durableId="849829183">
    <w:abstractNumId w:val="10"/>
  </w:num>
  <w:num w:numId="29" w16cid:durableId="638807795">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embedSystemFonts/>
  <w:proofState w:spelling="clean" w:grammar="clean"/>
  <w:attachedTemplate r:id="rId1"/>
  <w:stylePaneFormatFilter w:val="1204" w:allStyles="0" w:customStyles="0" w:latentStyles="1" w:stylesInUse="0" w:headingStyles="0" w:numberingStyles="0" w:tableStyles="0" w:directFormattingOnRuns="0" w:directFormattingOnParagraphs="1"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9E0"/>
    <w:rsid w:val="000007D8"/>
    <w:rsid w:val="00001E28"/>
    <w:rsid w:val="000022CC"/>
    <w:rsid w:val="000030A9"/>
    <w:rsid w:val="00003E41"/>
    <w:rsid w:val="000042ED"/>
    <w:rsid w:val="00005545"/>
    <w:rsid w:val="00006296"/>
    <w:rsid w:val="000066D5"/>
    <w:rsid w:val="00007669"/>
    <w:rsid w:val="00007B57"/>
    <w:rsid w:val="00007CC6"/>
    <w:rsid w:val="000106EC"/>
    <w:rsid w:val="00011186"/>
    <w:rsid w:val="0001155E"/>
    <w:rsid w:val="000116B9"/>
    <w:rsid w:val="00011C4A"/>
    <w:rsid w:val="00012128"/>
    <w:rsid w:val="0001213D"/>
    <w:rsid w:val="0001250D"/>
    <w:rsid w:val="0001292D"/>
    <w:rsid w:val="00012930"/>
    <w:rsid w:val="00012D21"/>
    <w:rsid w:val="000135F3"/>
    <w:rsid w:val="00013FBE"/>
    <w:rsid w:val="000146EC"/>
    <w:rsid w:val="00014C8F"/>
    <w:rsid w:val="00015C38"/>
    <w:rsid w:val="00017D0A"/>
    <w:rsid w:val="00017DE4"/>
    <w:rsid w:val="00020384"/>
    <w:rsid w:val="00021154"/>
    <w:rsid w:val="00021885"/>
    <w:rsid w:val="0002234D"/>
    <w:rsid w:val="00022B80"/>
    <w:rsid w:val="00022DC9"/>
    <w:rsid w:val="00023D84"/>
    <w:rsid w:val="00024105"/>
    <w:rsid w:val="000243B7"/>
    <w:rsid w:val="000246A3"/>
    <w:rsid w:val="000246C7"/>
    <w:rsid w:val="00025474"/>
    <w:rsid w:val="000255F2"/>
    <w:rsid w:val="000259F7"/>
    <w:rsid w:val="00025AFD"/>
    <w:rsid w:val="00025B1C"/>
    <w:rsid w:val="00026303"/>
    <w:rsid w:val="00031915"/>
    <w:rsid w:val="00031C00"/>
    <w:rsid w:val="00033DEA"/>
    <w:rsid w:val="00034594"/>
    <w:rsid w:val="00034EE2"/>
    <w:rsid w:val="000351AC"/>
    <w:rsid w:val="000357E2"/>
    <w:rsid w:val="0004244C"/>
    <w:rsid w:val="00042C46"/>
    <w:rsid w:val="00043DFC"/>
    <w:rsid w:val="00044C31"/>
    <w:rsid w:val="000458AD"/>
    <w:rsid w:val="00045C8D"/>
    <w:rsid w:val="000462A5"/>
    <w:rsid w:val="00046534"/>
    <w:rsid w:val="000465E6"/>
    <w:rsid w:val="00046AD1"/>
    <w:rsid w:val="00046C67"/>
    <w:rsid w:val="00047FB4"/>
    <w:rsid w:val="0005078F"/>
    <w:rsid w:val="0005087E"/>
    <w:rsid w:val="00050CEE"/>
    <w:rsid w:val="00052E94"/>
    <w:rsid w:val="000541CB"/>
    <w:rsid w:val="00055617"/>
    <w:rsid w:val="00055FA7"/>
    <w:rsid w:val="00056959"/>
    <w:rsid w:val="00057D3D"/>
    <w:rsid w:val="000604C6"/>
    <w:rsid w:val="000606C0"/>
    <w:rsid w:val="00060B07"/>
    <w:rsid w:val="00061658"/>
    <w:rsid w:val="00061C37"/>
    <w:rsid w:val="000643AB"/>
    <w:rsid w:val="000643F8"/>
    <w:rsid w:val="00065FFC"/>
    <w:rsid w:val="000660E7"/>
    <w:rsid w:val="00066512"/>
    <w:rsid w:val="0006664D"/>
    <w:rsid w:val="0006667A"/>
    <w:rsid w:val="00070657"/>
    <w:rsid w:val="00070F51"/>
    <w:rsid w:val="00071089"/>
    <w:rsid w:val="0007116A"/>
    <w:rsid w:val="00074281"/>
    <w:rsid w:val="00074F93"/>
    <w:rsid w:val="0007677B"/>
    <w:rsid w:val="00076F38"/>
    <w:rsid w:val="000808AF"/>
    <w:rsid w:val="00081537"/>
    <w:rsid w:val="00082129"/>
    <w:rsid w:val="00082426"/>
    <w:rsid w:val="0008265A"/>
    <w:rsid w:val="00083132"/>
    <w:rsid w:val="0008415F"/>
    <w:rsid w:val="00084B0A"/>
    <w:rsid w:val="00085AA0"/>
    <w:rsid w:val="00085C1F"/>
    <w:rsid w:val="00090DB1"/>
    <w:rsid w:val="000922C7"/>
    <w:rsid w:val="00092AB0"/>
    <w:rsid w:val="000936E4"/>
    <w:rsid w:val="00094110"/>
    <w:rsid w:val="00096277"/>
    <w:rsid w:val="000A1082"/>
    <w:rsid w:val="000A1157"/>
    <w:rsid w:val="000A1D9E"/>
    <w:rsid w:val="000A2EF0"/>
    <w:rsid w:val="000A405A"/>
    <w:rsid w:val="000A49D9"/>
    <w:rsid w:val="000A7CA9"/>
    <w:rsid w:val="000B02DC"/>
    <w:rsid w:val="000B09DB"/>
    <w:rsid w:val="000B0C38"/>
    <w:rsid w:val="000B0D41"/>
    <w:rsid w:val="000B3317"/>
    <w:rsid w:val="000B3BD6"/>
    <w:rsid w:val="000B3D57"/>
    <w:rsid w:val="000B51F7"/>
    <w:rsid w:val="000B6229"/>
    <w:rsid w:val="000B7EEA"/>
    <w:rsid w:val="000B7F13"/>
    <w:rsid w:val="000C0536"/>
    <w:rsid w:val="000C1324"/>
    <w:rsid w:val="000C1D0C"/>
    <w:rsid w:val="000C2825"/>
    <w:rsid w:val="000C2EB4"/>
    <w:rsid w:val="000C3BF7"/>
    <w:rsid w:val="000C3EE2"/>
    <w:rsid w:val="000C5B09"/>
    <w:rsid w:val="000C5DC1"/>
    <w:rsid w:val="000C604A"/>
    <w:rsid w:val="000C6AFD"/>
    <w:rsid w:val="000C7815"/>
    <w:rsid w:val="000D08E6"/>
    <w:rsid w:val="000D18A0"/>
    <w:rsid w:val="000D1965"/>
    <w:rsid w:val="000D2BD5"/>
    <w:rsid w:val="000D2D20"/>
    <w:rsid w:val="000D2D6F"/>
    <w:rsid w:val="000E0E3B"/>
    <w:rsid w:val="000E1149"/>
    <w:rsid w:val="000E2E7A"/>
    <w:rsid w:val="000E3294"/>
    <w:rsid w:val="000E3560"/>
    <w:rsid w:val="000E3AC9"/>
    <w:rsid w:val="000E49A0"/>
    <w:rsid w:val="000E4DE6"/>
    <w:rsid w:val="000E4E3E"/>
    <w:rsid w:val="000E5AD8"/>
    <w:rsid w:val="000E67FF"/>
    <w:rsid w:val="000E7DA0"/>
    <w:rsid w:val="000F0C81"/>
    <w:rsid w:val="000F4422"/>
    <w:rsid w:val="000F5DC9"/>
    <w:rsid w:val="00100D19"/>
    <w:rsid w:val="0010238B"/>
    <w:rsid w:val="00103627"/>
    <w:rsid w:val="0010496D"/>
    <w:rsid w:val="00105C76"/>
    <w:rsid w:val="00105F10"/>
    <w:rsid w:val="00106069"/>
    <w:rsid w:val="00106694"/>
    <w:rsid w:val="001078C8"/>
    <w:rsid w:val="00112C90"/>
    <w:rsid w:val="00112CAF"/>
    <w:rsid w:val="001136F1"/>
    <w:rsid w:val="00113E91"/>
    <w:rsid w:val="00113EAA"/>
    <w:rsid w:val="001140D3"/>
    <w:rsid w:val="001142FE"/>
    <w:rsid w:val="00114FD1"/>
    <w:rsid w:val="001153D5"/>
    <w:rsid w:val="00116223"/>
    <w:rsid w:val="00116F5B"/>
    <w:rsid w:val="001176B7"/>
    <w:rsid w:val="00121761"/>
    <w:rsid w:val="00121BEC"/>
    <w:rsid w:val="001231E9"/>
    <w:rsid w:val="00123C37"/>
    <w:rsid w:val="00123DB0"/>
    <w:rsid w:val="001243F9"/>
    <w:rsid w:val="00124DFE"/>
    <w:rsid w:val="00124E0C"/>
    <w:rsid w:val="00125850"/>
    <w:rsid w:val="001263C5"/>
    <w:rsid w:val="001263F1"/>
    <w:rsid w:val="00126A84"/>
    <w:rsid w:val="00127640"/>
    <w:rsid w:val="00130C4E"/>
    <w:rsid w:val="00131015"/>
    <w:rsid w:val="00132B13"/>
    <w:rsid w:val="00132B50"/>
    <w:rsid w:val="00132E35"/>
    <w:rsid w:val="00132F33"/>
    <w:rsid w:val="00133530"/>
    <w:rsid w:val="00133535"/>
    <w:rsid w:val="0013420B"/>
    <w:rsid w:val="00134940"/>
    <w:rsid w:val="00134D68"/>
    <w:rsid w:val="00135BAE"/>
    <w:rsid w:val="00136468"/>
    <w:rsid w:val="00137621"/>
    <w:rsid w:val="00137639"/>
    <w:rsid w:val="001376AD"/>
    <w:rsid w:val="00137DEF"/>
    <w:rsid w:val="00140418"/>
    <w:rsid w:val="00141482"/>
    <w:rsid w:val="0014242F"/>
    <w:rsid w:val="00142F1D"/>
    <w:rsid w:val="00143216"/>
    <w:rsid w:val="0014349E"/>
    <w:rsid w:val="0014445B"/>
    <w:rsid w:val="0014482F"/>
    <w:rsid w:val="00144AE2"/>
    <w:rsid w:val="001453AB"/>
    <w:rsid w:val="0014715E"/>
    <w:rsid w:val="00147362"/>
    <w:rsid w:val="00147808"/>
    <w:rsid w:val="001506C9"/>
    <w:rsid w:val="00150D26"/>
    <w:rsid w:val="001513EA"/>
    <w:rsid w:val="00151602"/>
    <w:rsid w:val="00151780"/>
    <w:rsid w:val="0015226A"/>
    <w:rsid w:val="00152A04"/>
    <w:rsid w:val="00153F42"/>
    <w:rsid w:val="0015469F"/>
    <w:rsid w:val="001548F2"/>
    <w:rsid w:val="00154926"/>
    <w:rsid w:val="00154A1A"/>
    <w:rsid w:val="001556CD"/>
    <w:rsid w:val="00157241"/>
    <w:rsid w:val="00160DA0"/>
    <w:rsid w:val="0016172B"/>
    <w:rsid w:val="00162896"/>
    <w:rsid w:val="00162A03"/>
    <w:rsid w:val="00162B4E"/>
    <w:rsid w:val="00163908"/>
    <w:rsid w:val="00164596"/>
    <w:rsid w:val="00164E42"/>
    <w:rsid w:val="0016514B"/>
    <w:rsid w:val="001651AD"/>
    <w:rsid w:val="00165BC4"/>
    <w:rsid w:val="00167219"/>
    <w:rsid w:val="00167618"/>
    <w:rsid w:val="0016768A"/>
    <w:rsid w:val="00167A08"/>
    <w:rsid w:val="00171F37"/>
    <w:rsid w:val="001752BF"/>
    <w:rsid w:val="001760C2"/>
    <w:rsid w:val="001771D7"/>
    <w:rsid w:val="0017737B"/>
    <w:rsid w:val="00177815"/>
    <w:rsid w:val="00177A36"/>
    <w:rsid w:val="0018068D"/>
    <w:rsid w:val="00181782"/>
    <w:rsid w:val="001822A9"/>
    <w:rsid w:val="00183E7F"/>
    <w:rsid w:val="0018565C"/>
    <w:rsid w:val="00186073"/>
    <w:rsid w:val="0018630C"/>
    <w:rsid w:val="0018795D"/>
    <w:rsid w:val="001902E6"/>
    <w:rsid w:val="00190675"/>
    <w:rsid w:val="0019150C"/>
    <w:rsid w:val="00191743"/>
    <w:rsid w:val="0019203A"/>
    <w:rsid w:val="001927CC"/>
    <w:rsid w:val="001940A2"/>
    <w:rsid w:val="00194725"/>
    <w:rsid w:val="001952E4"/>
    <w:rsid w:val="00195520"/>
    <w:rsid w:val="00196977"/>
    <w:rsid w:val="001969FF"/>
    <w:rsid w:val="00196F7F"/>
    <w:rsid w:val="00197531"/>
    <w:rsid w:val="001A03AE"/>
    <w:rsid w:val="001A0E02"/>
    <w:rsid w:val="001A0E99"/>
    <w:rsid w:val="001A1A6A"/>
    <w:rsid w:val="001A31AF"/>
    <w:rsid w:val="001A327B"/>
    <w:rsid w:val="001A32FE"/>
    <w:rsid w:val="001A4E5C"/>
    <w:rsid w:val="001A62AF"/>
    <w:rsid w:val="001A6808"/>
    <w:rsid w:val="001A70FB"/>
    <w:rsid w:val="001B0475"/>
    <w:rsid w:val="001B188C"/>
    <w:rsid w:val="001B2B26"/>
    <w:rsid w:val="001B3109"/>
    <w:rsid w:val="001B3770"/>
    <w:rsid w:val="001B596A"/>
    <w:rsid w:val="001B7726"/>
    <w:rsid w:val="001C0A7E"/>
    <w:rsid w:val="001C1A33"/>
    <w:rsid w:val="001C36E1"/>
    <w:rsid w:val="001C3DF6"/>
    <w:rsid w:val="001C4A1E"/>
    <w:rsid w:val="001C4F2C"/>
    <w:rsid w:val="001C5866"/>
    <w:rsid w:val="001C6878"/>
    <w:rsid w:val="001C7666"/>
    <w:rsid w:val="001C7BD3"/>
    <w:rsid w:val="001D2C0C"/>
    <w:rsid w:val="001D3150"/>
    <w:rsid w:val="001D411B"/>
    <w:rsid w:val="001D4C9A"/>
    <w:rsid w:val="001D51A7"/>
    <w:rsid w:val="001D5317"/>
    <w:rsid w:val="001D6041"/>
    <w:rsid w:val="001D60F9"/>
    <w:rsid w:val="001D722A"/>
    <w:rsid w:val="001D773D"/>
    <w:rsid w:val="001D7899"/>
    <w:rsid w:val="001D7D31"/>
    <w:rsid w:val="001D7DAE"/>
    <w:rsid w:val="001E0E75"/>
    <w:rsid w:val="001E1998"/>
    <w:rsid w:val="001E25F7"/>
    <w:rsid w:val="001E449A"/>
    <w:rsid w:val="001E5C25"/>
    <w:rsid w:val="001E5D14"/>
    <w:rsid w:val="001E5D1E"/>
    <w:rsid w:val="001E76B1"/>
    <w:rsid w:val="001E7BBB"/>
    <w:rsid w:val="001F0F4A"/>
    <w:rsid w:val="001F26A1"/>
    <w:rsid w:val="001F299A"/>
    <w:rsid w:val="001F392A"/>
    <w:rsid w:val="001F4A49"/>
    <w:rsid w:val="001F4E4A"/>
    <w:rsid w:val="001F506A"/>
    <w:rsid w:val="001F5461"/>
    <w:rsid w:val="001F57A4"/>
    <w:rsid w:val="001F5B16"/>
    <w:rsid w:val="001F6ADE"/>
    <w:rsid w:val="001F7052"/>
    <w:rsid w:val="001F7CB4"/>
    <w:rsid w:val="00200350"/>
    <w:rsid w:val="002009F1"/>
    <w:rsid w:val="00200B90"/>
    <w:rsid w:val="002013A6"/>
    <w:rsid w:val="002023D7"/>
    <w:rsid w:val="0020326E"/>
    <w:rsid w:val="0020374D"/>
    <w:rsid w:val="00203839"/>
    <w:rsid w:val="00203FB5"/>
    <w:rsid w:val="0020401E"/>
    <w:rsid w:val="00204A05"/>
    <w:rsid w:val="00204D78"/>
    <w:rsid w:val="00205770"/>
    <w:rsid w:val="00206342"/>
    <w:rsid w:val="002072E5"/>
    <w:rsid w:val="00207F6D"/>
    <w:rsid w:val="00210F45"/>
    <w:rsid w:val="002139DC"/>
    <w:rsid w:val="002146C5"/>
    <w:rsid w:val="002163BE"/>
    <w:rsid w:val="002169E4"/>
    <w:rsid w:val="00217D71"/>
    <w:rsid w:val="00217DDF"/>
    <w:rsid w:val="00220669"/>
    <w:rsid w:val="002208A8"/>
    <w:rsid w:val="0022127A"/>
    <w:rsid w:val="00221EB2"/>
    <w:rsid w:val="00222787"/>
    <w:rsid w:val="00222EAE"/>
    <w:rsid w:val="00223C52"/>
    <w:rsid w:val="0022451F"/>
    <w:rsid w:val="00225A21"/>
    <w:rsid w:val="00225EF4"/>
    <w:rsid w:val="002264E1"/>
    <w:rsid w:val="00226E60"/>
    <w:rsid w:val="0023006B"/>
    <w:rsid w:val="002302D8"/>
    <w:rsid w:val="002303A1"/>
    <w:rsid w:val="00230991"/>
    <w:rsid w:val="00231581"/>
    <w:rsid w:val="00232DD3"/>
    <w:rsid w:val="002355E2"/>
    <w:rsid w:val="00235C41"/>
    <w:rsid w:val="00237088"/>
    <w:rsid w:val="002428D8"/>
    <w:rsid w:val="00242A78"/>
    <w:rsid w:val="00243174"/>
    <w:rsid w:val="00244087"/>
    <w:rsid w:val="002443B7"/>
    <w:rsid w:val="002458AF"/>
    <w:rsid w:val="0024742F"/>
    <w:rsid w:val="0024777C"/>
    <w:rsid w:val="00247C19"/>
    <w:rsid w:val="00252A39"/>
    <w:rsid w:val="00252DAD"/>
    <w:rsid w:val="00254017"/>
    <w:rsid w:val="002541A8"/>
    <w:rsid w:val="00254C8E"/>
    <w:rsid w:val="00254E43"/>
    <w:rsid w:val="00254FC0"/>
    <w:rsid w:val="00255835"/>
    <w:rsid w:val="00256235"/>
    <w:rsid w:val="00257D83"/>
    <w:rsid w:val="002603C2"/>
    <w:rsid w:val="00262EB8"/>
    <w:rsid w:val="00263834"/>
    <w:rsid w:val="0026550C"/>
    <w:rsid w:val="00266153"/>
    <w:rsid w:val="00266CE8"/>
    <w:rsid w:val="00266FCC"/>
    <w:rsid w:val="00267129"/>
    <w:rsid w:val="002675AA"/>
    <w:rsid w:val="00267757"/>
    <w:rsid w:val="00267B1B"/>
    <w:rsid w:val="002710FE"/>
    <w:rsid w:val="002718B0"/>
    <w:rsid w:val="002719D3"/>
    <w:rsid w:val="00272FBA"/>
    <w:rsid w:val="002731B3"/>
    <w:rsid w:val="002744C2"/>
    <w:rsid w:val="002760A2"/>
    <w:rsid w:val="002764B2"/>
    <w:rsid w:val="002771CB"/>
    <w:rsid w:val="00280E8E"/>
    <w:rsid w:val="002813F6"/>
    <w:rsid w:val="00281571"/>
    <w:rsid w:val="00281ECB"/>
    <w:rsid w:val="0028203D"/>
    <w:rsid w:val="00282BC5"/>
    <w:rsid w:val="002834BC"/>
    <w:rsid w:val="00284B69"/>
    <w:rsid w:val="00285CC0"/>
    <w:rsid w:val="00285DC0"/>
    <w:rsid w:val="00287485"/>
    <w:rsid w:val="00287E93"/>
    <w:rsid w:val="00292FC4"/>
    <w:rsid w:val="00293689"/>
    <w:rsid w:val="0029373B"/>
    <w:rsid w:val="00293A6D"/>
    <w:rsid w:val="0029582C"/>
    <w:rsid w:val="002959EB"/>
    <w:rsid w:val="00295C31"/>
    <w:rsid w:val="0029650E"/>
    <w:rsid w:val="002972A2"/>
    <w:rsid w:val="00297B06"/>
    <w:rsid w:val="00297FC8"/>
    <w:rsid w:val="002A4044"/>
    <w:rsid w:val="002A4507"/>
    <w:rsid w:val="002A4D7B"/>
    <w:rsid w:val="002A5E4F"/>
    <w:rsid w:val="002A632F"/>
    <w:rsid w:val="002A6661"/>
    <w:rsid w:val="002A76CF"/>
    <w:rsid w:val="002B250C"/>
    <w:rsid w:val="002B4095"/>
    <w:rsid w:val="002B43D2"/>
    <w:rsid w:val="002B5487"/>
    <w:rsid w:val="002B55B8"/>
    <w:rsid w:val="002B5E67"/>
    <w:rsid w:val="002B656E"/>
    <w:rsid w:val="002C002F"/>
    <w:rsid w:val="002C1757"/>
    <w:rsid w:val="002C26F6"/>
    <w:rsid w:val="002C3261"/>
    <w:rsid w:val="002C4025"/>
    <w:rsid w:val="002C4B9C"/>
    <w:rsid w:val="002C4EAA"/>
    <w:rsid w:val="002C5405"/>
    <w:rsid w:val="002C6498"/>
    <w:rsid w:val="002C765E"/>
    <w:rsid w:val="002C783E"/>
    <w:rsid w:val="002C7B8D"/>
    <w:rsid w:val="002D0E46"/>
    <w:rsid w:val="002D2B90"/>
    <w:rsid w:val="002D301E"/>
    <w:rsid w:val="002D30A1"/>
    <w:rsid w:val="002D556B"/>
    <w:rsid w:val="002D63FD"/>
    <w:rsid w:val="002D6763"/>
    <w:rsid w:val="002D6E2E"/>
    <w:rsid w:val="002D766F"/>
    <w:rsid w:val="002D78F9"/>
    <w:rsid w:val="002D7C15"/>
    <w:rsid w:val="002E05E9"/>
    <w:rsid w:val="002E09E0"/>
    <w:rsid w:val="002E0C20"/>
    <w:rsid w:val="002E0D87"/>
    <w:rsid w:val="002E2A49"/>
    <w:rsid w:val="002E38BC"/>
    <w:rsid w:val="002E484C"/>
    <w:rsid w:val="002E4CC8"/>
    <w:rsid w:val="002E4F91"/>
    <w:rsid w:val="002E5D3C"/>
    <w:rsid w:val="002E7CB7"/>
    <w:rsid w:val="002E7F19"/>
    <w:rsid w:val="002F007D"/>
    <w:rsid w:val="002F0766"/>
    <w:rsid w:val="002F08BB"/>
    <w:rsid w:val="002F2355"/>
    <w:rsid w:val="002F23A4"/>
    <w:rsid w:val="002F283E"/>
    <w:rsid w:val="002F3097"/>
    <w:rsid w:val="002F377C"/>
    <w:rsid w:val="002F3D11"/>
    <w:rsid w:val="002F43FB"/>
    <w:rsid w:val="002F4865"/>
    <w:rsid w:val="002F48F1"/>
    <w:rsid w:val="002F57DF"/>
    <w:rsid w:val="002F5913"/>
    <w:rsid w:val="002F5E8A"/>
    <w:rsid w:val="002F6FCC"/>
    <w:rsid w:val="002F7D5E"/>
    <w:rsid w:val="003002FD"/>
    <w:rsid w:val="0030054E"/>
    <w:rsid w:val="0030063F"/>
    <w:rsid w:val="00301EE2"/>
    <w:rsid w:val="00303768"/>
    <w:rsid w:val="00303937"/>
    <w:rsid w:val="003047FD"/>
    <w:rsid w:val="0030582E"/>
    <w:rsid w:val="00305E5C"/>
    <w:rsid w:val="00306199"/>
    <w:rsid w:val="00306B1D"/>
    <w:rsid w:val="00306C0E"/>
    <w:rsid w:val="00307DB4"/>
    <w:rsid w:val="00311291"/>
    <w:rsid w:val="00312848"/>
    <w:rsid w:val="0031330D"/>
    <w:rsid w:val="003136CD"/>
    <w:rsid w:val="00313DC6"/>
    <w:rsid w:val="00313EB5"/>
    <w:rsid w:val="00315190"/>
    <w:rsid w:val="00315714"/>
    <w:rsid w:val="003157CD"/>
    <w:rsid w:val="003159EB"/>
    <w:rsid w:val="00315AAE"/>
    <w:rsid w:val="00316402"/>
    <w:rsid w:val="003167AF"/>
    <w:rsid w:val="00317C85"/>
    <w:rsid w:val="00320A98"/>
    <w:rsid w:val="00321055"/>
    <w:rsid w:val="0032282A"/>
    <w:rsid w:val="0032370A"/>
    <w:rsid w:val="003238C9"/>
    <w:rsid w:val="003247AE"/>
    <w:rsid w:val="0032480A"/>
    <w:rsid w:val="003262AF"/>
    <w:rsid w:val="0032673E"/>
    <w:rsid w:val="0032704F"/>
    <w:rsid w:val="00327CFA"/>
    <w:rsid w:val="003320DA"/>
    <w:rsid w:val="0033250F"/>
    <w:rsid w:val="00333049"/>
    <w:rsid w:val="00333068"/>
    <w:rsid w:val="00334422"/>
    <w:rsid w:val="003345F7"/>
    <w:rsid w:val="00334AB7"/>
    <w:rsid w:val="00335368"/>
    <w:rsid w:val="00335618"/>
    <w:rsid w:val="003378EC"/>
    <w:rsid w:val="003408CB"/>
    <w:rsid w:val="00342011"/>
    <w:rsid w:val="003427BC"/>
    <w:rsid w:val="003427D2"/>
    <w:rsid w:val="003431A4"/>
    <w:rsid w:val="003454C8"/>
    <w:rsid w:val="00346173"/>
    <w:rsid w:val="0034618C"/>
    <w:rsid w:val="00350112"/>
    <w:rsid w:val="0035046C"/>
    <w:rsid w:val="003506E5"/>
    <w:rsid w:val="00350C78"/>
    <w:rsid w:val="003519D5"/>
    <w:rsid w:val="00352A8D"/>
    <w:rsid w:val="00352EB8"/>
    <w:rsid w:val="0035469B"/>
    <w:rsid w:val="00354870"/>
    <w:rsid w:val="003552D6"/>
    <w:rsid w:val="00355567"/>
    <w:rsid w:val="00355A09"/>
    <w:rsid w:val="00355E8A"/>
    <w:rsid w:val="003618E5"/>
    <w:rsid w:val="00363BFE"/>
    <w:rsid w:val="00364BCD"/>
    <w:rsid w:val="00365804"/>
    <w:rsid w:val="00366BF2"/>
    <w:rsid w:val="00367234"/>
    <w:rsid w:val="00367642"/>
    <w:rsid w:val="003700E9"/>
    <w:rsid w:val="003701D3"/>
    <w:rsid w:val="00370CB2"/>
    <w:rsid w:val="00372B9B"/>
    <w:rsid w:val="00373772"/>
    <w:rsid w:val="00373B9C"/>
    <w:rsid w:val="0037423C"/>
    <w:rsid w:val="00374464"/>
    <w:rsid w:val="00375B8D"/>
    <w:rsid w:val="00376059"/>
    <w:rsid w:val="00376C8E"/>
    <w:rsid w:val="0038517C"/>
    <w:rsid w:val="00386825"/>
    <w:rsid w:val="00387E9F"/>
    <w:rsid w:val="003916AC"/>
    <w:rsid w:val="0039184F"/>
    <w:rsid w:val="00391D04"/>
    <w:rsid w:val="003924D1"/>
    <w:rsid w:val="00392B07"/>
    <w:rsid w:val="00392F19"/>
    <w:rsid w:val="00392FD4"/>
    <w:rsid w:val="00393563"/>
    <w:rsid w:val="00393A0B"/>
    <w:rsid w:val="003949AF"/>
    <w:rsid w:val="003960A2"/>
    <w:rsid w:val="00396A22"/>
    <w:rsid w:val="003A1382"/>
    <w:rsid w:val="003A1FD4"/>
    <w:rsid w:val="003A2087"/>
    <w:rsid w:val="003A2B30"/>
    <w:rsid w:val="003A2F5A"/>
    <w:rsid w:val="003A2FB2"/>
    <w:rsid w:val="003A412F"/>
    <w:rsid w:val="003A5742"/>
    <w:rsid w:val="003A6E60"/>
    <w:rsid w:val="003A7195"/>
    <w:rsid w:val="003B1B91"/>
    <w:rsid w:val="003B1E1B"/>
    <w:rsid w:val="003B3589"/>
    <w:rsid w:val="003B366A"/>
    <w:rsid w:val="003B3BE9"/>
    <w:rsid w:val="003B46A7"/>
    <w:rsid w:val="003B51F0"/>
    <w:rsid w:val="003B5663"/>
    <w:rsid w:val="003B6A22"/>
    <w:rsid w:val="003B7A82"/>
    <w:rsid w:val="003C0FEB"/>
    <w:rsid w:val="003C1052"/>
    <w:rsid w:val="003C3B76"/>
    <w:rsid w:val="003C4354"/>
    <w:rsid w:val="003C4642"/>
    <w:rsid w:val="003C499F"/>
    <w:rsid w:val="003C4C4B"/>
    <w:rsid w:val="003C51B4"/>
    <w:rsid w:val="003C5DF7"/>
    <w:rsid w:val="003C5F3A"/>
    <w:rsid w:val="003D01A0"/>
    <w:rsid w:val="003D20EE"/>
    <w:rsid w:val="003D2565"/>
    <w:rsid w:val="003D26CA"/>
    <w:rsid w:val="003D2EB7"/>
    <w:rsid w:val="003D3442"/>
    <w:rsid w:val="003D4123"/>
    <w:rsid w:val="003D61B4"/>
    <w:rsid w:val="003D6A1E"/>
    <w:rsid w:val="003D794E"/>
    <w:rsid w:val="003E2AA1"/>
    <w:rsid w:val="003E3F06"/>
    <w:rsid w:val="003E4B99"/>
    <w:rsid w:val="003E548A"/>
    <w:rsid w:val="003E7C09"/>
    <w:rsid w:val="003F1043"/>
    <w:rsid w:val="003F1A35"/>
    <w:rsid w:val="003F20BF"/>
    <w:rsid w:val="003F2A7B"/>
    <w:rsid w:val="003F31D9"/>
    <w:rsid w:val="003F57E4"/>
    <w:rsid w:val="003F5ED3"/>
    <w:rsid w:val="003F6CBC"/>
    <w:rsid w:val="003F77E4"/>
    <w:rsid w:val="00400A40"/>
    <w:rsid w:val="00401691"/>
    <w:rsid w:val="00402B46"/>
    <w:rsid w:val="00403C43"/>
    <w:rsid w:val="00404C08"/>
    <w:rsid w:val="00405196"/>
    <w:rsid w:val="00405DDD"/>
    <w:rsid w:val="00407032"/>
    <w:rsid w:val="00407504"/>
    <w:rsid w:val="0040786A"/>
    <w:rsid w:val="0041076D"/>
    <w:rsid w:val="00410A85"/>
    <w:rsid w:val="00411630"/>
    <w:rsid w:val="00412271"/>
    <w:rsid w:val="00412BB6"/>
    <w:rsid w:val="00413312"/>
    <w:rsid w:val="0041404F"/>
    <w:rsid w:val="00414964"/>
    <w:rsid w:val="00414D11"/>
    <w:rsid w:val="004156E4"/>
    <w:rsid w:val="00416DFA"/>
    <w:rsid w:val="00416FA9"/>
    <w:rsid w:val="0041719B"/>
    <w:rsid w:val="004172C3"/>
    <w:rsid w:val="0042048D"/>
    <w:rsid w:val="0042150F"/>
    <w:rsid w:val="00423306"/>
    <w:rsid w:val="0042361B"/>
    <w:rsid w:val="00424BBC"/>
    <w:rsid w:val="004253BB"/>
    <w:rsid w:val="00425F1E"/>
    <w:rsid w:val="00425FE9"/>
    <w:rsid w:val="00426CCE"/>
    <w:rsid w:val="004277D2"/>
    <w:rsid w:val="004307FD"/>
    <w:rsid w:val="00431F3E"/>
    <w:rsid w:val="004325EC"/>
    <w:rsid w:val="004346E9"/>
    <w:rsid w:val="0043592F"/>
    <w:rsid w:val="0044168B"/>
    <w:rsid w:val="00441BE4"/>
    <w:rsid w:val="00442E70"/>
    <w:rsid w:val="00443766"/>
    <w:rsid w:val="0044412F"/>
    <w:rsid w:val="004441F0"/>
    <w:rsid w:val="00445533"/>
    <w:rsid w:val="00446B45"/>
    <w:rsid w:val="00447007"/>
    <w:rsid w:val="0044701D"/>
    <w:rsid w:val="00447E48"/>
    <w:rsid w:val="00450B1E"/>
    <w:rsid w:val="0045358F"/>
    <w:rsid w:val="00454DF2"/>
    <w:rsid w:val="00454E09"/>
    <w:rsid w:val="0045615F"/>
    <w:rsid w:val="0045659A"/>
    <w:rsid w:val="0045751B"/>
    <w:rsid w:val="00457E73"/>
    <w:rsid w:val="0046028A"/>
    <w:rsid w:val="00461301"/>
    <w:rsid w:val="00464B19"/>
    <w:rsid w:val="0046532B"/>
    <w:rsid w:val="00465463"/>
    <w:rsid w:val="00465ED5"/>
    <w:rsid w:val="00467696"/>
    <w:rsid w:val="00467798"/>
    <w:rsid w:val="00471BAD"/>
    <w:rsid w:val="00472C4A"/>
    <w:rsid w:val="004732BC"/>
    <w:rsid w:val="004736CE"/>
    <w:rsid w:val="0047484E"/>
    <w:rsid w:val="00475ECF"/>
    <w:rsid w:val="004769D4"/>
    <w:rsid w:val="0047750C"/>
    <w:rsid w:val="004777EE"/>
    <w:rsid w:val="00480A5E"/>
    <w:rsid w:val="0048111D"/>
    <w:rsid w:val="00481BFF"/>
    <w:rsid w:val="00482952"/>
    <w:rsid w:val="00482BF3"/>
    <w:rsid w:val="0048354F"/>
    <w:rsid w:val="00483EDC"/>
    <w:rsid w:val="00484563"/>
    <w:rsid w:val="0048506E"/>
    <w:rsid w:val="00485F6E"/>
    <w:rsid w:val="004864DC"/>
    <w:rsid w:val="00486531"/>
    <w:rsid w:val="00486C42"/>
    <w:rsid w:val="00490AB0"/>
    <w:rsid w:val="00491BCC"/>
    <w:rsid w:val="00493341"/>
    <w:rsid w:val="004938E4"/>
    <w:rsid w:val="00494A19"/>
    <w:rsid w:val="00494AAA"/>
    <w:rsid w:val="004953E8"/>
    <w:rsid w:val="004959F4"/>
    <w:rsid w:val="00495F98"/>
    <w:rsid w:val="00495FE1"/>
    <w:rsid w:val="0049649A"/>
    <w:rsid w:val="00496791"/>
    <w:rsid w:val="004970DD"/>
    <w:rsid w:val="004A09CC"/>
    <w:rsid w:val="004A2A8D"/>
    <w:rsid w:val="004A4458"/>
    <w:rsid w:val="004A4A4F"/>
    <w:rsid w:val="004A5972"/>
    <w:rsid w:val="004A5CF5"/>
    <w:rsid w:val="004A67D3"/>
    <w:rsid w:val="004A69C7"/>
    <w:rsid w:val="004A6A03"/>
    <w:rsid w:val="004B00C1"/>
    <w:rsid w:val="004B041C"/>
    <w:rsid w:val="004B2412"/>
    <w:rsid w:val="004B24A7"/>
    <w:rsid w:val="004B2883"/>
    <w:rsid w:val="004B2A02"/>
    <w:rsid w:val="004B2D29"/>
    <w:rsid w:val="004B30EA"/>
    <w:rsid w:val="004B4347"/>
    <w:rsid w:val="004B4EFD"/>
    <w:rsid w:val="004B78BF"/>
    <w:rsid w:val="004C01CF"/>
    <w:rsid w:val="004C01F4"/>
    <w:rsid w:val="004C068E"/>
    <w:rsid w:val="004C33B2"/>
    <w:rsid w:val="004C403F"/>
    <w:rsid w:val="004C450F"/>
    <w:rsid w:val="004C4751"/>
    <w:rsid w:val="004C5CCA"/>
    <w:rsid w:val="004C5F7E"/>
    <w:rsid w:val="004C6D9E"/>
    <w:rsid w:val="004C6DC7"/>
    <w:rsid w:val="004C7399"/>
    <w:rsid w:val="004D0E70"/>
    <w:rsid w:val="004D0EC3"/>
    <w:rsid w:val="004D279E"/>
    <w:rsid w:val="004D3868"/>
    <w:rsid w:val="004D6128"/>
    <w:rsid w:val="004D7781"/>
    <w:rsid w:val="004D77C1"/>
    <w:rsid w:val="004D7814"/>
    <w:rsid w:val="004E0D0A"/>
    <w:rsid w:val="004E1027"/>
    <w:rsid w:val="004E1A06"/>
    <w:rsid w:val="004E1C38"/>
    <w:rsid w:val="004E1FDB"/>
    <w:rsid w:val="004E3813"/>
    <w:rsid w:val="004E3F54"/>
    <w:rsid w:val="004E5E19"/>
    <w:rsid w:val="004E7D27"/>
    <w:rsid w:val="004F0443"/>
    <w:rsid w:val="004F0968"/>
    <w:rsid w:val="004F11AA"/>
    <w:rsid w:val="004F2B82"/>
    <w:rsid w:val="004F401D"/>
    <w:rsid w:val="004F41F5"/>
    <w:rsid w:val="004F4FC2"/>
    <w:rsid w:val="004F529A"/>
    <w:rsid w:val="004F53B2"/>
    <w:rsid w:val="004F5C91"/>
    <w:rsid w:val="004F6AA4"/>
    <w:rsid w:val="004F6F4F"/>
    <w:rsid w:val="005000DE"/>
    <w:rsid w:val="0050089D"/>
    <w:rsid w:val="00501150"/>
    <w:rsid w:val="0050156E"/>
    <w:rsid w:val="00501AAE"/>
    <w:rsid w:val="00501D33"/>
    <w:rsid w:val="00502CD0"/>
    <w:rsid w:val="005038D0"/>
    <w:rsid w:val="00503E22"/>
    <w:rsid w:val="005052F8"/>
    <w:rsid w:val="00505990"/>
    <w:rsid w:val="00506088"/>
    <w:rsid w:val="00506147"/>
    <w:rsid w:val="00506C83"/>
    <w:rsid w:val="00506CB7"/>
    <w:rsid w:val="00507292"/>
    <w:rsid w:val="00507A8D"/>
    <w:rsid w:val="005100CA"/>
    <w:rsid w:val="005100CC"/>
    <w:rsid w:val="00510D10"/>
    <w:rsid w:val="0051177D"/>
    <w:rsid w:val="005118DE"/>
    <w:rsid w:val="0051194D"/>
    <w:rsid w:val="00511F2A"/>
    <w:rsid w:val="00512576"/>
    <w:rsid w:val="00513182"/>
    <w:rsid w:val="00513637"/>
    <w:rsid w:val="005148F8"/>
    <w:rsid w:val="00514A8A"/>
    <w:rsid w:val="00514AEF"/>
    <w:rsid w:val="0051709A"/>
    <w:rsid w:val="00517377"/>
    <w:rsid w:val="0051756F"/>
    <w:rsid w:val="00517B98"/>
    <w:rsid w:val="00517F53"/>
    <w:rsid w:val="0051CBEA"/>
    <w:rsid w:val="005200B9"/>
    <w:rsid w:val="00520A8A"/>
    <w:rsid w:val="005212AC"/>
    <w:rsid w:val="005215A5"/>
    <w:rsid w:val="005219C5"/>
    <w:rsid w:val="00523570"/>
    <w:rsid w:val="00523621"/>
    <w:rsid w:val="00524A26"/>
    <w:rsid w:val="00524CAE"/>
    <w:rsid w:val="005309BB"/>
    <w:rsid w:val="00531BAC"/>
    <w:rsid w:val="00531F02"/>
    <w:rsid w:val="005338B8"/>
    <w:rsid w:val="00535252"/>
    <w:rsid w:val="00535A2F"/>
    <w:rsid w:val="00535E23"/>
    <w:rsid w:val="005361DE"/>
    <w:rsid w:val="0053703A"/>
    <w:rsid w:val="005376D4"/>
    <w:rsid w:val="00537B65"/>
    <w:rsid w:val="00537DC6"/>
    <w:rsid w:val="0054020F"/>
    <w:rsid w:val="00542848"/>
    <w:rsid w:val="0054304E"/>
    <w:rsid w:val="00544294"/>
    <w:rsid w:val="00547487"/>
    <w:rsid w:val="005475C7"/>
    <w:rsid w:val="00550480"/>
    <w:rsid w:val="00551276"/>
    <w:rsid w:val="00552DA7"/>
    <w:rsid w:val="005542B1"/>
    <w:rsid w:val="0055469A"/>
    <w:rsid w:val="005558CB"/>
    <w:rsid w:val="00556157"/>
    <w:rsid w:val="00556F7B"/>
    <w:rsid w:val="0055732B"/>
    <w:rsid w:val="00557C1A"/>
    <w:rsid w:val="00557CB4"/>
    <w:rsid w:val="005608CD"/>
    <w:rsid w:val="00560C10"/>
    <w:rsid w:val="00560D5E"/>
    <w:rsid w:val="005632A2"/>
    <w:rsid w:val="0056529B"/>
    <w:rsid w:val="0056576E"/>
    <w:rsid w:val="005658FB"/>
    <w:rsid w:val="005673F7"/>
    <w:rsid w:val="00572843"/>
    <w:rsid w:val="00574EBB"/>
    <w:rsid w:val="00575CFA"/>
    <w:rsid w:val="0057612E"/>
    <w:rsid w:val="005761EA"/>
    <w:rsid w:val="00576869"/>
    <w:rsid w:val="00576BB3"/>
    <w:rsid w:val="00577572"/>
    <w:rsid w:val="005805A9"/>
    <w:rsid w:val="00580C70"/>
    <w:rsid w:val="00580EC0"/>
    <w:rsid w:val="00581876"/>
    <w:rsid w:val="00581C11"/>
    <w:rsid w:val="00582D91"/>
    <w:rsid w:val="005841DF"/>
    <w:rsid w:val="0058551F"/>
    <w:rsid w:val="005855C9"/>
    <w:rsid w:val="0058616F"/>
    <w:rsid w:val="005866BA"/>
    <w:rsid w:val="00590671"/>
    <w:rsid w:val="0059279F"/>
    <w:rsid w:val="00594074"/>
    <w:rsid w:val="00594799"/>
    <w:rsid w:val="005948F9"/>
    <w:rsid w:val="00594DB0"/>
    <w:rsid w:val="00595A5B"/>
    <w:rsid w:val="00596471"/>
    <w:rsid w:val="005969A4"/>
    <w:rsid w:val="00597411"/>
    <w:rsid w:val="005A0350"/>
    <w:rsid w:val="005A0393"/>
    <w:rsid w:val="005A065A"/>
    <w:rsid w:val="005A08B4"/>
    <w:rsid w:val="005A1875"/>
    <w:rsid w:val="005A2CDF"/>
    <w:rsid w:val="005A397D"/>
    <w:rsid w:val="005A4670"/>
    <w:rsid w:val="005A6C3C"/>
    <w:rsid w:val="005A6D25"/>
    <w:rsid w:val="005B0095"/>
    <w:rsid w:val="005B0527"/>
    <w:rsid w:val="005B1742"/>
    <w:rsid w:val="005B321F"/>
    <w:rsid w:val="005B3B02"/>
    <w:rsid w:val="005B486E"/>
    <w:rsid w:val="005B4CE5"/>
    <w:rsid w:val="005B5C46"/>
    <w:rsid w:val="005B6A4A"/>
    <w:rsid w:val="005B769C"/>
    <w:rsid w:val="005B7742"/>
    <w:rsid w:val="005B7834"/>
    <w:rsid w:val="005C0499"/>
    <w:rsid w:val="005C0839"/>
    <w:rsid w:val="005C1351"/>
    <w:rsid w:val="005C14E2"/>
    <w:rsid w:val="005C1E83"/>
    <w:rsid w:val="005C28C2"/>
    <w:rsid w:val="005C39B9"/>
    <w:rsid w:val="005C5263"/>
    <w:rsid w:val="005C57D4"/>
    <w:rsid w:val="005C58FF"/>
    <w:rsid w:val="005C5C2D"/>
    <w:rsid w:val="005D0EFD"/>
    <w:rsid w:val="005D106B"/>
    <w:rsid w:val="005D14F9"/>
    <w:rsid w:val="005D1A09"/>
    <w:rsid w:val="005D1A21"/>
    <w:rsid w:val="005D2490"/>
    <w:rsid w:val="005D2CDD"/>
    <w:rsid w:val="005D3676"/>
    <w:rsid w:val="005D3A1B"/>
    <w:rsid w:val="005D41E7"/>
    <w:rsid w:val="005D4C2A"/>
    <w:rsid w:val="005D4E43"/>
    <w:rsid w:val="005D50FC"/>
    <w:rsid w:val="005D5C6F"/>
    <w:rsid w:val="005D5F09"/>
    <w:rsid w:val="005D6ECA"/>
    <w:rsid w:val="005D7A9B"/>
    <w:rsid w:val="005E17D1"/>
    <w:rsid w:val="005E23FC"/>
    <w:rsid w:val="005E26AC"/>
    <w:rsid w:val="005E5197"/>
    <w:rsid w:val="005E5767"/>
    <w:rsid w:val="005E6F94"/>
    <w:rsid w:val="005F0B45"/>
    <w:rsid w:val="005F1FC3"/>
    <w:rsid w:val="005F227B"/>
    <w:rsid w:val="005F28E3"/>
    <w:rsid w:val="005F2D49"/>
    <w:rsid w:val="005F32D3"/>
    <w:rsid w:val="005F4643"/>
    <w:rsid w:val="005F52DA"/>
    <w:rsid w:val="005F5691"/>
    <w:rsid w:val="005F7D3E"/>
    <w:rsid w:val="00600214"/>
    <w:rsid w:val="00601BCE"/>
    <w:rsid w:val="0060462C"/>
    <w:rsid w:val="00605109"/>
    <w:rsid w:val="006062BF"/>
    <w:rsid w:val="00606E24"/>
    <w:rsid w:val="006073F2"/>
    <w:rsid w:val="00607A4C"/>
    <w:rsid w:val="00610475"/>
    <w:rsid w:val="00610D06"/>
    <w:rsid w:val="00610E3D"/>
    <w:rsid w:val="006117DE"/>
    <w:rsid w:val="0061194B"/>
    <w:rsid w:val="00612B86"/>
    <w:rsid w:val="006154D8"/>
    <w:rsid w:val="00615A29"/>
    <w:rsid w:val="00615BC1"/>
    <w:rsid w:val="006164DC"/>
    <w:rsid w:val="006169F7"/>
    <w:rsid w:val="00620197"/>
    <w:rsid w:val="00622671"/>
    <w:rsid w:val="006235FF"/>
    <w:rsid w:val="00624209"/>
    <w:rsid w:val="006247AA"/>
    <w:rsid w:val="00625307"/>
    <w:rsid w:val="006255CB"/>
    <w:rsid w:val="00625D04"/>
    <w:rsid w:val="00625E6A"/>
    <w:rsid w:val="00627AF2"/>
    <w:rsid w:val="00631A5E"/>
    <w:rsid w:val="00634195"/>
    <w:rsid w:val="00634F49"/>
    <w:rsid w:val="006356CC"/>
    <w:rsid w:val="00636E70"/>
    <w:rsid w:val="00637220"/>
    <w:rsid w:val="006372B8"/>
    <w:rsid w:val="00640016"/>
    <w:rsid w:val="006419F0"/>
    <w:rsid w:val="0064277D"/>
    <w:rsid w:val="00642BA2"/>
    <w:rsid w:val="00643E4F"/>
    <w:rsid w:val="00644ACF"/>
    <w:rsid w:val="00647A12"/>
    <w:rsid w:val="0065052F"/>
    <w:rsid w:val="00650611"/>
    <w:rsid w:val="00651242"/>
    <w:rsid w:val="0065492F"/>
    <w:rsid w:val="00654F69"/>
    <w:rsid w:val="006560CB"/>
    <w:rsid w:val="00656B9B"/>
    <w:rsid w:val="006570CD"/>
    <w:rsid w:val="0065763F"/>
    <w:rsid w:val="00657D99"/>
    <w:rsid w:val="00661C0B"/>
    <w:rsid w:val="00662C5D"/>
    <w:rsid w:val="00663EEA"/>
    <w:rsid w:val="006646A5"/>
    <w:rsid w:val="006657C1"/>
    <w:rsid w:val="006659C9"/>
    <w:rsid w:val="00666420"/>
    <w:rsid w:val="00667278"/>
    <w:rsid w:val="00672BBF"/>
    <w:rsid w:val="006735D3"/>
    <w:rsid w:val="00675A1A"/>
    <w:rsid w:val="00675A60"/>
    <w:rsid w:val="00675D32"/>
    <w:rsid w:val="00675F1B"/>
    <w:rsid w:val="00676CAC"/>
    <w:rsid w:val="00677401"/>
    <w:rsid w:val="00681143"/>
    <w:rsid w:val="00681265"/>
    <w:rsid w:val="00681379"/>
    <w:rsid w:val="006820C6"/>
    <w:rsid w:val="00682303"/>
    <w:rsid w:val="00682572"/>
    <w:rsid w:val="0068394F"/>
    <w:rsid w:val="00685746"/>
    <w:rsid w:val="00687263"/>
    <w:rsid w:val="006878AC"/>
    <w:rsid w:val="00690A68"/>
    <w:rsid w:val="00691739"/>
    <w:rsid w:val="00691E02"/>
    <w:rsid w:val="00692B4F"/>
    <w:rsid w:val="006934DD"/>
    <w:rsid w:val="00693509"/>
    <w:rsid w:val="0069563E"/>
    <w:rsid w:val="00695BCC"/>
    <w:rsid w:val="00695CDB"/>
    <w:rsid w:val="00695EBA"/>
    <w:rsid w:val="00696288"/>
    <w:rsid w:val="0069644B"/>
    <w:rsid w:val="00696B4C"/>
    <w:rsid w:val="006A05B0"/>
    <w:rsid w:val="006A12A3"/>
    <w:rsid w:val="006A13BE"/>
    <w:rsid w:val="006A141D"/>
    <w:rsid w:val="006A1F5A"/>
    <w:rsid w:val="006A33A9"/>
    <w:rsid w:val="006A3D0F"/>
    <w:rsid w:val="006A42A7"/>
    <w:rsid w:val="006A60AE"/>
    <w:rsid w:val="006A6B50"/>
    <w:rsid w:val="006A6D8F"/>
    <w:rsid w:val="006A775E"/>
    <w:rsid w:val="006B019A"/>
    <w:rsid w:val="006B1D9C"/>
    <w:rsid w:val="006B2328"/>
    <w:rsid w:val="006B273B"/>
    <w:rsid w:val="006B44F3"/>
    <w:rsid w:val="006B4603"/>
    <w:rsid w:val="006B6669"/>
    <w:rsid w:val="006B7E19"/>
    <w:rsid w:val="006C0A29"/>
    <w:rsid w:val="006C0A39"/>
    <w:rsid w:val="006C1DE3"/>
    <w:rsid w:val="006C209C"/>
    <w:rsid w:val="006C2587"/>
    <w:rsid w:val="006C350D"/>
    <w:rsid w:val="006C3731"/>
    <w:rsid w:val="006C4834"/>
    <w:rsid w:val="006C5427"/>
    <w:rsid w:val="006C5959"/>
    <w:rsid w:val="006C64A8"/>
    <w:rsid w:val="006C6744"/>
    <w:rsid w:val="006C74E5"/>
    <w:rsid w:val="006D0315"/>
    <w:rsid w:val="006D03FE"/>
    <w:rsid w:val="006D26B1"/>
    <w:rsid w:val="006D48C9"/>
    <w:rsid w:val="006D4C57"/>
    <w:rsid w:val="006D6B10"/>
    <w:rsid w:val="006D7894"/>
    <w:rsid w:val="006D7BF5"/>
    <w:rsid w:val="006D7C91"/>
    <w:rsid w:val="006E1325"/>
    <w:rsid w:val="006E4064"/>
    <w:rsid w:val="006E5F23"/>
    <w:rsid w:val="006E6095"/>
    <w:rsid w:val="006E619B"/>
    <w:rsid w:val="006E6AF7"/>
    <w:rsid w:val="006F0FA5"/>
    <w:rsid w:val="006F10B8"/>
    <w:rsid w:val="006F2A33"/>
    <w:rsid w:val="006F41F0"/>
    <w:rsid w:val="006F460C"/>
    <w:rsid w:val="006F4625"/>
    <w:rsid w:val="006F4BD2"/>
    <w:rsid w:val="006F5182"/>
    <w:rsid w:val="006F6778"/>
    <w:rsid w:val="006F729A"/>
    <w:rsid w:val="006F76F8"/>
    <w:rsid w:val="006F7AC4"/>
    <w:rsid w:val="006F7E14"/>
    <w:rsid w:val="007000E2"/>
    <w:rsid w:val="00702721"/>
    <w:rsid w:val="0070380B"/>
    <w:rsid w:val="00703CFB"/>
    <w:rsid w:val="00704C11"/>
    <w:rsid w:val="00704F05"/>
    <w:rsid w:val="0070502D"/>
    <w:rsid w:val="00705969"/>
    <w:rsid w:val="0070717E"/>
    <w:rsid w:val="007117E8"/>
    <w:rsid w:val="00712C7F"/>
    <w:rsid w:val="00717D2A"/>
    <w:rsid w:val="0072109E"/>
    <w:rsid w:val="0072176B"/>
    <w:rsid w:val="00721E7C"/>
    <w:rsid w:val="00722138"/>
    <w:rsid w:val="00723FEC"/>
    <w:rsid w:val="00724341"/>
    <w:rsid w:val="0072470D"/>
    <w:rsid w:val="00725146"/>
    <w:rsid w:val="007252C2"/>
    <w:rsid w:val="00725F74"/>
    <w:rsid w:val="007279B6"/>
    <w:rsid w:val="007304C2"/>
    <w:rsid w:val="007307B7"/>
    <w:rsid w:val="0073172C"/>
    <w:rsid w:val="00731AC5"/>
    <w:rsid w:val="00732B6E"/>
    <w:rsid w:val="00733D3C"/>
    <w:rsid w:val="00733E07"/>
    <w:rsid w:val="00735443"/>
    <w:rsid w:val="007363A8"/>
    <w:rsid w:val="0073651F"/>
    <w:rsid w:val="00741817"/>
    <w:rsid w:val="00742D65"/>
    <w:rsid w:val="00742EE9"/>
    <w:rsid w:val="007434F1"/>
    <w:rsid w:val="00743685"/>
    <w:rsid w:val="00743842"/>
    <w:rsid w:val="00744C04"/>
    <w:rsid w:val="00745EE3"/>
    <w:rsid w:val="0074680C"/>
    <w:rsid w:val="007475E0"/>
    <w:rsid w:val="00751603"/>
    <w:rsid w:val="0075232B"/>
    <w:rsid w:val="007527B2"/>
    <w:rsid w:val="0075296D"/>
    <w:rsid w:val="00752E8C"/>
    <w:rsid w:val="00753BFE"/>
    <w:rsid w:val="00753F84"/>
    <w:rsid w:val="00754E21"/>
    <w:rsid w:val="00755492"/>
    <w:rsid w:val="00756468"/>
    <w:rsid w:val="00756AF0"/>
    <w:rsid w:val="00756DFB"/>
    <w:rsid w:val="0075717A"/>
    <w:rsid w:val="0075741F"/>
    <w:rsid w:val="0076051A"/>
    <w:rsid w:val="00760B72"/>
    <w:rsid w:val="0076197C"/>
    <w:rsid w:val="007620F9"/>
    <w:rsid w:val="00762378"/>
    <w:rsid w:val="00762BFA"/>
    <w:rsid w:val="00763560"/>
    <w:rsid w:val="0076599D"/>
    <w:rsid w:val="007673B0"/>
    <w:rsid w:val="00770463"/>
    <w:rsid w:val="007706BA"/>
    <w:rsid w:val="00772631"/>
    <w:rsid w:val="00772F7D"/>
    <w:rsid w:val="00773CD1"/>
    <w:rsid w:val="00776153"/>
    <w:rsid w:val="007765EF"/>
    <w:rsid w:val="0077796F"/>
    <w:rsid w:val="00777D28"/>
    <w:rsid w:val="00777E96"/>
    <w:rsid w:val="00780136"/>
    <w:rsid w:val="007810F4"/>
    <w:rsid w:val="0078125C"/>
    <w:rsid w:val="007821CD"/>
    <w:rsid w:val="00782841"/>
    <w:rsid w:val="00782868"/>
    <w:rsid w:val="00782D0F"/>
    <w:rsid w:val="00782D47"/>
    <w:rsid w:val="00782F79"/>
    <w:rsid w:val="0078419E"/>
    <w:rsid w:val="00784336"/>
    <w:rsid w:val="007848CA"/>
    <w:rsid w:val="0078588D"/>
    <w:rsid w:val="00785C64"/>
    <w:rsid w:val="00786B5D"/>
    <w:rsid w:val="0078782A"/>
    <w:rsid w:val="00790048"/>
    <w:rsid w:val="00790149"/>
    <w:rsid w:val="00791E7E"/>
    <w:rsid w:val="007930D0"/>
    <w:rsid w:val="0079376A"/>
    <w:rsid w:val="00793845"/>
    <w:rsid w:val="00793BCF"/>
    <w:rsid w:val="00793ECF"/>
    <w:rsid w:val="00793F9B"/>
    <w:rsid w:val="00794231"/>
    <w:rsid w:val="00795697"/>
    <w:rsid w:val="00795C4F"/>
    <w:rsid w:val="00795C79"/>
    <w:rsid w:val="00796628"/>
    <w:rsid w:val="007967EC"/>
    <w:rsid w:val="007975C7"/>
    <w:rsid w:val="00797AC1"/>
    <w:rsid w:val="007A0FCD"/>
    <w:rsid w:val="007A116D"/>
    <w:rsid w:val="007A1863"/>
    <w:rsid w:val="007A2878"/>
    <w:rsid w:val="007A3039"/>
    <w:rsid w:val="007A4B1C"/>
    <w:rsid w:val="007A4CF6"/>
    <w:rsid w:val="007A5196"/>
    <w:rsid w:val="007A577D"/>
    <w:rsid w:val="007A7053"/>
    <w:rsid w:val="007A7750"/>
    <w:rsid w:val="007A79DC"/>
    <w:rsid w:val="007A7B29"/>
    <w:rsid w:val="007B06B3"/>
    <w:rsid w:val="007B0778"/>
    <w:rsid w:val="007B1A04"/>
    <w:rsid w:val="007B25DC"/>
    <w:rsid w:val="007B2E8E"/>
    <w:rsid w:val="007B58CE"/>
    <w:rsid w:val="007B63FA"/>
    <w:rsid w:val="007B7274"/>
    <w:rsid w:val="007B7B40"/>
    <w:rsid w:val="007C00F5"/>
    <w:rsid w:val="007C0288"/>
    <w:rsid w:val="007C116E"/>
    <w:rsid w:val="007C14F8"/>
    <w:rsid w:val="007C1A91"/>
    <w:rsid w:val="007C2A2B"/>
    <w:rsid w:val="007C2D0D"/>
    <w:rsid w:val="007C33CE"/>
    <w:rsid w:val="007C3D92"/>
    <w:rsid w:val="007C431D"/>
    <w:rsid w:val="007C528E"/>
    <w:rsid w:val="007C5B3C"/>
    <w:rsid w:val="007C632C"/>
    <w:rsid w:val="007C6703"/>
    <w:rsid w:val="007C6C3F"/>
    <w:rsid w:val="007C7B04"/>
    <w:rsid w:val="007C7DD6"/>
    <w:rsid w:val="007D096D"/>
    <w:rsid w:val="007D0E7A"/>
    <w:rsid w:val="007D0FC4"/>
    <w:rsid w:val="007D1698"/>
    <w:rsid w:val="007D1AE8"/>
    <w:rsid w:val="007D1DC9"/>
    <w:rsid w:val="007D26E6"/>
    <w:rsid w:val="007D2CC8"/>
    <w:rsid w:val="007D2EF7"/>
    <w:rsid w:val="007D317D"/>
    <w:rsid w:val="007D35BC"/>
    <w:rsid w:val="007D3F55"/>
    <w:rsid w:val="007D5D62"/>
    <w:rsid w:val="007D748D"/>
    <w:rsid w:val="007D79C0"/>
    <w:rsid w:val="007E0C0E"/>
    <w:rsid w:val="007E1099"/>
    <w:rsid w:val="007E2009"/>
    <w:rsid w:val="007E2B5E"/>
    <w:rsid w:val="007E2D26"/>
    <w:rsid w:val="007E4393"/>
    <w:rsid w:val="007E442C"/>
    <w:rsid w:val="007E45AC"/>
    <w:rsid w:val="007E4B97"/>
    <w:rsid w:val="007E589F"/>
    <w:rsid w:val="007E5AEF"/>
    <w:rsid w:val="007E67A6"/>
    <w:rsid w:val="007E70B3"/>
    <w:rsid w:val="007E794F"/>
    <w:rsid w:val="007F1EDB"/>
    <w:rsid w:val="007F3081"/>
    <w:rsid w:val="007F3308"/>
    <w:rsid w:val="007F3C4C"/>
    <w:rsid w:val="007F3F7A"/>
    <w:rsid w:val="007F4B23"/>
    <w:rsid w:val="007F7734"/>
    <w:rsid w:val="00800BD5"/>
    <w:rsid w:val="0080149E"/>
    <w:rsid w:val="00801936"/>
    <w:rsid w:val="00801A54"/>
    <w:rsid w:val="0080261B"/>
    <w:rsid w:val="008027CC"/>
    <w:rsid w:val="00802E44"/>
    <w:rsid w:val="00803672"/>
    <w:rsid w:val="00803D79"/>
    <w:rsid w:val="0080466E"/>
    <w:rsid w:val="00804726"/>
    <w:rsid w:val="008057AB"/>
    <w:rsid w:val="00806313"/>
    <w:rsid w:val="00810C01"/>
    <w:rsid w:val="00810DD8"/>
    <w:rsid w:val="00811C00"/>
    <w:rsid w:val="008129AE"/>
    <w:rsid w:val="00814416"/>
    <w:rsid w:val="0081473E"/>
    <w:rsid w:val="008150CC"/>
    <w:rsid w:val="008152C6"/>
    <w:rsid w:val="0081554F"/>
    <w:rsid w:val="00816140"/>
    <w:rsid w:val="0081632F"/>
    <w:rsid w:val="0081658E"/>
    <w:rsid w:val="008178EA"/>
    <w:rsid w:val="00817CB7"/>
    <w:rsid w:val="00820E39"/>
    <w:rsid w:val="00821112"/>
    <w:rsid w:val="008214B8"/>
    <w:rsid w:val="00821E10"/>
    <w:rsid w:val="008221E1"/>
    <w:rsid w:val="00823FDB"/>
    <w:rsid w:val="008253BD"/>
    <w:rsid w:val="008259EF"/>
    <w:rsid w:val="00826582"/>
    <w:rsid w:val="008304C8"/>
    <w:rsid w:val="00830B02"/>
    <w:rsid w:val="00830B90"/>
    <w:rsid w:val="00830CB2"/>
    <w:rsid w:val="0083175A"/>
    <w:rsid w:val="00834225"/>
    <w:rsid w:val="0083437F"/>
    <w:rsid w:val="00841201"/>
    <w:rsid w:val="00841452"/>
    <w:rsid w:val="00841EA6"/>
    <w:rsid w:val="008421E4"/>
    <w:rsid w:val="008424EC"/>
    <w:rsid w:val="00842FBC"/>
    <w:rsid w:val="0084325F"/>
    <w:rsid w:val="00843EE5"/>
    <w:rsid w:val="00844605"/>
    <w:rsid w:val="00844E3C"/>
    <w:rsid w:val="008453D1"/>
    <w:rsid w:val="00846A88"/>
    <w:rsid w:val="008515CF"/>
    <w:rsid w:val="00852BE1"/>
    <w:rsid w:val="008532A2"/>
    <w:rsid w:val="008535FE"/>
    <w:rsid w:val="00853FA1"/>
    <w:rsid w:val="008543AB"/>
    <w:rsid w:val="008601E4"/>
    <w:rsid w:val="0086029C"/>
    <w:rsid w:val="00860403"/>
    <w:rsid w:val="0086048F"/>
    <w:rsid w:val="00860D0F"/>
    <w:rsid w:val="00862F3C"/>
    <w:rsid w:val="0086381A"/>
    <w:rsid w:val="008638C9"/>
    <w:rsid w:val="00864D2E"/>
    <w:rsid w:val="00864E37"/>
    <w:rsid w:val="00865E1A"/>
    <w:rsid w:val="00865E8B"/>
    <w:rsid w:val="00866CB5"/>
    <w:rsid w:val="008704E8"/>
    <w:rsid w:val="008732DF"/>
    <w:rsid w:val="0087334F"/>
    <w:rsid w:val="00873F86"/>
    <w:rsid w:val="00874446"/>
    <w:rsid w:val="00874CB2"/>
    <w:rsid w:val="00875863"/>
    <w:rsid w:val="008764E7"/>
    <w:rsid w:val="00876597"/>
    <w:rsid w:val="00876692"/>
    <w:rsid w:val="008767CB"/>
    <w:rsid w:val="00877304"/>
    <w:rsid w:val="00881CC4"/>
    <w:rsid w:val="00882303"/>
    <w:rsid w:val="00882E9E"/>
    <w:rsid w:val="00884482"/>
    <w:rsid w:val="00884DAC"/>
    <w:rsid w:val="0088502F"/>
    <w:rsid w:val="00885D28"/>
    <w:rsid w:val="00886391"/>
    <w:rsid w:val="00887D8B"/>
    <w:rsid w:val="008900B2"/>
    <w:rsid w:val="00890802"/>
    <w:rsid w:val="008916F1"/>
    <w:rsid w:val="008927AB"/>
    <w:rsid w:val="00893A00"/>
    <w:rsid w:val="008944FD"/>
    <w:rsid w:val="008946FB"/>
    <w:rsid w:val="00895609"/>
    <w:rsid w:val="008956CD"/>
    <w:rsid w:val="00897AA2"/>
    <w:rsid w:val="008A040A"/>
    <w:rsid w:val="008A1E13"/>
    <w:rsid w:val="008A2963"/>
    <w:rsid w:val="008A440E"/>
    <w:rsid w:val="008A5488"/>
    <w:rsid w:val="008A5A01"/>
    <w:rsid w:val="008A5BDF"/>
    <w:rsid w:val="008A60C5"/>
    <w:rsid w:val="008A610A"/>
    <w:rsid w:val="008A611F"/>
    <w:rsid w:val="008A619D"/>
    <w:rsid w:val="008A7795"/>
    <w:rsid w:val="008B0724"/>
    <w:rsid w:val="008B0C63"/>
    <w:rsid w:val="008B186F"/>
    <w:rsid w:val="008B1FF0"/>
    <w:rsid w:val="008B241C"/>
    <w:rsid w:val="008B2DFE"/>
    <w:rsid w:val="008B3697"/>
    <w:rsid w:val="008B4CC7"/>
    <w:rsid w:val="008B5BF0"/>
    <w:rsid w:val="008C1790"/>
    <w:rsid w:val="008C1A49"/>
    <w:rsid w:val="008C2411"/>
    <w:rsid w:val="008C2A48"/>
    <w:rsid w:val="008C5E2A"/>
    <w:rsid w:val="008C611B"/>
    <w:rsid w:val="008C7569"/>
    <w:rsid w:val="008D0969"/>
    <w:rsid w:val="008D0D55"/>
    <w:rsid w:val="008D157E"/>
    <w:rsid w:val="008D16A4"/>
    <w:rsid w:val="008D2844"/>
    <w:rsid w:val="008D3650"/>
    <w:rsid w:val="008D3934"/>
    <w:rsid w:val="008D40D3"/>
    <w:rsid w:val="008D464D"/>
    <w:rsid w:val="008D4825"/>
    <w:rsid w:val="008D5A7B"/>
    <w:rsid w:val="008D6CE6"/>
    <w:rsid w:val="008D726B"/>
    <w:rsid w:val="008D738F"/>
    <w:rsid w:val="008E0408"/>
    <w:rsid w:val="008E133F"/>
    <w:rsid w:val="008E169D"/>
    <w:rsid w:val="008E423E"/>
    <w:rsid w:val="008E4BBD"/>
    <w:rsid w:val="008E5E69"/>
    <w:rsid w:val="008E6226"/>
    <w:rsid w:val="008E6889"/>
    <w:rsid w:val="008E7903"/>
    <w:rsid w:val="008E7CF2"/>
    <w:rsid w:val="008F1366"/>
    <w:rsid w:val="008F138A"/>
    <w:rsid w:val="008F140B"/>
    <w:rsid w:val="008F1B9B"/>
    <w:rsid w:val="008F1D4A"/>
    <w:rsid w:val="008F20A9"/>
    <w:rsid w:val="008F2484"/>
    <w:rsid w:val="008F4C67"/>
    <w:rsid w:val="008F70DD"/>
    <w:rsid w:val="008F73F6"/>
    <w:rsid w:val="00900248"/>
    <w:rsid w:val="00900BAC"/>
    <w:rsid w:val="0090178B"/>
    <w:rsid w:val="00902F16"/>
    <w:rsid w:val="00903420"/>
    <w:rsid w:val="00903813"/>
    <w:rsid w:val="009055DA"/>
    <w:rsid w:val="0090575E"/>
    <w:rsid w:val="00906349"/>
    <w:rsid w:val="009071EE"/>
    <w:rsid w:val="009076D5"/>
    <w:rsid w:val="00907C9A"/>
    <w:rsid w:val="00907E14"/>
    <w:rsid w:val="00911FDA"/>
    <w:rsid w:val="00912DD3"/>
    <w:rsid w:val="009130F2"/>
    <w:rsid w:val="00913F08"/>
    <w:rsid w:val="00914EE8"/>
    <w:rsid w:val="00915896"/>
    <w:rsid w:val="00915C37"/>
    <w:rsid w:val="00915F11"/>
    <w:rsid w:val="009165EA"/>
    <w:rsid w:val="0091703D"/>
    <w:rsid w:val="00917A5A"/>
    <w:rsid w:val="009207B5"/>
    <w:rsid w:val="009208AA"/>
    <w:rsid w:val="00922B8A"/>
    <w:rsid w:val="009254DD"/>
    <w:rsid w:val="009258E1"/>
    <w:rsid w:val="0092672A"/>
    <w:rsid w:val="00927E60"/>
    <w:rsid w:val="00930BB0"/>
    <w:rsid w:val="00931248"/>
    <w:rsid w:val="00931F21"/>
    <w:rsid w:val="009323F1"/>
    <w:rsid w:val="00932BC9"/>
    <w:rsid w:val="00933A9D"/>
    <w:rsid w:val="00933AD4"/>
    <w:rsid w:val="00933B1C"/>
    <w:rsid w:val="00933D82"/>
    <w:rsid w:val="009344B7"/>
    <w:rsid w:val="00934FA7"/>
    <w:rsid w:val="009370B8"/>
    <w:rsid w:val="00937474"/>
    <w:rsid w:val="009400F2"/>
    <w:rsid w:val="00940695"/>
    <w:rsid w:val="00940778"/>
    <w:rsid w:val="00941599"/>
    <w:rsid w:val="00941EDC"/>
    <w:rsid w:val="00942AD4"/>
    <w:rsid w:val="009434FC"/>
    <w:rsid w:val="00944558"/>
    <w:rsid w:val="0094644C"/>
    <w:rsid w:val="00946B88"/>
    <w:rsid w:val="00946D49"/>
    <w:rsid w:val="00946D5A"/>
    <w:rsid w:val="00947777"/>
    <w:rsid w:val="0094789C"/>
    <w:rsid w:val="00947912"/>
    <w:rsid w:val="00947FE2"/>
    <w:rsid w:val="009506CD"/>
    <w:rsid w:val="00951603"/>
    <w:rsid w:val="0095189E"/>
    <w:rsid w:val="009528DE"/>
    <w:rsid w:val="009537C0"/>
    <w:rsid w:val="00953D00"/>
    <w:rsid w:val="009540F3"/>
    <w:rsid w:val="009547B3"/>
    <w:rsid w:val="00954FAD"/>
    <w:rsid w:val="0095511C"/>
    <w:rsid w:val="0095521F"/>
    <w:rsid w:val="00955AE6"/>
    <w:rsid w:val="0095645E"/>
    <w:rsid w:val="00956477"/>
    <w:rsid w:val="00957501"/>
    <w:rsid w:val="00957FD4"/>
    <w:rsid w:val="009609C8"/>
    <w:rsid w:val="00960BBB"/>
    <w:rsid w:val="009611EA"/>
    <w:rsid w:val="00961312"/>
    <w:rsid w:val="00961EF1"/>
    <w:rsid w:val="009622B0"/>
    <w:rsid w:val="00962784"/>
    <w:rsid w:val="009645AB"/>
    <w:rsid w:val="00964BEA"/>
    <w:rsid w:val="00965DF3"/>
    <w:rsid w:val="0096725D"/>
    <w:rsid w:val="00967B1D"/>
    <w:rsid w:val="0097034A"/>
    <w:rsid w:val="009706ED"/>
    <w:rsid w:val="00970D4C"/>
    <w:rsid w:val="00971921"/>
    <w:rsid w:val="009728C0"/>
    <w:rsid w:val="00972FBD"/>
    <w:rsid w:val="009730BD"/>
    <w:rsid w:val="00973484"/>
    <w:rsid w:val="00973F85"/>
    <w:rsid w:val="00974ABC"/>
    <w:rsid w:val="0097594A"/>
    <w:rsid w:val="0097691A"/>
    <w:rsid w:val="00977FCB"/>
    <w:rsid w:val="0098032B"/>
    <w:rsid w:val="00981B88"/>
    <w:rsid w:val="00981DD2"/>
    <w:rsid w:val="009823F4"/>
    <w:rsid w:val="009829AC"/>
    <w:rsid w:val="00984ADD"/>
    <w:rsid w:val="00986172"/>
    <w:rsid w:val="00990021"/>
    <w:rsid w:val="00991A2A"/>
    <w:rsid w:val="00993636"/>
    <w:rsid w:val="00995B3E"/>
    <w:rsid w:val="0099799D"/>
    <w:rsid w:val="009A0CBC"/>
    <w:rsid w:val="009A0EB4"/>
    <w:rsid w:val="009A1413"/>
    <w:rsid w:val="009A1A90"/>
    <w:rsid w:val="009A3965"/>
    <w:rsid w:val="009A3B80"/>
    <w:rsid w:val="009A4644"/>
    <w:rsid w:val="009A58A4"/>
    <w:rsid w:val="009A5F33"/>
    <w:rsid w:val="009A62D7"/>
    <w:rsid w:val="009A6D60"/>
    <w:rsid w:val="009A6F95"/>
    <w:rsid w:val="009B00A9"/>
    <w:rsid w:val="009B141F"/>
    <w:rsid w:val="009B17A4"/>
    <w:rsid w:val="009B2920"/>
    <w:rsid w:val="009B6724"/>
    <w:rsid w:val="009B75A7"/>
    <w:rsid w:val="009C1B87"/>
    <w:rsid w:val="009C2111"/>
    <w:rsid w:val="009C219D"/>
    <w:rsid w:val="009C24A1"/>
    <w:rsid w:val="009C2663"/>
    <w:rsid w:val="009C2E75"/>
    <w:rsid w:val="009C36A0"/>
    <w:rsid w:val="009C3FA4"/>
    <w:rsid w:val="009C49A0"/>
    <w:rsid w:val="009C4C38"/>
    <w:rsid w:val="009C4E44"/>
    <w:rsid w:val="009C5ED7"/>
    <w:rsid w:val="009C62C3"/>
    <w:rsid w:val="009C6598"/>
    <w:rsid w:val="009C72D5"/>
    <w:rsid w:val="009C7548"/>
    <w:rsid w:val="009C7D6A"/>
    <w:rsid w:val="009D0098"/>
    <w:rsid w:val="009D2D8C"/>
    <w:rsid w:val="009D38F3"/>
    <w:rsid w:val="009D455D"/>
    <w:rsid w:val="009D45BF"/>
    <w:rsid w:val="009D598E"/>
    <w:rsid w:val="009D6337"/>
    <w:rsid w:val="009D78C2"/>
    <w:rsid w:val="009E0814"/>
    <w:rsid w:val="009E18C0"/>
    <w:rsid w:val="009E244B"/>
    <w:rsid w:val="009E2CDE"/>
    <w:rsid w:val="009E3F41"/>
    <w:rsid w:val="009E4AA8"/>
    <w:rsid w:val="009E5B43"/>
    <w:rsid w:val="009E5CD2"/>
    <w:rsid w:val="009E60A3"/>
    <w:rsid w:val="009E6272"/>
    <w:rsid w:val="009E6786"/>
    <w:rsid w:val="009E6C19"/>
    <w:rsid w:val="009F0632"/>
    <w:rsid w:val="009F0A5C"/>
    <w:rsid w:val="009F13B9"/>
    <w:rsid w:val="009F20B2"/>
    <w:rsid w:val="009F3696"/>
    <w:rsid w:val="009F3E76"/>
    <w:rsid w:val="009F603B"/>
    <w:rsid w:val="009F6945"/>
    <w:rsid w:val="009F6BAA"/>
    <w:rsid w:val="009F6D3E"/>
    <w:rsid w:val="009F7136"/>
    <w:rsid w:val="009F756E"/>
    <w:rsid w:val="009F7D7D"/>
    <w:rsid w:val="009F7FE7"/>
    <w:rsid w:val="00A0082A"/>
    <w:rsid w:val="00A008E9"/>
    <w:rsid w:val="00A02468"/>
    <w:rsid w:val="00A03C1E"/>
    <w:rsid w:val="00A046F0"/>
    <w:rsid w:val="00A05798"/>
    <w:rsid w:val="00A12ADB"/>
    <w:rsid w:val="00A131DD"/>
    <w:rsid w:val="00A133D6"/>
    <w:rsid w:val="00A138BD"/>
    <w:rsid w:val="00A16BC4"/>
    <w:rsid w:val="00A16CBC"/>
    <w:rsid w:val="00A17087"/>
    <w:rsid w:val="00A20013"/>
    <w:rsid w:val="00A2033A"/>
    <w:rsid w:val="00A22524"/>
    <w:rsid w:val="00A2399B"/>
    <w:rsid w:val="00A2527A"/>
    <w:rsid w:val="00A261FD"/>
    <w:rsid w:val="00A31034"/>
    <w:rsid w:val="00A315EF"/>
    <w:rsid w:val="00A33E12"/>
    <w:rsid w:val="00A340A0"/>
    <w:rsid w:val="00A354A1"/>
    <w:rsid w:val="00A356B0"/>
    <w:rsid w:val="00A35A15"/>
    <w:rsid w:val="00A361D0"/>
    <w:rsid w:val="00A36B3C"/>
    <w:rsid w:val="00A373E9"/>
    <w:rsid w:val="00A40AD9"/>
    <w:rsid w:val="00A41916"/>
    <w:rsid w:val="00A41BBA"/>
    <w:rsid w:val="00A4274A"/>
    <w:rsid w:val="00A44D23"/>
    <w:rsid w:val="00A46C49"/>
    <w:rsid w:val="00A5109B"/>
    <w:rsid w:val="00A51EE2"/>
    <w:rsid w:val="00A5238D"/>
    <w:rsid w:val="00A52768"/>
    <w:rsid w:val="00A52A4C"/>
    <w:rsid w:val="00A52E32"/>
    <w:rsid w:val="00A5342C"/>
    <w:rsid w:val="00A53671"/>
    <w:rsid w:val="00A53FF0"/>
    <w:rsid w:val="00A545EC"/>
    <w:rsid w:val="00A5503A"/>
    <w:rsid w:val="00A55FA9"/>
    <w:rsid w:val="00A56C26"/>
    <w:rsid w:val="00A6048B"/>
    <w:rsid w:val="00A60638"/>
    <w:rsid w:val="00A60889"/>
    <w:rsid w:val="00A60E68"/>
    <w:rsid w:val="00A6153A"/>
    <w:rsid w:val="00A61C49"/>
    <w:rsid w:val="00A62BAC"/>
    <w:rsid w:val="00A63ED7"/>
    <w:rsid w:val="00A64BD0"/>
    <w:rsid w:val="00A65123"/>
    <w:rsid w:val="00A6514D"/>
    <w:rsid w:val="00A678A1"/>
    <w:rsid w:val="00A67F8E"/>
    <w:rsid w:val="00A70C27"/>
    <w:rsid w:val="00A7189E"/>
    <w:rsid w:val="00A718C3"/>
    <w:rsid w:val="00A72775"/>
    <w:rsid w:val="00A7598B"/>
    <w:rsid w:val="00A75DD5"/>
    <w:rsid w:val="00A7625B"/>
    <w:rsid w:val="00A7673B"/>
    <w:rsid w:val="00A76E96"/>
    <w:rsid w:val="00A7711D"/>
    <w:rsid w:val="00A77EB8"/>
    <w:rsid w:val="00A81B20"/>
    <w:rsid w:val="00A81F68"/>
    <w:rsid w:val="00A83EDF"/>
    <w:rsid w:val="00A854D0"/>
    <w:rsid w:val="00A85AE0"/>
    <w:rsid w:val="00A85C33"/>
    <w:rsid w:val="00A9160A"/>
    <w:rsid w:val="00A916B2"/>
    <w:rsid w:val="00A92313"/>
    <w:rsid w:val="00A92C02"/>
    <w:rsid w:val="00A93A4E"/>
    <w:rsid w:val="00A941DB"/>
    <w:rsid w:val="00A94E84"/>
    <w:rsid w:val="00A95223"/>
    <w:rsid w:val="00A9642E"/>
    <w:rsid w:val="00A96594"/>
    <w:rsid w:val="00A9767A"/>
    <w:rsid w:val="00AA136D"/>
    <w:rsid w:val="00AA354E"/>
    <w:rsid w:val="00AA45E1"/>
    <w:rsid w:val="00AA4CFE"/>
    <w:rsid w:val="00AA5A00"/>
    <w:rsid w:val="00AA6BA7"/>
    <w:rsid w:val="00AA6C22"/>
    <w:rsid w:val="00AA7B87"/>
    <w:rsid w:val="00AB0170"/>
    <w:rsid w:val="00AB02BD"/>
    <w:rsid w:val="00AB0F34"/>
    <w:rsid w:val="00AB0F68"/>
    <w:rsid w:val="00AB1395"/>
    <w:rsid w:val="00AB1E76"/>
    <w:rsid w:val="00AB224A"/>
    <w:rsid w:val="00AB2F28"/>
    <w:rsid w:val="00AB3F90"/>
    <w:rsid w:val="00AB42B6"/>
    <w:rsid w:val="00AB42BF"/>
    <w:rsid w:val="00AB4821"/>
    <w:rsid w:val="00AC0FB5"/>
    <w:rsid w:val="00AC1E57"/>
    <w:rsid w:val="00AC5A52"/>
    <w:rsid w:val="00AC626B"/>
    <w:rsid w:val="00AC7EE9"/>
    <w:rsid w:val="00AC7F90"/>
    <w:rsid w:val="00AD0B5E"/>
    <w:rsid w:val="00AD0B64"/>
    <w:rsid w:val="00AD1202"/>
    <w:rsid w:val="00AD1678"/>
    <w:rsid w:val="00AD2583"/>
    <w:rsid w:val="00AD25CC"/>
    <w:rsid w:val="00AD2654"/>
    <w:rsid w:val="00AD34E0"/>
    <w:rsid w:val="00AD4F51"/>
    <w:rsid w:val="00AD6926"/>
    <w:rsid w:val="00AD7105"/>
    <w:rsid w:val="00AD7989"/>
    <w:rsid w:val="00AE0780"/>
    <w:rsid w:val="00AE4078"/>
    <w:rsid w:val="00AE40E6"/>
    <w:rsid w:val="00AE5421"/>
    <w:rsid w:val="00AE5A80"/>
    <w:rsid w:val="00AE6573"/>
    <w:rsid w:val="00AE727B"/>
    <w:rsid w:val="00AE7596"/>
    <w:rsid w:val="00AE7D00"/>
    <w:rsid w:val="00AE7F85"/>
    <w:rsid w:val="00AF0168"/>
    <w:rsid w:val="00AF3B21"/>
    <w:rsid w:val="00AF3C19"/>
    <w:rsid w:val="00AF4B66"/>
    <w:rsid w:val="00AF5BDE"/>
    <w:rsid w:val="00AF61F8"/>
    <w:rsid w:val="00AF7B76"/>
    <w:rsid w:val="00B00144"/>
    <w:rsid w:val="00B00D7A"/>
    <w:rsid w:val="00B01539"/>
    <w:rsid w:val="00B0223B"/>
    <w:rsid w:val="00B02B89"/>
    <w:rsid w:val="00B02F64"/>
    <w:rsid w:val="00B05860"/>
    <w:rsid w:val="00B068BB"/>
    <w:rsid w:val="00B06D33"/>
    <w:rsid w:val="00B07CBC"/>
    <w:rsid w:val="00B07E94"/>
    <w:rsid w:val="00B11239"/>
    <w:rsid w:val="00B11CB2"/>
    <w:rsid w:val="00B12281"/>
    <w:rsid w:val="00B124C1"/>
    <w:rsid w:val="00B12535"/>
    <w:rsid w:val="00B131E9"/>
    <w:rsid w:val="00B1343E"/>
    <w:rsid w:val="00B13504"/>
    <w:rsid w:val="00B14895"/>
    <w:rsid w:val="00B15103"/>
    <w:rsid w:val="00B16629"/>
    <w:rsid w:val="00B20871"/>
    <w:rsid w:val="00B21A9F"/>
    <w:rsid w:val="00B22A11"/>
    <w:rsid w:val="00B238AA"/>
    <w:rsid w:val="00B23C5C"/>
    <w:rsid w:val="00B26581"/>
    <w:rsid w:val="00B2691C"/>
    <w:rsid w:val="00B2784F"/>
    <w:rsid w:val="00B2AA70"/>
    <w:rsid w:val="00B30C4C"/>
    <w:rsid w:val="00B30D7E"/>
    <w:rsid w:val="00B3222A"/>
    <w:rsid w:val="00B33BCE"/>
    <w:rsid w:val="00B37A17"/>
    <w:rsid w:val="00B41D89"/>
    <w:rsid w:val="00B4326D"/>
    <w:rsid w:val="00B45CED"/>
    <w:rsid w:val="00B468B1"/>
    <w:rsid w:val="00B46A40"/>
    <w:rsid w:val="00B46BED"/>
    <w:rsid w:val="00B46D7D"/>
    <w:rsid w:val="00B47C79"/>
    <w:rsid w:val="00B47F92"/>
    <w:rsid w:val="00B5064E"/>
    <w:rsid w:val="00B53445"/>
    <w:rsid w:val="00B5349C"/>
    <w:rsid w:val="00B535D6"/>
    <w:rsid w:val="00B535DD"/>
    <w:rsid w:val="00B53950"/>
    <w:rsid w:val="00B54F21"/>
    <w:rsid w:val="00B553EA"/>
    <w:rsid w:val="00B57218"/>
    <w:rsid w:val="00B61AFE"/>
    <w:rsid w:val="00B62479"/>
    <w:rsid w:val="00B632E8"/>
    <w:rsid w:val="00B64F84"/>
    <w:rsid w:val="00B66424"/>
    <w:rsid w:val="00B679B5"/>
    <w:rsid w:val="00B702A6"/>
    <w:rsid w:val="00B702DD"/>
    <w:rsid w:val="00B707A5"/>
    <w:rsid w:val="00B7100E"/>
    <w:rsid w:val="00B7204D"/>
    <w:rsid w:val="00B7411F"/>
    <w:rsid w:val="00B74461"/>
    <w:rsid w:val="00B772D5"/>
    <w:rsid w:val="00B80C70"/>
    <w:rsid w:val="00B8161C"/>
    <w:rsid w:val="00B830F7"/>
    <w:rsid w:val="00B836B0"/>
    <w:rsid w:val="00B84686"/>
    <w:rsid w:val="00B849AA"/>
    <w:rsid w:val="00B84B66"/>
    <w:rsid w:val="00B8619A"/>
    <w:rsid w:val="00B86BC0"/>
    <w:rsid w:val="00B904CD"/>
    <w:rsid w:val="00B93717"/>
    <w:rsid w:val="00B946FF"/>
    <w:rsid w:val="00B9647E"/>
    <w:rsid w:val="00B966C9"/>
    <w:rsid w:val="00B97309"/>
    <w:rsid w:val="00BA095A"/>
    <w:rsid w:val="00BA142B"/>
    <w:rsid w:val="00BA1EBC"/>
    <w:rsid w:val="00BA22BF"/>
    <w:rsid w:val="00BA23EB"/>
    <w:rsid w:val="00BA29BF"/>
    <w:rsid w:val="00BA369C"/>
    <w:rsid w:val="00BA4EEC"/>
    <w:rsid w:val="00BA5146"/>
    <w:rsid w:val="00BA5204"/>
    <w:rsid w:val="00BA6938"/>
    <w:rsid w:val="00BB031B"/>
    <w:rsid w:val="00BB0441"/>
    <w:rsid w:val="00BB0E3D"/>
    <w:rsid w:val="00BB1C71"/>
    <w:rsid w:val="00BB1D72"/>
    <w:rsid w:val="00BB5029"/>
    <w:rsid w:val="00BB629D"/>
    <w:rsid w:val="00BB67FF"/>
    <w:rsid w:val="00BB6BE6"/>
    <w:rsid w:val="00BB6E71"/>
    <w:rsid w:val="00BC2412"/>
    <w:rsid w:val="00BC29F7"/>
    <w:rsid w:val="00BC3FCB"/>
    <w:rsid w:val="00BC6CFD"/>
    <w:rsid w:val="00BC7242"/>
    <w:rsid w:val="00BC7BD9"/>
    <w:rsid w:val="00BD07B1"/>
    <w:rsid w:val="00BD139E"/>
    <w:rsid w:val="00BD175B"/>
    <w:rsid w:val="00BD2083"/>
    <w:rsid w:val="00BD2BA8"/>
    <w:rsid w:val="00BD2E65"/>
    <w:rsid w:val="00BD368A"/>
    <w:rsid w:val="00BD4308"/>
    <w:rsid w:val="00BD65DB"/>
    <w:rsid w:val="00BD6DB8"/>
    <w:rsid w:val="00BD76C6"/>
    <w:rsid w:val="00BE01D0"/>
    <w:rsid w:val="00BE030D"/>
    <w:rsid w:val="00BE109B"/>
    <w:rsid w:val="00BE10DC"/>
    <w:rsid w:val="00BE1493"/>
    <w:rsid w:val="00BE16B2"/>
    <w:rsid w:val="00BE1B36"/>
    <w:rsid w:val="00BE2572"/>
    <w:rsid w:val="00BE262E"/>
    <w:rsid w:val="00BE28B2"/>
    <w:rsid w:val="00BE2C47"/>
    <w:rsid w:val="00BE2E21"/>
    <w:rsid w:val="00BE3138"/>
    <w:rsid w:val="00BE3701"/>
    <w:rsid w:val="00BE4461"/>
    <w:rsid w:val="00BE57D1"/>
    <w:rsid w:val="00BE6850"/>
    <w:rsid w:val="00BF1717"/>
    <w:rsid w:val="00BF1CC6"/>
    <w:rsid w:val="00BF2882"/>
    <w:rsid w:val="00BF2E8D"/>
    <w:rsid w:val="00BF4869"/>
    <w:rsid w:val="00BF491F"/>
    <w:rsid w:val="00BF66B8"/>
    <w:rsid w:val="00BF7821"/>
    <w:rsid w:val="00BF799E"/>
    <w:rsid w:val="00C0036F"/>
    <w:rsid w:val="00C013ED"/>
    <w:rsid w:val="00C02A18"/>
    <w:rsid w:val="00C03AF3"/>
    <w:rsid w:val="00C040C0"/>
    <w:rsid w:val="00C04CCB"/>
    <w:rsid w:val="00C0597F"/>
    <w:rsid w:val="00C05AC5"/>
    <w:rsid w:val="00C05B8A"/>
    <w:rsid w:val="00C0660C"/>
    <w:rsid w:val="00C068DA"/>
    <w:rsid w:val="00C06F0E"/>
    <w:rsid w:val="00C074C2"/>
    <w:rsid w:val="00C15254"/>
    <w:rsid w:val="00C156AD"/>
    <w:rsid w:val="00C15895"/>
    <w:rsid w:val="00C15A9B"/>
    <w:rsid w:val="00C15C9E"/>
    <w:rsid w:val="00C16BD0"/>
    <w:rsid w:val="00C16CC3"/>
    <w:rsid w:val="00C170C1"/>
    <w:rsid w:val="00C172ED"/>
    <w:rsid w:val="00C174D3"/>
    <w:rsid w:val="00C2087D"/>
    <w:rsid w:val="00C20ADF"/>
    <w:rsid w:val="00C219BE"/>
    <w:rsid w:val="00C21F01"/>
    <w:rsid w:val="00C23102"/>
    <w:rsid w:val="00C232AF"/>
    <w:rsid w:val="00C242BE"/>
    <w:rsid w:val="00C246D9"/>
    <w:rsid w:val="00C25176"/>
    <w:rsid w:val="00C2532D"/>
    <w:rsid w:val="00C25B63"/>
    <w:rsid w:val="00C26DBD"/>
    <w:rsid w:val="00C2737F"/>
    <w:rsid w:val="00C2761E"/>
    <w:rsid w:val="00C27991"/>
    <w:rsid w:val="00C27D80"/>
    <w:rsid w:val="00C31773"/>
    <w:rsid w:val="00C31CC0"/>
    <w:rsid w:val="00C32106"/>
    <w:rsid w:val="00C3287C"/>
    <w:rsid w:val="00C3289F"/>
    <w:rsid w:val="00C34FA3"/>
    <w:rsid w:val="00C3517C"/>
    <w:rsid w:val="00C36179"/>
    <w:rsid w:val="00C3626C"/>
    <w:rsid w:val="00C36F78"/>
    <w:rsid w:val="00C37B37"/>
    <w:rsid w:val="00C403E8"/>
    <w:rsid w:val="00C41A8D"/>
    <w:rsid w:val="00C41D97"/>
    <w:rsid w:val="00C41DBC"/>
    <w:rsid w:val="00C42A25"/>
    <w:rsid w:val="00C43020"/>
    <w:rsid w:val="00C43DAB"/>
    <w:rsid w:val="00C45630"/>
    <w:rsid w:val="00C45860"/>
    <w:rsid w:val="00C46866"/>
    <w:rsid w:val="00C51C14"/>
    <w:rsid w:val="00C51CB9"/>
    <w:rsid w:val="00C53700"/>
    <w:rsid w:val="00C53C76"/>
    <w:rsid w:val="00C541B0"/>
    <w:rsid w:val="00C55734"/>
    <w:rsid w:val="00C563E1"/>
    <w:rsid w:val="00C574EF"/>
    <w:rsid w:val="00C57773"/>
    <w:rsid w:val="00C60873"/>
    <w:rsid w:val="00C6112B"/>
    <w:rsid w:val="00C61BB7"/>
    <w:rsid w:val="00C61BEE"/>
    <w:rsid w:val="00C623A1"/>
    <w:rsid w:val="00C6391A"/>
    <w:rsid w:val="00C63CDC"/>
    <w:rsid w:val="00C64448"/>
    <w:rsid w:val="00C65095"/>
    <w:rsid w:val="00C658B1"/>
    <w:rsid w:val="00C6674F"/>
    <w:rsid w:val="00C7037A"/>
    <w:rsid w:val="00C7106E"/>
    <w:rsid w:val="00C738E5"/>
    <w:rsid w:val="00C73C98"/>
    <w:rsid w:val="00C74B60"/>
    <w:rsid w:val="00C75CFE"/>
    <w:rsid w:val="00C7613A"/>
    <w:rsid w:val="00C807B7"/>
    <w:rsid w:val="00C824B5"/>
    <w:rsid w:val="00C82D8B"/>
    <w:rsid w:val="00C83CE0"/>
    <w:rsid w:val="00C84002"/>
    <w:rsid w:val="00C8441B"/>
    <w:rsid w:val="00C84C17"/>
    <w:rsid w:val="00C85205"/>
    <w:rsid w:val="00C853F3"/>
    <w:rsid w:val="00C85935"/>
    <w:rsid w:val="00C865B8"/>
    <w:rsid w:val="00C9002C"/>
    <w:rsid w:val="00C900DC"/>
    <w:rsid w:val="00C904F2"/>
    <w:rsid w:val="00C9086A"/>
    <w:rsid w:val="00C908BE"/>
    <w:rsid w:val="00C90CD3"/>
    <w:rsid w:val="00C90EDD"/>
    <w:rsid w:val="00C912C6"/>
    <w:rsid w:val="00C9444D"/>
    <w:rsid w:val="00C957C9"/>
    <w:rsid w:val="00C970BB"/>
    <w:rsid w:val="00C9757F"/>
    <w:rsid w:val="00C9790D"/>
    <w:rsid w:val="00CA075B"/>
    <w:rsid w:val="00CA0DA3"/>
    <w:rsid w:val="00CA2524"/>
    <w:rsid w:val="00CA3102"/>
    <w:rsid w:val="00CA482C"/>
    <w:rsid w:val="00CA55E4"/>
    <w:rsid w:val="00CA5F2A"/>
    <w:rsid w:val="00CA6169"/>
    <w:rsid w:val="00CA6414"/>
    <w:rsid w:val="00CA64ED"/>
    <w:rsid w:val="00CA68B6"/>
    <w:rsid w:val="00CA76B2"/>
    <w:rsid w:val="00CA7788"/>
    <w:rsid w:val="00CB05AD"/>
    <w:rsid w:val="00CB0D56"/>
    <w:rsid w:val="00CB1E05"/>
    <w:rsid w:val="00CB2A87"/>
    <w:rsid w:val="00CB4453"/>
    <w:rsid w:val="00CB4F4E"/>
    <w:rsid w:val="00CB51D6"/>
    <w:rsid w:val="00CB5EC1"/>
    <w:rsid w:val="00CB6544"/>
    <w:rsid w:val="00CB6D0A"/>
    <w:rsid w:val="00CB7434"/>
    <w:rsid w:val="00CC014D"/>
    <w:rsid w:val="00CC1E1D"/>
    <w:rsid w:val="00CC3C31"/>
    <w:rsid w:val="00CC4272"/>
    <w:rsid w:val="00CC436E"/>
    <w:rsid w:val="00CC54AF"/>
    <w:rsid w:val="00CC74D4"/>
    <w:rsid w:val="00CC79BF"/>
    <w:rsid w:val="00CD140E"/>
    <w:rsid w:val="00CD142E"/>
    <w:rsid w:val="00CD20D4"/>
    <w:rsid w:val="00CD229C"/>
    <w:rsid w:val="00CD3161"/>
    <w:rsid w:val="00CD3AAB"/>
    <w:rsid w:val="00CD47DF"/>
    <w:rsid w:val="00CD52B2"/>
    <w:rsid w:val="00CD5882"/>
    <w:rsid w:val="00CD5936"/>
    <w:rsid w:val="00CD612C"/>
    <w:rsid w:val="00CD6B6A"/>
    <w:rsid w:val="00CE13FA"/>
    <w:rsid w:val="00CE1A50"/>
    <w:rsid w:val="00CE1AA1"/>
    <w:rsid w:val="00CE3FD9"/>
    <w:rsid w:val="00CE4724"/>
    <w:rsid w:val="00CE4EFF"/>
    <w:rsid w:val="00CE537F"/>
    <w:rsid w:val="00CE56F4"/>
    <w:rsid w:val="00CE6B02"/>
    <w:rsid w:val="00CE795F"/>
    <w:rsid w:val="00CF0D70"/>
    <w:rsid w:val="00CF11CF"/>
    <w:rsid w:val="00CF1451"/>
    <w:rsid w:val="00CF1939"/>
    <w:rsid w:val="00CF1A91"/>
    <w:rsid w:val="00CF20C0"/>
    <w:rsid w:val="00CF24EC"/>
    <w:rsid w:val="00CF2F2F"/>
    <w:rsid w:val="00CF39D4"/>
    <w:rsid w:val="00CF4423"/>
    <w:rsid w:val="00CF4A36"/>
    <w:rsid w:val="00CF5968"/>
    <w:rsid w:val="00CF61AE"/>
    <w:rsid w:val="00CF62B9"/>
    <w:rsid w:val="00CF67CB"/>
    <w:rsid w:val="00CFB46A"/>
    <w:rsid w:val="00D004D4"/>
    <w:rsid w:val="00D008BD"/>
    <w:rsid w:val="00D00C6E"/>
    <w:rsid w:val="00D038F8"/>
    <w:rsid w:val="00D03996"/>
    <w:rsid w:val="00D048C3"/>
    <w:rsid w:val="00D11039"/>
    <w:rsid w:val="00D11FAB"/>
    <w:rsid w:val="00D121AC"/>
    <w:rsid w:val="00D12897"/>
    <w:rsid w:val="00D128E1"/>
    <w:rsid w:val="00D12E13"/>
    <w:rsid w:val="00D12F27"/>
    <w:rsid w:val="00D136A8"/>
    <w:rsid w:val="00D13B8A"/>
    <w:rsid w:val="00D157EC"/>
    <w:rsid w:val="00D15AF7"/>
    <w:rsid w:val="00D1610F"/>
    <w:rsid w:val="00D172EF"/>
    <w:rsid w:val="00D17487"/>
    <w:rsid w:val="00D20093"/>
    <w:rsid w:val="00D20666"/>
    <w:rsid w:val="00D20FC5"/>
    <w:rsid w:val="00D22B76"/>
    <w:rsid w:val="00D22DB9"/>
    <w:rsid w:val="00D252F9"/>
    <w:rsid w:val="00D255A4"/>
    <w:rsid w:val="00D25E39"/>
    <w:rsid w:val="00D26640"/>
    <w:rsid w:val="00D27BE4"/>
    <w:rsid w:val="00D30401"/>
    <w:rsid w:val="00D3200C"/>
    <w:rsid w:val="00D32933"/>
    <w:rsid w:val="00D34E4A"/>
    <w:rsid w:val="00D35116"/>
    <w:rsid w:val="00D35175"/>
    <w:rsid w:val="00D351ED"/>
    <w:rsid w:val="00D35769"/>
    <w:rsid w:val="00D36B5D"/>
    <w:rsid w:val="00D36EC4"/>
    <w:rsid w:val="00D4065A"/>
    <w:rsid w:val="00D41AC3"/>
    <w:rsid w:val="00D42011"/>
    <w:rsid w:val="00D44F3A"/>
    <w:rsid w:val="00D452B3"/>
    <w:rsid w:val="00D467A0"/>
    <w:rsid w:val="00D470D3"/>
    <w:rsid w:val="00D47862"/>
    <w:rsid w:val="00D47F57"/>
    <w:rsid w:val="00D50040"/>
    <w:rsid w:val="00D518B4"/>
    <w:rsid w:val="00D51E44"/>
    <w:rsid w:val="00D52AA7"/>
    <w:rsid w:val="00D53116"/>
    <w:rsid w:val="00D53899"/>
    <w:rsid w:val="00D54351"/>
    <w:rsid w:val="00D5688F"/>
    <w:rsid w:val="00D60846"/>
    <w:rsid w:val="00D6093F"/>
    <w:rsid w:val="00D62D82"/>
    <w:rsid w:val="00D6346E"/>
    <w:rsid w:val="00D63BCE"/>
    <w:rsid w:val="00D6419F"/>
    <w:rsid w:val="00D65B18"/>
    <w:rsid w:val="00D66523"/>
    <w:rsid w:val="00D67B00"/>
    <w:rsid w:val="00D705DD"/>
    <w:rsid w:val="00D706BF"/>
    <w:rsid w:val="00D70E36"/>
    <w:rsid w:val="00D7128C"/>
    <w:rsid w:val="00D7177F"/>
    <w:rsid w:val="00D721EF"/>
    <w:rsid w:val="00D72247"/>
    <w:rsid w:val="00D727A6"/>
    <w:rsid w:val="00D736AD"/>
    <w:rsid w:val="00D73A4B"/>
    <w:rsid w:val="00D73D5A"/>
    <w:rsid w:val="00D73EF5"/>
    <w:rsid w:val="00D7483F"/>
    <w:rsid w:val="00D7557D"/>
    <w:rsid w:val="00D77C7D"/>
    <w:rsid w:val="00D80EE1"/>
    <w:rsid w:val="00D81E9E"/>
    <w:rsid w:val="00D8342D"/>
    <w:rsid w:val="00D8458D"/>
    <w:rsid w:val="00D85B82"/>
    <w:rsid w:val="00D86158"/>
    <w:rsid w:val="00D90230"/>
    <w:rsid w:val="00D90830"/>
    <w:rsid w:val="00D9245A"/>
    <w:rsid w:val="00D929FA"/>
    <w:rsid w:val="00D92FEB"/>
    <w:rsid w:val="00D935B7"/>
    <w:rsid w:val="00D967C2"/>
    <w:rsid w:val="00D967C8"/>
    <w:rsid w:val="00D97615"/>
    <w:rsid w:val="00DA1F39"/>
    <w:rsid w:val="00DA2D85"/>
    <w:rsid w:val="00DA5DE0"/>
    <w:rsid w:val="00DA5DFE"/>
    <w:rsid w:val="00DA5F7F"/>
    <w:rsid w:val="00DA6D4E"/>
    <w:rsid w:val="00DA7770"/>
    <w:rsid w:val="00DA7998"/>
    <w:rsid w:val="00DB0412"/>
    <w:rsid w:val="00DB3E01"/>
    <w:rsid w:val="00DB55CC"/>
    <w:rsid w:val="00DB5E88"/>
    <w:rsid w:val="00DB626E"/>
    <w:rsid w:val="00DB64F9"/>
    <w:rsid w:val="00DB67FF"/>
    <w:rsid w:val="00DB6939"/>
    <w:rsid w:val="00DB6ED7"/>
    <w:rsid w:val="00DB76BB"/>
    <w:rsid w:val="00DC0426"/>
    <w:rsid w:val="00DC1478"/>
    <w:rsid w:val="00DC248C"/>
    <w:rsid w:val="00DC2C63"/>
    <w:rsid w:val="00DC3E07"/>
    <w:rsid w:val="00DC435D"/>
    <w:rsid w:val="00DC4394"/>
    <w:rsid w:val="00DC536D"/>
    <w:rsid w:val="00DC5C46"/>
    <w:rsid w:val="00DC7082"/>
    <w:rsid w:val="00DD022A"/>
    <w:rsid w:val="00DD0B0A"/>
    <w:rsid w:val="00DD26CC"/>
    <w:rsid w:val="00DD36B6"/>
    <w:rsid w:val="00DD385A"/>
    <w:rsid w:val="00DD3CCC"/>
    <w:rsid w:val="00DD4E80"/>
    <w:rsid w:val="00DD52E9"/>
    <w:rsid w:val="00DD5592"/>
    <w:rsid w:val="00DD5E22"/>
    <w:rsid w:val="00DD5E5F"/>
    <w:rsid w:val="00DD6BB6"/>
    <w:rsid w:val="00DE0371"/>
    <w:rsid w:val="00DE06BC"/>
    <w:rsid w:val="00DE19B7"/>
    <w:rsid w:val="00DE1BE0"/>
    <w:rsid w:val="00DE275C"/>
    <w:rsid w:val="00DE3B9D"/>
    <w:rsid w:val="00DE6291"/>
    <w:rsid w:val="00DE7E08"/>
    <w:rsid w:val="00DF132C"/>
    <w:rsid w:val="00DF1E5A"/>
    <w:rsid w:val="00DF2D2B"/>
    <w:rsid w:val="00DF3796"/>
    <w:rsid w:val="00DF3C9E"/>
    <w:rsid w:val="00DF44CC"/>
    <w:rsid w:val="00DF585A"/>
    <w:rsid w:val="00DF7982"/>
    <w:rsid w:val="00E01250"/>
    <w:rsid w:val="00E02FEE"/>
    <w:rsid w:val="00E0405D"/>
    <w:rsid w:val="00E049FE"/>
    <w:rsid w:val="00E0554F"/>
    <w:rsid w:val="00E056B3"/>
    <w:rsid w:val="00E060F8"/>
    <w:rsid w:val="00E071C4"/>
    <w:rsid w:val="00E07253"/>
    <w:rsid w:val="00E105E7"/>
    <w:rsid w:val="00E11E6B"/>
    <w:rsid w:val="00E129DE"/>
    <w:rsid w:val="00E1359E"/>
    <w:rsid w:val="00E15330"/>
    <w:rsid w:val="00E15E0A"/>
    <w:rsid w:val="00E16043"/>
    <w:rsid w:val="00E1637B"/>
    <w:rsid w:val="00E175B1"/>
    <w:rsid w:val="00E20C6E"/>
    <w:rsid w:val="00E21184"/>
    <w:rsid w:val="00E21AF5"/>
    <w:rsid w:val="00E226FA"/>
    <w:rsid w:val="00E230C4"/>
    <w:rsid w:val="00E23B14"/>
    <w:rsid w:val="00E2405A"/>
    <w:rsid w:val="00E24206"/>
    <w:rsid w:val="00E24A2D"/>
    <w:rsid w:val="00E269C4"/>
    <w:rsid w:val="00E26DF7"/>
    <w:rsid w:val="00E275C6"/>
    <w:rsid w:val="00E27EFB"/>
    <w:rsid w:val="00E30EBA"/>
    <w:rsid w:val="00E31021"/>
    <w:rsid w:val="00E3223D"/>
    <w:rsid w:val="00E3313A"/>
    <w:rsid w:val="00E33427"/>
    <w:rsid w:val="00E34B9C"/>
    <w:rsid w:val="00E350B8"/>
    <w:rsid w:val="00E351E5"/>
    <w:rsid w:val="00E37136"/>
    <w:rsid w:val="00E3733D"/>
    <w:rsid w:val="00E40118"/>
    <w:rsid w:val="00E40B50"/>
    <w:rsid w:val="00E40F35"/>
    <w:rsid w:val="00E41240"/>
    <w:rsid w:val="00E42794"/>
    <w:rsid w:val="00E441C6"/>
    <w:rsid w:val="00E44B3C"/>
    <w:rsid w:val="00E44D18"/>
    <w:rsid w:val="00E45413"/>
    <w:rsid w:val="00E4597F"/>
    <w:rsid w:val="00E46570"/>
    <w:rsid w:val="00E46ACE"/>
    <w:rsid w:val="00E50346"/>
    <w:rsid w:val="00E50DC9"/>
    <w:rsid w:val="00E5370B"/>
    <w:rsid w:val="00E53F2A"/>
    <w:rsid w:val="00E54E06"/>
    <w:rsid w:val="00E56FAE"/>
    <w:rsid w:val="00E602F7"/>
    <w:rsid w:val="00E6032A"/>
    <w:rsid w:val="00E60E45"/>
    <w:rsid w:val="00E61B32"/>
    <w:rsid w:val="00E630D5"/>
    <w:rsid w:val="00E64EB5"/>
    <w:rsid w:val="00E65DDC"/>
    <w:rsid w:val="00E660B6"/>
    <w:rsid w:val="00E6707B"/>
    <w:rsid w:val="00E671BC"/>
    <w:rsid w:val="00E672DC"/>
    <w:rsid w:val="00E714CD"/>
    <w:rsid w:val="00E74B9F"/>
    <w:rsid w:val="00E75A8B"/>
    <w:rsid w:val="00E764BD"/>
    <w:rsid w:val="00E769A9"/>
    <w:rsid w:val="00E77486"/>
    <w:rsid w:val="00E779B4"/>
    <w:rsid w:val="00E8068A"/>
    <w:rsid w:val="00E80F8E"/>
    <w:rsid w:val="00E816B7"/>
    <w:rsid w:val="00E81775"/>
    <w:rsid w:val="00E82639"/>
    <w:rsid w:val="00E82976"/>
    <w:rsid w:val="00E830C3"/>
    <w:rsid w:val="00E83F63"/>
    <w:rsid w:val="00E83FBA"/>
    <w:rsid w:val="00E872C7"/>
    <w:rsid w:val="00E873B2"/>
    <w:rsid w:val="00E875BD"/>
    <w:rsid w:val="00E907F2"/>
    <w:rsid w:val="00E91854"/>
    <w:rsid w:val="00E9193B"/>
    <w:rsid w:val="00E92348"/>
    <w:rsid w:val="00E923D0"/>
    <w:rsid w:val="00E930D0"/>
    <w:rsid w:val="00E93F77"/>
    <w:rsid w:val="00E9433D"/>
    <w:rsid w:val="00E94450"/>
    <w:rsid w:val="00E94C6E"/>
    <w:rsid w:val="00E96BCC"/>
    <w:rsid w:val="00E97037"/>
    <w:rsid w:val="00EA0C21"/>
    <w:rsid w:val="00EA1109"/>
    <w:rsid w:val="00EA1413"/>
    <w:rsid w:val="00EA1616"/>
    <w:rsid w:val="00EA243E"/>
    <w:rsid w:val="00EA28D8"/>
    <w:rsid w:val="00EA3C51"/>
    <w:rsid w:val="00EA4BC6"/>
    <w:rsid w:val="00EA643D"/>
    <w:rsid w:val="00EA65CD"/>
    <w:rsid w:val="00EA6B7F"/>
    <w:rsid w:val="00EA767F"/>
    <w:rsid w:val="00EA79F9"/>
    <w:rsid w:val="00EA7D09"/>
    <w:rsid w:val="00EB0607"/>
    <w:rsid w:val="00EB07D8"/>
    <w:rsid w:val="00EB1EA7"/>
    <w:rsid w:val="00EB2ED7"/>
    <w:rsid w:val="00EB34D0"/>
    <w:rsid w:val="00EB40E1"/>
    <w:rsid w:val="00EB4A4A"/>
    <w:rsid w:val="00EB5121"/>
    <w:rsid w:val="00EB527B"/>
    <w:rsid w:val="00EB5F47"/>
    <w:rsid w:val="00EB5FA7"/>
    <w:rsid w:val="00EC0A98"/>
    <w:rsid w:val="00EC0EEF"/>
    <w:rsid w:val="00EC1248"/>
    <w:rsid w:val="00EC15DC"/>
    <w:rsid w:val="00EC351C"/>
    <w:rsid w:val="00EC3758"/>
    <w:rsid w:val="00EC41A9"/>
    <w:rsid w:val="00EC462E"/>
    <w:rsid w:val="00EC4F29"/>
    <w:rsid w:val="00EC63DF"/>
    <w:rsid w:val="00ED0113"/>
    <w:rsid w:val="00ED183A"/>
    <w:rsid w:val="00ED1B3B"/>
    <w:rsid w:val="00ED2DBC"/>
    <w:rsid w:val="00ED3C15"/>
    <w:rsid w:val="00ED4369"/>
    <w:rsid w:val="00ED466F"/>
    <w:rsid w:val="00ED4C2B"/>
    <w:rsid w:val="00ED4D01"/>
    <w:rsid w:val="00ED770F"/>
    <w:rsid w:val="00EE0128"/>
    <w:rsid w:val="00EE02A8"/>
    <w:rsid w:val="00EE0944"/>
    <w:rsid w:val="00EE14A2"/>
    <w:rsid w:val="00EE2443"/>
    <w:rsid w:val="00EE32B7"/>
    <w:rsid w:val="00EE386C"/>
    <w:rsid w:val="00EE3C56"/>
    <w:rsid w:val="00EE4675"/>
    <w:rsid w:val="00EE7F7B"/>
    <w:rsid w:val="00EF0A84"/>
    <w:rsid w:val="00EF0D0A"/>
    <w:rsid w:val="00EF1389"/>
    <w:rsid w:val="00EF14BD"/>
    <w:rsid w:val="00EF195C"/>
    <w:rsid w:val="00EF1CA2"/>
    <w:rsid w:val="00EF218A"/>
    <w:rsid w:val="00EF23DE"/>
    <w:rsid w:val="00EF2E36"/>
    <w:rsid w:val="00EF4477"/>
    <w:rsid w:val="00EF6D45"/>
    <w:rsid w:val="00EF6D7D"/>
    <w:rsid w:val="00EF78DC"/>
    <w:rsid w:val="00EF7A12"/>
    <w:rsid w:val="00F008A3"/>
    <w:rsid w:val="00F01B20"/>
    <w:rsid w:val="00F021C1"/>
    <w:rsid w:val="00F02264"/>
    <w:rsid w:val="00F041AD"/>
    <w:rsid w:val="00F05DB9"/>
    <w:rsid w:val="00F06EBF"/>
    <w:rsid w:val="00F10738"/>
    <w:rsid w:val="00F11496"/>
    <w:rsid w:val="00F11C85"/>
    <w:rsid w:val="00F13039"/>
    <w:rsid w:val="00F1413C"/>
    <w:rsid w:val="00F142A6"/>
    <w:rsid w:val="00F142BA"/>
    <w:rsid w:val="00F143E6"/>
    <w:rsid w:val="00F146AD"/>
    <w:rsid w:val="00F14AE0"/>
    <w:rsid w:val="00F15084"/>
    <w:rsid w:val="00F16B15"/>
    <w:rsid w:val="00F16D2F"/>
    <w:rsid w:val="00F16F45"/>
    <w:rsid w:val="00F171B4"/>
    <w:rsid w:val="00F17483"/>
    <w:rsid w:val="00F207E9"/>
    <w:rsid w:val="00F22CD2"/>
    <w:rsid w:val="00F234FC"/>
    <w:rsid w:val="00F23ABE"/>
    <w:rsid w:val="00F23D41"/>
    <w:rsid w:val="00F246EE"/>
    <w:rsid w:val="00F26799"/>
    <w:rsid w:val="00F270E6"/>
    <w:rsid w:val="00F30C72"/>
    <w:rsid w:val="00F3427D"/>
    <w:rsid w:val="00F34C73"/>
    <w:rsid w:val="00F35693"/>
    <w:rsid w:val="00F36860"/>
    <w:rsid w:val="00F37346"/>
    <w:rsid w:val="00F374C5"/>
    <w:rsid w:val="00F3768B"/>
    <w:rsid w:val="00F407E1"/>
    <w:rsid w:val="00F40D27"/>
    <w:rsid w:val="00F41217"/>
    <w:rsid w:val="00F41619"/>
    <w:rsid w:val="00F419AD"/>
    <w:rsid w:val="00F41DCF"/>
    <w:rsid w:val="00F41E13"/>
    <w:rsid w:val="00F42D67"/>
    <w:rsid w:val="00F43F38"/>
    <w:rsid w:val="00F44240"/>
    <w:rsid w:val="00F44542"/>
    <w:rsid w:val="00F45477"/>
    <w:rsid w:val="00F46747"/>
    <w:rsid w:val="00F47693"/>
    <w:rsid w:val="00F47ABC"/>
    <w:rsid w:val="00F47ED4"/>
    <w:rsid w:val="00F50142"/>
    <w:rsid w:val="00F504DB"/>
    <w:rsid w:val="00F50676"/>
    <w:rsid w:val="00F507D3"/>
    <w:rsid w:val="00F51EDF"/>
    <w:rsid w:val="00F52821"/>
    <w:rsid w:val="00F5316E"/>
    <w:rsid w:val="00F54B00"/>
    <w:rsid w:val="00F57755"/>
    <w:rsid w:val="00F60155"/>
    <w:rsid w:val="00F6050C"/>
    <w:rsid w:val="00F607B7"/>
    <w:rsid w:val="00F60EFF"/>
    <w:rsid w:val="00F61495"/>
    <w:rsid w:val="00F61BE4"/>
    <w:rsid w:val="00F65592"/>
    <w:rsid w:val="00F6703E"/>
    <w:rsid w:val="00F70451"/>
    <w:rsid w:val="00F70473"/>
    <w:rsid w:val="00F708A6"/>
    <w:rsid w:val="00F72A42"/>
    <w:rsid w:val="00F73053"/>
    <w:rsid w:val="00F747D6"/>
    <w:rsid w:val="00F75915"/>
    <w:rsid w:val="00F76075"/>
    <w:rsid w:val="00F7681A"/>
    <w:rsid w:val="00F76C52"/>
    <w:rsid w:val="00F77A7F"/>
    <w:rsid w:val="00F80703"/>
    <w:rsid w:val="00F81E42"/>
    <w:rsid w:val="00F833AC"/>
    <w:rsid w:val="00F8406C"/>
    <w:rsid w:val="00F8479C"/>
    <w:rsid w:val="00F849E7"/>
    <w:rsid w:val="00F84C25"/>
    <w:rsid w:val="00F858CE"/>
    <w:rsid w:val="00F86323"/>
    <w:rsid w:val="00F86690"/>
    <w:rsid w:val="00F86D6B"/>
    <w:rsid w:val="00F87828"/>
    <w:rsid w:val="00F87BB0"/>
    <w:rsid w:val="00F9006D"/>
    <w:rsid w:val="00F90FC8"/>
    <w:rsid w:val="00F91C6C"/>
    <w:rsid w:val="00F93294"/>
    <w:rsid w:val="00F9405D"/>
    <w:rsid w:val="00F94270"/>
    <w:rsid w:val="00F94EBF"/>
    <w:rsid w:val="00F95BFA"/>
    <w:rsid w:val="00F95D11"/>
    <w:rsid w:val="00F967EF"/>
    <w:rsid w:val="00F970F4"/>
    <w:rsid w:val="00F979A2"/>
    <w:rsid w:val="00FA29BD"/>
    <w:rsid w:val="00FA3664"/>
    <w:rsid w:val="00FA39FF"/>
    <w:rsid w:val="00FA4076"/>
    <w:rsid w:val="00FA57B9"/>
    <w:rsid w:val="00FA7A67"/>
    <w:rsid w:val="00FB0ABB"/>
    <w:rsid w:val="00FB0C09"/>
    <w:rsid w:val="00FB13C3"/>
    <w:rsid w:val="00FB221B"/>
    <w:rsid w:val="00FB22A6"/>
    <w:rsid w:val="00FB4E90"/>
    <w:rsid w:val="00FB55E3"/>
    <w:rsid w:val="00FB6F6D"/>
    <w:rsid w:val="00FB7091"/>
    <w:rsid w:val="00FB74B0"/>
    <w:rsid w:val="00FB77CF"/>
    <w:rsid w:val="00FC31D4"/>
    <w:rsid w:val="00FC4C62"/>
    <w:rsid w:val="00FC64FD"/>
    <w:rsid w:val="00FC6BD9"/>
    <w:rsid w:val="00FC714D"/>
    <w:rsid w:val="00FD0454"/>
    <w:rsid w:val="00FD0615"/>
    <w:rsid w:val="00FD0663"/>
    <w:rsid w:val="00FD06F9"/>
    <w:rsid w:val="00FD23F8"/>
    <w:rsid w:val="00FD29F5"/>
    <w:rsid w:val="00FD2B35"/>
    <w:rsid w:val="00FD2D81"/>
    <w:rsid w:val="00FD5F94"/>
    <w:rsid w:val="00FD72EA"/>
    <w:rsid w:val="00FD7E87"/>
    <w:rsid w:val="00FE2105"/>
    <w:rsid w:val="00FE2510"/>
    <w:rsid w:val="00FE2739"/>
    <w:rsid w:val="00FE27DA"/>
    <w:rsid w:val="00FE3440"/>
    <w:rsid w:val="00FE358E"/>
    <w:rsid w:val="00FE3AD5"/>
    <w:rsid w:val="00FE3EC1"/>
    <w:rsid w:val="00FE4595"/>
    <w:rsid w:val="00FE4715"/>
    <w:rsid w:val="00FE5789"/>
    <w:rsid w:val="00FE7394"/>
    <w:rsid w:val="00FF05AC"/>
    <w:rsid w:val="00FF09EE"/>
    <w:rsid w:val="00FF0DBA"/>
    <w:rsid w:val="00FF2336"/>
    <w:rsid w:val="00FF4F12"/>
    <w:rsid w:val="00FF5669"/>
    <w:rsid w:val="00FF571D"/>
    <w:rsid w:val="00FF6C0B"/>
    <w:rsid w:val="00FF6E9E"/>
    <w:rsid w:val="00FF7D8B"/>
    <w:rsid w:val="01570FD4"/>
    <w:rsid w:val="0210C85A"/>
    <w:rsid w:val="024572D3"/>
    <w:rsid w:val="02FAE7DA"/>
    <w:rsid w:val="032F1E67"/>
    <w:rsid w:val="03344F7C"/>
    <w:rsid w:val="035F13DE"/>
    <w:rsid w:val="03BBB7F6"/>
    <w:rsid w:val="03DF1EEB"/>
    <w:rsid w:val="03ECF4C6"/>
    <w:rsid w:val="0478D4EC"/>
    <w:rsid w:val="055E1FF9"/>
    <w:rsid w:val="0563684B"/>
    <w:rsid w:val="057A01A5"/>
    <w:rsid w:val="05A0AE62"/>
    <w:rsid w:val="05B5CD54"/>
    <w:rsid w:val="05BCE2D3"/>
    <w:rsid w:val="05CBEFBD"/>
    <w:rsid w:val="05E54D31"/>
    <w:rsid w:val="06AC5941"/>
    <w:rsid w:val="06B9EE89"/>
    <w:rsid w:val="06DDB5BD"/>
    <w:rsid w:val="07455C54"/>
    <w:rsid w:val="07F2F26C"/>
    <w:rsid w:val="080BD63B"/>
    <w:rsid w:val="0855BEEA"/>
    <w:rsid w:val="086950F7"/>
    <w:rsid w:val="08EBB992"/>
    <w:rsid w:val="09025DD6"/>
    <w:rsid w:val="0A162022"/>
    <w:rsid w:val="0A39F126"/>
    <w:rsid w:val="0A6A743E"/>
    <w:rsid w:val="0B2E5176"/>
    <w:rsid w:val="0B5B5DBA"/>
    <w:rsid w:val="0B91C751"/>
    <w:rsid w:val="0BA3F59C"/>
    <w:rsid w:val="0BED0E86"/>
    <w:rsid w:val="0BEFED0B"/>
    <w:rsid w:val="0BF84215"/>
    <w:rsid w:val="0C30DF60"/>
    <w:rsid w:val="0C36C8E7"/>
    <w:rsid w:val="0D57C1D5"/>
    <w:rsid w:val="0D5EEF6D"/>
    <w:rsid w:val="0D6FE590"/>
    <w:rsid w:val="0E60CF81"/>
    <w:rsid w:val="0E8F229C"/>
    <w:rsid w:val="0EA1A409"/>
    <w:rsid w:val="0F358D45"/>
    <w:rsid w:val="0F4FEFD8"/>
    <w:rsid w:val="0F8F23A3"/>
    <w:rsid w:val="0FCEC082"/>
    <w:rsid w:val="0FE635FE"/>
    <w:rsid w:val="101617FA"/>
    <w:rsid w:val="11200588"/>
    <w:rsid w:val="1162FFCF"/>
    <w:rsid w:val="118C2A6A"/>
    <w:rsid w:val="11F298EA"/>
    <w:rsid w:val="125AC254"/>
    <w:rsid w:val="1293E09C"/>
    <w:rsid w:val="12BD3B7A"/>
    <w:rsid w:val="12D319DD"/>
    <w:rsid w:val="131234B3"/>
    <w:rsid w:val="139CEEED"/>
    <w:rsid w:val="13D748F4"/>
    <w:rsid w:val="143F908E"/>
    <w:rsid w:val="1451F216"/>
    <w:rsid w:val="14534181"/>
    <w:rsid w:val="14C05273"/>
    <w:rsid w:val="14DD5B31"/>
    <w:rsid w:val="14F8911E"/>
    <w:rsid w:val="1512EABE"/>
    <w:rsid w:val="1620FC60"/>
    <w:rsid w:val="1675C21F"/>
    <w:rsid w:val="1681484E"/>
    <w:rsid w:val="16DC1179"/>
    <w:rsid w:val="16DF3D59"/>
    <w:rsid w:val="1741A9F6"/>
    <w:rsid w:val="17F66940"/>
    <w:rsid w:val="188DA8B7"/>
    <w:rsid w:val="18FEC44B"/>
    <w:rsid w:val="190738FE"/>
    <w:rsid w:val="192CF1BC"/>
    <w:rsid w:val="19D4AE5B"/>
    <w:rsid w:val="1A834996"/>
    <w:rsid w:val="1AA40B89"/>
    <w:rsid w:val="1AA5EFB2"/>
    <w:rsid w:val="1B10DDE7"/>
    <w:rsid w:val="1BC9A995"/>
    <w:rsid w:val="1BD5CB1D"/>
    <w:rsid w:val="1C3EC8ED"/>
    <w:rsid w:val="1C5F554F"/>
    <w:rsid w:val="1CBE0312"/>
    <w:rsid w:val="1D0B2F0F"/>
    <w:rsid w:val="1D3538AF"/>
    <w:rsid w:val="1D68F325"/>
    <w:rsid w:val="1DD6C03D"/>
    <w:rsid w:val="1DEEE717"/>
    <w:rsid w:val="1E4ED485"/>
    <w:rsid w:val="1E9597EE"/>
    <w:rsid w:val="1E96462A"/>
    <w:rsid w:val="1EAAF139"/>
    <w:rsid w:val="1EC16D98"/>
    <w:rsid w:val="1ED40517"/>
    <w:rsid w:val="1F1C6DEB"/>
    <w:rsid w:val="1F2C64FC"/>
    <w:rsid w:val="1FD025C6"/>
    <w:rsid w:val="1FD2676D"/>
    <w:rsid w:val="1FF4A310"/>
    <w:rsid w:val="201E76E7"/>
    <w:rsid w:val="204BB976"/>
    <w:rsid w:val="20C4BF5B"/>
    <w:rsid w:val="211C87C8"/>
    <w:rsid w:val="21393C6D"/>
    <w:rsid w:val="216E37CE"/>
    <w:rsid w:val="21965D86"/>
    <w:rsid w:val="228D363E"/>
    <w:rsid w:val="230B1646"/>
    <w:rsid w:val="237454B1"/>
    <w:rsid w:val="2376DBE2"/>
    <w:rsid w:val="23B44839"/>
    <w:rsid w:val="23D68217"/>
    <w:rsid w:val="243CA6B6"/>
    <w:rsid w:val="25349546"/>
    <w:rsid w:val="25845D13"/>
    <w:rsid w:val="2598055E"/>
    <w:rsid w:val="25B1C4E6"/>
    <w:rsid w:val="25E1791E"/>
    <w:rsid w:val="260C258F"/>
    <w:rsid w:val="2622B237"/>
    <w:rsid w:val="263B1196"/>
    <w:rsid w:val="26641E32"/>
    <w:rsid w:val="26A515C9"/>
    <w:rsid w:val="26D065A7"/>
    <w:rsid w:val="26F181F7"/>
    <w:rsid w:val="27088295"/>
    <w:rsid w:val="273CE7B6"/>
    <w:rsid w:val="277517D5"/>
    <w:rsid w:val="27AAF748"/>
    <w:rsid w:val="27C4E968"/>
    <w:rsid w:val="27C52E54"/>
    <w:rsid w:val="27E34AA8"/>
    <w:rsid w:val="27FD1E33"/>
    <w:rsid w:val="2876367F"/>
    <w:rsid w:val="287954BC"/>
    <w:rsid w:val="291D926F"/>
    <w:rsid w:val="2A80221F"/>
    <w:rsid w:val="2A9624E1"/>
    <w:rsid w:val="2AC303BF"/>
    <w:rsid w:val="2C04E90A"/>
    <w:rsid w:val="2C0C9879"/>
    <w:rsid w:val="2CFCA452"/>
    <w:rsid w:val="2D8F8A12"/>
    <w:rsid w:val="2DA3D51B"/>
    <w:rsid w:val="2DE8CDE3"/>
    <w:rsid w:val="2E0A4A00"/>
    <w:rsid w:val="2E234BD0"/>
    <w:rsid w:val="2E5DD7D8"/>
    <w:rsid w:val="2E8494B6"/>
    <w:rsid w:val="2EEDC7A0"/>
    <w:rsid w:val="2F455428"/>
    <w:rsid w:val="2F6DCE72"/>
    <w:rsid w:val="2FB41069"/>
    <w:rsid w:val="2FF0DC07"/>
    <w:rsid w:val="3025CE16"/>
    <w:rsid w:val="3028105F"/>
    <w:rsid w:val="30A80A58"/>
    <w:rsid w:val="30B05013"/>
    <w:rsid w:val="315C24A8"/>
    <w:rsid w:val="317154B9"/>
    <w:rsid w:val="317336EC"/>
    <w:rsid w:val="31D81CC8"/>
    <w:rsid w:val="32299261"/>
    <w:rsid w:val="3232E0E6"/>
    <w:rsid w:val="32496068"/>
    <w:rsid w:val="329B7295"/>
    <w:rsid w:val="329C669C"/>
    <w:rsid w:val="32BDCF2A"/>
    <w:rsid w:val="32CE1449"/>
    <w:rsid w:val="32ECAC3C"/>
    <w:rsid w:val="33471F8E"/>
    <w:rsid w:val="3395C052"/>
    <w:rsid w:val="339AE692"/>
    <w:rsid w:val="339B30FD"/>
    <w:rsid w:val="340F0156"/>
    <w:rsid w:val="341C043E"/>
    <w:rsid w:val="3422BE0C"/>
    <w:rsid w:val="3423693F"/>
    <w:rsid w:val="34B3CE4C"/>
    <w:rsid w:val="34C0EA53"/>
    <w:rsid w:val="354332E3"/>
    <w:rsid w:val="3545ED32"/>
    <w:rsid w:val="355F5426"/>
    <w:rsid w:val="35656A21"/>
    <w:rsid w:val="361B26DF"/>
    <w:rsid w:val="36287444"/>
    <w:rsid w:val="362F913A"/>
    <w:rsid w:val="3636E032"/>
    <w:rsid w:val="365C1BF5"/>
    <w:rsid w:val="36BFF758"/>
    <w:rsid w:val="36CF01D8"/>
    <w:rsid w:val="36D05DC0"/>
    <w:rsid w:val="36F79FB0"/>
    <w:rsid w:val="36FE5BE0"/>
    <w:rsid w:val="371223C2"/>
    <w:rsid w:val="3738E7E8"/>
    <w:rsid w:val="37B237FA"/>
    <w:rsid w:val="3819A783"/>
    <w:rsid w:val="38B45C99"/>
    <w:rsid w:val="38BDF184"/>
    <w:rsid w:val="38CB7FA0"/>
    <w:rsid w:val="38E130D7"/>
    <w:rsid w:val="393DA2BB"/>
    <w:rsid w:val="398830F2"/>
    <w:rsid w:val="39D5E091"/>
    <w:rsid w:val="39E0E3F6"/>
    <w:rsid w:val="3A446FFD"/>
    <w:rsid w:val="3AE96686"/>
    <w:rsid w:val="3B456B01"/>
    <w:rsid w:val="3B7D787D"/>
    <w:rsid w:val="3BB57452"/>
    <w:rsid w:val="3BD23A78"/>
    <w:rsid w:val="3C6D930F"/>
    <w:rsid w:val="3CE24CD3"/>
    <w:rsid w:val="3CE2A69E"/>
    <w:rsid w:val="3CEC3561"/>
    <w:rsid w:val="3D63C381"/>
    <w:rsid w:val="3E00186F"/>
    <w:rsid w:val="3E0261FE"/>
    <w:rsid w:val="3EBD8DAF"/>
    <w:rsid w:val="3ED5B9C6"/>
    <w:rsid w:val="3EDCCB60"/>
    <w:rsid w:val="3F27A9CC"/>
    <w:rsid w:val="3F66FBA6"/>
    <w:rsid w:val="3FA4AF13"/>
    <w:rsid w:val="4008335A"/>
    <w:rsid w:val="4025588F"/>
    <w:rsid w:val="405996F6"/>
    <w:rsid w:val="407838BB"/>
    <w:rsid w:val="407953D5"/>
    <w:rsid w:val="41B8DAAA"/>
    <w:rsid w:val="421919E0"/>
    <w:rsid w:val="424349E8"/>
    <w:rsid w:val="4274B551"/>
    <w:rsid w:val="42C85761"/>
    <w:rsid w:val="43AB18DD"/>
    <w:rsid w:val="43B07DC8"/>
    <w:rsid w:val="44592407"/>
    <w:rsid w:val="44B8080E"/>
    <w:rsid w:val="44E1ED27"/>
    <w:rsid w:val="44E9856B"/>
    <w:rsid w:val="451A5797"/>
    <w:rsid w:val="45471D49"/>
    <w:rsid w:val="45606D09"/>
    <w:rsid w:val="45AB80E8"/>
    <w:rsid w:val="45E02541"/>
    <w:rsid w:val="4661C2B2"/>
    <w:rsid w:val="46A7AA81"/>
    <w:rsid w:val="4720964C"/>
    <w:rsid w:val="474DBDA4"/>
    <w:rsid w:val="47A65282"/>
    <w:rsid w:val="47E6E2EA"/>
    <w:rsid w:val="4804F4F8"/>
    <w:rsid w:val="48291B6B"/>
    <w:rsid w:val="489F6467"/>
    <w:rsid w:val="48BB4835"/>
    <w:rsid w:val="49356A6E"/>
    <w:rsid w:val="498F136B"/>
    <w:rsid w:val="49EF9638"/>
    <w:rsid w:val="4A43A37A"/>
    <w:rsid w:val="4A7B140F"/>
    <w:rsid w:val="4B00D3F4"/>
    <w:rsid w:val="4B9E7A79"/>
    <w:rsid w:val="4BD76F16"/>
    <w:rsid w:val="4BDD3F4F"/>
    <w:rsid w:val="4CBFF6AA"/>
    <w:rsid w:val="4CEFB27C"/>
    <w:rsid w:val="4D874AB6"/>
    <w:rsid w:val="4DFB67B5"/>
    <w:rsid w:val="4E3B0985"/>
    <w:rsid w:val="4EF87A3A"/>
    <w:rsid w:val="4F33012E"/>
    <w:rsid w:val="4FC13E64"/>
    <w:rsid w:val="4FEE7971"/>
    <w:rsid w:val="5010F03D"/>
    <w:rsid w:val="502C9F36"/>
    <w:rsid w:val="5040B788"/>
    <w:rsid w:val="5051E4B9"/>
    <w:rsid w:val="50632A28"/>
    <w:rsid w:val="50701A4A"/>
    <w:rsid w:val="5087B1CC"/>
    <w:rsid w:val="51299990"/>
    <w:rsid w:val="514C04B0"/>
    <w:rsid w:val="514D91B4"/>
    <w:rsid w:val="51A16E0F"/>
    <w:rsid w:val="51E96727"/>
    <w:rsid w:val="529FC52C"/>
    <w:rsid w:val="52D69389"/>
    <w:rsid w:val="52E16B92"/>
    <w:rsid w:val="52F826B2"/>
    <w:rsid w:val="5315FA12"/>
    <w:rsid w:val="532CCF21"/>
    <w:rsid w:val="5374B3DB"/>
    <w:rsid w:val="539BC61D"/>
    <w:rsid w:val="541BBBD3"/>
    <w:rsid w:val="54320BFA"/>
    <w:rsid w:val="54510CC8"/>
    <w:rsid w:val="54AE0F2E"/>
    <w:rsid w:val="54C5791F"/>
    <w:rsid w:val="54DA506E"/>
    <w:rsid w:val="54FE31A0"/>
    <w:rsid w:val="5516C193"/>
    <w:rsid w:val="55B0A5AB"/>
    <w:rsid w:val="55C60E1C"/>
    <w:rsid w:val="563D087C"/>
    <w:rsid w:val="564230F4"/>
    <w:rsid w:val="56507C0A"/>
    <w:rsid w:val="56BB0D55"/>
    <w:rsid w:val="57355055"/>
    <w:rsid w:val="574DD69D"/>
    <w:rsid w:val="58008229"/>
    <w:rsid w:val="58193222"/>
    <w:rsid w:val="5874BDB1"/>
    <w:rsid w:val="588892D0"/>
    <w:rsid w:val="58A145FD"/>
    <w:rsid w:val="58A1D648"/>
    <w:rsid w:val="58AA44FD"/>
    <w:rsid w:val="58E55C73"/>
    <w:rsid w:val="591A6BD0"/>
    <w:rsid w:val="5925780E"/>
    <w:rsid w:val="59308849"/>
    <w:rsid w:val="59826EB6"/>
    <w:rsid w:val="5A5F9570"/>
    <w:rsid w:val="5B370D73"/>
    <w:rsid w:val="5B3AEFBE"/>
    <w:rsid w:val="5BA40F88"/>
    <w:rsid w:val="5C84562F"/>
    <w:rsid w:val="5CC0E045"/>
    <w:rsid w:val="5CC6113D"/>
    <w:rsid w:val="5CD4E53C"/>
    <w:rsid w:val="5CD6CD63"/>
    <w:rsid w:val="5D13F49E"/>
    <w:rsid w:val="5DDDD882"/>
    <w:rsid w:val="5DFD19F5"/>
    <w:rsid w:val="5EA75580"/>
    <w:rsid w:val="5EF9F571"/>
    <w:rsid w:val="5F88D5E6"/>
    <w:rsid w:val="5FDDE72F"/>
    <w:rsid w:val="5FF2EAD8"/>
    <w:rsid w:val="60B03E17"/>
    <w:rsid w:val="6164DFD8"/>
    <w:rsid w:val="6183D3D8"/>
    <w:rsid w:val="6194AF06"/>
    <w:rsid w:val="61A44EEF"/>
    <w:rsid w:val="62666811"/>
    <w:rsid w:val="62AC731D"/>
    <w:rsid w:val="62EA9A33"/>
    <w:rsid w:val="631FA439"/>
    <w:rsid w:val="632CD68B"/>
    <w:rsid w:val="63977C06"/>
    <w:rsid w:val="6398162A"/>
    <w:rsid w:val="63FA80D0"/>
    <w:rsid w:val="63FEDF53"/>
    <w:rsid w:val="64A3DAFF"/>
    <w:rsid w:val="64E0452C"/>
    <w:rsid w:val="65001261"/>
    <w:rsid w:val="650F763A"/>
    <w:rsid w:val="6580DB02"/>
    <w:rsid w:val="65BD916C"/>
    <w:rsid w:val="65C9C7C6"/>
    <w:rsid w:val="66B273D8"/>
    <w:rsid w:val="66BF87AD"/>
    <w:rsid w:val="675CB973"/>
    <w:rsid w:val="6762CEF8"/>
    <w:rsid w:val="6777A647"/>
    <w:rsid w:val="6844A172"/>
    <w:rsid w:val="68886BA3"/>
    <w:rsid w:val="68B5ECDC"/>
    <w:rsid w:val="68D85A50"/>
    <w:rsid w:val="68F6B9EA"/>
    <w:rsid w:val="691870E3"/>
    <w:rsid w:val="6933894B"/>
    <w:rsid w:val="69C4296C"/>
    <w:rsid w:val="69E2F7D5"/>
    <w:rsid w:val="6A36936D"/>
    <w:rsid w:val="6A93C898"/>
    <w:rsid w:val="6A98E33F"/>
    <w:rsid w:val="6AA2B092"/>
    <w:rsid w:val="6AAF5ED0"/>
    <w:rsid w:val="6AEC72E1"/>
    <w:rsid w:val="6AF57F17"/>
    <w:rsid w:val="6B03E6C3"/>
    <w:rsid w:val="6B099F10"/>
    <w:rsid w:val="6C883036"/>
    <w:rsid w:val="6C8ACCB6"/>
    <w:rsid w:val="6C962181"/>
    <w:rsid w:val="6CD6AEEC"/>
    <w:rsid w:val="6D37C1A9"/>
    <w:rsid w:val="6D6E342F"/>
    <w:rsid w:val="6E49C42C"/>
    <w:rsid w:val="6F00F289"/>
    <w:rsid w:val="6F07972E"/>
    <w:rsid w:val="6F256AF7"/>
    <w:rsid w:val="6F4D6A89"/>
    <w:rsid w:val="6FCFB8EE"/>
    <w:rsid w:val="702C9BB4"/>
    <w:rsid w:val="70379DA3"/>
    <w:rsid w:val="70EB355C"/>
    <w:rsid w:val="71062D9C"/>
    <w:rsid w:val="7114EB42"/>
    <w:rsid w:val="7121B862"/>
    <w:rsid w:val="7172FF6F"/>
    <w:rsid w:val="7176BCE9"/>
    <w:rsid w:val="7220FBFB"/>
    <w:rsid w:val="728459CF"/>
    <w:rsid w:val="72851735"/>
    <w:rsid w:val="72C30C3A"/>
    <w:rsid w:val="72C8E426"/>
    <w:rsid w:val="73008D63"/>
    <w:rsid w:val="73161E12"/>
    <w:rsid w:val="7318777A"/>
    <w:rsid w:val="73252E7C"/>
    <w:rsid w:val="734AB8ED"/>
    <w:rsid w:val="73E55BC8"/>
    <w:rsid w:val="7431DE88"/>
    <w:rsid w:val="746FFB45"/>
    <w:rsid w:val="75000CD7"/>
    <w:rsid w:val="75223D36"/>
    <w:rsid w:val="7570B47D"/>
    <w:rsid w:val="75872003"/>
    <w:rsid w:val="76176ED2"/>
    <w:rsid w:val="76430B04"/>
    <w:rsid w:val="768C4A3F"/>
    <w:rsid w:val="76B64CE9"/>
    <w:rsid w:val="77220747"/>
    <w:rsid w:val="77570E27"/>
    <w:rsid w:val="776AA513"/>
    <w:rsid w:val="778BD2E4"/>
    <w:rsid w:val="77E8D088"/>
    <w:rsid w:val="781FD0D2"/>
    <w:rsid w:val="786797C4"/>
    <w:rsid w:val="7911D1CE"/>
    <w:rsid w:val="79EFE288"/>
    <w:rsid w:val="7A1442CA"/>
    <w:rsid w:val="7A4296AB"/>
    <w:rsid w:val="7A9A5088"/>
    <w:rsid w:val="7B508F12"/>
    <w:rsid w:val="7B7F0054"/>
    <w:rsid w:val="7B86A2C4"/>
    <w:rsid w:val="7B92ED4A"/>
    <w:rsid w:val="7C2426F7"/>
    <w:rsid w:val="7C32880F"/>
    <w:rsid w:val="7C3A40E2"/>
    <w:rsid w:val="7CB21268"/>
    <w:rsid w:val="7DFEE42A"/>
    <w:rsid w:val="7E07EE75"/>
    <w:rsid w:val="7EE4705C"/>
    <w:rsid w:val="7EE4AD9F"/>
    <w:rsid w:val="7F31D49A"/>
  </w:rsids>
  <m:mathPr>
    <m:mathFont m:val="Cambria Math"/>
    <m:brkBin m:val="before"/>
    <m:brkBinSub m:val="--"/>
    <m:smallFrac m:val="0"/>
    <m:dispDef/>
    <m:lMargin m:val="0"/>
    <m:rMargin m:val="0"/>
    <m:defJc m:val="centerGroup"/>
    <m:wrapRight/>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74CBF1"/>
  <w14:defaultImageDpi w14:val="0"/>
  <w15:docId w15:val="{3D9A9C13-BCB8-434A-B06E-4E19E7F61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imes New Roman" w:hAnsi="Amnesty Trade Gothic Light" w:cs="Times New Roman"/>
        <w:sz w:val="22"/>
        <w:szCs w:val="22"/>
        <w:lang w:val="es-ES" w:eastAsia="es-ES" w:bidi="ar-SA"/>
      </w:rPr>
    </w:rPrDefault>
    <w:pPrDefault>
      <w:pPr>
        <w:spacing w:after="160" w:line="259" w:lineRule="auto"/>
      </w:pPr>
    </w:pPrDefault>
  </w:docDefaults>
  <w:latentStyles w:defLockedState="1" w:defUIPriority="99"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locked="0"/>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lsdException w:name="Smart Hyperlink" w:locked="0"/>
    <w:lsdException w:name="Hashtag" w:locked="0"/>
    <w:lsdException w:name="Unresolved Mention" w:locked="0"/>
    <w:lsdException w:name="Smart Link" w:locked="0"/>
  </w:latentStyles>
  <w:style w:type="paragraph" w:default="1" w:styleId="Normal">
    <w:name w:val="Normal"/>
    <w:qFormat/>
    <w:rsid w:val="00305E5C"/>
    <w:pPr>
      <w:spacing w:after="0" w:line="240" w:lineRule="auto"/>
    </w:pPr>
    <w:rPr>
      <w:rFonts w:cs="Arial"/>
      <w:color w:val="000000"/>
      <w:sz w:val="20"/>
      <w:szCs w:val="20"/>
      <w:lang w:eastAsia="en-US"/>
    </w:rPr>
  </w:style>
  <w:style w:type="paragraph" w:styleId="Heading1">
    <w:name w:val="heading 1"/>
    <w:basedOn w:val="Normal"/>
    <w:next w:val="Normal"/>
    <w:link w:val="Heading1Char"/>
    <w:uiPriority w:val="9"/>
    <w:qFormat/>
    <w:rsid w:val="00F52821"/>
    <w:pPr>
      <w:keepNext/>
      <w:keepLines/>
      <w:spacing w:before="240"/>
      <w:outlineLvl w:val="0"/>
    </w:pPr>
    <w:rPr>
      <w:rFonts w:ascii="Amnesty Trade Gothic Cn" w:hAnsi="Amnesty Trade Gothic Cn" w:cs="Times New Roman"/>
      <w:color w:val="BFBF00"/>
      <w:sz w:val="32"/>
      <w:szCs w:val="32"/>
    </w:rPr>
  </w:style>
  <w:style w:type="paragraph" w:styleId="Heading2">
    <w:name w:val="heading 2"/>
    <w:aliases w:val="B Heading (No numbers)"/>
    <w:basedOn w:val="Normal"/>
    <w:next w:val="Normal"/>
    <w:link w:val="Heading2Char"/>
    <w:uiPriority w:val="9"/>
    <w:qFormat/>
    <w:rsid w:val="00D51E44"/>
    <w:pPr>
      <w:keepNext/>
      <w:keepLines/>
      <w:spacing w:before="320" w:line="420" w:lineRule="exact"/>
      <w:outlineLvl w:val="1"/>
    </w:pPr>
    <w:rPr>
      <w:rFonts w:ascii="Amnesty Trade Gothic Cn" w:hAnsi="Amnesty Trade Gothic Cn" w:cs="Times New Roman"/>
      <w:b/>
      <w:caps/>
      <w:color w:val="auto"/>
      <w:sz w:val="42"/>
      <w:szCs w:val="26"/>
    </w:rPr>
  </w:style>
  <w:style w:type="paragraph" w:styleId="Heading3">
    <w:name w:val="heading 3"/>
    <w:basedOn w:val="Normal"/>
    <w:next w:val="Normal"/>
    <w:link w:val="Heading3Char"/>
    <w:uiPriority w:val="9"/>
    <w:qFormat/>
    <w:rsid w:val="00F52821"/>
    <w:pPr>
      <w:keepNext/>
      <w:keepLines/>
      <w:spacing w:before="40"/>
      <w:outlineLvl w:val="2"/>
    </w:pPr>
    <w:rPr>
      <w:rFonts w:ascii="Amnesty Trade Gothic Cn" w:hAnsi="Amnesty Trade Gothic Cn" w:cs="Times New Roman"/>
      <w:color w:val="7F7F00"/>
      <w:sz w:val="24"/>
      <w:szCs w:val="24"/>
    </w:rPr>
  </w:style>
  <w:style w:type="paragraph" w:styleId="Heading4">
    <w:name w:val="heading 4"/>
    <w:basedOn w:val="Normal"/>
    <w:next w:val="Normal"/>
    <w:link w:val="Heading4Char"/>
    <w:uiPriority w:val="9"/>
    <w:qFormat/>
    <w:rsid w:val="005B321F"/>
    <w:pPr>
      <w:tabs>
        <w:tab w:val="left" w:pos="0"/>
      </w:tabs>
      <w:outlineLvl w:val="3"/>
    </w:pPr>
    <w:rPr>
      <w:rFonts w:cs="Times New Roman"/>
      <w:color w:val="auto"/>
      <w:sz w:val="22"/>
      <w:szCs w:val="22"/>
    </w:rPr>
  </w:style>
  <w:style w:type="paragraph" w:styleId="Heading5">
    <w:name w:val="heading 5"/>
    <w:basedOn w:val="Heading4"/>
    <w:next w:val="Normal"/>
    <w:link w:val="Heading5Char"/>
    <w:uiPriority w:val="9"/>
    <w:qFormat/>
    <w:rsid w:val="005B321F"/>
    <w:pPr>
      <w:outlineLvl w:val="4"/>
    </w:pPr>
  </w:style>
  <w:style w:type="paragraph" w:styleId="Heading6">
    <w:name w:val="heading 6"/>
    <w:basedOn w:val="Heading5"/>
    <w:next w:val="Normal"/>
    <w:link w:val="Heading6Char"/>
    <w:uiPriority w:val="9"/>
    <w:qFormat/>
    <w:rsid w:val="005B321F"/>
    <w:pPr>
      <w:outlineLvl w:val="5"/>
    </w:pPr>
  </w:style>
  <w:style w:type="paragraph" w:styleId="Heading7">
    <w:name w:val="heading 7"/>
    <w:basedOn w:val="Heading6"/>
    <w:next w:val="Normal"/>
    <w:link w:val="Heading7Char"/>
    <w:uiPriority w:val="9"/>
    <w:qFormat/>
    <w:rsid w:val="005B321F"/>
    <w:pPr>
      <w:outlineLvl w:val="6"/>
    </w:pPr>
  </w:style>
  <w:style w:type="paragraph" w:styleId="Heading8">
    <w:name w:val="heading 8"/>
    <w:basedOn w:val="Heading7"/>
    <w:next w:val="Normal"/>
    <w:link w:val="Heading8Char"/>
    <w:uiPriority w:val="9"/>
    <w:qFormat/>
    <w:rsid w:val="005B321F"/>
    <w:pPr>
      <w:outlineLvl w:val="7"/>
    </w:pPr>
  </w:style>
  <w:style w:type="paragraph" w:styleId="Heading9">
    <w:name w:val="heading 9"/>
    <w:basedOn w:val="Heading8"/>
    <w:next w:val="Normal"/>
    <w:link w:val="Heading9Char"/>
    <w:uiPriority w:val="9"/>
    <w:qFormat/>
    <w:rsid w:val="005B321F"/>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B Heading (No numbers) Char"/>
    <w:basedOn w:val="DefaultParagraphFont"/>
    <w:link w:val="Heading2"/>
    <w:uiPriority w:val="9"/>
    <w:locked/>
    <w:rsid w:val="005A6C3C"/>
    <w:rPr>
      <w:rFonts w:ascii="Amnesty Trade Gothic Cn" w:hAnsi="Amnesty Trade Gothic Cn" w:cs="Times New Roman"/>
      <w:b/>
      <w:caps/>
      <w:color w:val="auto"/>
      <w:sz w:val="26"/>
      <w:szCs w:val="26"/>
    </w:rPr>
  </w:style>
  <w:style w:type="character" w:customStyle="1" w:styleId="Heading3Char">
    <w:name w:val="Heading 3 Char"/>
    <w:basedOn w:val="DefaultParagraphFont"/>
    <w:link w:val="Heading3"/>
    <w:uiPriority w:val="9"/>
    <w:locked/>
    <w:rsid w:val="005A6C3C"/>
    <w:rPr>
      <w:rFonts w:ascii="Amnesty Trade Gothic Cn" w:hAnsi="Amnesty Trade Gothic Cn" w:cs="Times New Roman"/>
      <w:color w:val="7F7F00"/>
      <w:sz w:val="24"/>
      <w:szCs w:val="24"/>
    </w:rPr>
  </w:style>
  <w:style w:type="character" w:customStyle="1" w:styleId="Heading4Char">
    <w:name w:val="Heading 4 Char"/>
    <w:basedOn w:val="DefaultParagraphFont"/>
    <w:link w:val="Heading4"/>
    <w:uiPriority w:val="9"/>
    <w:locked/>
    <w:rsid w:val="005B321F"/>
    <w:rPr>
      <w:rFonts w:ascii="Amnesty Trade Gothic Light" w:hAnsi="Amnesty Trade Gothic Light" w:cs="Times New Roman"/>
      <w:color w:val="auto"/>
      <w:sz w:val="22"/>
      <w:szCs w:val="22"/>
    </w:rPr>
  </w:style>
  <w:style w:type="character" w:customStyle="1" w:styleId="Heading5Char">
    <w:name w:val="Heading 5 Char"/>
    <w:basedOn w:val="DefaultParagraphFont"/>
    <w:link w:val="Heading5"/>
    <w:uiPriority w:val="9"/>
    <w:locked/>
    <w:rsid w:val="005B321F"/>
    <w:rPr>
      <w:rFonts w:ascii="Amnesty Trade Gothic Light" w:hAnsi="Amnesty Trade Gothic Light" w:cs="Times New Roman"/>
      <w:color w:val="auto"/>
      <w:sz w:val="22"/>
      <w:szCs w:val="22"/>
    </w:rPr>
  </w:style>
  <w:style w:type="character" w:customStyle="1" w:styleId="Heading6Char">
    <w:name w:val="Heading 6 Char"/>
    <w:basedOn w:val="DefaultParagraphFont"/>
    <w:link w:val="Heading6"/>
    <w:uiPriority w:val="9"/>
    <w:locked/>
    <w:rsid w:val="005B321F"/>
    <w:rPr>
      <w:rFonts w:ascii="Amnesty Trade Gothic Light" w:hAnsi="Amnesty Trade Gothic Light" w:cs="Times New Roman"/>
      <w:color w:val="auto"/>
      <w:sz w:val="22"/>
      <w:szCs w:val="22"/>
    </w:rPr>
  </w:style>
  <w:style w:type="character" w:customStyle="1" w:styleId="Heading7Char">
    <w:name w:val="Heading 7 Char"/>
    <w:basedOn w:val="DefaultParagraphFont"/>
    <w:link w:val="Heading7"/>
    <w:uiPriority w:val="9"/>
    <w:locked/>
    <w:rsid w:val="005B321F"/>
    <w:rPr>
      <w:rFonts w:ascii="Amnesty Trade Gothic Light" w:hAnsi="Amnesty Trade Gothic Light" w:cs="Times New Roman"/>
      <w:color w:val="auto"/>
      <w:sz w:val="22"/>
      <w:szCs w:val="22"/>
    </w:rPr>
  </w:style>
  <w:style w:type="character" w:customStyle="1" w:styleId="Heading8Char">
    <w:name w:val="Heading 8 Char"/>
    <w:basedOn w:val="DefaultParagraphFont"/>
    <w:link w:val="Heading8"/>
    <w:uiPriority w:val="9"/>
    <w:locked/>
    <w:rsid w:val="005B321F"/>
    <w:rPr>
      <w:rFonts w:ascii="Amnesty Trade Gothic Light" w:hAnsi="Amnesty Trade Gothic Light" w:cs="Times New Roman"/>
      <w:color w:val="auto"/>
      <w:sz w:val="22"/>
      <w:szCs w:val="22"/>
    </w:rPr>
  </w:style>
  <w:style w:type="character" w:customStyle="1" w:styleId="Heading9Char">
    <w:name w:val="Heading 9 Char"/>
    <w:basedOn w:val="DefaultParagraphFont"/>
    <w:link w:val="Heading9"/>
    <w:uiPriority w:val="9"/>
    <w:locked/>
    <w:rsid w:val="005B321F"/>
    <w:rPr>
      <w:rFonts w:ascii="Amnesty Trade Gothic Light" w:hAnsi="Amnesty Trade Gothic Light" w:cs="Times New Roman"/>
      <w:color w:val="auto"/>
      <w:sz w:val="22"/>
      <w:szCs w:val="22"/>
    </w:rPr>
  </w:style>
  <w:style w:type="character" w:styleId="Hyperlink">
    <w:name w:val="Hyperlink"/>
    <w:basedOn w:val="DefaultParagraphFont"/>
    <w:uiPriority w:val="99"/>
    <w:unhideWhenUsed/>
    <w:rsid w:val="00B61AFE"/>
    <w:rPr>
      <w:rFonts w:cs="Times New Roman"/>
      <w:color w:val="0563C1"/>
    </w:rPr>
  </w:style>
  <w:style w:type="character" w:customStyle="1" w:styleId="Heading1Char">
    <w:name w:val="Heading 1 Char"/>
    <w:basedOn w:val="DefaultParagraphFont"/>
    <w:link w:val="Heading1"/>
    <w:uiPriority w:val="9"/>
    <w:locked/>
    <w:rsid w:val="005A6C3C"/>
    <w:rPr>
      <w:rFonts w:ascii="Amnesty Trade Gothic Cn" w:hAnsi="Amnesty Trade Gothic Cn" w:cs="Times New Roman"/>
      <w:color w:val="BFBF00"/>
      <w:sz w:val="32"/>
      <w:szCs w:val="32"/>
    </w:rPr>
  </w:style>
  <w:style w:type="paragraph" w:customStyle="1" w:styleId="BFrontcovermaintitle">
    <w:name w:val="B Front cover main title"/>
    <w:next w:val="Normal"/>
    <w:rsid w:val="00391D04"/>
    <w:pPr>
      <w:keepNext/>
      <w:keepLines/>
      <w:spacing w:after="0" w:line="264" w:lineRule="auto"/>
    </w:pPr>
    <w:rPr>
      <w:rFonts w:ascii="Amnesty Trade Gothic Cn" w:hAnsi="Amnesty Trade Gothic Cn" w:cs="Arial"/>
      <w:b/>
      <w:caps/>
      <w:noProof/>
      <w:color w:val="000000"/>
      <w:sz w:val="80"/>
      <w:szCs w:val="96"/>
      <w:shd w:val="clear" w:color="auto" w:fill="FFFF00"/>
      <w:lang w:eastAsia="en-GB"/>
    </w:rPr>
  </w:style>
  <w:style w:type="paragraph" w:customStyle="1" w:styleId="BSubtitle">
    <w:name w:val="B Subtitle"/>
    <w:basedOn w:val="Normal"/>
    <w:autoRedefine/>
    <w:uiPriority w:val="5"/>
    <w:qFormat/>
    <w:rsid w:val="00806313"/>
    <w:pPr>
      <w:suppressAutoHyphens/>
      <w:spacing w:line="560" w:lineRule="exact"/>
    </w:pPr>
    <w:rPr>
      <w:rFonts w:ascii="Amnesty Trade Gothic Cn" w:eastAsia="MS Mincho" w:hAnsi="Amnesty Trade Gothic Cn"/>
      <w:bCs/>
      <w:caps/>
      <w:noProof/>
      <w:sz w:val="52"/>
      <w:szCs w:val="52"/>
    </w:rPr>
  </w:style>
  <w:style w:type="paragraph" w:customStyle="1" w:styleId="BHeadingnonumbers">
    <w:name w:val="B Heading (no numbers)"/>
    <w:basedOn w:val="BSubheadingnonumbers"/>
    <w:next w:val="BBodyText"/>
    <w:link w:val="BHeadingnonumbersChar"/>
    <w:uiPriority w:val="3"/>
    <w:qFormat/>
    <w:rsid w:val="00501150"/>
  </w:style>
  <w:style w:type="paragraph" w:customStyle="1" w:styleId="BNumberedHeading">
    <w:name w:val="B Numbered Heading"/>
    <w:basedOn w:val="Normal"/>
    <w:next w:val="BBodyText"/>
    <w:link w:val="BNumberedHeadingChar"/>
    <w:uiPriority w:val="2"/>
    <w:qFormat/>
    <w:rsid w:val="00305E5C"/>
    <w:pPr>
      <w:keepNext/>
      <w:numPr>
        <w:numId w:val="1"/>
      </w:numPr>
      <w:tabs>
        <w:tab w:val="left" w:pos="567"/>
      </w:tabs>
      <w:suppressAutoHyphens/>
      <w:spacing w:before="360" w:line="380" w:lineRule="exact"/>
      <w:ind w:left="0" w:firstLine="0"/>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rsid w:val="00882303"/>
    <w:pPr>
      <w:keepNext/>
      <w:tabs>
        <w:tab w:val="left" w:pos="851"/>
      </w:tabs>
      <w:suppressAutoHyphens/>
      <w:spacing w:before="100" w:line="720" w:lineRule="exact"/>
      <w:contextualSpacing/>
      <w:outlineLvl w:val="0"/>
    </w:pPr>
    <w:rPr>
      <w:rFonts w:ascii="Amnesty Trade Gothic Cn"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501150"/>
    <w:pPr>
      <w:numPr>
        <w:numId w:val="0"/>
      </w:numPr>
      <w:tabs>
        <w:tab w:val="clear" w:pos="567"/>
      </w:tabs>
      <w:spacing w:before="160" w:line="320" w:lineRule="exact"/>
      <w:outlineLvl w:val="1"/>
    </w:pPr>
    <w:rPr>
      <w:rFonts w:cs="Arial"/>
      <w:color w:val="000000"/>
      <w:sz w:val="32"/>
      <w:szCs w:val="20"/>
    </w:rPr>
  </w:style>
  <w:style w:type="paragraph" w:customStyle="1" w:styleId="BNumberedSubheading">
    <w:name w:val="B Numbered Subheading"/>
    <w:basedOn w:val="BSubheadingnonumbers"/>
    <w:next w:val="BBodyText"/>
    <w:uiPriority w:val="4"/>
    <w:qFormat/>
    <w:rsid w:val="007C33CE"/>
    <w:pPr>
      <w:numPr>
        <w:ilvl w:val="1"/>
        <w:numId w:val="1"/>
      </w:numPr>
      <w:spacing w:before="120" w:line="400" w:lineRule="exact"/>
      <w:ind w:left="0" w:firstLine="0"/>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uiPriority w:val="39"/>
    <w:qFormat/>
    <w:rsid w:val="00B61AFE"/>
    <w:pPr>
      <w:shd w:val="clear" w:color="auto" w:fill="FFFFFF"/>
      <w:tabs>
        <w:tab w:val="left" w:leader="underscore" w:pos="426"/>
        <w:tab w:val="right" w:leader="underscore" w:pos="9072"/>
      </w:tabs>
      <w:spacing w:before="0" w:after="60" w:line="160" w:lineRule="exact"/>
      <w:ind w:left="426" w:hanging="426"/>
    </w:pPr>
    <w:rPr>
      <w:bCs/>
      <w:sz w:val="17"/>
      <w:u w:val="single"/>
    </w:rPr>
  </w:style>
  <w:style w:type="paragraph" w:customStyle="1" w:styleId="BQuoteText">
    <w:name w:val="B Quote Text"/>
    <w:basedOn w:val="BBodyText"/>
    <w:uiPriority w:val="14"/>
    <w:qFormat/>
    <w:rsid w:val="006E5F23"/>
    <w:pPr>
      <w:framePr w:hSpace="180" w:wrap="around" w:vAnchor="text" w:hAnchor="margin" w:y="1133"/>
      <w:spacing w:after="0"/>
    </w:pPr>
    <w:rPr>
      <w:rFonts w:ascii="Amnesty Trade Gothic Cn"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cs="Times New Roman"/>
      <w:b/>
      <w:bCs/>
    </w:rPr>
  </w:style>
  <w:style w:type="paragraph" w:customStyle="1" w:styleId="BSmallQuoteText">
    <w:name w:val="B Small Quote Text"/>
    <w:basedOn w:val="BBodyText"/>
    <w:next w:val="BBodyText"/>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C04CCB"/>
    <w:pPr>
      <w:spacing w:after="60"/>
    </w:pPr>
    <w:rPr>
      <w:sz w:val="14"/>
      <w:szCs w:val="14"/>
    </w:rPr>
  </w:style>
  <w:style w:type="paragraph" w:styleId="TOC2">
    <w:name w:val="toc 2"/>
    <w:basedOn w:val="Smallerboldsubber"/>
    <w:next w:val="Normal"/>
    <w:link w:val="TOC2Char"/>
    <w:uiPriority w:val="39"/>
    <w:unhideWhenUsed/>
    <w:qFormat/>
    <w:rsid w:val="00B61AFE"/>
    <w:pPr>
      <w:tabs>
        <w:tab w:val="left" w:pos="426"/>
        <w:tab w:val="right" w:leader="underscore" w:pos="9072"/>
      </w:tabs>
      <w:spacing w:before="0" w:after="60" w:line="160" w:lineRule="exact"/>
      <w:ind w:left="426" w:hanging="426"/>
    </w:pPr>
    <w:rPr>
      <w:rFonts w:ascii="Amnesty Trade Gothic Cn" w:hAnsi="Amnesty Trade Gothic Cn"/>
      <w:b w:val="0"/>
      <w:bCs/>
      <w:noProof/>
      <w:sz w:val="17"/>
      <w:szCs w:val="24"/>
      <w:u w:val="single"/>
    </w:rPr>
  </w:style>
  <w:style w:type="character" w:customStyle="1" w:styleId="TOC1Char">
    <w:name w:val="TOC 1 Char"/>
    <w:basedOn w:val="BHeadingnonumbersChar"/>
    <w:link w:val="TOC1"/>
    <w:uiPriority w:val="39"/>
    <w:locked/>
    <w:rsid w:val="00B61AFE"/>
    <w:rPr>
      <w:rFonts w:ascii="Amnesty Trade Gothic Cn" w:hAnsi="Amnesty Trade Gothic Cn" w:cs="Calibri"/>
      <w:b/>
      <w:bCs/>
      <w:caps/>
      <w:noProof/>
      <w:sz w:val="42"/>
      <w:u w:val="single"/>
      <w:shd w:val="clear" w:color="auto" w:fill="FFFFFF"/>
      <w:lang w:eastAsia="en-GB"/>
    </w:rPr>
  </w:style>
  <w:style w:type="character" w:customStyle="1" w:styleId="TOC2Char">
    <w:name w:val="TOC 2 Char"/>
    <w:basedOn w:val="DefaultParagraphFont"/>
    <w:link w:val="TOC2"/>
    <w:uiPriority w:val="39"/>
    <w:locked/>
    <w:rsid w:val="00B61AFE"/>
    <w:rPr>
      <w:rFonts w:ascii="Amnesty Trade Gothic Cn" w:hAnsi="Amnesty Trade Gothic Cn" w:cs="Times New Roman"/>
      <w:bCs/>
      <w:noProof/>
      <w:color w:val="auto"/>
      <w:sz w:val="24"/>
      <w:szCs w:val="24"/>
      <w:u w:val="single"/>
      <w:lang w:eastAsia="en-GB"/>
    </w:rPr>
  </w:style>
  <w:style w:type="character" w:customStyle="1" w:styleId="BNumberedHeadingChar">
    <w:name w:val="B Numbered Heading Char"/>
    <w:basedOn w:val="DefaultParagraphFont"/>
    <w:link w:val="BNumberedHeading"/>
    <w:uiPriority w:val="2"/>
    <w:locked/>
    <w:rsid w:val="00305E5C"/>
    <w:rPr>
      <w:rFonts w:ascii="Amnesty Trade Gothic Cn" w:hAnsi="Amnesty Trade Gothic Cn" w:cs="Calibri"/>
      <w:b/>
      <w:caps/>
      <w:noProof/>
      <w:sz w:val="42"/>
      <w:lang w:eastAsia="en-GB"/>
    </w:rPr>
  </w:style>
  <w:style w:type="character" w:customStyle="1" w:styleId="BHeadingnonumbersChar">
    <w:name w:val="B Heading (no numbers) Char"/>
    <w:basedOn w:val="BNumberedHeadingChar"/>
    <w:link w:val="BHeadingnonumbers"/>
    <w:uiPriority w:val="3"/>
    <w:locked/>
    <w:rsid w:val="00501150"/>
    <w:rPr>
      <w:rFonts w:ascii="Amnesty Trade Gothic Cn" w:hAnsi="Amnesty Trade Gothic Cn" w:cs="Calibri"/>
      <w:b/>
      <w:caps/>
      <w:noProof/>
      <w:sz w:val="42"/>
      <w:lang w:eastAsia="en-GB"/>
    </w:rPr>
  </w:style>
  <w:style w:type="character" w:customStyle="1" w:styleId="BBodyTextChar">
    <w:name w:val="B Body Text Char"/>
    <w:basedOn w:val="DefaultParagraphFont"/>
    <w:link w:val="BBodyText"/>
    <w:uiPriority w:val="9"/>
    <w:locked/>
    <w:rsid w:val="002C1757"/>
    <w:rPr>
      <w:rFonts w:cs="Times New Roman"/>
      <w:bCs/>
      <w:color w:val="auto"/>
      <w:sz w:val="24"/>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paragraph" w:styleId="Footer">
    <w:name w:val="footer"/>
    <w:basedOn w:val="Normal"/>
    <w:link w:val="Foot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locked/>
    <w:rsid w:val="003A7195"/>
    <w:rPr>
      <w:rFonts w:cs="Times New Roman"/>
    </w:rPr>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character" w:customStyle="1" w:styleId="FooterChar">
    <w:name w:val="Footer Char"/>
    <w:basedOn w:val="DefaultParagraphFont"/>
    <w:link w:val="Footer"/>
    <w:uiPriority w:val="99"/>
    <w:locked/>
    <w:rsid w:val="003A7195"/>
    <w:rPr>
      <w:rFonts w:cs="Times New Roman"/>
    </w:rPr>
  </w:style>
  <w:style w:type="paragraph" w:customStyle="1" w:styleId="BFootertitle">
    <w:name w:val="B Footer title"/>
    <w:basedOn w:val="Footer"/>
    <w:uiPriority w:val="99"/>
    <w:qFormat/>
    <w:rsid w:val="006C64A8"/>
    <w:pPr>
      <w:tabs>
        <w:tab w:val="clear" w:pos="4513"/>
        <w:tab w:val="clear" w:pos="9026"/>
        <w:tab w:val="right" w:pos="8278"/>
      </w:tabs>
      <w:spacing w:before="160" w:line="150" w:lineRule="exact"/>
    </w:pPr>
    <w:rPr>
      <w:rFonts w:ascii="Amnesty Trade Gothic Cn" w:hAnsi="Amnesty Trade Gothic Cn"/>
      <w:b/>
      <w:caps/>
      <w:sz w:val="15"/>
      <w:szCs w:val="15"/>
    </w:rPr>
  </w:style>
  <w:style w:type="paragraph" w:customStyle="1" w:styleId="BFooterbriefingsubtitle">
    <w:name w:val="B Footer briefing subtitle"/>
    <w:basedOn w:val="Footer"/>
    <w:uiPriority w:val="99"/>
    <w:qFormat/>
    <w:rsid w:val="00FC31D4"/>
    <w:pPr>
      <w:tabs>
        <w:tab w:val="clear" w:pos="4513"/>
        <w:tab w:val="clear" w:pos="9026"/>
        <w:tab w:val="right" w:pos="8278"/>
      </w:tabs>
      <w:spacing w:line="150" w:lineRule="exact"/>
    </w:pPr>
    <w:rPr>
      <w:rFonts w:ascii="Amnesty Trade Gothic Cn" w:hAnsi="Amnesty Trade Gothic Cn"/>
      <w:bCs/>
      <w:caps/>
      <w:sz w:val="15"/>
      <w:szCs w:val="15"/>
    </w:rPr>
  </w:style>
  <w:style w:type="table" w:styleId="TableGrid">
    <w:name w:val="Table Grid"/>
    <w:basedOn w:val="TableNormal"/>
    <w:uiPriority w:val="59"/>
    <w:rsid w:val="00EC4F29"/>
    <w:pPr>
      <w:widowControl w:val="0"/>
      <w:spacing w:after="0" w:line="240" w:lineRule="auto"/>
    </w:pPr>
    <w:rPr>
      <w:rFonts w:cs="Arial"/>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pPr>
      <w:widowControl w:val="0"/>
      <w:spacing w:after="0" w:line="240" w:lineRule="auto"/>
    </w:pPr>
    <w:rPr>
      <w:rFonts w:eastAsia="MS Mincho" w:cs="Arial"/>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rFonts w:cs="Times New Roman"/>
      <w:color w:val="605E5C"/>
      <w:shd w:val="clear" w:color="auto" w:fill="E1DFDD"/>
    </w:rPr>
  </w:style>
  <w:style w:type="character" w:customStyle="1" w:styleId="BalloonTextChar">
    <w:name w:val="Balloon Text Char"/>
    <w:basedOn w:val="DefaultParagraphFont"/>
    <w:link w:val="BalloonText"/>
    <w:uiPriority w:val="99"/>
    <w:semiHidden/>
    <w:locked/>
    <w:rsid w:val="002F6FCC"/>
    <w:rPr>
      <w:rFonts w:ascii="Segoe UI" w:hAnsi="Segoe UI" w:cs="Segoe UI"/>
      <w:sz w:val="18"/>
      <w:szCs w:val="18"/>
    </w:rPr>
  </w:style>
  <w:style w:type="character" w:styleId="CommentReference">
    <w:name w:val="annotation reference"/>
    <w:basedOn w:val="DefaultParagraphFont"/>
    <w:uiPriority w:val="99"/>
    <w:unhideWhenUsed/>
    <w:rsid w:val="006B44F3"/>
    <w:rPr>
      <w:rFonts w:cs="Times New Roman"/>
      <w:sz w:val="16"/>
      <w:szCs w:val="16"/>
    </w:rPr>
  </w:style>
  <w:style w:type="paragraph" w:styleId="CommentText">
    <w:name w:val="annotation text"/>
    <w:basedOn w:val="Normal"/>
    <w:link w:val="CommentTextChar"/>
    <w:uiPriority w:val="99"/>
    <w:rsid w:val="009C1B87"/>
  </w:style>
  <w:style w:type="paragraph" w:styleId="CommentSubject">
    <w:name w:val="annotation subject"/>
    <w:basedOn w:val="Normal"/>
    <w:next w:val="Normal"/>
    <w:link w:val="CommentSubjectChar"/>
    <w:uiPriority w:val="99"/>
    <w:unhideWhenUsed/>
    <w:rsid w:val="005A6C3C"/>
    <w:rPr>
      <w:b/>
      <w:bCs/>
    </w:rPr>
  </w:style>
  <w:style w:type="character" w:customStyle="1" w:styleId="CommentTextChar">
    <w:name w:val="Comment Text Char"/>
    <w:basedOn w:val="DefaultParagraphFont"/>
    <w:link w:val="CommentText"/>
    <w:uiPriority w:val="99"/>
    <w:locked/>
    <w:rsid w:val="009C1B87"/>
    <w:rPr>
      <w:rFonts w:cs="Times New Roman"/>
      <w:lang w:val="es-ES" w:eastAsia="x-none"/>
    </w:rPr>
  </w:style>
  <w:style w:type="paragraph" w:styleId="Revision">
    <w:name w:val="Revision"/>
    <w:hidden/>
    <w:uiPriority w:val="99"/>
    <w:semiHidden/>
    <w:rsid w:val="003E2AA1"/>
    <w:pPr>
      <w:spacing w:after="0" w:line="240" w:lineRule="auto"/>
    </w:pPr>
    <w:rPr>
      <w:rFonts w:cs="Arial"/>
      <w:color w:val="000000"/>
      <w:sz w:val="20"/>
      <w:szCs w:val="20"/>
      <w:lang w:eastAsia="en-US"/>
    </w:rPr>
  </w:style>
  <w:style w:type="character" w:customStyle="1" w:styleId="CommentSubjectChar">
    <w:name w:val="Comment Subject Char"/>
    <w:basedOn w:val="DefaultParagraphFont"/>
    <w:link w:val="CommentSubject"/>
    <w:uiPriority w:val="99"/>
    <w:locked/>
    <w:rsid w:val="005A6C3C"/>
    <w:rPr>
      <w:rFonts w:cs="Times New Roman"/>
      <w:b/>
      <w:bCs/>
    </w:rPr>
  </w:style>
  <w:style w:type="character" w:styleId="FollowedHyperlink">
    <w:name w:val="FollowedHyperlink"/>
    <w:basedOn w:val="DefaultParagraphFont"/>
    <w:uiPriority w:val="99"/>
    <w:semiHidden/>
    <w:unhideWhenUsed/>
    <w:rsid w:val="0051756F"/>
    <w:rPr>
      <w:rFonts w:cs="Times New Roman"/>
      <w:color w:val="954F72"/>
      <w:u w:val="single"/>
    </w:rPr>
  </w:style>
  <w:style w:type="character" w:customStyle="1" w:styleId="BHighlightedtext">
    <w:name w:val="B Highlighted text"/>
    <w:basedOn w:val="DefaultParagraphFont"/>
    <w:uiPriority w:val="7"/>
    <w:qFormat/>
    <w:rsid w:val="008D2844"/>
    <w:rPr>
      <w:rFonts w:cs="Times New Roman"/>
      <w:shd w:val="clear" w:color="auto" w:fill="FFFF00"/>
    </w:rPr>
  </w:style>
  <w:style w:type="paragraph" w:customStyle="1" w:styleId="BMissionStatement">
    <w:name w:val="B Mission Statement"/>
    <w:basedOn w:val="Normal"/>
    <w:uiPriority w:val="18"/>
    <w:qFormat/>
    <w:rsid w:val="008D2844"/>
    <w:pPr>
      <w:suppressAutoHyphens/>
      <w:spacing w:after="280" w:line="264" w:lineRule="auto"/>
    </w:pPr>
    <w:rPr>
      <w:rFonts w:ascii="Amnesty Trade Gothic Cn" w:hAnsi="Amnesty Trade Gothic Cn"/>
      <w:b/>
      <w:bCs/>
      <w:noProof/>
      <w:sz w:val="44"/>
      <w:szCs w:val="44"/>
      <w:lang w:eastAsia="en-GB"/>
    </w:rPr>
  </w:style>
  <w:style w:type="paragraph" w:styleId="TOCHeading">
    <w:name w:val="TOC Heading"/>
    <w:basedOn w:val="Heading1"/>
    <w:next w:val="Normal"/>
    <w:uiPriority w:val="39"/>
    <w:qFormat/>
    <w:rsid w:val="00305E5C"/>
    <w:pPr>
      <w:spacing w:line="259" w:lineRule="auto"/>
      <w:outlineLvl w:val="9"/>
    </w:pPr>
    <w:rPr>
      <w:color w:val="auto"/>
    </w:rPr>
  </w:style>
  <w:style w:type="paragraph" w:customStyle="1" w:styleId="Baltcovermaintitletext">
    <w:name w:val="B alt cover main title text"/>
    <w:basedOn w:val="section"/>
    <w:uiPriority w:val="99"/>
    <w:qFormat/>
    <w:rsid w:val="00203FB5"/>
    <w:pPr>
      <w:spacing w:before="10440" w:beforeAutospacing="0" w:after="0" w:afterAutospacing="0" w:line="264" w:lineRule="auto"/>
    </w:pPr>
    <w:rPr>
      <w:rFonts w:ascii="Amnesty Trade Gothic Cn" w:eastAsia="MS Mincho" w:hAnsi="Amnesty Trade Gothic Cn"/>
      <w:b/>
      <w:bCs/>
      <w:sz w:val="72"/>
      <w:szCs w:val="72"/>
      <w:shd w:val="clear" w:color="auto" w:fill="FFFF00"/>
    </w:rPr>
  </w:style>
  <w:style w:type="table" w:styleId="PlainTable4">
    <w:name w:val="Plain Table 4"/>
    <w:basedOn w:val="TableNormal"/>
    <w:uiPriority w:val="99"/>
    <w:rsid w:val="00A76E96"/>
    <w:pPr>
      <w:widowControl w:val="0"/>
      <w:spacing w:after="0" w:line="240" w:lineRule="auto"/>
    </w:pPr>
    <w:rPr>
      <w:rFonts w:ascii="Times New Roman" w:hAnsi="Times New Roman"/>
      <w:sz w:val="24"/>
      <w:szCs w:val="24"/>
      <w:lang w:eastAsia="en-GB"/>
    </w:rPr>
    <w:tblPr>
      <w:tblStyleRowBandSize w:val="1"/>
      <w:tblStyleColBandSize w:val="1"/>
      <w:tblInd w:w="0" w:type="nil"/>
    </w:tblPr>
    <w:tblStylePr w:type="firstRow">
      <w:pPr>
        <w:widowControl/>
        <w:ind w:left="0" w:right="0"/>
        <w:jc w:val="left"/>
        <w:textAlignment w:val="auto"/>
      </w:pPr>
      <w:rPr>
        <w:rFonts w:cs="Times New Roman"/>
        <w:b/>
        <w:bCs/>
      </w:rPr>
    </w:tblStylePr>
    <w:tblStylePr w:type="lastRow">
      <w:pPr>
        <w:widowControl/>
        <w:ind w:left="0" w:right="0"/>
        <w:jc w:val="left"/>
        <w:textAlignment w:val="auto"/>
      </w:pPr>
      <w:rPr>
        <w:rFonts w:cs="Times New Roman"/>
        <w:b/>
        <w:bCs/>
      </w:rPr>
    </w:tblStylePr>
    <w:tblStylePr w:type="firstCol">
      <w:pPr>
        <w:widowControl/>
        <w:ind w:left="0" w:right="0"/>
        <w:jc w:val="left"/>
        <w:textAlignment w:val="auto"/>
      </w:pPr>
      <w:rPr>
        <w:rFonts w:cs="Times New Roman"/>
        <w:b/>
        <w:bCs/>
      </w:rPr>
    </w:tblStylePr>
    <w:tblStylePr w:type="lastCol">
      <w:pPr>
        <w:widowControl/>
        <w:ind w:left="0" w:right="0"/>
        <w:jc w:val="left"/>
        <w:textAlignment w:val="auto"/>
      </w:pPr>
      <w:rPr>
        <w:rFonts w:cs="Times New Roman"/>
        <w:b/>
        <w:bCs/>
      </w:rPr>
    </w:tblStylePr>
    <w:tblStylePr w:type="band1Vert">
      <w:pPr>
        <w:widowControl/>
        <w:ind w:left="0" w:right="0"/>
        <w:jc w:val="left"/>
        <w:textAlignment w:val="auto"/>
      </w:pPr>
      <w:rPr>
        <w:rFonts w:cs="Times New Roman"/>
      </w:rPr>
      <w:tblPr/>
      <w:tcPr>
        <w:shd w:val="clear" w:color="auto" w:fill="F2F2F2"/>
      </w:tcPr>
    </w:tblStylePr>
    <w:tblStylePr w:type="band1Horz">
      <w:pPr>
        <w:widowControl/>
        <w:ind w:left="0" w:right="0"/>
        <w:jc w:val="left"/>
        <w:textAlignment w:val="auto"/>
      </w:pPr>
      <w:rPr>
        <w:rFonts w:cs="Times New Roman"/>
      </w:rPr>
      <w:tblPr/>
      <w:tcPr>
        <w:shd w:val="clear" w:color="auto" w:fill="F2F2F2"/>
      </w:tcPr>
    </w:tblStylePr>
  </w:style>
  <w:style w:type="paragraph" w:customStyle="1" w:styleId="BasicParagraph">
    <w:name w:val="[Basic Paragraph]"/>
    <w:basedOn w:val="Normal"/>
    <w:uiPriority w:val="99"/>
    <w:semiHidden/>
    <w:rsid w:val="00DC0426"/>
    <w:pPr>
      <w:widowControl w:val="0"/>
      <w:autoSpaceDE w:val="0"/>
      <w:autoSpaceDN w:val="0"/>
      <w:adjustRightInd w:val="0"/>
      <w:spacing w:line="288" w:lineRule="auto"/>
      <w:textAlignment w:val="center"/>
    </w:pPr>
    <w:rPr>
      <w:rFonts w:ascii="MinionPro-Regular" w:hAnsi="MinionPro-Regular" w:cs="MinionPro-Regular"/>
      <w:sz w:val="24"/>
      <w:szCs w:val="24"/>
    </w:rPr>
  </w:style>
  <w:style w:type="paragraph" w:customStyle="1" w:styleId="section">
    <w:name w:val="section"/>
    <w:basedOn w:val="Normal"/>
    <w:rsid w:val="004F5C91"/>
    <w:pPr>
      <w:spacing w:before="100" w:beforeAutospacing="1" w:after="100" w:afterAutospacing="1"/>
    </w:pPr>
    <w:rPr>
      <w:rFonts w:ascii="Times New Roman" w:hAnsi="Times New Roman" w:cs="Times New Roman"/>
      <w:color w:val="auto"/>
      <w:sz w:val="24"/>
      <w:szCs w:val="24"/>
      <w:lang w:eastAsia="en-GB"/>
    </w:rPr>
  </w:style>
  <w:style w:type="paragraph" w:customStyle="1" w:styleId="paragraph">
    <w:name w:val="paragraph"/>
    <w:basedOn w:val="Normal"/>
    <w:rsid w:val="004F5C91"/>
    <w:pPr>
      <w:spacing w:before="100" w:beforeAutospacing="1" w:after="100" w:afterAutospacing="1"/>
    </w:pPr>
    <w:rPr>
      <w:rFonts w:ascii="Times New Roman" w:hAnsi="Times New Roman" w:cs="Times New Roman"/>
      <w:color w:val="auto"/>
      <w:sz w:val="24"/>
      <w:szCs w:val="24"/>
      <w:lang w:eastAsia="en-GB"/>
    </w:rPr>
  </w:style>
  <w:style w:type="character" w:customStyle="1" w:styleId="lawlabel">
    <w:name w:val="lawlabel"/>
    <w:basedOn w:val="DefaultParagraphFont"/>
    <w:rsid w:val="004F5C91"/>
    <w:rPr>
      <w:rFonts w:cs="Times New Roman"/>
    </w:rPr>
  </w:style>
  <w:style w:type="paragraph" w:styleId="ListParagraph">
    <w:name w:val="List Paragraph"/>
    <w:basedOn w:val="Normal"/>
    <w:uiPriority w:val="99"/>
    <w:qFormat/>
    <w:rsid w:val="005B321F"/>
    <w:pPr>
      <w:ind w:left="720"/>
    </w:pPr>
    <w:rPr>
      <w:rFonts w:cs="Times New Roman"/>
      <w:color w:val="auto"/>
      <w:sz w:val="22"/>
      <w:szCs w:val="22"/>
    </w:rPr>
  </w:style>
  <w:style w:type="paragraph" w:styleId="NormalWeb">
    <w:name w:val="Normal (Web)"/>
    <w:basedOn w:val="Normal"/>
    <w:uiPriority w:val="99"/>
    <w:unhideWhenUsed/>
    <w:rsid w:val="005B321F"/>
    <w:pPr>
      <w:spacing w:before="100" w:beforeAutospacing="1" w:after="100" w:afterAutospacing="1"/>
    </w:pPr>
    <w:rPr>
      <w:rFonts w:ascii="Times New Roman" w:hAnsi="Times New Roman" w:cs="Times New Roman"/>
      <w:color w:val="auto"/>
      <w:sz w:val="24"/>
      <w:szCs w:val="24"/>
      <w:lang w:eastAsia="en-GB"/>
    </w:rPr>
  </w:style>
  <w:style w:type="character" w:styleId="Emphasis">
    <w:name w:val="Emphasis"/>
    <w:basedOn w:val="DefaultParagraphFont"/>
    <w:uiPriority w:val="20"/>
    <w:qFormat/>
    <w:rsid w:val="00556157"/>
    <w:rPr>
      <w:rFonts w:cs="Times New Roman"/>
      <w:i/>
      <w:iCs/>
    </w:rPr>
  </w:style>
  <w:style w:type="paragraph" w:styleId="FootnoteText">
    <w:name w:val="footnote text"/>
    <w:basedOn w:val="Normal"/>
    <w:link w:val="FootnoteTextChar"/>
    <w:uiPriority w:val="99"/>
    <w:unhideWhenUsed/>
    <w:qFormat/>
    <w:locked/>
    <w:rsid w:val="00305E5C"/>
    <w:rPr>
      <w:sz w:val="14"/>
    </w:rPr>
  </w:style>
  <w:style w:type="character" w:customStyle="1" w:styleId="FootnoteTextChar">
    <w:name w:val="Footnote Text Char"/>
    <w:basedOn w:val="DefaultParagraphFont"/>
    <w:link w:val="FootnoteText"/>
    <w:uiPriority w:val="99"/>
    <w:rsid w:val="00305E5C"/>
    <w:rPr>
      <w:rFonts w:cs="Arial"/>
      <w:color w:val="000000"/>
      <w:sz w:val="14"/>
      <w:szCs w:val="20"/>
      <w:lang w:eastAsia="en-US"/>
    </w:rPr>
  </w:style>
  <w:style w:type="character" w:styleId="FootnoteReference">
    <w:name w:val="footnote reference"/>
    <w:basedOn w:val="DefaultParagraphFont"/>
    <w:uiPriority w:val="99"/>
    <w:semiHidden/>
    <w:unhideWhenUsed/>
    <w:qFormat/>
    <w:locked/>
    <w:rsid w:val="006C3731"/>
    <w:rPr>
      <w:vertAlign w:val="superscript"/>
    </w:rPr>
  </w:style>
  <w:style w:type="character" w:styleId="Mention">
    <w:name w:val="Mention"/>
    <w:basedOn w:val="DefaultParagraphFont"/>
    <w:uiPriority w:val="99"/>
    <w:rsid w:val="00D73EF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52443">
      <w:bodyDiv w:val="1"/>
      <w:marLeft w:val="0"/>
      <w:marRight w:val="0"/>
      <w:marTop w:val="0"/>
      <w:marBottom w:val="0"/>
      <w:divBdr>
        <w:top w:val="none" w:sz="0" w:space="0" w:color="auto"/>
        <w:left w:val="none" w:sz="0" w:space="0" w:color="auto"/>
        <w:bottom w:val="none" w:sz="0" w:space="0" w:color="auto"/>
        <w:right w:val="none" w:sz="0" w:space="0" w:color="auto"/>
      </w:divBdr>
    </w:div>
    <w:div w:id="206141939">
      <w:bodyDiv w:val="1"/>
      <w:marLeft w:val="0"/>
      <w:marRight w:val="0"/>
      <w:marTop w:val="0"/>
      <w:marBottom w:val="0"/>
      <w:divBdr>
        <w:top w:val="none" w:sz="0" w:space="0" w:color="auto"/>
        <w:left w:val="none" w:sz="0" w:space="0" w:color="auto"/>
        <w:bottom w:val="none" w:sz="0" w:space="0" w:color="auto"/>
        <w:right w:val="none" w:sz="0" w:space="0" w:color="auto"/>
      </w:divBdr>
    </w:div>
    <w:div w:id="265044663">
      <w:bodyDiv w:val="1"/>
      <w:marLeft w:val="0"/>
      <w:marRight w:val="0"/>
      <w:marTop w:val="0"/>
      <w:marBottom w:val="0"/>
      <w:divBdr>
        <w:top w:val="none" w:sz="0" w:space="0" w:color="auto"/>
        <w:left w:val="none" w:sz="0" w:space="0" w:color="auto"/>
        <w:bottom w:val="none" w:sz="0" w:space="0" w:color="auto"/>
        <w:right w:val="none" w:sz="0" w:space="0" w:color="auto"/>
      </w:divBdr>
    </w:div>
    <w:div w:id="274404115">
      <w:bodyDiv w:val="1"/>
      <w:marLeft w:val="0"/>
      <w:marRight w:val="0"/>
      <w:marTop w:val="0"/>
      <w:marBottom w:val="0"/>
      <w:divBdr>
        <w:top w:val="none" w:sz="0" w:space="0" w:color="auto"/>
        <w:left w:val="none" w:sz="0" w:space="0" w:color="auto"/>
        <w:bottom w:val="none" w:sz="0" w:space="0" w:color="auto"/>
        <w:right w:val="none" w:sz="0" w:space="0" w:color="auto"/>
      </w:divBdr>
    </w:div>
    <w:div w:id="284697066">
      <w:bodyDiv w:val="1"/>
      <w:marLeft w:val="0"/>
      <w:marRight w:val="0"/>
      <w:marTop w:val="0"/>
      <w:marBottom w:val="0"/>
      <w:divBdr>
        <w:top w:val="none" w:sz="0" w:space="0" w:color="auto"/>
        <w:left w:val="none" w:sz="0" w:space="0" w:color="auto"/>
        <w:bottom w:val="none" w:sz="0" w:space="0" w:color="auto"/>
        <w:right w:val="none" w:sz="0" w:space="0" w:color="auto"/>
      </w:divBdr>
    </w:div>
    <w:div w:id="295793871">
      <w:bodyDiv w:val="1"/>
      <w:marLeft w:val="0"/>
      <w:marRight w:val="0"/>
      <w:marTop w:val="0"/>
      <w:marBottom w:val="0"/>
      <w:divBdr>
        <w:top w:val="none" w:sz="0" w:space="0" w:color="auto"/>
        <w:left w:val="none" w:sz="0" w:space="0" w:color="auto"/>
        <w:bottom w:val="none" w:sz="0" w:space="0" w:color="auto"/>
        <w:right w:val="none" w:sz="0" w:space="0" w:color="auto"/>
      </w:divBdr>
    </w:div>
    <w:div w:id="367798896">
      <w:bodyDiv w:val="1"/>
      <w:marLeft w:val="0"/>
      <w:marRight w:val="0"/>
      <w:marTop w:val="0"/>
      <w:marBottom w:val="0"/>
      <w:divBdr>
        <w:top w:val="none" w:sz="0" w:space="0" w:color="auto"/>
        <w:left w:val="none" w:sz="0" w:space="0" w:color="auto"/>
        <w:bottom w:val="none" w:sz="0" w:space="0" w:color="auto"/>
        <w:right w:val="none" w:sz="0" w:space="0" w:color="auto"/>
      </w:divBdr>
    </w:div>
    <w:div w:id="368381850">
      <w:bodyDiv w:val="1"/>
      <w:marLeft w:val="0"/>
      <w:marRight w:val="0"/>
      <w:marTop w:val="0"/>
      <w:marBottom w:val="0"/>
      <w:divBdr>
        <w:top w:val="none" w:sz="0" w:space="0" w:color="auto"/>
        <w:left w:val="none" w:sz="0" w:space="0" w:color="auto"/>
        <w:bottom w:val="none" w:sz="0" w:space="0" w:color="auto"/>
        <w:right w:val="none" w:sz="0" w:space="0" w:color="auto"/>
      </w:divBdr>
    </w:div>
    <w:div w:id="369303599">
      <w:bodyDiv w:val="1"/>
      <w:marLeft w:val="0"/>
      <w:marRight w:val="0"/>
      <w:marTop w:val="0"/>
      <w:marBottom w:val="0"/>
      <w:divBdr>
        <w:top w:val="none" w:sz="0" w:space="0" w:color="auto"/>
        <w:left w:val="none" w:sz="0" w:space="0" w:color="auto"/>
        <w:bottom w:val="none" w:sz="0" w:space="0" w:color="auto"/>
        <w:right w:val="none" w:sz="0" w:space="0" w:color="auto"/>
      </w:divBdr>
    </w:div>
    <w:div w:id="450562571">
      <w:bodyDiv w:val="1"/>
      <w:marLeft w:val="0"/>
      <w:marRight w:val="0"/>
      <w:marTop w:val="0"/>
      <w:marBottom w:val="0"/>
      <w:divBdr>
        <w:top w:val="none" w:sz="0" w:space="0" w:color="auto"/>
        <w:left w:val="none" w:sz="0" w:space="0" w:color="auto"/>
        <w:bottom w:val="none" w:sz="0" w:space="0" w:color="auto"/>
        <w:right w:val="none" w:sz="0" w:space="0" w:color="auto"/>
      </w:divBdr>
    </w:div>
    <w:div w:id="466242344">
      <w:bodyDiv w:val="1"/>
      <w:marLeft w:val="0"/>
      <w:marRight w:val="0"/>
      <w:marTop w:val="0"/>
      <w:marBottom w:val="0"/>
      <w:divBdr>
        <w:top w:val="none" w:sz="0" w:space="0" w:color="auto"/>
        <w:left w:val="none" w:sz="0" w:space="0" w:color="auto"/>
        <w:bottom w:val="none" w:sz="0" w:space="0" w:color="auto"/>
        <w:right w:val="none" w:sz="0" w:space="0" w:color="auto"/>
      </w:divBdr>
    </w:div>
    <w:div w:id="501434135">
      <w:bodyDiv w:val="1"/>
      <w:marLeft w:val="0"/>
      <w:marRight w:val="0"/>
      <w:marTop w:val="0"/>
      <w:marBottom w:val="0"/>
      <w:divBdr>
        <w:top w:val="none" w:sz="0" w:space="0" w:color="auto"/>
        <w:left w:val="none" w:sz="0" w:space="0" w:color="auto"/>
        <w:bottom w:val="none" w:sz="0" w:space="0" w:color="auto"/>
        <w:right w:val="none" w:sz="0" w:space="0" w:color="auto"/>
      </w:divBdr>
    </w:div>
    <w:div w:id="517474116">
      <w:bodyDiv w:val="1"/>
      <w:marLeft w:val="0"/>
      <w:marRight w:val="0"/>
      <w:marTop w:val="0"/>
      <w:marBottom w:val="0"/>
      <w:divBdr>
        <w:top w:val="none" w:sz="0" w:space="0" w:color="auto"/>
        <w:left w:val="none" w:sz="0" w:space="0" w:color="auto"/>
        <w:bottom w:val="none" w:sz="0" w:space="0" w:color="auto"/>
        <w:right w:val="none" w:sz="0" w:space="0" w:color="auto"/>
      </w:divBdr>
    </w:div>
    <w:div w:id="544607146">
      <w:bodyDiv w:val="1"/>
      <w:marLeft w:val="0"/>
      <w:marRight w:val="0"/>
      <w:marTop w:val="0"/>
      <w:marBottom w:val="0"/>
      <w:divBdr>
        <w:top w:val="none" w:sz="0" w:space="0" w:color="auto"/>
        <w:left w:val="none" w:sz="0" w:space="0" w:color="auto"/>
        <w:bottom w:val="none" w:sz="0" w:space="0" w:color="auto"/>
        <w:right w:val="none" w:sz="0" w:space="0" w:color="auto"/>
      </w:divBdr>
    </w:div>
    <w:div w:id="565185490">
      <w:bodyDiv w:val="1"/>
      <w:marLeft w:val="0"/>
      <w:marRight w:val="0"/>
      <w:marTop w:val="0"/>
      <w:marBottom w:val="0"/>
      <w:divBdr>
        <w:top w:val="none" w:sz="0" w:space="0" w:color="auto"/>
        <w:left w:val="none" w:sz="0" w:space="0" w:color="auto"/>
        <w:bottom w:val="none" w:sz="0" w:space="0" w:color="auto"/>
        <w:right w:val="none" w:sz="0" w:space="0" w:color="auto"/>
      </w:divBdr>
    </w:div>
    <w:div w:id="566647594">
      <w:bodyDiv w:val="1"/>
      <w:marLeft w:val="0"/>
      <w:marRight w:val="0"/>
      <w:marTop w:val="0"/>
      <w:marBottom w:val="0"/>
      <w:divBdr>
        <w:top w:val="none" w:sz="0" w:space="0" w:color="auto"/>
        <w:left w:val="none" w:sz="0" w:space="0" w:color="auto"/>
        <w:bottom w:val="none" w:sz="0" w:space="0" w:color="auto"/>
        <w:right w:val="none" w:sz="0" w:space="0" w:color="auto"/>
      </w:divBdr>
    </w:div>
    <w:div w:id="584386686">
      <w:bodyDiv w:val="1"/>
      <w:marLeft w:val="0"/>
      <w:marRight w:val="0"/>
      <w:marTop w:val="0"/>
      <w:marBottom w:val="0"/>
      <w:divBdr>
        <w:top w:val="none" w:sz="0" w:space="0" w:color="auto"/>
        <w:left w:val="none" w:sz="0" w:space="0" w:color="auto"/>
        <w:bottom w:val="none" w:sz="0" w:space="0" w:color="auto"/>
        <w:right w:val="none" w:sz="0" w:space="0" w:color="auto"/>
      </w:divBdr>
    </w:div>
    <w:div w:id="634796458">
      <w:bodyDiv w:val="1"/>
      <w:marLeft w:val="0"/>
      <w:marRight w:val="0"/>
      <w:marTop w:val="0"/>
      <w:marBottom w:val="0"/>
      <w:divBdr>
        <w:top w:val="none" w:sz="0" w:space="0" w:color="auto"/>
        <w:left w:val="none" w:sz="0" w:space="0" w:color="auto"/>
        <w:bottom w:val="none" w:sz="0" w:space="0" w:color="auto"/>
        <w:right w:val="none" w:sz="0" w:space="0" w:color="auto"/>
      </w:divBdr>
    </w:div>
    <w:div w:id="635256238">
      <w:bodyDiv w:val="1"/>
      <w:marLeft w:val="0"/>
      <w:marRight w:val="0"/>
      <w:marTop w:val="0"/>
      <w:marBottom w:val="0"/>
      <w:divBdr>
        <w:top w:val="none" w:sz="0" w:space="0" w:color="auto"/>
        <w:left w:val="none" w:sz="0" w:space="0" w:color="auto"/>
        <w:bottom w:val="none" w:sz="0" w:space="0" w:color="auto"/>
        <w:right w:val="none" w:sz="0" w:space="0" w:color="auto"/>
      </w:divBdr>
    </w:div>
    <w:div w:id="659426121">
      <w:bodyDiv w:val="1"/>
      <w:marLeft w:val="0"/>
      <w:marRight w:val="0"/>
      <w:marTop w:val="0"/>
      <w:marBottom w:val="0"/>
      <w:divBdr>
        <w:top w:val="none" w:sz="0" w:space="0" w:color="auto"/>
        <w:left w:val="none" w:sz="0" w:space="0" w:color="auto"/>
        <w:bottom w:val="none" w:sz="0" w:space="0" w:color="auto"/>
        <w:right w:val="none" w:sz="0" w:space="0" w:color="auto"/>
      </w:divBdr>
    </w:div>
    <w:div w:id="704255223">
      <w:bodyDiv w:val="1"/>
      <w:marLeft w:val="0"/>
      <w:marRight w:val="0"/>
      <w:marTop w:val="0"/>
      <w:marBottom w:val="0"/>
      <w:divBdr>
        <w:top w:val="none" w:sz="0" w:space="0" w:color="auto"/>
        <w:left w:val="none" w:sz="0" w:space="0" w:color="auto"/>
        <w:bottom w:val="none" w:sz="0" w:space="0" w:color="auto"/>
        <w:right w:val="none" w:sz="0" w:space="0" w:color="auto"/>
      </w:divBdr>
    </w:div>
    <w:div w:id="733049365">
      <w:bodyDiv w:val="1"/>
      <w:marLeft w:val="0"/>
      <w:marRight w:val="0"/>
      <w:marTop w:val="0"/>
      <w:marBottom w:val="0"/>
      <w:divBdr>
        <w:top w:val="none" w:sz="0" w:space="0" w:color="auto"/>
        <w:left w:val="none" w:sz="0" w:space="0" w:color="auto"/>
        <w:bottom w:val="none" w:sz="0" w:space="0" w:color="auto"/>
        <w:right w:val="none" w:sz="0" w:space="0" w:color="auto"/>
      </w:divBdr>
    </w:div>
    <w:div w:id="733745232">
      <w:bodyDiv w:val="1"/>
      <w:marLeft w:val="0"/>
      <w:marRight w:val="0"/>
      <w:marTop w:val="0"/>
      <w:marBottom w:val="0"/>
      <w:divBdr>
        <w:top w:val="none" w:sz="0" w:space="0" w:color="auto"/>
        <w:left w:val="none" w:sz="0" w:space="0" w:color="auto"/>
        <w:bottom w:val="none" w:sz="0" w:space="0" w:color="auto"/>
        <w:right w:val="none" w:sz="0" w:space="0" w:color="auto"/>
      </w:divBdr>
    </w:div>
    <w:div w:id="771319937">
      <w:bodyDiv w:val="1"/>
      <w:marLeft w:val="0"/>
      <w:marRight w:val="0"/>
      <w:marTop w:val="0"/>
      <w:marBottom w:val="0"/>
      <w:divBdr>
        <w:top w:val="none" w:sz="0" w:space="0" w:color="auto"/>
        <w:left w:val="none" w:sz="0" w:space="0" w:color="auto"/>
        <w:bottom w:val="none" w:sz="0" w:space="0" w:color="auto"/>
        <w:right w:val="none" w:sz="0" w:space="0" w:color="auto"/>
      </w:divBdr>
    </w:div>
    <w:div w:id="816805472">
      <w:bodyDiv w:val="1"/>
      <w:marLeft w:val="0"/>
      <w:marRight w:val="0"/>
      <w:marTop w:val="0"/>
      <w:marBottom w:val="0"/>
      <w:divBdr>
        <w:top w:val="none" w:sz="0" w:space="0" w:color="auto"/>
        <w:left w:val="none" w:sz="0" w:space="0" w:color="auto"/>
        <w:bottom w:val="none" w:sz="0" w:space="0" w:color="auto"/>
        <w:right w:val="none" w:sz="0" w:space="0" w:color="auto"/>
      </w:divBdr>
    </w:div>
    <w:div w:id="824277983">
      <w:bodyDiv w:val="1"/>
      <w:marLeft w:val="0"/>
      <w:marRight w:val="0"/>
      <w:marTop w:val="0"/>
      <w:marBottom w:val="0"/>
      <w:divBdr>
        <w:top w:val="none" w:sz="0" w:space="0" w:color="auto"/>
        <w:left w:val="none" w:sz="0" w:space="0" w:color="auto"/>
        <w:bottom w:val="none" w:sz="0" w:space="0" w:color="auto"/>
        <w:right w:val="none" w:sz="0" w:space="0" w:color="auto"/>
      </w:divBdr>
    </w:div>
    <w:div w:id="862282014">
      <w:bodyDiv w:val="1"/>
      <w:marLeft w:val="0"/>
      <w:marRight w:val="0"/>
      <w:marTop w:val="0"/>
      <w:marBottom w:val="0"/>
      <w:divBdr>
        <w:top w:val="none" w:sz="0" w:space="0" w:color="auto"/>
        <w:left w:val="none" w:sz="0" w:space="0" w:color="auto"/>
        <w:bottom w:val="none" w:sz="0" w:space="0" w:color="auto"/>
        <w:right w:val="none" w:sz="0" w:space="0" w:color="auto"/>
      </w:divBdr>
    </w:div>
    <w:div w:id="879902349">
      <w:bodyDiv w:val="1"/>
      <w:marLeft w:val="0"/>
      <w:marRight w:val="0"/>
      <w:marTop w:val="0"/>
      <w:marBottom w:val="0"/>
      <w:divBdr>
        <w:top w:val="none" w:sz="0" w:space="0" w:color="auto"/>
        <w:left w:val="none" w:sz="0" w:space="0" w:color="auto"/>
        <w:bottom w:val="none" w:sz="0" w:space="0" w:color="auto"/>
        <w:right w:val="none" w:sz="0" w:space="0" w:color="auto"/>
      </w:divBdr>
    </w:div>
    <w:div w:id="880551495">
      <w:bodyDiv w:val="1"/>
      <w:marLeft w:val="0"/>
      <w:marRight w:val="0"/>
      <w:marTop w:val="0"/>
      <w:marBottom w:val="0"/>
      <w:divBdr>
        <w:top w:val="none" w:sz="0" w:space="0" w:color="auto"/>
        <w:left w:val="none" w:sz="0" w:space="0" w:color="auto"/>
        <w:bottom w:val="none" w:sz="0" w:space="0" w:color="auto"/>
        <w:right w:val="none" w:sz="0" w:space="0" w:color="auto"/>
      </w:divBdr>
    </w:div>
    <w:div w:id="906957520">
      <w:bodyDiv w:val="1"/>
      <w:marLeft w:val="0"/>
      <w:marRight w:val="0"/>
      <w:marTop w:val="0"/>
      <w:marBottom w:val="0"/>
      <w:divBdr>
        <w:top w:val="none" w:sz="0" w:space="0" w:color="auto"/>
        <w:left w:val="none" w:sz="0" w:space="0" w:color="auto"/>
        <w:bottom w:val="none" w:sz="0" w:space="0" w:color="auto"/>
        <w:right w:val="none" w:sz="0" w:space="0" w:color="auto"/>
      </w:divBdr>
    </w:div>
    <w:div w:id="919632886">
      <w:bodyDiv w:val="1"/>
      <w:marLeft w:val="0"/>
      <w:marRight w:val="0"/>
      <w:marTop w:val="0"/>
      <w:marBottom w:val="0"/>
      <w:divBdr>
        <w:top w:val="none" w:sz="0" w:space="0" w:color="auto"/>
        <w:left w:val="none" w:sz="0" w:space="0" w:color="auto"/>
        <w:bottom w:val="none" w:sz="0" w:space="0" w:color="auto"/>
        <w:right w:val="none" w:sz="0" w:space="0" w:color="auto"/>
      </w:divBdr>
    </w:div>
    <w:div w:id="941691917">
      <w:bodyDiv w:val="1"/>
      <w:marLeft w:val="0"/>
      <w:marRight w:val="0"/>
      <w:marTop w:val="0"/>
      <w:marBottom w:val="0"/>
      <w:divBdr>
        <w:top w:val="none" w:sz="0" w:space="0" w:color="auto"/>
        <w:left w:val="none" w:sz="0" w:space="0" w:color="auto"/>
        <w:bottom w:val="none" w:sz="0" w:space="0" w:color="auto"/>
        <w:right w:val="none" w:sz="0" w:space="0" w:color="auto"/>
      </w:divBdr>
    </w:div>
    <w:div w:id="1061637109">
      <w:bodyDiv w:val="1"/>
      <w:marLeft w:val="0"/>
      <w:marRight w:val="0"/>
      <w:marTop w:val="0"/>
      <w:marBottom w:val="0"/>
      <w:divBdr>
        <w:top w:val="none" w:sz="0" w:space="0" w:color="auto"/>
        <w:left w:val="none" w:sz="0" w:space="0" w:color="auto"/>
        <w:bottom w:val="none" w:sz="0" w:space="0" w:color="auto"/>
        <w:right w:val="none" w:sz="0" w:space="0" w:color="auto"/>
      </w:divBdr>
    </w:div>
    <w:div w:id="1148325873">
      <w:bodyDiv w:val="1"/>
      <w:marLeft w:val="0"/>
      <w:marRight w:val="0"/>
      <w:marTop w:val="0"/>
      <w:marBottom w:val="0"/>
      <w:divBdr>
        <w:top w:val="none" w:sz="0" w:space="0" w:color="auto"/>
        <w:left w:val="none" w:sz="0" w:space="0" w:color="auto"/>
        <w:bottom w:val="none" w:sz="0" w:space="0" w:color="auto"/>
        <w:right w:val="none" w:sz="0" w:space="0" w:color="auto"/>
      </w:divBdr>
    </w:div>
    <w:div w:id="1194073441">
      <w:bodyDiv w:val="1"/>
      <w:marLeft w:val="0"/>
      <w:marRight w:val="0"/>
      <w:marTop w:val="0"/>
      <w:marBottom w:val="0"/>
      <w:divBdr>
        <w:top w:val="none" w:sz="0" w:space="0" w:color="auto"/>
        <w:left w:val="none" w:sz="0" w:space="0" w:color="auto"/>
        <w:bottom w:val="none" w:sz="0" w:space="0" w:color="auto"/>
        <w:right w:val="none" w:sz="0" w:space="0" w:color="auto"/>
      </w:divBdr>
    </w:div>
    <w:div w:id="1255093390">
      <w:bodyDiv w:val="1"/>
      <w:marLeft w:val="0"/>
      <w:marRight w:val="0"/>
      <w:marTop w:val="0"/>
      <w:marBottom w:val="0"/>
      <w:divBdr>
        <w:top w:val="none" w:sz="0" w:space="0" w:color="auto"/>
        <w:left w:val="none" w:sz="0" w:space="0" w:color="auto"/>
        <w:bottom w:val="none" w:sz="0" w:space="0" w:color="auto"/>
        <w:right w:val="none" w:sz="0" w:space="0" w:color="auto"/>
      </w:divBdr>
    </w:div>
    <w:div w:id="1289893775">
      <w:bodyDiv w:val="1"/>
      <w:marLeft w:val="0"/>
      <w:marRight w:val="0"/>
      <w:marTop w:val="0"/>
      <w:marBottom w:val="0"/>
      <w:divBdr>
        <w:top w:val="none" w:sz="0" w:space="0" w:color="auto"/>
        <w:left w:val="none" w:sz="0" w:space="0" w:color="auto"/>
        <w:bottom w:val="none" w:sz="0" w:space="0" w:color="auto"/>
        <w:right w:val="none" w:sz="0" w:space="0" w:color="auto"/>
      </w:divBdr>
    </w:div>
    <w:div w:id="1328829133">
      <w:bodyDiv w:val="1"/>
      <w:marLeft w:val="0"/>
      <w:marRight w:val="0"/>
      <w:marTop w:val="0"/>
      <w:marBottom w:val="0"/>
      <w:divBdr>
        <w:top w:val="none" w:sz="0" w:space="0" w:color="auto"/>
        <w:left w:val="none" w:sz="0" w:space="0" w:color="auto"/>
        <w:bottom w:val="none" w:sz="0" w:space="0" w:color="auto"/>
        <w:right w:val="none" w:sz="0" w:space="0" w:color="auto"/>
      </w:divBdr>
    </w:div>
    <w:div w:id="1597132605">
      <w:bodyDiv w:val="1"/>
      <w:marLeft w:val="0"/>
      <w:marRight w:val="0"/>
      <w:marTop w:val="0"/>
      <w:marBottom w:val="0"/>
      <w:divBdr>
        <w:top w:val="none" w:sz="0" w:space="0" w:color="auto"/>
        <w:left w:val="none" w:sz="0" w:space="0" w:color="auto"/>
        <w:bottom w:val="none" w:sz="0" w:space="0" w:color="auto"/>
        <w:right w:val="none" w:sz="0" w:space="0" w:color="auto"/>
      </w:divBdr>
    </w:div>
    <w:div w:id="1598637978">
      <w:bodyDiv w:val="1"/>
      <w:marLeft w:val="0"/>
      <w:marRight w:val="0"/>
      <w:marTop w:val="0"/>
      <w:marBottom w:val="0"/>
      <w:divBdr>
        <w:top w:val="none" w:sz="0" w:space="0" w:color="auto"/>
        <w:left w:val="none" w:sz="0" w:space="0" w:color="auto"/>
        <w:bottom w:val="none" w:sz="0" w:space="0" w:color="auto"/>
        <w:right w:val="none" w:sz="0" w:space="0" w:color="auto"/>
      </w:divBdr>
    </w:div>
    <w:div w:id="1633631462">
      <w:bodyDiv w:val="1"/>
      <w:marLeft w:val="0"/>
      <w:marRight w:val="0"/>
      <w:marTop w:val="0"/>
      <w:marBottom w:val="0"/>
      <w:divBdr>
        <w:top w:val="none" w:sz="0" w:space="0" w:color="auto"/>
        <w:left w:val="none" w:sz="0" w:space="0" w:color="auto"/>
        <w:bottom w:val="none" w:sz="0" w:space="0" w:color="auto"/>
        <w:right w:val="none" w:sz="0" w:space="0" w:color="auto"/>
      </w:divBdr>
      <w:divsChild>
        <w:div w:id="440952891">
          <w:marLeft w:val="0"/>
          <w:marRight w:val="0"/>
          <w:marTop w:val="0"/>
          <w:marBottom w:val="0"/>
          <w:divBdr>
            <w:top w:val="single" w:sz="2" w:space="0" w:color="D9D9E3"/>
            <w:left w:val="single" w:sz="2" w:space="0" w:color="D9D9E3"/>
            <w:bottom w:val="single" w:sz="2" w:space="0" w:color="D9D9E3"/>
            <w:right w:val="single" w:sz="2" w:space="0" w:color="D9D9E3"/>
          </w:divBdr>
          <w:divsChild>
            <w:div w:id="905342277">
              <w:marLeft w:val="0"/>
              <w:marRight w:val="0"/>
              <w:marTop w:val="0"/>
              <w:marBottom w:val="0"/>
              <w:divBdr>
                <w:top w:val="single" w:sz="2" w:space="0" w:color="D9D9E3"/>
                <w:left w:val="single" w:sz="2" w:space="0" w:color="D9D9E3"/>
                <w:bottom w:val="single" w:sz="2" w:space="0" w:color="D9D9E3"/>
                <w:right w:val="single" w:sz="2" w:space="0" w:color="D9D9E3"/>
              </w:divBdr>
              <w:divsChild>
                <w:div w:id="1597248828">
                  <w:marLeft w:val="0"/>
                  <w:marRight w:val="0"/>
                  <w:marTop w:val="0"/>
                  <w:marBottom w:val="0"/>
                  <w:divBdr>
                    <w:top w:val="single" w:sz="2" w:space="0" w:color="D9D9E3"/>
                    <w:left w:val="single" w:sz="2" w:space="0" w:color="D9D9E3"/>
                    <w:bottom w:val="single" w:sz="2" w:space="0" w:color="D9D9E3"/>
                    <w:right w:val="single" w:sz="2" w:space="0" w:color="D9D9E3"/>
                  </w:divBdr>
                  <w:divsChild>
                    <w:div w:id="2074040929">
                      <w:marLeft w:val="0"/>
                      <w:marRight w:val="0"/>
                      <w:marTop w:val="0"/>
                      <w:marBottom w:val="0"/>
                      <w:divBdr>
                        <w:top w:val="single" w:sz="2" w:space="0" w:color="D9D9E3"/>
                        <w:left w:val="single" w:sz="2" w:space="0" w:color="D9D9E3"/>
                        <w:bottom w:val="single" w:sz="2" w:space="0" w:color="D9D9E3"/>
                        <w:right w:val="single" w:sz="2" w:space="0" w:color="D9D9E3"/>
                      </w:divBdr>
                      <w:divsChild>
                        <w:div w:id="384723949">
                          <w:marLeft w:val="0"/>
                          <w:marRight w:val="0"/>
                          <w:marTop w:val="0"/>
                          <w:marBottom w:val="0"/>
                          <w:divBdr>
                            <w:top w:val="single" w:sz="2" w:space="0" w:color="auto"/>
                            <w:left w:val="single" w:sz="2" w:space="0" w:color="auto"/>
                            <w:bottom w:val="single" w:sz="6" w:space="0" w:color="auto"/>
                            <w:right w:val="single" w:sz="2" w:space="0" w:color="auto"/>
                          </w:divBdr>
                          <w:divsChild>
                            <w:div w:id="818376502">
                              <w:marLeft w:val="0"/>
                              <w:marRight w:val="0"/>
                              <w:marTop w:val="100"/>
                              <w:marBottom w:val="100"/>
                              <w:divBdr>
                                <w:top w:val="single" w:sz="2" w:space="0" w:color="D9D9E3"/>
                                <w:left w:val="single" w:sz="2" w:space="0" w:color="D9D9E3"/>
                                <w:bottom w:val="single" w:sz="2" w:space="0" w:color="D9D9E3"/>
                                <w:right w:val="single" w:sz="2" w:space="0" w:color="D9D9E3"/>
                              </w:divBdr>
                              <w:divsChild>
                                <w:div w:id="1337852232">
                                  <w:marLeft w:val="0"/>
                                  <w:marRight w:val="0"/>
                                  <w:marTop w:val="0"/>
                                  <w:marBottom w:val="0"/>
                                  <w:divBdr>
                                    <w:top w:val="single" w:sz="2" w:space="0" w:color="D9D9E3"/>
                                    <w:left w:val="single" w:sz="2" w:space="0" w:color="D9D9E3"/>
                                    <w:bottom w:val="single" w:sz="2" w:space="0" w:color="D9D9E3"/>
                                    <w:right w:val="single" w:sz="2" w:space="0" w:color="D9D9E3"/>
                                  </w:divBdr>
                                  <w:divsChild>
                                    <w:div w:id="1415712304">
                                      <w:marLeft w:val="0"/>
                                      <w:marRight w:val="0"/>
                                      <w:marTop w:val="0"/>
                                      <w:marBottom w:val="0"/>
                                      <w:divBdr>
                                        <w:top w:val="single" w:sz="2" w:space="0" w:color="D9D9E3"/>
                                        <w:left w:val="single" w:sz="2" w:space="0" w:color="D9D9E3"/>
                                        <w:bottom w:val="single" w:sz="2" w:space="0" w:color="D9D9E3"/>
                                        <w:right w:val="single" w:sz="2" w:space="0" w:color="D9D9E3"/>
                                      </w:divBdr>
                                      <w:divsChild>
                                        <w:div w:id="1405224375">
                                          <w:marLeft w:val="0"/>
                                          <w:marRight w:val="0"/>
                                          <w:marTop w:val="0"/>
                                          <w:marBottom w:val="0"/>
                                          <w:divBdr>
                                            <w:top w:val="single" w:sz="2" w:space="0" w:color="D9D9E3"/>
                                            <w:left w:val="single" w:sz="2" w:space="0" w:color="D9D9E3"/>
                                            <w:bottom w:val="single" w:sz="2" w:space="0" w:color="D9D9E3"/>
                                            <w:right w:val="single" w:sz="2" w:space="0" w:color="D9D9E3"/>
                                          </w:divBdr>
                                          <w:divsChild>
                                            <w:div w:id="1017119459">
                                              <w:marLeft w:val="0"/>
                                              <w:marRight w:val="0"/>
                                              <w:marTop w:val="0"/>
                                              <w:marBottom w:val="0"/>
                                              <w:divBdr>
                                                <w:top w:val="single" w:sz="2" w:space="0" w:color="D9D9E3"/>
                                                <w:left w:val="single" w:sz="2" w:space="0" w:color="D9D9E3"/>
                                                <w:bottom w:val="single" w:sz="2" w:space="0" w:color="D9D9E3"/>
                                                <w:right w:val="single" w:sz="2" w:space="0" w:color="D9D9E3"/>
                                              </w:divBdr>
                                              <w:divsChild>
                                                <w:div w:id="1638222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59780642">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713647926">
      <w:bodyDiv w:val="1"/>
      <w:marLeft w:val="0"/>
      <w:marRight w:val="0"/>
      <w:marTop w:val="0"/>
      <w:marBottom w:val="0"/>
      <w:divBdr>
        <w:top w:val="none" w:sz="0" w:space="0" w:color="auto"/>
        <w:left w:val="none" w:sz="0" w:space="0" w:color="auto"/>
        <w:bottom w:val="none" w:sz="0" w:space="0" w:color="auto"/>
        <w:right w:val="none" w:sz="0" w:space="0" w:color="auto"/>
      </w:divBdr>
    </w:div>
    <w:div w:id="1757896964">
      <w:bodyDiv w:val="1"/>
      <w:marLeft w:val="0"/>
      <w:marRight w:val="0"/>
      <w:marTop w:val="0"/>
      <w:marBottom w:val="0"/>
      <w:divBdr>
        <w:top w:val="none" w:sz="0" w:space="0" w:color="auto"/>
        <w:left w:val="none" w:sz="0" w:space="0" w:color="auto"/>
        <w:bottom w:val="none" w:sz="0" w:space="0" w:color="auto"/>
        <w:right w:val="none" w:sz="0" w:space="0" w:color="auto"/>
      </w:divBdr>
    </w:div>
    <w:div w:id="1788769888">
      <w:bodyDiv w:val="1"/>
      <w:marLeft w:val="0"/>
      <w:marRight w:val="0"/>
      <w:marTop w:val="0"/>
      <w:marBottom w:val="0"/>
      <w:divBdr>
        <w:top w:val="none" w:sz="0" w:space="0" w:color="auto"/>
        <w:left w:val="none" w:sz="0" w:space="0" w:color="auto"/>
        <w:bottom w:val="none" w:sz="0" w:space="0" w:color="auto"/>
        <w:right w:val="none" w:sz="0" w:space="0" w:color="auto"/>
      </w:divBdr>
    </w:div>
    <w:div w:id="1798143174">
      <w:bodyDiv w:val="1"/>
      <w:marLeft w:val="0"/>
      <w:marRight w:val="0"/>
      <w:marTop w:val="0"/>
      <w:marBottom w:val="0"/>
      <w:divBdr>
        <w:top w:val="none" w:sz="0" w:space="0" w:color="auto"/>
        <w:left w:val="none" w:sz="0" w:space="0" w:color="auto"/>
        <w:bottom w:val="none" w:sz="0" w:space="0" w:color="auto"/>
        <w:right w:val="none" w:sz="0" w:space="0" w:color="auto"/>
      </w:divBdr>
    </w:div>
    <w:div w:id="1825925685">
      <w:bodyDiv w:val="1"/>
      <w:marLeft w:val="0"/>
      <w:marRight w:val="0"/>
      <w:marTop w:val="0"/>
      <w:marBottom w:val="0"/>
      <w:divBdr>
        <w:top w:val="none" w:sz="0" w:space="0" w:color="auto"/>
        <w:left w:val="none" w:sz="0" w:space="0" w:color="auto"/>
        <w:bottom w:val="none" w:sz="0" w:space="0" w:color="auto"/>
        <w:right w:val="none" w:sz="0" w:space="0" w:color="auto"/>
      </w:divBdr>
    </w:div>
    <w:div w:id="1841190648">
      <w:bodyDiv w:val="1"/>
      <w:marLeft w:val="0"/>
      <w:marRight w:val="0"/>
      <w:marTop w:val="0"/>
      <w:marBottom w:val="0"/>
      <w:divBdr>
        <w:top w:val="none" w:sz="0" w:space="0" w:color="auto"/>
        <w:left w:val="none" w:sz="0" w:space="0" w:color="auto"/>
        <w:bottom w:val="none" w:sz="0" w:space="0" w:color="auto"/>
        <w:right w:val="none" w:sz="0" w:space="0" w:color="auto"/>
      </w:divBdr>
    </w:div>
    <w:div w:id="1900436468">
      <w:bodyDiv w:val="1"/>
      <w:marLeft w:val="0"/>
      <w:marRight w:val="0"/>
      <w:marTop w:val="0"/>
      <w:marBottom w:val="0"/>
      <w:divBdr>
        <w:top w:val="none" w:sz="0" w:space="0" w:color="auto"/>
        <w:left w:val="none" w:sz="0" w:space="0" w:color="auto"/>
        <w:bottom w:val="none" w:sz="0" w:space="0" w:color="auto"/>
        <w:right w:val="none" w:sz="0" w:space="0" w:color="auto"/>
      </w:divBdr>
    </w:div>
    <w:div w:id="1958248309">
      <w:bodyDiv w:val="1"/>
      <w:marLeft w:val="0"/>
      <w:marRight w:val="0"/>
      <w:marTop w:val="0"/>
      <w:marBottom w:val="0"/>
      <w:divBdr>
        <w:top w:val="none" w:sz="0" w:space="0" w:color="auto"/>
        <w:left w:val="none" w:sz="0" w:space="0" w:color="auto"/>
        <w:bottom w:val="none" w:sz="0" w:space="0" w:color="auto"/>
        <w:right w:val="none" w:sz="0" w:space="0" w:color="auto"/>
      </w:divBdr>
    </w:div>
    <w:div w:id="1967158827">
      <w:bodyDiv w:val="1"/>
      <w:marLeft w:val="0"/>
      <w:marRight w:val="0"/>
      <w:marTop w:val="0"/>
      <w:marBottom w:val="0"/>
      <w:divBdr>
        <w:top w:val="none" w:sz="0" w:space="0" w:color="auto"/>
        <w:left w:val="none" w:sz="0" w:space="0" w:color="auto"/>
        <w:bottom w:val="none" w:sz="0" w:space="0" w:color="auto"/>
        <w:right w:val="none" w:sz="0" w:space="0" w:color="auto"/>
      </w:divBdr>
    </w:div>
    <w:div w:id="2000499843">
      <w:bodyDiv w:val="1"/>
      <w:marLeft w:val="0"/>
      <w:marRight w:val="0"/>
      <w:marTop w:val="0"/>
      <w:marBottom w:val="0"/>
      <w:divBdr>
        <w:top w:val="none" w:sz="0" w:space="0" w:color="auto"/>
        <w:left w:val="none" w:sz="0" w:space="0" w:color="auto"/>
        <w:bottom w:val="none" w:sz="0" w:space="0" w:color="auto"/>
        <w:right w:val="none" w:sz="0" w:space="0" w:color="auto"/>
      </w:divBdr>
    </w:div>
    <w:div w:id="2009550227">
      <w:bodyDiv w:val="1"/>
      <w:marLeft w:val="0"/>
      <w:marRight w:val="0"/>
      <w:marTop w:val="0"/>
      <w:marBottom w:val="0"/>
      <w:divBdr>
        <w:top w:val="none" w:sz="0" w:space="0" w:color="auto"/>
        <w:left w:val="none" w:sz="0" w:space="0" w:color="auto"/>
        <w:bottom w:val="none" w:sz="0" w:space="0" w:color="auto"/>
        <w:right w:val="none" w:sz="0" w:space="0" w:color="auto"/>
      </w:divBdr>
    </w:div>
    <w:div w:id="2017341187">
      <w:bodyDiv w:val="1"/>
      <w:marLeft w:val="0"/>
      <w:marRight w:val="0"/>
      <w:marTop w:val="0"/>
      <w:marBottom w:val="0"/>
      <w:divBdr>
        <w:top w:val="none" w:sz="0" w:space="0" w:color="auto"/>
        <w:left w:val="none" w:sz="0" w:space="0" w:color="auto"/>
        <w:bottom w:val="none" w:sz="0" w:space="0" w:color="auto"/>
        <w:right w:val="none" w:sz="0" w:space="0" w:color="auto"/>
      </w:divBdr>
    </w:div>
    <w:div w:id="2119447825">
      <w:bodyDiv w:val="1"/>
      <w:marLeft w:val="0"/>
      <w:marRight w:val="0"/>
      <w:marTop w:val="0"/>
      <w:marBottom w:val="0"/>
      <w:divBdr>
        <w:top w:val="none" w:sz="0" w:space="0" w:color="auto"/>
        <w:left w:val="none" w:sz="0" w:space="0" w:color="auto"/>
        <w:bottom w:val="none" w:sz="0" w:space="0" w:color="auto"/>
        <w:right w:val="none" w:sz="0" w:space="0" w:color="auto"/>
      </w:divBdr>
    </w:div>
    <w:div w:id="2129926219">
      <w:bodyDiv w:val="1"/>
      <w:marLeft w:val="0"/>
      <w:marRight w:val="0"/>
      <w:marTop w:val="0"/>
      <w:marBottom w:val="0"/>
      <w:divBdr>
        <w:top w:val="none" w:sz="0" w:space="0" w:color="auto"/>
        <w:left w:val="none" w:sz="0" w:space="0" w:color="auto"/>
        <w:bottom w:val="none" w:sz="0" w:space="0" w:color="auto"/>
        <w:right w:val="none" w:sz="0" w:space="0" w:color="auto"/>
      </w:divBdr>
    </w:div>
    <w:div w:id="213070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4.pn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facebook.com/AmnistiaAmericas/" TargetMode="Externa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www.facebook.com/AmnistiaAmericas/"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file://esma0-vs-dc1ro/ES_Common/Publishing/TRADUCCI&#211;N/PROYECTOS/JUL22-GLO89/es-ES/info@amnesty.org" TargetMode="External"/><Relationship Id="rId20" Type="http://schemas.openxmlformats.org/officeDocument/2006/relationships/hyperlink" Target="file://esma0-vs-dc1ro/ES_Common/Publishing/TRADUCCI&#211;N/PROYECTOS/JUL22-GLO89/es-ES/info@amnesty.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mnesty.org/es/permission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www.amnesty.org/es/permissions/"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s://www.amnesty.org/es/documents/amr53/2909/2020/es/" TargetMode="External"/><Relationship Id="rId21" Type="http://schemas.openxmlformats.org/officeDocument/2006/relationships/hyperlink" Target="https://www.amnesty.org/es/documents/amr53/2909/2020/es/" TargetMode="External"/><Relationship Id="rId42" Type="http://schemas.openxmlformats.org/officeDocument/2006/relationships/hyperlink" Target="https://www.amnesty.org/es/documents/amr53/6014/2017/es/" TargetMode="External"/><Relationship Id="rId47" Type="http://schemas.openxmlformats.org/officeDocument/2006/relationships/hyperlink" Target="https://www.amnesty.org/es/documents/amr53/5133/2022/es/" TargetMode="External"/><Relationship Id="rId63" Type="http://schemas.openxmlformats.org/officeDocument/2006/relationships/hyperlink" Target="https://www.amnesty.org/es/documents/amr53/2019/2020/es/" TargetMode="External"/><Relationship Id="rId68" Type="http://schemas.openxmlformats.org/officeDocument/2006/relationships/hyperlink" Target="https://www.amnesty.org/es/documents/amr53/0222/2019/es/" TargetMode="External"/><Relationship Id="rId16" Type="http://schemas.openxmlformats.org/officeDocument/2006/relationships/hyperlink" Target="https://www.ohchr.org/sites/default/files/Documents/HRBodies/HRCouncil/FFMV/A-HRC-48-CRP.5_SP.pdf" TargetMode="External"/><Relationship Id="rId11" Type="http://schemas.openxmlformats.org/officeDocument/2006/relationships/hyperlink" Target="https://documents-dds-ny.un.org/doc/UNDOC/GEN/G19/301/95/PDF/G1930195.pdf?OpenElement" TargetMode="External"/><Relationship Id="rId32" Type="http://schemas.openxmlformats.org/officeDocument/2006/relationships/hyperlink" Target="https://eldiario.com/2023/04/13/una-ventana-a-la-libertad-el-hacinamiento-en-calabozos-de-venezuela-fue-de-334-en-2022/" TargetMode="External"/><Relationship Id="rId37" Type="http://schemas.openxmlformats.org/officeDocument/2006/relationships/hyperlink" Target="https://foropenal.com/reporte-sobre-la-represion-en-venezuela-marzo-2023/" TargetMode="External"/><Relationship Id="rId53" Type="http://schemas.openxmlformats.org/officeDocument/2006/relationships/hyperlink" Target="https://www.amnesty.org/es/documents/amr53/7077/2023/es/" TargetMode="External"/><Relationship Id="rId58" Type="http://schemas.openxmlformats.org/officeDocument/2006/relationships/hyperlink" Target="https://espaciopublico.ong/informe-2022-situacion-del-derecho-a-la-libertad-de-expresion-e-informacion-en-venezuela/" TargetMode="External"/><Relationship Id="rId74" Type="http://schemas.openxmlformats.org/officeDocument/2006/relationships/hyperlink" Target="https://www.infobae.com/america/venezuela/2021/07/02/el-regimen-venezolano-detuvo-a-javier-tarazona-asi-actua-maduro-contra-los-que-denuncian-sus-atrocidades/" TargetMode="External"/><Relationship Id="rId79" Type="http://schemas.openxmlformats.org/officeDocument/2006/relationships/hyperlink" Target="https://cepaz.org/articulos/las-inhabilitaciones-politicas-obstaculizan-el-camino-hacia-unas-elecciones-autenticas-y-democraticas/" TargetMode="External"/><Relationship Id="rId5" Type="http://schemas.openxmlformats.org/officeDocument/2006/relationships/hyperlink" Target="https://www.dw.com/es/el-arco-minero-venezolano-una-pol%C3%ADtica-depredadora/a-61934013" TargetMode="External"/><Relationship Id="rId61" Type="http://schemas.openxmlformats.org/officeDocument/2006/relationships/hyperlink" Target="https://www.elnacional.com/venezuela/el-regimen-ordena-a-el-nacional-pago-de-aproximadamente-13-millones-de-dolares-por-indemnizacion-a-diosdado-cabello-por-dano-moral/" TargetMode="External"/><Relationship Id="rId82" Type="http://schemas.openxmlformats.org/officeDocument/2006/relationships/hyperlink" Target="https://www.eeas.europa.eu/sites/default/files/eu_eom_ven_2021_fr_es.pdf" TargetMode="External"/><Relationship Id="rId19" Type="http://schemas.openxmlformats.org/officeDocument/2006/relationships/hyperlink" Target="https://www.amnesty.org/es/latest/news/2020/05/venezuela-masacre-centro-detencion-guanare-no-debe-quedar-impune/" TargetMode="External"/><Relationship Id="rId14" Type="http://schemas.openxmlformats.org/officeDocument/2006/relationships/hyperlink" Target="https://www.amnesty.org/es/documents/amr53/3632/2021/es/" TargetMode="External"/><Relationship Id="rId22" Type="http://schemas.openxmlformats.org/officeDocument/2006/relationships/hyperlink" Target="https://www.ohchr.org/sites/default/files/Documents/HRBodies/HRCouncil/FFMV/A-HRC-48-CRP.5_SP.pdf" TargetMode="External"/><Relationship Id="rId27" Type="http://schemas.openxmlformats.org/officeDocument/2006/relationships/hyperlink" Target="https://www.amnesty.org/es/documents/amr53/7077/2023/es/" TargetMode="External"/><Relationship Id="rId30" Type="http://schemas.openxmlformats.org/officeDocument/2006/relationships/hyperlink" Target="https://www.amnesty.org/es/documents/amr53/7077/2023/es/" TargetMode="External"/><Relationship Id="rId35" Type="http://schemas.openxmlformats.org/officeDocument/2006/relationships/hyperlink" Target="https://www.amnesty.org/es/documents/amr53/6014/2017/es/" TargetMode="External"/><Relationship Id="rId43" Type="http://schemas.openxmlformats.org/officeDocument/2006/relationships/hyperlink" Target="https://www.amnesty.org/es/documents/amr53/7077/2023/es/" TargetMode="External"/><Relationship Id="rId48" Type="http://schemas.openxmlformats.org/officeDocument/2006/relationships/hyperlink" Target="https://www.amnesty.org/es/documents/amr53/7077/2023/es/" TargetMode="External"/><Relationship Id="rId56" Type="http://schemas.openxmlformats.org/officeDocument/2006/relationships/hyperlink" Target="https://transparenciave.org/wp-content/uploads/2022/01/Nuestro-Presupuesto-2022_a.pdf" TargetMode="External"/><Relationship Id="rId64" Type="http://schemas.openxmlformats.org/officeDocument/2006/relationships/hyperlink" Target="https://www.amnesty.org/es/documents/amr53/7077/2023/es/" TargetMode="External"/><Relationship Id="rId69" Type="http://schemas.openxmlformats.org/officeDocument/2006/relationships/hyperlink" Target="https://www.ohchr.org/sites/default/files/Documents/HRBodies/HRCouncil/FFMV/A-HRC-48-CRP.5_SP.pdf" TargetMode="External"/><Relationship Id="rId77" Type="http://schemas.openxmlformats.org/officeDocument/2006/relationships/hyperlink" Target="https://www.amnesty.org/es/documents/amr53/6379/2023/es/" TargetMode="External"/><Relationship Id="rId8" Type="http://schemas.openxmlformats.org/officeDocument/2006/relationships/hyperlink" Target="https://cepaz.org/wp-content/uploads/2023/05/CEDAW_Justicia.VBG_.pdf" TargetMode="External"/><Relationship Id="rId51" Type="http://schemas.openxmlformats.org/officeDocument/2006/relationships/hyperlink" Target="https://accesoalajusticia.org/wp-content/uploads/securepdfs/2022/05/La-administracion-de-justicia-penal-en-Venezuela.pdf" TargetMode="External"/><Relationship Id="rId72" Type="http://schemas.openxmlformats.org/officeDocument/2006/relationships/hyperlink" Target="https://www.r4v.info/es/home" TargetMode="External"/><Relationship Id="rId80" Type="http://schemas.openxmlformats.org/officeDocument/2006/relationships/hyperlink" Target="https://www.eeas.europa.eu/sites/default/files/eu_eom_ven_2021_fr_es.pdf" TargetMode="External"/><Relationship Id="rId3" Type="http://schemas.openxmlformats.org/officeDocument/2006/relationships/hyperlink" Target="http://www.tsj.gob.ve/-/tribunal-supremo-de-justicia-declara-nulidad-de-norma-preconstitucional-del-codigo-organico-de-justicia-militar" TargetMode="External"/><Relationship Id="rId12" Type="http://schemas.openxmlformats.org/officeDocument/2006/relationships/hyperlink" Target="https://www.ohchr.org/sites/default/files/Documents/HRBodies/HRCouncil/FFMV/A_HRC_45_CRP.11_SP.pdf" TargetMode="External"/><Relationship Id="rId17" Type="http://schemas.openxmlformats.org/officeDocument/2006/relationships/hyperlink" Target="https://www.ohchr.org/es/documents/country-reports/independence-justice-system-and-access-justice-bolivarian-republic" TargetMode="External"/><Relationship Id="rId25" Type="http://schemas.openxmlformats.org/officeDocument/2006/relationships/hyperlink" Target="https://www.ohchr.org/sites/default/files/Documents/HRBodies/HRCouncil/FFMV/A-HRC-48-CRP.5_SP.pdf" TargetMode="External"/><Relationship Id="rId33" Type="http://schemas.openxmlformats.org/officeDocument/2006/relationships/hyperlink" Target="https://www.amnesty.org/es/documents/amr53/6668/2023/es/" TargetMode="External"/><Relationship Id="rId38" Type="http://schemas.openxmlformats.org/officeDocument/2006/relationships/hyperlink" Target="https://foropenal.com/reporte-sobre-la-represion-en-venezuela-marzo-2023/" TargetMode="External"/><Relationship Id="rId46" Type="http://schemas.openxmlformats.org/officeDocument/2006/relationships/hyperlink" Target="https://documents-dds-ny.un.org/doc/UNDOC/GEN/N15/443/45/PDF/N1544345.pdf?OpenElement" TargetMode="External"/><Relationship Id="rId59" Type="http://schemas.openxmlformats.org/officeDocument/2006/relationships/hyperlink" Target="https://espaciopublico.ong/informe-2022-situacion-del-derecho-a-la-libertad-de-expresion-e-informacion-en-venezuela/" TargetMode="External"/><Relationship Id="rId67" Type="http://schemas.openxmlformats.org/officeDocument/2006/relationships/hyperlink" Target="https://www.oas.org/es/cidh/informes/pdfs/venezuela2018-es.pdf" TargetMode="External"/><Relationship Id="rId20" Type="http://schemas.openxmlformats.org/officeDocument/2006/relationships/hyperlink" Target="https://foropenal.com/reporte-sobre-la-represion-en-venezuela-ano-2021/" TargetMode="External"/><Relationship Id="rId41" Type="http://schemas.openxmlformats.org/officeDocument/2006/relationships/hyperlink" Target="https://www.amnesty.org/es/documents/amr53/6014/2017/es/" TargetMode="External"/><Relationship Id="rId54" Type="http://schemas.openxmlformats.org/officeDocument/2006/relationships/hyperlink" Target="https://accesoalajusticia.org/ley-de-reforma-parcial-del-codigo-organico-de-justicia-militar/" TargetMode="External"/><Relationship Id="rId62" Type="http://schemas.openxmlformats.org/officeDocument/2006/relationships/hyperlink" Target="https://www.amnesty.org/es/latest/press-release/2019/03/venezuela-authorities-must-free-luis-carlos-diaz-immediately/" TargetMode="External"/><Relationship Id="rId70" Type="http://schemas.openxmlformats.org/officeDocument/2006/relationships/hyperlink" Target="https://www.observatoriodeconflictos.org.ve/tendencias-de-la-conflictividad/conflictividad-durante-el-primer-semestre-de-2023" TargetMode="External"/><Relationship Id="rId75" Type="http://schemas.openxmlformats.org/officeDocument/2006/relationships/hyperlink" Target="https://oevenezolano.org/2020/06/boletin-44-decisiones-del-tsj-impactan-el-sistema-de-partidos-y-la-oferta-electoral/" TargetMode="External"/><Relationship Id="rId1" Type="http://schemas.openxmlformats.org/officeDocument/2006/relationships/hyperlink" Target="https://www.amnesty.org/es/documents/amr53/6379/2023/es/" TargetMode="External"/><Relationship Id="rId6" Type="http://schemas.openxmlformats.org/officeDocument/2006/relationships/hyperlink" Target="https://www.amnesty.org/es/documents/amr53/5454/2022/es/?utm_source=annual_report&amp;utm_medium=epub&amp;utm_campaign=2021" TargetMode="External"/><Relationship Id="rId15" Type="http://schemas.openxmlformats.org/officeDocument/2006/relationships/hyperlink" Target="https://www.amnesty.org/es/documents/amr53/0222/2019/es/" TargetMode="External"/><Relationship Id="rId23" Type="http://schemas.openxmlformats.org/officeDocument/2006/relationships/hyperlink" Target="https://www.ohchr.org/SP/HRBodies/HRC/Pages/NewsDetail.aspx?NewsID=27659&amp;LangID=S" TargetMode="External"/><Relationship Id="rId28" Type="http://schemas.openxmlformats.org/officeDocument/2006/relationships/hyperlink" Target="https://www.amnesty.org/es/documents/amr53/7077/2023/es/" TargetMode="External"/><Relationship Id="rId36" Type="http://schemas.openxmlformats.org/officeDocument/2006/relationships/hyperlink" Target="https://www.amnesty.org/es/documents/amr53/0222/2019/es/" TargetMode="External"/><Relationship Id="rId49" Type="http://schemas.openxmlformats.org/officeDocument/2006/relationships/hyperlink" Target="https://www.ohchr.org/sites/default/files/Documents/HRBodies/HRCouncil/FFMV/A-HRC-48-CRP.5_SP.pdf" TargetMode="External"/><Relationship Id="rId57" Type="http://schemas.openxmlformats.org/officeDocument/2006/relationships/hyperlink" Target="https://www.telefonica.com/es/wp-content/uploads/sites/4/2021/08/Informe-de-Transparencia-en-las-Comunicaciones-2021.pdf" TargetMode="External"/><Relationship Id="rId10" Type="http://schemas.openxmlformats.org/officeDocument/2006/relationships/hyperlink" Target="https://www.amnesty.org/es/documents/amr53/8975/2018/es/" TargetMode="External"/><Relationship Id="rId31" Type="http://schemas.openxmlformats.org/officeDocument/2006/relationships/hyperlink" Target="https://oveprisiones.com/en-2022-55-presos-murieron-por-hambre-y-falta-de-atencion-medica-en-las-carceles/" TargetMode="External"/><Relationship Id="rId44" Type="http://schemas.openxmlformats.org/officeDocument/2006/relationships/hyperlink" Target="https://www.amnesty.org/es/documents/amr53/5133/2022/es/" TargetMode="External"/><Relationship Id="rId52" Type="http://schemas.openxmlformats.org/officeDocument/2006/relationships/hyperlink" Target="https://transparenciave.org/tsj-despoja-juzgado-penal-de-competecias-terrorismo/" TargetMode="External"/><Relationship Id="rId60" Type="http://schemas.openxmlformats.org/officeDocument/2006/relationships/hyperlink" Target="https://espaciopublico.ong/informe-2022-situacion-del-derecho-a-la-libertad-de-expresion-e-informacion-en-venezuela/" TargetMode="External"/><Relationship Id="rId65" Type="http://schemas.openxmlformats.org/officeDocument/2006/relationships/hyperlink" Target="https://albaciudad.org/2020/08/fiscalia-libro-9-ordenes-de-aprehension-contra-funcionarios-del-faes-por-caso-de-comunicadores-asesinados-en-cabimas-video/" TargetMode="External"/><Relationship Id="rId73" Type="http://schemas.openxmlformats.org/officeDocument/2006/relationships/hyperlink" Target="https://www.amnesty.org/es/latest/press-release/2021/01/venezuela-amnistia-internacional-nombra-presos-de-conciencia/" TargetMode="External"/><Relationship Id="rId78" Type="http://schemas.openxmlformats.org/officeDocument/2006/relationships/hyperlink" Target="https://accesoalajusticia.org/avalancha-registros-declaraciones-tramites-estrategia-aniquilar-sociedad-civil-organizada-venezuela/" TargetMode="External"/><Relationship Id="rId81" Type="http://schemas.openxmlformats.org/officeDocument/2006/relationships/hyperlink" Target="https://www.bbc.com/mundo/articles/cw5g464g3xwo" TargetMode="External"/><Relationship Id="rId4" Type="http://schemas.openxmlformats.org/officeDocument/2006/relationships/hyperlink" Target="https://www.wola.org/es/2023/08/justicia-para-los-33-en-venezuela-ser-lgbtiq-no-es-delito/" TargetMode="External"/><Relationship Id="rId9" Type="http://schemas.openxmlformats.org/officeDocument/2006/relationships/hyperlink" Target="https://www.amnesty.org/es/wp-content/uploads/sites/4/2023/04/WEBPOL1056702023SPANISH-2.pdf" TargetMode="External"/><Relationship Id="rId13" Type="http://schemas.openxmlformats.org/officeDocument/2006/relationships/hyperlink" Target="https://documents-dds-ny.un.org/doc/UNDOC/GEN/G19/301/95/PDF/G1930195.pdf?OpenElement" TargetMode="External"/><Relationship Id="rId18" Type="http://schemas.openxmlformats.org/officeDocument/2006/relationships/hyperlink" Target="https://www.amnesty.org/es/documents/amr53/2909/2020/es/" TargetMode="External"/><Relationship Id="rId39" Type="http://schemas.openxmlformats.org/officeDocument/2006/relationships/hyperlink" Target="https://www.jepvenezuela.com/indicadores/presos-politicos/" TargetMode="External"/><Relationship Id="rId34" Type="http://schemas.openxmlformats.org/officeDocument/2006/relationships/hyperlink" Target="https://www.amnesty.org/es/documents/amr53/6845/2023/es/" TargetMode="External"/><Relationship Id="rId50" Type="http://schemas.openxmlformats.org/officeDocument/2006/relationships/hyperlink" Target="https://efectococuyo.com/politica/perfil-jose-mascimino-marquez-el-juez-tras-las-rejas-que-condeno-a-presos-politicos/" TargetMode="External"/><Relationship Id="rId55" Type="http://schemas.openxmlformats.org/officeDocument/2006/relationships/hyperlink" Target="https://espaciopublico.ong/un-ano-de-la-ley-de-transparencia-y-acceso-a-la-informacion-de-interes-publico/" TargetMode="External"/><Relationship Id="rId76" Type="http://schemas.openxmlformats.org/officeDocument/2006/relationships/hyperlink" Target="https://accesoalajusticia.org/con-intervencion-judicial-sociedad-venezolana-cruz-roja-agrava-patron-violaciones-contra-libertad-asociacion-venezuela/" TargetMode="External"/><Relationship Id="rId7" Type="http://schemas.openxmlformats.org/officeDocument/2006/relationships/hyperlink" Target="https://centrodefensores.org.ve/wp-content/uploads/2022/07/CDJReportePrimerSemestre2022.pdf" TargetMode="External"/><Relationship Id="rId71" Type="http://schemas.openxmlformats.org/officeDocument/2006/relationships/hyperlink" Target="https://www.observatoriodeconflictos.org.ve/tendencias-de-la-conflictividad/conflictividad-durante-el-primer-semestre-de-2023" TargetMode="External"/><Relationship Id="rId2" Type="http://schemas.openxmlformats.org/officeDocument/2006/relationships/hyperlink" Target="http://spgoin.imprentanacional.gob.ve/cgi-win/be_alex.cgi?Documento=T028700036801/0&amp;Nombrebd=spgoin&amp;CodAsocDoc=2650&amp;t04=1&amp;t05=png&amp;Sesion=1363484759" TargetMode="External"/><Relationship Id="rId29" Type="http://schemas.openxmlformats.org/officeDocument/2006/relationships/hyperlink" Target="https://www.ohchr.org/sites/default/files/Documents/HRBodies/HRCouncil/FFMV/A-HRC-48-CRP.5_SP.pdf" TargetMode="External"/><Relationship Id="rId24" Type="http://schemas.openxmlformats.org/officeDocument/2006/relationships/hyperlink" Target="https://www.ohchr.org/sites/default/files/Documents/HRBodies/HRCouncil/FFMV/A_HRC_45_CRP.11_SP.pdf" TargetMode="External"/><Relationship Id="rId40" Type="http://schemas.openxmlformats.org/officeDocument/2006/relationships/hyperlink" Target="https://www.icc-cpi.int/sites/default/files/CourtRecords/CR2022_06554.PDF" TargetMode="External"/><Relationship Id="rId45" Type="http://schemas.openxmlformats.org/officeDocument/2006/relationships/hyperlink" Target="https://www.amnesty.org/es/documents/amr53/7077/2023/es/" TargetMode="External"/><Relationship Id="rId66" Type="http://schemas.openxmlformats.org/officeDocument/2006/relationships/hyperlink" Target="https://cpj.org/es/2021/10/las-autoridades-venezolanas-dictan-orden-de-arresto-contra-el-periodista-roberto-deniz-y-allanan-la-casa-de-su-famil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oneamnesty.sharepoint.com/sites/MovementHub/OrganizationOfficeTemplate/International%20Secretariat/Research%20Briefing/Research%20Briefing%20Language%20Versions/Research%20Briefing%20v%202022-10_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F0E9E5CB7C724AB299DDFE8B527865" ma:contentTypeVersion="9" ma:contentTypeDescription="Create a new document." ma:contentTypeScope="" ma:versionID="49fea6ad357729db106b23b40749735d">
  <xsd:schema xmlns:xsd="http://www.w3.org/2001/XMLSchema" xmlns:xs="http://www.w3.org/2001/XMLSchema" xmlns:p="http://schemas.microsoft.com/office/2006/metadata/properties" xmlns:ns2="df225070-3c49-464d-a55a-434c9bef165c" xmlns:ns3="5dbeddb0-8155-4a01-a0d3-52672497ea5b" targetNamespace="http://schemas.microsoft.com/office/2006/metadata/properties" ma:root="true" ma:fieldsID="1daa68346d4071e06b286cd8ceeb8dd4" ns2:_="" ns3:_="">
    <xsd:import namespace="df225070-3c49-464d-a55a-434c9bef165c"/>
    <xsd:import namespace="5dbeddb0-8155-4a01-a0d3-52672497ea5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Documenttype" minOccurs="0"/>
                <xsd:element ref="ns3:Taal"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225070-3c49-464d-a55a-434c9bef165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beddb0-8155-4a01-a0d3-52672497ea5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Documenttype" ma:index="12" nillable="true" ma:displayName="Documenttype" ma:format="Dropdown" ma:internalName="Documenttype">
      <xsd:complexType>
        <xsd:complexContent>
          <xsd:extension base="dms:MultiChoice">
            <xsd:sequence>
              <xsd:element name="Value" maxOccurs="unbounded" minOccurs="0" nillable="true">
                <xsd:simpleType>
                  <xsd:restriction base="dms:Choice">
                    <xsd:enumeration value="Persbericht"/>
                    <xsd:enumeration value="Petitie"/>
                    <xsd:enumeration value="Brief algemeen"/>
                    <xsd:enumeration value="Presentatie"/>
                    <xsd:enumeration value="Vacature"/>
                    <xsd:enumeration value="Verslag"/>
                    <xsd:enumeration value="Spoedactie"/>
                    <xsd:enumeration value="Fax"/>
                    <xsd:enumeration value="Contract"/>
                  </xsd:restriction>
                </xsd:simpleType>
              </xsd:element>
            </xsd:sequence>
          </xsd:extension>
        </xsd:complexContent>
      </xsd:complexType>
    </xsd:element>
    <xsd:element name="Taal" ma:index="14" nillable="true" ma:displayName="Taal" ma:format="Dropdown" ma:internalName="Taal">
      <xsd:simpleType>
        <xsd:restriction base="dms:Choice">
          <xsd:enumeration value="Nederlands"/>
          <xsd:enumeration value="Engels"/>
          <xsd:enumeration value="Frans"/>
          <xsd:enumeration value="Duits"/>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type xmlns="5dbeddb0-8155-4a01-a0d3-52672497ea5b" xsi:nil="true"/>
    <Taal xmlns="5dbeddb0-8155-4a01-a0d3-52672497ea5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93F25-40CE-4724-A4C8-3A92D5C3366E}">
  <ds:schemaRefs>
    <ds:schemaRef ds:uri="http://schemas.microsoft.com/sharepoint/v3/contenttype/forms"/>
  </ds:schemaRefs>
</ds:datastoreItem>
</file>

<file path=customXml/itemProps2.xml><?xml version="1.0" encoding="utf-8"?>
<ds:datastoreItem xmlns:ds="http://schemas.openxmlformats.org/officeDocument/2006/customXml" ds:itemID="{1435660F-B214-4CA3-B5EE-184F556BC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225070-3c49-464d-a55a-434c9bef165c"/>
    <ds:schemaRef ds:uri="5dbeddb0-8155-4a01-a0d3-52672497ea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DA4AE9-ADFD-4381-AA0F-99C4EC8D49BD}">
  <ds:schemaRefs>
    <ds:schemaRef ds:uri="http://schemas.microsoft.com/office/2006/metadata/properties"/>
    <ds:schemaRef ds:uri="http://schemas.microsoft.com/office/infopath/2007/PartnerControls"/>
    <ds:schemaRef ds:uri="5dbeddb0-8155-4a01-a0d3-52672497ea5b"/>
  </ds:schemaRefs>
</ds:datastoreItem>
</file>

<file path=customXml/itemProps4.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Research%20Briefing%20v%202022-10_ES</Template>
  <TotalTime>6</TotalTime>
  <Pages>1</Pages>
  <Words>10053</Words>
  <Characters>57308</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67227</CharactersWithSpaces>
  <SharedDoc>false</SharedDoc>
  <HLinks>
    <vt:vector size="732" baseType="variant">
      <vt:variant>
        <vt:i4>1441846</vt:i4>
      </vt:variant>
      <vt:variant>
        <vt:i4>218</vt:i4>
      </vt:variant>
      <vt:variant>
        <vt:i4>0</vt:i4>
      </vt:variant>
      <vt:variant>
        <vt:i4>5</vt:i4>
      </vt:variant>
      <vt:variant>
        <vt:lpwstr/>
      </vt:variant>
      <vt:variant>
        <vt:lpwstr>_Toc145413322</vt:lpwstr>
      </vt:variant>
      <vt:variant>
        <vt:i4>1441846</vt:i4>
      </vt:variant>
      <vt:variant>
        <vt:i4>212</vt:i4>
      </vt:variant>
      <vt:variant>
        <vt:i4>0</vt:i4>
      </vt:variant>
      <vt:variant>
        <vt:i4>5</vt:i4>
      </vt:variant>
      <vt:variant>
        <vt:lpwstr/>
      </vt:variant>
      <vt:variant>
        <vt:lpwstr>_Toc145413321</vt:lpwstr>
      </vt:variant>
      <vt:variant>
        <vt:i4>1441846</vt:i4>
      </vt:variant>
      <vt:variant>
        <vt:i4>206</vt:i4>
      </vt:variant>
      <vt:variant>
        <vt:i4>0</vt:i4>
      </vt:variant>
      <vt:variant>
        <vt:i4>5</vt:i4>
      </vt:variant>
      <vt:variant>
        <vt:lpwstr/>
      </vt:variant>
      <vt:variant>
        <vt:lpwstr>_Toc145413320</vt:lpwstr>
      </vt:variant>
      <vt:variant>
        <vt:i4>1376310</vt:i4>
      </vt:variant>
      <vt:variant>
        <vt:i4>200</vt:i4>
      </vt:variant>
      <vt:variant>
        <vt:i4>0</vt:i4>
      </vt:variant>
      <vt:variant>
        <vt:i4>5</vt:i4>
      </vt:variant>
      <vt:variant>
        <vt:lpwstr/>
      </vt:variant>
      <vt:variant>
        <vt:lpwstr>_Toc145413319</vt:lpwstr>
      </vt:variant>
      <vt:variant>
        <vt:i4>1376310</vt:i4>
      </vt:variant>
      <vt:variant>
        <vt:i4>194</vt:i4>
      </vt:variant>
      <vt:variant>
        <vt:i4>0</vt:i4>
      </vt:variant>
      <vt:variant>
        <vt:i4>5</vt:i4>
      </vt:variant>
      <vt:variant>
        <vt:lpwstr/>
      </vt:variant>
      <vt:variant>
        <vt:lpwstr>_Toc145413317</vt:lpwstr>
      </vt:variant>
      <vt:variant>
        <vt:i4>1376310</vt:i4>
      </vt:variant>
      <vt:variant>
        <vt:i4>188</vt:i4>
      </vt:variant>
      <vt:variant>
        <vt:i4>0</vt:i4>
      </vt:variant>
      <vt:variant>
        <vt:i4>5</vt:i4>
      </vt:variant>
      <vt:variant>
        <vt:lpwstr/>
      </vt:variant>
      <vt:variant>
        <vt:lpwstr>_Toc145413316</vt:lpwstr>
      </vt:variant>
      <vt:variant>
        <vt:i4>1376310</vt:i4>
      </vt:variant>
      <vt:variant>
        <vt:i4>182</vt:i4>
      </vt:variant>
      <vt:variant>
        <vt:i4>0</vt:i4>
      </vt:variant>
      <vt:variant>
        <vt:i4>5</vt:i4>
      </vt:variant>
      <vt:variant>
        <vt:lpwstr/>
      </vt:variant>
      <vt:variant>
        <vt:lpwstr>_Toc145413315</vt:lpwstr>
      </vt:variant>
      <vt:variant>
        <vt:i4>1376310</vt:i4>
      </vt:variant>
      <vt:variant>
        <vt:i4>176</vt:i4>
      </vt:variant>
      <vt:variant>
        <vt:i4>0</vt:i4>
      </vt:variant>
      <vt:variant>
        <vt:i4>5</vt:i4>
      </vt:variant>
      <vt:variant>
        <vt:lpwstr/>
      </vt:variant>
      <vt:variant>
        <vt:lpwstr>_Toc145413314</vt:lpwstr>
      </vt:variant>
      <vt:variant>
        <vt:i4>1376310</vt:i4>
      </vt:variant>
      <vt:variant>
        <vt:i4>170</vt:i4>
      </vt:variant>
      <vt:variant>
        <vt:i4>0</vt:i4>
      </vt:variant>
      <vt:variant>
        <vt:i4>5</vt:i4>
      </vt:variant>
      <vt:variant>
        <vt:lpwstr/>
      </vt:variant>
      <vt:variant>
        <vt:lpwstr>_Toc145413312</vt:lpwstr>
      </vt:variant>
      <vt:variant>
        <vt:i4>1376310</vt:i4>
      </vt:variant>
      <vt:variant>
        <vt:i4>164</vt:i4>
      </vt:variant>
      <vt:variant>
        <vt:i4>0</vt:i4>
      </vt:variant>
      <vt:variant>
        <vt:i4>5</vt:i4>
      </vt:variant>
      <vt:variant>
        <vt:lpwstr/>
      </vt:variant>
      <vt:variant>
        <vt:lpwstr>_Toc145413311</vt:lpwstr>
      </vt:variant>
      <vt:variant>
        <vt:i4>1310774</vt:i4>
      </vt:variant>
      <vt:variant>
        <vt:i4>158</vt:i4>
      </vt:variant>
      <vt:variant>
        <vt:i4>0</vt:i4>
      </vt:variant>
      <vt:variant>
        <vt:i4>5</vt:i4>
      </vt:variant>
      <vt:variant>
        <vt:lpwstr/>
      </vt:variant>
      <vt:variant>
        <vt:lpwstr>_Toc145413309</vt:lpwstr>
      </vt:variant>
      <vt:variant>
        <vt:i4>1310774</vt:i4>
      </vt:variant>
      <vt:variant>
        <vt:i4>152</vt:i4>
      </vt:variant>
      <vt:variant>
        <vt:i4>0</vt:i4>
      </vt:variant>
      <vt:variant>
        <vt:i4>5</vt:i4>
      </vt:variant>
      <vt:variant>
        <vt:lpwstr/>
      </vt:variant>
      <vt:variant>
        <vt:lpwstr>_Toc145413308</vt:lpwstr>
      </vt:variant>
      <vt:variant>
        <vt:i4>1310774</vt:i4>
      </vt:variant>
      <vt:variant>
        <vt:i4>146</vt:i4>
      </vt:variant>
      <vt:variant>
        <vt:i4>0</vt:i4>
      </vt:variant>
      <vt:variant>
        <vt:i4>5</vt:i4>
      </vt:variant>
      <vt:variant>
        <vt:lpwstr/>
      </vt:variant>
      <vt:variant>
        <vt:lpwstr>_Toc145413307</vt:lpwstr>
      </vt:variant>
      <vt:variant>
        <vt:i4>1310774</vt:i4>
      </vt:variant>
      <vt:variant>
        <vt:i4>140</vt:i4>
      </vt:variant>
      <vt:variant>
        <vt:i4>0</vt:i4>
      </vt:variant>
      <vt:variant>
        <vt:i4>5</vt:i4>
      </vt:variant>
      <vt:variant>
        <vt:lpwstr/>
      </vt:variant>
      <vt:variant>
        <vt:lpwstr>_Toc145413306</vt:lpwstr>
      </vt:variant>
      <vt:variant>
        <vt:i4>1310774</vt:i4>
      </vt:variant>
      <vt:variant>
        <vt:i4>134</vt:i4>
      </vt:variant>
      <vt:variant>
        <vt:i4>0</vt:i4>
      </vt:variant>
      <vt:variant>
        <vt:i4>5</vt:i4>
      </vt:variant>
      <vt:variant>
        <vt:lpwstr/>
      </vt:variant>
      <vt:variant>
        <vt:lpwstr>_Toc145413304</vt:lpwstr>
      </vt:variant>
      <vt:variant>
        <vt:i4>1310774</vt:i4>
      </vt:variant>
      <vt:variant>
        <vt:i4>128</vt:i4>
      </vt:variant>
      <vt:variant>
        <vt:i4>0</vt:i4>
      </vt:variant>
      <vt:variant>
        <vt:i4>5</vt:i4>
      </vt:variant>
      <vt:variant>
        <vt:lpwstr/>
      </vt:variant>
      <vt:variant>
        <vt:lpwstr>_Toc145413302</vt:lpwstr>
      </vt:variant>
      <vt:variant>
        <vt:i4>1310774</vt:i4>
      </vt:variant>
      <vt:variant>
        <vt:i4>122</vt:i4>
      </vt:variant>
      <vt:variant>
        <vt:i4>0</vt:i4>
      </vt:variant>
      <vt:variant>
        <vt:i4>5</vt:i4>
      </vt:variant>
      <vt:variant>
        <vt:lpwstr/>
      </vt:variant>
      <vt:variant>
        <vt:lpwstr>_Toc145413301</vt:lpwstr>
      </vt:variant>
      <vt:variant>
        <vt:i4>1310774</vt:i4>
      </vt:variant>
      <vt:variant>
        <vt:i4>116</vt:i4>
      </vt:variant>
      <vt:variant>
        <vt:i4>0</vt:i4>
      </vt:variant>
      <vt:variant>
        <vt:i4>5</vt:i4>
      </vt:variant>
      <vt:variant>
        <vt:lpwstr/>
      </vt:variant>
      <vt:variant>
        <vt:lpwstr>_Toc145413300</vt:lpwstr>
      </vt:variant>
      <vt:variant>
        <vt:i4>1900599</vt:i4>
      </vt:variant>
      <vt:variant>
        <vt:i4>110</vt:i4>
      </vt:variant>
      <vt:variant>
        <vt:i4>0</vt:i4>
      </vt:variant>
      <vt:variant>
        <vt:i4>5</vt:i4>
      </vt:variant>
      <vt:variant>
        <vt:lpwstr/>
      </vt:variant>
      <vt:variant>
        <vt:lpwstr>_Toc145413299</vt:lpwstr>
      </vt:variant>
      <vt:variant>
        <vt:i4>1900599</vt:i4>
      </vt:variant>
      <vt:variant>
        <vt:i4>104</vt:i4>
      </vt:variant>
      <vt:variant>
        <vt:i4>0</vt:i4>
      </vt:variant>
      <vt:variant>
        <vt:i4>5</vt:i4>
      </vt:variant>
      <vt:variant>
        <vt:lpwstr/>
      </vt:variant>
      <vt:variant>
        <vt:lpwstr>_Toc145413298</vt:lpwstr>
      </vt:variant>
      <vt:variant>
        <vt:i4>1900599</vt:i4>
      </vt:variant>
      <vt:variant>
        <vt:i4>98</vt:i4>
      </vt:variant>
      <vt:variant>
        <vt:i4>0</vt:i4>
      </vt:variant>
      <vt:variant>
        <vt:i4>5</vt:i4>
      </vt:variant>
      <vt:variant>
        <vt:lpwstr/>
      </vt:variant>
      <vt:variant>
        <vt:lpwstr>_Toc145413297</vt:lpwstr>
      </vt:variant>
      <vt:variant>
        <vt:i4>1900599</vt:i4>
      </vt:variant>
      <vt:variant>
        <vt:i4>92</vt:i4>
      </vt:variant>
      <vt:variant>
        <vt:i4>0</vt:i4>
      </vt:variant>
      <vt:variant>
        <vt:i4>5</vt:i4>
      </vt:variant>
      <vt:variant>
        <vt:lpwstr/>
      </vt:variant>
      <vt:variant>
        <vt:lpwstr>_Toc145413295</vt:lpwstr>
      </vt:variant>
      <vt:variant>
        <vt:i4>1900599</vt:i4>
      </vt:variant>
      <vt:variant>
        <vt:i4>86</vt:i4>
      </vt:variant>
      <vt:variant>
        <vt:i4>0</vt:i4>
      </vt:variant>
      <vt:variant>
        <vt:i4>5</vt:i4>
      </vt:variant>
      <vt:variant>
        <vt:lpwstr/>
      </vt:variant>
      <vt:variant>
        <vt:lpwstr>_Toc145413294</vt:lpwstr>
      </vt:variant>
      <vt:variant>
        <vt:i4>1900599</vt:i4>
      </vt:variant>
      <vt:variant>
        <vt:i4>80</vt:i4>
      </vt:variant>
      <vt:variant>
        <vt:i4>0</vt:i4>
      </vt:variant>
      <vt:variant>
        <vt:i4>5</vt:i4>
      </vt:variant>
      <vt:variant>
        <vt:lpwstr/>
      </vt:variant>
      <vt:variant>
        <vt:lpwstr>_Toc145413293</vt:lpwstr>
      </vt:variant>
      <vt:variant>
        <vt:i4>1900599</vt:i4>
      </vt:variant>
      <vt:variant>
        <vt:i4>74</vt:i4>
      </vt:variant>
      <vt:variant>
        <vt:i4>0</vt:i4>
      </vt:variant>
      <vt:variant>
        <vt:i4>5</vt:i4>
      </vt:variant>
      <vt:variant>
        <vt:lpwstr/>
      </vt:variant>
      <vt:variant>
        <vt:lpwstr>_Toc145413292</vt:lpwstr>
      </vt:variant>
      <vt:variant>
        <vt:i4>1900599</vt:i4>
      </vt:variant>
      <vt:variant>
        <vt:i4>68</vt:i4>
      </vt:variant>
      <vt:variant>
        <vt:i4>0</vt:i4>
      </vt:variant>
      <vt:variant>
        <vt:i4>5</vt:i4>
      </vt:variant>
      <vt:variant>
        <vt:lpwstr/>
      </vt:variant>
      <vt:variant>
        <vt:lpwstr>_Toc145413290</vt:lpwstr>
      </vt:variant>
      <vt:variant>
        <vt:i4>1835063</vt:i4>
      </vt:variant>
      <vt:variant>
        <vt:i4>62</vt:i4>
      </vt:variant>
      <vt:variant>
        <vt:i4>0</vt:i4>
      </vt:variant>
      <vt:variant>
        <vt:i4>5</vt:i4>
      </vt:variant>
      <vt:variant>
        <vt:lpwstr/>
      </vt:variant>
      <vt:variant>
        <vt:lpwstr>_Toc145413289</vt:lpwstr>
      </vt:variant>
      <vt:variant>
        <vt:i4>1835063</vt:i4>
      </vt:variant>
      <vt:variant>
        <vt:i4>56</vt:i4>
      </vt:variant>
      <vt:variant>
        <vt:i4>0</vt:i4>
      </vt:variant>
      <vt:variant>
        <vt:i4>5</vt:i4>
      </vt:variant>
      <vt:variant>
        <vt:lpwstr/>
      </vt:variant>
      <vt:variant>
        <vt:lpwstr>_Toc145413288</vt:lpwstr>
      </vt:variant>
      <vt:variant>
        <vt:i4>1835063</vt:i4>
      </vt:variant>
      <vt:variant>
        <vt:i4>50</vt:i4>
      </vt:variant>
      <vt:variant>
        <vt:i4>0</vt:i4>
      </vt:variant>
      <vt:variant>
        <vt:i4>5</vt:i4>
      </vt:variant>
      <vt:variant>
        <vt:lpwstr/>
      </vt:variant>
      <vt:variant>
        <vt:lpwstr>_Toc145413287</vt:lpwstr>
      </vt:variant>
      <vt:variant>
        <vt:i4>1835063</vt:i4>
      </vt:variant>
      <vt:variant>
        <vt:i4>44</vt:i4>
      </vt:variant>
      <vt:variant>
        <vt:i4>0</vt:i4>
      </vt:variant>
      <vt:variant>
        <vt:i4>5</vt:i4>
      </vt:variant>
      <vt:variant>
        <vt:lpwstr/>
      </vt:variant>
      <vt:variant>
        <vt:lpwstr>_Toc145413286</vt:lpwstr>
      </vt:variant>
      <vt:variant>
        <vt:i4>1835063</vt:i4>
      </vt:variant>
      <vt:variant>
        <vt:i4>38</vt:i4>
      </vt:variant>
      <vt:variant>
        <vt:i4>0</vt:i4>
      </vt:variant>
      <vt:variant>
        <vt:i4>5</vt:i4>
      </vt:variant>
      <vt:variant>
        <vt:lpwstr/>
      </vt:variant>
      <vt:variant>
        <vt:lpwstr>_Toc145413284</vt:lpwstr>
      </vt:variant>
      <vt:variant>
        <vt:i4>1835063</vt:i4>
      </vt:variant>
      <vt:variant>
        <vt:i4>32</vt:i4>
      </vt:variant>
      <vt:variant>
        <vt:i4>0</vt:i4>
      </vt:variant>
      <vt:variant>
        <vt:i4>5</vt:i4>
      </vt:variant>
      <vt:variant>
        <vt:lpwstr/>
      </vt:variant>
      <vt:variant>
        <vt:lpwstr>_Toc145413283</vt:lpwstr>
      </vt:variant>
      <vt:variant>
        <vt:i4>1835063</vt:i4>
      </vt:variant>
      <vt:variant>
        <vt:i4>26</vt:i4>
      </vt:variant>
      <vt:variant>
        <vt:i4>0</vt:i4>
      </vt:variant>
      <vt:variant>
        <vt:i4>5</vt:i4>
      </vt:variant>
      <vt:variant>
        <vt:lpwstr/>
      </vt:variant>
      <vt:variant>
        <vt:lpwstr>_Toc145413281</vt:lpwstr>
      </vt:variant>
      <vt:variant>
        <vt:i4>1835063</vt:i4>
      </vt:variant>
      <vt:variant>
        <vt:i4>20</vt:i4>
      </vt:variant>
      <vt:variant>
        <vt:i4>0</vt:i4>
      </vt:variant>
      <vt:variant>
        <vt:i4>5</vt:i4>
      </vt:variant>
      <vt:variant>
        <vt:lpwstr/>
      </vt:variant>
      <vt:variant>
        <vt:lpwstr>_Toc145413280</vt:lpwstr>
      </vt:variant>
      <vt:variant>
        <vt:i4>1245239</vt:i4>
      </vt:variant>
      <vt:variant>
        <vt:i4>14</vt:i4>
      </vt:variant>
      <vt:variant>
        <vt:i4>0</vt:i4>
      </vt:variant>
      <vt:variant>
        <vt:i4>5</vt:i4>
      </vt:variant>
      <vt:variant>
        <vt:lpwstr/>
      </vt:variant>
      <vt:variant>
        <vt:lpwstr>_Toc145413279</vt:lpwstr>
      </vt:variant>
      <vt:variant>
        <vt:i4>1245239</vt:i4>
      </vt:variant>
      <vt:variant>
        <vt:i4>8</vt:i4>
      </vt:variant>
      <vt:variant>
        <vt:i4>0</vt:i4>
      </vt:variant>
      <vt:variant>
        <vt:i4>5</vt:i4>
      </vt:variant>
      <vt:variant>
        <vt:lpwstr/>
      </vt:variant>
      <vt:variant>
        <vt:lpwstr>_Toc145413277</vt:lpwstr>
      </vt:variant>
      <vt:variant>
        <vt:i4>1245239</vt:i4>
      </vt:variant>
      <vt:variant>
        <vt:i4>2</vt:i4>
      </vt:variant>
      <vt:variant>
        <vt:i4>0</vt:i4>
      </vt:variant>
      <vt:variant>
        <vt:i4>5</vt:i4>
      </vt:variant>
      <vt:variant>
        <vt:lpwstr/>
      </vt:variant>
      <vt:variant>
        <vt:lpwstr>_Toc145413275</vt:lpwstr>
      </vt:variant>
      <vt:variant>
        <vt:i4>65659</vt:i4>
      </vt:variant>
      <vt:variant>
        <vt:i4>243</vt:i4>
      </vt:variant>
      <vt:variant>
        <vt:i4>0</vt:i4>
      </vt:variant>
      <vt:variant>
        <vt:i4>5</vt:i4>
      </vt:variant>
      <vt:variant>
        <vt:lpwstr>https://www.eeas.europa.eu/sites/default/files/eu_eom_ven_2021_fr_es.pdf</vt:lpwstr>
      </vt:variant>
      <vt:variant>
        <vt:lpwstr/>
      </vt:variant>
      <vt:variant>
        <vt:i4>5767252</vt:i4>
      </vt:variant>
      <vt:variant>
        <vt:i4>240</vt:i4>
      </vt:variant>
      <vt:variant>
        <vt:i4>0</vt:i4>
      </vt:variant>
      <vt:variant>
        <vt:i4>5</vt:i4>
      </vt:variant>
      <vt:variant>
        <vt:lpwstr>https://www.bbc.com/mundo/articles/cw5g464g3xwo</vt:lpwstr>
      </vt:variant>
      <vt:variant>
        <vt:lpwstr>:~:text=Es%20una%20de%20las%20l%C3%ADderes,un%20plazo%20de%2015%20a%C3%B1os</vt:lpwstr>
      </vt:variant>
      <vt:variant>
        <vt:i4>65659</vt:i4>
      </vt:variant>
      <vt:variant>
        <vt:i4>237</vt:i4>
      </vt:variant>
      <vt:variant>
        <vt:i4>0</vt:i4>
      </vt:variant>
      <vt:variant>
        <vt:i4>5</vt:i4>
      </vt:variant>
      <vt:variant>
        <vt:lpwstr>https://www.eeas.europa.eu/sites/default/files/eu_eom_ven_2021_fr_es.pdf</vt:lpwstr>
      </vt:variant>
      <vt:variant>
        <vt:lpwstr/>
      </vt:variant>
      <vt:variant>
        <vt:i4>3604526</vt:i4>
      </vt:variant>
      <vt:variant>
        <vt:i4>234</vt:i4>
      </vt:variant>
      <vt:variant>
        <vt:i4>0</vt:i4>
      </vt:variant>
      <vt:variant>
        <vt:i4>5</vt:i4>
      </vt:variant>
      <vt:variant>
        <vt:lpwstr>https://cepaz.org/articulos/las-inhabilitaciones-politicas-obstaculizan-el-camino-hacia-unas-elecciones-autenticas-y-democraticas/</vt:lpwstr>
      </vt:variant>
      <vt:variant>
        <vt:lpwstr/>
      </vt:variant>
      <vt:variant>
        <vt:i4>2424929</vt:i4>
      </vt:variant>
      <vt:variant>
        <vt:i4>231</vt:i4>
      </vt:variant>
      <vt:variant>
        <vt:i4>0</vt:i4>
      </vt:variant>
      <vt:variant>
        <vt:i4>5</vt:i4>
      </vt:variant>
      <vt:variant>
        <vt:lpwstr>https://accesoalajusticia.org/avalancha-registros-declaraciones-tramites-estrategia-aniquilar-sociedad-civil-organizada-venezuela/</vt:lpwstr>
      </vt:variant>
      <vt:variant>
        <vt:lpwstr/>
      </vt:variant>
      <vt:variant>
        <vt:i4>262146</vt:i4>
      </vt:variant>
      <vt:variant>
        <vt:i4>228</vt:i4>
      </vt:variant>
      <vt:variant>
        <vt:i4>0</vt:i4>
      </vt:variant>
      <vt:variant>
        <vt:i4>5</vt:i4>
      </vt:variant>
      <vt:variant>
        <vt:lpwstr>https://www.amnesty.org/es/documents/amr53/6379/2023/es/</vt:lpwstr>
      </vt:variant>
      <vt:variant>
        <vt:lpwstr/>
      </vt:variant>
      <vt:variant>
        <vt:i4>4522062</vt:i4>
      </vt:variant>
      <vt:variant>
        <vt:i4>225</vt:i4>
      </vt:variant>
      <vt:variant>
        <vt:i4>0</vt:i4>
      </vt:variant>
      <vt:variant>
        <vt:i4>5</vt:i4>
      </vt:variant>
      <vt:variant>
        <vt:lpwstr>https://accesoalajusticia.org/con-intervencion-judicial-sociedad-venezolana-cruz-roja-agrava-patron-violaciones-contra-libertad-asociacion-venezuela/</vt:lpwstr>
      </vt:variant>
      <vt:variant>
        <vt:lpwstr/>
      </vt:variant>
      <vt:variant>
        <vt:i4>5570637</vt:i4>
      </vt:variant>
      <vt:variant>
        <vt:i4>222</vt:i4>
      </vt:variant>
      <vt:variant>
        <vt:i4>0</vt:i4>
      </vt:variant>
      <vt:variant>
        <vt:i4>5</vt:i4>
      </vt:variant>
      <vt:variant>
        <vt:lpwstr>https://oevenezolano.org/2020/06/boletin-44-decisiones-del-tsj-impactan-el-sistema-de-partidos-y-la-oferta-electoral/</vt:lpwstr>
      </vt:variant>
      <vt:variant>
        <vt:lpwstr/>
      </vt:variant>
      <vt:variant>
        <vt:i4>2687075</vt:i4>
      </vt:variant>
      <vt:variant>
        <vt:i4>219</vt:i4>
      </vt:variant>
      <vt:variant>
        <vt:i4>0</vt:i4>
      </vt:variant>
      <vt:variant>
        <vt:i4>5</vt:i4>
      </vt:variant>
      <vt:variant>
        <vt:lpwstr>https://www.infobae.com/america/venezuela/2021/07/02/el-regimen-venezolano-detuvo-a-javier-tarazona-asi-actua-maduro-contra-los-que-denuncian-sus-atrocidades/</vt:lpwstr>
      </vt:variant>
      <vt:variant>
        <vt:lpwstr/>
      </vt:variant>
      <vt:variant>
        <vt:i4>5374035</vt:i4>
      </vt:variant>
      <vt:variant>
        <vt:i4>216</vt:i4>
      </vt:variant>
      <vt:variant>
        <vt:i4>0</vt:i4>
      </vt:variant>
      <vt:variant>
        <vt:i4>5</vt:i4>
      </vt:variant>
      <vt:variant>
        <vt:lpwstr>https://www.amnesty.org/es/latest/press-release/2021/01/venezuela-amnistia-internacional-nombra-presos-de-conciencia/</vt:lpwstr>
      </vt:variant>
      <vt:variant>
        <vt:lpwstr/>
      </vt:variant>
      <vt:variant>
        <vt:i4>1245202</vt:i4>
      </vt:variant>
      <vt:variant>
        <vt:i4>213</vt:i4>
      </vt:variant>
      <vt:variant>
        <vt:i4>0</vt:i4>
      </vt:variant>
      <vt:variant>
        <vt:i4>5</vt:i4>
      </vt:variant>
      <vt:variant>
        <vt:lpwstr>https://www.r4v.info/es/home</vt:lpwstr>
      </vt:variant>
      <vt:variant>
        <vt:lpwstr/>
      </vt:variant>
      <vt:variant>
        <vt:i4>2031639</vt:i4>
      </vt:variant>
      <vt:variant>
        <vt:i4>210</vt:i4>
      </vt:variant>
      <vt:variant>
        <vt:i4>0</vt:i4>
      </vt:variant>
      <vt:variant>
        <vt:i4>5</vt:i4>
      </vt:variant>
      <vt:variant>
        <vt:lpwstr>https://www.observatoriodeconflictos.org.ve/tendencias-de-la-conflictividad/conflictividad-durante-el-primer-semestre-de-2023</vt:lpwstr>
      </vt:variant>
      <vt:variant>
        <vt:lpwstr/>
      </vt:variant>
      <vt:variant>
        <vt:i4>2031639</vt:i4>
      </vt:variant>
      <vt:variant>
        <vt:i4>207</vt:i4>
      </vt:variant>
      <vt:variant>
        <vt:i4>0</vt:i4>
      </vt:variant>
      <vt:variant>
        <vt:i4>5</vt:i4>
      </vt:variant>
      <vt:variant>
        <vt:lpwstr>https://www.observatoriodeconflictos.org.ve/tendencias-de-la-conflictividad/conflictividad-durante-el-primer-semestre-de-2023</vt:lpwstr>
      </vt:variant>
      <vt:variant>
        <vt:lpwstr/>
      </vt:variant>
      <vt:variant>
        <vt:i4>6225982</vt:i4>
      </vt:variant>
      <vt:variant>
        <vt:i4>204</vt:i4>
      </vt:variant>
      <vt:variant>
        <vt:i4>0</vt:i4>
      </vt:variant>
      <vt:variant>
        <vt:i4>5</vt:i4>
      </vt:variant>
      <vt:variant>
        <vt:lpwstr>https://www.ohchr.org/sites/default/files/Documents/HRBodies/HRCouncil/FFMV/A-HRC-48-CRP.5_SP.pdf</vt:lpwstr>
      </vt:variant>
      <vt:variant>
        <vt:lpwstr/>
      </vt:variant>
      <vt:variant>
        <vt:i4>851979</vt:i4>
      </vt:variant>
      <vt:variant>
        <vt:i4>201</vt:i4>
      </vt:variant>
      <vt:variant>
        <vt:i4>0</vt:i4>
      </vt:variant>
      <vt:variant>
        <vt:i4>5</vt:i4>
      </vt:variant>
      <vt:variant>
        <vt:lpwstr>https://www.amnesty.org/es/documents/amr53/0222/2019/es/</vt:lpwstr>
      </vt:variant>
      <vt:variant>
        <vt:lpwstr/>
      </vt:variant>
      <vt:variant>
        <vt:i4>7667838</vt:i4>
      </vt:variant>
      <vt:variant>
        <vt:i4>198</vt:i4>
      </vt:variant>
      <vt:variant>
        <vt:i4>0</vt:i4>
      </vt:variant>
      <vt:variant>
        <vt:i4>5</vt:i4>
      </vt:variant>
      <vt:variant>
        <vt:lpwstr>https://www.oas.org/es/cidh/informes/pdfs/venezuela2018-es.pdf</vt:lpwstr>
      </vt:variant>
      <vt:variant>
        <vt:lpwstr/>
      </vt:variant>
      <vt:variant>
        <vt:i4>2687083</vt:i4>
      </vt:variant>
      <vt:variant>
        <vt:i4>195</vt:i4>
      </vt:variant>
      <vt:variant>
        <vt:i4>0</vt:i4>
      </vt:variant>
      <vt:variant>
        <vt:i4>5</vt:i4>
      </vt:variant>
      <vt:variant>
        <vt:lpwstr>https://cpj.org/es/2021/10/las-autoridades-venezolanas-dictan-orden-de-arresto-contra-el-periodista-roberto-deniz-y-allanan-la-casa-de-su-familia/</vt:lpwstr>
      </vt:variant>
      <vt:variant>
        <vt:lpwstr/>
      </vt:variant>
      <vt:variant>
        <vt:i4>7929976</vt:i4>
      </vt:variant>
      <vt:variant>
        <vt:i4>192</vt:i4>
      </vt:variant>
      <vt:variant>
        <vt:i4>0</vt:i4>
      </vt:variant>
      <vt:variant>
        <vt:i4>5</vt:i4>
      </vt:variant>
      <vt:variant>
        <vt:lpwstr>https://albaciudad.org/2020/08/fiscalia-libro-9-ordenes-de-aprehension-contra-funcionarios-del-faes-por-caso-de-comunicadores-asesinados-en-cabimas-video/</vt:lpwstr>
      </vt:variant>
      <vt:variant>
        <vt:lpwstr/>
      </vt:variant>
      <vt:variant>
        <vt:i4>327695</vt:i4>
      </vt:variant>
      <vt:variant>
        <vt:i4>189</vt:i4>
      </vt:variant>
      <vt:variant>
        <vt:i4>0</vt:i4>
      </vt:variant>
      <vt:variant>
        <vt:i4>5</vt:i4>
      </vt:variant>
      <vt:variant>
        <vt:lpwstr>https://www.amnesty.org/es/documents/amr53/7077/2023/es/</vt:lpwstr>
      </vt:variant>
      <vt:variant>
        <vt:lpwstr/>
      </vt:variant>
      <vt:variant>
        <vt:i4>327681</vt:i4>
      </vt:variant>
      <vt:variant>
        <vt:i4>186</vt:i4>
      </vt:variant>
      <vt:variant>
        <vt:i4>0</vt:i4>
      </vt:variant>
      <vt:variant>
        <vt:i4>5</vt:i4>
      </vt:variant>
      <vt:variant>
        <vt:lpwstr>https://www.amnesty.org/es/documents/amr53/2019/2020/es/</vt:lpwstr>
      </vt:variant>
      <vt:variant>
        <vt:lpwstr/>
      </vt:variant>
      <vt:variant>
        <vt:i4>327768</vt:i4>
      </vt:variant>
      <vt:variant>
        <vt:i4>183</vt:i4>
      </vt:variant>
      <vt:variant>
        <vt:i4>0</vt:i4>
      </vt:variant>
      <vt:variant>
        <vt:i4>5</vt:i4>
      </vt:variant>
      <vt:variant>
        <vt:lpwstr>https://www.amnesty.org/es/latest/press-release/2019/03/venezuela-authorities-must-free-luis-carlos-diaz-immediately/</vt:lpwstr>
      </vt:variant>
      <vt:variant>
        <vt:lpwstr/>
      </vt:variant>
      <vt:variant>
        <vt:i4>786439</vt:i4>
      </vt:variant>
      <vt:variant>
        <vt:i4>180</vt:i4>
      </vt:variant>
      <vt:variant>
        <vt:i4>0</vt:i4>
      </vt:variant>
      <vt:variant>
        <vt:i4>5</vt:i4>
      </vt:variant>
      <vt:variant>
        <vt:lpwstr>https://www.elnacional.com/venezuela/el-regimen-ordena-a-el-nacional-pago-de-aproximadamente-13-millones-de-dolares-por-indemnizacion-a-diosdado-cabello-por-dano-moral/</vt:lpwstr>
      </vt:variant>
      <vt:variant>
        <vt:lpwstr/>
      </vt:variant>
      <vt:variant>
        <vt:i4>1900634</vt:i4>
      </vt:variant>
      <vt:variant>
        <vt:i4>177</vt:i4>
      </vt:variant>
      <vt:variant>
        <vt:i4>0</vt:i4>
      </vt:variant>
      <vt:variant>
        <vt:i4>5</vt:i4>
      </vt:variant>
      <vt:variant>
        <vt:lpwstr>https://espaciopublico.ong/informe-2022-situacion-del-derecho-a-la-libertad-de-expresion-e-informacion-en-venezuela/</vt:lpwstr>
      </vt:variant>
      <vt:variant>
        <vt:lpwstr/>
      </vt:variant>
      <vt:variant>
        <vt:i4>1900634</vt:i4>
      </vt:variant>
      <vt:variant>
        <vt:i4>174</vt:i4>
      </vt:variant>
      <vt:variant>
        <vt:i4>0</vt:i4>
      </vt:variant>
      <vt:variant>
        <vt:i4>5</vt:i4>
      </vt:variant>
      <vt:variant>
        <vt:lpwstr>https://espaciopublico.ong/informe-2022-situacion-del-derecho-a-la-libertad-de-expresion-e-informacion-en-venezuela/</vt:lpwstr>
      </vt:variant>
      <vt:variant>
        <vt:lpwstr/>
      </vt:variant>
      <vt:variant>
        <vt:i4>1900634</vt:i4>
      </vt:variant>
      <vt:variant>
        <vt:i4>171</vt:i4>
      </vt:variant>
      <vt:variant>
        <vt:i4>0</vt:i4>
      </vt:variant>
      <vt:variant>
        <vt:i4>5</vt:i4>
      </vt:variant>
      <vt:variant>
        <vt:lpwstr>https://espaciopublico.ong/informe-2022-situacion-del-derecho-a-la-libertad-de-expresion-e-informacion-en-venezuela/</vt:lpwstr>
      </vt:variant>
      <vt:variant>
        <vt:lpwstr/>
      </vt:variant>
      <vt:variant>
        <vt:i4>2031620</vt:i4>
      </vt:variant>
      <vt:variant>
        <vt:i4>168</vt:i4>
      </vt:variant>
      <vt:variant>
        <vt:i4>0</vt:i4>
      </vt:variant>
      <vt:variant>
        <vt:i4>5</vt:i4>
      </vt:variant>
      <vt:variant>
        <vt:lpwstr>https://www.telefonica.com/es/wp-content/uploads/sites/4/2021/08/Informe-de-Transparencia-en-las-Comunicaciones-2021.pdf</vt:lpwstr>
      </vt:variant>
      <vt:variant>
        <vt:lpwstr/>
      </vt:variant>
      <vt:variant>
        <vt:i4>7864323</vt:i4>
      </vt:variant>
      <vt:variant>
        <vt:i4>165</vt:i4>
      </vt:variant>
      <vt:variant>
        <vt:i4>0</vt:i4>
      </vt:variant>
      <vt:variant>
        <vt:i4>5</vt:i4>
      </vt:variant>
      <vt:variant>
        <vt:lpwstr>https://transparenciave.org/wp-content/uploads/2022/01/Nuestro-Presupuesto-2022_a.pdf</vt:lpwstr>
      </vt:variant>
      <vt:variant>
        <vt:lpwstr/>
      </vt:variant>
      <vt:variant>
        <vt:i4>2687016</vt:i4>
      </vt:variant>
      <vt:variant>
        <vt:i4>162</vt:i4>
      </vt:variant>
      <vt:variant>
        <vt:i4>0</vt:i4>
      </vt:variant>
      <vt:variant>
        <vt:i4>5</vt:i4>
      </vt:variant>
      <vt:variant>
        <vt:lpwstr>https://espaciopublico.ong/un-ano-de-la-ley-de-transparencia-y-acceso-a-la-informacion-de-interes-publico/</vt:lpwstr>
      </vt:variant>
      <vt:variant>
        <vt:lpwstr/>
      </vt:variant>
      <vt:variant>
        <vt:i4>5111899</vt:i4>
      </vt:variant>
      <vt:variant>
        <vt:i4>159</vt:i4>
      </vt:variant>
      <vt:variant>
        <vt:i4>0</vt:i4>
      </vt:variant>
      <vt:variant>
        <vt:i4>5</vt:i4>
      </vt:variant>
      <vt:variant>
        <vt:lpwstr>https://accesoalajusticia.org/ley-de-reforma-parcial-del-codigo-organico-de-justicia-militar/</vt:lpwstr>
      </vt:variant>
      <vt:variant>
        <vt:lpwstr/>
      </vt:variant>
      <vt:variant>
        <vt:i4>327695</vt:i4>
      </vt:variant>
      <vt:variant>
        <vt:i4>156</vt:i4>
      </vt:variant>
      <vt:variant>
        <vt:i4>0</vt:i4>
      </vt:variant>
      <vt:variant>
        <vt:i4>5</vt:i4>
      </vt:variant>
      <vt:variant>
        <vt:lpwstr>https://www.amnesty.org/es/documents/amr53/7077/2023/es/</vt:lpwstr>
      </vt:variant>
      <vt:variant>
        <vt:lpwstr/>
      </vt:variant>
      <vt:variant>
        <vt:i4>4194386</vt:i4>
      </vt:variant>
      <vt:variant>
        <vt:i4>153</vt:i4>
      </vt:variant>
      <vt:variant>
        <vt:i4>0</vt:i4>
      </vt:variant>
      <vt:variant>
        <vt:i4>5</vt:i4>
      </vt:variant>
      <vt:variant>
        <vt:lpwstr>https://transparenciave.org/tsj-despoja-juzgado-penal-de-competecias-terrorismo/</vt:lpwstr>
      </vt:variant>
      <vt:variant>
        <vt:lpwstr/>
      </vt:variant>
      <vt:variant>
        <vt:i4>1703938</vt:i4>
      </vt:variant>
      <vt:variant>
        <vt:i4>150</vt:i4>
      </vt:variant>
      <vt:variant>
        <vt:i4>0</vt:i4>
      </vt:variant>
      <vt:variant>
        <vt:i4>5</vt:i4>
      </vt:variant>
      <vt:variant>
        <vt:lpwstr>https://accesoalajusticia.org/wp-content/uploads/securepdfs/2022/05/La-administracion-de-justicia-penal-en-Venezuela.pdf</vt:lpwstr>
      </vt:variant>
      <vt:variant>
        <vt:lpwstr/>
      </vt:variant>
      <vt:variant>
        <vt:i4>3801133</vt:i4>
      </vt:variant>
      <vt:variant>
        <vt:i4>147</vt:i4>
      </vt:variant>
      <vt:variant>
        <vt:i4>0</vt:i4>
      </vt:variant>
      <vt:variant>
        <vt:i4>5</vt:i4>
      </vt:variant>
      <vt:variant>
        <vt:lpwstr>https://efectococuyo.com/politica/perfil-jose-mascimino-marquez-el-juez-tras-las-rejas-que-condeno-a-presos-politicos/</vt:lpwstr>
      </vt:variant>
      <vt:variant>
        <vt:lpwstr/>
      </vt:variant>
      <vt:variant>
        <vt:i4>6225982</vt:i4>
      </vt:variant>
      <vt:variant>
        <vt:i4>144</vt:i4>
      </vt:variant>
      <vt:variant>
        <vt:i4>0</vt:i4>
      </vt:variant>
      <vt:variant>
        <vt:i4>5</vt:i4>
      </vt:variant>
      <vt:variant>
        <vt:lpwstr>https://www.ohchr.org/sites/default/files/Documents/HRBodies/HRCouncil/FFMV/A-HRC-48-CRP.5_SP.pdf</vt:lpwstr>
      </vt:variant>
      <vt:variant>
        <vt:lpwstr/>
      </vt:variant>
      <vt:variant>
        <vt:i4>327695</vt:i4>
      </vt:variant>
      <vt:variant>
        <vt:i4>141</vt:i4>
      </vt:variant>
      <vt:variant>
        <vt:i4>0</vt:i4>
      </vt:variant>
      <vt:variant>
        <vt:i4>5</vt:i4>
      </vt:variant>
      <vt:variant>
        <vt:lpwstr>https://www.amnesty.org/es/documents/amr53/7077/2023/es/</vt:lpwstr>
      </vt:variant>
      <vt:variant>
        <vt:lpwstr/>
      </vt:variant>
      <vt:variant>
        <vt:i4>131082</vt:i4>
      </vt:variant>
      <vt:variant>
        <vt:i4>138</vt:i4>
      </vt:variant>
      <vt:variant>
        <vt:i4>0</vt:i4>
      </vt:variant>
      <vt:variant>
        <vt:i4>5</vt:i4>
      </vt:variant>
      <vt:variant>
        <vt:lpwstr>https://www.amnesty.org/es/documents/amr53/5133/2022/es/</vt:lpwstr>
      </vt:variant>
      <vt:variant>
        <vt:lpwstr/>
      </vt:variant>
      <vt:variant>
        <vt:i4>6029324</vt:i4>
      </vt:variant>
      <vt:variant>
        <vt:i4>135</vt:i4>
      </vt:variant>
      <vt:variant>
        <vt:i4>0</vt:i4>
      </vt:variant>
      <vt:variant>
        <vt:i4>5</vt:i4>
      </vt:variant>
      <vt:variant>
        <vt:lpwstr>https://documents-dds-ny.un.org/doc/UNDOC/GEN/N15/443/45/PDF/N1544345.pdf?OpenElement</vt:lpwstr>
      </vt:variant>
      <vt:variant>
        <vt:lpwstr/>
      </vt:variant>
      <vt:variant>
        <vt:i4>327695</vt:i4>
      </vt:variant>
      <vt:variant>
        <vt:i4>132</vt:i4>
      </vt:variant>
      <vt:variant>
        <vt:i4>0</vt:i4>
      </vt:variant>
      <vt:variant>
        <vt:i4>5</vt:i4>
      </vt:variant>
      <vt:variant>
        <vt:lpwstr>https://www.amnesty.org/es/documents/amr53/7077/2023/es/</vt:lpwstr>
      </vt:variant>
      <vt:variant>
        <vt:lpwstr/>
      </vt:variant>
      <vt:variant>
        <vt:i4>131082</vt:i4>
      </vt:variant>
      <vt:variant>
        <vt:i4>129</vt:i4>
      </vt:variant>
      <vt:variant>
        <vt:i4>0</vt:i4>
      </vt:variant>
      <vt:variant>
        <vt:i4>5</vt:i4>
      </vt:variant>
      <vt:variant>
        <vt:lpwstr>https://www.amnesty.org/es/documents/amr53/5133/2022/es/</vt:lpwstr>
      </vt:variant>
      <vt:variant>
        <vt:lpwstr/>
      </vt:variant>
      <vt:variant>
        <vt:i4>327695</vt:i4>
      </vt:variant>
      <vt:variant>
        <vt:i4>126</vt:i4>
      </vt:variant>
      <vt:variant>
        <vt:i4>0</vt:i4>
      </vt:variant>
      <vt:variant>
        <vt:i4>5</vt:i4>
      </vt:variant>
      <vt:variant>
        <vt:lpwstr>https://www.amnesty.org/es/documents/amr53/7077/2023/es/</vt:lpwstr>
      </vt:variant>
      <vt:variant>
        <vt:lpwstr/>
      </vt:variant>
      <vt:variant>
        <vt:i4>393231</vt:i4>
      </vt:variant>
      <vt:variant>
        <vt:i4>123</vt:i4>
      </vt:variant>
      <vt:variant>
        <vt:i4>0</vt:i4>
      </vt:variant>
      <vt:variant>
        <vt:i4>5</vt:i4>
      </vt:variant>
      <vt:variant>
        <vt:lpwstr>https://www.amnesty.org/es/documents/amr53/6014/2017/es/</vt:lpwstr>
      </vt:variant>
      <vt:variant>
        <vt:lpwstr/>
      </vt:variant>
      <vt:variant>
        <vt:i4>393231</vt:i4>
      </vt:variant>
      <vt:variant>
        <vt:i4>120</vt:i4>
      </vt:variant>
      <vt:variant>
        <vt:i4>0</vt:i4>
      </vt:variant>
      <vt:variant>
        <vt:i4>5</vt:i4>
      </vt:variant>
      <vt:variant>
        <vt:lpwstr>https://www.amnesty.org/es/documents/amr53/6014/2017/es/</vt:lpwstr>
      </vt:variant>
      <vt:variant>
        <vt:lpwstr/>
      </vt:variant>
      <vt:variant>
        <vt:i4>2490433</vt:i4>
      </vt:variant>
      <vt:variant>
        <vt:i4>117</vt:i4>
      </vt:variant>
      <vt:variant>
        <vt:i4>0</vt:i4>
      </vt:variant>
      <vt:variant>
        <vt:i4>5</vt:i4>
      </vt:variant>
      <vt:variant>
        <vt:lpwstr>https://www.icc-cpi.int/sites/default/files/CourtRecords/CR2022_06554.PDF</vt:lpwstr>
      </vt:variant>
      <vt:variant>
        <vt:lpwstr/>
      </vt:variant>
      <vt:variant>
        <vt:i4>3539044</vt:i4>
      </vt:variant>
      <vt:variant>
        <vt:i4>114</vt:i4>
      </vt:variant>
      <vt:variant>
        <vt:i4>0</vt:i4>
      </vt:variant>
      <vt:variant>
        <vt:i4>5</vt:i4>
      </vt:variant>
      <vt:variant>
        <vt:lpwstr>https://www.jepvenezuela.com/indicadores/presos-politicos/</vt:lpwstr>
      </vt:variant>
      <vt:variant>
        <vt:lpwstr/>
      </vt:variant>
      <vt:variant>
        <vt:i4>5242966</vt:i4>
      </vt:variant>
      <vt:variant>
        <vt:i4>111</vt:i4>
      </vt:variant>
      <vt:variant>
        <vt:i4>0</vt:i4>
      </vt:variant>
      <vt:variant>
        <vt:i4>5</vt:i4>
      </vt:variant>
      <vt:variant>
        <vt:lpwstr>https://foropenal.com/reporte-sobre-la-represion-en-venezuela-marzo-2023/</vt:lpwstr>
      </vt:variant>
      <vt:variant>
        <vt:lpwstr/>
      </vt:variant>
      <vt:variant>
        <vt:i4>5242966</vt:i4>
      </vt:variant>
      <vt:variant>
        <vt:i4>108</vt:i4>
      </vt:variant>
      <vt:variant>
        <vt:i4>0</vt:i4>
      </vt:variant>
      <vt:variant>
        <vt:i4>5</vt:i4>
      </vt:variant>
      <vt:variant>
        <vt:lpwstr>https://foropenal.com/reporte-sobre-la-represion-en-venezuela-marzo-2023/</vt:lpwstr>
      </vt:variant>
      <vt:variant>
        <vt:lpwstr/>
      </vt:variant>
      <vt:variant>
        <vt:i4>851979</vt:i4>
      </vt:variant>
      <vt:variant>
        <vt:i4>105</vt:i4>
      </vt:variant>
      <vt:variant>
        <vt:i4>0</vt:i4>
      </vt:variant>
      <vt:variant>
        <vt:i4>5</vt:i4>
      </vt:variant>
      <vt:variant>
        <vt:lpwstr>https://www.amnesty.org/es/documents/amr53/0222/2019/es/</vt:lpwstr>
      </vt:variant>
      <vt:variant>
        <vt:lpwstr/>
      </vt:variant>
      <vt:variant>
        <vt:i4>393231</vt:i4>
      </vt:variant>
      <vt:variant>
        <vt:i4>102</vt:i4>
      </vt:variant>
      <vt:variant>
        <vt:i4>0</vt:i4>
      </vt:variant>
      <vt:variant>
        <vt:i4>5</vt:i4>
      </vt:variant>
      <vt:variant>
        <vt:lpwstr>https://www.amnesty.org/es/documents/amr53/6014/2017/es/</vt:lpwstr>
      </vt:variant>
      <vt:variant>
        <vt:lpwstr/>
      </vt:variant>
      <vt:variant>
        <vt:i4>458757</vt:i4>
      </vt:variant>
      <vt:variant>
        <vt:i4>99</vt:i4>
      </vt:variant>
      <vt:variant>
        <vt:i4>0</vt:i4>
      </vt:variant>
      <vt:variant>
        <vt:i4>5</vt:i4>
      </vt:variant>
      <vt:variant>
        <vt:lpwstr>https://www.amnesty.org/es/documents/amr53/6845/2023/es/</vt:lpwstr>
      </vt:variant>
      <vt:variant>
        <vt:lpwstr/>
      </vt:variant>
      <vt:variant>
        <vt:i4>327686</vt:i4>
      </vt:variant>
      <vt:variant>
        <vt:i4>96</vt:i4>
      </vt:variant>
      <vt:variant>
        <vt:i4>0</vt:i4>
      </vt:variant>
      <vt:variant>
        <vt:i4>5</vt:i4>
      </vt:variant>
      <vt:variant>
        <vt:lpwstr>https://www.amnesty.org/es/documents/amr53/6668/2023/es/</vt:lpwstr>
      </vt:variant>
      <vt:variant>
        <vt:lpwstr/>
      </vt:variant>
      <vt:variant>
        <vt:i4>3145773</vt:i4>
      </vt:variant>
      <vt:variant>
        <vt:i4>93</vt:i4>
      </vt:variant>
      <vt:variant>
        <vt:i4>0</vt:i4>
      </vt:variant>
      <vt:variant>
        <vt:i4>5</vt:i4>
      </vt:variant>
      <vt:variant>
        <vt:lpwstr>https://eldiario.com/2023/04/13/una-ventana-a-la-libertad-el-hacinamiento-en-calabozos-de-venezuela-fue-de-334-en-2022/</vt:lpwstr>
      </vt:variant>
      <vt:variant>
        <vt:lpwstr/>
      </vt:variant>
      <vt:variant>
        <vt:i4>7733367</vt:i4>
      </vt:variant>
      <vt:variant>
        <vt:i4>90</vt:i4>
      </vt:variant>
      <vt:variant>
        <vt:i4>0</vt:i4>
      </vt:variant>
      <vt:variant>
        <vt:i4>5</vt:i4>
      </vt:variant>
      <vt:variant>
        <vt:lpwstr>https://oveprisiones.com/en-2022-55-presos-murieron-por-hambre-y-falta-de-atencion-medica-en-las-carceles/</vt:lpwstr>
      </vt:variant>
      <vt:variant>
        <vt:lpwstr/>
      </vt:variant>
      <vt:variant>
        <vt:i4>327695</vt:i4>
      </vt:variant>
      <vt:variant>
        <vt:i4>87</vt:i4>
      </vt:variant>
      <vt:variant>
        <vt:i4>0</vt:i4>
      </vt:variant>
      <vt:variant>
        <vt:i4>5</vt:i4>
      </vt:variant>
      <vt:variant>
        <vt:lpwstr>https://www.amnesty.org/es/documents/amr53/7077/2023/es/</vt:lpwstr>
      </vt:variant>
      <vt:variant>
        <vt:lpwstr/>
      </vt:variant>
      <vt:variant>
        <vt:i4>6225982</vt:i4>
      </vt:variant>
      <vt:variant>
        <vt:i4>84</vt:i4>
      </vt:variant>
      <vt:variant>
        <vt:i4>0</vt:i4>
      </vt:variant>
      <vt:variant>
        <vt:i4>5</vt:i4>
      </vt:variant>
      <vt:variant>
        <vt:lpwstr>https://www.ohchr.org/sites/default/files/Documents/HRBodies/HRCouncil/FFMV/A-HRC-48-CRP.5_SP.pdf</vt:lpwstr>
      </vt:variant>
      <vt:variant>
        <vt:lpwstr/>
      </vt:variant>
      <vt:variant>
        <vt:i4>327695</vt:i4>
      </vt:variant>
      <vt:variant>
        <vt:i4>81</vt:i4>
      </vt:variant>
      <vt:variant>
        <vt:i4>0</vt:i4>
      </vt:variant>
      <vt:variant>
        <vt:i4>5</vt:i4>
      </vt:variant>
      <vt:variant>
        <vt:lpwstr>https://www.amnesty.org/es/documents/amr53/7077/2023/es/</vt:lpwstr>
      </vt:variant>
      <vt:variant>
        <vt:lpwstr/>
      </vt:variant>
      <vt:variant>
        <vt:i4>327695</vt:i4>
      </vt:variant>
      <vt:variant>
        <vt:i4>78</vt:i4>
      </vt:variant>
      <vt:variant>
        <vt:i4>0</vt:i4>
      </vt:variant>
      <vt:variant>
        <vt:i4>5</vt:i4>
      </vt:variant>
      <vt:variant>
        <vt:lpwstr>https://www.amnesty.org/es/documents/amr53/7077/2023/es/</vt:lpwstr>
      </vt:variant>
      <vt:variant>
        <vt:lpwstr/>
      </vt:variant>
      <vt:variant>
        <vt:i4>262152</vt:i4>
      </vt:variant>
      <vt:variant>
        <vt:i4>75</vt:i4>
      </vt:variant>
      <vt:variant>
        <vt:i4>0</vt:i4>
      </vt:variant>
      <vt:variant>
        <vt:i4>5</vt:i4>
      </vt:variant>
      <vt:variant>
        <vt:lpwstr>https://www.amnesty.org/es/documents/amr53/2909/2020/es/</vt:lpwstr>
      </vt:variant>
      <vt:variant>
        <vt:lpwstr/>
      </vt:variant>
      <vt:variant>
        <vt:i4>6225982</vt:i4>
      </vt:variant>
      <vt:variant>
        <vt:i4>72</vt:i4>
      </vt:variant>
      <vt:variant>
        <vt:i4>0</vt:i4>
      </vt:variant>
      <vt:variant>
        <vt:i4>5</vt:i4>
      </vt:variant>
      <vt:variant>
        <vt:lpwstr>https://www.ohchr.org/sites/default/files/Documents/HRBodies/HRCouncil/FFMV/A-HRC-48-CRP.5_SP.pdf</vt:lpwstr>
      </vt:variant>
      <vt:variant>
        <vt:lpwstr/>
      </vt:variant>
      <vt:variant>
        <vt:i4>5636123</vt:i4>
      </vt:variant>
      <vt:variant>
        <vt:i4>69</vt:i4>
      </vt:variant>
      <vt:variant>
        <vt:i4>0</vt:i4>
      </vt:variant>
      <vt:variant>
        <vt:i4>5</vt:i4>
      </vt:variant>
      <vt:variant>
        <vt:lpwstr>https://www.ohchr.org/sites/default/files/Documents/HRBodies/HRCouncil/FFMV/A_HRC_45_CRP.11_SP.pdf</vt:lpwstr>
      </vt:variant>
      <vt:variant>
        <vt:lpwstr/>
      </vt:variant>
      <vt:variant>
        <vt:i4>5242956</vt:i4>
      </vt:variant>
      <vt:variant>
        <vt:i4>66</vt:i4>
      </vt:variant>
      <vt:variant>
        <vt:i4>0</vt:i4>
      </vt:variant>
      <vt:variant>
        <vt:i4>5</vt:i4>
      </vt:variant>
      <vt:variant>
        <vt:lpwstr>https://www.ohchr.org/SP/HRBodies/HRC/Pages/NewsDetail.aspx?NewsID=27659&amp;LangID=S</vt:lpwstr>
      </vt:variant>
      <vt:variant>
        <vt:lpwstr/>
      </vt:variant>
      <vt:variant>
        <vt:i4>6225982</vt:i4>
      </vt:variant>
      <vt:variant>
        <vt:i4>63</vt:i4>
      </vt:variant>
      <vt:variant>
        <vt:i4>0</vt:i4>
      </vt:variant>
      <vt:variant>
        <vt:i4>5</vt:i4>
      </vt:variant>
      <vt:variant>
        <vt:lpwstr>https://www.ohchr.org/sites/default/files/Documents/HRBodies/HRCouncil/FFMV/A-HRC-48-CRP.5_SP.pdf</vt:lpwstr>
      </vt:variant>
      <vt:variant>
        <vt:lpwstr/>
      </vt:variant>
      <vt:variant>
        <vt:i4>262152</vt:i4>
      </vt:variant>
      <vt:variant>
        <vt:i4>60</vt:i4>
      </vt:variant>
      <vt:variant>
        <vt:i4>0</vt:i4>
      </vt:variant>
      <vt:variant>
        <vt:i4>5</vt:i4>
      </vt:variant>
      <vt:variant>
        <vt:lpwstr>https://www.amnesty.org/es/documents/amr53/2909/2020/es/</vt:lpwstr>
      </vt:variant>
      <vt:variant>
        <vt:lpwstr/>
      </vt:variant>
      <vt:variant>
        <vt:i4>2555944</vt:i4>
      </vt:variant>
      <vt:variant>
        <vt:i4>57</vt:i4>
      </vt:variant>
      <vt:variant>
        <vt:i4>0</vt:i4>
      </vt:variant>
      <vt:variant>
        <vt:i4>5</vt:i4>
      </vt:variant>
      <vt:variant>
        <vt:lpwstr>https://foropenal.com/reporte-sobre-la-represion-en-venezuela-ano-2021/</vt:lpwstr>
      </vt:variant>
      <vt:variant>
        <vt:lpwstr/>
      </vt:variant>
      <vt:variant>
        <vt:i4>4849750</vt:i4>
      </vt:variant>
      <vt:variant>
        <vt:i4>54</vt:i4>
      </vt:variant>
      <vt:variant>
        <vt:i4>0</vt:i4>
      </vt:variant>
      <vt:variant>
        <vt:i4>5</vt:i4>
      </vt:variant>
      <vt:variant>
        <vt:lpwstr>https://www.amnesty.org/es/latest/news/2020/05/venezuela-masacre-centro-detencion-guanare-no-debe-quedar-impune/</vt:lpwstr>
      </vt:variant>
      <vt:variant>
        <vt:lpwstr/>
      </vt:variant>
      <vt:variant>
        <vt:i4>262152</vt:i4>
      </vt:variant>
      <vt:variant>
        <vt:i4>51</vt:i4>
      </vt:variant>
      <vt:variant>
        <vt:i4>0</vt:i4>
      </vt:variant>
      <vt:variant>
        <vt:i4>5</vt:i4>
      </vt:variant>
      <vt:variant>
        <vt:lpwstr>https://www.amnesty.org/es/documents/amr53/2909/2020/es/</vt:lpwstr>
      </vt:variant>
      <vt:variant>
        <vt:lpwstr/>
      </vt:variant>
      <vt:variant>
        <vt:i4>5177362</vt:i4>
      </vt:variant>
      <vt:variant>
        <vt:i4>48</vt:i4>
      </vt:variant>
      <vt:variant>
        <vt:i4>0</vt:i4>
      </vt:variant>
      <vt:variant>
        <vt:i4>5</vt:i4>
      </vt:variant>
      <vt:variant>
        <vt:lpwstr>https://www.ohchr.org/es/documents/country-reports/independence-justice-system-and-access-justice-bolivarian-republic</vt:lpwstr>
      </vt:variant>
      <vt:variant>
        <vt:lpwstr/>
      </vt:variant>
      <vt:variant>
        <vt:i4>6225982</vt:i4>
      </vt:variant>
      <vt:variant>
        <vt:i4>45</vt:i4>
      </vt:variant>
      <vt:variant>
        <vt:i4>0</vt:i4>
      </vt:variant>
      <vt:variant>
        <vt:i4>5</vt:i4>
      </vt:variant>
      <vt:variant>
        <vt:lpwstr>https://www.ohchr.org/sites/default/files/Documents/HRBodies/HRCouncil/FFMV/A-HRC-48-CRP.5_SP.pdf</vt:lpwstr>
      </vt:variant>
      <vt:variant>
        <vt:lpwstr/>
      </vt:variant>
      <vt:variant>
        <vt:i4>851979</vt:i4>
      </vt:variant>
      <vt:variant>
        <vt:i4>42</vt:i4>
      </vt:variant>
      <vt:variant>
        <vt:i4>0</vt:i4>
      </vt:variant>
      <vt:variant>
        <vt:i4>5</vt:i4>
      </vt:variant>
      <vt:variant>
        <vt:lpwstr>https://www.amnesty.org/es/documents/amr53/0222/2019/es/</vt:lpwstr>
      </vt:variant>
      <vt:variant>
        <vt:lpwstr/>
      </vt:variant>
      <vt:variant>
        <vt:i4>458764</vt:i4>
      </vt:variant>
      <vt:variant>
        <vt:i4>39</vt:i4>
      </vt:variant>
      <vt:variant>
        <vt:i4>0</vt:i4>
      </vt:variant>
      <vt:variant>
        <vt:i4>5</vt:i4>
      </vt:variant>
      <vt:variant>
        <vt:lpwstr>https://www.amnesty.org/es/documents/amr53/3632/2021/es/</vt:lpwstr>
      </vt:variant>
      <vt:variant>
        <vt:lpwstr/>
      </vt:variant>
      <vt:variant>
        <vt:i4>5505028</vt:i4>
      </vt:variant>
      <vt:variant>
        <vt:i4>36</vt:i4>
      </vt:variant>
      <vt:variant>
        <vt:i4>0</vt:i4>
      </vt:variant>
      <vt:variant>
        <vt:i4>5</vt:i4>
      </vt:variant>
      <vt:variant>
        <vt:lpwstr>https://documents-dds-ny.un.org/doc/UNDOC/GEN/G19/301/95/PDF/G1930195.pdf?OpenElement</vt:lpwstr>
      </vt:variant>
      <vt:variant>
        <vt:lpwstr/>
      </vt:variant>
      <vt:variant>
        <vt:i4>5636123</vt:i4>
      </vt:variant>
      <vt:variant>
        <vt:i4>33</vt:i4>
      </vt:variant>
      <vt:variant>
        <vt:i4>0</vt:i4>
      </vt:variant>
      <vt:variant>
        <vt:i4>5</vt:i4>
      </vt:variant>
      <vt:variant>
        <vt:lpwstr>https://www.ohchr.org/sites/default/files/Documents/HRBodies/HRCouncil/FFMV/A_HRC_45_CRP.11_SP.pdf</vt:lpwstr>
      </vt:variant>
      <vt:variant>
        <vt:lpwstr/>
      </vt:variant>
      <vt:variant>
        <vt:i4>5505028</vt:i4>
      </vt:variant>
      <vt:variant>
        <vt:i4>30</vt:i4>
      </vt:variant>
      <vt:variant>
        <vt:i4>0</vt:i4>
      </vt:variant>
      <vt:variant>
        <vt:i4>5</vt:i4>
      </vt:variant>
      <vt:variant>
        <vt:lpwstr>https://documents-dds-ny.un.org/doc/UNDOC/GEN/G19/301/95/PDF/G1930195.pdf?OpenElement</vt:lpwstr>
      </vt:variant>
      <vt:variant>
        <vt:lpwstr/>
      </vt:variant>
      <vt:variant>
        <vt:i4>65543</vt:i4>
      </vt:variant>
      <vt:variant>
        <vt:i4>27</vt:i4>
      </vt:variant>
      <vt:variant>
        <vt:i4>0</vt:i4>
      </vt:variant>
      <vt:variant>
        <vt:i4>5</vt:i4>
      </vt:variant>
      <vt:variant>
        <vt:lpwstr>https://www.amnesty.org/es/documents/amr53/8975/2018/es/</vt:lpwstr>
      </vt:variant>
      <vt:variant>
        <vt:lpwstr/>
      </vt:variant>
      <vt:variant>
        <vt:i4>3538979</vt:i4>
      </vt:variant>
      <vt:variant>
        <vt:i4>24</vt:i4>
      </vt:variant>
      <vt:variant>
        <vt:i4>0</vt:i4>
      </vt:variant>
      <vt:variant>
        <vt:i4>5</vt:i4>
      </vt:variant>
      <vt:variant>
        <vt:lpwstr>https://www.amnesty.org/es/wp-content/uploads/sites/4/2023/04/WEBPOL1056702023SPANISH-2.pdf</vt:lpwstr>
      </vt:variant>
      <vt:variant>
        <vt:lpwstr/>
      </vt:variant>
      <vt:variant>
        <vt:i4>7798890</vt:i4>
      </vt:variant>
      <vt:variant>
        <vt:i4>21</vt:i4>
      </vt:variant>
      <vt:variant>
        <vt:i4>0</vt:i4>
      </vt:variant>
      <vt:variant>
        <vt:i4>5</vt:i4>
      </vt:variant>
      <vt:variant>
        <vt:lpwstr>https://cepaz.org/wp-content/uploads/2023/05/CEDAW_Justicia.VBG_.pdf</vt:lpwstr>
      </vt:variant>
      <vt:variant>
        <vt:lpwstr/>
      </vt:variant>
      <vt:variant>
        <vt:i4>7143544</vt:i4>
      </vt:variant>
      <vt:variant>
        <vt:i4>18</vt:i4>
      </vt:variant>
      <vt:variant>
        <vt:i4>0</vt:i4>
      </vt:variant>
      <vt:variant>
        <vt:i4>5</vt:i4>
      </vt:variant>
      <vt:variant>
        <vt:lpwstr>https://centrodefensores.org.ve/wp-content/uploads/2022/07/CDJReportePrimerSemestre2022.pdf</vt:lpwstr>
      </vt:variant>
      <vt:variant>
        <vt:lpwstr/>
      </vt:variant>
      <vt:variant>
        <vt:i4>2359421</vt:i4>
      </vt:variant>
      <vt:variant>
        <vt:i4>15</vt:i4>
      </vt:variant>
      <vt:variant>
        <vt:i4>0</vt:i4>
      </vt:variant>
      <vt:variant>
        <vt:i4>5</vt:i4>
      </vt:variant>
      <vt:variant>
        <vt:lpwstr>https://www.amnesty.org/es/documents/amr53/5454/2022/es/?utm_source=annual_report&amp;utm_medium=epub&amp;utm_campaign=2021</vt:lpwstr>
      </vt:variant>
      <vt:variant>
        <vt:lpwstr/>
      </vt:variant>
      <vt:variant>
        <vt:i4>1114118</vt:i4>
      </vt:variant>
      <vt:variant>
        <vt:i4>12</vt:i4>
      </vt:variant>
      <vt:variant>
        <vt:i4>0</vt:i4>
      </vt:variant>
      <vt:variant>
        <vt:i4>5</vt:i4>
      </vt:variant>
      <vt:variant>
        <vt:lpwstr>https://www.dw.com/es/el-arco-minero-venezolano-una-pol%C3%ADtica-depredadora/a-61934013</vt:lpwstr>
      </vt:variant>
      <vt:variant>
        <vt:lpwstr/>
      </vt:variant>
      <vt:variant>
        <vt:i4>7340158</vt:i4>
      </vt:variant>
      <vt:variant>
        <vt:i4>9</vt:i4>
      </vt:variant>
      <vt:variant>
        <vt:i4>0</vt:i4>
      </vt:variant>
      <vt:variant>
        <vt:i4>5</vt:i4>
      </vt:variant>
      <vt:variant>
        <vt:lpwstr>https://www.wola.org/es/2023/08/justicia-para-los-33-en-venezuela-ser-lgbtiq-no-es-delito/</vt:lpwstr>
      </vt:variant>
      <vt:variant>
        <vt:lpwstr/>
      </vt:variant>
      <vt:variant>
        <vt:i4>7471161</vt:i4>
      </vt:variant>
      <vt:variant>
        <vt:i4>6</vt:i4>
      </vt:variant>
      <vt:variant>
        <vt:i4>0</vt:i4>
      </vt:variant>
      <vt:variant>
        <vt:i4>5</vt:i4>
      </vt:variant>
      <vt:variant>
        <vt:lpwstr>http://www.tsj.gob.ve/-/tribunal-supremo-de-justicia-declara-nulidad-de-norma-preconstitucional-del-codigo-organico-de-justicia-militar</vt:lpwstr>
      </vt:variant>
      <vt:variant>
        <vt:lpwstr/>
      </vt:variant>
      <vt:variant>
        <vt:i4>3801103</vt:i4>
      </vt:variant>
      <vt:variant>
        <vt:i4>3</vt:i4>
      </vt:variant>
      <vt:variant>
        <vt:i4>0</vt:i4>
      </vt:variant>
      <vt:variant>
        <vt:i4>5</vt:i4>
      </vt:variant>
      <vt:variant>
        <vt:lpwstr>http://spgoin.imprentanacional.gob.ve/cgi-win/be_alex.cgi?Documento=T028700036801/0&amp;Nombrebd=spgoin&amp;CodAsocDoc=2650&amp;t04=1&amp;t05=png&amp;Sesion=1363484759</vt:lpwstr>
      </vt:variant>
      <vt:variant>
        <vt:lpwstr/>
      </vt:variant>
      <vt:variant>
        <vt:i4>262146</vt:i4>
      </vt:variant>
      <vt:variant>
        <vt:i4>0</vt:i4>
      </vt:variant>
      <vt:variant>
        <vt:i4>0</vt:i4>
      </vt:variant>
      <vt:variant>
        <vt:i4>5</vt:i4>
      </vt:variant>
      <vt:variant>
        <vt:lpwstr>https://www.amnesty.org/es/documents/amr53/6379/2023/es/</vt:lpwstr>
      </vt:variant>
      <vt:variant>
        <vt:lpwstr/>
      </vt:variant>
      <vt:variant>
        <vt:i4>3145851</vt:i4>
      </vt:variant>
      <vt:variant>
        <vt:i4>6</vt:i4>
      </vt:variant>
      <vt:variant>
        <vt:i4>0</vt:i4>
      </vt:variant>
      <vt:variant>
        <vt:i4>5</vt:i4>
      </vt:variant>
      <vt:variant>
        <vt:lpwstr>https://www.amnesty.org/es/permissions/</vt:lpwstr>
      </vt:variant>
      <vt:variant>
        <vt:lpwstr/>
      </vt:variant>
      <vt:variant>
        <vt:i4>7340088</vt:i4>
      </vt:variant>
      <vt:variant>
        <vt:i4>3</vt:i4>
      </vt:variant>
      <vt:variant>
        <vt:i4>0</vt:i4>
      </vt:variant>
      <vt:variant>
        <vt:i4>5</vt:i4>
      </vt:variant>
      <vt:variant>
        <vt:lpwstr>https://www.facebook.com/AmnistiaAmericas/</vt:lpwstr>
      </vt:variant>
      <vt:variant>
        <vt:lpwstr/>
      </vt:variant>
      <vt:variant>
        <vt:i4>196844</vt:i4>
      </vt:variant>
      <vt:variant>
        <vt:i4>0</vt:i4>
      </vt:variant>
      <vt:variant>
        <vt:i4>0</vt:i4>
      </vt:variant>
      <vt:variant>
        <vt:i4>5</vt:i4>
      </vt:variant>
      <vt:variant>
        <vt:lpwstr>\\esma0-vs-dc1ro\ES_Common\Publishing\TRADUCCIÓN\PROYECTOS\JUL22-GLO89\es-ES\info@amnesty.org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Ballesta</dc:creator>
  <cp:keywords/>
  <dc:description/>
  <cp:lastModifiedBy>Anna-Karin Holmlund</cp:lastModifiedBy>
  <cp:revision>7</cp:revision>
  <cp:lastPrinted>2023-09-12T18:11:00Z</cp:lastPrinted>
  <dcterms:created xsi:type="dcterms:W3CDTF">2023-09-12T18:08:00Z</dcterms:created>
  <dcterms:modified xsi:type="dcterms:W3CDTF">2023-09-12T18:13:00Z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0x01010012F0E9E5CB7C724AB299DDFE8B527865</vt:lpwstr>
  </property>
  <property fmtid="{D5CDD505-2E9C-101B-9397-08002B2CF9AE}" pid="3" name="l6eaae1c08db4e5497f282ab5b606b1e">
    <vt:lpwstr/>
  </property>
  <property fmtid="{D5CDD505-2E9C-101B-9397-08002B2CF9AE}" pid="4" name="AI_Language">
    <vt:lpwstr/>
  </property>
  <property fmtid="{D5CDD505-2E9C-101B-9397-08002B2CF9AE}" pid="5" name="e9658ea061444602b08dbcc2c96d5dc6">
    <vt:lpwstr/>
  </property>
  <property fmtid="{D5CDD505-2E9C-101B-9397-08002B2CF9AE}" pid="6" name="AI_Description">
    <vt:lpwstr/>
  </property>
  <property fmtid="{D5CDD505-2E9C-101B-9397-08002B2CF9AE}" pid="7" name="jae03750ef5e40a6a6b59e3884c749d9">
    <vt:lpwstr/>
  </property>
  <property fmtid="{D5CDD505-2E9C-101B-9397-08002B2CF9AE}" pid="8" name="c0e34970ed5d41eaaa80fe61da16f3a5">
    <vt:lpwstr/>
  </property>
  <property fmtid="{D5CDD505-2E9C-101B-9397-08002B2CF9AE}" pid="9" name="AI_Region">
    <vt:lpwstr/>
  </property>
  <property fmtid="{D5CDD505-2E9C-101B-9397-08002B2CF9AE}" pid="10" name="lcf76f155ced4ddcb4097134ff3c332f">
    <vt:lpwstr/>
  </property>
  <property fmtid="{D5CDD505-2E9C-101B-9397-08002B2CF9AE}" pid="11" name="h7fbd78d7c1841caa99e178b09d0de3a">
    <vt:lpwstr/>
  </property>
  <property fmtid="{D5CDD505-2E9C-101B-9397-08002B2CF9AE}" pid="12" name="AI_InternalSecurityClassification">
    <vt:lpwstr/>
  </property>
  <property fmtid="{D5CDD505-2E9C-101B-9397-08002B2CF9AE}" pid="13" name="l1340c6b884a4aea8dd1cae074d51ebc">
    <vt:lpwstr/>
  </property>
  <property fmtid="{D5CDD505-2E9C-101B-9397-08002B2CF9AE}" pid="14" name="g79d427acae7414da3e1fa168257d197">
    <vt:lpwstr/>
  </property>
  <property fmtid="{D5CDD505-2E9C-101B-9397-08002B2CF9AE}" pid="15" name="oe3f2d8de3fc47d0a88a0747e5e492ee">
    <vt:lpwstr/>
  </property>
  <property fmtid="{D5CDD505-2E9C-101B-9397-08002B2CF9AE}" pid="16" name="TaxCatchAll">
    <vt:lpwstr/>
  </property>
</Properties>
</file>