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Rule="auto"/>
        <w:jc w:val="center"/>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Pr>
        <w:drawing>
          <wp:inline distB="114300" distT="114300" distL="114300" distR="114300">
            <wp:extent cx="1260638" cy="748703"/>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260638" cy="748703"/>
                    </a:xfrm>
                    <a:prstGeom prst="rect"/>
                    <a:ln/>
                  </pic:spPr>
                </pic:pic>
              </a:graphicData>
            </a:graphic>
          </wp:inline>
        </w:drawing>
      </w:r>
      <w:r w:rsidDel="00000000" w:rsidR="00000000" w:rsidRPr="00000000">
        <w:rPr>
          <w:rFonts w:ascii="Times New Roman" w:cs="Times New Roman" w:eastAsia="Times New Roman" w:hAnsi="Times New Roman"/>
          <w:b w:val="1"/>
          <w:bCs w:val="1"/>
          <w:sz w:val="30"/>
          <w:szCs w:val="30"/>
        </w:rPr>
        <w:drawing>
          <wp:inline distB="114300" distT="114300" distL="114300" distR="114300">
            <wp:extent cx="1827375" cy="837211"/>
            <wp:effectExtent b="0" l="0" r="0" t="0"/>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827375" cy="837211"/>
                    </a:xfrm>
                    <a:prstGeom prst="rect"/>
                    <a:ln/>
                  </pic:spPr>
                </pic:pic>
              </a:graphicData>
            </a:graphic>
          </wp:inline>
        </w:drawing>
      </w:r>
      <w:r w:rsidDel="00000000" w:rsidR="00000000" w:rsidRPr="00000000">
        <w:rPr>
          <w:rFonts w:ascii="Times New Roman" w:cs="Times New Roman" w:eastAsia="Times New Roman" w:hAnsi="Times New Roman"/>
          <w:b w:val="1"/>
          <w:bCs w:val="1"/>
          <w:sz w:val="30"/>
          <w:szCs w:val="30"/>
          <w:rtl w:val="0"/>
        </w:rPr>
        <w:t xml:space="preserve"> </w:t>
      </w:r>
      <w:r w:rsidDel="00000000" w:rsidR="00000000" w:rsidRPr="00000000">
        <w:rPr>
          <w:rFonts w:ascii="Times New Roman" w:cs="Times New Roman" w:eastAsia="Times New Roman" w:hAnsi="Times New Roman"/>
          <w:b w:val="1"/>
          <w:bCs w:val="1"/>
          <w:sz w:val="30"/>
          <w:szCs w:val="30"/>
        </w:rPr>
        <w:drawing>
          <wp:inline distB="114300" distT="114300" distL="114300" distR="114300">
            <wp:extent cx="1474950" cy="694865"/>
            <wp:effectExtent b="0" l="0" r="0" t="0"/>
            <wp:docPr id="2" name="image4.png"/>
            <a:graphic>
              <a:graphicData uri="http://schemas.openxmlformats.org/drawingml/2006/picture">
                <pic:pic>
                  <pic:nvPicPr>
                    <pic:cNvPr id="0" name="image4.png"/>
                    <pic:cNvPicPr preferRelativeResize="0"/>
                  </pic:nvPicPr>
                  <pic:blipFill>
                    <a:blip r:embed="rId9"/>
                    <a:srcRect b="31111" l="0" r="0" t="21777"/>
                    <a:stretch>
                      <a:fillRect/>
                    </a:stretch>
                  </pic:blipFill>
                  <pic:spPr>
                    <a:xfrm>
                      <a:off x="0" y="0"/>
                      <a:ext cx="1474950" cy="694865"/>
                    </a:xfrm>
                    <a:prstGeom prst="rect"/>
                    <a:ln/>
                  </pic:spPr>
                </pic:pic>
              </a:graphicData>
            </a:graphic>
          </wp:inline>
        </w:drawing>
      </w:r>
      <w:r w:rsidDel="00000000" w:rsidR="00000000" w:rsidRPr="00000000">
        <w:rPr>
          <w:rFonts w:ascii="Times New Roman" w:cs="Times New Roman" w:eastAsia="Times New Roman" w:hAnsi="Times New Roman"/>
          <w:b w:val="1"/>
          <w:bCs w:val="1"/>
          <w:sz w:val="30"/>
          <w:szCs w:val="30"/>
        </w:rPr>
        <w:drawing>
          <wp:inline distB="114300" distT="114300" distL="114300" distR="114300">
            <wp:extent cx="3538538" cy="1428347"/>
            <wp:effectExtent b="0" l="0" r="0" t="0"/>
            <wp:docPr id="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538538" cy="142834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00" w:lineRule="auto"/>
        <w:jc w:val="center"/>
        <w:rPr>
          <w:rFonts w:ascii="Times New Roman" w:cs="Times New Roman" w:eastAsia="Times New Roman" w:hAnsi="Times New Roman"/>
          <w:b w:val="1"/>
          <w:bCs w:val="1"/>
          <w:sz w:val="30"/>
          <w:szCs w:val="30"/>
        </w:rPr>
      </w:pPr>
      <w:r w:rsidDel="00000000" w:rsidR="00000000" w:rsidRPr="00000000">
        <w:rPr>
          <w:rtl w:val="0"/>
        </w:rPr>
      </w:r>
    </w:p>
    <w:p w:rsidR="00000000" w:rsidDel="00000000" w:rsidP="00000000" w:rsidRDefault="00000000" w:rsidRPr="00000000" w14:paraId="00000003">
      <w:pPr>
        <w:spacing w:after="200" w:lineRule="auto"/>
        <w:jc w:val="center"/>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Civil Society Report on the Implementation of CEDAW in Czechia: Focus on Intersectional Discrimination and Roma Women</w:t>
      </w:r>
    </w:p>
    <w:p w:rsidR="00000000" w:rsidDel="00000000" w:rsidP="00000000" w:rsidRDefault="00000000" w:rsidRPr="00000000" w14:paraId="00000004">
      <w:pPr>
        <w:spacing w:after="200" w:lineRule="auto"/>
        <w:jc w:val="center"/>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24"/>
          <w:szCs w:val="24"/>
          <w:rtl w:val="0"/>
        </w:rPr>
        <w:t xml:space="preserve">92nd session (2</w:t>
      </w:r>
      <w:r w:rsidDel="00000000" w:rsidR="00000000" w:rsidRPr="00000000">
        <w:rPr>
          <w:rFonts w:ascii="Times New Roman" w:cs="Times New Roman" w:eastAsia="Times New Roman" w:hAnsi="Times New Roman"/>
          <w:b w:val="1"/>
          <w:bCs w:val="1"/>
          <w:color w:val="0b0b0b"/>
          <w:sz w:val="24"/>
          <w:szCs w:val="24"/>
          <w:rtl w:val="0"/>
        </w:rPr>
        <w:t xml:space="preserve">-20 February 2026</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05">
      <w:pPr>
        <w:spacing w:after="200" w:lineRule="auto"/>
        <w:jc w:val="center"/>
        <w:rPr>
          <w:rFonts w:ascii="Times New Roman" w:cs="Times New Roman" w:eastAsia="Times New Roman" w:hAnsi="Times New Roman"/>
          <w:b w:val="1"/>
          <w:bCs w:val="1"/>
          <w:sz w:val="30"/>
          <w:szCs w:val="30"/>
        </w:rPr>
      </w:pPr>
      <w:r w:rsidDel="00000000" w:rsidR="00000000" w:rsidRPr="00000000">
        <w:rPr>
          <w:rtl w:val="0"/>
        </w:rPr>
      </w:r>
    </w:p>
    <w:sdt>
      <w:sdtPr>
        <w:id w:val="949331887"/>
        <w:docPartObj>
          <w:docPartGallery w:val="Table of Contents"/>
          <w:docPartUnique w:val="1"/>
        </w:docPartObj>
      </w:sdtPr>
      <w:sdtContent>
        <w:p w:rsidR="00000000" w:rsidDel="00000000" w:rsidP="00000000" w:rsidRDefault="00000000" w:rsidRPr="00000000" w14:paraId="00000006">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shyjz5piiht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General context</w:t>
              <w:tab/>
              <w:t xml:space="preserve">1</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uayfkdp0pt1l">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Previous CEDAW concerns and recommendations</w:t>
              <w:tab/>
              <w:t xml:space="preserve">2</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eirovtavmj9c">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Forced sterilization of Roma women and compensation measures</w:t>
              <w:tab/>
              <w:t xml:space="preserve">4</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szjrr3tp3dl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Policy level developments and implementation deficits</w:t>
              <w:tab/>
              <w:t xml:space="preserve">5</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t0nr6pmiallb">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Domestic violence</w:t>
              <w:tab/>
              <w:t xml:space="preserve">7</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edl0ks9vxrv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Discrimination and antigypsyism</w:t>
              <w:tab/>
              <w:t xml:space="preserve">8</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uxu4cr58ul5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Recommendations</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D">
      <w:pPr>
        <w:spacing w:after="200" w:lineRule="auto"/>
        <w:jc w:val="center"/>
        <w:rPr>
          <w:rFonts w:ascii="Times New Roman" w:cs="Times New Roman" w:eastAsia="Times New Roman" w:hAnsi="Times New Roman"/>
          <w:b w:val="1"/>
          <w:bCs w:val="1"/>
          <w:sz w:val="30"/>
          <w:szCs w:val="30"/>
        </w:rPr>
      </w:pPr>
      <w:r w:rsidDel="00000000" w:rsidR="00000000" w:rsidRPr="00000000">
        <w:rPr>
          <w:rtl w:val="0"/>
        </w:rPr>
      </w:r>
    </w:p>
    <w:p w:rsidR="00000000" w:rsidDel="00000000" w:rsidP="00000000" w:rsidRDefault="00000000" w:rsidRPr="00000000" w14:paraId="0000000E">
      <w:pPr>
        <w:pStyle w:val="Heading2"/>
        <w:spacing w:after="200" w:line="360" w:lineRule="auto"/>
        <w:rPr>
          <w:rFonts w:ascii="Times New Roman" w:cs="Times New Roman" w:eastAsia="Times New Roman" w:hAnsi="Times New Roman"/>
          <w:sz w:val="24"/>
          <w:szCs w:val="24"/>
        </w:rPr>
      </w:pPr>
      <w:bookmarkStart w:colFirst="0" w:colLast="0" w:name="_shyjz5piiht9" w:id="0"/>
      <w:bookmarkEnd w:id="0"/>
      <w:r w:rsidDel="00000000" w:rsidR="00000000" w:rsidRPr="00000000">
        <w:rPr>
          <w:rtl w:val="0"/>
        </w:rPr>
        <w:t xml:space="preserve">General context</w:t>
      </w: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Communities Discriminated on Work &amp; Descent (CDWD) is the UN terminology to refer to historically marginalized and systemically excluded communities facing caste and analogous forms of discrimination, such as (but not limited to) Dalit communities in South Asia, Roma community in Europe, Quilombola and Palenque community in Latin America, Haratin, Osu and other similarly oppressed communities in Africa.</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These groups, while distinct, share a common experience of systemic discrimination compounded by intersecting factors. An estimated 270 million people globally belong to communities who face discrimination based on work and descent. Women and girls in these communities experience multiple and intersecting forms of discrimination. Discrimination based on work and descent (DWD) focuses on occupational descent, where the position within the social stratification (unlike in racism, the color of the  skin) becomes the core factor of discrimination. DWD is inherently intersectional because it involves multiple overlapping forms of marginalization tied to inherited social status, ancestral occupation, gender, race, and socio-economic factors. </w:t>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Roma women in Czechia, as part of communities discriminated on work and descent, experience intersecting and structural forms of discrimination based on gender, ethnicity, and socio-economic status. These intersecting inequalities are rooted in longstanding antigypsyism and social stratification that continue to shape access to education, employment, housing, healthcare, and justice. Roma women are disproportionately affected by labour market segregation into low-paid and informal work, barriers to social protection, discriminatory treatment by public institutions, and heightened exposure to gender-based violence, often compounded by limited access to effective remedies. These patterns reflect systemic exclusion rather than isolated incidents and require a comprehensive response aligned with CEDAW’s obligations on substantive equality, intersectionality, and non-discrimination.</w:t>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joint submission is centred on discrimination based on work and descent as a cross-cutting and structural driver of inequality affecting Roma women in Czechia. It is submitted by ERGO Network, the Global Forum of Communities Discriminated on Work and Descent (GFoD), Slovo 21, and The Inclusivity Project, and brings together community-based evidence, policy analysis, and lived experiences. The submission seeks to support the Committee’s assessment of Czechia’s compliance with CEDAW by highlighting forms of discrimination that remain insufficiently recognised within existing equality and gender-equality frameworks.</w:t>
      </w:r>
      <w:r w:rsidDel="00000000" w:rsidR="00000000" w:rsidRPr="00000000">
        <w:rPr>
          <w:rtl w:val="0"/>
        </w:rPr>
      </w:r>
    </w:p>
    <w:p w:rsidR="00000000" w:rsidDel="00000000" w:rsidP="00000000" w:rsidRDefault="00000000" w:rsidRPr="00000000" w14:paraId="00000014">
      <w:pPr>
        <w:pStyle w:val="Heading2"/>
        <w:spacing w:after="200" w:line="360" w:lineRule="auto"/>
        <w:rPr/>
      </w:pPr>
      <w:bookmarkStart w:colFirst="0" w:colLast="0" w:name="_uayfkdp0pt1l" w:id="1"/>
      <w:bookmarkEnd w:id="1"/>
      <w:r w:rsidDel="00000000" w:rsidR="00000000" w:rsidRPr="00000000">
        <w:rPr>
          <w:rtl w:val="0"/>
        </w:rPr>
        <w:t xml:space="preserve">Previous CEDAW concerns and recommendations </w:t>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CEDAW Committee</w:t>
      </w:r>
      <w:r w:rsidDel="00000000" w:rsidR="00000000" w:rsidRPr="00000000">
        <w:rPr>
          <w:rFonts w:ascii="Times New Roman" w:cs="Times New Roman" w:eastAsia="Times New Roman" w:hAnsi="Times New Roman"/>
          <w:sz w:val="24"/>
          <w:szCs w:val="24"/>
          <w:rtl w:val="0"/>
        </w:rPr>
        <w:t xml:space="preserve"> has addressed the concerns of Roma women in its previous concluding observations to the Czech Republic, specifically in CEDAW/C/CZE/CO/5 and CEDAW/C/CZE/CO/6. In its Concluding Observations (</w:t>
      </w:r>
      <w:r w:rsidDel="00000000" w:rsidR="00000000" w:rsidRPr="00000000">
        <w:rPr>
          <w:rFonts w:ascii="Times New Roman" w:cs="Times New Roman" w:eastAsia="Times New Roman" w:hAnsi="Times New Roman"/>
          <w:sz w:val="24"/>
          <w:szCs w:val="24"/>
          <w:rtl w:val="0"/>
        </w:rPr>
        <w:t xml:space="preserve">CEDAW/C/CZE/CO/6)</w:t>
      </w:r>
      <w:r w:rsidDel="00000000" w:rsidR="00000000" w:rsidRPr="00000000">
        <w:rPr>
          <w:rFonts w:ascii="Times New Roman" w:cs="Times New Roman" w:eastAsia="Times New Roman" w:hAnsi="Times New Roman"/>
          <w:sz w:val="24"/>
          <w:szCs w:val="24"/>
          <w:rtl w:val="0"/>
        </w:rPr>
        <w:t xml:space="preserve">, the CEDAW Committee expressed serious concerns about the persistent and systemic discrimination faced by Roma women in the Czech Republic across multiple sectors. The Committee highlighted the following key areas of concern:</w:t>
      </w:r>
    </w:p>
    <w:p w:rsidR="00000000" w:rsidDel="00000000" w:rsidP="00000000" w:rsidRDefault="00000000" w:rsidRPr="00000000" w14:paraId="00000016">
      <w:pPr>
        <w:numPr>
          <w:ilvl w:val="0"/>
          <w:numId w:val="1"/>
        </w:numPr>
        <w:spacing w:after="0" w:afterAutospacing="0"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lack of specific goals, targets, and time frames  to ensure substantive equality for Roma women, particularly in political and public life, including in senior government positions, legislative bodies, and state-owned enterprises.</w:t>
      </w:r>
    </w:p>
    <w:p w:rsidR="00000000" w:rsidDel="00000000" w:rsidP="00000000" w:rsidRDefault="00000000" w:rsidRPr="00000000" w14:paraId="00000017">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continued underrepresentation of Roma women in decision-making positions at all levels, including Parliament, local and regional assemblies, ministerial roles, diplomatic posts, and the senior civil service.</w:t>
      </w:r>
    </w:p>
    <w:p w:rsidR="00000000" w:rsidDel="00000000" w:rsidP="00000000" w:rsidRDefault="00000000" w:rsidRPr="00000000" w14:paraId="00000018">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vulnerability of Roma women and girls to trafficking, particularly for sexual exploitation and forced labour.</w:t>
      </w:r>
    </w:p>
    <w:p w:rsidR="00000000" w:rsidDel="00000000" w:rsidP="00000000" w:rsidRDefault="00000000" w:rsidRPr="00000000" w14:paraId="00000019">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disproportionately high dropout and absenteeism rates among Roma girls, especially in socially excluded areas.</w:t>
      </w:r>
    </w:p>
    <w:p w:rsidR="00000000" w:rsidDel="00000000" w:rsidP="00000000" w:rsidRDefault="00000000" w:rsidRPr="00000000" w14:paraId="0000001A">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limited capacity of labour inspectorates to adequately address gender-based discrimination, especially for Roma women and other women facing intersecting forms of discrimination.</w:t>
      </w:r>
    </w:p>
    <w:p w:rsidR="00000000" w:rsidDel="00000000" w:rsidP="00000000" w:rsidRDefault="00000000" w:rsidRPr="00000000" w14:paraId="0000001B">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marginalized status of Roma women in various areas of life—political participation, education, employment, and healthcare—despite civil society support programmes.</w:t>
      </w:r>
    </w:p>
    <w:p w:rsidR="00000000" w:rsidDel="00000000" w:rsidP="00000000" w:rsidRDefault="00000000" w:rsidRPr="00000000" w14:paraId="0000001C">
      <w:pPr>
        <w:numPr>
          <w:ilvl w:val="0"/>
          <w:numId w:val="1"/>
        </w:numPr>
        <w:spacing w:after="24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lack of disaggregated data to effectively monitor the situation of Roma women and other disadvantaged groups.</w:t>
      </w:r>
    </w:p>
    <w:p w:rsidR="00000000" w:rsidDel="00000000" w:rsidP="00000000" w:rsidRDefault="00000000" w:rsidRPr="00000000" w14:paraId="0000001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address these concerns, the Committee made several targeted recommendations, including:</w:t>
      </w:r>
    </w:p>
    <w:p w:rsidR="00000000" w:rsidDel="00000000" w:rsidP="00000000" w:rsidRDefault="00000000" w:rsidRPr="00000000" w14:paraId="0000001E">
      <w:pPr>
        <w:numPr>
          <w:ilvl w:val="0"/>
          <w:numId w:val="3"/>
        </w:numPr>
        <w:spacing w:after="0" w:afterAutospacing="0"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Setting specific goals, targets, and time frames to increase the representation of women, including Roma women, in political, public, and economic decision-making, and integrating these measures into the internal rules of government departments.</w:t>
      </w:r>
    </w:p>
    <w:p w:rsidR="00000000" w:rsidDel="00000000" w:rsidP="00000000" w:rsidRDefault="00000000" w:rsidRPr="00000000" w14:paraId="0000001F">
      <w:pPr>
        <w:numPr>
          <w:ilvl w:val="0"/>
          <w:numId w:val="3"/>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Adopting targeted preventive measures to combat trafficking, with a focus on the specific vulnerabilities of Roma women and girls.</w:t>
      </w:r>
    </w:p>
    <w:p w:rsidR="00000000" w:rsidDel="00000000" w:rsidP="00000000" w:rsidRDefault="00000000" w:rsidRPr="00000000" w14:paraId="00000020">
      <w:pPr>
        <w:numPr>
          <w:ilvl w:val="0"/>
          <w:numId w:val="3"/>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Strengthening efforts to reduce school dropout and absenteeism among Roma girls, including teacher training to counter prejudice and gender stereotypes, and developing inclusive education policies.</w:t>
      </w:r>
    </w:p>
    <w:p w:rsidR="00000000" w:rsidDel="00000000" w:rsidP="00000000" w:rsidRDefault="00000000" w:rsidRPr="00000000" w14:paraId="00000021">
      <w:pPr>
        <w:numPr>
          <w:ilvl w:val="0"/>
          <w:numId w:val="3"/>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Enhancing the capacity of labour inspectorates to tackle gender-based and intersectional discrimination, and implementing economic support measures for vulnerable groups such as single mothers, older women, and Roma women.</w:t>
      </w:r>
    </w:p>
    <w:p w:rsidR="00000000" w:rsidDel="00000000" w:rsidP="00000000" w:rsidRDefault="00000000" w:rsidRPr="00000000" w14:paraId="00000022">
      <w:pPr>
        <w:numPr>
          <w:ilvl w:val="0"/>
          <w:numId w:val="3"/>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Reinforcing support for disadvantaged women, including Roma women, through civil society engagement and more inclusive anti-discrimination programmes.</w:t>
      </w:r>
    </w:p>
    <w:p w:rsidR="00000000" w:rsidDel="00000000" w:rsidP="00000000" w:rsidRDefault="00000000" w:rsidRPr="00000000" w14:paraId="00000023">
      <w:pPr>
        <w:numPr>
          <w:ilvl w:val="0"/>
          <w:numId w:val="3"/>
        </w:numPr>
        <w:spacing w:after="24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Collecting and analyzing disaggregated data on Roma women and other women facing intersecting forms of discrimination to inform policy and ensure accountability.</w:t>
      </w:r>
    </w:p>
    <w:p w:rsidR="00000000" w:rsidDel="00000000" w:rsidP="00000000" w:rsidRDefault="00000000" w:rsidRPr="00000000" w14:paraId="00000024">
      <w:pPr>
        <w:pStyle w:val="Heading2"/>
        <w:spacing w:after="240" w:before="240" w:line="360" w:lineRule="auto"/>
        <w:jc w:val="both"/>
        <w:rPr/>
      </w:pPr>
      <w:bookmarkStart w:colFirst="0" w:colLast="0" w:name="_eirovtavmj9c" w:id="2"/>
      <w:bookmarkEnd w:id="2"/>
      <w:r w:rsidDel="00000000" w:rsidR="00000000" w:rsidRPr="00000000">
        <w:rPr>
          <w:rtl w:val="0"/>
        </w:rPr>
        <w:t xml:space="preserve">Forced sterilization of Roma women and compensation measures </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UN Committee Against Torture</w:t>
      </w:r>
      <w:r w:rsidDel="00000000" w:rsidR="00000000" w:rsidRPr="00000000">
        <w:rPr>
          <w:rFonts w:ascii="Times New Roman" w:cs="Times New Roman" w:eastAsia="Times New Roman" w:hAnsi="Times New Roman"/>
          <w:sz w:val="24"/>
          <w:szCs w:val="24"/>
          <w:rtl w:val="0"/>
        </w:rPr>
        <w:t xml:space="preserve"> (CAT) criticized the Czech Republic for failing to establish an extrajudicial mechanism to provide adequate reparation for victims of involuntary sterilization, particularly Romani women. The Committee noted with concern that victims are limited to pursuing legal action—subject to a three-year statute of limitations—resulting in many cases being time-barred and justice denied (CAT/C/CZE/CO/6, 2018). In 2019, </w:t>
      </w:r>
      <w:r w:rsidDel="00000000" w:rsidR="00000000" w:rsidRPr="00000000">
        <w:rPr>
          <w:rFonts w:ascii="Times New Roman" w:cs="Times New Roman" w:eastAsia="Times New Roman" w:hAnsi="Times New Roman"/>
          <w:b w:val="1"/>
          <w:bCs w:val="1"/>
          <w:sz w:val="24"/>
          <w:szCs w:val="24"/>
          <w:rtl w:val="0"/>
        </w:rPr>
        <w:t xml:space="preserve">the Committee on the Elimination of Racial Discrimination</w:t>
      </w:r>
      <w:r w:rsidDel="00000000" w:rsidR="00000000" w:rsidRPr="00000000">
        <w:rPr>
          <w:rFonts w:ascii="Times New Roman" w:cs="Times New Roman" w:eastAsia="Times New Roman" w:hAnsi="Times New Roman"/>
          <w:sz w:val="24"/>
          <w:szCs w:val="24"/>
          <w:rtl w:val="0"/>
        </w:rPr>
        <w:t xml:space="preserve"> (CERD/C/CZE/CO/12-13, 2029) expressed concern that, despite earlier recommendations, the Czech Republic had not yet established an effective compensation mechanism for Romani victims of forced sterilization. While acknowledging ongoing discussions between government bodies, the Committee criticized the continued reliance on court proceedings as the only form of redress. It also highlighted that the three-year statute of limitations for filing claims further obstructs access to justice for affected Romani women.</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there has been progress regarding the forced sterilization of Roma women in certain countries, in the form of apology and certain compensations schemes for victims, concerns are expressed that not all victims could obtain adequate redress.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after="200"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2023</w:t>
      </w:r>
      <w:r w:rsidDel="00000000" w:rsidR="00000000" w:rsidRPr="00000000">
        <w:rPr>
          <w:rFonts w:ascii="Times New Roman" w:cs="Times New Roman" w:eastAsia="Times New Roman" w:hAnsi="Times New Roman"/>
          <w:b w:val="1"/>
          <w:bCs w:val="1"/>
          <w:sz w:val="24"/>
          <w:szCs w:val="24"/>
          <w:rtl w:val="0"/>
        </w:rPr>
        <w:t xml:space="preserve"> Council of Europe Commissioner for Human Rights </w:t>
      </w:r>
      <w:r w:rsidDel="00000000" w:rsidR="00000000" w:rsidRPr="00000000">
        <w:rPr>
          <w:rFonts w:ascii="Times New Roman" w:cs="Times New Roman" w:eastAsia="Times New Roman" w:hAnsi="Times New Roman"/>
          <w:sz w:val="24"/>
          <w:szCs w:val="24"/>
          <w:rtl w:val="0"/>
        </w:rPr>
        <w:t xml:space="preserve">report,</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while the Czech Republic’s compensation mechanism for victims of forced sterilizations is an important measure of justice, its implementation has been problematic. Key challenges include overreliance on medical records (many of which are missing, destroyed, or legally disposed of), lack of clear guidance on what constitutes acceptable non‑medical evidence, inconsistent decisions, long delays, and a disproportionate burden of proof on victims. These issues were preventing many victims from accessing timely and adequate reparations, especially older claimants. The Commissioner recommended clearer guidelines, reassessment of rejected claims, shifting the proof burden away from victims, more resources and expert support, as well as extending the duration of the scheme and prioritizing elderly applicants.</w:t>
      </w:r>
    </w:p>
    <w:p w:rsidR="00000000" w:rsidDel="00000000" w:rsidP="00000000" w:rsidRDefault="00000000" w:rsidRPr="00000000" w14:paraId="0000002A">
      <w:pPr>
        <w:spacing w:after="200"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w:t>
      </w:r>
      <w:r w:rsidDel="00000000" w:rsidR="00000000" w:rsidRPr="00000000">
        <w:rPr>
          <w:rFonts w:ascii="Times New Roman" w:cs="Times New Roman" w:eastAsia="Times New Roman" w:hAnsi="Times New Roman"/>
          <w:b w:val="1"/>
          <w:bCs w:val="1"/>
          <w:sz w:val="24"/>
          <w:szCs w:val="24"/>
          <w:rtl w:val="0"/>
        </w:rPr>
        <w:t xml:space="preserve">U.S. Department of State</w:t>
      </w:r>
      <w:r w:rsidDel="00000000" w:rsidR="00000000" w:rsidRPr="00000000">
        <w:rPr>
          <w:rFonts w:ascii="Times New Roman" w:cs="Times New Roman" w:eastAsia="Times New Roman" w:hAnsi="Times New Roman"/>
          <w:sz w:val="24"/>
          <w:szCs w:val="24"/>
          <w:rtl w:val="0"/>
        </w:rPr>
        <w:t xml:space="preserve"> (2024)</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under the 2022 Unlawful Sterilization Compensation Act, Romani women who were forcibly sterilized between 1966 and 2012 are entitled to financial compensation of 300,000 koruna (approximately $14,000). However, civil society organizations and the Ombudsperson’s Office have raised concerns about delays and administrative barriers in implementing the law. As of September 2024, the Ministry of Health had processed 1,381 out of 1,971 applications—approving 656, rejecting 496, and halting 229—while some applicants faced wait times of over two years. In December, a legislative amendment was submitted to extend the January 2, 2025, deadline, following pressure from Romani groups and human rights advocates. Additionally, the Supreme Administrative Court ruled in July that, in cases where documentation is missing or destroyed, the burden of proof should lie with the Ministry rather than the victims.</w:t>
      </w:r>
    </w:p>
    <w:p w:rsidR="00000000" w:rsidDel="00000000" w:rsidP="00000000" w:rsidRDefault="00000000" w:rsidRPr="00000000" w14:paraId="0000002B">
      <w:pPr>
        <w:pStyle w:val="Heading2"/>
        <w:spacing w:after="200" w:line="360" w:lineRule="auto"/>
        <w:jc w:val="both"/>
        <w:rPr/>
      </w:pPr>
      <w:bookmarkStart w:colFirst="0" w:colLast="0" w:name="_szjrr3tp3dlq" w:id="3"/>
      <w:bookmarkEnd w:id="3"/>
      <w:r w:rsidDel="00000000" w:rsidR="00000000" w:rsidRPr="00000000">
        <w:rPr>
          <w:rtl w:val="0"/>
        </w:rPr>
        <w:t xml:space="preserve">Policy level developments and implementation deficits </w:t>
      </w:r>
    </w:p>
    <w:p w:rsidR="00000000" w:rsidDel="00000000" w:rsidP="00000000" w:rsidRDefault="00000000" w:rsidRPr="00000000" w14:paraId="0000002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w:t>
      </w:r>
      <w:r w:rsidDel="00000000" w:rsidR="00000000" w:rsidRPr="00000000">
        <w:rPr>
          <w:rFonts w:ascii="Times New Roman" w:cs="Times New Roman" w:eastAsia="Times New Roman" w:hAnsi="Times New Roman"/>
          <w:b w:val="1"/>
          <w:bCs w:val="1"/>
          <w:sz w:val="24"/>
          <w:szCs w:val="24"/>
          <w:rtl w:val="0"/>
        </w:rPr>
        <w:t xml:space="preserve"> Beijing +30 National Report of the Czech Republic</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the Czech Government claims to have taken deliberate steps to address the specific needs of women and girls from marginalised groups, including Roma women, in accordance with the principles of intersectionality and the commitment to “leave no one behind.” Authorities have pointed to efforts targeting women with disabilities, migrant women, and particularly Roma women facing multiple layers of discrimination. Furthermore, the Strategy for Roma Equality, Inclusion, and Participation is said to include targeted measures for Roma women, while the Working Group on Issues of Roma Women, established in 2021 under the Government Council for Gender Equality, monitors implementation of the sterilisation compensation law. It also seeks to document how gender inequalities — including those exacerbated by the COVID-19 pandemic — uniquely affect Roma women. Among its mandates is the development of recommendations to enhance the representation of Roma women in local decision-making and advisory roles. Despite these initiatives, persistent and significant disparities remain. Government data itself highlights that Roma women represent one of the most vulnerable groups in the Czech labour market, with stark gendered employment gaps within the Roma population. As of 2022, the gender gap in paid employment among Roma individuals aged 20–64 stood at 35.8 percentage points, considerably higher than the national gender gap of 14.9 percentage points. Roma women’s underemployment remains a structural issue, indicating that existing labour market interventions — such as those under the Ministry of Labour and Social Affairs’ project on Roma entrepreneurship (2023–2026) — are insufficient in both scale and reach.</w:t>
      </w:r>
    </w:p>
    <w:p w:rsidR="00000000" w:rsidDel="00000000" w:rsidP="00000000" w:rsidRDefault="00000000" w:rsidRPr="00000000" w14:paraId="0000002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2025 Roma Civil Monitor (RCM) report</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the structural exclusion of Roma women in the Czech labour market remains deeply entrenched and insufficiently addressed. While general employment barriers such as labour market discrimination, low educational attainment, limited retraining opportunities, and geographic isolation affect the broader Roma population, Roma women face additional, gender-specific challenges that are not effectively targeted by current policy measures.</w:t>
      </w:r>
    </w:p>
    <w:p w:rsidR="00000000" w:rsidDel="00000000" w:rsidP="00000000" w:rsidRDefault="00000000" w:rsidRPr="00000000" w14:paraId="0000002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most significant obstacles for Roma women—particularly those caring for young children—is the lack of accessible childcare, which severely limits their ability to engage in paid work. Research completed in 2023 by the Research Institute of Labour and Social Affairs confirmed that care responsibilities, low skills, material deprivation, and early age are key factors contributing to their low employment rates.</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Despite this, national strategies such as the National Roma Strategic Framework (NRSF) fail to include targeted interventions for Roma women, young Roma, or elderly Roma.</w:t>
      </w:r>
    </w:p>
    <w:p w:rsidR="00000000" w:rsidDel="00000000" w:rsidP="00000000" w:rsidRDefault="00000000" w:rsidRPr="00000000" w14:paraId="0000002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RCM report shows that retraining programmes, while formally in place, are often misaligned with actual labour market needs and remain largely inaccessible to Roma women. Additionally, incentives for employers to hire Roma are underutilized due to administrative burdens and lack of enforcement. Financial support for commuting is insufficient, and public awareness campaigns to combat anti-Roma stereotypes have yet to be launched. These factors, combined with the absence of updated independent research on employment discrimination, reflect a lack of institutional commitment to evidence-based, inclusive policymaking.</w:t>
      </w:r>
    </w:p>
    <w:p w:rsidR="00000000" w:rsidDel="00000000" w:rsidP="00000000" w:rsidRDefault="00000000" w:rsidRPr="00000000" w14:paraId="0000003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Crucially, Roma women and youth are rarely involved in the design, implementation, or evaluation of employment-related programmes. Projects like the Youth Guarantee, which nominally include young Roma as a target group, show no evidence of meaningful Roma participation in their development. This reflects a broader problem: the absence of a strategic, participatory approach tailored to the specific realities of Roma women, which results in missed opportunities to empower them economically and socially.</w:t>
      </w:r>
    </w:p>
    <w:p w:rsidR="00000000" w:rsidDel="00000000" w:rsidP="00000000" w:rsidRDefault="00000000" w:rsidRPr="00000000" w14:paraId="00000031">
      <w:pPr>
        <w:pStyle w:val="Heading2"/>
        <w:spacing w:after="200" w:line="360" w:lineRule="auto"/>
        <w:jc w:val="both"/>
        <w:rPr/>
      </w:pPr>
      <w:bookmarkStart w:colFirst="0" w:colLast="0" w:name="_t0nr6pmiallb" w:id="4"/>
      <w:bookmarkEnd w:id="4"/>
      <w:r w:rsidDel="00000000" w:rsidR="00000000" w:rsidRPr="00000000">
        <w:rPr>
          <w:rtl w:val="0"/>
        </w:rPr>
        <w:t xml:space="preserve">Domestic violence</w:t>
      </w:r>
    </w:p>
    <w:p w:rsidR="00000000" w:rsidDel="00000000" w:rsidP="00000000" w:rsidRDefault="00000000" w:rsidRPr="00000000" w14:paraId="0000003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expressed in the 2025 Czech Voluntary National Review (VNR) report on the SDGs,</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there</w:t>
      </w:r>
      <w:r w:rsidDel="00000000" w:rsidR="00000000" w:rsidRPr="00000000">
        <w:rPr>
          <w:rFonts w:ascii="Times New Roman" w:cs="Times New Roman" w:eastAsia="Times New Roman" w:hAnsi="Times New Roman"/>
          <w:sz w:val="24"/>
          <w:szCs w:val="24"/>
          <w:rtl w:val="0"/>
        </w:rPr>
        <w:t xml:space="preserve"> remains a lack of adequate protection for groups at heightened risk of gender-based violence, including Roma women, sexual and gender minorities, migrant and refugee women, persons with disabilities, women in prostitution, and homeless women.</w:t>
      </w:r>
    </w:p>
    <w:p w:rsidR="00000000" w:rsidDel="00000000" w:rsidP="00000000" w:rsidRDefault="00000000" w:rsidRPr="00000000" w14:paraId="0000003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Recent research in the Czech Republic by Slovo 21</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reveals that around one-third of Romani women have experienced domestic violence — a grim statistic that illuminates both the scale of the problem and its silence. Despite the prevalence of abuse, discussion within Romani families remains largely taboo, suppressing victims’ voices and perpetuating isolation. Many Romani women reportedly lack access to safe spaces where they can disclose abuse without facing stigma or fear of retribution.</w:t>
      </w:r>
    </w:p>
    <w:p w:rsidR="00000000" w:rsidDel="00000000" w:rsidP="00000000" w:rsidRDefault="00000000" w:rsidRPr="00000000" w14:paraId="0000003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civil society and grassroots organizations working with Romani communities have long sounded the alarm about domestic violence, the state’s institutional response has been weak. There are gaps in law enforcement, insufficient culturally-sensitive support services, and limited outreach to Romani communities. The justice system often fails to account for the specific social, cultural and economic barriers Romani women face. Support services such as shelters, counseling, or legal aid are unevenly distributed, underfunded, or not tailored to the needs of marginalized Roma women, who may also confront linguistic barriers, discrimination by authorities, and lack of trust in institutions.</w:t>
      </w:r>
    </w:p>
    <w:p w:rsidR="00000000" w:rsidDel="00000000" w:rsidP="00000000" w:rsidRDefault="00000000" w:rsidRPr="00000000" w14:paraId="0000003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policy frameworks and strategies that ostensibly address domestic violence often do not sufficiently integrate an intersectional lens — especially one that considers ethnicity, gender, poverty, and marginalization together. Government plans may mention Romani women in passing, but there is little evidence of dedicated resources, monitoring mechanisms, or accountability for outcomes. For example, there is no clear institutional mandate ensuring that data on domestic violence is disaggregated by ethnicity, which leaves obscured the full extent of violence in Romani communities and makes it difficult to measure progress or hold state actors accountable.</w:t>
      </w:r>
    </w:p>
    <w:p w:rsidR="00000000" w:rsidDel="00000000" w:rsidP="00000000" w:rsidRDefault="00000000" w:rsidRPr="00000000" w14:paraId="0000003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 this research underscores an urgent need for the Czech authorities to move beyond rhetoric. Institutional commitments must be matched by concrete actions: expanding culturally appropriate support services; improving access to justice for Romani survivors; ensuring data collection and monitoring systems are inclusive; and facilitating community led awareness and prevention efforts. Without these steps, the experiences of Romani women will continue to be marginalized, and the cycle of violence and silence will persist.</w:t>
      </w:r>
    </w:p>
    <w:p w:rsidR="00000000" w:rsidDel="00000000" w:rsidP="00000000" w:rsidRDefault="00000000" w:rsidRPr="00000000" w14:paraId="00000037">
      <w:pPr>
        <w:pStyle w:val="Heading2"/>
        <w:spacing w:after="200" w:line="360" w:lineRule="auto"/>
        <w:jc w:val="both"/>
        <w:rPr/>
      </w:pPr>
      <w:bookmarkStart w:colFirst="0" w:colLast="0" w:name="_edl0ks9vxrvo" w:id="5"/>
      <w:bookmarkEnd w:id="5"/>
      <w:r w:rsidDel="00000000" w:rsidR="00000000" w:rsidRPr="00000000">
        <w:rPr>
          <w:rtl w:val="0"/>
        </w:rPr>
        <w:t xml:space="preserve">Discrimination and antigypsyism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The Czech Interior Ministry’s </w:t>
      </w:r>
      <w:r w:rsidDel="00000000" w:rsidR="00000000" w:rsidRPr="00000000">
        <w:rPr>
          <w:rFonts w:ascii="Times New Roman" w:cs="Times New Roman" w:eastAsia="Times New Roman" w:hAnsi="Times New Roman"/>
          <w:sz w:val="24"/>
          <w:szCs w:val="24"/>
          <w:rtl w:val="0"/>
        </w:rPr>
        <w:t xml:space="preserve">Report on Extremism and Prejudicial Hatred</w:t>
      </w:r>
      <w:r w:rsidDel="00000000" w:rsidR="00000000" w:rsidRPr="00000000">
        <w:rPr>
          <w:rFonts w:ascii="Times New Roman" w:cs="Times New Roman" w:eastAsia="Times New Roman" w:hAnsi="Times New Roman"/>
          <w:sz w:val="24"/>
          <w:szCs w:val="24"/>
          <w:rtl w:val="0"/>
        </w:rPr>
        <w:t xml:space="preserve"> for 2024 records </w:t>
      </w:r>
      <w:r w:rsidDel="00000000" w:rsidR="00000000" w:rsidRPr="00000000">
        <w:rPr>
          <w:rFonts w:ascii="Times New Roman" w:cs="Times New Roman" w:eastAsia="Times New Roman" w:hAnsi="Times New Roman"/>
          <w:sz w:val="24"/>
          <w:szCs w:val="24"/>
          <w:rtl w:val="0"/>
        </w:rPr>
        <w:t xml:space="preserve">17 crimes motivated by hatred</w:t>
      </w:r>
      <w:r w:rsidDel="00000000" w:rsidR="00000000" w:rsidRPr="00000000">
        <w:rPr>
          <w:rFonts w:ascii="Times New Roman" w:cs="Times New Roman" w:eastAsia="Times New Roman" w:hAnsi="Times New Roman"/>
          <w:sz w:val="24"/>
          <w:szCs w:val="24"/>
          <w:rtl w:val="0"/>
        </w:rPr>
        <w:t xml:space="preserve"> of Romani people. Many of these incidents fall under acts of defamation, incitement to hatred, or violations of the rights and freedoms of Roma, whether in speech or in violent attacks.</w:t>
      </w:r>
      <w:hyperlink r:id="rId11">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Fonts w:ascii="Times New Roman" w:cs="Times New Roman" w:eastAsia="Times New Roman" w:hAnsi="Times New Roman"/>
          <w:sz w:val="24"/>
          <w:szCs w:val="24"/>
          <w:rtl w:val="0"/>
        </w:rPr>
        <w:t xml:space="preserve">Disinformation and quasi‑media outlets are also flagged in the report as tools used by extremist or anti‑system actors to stigmatize Roma communities, including by portraying them as a threat or scapegoat in broader socio‑political narratives.</w:t>
      </w:r>
      <w:hyperlink r:id="rId12">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Fonts w:ascii="Times New Roman" w:cs="Times New Roman" w:eastAsia="Times New Roman" w:hAnsi="Times New Roman"/>
          <w:sz w:val="24"/>
          <w:szCs w:val="24"/>
          <w:rtl w:val="0"/>
        </w:rPr>
        <w:t xml:space="preserve">For Romani women, the intersection of ethnicity and gender amplifies vulnerabilities. While public data does not always disaggregate by gender, the environment of hate speech, prejudice, and weak institutional response arguably heightens risk for Romani women, especially in public spaces or online. Discriminatory narratives tend to reinforce traditional gendered stereotypes—depicting Roma women as inherently “other,” untrustworthy, or morally suspect—which can increase exposure to harassment, verbal abuse, and violence with minimal legal or social protection.</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acknowledges that despite anti‑discrimination laws, judicial mechanisms, and law enforcement, there persists a </w:t>
      </w:r>
      <w:r w:rsidDel="00000000" w:rsidR="00000000" w:rsidRPr="00000000">
        <w:rPr>
          <w:rFonts w:ascii="Times New Roman" w:cs="Times New Roman" w:eastAsia="Times New Roman" w:hAnsi="Times New Roman"/>
          <w:sz w:val="24"/>
          <w:szCs w:val="24"/>
          <w:rtl w:val="0"/>
        </w:rPr>
        <w:t xml:space="preserve">lack of consistent institutional action</w:t>
      </w:r>
      <w:r w:rsidDel="00000000" w:rsidR="00000000" w:rsidRPr="00000000">
        <w:rPr>
          <w:rFonts w:ascii="Times New Roman" w:cs="Times New Roman" w:eastAsia="Times New Roman" w:hAnsi="Times New Roman"/>
          <w:sz w:val="24"/>
          <w:szCs w:val="24"/>
          <w:rtl w:val="0"/>
        </w:rPr>
        <w:t xml:space="preserve"> addressing antigypsyism. For example, many hate incidents against Roma are seemingly under‑prosecuted or inadequately documented. Disinformation outlets are identified, but there is little evidence of sustained state policy to counter these narratives at scale.</w:t>
      </w:r>
      <w:hyperlink r:id="rId13">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Romani civil society has attempted to address online hate: volunteer‑led projects have recorded hundreds of incidents of hate speech against Roma, and filed criminal complaints.</w:t>
      </w:r>
      <w:r w:rsidDel="00000000" w:rsidR="00000000" w:rsidRPr="00000000">
        <w:rPr>
          <w:rFonts w:ascii="Times New Roman" w:cs="Times New Roman" w:eastAsia="Times New Roman" w:hAnsi="Times New Roman"/>
          <w:sz w:val="24"/>
          <w:szCs w:val="24"/>
          <w:vertAlign w:val="superscript"/>
        </w:rPr>
        <w:footnoteReference w:customMarkFollows="0" w:id="9"/>
      </w:r>
      <w:hyperlink r:id="rId14">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Fonts w:ascii="Times New Roman" w:cs="Times New Roman" w:eastAsia="Times New Roman" w:hAnsi="Times New Roman"/>
          <w:sz w:val="24"/>
          <w:szCs w:val="24"/>
          <w:rtl w:val="0"/>
        </w:rPr>
        <w:t xml:space="preserve">    The ARA ART NGO has conducted extensive monitoring of hate speech and discrimination in the online environment, and its 2025 published analytical report provides important data on the prevalence of abusive and harmful content. Over the monitoring period, a total of 10,644 items—including social media posts and comments on official media articles—were analysed. Among these, 58% included derogatory language, 38% exhibited negative stereotyping, and 4% contained violence or dehumanizing content.</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These findings demonstrate the widespread nature of online hate speech and its qualitative variations, underscoring the importance of targeted interventions to counter discrimination and protect affected communities. However, these efforts often face slow response, limited follow‑through by authorities, or lack of visibility in mainstream institutions. The reliance on individual complaints rather than systemic strategies means that many incidents remain unaddressed or normalized.</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Romani women, often already socio‑economically marginalized, are doubly harmed by this context of hate. They face less access to legal aid, fewer resources to report crimes, greater fear of reprisals, and cultural or linguistic barriers that reduce the likelihood of reporting or seeking protection. Because many institutions do not explicitly assess or report hate crime data disaggregated by gender, the specific patterns of violence or harassment against Romani women remain obscured.</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state’s working definition of antigypsyism, adopted in 2024 based on international recommendations, is a positive step.</w:t>
      </w:r>
      <w:hyperlink r:id="rId15">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Fonts w:ascii="Times New Roman" w:cs="Times New Roman" w:eastAsia="Times New Roman" w:hAnsi="Times New Roman"/>
          <w:sz w:val="24"/>
          <w:szCs w:val="24"/>
          <w:rtl w:val="0"/>
        </w:rPr>
        <w:t xml:space="preserve">Yet crucially missing are </w:t>
      </w:r>
      <w:r w:rsidDel="00000000" w:rsidR="00000000" w:rsidRPr="00000000">
        <w:rPr>
          <w:rFonts w:ascii="Times New Roman" w:cs="Times New Roman" w:eastAsia="Times New Roman" w:hAnsi="Times New Roman"/>
          <w:sz w:val="24"/>
          <w:szCs w:val="24"/>
          <w:rtl w:val="0"/>
        </w:rPr>
        <w:t xml:space="preserve">targeted institutional programmes</w:t>
      </w:r>
      <w:r w:rsidDel="00000000" w:rsidR="00000000" w:rsidRPr="00000000">
        <w:rPr>
          <w:rFonts w:ascii="Times New Roman" w:cs="Times New Roman" w:eastAsia="Times New Roman" w:hAnsi="Times New Roman"/>
          <w:sz w:val="24"/>
          <w:szCs w:val="24"/>
          <w:rtl w:val="0"/>
        </w:rPr>
        <w:t xml:space="preserve"> to protect Romani women: for example, prevention campaigns, support services tailored for female victims, training of law enforcement and judicial actors on the gendered aspects of antigypsyism, and dedicated monitoring of hate incidents involving Romani women.</w:t>
      </w:r>
    </w:p>
    <w:p w:rsidR="00000000" w:rsidDel="00000000" w:rsidP="00000000" w:rsidRDefault="00000000" w:rsidRPr="00000000" w14:paraId="0000003D">
      <w:pPr>
        <w:pStyle w:val="Heading2"/>
        <w:spacing w:after="200" w:line="360" w:lineRule="auto"/>
        <w:jc w:val="both"/>
        <w:rPr>
          <w:rFonts w:ascii="Times New Roman" w:cs="Times New Roman" w:eastAsia="Times New Roman" w:hAnsi="Times New Roman"/>
          <w:sz w:val="24"/>
          <w:szCs w:val="24"/>
        </w:rPr>
      </w:pPr>
      <w:bookmarkStart w:colFirst="0" w:colLast="0" w:name="_uxu4cr58ul5y" w:id="6"/>
      <w:bookmarkEnd w:id="6"/>
      <w:r w:rsidDel="00000000" w:rsidR="00000000" w:rsidRPr="00000000">
        <w:rPr>
          <w:rtl w:val="0"/>
        </w:rPr>
        <w:t xml:space="preserve">Recommendations</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24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Formally recognise antigypsyism and Discrimination based on Work and Descent (DWD) within national gender equality and anti-discrimination frameworks to address forms of exclusion that are currently insufficiently recognised. Ensure that policy responses account for the intersectional nature of antigypsyism and work and descent based discrimination, which involves overlapping marginalisation tied to inherited status, gender, and socio-economic factors.</w:t>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Design and implement a dedicated National Action Plan (NAP) addressing discrimination against women from communities discriminated on work and descent (CDWD), including Roma women. The NAP should include temporary special measures to accelerate their equal participation in leadership, public decision-making, and governance structures at national and local levels. In parallel, ensure that national and sectoral development and country programme documents linked to the implementation of the Sustainable Development Goals—particularly SDG 5 on gender equality—explicitly address the situation of CDWD women, with clear baselines, measurable targets, and regular public reporting to enable effective monitoring and accountability.</w:t>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Establish specific goals, targets, and time frames to increase the representation of Roma women in decision-making positions, including in Parliament, regional assemblies, and senior civil service roles.</w:t>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Ensure the meaningful participation of Roma women and youth in the design, implementation, and evaluation of all policies that affect them, particularly employment and social inclusion programmes.</w:t>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Streamline the compensation mechanism for victims of forced sterilisation by shifting the burden of proof from the victims to the Ministry of Health, especially in cases where medical records are missing or destroyed.</w:t>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Extend the deadline for compensation applications and prioritise the claims of elderly applicants to ensure they receive timely and adequate reparations.</w:t>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Expand access to affordable and culturally sensitive childcare to remove a primary barrier to Roma women’s participation in the labour market.</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Reform retraining programmes to ensure they are accessible to Roma women and aligned with actual labour market needs.</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Launch state-led public awareness campaigns to combat anti-Roma stereotypes and employer prejudice.</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Develop culturally sensitive support services, including safe spaces and shelters, that address the specific social and linguistic barriers faced by Roma women experiencing domestic violence.</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Mandate the collection of disaggregated data by ethnicity and gender regarding domestic violence to reveal the full scale of the issue and ensure institutional accountability.</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Train law enforcement and judicial actors on the gendered aspects of antigypsyism and work and descent based discrimination to ensure hate crimes against Roma women are accurately documented and prosecuted.</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Implement systemic strategies to counter online hate speech, moving beyond a reliance on individual complaints to proactive monitoring and intervention.</w:t>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Monitor hate incidents using data disaggregated by both gender and ethnicity to identify and address specific patterns of harassment against Roma women.</w:t>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Systematise the collection of disaggregated data across all sectors—including education, healthcare, and employment—to effectively monitor the status of Roma women and inform evidence-based policymaking</w:t>
      </w:r>
      <w:r w:rsidDel="00000000" w:rsidR="00000000" w:rsidRPr="00000000">
        <w:rPr>
          <w:rtl w:val="0"/>
        </w:rPr>
      </w:r>
    </w:p>
    <w:sectPr>
      <w:footerReference r:id="rId1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3">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at: </w:t>
      </w:r>
      <w:hyperlink r:id="rId1">
        <w:r w:rsidDel="00000000" w:rsidR="00000000" w:rsidRPr="00000000">
          <w:rPr>
            <w:color w:val="1155cc"/>
            <w:sz w:val="20"/>
            <w:szCs w:val="20"/>
            <w:u w:val="single"/>
            <w:rtl w:val="0"/>
          </w:rPr>
          <w:t xml:space="preserve">CZECHIA 2024 HUMAN RIGHTS REPORT</w:t>
        </w:r>
      </w:hyperlink>
      <w:r w:rsidDel="00000000" w:rsidR="00000000" w:rsidRPr="00000000">
        <w:rPr>
          <w:sz w:val="20"/>
          <w:szCs w:val="20"/>
          <w:rtl w:val="0"/>
        </w:rPr>
        <w:t xml:space="preserve"> </w:t>
      </w:r>
      <w:r w:rsidDel="00000000" w:rsidR="00000000" w:rsidRPr="00000000">
        <w:rPr>
          <w:rtl w:val="0"/>
        </w:rPr>
      </w:r>
    </w:p>
  </w:footnote>
  <w:footnote w:id="2">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at: </w:t>
      </w:r>
      <w:hyperlink r:id="rId2">
        <w:r w:rsidDel="00000000" w:rsidR="00000000" w:rsidRPr="00000000">
          <w:rPr>
            <w:color w:val="1155cc"/>
            <w:sz w:val="20"/>
            <w:szCs w:val="20"/>
            <w:u w:val="single"/>
            <w:rtl w:val="0"/>
          </w:rPr>
          <w:t xml:space="preserve">1680ac88cd</w:t>
        </w:r>
      </w:hyperlink>
      <w:r w:rsidDel="00000000" w:rsidR="00000000" w:rsidRPr="00000000">
        <w:rPr>
          <w:sz w:val="20"/>
          <w:szCs w:val="20"/>
          <w:rtl w:val="0"/>
        </w:rPr>
        <w:t xml:space="preserve"> </w:t>
      </w:r>
      <w:r w:rsidDel="00000000" w:rsidR="00000000" w:rsidRPr="00000000">
        <w:rPr>
          <w:rtl w:val="0"/>
        </w:rPr>
      </w:r>
    </w:p>
  </w:footnote>
  <w:footnote w:id="1">
    <w:p w:rsidR="00000000" w:rsidDel="00000000" w:rsidP="00000000" w:rsidRDefault="00000000" w:rsidRPr="00000000" w14:paraId="0000004F">
      <w:pPr>
        <w:spacing w:line="240" w:lineRule="auto"/>
        <w:rPr>
          <w:rFonts w:ascii="Play" w:cs="Play" w:eastAsia="Play" w:hAnsi="Play"/>
          <w:sz w:val="16"/>
          <w:szCs w:val="16"/>
        </w:rPr>
      </w:pPr>
      <w:r w:rsidDel="00000000" w:rsidR="00000000" w:rsidRPr="00000000">
        <w:rPr>
          <w:rStyle w:val="FootnoteReference"/>
          <w:vertAlign w:val="superscript"/>
        </w:rPr>
        <w:footnoteRef/>
      </w:r>
      <w:r w:rsidDel="00000000" w:rsidR="00000000" w:rsidRPr="00000000">
        <w:rPr>
          <w:rFonts w:ascii="Play" w:cs="Play" w:eastAsia="Play" w:hAnsi="Play"/>
          <w:sz w:val="16"/>
          <w:szCs w:val="16"/>
          <w:rtl w:val="0"/>
        </w:rPr>
        <w:t xml:space="preserve"> CAT/C/SVK/CO/4 (Concluding observations of the Committee against Torture on Slovakia in 2023), CAT/C/CZE/CO/6 (Committee against Torture, Concluding observations on Czechia, in 2018)</w:t>
      </w:r>
    </w:p>
  </w:footnote>
  <w:footnote w:id="4">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w:t>
      </w:r>
      <w:hyperlink r:id="rId3">
        <w:r w:rsidDel="00000000" w:rsidR="00000000" w:rsidRPr="00000000">
          <w:rPr>
            <w:color w:val="1155cc"/>
            <w:sz w:val="20"/>
            <w:szCs w:val="20"/>
            <w:u w:val="single"/>
            <w:rtl w:val="0"/>
          </w:rPr>
          <w:t xml:space="preserve">b30_report_czech_republic_en_0.pdf</w:t>
        </w:r>
      </w:hyperlink>
      <w:r w:rsidDel="00000000" w:rsidR="00000000" w:rsidRPr="00000000">
        <w:rPr>
          <w:sz w:val="20"/>
          <w:szCs w:val="20"/>
          <w:rtl w:val="0"/>
        </w:rPr>
        <w:t xml:space="preserve"> </w:t>
      </w:r>
      <w:r w:rsidDel="00000000" w:rsidR="00000000" w:rsidRPr="00000000">
        <w:rPr>
          <w:rtl w:val="0"/>
        </w:rPr>
      </w:r>
    </w:p>
  </w:footnote>
  <w:footnote w:id="8">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at: </w:t>
      </w:r>
      <w:hyperlink r:id="rId4">
        <w:r w:rsidDel="00000000" w:rsidR="00000000" w:rsidRPr="00000000">
          <w:rPr>
            <w:color w:val="1155cc"/>
            <w:sz w:val="20"/>
            <w:szCs w:val="20"/>
            <w:u w:val="single"/>
            <w:rtl w:val="0"/>
          </w:rPr>
          <w:t xml:space="preserve">Slovo21</w:t>
        </w:r>
      </w:hyperlink>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685d2dbd8b2907ba09941fc4_Slovo 21_Research on domestic violence in Roma Communities.pdf</w:t>
        </w:r>
      </w:hyperlink>
      <w:r w:rsidDel="00000000" w:rsidR="00000000" w:rsidRPr="00000000">
        <w:rPr>
          <w:rtl w:val="0"/>
        </w:rPr>
      </w:r>
    </w:p>
  </w:footnote>
  <w:footnote w:id="7">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at: </w:t>
      </w:r>
      <w:hyperlink r:id="rId6">
        <w:r w:rsidDel="00000000" w:rsidR="00000000" w:rsidRPr="00000000">
          <w:rPr>
            <w:color w:val="1155cc"/>
            <w:sz w:val="20"/>
            <w:szCs w:val="20"/>
            <w:u w:val="single"/>
            <w:rtl w:val="0"/>
          </w:rPr>
          <w:t xml:space="preserve">VNR 2025 Czech Republic Report.pdf</w:t>
        </w:r>
      </w:hyperlink>
      <w:r w:rsidDel="00000000" w:rsidR="00000000" w:rsidRPr="00000000">
        <w:rPr>
          <w:sz w:val="20"/>
          <w:szCs w:val="20"/>
          <w:rtl w:val="0"/>
        </w:rPr>
        <w:t xml:space="preserve"> </w:t>
      </w:r>
      <w:r w:rsidDel="00000000" w:rsidR="00000000" w:rsidRPr="00000000">
        <w:rPr>
          <w:rtl w:val="0"/>
        </w:rPr>
      </w:r>
    </w:p>
  </w:footnote>
  <w:footnote w:id="5">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Informace o naplňování Strategie rovnosti, začlenění a participace Romů (Strategie romské integrace) 2021 – 2030 v roce 2023</w:t>
        </w:r>
      </w:hyperlink>
      <w:r w:rsidDel="00000000" w:rsidR="00000000" w:rsidRPr="00000000">
        <w:rPr>
          <w:sz w:val="20"/>
          <w:szCs w:val="20"/>
          <w:rtl w:val="0"/>
        </w:rPr>
        <w:t xml:space="preserve"> </w:t>
      </w:r>
      <w:r w:rsidDel="00000000" w:rsidR="00000000" w:rsidRPr="00000000">
        <w:rPr>
          <w:rtl w:val="0"/>
        </w:rPr>
      </w:r>
    </w:p>
  </w:footnote>
  <w:footnote w:id="6">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w:t>
      </w:r>
      <w:hyperlink r:id="rId8">
        <w:r w:rsidDel="00000000" w:rsidR="00000000" w:rsidRPr="00000000">
          <w:rPr>
            <w:color w:val="1155cc"/>
            <w:sz w:val="20"/>
            <w:szCs w:val="20"/>
            <w:u w:val="single"/>
            <w:rtl w:val="0"/>
          </w:rPr>
          <w:t xml:space="preserve">vz_540.pdf</w:t>
        </w:r>
      </w:hyperlink>
      <w:r w:rsidDel="00000000" w:rsidR="00000000" w:rsidRPr="00000000">
        <w:rPr>
          <w:sz w:val="20"/>
          <w:szCs w:val="20"/>
          <w:rtl w:val="0"/>
        </w:rPr>
        <w:t xml:space="preserve"> </w:t>
      </w:r>
      <w:r w:rsidDel="00000000" w:rsidR="00000000" w:rsidRPr="00000000">
        <w:rPr>
          <w:rtl w:val="0"/>
        </w:rPr>
      </w:r>
    </w:p>
  </w:footnote>
  <w:footnote w:id="9">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rFonts w:ascii="Times New Roman" w:cs="Times New Roman" w:eastAsia="Times New Roman" w:hAnsi="Times New Roman"/>
            <w:sz w:val="24"/>
            <w:szCs w:val="24"/>
            <w:rtl w:val="0"/>
          </w:rPr>
          <w:t xml:space="preserve">European Roma Rights Centre</w:t>
        </w:r>
      </w:hyperlink>
      <w:r w:rsidDel="00000000" w:rsidR="00000000" w:rsidRPr="00000000">
        <w:rPr>
          <w:rtl w:val="0"/>
        </w:rPr>
        <w:t xml:space="preserve"> (2024). Available online at: </w:t>
      </w:r>
      <w:hyperlink r:id="rId10">
        <w:r w:rsidDel="00000000" w:rsidR="00000000" w:rsidRPr="00000000">
          <w:rPr>
            <w:color w:val="1155cc"/>
            <w:sz w:val="20"/>
            <w:szCs w:val="20"/>
            <w:u w:val="single"/>
            <w:rtl w:val="0"/>
          </w:rPr>
          <w:t xml:space="preserve">5546_file1_challenging-digital-antigypsyism-in-the-czech-republic.pdf</w:t>
        </w:r>
      </w:hyperlink>
      <w:r w:rsidDel="00000000" w:rsidR="00000000" w:rsidRPr="00000000">
        <w:rPr>
          <w:sz w:val="20"/>
          <w:szCs w:val="20"/>
          <w:rtl w:val="0"/>
        </w:rPr>
        <w:t xml:space="preserve"> </w:t>
      </w:r>
      <w:r w:rsidDel="00000000" w:rsidR="00000000" w:rsidRPr="00000000">
        <w:rPr>
          <w:rtl w:val="0"/>
        </w:rPr>
      </w:r>
    </w:p>
  </w:footnote>
  <w:footnote w:id="0">
    <w:p w:rsidR="00000000" w:rsidDel="00000000" w:rsidP="00000000" w:rsidRDefault="00000000" w:rsidRPr="00000000" w14:paraId="00000057">
      <w:pPr>
        <w:spacing w:line="240" w:lineRule="auto"/>
        <w:jc w:val="both"/>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This submission uses the term “Discrimination based on Work and Descent” to include caste-based discriminatory practices, as stated in CERD General Recommendation 29, which held that “descent” in ICERD Article 1(1) covers caste-based discrimination. CERD affirmed that discrimination based on “descent” includes caste and analogous systems of inherited status, impairing human rights.</w:t>
      </w:r>
      <w:r w:rsidDel="00000000" w:rsidR="00000000" w:rsidRPr="00000000">
        <w:rPr>
          <w:rtl w:val="0"/>
        </w:rPr>
      </w:r>
    </w:p>
  </w:footnote>
  <w:footnote w:id="10">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online here: </w:t>
      </w:r>
      <w:r w:rsidDel="00000000" w:rsidR="00000000" w:rsidRPr="00000000">
        <w:rPr>
          <w:color w:val="222222"/>
          <w:rtl w:val="0"/>
        </w:rPr>
        <w:t xml:space="preserve"> </w:t>
      </w:r>
      <w:hyperlink r:id="rId11">
        <w:r w:rsidDel="00000000" w:rsidR="00000000" w:rsidRPr="00000000">
          <w:rPr>
            <w:color w:val="1155cc"/>
            <w:u w:val="single"/>
            <w:rtl w:val="0"/>
          </w:rPr>
          <w:t xml:space="preserve">https://www.araart.cz/getmedia/6ffcb03b-793e-433d-bb03-9a4ab22662f8/Stereotypy-nenavist-a-mlceni_FINAL.pdf</w:t>
        </w:r>
      </w:hyperlink>
      <w:r w:rsidDel="00000000" w:rsidR="00000000" w:rsidRPr="00000000">
        <w:rPr>
          <w:sz w:val="20"/>
          <w:szCs w:val="20"/>
          <w:rtl w:val="0"/>
        </w:rPr>
        <w:t xml:space="preserve"> </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romea.cz/en/czech-republic/czech-extremism-report-police-recorded-17-hate-attacks-against-romani-people-last-year-extremists-exploit-disinformation-to-incite-hate/?utm_source=chatgpt.com" TargetMode="External"/><Relationship Id="rId10" Type="http://schemas.openxmlformats.org/officeDocument/2006/relationships/image" Target="media/image3.png"/><Relationship Id="rId13" Type="http://schemas.openxmlformats.org/officeDocument/2006/relationships/hyperlink" Target="https://romea.cz/en/czech-republic/czech-extremism-report-police-recorded-17-hate-attacks-against-romani-people-last-year-extremists-exploit-disinformation-to-incite-hate/?utm_source=chatgpt.com" TargetMode="External"/><Relationship Id="rId12" Type="http://schemas.openxmlformats.org/officeDocument/2006/relationships/hyperlink" Target="https://romea.cz/en/czech-republic/czech-extremism-report-police-recorded-17-hate-attacks-against-romani-people-last-year-extremists-exploit-disinformation-to-incite-hate/?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5" Type="http://schemas.openxmlformats.org/officeDocument/2006/relationships/hyperlink" Target="https://romea.cz/en/czech-republic/czech-extremism-report-police-recorded-17-hate-attacks-against-romani-people-last-year-extremists-exploit-disinformation-to-incite-hate/?utm_source=chatgpt.com" TargetMode="External"/><Relationship Id="rId14" Type="http://schemas.openxmlformats.org/officeDocument/2006/relationships/hyperlink" Target="https://www.errc.org/press-releases/new-czech-volunteer-led-research--legal-action-shows-how-roma-can-combat-online-hate?utm_source=chatgpt.com" TargetMode="External"/><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notes.xml.rels><?xml version="1.0" encoding="UTF-8" standalone="yes"?><Relationships xmlns="http://schemas.openxmlformats.org/package/2006/relationships"><Relationship Id="rId1" Type="http://schemas.openxmlformats.org/officeDocument/2006/relationships/hyperlink" Target="https://www.state.gov/wp-content/uploads/2025/07/624521_CZECH-REPUBLIC-2024-HUMAN-RIGHTS-REPORT.pdf" TargetMode="External"/><Relationship Id="rId2" Type="http://schemas.openxmlformats.org/officeDocument/2006/relationships/hyperlink" Target="https://rm.coe.int/report-on-czech-republic-by-dunja-mijatovic-commissioner-for-human-rig/1680ac88cd" TargetMode="External"/><Relationship Id="rId3" Type="http://schemas.openxmlformats.org/officeDocument/2006/relationships/hyperlink" Target="https://www.unwomen.org/sites/default/files/2024-09/b30_report_czech_republic_en_0.pdf" TargetMode="External"/><Relationship Id="rId4" Type="http://schemas.openxmlformats.org/officeDocument/2006/relationships/hyperlink" Target="https://www.slovo21.cz/projects/mluv-nahlas" TargetMode="External"/><Relationship Id="rId11" Type="http://schemas.openxmlformats.org/officeDocument/2006/relationships/hyperlink" Target="https://www.araart.cz/getmedia/6ffcb03b-793e-433d-bb03-9a4ab22662f8/Stereotypy-nenavist-a-mlceni_FINAL.pdf" TargetMode="External"/><Relationship Id="rId10" Type="http://schemas.openxmlformats.org/officeDocument/2006/relationships/hyperlink" Target="https://www.errc.org/uploads/upload_en/file/5546_file1_challenging-digital-antigypsyism-in-the-czech-republic.pdf" TargetMode="External"/><Relationship Id="rId9" Type="http://schemas.openxmlformats.org/officeDocument/2006/relationships/hyperlink" Target="https://www.errc.org/press-releases/new-czech-volunteer-led-research--legal-action-shows-how-roma-can-combat-online-hate?utm_source=chatgpt.com" TargetMode="External"/><Relationship Id="rId5" Type="http://schemas.openxmlformats.org/officeDocument/2006/relationships/hyperlink" Target="https://cdn.prod.website-files.com/6790e10e47736a04693b825c/685d2dbd8b2907ba09941fc4_Slovo%2021_Research%20on%20domestic%20violence%20in%20Roma%20Communities.pdf" TargetMode="External"/><Relationship Id="rId6" Type="http://schemas.openxmlformats.org/officeDocument/2006/relationships/hyperlink" Target="https://hlpf.un.org/sites/default/files/vnrs/2025/VNR%202025%20Czech%20Republic%20Report.pdf" TargetMode="External"/><Relationship Id="rId7" Type="http://schemas.openxmlformats.org/officeDocument/2006/relationships/hyperlink" Target="https://www.romacivilmonitoring.eu/wp-content/uploads/2025/07/RCM2-2024-C1-Czechia-FINAL-ISBN.pdf" TargetMode="External"/><Relationship Id="rId8" Type="http://schemas.openxmlformats.org/officeDocument/2006/relationships/hyperlink" Target="https://katalog.vupsv.cz/fulltext/vz_54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