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31" w:type="dxa"/>
        <w:tblBorders>
          <w:top w:val="nil"/>
          <w:left w:val="nil"/>
          <w:bottom w:val="nil"/>
          <w:right w:val="nil"/>
        </w:tblBorders>
        <w:tblLayout w:type="fixed"/>
        <w:tblLook w:val="0000" w:firstRow="0" w:lastRow="0" w:firstColumn="0" w:lastColumn="0" w:noHBand="0" w:noVBand="0"/>
      </w:tblPr>
      <w:tblGrid>
        <w:gridCol w:w="9031"/>
      </w:tblGrid>
      <w:tr w:rsidR="00D55B4F" w14:paraId="3D4D17E2" w14:textId="77777777" w:rsidTr="009734DA">
        <w:trPr>
          <w:trHeight w:val="3160"/>
        </w:trPr>
        <w:tc>
          <w:tcPr>
            <w:tcW w:w="9031" w:type="dxa"/>
          </w:tcPr>
          <w:p w14:paraId="52339A15" w14:textId="77777777" w:rsidR="00D55B4F" w:rsidRDefault="00D55B4F" w:rsidP="00D55B4F">
            <w:pPr>
              <w:spacing w:after="0" w:line="360" w:lineRule="auto"/>
              <w:jc w:val="center"/>
              <w:rPr>
                <w:rFonts w:eastAsia="Garamond" w:cs="Garamond"/>
                <w:b/>
                <w:sz w:val="36"/>
                <w:szCs w:val="36"/>
              </w:rPr>
            </w:pPr>
            <w:r>
              <w:rPr>
                <w:rFonts w:eastAsia="Garamond" w:cs="Garamond"/>
                <w:b/>
                <w:sz w:val="36"/>
                <w:szCs w:val="36"/>
              </w:rPr>
              <w:t xml:space="preserve">NGO </w:t>
            </w:r>
            <w:r w:rsidR="003D5602">
              <w:rPr>
                <w:rFonts w:eastAsia="Garamond" w:cs="Garamond"/>
                <w:b/>
                <w:sz w:val="36"/>
                <w:szCs w:val="36"/>
              </w:rPr>
              <w:t>Parallel Report</w:t>
            </w:r>
            <w:r>
              <w:rPr>
                <w:rFonts w:eastAsia="Garamond" w:cs="Garamond"/>
                <w:b/>
                <w:sz w:val="36"/>
                <w:szCs w:val="36"/>
              </w:rPr>
              <w:t xml:space="preserve"> on the</w:t>
            </w:r>
          </w:p>
          <w:p w14:paraId="20AAFFEE" w14:textId="77777777" w:rsidR="00D55B4F" w:rsidRDefault="00D55B4F" w:rsidP="009734DA">
            <w:pPr>
              <w:spacing w:after="0" w:line="360" w:lineRule="auto"/>
              <w:jc w:val="center"/>
              <w:rPr>
                <w:rFonts w:eastAsia="Garamond" w:cs="Garamond"/>
                <w:b/>
                <w:sz w:val="36"/>
                <w:szCs w:val="36"/>
              </w:rPr>
            </w:pPr>
            <w:r>
              <w:rPr>
                <w:rFonts w:eastAsia="Garamond" w:cs="Garamond"/>
                <w:b/>
                <w:sz w:val="36"/>
                <w:szCs w:val="36"/>
              </w:rPr>
              <w:t xml:space="preserve">Republic of Estonia’s Third Report </w:t>
            </w:r>
          </w:p>
          <w:p w14:paraId="5B29214E" w14:textId="77777777" w:rsidR="00D55B4F" w:rsidRDefault="00D55B4F" w:rsidP="009734DA">
            <w:pPr>
              <w:spacing w:after="0" w:line="360" w:lineRule="auto"/>
              <w:jc w:val="center"/>
              <w:rPr>
                <w:rFonts w:eastAsia="Garamond" w:cs="Garamond"/>
                <w:b/>
                <w:sz w:val="36"/>
                <w:szCs w:val="36"/>
              </w:rPr>
            </w:pPr>
            <w:r>
              <w:rPr>
                <w:rFonts w:eastAsia="Garamond" w:cs="Garamond"/>
                <w:b/>
                <w:sz w:val="36"/>
                <w:szCs w:val="36"/>
              </w:rPr>
              <w:t>on the Implementation of the</w:t>
            </w:r>
          </w:p>
          <w:p w14:paraId="53EF90FD" w14:textId="77777777" w:rsidR="00D55B4F" w:rsidRDefault="00D55B4F" w:rsidP="009734DA">
            <w:pPr>
              <w:spacing w:after="0" w:line="360" w:lineRule="auto"/>
              <w:jc w:val="center"/>
              <w:rPr>
                <w:rFonts w:eastAsia="Garamond" w:cs="Garamond"/>
                <w:b/>
                <w:sz w:val="36"/>
                <w:szCs w:val="36"/>
              </w:rPr>
            </w:pPr>
            <w:r>
              <w:rPr>
                <w:rFonts w:eastAsia="Garamond" w:cs="Garamond"/>
                <w:b/>
                <w:sz w:val="36"/>
                <w:szCs w:val="36"/>
              </w:rPr>
              <w:t xml:space="preserve"> International Covenant on Economic, Social and Cultural Rights</w:t>
            </w:r>
          </w:p>
          <w:p w14:paraId="289A2A14" w14:textId="77777777" w:rsidR="00D55B4F" w:rsidRDefault="00D55B4F" w:rsidP="009734DA">
            <w:pPr>
              <w:spacing w:after="0" w:line="360" w:lineRule="auto"/>
              <w:jc w:val="center"/>
              <w:rPr>
                <w:rFonts w:eastAsia="Garamond" w:cs="Garamond"/>
              </w:rPr>
            </w:pPr>
            <w:r>
              <w:rPr>
                <w:rFonts w:eastAsia="Garamond" w:cs="Garamond"/>
              </w:rPr>
              <w:t>______________________</w:t>
            </w:r>
          </w:p>
        </w:tc>
      </w:tr>
      <w:tr w:rsidR="00D55B4F" w14:paraId="3AEB573E" w14:textId="77777777" w:rsidTr="009734DA">
        <w:trPr>
          <w:trHeight w:val="1980"/>
        </w:trPr>
        <w:tc>
          <w:tcPr>
            <w:tcW w:w="9031" w:type="dxa"/>
          </w:tcPr>
          <w:p w14:paraId="519A120A" w14:textId="77777777" w:rsidR="00D55B4F" w:rsidRDefault="00D55B4F" w:rsidP="009734DA">
            <w:pPr>
              <w:spacing w:after="0" w:line="360" w:lineRule="auto"/>
              <w:jc w:val="center"/>
              <w:rPr>
                <w:rFonts w:eastAsia="Garamond" w:cs="Garamond"/>
                <w:i/>
                <w:sz w:val="28"/>
                <w:szCs w:val="28"/>
              </w:rPr>
            </w:pPr>
            <w:r>
              <w:rPr>
                <w:rFonts w:eastAsia="Garamond" w:cs="Garamond"/>
                <w:i/>
                <w:sz w:val="28"/>
                <w:szCs w:val="28"/>
              </w:rPr>
              <w:t>Submitted to the</w:t>
            </w:r>
          </w:p>
          <w:p w14:paraId="1EB2FAC7" w14:textId="77777777" w:rsidR="00D55B4F" w:rsidRDefault="00D55B4F" w:rsidP="009734DA">
            <w:pPr>
              <w:spacing w:after="0" w:line="360" w:lineRule="auto"/>
              <w:jc w:val="center"/>
              <w:rPr>
                <w:rFonts w:eastAsia="Garamond" w:cs="Garamond"/>
                <w:i/>
                <w:sz w:val="28"/>
                <w:szCs w:val="28"/>
              </w:rPr>
            </w:pPr>
            <w:r>
              <w:rPr>
                <w:rFonts w:eastAsia="Garamond" w:cs="Garamond"/>
                <w:i/>
                <w:sz w:val="28"/>
                <w:szCs w:val="28"/>
              </w:rPr>
              <w:t>UN Committee on Economic, Social and Cultural Rights</w:t>
            </w:r>
          </w:p>
          <w:p w14:paraId="0E0B1FE1" w14:textId="45219803" w:rsidR="00D55B4F" w:rsidRDefault="00D55B4F" w:rsidP="00C8217B">
            <w:pPr>
              <w:spacing w:after="0" w:line="360" w:lineRule="auto"/>
              <w:jc w:val="center"/>
              <w:rPr>
                <w:rFonts w:eastAsia="Garamond" w:cs="Garamond"/>
                <w:i/>
                <w:sz w:val="28"/>
                <w:szCs w:val="28"/>
              </w:rPr>
            </w:pPr>
            <w:r>
              <w:rPr>
                <w:rFonts w:eastAsia="Garamond" w:cs="Garamond"/>
                <w:i/>
                <w:sz w:val="28"/>
                <w:szCs w:val="28"/>
              </w:rPr>
              <w:t xml:space="preserve">for consideration </w:t>
            </w:r>
            <w:r w:rsidR="00C8217B">
              <w:rPr>
                <w:rFonts w:eastAsia="Garamond" w:cs="Garamond"/>
                <w:i/>
                <w:sz w:val="28"/>
                <w:szCs w:val="28"/>
              </w:rPr>
              <w:t>during its 65</w:t>
            </w:r>
            <w:r w:rsidR="00C8217B" w:rsidRPr="00C8217B">
              <w:rPr>
                <w:rFonts w:eastAsia="Garamond" w:cs="Garamond"/>
                <w:i/>
                <w:sz w:val="28"/>
                <w:szCs w:val="28"/>
                <w:vertAlign w:val="superscript"/>
              </w:rPr>
              <w:t>th</w:t>
            </w:r>
            <w:r w:rsidR="00C8217B">
              <w:rPr>
                <w:rFonts w:eastAsia="Garamond" w:cs="Garamond"/>
                <w:i/>
                <w:sz w:val="28"/>
                <w:szCs w:val="28"/>
              </w:rPr>
              <w:t xml:space="preserve"> Session</w:t>
            </w:r>
          </w:p>
          <w:p w14:paraId="5BD2A406" w14:textId="77777777" w:rsidR="00D55B4F" w:rsidRDefault="00D55B4F" w:rsidP="009734DA">
            <w:pPr>
              <w:spacing w:after="0" w:line="360" w:lineRule="auto"/>
              <w:jc w:val="center"/>
              <w:rPr>
                <w:rFonts w:eastAsia="Garamond" w:cs="Garamond"/>
              </w:rPr>
            </w:pPr>
          </w:p>
        </w:tc>
      </w:tr>
      <w:tr w:rsidR="00D55B4F" w:rsidRPr="007D7084" w14:paraId="2F7C56A7" w14:textId="77777777" w:rsidTr="009734DA">
        <w:trPr>
          <w:trHeight w:val="160"/>
        </w:trPr>
        <w:tc>
          <w:tcPr>
            <w:tcW w:w="9031" w:type="dxa"/>
          </w:tcPr>
          <w:p w14:paraId="717EAFED" w14:textId="77777777" w:rsidR="00D55B4F" w:rsidRPr="00BC49EA" w:rsidRDefault="00D55B4F" w:rsidP="009734DA">
            <w:pPr>
              <w:spacing w:after="0" w:line="360" w:lineRule="auto"/>
              <w:jc w:val="center"/>
              <w:rPr>
                <w:rFonts w:eastAsia="Garamond" w:cs="Garamond"/>
                <w:b/>
                <w:sz w:val="28"/>
                <w:szCs w:val="28"/>
              </w:rPr>
            </w:pPr>
          </w:p>
          <w:p w14:paraId="242FFF1A" w14:textId="77777777" w:rsidR="00D55B4F" w:rsidRPr="00BC49EA" w:rsidRDefault="00D55B4F" w:rsidP="009734DA">
            <w:pPr>
              <w:spacing w:after="0" w:line="360" w:lineRule="auto"/>
              <w:jc w:val="center"/>
              <w:rPr>
                <w:rFonts w:eastAsia="Garamond" w:cs="Garamond"/>
                <w:sz w:val="28"/>
                <w:szCs w:val="28"/>
              </w:rPr>
            </w:pPr>
            <w:r w:rsidRPr="00BC49EA">
              <w:rPr>
                <w:rFonts w:eastAsia="Garamond" w:cs="Garamond"/>
                <w:sz w:val="28"/>
                <w:szCs w:val="28"/>
              </w:rPr>
              <w:t>Submitted by:</w:t>
            </w:r>
          </w:p>
          <w:p w14:paraId="605A406A" w14:textId="77777777" w:rsidR="005335E3" w:rsidRPr="00BC49EA" w:rsidRDefault="005335E3" w:rsidP="009734DA">
            <w:pPr>
              <w:spacing w:after="0" w:line="360" w:lineRule="auto"/>
              <w:jc w:val="center"/>
              <w:rPr>
                <w:rFonts w:eastAsia="Garamond" w:cs="Garamond"/>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02"/>
              <w:gridCol w:w="4403"/>
            </w:tblGrid>
            <w:tr w:rsidR="00BC49EA" w:rsidRPr="00BC49EA" w14:paraId="6EF958C6" w14:textId="77777777" w:rsidTr="00B4645C">
              <w:tc>
                <w:tcPr>
                  <w:tcW w:w="4402" w:type="dxa"/>
                </w:tcPr>
                <w:p w14:paraId="016616A7" w14:textId="77777777" w:rsidR="00BC49EA" w:rsidRPr="00BC49EA" w:rsidRDefault="00BC49EA" w:rsidP="00BC49EA">
                  <w:pPr>
                    <w:ind w:left="720"/>
                    <w:jc w:val="center"/>
                    <w:rPr>
                      <w:rFonts w:eastAsia="Garamond" w:cs="Garamond"/>
                      <w:i/>
                      <w:sz w:val="28"/>
                      <w:szCs w:val="28"/>
                    </w:rPr>
                  </w:pPr>
                  <w:r w:rsidRPr="00BC49EA">
                    <w:rPr>
                      <w:rFonts w:eastAsia="Garamond" w:cs="Garamond"/>
                      <w:i/>
                      <w:sz w:val="28"/>
                      <w:szCs w:val="28"/>
                    </w:rPr>
                    <w:t>International Human Rights Clinic</w:t>
                  </w:r>
                </w:p>
                <w:p w14:paraId="447FA69C" w14:textId="77777777" w:rsidR="00BC49EA" w:rsidRPr="00BC49EA" w:rsidRDefault="00BC49EA" w:rsidP="00BC49EA">
                  <w:pPr>
                    <w:ind w:left="720"/>
                    <w:jc w:val="center"/>
                    <w:rPr>
                      <w:rFonts w:eastAsia="Garamond" w:cs="Garamond"/>
                      <w:i/>
                      <w:sz w:val="28"/>
                      <w:szCs w:val="28"/>
                    </w:rPr>
                  </w:pPr>
                  <w:r w:rsidRPr="00BC49EA">
                    <w:rPr>
                      <w:rFonts w:eastAsia="Garamond" w:cs="Garamond"/>
                      <w:i/>
                      <w:sz w:val="28"/>
                      <w:szCs w:val="28"/>
                    </w:rPr>
                    <w:t>Loyola Law School, Los Angeles</w:t>
                  </w:r>
                </w:p>
                <w:p w14:paraId="70279360" w14:textId="77777777" w:rsidR="00BC49EA" w:rsidRPr="00BC49EA" w:rsidRDefault="00BC49EA" w:rsidP="00BC49EA">
                  <w:pPr>
                    <w:ind w:left="720"/>
                    <w:jc w:val="center"/>
                    <w:rPr>
                      <w:rFonts w:eastAsia="Garamond" w:cs="Garamond"/>
                      <w:sz w:val="28"/>
                      <w:szCs w:val="28"/>
                    </w:rPr>
                  </w:pPr>
                </w:p>
                <w:p w14:paraId="394DB3F9" w14:textId="77777777" w:rsidR="00BC49EA" w:rsidRPr="00BC49EA" w:rsidRDefault="00BC49EA" w:rsidP="00BC49EA">
                  <w:pPr>
                    <w:ind w:left="720"/>
                    <w:jc w:val="center"/>
                    <w:rPr>
                      <w:rFonts w:eastAsia="Garamond" w:cs="Garamond"/>
                      <w:sz w:val="28"/>
                      <w:szCs w:val="28"/>
                    </w:rPr>
                  </w:pPr>
                  <w:r w:rsidRPr="00BC49EA">
                    <w:rPr>
                      <w:rFonts w:eastAsia="Garamond" w:cs="Garamond"/>
                      <w:sz w:val="28"/>
                      <w:szCs w:val="28"/>
                    </w:rPr>
                    <w:t>919 Albany Street</w:t>
                  </w:r>
                </w:p>
                <w:p w14:paraId="74FE3916" w14:textId="77777777" w:rsidR="00BC49EA" w:rsidRPr="00BC49EA" w:rsidRDefault="00BC49EA" w:rsidP="00BC49EA">
                  <w:pPr>
                    <w:ind w:left="720"/>
                    <w:jc w:val="center"/>
                    <w:rPr>
                      <w:rFonts w:eastAsia="Garamond" w:cs="Garamond"/>
                      <w:sz w:val="28"/>
                      <w:szCs w:val="28"/>
                    </w:rPr>
                  </w:pPr>
                  <w:r w:rsidRPr="00BC49EA">
                    <w:rPr>
                      <w:rFonts w:eastAsia="Garamond" w:cs="Garamond"/>
                      <w:sz w:val="28"/>
                      <w:szCs w:val="28"/>
                    </w:rPr>
                    <w:t>90015, Los Angeles, CA, USA</w:t>
                  </w:r>
                </w:p>
                <w:p w14:paraId="57E0F4D5" w14:textId="77777777" w:rsidR="00BC49EA" w:rsidRDefault="00BC49EA" w:rsidP="00BC49EA">
                  <w:pPr>
                    <w:ind w:left="720"/>
                    <w:jc w:val="center"/>
                    <w:rPr>
                      <w:rFonts w:eastAsia="Garamond" w:cs="Garamond"/>
                      <w:sz w:val="28"/>
                      <w:szCs w:val="28"/>
                    </w:rPr>
                  </w:pPr>
                </w:p>
                <w:p w14:paraId="6C1D6252" w14:textId="77777777" w:rsidR="00BC49EA" w:rsidRPr="00BC49EA" w:rsidRDefault="00BC49EA" w:rsidP="00BC49EA">
                  <w:pPr>
                    <w:ind w:left="720"/>
                    <w:jc w:val="center"/>
                    <w:rPr>
                      <w:rFonts w:eastAsia="Garamond" w:cs="Garamond"/>
                      <w:sz w:val="28"/>
                      <w:szCs w:val="28"/>
                    </w:rPr>
                  </w:pPr>
                  <w:r w:rsidRPr="00BC49EA">
                    <w:rPr>
                      <w:rFonts w:eastAsia="Garamond" w:cs="Garamond"/>
                      <w:sz w:val="28"/>
                      <w:szCs w:val="28"/>
                    </w:rPr>
                    <w:t>Contact: Prof. Cesare Romano</w:t>
                  </w:r>
                </w:p>
                <w:p w14:paraId="3E51E6EA" w14:textId="77777777" w:rsidR="00BC49EA" w:rsidRPr="00BC49EA" w:rsidRDefault="00B70A6A" w:rsidP="00BC49EA">
                  <w:pPr>
                    <w:ind w:left="720"/>
                    <w:jc w:val="center"/>
                    <w:rPr>
                      <w:rFonts w:eastAsia="Garamond" w:cs="Garamond"/>
                      <w:sz w:val="28"/>
                      <w:szCs w:val="28"/>
                      <w:u w:val="single"/>
                    </w:rPr>
                  </w:pPr>
                  <w:hyperlink r:id="rId8">
                    <w:r w:rsidR="00BC49EA" w:rsidRPr="00BC49EA">
                      <w:rPr>
                        <w:rFonts w:eastAsia="Garamond" w:cs="Garamond"/>
                        <w:sz w:val="28"/>
                        <w:szCs w:val="28"/>
                        <w:u w:val="single"/>
                      </w:rPr>
                      <w:t>cesare.romano@lls.edu</w:t>
                    </w:r>
                  </w:hyperlink>
                </w:p>
                <w:p w14:paraId="16B4F6C9" w14:textId="59228CCA" w:rsidR="00BC49EA" w:rsidRPr="00BC49EA" w:rsidRDefault="00BC49EA" w:rsidP="00BC49EA">
                  <w:pPr>
                    <w:ind w:left="720"/>
                    <w:jc w:val="center"/>
                    <w:rPr>
                      <w:rFonts w:eastAsia="Garamond" w:cs="Garamond"/>
                      <w:sz w:val="28"/>
                      <w:szCs w:val="28"/>
                      <w:u w:val="single"/>
                    </w:rPr>
                  </w:pPr>
                </w:p>
              </w:tc>
              <w:tc>
                <w:tcPr>
                  <w:tcW w:w="4403" w:type="dxa"/>
                </w:tcPr>
                <w:p w14:paraId="376C2B40" w14:textId="77777777" w:rsidR="00BC49EA" w:rsidRPr="00BC49EA" w:rsidRDefault="00BC49EA" w:rsidP="00BC49EA">
                  <w:pPr>
                    <w:ind w:left="720"/>
                    <w:jc w:val="center"/>
                    <w:rPr>
                      <w:rFonts w:eastAsia="Garamond" w:cs="Garamond"/>
                      <w:i/>
                      <w:sz w:val="28"/>
                      <w:szCs w:val="28"/>
                      <w:lang w:val="it-IT"/>
                    </w:rPr>
                  </w:pPr>
                  <w:r w:rsidRPr="00BC49EA">
                    <w:rPr>
                      <w:rFonts w:eastAsia="Garamond" w:cs="Garamond"/>
                      <w:i/>
                      <w:sz w:val="28"/>
                      <w:szCs w:val="28"/>
                      <w:lang w:val="it-IT"/>
                    </w:rPr>
                    <w:t>Associazione Luca Coscioni</w:t>
                  </w:r>
                </w:p>
                <w:p w14:paraId="4BC412DC" w14:textId="77777777" w:rsidR="00BC49EA" w:rsidRPr="00BC49EA" w:rsidRDefault="00BC49EA" w:rsidP="00BC49EA">
                  <w:pPr>
                    <w:ind w:left="720"/>
                    <w:jc w:val="center"/>
                    <w:rPr>
                      <w:rFonts w:eastAsia="Garamond" w:cs="Garamond"/>
                      <w:i/>
                      <w:sz w:val="28"/>
                      <w:szCs w:val="28"/>
                      <w:lang w:val="it-IT"/>
                    </w:rPr>
                  </w:pPr>
                  <w:r w:rsidRPr="00BC49EA">
                    <w:rPr>
                      <w:rFonts w:eastAsia="Garamond" w:cs="Garamond"/>
                      <w:i/>
                      <w:sz w:val="28"/>
                      <w:szCs w:val="28"/>
                      <w:lang w:val="it-IT"/>
                    </w:rPr>
                    <w:t>per la libertà di ricerca scientifica</w:t>
                  </w:r>
                </w:p>
                <w:p w14:paraId="3C146F3E" w14:textId="77777777" w:rsidR="00BC49EA" w:rsidRPr="00BC49EA" w:rsidRDefault="00BC49EA" w:rsidP="00BC49EA">
                  <w:pPr>
                    <w:ind w:left="720"/>
                    <w:jc w:val="center"/>
                    <w:rPr>
                      <w:rFonts w:eastAsia="Garamond" w:cs="Garamond"/>
                      <w:sz w:val="28"/>
                      <w:szCs w:val="28"/>
                      <w:lang w:val="it-IT"/>
                    </w:rPr>
                  </w:pPr>
                </w:p>
                <w:p w14:paraId="76FC77E2" w14:textId="2D83D53C" w:rsidR="00BC49EA" w:rsidRPr="00BC49EA" w:rsidRDefault="00BC49EA" w:rsidP="00BC49EA">
                  <w:pPr>
                    <w:ind w:left="720"/>
                    <w:jc w:val="center"/>
                    <w:rPr>
                      <w:rFonts w:eastAsia="Garamond" w:cs="Garamond"/>
                      <w:sz w:val="28"/>
                      <w:szCs w:val="28"/>
                      <w:lang w:val="it-IT"/>
                    </w:rPr>
                  </w:pPr>
                  <w:r w:rsidRPr="00BC49EA">
                    <w:rPr>
                      <w:rFonts w:eastAsia="Garamond" w:cs="Garamond"/>
                      <w:sz w:val="28"/>
                      <w:szCs w:val="28"/>
                      <w:lang w:val="it-IT"/>
                    </w:rPr>
                    <w:t xml:space="preserve">Via di </w:t>
                  </w:r>
                  <w:r w:rsidR="000541BA">
                    <w:rPr>
                      <w:rFonts w:eastAsia="Garamond" w:cs="Garamond"/>
                      <w:sz w:val="28"/>
                      <w:szCs w:val="28"/>
                      <w:lang w:val="it-IT"/>
                    </w:rPr>
                    <w:t>San Basilio 64</w:t>
                  </w:r>
                </w:p>
                <w:p w14:paraId="4E901B8D" w14:textId="2A1DF545" w:rsidR="00BC49EA" w:rsidRDefault="000541BA" w:rsidP="00BC49EA">
                  <w:pPr>
                    <w:ind w:left="720"/>
                    <w:jc w:val="center"/>
                    <w:rPr>
                      <w:rFonts w:eastAsia="Garamond" w:cs="Garamond"/>
                      <w:sz w:val="28"/>
                      <w:szCs w:val="28"/>
                      <w:lang w:val="it-IT"/>
                    </w:rPr>
                  </w:pPr>
                  <w:r>
                    <w:rPr>
                      <w:rFonts w:eastAsia="Garamond" w:cs="Garamond"/>
                      <w:sz w:val="28"/>
                      <w:szCs w:val="28"/>
                      <w:lang w:val="it-IT"/>
                    </w:rPr>
                    <w:t>00187</w:t>
                  </w:r>
                  <w:r w:rsidR="00BC49EA" w:rsidRPr="00BC49EA">
                    <w:rPr>
                      <w:rFonts w:eastAsia="Garamond" w:cs="Garamond"/>
                      <w:sz w:val="28"/>
                      <w:szCs w:val="28"/>
                      <w:lang w:val="it-IT"/>
                    </w:rPr>
                    <w:t xml:space="preserve">, Rome, </w:t>
                  </w:r>
                  <w:proofErr w:type="spellStart"/>
                  <w:r w:rsidR="00BC49EA" w:rsidRPr="00BC49EA">
                    <w:rPr>
                      <w:rFonts w:eastAsia="Garamond" w:cs="Garamond"/>
                      <w:sz w:val="28"/>
                      <w:szCs w:val="28"/>
                      <w:lang w:val="it-IT"/>
                    </w:rPr>
                    <w:t>Italy</w:t>
                  </w:r>
                  <w:proofErr w:type="spellEnd"/>
                </w:p>
                <w:p w14:paraId="097DD335" w14:textId="77777777" w:rsidR="00BC49EA" w:rsidRPr="00BC49EA" w:rsidRDefault="00BC49EA" w:rsidP="00BC49EA">
                  <w:pPr>
                    <w:ind w:left="720"/>
                    <w:jc w:val="center"/>
                    <w:rPr>
                      <w:rFonts w:eastAsia="Garamond" w:cs="Garamond"/>
                      <w:sz w:val="28"/>
                      <w:szCs w:val="28"/>
                      <w:lang w:val="it-IT"/>
                    </w:rPr>
                  </w:pPr>
                </w:p>
                <w:p w14:paraId="3B1C49B5" w14:textId="77777777" w:rsidR="00BC49EA" w:rsidRPr="00BC49EA" w:rsidRDefault="00BC49EA" w:rsidP="00BC49EA">
                  <w:pPr>
                    <w:ind w:left="720"/>
                    <w:jc w:val="center"/>
                    <w:rPr>
                      <w:rFonts w:eastAsia="Garamond" w:cs="Garamond"/>
                      <w:sz w:val="28"/>
                      <w:szCs w:val="28"/>
                    </w:rPr>
                  </w:pPr>
                  <w:r w:rsidRPr="00BC49EA">
                    <w:rPr>
                      <w:rFonts w:eastAsia="Garamond" w:cs="Garamond"/>
                      <w:sz w:val="28"/>
                      <w:szCs w:val="28"/>
                    </w:rPr>
                    <w:t>Contact: Prof. Filomena Gallo</w:t>
                  </w:r>
                </w:p>
                <w:p w14:paraId="47447A19" w14:textId="77777777" w:rsidR="00BC49EA" w:rsidRPr="00BC49EA" w:rsidRDefault="00B70A6A" w:rsidP="00BC49EA">
                  <w:pPr>
                    <w:ind w:left="720"/>
                    <w:jc w:val="center"/>
                    <w:rPr>
                      <w:rFonts w:eastAsia="Garamond" w:cs="Garamond"/>
                      <w:sz w:val="28"/>
                      <w:szCs w:val="28"/>
                    </w:rPr>
                  </w:pPr>
                  <w:hyperlink r:id="rId9">
                    <w:r w:rsidR="00BC49EA" w:rsidRPr="00BC49EA">
                      <w:rPr>
                        <w:rFonts w:eastAsia="Garamond" w:cs="Garamond"/>
                        <w:sz w:val="28"/>
                        <w:szCs w:val="28"/>
                        <w:u w:val="single"/>
                      </w:rPr>
                      <w:t>studiolegalegallo.f@gmail.com</w:t>
                    </w:r>
                  </w:hyperlink>
                </w:p>
                <w:p w14:paraId="290CE6A7" w14:textId="77777777" w:rsidR="00BC49EA" w:rsidRPr="00BC49EA" w:rsidRDefault="00B70A6A" w:rsidP="00BC49EA">
                  <w:pPr>
                    <w:spacing w:line="360" w:lineRule="auto"/>
                    <w:ind w:left="720"/>
                    <w:jc w:val="center"/>
                    <w:rPr>
                      <w:rFonts w:eastAsia="Garamond" w:cs="Garamond"/>
                      <w:sz w:val="28"/>
                      <w:szCs w:val="28"/>
                    </w:rPr>
                  </w:pPr>
                  <w:hyperlink r:id="rId10">
                    <w:r w:rsidR="00BC49EA" w:rsidRPr="00BC49EA">
                      <w:rPr>
                        <w:rFonts w:eastAsia="Garamond" w:cs="Garamond"/>
                        <w:sz w:val="28"/>
                        <w:szCs w:val="28"/>
                        <w:u w:val="single"/>
                      </w:rPr>
                      <w:t>segretariocoscioni@gmail.com</w:t>
                    </w:r>
                  </w:hyperlink>
                </w:p>
              </w:tc>
            </w:tr>
          </w:tbl>
          <w:p w14:paraId="6ECFA866" w14:textId="77777777" w:rsidR="00D55B4F" w:rsidRPr="00BC49EA" w:rsidRDefault="00D55B4F" w:rsidP="00BC49EA">
            <w:pPr>
              <w:spacing w:after="0" w:line="240" w:lineRule="auto"/>
              <w:jc w:val="center"/>
              <w:rPr>
                <w:rFonts w:eastAsia="Garamond" w:cs="Garamond"/>
                <w:sz w:val="28"/>
                <w:szCs w:val="28"/>
              </w:rPr>
            </w:pPr>
          </w:p>
        </w:tc>
      </w:tr>
      <w:tr w:rsidR="00D55B4F" w14:paraId="50395A61" w14:textId="77777777" w:rsidTr="009734DA">
        <w:trPr>
          <w:trHeight w:val="160"/>
        </w:trPr>
        <w:tc>
          <w:tcPr>
            <w:tcW w:w="9031" w:type="dxa"/>
          </w:tcPr>
          <w:p w14:paraId="50151969" w14:textId="77777777" w:rsidR="00D55B4F" w:rsidRPr="00BC49EA" w:rsidRDefault="00D55B4F" w:rsidP="009734DA">
            <w:pPr>
              <w:spacing w:after="0" w:line="360" w:lineRule="auto"/>
              <w:rPr>
                <w:rFonts w:eastAsia="Garamond" w:cs="Garamond"/>
                <w:b/>
                <w:sz w:val="28"/>
                <w:szCs w:val="28"/>
              </w:rPr>
            </w:pPr>
          </w:p>
          <w:p w14:paraId="547CBBB1" w14:textId="77777777" w:rsidR="003D5602" w:rsidRPr="00BC49EA" w:rsidRDefault="003D5602" w:rsidP="009734DA">
            <w:pPr>
              <w:spacing w:after="0" w:line="360" w:lineRule="auto"/>
              <w:rPr>
                <w:rFonts w:eastAsia="Garamond" w:cs="Garamond"/>
                <w:b/>
                <w:sz w:val="28"/>
                <w:szCs w:val="28"/>
              </w:rPr>
            </w:pPr>
          </w:p>
        </w:tc>
      </w:tr>
    </w:tbl>
    <w:p w14:paraId="434D165A" w14:textId="745286B5" w:rsidR="00D55B4F" w:rsidRDefault="00D55B4F">
      <w:pPr>
        <w:rPr>
          <w:b/>
          <w:sz w:val="32"/>
        </w:rPr>
      </w:pPr>
    </w:p>
    <w:p w14:paraId="1D06CB43" w14:textId="77777777" w:rsidR="00476D69" w:rsidRDefault="00476D69">
      <w:pPr>
        <w:rPr>
          <w:b/>
          <w:sz w:val="32"/>
        </w:rPr>
      </w:pPr>
    </w:p>
    <w:p w14:paraId="1B91A0CD" w14:textId="75B42AE9" w:rsidR="00476D69" w:rsidRDefault="00476D69">
      <w:pPr>
        <w:rPr>
          <w:b/>
          <w:sz w:val="32"/>
        </w:rPr>
        <w:sectPr w:rsidR="00476D69" w:rsidSect="002042B5">
          <w:footerReference w:type="default" r:id="rId11"/>
          <w:pgSz w:w="12240" w:h="15840"/>
          <w:pgMar w:top="1440" w:right="1440" w:bottom="1440" w:left="1440" w:header="720" w:footer="720" w:gutter="0"/>
          <w:cols w:space="720"/>
          <w:titlePg/>
          <w:docGrid w:linePitch="360"/>
        </w:sectPr>
      </w:pPr>
    </w:p>
    <w:p w14:paraId="7F5F4FBC" w14:textId="6C5532FA" w:rsidR="00BC49EA" w:rsidRDefault="00BC49EA">
      <w:pPr>
        <w:rPr>
          <w:b/>
          <w:sz w:val="32"/>
        </w:rPr>
      </w:pPr>
    </w:p>
    <w:sdt>
      <w:sdtPr>
        <w:rPr>
          <w:rFonts w:eastAsiaTheme="minorHAnsi" w:cstheme="minorBidi"/>
          <w:b w:val="0"/>
          <w:sz w:val="18"/>
          <w:szCs w:val="22"/>
        </w:rPr>
        <w:id w:val="-2005114846"/>
        <w:docPartObj>
          <w:docPartGallery w:val="Table of Contents"/>
          <w:docPartUnique/>
        </w:docPartObj>
      </w:sdtPr>
      <w:sdtEndPr>
        <w:rPr>
          <w:bCs/>
          <w:noProof/>
        </w:rPr>
      </w:sdtEndPr>
      <w:sdtContent>
        <w:p w14:paraId="0682E5B9" w14:textId="77777777" w:rsidR="00171673" w:rsidRPr="00976F21" w:rsidRDefault="00171673" w:rsidP="00476D69">
          <w:pPr>
            <w:pStyle w:val="TOCHeading"/>
          </w:pPr>
          <w:r w:rsidRPr="00976F21">
            <w:t>Table of Contents</w:t>
          </w:r>
        </w:p>
        <w:p w14:paraId="66B39896" w14:textId="77777777" w:rsidR="00976F21" w:rsidRPr="00976F21" w:rsidRDefault="00171673">
          <w:pPr>
            <w:pStyle w:val="TOC1"/>
            <w:tabs>
              <w:tab w:val="right" w:leader="dot" w:pos="9350"/>
            </w:tabs>
            <w:rPr>
              <w:rFonts w:asciiTheme="minorHAnsi" w:eastAsiaTheme="minorEastAsia" w:hAnsiTheme="minorHAnsi"/>
              <w:noProof/>
              <w:sz w:val="24"/>
              <w:szCs w:val="24"/>
            </w:rPr>
          </w:pPr>
          <w:r w:rsidRPr="00976F21">
            <w:rPr>
              <w:sz w:val="24"/>
              <w:szCs w:val="24"/>
            </w:rPr>
            <w:fldChar w:fldCharType="begin"/>
          </w:r>
          <w:r w:rsidRPr="00976F21">
            <w:rPr>
              <w:sz w:val="24"/>
              <w:szCs w:val="24"/>
            </w:rPr>
            <w:instrText xml:space="preserve"> TOC \o "1-3" \h \z \u </w:instrText>
          </w:r>
          <w:r w:rsidRPr="00976F21">
            <w:rPr>
              <w:sz w:val="24"/>
              <w:szCs w:val="24"/>
            </w:rPr>
            <w:fldChar w:fldCharType="separate"/>
          </w:r>
          <w:hyperlink w:anchor="_Toc506908268" w:history="1">
            <w:r w:rsidR="00976F21" w:rsidRPr="00976F21">
              <w:rPr>
                <w:rStyle w:val="Hyperlink"/>
                <w:noProof/>
                <w:sz w:val="24"/>
                <w:szCs w:val="24"/>
              </w:rPr>
              <w:t>PURPOSE OF THE REPORT</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_Toc506908268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3</w:t>
            </w:r>
            <w:r w:rsidR="00976F21" w:rsidRPr="00976F21">
              <w:rPr>
                <w:noProof/>
                <w:webHidden/>
                <w:sz w:val="24"/>
                <w:szCs w:val="24"/>
              </w:rPr>
              <w:fldChar w:fldCharType="end"/>
            </w:r>
          </w:hyperlink>
        </w:p>
        <w:p w14:paraId="12F19D0B" w14:textId="44DC7394" w:rsidR="00976F21" w:rsidRPr="00976F21" w:rsidRDefault="00B70A6A">
          <w:pPr>
            <w:pStyle w:val="TOC1"/>
            <w:tabs>
              <w:tab w:val="right" w:leader="dot" w:pos="9350"/>
            </w:tabs>
            <w:rPr>
              <w:rFonts w:asciiTheme="minorHAnsi" w:eastAsiaTheme="minorEastAsia" w:hAnsiTheme="minorHAnsi"/>
              <w:noProof/>
              <w:sz w:val="24"/>
              <w:szCs w:val="24"/>
            </w:rPr>
          </w:pPr>
          <w:hyperlink w:anchor="_Toc506908269" w:history="1">
            <w:r w:rsidR="00976F21" w:rsidRPr="00976F21">
              <w:rPr>
                <w:rStyle w:val="Hyperlink"/>
                <w:noProof/>
                <w:sz w:val="24"/>
                <w:szCs w:val="24"/>
              </w:rPr>
              <w:t>ABOUT THE AUTHORS OF THIS REPORT AND SOURCES</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_Toc506908269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3</w:t>
            </w:r>
            <w:r w:rsidR="00976F21" w:rsidRPr="00976F21">
              <w:rPr>
                <w:noProof/>
                <w:webHidden/>
                <w:sz w:val="24"/>
                <w:szCs w:val="24"/>
              </w:rPr>
              <w:fldChar w:fldCharType="end"/>
            </w:r>
          </w:hyperlink>
        </w:p>
        <w:p w14:paraId="5A226DB6" w14:textId="584AD4AC" w:rsidR="00976F21" w:rsidRPr="00976F21" w:rsidRDefault="00B70A6A">
          <w:pPr>
            <w:pStyle w:val="TOC1"/>
            <w:tabs>
              <w:tab w:val="right" w:leader="dot" w:pos="9350"/>
            </w:tabs>
            <w:rPr>
              <w:rFonts w:asciiTheme="minorHAnsi" w:eastAsiaTheme="minorEastAsia" w:hAnsiTheme="minorHAnsi"/>
              <w:noProof/>
              <w:sz w:val="24"/>
              <w:szCs w:val="24"/>
            </w:rPr>
          </w:pPr>
          <w:hyperlink w:anchor="_Toc506908270" w:history="1">
            <w:r w:rsidR="00976F21" w:rsidRPr="00976F21">
              <w:rPr>
                <w:rStyle w:val="Hyperlink"/>
                <w:noProof/>
                <w:sz w:val="24"/>
                <w:szCs w:val="24"/>
              </w:rPr>
              <w:t>BACKGROUND</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_Toc506908270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5</w:t>
            </w:r>
            <w:r w:rsidR="00976F21" w:rsidRPr="00976F21">
              <w:rPr>
                <w:noProof/>
                <w:webHidden/>
                <w:sz w:val="24"/>
                <w:szCs w:val="24"/>
              </w:rPr>
              <w:fldChar w:fldCharType="end"/>
            </w:r>
          </w:hyperlink>
        </w:p>
        <w:p w14:paraId="75D7BA3A" w14:textId="49CDB781" w:rsidR="00976F21" w:rsidRPr="00976F21" w:rsidRDefault="00B70A6A">
          <w:pPr>
            <w:pStyle w:val="TOC1"/>
            <w:tabs>
              <w:tab w:val="right" w:leader="dot" w:pos="9350"/>
            </w:tabs>
            <w:rPr>
              <w:rFonts w:asciiTheme="minorHAnsi" w:eastAsiaTheme="minorEastAsia" w:hAnsiTheme="minorHAnsi"/>
              <w:noProof/>
              <w:sz w:val="24"/>
              <w:szCs w:val="24"/>
            </w:rPr>
          </w:pPr>
          <w:hyperlink w:anchor="_Toc506908271" w:history="1">
            <w:r w:rsidR="00976F21" w:rsidRPr="00976F21">
              <w:rPr>
                <w:rStyle w:val="Hyperlink"/>
                <w:noProof/>
                <w:sz w:val="24"/>
                <w:szCs w:val="24"/>
              </w:rPr>
              <w:t>RESEARCH WITH HUMAN EMBRYONIC STEM CELLS (hESC)</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_Toc506908271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6</w:t>
            </w:r>
            <w:r w:rsidR="00976F21" w:rsidRPr="00976F21">
              <w:rPr>
                <w:noProof/>
                <w:webHidden/>
                <w:sz w:val="24"/>
                <w:szCs w:val="24"/>
              </w:rPr>
              <w:fldChar w:fldCharType="end"/>
            </w:r>
          </w:hyperlink>
        </w:p>
        <w:p w14:paraId="70103E79" w14:textId="7405B4B7" w:rsidR="00976F21" w:rsidRPr="00976F21" w:rsidRDefault="00B70A6A">
          <w:pPr>
            <w:pStyle w:val="TOC2"/>
            <w:tabs>
              <w:tab w:val="right" w:leader="dot" w:pos="9350"/>
            </w:tabs>
            <w:rPr>
              <w:rFonts w:asciiTheme="minorHAnsi" w:eastAsiaTheme="minorEastAsia" w:hAnsiTheme="minorHAnsi"/>
              <w:noProof/>
              <w:sz w:val="24"/>
              <w:szCs w:val="24"/>
            </w:rPr>
          </w:pPr>
          <w:hyperlink w:anchor="_Toc506908272" w:history="1">
            <w:r w:rsidR="00976F21" w:rsidRPr="00976F21">
              <w:rPr>
                <w:rStyle w:val="Hyperlink"/>
                <w:noProof/>
                <w:sz w:val="24"/>
                <w:szCs w:val="24"/>
              </w:rPr>
              <w:t>Research with human embryonic stem cells (hESC) in Estonia</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_Toc506908272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6</w:t>
            </w:r>
            <w:r w:rsidR="00976F21" w:rsidRPr="00976F21">
              <w:rPr>
                <w:noProof/>
                <w:webHidden/>
                <w:sz w:val="24"/>
                <w:szCs w:val="24"/>
              </w:rPr>
              <w:fldChar w:fldCharType="end"/>
            </w:r>
          </w:hyperlink>
        </w:p>
        <w:p w14:paraId="3A39AE74" w14:textId="19F2BD0E" w:rsidR="00976F21" w:rsidRPr="00976F21" w:rsidRDefault="00B70A6A">
          <w:pPr>
            <w:pStyle w:val="TOC2"/>
            <w:tabs>
              <w:tab w:val="right" w:leader="dot" w:pos="9350"/>
            </w:tabs>
            <w:rPr>
              <w:rFonts w:asciiTheme="minorHAnsi" w:eastAsiaTheme="minorEastAsia" w:hAnsiTheme="minorHAnsi"/>
              <w:noProof/>
              <w:sz w:val="24"/>
              <w:szCs w:val="24"/>
            </w:rPr>
          </w:pPr>
          <w:hyperlink w:anchor="_Toc506908273" w:history="1">
            <w:r w:rsidR="00976F21" w:rsidRPr="00976F21">
              <w:rPr>
                <w:rStyle w:val="Hyperlink"/>
                <w:noProof/>
                <w:sz w:val="24"/>
                <w:szCs w:val="24"/>
              </w:rPr>
              <w:t>Analysis:</w:t>
            </w:r>
            <w:r w:rsidR="00E93DAF">
              <w:rPr>
                <w:rStyle w:val="Hyperlink"/>
                <w:noProof/>
                <w:sz w:val="24"/>
                <w:szCs w:val="24"/>
              </w:rPr>
              <w:t xml:space="preserve"> </w:t>
            </w:r>
            <w:r w:rsidR="00976F21" w:rsidRPr="00976F21">
              <w:rPr>
                <w:rStyle w:val="Hyperlink"/>
                <w:noProof/>
                <w:sz w:val="24"/>
                <w:szCs w:val="24"/>
              </w:rPr>
              <w:t>To What Extent are Estonia’s Laws and Practices with regard to hESC Compatible with the Covenant?</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_Toc506908273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7</w:t>
            </w:r>
            <w:r w:rsidR="00976F21" w:rsidRPr="00976F21">
              <w:rPr>
                <w:noProof/>
                <w:webHidden/>
                <w:sz w:val="24"/>
                <w:szCs w:val="24"/>
              </w:rPr>
              <w:fldChar w:fldCharType="end"/>
            </w:r>
          </w:hyperlink>
        </w:p>
        <w:p w14:paraId="51E673C7" w14:textId="104B7D35" w:rsidR="00976F21" w:rsidRPr="00976F21" w:rsidRDefault="00B70A6A">
          <w:pPr>
            <w:pStyle w:val="TOC1"/>
            <w:tabs>
              <w:tab w:val="right" w:leader="dot" w:pos="9350"/>
            </w:tabs>
            <w:rPr>
              <w:rFonts w:asciiTheme="minorHAnsi" w:eastAsiaTheme="minorEastAsia" w:hAnsiTheme="minorHAnsi"/>
              <w:noProof/>
              <w:sz w:val="24"/>
              <w:szCs w:val="24"/>
            </w:rPr>
          </w:pPr>
          <w:hyperlink w:anchor="_Toc506908274" w:history="1">
            <w:r w:rsidR="00976F21" w:rsidRPr="00976F21">
              <w:rPr>
                <w:rStyle w:val="Hyperlink"/>
                <w:noProof/>
                <w:sz w:val="24"/>
                <w:szCs w:val="24"/>
              </w:rPr>
              <w:t>ASSISTED REPRODUCTIVE TECHNOLOGIES (ART)</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_Toc506908274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8</w:t>
            </w:r>
            <w:r w:rsidR="00976F21" w:rsidRPr="00976F21">
              <w:rPr>
                <w:noProof/>
                <w:webHidden/>
                <w:sz w:val="24"/>
                <w:szCs w:val="24"/>
              </w:rPr>
              <w:fldChar w:fldCharType="end"/>
            </w:r>
          </w:hyperlink>
        </w:p>
        <w:p w14:paraId="10F478C1" w14:textId="3B0F19CB" w:rsidR="00976F21" w:rsidRPr="00976F21" w:rsidRDefault="00B70A6A">
          <w:pPr>
            <w:pStyle w:val="TOC2"/>
            <w:tabs>
              <w:tab w:val="right" w:leader="dot" w:pos="9350"/>
            </w:tabs>
            <w:rPr>
              <w:rFonts w:asciiTheme="minorHAnsi" w:eastAsiaTheme="minorEastAsia" w:hAnsiTheme="minorHAnsi"/>
              <w:noProof/>
              <w:sz w:val="24"/>
              <w:szCs w:val="24"/>
            </w:rPr>
          </w:pPr>
          <w:hyperlink w:anchor="_Toc506908275" w:history="1">
            <w:r w:rsidR="00976F21" w:rsidRPr="00976F21">
              <w:rPr>
                <w:rStyle w:val="Hyperlink"/>
                <w:noProof/>
                <w:sz w:val="24"/>
                <w:szCs w:val="24"/>
              </w:rPr>
              <w:t>ART in Estonia</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_Toc506908275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8</w:t>
            </w:r>
            <w:r w:rsidR="00976F21" w:rsidRPr="00976F21">
              <w:rPr>
                <w:noProof/>
                <w:webHidden/>
                <w:sz w:val="24"/>
                <w:szCs w:val="24"/>
              </w:rPr>
              <w:fldChar w:fldCharType="end"/>
            </w:r>
          </w:hyperlink>
        </w:p>
        <w:p w14:paraId="0DC94754" w14:textId="4D5D5BC9" w:rsidR="00976F21" w:rsidRPr="00976F21" w:rsidRDefault="00B70A6A">
          <w:pPr>
            <w:pStyle w:val="TOC2"/>
            <w:tabs>
              <w:tab w:val="right" w:leader="dot" w:pos="9350"/>
            </w:tabs>
            <w:rPr>
              <w:rFonts w:asciiTheme="minorHAnsi" w:eastAsiaTheme="minorEastAsia" w:hAnsiTheme="minorHAnsi"/>
              <w:noProof/>
              <w:sz w:val="24"/>
              <w:szCs w:val="24"/>
            </w:rPr>
          </w:pPr>
          <w:hyperlink w:anchor="_Toc506908276" w:history="1">
            <w:r w:rsidR="00976F21" w:rsidRPr="00976F21">
              <w:rPr>
                <w:rStyle w:val="Hyperlink"/>
                <w:noProof/>
                <w:sz w:val="24"/>
                <w:szCs w:val="24"/>
              </w:rPr>
              <w:t>Analysis: To What Extent are Estonia’s Laws and Practices with regard to ART Compatible with the Covenant?</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_Toc506908276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11</w:t>
            </w:r>
            <w:r w:rsidR="00976F21" w:rsidRPr="00976F21">
              <w:rPr>
                <w:noProof/>
                <w:webHidden/>
                <w:sz w:val="24"/>
                <w:szCs w:val="24"/>
              </w:rPr>
              <w:fldChar w:fldCharType="end"/>
            </w:r>
          </w:hyperlink>
        </w:p>
        <w:p w14:paraId="7DC2125E" w14:textId="1196FC19" w:rsidR="00976F21" w:rsidRPr="00976F21" w:rsidRDefault="00B70A6A">
          <w:pPr>
            <w:pStyle w:val="TOC1"/>
            <w:tabs>
              <w:tab w:val="right" w:leader="dot" w:pos="9350"/>
            </w:tabs>
            <w:rPr>
              <w:rFonts w:asciiTheme="minorHAnsi" w:eastAsiaTheme="minorEastAsia" w:hAnsiTheme="minorHAnsi"/>
              <w:noProof/>
              <w:sz w:val="24"/>
              <w:szCs w:val="24"/>
            </w:rPr>
          </w:pPr>
          <w:hyperlink w:anchor="_Toc506908277" w:history="1">
            <w:r w:rsidR="00976F21" w:rsidRPr="00976F21">
              <w:rPr>
                <w:rStyle w:val="Hyperlink"/>
                <w:noProof/>
                <w:sz w:val="24"/>
                <w:szCs w:val="24"/>
              </w:rPr>
              <w:t>ABORTION AND CONTRACEPTION (A&amp;C)</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_Toc506908277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12</w:t>
            </w:r>
            <w:r w:rsidR="00976F21" w:rsidRPr="00976F21">
              <w:rPr>
                <w:noProof/>
                <w:webHidden/>
                <w:sz w:val="24"/>
                <w:szCs w:val="24"/>
              </w:rPr>
              <w:fldChar w:fldCharType="end"/>
            </w:r>
          </w:hyperlink>
        </w:p>
        <w:p w14:paraId="19478A79" w14:textId="685208E5" w:rsidR="00976F21" w:rsidRPr="00976F21" w:rsidRDefault="00B70A6A">
          <w:pPr>
            <w:pStyle w:val="TOC2"/>
            <w:tabs>
              <w:tab w:val="right" w:leader="dot" w:pos="9350"/>
            </w:tabs>
            <w:rPr>
              <w:rFonts w:asciiTheme="minorHAnsi" w:eastAsiaTheme="minorEastAsia" w:hAnsiTheme="minorHAnsi"/>
              <w:noProof/>
              <w:sz w:val="24"/>
              <w:szCs w:val="24"/>
            </w:rPr>
          </w:pPr>
          <w:hyperlink w:anchor="_Toc506908278" w:history="1">
            <w:r w:rsidR="00976F21" w:rsidRPr="00976F21">
              <w:rPr>
                <w:rStyle w:val="Hyperlink"/>
                <w:noProof/>
                <w:sz w:val="24"/>
                <w:szCs w:val="24"/>
              </w:rPr>
              <w:t>Abortion and Contraception in Estonia</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_Toc506908278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12</w:t>
            </w:r>
            <w:r w:rsidR="00976F21" w:rsidRPr="00976F21">
              <w:rPr>
                <w:noProof/>
                <w:webHidden/>
                <w:sz w:val="24"/>
                <w:szCs w:val="24"/>
              </w:rPr>
              <w:fldChar w:fldCharType="end"/>
            </w:r>
          </w:hyperlink>
        </w:p>
        <w:p w14:paraId="68981434" w14:textId="2E2C33C7" w:rsidR="00976F21" w:rsidRPr="00976F21" w:rsidRDefault="00B70A6A">
          <w:pPr>
            <w:pStyle w:val="TOC3"/>
            <w:tabs>
              <w:tab w:val="right" w:leader="dot" w:pos="9350"/>
            </w:tabs>
            <w:rPr>
              <w:rFonts w:asciiTheme="minorHAnsi" w:eastAsiaTheme="minorEastAsia" w:hAnsiTheme="minorHAnsi"/>
              <w:noProof/>
              <w:sz w:val="24"/>
              <w:szCs w:val="24"/>
            </w:rPr>
          </w:pPr>
          <w:hyperlink w:anchor="_Toc506908279" w:history="1">
            <w:r w:rsidR="00976F21" w:rsidRPr="00976F21">
              <w:rPr>
                <w:rStyle w:val="Hyperlink"/>
                <w:noProof/>
                <w:sz w:val="24"/>
                <w:szCs w:val="24"/>
              </w:rPr>
              <w:t>Abortion</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_Toc506908279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12</w:t>
            </w:r>
            <w:r w:rsidR="00976F21" w:rsidRPr="00976F21">
              <w:rPr>
                <w:noProof/>
                <w:webHidden/>
                <w:sz w:val="24"/>
                <w:szCs w:val="24"/>
              </w:rPr>
              <w:fldChar w:fldCharType="end"/>
            </w:r>
          </w:hyperlink>
        </w:p>
        <w:p w14:paraId="2D4BFD56" w14:textId="70CB130F" w:rsidR="00976F21" w:rsidRPr="00976F21" w:rsidRDefault="00B70A6A">
          <w:pPr>
            <w:pStyle w:val="TOC3"/>
            <w:tabs>
              <w:tab w:val="right" w:leader="dot" w:pos="9350"/>
            </w:tabs>
            <w:rPr>
              <w:rFonts w:asciiTheme="minorHAnsi" w:eastAsiaTheme="minorEastAsia" w:hAnsiTheme="minorHAnsi"/>
              <w:noProof/>
              <w:sz w:val="24"/>
              <w:szCs w:val="24"/>
            </w:rPr>
          </w:pPr>
          <w:hyperlink w:anchor="_Toc506908280" w:history="1">
            <w:r w:rsidR="00976F21" w:rsidRPr="00976F21">
              <w:rPr>
                <w:rStyle w:val="Hyperlink"/>
                <w:noProof/>
                <w:sz w:val="24"/>
                <w:szCs w:val="24"/>
              </w:rPr>
              <w:t>Contraception</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_Toc506908280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13</w:t>
            </w:r>
            <w:r w:rsidR="00976F21" w:rsidRPr="00976F21">
              <w:rPr>
                <w:noProof/>
                <w:webHidden/>
                <w:sz w:val="24"/>
                <w:szCs w:val="24"/>
              </w:rPr>
              <w:fldChar w:fldCharType="end"/>
            </w:r>
          </w:hyperlink>
        </w:p>
        <w:p w14:paraId="57429C0A" w14:textId="39A72860" w:rsidR="00976F21" w:rsidRPr="00976F21" w:rsidRDefault="00B70A6A">
          <w:pPr>
            <w:pStyle w:val="TOC2"/>
            <w:tabs>
              <w:tab w:val="right" w:leader="dot" w:pos="9350"/>
            </w:tabs>
            <w:rPr>
              <w:rFonts w:asciiTheme="minorHAnsi" w:eastAsiaTheme="minorEastAsia" w:hAnsiTheme="minorHAnsi"/>
              <w:noProof/>
              <w:sz w:val="24"/>
              <w:szCs w:val="24"/>
            </w:rPr>
          </w:pPr>
          <w:hyperlink w:anchor="_Toc506908281" w:history="1">
            <w:r w:rsidR="00976F21" w:rsidRPr="00976F21">
              <w:rPr>
                <w:rStyle w:val="Hyperlink"/>
                <w:noProof/>
                <w:sz w:val="24"/>
                <w:szCs w:val="24"/>
              </w:rPr>
              <w:t>Analysis: To What Extent are Estonia’s Laws and Practices with regard to Abortion and Contraception Compatible with the Covenant?</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_Toc506908281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15</w:t>
            </w:r>
            <w:r w:rsidR="00976F21" w:rsidRPr="00976F21">
              <w:rPr>
                <w:noProof/>
                <w:webHidden/>
                <w:sz w:val="24"/>
                <w:szCs w:val="24"/>
              </w:rPr>
              <w:fldChar w:fldCharType="end"/>
            </w:r>
          </w:hyperlink>
        </w:p>
        <w:p w14:paraId="316916A2" w14:textId="21BD861C" w:rsidR="00976F21" w:rsidRDefault="00B70A6A">
          <w:pPr>
            <w:pStyle w:val="TOC1"/>
            <w:tabs>
              <w:tab w:val="right" w:leader="dot" w:pos="9350"/>
            </w:tabs>
            <w:rPr>
              <w:noProof/>
              <w:sz w:val="24"/>
              <w:szCs w:val="24"/>
            </w:rPr>
          </w:pPr>
          <w:hyperlink w:anchor="_Toc506908282" w:history="1">
            <w:r w:rsidR="00976F21" w:rsidRPr="00976F21">
              <w:rPr>
                <w:rStyle w:val="Hyperlink"/>
                <w:noProof/>
                <w:sz w:val="24"/>
                <w:szCs w:val="24"/>
              </w:rPr>
              <w:t>RECOMMENDATIONS</w:t>
            </w:r>
            <w:r w:rsidR="00976F21" w:rsidRPr="00976F21">
              <w:rPr>
                <w:noProof/>
                <w:webHidden/>
                <w:sz w:val="24"/>
                <w:szCs w:val="24"/>
              </w:rPr>
              <w:tab/>
            </w:r>
            <w:r w:rsidR="00976F21" w:rsidRPr="00976F21">
              <w:rPr>
                <w:noProof/>
                <w:webHidden/>
                <w:sz w:val="24"/>
                <w:szCs w:val="24"/>
              </w:rPr>
              <w:fldChar w:fldCharType="begin"/>
            </w:r>
            <w:r w:rsidR="00976F21" w:rsidRPr="00976F21">
              <w:rPr>
                <w:noProof/>
                <w:webHidden/>
                <w:sz w:val="24"/>
                <w:szCs w:val="24"/>
              </w:rPr>
              <w:instrText xml:space="preserve"> PAGEREF _Toc506908282 \h </w:instrText>
            </w:r>
            <w:r w:rsidR="00976F21" w:rsidRPr="00976F21">
              <w:rPr>
                <w:noProof/>
                <w:webHidden/>
                <w:sz w:val="24"/>
                <w:szCs w:val="24"/>
              </w:rPr>
            </w:r>
            <w:r w:rsidR="00976F21" w:rsidRPr="00976F21">
              <w:rPr>
                <w:noProof/>
                <w:webHidden/>
                <w:sz w:val="24"/>
                <w:szCs w:val="24"/>
              </w:rPr>
              <w:fldChar w:fldCharType="separate"/>
            </w:r>
            <w:r w:rsidR="00883B44">
              <w:rPr>
                <w:noProof/>
                <w:webHidden/>
                <w:sz w:val="24"/>
                <w:szCs w:val="24"/>
              </w:rPr>
              <w:t>16</w:t>
            </w:r>
            <w:r w:rsidR="00976F21" w:rsidRPr="00976F21">
              <w:rPr>
                <w:noProof/>
                <w:webHidden/>
                <w:sz w:val="24"/>
                <w:szCs w:val="24"/>
              </w:rPr>
              <w:fldChar w:fldCharType="end"/>
            </w:r>
          </w:hyperlink>
        </w:p>
        <w:p w14:paraId="7ECEAA0C" w14:textId="77777777" w:rsidR="00476D69" w:rsidRPr="00476D69" w:rsidRDefault="00476D69" w:rsidP="00476D69"/>
        <w:p w14:paraId="27960704" w14:textId="77777777" w:rsidR="00171673" w:rsidRDefault="00171673">
          <w:r w:rsidRPr="00976F21">
            <w:rPr>
              <w:b/>
              <w:bCs/>
              <w:noProof/>
              <w:sz w:val="24"/>
              <w:szCs w:val="24"/>
            </w:rPr>
            <w:fldChar w:fldCharType="end"/>
          </w:r>
        </w:p>
      </w:sdtContent>
    </w:sdt>
    <w:p w14:paraId="4197E6D7" w14:textId="77777777" w:rsidR="00171673" w:rsidRDefault="00171673" w:rsidP="00596162">
      <w:pPr>
        <w:spacing w:before="100" w:beforeAutospacing="1" w:after="0" w:line="360" w:lineRule="auto"/>
        <w:ind w:firstLine="720"/>
        <w:jc w:val="both"/>
        <w:rPr>
          <w:b/>
          <w:sz w:val="32"/>
          <w:szCs w:val="32"/>
        </w:rPr>
      </w:pPr>
    </w:p>
    <w:p w14:paraId="7B7F9D65" w14:textId="77777777" w:rsidR="00171673" w:rsidRDefault="00171673">
      <w:pPr>
        <w:rPr>
          <w:b/>
          <w:sz w:val="32"/>
          <w:szCs w:val="32"/>
        </w:rPr>
      </w:pPr>
      <w:r>
        <w:rPr>
          <w:b/>
          <w:sz w:val="32"/>
          <w:szCs w:val="32"/>
        </w:rPr>
        <w:br w:type="page"/>
      </w:r>
    </w:p>
    <w:p w14:paraId="4A3BA09D" w14:textId="77777777" w:rsidR="00476D69" w:rsidRDefault="00476D69" w:rsidP="00476D69">
      <w:pPr>
        <w:pStyle w:val="Heading1"/>
        <w:sectPr w:rsidR="00476D69" w:rsidSect="00476D69">
          <w:type w:val="continuous"/>
          <w:pgSz w:w="12240" w:h="15840"/>
          <w:pgMar w:top="1440" w:right="1440" w:bottom="1440" w:left="1440" w:header="720" w:footer="720" w:gutter="0"/>
          <w:cols w:space="720"/>
          <w:titlePg/>
          <w:docGrid w:linePitch="360"/>
        </w:sectPr>
      </w:pPr>
      <w:bookmarkStart w:id="0" w:name="_Toc506908268"/>
    </w:p>
    <w:p w14:paraId="69C61CFB" w14:textId="54729143" w:rsidR="00435C8E" w:rsidRPr="00476D69" w:rsidRDefault="00435C8E" w:rsidP="00476D69">
      <w:pPr>
        <w:pStyle w:val="Heading1"/>
        <w:rPr>
          <w:sz w:val="26"/>
          <w:szCs w:val="26"/>
        </w:rPr>
      </w:pPr>
      <w:r w:rsidRPr="00476D69">
        <w:rPr>
          <w:sz w:val="26"/>
          <w:szCs w:val="26"/>
        </w:rPr>
        <w:lastRenderedPageBreak/>
        <w:t>PURPOSE OF THE REPORT</w:t>
      </w:r>
      <w:bookmarkEnd w:id="0"/>
    </w:p>
    <w:p w14:paraId="7052BB99" w14:textId="65664FA6" w:rsidR="00435C8E" w:rsidRPr="00476D69" w:rsidRDefault="00435C8E" w:rsidP="00C139A9">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purpose of this “</w:t>
      </w:r>
      <w:r w:rsidR="003D5602" w:rsidRPr="00476D69">
        <w:rPr>
          <w:sz w:val="26"/>
          <w:szCs w:val="26"/>
        </w:rPr>
        <w:t>Parallel Report</w:t>
      </w:r>
      <w:r w:rsidRPr="00476D69">
        <w:rPr>
          <w:sz w:val="26"/>
          <w:szCs w:val="26"/>
        </w:rPr>
        <w:t xml:space="preserve">” is to assist the Committee on Economic, Social and Cultural Rights </w:t>
      </w:r>
      <w:r w:rsidR="009E7B5F">
        <w:rPr>
          <w:sz w:val="26"/>
          <w:szCs w:val="26"/>
        </w:rPr>
        <w:t>during its 65</w:t>
      </w:r>
      <w:r w:rsidR="009E7B5F" w:rsidRPr="009E7B5F">
        <w:rPr>
          <w:sz w:val="26"/>
          <w:szCs w:val="26"/>
          <w:vertAlign w:val="superscript"/>
        </w:rPr>
        <w:t>th</w:t>
      </w:r>
      <w:r w:rsidR="009E7B5F">
        <w:rPr>
          <w:sz w:val="26"/>
          <w:szCs w:val="26"/>
        </w:rPr>
        <w:t xml:space="preserve"> session when it will discuss</w:t>
      </w:r>
      <w:bookmarkStart w:id="1" w:name="_GoBack"/>
      <w:bookmarkEnd w:id="1"/>
      <w:r w:rsidRPr="00476D69">
        <w:rPr>
          <w:sz w:val="26"/>
          <w:szCs w:val="26"/>
        </w:rPr>
        <w:t xml:space="preserve"> Estonia’s Third Periodic Reports on its implementation of the Covenant on Economic, Social and Cultural Rights.</w:t>
      </w:r>
    </w:p>
    <w:p w14:paraId="30F3C46F"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Republic of Estonia acceded the Covenant on Economic, Social and Cultural Rights (hereinafter “CESCR” or “Covenant”) on 21 October 1991, and it entered into force in respect to Estonia on 21 January 1992.</w:t>
      </w:r>
      <w:r w:rsidRPr="00476D69">
        <w:rPr>
          <w:rStyle w:val="FootnoteReference"/>
          <w:sz w:val="26"/>
          <w:szCs w:val="26"/>
        </w:rPr>
        <w:footnoteReference w:id="1"/>
      </w:r>
      <w:r w:rsidRPr="00476D69">
        <w:rPr>
          <w:sz w:val="26"/>
          <w:szCs w:val="26"/>
        </w:rPr>
        <w:t xml:space="preserve"> Its last periodic review (2</w:t>
      </w:r>
      <w:r w:rsidRPr="00476D69">
        <w:rPr>
          <w:sz w:val="26"/>
          <w:szCs w:val="26"/>
          <w:vertAlign w:val="superscript"/>
        </w:rPr>
        <w:t>nd</w:t>
      </w:r>
      <w:r w:rsidRPr="00476D69">
        <w:rPr>
          <w:sz w:val="26"/>
          <w:szCs w:val="26"/>
        </w:rPr>
        <w:t xml:space="preserve">) </w:t>
      </w:r>
      <w:proofErr w:type="gramStart"/>
      <w:r w:rsidRPr="00476D69">
        <w:rPr>
          <w:sz w:val="26"/>
          <w:szCs w:val="26"/>
        </w:rPr>
        <w:t>was completed</w:t>
      </w:r>
      <w:proofErr w:type="gramEnd"/>
      <w:r w:rsidRPr="00476D69">
        <w:rPr>
          <w:sz w:val="26"/>
          <w:szCs w:val="26"/>
        </w:rPr>
        <w:t xml:space="preserve"> in 2011. It is currently undergoing its </w:t>
      </w:r>
      <w:proofErr w:type="gramStart"/>
      <w:r w:rsidRPr="00476D69">
        <w:rPr>
          <w:sz w:val="26"/>
          <w:szCs w:val="26"/>
        </w:rPr>
        <w:t>3</w:t>
      </w:r>
      <w:r w:rsidRPr="00476D69">
        <w:rPr>
          <w:sz w:val="26"/>
          <w:szCs w:val="26"/>
          <w:vertAlign w:val="superscript"/>
        </w:rPr>
        <w:t>rd</w:t>
      </w:r>
      <w:proofErr w:type="gramEnd"/>
      <w:r w:rsidRPr="00476D69">
        <w:rPr>
          <w:sz w:val="26"/>
          <w:szCs w:val="26"/>
        </w:rPr>
        <w:t xml:space="preserve"> periodic review.</w:t>
      </w:r>
    </w:p>
    <w:p w14:paraId="12C3A6E0" w14:textId="4938C610" w:rsidR="00435C8E" w:rsidRPr="00476D69" w:rsidRDefault="00435C8E" w:rsidP="00C139A9">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Estonia’s </w:t>
      </w:r>
      <w:proofErr w:type="gramStart"/>
      <w:r w:rsidRPr="00476D69">
        <w:rPr>
          <w:sz w:val="26"/>
          <w:szCs w:val="26"/>
        </w:rPr>
        <w:t>3</w:t>
      </w:r>
      <w:r w:rsidRPr="00476D69">
        <w:rPr>
          <w:sz w:val="26"/>
          <w:szCs w:val="26"/>
          <w:vertAlign w:val="superscript"/>
        </w:rPr>
        <w:t>rd</w:t>
      </w:r>
      <w:proofErr w:type="gramEnd"/>
      <w:r w:rsidRPr="00476D69">
        <w:rPr>
          <w:sz w:val="26"/>
          <w:szCs w:val="26"/>
        </w:rPr>
        <w:t xml:space="preserve"> periodic report, published on 29 September 2017, has several lacunae.</w:t>
      </w:r>
      <w:r w:rsidRPr="00476D69">
        <w:rPr>
          <w:rStyle w:val="FootnoteReference"/>
          <w:sz w:val="26"/>
          <w:szCs w:val="26"/>
        </w:rPr>
        <w:footnoteReference w:id="2"/>
      </w:r>
      <w:r w:rsidRPr="00476D69">
        <w:rPr>
          <w:sz w:val="26"/>
          <w:szCs w:val="26"/>
        </w:rPr>
        <w:t xml:space="preserve"> Under Article 10 (“Right to Family Life”), it discusses the exploitation of children, domestic violence, and human trafficking. It </w:t>
      </w:r>
      <w:proofErr w:type="gramStart"/>
      <w:r w:rsidRPr="00476D69">
        <w:rPr>
          <w:sz w:val="26"/>
          <w:szCs w:val="26"/>
        </w:rPr>
        <w:t>does not, however, address</w:t>
      </w:r>
      <w:proofErr w:type="gramEnd"/>
      <w:r w:rsidRPr="00476D69">
        <w:rPr>
          <w:sz w:val="26"/>
          <w:szCs w:val="26"/>
        </w:rPr>
        <w:t xml:space="preserve"> access to Assisted Reproductive Technology (ART), surrogacy, abortion, or contraception. Abortion </w:t>
      </w:r>
      <w:proofErr w:type="gramStart"/>
      <w:r w:rsidRPr="00476D69">
        <w:rPr>
          <w:sz w:val="26"/>
          <w:szCs w:val="26"/>
        </w:rPr>
        <w:t>is briefly discussed</w:t>
      </w:r>
      <w:proofErr w:type="gramEnd"/>
      <w:r w:rsidRPr="00476D69">
        <w:rPr>
          <w:sz w:val="26"/>
          <w:szCs w:val="26"/>
        </w:rPr>
        <w:t xml:space="preserve"> under Article 12 (“Right to Health”) in the context of teenage pregnancy and the overall decline of abortion nationwide by 40% from 2006 to 2014. </w:t>
      </w:r>
      <w:r w:rsidR="00043A76" w:rsidRPr="00476D69">
        <w:rPr>
          <w:sz w:val="26"/>
          <w:szCs w:val="26"/>
        </w:rPr>
        <w:t>The report</w:t>
      </w:r>
      <w:r w:rsidRPr="00476D69">
        <w:rPr>
          <w:sz w:val="26"/>
          <w:szCs w:val="26"/>
        </w:rPr>
        <w:t xml:space="preserve"> does not discuss, however, the limitations Estonia imposes on research on human Embryonic Stem Cells (</w:t>
      </w:r>
      <w:proofErr w:type="spellStart"/>
      <w:r w:rsidRPr="00476D69">
        <w:rPr>
          <w:sz w:val="26"/>
          <w:szCs w:val="26"/>
        </w:rPr>
        <w:t>hESC</w:t>
      </w:r>
      <w:proofErr w:type="spellEnd"/>
      <w:r w:rsidRPr="00476D69">
        <w:rPr>
          <w:sz w:val="26"/>
          <w:szCs w:val="26"/>
        </w:rPr>
        <w:t xml:space="preserve">), Assisted Reproductive Technology (ART) including surrogacy, or the accessibility to abortion and contraception – all issues that directly affect the rights to health and family. </w:t>
      </w:r>
      <w:proofErr w:type="gramStart"/>
      <w:r w:rsidRPr="00476D69">
        <w:rPr>
          <w:sz w:val="26"/>
          <w:szCs w:val="26"/>
        </w:rPr>
        <w:t>Finally, under Article 15 (“Right to Benefit from Scientific and Technological Progress” and the “Rights of Science”), Estonia reports on cultural accessibility including the digitalization of culture, the protection of cultural rights of elderly people and individuals with special needs, the cultural inclusion of disadvantaged and excluded persons; the preservation of cultural identity of ethnic minorities situated within the legal framework; and scientific research including research financing, intellectual property, promoting scientific values and education via mass media,.</w:t>
      </w:r>
      <w:proofErr w:type="gramEnd"/>
      <w:r w:rsidRPr="00476D69">
        <w:rPr>
          <w:sz w:val="26"/>
          <w:szCs w:val="26"/>
        </w:rPr>
        <w:t xml:space="preserve"> Notwithstanding, a dialogue on Estonia’s lack of legislation on human Embryonic Stem Cell (</w:t>
      </w:r>
      <w:proofErr w:type="spellStart"/>
      <w:r w:rsidRPr="00476D69">
        <w:rPr>
          <w:sz w:val="26"/>
          <w:szCs w:val="26"/>
        </w:rPr>
        <w:t>hESC</w:t>
      </w:r>
      <w:proofErr w:type="spellEnd"/>
      <w:r w:rsidRPr="00476D69">
        <w:rPr>
          <w:sz w:val="26"/>
          <w:szCs w:val="26"/>
        </w:rPr>
        <w:t>) research and deficient investment on research and developing Artificial Reproductive Technologies (ART) will reveal consequent impacts on the nation, especially in the context of science, fertility rates, and human rights. This report complements Estonia’s report to enable the Honorable Committee to form a clearer picture of how Estonia is discharging its obligations under Articles 10, 12, and 15 of the Covenant.</w:t>
      </w:r>
    </w:p>
    <w:p w14:paraId="76E59CF7" w14:textId="77777777" w:rsidR="00435C8E" w:rsidRPr="00476D69" w:rsidRDefault="00435C8E" w:rsidP="00476D69">
      <w:pPr>
        <w:pStyle w:val="Heading1"/>
        <w:rPr>
          <w:sz w:val="26"/>
          <w:szCs w:val="26"/>
        </w:rPr>
      </w:pPr>
      <w:bookmarkStart w:id="2" w:name="_Toc506908269"/>
      <w:r w:rsidRPr="00476D69">
        <w:rPr>
          <w:sz w:val="26"/>
          <w:szCs w:val="26"/>
        </w:rPr>
        <w:t>ABOUT THE AUTHORS OF THIS REPORT AND SOURCES</w:t>
      </w:r>
      <w:bookmarkEnd w:id="2"/>
    </w:p>
    <w:p w14:paraId="61C39568" w14:textId="2213269C" w:rsidR="00435C8E" w:rsidRPr="00476D69" w:rsidRDefault="00435C8E" w:rsidP="00C139A9">
      <w:pPr>
        <w:numPr>
          <w:ilvl w:val="0"/>
          <w:numId w:val="1"/>
        </w:numPr>
        <w:spacing w:before="100" w:beforeAutospacing="1" w:after="100" w:afterAutospacing="1" w:line="240" w:lineRule="auto"/>
        <w:ind w:left="0" w:firstLine="720"/>
        <w:jc w:val="both"/>
        <w:rPr>
          <w:sz w:val="26"/>
          <w:szCs w:val="26"/>
        </w:rPr>
      </w:pPr>
      <w:r w:rsidRPr="00476D69">
        <w:rPr>
          <w:sz w:val="26"/>
          <w:szCs w:val="26"/>
        </w:rPr>
        <w:t>This report has been prepared by</w:t>
      </w:r>
      <w:r w:rsidR="00D55B4F" w:rsidRPr="00476D69">
        <w:rPr>
          <w:sz w:val="26"/>
          <w:szCs w:val="26"/>
        </w:rPr>
        <w:t xml:space="preserve"> Alda Merino-Caan, JD Candidate 2019, </w:t>
      </w:r>
      <w:r w:rsidR="00F80480" w:rsidRPr="00476D69">
        <w:rPr>
          <w:sz w:val="26"/>
          <w:szCs w:val="26"/>
        </w:rPr>
        <w:t xml:space="preserve">of the International Human Rights Clinic of Loyola Law School, Los Angeles, </w:t>
      </w:r>
      <w:r w:rsidR="00D55B4F" w:rsidRPr="00476D69">
        <w:rPr>
          <w:sz w:val="26"/>
          <w:szCs w:val="26"/>
        </w:rPr>
        <w:t xml:space="preserve">under the supervision </w:t>
      </w:r>
      <w:r w:rsidR="00D55B4F" w:rsidRPr="00476D69">
        <w:rPr>
          <w:sz w:val="26"/>
          <w:szCs w:val="26"/>
        </w:rPr>
        <w:lastRenderedPageBreak/>
        <w:t>of Professors Ce</w:t>
      </w:r>
      <w:r w:rsidR="00F80480" w:rsidRPr="00476D69">
        <w:rPr>
          <w:sz w:val="26"/>
          <w:szCs w:val="26"/>
        </w:rPr>
        <w:t xml:space="preserve">sare Romano and Mary Hansel, and by the Luca </w:t>
      </w:r>
      <w:proofErr w:type="spellStart"/>
      <w:r w:rsidR="00F80480" w:rsidRPr="00476D69">
        <w:rPr>
          <w:sz w:val="26"/>
          <w:szCs w:val="26"/>
        </w:rPr>
        <w:t>Coscioni</w:t>
      </w:r>
      <w:proofErr w:type="spellEnd"/>
      <w:r w:rsidR="00F80480" w:rsidRPr="00476D69">
        <w:rPr>
          <w:sz w:val="26"/>
          <w:szCs w:val="26"/>
        </w:rPr>
        <w:t xml:space="preserve"> Association for the Freedom of Scientific Research.</w:t>
      </w:r>
      <w:r w:rsidR="00F117F9" w:rsidRPr="00476D69">
        <w:rPr>
          <w:rStyle w:val="FootnoteReference"/>
          <w:sz w:val="26"/>
          <w:szCs w:val="26"/>
        </w:rPr>
        <w:footnoteReference w:id="3"/>
      </w:r>
    </w:p>
    <w:p w14:paraId="2747A35B" w14:textId="1455CE47" w:rsidR="00435C8E" w:rsidRPr="00476D69" w:rsidRDefault="00435C8E" w:rsidP="003538AB">
      <w:pPr>
        <w:numPr>
          <w:ilvl w:val="0"/>
          <w:numId w:val="1"/>
        </w:numPr>
        <w:spacing w:before="100" w:beforeAutospacing="1" w:after="100" w:afterAutospacing="1" w:line="240" w:lineRule="auto"/>
        <w:ind w:left="0" w:firstLine="720"/>
        <w:jc w:val="both"/>
        <w:rPr>
          <w:sz w:val="26"/>
          <w:szCs w:val="26"/>
        </w:rPr>
      </w:pPr>
      <w:r w:rsidRPr="00476D69">
        <w:rPr>
          <w:sz w:val="26"/>
          <w:szCs w:val="26"/>
        </w:rPr>
        <w:t>The International Human Rights Clinic of Loyola Law School, Los Angeles</w:t>
      </w:r>
      <w:r w:rsidR="00F4239E" w:rsidRPr="00476D69">
        <w:rPr>
          <w:sz w:val="26"/>
          <w:szCs w:val="26"/>
        </w:rPr>
        <w:t xml:space="preserve"> seeks</w:t>
      </w:r>
      <w:r w:rsidRPr="00476D69">
        <w:rPr>
          <w:sz w:val="26"/>
          <w:szCs w:val="26"/>
        </w:rPr>
        <w:t xml:space="preserve"> to maximize the use of international and regional political, judicial, and quasi-judicial bodies through litigation, advocacy, and </w:t>
      </w:r>
      <w:proofErr w:type="gramStart"/>
      <w:r w:rsidRPr="00476D69">
        <w:rPr>
          <w:sz w:val="26"/>
          <w:szCs w:val="26"/>
        </w:rPr>
        <w:t>capacity-building</w:t>
      </w:r>
      <w:proofErr w:type="gramEnd"/>
      <w:r w:rsidRPr="00476D69">
        <w:rPr>
          <w:sz w:val="26"/>
          <w:szCs w:val="26"/>
        </w:rPr>
        <w:t>.</w:t>
      </w:r>
      <w:r w:rsidRPr="00476D69">
        <w:rPr>
          <w:sz w:val="26"/>
          <w:szCs w:val="26"/>
          <w:vertAlign w:val="superscript"/>
        </w:rPr>
        <w:footnoteReference w:id="4"/>
      </w:r>
      <w:r w:rsidR="00F80480" w:rsidRPr="00476D69">
        <w:rPr>
          <w:sz w:val="26"/>
          <w:szCs w:val="26"/>
        </w:rPr>
        <w:t xml:space="preserve"> </w:t>
      </w:r>
    </w:p>
    <w:p w14:paraId="0252951B" w14:textId="6AABB05A" w:rsidR="00435C8E" w:rsidRPr="00476D69" w:rsidRDefault="00435C8E" w:rsidP="003538AB">
      <w:pPr>
        <w:numPr>
          <w:ilvl w:val="0"/>
          <w:numId w:val="1"/>
        </w:numPr>
        <w:spacing w:before="100" w:beforeAutospacing="1" w:after="100" w:afterAutospacing="1" w:line="240" w:lineRule="auto"/>
        <w:ind w:left="0" w:firstLine="720"/>
        <w:jc w:val="both"/>
        <w:rPr>
          <w:rFonts w:cstheme="minorHAnsi"/>
          <w:sz w:val="26"/>
          <w:szCs w:val="26"/>
        </w:rPr>
      </w:pPr>
      <w:r w:rsidRPr="00476D69">
        <w:rPr>
          <w:sz w:val="26"/>
          <w:szCs w:val="26"/>
        </w:rPr>
        <w:t xml:space="preserve">The Luca </w:t>
      </w:r>
      <w:proofErr w:type="spellStart"/>
      <w:r w:rsidRPr="00476D69">
        <w:rPr>
          <w:sz w:val="26"/>
          <w:szCs w:val="26"/>
        </w:rPr>
        <w:t>Coscioni</w:t>
      </w:r>
      <w:proofErr w:type="spellEnd"/>
      <w:r w:rsidRPr="00476D69">
        <w:rPr>
          <w:sz w:val="26"/>
          <w:szCs w:val="26"/>
        </w:rPr>
        <w:t xml:space="preserve"> Association for the Freedom of Scientific Research is a non-profit organization</w:t>
      </w:r>
      <w:r w:rsidR="00F4239E" w:rsidRPr="00476D69">
        <w:rPr>
          <w:sz w:val="26"/>
          <w:szCs w:val="26"/>
        </w:rPr>
        <w:t>.</w:t>
      </w:r>
      <w:r w:rsidR="00F117F9" w:rsidRPr="00476D69">
        <w:rPr>
          <w:sz w:val="26"/>
          <w:szCs w:val="26"/>
        </w:rPr>
        <w:t xml:space="preserve"> </w:t>
      </w:r>
      <w:r w:rsidRPr="00476D69">
        <w:rPr>
          <w:sz w:val="26"/>
          <w:szCs w:val="26"/>
        </w:rPr>
        <w:t xml:space="preserve">The Luca </w:t>
      </w:r>
      <w:proofErr w:type="spellStart"/>
      <w:r w:rsidRPr="00476D69">
        <w:rPr>
          <w:sz w:val="26"/>
          <w:szCs w:val="26"/>
        </w:rPr>
        <w:t>Coscioni</w:t>
      </w:r>
      <w:proofErr w:type="spellEnd"/>
      <w:r w:rsidRPr="00476D69">
        <w:rPr>
          <w:sz w:val="26"/>
          <w:szCs w:val="26"/>
        </w:rPr>
        <w:t xml:space="preserve"> Association promotes the freedom of scientific research and treatment as well as the civil and political rights of patients and people with disabilities. </w:t>
      </w:r>
    </w:p>
    <w:p w14:paraId="352EE561" w14:textId="57994B67" w:rsidR="00435C8E" w:rsidRPr="00476D69" w:rsidRDefault="00435C8E" w:rsidP="003538AB">
      <w:pPr>
        <w:numPr>
          <w:ilvl w:val="0"/>
          <w:numId w:val="1"/>
        </w:numPr>
        <w:spacing w:before="100" w:beforeAutospacing="1" w:after="100" w:afterAutospacing="1" w:line="240" w:lineRule="auto"/>
        <w:ind w:left="0" w:firstLine="720"/>
        <w:jc w:val="both"/>
        <w:rPr>
          <w:rFonts w:cstheme="minorHAnsi"/>
          <w:sz w:val="26"/>
          <w:szCs w:val="26"/>
        </w:rPr>
      </w:pPr>
      <w:r w:rsidRPr="00476D69">
        <w:rPr>
          <w:rFonts w:cstheme="minorHAnsi"/>
          <w:sz w:val="26"/>
          <w:szCs w:val="26"/>
        </w:rPr>
        <w:t>The World Congress for Freedom of Scientific Research is a permanent forum of activities to promote freedom of scientific research worldwide. Since the founding session of the Wor</w:t>
      </w:r>
      <w:r w:rsidR="00E87627" w:rsidRPr="00476D69">
        <w:rPr>
          <w:rFonts w:cstheme="minorHAnsi"/>
          <w:sz w:val="26"/>
          <w:szCs w:val="26"/>
        </w:rPr>
        <w:t>l</w:t>
      </w:r>
      <w:r w:rsidRPr="00476D69">
        <w:rPr>
          <w:rFonts w:cstheme="minorHAnsi"/>
          <w:sz w:val="26"/>
          <w:szCs w:val="26"/>
        </w:rPr>
        <w:t xml:space="preserve">d Congress, in October 2004, the Luca </w:t>
      </w:r>
      <w:proofErr w:type="spellStart"/>
      <w:r w:rsidRPr="00476D69">
        <w:rPr>
          <w:rFonts w:cstheme="minorHAnsi"/>
          <w:sz w:val="26"/>
          <w:szCs w:val="26"/>
        </w:rPr>
        <w:t>Coscioni</w:t>
      </w:r>
      <w:proofErr w:type="spellEnd"/>
      <w:r w:rsidRPr="00476D69">
        <w:rPr>
          <w:rFonts w:cstheme="minorHAnsi"/>
          <w:sz w:val="26"/>
          <w:szCs w:val="26"/>
        </w:rPr>
        <w:t xml:space="preserve"> Association </w:t>
      </w:r>
      <w:r w:rsidR="00F117F9" w:rsidRPr="00476D69">
        <w:rPr>
          <w:rFonts w:cstheme="minorHAnsi"/>
          <w:sz w:val="26"/>
          <w:szCs w:val="26"/>
        </w:rPr>
        <w:t>has been</w:t>
      </w:r>
      <w:r w:rsidRPr="00476D69">
        <w:rPr>
          <w:rFonts w:cstheme="minorHAnsi"/>
          <w:sz w:val="26"/>
          <w:szCs w:val="26"/>
        </w:rPr>
        <w:t xml:space="preserve"> the Operational Secretariat of the World Congress.</w:t>
      </w:r>
    </w:p>
    <w:p w14:paraId="63229966" w14:textId="77777777" w:rsidR="00435C8E" w:rsidRPr="00476D69" w:rsidRDefault="00435C8E" w:rsidP="003538AB">
      <w:pPr>
        <w:numPr>
          <w:ilvl w:val="0"/>
          <w:numId w:val="1"/>
        </w:numPr>
        <w:spacing w:before="100" w:beforeAutospacing="1" w:after="100" w:afterAutospacing="1" w:line="240" w:lineRule="auto"/>
        <w:ind w:left="0" w:firstLine="720"/>
        <w:jc w:val="both"/>
        <w:rPr>
          <w:rFonts w:cstheme="minorHAnsi"/>
          <w:sz w:val="26"/>
          <w:szCs w:val="26"/>
        </w:rPr>
      </w:pPr>
      <w:r w:rsidRPr="00476D69">
        <w:rPr>
          <w:rFonts w:eastAsia="Garamond" w:cstheme="minorHAnsi"/>
          <w:sz w:val="26"/>
          <w:szCs w:val="26"/>
        </w:rPr>
        <w:t>The Research and Self Determination Index</w:t>
      </w:r>
      <w:r w:rsidRPr="00476D69">
        <w:rPr>
          <w:rFonts w:eastAsia="Garamond" w:cstheme="minorHAnsi"/>
          <w:i/>
          <w:sz w:val="26"/>
          <w:szCs w:val="26"/>
        </w:rPr>
        <w:t xml:space="preserve"> </w:t>
      </w:r>
      <w:r w:rsidRPr="00476D69">
        <w:rPr>
          <w:rFonts w:eastAsia="Garamond" w:cstheme="minorHAnsi"/>
          <w:sz w:val="26"/>
          <w:szCs w:val="26"/>
        </w:rPr>
        <w:t>is one of the main projects of the World Congress for Freedom of Scientific Research.</w:t>
      </w:r>
      <w:r w:rsidRPr="00476D69">
        <w:rPr>
          <w:rFonts w:eastAsia="Garamond" w:cstheme="minorHAnsi"/>
          <w:sz w:val="26"/>
          <w:szCs w:val="26"/>
          <w:vertAlign w:val="superscript"/>
        </w:rPr>
        <w:footnoteReference w:id="5"/>
      </w:r>
      <w:r w:rsidRPr="00476D69">
        <w:rPr>
          <w:rFonts w:eastAsia="Garamond" w:cstheme="minorHAnsi"/>
          <w:sz w:val="26"/>
          <w:szCs w:val="26"/>
        </w:rPr>
        <w:t xml:space="preserve"> First published in 2014, the Index is a tool for comparative assessment of the degree to which researchers, health care professionals and patients enjoy the right to science around the globe. It measures key legal and regulatory indicators of the right to science in four areas: Assisted Reproduction Technologies (ART); research with human Embryonic Stem Cells (</w:t>
      </w:r>
      <w:proofErr w:type="spellStart"/>
      <w:r w:rsidRPr="00476D69">
        <w:rPr>
          <w:rFonts w:eastAsia="Garamond" w:cstheme="minorHAnsi"/>
          <w:sz w:val="26"/>
          <w:szCs w:val="26"/>
        </w:rPr>
        <w:t>hESC</w:t>
      </w:r>
      <w:proofErr w:type="spellEnd"/>
      <w:r w:rsidRPr="00476D69">
        <w:rPr>
          <w:rFonts w:eastAsia="Garamond" w:cstheme="minorHAnsi"/>
          <w:sz w:val="26"/>
          <w:szCs w:val="26"/>
        </w:rPr>
        <w:t xml:space="preserve">); End-of-Life decisions; and Abortion and Contraception (A&amp;C). For each indicator, points </w:t>
      </w:r>
      <w:proofErr w:type="gramStart"/>
      <w:r w:rsidRPr="00476D69">
        <w:rPr>
          <w:rFonts w:eastAsia="Garamond" w:cstheme="minorHAnsi"/>
          <w:sz w:val="26"/>
          <w:szCs w:val="26"/>
        </w:rPr>
        <w:t>are allocated</w:t>
      </w:r>
      <w:proofErr w:type="gramEnd"/>
      <w:r w:rsidRPr="00476D69">
        <w:rPr>
          <w:rFonts w:eastAsia="Garamond" w:cstheme="minorHAnsi"/>
          <w:sz w:val="26"/>
          <w:szCs w:val="26"/>
        </w:rPr>
        <w:t xml:space="preserve"> with highest score allotted to legal environments that recognize the right to science to the greatest degree.</w:t>
      </w:r>
      <w:r w:rsidRPr="00476D69">
        <w:rPr>
          <w:rFonts w:eastAsia="Garamond" w:cstheme="minorHAnsi"/>
          <w:sz w:val="26"/>
          <w:szCs w:val="26"/>
          <w:vertAlign w:val="superscript"/>
        </w:rPr>
        <w:footnoteReference w:id="6"/>
      </w:r>
      <w:r w:rsidRPr="00476D69">
        <w:rPr>
          <w:rFonts w:eastAsia="Garamond" w:cstheme="minorHAnsi"/>
          <w:sz w:val="26"/>
          <w:szCs w:val="26"/>
        </w:rPr>
        <w:t xml:space="preserve"> Currently, 46 countries </w:t>
      </w:r>
      <w:proofErr w:type="gramStart"/>
      <w:r w:rsidRPr="00476D69">
        <w:rPr>
          <w:rFonts w:eastAsia="Garamond" w:cstheme="minorHAnsi"/>
          <w:sz w:val="26"/>
          <w:szCs w:val="26"/>
        </w:rPr>
        <w:t>are indexed</w:t>
      </w:r>
      <w:proofErr w:type="gramEnd"/>
      <w:r w:rsidRPr="00476D69">
        <w:rPr>
          <w:rFonts w:eastAsia="Garamond" w:cstheme="minorHAnsi"/>
          <w:sz w:val="26"/>
          <w:szCs w:val="26"/>
        </w:rPr>
        <w:t>. At least 80% of data are complete for these countries. In particular, Estonia’s A&amp;C data is complete.</w:t>
      </w:r>
    </w:p>
    <w:p w14:paraId="4163C2C2" w14:textId="548C05BD" w:rsidR="00435C8E" w:rsidRPr="00476D69" w:rsidRDefault="00435C8E" w:rsidP="003538AB">
      <w:pPr>
        <w:numPr>
          <w:ilvl w:val="0"/>
          <w:numId w:val="1"/>
        </w:numPr>
        <w:spacing w:before="100" w:beforeAutospacing="1" w:after="100" w:afterAutospacing="1" w:line="240" w:lineRule="auto"/>
        <w:ind w:left="0" w:firstLine="720"/>
        <w:jc w:val="both"/>
        <w:rPr>
          <w:rFonts w:cstheme="minorHAnsi"/>
          <w:sz w:val="26"/>
          <w:szCs w:val="26"/>
        </w:rPr>
      </w:pPr>
      <w:r w:rsidRPr="00476D69">
        <w:rPr>
          <w:rFonts w:cstheme="minorHAnsi"/>
          <w:sz w:val="26"/>
          <w:szCs w:val="26"/>
        </w:rPr>
        <w:t>Statistics Estonia (SE) is a government agency in the area of administration of the Ministry of Finance.</w:t>
      </w:r>
      <w:r w:rsidRPr="00476D69">
        <w:rPr>
          <w:rFonts w:cstheme="minorHAnsi"/>
          <w:sz w:val="26"/>
          <w:szCs w:val="26"/>
          <w:vertAlign w:val="superscript"/>
        </w:rPr>
        <w:footnoteReference w:id="7"/>
      </w:r>
      <w:r w:rsidRPr="00476D69">
        <w:rPr>
          <w:rFonts w:cstheme="minorHAnsi"/>
          <w:sz w:val="26"/>
          <w:szCs w:val="26"/>
        </w:rPr>
        <w:t xml:space="preserve"> SE </w:t>
      </w:r>
      <w:proofErr w:type="gramStart"/>
      <w:r w:rsidRPr="00476D69">
        <w:rPr>
          <w:rFonts w:cstheme="minorHAnsi"/>
          <w:sz w:val="26"/>
          <w:szCs w:val="26"/>
        </w:rPr>
        <w:t>is tasked</w:t>
      </w:r>
      <w:proofErr w:type="gramEnd"/>
      <w:r w:rsidRPr="00476D69">
        <w:rPr>
          <w:rFonts w:cstheme="minorHAnsi"/>
          <w:sz w:val="26"/>
          <w:szCs w:val="26"/>
        </w:rPr>
        <w:t xml:space="preserve"> with providing public institutions, business and research circles, international organizations with reliable and objective information and analytical overviews.</w:t>
      </w:r>
      <w:r w:rsidRPr="00476D69">
        <w:rPr>
          <w:rFonts w:cstheme="minorHAnsi"/>
          <w:sz w:val="26"/>
          <w:szCs w:val="26"/>
          <w:vertAlign w:val="superscript"/>
        </w:rPr>
        <w:footnoteReference w:id="8"/>
      </w:r>
      <w:r w:rsidRPr="00476D69">
        <w:rPr>
          <w:rFonts w:cstheme="minorHAnsi"/>
          <w:sz w:val="26"/>
          <w:szCs w:val="26"/>
        </w:rPr>
        <w:t xml:space="preserve"> </w:t>
      </w:r>
    </w:p>
    <w:p w14:paraId="2B336B1D" w14:textId="75E39F8C" w:rsidR="00435C8E" w:rsidRPr="00476D69" w:rsidRDefault="00435C8E" w:rsidP="003538AB">
      <w:pPr>
        <w:numPr>
          <w:ilvl w:val="0"/>
          <w:numId w:val="1"/>
        </w:numPr>
        <w:spacing w:before="100" w:beforeAutospacing="1" w:after="100" w:afterAutospacing="1" w:line="240" w:lineRule="auto"/>
        <w:ind w:left="0" w:firstLine="720"/>
        <w:jc w:val="both"/>
        <w:rPr>
          <w:rFonts w:cstheme="minorHAnsi"/>
          <w:sz w:val="26"/>
          <w:szCs w:val="26"/>
        </w:rPr>
      </w:pPr>
      <w:proofErr w:type="spellStart"/>
      <w:r w:rsidRPr="00476D69">
        <w:rPr>
          <w:rFonts w:cstheme="minorHAnsi"/>
          <w:sz w:val="26"/>
          <w:szCs w:val="26"/>
        </w:rPr>
        <w:t>Eesti</w:t>
      </w:r>
      <w:proofErr w:type="spellEnd"/>
      <w:r w:rsidRPr="00476D69">
        <w:rPr>
          <w:rFonts w:cstheme="minorHAnsi"/>
          <w:sz w:val="26"/>
          <w:szCs w:val="26"/>
        </w:rPr>
        <w:t xml:space="preserve"> </w:t>
      </w:r>
      <w:proofErr w:type="spellStart"/>
      <w:r w:rsidRPr="00476D69">
        <w:rPr>
          <w:rFonts w:cstheme="minorHAnsi"/>
          <w:sz w:val="26"/>
          <w:szCs w:val="26"/>
        </w:rPr>
        <w:t>Pank</w:t>
      </w:r>
      <w:proofErr w:type="spellEnd"/>
      <w:r w:rsidRPr="00476D69">
        <w:rPr>
          <w:rFonts w:cstheme="minorHAnsi"/>
          <w:sz w:val="26"/>
          <w:szCs w:val="26"/>
        </w:rPr>
        <w:t xml:space="preserve"> is the central bank of Estonia and the primary agency</w:t>
      </w:r>
      <w:r w:rsidR="00E87627" w:rsidRPr="00476D69">
        <w:rPr>
          <w:rFonts w:cstheme="minorHAnsi"/>
          <w:sz w:val="26"/>
          <w:szCs w:val="26"/>
        </w:rPr>
        <w:t xml:space="preserve"> </w:t>
      </w:r>
      <w:r w:rsidRPr="00476D69">
        <w:rPr>
          <w:rFonts w:cstheme="minorHAnsi"/>
          <w:sz w:val="26"/>
          <w:szCs w:val="26"/>
        </w:rPr>
        <w:t>that conducts official statistics in Estonia. It is compliant with the Official Statistics Act and statistical standards of the European System of Central Banks (ESCB).</w:t>
      </w:r>
      <w:r w:rsidRPr="00476D69">
        <w:rPr>
          <w:rFonts w:cstheme="minorHAnsi"/>
          <w:sz w:val="26"/>
          <w:szCs w:val="26"/>
          <w:vertAlign w:val="superscript"/>
        </w:rPr>
        <w:footnoteReference w:id="9"/>
      </w:r>
      <w:r w:rsidRPr="00476D69">
        <w:rPr>
          <w:rFonts w:cstheme="minorHAnsi"/>
          <w:sz w:val="26"/>
          <w:szCs w:val="26"/>
        </w:rPr>
        <w:t xml:space="preserve"> </w:t>
      </w:r>
    </w:p>
    <w:p w14:paraId="6EA0FAD1" w14:textId="77777777" w:rsidR="00435C8E" w:rsidRPr="00476D69" w:rsidRDefault="00435C8E" w:rsidP="003538AB">
      <w:pPr>
        <w:numPr>
          <w:ilvl w:val="0"/>
          <w:numId w:val="1"/>
        </w:numPr>
        <w:spacing w:before="100" w:beforeAutospacing="1" w:after="100" w:afterAutospacing="1" w:line="240" w:lineRule="auto"/>
        <w:ind w:left="0" w:firstLine="720"/>
        <w:jc w:val="both"/>
        <w:rPr>
          <w:sz w:val="26"/>
          <w:szCs w:val="26"/>
        </w:rPr>
      </w:pPr>
      <w:r w:rsidRPr="00476D69">
        <w:rPr>
          <w:sz w:val="26"/>
          <w:szCs w:val="26"/>
        </w:rPr>
        <w:t>“Knowledge-Based Estonia 2007-2013” is Estonia’s research, development and innovation strategy.</w:t>
      </w:r>
      <w:r w:rsidRPr="00476D69">
        <w:rPr>
          <w:sz w:val="26"/>
          <w:szCs w:val="26"/>
          <w:vertAlign w:val="superscript"/>
        </w:rPr>
        <w:footnoteReference w:id="10"/>
      </w:r>
      <w:r w:rsidRPr="00476D69">
        <w:rPr>
          <w:sz w:val="26"/>
          <w:szCs w:val="26"/>
        </w:rPr>
        <w:t xml:space="preserve"> It launched the thematic state Research and Development </w:t>
      </w:r>
      <w:proofErr w:type="spellStart"/>
      <w:r w:rsidRPr="00476D69">
        <w:rPr>
          <w:sz w:val="26"/>
          <w:szCs w:val="26"/>
        </w:rPr>
        <w:t>programme</w:t>
      </w:r>
      <w:proofErr w:type="spellEnd"/>
      <w:r w:rsidRPr="00476D69">
        <w:rPr>
          <w:sz w:val="26"/>
          <w:szCs w:val="26"/>
        </w:rPr>
        <w:t xml:space="preserve"> </w:t>
      </w:r>
      <w:r w:rsidRPr="00476D69">
        <w:rPr>
          <w:sz w:val="26"/>
          <w:szCs w:val="26"/>
        </w:rPr>
        <w:lastRenderedPageBreak/>
        <w:t xml:space="preserve">“Estonian Biotechnology </w:t>
      </w:r>
      <w:proofErr w:type="spellStart"/>
      <w:r w:rsidRPr="00476D69">
        <w:rPr>
          <w:sz w:val="26"/>
          <w:szCs w:val="26"/>
        </w:rPr>
        <w:t>Programme</w:t>
      </w:r>
      <w:proofErr w:type="spellEnd"/>
      <w:r w:rsidRPr="00476D69">
        <w:rPr>
          <w:sz w:val="26"/>
          <w:szCs w:val="26"/>
        </w:rPr>
        <w:t xml:space="preserve"> (EBP)” to contribute to the development of biotechnology in Estonia.</w:t>
      </w:r>
      <w:r w:rsidRPr="00476D69">
        <w:rPr>
          <w:sz w:val="26"/>
          <w:szCs w:val="26"/>
          <w:vertAlign w:val="superscript"/>
        </w:rPr>
        <w:footnoteReference w:id="11"/>
      </w:r>
    </w:p>
    <w:p w14:paraId="30C3287A" w14:textId="77777777" w:rsidR="00435C8E" w:rsidRPr="00476D69" w:rsidRDefault="00435C8E" w:rsidP="00476D69">
      <w:pPr>
        <w:pStyle w:val="Heading1"/>
        <w:rPr>
          <w:sz w:val="26"/>
          <w:szCs w:val="26"/>
        </w:rPr>
      </w:pPr>
      <w:bookmarkStart w:id="3" w:name="_Toc506908270"/>
      <w:r w:rsidRPr="00476D69">
        <w:rPr>
          <w:sz w:val="26"/>
          <w:szCs w:val="26"/>
        </w:rPr>
        <w:t>BACKGROUND</w:t>
      </w:r>
      <w:bookmarkEnd w:id="3"/>
    </w:p>
    <w:p w14:paraId="49F4903C" w14:textId="224A4426"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The Republic of Estonia </w:t>
      </w:r>
      <w:r w:rsidR="00DA55A7" w:rsidRPr="00476D69">
        <w:rPr>
          <w:sz w:val="26"/>
          <w:szCs w:val="26"/>
        </w:rPr>
        <w:t xml:space="preserve">is a European country. </w:t>
      </w:r>
      <w:r w:rsidRPr="00476D69">
        <w:rPr>
          <w:sz w:val="26"/>
          <w:szCs w:val="26"/>
        </w:rPr>
        <w:t>The population of Estonia has been on the decline due to external migration and a negative natural increase.</w:t>
      </w:r>
      <w:r w:rsidRPr="00476D69">
        <w:rPr>
          <w:rStyle w:val="FootnoteReference"/>
          <w:sz w:val="26"/>
          <w:szCs w:val="26"/>
        </w:rPr>
        <w:footnoteReference w:id="12"/>
      </w:r>
      <w:r w:rsidRPr="00476D69">
        <w:rPr>
          <w:sz w:val="26"/>
          <w:szCs w:val="26"/>
        </w:rPr>
        <w:t xml:space="preserve"> In 2016, the total fertility rate based on the number of children per woman was 1.6.</w:t>
      </w:r>
      <w:r w:rsidRPr="00476D69">
        <w:rPr>
          <w:rStyle w:val="FootnoteReference"/>
          <w:sz w:val="26"/>
          <w:szCs w:val="26"/>
        </w:rPr>
        <w:footnoteReference w:id="13"/>
      </w:r>
    </w:p>
    <w:p w14:paraId="464E2550" w14:textId="0A18E1B2"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In the International Monetary Fund’s 2017 Country Report, it noted Estonia’s “sound economic and institutional fundamentals.”</w:t>
      </w:r>
      <w:r w:rsidRPr="00476D69">
        <w:rPr>
          <w:rStyle w:val="FootnoteReference"/>
          <w:sz w:val="26"/>
          <w:szCs w:val="26"/>
        </w:rPr>
        <w:footnoteReference w:id="14"/>
      </w:r>
      <w:r w:rsidRPr="00476D69">
        <w:rPr>
          <w:sz w:val="26"/>
          <w:szCs w:val="26"/>
        </w:rPr>
        <w:t xml:space="preserve"> </w:t>
      </w:r>
      <w:r w:rsidR="00E87627" w:rsidRPr="00476D69">
        <w:rPr>
          <w:sz w:val="26"/>
          <w:szCs w:val="26"/>
        </w:rPr>
        <w:t>T</w:t>
      </w:r>
      <w:r w:rsidRPr="00476D69">
        <w:rPr>
          <w:sz w:val="26"/>
          <w:szCs w:val="26"/>
        </w:rPr>
        <w:t>he IMF expected growth to reach 2.8% in 2018. The World Bank reported Estonia’s 2016 GDP as US $23.137 billion</w:t>
      </w:r>
      <w:r w:rsidR="00E87627" w:rsidRPr="00476D69">
        <w:rPr>
          <w:sz w:val="26"/>
          <w:szCs w:val="26"/>
        </w:rPr>
        <w:t>,</w:t>
      </w:r>
      <w:r w:rsidRPr="00476D69">
        <w:rPr>
          <w:sz w:val="26"/>
          <w:szCs w:val="26"/>
        </w:rPr>
        <w:t xml:space="preserve"> an increase from 2015’s GDP at US $22.46 billion.</w:t>
      </w:r>
      <w:r w:rsidRPr="00476D69">
        <w:rPr>
          <w:rStyle w:val="FootnoteReference"/>
          <w:sz w:val="26"/>
          <w:szCs w:val="26"/>
        </w:rPr>
        <w:footnoteReference w:id="15"/>
      </w:r>
      <w:r w:rsidRPr="00476D69">
        <w:rPr>
          <w:sz w:val="26"/>
          <w:szCs w:val="26"/>
        </w:rPr>
        <w:t xml:space="preserve"> According to </w:t>
      </w:r>
      <w:r w:rsidRPr="00476D69">
        <w:rPr>
          <w:i/>
          <w:sz w:val="26"/>
          <w:szCs w:val="26"/>
        </w:rPr>
        <w:t>Statistics Estonia</w:t>
      </w:r>
      <w:r w:rsidRPr="00476D69">
        <w:rPr>
          <w:sz w:val="26"/>
          <w:szCs w:val="26"/>
        </w:rPr>
        <w:t>, the expenditure on research and development (R&amp;D) in Estonia amounted to 270.3 million euros in 2016.</w:t>
      </w:r>
      <w:r w:rsidRPr="00476D69">
        <w:rPr>
          <w:rStyle w:val="FootnoteReference"/>
          <w:sz w:val="26"/>
          <w:szCs w:val="26"/>
        </w:rPr>
        <w:footnoteReference w:id="16"/>
      </w:r>
      <w:r w:rsidRPr="00476D69">
        <w:rPr>
          <w:sz w:val="26"/>
          <w:szCs w:val="26"/>
        </w:rPr>
        <w:t xml:space="preserve"> Estonia’s business R&amp;D expenditure is on an upward trend “suggesting new potential for better innovation performance.”</w:t>
      </w:r>
      <w:r w:rsidRPr="00476D69">
        <w:rPr>
          <w:rStyle w:val="FootnoteReference"/>
          <w:sz w:val="26"/>
          <w:szCs w:val="26"/>
        </w:rPr>
        <w:footnoteReference w:id="17"/>
      </w:r>
    </w:p>
    <w:p w14:paraId="3EFA4DE5" w14:textId="10039C02"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Estonia’s research, development and innovation strategy “Knowledge-Based Estonia 2007-2013” launched the Estonian Biotechnology </w:t>
      </w:r>
      <w:proofErr w:type="spellStart"/>
      <w:r w:rsidRPr="00476D69">
        <w:rPr>
          <w:sz w:val="26"/>
          <w:szCs w:val="26"/>
        </w:rPr>
        <w:t>Programme</w:t>
      </w:r>
      <w:proofErr w:type="spellEnd"/>
      <w:r w:rsidRPr="00476D69">
        <w:rPr>
          <w:sz w:val="26"/>
          <w:szCs w:val="26"/>
        </w:rPr>
        <w:t xml:space="preserve"> (EBP). EBP is a re</w:t>
      </w:r>
      <w:r w:rsidR="00A32FE9" w:rsidRPr="00476D69">
        <w:rPr>
          <w:sz w:val="26"/>
          <w:szCs w:val="26"/>
        </w:rPr>
        <w:t>search and development program</w:t>
      </w:r>
      <w:r w:rsidRPr="00476D69">
        <w:rPr>
          <w:sz w:val="26"/>
          <w:szCs w:val="26"/>
        </w:rPr>
        <w:t xml:space="preserve"> designed to contribute to the development of biotechnology in Estonia. </w:t>
      </w:r>
    </w:p>
    <w:p w14:paraId="238B303F" w14:textId="62F4F543"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Estonia’s</w:t>
      </w:r>
      <w:r w:rsidR="00E87627" w:rsidRPr="00476D69">
        <w:rPr>
          <w:sz w:val="26"/>
          <w:szCs w:val="26"/>
        </w:rPr>
        <w:t xml:space="preserve"> </w:t>
      </w:r>
      <w:r w:rsidRPr="00476D69">
        <w:rPr>
          <w:sz w:val="26"/>
          <w:szCs w:val="26"/>
        </w:rPr>
        <w:t>agricultural field incorporates animal breeding.</w:t>
      </w:r>
      <w:r w:rsidRPr="00476D69">
        <w:rPr>
          <w:rStyle w:val="FootnoteReference"/>
          <w:sz w:val="26"/>
          <w:szCs w:val="26"/>
        </w:rPr>
        <w:footnoteReference w:id="18"/>
      </w:r>
      <w:r w:rsidRPr="00476D69">
        <w:rPr>
          <w:sz w:val="26"/>
          <w:szCs w:val="26"/>
        </w:rPr>
        <w:t xml:space="preserve"> Because animal reproductive </w:t>
      </w:r>
      <w:proofErr w:type="gramStart"/>
      <w:r w:rsidRPr="00476D69">
        <w:rPr>
          <w:sz w:val="26"/>
          <w:szCs w:val="26"/>
        </w:rPr>
        <w:t>medicine  continue</w:t>
      </w:r>
      <w:proofErr w:type="gramEnd"/>
      <w:r w:rsidRPr="00476D69">
        <w:rPr>
          <w:sz w:val="26"/>
          <w:szCs w:val="26"/>
        </w:rPr>
        <w:t xml:space="preserve"> to advance the field, the “most important biotechnology techniques include: [DNA] marker assisted selection, cloning and the production of the transgenic animals.”</w:t>
      </w:r>
      <w:r w:rsidRPr="00476D69">
        <w:rPr>
          <w:rStyle w:val="FootnoteReference"/>
          <w:sz w:val="26"/>
          <w:szCs w:val="26"/>
        </w:rPr>
        <w:footnoteReference w:id="19"/>
      </w:r>
      <w:r w:rsidRPr="00476D69">
        <w:rPr>
          <w:sz w:val="26"/>
          <w:szCs w:val="26"/>
        </w:rPr>
        <w:t xml:space="preserve"> Notably, the EBP recognizes that “the greatest part of the transgenic animal research for the commercial use is in the field of human medicine, for the production of drugs.”</w:t>
      </w:r>
      <w:r w:rsidRPr="00476D69">
        <w:rPr>
          <w:rStyle w:val="FootnoteReference"/>
          <w:sz w:val="26"/>
          <w:szCs w:val="26"/>
        </w:rPr>
        <w:footnoteReference w:id="20"/>
      </w:r>
      <w:r w:rsidRPr="00476D69">
        <w:rPr>
          <w:sz w:val="26"/>
          <w:szCs w:val="26"/>
        </w:rPr>
        <w:t xml:space="preserve"> According to the EBP, Estonia’s potential for future progress and implementation existed in the following products and services: artificial insemination stations, import &amp; export of the semen of genetically improved breeds, as well as semen and embryo banks of the </w:t>
      </w:r>
      <w:r w:rsidRPr="00476D69">
        <w:rPr>
          <w:sz w:val="26"/>
          <w:szCs w:val="26"/>
        </w:rPr>
        <w:lastRenderedPageBreak/>
        <w:t>Estonian breeds.</w:t>
      </w:r>
      <w:r w:rsidRPr="00476D69">
        <w:rPr>
          <w:rStyle w:val="FootnoteReference"/>
          <w:sz w:val="26"/>
          <w:szCs w:val="26"/>
        </w:rPr>
        <w:footnoteReference w:id="21"/>
      </w:r>
      <w:r w:rsidRPr="00476D69">
        <w:rPr>
          <w:sz w:val="26"/>
          <w:szCs w:val="26"/>
        </w:rPr>
        <w:t xml:space="preserve"> Estonia’s reproductive medicine research projects “are concerned with the development of the fertility monitoring tests, reproductive pathologies and cloning technologies.”</w:t>
      </w:r>
      <w:r w:rsidRPr="00476D69">
        <w:rPr>
          <w:rStyle w:val="FootnoteReference"/>
          <w:sz w:val="26"/>
          <w:szCs w:val="26"/>
        </w:rPr>
        <w:footnoteReference w:id="22"/>
      </w:r>
      <w:r w:rsidRPr="00476D69">
        <w:rPr>
          <w:sz w:val="26"/>
          <w:szCs w:val="26"/>
        </w:rPr>
        <w:t xml:space="preserve"> </w:t>
      </w:r>
    </w:p>
    <w:p w14:paraId="2DC6A380" w14:textId="04E06715"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The EBP notes that the demand for human </w:t>
      </w:r>
      <w:r w:rsidRPr="00476D69">
        <w:rPr>
          <w:i/>
          <w:sz w:val="26"/>
          <w:szCs w:val="26"/>
        </w:rPr>
        <w:t>in vitro</w:t>
      </w:r>
      <w:r w:rsidRPr="00476D69">
        <w:rPr>
          <w:sz w:val="26"/>
          <w:szCs w:val="26"/>
        </w:rPr>
        <w:t xml:space="preserve"> fertilization (IVF) treatment has risen over the past three decades.</w:t>
      </w:r>
      <w:r w:rsidRPr="00476D69">
        <w:rPr>
          <w:rStyle w:val="FootnoteReference"/>
          <w:sz w:val="26"/>
          <w:szCs w:val="26"/>
        </w:rPr>
        <w:footnoteReference w:id="23"/>
      </w:r>
      <w:r w:rsidRPr="00476D69">
        <w:rPr>
          <w:sz w:val="26"/>
          <w:szCs w:val="26"/>
        </w:rPr>
        <w:t xml:space="preserve"> It consequently recognizes the “opportunity to increase the size of the IVF market by including homosexual couples and single mothers.”</w:t>
      </w:r>
      <w:r w:rsidRPr="00476D69">
        <w:rPr>
          <w:rStyle w:val="FootnoteReference"/>
          <w:sz w:val="26"/>
          <w:szCs w:val="26"/>
        </w:rPr>
        <w:footnoteReference w:id="24"/>
      </w:r>
      <w:r w:rsidRPr="00476D69">
        <w:rPr>
          <w:sz w:val="26"/>
          <w:szCs w:val="26"/>
        </w:rPr>
        <w:t xml:space="preserve"> According to the EBP, “[a]</w:t>
      </w:r>
      <w:proofErr w:type="spellStart"/>
      <w:r w:rsidRPr="00476D69">
        <w:rPr>
          <w:sz w:val="26"/>
          <w:szCs w:val="26"/>
        </w:rPr>
        <w:t>lmost</w:t>
      </w:r>
      <w:proofErr w:type="spellEnd"/>
      <w:r w:rsidRPr="00476D69">
        <w:rPr>
          <w:sz w:val="26"/>
          <w:szCs w:val="26"/>
        </w:rPr>
        <w:t xml:space="preserve"> two-thirds of [ovary simulation] cycles are still performed with fresh, as opposed to frozen embryos.”</w:t>
      </w:r>
      <w:r w:rsidRPr="00476D69">
        <w:rPr>
          <w:rStyle w:val="FootnoteReference"/>
          <w:sz w:val="26"/>
          <w:szCs w:val="26"/>
        </w:rPr>
        <w:footnoteReference w:id="25"/>
      </w:r>
      <w:r w:rsidRPr="00476D69">
        <w:rPr>
          <w:sz w:val="26"/>
          <w:szCs w:val="26"/>
        </w:rPr>
        <w:t xml:space="preserve"> While techniques of preserving embryos continue to improve, country-specific regulation against cryopreservation is a perceived threat to this [global] market.</w:t>
      </w:r>
      <w:r w:rsidRPr="00476D69">
        <w:rPr>
          <w:rStyle w:val="FootnoteReference"/>
          <w:sz w:val="26"/>
          <w:szCs w:val="26"/>
        </w:rPr>
        <w:footnoteReference w:id="26"/>
      </w:r>
      <w:r w:rsidRPr="00476D69">
        <w:rPr>
          <w:sz w:val="26"/>
          <w:szCs w:val="26"/>
        </w:rPr>
        <w:t xml:space="preserve"> Ultimately, the EBP emphasizes the “niche opportunity around reproductive medicine to explore further under a [regional] market” that includes Estonia.</w:t>
      </w:r>
      <w:r w:rsidRPr="00476D69">
        <w:rPr>
          <w:rStyle w:val="FootnoteReference"/>
          <w:sz w:val="26"/>
          <w:szCs w:val="26"/>
        </w:rPr>
        <w:footnoteReference w:id="27"/>
      </w:r>
    </w:p>
    <w:p w14:paraId="387B2B55" w14:textId="0F19F198"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The EBP identified Estonia’s strengths in biomedicine including two state-of-the-art international research </w:t>
      </w:r>
      <w:proofErr w:type="spellStart"/>
      <w:r w:rsidRPr="00476D69">
        <w:rPr>
          <w:sz w:val="26"/>
          <w:szCs w:val="26"/>
        </w:rPr>
        <w:t>centres</w:t>
      </w:r>
      <w:proofErr w:type="spellEnd"/>
      <w:r w:rsidRPr="00476D69">
        <w:rPr>
          <w:sz w:val="26"/>
          <w:szCs w:val="26"/>
        </w:rPr>
        <w:t xml:space="preserve"> engaged in industry-leading research and two Competence </w:t>
      </w:r>
      <w:proofErr w:type="spellStart"/>
      <w:r w:rsidRPr="00476D69">
        <w:rPr>
          <w:sz w:val="26"/>
          <w:szCs w:val="26"/>
        </w:rPr>
        <w:t>Centres</w:t>
      </w:r>
      <w:proofErr w:type="spellEnd"/>
      <w:r w:rsidRPr="00476D69">
        <w:rPr>
          <w:sz w:val="26"/>
          <w:szCs w:val="26"/>
        </w:rPr>
        <w:t xml:space="preserve"> that are engaged in industrial research proceeding from the Estonian companies’ interests.</w:t>
      </w:r>
      <w:r w:rsidRPr="00476D69">
        <w:rPr>
          <w:rStyle w:val="FootnoteReference"/>
          <w:sz w:val="26"/>
          <w:szCs w:val="26"/>
        </w:rPr>
        <w:footnoteReference w:id="28"/>
      </w:r>
      <w:r w:rsidRPr="00476D69">
        <w:rPr>
          <w:sz w:val="26"/>
          <w:szCs w:val="26"/>
        </w:rPr>
        <w:t xml:space="preserve"> Furthermore, as another strength, it acknowledged that Estonia is home to “researchers recognized on a high international level and their research groups.”</w:t>
      </w:r>
      <w:r w:rsidRPr="00476D69">
        <w:rPr>
          <w:rStyle w:val="FootnoteReference"/>
          <w:sz w:val="26"/>
          <w:szCs w:val="26"/>
        </w:rPr>
        <w:footnoteReference w:id="29"/>
      </w:r>
    </w:p>
    <w:p w14:paraId="683A40CE"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EBP, however, also identified three weakness areas: small number of patent applications and specific patent knowledge, lack of venture capital targeted at biomedicine, and small size of companies and limited material resources.</w:t>
      </w:r>
      <w:r w:rsidRPr="00476D69">
        <w:rPr>
          <w:rStyle w:val="FootnoteReference"/>
          <w:sz w:val="26"/>
          <w:szCs w:val="26"/>
        </w:rPr>
        <w:footnoteReference w:id="30"/>
      </w:r>
    </w:p>
    <w:p w14:paraId="122ECA2A" w14:textId="2B869531" w:rsidR="00435C8E" w:rsidRPr="00476D69" w:rsidRDefault="00435C8E" w:rsidP="007A6A62">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Estonia maintains a well-established economy, continued investment in research and development, and a renowned presence in the fields of biomedicine and biotechnology. Yet, its unseized opportunities in fields such as human embryonic stem cell research, artificial reproductive technologies, and reproductive medicines hinder its development. Because of Estonia’s reluctance to pursue such scientific fields, it is unable </w:t>
      </w:r>
      <w:proofErr w:type="gramStart"/>
      <w:r w:rsidRPr="00476D69">
        <w:rPr>
          <w:sz w:val="26"/>
          <w:szCs w:val="26"/>
        </w:rPr>
        <w:t>to adequately take</w:t>
      </w:r>
      <w:proofErr w:type="gramEnd"/>
      <w:r w:rsidRPr="00476D69">
        <w:rPr>
          <w:sz w:val="26"/>
          <w:szCs w:val="26"/>
        </w:rPr>
        <w:t xml:space="preserve"> the steps “necessary for the conservation, the development and the diffusion of science and culture.”</w:t>
      </w:r>
      <w:r w:rsidRPr="00476D69">
        <w:rPr>
          <w:rStyle w:val="FootnoteReference"/>
          <w:sz w:val="26"/>
          <w:szCs w:val="26"/>
        </w:rPr>
        <w:footnoteReference w:id="31"/>
      </w:r>
      <w:r w:rsidRPr="00476D69">
        <w:rPr>
          <w:sz w:val="26"/>
          <w:szCs w:val="26"/>
        </w:rPr>
        <w:t xml:space="preserve">Although this Committee as well as the Committee on Elimination of Discrimination against Women persistently urges Estonia to address accessibility to contraception among rural women and teenagers, Estonia’s country report remains silent on these issues. </w:t>
      </w:r>
    </w:p>
    <w:p w14:paraId="280E6635" w14:textId="224DE7B2" w:rsidR="00D04546"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lastRenderedPageBreak/>
        <w:t>This Report is a tool for this Honorable Committee to employ in identifying gaps in Estonia’s attempt to fulfill its obligations under the Covenant.</w:t>
      </w:r>
      <w:r w:rsidRPr="00476D69">
        <w:rPr>
          <w:rStyle w:val="FootnoteReference"/>
          <w:sz w:val="26"/>
          <w:szCs w:val="26"/>
        </w:rPr>
        <w:footnoteReference w:id="32"/>
      </w:r>
    </w:p>
    <w:p w14:paraId="4B73B487" w14:textId="77777777" w:rsidR="00435C8E" w:rsidRPr="00476D69" w:rsidRDefault="00435C8E" w:rsidP="00476D69">
      <w:pPr>
        <w:pStyle w:val="Heading1"/>
        <w:rPr>
          <w:sz w:val="26"/>
          <w:szCs w:val="26"/>
        </w:rPr>
      </w:pPr>
      <w:bookmarkStart w:id="4" w:name="_Toc506908271"/>
      <w:r w:rsidRPr="00476D69">
        <w:rPr>
          <w:sz w:val="26"/>
          <w:szCs w:val="26"/>
        </w:rPr>
        <w:t>RESEARCH WITH HUMAN EMBRYONIC STEM CELLS (</w:t>
      </w:r>
      <w:proofErr w:type="spellStart"/>
      <w:r w:rsidRPr="00476D69">
        <w:rPr>
          <w:sz w:val="26"/>
          <w:szCs w:val="26"/>
        </w:rPr>
        <w:t>hESC</w:t>
      </w:r>
      <w:proofErr w:type="spellEnd"/>
      <w:r w:rsidRPr="00476D69">
        <w:rPr>
          <w:sz w:val="26"/>
          <w:szCs w:val="26"/>
        </w:rPr>
        <w:t>)</w:t>
      </w:r>
      <w:bookmarkEnd w:id="4"/>
    </w:p>
    <w:p w14:paraId="30E17E81" w14:textId="77777777" w:rsidR="00435C8E" w:rsidRPr="00476D69" w:rsidRDefault="00435C8E" w:rsidP="001C251D">
      <w:pPr>
        <w:pStyle w:val="Heading2"/>
        <w:spacing w:line="240" w:lineRule="auto"/>
        <w:ind w:firstLine="720"/>
        <w:rPr>
          <w:sz w:val="26"/>
          <w:szCs w:val="26"/>
        </w:rPr>
      </w:pPr>
      <w:bookmarkStart w:id="5" w:name="_Toc506908272"/>
      <w:r w:rsidRPr="00476D69">
        <w:rPr>
          <w:sz w:val="26"/>
          <w:szCs w:val="26"/>
        </w:rPr>
        <w:t>Research with human embryonic stem cells (</w:t>
      </w:r>
      <w:proofErr w:type="spellStart"/>
      <w:r w:rsidRPr="00476D69">
        <w:rPr>
          <w:sz w:val="26"/>
          <w:szCs w:val="26"/>
        </w:rPr>
        <w:t>hESC</w:t>
      </w:r>
      <w:proofErr w:type="spellEnd"/>
      <w:r w:rsidRPr="00476D69">
        <w:rPr>
          <w:sz w:val="26"/>
          <w:szCs w:val="26"/>
        </w:rPr>
        <w:t>) in Estonia</w:t>
      </w:r>
      <w:bookmarkEnd w:id="5"/>
    </w:p>
    <w:p w14:paraId="55BEDE13" w14:textId="33AF8184"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In comparison to other countries that have adopted public policies on embryonic, stem cell, and cloning research, Estonia is re</w:t>
      </w:r>
      <w:r w:rsidR="00E87627" w:rsidRPr="00476D69">
        <w:rPr>
          <w:sz w:val="26"/>
          <w:szCs w:val="26"/>
        </w:rPr>
        <w:t>latively</w:t>
      </w:r>
      <w:r w:rsidRPr="00476D69">
        <w:rPr>
          <w:sz w:val="26"/>
          <w:szCs w:val="26"/>
        </w:rPr>
        <w:t xml:space="preserve"> intermediate.</w:t>
      </w:r>
      <w:r w:rsidRPr="00476D69">
        <w:rPr>
          <w:rStyle w:val="FootnoteReference"/>
          <w:sz w:val="26"/>
          <w:szCs w:val="26"/>
        </w:rPr>
        <w:footnoteReference w:id="33"/>
      </w:r>
      <w:r w:rsidRPr="00476D69">
        <w:rPr>
          <w:sz w:val="26"/>
          <w:szCs w:val="26"/>
        </w:rPr>
        <w:t xml:space="preserve"> Estonia’s adopted policies allow research on human gametes, embryos, and supernumerary embryos as well as the procurement of </w:t>
      </w:r>
      <w:proofErr w:type="spellStart"/>
      <w:r w:rsidRPr="00476D69">
        <w:rPr>
          <w:sz w:val="26"/>
          <w:szCs w:val="26"/>
        </w:rPr>
        <w:t>hESC</w:t>
      </w:r>
      <w:proofErr w:type="spellEnd"/>
      <w:r w:rsidRPr="00476D69">
        <w:rPr>
          <w:sz w:val="26"/>
          <w:szCs w:val="26"/>
        </w:rPr>
        <w:t xml:space="preserve"> lines. Human embryonic research, however, </w:t>
      </w:r>
      <w:proofErr w:type="gramStart"/>
      <w:r w:rsidRPr="00476D69">
        <w:rPr>
          <w:sz w:val="26"/>
          <w:szCs w:val="26"/>
        </w:rPr>
        <w:t>is only permitted</w:t>
      </w:r>
      <w:proofErr w:type="gramEnd"/>
      <w:r w:rsidRPr="00476D69">
        <w:rPr>
          <w:sz w:val="26"/>
          <w:szCs w:val="26"/>
        </w:rPr>
        <w:t xml:space="preserve"> when approved by one of the two Committees of Bioethics.</w:t>
      </w:r>
      <w:r w:rsidRPr="00476D69">
        <w:rPr>
          <w:rStyle w:val="FootnoteReference"/>
          <w:sz w:val="26"/>
          <w:szCs w:val="26"/>
        </w:rPr>
        <w:footnoteReference w:id="34"/>
      </w:r>
      <w:r w:rsidRPr="00476D69">
        <w:rPr>
          <w:sz w:val="26"/>
          <w:szCs w:val="26"/>
        </w:rPr>
        <w:t xml:space="preserve"> Yet, Estonia lacks any specific law that regulates the research on human stem cells. </w:t>
      </w:r>
    </w:p>
    <w:p w14:paraId="3AE82EEE" w14:textId="6ACA8524" w:rsidR="00435C8E" w:rsidRPr="00476D69" w:rsidRDefault="00435C8E" w:rsidP="00AB1CF7">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Estonia’s policy on the research of </w:t>
      </w:r>
      <w:proofErr w:type="spellStart"/>
      <w:r w:rsidRPr="00476D69">
        <w:rPr>
          <w:sz w:val="26"/>
          <w:szCs w:val="26"/>
        </w:rPr>
        <w:t>hESC</w:t>
      </w:r>
      <w:proofErr w:type="spellEnd"/>
      <w:r w:rsidRPr="00476D69">
        <w:rPr>
          <w:sz w:val="26"/>
          <w:szCs w:val="26"/>
        </w:rPr>
        <w:t xml:space="preserve"> follows the subsidiarity principle where “research on embryos should only be conducted if no suitable alternatives exist.”</w:t>
      </w:r>
      <w:r w:rsidRPr="00476D69">
        <w:rPr>
          <w:rStyle w:val="FootnoteReference"/>
          <w:sz w:val="26"/>
          <w:szCs w:val="26"/>
        </w:rPr>
        <w:footnoteReference w:id="35"/>
      </w:r>
      <w:r w:rsidRPr="00476D69">
        <w:rPr>
          <w:sz w:val="26"/>
          <w:szCs w:val="26"/>
        </w:rPr>
        <w:t xml:space="preserve"> The term “suitable alternatives”, derived from the subsidiarity principle, implies that stem cell research operates within a moral hierarchy. In other words, “research should first be done on animal material; [then] adult stem cells should be used before embryonic stem cells; [next] affected or at-risk embryos should be used before healthy embryos; and supernumerary embryos should be used before research embryos are created.”</w:t>
      </w:r>
      <w:r w:rsidRPr="00476D69">
        <w:rPr>
          <w:rStyle w:val="FootnoteReference"/>
          <w:sz w:val="26"/>
          <w:szCs w:val="26"/>
        </w:rPr>
        <w:footnoteReference w:id="36"/>
      </w:r>
      <w:r w:rsidRPr="00476D69">
        <w:rPr>
          <w:sz w:val="26"/>
          <w:szCs w:val="26"/>
        </w:rPr>
        <w:t xml:space="preserve"> This hierarchy </w:t>
      </w:r>
      <w:proofErr w:type="gramStart"/>
      <w:r w:rsidRPr="00476D69">
        <w:rPr>
          <w:sz w:val="26"/>
          <w:szCs w:val="26"/>
        </w:rPr>
        <w:t>is demonstrated</w:t>
      </w:r>
      <w:proofErr w:type="gramEnd"/>
      <w:r w:rsidRPr="00476D69">
        <w:rPr>
          <w:sz w:val="26"/>
          <w:szCs w:val="26"/>
        </w:rPr>
        <w:t xml:space="preserve"> by Estonia’s robust investment in animal reproductive medicine and research on cattle cloning, diagnostics, genetics and bioinformatics.</w:t>
      </w:r>
      <w:r w:rsidRPr="00476D69">
        <w:rPr>
          <w:rStyle w:val="FootnoteReference"/>
          <w:sz w:val="26"/>
          <w:szCs w:val="26"/>
        </w:rPr>
        <w:footnoteReference w:id="37"/>
      </w:r>
      <w:r w:rsidRPr="00476D69">
        <w:rPr>
          <w:sz w:val="26"/>
          <w:szCs w:val="26"/>
        </w:rPr>
        <w:t xml:space="preserve"> Only cryopreserved, supernumerary embryos that have exhausted their use to </w:t>
      </w:r>
      <w:proofErr w:type="gramStart"/>
      <w:r w:rsidRPr="00476D69">
        <w:rPr>
          <w:sz w:val="26"/>
          <w:szCs w:val="26"/>
        </w:rPr>
        <w:t>be transferred</w:t>
      </w:r>
      <w:proofErr w:type="gramEnd"/>
      <w:r w:rsidRPr="00476D69">
        <w:rPr>
          <w:sz w:val="26"/>
          <w:szCs w:val="26"/>
        </w:rPr>
        <w:t xml:space="preserve"> to a woman may be used for scientific research.</w:t>
      </w:r>
      <w:r w:rsidRPr="00476D69">
        <w:rPr>
          <w:rStyle w:val="FootnoteReference"/>
          <w:sz w:val="26"/>
          <w:szCs w:val="26"/>
        </w:rPr>
        <w:footnoteReference w:id="38"/>
      </w:r>
      <w:r w:rsidRPr="00476D69">
        <w:rPr>
          <w:sz w:val="26"/>
          <w:szCs w:val="26"/>
        </w:rPr>
        <w:t xml:space="preserve"> </w:t>
      </w:r>
    </w:p>
    <w:p w14:paraId="785D43F6" w14:textId="21CCBE0D" w:rsidR="00435C8E" w:rsidRPr="00476D69" w:rsidRDefault="00CC1BE4"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w:t>
      </w:r>
      <w:r w:rsidR="00435C8E" w:rsidRPr="00476D69">
        <w:rPr>
          <w:sz w:val="26"/>
          <w:szCs w:val="26"/>
        </w:rPr>
        <w:t>he European Commission</w:t>
      </w:r>
      <w:r w:rsidRPr="00476D69">
        <w:rPr>
          <w:sz w:val="26"/>
          <w:szCs w:val="26"/>
        </w:rPr>
        <w:t xml:space="preserve"> has</w:t>
      </w:r>
      <w:r w:rsidR="00435C8E" w:rsidRPr="00476D69">
        <w:rPr>
          <w:sz w:val="26"/>
          <w:szCs w:val="26"/>
        </w:rPr>
        <w:t xml:space="preserve"> highlighted the benefits of </w:t>
      </w:r>
      <w:proofErr w:type="spellStart"/>
      <w:r w:rsidR="00435C8E" w:rsidRPr="00476D69">
        <w:rPr>
          <w:sz w:val="26"/>
          <w:szCs w:val="26"/>
        </w:rPr>
        <w:t>hESC</w:t>
      </w:r>
      <w:proofErr w:type="spellEnd"/>
      <w:r w:rsidR="00435C8E" w:rsidRPr="00476D69">
        <w:rPr>
          <w:sz w:val="26"/>
          <w:szCs w:val="26"/>
        </w:rPr>
        <w:t>.</w:t>
      </w:r>
      <w:r w:rsidR="00435C8E" w:rsidRPr="00476D69">
        <w:rPr>
          <w:rStyle w:val="FootnoteReference"/>
          <w:sz w:val="26"/>
          <w:szCs w:val="26"/>
        </w:rPr>
        <w:footnoteReference w:id="39"/>
      </w:r>
      <w:r w:rsidR="00435C8E" w:rsidRPr="00476D69">
        <w:rPr>
          <w:sz w:val="26"/>
          <w:szCs w:val="26"/>
        </w:rPr>
        <w:t xml:space="preserve"> “Human embryonic stem cell (</w:t>
      </w:r>
      <w:proofErr w:type="spellStart"/>
      <w:r w:rsidR="00435C8E" w:rsidRPr="00476D69">
        <w:rPr>
          <w:sz w:val="26"/>
          <w:szCs w:val="26"/>
        </w:rPr>
        <w:t>hESC</w:t>
      </w:r>
      <w:proofErr w:type="spellEnd"/>
      <w:r w:rsidR="00435C8E" w:rsidRPr="00476D69">
        <w:rPr>
          <w:sz w:val="26"/>
          <w:szCs w:val="26"/>
        </w:rPr>
        <w:t>) research has the potential to contribute to the next generation of healthcare by offering treatments or possible cures for untreatable and/or life-threatening diseases . . . stem cells are also used to screen new drugs to decrease their risk of toxicity and to advance pharmaceutical research.</w:t>
      </w:r>
      <w:r w:rsidR="00144411" w:rsidRPr="00476D69">
        <w:rPr>
          <w:sz w:val="26"/>
          <w:szCs w:val="26"/>
        </w:rPr>
        <w:t>”</w:t>
      </w:r>
    </w:p>
    <w:p w14:paraId="2D053CF7" w14:textId="6157D030"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lastRenderedPageBreak/>
        <w:t xml:space="preserve">Notwithstanding the incredible benefit derived from research utilizing </w:t>
      </w:r>
      <w:proofErr w:type="spellStart"/>
      <w:r w:rsidRPr="00476D69">
        <w:rPr>
          <w:sz w:val="26"/>
          <w:szCs w:val="26"/>
        </w:rPr>
        <w:t>hESC</w:t>
      </w:r>
      <w:proofErr w:type="spellEnd"/>
      <w:r w:rsidRPr="00476D69">
        <w:rPr>
          <w:sz w:val="26"/>
          <w:szCs w:val="26"/>
        </w:rPr>
        <w:t xml:space="preserve"> and iPSC, the Commission’s conclusion aligns with the subsidiarity principle and implies that such research currently outweighs any ethical dilemma. </w:t>
      </w:r>
    </w:p>
    <w:p w14:paraId="3D00884D" w14:textId="77777777" w:rsidR="009B60BE" w:rsidRPr="00476D69" w:rsidRDefault="00435C8E" w:rsidP="001C251D">
      <w:pPr>
        <w:pStyle w:val="Heading2"/>
        <w:spacing w:line="240" w:lineRule="auto"/>
        <w:ind w:firstLine="720"/>
        <w:rPr>
          <w:sz w:val="26"/>
          <w:szCs w:val="26"/>
        </w:rPr>
      </w:pPr>
      <w:bookmarkStart w:id="7" w:name="_Toc506908273"/>
      <w:r w:rsidRPr="00476D69">
        <w:rPr>
          <w:sz w:val="26"/>
          <w:szCs w:val="26"/>
        </w:rPr>
        <w:t>Analysis:</w:t>
      </w:r>
      <w:r w:rsidR="00E93DAF" w:rsidRPr="00476D69">
        <w:rPr>
          <w:sz w:val="26"/>
          <w:szCs w:val="26"/>
        </w:rPr>
        <w:t xml:space="preserve"> </w:t>
      </w:r>
      <w:r w:rsidR="00171673" w:rsidRPr="00476D69">
        <w:rPr>
          <w:sz w:val="26"/>
          <w:szCs w:val="26"/>
        </w:rPr>
        <w:t xml:space="preserve">To What Extent are Estonia’s Laws and Practices with regard to </w:t>
      </w:r>
      <w:proofErr w:type="spellStart"/>
      <w:r w:rsidR="00171673" w:rsidRPr="00476D69">
        <w:rPr>
          <w:sz w:val="26"/>
          <w:szCs w:val="26"/>
        </w:rPr>
        <w:t>hESC</w:t>
      </w:r>
      <w:proofErr w:type="spellEnd"/>
      <w:r w:rsidR="00171673" w:rsidRPr="00476D69">
        <w:rPr>
          <w:sz w:val="26"/>
          <w:szCs w:val="26"/>
        </w:rPr>
        <w:t xml:space="preserve"> Compatible with the Covenant?</w:t>
      </w:r>
      <w:bookmarkEnd w:id="7"/>
    </w:p>
    <w:p w14:paraId="5879D121" w14:textId="6A71FA9B" w:rsidR="00435C8E" w:rsidRPr="00476D69" w:rsidRDefault="008C4963"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Estonia’s performance</w:t>
      </w:r>
      <w:r w:rsidR="00222DBD" w:rsidRPr="00476D69">
        <w:rPr>
          <w:sz w:val="26"/>
          <w:szCs w:val="26"/>
        </w:rPr>
        <w:t xml:space="preserve"> under the Covenant</w:t>
      </w:r>
      <w:r w:rsidRPr="00476D69">
        <w:rPr>
          <w:sz w:val="26"/>
          <w:szCs w:val="26"/>
        </w:rPr>
        <w:t xml:space="preserve"> still falls short in certain aspects. Article 15(1) of the Covenant mandates that all States which </w:t>
      </w:r>
      <w:proofErr w:type="gramStart"/>
      <w:r w:rsidRPr="00476D69">
        <w:rPr>
          <w:sz w:val="26"/>
          <w:szCs w:val="26"/>
        </w:rPr>
        <w:t>are party to CESCR</w:t>
      </w:r>
      <w:proofErr w:type="gramEnd"/>
      <w:r w:rsidRPr="00476D69">
        <w:rPr>
          <w:sz w:val="26"/>
          <w:szCs w:val="26"/>
        </w:rPr>
        <w:t xml:space="preserve"> must recognize the right of everyone “to take part in cultural life; to enjoy the benefits of scientific progress and its applications.”</w:t>
      </w:r>
      <w:r w:rsidR="00435C8E" w:rsidRPr="00476D69">
        <w:rPr>
          <w:rStyle w:val="FootnoteReference"/>
          <w:sz w:val="26"/>
          <w:szCs w:val="26"/>
        </w:rPr>
        <w:footnoteReference w:id="40"/>
      </w:r>
      <w:r w:rsidRPr="00476D69">
        <w:rPr>
          <w:sz w:val="26"/>
          <w:szCs w:val="26"/>
        </w:rPr>
        <w:t xml:space="preserve"> </w:t>
      </w:r>
    </w:p>
    <w:p w14:paraId="5458D30D" w14:textId="2177C710" w:rsidR="002A0902" w:rsidRPr="00476D69" w:rsidRDefault="002A0902"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According to the 2009 “Venice Statement on the Right to Enjoy the Benefits of Scientific Progress and its Applications” (“Venice Statement”)</w:t>
      </w:r>
      <w:r w:rsidR="00035775" w:rsidRPr="00476D69">
        <w:rPr>
          <w:sz w:val="26"/>
          <w:szCs w:val="26"/>
        </w:rPr>
        <w:t>,</w:t>
      </w:r>
      <w:r w:rsidRPr="00476D69">
        <w:rPr>
          <w:sz w:val="26"/>
          <w:szCs w:val="26"/>
        </w:rPr>
        <w:t xml:space="preserve"> States have a duty “to respect the freedoms indispensable for scientific research and creative activity”</w:t>
      </w:r>
      <w:r w:rsidRPr="00476D69">
        <w:rPr>
          <w:rStyle w:val="FootnoteReference"/>
          <w:sz w:val="26"/>
          <w:szCs w:val="26"/>
        </w:rPr>
        <w:footnoteReference w:id="41"/>
      </w:r>
      <w:r w:rsidRPr="00476D69">
        <w:rPr>
          <w:sz w:val="26"/>
          <w:szCs w:val="26"/>
        </w:rPr>
        <w:t xml:space="preserve"> </w:t>
      </w:r>
    </w:p>
    <w:p w14:paraId="6EA5816C" w14:textId="0B1C6C3C"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In her </w:t>
      </w:r>
      <w:r w:rsidRPr="00476D69">
        <w:rPr>
          <w:i/>
          <w:sz w:val="26"/>
          <w:szCs w:val="26"/>
        </w:rPr>
        <w:t>Report of the Special Rapporteur in the field of cultural rights</w:t>
      </w:r>
      <w:r w:rsidRPr="00476D69">
        <w:rPr>
          <w:sz w:val="26"/>
          <w:szCs w:val="26"/>
        </w:rPr>
        <w:t>, Farida Shaheed identified four general obligations under “the right to enjoy the benefits of scientific progress and its applications.” (1) access to the benefits of science by everyone, without discrimination; (2) opportunities for all to contribute to the scientific enterprise and freedom indispensable for scientific research; (3) participation of individuals and communities in decision-making; and (4) an enabling environment fostering the conservation, development and diffusion of science and technology.</w:t>
      </w:r>
      <w:r w:rsidRPr="00476D69">
        <w:rPr>
          <w:rStyle w:val="FootnoteReference"/>
          <w:sz w:val="26"/>
          <w:szCs w:val="26"/>
        </w:rPr>
        <w:footnoteReference w:id="42"/>
      </w:r>
      <w:r w:rsidRPr="00476D69">
        <w:rPr>
          <w:sz w:val="26"/>
          <w:szCs w:val="26"/>
        </w:rPr>
        <w:t xml:space="preserve"> </w:t>
      </w:r>
    </w:p>
    <w:p w14:paraId="5E62F50F" w14:textId="7387C562"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The </w:t>
      </w:r>
      <w:r w:rsidRPr="00476D69">
        <w:rPr>
          <w:i/>
          <w:sz w:val="26"/>
          <w:szCs w:val="26"/>
        </w:rPr>
        <w:t xml:space="preserve">Venice Statement </w:t>
      </w:r>
      <w:r w:rsidRPr="00476D69">
        <w:rPr>
          <w:sz w:val="26"/>
          <w:szCs w:val="26"/>
        </w:rPr>
        <w:t>also highlights that, under Article 15, States have a duty to fulfill and “adopt a legal and policy framework and to establish institutions to promote the development and diffusion of science and technology in a manner consistent with fundamental human rights.”</w:t>
      </w:r>
      <w:r w:rsidRPr="00476D69">
        <w:rPr>
          <w:rStyle w:val="FootnoteReference"/>
          <w:sz w:val="26"/>
          <w:szCs w:val="26"/>
        </w:rPr>
        <w:footnoteReference w:id="43"/>
      </w:r>
    </w:p>
    <w:p w14:paraId="15601EC9"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Article 15(2) recites, “[t]he steps to be taken by the States Parties to the present Covenant to achieve the full realization of this right shall include those necessary for the conservation, the development and the diffusion of science and culture.” </w:t>
      </w:r>
      <w:proofErr w:type="gramStart"/>
      <w:r w:rsidRPr="00476D69">
        <w:rPr>
          <w:sz w:val="26"/>
          <w:szCs w:val="26"/>
        </w:rPr>
        <w:t>This general obligation implicitly contains several more specific obligations: first, “conservation of science includes retaining scientific discoveries as well as the data behind them, which must be preserved in a form that allows replication of those discoveries;”</w:t>
      </w:r>
      <w:r w:rsidRPr="00476D69">
        <w:rPr>
          <w:rStyle w:val="FootnoteReference"/>
          <w:sz w:val="26"/>
          <w:szCs w:val="26"/>
        </w:rPr>
        <w:footnoteReference w:id="44"/>
      </w:r>
      <w:r w:rsidRPr="00476D69">
        <w:rPr>
          <w:sz w:val="26"/>
          <w:szCs w:val="26"/>
        </w:rPr>
        <w:t xml:space="preserve"> second, “development demands an explicit commitment to the development of science and technology for human benefit;”</w:t>
      </w:r>
      <w:r w:rsidRPr="00476D69">
        <w:rPr>
          <w:rStyle w:val="FootnoteReference"/>
          <w:sz w:val="26"/>
          <w:szCs w:val="26"/>
        </w:rPr>
        <w:footnoteReference w:id="45"/>
      </w:r>
      <w:r w:rsidRPr="00476D69">
        <w:rPr>
          <w:sz w:val="26"/>
          <w:szCs w:val="26"/>
        </w:rPr>
        <w:t xml:space="preserve"> and third, “diffusion encompasses the dissemination of scientific knowledge and application both within the scientific community and in society at large.”</w:t>
      </w:r>
      <w:r w:rsidRPr="00476D69">
        <w:rPr>
          <w:rStyle w:val="FootnoteReference"/>
          <w:sz w:val="26"/>
          <w:szCs w:val="26"/>
        </w:rPr>
        <w:footnoteReference w:id="46"/>
      </w:r>
      <w:proofErr w:type="gramEnd"/>
    </w:p>
    <w:p w14:paraId="7968A469" w14:textId="488112B4"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lastRenderedPageBreak/>
        <w:t xml:space="preserve">Although Estonia’s performance under the Covenant is far from abysmal, it falls short in certain aspects. Notably, Estonia is not taking the proper steps towards achieving the full realization of the Right to Science as required by Article 15(2). Estonia recognizes that biotechnology and biomedicine, more specifically </w:t>
      </w:r>
      <w:proofErr w:type="spellStart"/>
      <w:r w:rsidRPr="00476D69">
        <w:rPr>
          <w:sz w:val="26"/>
          <w:szCs w:val="26"/>
        </w:rPr>
        <w:t>hESC</w:t>
      </w:r>
      <w:proofErr w:type="spellEnd"/>
      <w:r w:rsidRPr="00476D69">
        <w:rPr>
          <w:sz w:val="26"/>
          <w:szCs w:val="26"/>
        </w:rPr>
        <w:t xml:space="preserve"> research and research on assisted reproductive technologies and medicine, are promising fields for investment.</w:t>
      </w:r>
      <w:r w:rsidRPr="00476D69">
        <w:rPr>
          <w:rStyle w:val="FootnoteReference"/>
          <w:sz w:val="26"/>
          <w:szCs w:val="26"/>
        </w:rPr>
        <w:footnoteReference w:id="47"/>
      </w:r>
      <w:r w:rsidRPr="00476D69">
        <w:rPr>
          <w:sz w:val="26"/>
          <w:szCs w:val="26"/>
        </w:rPr>
        <w:t xml:space="preserve"> Although Estonia permits research on </w:t>
      </w:r>
      <w:proofErr w:type="spellStart"/>
      <w:r w:rsidRPr="00476D69">
        <w:rPr>
          <w:sz w:val="26"/>
          <w:szCs w:val="26"/>
        </w:rPr>
        <w:t>hESC</w:t>
      </w:r>
      <w:proofErr w:type="spellEnd"/>
      <w:r w:rsidRPr="00476D69">
        <w:rPr>
          <w:sz w:val="26"/>
          <w:szCs w:val="26"/>
        </w:rPr>
        <w:t xml:space="preserve"> and assisted reproductive technologies, it lacks a comprehensive legal framework </w:t>
      </w:r>
      <w:proofErr w:type="gramStart"/>
      <w:r w:rsidRPr="00476D69">
        <w:rPr>
          <w:sz w:val="26"/>
          <w:szCs w:val="26"/>
        </w:rPr>
        <w:t>to properly regulate</w:t>
      </w:r>
      <w:proofErr w:type="gramEnd"/>
      <w:r w:rsidRPr="00476D69">
        <w:rPr>
          <w:sz w:val="26"/>
          <w:szCs w:val="26"/>
        </w:rPr>
        <w:t xml:space="preserve"> these practices. Estonia has not enacted any domestic laws </w:t>
      </w:r>
      <w:proofErr w:type="gramStart"/>
      <w:r w:rsidRPr="00476D69">
        <w:rPr>
          <w:sz w:val="26"/>
          <w:szCs w:val="26"/>
        </w:rPr>
        <w:t>to specifically address</w:t>
      </w:r>
      <w:proofErr w:type="gramEnd"/>
      <w:r w:rsidRPr="00476D69">
        <w:rPr>
          <w:sz w:val="26"/>
          <w:szCs w:val="26"/>
        </w:rPr>
        <w:t xml:space="preserve"> the actual </w:t>
      </w:r>
      <w:proofErr w:type="spellStart"/>
      <w:r w:rsidRPr="00476D69">
        <w:rPr>
          <w:sz w:val="26"/>
          <w:szCs w:val="26"/>
        </w:rPr>
        <w:t>hESC</w:t>
      </w:r>
      <w:proofErr w:type="spellEnd"/>
      <w:r w:rsidRPr="00476D69">
        <w:rPr>
          <w:sz w:val="26"/>
          <w:szCs w:val="26"/>
        </w:rPr>
        <w:t xml:space="preserve"> research methods nor the prospective medicines and treatments that may result from those methods. </w:t>
      </w:r>
    </w:p>
    <w:p w14:paraId="3E785B36" w14:textId="77777777"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Despite the Estonian Biotechnology </w:t>
      </w:r>
      <w:proofErr w:type="spellStart"/>
      <w:r w:rsidRPr="00476D69">
        <w:rPr>
          <w:sz w:val="26"/>
          <w:szCs w:val="26"/>
        </w:rPr>
        <w:t>Programme</w:t>
      </w:r>
      <w:proofErr w:type="spellEnd"/>
      <w:r w:rsidRPr="00476D69">
        <w:rPr>
          <w:sz w:val="26"/>
          <w:szCs w:val="26"/>
        </w:rPr>
        <w:t xml:space="preserve"> (EBP)’s desire to pursue investments and development in the biotechnology and</w:t>
      </w:r>
      <w:r w:rsidR="00A32FE9" w:rsidRPr="00476D69">
        <w:rPr>
          <w:sz w:val="26"/>
          <w:szCs w:val="26"/>
        </w:rPr>
        <w:t xml:space="preserve"> healthcare industries, Estonia</w:t>
      </w:r>
      <w:r w:rsidRPr="00476D69">
        <w:rPr>
          <w:sz w:val="26"/>
          <w:szCs w:val="26"/>
        </w:rPr>
        <w:t xml:space="preserve"> has not assumed a leadership role in these fields. Estonia’s Periodic Report to the Committee is silent on these issues entirely. Rights to Science, Health, and Family are human rights directly affected by emerging medicine, science, and technology. By recognizing the development of these rights, Estonia may fulfill its obligations under the Covenant as well as realize its full potential on the global stage.</w:t>
      </w:r>
    </w:p>
    <w:p w14:paraId="2A500541" w14:textId="77777777" w:rsidR="00435C8E" w:rsidRPr="00476D69" w:rsidRDefault="00435C8E" w:rsidP="00476D69">
      <w:pPr>
        <w:pStyle w:val="Heading1"/>
        <w:rPr>
          <w:sz w:val="26"/>
          <w:szCs w:val="26"/>
        </w:rPr>
      </w:pPr>
      <w:bookmarkStart w:id="8" w:name="_Toc506908274"/>
      <w:r w:rsidRPr="00476D69">
        <w:rPr>
          <w:sz w:val="26"/>
          <w:szCs w:val="26"/>
        </w:rPr>
        <w:t>ASSISTED REPRODUCTIVE TECHNOLOGIES (ART)</w:t>
      </w:r>
      <w:bookmarkEnd w:id="8"/>
    </w:p>
    <w:p w14:paraId="5AE651E6" w14:textId="77777777" w:rsidR="00435C8E" w:rsidRPr="00476D69" w:rsidRDefault="00435C8E" w:rsidP="001C251D">
      <w:pPr>
        <w:pStyle w:val="Heading2"/>
        <w:spacing w:line="240" w:lineRule="auto"/>
        <w:ind w:firstLine="720"/>
        <w:rPr>
          <w:sz w:val="26"/>
          <w:szCs w:val="26"/>
        </w:rPr>
      </w:pPr>
      <w:bookmarkStart w:id="9" w:name="_Toc506908275"/>
      <w:r w:rsidRPr="00476D69">
        <w:rPr>
          <w:sz w:val="26"/>
          <w:szCs w:val="26"/>
        </w:rPr>
        <w:t>ART in Estonia</w:t>
      </w:r>
      <w:bookmarkEnd w:id="9"/>
    </w:p>
    <w:p w14:paraId="50E0C2BD" w14:textId="5974A52C" w:rsidR="00435C8E" w:rsidRPr="00476D69" w:rsidRDefault="00035775"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w:t>
      </w:r>
      <w:r w:rsidR="00435C8E" w:rsidRPr="00476D69">
        <w:rPr>
          <w:sz w:val="26"/>
          <w:szCs w:val="26"/>
        </w:rPr>
        <w:t xml:space="preserve">he term “assisted reproductive technologies (ART)” generally refers to treatments in which gametes or embryos </w:t>
      </w:r>
      <w:proofErr w:type="gramStart"/>
      <w:r w:rsidR="00435C8E" w:rsidRPr="00476D69">
        <w:rPr>
          <w:sz w:val="26"/>
          <w:szCs w:val="26"/>
        </w:rPr>
        <w:t>are handled</w:t>
      </w:r>
      <w:proofErr w:type="gramEnd"/>
      <w:r w:rsidR="00435C8E" w:rsidRPr="00476D69">
        <w:rPr>
          <w:sz w:val="26"/>
          <w:szCs w:val="26"/>
        </w:rPr>
        <w:t xml:space="preserve"> </w:t>
      </w:r>
      <w:r w:rsidR="00435C8E" w:rsidRPr="00476D69">
        <w:rPr>
          <w:i/>
          <w:sz w:val="26"/>
          <w:szCs w:val="26"/>
        </w:rPr>
        <w:t>in vitro</w:t>
      </w:r>
      <w:r w:rsidR="00435C8E" w:rsidRPr="00476D69">
        <w:rPr>
          <w:sz w:val="26"/>
          <w:szCs w:val="26"/>
        </w:rPr>
        <w:t xml:space="preserve"> to establish a pregnancy.</w:t>
      </w:r>
      <w:r w:rsidR="00435C8E" w:rsidRPr="00476D69">
        <w:rPr>
          <w:rStyle w:val="FootnoteReference"/>
          <w:sz w:val="26"/>
          <w:szCs w:val="26"/>
        </w:rPr>
        <w:t xml:space="preserve"> </w:t>
      </w:r>
      <w:r w:rsidR="00435C8E" w:rsidRPr="00476D69">
        <w:rPr>
          <w:rStyle w:val="FootnoteReference"/>
          <w:sz w:val="26"/>
          <w:szCs w:val="26"/>
        </w:rPr>
        <w:footnoteReference w:id="48"/>
      </w:r>
      <w:r w:rsidR="00435C8E" w:rsidRPr="00476D69">
        <w:rPr>
          <w:sz w:val="26"/>
          <w:szCs w:val="26"/>
        </w:rPr>
        <w:t xml:space="preserve"> The process of </w:t>
      </w:r>
      <w:r w:rsidR="00435C8E" w:rsidRPr="00476D69">
        <w:rPr>
          <w:i/>
          <w:sz w:val="26"/>
          <w:szCs w:val="26"/>
        </w:rPr>
        <w:t xml:space="preserve">in vitro fertilization </w:t>
      </w:r>
      <w:r w:rsidR="00435C8E" w:rsidRPr="00476D69">
        <w:rPr>
          <w:sz w:val="26"/>
          <w:szCs w:val="26"/>
        </w:rPr>
        <w:t>(IVF) involves the fertilization of oocytes using sperm in a laboratory with the resulting embryo surgically implanted in a woman’s womb.</w:t>
      </w:r>
      <w:r w:rsidR="00435C8E" w:rsidRPr="00476D69">
        <w:rPr>
          <w:rStyle w:val="FootnoteReference"/>
          <w:sz w:val="26"/>
          <w:szCs w:val="26"/>
        </w:rPr>
        <w:footnoteReference w:id="49"/>
      </w:r>
      <w:r w:rsidR="00435C8E" w:rsidRPr="00476D69">
        <w:rPr>
          <w:sz w:val="26"/>
          <w:szCs w:val="26"/>
        </w:rPr>
        <w:t xml:space="preserve"> </w:t>
      </w:r>
      <w:r w:rsidR="00435C8E" w:rsidRPr="00476D69">
        <w:rPr>
          <w:i/>
          <w:sz w:val="26"/>
          <w:szCs w:val="26"/>
        </w:rPr>
        <w:t xml:space="preserve">Intracytoplasmic sperm injection </w:t>
      </w:r>
      <w:r w:rsidR="00435C8E" w:rsidRPr="00476D69">
        <w:rPr>
          <w:sz w:val="26"/>
          <w:szCs w:val="26"/>
        </w:rPr>
        <w:t xml:space="preserve">(ICSI) is the procedure in which only a single sperm </w:t>
      </w:r>
      <w:proofErr w:type="gramStart"/>
      <w:r w:rsidR="00435C8E" w:rsidRPr="00476D69">
        <w:rPr>
          <w:sz w:val="26"/>
          <w:szCs w:val="26"/>
        </w:rPr>
        <w:t>is injected</w:t>
      </w:r>
      <w:proofErr w:type="gramEnd"/>
      <w:r w:rsidR="00435C8E" w:rsidRPr="00476D69">
        <w:rPr>
          <w:sz w:val="26"/>
          <w:szCs w:val="26"/>
        </w:rPr>
        <w:t xml:space="preserve"> into the oocyte.</w:t>
      </w:r>
      <w:r w:rsidR="00435C8E" w:rsidRPr="00476D69">
        <w:rPr>
          <w:rStyle w:val="FootnoteReference"/>
          <w:sz w:val="26"/>
          <w:szCs w:val="26"/>
        </w:rPr>
        <w:footnoteReference w:id="50"/>
      </w:r>
      <w:r w:rsidR="00435C8E" w:rsidRPr="00476D69">
        <w:rPr>
          <w:sz w:val="26"/>
          <w:szCs w:val="26"/>
        </w:rPr>
        <w:t xml:space="preserve"> The more common IVF procedure, however, transfers a cryopreserved embryo.</w:t>
      </w:r>
      <w:r w:rsidR="00435C8E" w:rsidRPr="00476D69">
        <w:rPr>
          <w:rStyle w:val="FootnoteReference"/>
          <w:sz w:val="26"/>
          <w:szCs w:val="26"/>
        </w:rPr>
        <w:footnoteReference w:id="51"/>
      </w:r>
      <w:r w:rsidR="00435C8E" w:rsidRPr="00476D69">
        <w:rPr>
          <w:sz w:val="26"/>
          <w:szCs w:val="26"/>
        </w:rPr>
        <w:t xml:space="preserve"> </w:t>
      </w:r>
      <w:r w:rsidR="00435C8E" w:rsidRPr="00476D69">
        <w:rPr>
          <w:i/>
          <w:sz w:val="26"/>
          <w:szCs w:val="26"/>
        </w:rPr>
        <w:t>In vitro maturation</w:t>
      </w:r>
      <w:r w:rsidR="00435C8E" w:rsidRPr="00476D69">
        <w:rPr>
          <w:sz w:val="26"/>
          <w:szCs w:val="26"/>
        </w:rPr>
        <w:t xml:space="preserve"> is an alternative collection strategy entailing the collection of immature eggs from a woman that </w:t>
      </w:r>
      <w:proofErr w:type="gramStart"/>
      <w:r w:rsidR="00435C8E" w:rsidRPr="00476D69">
        <w:rPr>
          <w:sz w:val="26"/>
          <w:szCs w:val="26"/>
        </w:rPr>
        <w:t>are then matured</w:t>
      </w:r>
      <w:proofErr w:type="gramEnd"/>
      <w:r w:rsidR="00435C8E" w:rsidRPr="00476D69">
        <w:rPr>
          <w:sz w:val="26"/>
          <w:szCs w:val="26"/>
        </w:rPr>
        <w:t xml:space="preserve"> in a lab.</w:t>
      </w:r>
      <w:r w:rsidR="00435C8E" w:rsidRPr="00476D69">
        <w:rPr>
          <w:rStyle w:val="FootnoteReference"/>
          <w:sz w:val="26"/>
          <w:szCs w:val="26"/>
        </w:rPr>
        <w:footnoteReference w:id="52"/>
      </w:r>
      <w:r w:rsidR="00435C8E" w:rsidRPr="00476D69">
        <w:rPr>
          <w:sz w:val="26"/>
          <w:szCs w:val="26"/>
        </w:rPr>
        <w:t xml:space="preserve"> </w:t>
      </w:r>
    </w:p>
    <w:p w14:paraId="599BB2DC" w14:textId="6AF17388"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w:t>
      </w:r>
      <w:r w:rsidRPr="00476D69">
        <w:rPr>
          <w:i/>
          <w:sz w:val="26"/>
          <w:szCs w:val="26"/>
        </w:rPr>
        <w:t xml:space="preserve">Frozen oocyte replacement </w:t>
      </w:r>
      <w:r w:rsidRPr="00476D69">
        <w:rPr>
          <w:sz w:val="26"/>
          <w:szCs w:val="26"/>
        </w:rPr>
        <w:t>is a technique in which oocytes are retrieved, frozen, cryopreserved, and fertilized only after they have been thawed from transfer.”</w:t>
      </w:r>
      <w:r w:rsidRPr="00476D69">
        <w:rPr>
          <w:rStyle w:val="FootnoteReference"/>
          <w:sz w:val="26"/>
          <w:szCs w:val="26"/>
        </w:rPr>
        <w:footnoteReference w:id="53"/>
      </w:r>
      <w:r w:rsidRPr="00476D69">
        <w:rPr>
          <w:sz w:val="26"/>
          <w:szCs w:val="26"/>
        </w:rPr>
        <w:t xml:space="preserve"> This particular technique is popular</w:t>
      </w:r>
      <w:r w:rsidR="00343190" w:rsidRPr="00476D69">
        <w:rPr>
          <w:sz w:val="26"/>
          <w:szCs w:val="26"/>
        </w:rPr>
        <w:t xml:space="preserve"> </w:t>
      </w:r>
      <w:r w:rsidRPr="00476D69">
        <w:rPr>
          <w:sz w:val="26"/>
          <w:szCs w:val="26"/>
        </w:rPr>
        <w:t xml:space="preserve">because it </w:t>
      </w:r>
      <w:proofErr w:type="gramStart"/>
      <w:r w:rsidRPr="00476D69">
        <w:rPr>
          <w:sz w:val="26"/>
          <w:szCs w:val="26"/>
        </w:rPr>
        <w:t>can be used</w:t>
      </w:r>
      <w:proofErr w:type="gramEnd"/>
      <w:r w:rsidRPr="00476D69">
        <w:rPr>
          <w:sz w:val="26"/>
          <w:szCs w:val="26"/>
        </w:rPr>
        <w:t xml:space="preserve"> to delay motherhood for any reason and gives the woman the option of having genetically related children later in life.</w:t>
      </w:r>
      <w:r w:rsidRPr="00476D69">
        <w:rPr>
          <w:rStyle w:val="FootnoteReference"/>
          <w:sz w:val="26"/>
          <w:szCs w:val="26"/>
        </w:rPr>
        <w:footnoteReference w:id="54"/>
      </w:r>
      <w:r w:rsidR="00A22B59" w:rsidRPr="00476D69">
        <w:rPr>
          <w:sz w:val="26"/>
          <w:szCs w:val="26"/>
        </w:rPr>
        <w:t xml:space="preserve"> </w:t>
      </w:r>
      <w:r w:rsidRPr="00476D69">
        <w:rPr>
          <w:sz w:val="26"/>
          <w:szCs w:val="26"/>
        </w:rPr>
        <w:t>“</w:t>
      </w:r>
      <w:r w:rsidRPr="00476D69">
        <w:rPr>
          <w:i/>
          <w:sz w:val="26"/>
          <w:szCs w:val="26"/>
        </w:rPr>
        <w:t xml:space="preserve">Preimplantation genetic </w:t>
      </w:r>
      <w:r w:rsidRPr="00476D69">
        <w:rPr>
          <w:i/>
          <w:sz w:val="26"/>
          <w:szCs w:val="26"/>
        </w:rPr>
        <w:lastRenderedPageBreak/>
        <w:t>diagnosis</w:t>
      </w:r>
      <w:r w:rsidRPr="00476D69">
        <w:rPr>
          <w:sz w:val="26"/>
          <w:szCs w:val="26"/>
        </w:rPr>
        <w:t xml:space="preserve"> (PGD) or </w:t>
      </w:r>
      <w:r w:rsidRPr="00476D69">
        <w:rPr>
          <w:i/>
          <w:sz w:val="26"/>
          <w:szCs w:val="26"/>
        </w:rPr>
        <w:t xml:space="preserve">screening </w:t>
      </w:r>
      <w:r w:rsidRPr="00476D69">
        <w:rPr>
          <w:sz w:val="26"/>
          <w:szCs w:val="26"/>
        </w:rPr>
        <w:t>(PGS)” allows individuals to examine “an embryo to determine whether specific genetic and structural alterations are present.”</w:t>
      </w:r>
      <w:r w:rsidRPr="00476D69">
        <w:rPr>
          <w:rStyle w:val="FootnoteReference"/>
          <w:sz w:val="26"/>
          <w:szCs w:val="26"/>
        </w:rPr>
        <w:footnoteReference w:id="55"/>
      </w:r>
      <w:r w:rsidRPr="00476D69">
        <w:rPr>
          <w:sz w:val="26"/>
          <w:szCs w:val="26"/>
        </w:rPr>
        <w:t xml:space="preserve"> </w:t>
      </w:r>
    </w:p>
    <w:p w14:paraId="452998D5"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A woman may donate a fertilized oocyte to transfer to another woman’s womb. “</w:t>
      </w:r>
      <w:r w:rsidRPr="00476D69">
        <w:rPr>
          <w:i/>
          <w:sz w:val="26"/>
          <w:szCs w:val="26"/>
        </w:rPr>
        <w:t>Egg donations”</w:t>
      </w:r>
      <w:r w:rsidRPr="00476D69">
        <w:rPr>
          <w:sz w:val="26"/>
          <w:szCs w:val="26"/>
        </w:rPr>
        <w:t xml:space="preserve"> </w:t>
      </w:r>
      <w:proofErr w:type="gramStart"/>
      <w:r w:rsidRPr="00476D69">
        <w:rPr>
          <w:sz w:val="26"/>
          <w:szCs w:val="26"/>
        </w:rPr>
        <w:t>are conducted</w:t>
      </w:r>
      <w:proofErr w:type="gramEnd"/>
      <w:r w:rsidRPr="00476D69">
        <w:rPr>
          <w:sz w:val="26"/>
          <w:szCs w:val="26"/>
        </w:rPr>
        <w:t xml:space="preserve"> “in cases of </w:t>
      </w:r>
      <w:r w:rsidRPr="00476D69">
        <w:rPr>
          <w:i/>
          <w:sz w:val="26"/>
          <w:szCs w:val="26"/>
        </w:rPr>
        <w:t>surrogate motherhood</w:t>
      </w:r>
      <w:r w:rsidRPr="00476D69">
        <w:rPr>
          <w:sz w:val="26"/>
          <w:szCs w:val="26"/>
        </w:rPr>
        <w:t xml:space="preserve"> for prospective parents who are unable to carry a child.”</w:t>
      </w:r>
      <w:r w:rsidRPr="00476D69">
        <w:rPr>
          <w:rStyle w:val="FootnoteReference"/>
          <w:sz w:val="26"/>
          <w:szCs w:val="26"/>
        </w:rPr>
        <w:footnoteReference w:id="56"/>
      </w:r>
      <w:r w:rsidRPr="00476D69">
        <w:rPr>
          <w:sz w:val="26"/>
          <w:szCs w:val="26"/>
        </w:rPr>
        <w:t xml:space="preserve"> A woman who has undergone ART may also donate or “share” any non-used frozen oocyte with other women.</w:t>
      </w:r>
      <w:r w:rsidRPr="00476D69">
        <w:rPr>
          <w:rStyle w:val="FootnoteReference"/>
          <w:sz w:val="26"/>
          <w:szCs w:val="26"/>
        </w:rPr>
        <w:footnoteReference w:id="57"/>
      </w:r>
      <w:r w:rsidRPr="00476D69">
        <w:rPr>
          <w:sz w:val="26"/>
          <w:szCs w:val="26"/>
        </w:rPr>
        <w:t xml:space="preserve"> This type of donation </w:t>
      </w:r>
      <w:proofErr w:type="gramStart"/>
      <w:r w:rsidRPr="00476D69">
        <w:rPr>
          <w:sz w:val="26"/>
          <w:szCs w:val="26"/>
        </w:rPr>
        <w:t>is usually referred</w:t>
      </w:r>
      <w:proofErr w:type="gramEnd"/>
      <w:r w:rsidRPr="00476D69">
        <w:rPr>
          <w:sz w:val="26"/>
          <w:szCs w:val="26"/>
        </w:rPr>
        <w:t xml:space="preserve"> to as “</w:t>
      </w:r>
      <w:r w:rsidRPr="00476D69">
        <w:rPr>
          <w:i/>
          <w:sz w:val="26"/>
          <w:szCs w:val="26"/>
        </w:rPr>
        <w:t>egg sharing</w:t>
      </w:r>
      <w:r w:rsidRPr="00476D69">
        <w:rPr>
          <w:sz w:val="26"/>
          <w:szCs w:val="26"/>
        </w:rPr>
        <w:t>”.</w:t>
      </w:r>
      <w:r w:rsidRPr="00476D69">
        <w:rPr>
          <w:rStyle w:val="FootnoteReference"/>
          <w:sz w:val="26"/>
          <w:szCs w:val="26"/>
        </w:rPr>
        <w:footnoteReference w:id="58"/>
      </w:r>
    </w:p>
    <w:p w14:paraId="0BFB2D8F" w14:textId="12506869"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There are six fertility clinics in Estonia including three private clinics</w:t>
      </w:r>
      <w:r w:rsidR="00343190" w:rsidRPr="00476D69">
        <w:rPr>
          <w:sz w:val="26"/>
          <w:szCs w:val="26"/>
        </w:rPr>
        <w:t>.</w:t>
      </w:r>
      <w:r w:rsidRPr="00476D69">
        <w:rPr>
          <w:rStyle w:val="FootnoteReference"/>
          <w:sz w:val="26"/>
          <w:szCs w:val="26"/>
        </w:rPr>
        <w:footnoteReference w:id="59"/>
      </w:r>
      <w:r w:rsidRPr="00476D69">
        <w:rPr>
          <w:sz w:val="26"/>
          <w:szCs w:val="26"/>
        </w:rPr>
        <w:t xml:space="preserve"> Estonia permits gamete donations, egg freezing, PGS, and PGD.</w:t>
      </w:r>
      <w:r w:rsidRPr="00476D69">
        <w:rPr>
          <w:rStyle w:val="FootnoteReference"/>
          <w:sz w:val="26"/>
          <w:szCs w:val="26"/>
        </w:rPr>
        <w:footnoteReference w:id="60"/>
      </w:r>
      <w:r w:rsidRPr="00476D69">
        <w:rPr>
          <w:sz w:val="26"/>
          <w:szCs w:val="26"/>
        </w:rPr>
        <w:t xml:space="preserve"> Surrogacy, however, is prohibited and penalized.</w:t>
      </w:r>
      <w:r w:rsidRPr="00476D69">
        <w:rPr>
          <w:rStyle w:val="FootnoteReference"/>
          <w:sz w:val="26"/>
          <w:szCs w:val="26"/>
        </w:rPr>
        <w:footnoteReference w:id="61"/>
      </w:r>
      <w:r w:rsidR="00A22B59" w:rsidRPr="00476D69">
        <w:rPr>
          <w:sz w:val="26"/>
          <w:szCs w:val="26"/>
        </w:rPr>
        <w:t xml:space="preserve"> </w:t>
      </w:r>
      <w:r w:rsidRPr="00476D69">
        <w:rPr>
          <w:sz w:val="26"/>
          <w:szCs w:val="26"/>
        </w:rPr>
        <w:t xml:space="preserve">In a 2010 study showing the number of ART treatments initiated by ART patients in a country, Estonia places </w:t>
      </w:r>
      <w:proofErr w:type="gramStart"/>
      <w:r w:rsidRPr="00476D69">
        <w:rPr>
          <w:sz w:val="26"/>
          <w:szCs w:val="26"/>
        </w:rPr>
        <w:t>ninth out of thirty</w:t>
      </w:r>
      <w:proofErr w:type="gramEnd"/>
      <w:r w:rsidRPr="00476D69">
        <w:rPr>
          <w:sz w:val="26"/>
          <w:szCs w:val="26"/>
        </w:rPr>
        <w:t xml:space="preserve"> European countries.</w:t>
      </w:r>
      <w:r w:rsidRPr="00476D69">
        <w:rPr>
          <w:rStyle w:val="FootnoteReference"/>
          <w:sz w:val="26"/>
          <w:szCs w:val="26"/>
        </w:rPr>
        <w:footnoteReference w:id="62"/>
      </w:r>
      <w:r w:rsidRPr="00476D69">
        <w:rPr>
          <w:sz w:val="26"/>
          <w:szCs w:val="26"/>
        </w:rPr>
        <w:t xml:space="preserve"> </w:t>
      </w:r>
    </w:p>
    <w:p w14:paraId="3E0F8D15"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In 2011, Estonia conducted 556 IVF (</w:t>
      </w:r>
      <w:r w:rsidRPr="00476D69">
        <w:rPr>
          <w:i/>
          <w:sz w:val="26"/>
          <w:szCs w:val="26"/>
        </w:rPr>
        <w:t>in vitro fertilization</w:t>
      </w:r>
      <w:r w:rsidRPr="00476D69">
        <w:rPr>
          <w:sz w:val="26"/>
          <w:szCs w:val="26"/>
        </w:rPr>
        <w:t>) treatment cycles, 1</w:t>
      </w:r>
      <w:r w:rsidR="00A32FE9" w:rsidRPr="00476D69">
        <w:rPr>
          <w:sz w:val="26"/>
          <w:szCs w:val="26"/>
        </w:rPr>
        <w:t>,</w:t>
      </w:r>
      <w:r w:rsidRPr="00476D69">
        <w:rPr>
          <w:sz w:val="26"/>
          <w:szCs w:val="26"/>
        </w:rPr>
        <w:t>184 ICSI (</w:t>
      </w:r>
      <w:r w:rsidRPr="00476D69">
        <w:rPr>
          <w:i/>
          <w:sz w:val="26"/>
          <w:szCs w:val="26"/>
        </w:rPr>
        <w:t>Intracytoplasmic sperm injection</w:t>
      </w:r>
      <w:r w:rsidRPr="00476D69">
        <w:rPr>
          <w:sz w:val="26"/>
          <w:szCs w:val="26"/>
        </w:rPr>
        <w:t>) treatment cycles, 582 FERs (</w:t>
      </w:r>
      <w:r w:rsidRPr="00476D69">
        <w:rPr>
          <w:i/>
          <w:sz w:val="26"/>
          <w:szCs w:val="26"/>
        </w:rPr>
        <w:t>frozen embryo replacement</w:t>
      </w:r>
      <w:r w:rsidRPr="00476D69">
        <w:rPr>
          <w:sz w:val="26"/>
          <w:szCs w:val="26"/>
        </w:rPr>
        <w:t>), 0 PGD (</w:t>
      </w:r>
      <w:r w:rsidRPr="00476D69">
        <w:rPr>
          <w:i/>
          <w:sz w:val="26"/>
          <w:szCs w:val="26"/>
        </w:rPr>
        <w:t>Preimplantation genetic diagnosis</w:t>
      </w:r>
      <w:r w:rsidRPr="00476D69">
        <w:rPr>
          <w:sz w:val="26"/>
          <w:szCs w:val="26"/>
        </w:rPr>
        <w:t>), 152 EDs (</w:t>
      </w:r>
      <w:r w:rsidRPr="00476D69">
        <w:rPr>
          <w:i/>
          <w:sz w:val="26"/>
          <w:szCs w:val="26"/>
        </w:rPr>
        <w:t>egg donations</w:t>
      </w:r>
      <w:r w:rsidRPr="00476D69">
        <w:rPr>
          <w:sz w:val="26"/>
          <w:szCs w:val="26"/>
        </w:rPr>
        <w:t>), 0 IVM (</w:t>
      </w:r>
      <w:r w:rsidRPr="00476D69">
        <w:rPr>
          <w:i/>
          <w:sz w:val="26"/>
          <w:szCs w:val="26"/>
        </w:rPr>
        <w:t>in vitro maturation</w:t>
      </w:r>
      <w:r w:rsidRPr="00476D69">
        <w:rPr>
          <w:sz w:val="26"/>
          <w:szCs w:val="26"/>
        </w:rPr>
        <w:t>), 0 FOR (</w:t>
      </w:r>
      <w:r w:rsidRPr="00476D69">
        <w:rPr>
          <w:i/>
          <w:sz w:val="26"/>
          <w:szCs w:val="26"/>
        </w:rPr>
        <w:t>frozen oocyte replacements</w:t>
      </w:r>
      <w:r w:rsidRPr="00476D69">
        <w:rPr>
          <w:sz w:val="26"/>
          <w:szCs w:val="26"/>
        </w:rPr>
        <w:t>).</w:t>
      </w:r>
      <w:r w:rsidRPr="00476D69">
        <w:rPr>
          <w:rStyle w:val="FootnoteReference"/>
          <w:sz w:val="26"/>
          <w:szCs w:val="26"/>
        </w:rPr>
        <w:footnoteReference w:id="63"/>
      </w:r>
      <w:r w:rsidRPr="00476D69">
        <w:rPr>
          <w:sz w:val="26"/>
          <w:szCs w:val="26"/>
        </w:rPr>
        <w:t xml:space="preserve"> At the time, Estonia had </w:t>
      </w:r>
      <w:proofErr w:type="gramStart"/>
      <w:r w:rsidRPr="00476D69">
        <w:rPr>
          <w:sz w:val="26"/>
          <w:szCs w:val="26"/>
        </w:rPr>
        <w:t>5</w:t>
      </w:r>
      <w:proofErr w:type="gramEnd"/>
      <w:r w:rsidRPr="00476D69">
        <w:rPr>
          <w:sz w:val="26"/>
          <w:szCs w:val="26"/>
        </w:rPr>
        <w:t xml:space="preserve"> IVF clinics and IUI (</w:t>
      </w:r>
      <w:r w:rsidRPr="00476D69">
        <w:rPr>
          <w:i/>
          <w:sz w:val="26"/>
          <w:szCs w:val="26"/>
        </w:rPr>
        <w:t>intrauterine insemination</w:t>
      </w:r>
      <w:r w:rsidRPr="00476D69">
        <w:rPr>
          <w:sz w:val="26"/>
          <w:szCs w:val="26"/>
        </w:rPr>
        <w:t>) labs.</w:t>
      </w:r>
      <w:r w:rsidRPr="00476D69">
        <w:rPr>
          <w:rStyle w:val="FootnoteReference"/>
          <w:sz w:val="26"/>
          <w:szCs w:val="26"/>
        </w:rPr>
        <w:footnoteReference w:id="64"/>
      </w:r>
      <w:r w:rsidRPr="00476D69">
        <w:rPr>
          <w:sz w:val="26"/>
          <w:szCs w:val="26"/>
        </w:rPr>
        <w:t xml:space="preserve"> From the total 1740 treatment cycles (556 IVF and 1183 ICSI), 631 ART infants were birthed, constituting 4.2% of infants birthed in Estonia in 2011.</w:t>
      </w:r>
      <w:r w:rsidRPr="00476D69">
        <w:rPr>
          <w:rStyle w:val="FootnoteReference"/>
          <w:sz w:val="26"/>
          <w:szCs w:val="26"/>
        </w:rPr>
        <w:footnoteReference w:id="65"/>
      </w:r>
    </w:p>
    <w:p w14:paraId="75A43910"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In 2015, Estonian State Agency of Medicines data shows that 2</w:t>
      </w:r>
      <w:r w:rsidR="00A32FE9" w:rsidRPr="00476D69">
        <w:rPr>
          <w:sz w:val="26"/>
          <w:szCs w:val="26"/>
        </w:rPr>
        <w:t>,</w:t>
      </w:r>
      <w:r w:rsidRPr="00476D69">
        <w:rPr>
          <w:sz w:val="26"/>
          <w:szCs w:val="26"/>
        </w:rPr>
        <w:t>834 ART cycle procedures occurred – a 1.8% decrease from 2014.</w:t>
      </w:r>
      <w:r w:rsidRPr="00476D69">
        <w:rPr>
          <w:rStyle w:val="FootnoteReference"/>
          <w:sz w:val="26"/>
          <w:szCs w:val="26"/>
        </w:rPr>
        <w:footnoteReference w:id="66"/>
      </w:r>
      <w:r w:rsidRPr="00476D69">
        <w:rPr>
          <w:sz w:val="26"/>
          <w:szCs w:val="26"/>
        </w:rPr>
        <w:t xml:space="preserve"> “The most used IVF method was ICSI” which constituted 41% of all ART cycles.</w:t>
      </w:r>
      <w:r w:rsidRPr="00476D69">
        <w:rPr>
          <w:rStyle w:val="FootnoteReference"/>
          <w:sz w:val="26"/>
          <w:szCs w:val="26"/>
        </w:rPr>
        <w:footnoteReference w:id="67"/>
      </w:r>
      <w:r w:rsidRPr="00476D69">
        <w:rPr>
          <w:sz w:val="26"/>
          <w:szCs w:val="26"/>
        </w:rPr>
        <w:t xml:space="preserve"> “IVF related cost formed 1.555 million euros” – 5.2% more than 2014.</w:t>
      </w:r>
      <w:r w:rsidRPr="00476D69">
        <w:rPr>
          <w:rStyle w:val="FootnoteReference"/>
          <w:sz w:val="26"/>
          <w:szCs w:val="26"/>
        </w:rPr>
        <w:footnoteReference w:id="68"/>
      </w:r>
      <w:r w:rsidRPr="00476D69">
        <w:rPr>
          <w:sz w:val="26"/>
          <w:szCs w:val="26"/>
        </w:rPr>
        <w:t xml:space="preserve"> According to Estonian Medical Birth Registry, 380 IVF children were born in 2015. In 2014, 404 IVF children were born.</w:t>
      </w:r>
      <w:r w:rsidRPr="00476D69">
        <w:rPr>
          <w:rStyle w:val="FootnoteReference"/>
          <w:sz w:val="26"/>
          <w:szCs w:val="26"/>
        </w:rPr>
        <w:footnoteReference w:id="69"/>
      </w:r>
    </w:p>
    <w:p w14:paraId="382E243B"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lastRenderedPageBreak/>
        <w:t>In 2015, Estonians younger than 34 years of age were the largest group undergoing ART cycles at 1,319 individuals compared to 915 aged 35-39, 243 aged 40, and 357 aged 41-years and older.</w:t>
      </w:r>
      <w:r w:rsidRPr="00476D69">
        <w:rPr>
          <w:rStyle w:val="FootnoteReference"/>
          <w:sz w:val="26"/>
          <w:szCs w:val="26"/>
        </w:rPr>
        <w:footnoteReference w:id="70"/>
      </w:r>
    </w:p>
    <w:p w14:paraId="5D30CA5E" w14:textId="02AEA282"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Of the documented side effects occurring in 2015 due to ART, there were </w:t>
      </w:r>
      <w:proofErr w:type="gramStart"/>
      <w:r w:rsidRPr="00476D69">
        <w:rPr>
          <w:sz w:val="26"/>
          <w:szCs w:val="26"/>
        </w:rPr>
        <w:t>7</w:t>
      </w:r>
      <w:proofErr w:type="gramEnd"/>
      <w:r w:rsidRPr="00476D69">
        <w:rPr>
          <w:sz w:val="26"/>
          <w:szCs w:val="26"/>
        </w:rPr>
        <w:t xml:space="preserve"> cases that resulted in ovarian </w:t>
      </w:r>
      <w:proofErr w:type="spellStart"/>
      <w:r w:rsidRPr="00476D69">
        <w:rPr>
          <w:sz w:val="26"/>
          <w:szCs w:val="26"/>
        </w:rPr>
        <w:t>hyperstimulation</w:t>
      </w:r>
      <w:proofErr w:type="spellEnd"/>
      <w:r w:rsidRPr="00476D69">
        <w:rPr>
          <w:sz w:val="26"/>
          <w:szCs w:val="26"/>
        </w:rPr>
        <w:t xml:space="preserve"> syndrome.</w:t>
      </w:r>
      <w:r w:rsidRPr="00476D69">
        <w:rPr>
          <w:rStyle w:val="FootnoteReference"/>
          <w:sz w:val="26"/>
          <w:szCs w:val="26"/>
        </w:rPr>
        <w:footnoteReference w:id="71"/>
      </w:r>
      <w:r w:rsidRPr="00476D69">
        <w:rPr>
          <w:sz w:val="26"/>
          <w:szCs w:val="26"/>
        </w:rPr>
        <w:t xml:space="preserve"> There were no documented cases of complications to oocyte retrieval.</w:t>
      </w:r>
      <w:r w:rsidRPr="00476D69">
        <w:rPr>
          <w:rStyle w:val="FootnoteReference"/>
          <w:sz w:val="26"/>
          <w:szCs w:val="26"/>
        </w:rPr>
        <w:footnoteReference w:id="72"/>
      </w:r>
      <w:r w:rsidRPr="00476D69">
        <w:rPr>
          <w:sz w:val="26"/>
          <w:szCs w:val="26"/>
        </w:rPr>
        <w:t xml:space="preserve"> </w:t>
      </w:r>
    </w:p>
    <w:p w14:paraId="33D0574F" w14:textId="4BF7B6E2"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Yet, Estonia still criminalizes and punishes certain acts involved with artificial assisted technologies and practices under Estonia’s Penal Code, Chapter 9</w:t>
      </w:r>
      <w:r w:rsidRPr="00476D69">
        <w:rPr>
          <w:i/>
          <w:sz w:val="26"/>
          <w:szCs w:val="26"/>
        </w:rPr>
        <w:t xml:space="preserve"> Offenses </w:t>
      </w:r>
      <w:proofErr w:type="gramStart"/>
      <w:r w:rsidRPr="00476D69">
        <w:rPr>
          <w:i/>
          <w:sz w:val="26"/>
          <w:szCs w:val="26"/>
        </w:rPr>
        <w:t>Against</w:t>
      </w:r>
      <w:proofErr w:type="gramEnd"/>
      <w:r w:rsidRPr="00476D69">
        <w:rPr>
          <w:i/>
          <w:sz w:val="26"/>
          <w:szCs w:val="26"/>
        </w:rPr>
        <w:t xml:space="preserve"> the Person</w:t>
      </w:r>
      <w:r w:rsidRPr="00476D69">
        <w:rPr>
          <w:sz w:val="26"/>
          <w:szCs w:val="26"/>
        </w:rPr>
        <w:t xml:space="preserve">, Division 5 </w:t>
      </w:r>
      <w:r w:rsidRPr="00476D69">
        <w:rPr>
          <w:i/>
          <w:sz w:val="26"/>
          <w:szCs w:val="26"/>
        </w:rPr>
        <w:t xml:space="preserve">Illegal Treatment of Embryo or </w:t>
      </w:r>
      <w:proofErr w:type="spellStart"/>
      <w:r w:rsidRPr="00476D69">
        <w:rPr>
          <w:i/>
          <w:sz w:val="26"/>
          <w:szCs w:val="26"/>
        </w:rPr>
        <w:t>Foetus</w:t>
      </w:r>
      <w:proofErr w:type="spellEnd"/>
      <w:r w:rsidRPr="00476D69">
        <w:rPr>
          <w:sz w:val="26"/>
          <w:szCs w:val="26"/>
        </w:rPr>
        <w:t>.</w:t>
      </w:r>
      <w:r w:rsidRPr="00476D69">
        <w:rPr>
          <w:rStyle w:val="FootnoteReference"/>
          <w:sz w:val="26"/>
          <w:szCs w:val="26"/>
        </w:rPr>
        <w:footnoteReference w:id="73"/>
      </w:r>
      <w:r w:rsidRPr="00476D69">
        <w:rPr>
          <w:sz w:val="26"/>
          <w:szCs w:val="26"/>
        </w:rPr>
        <w:t xml:space="preserve"> §129, </w:t>
      </w:r>
      <w:r w:rsidRPr="00476D69">
        <w:rPr>
          <w:i/>
          <w:sz w:val="26"/>
          <w:szCs w:val="26"/>
        </w:rPr>
        <w:t xml:space="preserve">Damaging of embryo or </w:t>
      </w:r>
      <w:proofErr w:type="spellStart"/>
      <w:r w:rsidRPr="00476D69">
        <w:rPr>
          <w:i/>
          <w:sz w:val="26"/>
          <w:szCs w:val="26"/>
        </w:rPr>
        <w:t>foetus</w:t>
      </w:r>
      <w:proofErr w:type="spellEnd"/>
      <w:r w:rsidRPr="00476D69">
        <w:rPr>
          <w:sz w:val="26"/>
          <w:szCs w:val="26"/>
        </w:rPr>
        <w:t>, makes the damaging or injuring of an embryo or fetus while it is in the uterus of a woman if such act results in miscarriage or the death of the embryo or fetus punishable by a pecuniary punishment or up to five years’ imprisonment.</w:t>
      </w:r>
      <w:r w:rsidRPr="00476D69">
        <w:rPr>
          <w:rStyle w:val="FootnoteReference"/>
          <w:sz w:val="26"/>
          <w:szCs w:val="26"/>
        </w:rPr>
        <w:footnoteReference w:id="74"/>
      </w:r>
      <w:r w:rsidRPr="00476D69">
        <w:rPr>
          <w:sz w:val="26"/>
          <w:szCs w:val="26"/>
        </w:rPr>
        <w:t xml:space="preserve"> </w:t>
      </w:r>
      <w:proofErr w:type="gramStart"/>
      <w:r w:rsidRPr="00476D69">
        <w:rPr>
          <w:sz w:val="26"/>
          <w:szCs w:val="26"/>
        </w:rPr>
        <w:t xml:space="preserve">Under §131, </w:t>
      </w:r>
      <w:r w:rsidRPr="00476D69">
        <w:rPr>
          <w:i/>
          <w:sz w:val="26"/>
          <w:szCs w:val="26"/>
        </w:rPr>
        <w:t>Abuse of human embryo or fetus</w:t>
      </w:r>
      <w:r w:rsidRPr="00476D69">
        <w:rPr>
          <w:sz w:val="26"/>
          <w:szCs w:val="26"/>
        </w:rPr>
        <w:t xml:space="preserve">, the </w:t>
      </w:r>
      <w:r w:rsidRPr="00476D69">
        <w:rPr>
          <w:i/>
          <w:sz w:val="26"/>
          <w:szCs w:val="26"/>
        </w:rPr>
        <w:t>in vitro</w:t>
      </w:r>
      <w:r w:rsidRPr="00476D69">
        <w:rPr>
          <w:sz w:val="26"/>
          <w:szCs w:val="26"/>
        </w:rPr>
        <w:t xml:space="preserve"> creation of a human embryo or fetus without the intention of transferring the embryo or fetus to a woman, or outside a lawfully authorized institution, or without the corresponding lawful right, or the preservation of a human embryo or fetus in an unfrozen form longer than the term the law provides, or the performance of unauthorized transactions with an embryo or fetus are all punishable by a pecuniary punishment.</w:t>
      </w:r>
      <w:r w:rsidRPr="00476D69">
        <w:rPr>
          <w:rStyle w:val="FootnoteReference"/>
          <w:sz w:val="26"/>
          <w:szCs w:val="26"/>
        </w:rPr>
        <w:footnoteReference w:id="75"/>
      </w:r>
      <w:proofErr w:type="gramEnd"/>
      <w:r w:rsidRPr="00476D69">
        <w:rPr>
          <w:sz w:val="26"/>
          <w:szCs w:val="26"/>
        </w:rPr>
        <w:t xml:space="preserve"> </w:t>
      </w:r>
    </w:p>
    <w:p w14:paraId="26C506A3" w14:textId="0C22AE9F" w:rsidR="00435C8E" w:rsidRPr="00476D69" w:rsidRDefault="00435C8E" w:rsidP="00783AA3">
      <w:pPr>
        <w:pStyle w:val="ListParagraph"/>
        <w:numPr>
          <w:ilvl w:val="0"/>
          <w:numId w:val="1"/>
        </w:numPr>
        <w:shd w:val="clear" w:color="auto" w:fill="FFFFFF"/>
        <w:spacing w:before="100" w:beforeAutospacing="1" w:after="100" w:afterAutospacing="1" w:line="240" w:lineRule="auto"/>
        <w:ind w:left="0" w:firstLine="720"/>
        <w:contextualSpacing w:val="0"/>
        <w:jc w:val="both"/>
        <w:rPr>
          <w:sz w:val="26"/>
          <w:szCs w:val="26"/>
        </w:rPr>
      </w:pPr>
      <w:r w:rsidRPr="00476D69">
        <w:rPr>
          <w:sz w:val="26"/>
          <w:szCs w:val="26"/>
        </w:rPr>
        <w:t>Notwithstanding Estonia’s legalization of ART treatments and insuring IVF, the country has prohibited surrogacy. §132 of the Estonian penal code makes the “[t]</w:t>
      </w:r>
      <w:proofErr w:type="spellStart"/>
      <w:r w:rsidRPr="00476D69">
        <w:rPr>
          <w:rStyle w:val="c8df4230-e843-47b0-9d6f-a1974cc1f45b"/>
          <w:rFonts w:cs="Arial"/>
          <w:color w:val="202020"/>
          <w:sz w:val="26"/>
          <w:szCs w:val="26"/>
          <w:bdr w:val="none" w:sz="0" w:space="0" w:color="auto" w:frame="1"/>
        </w:rPr>
        <w:t>ransfer</w:t>
      </w:r>
      <w:proofErr w:type="spellEnd"/>
      <w:r w:rsidRPr="00476D69">
        <w:rPr>
          <w:rStyle w:val="c8df4230-e843-47b0-9d6f-a1974cc1f45b"/>
          <w:rFonts w:cs="Arial"/>
          <w:color w:val="202020"/>
          <w:sz w:val="26"/>
          <w:szCs w:val="26"/>
          <w:bdr w:val="none" w:sz="0" w:space="0" w:color="auto" w:frame="1"/>
        </w:rPr>
        <w:t xml:space="preserve"> of a foreign ovum, or an embryo or </w:t>
      </w:r>
      <w:proofErr w:type="spellStart"/>
      <w:r w:rsidRPr="00476D69">
        <w:rPr>
          <w:rStyle w:val="c8df4230-e843-47b0-9d6f-a1974cc1f45b"/>
          <w:rFonts w:cs="Arial"/>
          <w:color w:val="202020"/>
          <w:sz w:val="26"/>
          <w:szCs w:val="26"/>
          <w:bdr w:val="none" w:sz="0" w:space="0" w:color="auto" w:frame="1"/>
        </w:rPr>
        <w:t>foetus</w:t>
      </w:r>
      <w:proofErr w:type="spellEnd"/>
      <w:r w:rsidRPr="00476D69">
        <w:rPr>
          <w:rStyle w:val="c8df4230-e843-47b0-9d6f-a1974cc1f45b"/>
          <w:rFonts w:cs="Arial"/>
          <w:color w:val="202020"/>
          <w:sz w:val="26"/>
          <w:szCs w:val="26"/>
          <w:bdr w:val="none" w:sz="0" w:space="0" w:color="auto" w:frame="1"/>
        </w:rPr>
        <w:t xml:space="preserve"> created therefrom to a woman whose intention to give away the child after birth is known [punishable] by a pecuniary punishment.”</w:t>
      </w:r>
      <w:r w:rsidRPr="00476D69">
        <w:rPr>
          <w:rStyle w:val="FootnoteReference"/>
          <w:rFonts w:cs="Arial"/>
          <w:color w:val="202020"/>
          <w:sz w:val="26"/>
          <w:szCs w:val="26"/>
          <w:bdr w:val="none" w:sz="0" w:space="0" w:color="auto" w:frame="1"/>
        </w:rPr>
        <w:footnoteReference w:id="76"/>
      </w:r>
      <w:r w:rsidRPr="00476D69">
        <w:rPr>
          <w:rStyle w:val="c8df4230-e843-47b0-9d6f-a1974cc1f45b"/>
          <w:rFonts w:cs="Arial"/>
          <w:color w:val="202020"/>
          <w:sz w:val="26"/>
          <w:szCs w:val="26"/>
          <w:bdr w:val="none" w:sz="0" w:space="0" w:color="auto" w:frame="1"/>
        </w:rPr>
        <w:t xml:space="preserve"> </w:t>
      </w:r>
    </w:p>
    <w:p w14:paraId="6F9C689D" w14:textId="751F039C" w:rsidR="00435C8E" w:rsidRPr="00476D69" w:rsidRDefault="00435C8E" w:rsidP="001C251D">
      <w:pPr>
        <w:pStyle w:val="Heading2"/>
        <w:spacing w:line="240" w:lineRule="auto"/>
        <w:ind w:firstLine="720"/>
        <w:rPr>
          <w:sz w:val="26"/>
          <w:szCs w:val="26"/>
        </w:rPr>
      </w:pPr>
      <w:bookmarkStart w:id="11" w:name="_Toc506908276"/>
      <w:r w:rsidRPr="00476D69">
        <w:rPr>
          <w:sz w:val="26"/>
          <w:szCs w:val="26"/>
        </w:rPr>
        <w:t xml:space="preserve">Analysis: </w:t>
      </w:r>
      <w:r w:rsidR="00171673" w:rsidRPr="00476D69">
        <w:rPr>
          <w:sz w:val="26"/>
          <w:szCs w:val="26"/>
        </w:rPr>
        <w:t>To What Extent are Estonia’s Laws and Practices with regard to ART Compatible with the Covenant?</w:t>
      </w:r>
      <w:bookmarkEnd w:id="11"/>
    </w:p>
    <w:p w14:paraId="5E664139" w14:textId="636E7F7B"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According to Special Rapporteur Farida Shaheed, </w:t>
      </w:r>
      <w:proofErr w:type="gramStart"/>
      <w:r w:rsidRPr="00476D69">
        <w:rPr>
          <w:sz w:val="26"/>
          <w:szCs w:val="26"/>
        </w:rPr>
        <w:t>the Right to Health under Article 12 and the Right to Science under Article 15 should be enjoyed by everyone, without discrimination</w:t>
      </w:r>
      <w:proofErr w:type="gramEnd"/>
      <w:r w:rsidRPr="00476D69">
        <w:rPr>
          <w:sz w:val="26"/>
          <w:szCs w:val="26"/>
        </w:rPr>
        <w:t>.</w:t>
      </w:r>
      <w:r w:rsidRPr="00476D69">
        <w:rPr>
          <w:rStyle w:val="FootnoteReference"/>
          <w:sz w:val="26"/>
          <w:szCs w:val="26"/>
        </w:rPr>
        <w:footnoteReference w:id="77"/>
      </w:r>
      <w:r w:rsidRPr="00476D69">
        <w:rPr>
          <w:sz w:val="26"/>
          <w:szCs w:val="26"/>
        </w:rPr>
        <w:t xml:space="preserve"> In fulfillment of their Covenant obligations, States, therefore, should ensure that its residents have access to the scientific and health benefits of n</w:t>
      </w:r>
      <w:r w:rsidR="006859F4" w:rsidRPr="00476D69">
        <w:rPr>
          <w:sz w:val="26"/>
          <w:szCs w:val="26"/>
        </w:rPr>
        <w:t>ew</w:t>
      </w:r>
      <w:r w:rsidRPr="00476D69">
        <w:rPr>
          <w:sz w:val="26"/>
          <w:szCs w:val="26"/>
        </w:rPr>
        <w:t xml:space="preserve"> technologies. States </w:t>
      </w:r>
      <w:r w:rsidRPr="00476D69">
        <w:rPr>
          <w:sz w:val="26"/>
          <w:szCs w:val="26"/>
        </w:rPr>
        <w:lastRenderedPageBreak/>
        <w:t xml:space="preserve">should also ensure </w:t>
      </w:r>
      <w:r w:rsidR="00035775" w:rsidRPr="00476D69">
        <w:rPr>
          <w:sz w:val="26"/>
          <w:szCs w:val="26"/>
        </w:rPr>
        <w:t>their</w:t>
      </w:r>
      <w:r w:rsidRPr="00476D69">
        <w:rPr>
          <w:sz w:val="26"/>
          <w:szCs w:val="26"/>
        </w:rPr>
        <w:t xml:space="preserve"> scientists maintain their right to practice and improve such technologies and medicines through practice and research. Furthermore, certain forms of ART such as IVF are medical techniques within the field o</w:t>
      </w:r>
      <w:r w:rsidR="00035775" w:rsidRPr="00476D69">
        <w:rPr>
          <w:sz w:val="26"/>
          <w:szCs w:val="26"/>
        </w:rPr>
        <w:t>f</w:t>
      </w:r>
      <w:r w:rsidRPr="00476D69">
        <w:rPr>
          <w:sz w:val="26"/>
          <w:szCs w:val="26"/>
        </w:rPr>
        <w:t xml:space="preserve"> reproductive endocrinology and meet the definitions of “science” and “a benefit of scientific progress” set forth in the </w:t>
      </w:r>
      <w:r w:rsidRPr="00476D69">
        <w:rPr>
          <w:i/>
          <w:sz w:val="26"/>
          <w:szCs w:val="26"/>
        </w:rPr>
        <w:t>Venice Statement</w:t>
      </w:r>
      <w:r w:rsidRPr="00476D69">
        <w:rPr>
          <w:sz w:val="26"/>
          <w:szCs w:val="26"/>
        </w:rPr>
        <w:t xml:space="preserve"> and the 2012 Special Rapporteur on Cultural Rights’ Report.</w:t>
      </w:r>
      <w:r w:rsidRPr="00476D69">
        <w:rPr>
          <w:rStyle w:val="FootnoteReference"/>
          <w:sz w:val="26"/>
          <w:szCs w:val="26"/>
        </w:rPr>
        <w:footnoteReference w:id="78"/>
      </w:r>
    </w:p>
    <w:p w14:paraId="13E12105"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World Health Organization (“WHO”) recognizes infertility as a disability because it intrinsically limits the major life activity of reproduction.</w:t>
      </w:r>
      <w:r w:rsidRPr="00476D69">
        <w:rPr>
          <w:rFonts w:eastAsia="Garamond" w:cs="Garamond"/>
          <w:sz w:val="26"/>
          <w:szCs w:val="26"/>
          <w:vertAlign w:val="superscript"/>
        </w:rPr>
        <w:t xml:space="preserve"> </w:t>
      </w:r>
      <w:r w:rsidRPr="00476D69">
        <w:rPr>
          <w:rFonts w:eastAsia="Garamond" w:cs="Garamond"/>
          <w:sz w:val="26"/>
          <w:szCs w:val="26"/>
          <w:vertAlign w:val="superscript"/>
        </w:rPr>
        <w:footnoteReference w:id="79"/>
      </w:r>
      <w:r w:rsidRPr="00476D69">
        <w:rPr>
          <w:rFonts w:eastAsia="Garamond" w:cs="Garamond"/>
          <w:sz w:val="26"/>
          <w:szCs w:val="26"/>
          <w:vertAlign w:val="superscript"/>
        </w:rPr>
        <w:t xml:space="preserve"> </w:t>
      </w:r>
      <w:r w:rsidRPr="00476D69">
        <w:rPr>
          <w:sz w:val="26"/>
          <w:szCs w:val="26"/>
        </w:rPr>
        <w:t>According to WHO, environmental factors can aid disabled people and allow them to participate in society “on an equal basis with others.”</w:t>
      </w:r>
      <w:r w:rsidRPr="00476D69">
        <w:rPr>
          <w:rFonts w:eastAsia="Garamond" w:cs="Garamond"/>
          <w:sz w:val="26"/>
          <w:szCs w:val="26"/>
          <w:vertAlign w:val="superscript"/>
        </w:rPr>
        <w:footnoteReference w:id="80"/>
      </w:r>
      <w:r w:rsidRPr="00476D69">
        <w:rPr>
          <w:sz w:val="26"/>
          <w:szCs w:val="26"/>
        </w:rPr>
        <w:t xml:space="preserve"> </w:t>
      </w:r>
      <w:r w:rsidRPr="00476D69">
        <w:rPr>
          <w:rFonts w:eastAsia="Garamond" w:cs="Garamond"/>
          <w:sz w:val="26"/>
          <w:szCs w:val="26"/>
        </w:rPr>
        <w:t>IVF is a widely recognized and utilized treatment that effectively helps women overcome disabling fertility issues for over forty years.</w:t>
      </w:r>
      <w:r w:rsidRPr="00476D69">
        <w:rPr>
          <w:sz w:val="26"/>
          <w:szCs w:val="26"/>
          <w:vertAlign w:val="superscript"/>
        </w:rPr>
        <w:footnoteReference w:id="81"/>
      </w:r>
    </w:p>
    <w:p w14:paraId="3EBC7337"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rFonts w:eastAsia="Garamond" w:cs="Garamond"/>
          <w:sz w:val="26"/>
          <w:szCs w:val="26"/>
        </w:rPr>
        <w:t xml:space="preserve">According to this Committee’s General Comment No. 14 (2000), the right to health incorporates </w:t>
      </w:r>
      <w:r w:rsidRPr="00476D69">
        <w:rPr>
          <w:sz w:val="26"/>
          <w:szCs w:val="26"/>
        </w:rPr>
        <w:t>“[t]he right to control one’s health and body, including sexual and reproductive freedom…[and] the right to a system of health protection which provides equality of opportunity for people to enjoy the highest attainable level of health.”</w:t>
      </w:r>
      <w:r w:rsidRPr="00476D69">
        <w:rPr>
          <w:rStyle w:val="FootnoteReference"/>
          <w:sz w:val="26"/>
          <w:szCs w:val="26"/>
        </w:rPr>
        <w:footnoteReference w:id="82"/>
      </w:r>
      <w:r w:rsidRPr="00476D69">
        <w:rPr>
          <w:sz w:val="26"/>
          <w:szCs w:val="26"/>
        </w:rPr>
        <w:t xml:space="preserve"> </w:t>
      </w:r>
      <w:proofErr w:type="gramStart"/>
      <w:r w:rsidRPr="00476D69">
        <w:rPr>
          <w:sz w:val="26"/>
          <w:szCs w:val="26"/>
        </w:rPr>
        <w:t>“Reproductive health means that women and men have the freedom to decide if and when to reproduce and the right to be informed and to have access to safe, effective, affordable and acceptable methods of family planning of their choice as well as the right of access to appropriate health-care services that will, for example, enable women to go safely through pregnancy and childbirth.”</w:t>
      </w:r>
      <w:r w:rsidRPr="00476D69">
        <w:rPr>
          <w:rStyle w:val="FootnoteReference"/>
          <w:sz w:val="26"/>
          <w:szCs w:val="26"/>
        </w:rPr>
        <w:footnoteReference w:id="83"/>
      </w:r>
      <w:proofErr w:type="gramEnd"/>
    </w:p>
    <w:p w14:paraId="5E9CD9DF"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rFonts w:eastAsia="Garamond" w:cs="Garamond"/>
          <w:sz w:val="26"/>
          <w:szCs w:val="26"/>
        </w:rPr>
      </w:pPr>
      <w:r w:rsidRPr="00476D69">
        <w:rPr>
          <w:rFonts w:eastAsia="Garamond" w:cs="Garamond"/>
          <w:sz w:val="26"/>
          <w:szCs w:val="26"/>
        </w:rPr>
        <w:t xml:space="preserve">In </w:t>
      </w:r>
      <w:proofErr w:type="spellStart"/>
      <w:r w:rsidRPr="00476D69">
        <w:rPr>
          <w:rFonts w:eastAsia="Garamond" w:cs="Garamond"/>
          <w:i/>
          <w:sz w:val="26"/>
          <w:szCs w:val="26"/>
        </w:rPr>
        <w:t>Artavia</w:t>
      </w:r>
      <w:proofErr w:type="spellEnd"/>
      <w:r w:rsidRPr="00476D69">
        <w:rPr>
          <w:rFonts w:eastAsia="Garamond" w:cs="Garamond"/>
          <w:i/>
          <w:sz w:val="26"/>
          <w:szCs w:val="26"/>
        </w:rPr>
        <w:t xml:space="preserve"> Murillo et al v. Costa Rica</w:t>
      </w:r>
      <w:r w:rsidRPr="00476D69">
        <w:rPr>
          <w:rFonts w:eastAsia="Garamond" w:cs="Garamond"/>
          <w:sz w:val="26"/>
          <w:szCs w:val="26"/>
        </w:rPr>
        <w:t>, the Inter-American Court of Human Rights determined that “reproductive autonomy and access to reproductive health services … includes the right to have access to the medical technology necessary to exercise this right.”</w:t>
      </w:r>
      <w:r w:rsidRPr="00476D69">
        <w:rPr>
          <w:sz w:val="26"/>
          <w:szCs w:val="26"/>
          <w:vertAlign w:val="superscript"/>
        </w:rPr>
        <w:footnoteReference w:id="84"/>
      </w:r>
    </w:p>
    <w:p w14:paraId="425F387F" w14:textId="77777777"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rFonts w:eastAsia="Garamond" w:cs="Garamond"/>
          <w:sz w:val="26"/>
          <w:szCs w:val="26"/>
        </w:rPr>
      </w:pPr>
      <w:proofErr w:type="gramStart"/>
      <w:r w:rsidRPr="00476D69">
        <w:rPr>
          <w:rFonts w:eastAsia="Garamond" w:cs="Garamond"/>
          <w:sz w:val="26"/>
          <w:szCs w:val="26"/>
        </w:rPr>
        <w:t>In direct conflict with the definitions of the right to health and the right to science set forth by this Committee, the Special Rapporteur, WHO, and the Inter-American Court of Human Rights, Estonia continues to criminalize and penalize any act that injures or damages an embryo or fetus, while it is in a woman’s uterus, if it results in miscarriage or death of the embryo or fetus.</w:t>
      </w:r>
      <w:r w:rsidRPr="00476D69">
        <w:rPr>
          <w:rStyle w:val="FootnoteReference"/>
          <w:rFonts w:eastAsia="Garamond" w:cs="Garamond"/>
          <w:sz w:val="26"/>
          <w:szCs w:val="26"/>
        </w:rPr>
        <w:footnoteReference w:id="85"/>
      </w:r>
      <w:proofErr w:type="gramEnd"/>
      <w:r w:rsidRPr="00476D69">
        <w:rPr>
          <w:rFonts w:eastAsia="Garamond" w:cs="Garamond"/>
          <w:sz w:val="26"/>
          <w:szCs w:val="26"/>
        </w:rPr>
        <w:t xml:space="preserve"> Additionally, Estonia prohibits the entire practice of surrogacy.</w:t>
      </w:r>
      <w:r w:rsidRPr="00476D69">
        <w:rPr>
          <w:rStyle w:val="FootnoteReference"/>
          <w:rFonts w:eastAsia="Garamond" w:cs="Garamond"/>
          <w:sz w:val="26"/>
          <w:szCs w:val="26"/>
        </w:rPr>
        <w:footnoteReference w:id="86"/>
      </w:r>
      <w:r w:rsidRPr="00476D69">
        <w:rPr>
          <w:rFonts w:eastAsia="Garamond" w:cs="Garamond"/>
          <w:sz w:val="26"/>
          <w:szCs w:val="26"/>
        </w:rPr>
        <w:t xml:space="preserve"> As a result, women incapable of bearing children, homosexual couples, and prospective parents finding surrogacy as the safest and most viable method of having a biological offspring are denied the medical procedure altogether. Thus, Estonia falls short in respecting, protecting, </w:t>
      </w:r>
      <w:r w:rsidRPr="00476D69">
        <w:rPr>
          <w:rFonts w:eastAsia="Garamond" w:cs="Garamond"/>
          <w:sz w:val="26"/>
          <w:szCs w:val="26"/>
        </w:rPr>
        <w:lastRenderedPageBreak/>
        <w:t>and fulfilling the Right to Family (Article 10), Right to Health (Article 12), and the Right to Science (Article 15).</w:t>
      </w:r>
    </w:p>
    <w:p w14:paraId="5A073CF9" w14:textId="77777777" w:rsidR="00435C8E" w:rsidRPr="00476D69" w:rsidRDefault="00435C8E" w:rsidP="00476D69">
      <w:pPr>
        <w:pStyle w:val="Heading1"/>
        <w:rPr>
          <w:sz w:val="26"/>
          <w:szCs w:val="26"/>
        </w:rPr>
      </w:pPr>
      <w:bookmarkStart w:id="12" w:name="_Toc506908277"/>
      <w:r w:rsidRPr="00476D69">
        <w:rPr>
          <w:sz w:val="26"/>
          <w:szCs w:val="26"/>
        </w:rPr>
        <w:t>ABORTION AND CONTRACEPTION (A&amp;C)</w:t>
      </w:r>
      <w:bookmarkEnd w:id="12"/>
    </w:p>
    <w:p w14:paraId="62BAF851" w14:textId="77777777" w:rsidR="00435C8E" w:rsidRPr="00476D69" w:rsidRDefault="00435C8E" w:rsidP="001C251D">
      <w:pPr>
        <w:pStyle w:val="Heading2"/>
        <w:spacing w:line="240" w:lineRule="auto"/>
        <w:rPr>
          <w:sz w:val="26"/>
          <w:szCs w:val="26"/>
        </w:rPr>
      </w:pPr>
      <w:bookmarkStart w:id="13" w:name="_Toc506908278"/>
      <w:r w:rsidRPr="00476D69">
        <w:rPr>
          <w:sz w:val="26"/>
          <w:szCs w:val="26"/>
        </w:rPr>
        <w:t>Abortion and Contraception in Estonia</w:t>
      </w:r>
      <w:bookmarkEnd w:id="13"/>
    </w:p>
    <w:p w14:paraId="39D52FCA" w14:textId="77777777" w:rsidR="00435C8E" w:rsidRPr="00476D69" w:rsidRDefault="00435C8E" w:rsidP="001C251D">
      <w:pPr>
        <w:pStyle w:val="Heading3"/>
        <w:spacing w:before="100" w:beforeAutospacing="1" w:after="100" w:afterAutospacing="1" w:line="240" w:lineRule="auto"/>
        <w:ind w:firstLine="720"/>
        <w:rPr>
          <w:rFonts w:ascii="Garamond" w:hAnsi="Garamond"/>
          <w:sz w:val="26"/>
          <w:szCs w:val="26"/>
        </w:rPr>
      </w:pPr>
      <w:bookmarkStart w:id="14" w:name="_Toc506908279"/>
      <w:r w:rsidRPr="00476D69">
        <w:rPr>
          <w:rFonts w:ascii="Garamond" w:hAnsi="Garamond"/>
          <w:sz w:val="26"/>
          <w:szCs w:val="26"/>
        </w:rPr>
        <w:t>Abortion</w:t>
      </w:r>
      <w:bookmarkEnd w:id="14"/>
    </w:p>
    <w:p w14:paraId="67C2D7D6" w14:textId="07FBAC6A" w:rsidR="00435C8E" w:rsidRPr="00476D69" w:rsidRDefault="00435C8E" w:rsidP="00BD212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On Abortion and Contraception, Estonia scores 56 out of 72 points on the Research and Self-Determination Index</w:t>
      </w:r>
      <w:r w:rsidR="006859F4" w:rsidRPr="00476D69">
        <w:rPr>
          <w:sz w:val="26"/>
          <w:szCs w:val="26"/>
        </w:rPr>
        <w:t>,</w:t>
      </w:r>
      <w:r w:rsidRPr="00476D69">
        <w:rPr>
          <w:sz w:val="26"/>
          <w:szCs w:val="26"/>
        </w:rPr>
        <w:t xml:space="preserve"> placing 30</w:t>
      </w:r>
      <w:r w:rsidRPr="00476D69">
        <w:rPr>
          <w:sz w:val="26"/>
          <w:szCs w:val="26"/>
          <w:vertAlign w:val="superscript"/>
        </w:rPr>
        <w:t>th</w:t>
      </w:r>
      <w:r w:rsidRPr="00476D69">
        <w:rPr>
          <w:sz w:val="26"/>
          <w:szCs w:val="26"/>
        </w:rPr>
        <w:t xml:space="preserve"> out of 194 countries surveyed.</w:t>
      </w:r>
      <w:r w:rsidRPr="00476D69">
        <w:rPr>
          <w:rStyle w:val="FootnoteReference"/>
          <w:sz w:val="26"/>
          <w:szCs w:val="26"/>
        </w:rPr>
        <w:footnoteReference w:id="87"/>
      </w:r>
      <w:r w:rsidR="00BD212D" w:rsidRPr="00476D69">
        <w:rPr>
          <w:sz w:val="26"/>
          <w:szCs w:val="26"/>
        </w:rPr>
        <w:t xml:space="preserve"> </w:t>
      </w:r>
      <w:r w:rsidRPr="00476D69">
        <w:rPr>
          <w:sz w:val="26"/>
          <w:szCs w:val="26"/>
        </w:rPr>
        <w:t>In its third periodic report submitted to the Committee, Estonia attempts to address the Committee’s concerns “that unwanted pregnancy often leads teenage girls to drop out of school.” Estonia states “[t]he proportion of dropouts in basic schools (Grades 1-9) in the years under review [2010-2015] was 0.9% of all students [by 2015]. Two thirds-of all dropouts are boys. The proportion of dropouts at the upper secondary school level is 1.6%. Male students comprise 50-55% of these dropouts.”</w:t>
      </w:r>
      <w:r w:rsidRPr="00476D69">
        <w:rPr>
          <w:rStyle w:val="FootnoteReference"/>
          <w:sz w:val="26"/>
          <w:szCs w:val="26"/>
        </w:rPr>
        <w:footnoteReference w:id="88"/>
      </w:r>
      <w:r w:rsidRPr="00476D69">
        <w:rPr>
          <w:sz w:val="26"/>
          <w:szCs w:val="26"/>
        </w:rPr>
        <w:t xml:space="preserve"> Yet, the report does not address the reasons for those dropouts nor the gender-specific obstacles abortion may impose on a pregnant teenager.</w:t>
      </w:r>
    </w:p>
    <w:p w14:paraId="38DF19D7"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Pursuant to the Committee’s request to “report information on sexual and reproductive health education provided to the public, Estonia states that “[s]</w:t>
      </w:r>
      <w:proofErr w:type="spellStart"/>
      <w:r w:rsidRPr="00476D69">
        <w:rPr>
          <w:sz w:val="26"/>
          <w:szCs w:val="26"/>
        </w:rPr>
        <w:t>ince</w:t>
      </w:r>
      <w:proofErr w:type="spellEnd"/>
      <w:r w:rsidRPr="00476D69">
        <w:rPr>
          <w:sz w:val="26"/>
          <w:szCs w:val="26"/>
        </w:rPr>
        <w:t xml:space="preserve"> 2000, young people have been provided with reproductive health counselling and services and psychological assistance by youth counselling </w:t>
      </w:r>
      <w:proofErr w:type="spellStart"/>
      <w:r w:rsidRPr="00476D69">
        <w:rPr>
          <w:sz w:val="26"/>
          <w:szCs w:val="26"/>
        </w:rPr>
        <w:t>centres</w:t>
      </w:r>
      <w:proofErr w:type="spellEnd"/>
      <w:r w:rsidRPr="00476D69">
        <w:rPr>
          <w:sz w:val="26"/>
          <w:szCs w:val="26"/>
        </w:rPr>
        <w:t xml:space="preserve">, which are funded by the Health Insurance Fund and the state. The Counselling </w:t>
      </w:r>
      <w:proofErr w:type="spellStart"/>
      <w:r w:rsidRPr="00476D69">
        <w:rPr>
          <w:sz w:val="26"/>
          <w:szCs w:val="26"/>
        </w:rPr>
        <w:t>centres</w:t>
      </w:r>
      <w:proofErr w:type="spellEnd"/>
      <w:r w:rsidRPr="00476D69">
        <w:rPr>
          <w:sz w:val="26"/>
          <w:szCs w:val="26"/>
        </w:rPr>
        <w:t xml:space="preserve"> </w:t>
      </w:r>
      <w:proofErr w:type="gramStart"/>
      <w:r w:rsidRPr="00476D69">
        <w:rPr>
          <w:sz w:val="26"/>
          <w:szCs w:val="26"/>
        </w:rPr>
        <w:t>are meant</w:t>
      </w:r>
      <w:proofErr w:type="gramEnd"/>
      <w:r w:rsidRPr="00476D69">
        <w:rPr>
          <w:sz w:val="26"/>
          <w:szCs w:val="26"/>
        </w:rPr>
        <w:t xml:space="preserve"> for men and women up to the age of 24. They can attend the counselling alone or as a couple. The </w:t>
      </w:r>
      <w:proofErr w:type="spellStart"/>
      <w:r w:rsidRPr="00476D69">
        <w:rPr>
          <w:sz w:val="26"/>
          <w:szCs w:val="26"/>
        </w:rPr>
        <w:t>centres</w:t>
      </w:r>
      <w:proofErr w:type="spellEnd"/>
      <w:r w:rsidRPr="00476D69">
        <w:rPr>
          <w:sz w:val="26"/>
          <w:szCs w:val="26"/>
        </w:rPr>
        <w:t xml:space="preserve"> also offer group work and lectures on sexual education. Gynecologists, </w:t>
      </w:r>
      <w:proofErr w:type="spellStart"/>
      <w:r w:rsidRPr="00476D69">
        <w:rPr>
          <w:sz w:val="26"/>
          <w:szCs w:val="26"/>
        </w:rPr>
        <w:t>andrologists</w:t>
      </w:r>
      <w:proofErr w:type="spellEnd"/>
      <w:r w:rsidRPr="00476D69">
        <w:rPr>
          <w:sz w:val="26"/>
          <w:szCs w:val="26"/>
        </w:rPr>
        <w:t xml:space="preserve">, psychologists, midwives and social workers are employed at the </w:t>
      </w:r>
      <w:proofErr w:type="spellStart"/>
      <w:r w:rsidRPr="00476D69">
        <w:rPr>
          <w:sz w:val="26"/>
          <w:szCs w:val="26"/>
        </w:rPr>
        <w:t>centres</w:t>
      </w:r>
      <w:proofErr w:type="spellEnd"/>
      <w:r w:rsidRPr="00476D69">
        <w:rPr>
          <w:sz w:val="26"/>
          <w:szCs w:val="26"/>
        </w:rPr>
        <w:t>.”</w:t>
      </w:r>
      <w:r w:rsidRPr="00476D69">
        <w:rPr>
          <w:rStyle w:val="FootnoteReference"/>
          <w:sz w:val="26"/>
          <w:szCs w:val="26"/>
        </w:rPr>
        <w:footnoteReference w:id="89"/>
      </w:r>
      <w:r w:rsidRPr="00476D69">
        <w:rPr>
          <w:sz w:val="26"/>
          <w:szCs w:val="26"/>
        </w:rPr>
        <w:t xml:space="preserve"> </w:t>
      </w:r>
      <w:proofErr w:type="gramStart"/>
      <w:r w:rsidRPr="00476D69">
        <w:rPr>
          <w:sz w:val="26"/>
          <w:szCs w:val="26"/>
        </w:rPr>
        <w:t>Additionally, Estonia describes “[a]n online counselling service and quality guidelines for online sexual and reproductive health counselling were developed in 2014 and 2015 within the scope of the ‘</w:t>
      </w:r>
      <w:proofErr w:type="spellStart"/>
      <w:r w:rsidRPr="00476D69">
        <w:rPr>
          <w:sz w:val="26"/>
          <w:szCs w:val="26"/>
        </w:rPr>
        <w:t>Organisation</w:t>
      </w:r>
      <w:proofErr w:type="spellEnd"/>
      <w:r w:rsidRPr="00476D69">
        <w:rPr>
          <w:sz w:val="26"/>
          <w:szCs w:val="26"/>
        </w:rPr>
        <w:t xml:space="preserve"> of online counselling in sexual health and development of quality guidelines for online mental and reproductive health counselling’ project, which in the future will serve as the basis for the definition and assessment of services and for the measurement of their quality.”</w:t>
      </w:r>
      <w:r w:rsidRPr="00476D69">
        <w:rPr>
          <w:rStyle w:val="FootnoteReference"/>
          <w:sz w:val="26"/>
          <w:szCs w:val="26"/>
        </w:rPr>
        <w:footnoteReference w:id="90"/>
      </w:r>
      <w:proofErr w:type="gramEnd"/>
    </w:p>
    <w:p w14:paraId="61EF1290" w14:textId="5D120325"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In addition to the Committee expressing concerns regarding abortion, in 2007, the Committee on the Elimination of Discrimination against Women (hereafter CEDAW) also brought attention to the issue. </w:t>
      </w:r>
      <w:proofErr w:type="gramStart"/>
      <w:r w:rsidRPr="00476D69">
        <w:rPr>
          <w:sz w:val="26"/>
          <w:szCs w:val="26"/>
        </w:rPr>
        <w:t>In its Concluding Comments on Estonia’s fulfillment under the Convention on the Elimination of All Forms of Discrimination against Women,</w:t>
      </w:r>
      <w:proofErr w:type="gramEnd"/>
      <w:r w:rsidRPr="00476D69">
        <w:rPr>
          <w:sz w:val="26"/>
          <w:szCs w:val="26"/>
        </w:rPr>
        <w:t xml:space="preserve"> it expressed “[concern] about the limited availability of specific information and data, including </w:t>
      </w:r>
      <w:r w:rsidRPr="00476D69">
        <w:rPr>
          <w:sz w:val="26"/>
          <w:szCs w:val="26"/>
        </w:rPr>
        <w:lastRenderedPageBreak/>
        <w:t>trends, about different aspects of women’s health. It is concerned that, while the abortion rate has decreased, it remains relatively high.”</w:t>
      </w:r>
      <w:r w:rsidRPr="00476D69">
        <w:rPr>
          <w:rStyle w:val="FootnoteReference"/>
          <w:sz w:val="26"/>
          <w:szCs w:val="26"/>
        </w:rPr>
        <w:footnoteReference w:id="91"/>
      </w:r>
      <w:r w:rsidRPr="00476D69">
        <w:rPr>
          <w:sz w:val="26"/>
          <w:szCs w:val="26"/>
        </w:rPr>
        <w:t xml:space="preserve"> </w:t>
      </w:r>
    </w:p>
    <w:p w14:paraId="1F6189AA" w14:textId="170F9BD4" w:rsidR="006859F4"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While in the early 2000s, Estonia experienced over 10,000 reported abortions in a year’s </w:t>
      </w:r>
      <w:proofErr w:type="gramStart"/>
      <w:r w:rsidRPr="00476D69">
        <w:rPr>
          <w:sz w:val="26"/>
          <w:szCs w:val="26"/>
        </w:rPr>
        <w:t>period,</w:t>
      </w:r>
      <w:proofErr w:type="gramEnd"/>
      <w:r w:rsidRPr="00476D69">
        <w:rPr>
          <w:sz w:val="26"/>
          <w:szCs w:val="26"/>
        </w:rPr>
        <w:t xml:space="preserve"> by 2015 it dropped to 4,919 reported abortions.</w:t>
      </w:r>
      <w:r w:rsidRPr="00476D69">
        <w:rPr>
          <w:rStyle w:val="FootnoteReference"/>
          <w:sz w:val="26"/>
          <w:szCs w:val="26"/>
        </w:rPr>
        <w:footnoteReference w:id="92"/>
      </w:r>
      <w:r w:rsidRPr="00476D69">
        <w:rPr>
          <w:sz w:val="26"/>
          <w:szCs w:val="26"/>
        </w:rPr>
        <w:t xml:space="preserve"> </w:t>
      </w:r>
    </w:p>
    <w:p w14:paraId="29EB522D" w14:textId="3EA4C984" w:rsidR="00435C8E" w:rsidRPr="00476D69" w:rsidRDefault="00435C8E" w:rsidP="006859F4">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“Pregnancy Abatement and Sterilization Act” (</w:t>
      </w:r>
      <w:proofErr w:type="spellStart"/>
      <w:r w:rsidRPr="00476D69">
        <w:rPr>
          <w:sz w:val="26"/>
          <w:szCs w:val="26"/>
        </w:rPr>
        <w:t>Raseduse</w:t>
      </w:r>
      <w:proofErr w:type="spellEnd"/>
      <w:r w:rsidRPr="00476D69">
        <w:rPr>
          <w:sz w:val="26"/>
          <w:szCs w:val="26"/>
        </w:rPr>
        <w:t xml:space="preserve"> </w:t>
      </w:r>
      <w:proofErr w:type="spellStart"/>
      <w:r w:rsidRPr="00476D69">
        <w:rPr>
          <w:sz w:val="26"/>
          <w:szCs w:val="26"/>
        </w:rPr>
        <w:t>katkestamise</w:t>
      </w:r>
      <w:proofErr w:type="spellEnd"/>
      <w:r w:rsidRPr="00476D69">
        <w:rPr>
          <w:sz w:val="26"/>
          <w:szCs w:val="26"/>
        </w:rPr>
        <w:t xml:space="preserve"> </w:t>
      </w:r>
      <w:proofErr w:type="gramStart"/>
      <w:r w:rsidRPr="00476D69">
        <w:rPr>
          <w:sz w:val="26"/>
          <w:szCs w:val="26"/>
        </w:rPr>
        <w:t>ja</w:t>
      </w:r>
      <w:proofErr w:type="gramEnd"/>
      <w:r w:rsidRPr="00476D69">
        <w:rPr>
          <w:sz w:val="26"/>
          <w:szCs w:val="26"/>
        </w:rPr>
        <w:t xml:space="preserve"> </w:t>
      </w:r>
      <w:proofErr w:type="spellStart"/>
      <w:r w:rsidRPr="00476D69">
        <w:rPr>
          <w:sz w:val="26"/>
          <w:szCs w:val="26"/>
        </w:rPr>
        <w:t>steriliseerimise</w:t>
      </w:r>
      <w:proofErr w:type="spellEnd"/>
      <w:r w:rsidRPr="00476D69">
        <w:rPr>
          <w:sz w:val="26"/>
          <w:szCs w:val="26"/>
        </w:rPr>
        <w:t xml:space="preserve"> </w:t>
      </w:r>
      <w:proofErr w:type="spellStart"/>
      <w:r w:rsidRPr="00476D69">
        <w:rPr>
          <w:sz w:val="26"/>
          <w:szCs w:val="26"/>
        </w:rPr>
        <w:t>seadus</w:t>
      </w:r>
      <w:proofErr w:type="spellEnd"/>
      <w:r w:rsidRPr="00476D69">
        <w:rPr>
          <w:sz w:val="26"/>
          <w:szCs w:val="26"/>
        </w:rPr>
        <w:t>) “determines the conditions and procedures for termination and sterilization of pregnancy” within Estonia.</w:t>
      </w:r>
      <w:r w:rsidRPr="00476D69">
        <w:rPr>
          <w:rStyle w:val="FootnoteReference"/>
          <w:sz w:val="26"/>
          <w:szCs w:val="26"/>
        </w:rPr>
        <w:footnoteReference w:id="93"/>
      </w:r>
      <w:r w:rsidRPr="00476D69">
        <w:rPr>
          <w:sz w:val="26"/>
          <w:szCs w:val="26"/>
        </w:rPr>
        <w:t xml:space="preserve"> According to the “Pregnancy Abatement and Sterilization Act</w:t>
      </w:r>
      <w:r w:rsidR="00BD212D" w:rsidRPr="00476D69">
        <w:rPr>
          <w:sz w:val="26"/>
          <w:szCs w:val="26"/>
        </w:rPr>
        <w:t>,</w:t>
      </w:r>
      <w:r w:rsidRPr="00476D69">
        <w:rPr>
          <w:sz w:val="26"/>
          <w:szCs w:val="26"/>
        </w:rPr>
        <w:t xml:space="preserve">” abortion </w:t>
      </w:r>
      <w:proofErr w:type="gramStart"/>
      <w:r w:rsidRPr="00476D69">
        <w:rPr>
          <w:sz w:val="26"/>
          <w:szCs w:val="26"/>
        </w:rPr>
        <w:t>is permitted</w:t>
      </w:r>
      <w:proofErr w:type="gramEnd"/>
      <w:r w:rsidRPr="00476D69">
        <w:rPr>
          <w:sz w:val="26"/>
          <w:szCs w:val="26"/>
        </w:rPr>
        <w:t xml:space="preserve"> up until the 12</w:t>
      </w:r>
      <w:r w:rsidRPr="00476D69">
        <w:rPr>
          <w:sz w:val="26"/>
          <w:szCs w:val="26"/>
          <w:vertAlign w:val="superscript"/>
        </w:rPr>
        <w:t>th</w:t>
      </w:r>
      <w:r w:rsidRPr="00476D69">
        <w:rPr>
          <w:sz w:val="26"/>
          <w:szCs w:val="26"/>
        </w:rPr>
        <w:t xml:space="preserve"> week of pregnancy.</w:t>
      </w:r>
      <w:r w:rsidRPr="00476D69">
        <w:rPr>
          <w:rStyle w:val="FootnoteReference"/>
          <w:sz w:val="26"/>
          <w:szCs w:val="26"/>
        </w:rPr>
        <w:footnoteReference w:id="94"/>
      </w:r>
      <w:r w:rsidRPr="00476D69">
        <w:rPr>
          <w:sz w:val="26"/>
          <w:szCs w:val="26"/>
        </w:rPr>
        <w:t xml:space="preserve"> </w:t>
      </w:r>
      <w:proofErr w:type="gramStart"/>
      <w:r w:rsidRPr="00476D69">
        <w:rPr>
          <w:sz w:val="26"/>
          <w:szCs w:val="26"/>
        </w:rPr>
        <w:t>Abortion may be legal up to 22 weeks, however, if “(1) the pregnancy endangers the pregnant woman’s health; (2) the unborn child may have a severe mental or physical damage to health; (3) the illness or health problem of a pregnant woman hinders the raising of a child; (4) the pregnant woman is below the age of 15; (5) the pregnant woman is over the age of 45.”</w:t>
      </w:r>
      <w:r w:rsidRPr="00476D69">
        <w:rPr>
          <w:rStyle w:val="FootnoteReference"/>
          <w:sz w:val="26"/>
          <w:szCs w:val="26"/>
        </w:rPr>
        <w:footnoteReference w:id="95"/>
      </w:r>
      <w:proofErr w:type="gramEnd"/>
      <w:r w:rsidRPr="00476D69">
        <w:rPr>
          <w:sz w:val="26"/>
          <w:szCs w:val="26"/>
        </w:rPr>
        <w:t xml:space="preserve"> The doctor performing the abortion will decide on the admissibility of termination of pregnancy.</w:t>
      </w:r>
      <w:r w:rsidRPr="00476D69">
        <w:rPr>
          <w:rStyle w:val="FootnoteReference"/>
          <w:sz w:val="26"/>
          <w:szCs w:val="26"/>
        </w:rPr>
        <w:footnoteReference w:id="96"/>
      </w:r>
      <w:r w:rsidRPr="00476D69">
        <w:rPr>
          <w:sz w:val="26"/>
          <w:szCs w:val="26"/>
        </w:rPr>
        <w:t xml:space="preserve"> In cases of where the pregnancy endangers the pregnant woman’s health, the unborn child may be born with severe mental or physical damage, or the pregnant woman’s illness prevents her from raising the child, at least three doctors must agree on the admissibility of termination in writing.</w:t>
      </w:r>
      <w:r w:rsidRPr="00476D69">
        <w:rPr>
          <w:rStyle w:val="FootnoteReference"/>
          <w:sz w:val="26"/>
          <w:szCs w:val="26"/>
        </w:rPr>
        <w:footnoteReference w:id="97"/>
      </w:r>
      <w:r w:rsidRPr="00476D69">
        <w:rPr>
          <w:sz w:val="26"/>
          <w:szCs w:val="26"/>
        </w:rPr>
        <w:t xml:space="preserve"> Two of the three doctors must be gynecologists while the other doctor must be a medical specialist concerned with the woman’s illness or health problems.</w:t>
      </w:r>
      <w:r w:rsidRPr="00476D69">
        <w:rPr>
          <w:rStyle w:val="FootnoteReference"/>
          <w:sz w:val="26"/>
          <w:szCs w:val="26"/>
        </w:rPr>
        <w:footnoteReference w:id="98"/>
      </w:r>
      <w:r w:rsidRPr="00476D69">
        <w:rPr>
          <w:sz w:val="26"/>
          <w:szCs w:val="26"/>
        </w:rPr>
        <w:t xml:space="preserve"> Before the abortion procedure, the Act requires that the health care professional explain to the pregnant woman “the biological and medical nature of termination of pregnancy, and the involved risks, including the potential complications”</w:t>
      </w:r>
      <w:r w:rsidRPr="00476D69">
        <w:rPr>
          <w:rStyle w:val="FootnoteReference"/>
          <w:sz w:val="26"/>
          <w:szCs w:val="26"/>
        </w:rPr>
        <w:footnoteReference w:id="99"/>
      </w:r>
      <w:r w:rsidRPr="00476D69">
        <w:rPr>
          <w:sz w:val="26"/>
          <w:szCs w:val="26"/>
        </w:rPr>
        <w:t xml:space="preserve"> as well as “the psychological and other relevant counselling possibilities.”</w:t>
      </w:r>
      <w:r w:rsidRPr="00476D69">
        <w:rPr>
          <w:rStyle w:val="FootnoteReference"/>
          <w:sz w:val="26"/>
          <w:szCs w:val="26"/>
        </w:rPr>
        <w:footnoteReference w:id="100"/>
      </w:r>
    </w:p>
    <w:p w14:paraId="00D3686E" w14:textId="70A594A7" w:rsidR="00435C8E" w:rsidRPr="00476D69" w:rsidRDefault="006859F4"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A </w:t>
      </w:r>
      <w:r w:rsidR="00435C8E" w:rsidRPr="00476D69">
        <w:rPr>
          <w:sz w:val="26"/>
          <w:szCs w:val="26"/>
        </w:rPr>
        <w:t xml:space="preserve">2015 global study conducted by the </w:t>
      </w:r>
      <w:proofErr w:type="spellStart"/>
      <w:r w:rsidR="00435C8E" w:rsidRPr="00476D69">
        <w:rPr>
          <w:sz w:val="26"/>
          <w:szCs w:val="26"/>
        </w:rPr>
        <w:t>Guttmacher</w:t>
      </w:r>
      <w:proofErr w:type="spellEnd"/>
      <w:r w:rsidR="00435C8E" w:rsidRPr="00476D69">
        <w:rPr>
          <w:sz w:val="26"/>
          <w:szCs w:val="26"/>
        </w:rPr>
        <w:t xml:space="preserve"> Institute in New York, USA, notes that “[t]he teen pregnancy rate declined in the majority of the 16 countries with complete estimates in both the mid-19990s and 2011. The steepest annualized percentage change occurred in Estonia (4% per year).”</w:t>
      </w:r>
    </w:p>
    <w:p w14:paraId="4959E408" w14:textId="77777777" w:rsidR="00435C8E" w:rsidRPr="00476D69" w:rsidRDefault="00435C8E" w:rsidP="001C251D">
      <w:pPr>
        <w:pStyle w:val="Heading3"/>
        <w:spacing w:before="100" w:beforeAutospacing="1" w:after="100" w:afterAutospacing="1" w:line="240" w:lineRule="auto"/>
        <w:ind w:firstLine="720"/>
        <w:rPr>
          <w:rFonts w:ascii="Garamond" w:hAnsi="Garamond"/>
          <w:sz w:val="26"/>
          <w:szCs w:val="26"/>
        </w:rPr>
      </w:pPr>
      <w:bookmarkStart w:id="15" w:name="_Toc506908280"/>
      <w:r w:rsidRPr="00476D69">
        <w:rPr>
          <w:rFonts w:ascii="Garamond" w:hAnsi="Garamond"/>
          <w:sz w:val="26"/>
          <w:szCs w:val="26"/>
        </w:rPr>
        <w:t>Contraception</w:t>
      </w:r>
      <w:bookmarkEnd w:id="15"/>
    </w:p>
    <w:p w14:paraId="188DD6DC" w14:textId="77777777"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CEDAW issued its Concluding Observations on Estonia’s obligations under the Convention on the Elimination of Discrimination against Women on 18 November </w:t>
      </w:r>
      <w:r w:rsidRPr="00476D69">
        <w:rPr>
          <w:sz w:val="26"/>
          <w:szCs w:val="26"/>
        </w:rPr>
        <w:lastRenderedPageBreak/>
        <w:t>2016.</w:t>
      </w:r>
      <w:r w:rsidRPr="00476D69">
        <w:rPr>
          <w:rStyle w:val="FootnoteReference"/>
          <w:sz w:val="26"/>
          <w:szCs w:val="26"/>
        </w:rPr>
        <w:footnoteReference w:id="101"/>
      </w:r>
      <w:r w:rsidRPr="00476D69">
        <w:rPr>
          <w:sz w:val="26"/>
          <w:szCs w:val="26"/>
        </w:rPr>
        <w:t xml:space="preserve"> Its Observations noted that approximately 95% of Estonian citizens </w:t>
      </w:r>
      <w:proofErr w:type="gramStart"/>
      <w:r w:rsidRPr="00476D69">
        <w:rPr>
          <w:sz w:val="26"/>
          <w:szCs w:val="26"/>
        </w:rPr>
        <w:t>are covered</w:t>
      </w:r>
      <w:proofErr w:type="gramEnd"/>
      <w:r w:rsidRPr="00476D69">
        <w:rPr>
          <w:sz w:val="26"/>
          <w:szCs w:val="26"/>
        </w:rPr>
        <w:t xml:space="preserve"> by the national mandatory health insurance scheme.</w:t>
      </w:r>
      <w:r w:rsidRPr="00476D69">
        <w:rPr>
          <w:rStyle w:val="FootnoteReference"/>
          <w:sz w:val="26"/>
          <w:szCs w:val="26"/>
        </w:rPr>
        <w:footnoteReference w:id="102"/>
      </w:r>
      <w:r w:rsidRPr="00476D69">
        <w:rPr>
          <w:sz w:val="26"/>
          <w:szCs w:val="26"/>
        </w:rPr>
        <w:t xml:space="preserve"> </w:t>
      </w:r>
      <w:proofErr w:type="gramStart"/>
      <w:r w:rsidRPr="00476D69">
        <w:rPr>
          <w:sz w:val="26"/>
          <w:szCs w:val="26"/>
        </w:rPr>
        <w:t>Yet, it expressed concerned with “the high rates of alcohol abuse and alcohol-related deaths among young women; the limited contraceptive coverage under the health insurance scheme; the long waiting periods for health appointments, in particular with respect to sexual and reproductive health services, especially for women in rural areas; and the limited accessibility for rural, older and marginalized women of the recently introduced electronic administration of health appointments.”</w:t>
      </w:r>
      <w:r w:rsidRPr="00476D69">
        <w:rPr>
          <w:rStyle w:val="FootnoteReference"/>
          <w:sz w:val="26"/>
          <w:szCs w:val="26"/>
        </w:rPr>
        <w:footnoteReference w:id="103"/>
      </w:r>
      <w:proofErr w:type="gramEnd"/>
    </w:p>
    <w:p w14:paraId="14786D99"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proofErr w:type="gramStart"/>
      <w:r w:rsidRPr="00476D69">
        <w:rPr>
          <w:sz w:val="26"/>
          <w:szCs w:val="26"/>
        </w:rPr>
        <w:t>CEDAW’s corresponding recommendation included to “take the measures necessary to address the high rates of alcohol abuse and alcohol-related deaths among young women; ensure affordable access to sexual and reproductive health services, in particular to a comprehensive range of contraceptives, for all women and girls, including those in rural areas and those with disabilities; reduce the waiting periods for obtaining health appointments, in particular for rural women and with respect to sexual and reproductive services; and ensure that rural, older and marginalized women are not excluded from health services owing to the recent introduction of electronic administration of health appointments, by educating them on the use of such tools and ensuring adequate Internet access.”</w:t>
      </w:r>
      <w:r w:rsidRPr="00476D69">
        <w:rPr>
          <w:rStyle w:val="FootnoteReference"/>
          <w:sz w:val="26"/>
          <w:szCs w:val="26"/>
        </w:rPr>
        <w:footnoteReference w:id="104"/>
      </w:r>
      <w:proofErr w:type="gramEnd"/>
    </w:p>
    <w:p w14:paraId="0EB0C5D7"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Condoms and emergency contraceptive pills are accessible without prescription.</w:t>
      </w:r>
      <w:r w:rsidRPr="00476D69">
        <w:rPr>
          <w:rStyle w:val="FootnoteReference"/>
          <w:sz w:val="26"/>
          <w:szCs w:val="26"/>
        </w:rPr>
        <w:t xml:space="preserve"> </w:t>
      </w:r>
      <w:r w:rsidRPr="00476D69">
        <w:rPr>
          <w:rStyle w:val="FootnoteReference"/>
          <w:sz w:val="26"/>
          <w:szCs w:val="26"/>
        </w:rPr>
        <w:footnoteReference w:id="105"/>
      </w:r>
      <w:r w:rsidRPr="00476D69">
        <w:rPr>
          <w:sz w:val="26"/>
          <w:szCs w:val="26"/>
        </w:rPr>
        <w:t xml:space="preserve"> </w:t>
      </w:r>
    </w:p>
    <w:p w14:paraId="2EA28606"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conditions and procedure for the issue of prescriptions for medicinal products and for the dispensation of medicinal products by pharmacies and the format of the prescription” Act (</w:t>
      </w:r>
      <w:proofErr w:type="spellStart"/>
      <w:r w:rsidRPr="00476D69">
        <w:rPr>
          <w:sz w:val="26"/>
          <w:szCs w:val="26"/>
        </w:rPr>
        <w:t>Ravimite</w:t>
      </w:r>
      <w:proofErr w:type="spellEnd"/>
      <w:r w:rsidRPr="00476D69">
        <w:rPr>
          <w:sz w:val="26"/>
          <w:szCs w:val="26"/>
        </w:rPr>
        <w:t xml:space="preserve"> </w:t>
      </w:r>
      <w:proofErr w:type="spellStart"/>
      <w:r w:rsidRPr="00476D69">
        <w:rPr>
          <w:sz w:val="26"/>
          <w:szCs w:val="26"/>
        </w:rPr>
        <w:t>väljakirjutamise</w:t>
      </w:r>
      <w:proofErr w:type="spellEnd"/>
      <w:r w:rsidRPr="00476D69">
        <w:rPr>
          <w:sz w:val="26"/>
          <w:szCs w:val="26"/>
        </w:rPr>
        <w:t xml:space="preserve"> </w:t>
      </w:r>
      <w:proofErr w:type="gramStart"/>
      <w:r w:rsidRPr="00476D69">
        <w:rPr>
          <w:sz w:val="26"/>
          <w:szCs w:val="26"/>
        </w:rPr>
        <w:t>ja</w:t>
      </w:r>
      <w:proofErr w:type="gramEnd"/>
      <w:r w:rsidRPr="00476D69">
        <w:rPr>
          <w:sz w:val="26"/>
          <w:szCs w:val="26"/>
        </w:rPr>
        <w:t xml:space="preserve"> </w:t>
      </w:r>
      <w:proofErr w:type="spellStart"/>
      <w:r w:rsidRPr="00476D69">
        <w:rPr>
          <w:sz w:val="26"/>
          <w:szCs w:val="26"/>
        </w:rPr>
        <w:t>apteekidest</w:t>
      </w:r>
      <w:proofErr w:type="spellEnd"/>
      <w:r w:rsidRPr="00476D69">
        <w:rPr>
          <w:sz w:val="26"/>
          <w:szCs w:val="26"/>
        </w:rPr>
        <w:t xml:space="preserve"> </w:t>
      </w:r>
      <w:proofErr w:type="spellStart"/>
      <w:r w:rsidRPr="00476D69">
        <w:rPr>
          <w:sz w:val="26"/>
          <w:szCs w:val="26"/>
        </w:rPr>
        <w:t>väljastamise</w:t>
      </w:r>
      <w:proofErr w:type="spellEnd"/>
      <w:r w:rsidRPr="00476D69">
        <w:rPr>
          <w:sz w:val="26"/>
          <w:szCs w:val="26"/>
        </w:rPr>
        <w:t xml:space="preserve"> </w:t>
      </w:r>
      <w:proofErr w:type="spellStart"/>
      <w:r w:rsidRPr="00476D69">
        <w:rPr>
          <w:sz w:val="26"/>
          <w:szCs w:val="26"/>
        </w:rPr>
        <w:t>tingimused</w:t>
      </w:r>
      <w:proofErr w:type="spellEnd"/>
      <w:r w:rsidRPr="00476D69">
        <w:rPr>
          <w:sz w:val="26"/>
          <w:szCs w:val="26"/>
        </w:rPr>
        <w:t xml:space="preserve"> ja </w:t>
      </w:r>
      <w:proofErr w:type="spellStart"/>
      <w:r w:rsidRPr="00476D69">
        <w:rPr>
          <w:sz w:val="26"/>
          <w:szCs w:val="26"/>
        </w:rPr>
        <w:t>kord</w:t>
      </w:r>
      <w:proofErr w:type="spellEnd"/>
      <w:r w:rsidRPr="00476D69">
        <w:rPr>
          <w:sz w:val="26"/>
          <w:szCs w:val="26"/>
        </w:rPr>
        <w:t xml:space="preserve"> </w:t>
      </w:r>
      <w:proofErr w:type="spellStart"/>
      <w:r w:rsidRPr="00476D69">
        <w:rPr>
          <w:sz w:val="26"/>
          <w:szCs w:val="26"/>
        </w:rPr>
        <w:t>ning</w:t>
      </w:r>
      <w:proofErr w:type="spellEnd"/>
      <w:r w:rsidRPr="00476D69">
        <w:rPr>
          <w:sz w:val="26"/>
          <w:szCs w:val="26"/>
        </w:rPr>
        <w:t xml:space="preserve"> </w:t>
      </w:r>
      <w:proofErr w:type="spellStart"/>
      <w:r w:rsidRPr="00476D69">
        <w:rPr>
          <w:sz w:val="26"/>
          <w:szCs w:val="26"/>
        </w:rPr>
        <w:t>retsepti</w:t>
      </w:r>
      <w:proofErr w:type="spellEnd"/>
      <w:r w:rsidRPr="00476D69">
        <w:rPr>
          <w:sz w:val="26"/>
          <w:szCs w:val="26"/>
        </w:rPr>
        <w:t xml:space="preserve"> </w:t>
      </w:r>
      <w:proofErr w:type="spellStart"/>
      <w:r w:rsidRPr="00476D69">
        <w:rPr>
          <w:sz w:val="26"/>
          <w:szCs w:val="26"/>
        </w:rPr>
        <w:t>vorm</w:t>
      </w:r>
      <w:proofErr w:type="spellEnd"/>
      <w:r w:rsidRPr="00476D69">
        <w:rPr>
          <w:sz w:val="26"/>
          <w:szCs w:val="26"/>
        </w:rPr>
        <w:t>) establishes the issuance and dispensation of prescriptions for medicinal products in Estonia.</w:t>
      </w:r>
      <w:r w:rsidRPr="00476D69">
        <w:rPr>
          <w:rStyle w:val="FootnoteReference"/>
          <w:sz w:val="26"/>
          <w:szCs w:val="26"/>
        </w:rPr>
        <w:footnoteReference w:id="106"/>
      </w:r>
      <w:r w:rsidRPr="00476D69">
        <w:rPr>
          <w:sz w:val="26"/>
          <w:szCs w:val="26"/>
        </w:rPr>
        <w:t xml:space="preserve"> Hormonal contraceptive methods and intrauterine devices (IUDs) </w:t>
      </w:r>
      <w:proofErr w:type="gramStart"/>
      <w:r w:rsidRPr="00476D69">
        <w:rPr>
          <w:sz w:val="26"/>
          <w:szCs w:val="26"/>
        </w:rPr>
        <w:t>are subsidized and prescribed by doctors, nurses, and midwives</w:t>
      </w:r>
      <w:proofErr w:type="gramEnd"/>
      <w:r w:rsidRPr="00476D69">
        <w:rPr>
          <w:sz w:val="26"/>
          <w:szCs w:val="26"/>
        </w:rPr>
        <w:t>.</w:t>
      </w:r>
      <w:r w:rsidRPr="00476D69">
        <w:rPr>
          <w:rStyle w:val="FootnoteReference"/>
          <w:sz w:val="26"/>
          <w:szCs w:val="26"/>
        </w:rPr>
        <w:footnoteReference w:id="107"/>
      </w:r>
      <w:r w:rsidRPr="00476D69">
        <w:rPr>
          <w:sz w:val="26"/>
          <w:szCs w:val="26"/>
        </w:rPr>
        <w:t xml:space="preserve"> Additionally, individuals must visit a contraceptive service in order to start using one of these methods.</w:t>
      </w:r>
      <w:r w:rsidRPr="00476D69">
        <w:rPr>
          <w:rStyle w:val="FootnoteReference"/>
          <w:sz w:val="26"/>
          <w:szCs w:val="26"/>
        </w:rPr>
        <w:footnoteReference w:id="108"/>
      </w:r>
    </w:p>
    <w:p w14:paraId="2B65F7D6" w14:textId="0913C997" w:rsidR="00435C8E" w:rsidRPr="00476D69" w:rsidRDefault="00435C8E" w:rsidP="00043A76">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lastRenderedPageBreak/>
        <w:t xml:space="preserve">Contraceptives available via prescription </w:t>
      </w:r>
      <w:proofErr w:type="gramStart"/>
      <w:r w:rsidRPr="00476D69">
        <w:rPr>
          <w:sz w:val="26"/>
          <w:szCs w:val="26"/>
        </w:rPr>
        <w:t>include:</w:t>
      </w:r>
      <w:proofErr w:type="gramEnd"/>
      <w:r w:rsidRPr="00476D69">
        <w:rPr>
          <w:sz w:val="26"/>
          <w:szCs w:val="26"/>
        </w:rPr>
        <w:t xml:space="preserve"> plastic IUDs, intravaginal contraceptives, hormonal contraceptives for systemic use such as progestogens, estrogens, emergency contraceptives, and medroxyprogesterone.</w:t>
      </w:r>
      <w:r w:rsidRPr="00476D69">
        <w:rPr>
          <w:rStyle w:val="FootnoteReference"/>
          <w:sz w:val="26"/>
          <w:szCs w:val="26"/>
        </w:rPr>
        <w:footnoteReference w:id="109"/>
      </w:r>
      <w:r w:rsidR="00043A76" w:rsidRPr="00476D69">
        <w:rPr>
          <w:sz w:val="26"/>
          <w:szCs w:val="26"/>
        </w:rPr>
        <w:t xml:space="preserve"> </w:t>
      </w:r>
      <w:r w:rsidRPr="00476D69">
        <w:rPr>
          <w:sz w:val="26"/>
          <w:szCs w:val="26"/>
        </w:rPr>
        <w:t>Estonia has the highest rate of using intrauterine contraception (IUC) in Europe, at 35.9% of women who use contraception.</w:t>
      </w:r>
      <w:r w:rsidRPr="00476D69">
        <w:rPr>
          <w:rStyle w:val="FootnoteReference"/>
          <w:sz w:val="26"/>
          <w:szCs w:val="26"/>
        </w:rPr>
        <w:footnoteReference w:id="110"/>
      </w:r>
      <w:r w:rsidR="00043A76" w:rsidRPr="00476D69">
        <w:rPr>
          <w:sz w:val="26"/>
          <w:szCs w:val="26"/>
        </w:rPr>
        <w:t xml:space="preserve"> </w:t>
      </w:r>
      <w:proofErr w:type="gramStart"/>
      <w:r w:rsidRPr="00476D69">
        <w:rPr>
          <w:sz w:val="26"/>
          <w:szCs w:val="26"/>
        </w:rPr>
        <w:t>Prescription contraceptives are generally subsidized by the Estonian government</w:t>
      </w:r>
      <w:proofErr w:type="gramEnd"/>
      <w:r w:rsidRPr="00476D69">
        <w:rPr>
          <w:sz w:val="26"/>
          <w:szCs w:val="26"/>
        </w:rPr>
        <w:t>. “Contraceptives receive a reimbursement rate of 75%, if taken: (</w:t>
      </w:r>
      <w:proofErr w:type="spellStart"/>
      <w:r w:rsidRPr="00476D69">
        <w:rPr>
          <w:sz w:val="26"/>
          <w:szCs w:val="26"/>
        </w:rPr>
        <w:t>i</w:t>
      </w:r>
      <w:proofErr w:type="spellEnd"/>
      <w:r w:rsidRPr="00476D69">
        <w:rPr>
          <w:sz w:val="26"/>
          <w:szCs w:val="26"/>
        </w:rPr>
        <w:t>) within one year after childbirth, (ii) within three months after an abortion, or (iii) in the case of medical contraindication to childbirth. If a contraceptive on the list of medicines reimbursed at 75% is not used for these three reasons, the contraceptive falls into the 50% reimbursement rate bracket.”</w:t>
      </w:r>
      <w:r w:rsidRPr="00476D69">
        <w:rPr>
          <w:rStyle w:val="FootnoteReference"/>
          <w:sz w:val="26"/>
          <w:szCs w:val="26"/>
        </w:rPr>
        <w:footnoteReference w:id="111"/>
      </w:r>
      <w:r w:rsidR="00043A76" w:rsidRPr="00476D69">
        <w:rPr>
          <w:sz w:val="26"/>
          <w:szCs w:val="26"/>
        </w:rPr>
        <w:t xml:space="preserve"> </w:t>
      </w:r>
      <w:r w:rsidRPr="00476D69">
        <w:rPr>
          <w:sz w:val="26"/>
          <w:szCs w:val="26"/>
        </w:rPr>
        <w:t xml:space="preserve">Contraceptive preparations are taxed at 9% of the taxable </w:t>
      </w:r>
      <w:proofErr w:type="gramStart"/>
      <w:r w:rsidRPr="00476D69">
        <w:rPr>
          <w:sz w:val="26"/>
          <w:szCs w:val="26"/>
        </w:rPr>
        <w:t>value which</w:t>
      </w:r>
      <w:proofErr w:type="gramEnd"/>
      <w:r w:rsidRPr="00476D69">
        <w:rPr>
          <w:sz w:val="26"/>
          <w:szCs w:val="26"/>
        </w:rPr>
        <w:t xml:space="preserve"> is a reduction from the 20% tax rate imposed on most items. </w:t>
      </w:r>
      <w:r w:rsidRPr="00476D69">
        <w:rPr>
          <w:rStyle w:val="FootnoteReference"/>
          <w:sz w:val="26"/>
          <w:szCs w:val="26"/>
        </w:rPr>
        <w:footnoteReference w:id="112"/>
      </w:r>
      <w:r w:rsidRPr="00476D69">
        <w:rPr>
          <w:sz w:val="26"/>
          <w:szCs w:val="26"/>
        </w:rPr>
        <w:t xml:space="preserve"> </w:t>
      </w:r>
    </w:p>
    <w:p w14:paraId="01E1A53D" w14:textId="77777777" w:rsidR="00596162" w:rsidRPr="00476D69" w:rsidRDefault="00596162" w:rsidP="001C251D">
      <w:pPr>
        <w:pStyle w:val="Heading2"/>
        <w:spacing w:line="240" w:lineRule="auto"/>
        <w:rPr>
          <w:sz w:val="26"/>
          <w:szCs w:val="26"/>
        </w:rPr>
      </w:pPr>
      <w:bookmarkStart w:id="18" w:name="_Toc506903118"/>
      <w:bookmarkStart w:id="19" w:name="_Toc506908281"/>
      <w:r w:rsidRPr="00476D69">
        <w:rPr>
          <w:sz w:val="26"/>
          <w:szCs w:val="26"/>
        </w:rPr>
        <w:t xml:space="preserve">Analysis: </w:t>
      </w:r>
      <w:bookmarkEnd w:id="18"/>
      <w:r w:rsidR="00171673" w:rsidRPr="00476D69">
        <w:rPr>
          <w:sz w:val="26"/>
          <w:szCs w:val="26"/>
        </w:rPr>
        <w:t>To What Extent are Estonia’s Laws and Practices with regard to Abortion and Contraception Compatible with the Covenant?</w:t>
      </w:r>
      <w:bookmarkEnd w:id="19"/>
    </w:p>
    <w:p w14:paraId="488CB621" w14:textId="1EA767AF" w:rsidR="00435C8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The right to benefit from scientific progress include</w:t>
      </w:r>
      <w:r w:rsidR="00043A76" w:rsidRPr="00476D69">
        <w:rPr>
          <w:sz w:val="26"/>
          <w:szCs w:val="26"/>
        </w:rPr>
        <w:t>s</w:t>
      </w:r>
      <w:r w:rsidRPr="00476D69">
        <w:rPr>
          <w:sz w:val="26"/>
          <w:szCs w:val="26"/>
        </w:rPr>
        <w:t xml:space="preserve"> the right to access and undergo scientific procedures and methods that help improve health and safety. Abortion, access to affordable contraception, and education on sex and reproduction </w:t>
      </w:r>
      <w:proofErr w:type="gramStart"/>
      <w:r w:rsidRPr="00476D69">
        <w:rPr>
          <w:sz w:val="26"/>
          <w:szCs w:val="26"/>
        </w:rPr>
        <w:t>are incorporated</w:t>
      </w:r>
      <w:proofErr w:type="gramEnd"/>
      <w:r w:rsidRPr="00476D69">
        <w:rPr>
          <w:sz w:val="26"/>
          <w:szCs w:val="26"/>
        </w:rPr>
        <w:t xml:space="preserve"> within those rights. </w:t>
      </w:r>
    </w:p>
    <w:p w14:paraId="5933E6D5" w14:textId="77777777"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As emphasized in this Committee’s General Comment No. 14, the right to reproductive health means that individuals have </w:t>
      </w:r>
      <w:proofErr w:type="gramStart"/>
      <w:r w:rsidRPr="00476D69">
        <w:rPr>
          <w:sz w:val="26"/>
          <w:szCs w:val="26"/>
        </w:rPr>
        <w:t>the freedom to decide if and when to reproduce</w:t>
      </w:r>
      <w:proofErr w:type="gramEnd"/>
      <w:r w:rsidRPr="00476D69">
        <w:rPr>
          <w:sz w:val="26"/>
          <w:szCs w:val="26"/>
        </w:rPr>
        <w:t>.</w:t>
      </w:r>
      <w:r w:rsidRPr="00476D69">
        <w:rPr>
          <w:rStyle w:val="FootnoteReference"/>
          <w:sz w:val="26"/>
          <w:szCs w:val="26"/>
        </w:rPr>
        <w:footnoteReference w:id="113"/>
      </w:r>
      <w:r w:rsidRPr="00476D69">
        <w:rPr>
          <w:sz w:val="26"/>
          <w:szCs w:val="26"/>
        </w:rPr>
        <w:t xml:space="preserve"> In addition, States must ensure that their residents are informed and have access to safe, effective, affordable and acceptable methods of family planning.</w:t>
      </w:r>
      <w:r w:rsidRPr="00476D69">
        <w:rPr>
          <w:rStyle w:val="FootnoteReference"/>
          <w:sz w:val="26"/>
          <w:szCs w:val="26"/>
        </w:rPr>
        <w:footnoteReference w:id="114"/>
      </w:r>
    </w:p>
    <w:p w14:paraId="372B57DD" w14:textId="2C831936"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The </w:t>
      </w:r>
      <w:proofErr w:type="spellStart"/>
      <w:r w:rsidRPr="00476D69">
        <w:rPr>
          <w:sz w:val="26"/>
          <w:szCs w:val="26"/>
        </w:rPr>
        <w:t>Programme</w:t>
      </w:r>
      <w:proofErr w:type="spellEnd"/>
      <w:r w:rsidRPr="00476D69">
        <w:rPr>
          <w:sz w:val="26"/>
          <w:szCs w:val="26"/>
        </w:rPr>
        <w:t xml:space="preserve"> of Action of the International Conference on Population and Development further enshrines this well-established “right to reproductive autonomy</w:t>
      </w:r>
      <w:r w:rsidR="00043A76" w:rsidRPr="00476D69">
        <w:rPr>
          <w:sz w:val="26"/>
          <w:szCs w:val="26"/>
        </w:rPr>
        <w:t>.</w:t>
      </w:r>
      <w:r w:rsidRPr="00476D69">
        <w:rPr>
          <w:sz w:val="26"/>
          <w:szCs w:val="26"/>
        </w:rPr>
        <w:t xml:space="preserve">” </w:t>
      </w:r>
    </w:p>
    <w:p w14:paraId="14D69500" w14:textId="6F70B8DB"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The European Court of Human Rights, in deciding </w:t>
      </w:r>
      <w:r w:rsidRPr="00476D69">
        <w:rPr>
          <w:i/>
          <w:sz w:val="26"/>
          <w:szCs w:val="26"/>
        </w:rPr>
        <w:t xml:space="preserve">Costa and </w:t>
      </w:r>
      <w:proofErr w:type="spellStart"/>
      <w:r w:rsidRPr="00476D69">
        <w:rPr>
          <w:i/>
          <w:sz w:val="26"/>
          <w:szCs w:val="26"/>
        </w:rPr>
        <w:t>Pavan</w:t>
      </w:r>
      <w:proofErr w:type="spellEnd"/>
      <w:r w:rsidRPr="00476D69">
        <w:rPr>
          <w:i/>
          <w:sz w:val="26"/>
          <w:szCs w:val="26"/>
        </w:rPr>
        <w:t xml:space="preserve"> v. Italy, Evans v. UK,</w:t>
      </w:r>
      <w:r w:rsidRPr="00476D69">
        <w:rPr>
          <w:rStyle w:val="FootnoteReference"/>
          <w:i/>
          <w:sz w:val="26"/>
          <w:szCs w:val="26"/>
        </w:rPr>
        <w:footnoteReference w:id="115"/>
      </w:r>
      <w:r w:rsidR="00E93DAF" w:rsidRPr="00476D69">
        <w:rPr>
          <w:i/>
          <w:sz w:val="26"/>
          <w:szCs w:val="26"/>
        </w:rPr>
        <w:t xml:space="preserve"> </w:t>
      </w:r>
      <w:r w:rsidRPr="00476D69">
        <w:rPr>
          <w:i/>
          <w:sz w:val="26"/>
          <w:szCs w:val="26"/>
        </w:rPr>
        <w:t>Dickson v. UK,</w:t>
      </w:r>
      <w:r w:rsidRPr="00476D69">
        <w:rPr>
          <w:rStyle w:val="FootnoteReference"/>
          <w:i/>
          <w:sz w:val="26"/>
          <w:szCs w:val="26"/>
        </w:rPr>
        <w:footnoteReference w:id="116"/>
      </w:r>
      <w:r w:rsidRPr="00476D69">
        <w:rPr>
          <w:i/>
          <w:sz w:val="26"/>
          <w:szCs w:val="26"/>
        </w:rPr>
        <w:t xml:space="preserve"> </w:t>
      </w:r>
      <w:r w:rsidRPr="00476D69">
        <w:rPr>
          <w:sz w:val="26"/>
          <w:szCs w:val="26"/>
        </w:rPr>
        <w:t>and</w:t>
      </w:r>
      <w:r w:rsidRPr="00476D69">
        <w:rPr>
          <w:i/>
          <w:sz w:val="26"/>
          <w:szCs w:val="26"/>
        </w:rPr>
        <w:t xml:space="preserve"> S.H. and Others v. Austria</w:t>
      </w:r>
      <w:r w:rsidRPr="00476D69">
        <w:rPr>
          <w:sz w:val="26"/>
          <w:szCs w:val="26"/>
        </w:rPr>
        <w:t>,</w:t>
      </w:r>
      <w:r w:rsidRPr="00476D69">
        <w:rPr>
          <w:rStyle w:val="FootnoteReference"/>
          <w:sz w:val="26"/>
          <w:szCs w:val="26"/>
        </w:rPr>
        <w:footnoteReference w:id="117"/>
      </w:r>
      <w:r w:rsidRPr="00476D69">
        <w:rPr>
          <w:sz w:val="26"/>
          <w:szCs w:val="26"/>
        </w:rPr>
        <w:t xml:space="preserve"> concluded that the decision to </w:t>
      </w:r>
      <w:r w:rsidRPr="00476D69">
        <w:rPr>
          <w:sz w:val="26"/>
          <w:szCs w:val="26"/>
        </w:rPr>
        <w:lastRenderedPageBreak/>
        <w:t xml:space="preserve">become or not become a parent </w:t>
      </w:r>
      <w:proofErr w:type="gramStart"/>
      <w:r w:rsidRPr="00476D69">
        <w:rPr>
          <w:sz w:val="26"/>
          <w:szCs w:val="26"/>
        </w:rPr>
        <w:t>is protected</w:t>
      </w:r>
      <w:proofErr w:type="gramEnd"/>
      <w:r w:rsidRPr="00476D69">
        <w:rPr>
          <w:sz w:val="26"/>
          <w:szCs w:val="26"/>
        </w:rPr>
        <w:t xml:space="preserve"> under Article 8 of the European Convention of Human Rights, which is similar to Article 10 of the Covenant.</w:t>
      </w:r>
      <w:r w:rsidRPr="00476D69">
        <w:rPr>
          <w:rStyle w:val="FootnoteReference"/>
          <w:sz w:val="26"/>
          <w:szCs w:val="26"/>
        </w:rPr>
        <w:footnoteReference w:id="118"/>
      </w:r>
    </w:p>
    <w:p w14:paraId="071EE111" w14:textId="022D2465"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Estonia’s country report does not adequately address the gender-specific factors that affect issues this Committee has raised. The report is also silent on concerns expressed by CEDAW such as ensuring affordable access to sexual and reproductive health services and providing a comprehensive range of contraceptives in rural area</w:t>
      </w:r>
      <w:r w:rsidR="00043A76" w:rsidRPr="00476D69">
        <w:rPr>
          <w:sz w:val="26"/>
          <w:szCs w:val="26"/>
        </w:rPr>
        <w:t>s</w:t>
      </w:r>
      <w:r w:rsidRPr="00476D69">
        <w:rPr>
          <w:sz w:val="26"/>
          <w:szCs w:val="26"/>
        </w:rPr>
        <w:t>.</w:t>
      </w:r>
      <w:r w:rsidRPr="00476D69">
        <w:rPr>
          <w:rStyle w:val="FootnoteReference"/>
          <w:sz w:val="26"/>
          <w:szCs w:val="26"/>
        </w:rPr>
        <w:footnoteReference w:id="119"/>
      </w:r>
    </w:p>
    <w:p w14:paraId="46AD0844" w14:textId="6FD17088"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Estonia’s domestic law on abortion is moderate. Estonia </w:t>
      </w:r>
      <w:r w:rsidR="00F1317C" w:rsidRPr="00476D69">
        <w:rPr>
          <w:sz w:val="26"/>
          <w:szCs w:val="26"/>
        </w:rPr>
        <w:t>neither</w:t>
      </w:r>
      <w:r w:rsidRPr="00476D69">
        <w:rPr>
          <w:sz w:val="26"/>
          <w:szCs w:val="26"/>
        </w:rPr>
        <w:t xml:space="preserve"> criminalize</w:t>
      </w:r>
      <w:r w:rsidR="00F1317C" w:rsidRPr="00476D69">
        <w:rPr>
          <w:sz w:val="26"/>
          <w:szCs w:val="26"/>
        </w:rPr>
        <w:t>s</w:t>
      </w:r>
      <w:r w:rsidRPr="00476D69">
        <w:rPr>
          <w:sz w:val="26"/>
          <w:szCs w:val="26"/>
        </w:rPr>
        <w:t xml:space="preserve"> nor penalize</w:t>
      </w:r>
      <w:r w:rsidR="00F1317C" w:rsidRPr="00476D69">
        <w:rPr>
          <w:sz w:val="26"/>
          <w:szCs w:val="26"/>
        </w:rPr>
        <w:t>s</w:t>
      </w:r>
      <w:r w:rsidRPr="00476D69">
        <w:rPr>
          <w:sz w:val="26"/>
          <w:szCs w:val="26"/>
        </w:rPr>
        <w:t xml:space="preserve"> women, doctors, or health care providers for participating in an abortion procedure. However, the requirement for three doctors’ approval in select cases may be an arduous obstacle.</w:t>
      </w:r>
    </w:p>
    <w:p w14:paraId="7722F04B" w14:textId="57AD62D9" w:rsidR="00435C8E" w:rsidRPr="00476D69" w:rsidRDefault="00435C8E" w:rsidP="003538AB">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 xml:space="preserve">Estonia makes contraceptives readily available. Although contraceptives may be taxed, </w:t>
      </w:r>
      <w:proofErr w:type="gramStart"/>
      <w:r w:rsidRPr="00476D69">
        <w:rPr>
          <w:sz w:val="26"/>
          <w:szCs w:val="26"/>
        </w:rPr>
        <w:t>they may also be subsidized by the government</w:t>
      </w:r>
      <w:proofErr w:type="gramEnd"/>
      <w:r w:rsidRPr="00476D69">
        <w:rPr>
          <w:sz w:val="26"/>
          <w:szCs w:val="26"/>
        </w:rPr>
        <w:t>. As expressed by CEDAW, however, contraceptives may be altogether unavailable for teenagers and adults in rural areas.</w:t>
      </w:r>
    </w:p>
    <w:p w14:paraId="1269540D" w14:textId="31B60257" w:rsidR="008D060E" w:rsidRPr="00476D69" w:rsidRDefault="00435C8E" w:rsidP="001C251D">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Until Estonia makes contraceptives accessible to all teenagers and adults, removes arduous obstacles for women seeking an abortion, addresses the causes of teenage pregnancy, and increases its investment in research on reproduction and gender-specific needs, it will not adequately meet the rights to reproductive autonomy, to family, to health, and to science.</w:t>
      </w:r>
    </w:p>
    <w:p w14:paraId="6DCA324A" w14:textId="77777777" w:rsidR="00435C8E" w:rsidRPr="00476D69" w:rsidRDefault="00435C8E" w:rsidP="00476D69">
      <w:pPr>
        <w:pStyle w:val="Heading1"/>
        <w:rPr>
          <w:sz w:val="26"/>
          <w:szCs w:val="26"/>
        </w:rPr>
      </w:pPr>
      <w:bookmarkStart w:id="20" w:name="_Toc506908282"/>
      <w:r w:rsidRPr="00476D69">
        <w:rPr>
          <w:sz w:val="26"/>
          <w:szCs w:val="26"/>
        </w:rPr>
        <w:t>RECOMMENDATIONS</w:t>
      </w:r>
      <w:bookmarkEnd w:id="20"/>
    </w:p>
    <w:p w14:paraId="00F82A3C" w14:textId="77777777" w:rsidR="00435C8E" w:rsidRPr="00476D69" w:rsidRDefault="00435C8E" w:rsidP="00630080">
      <w:pPr>
        <w:pStyle w:val="ListParagraph"/>
        <w:numPr>
          <w:ilvl w:val="0"/>
          <w:numId w:val="1"/>
        </w:numPr>
        <w:spacing w:before="100" w:beforeAutospacing="1" w:after="100" w:afterAutospacing="1" w:line="240" w:lineRule="auto"/>
        <w:ind w:left="0" w:firstLine="720"/>
        <w:contextualSpacing w:val="0"/>
        <w:jc w:val="both"/>
        <w:rPr>
          <w:sz w:val="26"/>
          <w:szCs w:val="26"/>
        </w:rPr>
      </w:pPr>
      <w:r w:rsidRPr="00476D69">
        <w:rPr>
          <w:sz w:val="26"/>
          <w:szCs w:val="26"/>
        </w:rPr>
        <w:t>We recommend that this Honorable committee include at least one of the following questions in the List of Issues it will prepare for Estonia.</w:t>
      </w:r>
    </w:p>
    <w:p w14:paraId="4B790242" w14:textId="77777777" w:rsidR="00435C8E" w:rsidRPr="00476D69" w:rsidRDefault="00435C8E" w:rsidP="00DD4883">
      <w:pPr>
        <w:pStyle w:val="ListParagraph"/>
        <w:numPr>
          <w:ilvl w:val="1"/>
          <w:numId w:val="7"/>
        </w:numPr>
        <w:spacing w:before="100" w:beforeAutospacing="1" w:after="100" w:afterAutospacing="1" w:line="240" w:lineRule="auto"/>
        <w:ind w:left="720" w:firstLine="720"/>
        <w:contextualSpacing w:val="0"/>
        <w:jc w:val="both"/>
        <w:rPr>
          <w:sz w:val="26"/>
          <w:szCs w:val="26"/>
        </w:rPr>
      </w:pPr>
      <w:r w:rsidRPr="00476D69">
        <w:rPr>
          <w:sz w:val="26"/>
          <w:szCs w:val="26"/>
        </w:rPr>
        <w:t>Please explain how a lack of comprehensive, domestic legislation on human embryonic stem cell research benefits Estonia and how it can be reconciled with its Article 15 obligation to take steps towards achieving the full realization of the Right to enjoy the benefits of scientific progress and its application.</w:t>
      </w:r>
    </w:p>
    <w:p w14:paraId="7C587C3C" w14:textId="77777777" w:rsidR="00435C8E" w:rsidRPr="00476D69" w:rsidRDefault="00435C8E" w:rsidP="003538AB">
      <w:pPr>
        <w:pStyle w:val="ListParagraph"/>
        <w:numPr>
          <w:ilvl w:val="1"/>
          <w:numId w:val="7"/>
        </w:numPr>
        <w:spacing w:before="100" w:beforeAutospacing="1" w:after="100" w:afterAutospacing="1" w:line="240" w:lineRule="auto"/>
        <w:ind w:left="720" w:firstLine="720"/>
        <w:contextualSpacing w:val="0"/>
        <w:jc w:val="both"/>
        <w:rPr>
          <w:sz w:val="26"/>
          <w:szCs w:val="26"/>
        </w:rPr>
      </w:pPr>
      <w:r w:rsidRPr="00476D69">
        <w:rPr>
          <w:sz w:val="26"/>
          <w:szCs w:val="26"/>
        </w:rPr>
        <w:t>Please explain how banning surrogacy</w:t>
      </w:r>
      <w:r w:rsidR="009734DA" w:rsidRPr="00476D69">
        <w:rPr>
          <w:sz w:val="26"/>
          <w:szCs w:val="26"/>
        </w:rPr>
        <w:t xml:space="preserve"> respects and</w:t>
      </w:r>
      <w:r w:rsidRPr="00476D69">
        <w:rPr>
          <w:sz w:val="26"/>
          <w:szCs w:val="26"/>
        </w:rPr>
        <w:t xml:space="preserve"> ensures the protected Article 10 Right to Family, the Article 12 Rights to reproductive autonomy and reproductive health, and the protected Article 15 Right to enjoy the benefits of scientific progress and its application.</w:t>
      </w:r>
    </w:p>
    <w:p w14:paraId="69A3026E" w14:textId="77777777" w:rsidR="00435C8E" w:rsidRPr="00476D69" w:rsidRDefault="00435C8E" w:rsidP="003538AB">
      <w:pPr>
        <w:pStyle w:val="ListParagraph"/>
        <w:numPr>
          <w:ilvl w:val="1"/>
          <w:numId w:val="7"/>
        </w:numPr>
        <w:spacing w:before="100" w:beforeAutospacing="1" w:after="100" w:afterAutospacing="1" w:line="240" w:lineRule="auto"/>
        <w:ind w:left="720" w:firstLine="720"/>
        <w:contextualSpacing w:val="0"/>
        <w:jc w:val="both"/>
        <w:rPr>
          <w:sz w:val="26"/>
          <w:szCs w:val="26"/>
        </w:rPr>
      </w:pPr>
      <w:r w:rsidRPr="00476D69">
        <w:rPr>
          <w:sz w:val="26"/>
          <w:szCs w:val="26"/>
        </w:rPr>
        <w:t>Please explain how penalizing individuals who could benefit from the practice of surrogacy</w:t>
      </w:r>
      <w:r w:rsidR="009734DA" w:rsidRPr="00476D69">
        <w:rPr>
          <w:sz w:val="26"/>
          <w:szCs w:val="26"/>
        </w:rPr>
        <w:t xml:space="preserve"> respects and</w:t>
      </w:r>
      <w:r w:rsidRPr="00476D69">
        <w:rPr>
          <w:sz w:val="26"/>
          <w:szCs w:val="26"/>
        </w:rPr>
        <w:t xml:space="preserve"> ensures the protected Article 10 Right to Family, the Article 12 Rights to reproductive autonomy and reproductive health, and the protected Article 15 Right to enjoy the benefits of scientific progress and its application.</w:t>
      </w:r>
    </w:p>
    <w:p w14:paraId="2DA120E3" w14:textId="77777777" w:rsidR="00435C8E" w:rsidRPr="00476D69" w:rsidRDefault="00435C8E" w:rsidP="003538AB">
      <w:pPr>
        <w:pStyle w:val="ListParagraph"/>
        <w:numPr>
          <w:ilvl w:val="1"/>
          <w:numId w:val="7"/>
        </w:numPr>
        <w:spacing w:before="100" w:beforeAutospacing="1" w:after="100" w:afterAutospacing="1" w:line="240" w:lineRule="auto"/>
        <w:ind w:left="720" w:firstLine="720"/>
        <w:contextualSpacing w:val="0"/>
        <w:jc w:val="both"/>
        <w:rPr>
          <w:sz w:val="26"/>
          <w:szCs w:val="26"/>
        </w:rPr>
      </w:pPr>
      <w:r w:rsidRPr="00476D69">
        <w:rPr>
          <w:sz w:val="26"/>
          <w:szCs w:val="26"/>
        </w:rPr>
        <w:t xml:space="preserve">In recognizing that the Article 12 Right to health and the Article 15 Right to science must be fulfilled without discrimination, please explain how Estonia’s current position on surrogacy does not discriminate against individuals who are </w:t>
      </w:r>
      <w:r w:rsidRPr="00476D69">
        <w:rPr>
          <w:sz w:val="26"/>
          <w:szCs w:val="26"/>
        </w:rPr>
        <w:lastRenderedPageBreak/>
        <w:t>incapable of bearing children, homosexual couples, or prospective parents finding surrogacy as the safest and most viable method of having a biological offspring.</w:t>
      </w:r>
    </w:p>
    <w:p w14:paraId="19775FA9" w14:textId="77777777" w:rsidR="00435C8E" w:rsidRPr="00476D69" w:rsidRDefault="00435C8E" w:rsidP="003538AB">
      <w:pPr>
        <w:pStyle w:val="ListParagraph"/>
        <w:numPr>
          <w:ilvl w:val="1"/>
          <w:numId w:val="7"/>
        </w:numPr>
        <w:spacing w:before="100" w:beforeAutospacing="1" w:after="100" w:afterAutospacing="1" w:line="240" w:lineRule="auto"/>
        <w:ind w:left="720" w:firstLine="720"/>
        <w:contextualSpacing w:val="0"/>
        <w:jc w:val="both"/>
        <w:rPr>
          <w:i/>
          <w:sz w:val="26"/>
          <w:szCs w:val="26"/>
        </w:rPr>
      </w:pPr>
      <w:r w:rsidRPr="00476D69">
        <w:rPr>
          <w:sz w:val="26"/>
          <w:szCs w:val="26"/>
        </w:rPr>
        <w:t>Please, report on what steps Estonia has taken, or intends to take, to repealing penalties against surrogacy.</w:t>
      </w:r>
    </w:p>
    <w:p w14:paraId="139D9CE8" w14:textId="77777777" w:rsidR="00435C8E" w:rsidRPr="00476D69" w:rsidRDefault="00435C8E" w:rsidP="003538AB">
      <w:pPr>
        <w:pStyle w:val="ListParagraph"/>
        <w:numPr>
          <w:ilvl w:val="1"/>
          <w:numId w:val="7"/>
        </w:numPr>
        <w:spacing w:before="100" w:beforeAutospacing="1" w:after="100" w:afterAutospacing="1" w:line="240" w:lineRule="auto"/>
        <w:ind w:left="720" w:firstLine="720"/>
        <w:contextualSpacing w:val="0"/>
        <w:jc w:val="both"/>
        <w:rPr>
          <w:sz w:val="26"/>
          <w:szCs w:val="26"/>
        </w:rPr>
      </w:pPr>
      <w:r w:rsidRPr="00476D69">
        <w:rPr>
          <w:sz w:val="26"/>
          <w:szCs w:val="26"/>
        </w:rPr>
        <w:t>Please, report on what steps Estonia has taken, or intends to take, to respect, protect, and fulfill the “right to reproductive autonomy,” especially regarding teenagers’ access to contraceptives, sexual education, and emerging science.</w:t>
      </w:r>
    </w:p>
    <w:p w14:paraId="209920D6" w14:textId="636B1C33" w:rsidR="00435C8E" w:rsidRPr="00476D69" w:rsidRDefault="00435C8E" w:rsidP="003538AB">
      <w:pPr>
        <w:pStyle w:val="ListParagraph"/>
        <w:numPr>
          <w:ilvl w:val="1"/>
          <w:numId w:val="7"/>
        </w:numPr>
        <w:spacing w:before="100" w:beforeAutospacing="1" w:after="100" w:afterAutospacing="1" w:line="240" w:lineRule="auto"/>
        <w:ind w:left="720" w:firstLine="720"/>
        <w:contextualSpacing w:val="0"/>
        <w:jc w:val="both"/>
        <w:rPr>
          <w:noProof/>
          <w:sz w:val="26"/>
          <w:szCs w:val="26"/>
        </w:rPr>
      </w:pPr>
      <w:r w:rsidRPr="00476D69">
        <w:rPr>
          <w:sz w:val="26"/>
          <w:szCs w:val="26"/>
        </w:rPr>
        <w:t>Please, report on what steps Estonia has taken, or intends to take, to make contraception more available and affordable, especially for teenagers and for individuals residing in rural areas.</w:t>
      </w:r>
      <w:r w:rsidR="00BE0AE0" w:rsidRPr="00476D69">
        <w:rPr>
          <w:sz w:val="26"/>
          <w:szCs w:val="26"/>
        </w:rPr>
        <w:t xml:space="preserve"> </w:t>
      </w:r>
    </w:p>
    <w:sectPr w:rsidR="00435C8E" w:rsidRPr="00476D69" w:rsidSect="00476D69">
      <w:footerReference w:type="first" r:id="rId12"/>
      <w:type w:val="continuous"/>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EA5DD" w14:textId="77777777" w:rsidR="00B70A6A" w:rsidRDefault="00B70A6A" w:rsidP="00435C8E">
      <w:pPr>
        <w:spacing w:after="0" w:line="240" w:lineRule="auto"/>
      </w:pPr>
      <w:r>
        <w:separator/>
      </w:r>
    </w:p>
  </w:endnote>
  <w:endnote w:type="continuationSeparator" w:id="0">
    <w:p w14:paraId="5AD0F7B1" w14:textId="77777777" w:rsidR="00B70A6A" w:rsidRDefault="00B70A6A" w:rsidP="00435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5136816"/>
      <w:docPartObj>
        <w:docPartGallery w:val="Page Numbers (Bottom of Page)"/>
        <w:docPartUnique/>
      </w:docPartObj>
    </w:sdtPr>
    <w:sdtEndPr>
      <w:rPr>
        <w:noProof/>
      </w:rPr>
    </w:sdtEndPr>
    <w:sdtContent>
      <w:p w14:paraId="4F4D8C98" w14:textId="71C4FF8A" w:rsidR="00476D69" w:rsidRDefault="00B70A6A" w:rsidP="00476D69">
        <w:pPr>
          <w:pStyle w:val="Footer"/>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9833033"/>
      <w:docPartObj>
        <w:docPartGallery w:val="Page Numbers (Bottom of Page)"/>
        <w:docPartUnique/>
      </w:docPartObj>
    </w:sdtPr>
    <w:sdtEndPr>
      <w:rPr>
        <w:noProof/>
      </w:rPr>
    </w:sdtEndPr>
    <w:sdtContent>
      <w:p w14:paraId="325FAA8D" w14:textId="232D71EA" w:rsidR="00476D69" w:rsidRDefault="00A41650" w:rsidP="00A41650">
        <w:pPr>
          <w:pStyle w:val="Footer"/>
          <w:jc w:val="center"/>
        </w:pPr>
        <w:r>
          <w:fldChar w:fldCharType="begin"/>
        </w:r>
        <w:r>
          <w:instrText xml:space="preserve"> PAGE   \* MERGEFORMAT </w:instrText>
        </w:r>
        <w:r>
          <w:fldChar w:fldCharType="separate"/>
        </w:r>
        <w:r w:rsidR="009E7B5F">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433E1" w14:textId="77777777" w:rsidR="00B70A6A" w:rsidRDefault="00B70A6A" w:rsidP="00435C8E">
      <w:pPr>
        <w:spacing w:after="0" w:line="240" w:lineRule="auto"/>
      </w:pPr>
      <w:r>
        <w:separator/>
      </w:r>
    </w:p>
  </w:footnote>
  <w:footnote w:type="continuationSeparator" w:id="0">
    <w:p w14:paraId="035B020C" w14:textId="77777777" w:rsidR="00B70A6A" w:rsidRDefault="00B70A6A" w:rsidP="00435C8E">
      <w:pPr>
        <w:spacing w:after="0" w:line="240" w:lineRule="auto"/>
      </w:pPr>
      <w:r>
        <w:continuationSeparator/>
      </w:r>
    </w:p>
  </w:footnote>
  <w:footnote w:id="1">
    <w:p w14:paraId="2B3B13ED" w14:textId="77777777" w:rsidR="000C24E7" w:rsidRPr="00596162" w:rsidRDefault="000C24E7" w:rsidP="00435C8E">
      <w:pPr>
        <w:pStyle w:val="FootnoteText"/>
      </w:pPr>
      <w:r w:rsidRPr="00596162">
        <w:rPr>
          <w:rStyle w:val="FootnoteReference"/>
        </w:rPr>
        <w:footnoteRef/>
      </w:r>
      <w:r w:rsidRPr="00596162">
        <w:t xml:space="preserve"> International Covenant on Economic, Social and Cultural Rights, art. 15(1</w:t>
      </w:r>
      <w:proofErr w:type="gramStart"/>
      <w:r w:rsidRPr="00596162">
        <w:t>)(</w:t>
      </w:r>
      <w:proofErr w:type="gramEnd"/>
      <w:r w:rsidRPr="00596162">
        <w:t xml:space="preserve">b), Dec. 16, 1966, S. Treaty Doc. No. 95-19, 6 I.L.M. 360 (1967), 993 U.N.T.S. 3 [hereinafter CESCR]. </w:t>
      </w:r>
      <w:r w:rsidRPr="00596162">
        <w:rPr>
          <w:i/>
        </w:rPr>
        <w:t>States Party to the International Covenant on Economic, Social and Cultural Rights</w:t>
      </w:r>
      <w:r w:rsidRPr="00596162">
        <w:t xml:space="preserve">, United Nations Treaty Collection, </w:t>
      </w:r>
      <w:hyperlink r:id="rId1" w:history="1">
        <w:r w:rsidRPr="00596162">
          <w:rPr>
            <w:rStyle w:val="Hyperlink"/>
            <w:rFonts w:eastAsia="Garamond" w:cs="Garamond"/>
          </w:rPr>
          <w:t>https://treaties.un.org/Pages/ViewDetails.aspx?src=IND&amp;mtdsg_no=IV-3&amp;chapter=4&amp;clang=_en</w:t>
        </w:r>
      </w:hyperlink>
      <w:r w:rsidRPr="00596162">
        <w:t>. (</w:t>
      </w:r>
      <w:proofErr w:type="gramStart"/>
      <w:r w:rsidRPr="00596162">
        <w:t>last</w:t>
      </w:r>
      <w:proofErr w:type="gramEnd"/>
      <w:r w:rsidRPr="00596162">
        <w:t xml:space="preserve"> visited 14 Dec. 2017).</w:t>
      </w:r>
    </w:p>
  </w:footnote>
  <w:footnote w:id="2">
    <w:p w14:paraId="14783F78" w14:textId="77777777" w:rsidR="000C24E7" w:rsidRPr="00596162" w:rsidRDefault="000C24E7" w:rsidP="00435C8E">
      <w:pPr>
        <w:pStyle w:val="FootnoteText"/>
      </w:pPr>
      <w:r w:rsidRPr="00596162">
        <w:rPr>
          <w:rStyle w:val="FootnoteReference"/>
        </w:rPr>
        <w:footnoteRef/>
      </w:r>
      <w:r w:rsidRPr="00596162">
        <w:t xml:space="preserve"> U.N. Economic and Social Council, </w:t>
      </w:r>
      <w:r w:rsidRPr="00596162">
        <w:rPr>
          <w:i/>
        </w:rPr>
        <w:t>Third Periodic Report Submitted by Estonia under articles 16 and 17 of the Covenant, due in 2016</w:t>
      </w:r>
      <w:r w:rsidRPr="00596162">
        <w:t>, UN Doc. E/C.12/EST/3, (29 Sep. 2017).</w:t>
      </w:r>
    </w:p>
  </w:footnote>
  <w:footnote w:id="3">
    <w:p w14:paraId="73C86A19" w14:textId="162BA286" w:rsidR="000C24E7" w:rsidRDefault="000C24E7" w:rsidP="00B16633">
      <w:pPr>
        <w:pStyle w:val="Heading4"/>
      </w:pPr>
      <w:r>
        <w:rPr>
          <w:rStyle w:val="FootnoteReference"/>
        </w:rPr>
        <w:footnoteRef/>
      </w:r>
      <w:r>
        <w:t xml:space="preserve"> This report has been edited for size by Joshua </w:t>
      </w:r>
      <w:proofErr w:type="spellStart"/>
      <w:r>
        <w:t>Fruto</w:t>
      </w:r>
      <w:proofErr w:type="spellEnd"/>
      <w:r>
        <w:t>, JD/Tax LLM Candidate 2020, and Adam Peterson, JD Candidate 2020, of the International Human Rights Clinic of Loyola Law School, Los Angeles.</w:t>
      </w:r>
    </w:p>
  </w:footnote>
  <w:footnote w:id="4">
    <w:p w14:paraId="6427A64C" w14:textId="77777777" w:rsidR="000C24E7" w:rsidRPr="00596162" w:rsidRDefault="000C24E7" w:rsidP="00435C8E">
      <w:pPr>
        <w:pStyle w:val="FootnoteText"/>
      </w:pPr>
      <w:r w:rsidRPr="00596162">
        <w:rPr>
          <w:rStyle w:val="FootnoteReference"/>
        </w:rPr>
        <w:footnoteRef/>
      </w:r>
      <w:r w:rsidRPr="00596162">
        <w:t xml:space="preserve"> See </w:t>
      </w:r>
      <w:r w:rsidRPr="00596162">
        <w:rPr>
          <w:i/>
        </w:rPr>
        <w:t xml:space="preserve">International Human Rights Clinic, </w:t>
      </w:r>
      <w:r w:rsidRPr="00596162">
        <w:t xml:space="preserve">Loyola Law School, Los Angeles, </w:t>
      </w:r>
      <w:hyperlink r:id="rId2">
        <w:r w:rsidRPr="00596162">
          <w:rPr>
            <w:u w:val="single"/>
          </w:rPr>
          <w:t>http://www.lls.edu/academics/experientiallearning/clinics/socialcriminaljusticeclinics/internationalhumanrightsclinic/</w:t>
        </w:r>
      </w:hyperlink>
      <w:r w:rsidRPr="00596162">
        <w:t xml:space="preserve"> (last visited 11 Dec. 2017).</w:t>
      </w:r>
    </w:p>
  </w:footnote>
  <w:footnote w:id="5">
    <w:p w14:paraId="536F357C" w14:textId="77777777" w:rsidR="000C24E7" w:rsidRPr="00596162" w:rsidRDefault="000C24E7" w:rsidP="00435C8E">
      <w:pPr>
        <w:pStyle w:val="FootnoteText"/>
      </w:pPr>
      <w:r w:rsidRPr="00596162">
        <w:rPr>
          <w:vertAlign w:val="superscript"/>
        </w:rPr>
        <w:footnoteRef/>
      </w:r>
      <w:r w:rsidRPr="00596162">
        <w:t xml:space="preserve"> See </w:t>
      </w:r>
      <w:r w:rsidRPr="00596162">
        <w:rPr>
          <w:i/>
        </w:rPr>
        <w:t>Research and Self Determination Index</w:t>
      </w:r>
      <w:r w:rsidRPr="00596162">
        <w:t xml:space="preserve">, World Congress for Freedom of Scientific Research, </w:t>
      </w:r>
      <w:hyperlink r:id="rId3">
        <w:r w:rsidRPr="00596162">
          <w:rPr>
            <w:u w:val="single"/>
          </w:rPr>
          <w:t>http://www.freedomofresearch.org/research-and-self-determination-index</w:t>
        </w:r>
      </w:hyperlink>
      <w:r w:rsidRPr="00596162">
        <w:t xml:space="preserve"> (last visited 11 Dec. 2017). </w:t>
      </w:r>
    </w:p>
  </w:footnote>
  <w:footnote w:id="6">
    <w:p w14:paraId="6C63BCB2" w14:textId="77777777" w:rsidR="000C24E7" w:rsidRPr="00596162" w:rsidRDefault="000C24E7" w:rsidP="00435C8E">
      <w:pPr>
        <w:pStyle w:val="FootnoteText"/>
      </w:pPr>
      <w:r w:rsidRPr="00596162">
        <w:rPr>
          <w:vertAlign w:val="superscript"/>
        </w:rPr>
        <w:footnoteRef/>
      </w:r>
      <w:r w:rsidRPr="00596162">
        <w:t xml:space="preserve"> </w:t>
      </w:r>
      <w:r w:rsidRPr="00596162">
        <w:rPr>
          <w:i/>
        </w:rPr>
        <w:t>See id.</w:t>
      </w:r>
      <w:r w:rsidRPr="00596162">
        <w:t xml:space="preserve"> (“If data are not available, the answer is not included in the calculation.”).</w:t>
      </w:r>
    </w:p>
  </w:footnote>
  <w:footnote w:id="7">
    <w:p w14:paraId="494AF306" w14:textId="77777777" w:rsidR="000C24E7" w:rsidRPr="00596162" w:rsidRDefault="000C24E7" w:rsidP="00435C8E">
      <w:pPr>
        <w:pStyle w:val="FootnoteText"/>
      </w:pPr>
      <w:r w:rsidRPr="00596162">
        <w:rPr>
          <w:rStyle w:val="FootnoteReference"/>
        </w:rPr>
        <w:footnoteRef/>
      </w:r>
      <w:r w:rsidRPr="00596162">
        <w:t xml:space="preserve"> See </w:t>
      </w:r>
      <w:proofErr w:type="gramStart"/>
      <w:r w:rsidRPr="00596162">
        <w:rPr>
          <w:i/>
        </w:rPr>
        <w:t>About</w:t>
      </w:r>
      <w:proofErr w:type="gramEnd"/>
      <w:r w:rsidRPr="00596162">
        <w:rPr>
          <w:i/>
        </w:rPr>
        <w:t xml:space="preserve"> Statistics Estonia</w:t>
      </w:r>
      <w:r w:rsidRPr="00596162">
        <w:t xml:space="preserve">, </w:t>
      </w:r>
      <w:r w:rsidRPr="00596162">
        <w:rPr>
          <w:rFonts w:cstheme="minorHAnsi"/>
        </w:rPr>
        <w:t xml:space="preserve">Statistics Estonia, </w:t>
      </w:r>
      <w:hyperlink r:id="rId4" w:history="1">
        <w:r w:rsidRPr="00596162">
          <w:rPr>
            <w:rStyle w:val="Hyperlink"/>
            <w:rFonts w:cstheme="minorHAnsi"/>
          </w:rPr>
          <w:t>http://www.stat.ee/en</w:t>
        </w:r>
      </w:hyperlink>
      <w:r w:rsidRPr="00596162">
        <w:rPr>
          <w:rFonts w:cstheme="minorHAnsi"/>
        </w:rPr>
        <w:t xml:space="preserve"> (last visited 11 Dec. 2017).</w:t>
      </w:r>
    </w:p>
  </w:footnote>
  <w:footnote w:id="8">
    <w:p w14:paraId="5B59F87B"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9">
    <w:p w14:paraId="79B57F5C" w14:textId="77777777" w:rsidR="000C24E7" w:rsidRPr="00596162" w:rsidRDefault="000C24E7" w:rsidP="00435C8E">
      <w:pPr>
        <w:pStyle w:val="FootnoteText"/>
      </w:pPr>
      <w:r w:rsidRPr="00596162">
        <w:rPr>
          <w:rStyle w:val="FootnoteReference"/>
        </w:rPr>
        <w:footnoteRef/>
      </w:r>
      <w:r w:rsidRPr="00596162">
        <w:t xml:space="preserve"> See </w:t>
      </w:r>
      <w:r w:rsidRPr="00596162">
        <w:rPr>
          <w:i/>
        </w:rPr>
        <w:t>Statistics</w:t>
      </w:r>
      <w:r w:rsidRPr="00596162">
        <w:t xml:space="preserve">, </w:t>
      </w:r>
      <w:proofErr w:type="spellStart"/>
      <w:r w:rsidRPr="00596162">
        <w:t>Eesti</w:t>
      </w:r>
      <w:proofErr w:type="spellEnd"/>
      <w:r w:rsidRPr="00596162">
        <w:t xml:space="preserve"> </w:t>
      </w:r>
      <w:proofErr w:type="spellStart"/>
      <w:r w:rsidRPr="00596162">
        <w:t>Pank</w:t>
      </w:r>
      <w:proofErr w:type="spellEnd"/>
      <w:r w:rsidRPr="00596162">
        <w:t xml:space="preserve">, </w:t>
      </w:r>
      <w:hyperlink r:id="rId5" w:history="1">
        <w:r w:rsidRPr="00596162">
          <w:rPr>
            <w:rStyle w:val="Hyperlink"/>
          </w:rPr>
          <w:t>https://www.eestipank.ee/en/statistics</w:t>
        </w:r>
      </w:hyperlink>
      <w:r w:rsidRPr="00596162">
        <w:t xml:space="preserve"> (last visited 11 Dec. 2017).</w:t>
      </w:r>
    </w:p>
  </w:footnote>
  <w:footnote w:id="10">
    <w:p w14:paraId="193409A4" w14:textId="77777777" w:rsidR="000C24E7" w:rsidRPr="00596162" w:rsidRDefault="000C24E7" w:rsidP="00435C8E">
      <w:pPr>
        <w:pStyle w:val="FootnoteText"/>
      </w:pPr>
      <w:r w:rsidRPr="00596162">
        <w:rPr>
          <w:rStyle w:val="FootnoteReference"/>
        </w:rPr>
        <w:footnoteRef/>
      </w:r>
      <w:r w:rsidRPr="00596162">
        <w:t xml:space="preserve"> Estonian Biotechnology </w:t>
      </w:r>
      <w:proofErr w:type="spellStart"/>
      <w:r w:rsidRPr="00596162">
        <w:t>Programme</w:t>
      </w:r>
      <w:proofErr w:type="spellEnd"/>
      <w:r w:rsidRPr="00596162">
        <w:t xml:space="preserve">, </w:t>
      </w:r>
      <w:r w:rsidRPr="00596162">
        <w:rPr>
          <w:i/>
        </w:rPr>
        <w:t xml:space="preserve">Feasibility study for an Estonian biotechnology </w:t>
      </w:r>
      <w:proofErr w:type="spellStart"/>
      <w:r w:rsidRPr="00596162">
        <w:rPr>
          <w:i/>
        </w:rPr>
        <w:t>programme</w:t>
      </w:r>
      <w:proofErr w:type="spellEnd"/>
      <w:r w:rsidRPr="00596162">
        <w:rPr>
          <w:i/>
        </w:rPr>
        <w:t>: Final Report</w:t>
      </w:r>
      <w:r w:rsidRPr="00596162">
        <w:t xml:space="preserve">, 3, (2010). </w:t>
      </w:r>
      <w:hyperlink r:id="rId6" w:history="1">
        <w:r w:rsidRPr="00596162">
          <w:rPr>
            <w:rStyle w:val="Hyperlink"/>
          </w:rPr>
          <w:t>https://www.mkm.ee/sites/default/files/inno_13.pdf</w:t>
        </w:r>
      </w:hyperlink>
      <w:r w:rsidRPr="00596162">
        <w:t xml:space="preserve"> (last visited 11 Dec. 2017).</w:t>
      </w:r>
    </w:p>
  </w:footnote>
  <w:footnote w:id="11">
    <w:p w14:paraId="7C62AA9F"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p>
  </w:footnote>
  <w:footnote w:id="12">
    <w:p w14:paraId="1AB47A6C" w14:textId="11288975" w:rsidR="000C24E7" w:rsidRPr="00596162" w:rsidRDefault="000C24E7" w:rsidP="00435C8E">
      <w:pPr>
        <w:pStyle w:val="FootnoteText"/>
      </w:pPr>
      <w:r w:rsidRPr="00596162">
        <w:rPr>
          <w:rStyle w:val="FootnoteReference"/>
        </w:rPr>
        <w:footnoteRef/>
      </w:r>
      <w:r w:rsidRPr="00596162">
        <w:t xml:space="preserve"> </w:t>
      </w:r>
      <w:r w:rsidR="003729A2" w:rsidRPr="00596162">
        <w:t xml:space="preserve">Statistics Estonia, </w:t>
      </w:r>
      <w:proofErr w:type="spellStart"/>
      <w:r w:rsidR="003729A2" w:rsidRPr="00596162">
        <w:rPr>
          <w:i/>
        </w:rPr>
        <w:t>Minifacts</w:t>
      </w:r>
      <w:proofErr w:type="spellEnd"/>
      <w:r w:rsidR="003729A2" w:rsidRPr="00596162">
        <w:rPr>
          <w:i/>
        </w:rPr>
        <w:t xml:space="preserve"> about Estonia 2017</w:t>
      </w:r>
      <w:r w:rsidR="003729A2" w:rsidRPr="00596162">
        <w:t xml:space="preserve">, 2, (2017). </w:t>
      </w:r>
      <w:hyperlink r:id="rId7" w:history="1">
        <w:r w:rsidR="003729A2" w:rsidRPr="00596162">
          <w:rPr>
            <w:rStyle w:val="Hyperlink"/>
          </w:rPr>
          <w:t>https://www.google.com/url?sa=t&amp;rct=j&amp;q=&amp;esrc=s&amp;source=web&amp;cd=5&amp;ved=0ahUKEwiD5ou5yojYAhVRwmMKHachBsMQFghSMAQ&amp;url=https%3A%2F%2Fwww.stat.ee%2Fpopulation&amp;usg=AOvVaw2JV63nIm3ufPyRG0qAZjj6</w:t>
        </w:r>
      </w:hyperlink>
      <w:r w:rsidR="003729A2" w:rsidRPr="00596162">
        <w:t xml:space="preserve"> (last visited 12 Dec. 2017).</w:t>
      </w:r>
    </w:p>
  </w:footnote>
  <w:footnote w:id="13">
    <w:p w14:paraId="18C93A55"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14">
    <w:p w14:paraId="7ACF9216" w14:textId="77777777" w:rsidR="000C24E7" w:rsidRPr="00596162" w:rsidRDefault="000C24E7" w:rsidP="00435C8E">
      <w:pPr>
        <w:pStyle w:val="FootnoteText"/>
      </w:pPr>
      <w:r w:rsidRPr="00596162">
        <w:rPr>
          <w:rStyle w:val="FootnoteReference"/>
        </w:rPr>
        <w:footnoteRef/>
      </w:r>
      <w:r w:rsidRPr="00596162">
        <w:t xml:space="preserve"> International Monterey Fund, </w:t>
      </w:r>
      <w:r w:rsidRPr="00596162">
        <w:rPr>
          <w:i/>
        </w:rPr>
        <w:t>IMF Executive Board Concludes 2016 Article IV Consultation with the Republic of Estonia</w:t>
      </w:r>
      <w:r w:rsidRPr="00596162">
        <w:t xml:space="preserve">, Press Release </w:t>
      </w:r>
      <w:proofErr w:type="gramStart"/>
      <w:r w:rsidRPr="00596162">
        <w:t>No. 17/10</w:t>
      </w:r>
      <w:proofErr w:type="gramEnd"/>
      <w:r w:rsidRPr="00596162">
        <w:t xml:space="preserve"> (2017). </w:t>
      </w:r>
      <w:hyperlink r:id="rId8" w:history="1">
        <w:r w:rsidRPr="00596162">
          <w:rPr>
            <w:rStyle w:val="Hyperlink"/>
          </w:rPr>
          <w:t>https://www.imf.org/en/Publications/CR/Issues/2017/01/13/Republic-of-Estonia-Selected-Issues-44525</w:t>
        </w:r>
      </w:hyperlink>
      <w:r w:rsidRPr="00596162">
        <w:t xml:space="preserve"> (last visited 11 Dec. 2017).</w:t>
      </w:r>
    </w:p>
  </w:footnote>
  <w:footnote w:id="15">
    <w:p w14:paraId="08245393" w14:textId="77777777" w:rsidR="000C24E7" w:rsidRPr="00596162" w:rsidRDefault="000C24E7" w:rsidP="00435C8E">
      <w:pPr>
        <w:pStyle w:val="FootnoteText"/>
      </w:pPr>
      <w:r w:rsidRPr="00596162">
        <w:rPr>
          <w:rStyle w:val="FootnoteReference"/>
        </w:rPr>
        <w:footnoteRef/>
      </w:r>
      <w:r w:rsidRPr="00596162">
        <w:t xml:space="preserve"> The World Bank, </w:t>
      </w:r>
      <w:r w:rsidRPr="00596162">
        <w:rPr>
          <w:i/>
        </w:rPr>
        <w:t>Estonia</w:t>
      </w:r>
      <w:r w:rsidRPr="00596162">
        <w:t xml:space="preserve">, Country Profile Data, (2017). </w:t>
      </w:r>
      <w:hyperlink r:id="rId9" w:history="1">
        <w:r w:rsidRPr="00596162">
          <w:rPr>
            <w:rStyle w:val="Hyperlink"/>
          </w:rPr>
          <w:t>https://data.worldbank.org/country/estonia</w:t>
        </w:r>
      </w:hyperlink>
      <w:r w:rsidRPr="00596162">
        <w:t xml:space="preserve"> (last visited 11 Dec. 2017).</w:t>
      </w:r>
    </w:p>
  </w:footnote>
  <w:footnote w:id="16">
    <w:p w14:paraId="74A6F25C" w14:textId="77777777" w:rsidR="000C24E7" w:rsidRPr="00596162" w:rsidRDefault="000C24E7" w:rsidP="00435C8E">
      <w:pPr>
        <w:pStyle w:val="FootnoteText"/>
      </w:pPr>
      <w:r w:rsidRPr="00596162">
        <w:rPr>
          <w:rStyle w:val="FootnoteReference"/>
        </w:rPr>
        <w:footnoteRef/>
      </w:r>
      <w:r w:rsidRPr="00596162">
        <w:t xml:space="preserve"> See Statistics Estonia, </w:t>
      </w:r>
      <w:r w:rsidRPr="00596162">
        <w:rPr>
          <w:i/>
        </w:rPr>
        <w:t>Expenditure on research and development decreased last year</w:t>
      </w:r>
      <w:r w:rsidRPr="00596162">
        <w:t xml:space="preserve">, News Release No. 128, (2017), </w:t>
      </w:r>
      <w:hyperlink r:id="rId10" w:history="1">
        <w:r w:rsidRPr="00596162">
          <w:rPr>
            <w:rStyle w:val="Hyperlink"/>
          </w:rPr>
          <w:t>https://www.stat.ee/news-release-2017-128</w:t>
        </w:r>
      </w:hyperlink>
      <w:r w:rsidRPr="00596162">
        <w:t xml:space="preserve"> (last visited 11 Dec. 2017).</w:t>
      </w:r>
    </w:p>
  </w:footnote>
  <w:footnote w:id="17">
    <w:p w14:paraId="0BF51959" w14:textId="77777777" w:rsidR="000C24E7" w:rsidRPr="00596162" w:rsidRDefault="000C24E7" w:rsidP="00435C8E">
      <w:pPr>
        <w:pStyle w:val="FootnoteText"/>
      </w:pPr>
      <w:r w:rsidRPr="00596162">
        <w:rPr>
          <w:rStyle w:val="FootnoteReference"/>
        </w:rPr>
        <w:footnoteRef/>
      </w:r>
      <w:r w:rsidRPr="00596162">
        <w:t xml:space="preserve"> European Commission, </w:t>
      </w:r>
      <w:r w:rsidRPr="00596162">
        <w:rPr>
          <w:i/>
        </w:rPr>
        <w:t>Country Report Estonia 2017</w:t>
      </w:r>
      <w:r w:rsidRPr="00596162">
        <w:t xml:space="preserve">, Communication from the Commission of the European Parliament, the Council, the European Central Bank and the </w:t>
      </w:r>
      <w:proofErr w:type="spellStart"/>
      <w:r w:rsidRPr="00596162">
        <w:t>Eurogroup</w:t>
      </w:r>
      <w:proofErr w:type="spellEnd"/>
      <w:r w:rsidRPr="00596162">
        <w:t xml:space="preserve">, 2, (2017). </w:t>
      </w:r>
      <w:hyperlink r:id="rId11" w:history="1">
        <w:r w:rsidRPr="00596162">
          <w:rPr>
            <w:rStyle w:val="Hyperlink"/>
          </w:rPr>
          <w:t>https://ec.europa.eu/info/sites/info/files/2017-european-semester-country-report-estonia-en.pdf</w:t>
        </w:r>
      </w:hyperlink>
      <w:r w:rsidRPr="00596162">
        <w:t xml:space="preserve"> (last visited 11 Dec. 2017). </w:t>
      </w:r>
    </w:p>
  </w:footnote>
  <w:footnote w:id="18">
    <w:p w14:paraId="20A1B7F0" w14:textId="0EC8D048" w:rsidR="000C24E7" w:rsidRPr="00596162" w:rsidRDefault="000C24E7" w:rsidP="00435C8E">
      <w:pPr>
        <w:pStyle w:val="FootnoteText"/>
      </w:pPr>
      <w:r w:rsidRPr="00596162">
        <w:rPr>
          <w:rStyle w:val="FootnoteReference"/>
        </w:rPr>
        <w:footnoteRef/>
      </w:r>
      <w:r w:rsidRPr="00596162">
        <w:t xml:space="preserve"> </w:t>
      </w:r>
      <w:r w:rsidR="008E6639" w:rsidRPr="00596162">
        <w:t xml:space="preserve">Estonian Biotechnology </w:t>
      </w:r>
      <w:proofErr w:type="spellStart"/>
      <w:r w:rsidR="008E6639" w:rsidRPr="00596162">
        <w:t>Programme</w:t>
      </w:r>
      <w:proofErr w:type="spellEnd"/>
      <w:r w:rsidR="008E6639" w:rsidRPr="00596162">
        <w:t xml:space="preserve">, </w:t>
      </w:r>
      <w:r w:rsidR="008E6639" w:rsidRPr="00596162">
        <w:rPr>
          <w:i/>
        </w:rPr>
        <w:t xml:space="preserve">Feasibility study for an Estonian biotechnology </w:t>
      </w:r>
      <w:proofErr w:type="spellStart"/>
      <w:r w:rsidR="008E6639" w:rsidRPr="00596162">
        <w:rPr>
          <w:i/>
        </w:rPr>
        <w:t>programme</w:t>
      </w:r>
      <w:proofErr w:type="spellEnd"/>
      <w:r w:rsidR="008E6639" w:rsidRPr="00596162">
        <w:rPr>
          <w:i/>
        </w:rPr>
        <w:t>: Final Report</w:t>
      </w:r>
      <w:r w:rsidR="004F6F8B">
        <w:t>, 21</w:t>
      </w:r>
      <w:r w:rsidR="008E6639" w:rsidRPr="00596162">
        <w:t xml:space="preserve">, (2010). </w:t>
      </w:r>
      <w:hyperlink r:id="rId12" w:history="1">
        <w:r w:rsidR="008E6639" w:rsidRPr="00596162">
          <w:rPr>
            <w:rStyle w:val="Hyperlink"/>
          </w:rPr>
          <w:t>https://www.mkm.ee/sites/default/files/inno_13.pdf</w:t>
        </w:r>
      </w:hyperlink>
      <w:r w:rsidR="008E6639" w:rsidRPr="00596162">
        <w:t xml:space="preserve"> (last visited 11 Dec. 2017).</w:t>
      </w:r>
    </w:p>
  </w:footnote>
  <w:footnote w:id="19">
    <w:p w14:paraId="771A44C1"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20">
    <w:p w14:paraId="45CCA6C2"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21">
    <w:p w14:paraId="57264A0D"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at 23.</w:t>
      </w:r>
    </w:p>
  </w:footnote>
  <w:footnote w:id="22">
    <w:p w14:paraId="72F3ABF0"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at 24.</w:t>
      </w:r>
    </w:p>
  </w:footnote>
  <w:footnote w:id="23">
    <w:p w14:paraId="78D871D6"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at 66.</w:t>
      </w:r>
    </w:p>
  </w:footnote>
  <w:footnote w:id="24">
    <w:p w14:paraId="22940D30"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25">
    <w:p w14:paraId="24CABA63"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26">
    <w:p w14:paraId="105D3A8A"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27">
    <w:p w14:paraId="284810F5"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at 72.</w:t>
      </w:r>
    </w:p>
  </w:footnote>
  <w:footnote w:id="28">
    <w:p w14:paraId="1949CECB" w14:textId="6F3ED78E" w:rsidR="000C24E7" w:rsidRPr="00596162" w:rsidRDefault="000C24E7" w:rsidP="00435C8E">
      <w:pPr>
        <w:pStyle w:val="FootnoteText"/>
      </w:pPr>
      <w:r w:rsidRPr="00596162">
        <w:rPr>
          <w:rStyle w:val="FootnoteReference"/>
        </w:rPr>
        <w:footnoteRef/>
      </w:r>
      <w:r w:rsidRPr="00596162">
        <w:t xml:space="preserve"> </w:t>
      </w:r>
      <w:r w:rsidR="004F6F8B" w:rsidRPr="00596162">
        <w:t xml:space="preserve">Estonian Biotechnology </w:t>
      </w:r>
      <w:proofErr w:type="spellStart"/>
      <w:proofErr w:type="gramStart"/>
      <w:r w:rsidR="004F6F8B" w:rsidRPr="00596162">
        <w:t>Programme</w:t>
      </w:r>
      <w:proofErr w:type="spellEnd"/>
      <w:r w:rsidR="004F6F8B" w:rsidRPr="00596162">
        <w:t>,</w:t>
      </w:r>
      <w:proofErr w:type="gramEnd"/>
      <w:r w:rsidR="004F6F8B" w:rsidRPr="00596162">
        <w:t xml:space="preserve"> </w:t>
      </w:r>
      <w:r w:rsidR="004F6F8B" w:rsidRPr="00596162">
        <w:rPr>
          <w:i/>
        </w:rPr>
        <w:t>Approved by the resolution of the BTP steering committee meeting, 7 Dec. 2009</w:t>
      </w:r>
      <w:r w:rsidR="004F6F8B">
        <w:t>, 19-20</w:t>
      </w:r>
      <w:r w:rsidR="004F6F8B" w:rsidRPr="00596162">
        <w:t xml:space="preserve">, (2009). </w:t>
      </w:r>
      <w:hyperlink r:id="rId13" w:history="1">
        <w:r w:rsidR="004F6F8B" w:rsidRPr="00596162">
          <w:rPr>
            <w:rStyle w:val="Hyperlink"/>
          </w:rPr>
          <w:t>https://www.google.com/url?sa=t&amp;rct=j&amp;q=&amp;esrc=s&amp;source=web&amp;cd=7&amp;cad=rja&amp;uact=8&amp;ved=0ahUKEwjXsbzMpojYAhVKw2MKHR1bB-oQFghOMAY&amp;url=https%3A%2F%2Frio.jrc.ec.europa.eu%2Fen%2Ffile%2F8351%2Fdownload%3Ftoken%3D9F0mthhY&amp;usg=AOvVaw2WpA-yjmz0hROcyJw7R7Dv</w:t>
        </w:r>
      </w:hyperlink>
      <w:r w:rsidR="004F6F8B" w:rsidRPr="00596162">
        <w:t xml:space="preserve"> (last visited 12 Dec. 2017).</w:t>
      </w:r>
    </w:p>
  </w:footnote>
  <w:footnote w:id="29">
    <w:p w14:paraId="6CF77FA2" w14:textId="5AC711A3"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r w:rsidR="004F6F8B">
        <w:t xml:space="preserve"> at 20.</w:t>
      </w:r>
    </w:p>
  </w:footnote>
  <w:footnote w:id="30">
    <w:p w14:paraId="6DE84E7A"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See</w:t>
      </w:r>
      <w:r w:rsidRPr="00596162">
        <w:t xml:space="preserve"> </w:t>
      </w:r>
      <w:r w:rsidRPr="00596162">
        <w:rPr>
          <w:i/>
        </w:rPr>
        <w:t>Id</w:t>
      </w:r>
      <w:r w:rsidRPr="00596162">
        <w:t xml:space="preserve">. (citing Ernst &amp; Young, </w:t>
      </w:r>
      <w:r w:rsidRPr="00596162">
        <w:rPr>
          <w:i/>
        </w:rPr>
        <w:t xml:space="preserve">Feasibility Study for an Estonian Biotechnology </w:t>
      </w:r>
      <w:proofErr w:type="spellStart"/>
      <w:r w:rsidRPr="00596162">
        <w:rPr>
          <w:i/>
        </w:rPr>
        <w:t>Programme</w:t>
      </w:r>
      <w:proofErr w:type="spellEnd"/>
      <w:r w:rsidRPr="00596162">
        <w:rPr>
          <w:i/>
        </w:rPr>
        <w:t>,</w:t>
      </w:r>
      <w:r w:rsidRPr="00596162">
        <w:t xml:space="preserve"> (2009).).</w:t>
      </w:r>
    </w:p>
  </w:footnote>
  <w:footnote w:id="31">
    <w:p w14:paraId="04179C6E" w14:textId="2C1B23D1" w:rsidR="000C24E7" w:rsidRPr="00596162" w:rsidRDefault="000C24E7" w:rsidP="00435C8E">
      <w:pPr>
        <w:pStyle w:val="FootnoteText"/>
      </w:pPr>
      <w:r w:rsidRPr="00596162">
        <w:rPr>
          <w:rStyle w:val="FootnoteReference"/>
        </w:rPr>
        <w:footnoteRef/>
      </w:r>
      <w:r w:rsidRPr="00596162">
        <w:t xml:space="preserve"> ICESCR. Art. 15, para </w:t>
      </w:r>
      <w:proofErr w:type="gramStart"/>
      <w:r w:rsidRPr="00596162">
        <w:t>2</w:t>
      </w:r>
      <w:proofErr w:type="gramEnd"/>
      <w:r w:rsidRPr="00596162">
        <w:t xml:space="preserve">. </w:t>
      </w:r>
    </w:p>
  </w:footnote>
  <w:footnote w:id="32">
    <w:p w14:paraId="18D8D00D" w14:textId="4F7E0DB8" w:rsidR="000C24E7" w:rsidRPr="00596162" w:rsidRDefault="000C24E7" w:rsidP="00435C8E">
      <w:pPr>
        <w:pStyle w:val="FootnoteText"/>
      </w:pPr>
      <w:r w:rsidRPr="00596162">
        <w:rPr>
          <w:rStyle w:val="FootnoteReference"/>
        </w:rPr>
        <w:footnoteRef/>
      </w:r>
      <w:r w:rsidRPr="00596162">
        <w:t xml:space="preserve"> ICESCR. Art. 15, para </w:t>
      </w:r>
      <w:proofErr w:type="gramStart"/>
      <w:r w:rsidRPr="00596162">
        <w:t>1</w:t>
      </w:r>
      <w:proofErr w:type="gramEnd"/>
      <w:r w:rsidRPr="00596162">
        <w:t xml:space="preserve">, subsection (a)-(b). </w:t>
      </w:r>
    </w:p>
  </w:footnote>
  <w:footnote w:id="33">
    <w:p w14:paraId="50B23D04" w14:textId="77777777" w:rsidR="000C24E7" w:rsidRPr="00596162" w:rsidRDefault="000C24E7" w:rsidP="00435C8E">
      <w:pPr>
        <w:pStyle w:val="FootnoteText"/>
      </w:pPr>
      <w:r w:rsidRPr="00596162">
        <w:rPr>
          <w:rStyle w:val="FootnoteReference"/>
        </w:rPr>
        <w:footnoteRef/>
      </w:r>
      <w:r w:rsidRPr="00596162">
        <w:t xml:space="preserve"> Rosario M. </w:t>
      </w:r>
      <w:proofErr w:type="spellStart"/>
      <w:r w:rsidRPr="00596162">
        <w:t>Isasi</w:t>
      </w:r>
      <w:proofErr w:type="spellEnd"/>
      <w:r w:rsidRPr="00596162">
        <w:t xml:space="preserve"> and Bartha M. </w:t>
      </w:r>
      <w:proofErr w:type="spellStart"/>
      <w:r w:rsidRPr="00596162">
        <w:t>Knopper</w:t>
      </w:r>
      <w:proofErr w:type="spellEnd"/>
      <w:r w:rsidRPr="00596162">
        <w:t xml:space="preserve">, </w:t>
      </w:r>
      <w:r w:rsidRPr="00596162">
        <w:rPr>
          <w:i/>
        </w:rPr>
        <w:t xml:space="preserve">Beyond the permissibility of embryonic and stem cell research: substantive requirements and procedural safeguards, </w:t>
      </w:r>
      <w:r w:rsidRPr="00596162">
        <w:t xml:space="preserve">Human Reproduction, Vol. 21, Issue 10, 2474-2481, (1 Oct. 2006). </w:t>
      </w:r>
      <w:hyperlink r:id="rId14" w:history="1">
        <w:r w:rsidRPr="00596162">
          <w:rPr>
            <w:rStyle w:val="Hyperlink"/>
          </w:rPr>
          <w:t>https://doi.org/10.1093/humrep/del235</w:t>
        </w:r>
      </w:hyperlink>
      <w:r w:rsidRPr="00596162">
        <w:t xml:space="preserve"> (last visited 11 Dec. 2017).</w:t>
      </w:r>
    </w:p>
  </w:footnote>
  <w:footnote w:id="34">
    <w:p w14:paraId="60DBA86E" w14:textId="77777777" w:rsidR="000C24E7" w:rsidRPr="00596162" w:rsidRDefault="000C24E7" w:rsidP="00435C8E">
      <w:pPr>
        <w:pStyle w:val="FootnoteText"/>
      </w:pPr>
      <w:r w:rsidRPr="00596162">
        <w:rPr>
          <w:rStyle w:val="FootnoteReference"/>
        </w:rPr>
        <w:footnoteRef/>
      </w:r>
      <w:r w:rsidRPr="00596162">
        <w:t xml:space="preserve"> </w:t>
      </w:r>
      <w:proofErr w:type="spellStart"/>
      <w:r w:rsidRPr="00596162">
        <w:t>Tiina</w:t>
      </w:r>
      <w:proofErr w:type="spellEnd"/>
      <w:r w:rsidRPr="00596162">
        <w:t xml:space="preserve"> </w:t>
      </w:r>
      <w:proofErr w:type="spellStart"/>
      <w:r w:rsidRPr="00596162">
        <w:t>Titma</w:t>
      </w:r>
      <w:proofErr w:type="spellEnd"/>
      <w:r w:rsidRPr="00596162">
        <w:t xml:space="preserve">, </w:t>
      </w:r>
      <w:r w:rsidRPr="00596162">
        <w:rPr>
          <w:i/>
        </w:rPr>
        <w:t>Regulation of stem cell research in Estonia, Euro Stem Cell, Policy &amp; Regulation</w:t>
      </w:r>
      <w:r w:rsidRPr="00596162">
        <w:t xml:space="preserve">, </w:t>
      </w:r>
      <w:proofErr w:type="spellStart"/>
      <w:r w:rsidRPr="00596162">
        <w:t>EuroStemCell</w:t>
      </w:r>
      <w:proofErr w:type="spellEnd"/>
      <w:r w:rsidRPr="00596162">
        <w:t xml:space="preserve">, Policy &amp; Regulation, </w:t>
      </w:r>
      <w:hyperlink r:id="rId15" w:history="1">
        <w:r w:rsidRPr="00596162">
          <w:rPr>
            <w:rStyle w:val="Hyperlink"/>
          </w:rPr>
          <w:t>https://www.eurostemcell.org/regulation-stem-cell-research-estonia</w:t>
        </w:r>
      </w:hyperlink>
      <w:r w:rsidRPr="00596162">
        <w:t xml:space="preserve"> (last visited 13 Dec. 2017).</w:t>
      </w:r>
    </w:p>
  </w:footnote>
  <w:footnote w:id="35">
    <w:p w14:paraId="272D45BE" w14:textId="77777777" w:rsidR="000C24E7" w:rsidRPr="00596162" w:rsidRDefault="000C24E7" w:rsidP="00435C8E">
      <w:pPr>
        <w:pStyle w:val="FootnoteText"/>
      </w:pPr>
      <w:r w:rsidRPr="00596162">
        <w:rPr>
          <w:rStyle w:val="FootnoteReference"/>
        </w:rPr>
        <w:footnoteRef/>
      </w:r>
      <w:r w:rsidRPr="00596162">
        <w:t xml:space="preserve"> </w:t>
      </w:r>
      <w:bookmarkStart w:id="6" w:name="_Hlk500943313"/>
      <w:r w:rsidRPr="00596162">
        <w:t xml:space="preserve">Guido </w:t>
      </w:r>
      <w:proofErr w:type="spellStart"/>
      <w:r w:rsidRPr="00596162">
        <w:t>Pennings</w:t>
      </w:r>
      <w:proofErr w:type="spellEnd"/>
      <w:r w:rsidRPr="00596162">
        <w:t xml:space="preserve"> and André Van </w:t>
      </w:r>
      <w:proofErr w:type="spellStart"/>
      <w:r w:rsidRPr="00596162">
        <w:t>Steirteghem</w:t>
      </w:r>
      <w:proofErr w:type="spellEnd"/>
      <w:r w:rsidRPr="00596162">
        <w:t xml:space="preserve">, </w:t>
      </w:r>
      <w:r w:rsidRPr="00596162">
        <w:rPr>
          <w:i/>
        </w:rPr>
        <w:t>The subsidiarity principle in the context of embryonic stem cell research</w:t>
      </w:r>
      <w:r w:rsidRPr="00596162">
        <w:t>,</w:t>
      </w:r>
      <w:r w:rsidRPr="00596162">
        <w:rPr>
          <w:i/>
        </w:rPr>
        <w:t xml:space="preserve"> </w:t>
      </w:r>
      <w:bookmarkEnd w:id="6"/>
      <w:r w:rsidRPr="00596162">
        <w:t xml:space="preserve">Human Reproduction, Vol. 19, Issue 5, 1060–1064, (1 May 2004), </w:t>
      </w:r>
      <w:hyperlink r:id="rId16" w:history="1">
        <w:r w:rsidRPr="00596162">
          <w:rPr>
            <w:rStyle w:val="Hyperlink"/>
          </w:rPr>
          <w:t>https://doi.org/10.1093/humrep/deh142</w:t>
        </w:r>
      </w:hyperlink>
      <w:r w:rsidRPr="00596162">
        <w:t xml:space="preserve"> (last visited 11 Dec. 2017).</w:t>
      </w:r>
    </w:p>
  </w:footnote>
  <w:footnote w:id="36">
    <w:p w14:paraId="0FCDD203" w14:textId="3558B465" w:rsidR="000C24E7" w:rsidRPr="004F6F8B" w:rsidRDefault="000C24E7" w:rsidP="00435C8E">
      <w:pPr>
        <w:pStyle w:val="FootnoteText"/>
      </w:pPr>
      <w:r w:rsidRPr="00596162">
        <w:rPr>
          <w:rStyle w:val="FootnoteReference"/>
        </w:rPr>
        <w:footnoteRef/>
      </w:r>
      <w:r w:rsidRPr="00596162">
        <w:t xml:space="preserve"> </w:t>
      </w:r>
      <w:r w:rsidR="004F6F8B">
        <w:rPr>
          <w:i/>
        </w:rPr>
        <w:t>Id.</w:t>
      </w:r>
    </w:p>
  </w:footnote>
  <w:footnote w:id="37">
    <w:p w14:paraId="65FE65C6"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Supra</w:t>
      </w:r>
      <w:r w:rsidRPr="00596162">
        <w:t xml:space="preserve"> ¶ 14.</w:t>
      </w:r>
    </w:p>
  </w:footnote>
  <w:footnote w:id="38">
    <w:p w14:paraId="54AC994F" w14:textId="46E6D6F5" w:rsidR="000C24E7" w:rsidRPr="004F6F8B" w:rsidRDefault="000C24E7" w:rsidP="00435C8E">
      <w:pPr>
        <w:pStyle w:val="FootnoteText"/>
      </w:pPr>
      <w:r w:rsidRPr="00596162">
        <w:rPr>
          <w:rStyle w:val="FootnoteReference"/>
        </w:rPr>
        <w:footnoteRef/>
      </w:r>
      <w:r w:rsidRPr="00596162">
        <w:t xml:space="preserve"> </w:t>
      </w:r>
      <w:r w:rsidR="004F6F8B">
        <w:rPr>
          <w:i/>
        </w:rPr>
        <w:t>See</w:t>
      </w:r>
      <w:r w:rsidR="004F6F8B">
        <w:t xml:space="preserve"> </w:t>
      </w:r>
      <w:r w:rsidR="004F6F8B" w:rsidRPr="00596162">
        <w:rPr>
          <w:i/>
        </w:rPr>
        <w:t xml:space="preserve">Artificial Insemination and Embryo Protection Act </w:t>
      </w:r>
      <w:r w:rsidR="004F6F8B" w:rsidRPr="00596162">
        <w:t>(</w:t>
      </w:r>
      <w:proofErr w:type="spellStart"/>
      <w:r w:rsidR="004F6F8B" w:rsidRPr="00596162">
        <w:t>Kunstliku</w:t>
      </w:r>
      <w:proofErr w:type="spellEnd"/>
      <w:r w:rsidR="004F6F8B" w:rsidRPr="00596162">
        <w:t xml:space="preserve"> </w:t>
      </w:r>
      <w:proofErr w:type="spellStart"/>
      <w:r w:rsidR="004F6F8B" w:rsidRPr="00596162">
        <w:t>viljastamise</w:t>
      </w:r>
      <w:proofErr w:type="spellEnd"/>
      <w:r w:rsidR="004F6F8B" w:rsidRPr="00596162">
        <w:t xml:space="preserve"> </w:t>
      </w:r>
      <w:proofErr w:type="gramStart"/>
      <w:r w:rsidR="004F6F8B" w:rsidRPr="00596162">
        <w:t>ja</w:t>
      </w:r>
      <w:proofErr w:type="gramEnd"/>
      <w:r w:rsidR="004F6F8B" w:rsidRPr="00596162">
        <w:t xml:space="preserve"> </w:t>
      </w:r>
      <w:proofErr w:type="spellStart"/>
      <w:r w:rsidR="004F6F8B" w:rsidRPr="00596162">
        <w:t>embrüokaitse</w:t>
      </w:r>
      <w:proofErr w:type="spellEnd"/>
      <w:r w:rsidR="004F6F8B" w:rsidRPr="00596162">
        <w:t xml:space="preserve"> </w:t>
      </w:r>
      <w:proofErr w:type="spellStart"/>
      <w:r w:rsidR="004F6F8B" w:rsidRPr="00596162">
        <w:t>seadus</w:t>
      </w:r>
      <w:proofErr w:type="spellEnd"/>
      <w:r w:rsidR="004F6F8B" w:rsidRPr="00596162">
        <w:t>) [hereafter Embryo Protection Act]</w:t>
      </w:r>
      <w:r w:rsidR="004F6F8B" w:rsidRPr="00596162">
        <w:rPr>
          <w:i/>
        </w:rPr>
        <w:t>,</w:t>
      </w:r>
      <w:r w:rsidR="004F6F8B" w:rsidRPr="00596162">
        <w:t xml:space="preserve"> No. RT I 1997, 51, 824, </w:t>
      </w:r>
      <w:proofErr w:type="spellStart"/>
      <w:r w:rsidR="004F6F8B" w:rsidRPr="00596162">
        <w:t>Elektrooniline</w:t>
      </w:r>
      <w:proofErr w:type="spellEnd"/>
      <w:r w:rsidR="004F6F8B" w:rsidRPr="00596162">
        <w:t xml:space="preserve"> </w:t>
      </w:r>
      <w:proofErr w:type="spellStart"/>
      <w:r w:rsidR="004F6F8B" w:rsidRPr="00596162">
        <w:t>Riigi</w:t>
      </w:r>
      <w:proofErr w:type="spellEnd"/>
      <w:r w:rsidR="004F6F8B" w:rsidRPr="00596162">
        <w:t xml:space="preserve"> </w:t>
      </w:r>
      <w:proofErr w:type="spellStart"/>
      <w:r w:rsidR="004F6F8B" w:rsidRPr="00596162">
        <w:t>Teataja</w:t>
      </w:r>
      <w:proofErr w:type="spellEnd"/>
      <w:r w:rsidR="004F6F8B" w:rsidRPr="00596162">
        <w:t>, (E.I.F. 17 July 1997).</w:t>
      </w:r>
    </w:p>
  </w:footnote>
  <w:footnote w:id="39">
    <w:p w14:paraId="2CE36E9C" w14:textId="77777777" w:rsidR="000C24E7" w:rsidRPr="00596162" w:rsidRDefault="000C24E7" w:rsidP="00435C8E">
      <w:pPr>
        <w:pStyle w:val="FootnoteText"/>
      </w:pPr>
      <w:r w:rsidRPr="00596162">
        <w:rPr>
          <w:rStyle w:val="FootnoteReference"/>
        </w:rPr>
        <w:footnoteRef/>
      </w:r>
      <w:r w:rsidRPr="00596162">
        <w:t xml:space="preserve"> Communication from the Commission on the European Citizens’ Initiative “One of us”, COM/2014/0355, Doc. 52014DC0355, (28 May 2014), </w:t>
      </w:r>
      <w:hyperlink r:id="rId17" w:history="1">
        <w:r w:rsidRPr="00596162">
          <w:rPr>
            <w:rStyle w:val="Hyperlink"/>
          </w:rPr>
          <w:t>http://eur-lex.europa.eu/legal-content/EN/ALL/?uri=CELEX:52014DC0355</w:t>
        </w:r>
      </w:hyperlink>
      <w:r w:rsidRPr="00596162">
        <w:t xml:space="preserve"> (site visited 12 Dec. 2017).</w:t>
      </w:r>
    </w:p>
  </w:footnote>
  <w:footnote w:id="40">
    <w:p w14:paraId="2C171071" w14:textId="77777777" w:rsidR="000C24E7" w:rsidRPr="00596162" w:rsidRDefault="000C24E7" w:rsidP="00435C8E">
      <w:pPr>
        <w:pStyle w:val="FootnoteText"/>
      </w:pPr>
      <w:r w:rsidRPr="00596162">
        <w:rPr>
          <w:rStyle w:val="FootnoteReference"/>
        </w:rPr>
        <w:footnoteRef/>
      </w:r>
      <w:r w:rsidRPr="00596162">
        <w:t xml:space="preserve"> International Covenant on the Economic, Social and Cultural Rights. Art. 15. </w:t>
      </w:r>
      <w:hyperlink r:id="rId18" w:history="1">
        <w:r w:rsidRPr="00596162">
          <w:rPr>
            <w:rStyle w:val="Hyperlink"/>
          </w:rPr>
          <w:t>http://www.ohchr.org/Documents/ProfessionalInterest/cescr.pdf</w:t>
        </w:r>
      </w:hyperlink>
      <w:r w:rsidRPr="00596162">
        <w:t xml:space="preserve"> (last visited 12 Dec. 2017).</w:t>
      </w:r>
    </w:p>
  </w:footnote>
  <w:footnote w:id="41">
    <w:p w14:paraId="67863666" w14:textId="77777777" w:rsidR="000C24E7" w:rsidRPr="00596162" w:rsidRDefault="000C24E7" w:rsidP="002A0902">
      <w:pPr>
        <w:pStyle w:val="FootnoteText"/>
      </w:pPr>
      <w:r w:rsidRPr="00596162">
        <w:rPr>
          <w:rStyle w:val="FootnoteReference"/>
        </w:rPr>
        <w:footnoteRef/>
      </w:r>
      <w:r w:rsidRPr="00596162">
        <w:t xml:space="preserve"> </w:t>
      </w:r>
      <w:r w:rsidRPr="00596162">
        <w:rPr>
          <w:i/>
        </w:rPr>
        <w:t>I</w:t>
      </w:r>
      <w:r w:rsidRPr="00596162">
        <w:rPr>
          <w:rFonts w:eastAsia="Garamond"/>
        </w:rPr>
        <w:t xml:space="preserve"> </w:t>
      </w:r>
      <w:r w:rsidRPr="00596162">
        <w:rPr>
          <w:rFonts w:eastAsia="Garamond" w:cs="Times New Roman"/>
        </w:rPr>
        <w:t xml:space="preserve">UNESCO, </w:t>
      </w:r>
      <w:r w:rsidRPr="00596162">
        <w:rPr>
          <w:rFonts w:eastAsia="Garamond" w:cs="Times New Roman"/>
          <w:i/>
        </w:rPr>
        <w:t>Venice Statement: The Right to Enjoy the Benefits of Scientific Progress and its Applications</w:t>
      </w:r>
      <w:r w:rsidRPr="00596162">
        <w:rPr>
          <w:rFonts w:eastAsia="Garamond" w:cs="Times New Roman"/>
        </w:rPr>
        <w:t xml:space="preserve">, ¶ 14 (Jul. 16-17, 2009), </w:t>
      </w:r>
      <w:hyperlink r:id="rId19">
        <w:r w:rsidRPr="00596162">
          <w:rPr>
            <w:rFonts w:eastAsia="Garamond" w:cs="Times New Roman"/>
            <w:u w:val="single"/>
          </w:rPr>
          <w:t>http://unesdoc.unesco.org/images/0018/001855/185558e.pdf</w:t>
        </w:r>
      </w:hyperlink>
      <w:r w:rsidRPr="00596162">
        <w:rPr>
          <w:rFonts w:eastAsia="Garamond" w:cs="Times New Roman"/>
        </w:rPr>
        <w:t>. (</w:t>
      </w:r>
      <w:proofErr w:type="gramStart"/>
      <w:r w:rsidRPr="00596162">
        <w:rPr>
          <w:rFonts w:eastAsia="Garamond" w:cs="Times New Roman"/>
        </w:rPr>
        <w:t>last</w:t>
      </w:r>
      <w:proofErr w:type="gramEnd"/>
      <w:r w:rsidRPr="00596162">
        <w:rPr>
          <w:rFonts w:eastAsia="Garamond" w:cs="Times New Roman"/>
        </w:rPr>
        <w:t xml:space="preserve"> visited Aug. 30, 2017).</w:t>
      </w:r>
    </w:p>
  </w:footnote>
  <w:footnote w:id="42">
    <w:p w14:paraId="22E1D2E1" w14:textId="77777777" w:rsidR="000C24E7" w:rsidRPr="00596162" w:rsidRDefault="000C24E7" w:rsidP="00435C8E">
      <w:pPr>
        <w:pStyle w:val="FootnoteText"/>
      </w:pPr>
      <w:r w:rsidRPr="00596162">
        <w:rPr>
          <w:rStyle w:val="FootnoteReference"/>
        </w:rPr>
        <w:footnoteRef/>
      </w:r>
      <w:r w:rsidRPr="00596162">
        <w:t xml:space="preserve"> </w:t>
      </w:r>
      <w:r w:rsidRPr="00596162">
        <w:rPr>
          <w:rFonts w:eastAsia="Garamond" w:cs="Garamond"/>
        </w:rPr>
        <w:t xml:space="preserve">Farida Shaheed (Special Rapporteur on Cultural Rights), </w:t>
      </w:r>
      <w:r w:rsidRPr="00596162">
        <w:rPr>
          <w:rFonts w:eastAsia="Garamond" w:cs="Garamond"/>
          <w:i/>
        </w:rPr>
        <w:t>The Right to Enjoy the Benefits of Scientific Progress and Its Applications</w:t>
      </w:r>
      <w:r w:rsidRPr="00596162">
        <w:rPr>
          <w:rFonts w:eastAsia="Garamond" w:cs="Garamond"/>
        </w:rPr>
        <w:t xml:space="preserve">, U.N. Doc. A/HRC/20/26, para. </w:t>
      </w:r>
      <w:proofErr w:type="gramStart"/>
      <w:r w:rsidRPr="00596162">
        <w:rPr>
          <w:rFonts w:eastAsia="Garamond" w:cs="Garamond"/>
        </w:rPr>
        <w:t>25</w:t>
      </w:r>
      <w:proofErr w:type="gramEnd"/>
      <w:r w:rsidRPr="00596162">
        <w:rPr>
          <w:rFonts w:eastAsia="Garamond" w:cs="Garamond"/>
        </w:rPr>
        <w:t xml:space="preserve">, (May 14, 2012), </w:t>
      </w:r>
      <w:hyperlink r:id="rId20">
        <w:r w:rsidRPr="00596162">
          <w:rPr>
            <w:rFonts w:eastAsia="Garamond" w:cs="Garamond"/>
            <w:u w:val="single"/>
          </w:rPr>
          <w:t>http://www.ohchr.org/Documents/HRBodies/HRCouncil/RegularSession/Session20/A-HRC-20-26_en.pdf</w:t>
        </w:r>
      </w:hyperlink>
      <w:r w:rsidRPr="00596162">
        <w:rPr>
          <w:rFonts w:eastAsia="Garamond" w:cs="Garamond"/>
        </w:rPr>
        <w:t>. (</w:t>
      </w:r>
      <w:proofErr w:type="gramStart"/>
      <w:r w:rsidRPr="00596162">
        <w:rPr>
          <w:rFonts w:eastAsia="Garamond" w:cs="Garamond"/>
        </w:rPr>
        <w:t>last</w:t>
      </w:r>
      <w:proofErr w:type="gramEnd"/>
      <w:r w:rsidRPr="00596162">
        <w:rPr>
          <w:rFonts w:eastAsia="Garamond" w:cs="Garamond"/>
        </w:rPr>
        <w:t xml:space="preserve"> visited 14 Dec. 2017).</w:t>
      </w:r>
    </w:p>
  </w:footnote>
  <w:footnote w:id="43">
    <w:p w14:paraId="4C63C3D3"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44">
    <w:p w14:paraId="2A5C576F"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at </w:t>
      </w:r>
      <w:proofErr w:type="gramStart"/>
      <w:r w:rsidRPr="00596162">
        <w:t>5</w:t>
      </w:r>
      <w:proofErr w:type="gramEnd"/>
      <w:r w:rsidRPr="00596162">
        <w:t xml:space="preserve">. </w:t>
      </w:r>
    </w:p>
  </w:footnote>
  <w:footnote w:id="45">
    <w:p w14:paraId="339318BD"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at </w:t>
      </w:r>
      <w:proofErr w:type="gramStart"/>
      <w:r w:rsidRPr="00596162">
        <w:t>4</w:t>
      </w:r>
      <w:proofErr w:type="gramEnd"/>
      <w:r w:rsidRPr="00596162">
        <w:t>.</w:t>
      </w:r>
    </w:p>
  </w:footnote>
  <w:footnote w:id="46">
    <w:p w14:paraId="2D28D537"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at </w:t>
      </w:r>
      <w:proofErr w:type="gramStart"/>
      <w:r w:rsidRPr="00596162">
        <w:t>5</w:t>
      </w:r>
      <w:proofErr w:type="gramEnd"/>
      <w:r w:rsidRPr="00596162">
        <w:t>.</w:t>
      </w:r>
    </w:p>
  </w:footnote>
  <w:footnote w:id="47">
    <w:p w14:paraId="5F2DC8BC" w14:textId="20D156F0" w:rsidR="000C24E7" w:rsidRPr="00596162" w:rsidRDefault="000C24E7" w:rsidP="00435C8E">
      <w:pPr>
        <w:pStyle w:val="FootnoteText"/>
      </w:pPr>
      <w:r w:rsidRPr="00596162">
        <w:rPr>
          <w:rStyle w:val="FootnoteReference"/>
        </w:rPr>
        <w:footnoteRef/>
      </w:r>
      <w:r w:rsidRPr="00596162">
        <w:t xml:space="preserve"> </w:t>
      </w:r>
      <w:r w:rsidRPr="00596162">
        <w:rPr>
          <w:i/>
        </w:rPr>
        <w:t>Supra</w:t>
      </w:r>
      <w:r w:rsidRPr="00596162">
        <w:t xml:space="preserve"> ¶¶ 14-17</w:t>
      </w:r>
      <w:r w:rsidR="009A4C3D">
        <w:t>, 19.</w:t>
      </w:r>
    </w:p>
  </w:footnote>
  <w:footnote w:id="48">
    <w:p w14:paraId="7A7ABBEB" w14:textId="77777777" w:rsidR="000C24E7" w:rsidRPr="00596162" w:rsidRDefault="000C24E7" w:rsidP="00435C8E">
      <w:pPr>
        <w:pStyle w:val="FootnoteText"/>
      </w:pPr>
      <w:r w:rsidRPr="00596162">
        <w:rPr>
          <w:rStyle w:val="FootnoteReference"/>
        </w:rPr>
        <w:footnoteRef/>
      </w:r>
      <w:r w:rsidRPr="00596162">
        <w:t xml:space="preserve"> Patrick </w:t>
      </w:r>
      <w:proofErr w:type="spellStart"/>
      <w:r w:rsidRPr="00596162">
        <w:t>Präg</w:t>
      </w:r>
      <w:proofErr w:type="spellEnd"/>
      <w:r w:rsidRPr="00596162">
        <w:t xml:space="preserve"> and Melinda C. Mills, </w:t>
      </w:r>
      <w:r w:rsidRPr="00596162">
        <w:rPr>
          <w:i/>
        </w:rPr>
        <w:t>Assisted Reproductive Technology in Europe: Usage and Regulation in the Context of Cross-Border Reproductive Care</w:t>
      </w:r>
      <w:r w:rsidRPr="00596162">
        <w:t xml:space="preserve">, Childlessness in Europe: Contexts, Causes, and Consequences, Demographic Research Monographs, DOI 10.1007/978-3-319-44667-7_14, 289-309, (2017) </w:t>
      </w:r>
      <w:hyperlink r:id="rId21" w:history="1">
        <w:r w:rsidRPr="00596162">
          <w:rPr>
            <w:rStyle w:val="Hyperlink"/>
          </w:rPr>
          <w:t>https://link.springer.com/content/pdf/10.1007%2F978-3-319-44667-7_14.pdf</w:t>
        </w:r>
      </w:hyperlink>
      <w:r w:rsidRPr="00596162">
        <w:t xml:space="preserve"> (last visited 11 Dec. 2017).</w:t>
      </w:r>
    </w:p>
  </w:footnote>
  <w:footnote w:id="49">
    <w:p w14:paraId="51882E97"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at 290.</w:t>
      </w:r>
    </w:p>
  </w:footnote>
  <w:footnote w:id="50">
    <w:p w14:paraId="70703962"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1">
    <w:p w14:paraId="1C565F56"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2">
    <w:p w14:paraId="27B95657"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3">
    <w:p w14:paraId="0C32189B"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4">
    <w:p w14:paraId="78E6B358"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5">
    <w:p w14:paraId="457B2A49"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6">
    <w:p w14:paraId="2111FAFA"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7">
    <w:p w14:paraId="49D61519"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8">
    <w:p w14:paraId="34F4367A"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59">
    <w:p w14:paraId="620053E1" w14:textId="77777777" w:rsidR="000C24E7" w:rsidRPr="00596162" w:rsidRDefault="000C24E7" w:rsidP="00435C8E">
      <w:pPr>
        <w:pStyle w:val="FootnoteText"/>
      </w:pPr>
      <w:r w:rsidRPr="00596162">
        <w:rPr>
          <w:rStyle w:val="FootnoteReference"/>
        </w:rPr>
        <w:footnoteRef/>
      </w:r>
      <w:r w:rsidRPr="00596162">
        <w:t xml:space="preserve"> </w:t>
      </w:r>
      <w:bookmarkStart w:id="10" w:name="_Hlk500976933"/>
      <w:r w:rsidRPr="00596162">
        <w:t xml:space="preserve">Fertility Clinics Abroad, </w:t>
      </w:r>
      <w:r w:rsidRPr="00596162">
        <w:rPr>
          <w:i/>
        </w:rPr>
        <w:t>IVF Estonia</w:t>
      </w:r>
      <w:r w:rsidRPr="00596162">
        <w:t xml:space="preserve">, last updated 27 June 2017 by Caroline Phillips, </w:t>
      </w:r>
      <w:hyperlink r:id="rId22" w:history="1">
        <w:r w:rsidRPr="00596162">
          <w:rPr>
            <w:rStyle w:val="Hyperlink"/>
          </w:rPr>
          <w:t>https://www.fertilityclinicsabroad.com/ivf-abroad/ivf-estonia/</w:t>
        </w:r>
      </w:hyperlink>
      <w:r w:rsidRPr="00596162">
        <w:t xml:space="preserve"> (last visited 12 Dec. 2017).</w:t>
      </w:r>
      <w:bookmarkEnd w:id="10"/>
    </w:p>
  </w:footnote>
  <w:footnote w:id="60">
    <w:p w14:paraId="419ED965"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p>
  </w:footnote>
  <w:footnote w:id="61">
    <w:p w14:paraId="0606DECC" w14:textId="734C59CE" w:rsidR="000C24E7" w:rsidRPr="00596162" w:rsidRDefault="000C24E7" w:rsidP="00435C8E">
      <w:pPr>
        <w:pStyle w:val="FootnoteText"/>
      </w:pPr>
      <w:r w:rsidRPr="00596162">
        <w:rPr>
          <w:rStyle w:val="FootnoteReference"/>
        </w:rPr>
        <w:footnoteRef/>
      </w:r>
      <w:r w:rsidRPr="00596162">
        <w:t xml:space="preserve"> </w:t>
      </w:r>
      <w:r w:rsidR="00484D39">
        <w:rPr>
          <w:i/>
        </w:rPr>
        <w:t>See</w:t>
      </w:r>
      <w:r w:rsidR="00484D39">
        <w:t xml:space="preserve"> </w:t>
      </w:r>
      <w:r w:rsidR="00484D39" w:rsidRPr="00596162">
        <w:rPr>
          <w:i/>
        </w:rPr>
        <w:t>Artificial Insemination and Embryo Protection Act</w:t>
      </w:r>
      <w:r w:rsidR="003D266C">
        <w:t>, art. 4, 8, 16, 17, 21.</w:t>
      </w:r>
    </w:p>
  </w:footnote>
  <w:footnote w:id="62">
    <w:p w14:paraId="509DE930" w14:textId="77777777" w:rsidR="000C24E7" w:rsidRPr="00596162" w:rsidRDefault="000C24E7" w:rsidP="00435C8E">
      <w:pPr>
        <w:pStyle w:val="FootnoteText"/>
      </w:pPr>
      <w:r w:rsidRPr="00596162">
        <w:rPr>
          <w:rStyle w:val="FootnoteReference"/>
        </w:rPr>
        <w:footnoteRef/>
      </w:r>
      <w:r w:rsidRPr="00596162">
        <w:t xml:space="preserve"> Patrick </w:t>
      </w:r>
      <w:proofErr w:type="spellStart"/>
      <w:r w:rsidRPr="00596162">
        <w:t>Präg</w:t>
      </w:r>
      <w:proofErr w:type="spellEnd"/>
      <w:r w:rsidRPr="00596162">
        <w:t xml:space="preserve"> and Melinda C. Mills, </w:t>
      </w:r>
      <w:r w:rsidRPr="00596162">
        <w:rPr>
          <w:i/>
        </w:rPr>
        <w:t>Assisted Reproductive Technology in Europe: Usage and Regulation in the Context of Cross-Border Reproductive Care</w:t>
      </w:r>
      <w:r w:rsidRPr="00596162">
        <w:t>, Childlessness in Europe: Contexts, Causes, and Consequences, Demographic Research Monographs, DOI 10.1007/978-3-319-44667-7_14, 289-309, 292, (2017), https://link.springer.com/content/pdf/10.1007%2F978-3-319-44667-7_14.pdf (last visited 11 Dec. 2017).</w:t>
      </w:r>
    </w:p>
  </w:footnote>
  <w:footnote w:id="63">
    <w:p w14:paraId="22DD0726" w14:textId="77777777" w:rsidR="000C24E7" w:rsidRPr="00596162" w:rsidRDefault="000C24E7" w:rsidP="00435C8E">
      <w:pPr>
        <w:pStyle w:val="FootnoteText"/>
      </w:pPr>
      <w:r w:rsidRPr="00596162">
        <w:rPr>
          <w:rStyle w:val="FootnoteReference"/>
        </w:rPr>
        <w:footnoteRef/>
      </w:r>
      <w:r w:rsidRPr="00596162">
        <w:rPr>
          <w:lang w:val="it-IT"/>
        </w:rPr>
        <w:t xml:space="preserve"> M.S. </w:t>
      </w:r>
      <w:proofErr w:type="spellStart"/>
      <w:r w:rsidRPr="00596162">
        <w:rPr>
          <w:lang w:val="it-IT"/>
        </w:rPr>
        <w:t>Kupka</w:t>
      </w:r>
      <w:proofErr w:type="spellEnd"/>
      <w:r w:rsidRPr="00596162">
        <w:rPr>
          <w:lang w:val="it-IT"/>
        </w:rPr>
        <w:t>, T. D'</w:t>
      </w:r>
      <w:proofErr w:type="spellStart"/>
      <w:r w:rsidRPr="00596162">
        <w:rPr>
          <w:lang w:val="it-IT"/>
        </w:rPr>
        <w:t>Hooghe</w:t>
      </w:r>
      <w:proofErr w:type="spellEnd"/>
      <w:r w:rsidRPr="00596162">
        <w:rPr>
          <w:lang w:val="it-IT"/>
        </w:rPr>
        <w:t xml:space="preserve">, A.P. Ferraretti, J. de </w:t>
      </w:r>
      <w:proofErr w:type="spellStart"/>
      <w:r w:rsidRPr="00596162">
        <w:rPr>
          <w:lang w:val="it-IT"/>
        </w:rPr>
        <w:t>Mouzon</w:t>
      </w:r>
      <w:proofErr w:type="spellEnd"/>
      <w:r w:rsidRPr="00596162">
        <w:rPr>
          <w:lang w:val="it-IT"/>
        </w:rPr>
        <w:t xml:space="preserve">, K. </w:t>
      </w:r>
      <w:proofErr w:type="spellStart"/>
      <w:r w:rsidRPr="00596162">
        <w:rPr>
          <w:lang w:val="it-IT"/>
        </w:rPr>
        <w:t>Erb</w:t>
      </w:r>
      <w:proofErr w:type="spellEnd"/>
      <w:r w:rsidRPr="00596162">
        <w:rPr>
          <w:lang w:val="it-IT"/>
        </w:rPr>
        <w:t xml:space="preserve">, J.A. </w:t>
      </w:r>
      <w:proofErr w:type="spellStart"/>
      <w:r w:rsidRPr="00596162">
        <w:rPr>
          <w:lang w:val="it-IT"/>
        </w:rPr>
        <w:t>Castilla</w:t>
      </w:r>
      <w:proofErr w:type="spellEnd"/>
      <w:r w:rsidRPr="00596162">
        <w:rPr>
          <w:lang w:val="it-IT"/>
        </w:rPr>
        <w:t xml:space="preserve">, C. </w:t>
      </w:r>
      <w:proofErr w:type="spellStart"/>
      <w:r w:rsidRPr="00596162">
        <w:rPr>
          <w:lang w:val="it-IT"/>
        </w:rPr>
        <w:t>Calhaz</w:t>
      </w:r>
      <w:proofErr w:type="spellEnd"/>
      <w:r w:rsidRPr="00596162">
        <w:rPr>
          <w:lang w:val="it-IT"/>
        </w:rPr>
        <w:t xml:space="preserve">-Jorge, </w:t>
      </w:r>
      <w:proofErr w:type="spellStart"/>
      <w:r w:rsidRPr="00596162">
        <w:rPr>
          <w:lang w:val="it-IT"/>
        </w:rPr>
        <w:t>Ch</w:t>
      </w:r>
      <w:proofErr w:type="spellEnd"/>
      <w:r w:rsidRPr="00596162">
        <w:rPr>
          <w:lang w:val="it-IT"/>
        </w:rPr>
        <w:t xml:space="preserve">. </w:t>
      </w:r>
      <w:r w:rsidRPr="00596162">
        <w:t xml:space="preserve">De </w:t>
      </w:r>
      <w:proofErr w:type="spellStart"/>
      <w:r w:rsidRPr="00596162">
        <w:t>Geyter</w:t>
      </w:r>
      <w:proofErr w:type="spellEnd"/>
      <w:r w:rsidRPr="00596162">
        <w:t xml:space="preserve">, V. </w:t>
      </w:r>
      <w:proofErr w:type="spellStart"/>
      <w:r w:rsidRPr="00596162">
        <w:t>Goossens</w:t>
      </w:r>
      <w:proofErr w:type="spellEnd"/>
      <w:r w:rsidRPr="00596162">
        <w:t xml:space="preserve">, </w:t>
      </w:r>
      <w:r w:rsidRPr="00596162">
        <w:rPr>
          <w:i/>
        </w:rPr>
        <w:t>Assisted reproductive technology in Europe, 2011: results generated from European registers by ESHRE</w:t>
      </w:r>
      <w:r w:rsidRPr="00596162">
        <w:t xml:space="preserve">, Human Reproduction, Volume 31, Issue 2, 233-248, (1 February 2016), </w:t>
      </w:r>
      <w:hyperlink r:id="rId23" w:history="1">
        <w:r w:rsidRPr="00596162">
          <w:rPr>
            <w:rStyle w:val="Hyperlink"/>
          </w:rPr>
          <w:t>https://doi.org/10.1093/humrep/dev319</w:t>
        </w:r>
      </w:hyperlink>
      <w:r w:rsidRPr="00596162">
        <w:t xml:space="preserve"> (last visited 12 Dec. 2017).</w:t>
      </w:r>
    </w:p>
  </w:footnote>
  <w:footnote w:id="64">
    <w:p w14:paraId="1467FF0B"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65">
    <w:p w14:paraId="74B01259"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66">
    <w:p w14:paraId="21BCD9DE" w14:textId="77777777" w:rsidR="000C24E7" w:rsidRPr="00596162" w:rsidRDefault="000C24E7" w:rsidP="00435C8E">
      <w:pPr>
        <w:pStyle w:val="FootnoteText"/>
      </w:pPr>
      <w:r w:rsidRPr="00596162">
        <w:rPr>
          <w:rStyle w:val="FootnoteReference"/>
        </w:rPr>
        <w:footnoteRef/>
      </w:r>
      <w:r w:rsidRPr="00596162">
        <w:t xml:space="preserve"> National Institute for Health Development (</w:t>
      </w:r>
      <w:proofErr w:type="spellStart"/>
      <w:r w:rsidRPr="00596162">
        <w:t>Tervise</w:t>
      </w:r>
      <w:proofErr w:type="spellEnd"/>
      <w:r w:rsidRPr="00596162">
        <w:t xml:space="preserve"> </w:t>
      </w:r>
      <w:proofErr w:type="spellStart"/>
      <w:r w:rsidRPr="00596162">
        <w:t>Arengu</w:t>
      </w:r>
      <w:proofErr w:type="spellEnd"/>
      <w:r w:rsidRPr="00596162">
        <w:t xml:space="preserve"> </w:t>
      </w:r>
      <w:proofErr w:type="spellStart"/>
      <w:r w:rsidRPr="00596162">
        <w:t>Instituut</w:t>
      </w:r>
      <w:proofErr w:type="spellEnd"/>
      <w:r w:rsidRPr="00596162">
        <w:t xml:space="preserve">), </w:t>
      </w:r>
      <w:r w:rsidRPr="00596162">
        <w:rPr>
          <w:i/>
        </w:rPr>
        <w:t>IVF Procedures 2015</w:t>
      </w:r>
      <w:r w:rsidRPr="00596162">
        <w:t>, (20 July 2016), (</w:t>
      </w:r>
      <w:hyperlink r:id="rId24" w:history="1">
        <w:r w:rsidRPr="00596162">
          <w:rPr>
            <w:rStyle w:val="Hyperlink"/>
          </w:rPr>
          <w:t>http://www.tai.ee/en/health-data/health-statistics-and-health-research-database/latest-updates/3966-ivf-procedures-2015</w:t>
        </w:r>
      </w:hyperlink>
      <w:r w:rsidRPr="00596162">
        <w:t>) (last visited 12 Dec. 2017).</w:t>
      </w:r>
    </w:p>
  </w:footnote>
  <w:footnote w:id="67">
    <w:p w14:paraId="64FEE519"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68">
    <w:p w14:paraId="21A7ECEA"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69">
    <w:p w14:paraId="42389803" w14:textId="77777777" w:rsidR="000C24E7" w:rsidRPr="00596162" w:rsidRDefault="000C24E7" w:rsidP="00435C8E">
      <w:pPr>
        <w:pStyle w:val="FootnoteText"/>
      </w:pPr>
      <w:r w:rsidRPr="00596162">
        <w:rPr>
          <w:rStyle w:val="FootnoteReference"/>
        </w:rPr>
        <w:footnoteRef/>
      </w:r>
      <w:r w:rsidRPr="00596162">
        <w:t xml:space="preserve"> National Institute for Health Development: Health Statistics and Health Research Database, </w:t>
      </w:r>
      <w:r w:rsidRPr="00596162">
        <w:rPr>
          <w:i/>
        </w:rPr>
        <w:t>KV12: Number of clinical pregnancies by gamete owner and ART Method</w:t>
      </w:r>
      <w:r w:rsidRPr="00596162">
        <w:t xml:space="preserve">, State Agency of Medicines, (20 July 2016), </w:t>
      </w:r>
      <w:hyperlink r:id="rId25" w:history="1">
        <w:r w:rsidRPr="00596162">
          <w:rPr>
            <w:rStyle w:val="Hyperlink"/>
          </w:rPr>
          <w:t>http://pxweb.tai.ee/esf/pxweb2008/Database_en/HCservices/04Diagnostics/04Diagnostics.asp</w:t>
        </w:r>
      </w:hyperlink>
      <w:r w:rsidRPr="00596162">
        <w:t xml:space="preserve"> (last visited 12 Dec. 2017).</w:t>
      </w:r>
    </w:p>
  </w:footnote>
  <w:footnote w:id="70">
    <w:p w14:paraId="102C7E1D"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 xml:space="preserve">Id. </w:t>
      </w:r>
      <w:r w:rsidRPr="00596162">
        <w:t>(referring to table KV10: ART cycles by method and age group).</w:t>
      </w:r>
    </w:p>
  </w:footnote>
  <w:footnote w:id="71">
    <w:p w14:paraId="15EEDBE8"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(referring to table KV13: ART adverse and side effects).</w:t>
      </w:r>
    </w:p>
  </w:footnote>
  <w:footnote w:id="72">
    <w:p w14:paraId="0776FDB2"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73">
    <w:p w14:paraId="7AEF41CB" w14:textId="77777777" w:rsidR="000C24E7" w:rsidRPr="00596162" w:rsidRDefault="000C24E7" w:rsidP="00435C8E">
      <w:pPr>
        <w:pStyle w:val="FootnoteText"/>
      </w:pPr>
      <w:r w:rsidRPr="00596162">
        <w:rPr>
          <w:rStyle w:val="FootnoteReference"/>
        </w:rPr>
        <w:footnoteRef/>
      </w:r>
      <w:r w:rsidRPr="00596162">
        <w:t xml:space="preserve"> Estonia Penal Code, Chapter 9 </w:t>
      </w:r>
      <w:r w:rsidRPr="00596162">
        <w:rPr>
          <w:i/>
        </w:rPr>
        <w:t>Offenses Against the Person</w:t>
      </w:r>
      <w:r w:rsidRPr="00596162">
        <w:t xml:space="preserve">, Division 5, </w:t>
      </w:r>
      <w:r w:rsidRPr="00596162">
        <w:rPr>
          <w:i/>
        </w:rPr>
        <w:t xml:space="preserve">Illegal Treatment of Embryo or </w:t>
      </w:r>
      <w:proofErr w:type="spellStart"/>
      <w:r w:rsidRPr="00596162">
        <w:rPr>
          <w:i/>
        </w:rPr>
        <w:t>Foetus</w:t>
      </w:r>
      <w:proofErr w:type="spellEnd"/>
      <w:r w:rsidRPr="00596162">
        <w:t xml:space="preserve">, RT I, 23 Dec. 2014, (E.I.F. 1 Jan. 2015), </w:t>
      </w:r>
      <w:r w:rsidRPr="00596162">
        <w:rPr>
          <w:i/>
        </w:rPr>
        <w:t xml:space="preserve"> </w:t>
      </w:r>
      <w:hyperlink r:id="rId26" w:history="1">
        <w:r w:rsidRPr="00596162">
          <w:rPr>
            <w:rStyle w:val="Hyperlink"/>
          </w:rPr>
          <w:t>https://www.riigiteataja.ee/en/eli/ee/522012015002/consolide/current</w:t>
        </w:r>
      </w:hyperlink>
      <w:r w:rsidRPr="00596162">
        <w:t xml:space="preserve"> (last visited 12 Dec. 2017).</w:t>
      </w:r>
    </w:p>
  </w:footnote>
  <w:footnote w:id="74">
    <w:p w14:paraId="47BC086C" w14:textId="4A80CA98"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129. </w:t>
      </w:r>
    </w:p>
  </w:footnote>
  <w:footnote w:id="75">
    <w:p w14:paraId="510A0EED" w14:textId="5651672D"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131. </w:t>
      </w:r>
    </w:p>
  </w:footnote>
  <w:footnote w:id="76">
    <w:p w14:paraId="09EB7E81" w14:textId="77777777" w:rsidR="000C24E7" w:rsidRPr="00596162" w:rsidRDefault="000C24E7" w:rsidP="00435C8E">
      <w:pPr>
        <w:pStyle w:val="FootnoteText"/>
      </w:pPr>
      <w:r w:rsidRPr="00596162">
        <w:rPr>
          <w:rStyle w:val="FootnoteReference"/>
        </w:rPr>
        <w:footnoteRef/>
      </w:r>
      <w:r w:rsidRPr="00596162">
        <w:t xml:space="preserve"> </w:t>
      </w:r>
      <w:proofErr w:type="gramStart"/>
      <w:r w:rsidRPr="00596162">
        <w:t xml:space="preserve">Estonia Penal Code §132 </w:t>
      </w:r>
      <w:r w:rsidRPr="00596162">
        <w:rPr>
          <w:i/>
        </w:rPr>
        <w:t>Illegal surrogate motherhood</w:t>
      </w:r>
      <w:r w:rsidRPr="00596162">
        <w:t xml:space="preserve">., RT I, 23.12.2014, (E.I.F. 1 Jan. 2015), (“(1) Transfer of a foreign ovum, or an embryo or </w:t>
      </w:r>
      <w:proofErr w:type="spellStart"/>
      <w:r w:rsidRPr="00596162">
        <w:t>foetus</w:t>
      </w:r>
      <w:proofErr w:type="spellEnd"/>
      <w:r w:rsidRPr="00596162">
        <w:t xml:space="preserve"> created therefrom to a woman whose intention to give away the child after birth is known is punishable by a pecuniary punishment; (2) The same act, if committed by a legal person, is punishable by a pecuniary punishment.”), </w:t>
      </w:r>
      <w:hyperlink r:id="rId27" w:history="1">
        <w:r w:rsidRPr="00596162">
          <w:rPr>
            <w:rStyle w:val="Hyperlink"/>
          </w:rPr>
          <w:t>https://www.riigiteataja.ee/en/eli/522012015002/consolide</w:t>
        </w:r>
      </w:hyperlink>
      <w:r w:rsidRPr="00596162">
        <w:t xml:space="preserve"> (last visited 12 Dec. 2017).</w:t>
      </w:r>
      <w:proofErr w:type="gramEnd"/>
    </w:p>
  </w:footnote>
  <w:footnote w:id="77">
    <w:p w14:paraId="3F53CC4D" w14:textId="77777777" w:rsidR="000C24E7" w:rsidRPr="00596162" w:rsidRDefault="000C24E7" w:rsidP="00435C8E">
      <w:pPr>
        <w:pStyle w:val="FootnoteText"/>
        <w:rPr>
          <w:i/>
        </w:rPr>
      </w:pPr>
      <w:r w:rsidRPr="00596162">
        <w:rPr>
          <w:rStyle w:val="FootnoteReference"/>
        </w:rPr>
        <w:footnoteRef/>
      </w:r>
      <w:r w:rsidRPr="00596162">
        <w:t xml:space="preserve"> </w:t>
      </w:r>
      <w:r w:rsidRPr="00596162">
        <w:rPr>
          <w:rFonts w:eastAsia="Garamond" w:cs="Garamond"/>
        </w:rPr>
        <w:t xml:space="preserve">Farida Shaheed (Special Rapporteur on Cultural Rights), </w:t>
      </w:r>
      <w:r w:rsidRPr="00596162">
        <w:rPr>
          <w:rFonts w:eastAsia="Garamond" w:cs="Garamond"/>
          <w:i/>
        </w:rPr>
        <w:t>The Right to Enjoy the Benefits of Scientific Progress and Its Applications</w:t>
      </w:r>
      <w:r w:rsidRPr="00596162">
        <w:rPr>
          <w:rFonts w:eastAsia="Garamond" w:cs="Garamond"/>
        </w:rPr>
        <w:t xml:space="preserve">, U.N. Doc. A/HRC/20/26, para. </w:t>
      </w:r>
      <w:proofErr w:type="gramStart"/>
      <w:r w:rsidRPr="00596162">
        <w:rPr>
          <w:rFonts w:eastAsia="Garamond" w:cs="Garamond"/>
        </w:rPr>
        <w:t xml:space="preserve">24, (May 14, 2012), (explaining that the term “science” as used in the ICESCR is “knowledge that is testable and refutable, in all fields of inquiry . . . and encompassing all research”; and elaborating that “[t]he ‘benefits’ of science encompass not only scientific results and outcomes but also the scientific process, its methodologies and tools.”), </w:t>
      </w:r>
      <w:hyperlink r:id="rId28">
        <w:r w:rsidRPr="00596162">
          <w:rPr>
            <w:rFonts w:eastAsia="Garamond" w:cs="Garamond"/>
            <w:u w:val="single"/>
          </w:rPr>
          <w:t>http://www.ohchr.org/Documents/HRBodies/HRCouncil/RegularSession/Session20/A-HRC-20-26_en.pdf</w:t>
        </w:r>
      </w:hyperlink>
      <w:r w:rsidRPr="00596162">
        <w:rPr>
          <w:rFonts w:eastAsia="Garamond" w:cs="Garamond"/>
        </w:rPr>
        <w:t>.</w:t>
      </w:r>
      <w:proofErr w:type="gramEnd"/>
      <w:r w:rsidRPr="00596162">
        <w:rPr>
          <w:rFonts w:eastAsia="Garamond" w:cs="Garamond"/>
        </w:rPr>
        <w:t xml:space="preserve"> (</w:t>
      </w:r>
      <w:proofErr w:type="gramStart"/>
      <w:r w:rsidRPr="00596162">
        <w:rPr>
          <w:rFonts w:eastAsia="Garamond" w:cs="Garamond"/>
        </w:rPr>
        <w:t>last</w:t>
      </w:r>
      <w:proofErr w:type="gramEnd"/>
      <w:r w:rsidRPr="00596162">
        <w:rPr>
          <w:rFonts w:eastAsia="Garamond" w:cs="Garamond"/>
        </w:rPr>
        <w:t xml:space="preserve"> visited 14 Dec. 2017).</w:t>
      </w:r>
    </w:p>
  </w:footnote>
  <w:footnote w:id="78">
    <w:p w14:paraId="0CD17C85" w14:textId="77777777" w:rsidR="000C24E7" w:rsidRPr="00596162" w:rsidRDefault="000C24E7" w:rsidP="00435C8E">
      <w:pPr>
        <w:pStyle w:val="FootnoteText"/>
      </w:pPr>
      <w:r w:rsidRPr="00596162">
        <w:rPr>
          <w:rStyle w:val="FootnoteReference"/>
        </w:rPr>
        <w:footnoteRef/>
      </w:r>
      <w:r w:rsidRPr="00596162">
        <w:t xml:space="preserve"> </w:t>
      </w:r>
      <w:r w:rsidRPr="00596162">
        <w:rPr>
          <w:rFonts w:eastAsia="Garamond" w:cs="Garamond"/>
        </w:rPr>
        <w:t xml:space="preserve">Reproductive Medicine Associates of Connecticut, </w:t>
      </w:r>
      <w:r w:rsidRPr="00596162">
        <w:rPr>
          <w:rFonts w:eastAsia="Garamond" w:cs="Garamond"/>
          <w:i/>
        </w:rPr>
        <w:t>What is a Reproductive Endocrinologist</w:t>
      </w:r>
      <w:proofErr w:type="gramStart"/>
      <w:r w:rsidRPr="00596162">
        <w:rPr>
          <w:rFonts w:eastAsia="Garamond" w:cs="Garamond"/>
          <w:smallCaps/>
        </w:rPr>
        <w:t>?,</w:t>
      </w:r>
      <w:proofErr w:type="gramEnd"/>
      <w:r w:rsidRPr="00596162">
        <w:rPr>
          <w:rFonts w:eastAsia="Garamond" w:cs="Garamond"/>
          <w:i/>
        </w:rPr>
        <w:t xml:space="preserve"> </w:t>
      </w:r>
      <w:hyperlink r:id="rId29">
        <w:r w:rsidRPr="00596162">
          <w:rPr>
            <w:rFonts w:eastAsia="Garamond" w:cs="Garamond"/>
            <w:u w:val="single"/>
          </w:rPr>
          <w:t>http://www.rmact.com/our-fertility-doctors/what-is-a-reproductive-endocrinologist</w:t>
        </w:r>
      </w:hyperlink>
      <w:r w:rsidRPr="00596162">
        <w:rPr>
          <w:rFonts w:eastAsia="Garamond" w:cs="Garamond"/>
        </w:rPr>
        <w:t xml:space="preserve"> (last visited 14 Dec. 2017).</w:t>
      </w:r>
    </w:p>
  </w:footnote>
  <w:footnote w:id="79">
    <w:p w14:paraId="5BA2A5EC" w14:textId="77777777" w:rsidR="000C24E7" w:rsidRPr="00596162" w:rsidRDefault="000C24E7" w:rsidP="00435C8E">
      <w:pPr>
        <w:spacing w:after="0" w:line="240" w:lineRule="auto"/>
        <w:rPr>
          <w:rFonts w:eastAsia="Garamond" w:cs="Garamond"/>
          <w:sz w:val="20"/>
          <w:szCs w:val="20"/>
        </w:rPr>
      </w:pPr>
      <w:r w:rsidRPr="00596162">
        <w:rPr>
          <w:sz w:val="20"/>
          <w:szCs w:val="20"/>
          <w:vertAlign w:val="superscript"/>
        </w:rPr>
        <w:footnoteRef/>
      </w:r>
      <w:r w:rsidRPr="00596162">
        <w:rPr>
          <w:rFonts w:eastAsia="Garamond" w:cs="Garamond"/>
          <w:sz w:val="20"/>
          <w:szCs w:val="20"/>
        </w:rPr>
        <w:t xml:space="preserve"> WHO Infertility Definitions and Terminology, </w:t>
      </w:r>
      <w:r w:rsidRPr="00596162">
        <w:rPr>
          <w:rFonts w:eastAsia="Garamond" w:cs="Garamond"/>
          <w:i/>
          <w:sz w:val="20"/>
          <w:szCs w:val="20"/>
        </w:rPr>
        <w:t>Sexual and Reproductive Health: Infertility definitions and terminology</w:t>
      </w:r>
      <w:r w:rsidRPr="00596162">
        <w:rPr>
          <w:rFonts w:eastAsia="Garamond" w:cs="Garamond"/>
          <w:sz w:val="20"/>
          <w:szCs w:val="20"/>
        </w:rPr>
        <w:t xml:space="preserve">, </w:t>
      </w:r>
      <w:hyperlink r:id="rId30">
        <w:r w:rsidRPr="00596162">
          <w:rPr>
            <w:rFonts w:eastAsia="Garamond" w:cs="Garamond"/>
            <w:sz w:val="20"/>
            <w:szCs w:val="20"/>
            <w:u w:val="single"/>
          </w:rPr>
          <w:t>http://www.who.int/reproductivehealth/topics/infertility/definitions/en/</w:t>
        </w:r>
      </w:hyperlink>
      <w:r w:rsidRPr="00596162">
        <w:rPr>
          <w:rFonts w:eastAsia="Garamond" w:cs="Garamond"/>
          <w:sz w:val="20"/>
          <w:szCs w:val="20"/>
        </w:rPr>
        <w:t xml:space="preserve"> (last visited 14 Dec. 2017); </w:t>
      </w:r>
      <w:proofErr w:type="spellStart"/>
      <w:r w:rsidRPr="00596162">
        <w:rPr>
          <w:rFonts w:eastAsia="Garamond" w:cs="Garamond"/>
          <w:sz w:val="20"/>
          <w:szCs w:val="20"/>
        </w:rPr>
        <w:t>Shorge</w:t>
      </w:r>
      <w:proofErr w:type="spellEnd"/>
      <w:r w:rsidRPr="00596162">
        <w:rPr>
          <w:rFonts w:eastAsia="Garamond" w:cs="Garamond"/>
          <w:sz w:val="20"/>
          <w:szCs w:val="20"/>
        </w:rPr>
        <w:t xml:space="preserve"> Sato, </w:t>
      </w:r>
      <w:r w:rsidRPr="00596162">
        <w:rPr>
          <w:rFonts w:eastAsia="Garamond" w:cs="Garamond"/>
          <w:i/>
          <w:sz w:val="20"/>
          <w:szCs w:val="20"/>
        </w:rPr>
        <w:t xml:space="preserve">A Little Bit Disabled: Infertility and the Americans </w:t>
      </w:r>
      <w:proofErr w:type="gramStart"/>
      <w:r w:rsidRPr="00596162">
        <w:rPr>
          <w:rFonts w:eastAsia="Garamond" w:cs="Garamond"/>
          <w:i/>
          <w:sz w:val="20"/>
          <w:szCs w:val="20"/>
        </w:rPr>
        <w:t>With</w:t>
      </w:r>
      <w:proofErr w:type="gramEnd"/>
      <w:r w:rsidRPr="00596162">
        <w:rPr>
          <w:rFonts w:eastAsia="Garamond" w:cs="Garamond"/>
          <w:i/>
          <w:sz w:val="20"/>
          <w:szCs w:val="20"/>
        </w:rPr>
        <w:t xml:space="preserve"> Disabilities Act</w:t>
      </w:r>
      <w:r w:rsidRPr="00596162">
        <w:rPr>
          <w:rFonts w:eastAsia="Garamond" w:cs="Garamond"/>
          <w:sz w:val="20"/>
          <w:szCs w:val="20"/>
        </w:rPr>
        <w:t xml:space="preserve">, 5 </w:t>
      </w:r>
      <w:r w:rsidRPr="00596162">
        <w:rPr>
          <w:rFonts w:eastAsia="Garamond" w:cs="Garamond"/>
          <w:smallCaps/>
          <w:sz w:val="20"/>
          <w:szCs w:val="20"/>
        </w:rPr>
        <w:t xml:space="preserve">N.Y.U.J. Legis. &amp; Pub. </w:t>
      </w:r>
      <w:proofErr w:type="spellStart"/>
      <w:r w:rsidRPr="00596162">
        <w:rPr>
          <w:rFonts w:eastAsia="Garamond" w:cs="Garamond"/>
          <w:smallCaps/>
          <w:sz w:val="20"/>
          <w:szCs w:val="20"/>
        </w:rPr>
        <w:t>Pol’y</w:t>
      </w:r>
      <w:proofErr w:type="spellEnd"/>
      <w:r w:rsidRPr="00596162">
        <w:rPr>
          <w:rFonts w:eastAsia="Garamond" w:cs="Garamond"/>
          <w:sz w:val="20"/>
          <w:szCs w:val="20"/>
        </w:rPr>
        <w:t xml:space="preserve"> 223 (2002).</w:t>
      </w:r>
    </w:p>
  </w:footnote>
  <w:footnote w:id="80">
    <w:p w14:paraId="09C44400" w14:textId="77777777" w:rsidR="000C24E7" w:rsidRPr="00596162" w:rsidRDefault="000C24E7" w:rsidP="00435C8E">
      <w:pPr>
        <w:spacing w:after="0" w:line="240" w:lineRule="auto"/>
        <w:rPr>
          <w:rFonts w:eastAsia="Garamond" w:cs="Garamond"/>
          <w:sz w:val="20"/>
          <w:szCs w:val="20"/>
        </w:rPr>
      </w:pPr>
      <w:r w:rsidRPr="00596162">
        <w:rPr>
          <w:sz w:val="20"/>
          <w:szCs w:val="20"/>
          <w:vertAlign w:val="superscript"/>
        </w:rPr>
        <w:footnoteRef/>
      </w:r>
      <w:r w:rsidRPr="00596162">
        <w:rPr>
          <w:rFonts w:eastAsia="Garamond" w:cs="Garamond"/>
          <w:sz w:val="20"/>
          <w:szCs w:val="20"/>
        </w:rPr>
        <w:t xml:space="preserve"> WHO </w:t>
      </w:r>
      <w:r w:rsidRPr="00596162">
        <w:rPr>
          <w:rFonts w:eastAsia="Garamond" w:cs="Garamond"/>
          <w:i/>
          <w:sz w:val="20"/>
          <w:szCs w:val="20"/>
        </w:rPr>
        <w:t>World Report on Disability</w:t>
      </w:r>
      <w:r w:rsidRPr="00596162">
        <w:rPr>
          <w:rFonts w:eastAsia="Garamond" w:cs="Garamond"/>
          <w:sz w:val="20"/>
          <w:szCs w:val="20"/>
        </w:rPr>
        <w:t xml:space="preserve"> at </w:t>
      </w:r>
      <w:proofErr w:type="gramStart"/>
      <w:r w:rsidRPr="00596162">
        <w:rPr>
          <w:rFonts w:eastAsia="Garamond" w:cs="Garamond"/>
          <w:sz w:val="20"/>
          <w:szCs w:val="20"/>
        </w:rPr>
        <w:t>4</w:t>
      </w:r>
      <w:proofErr w:type="gramEnd"/>
      <w:r w:rsidRPr="00596162">
        <w:rPr>
          <w:rFonts w:eastAsia="Garamond" w:cs="Garamond"/>
          <w:sz w:val="20"/>
          <w:szCs w:val="20"/>
        </w:rPr>
        <w:t xml:space="preserve"> (2011), </w:t>
      </w:r>
      <w:hyperlink r:id="rId31">
        <w:r w:rsidRPr="00596162">
          <w:rPr>
            <w:rFonts w:eastAsia="Garamond" w:cs="Garamond"/>
            <w:sz w:val="20"/>
            <w:szCs w:val="20"/>
            <w:u w:val="single"/>
          </w:rPr>
          <w:t>http://whqlibdoc.who.int/publications/2011/9789240685215_eng.pdf</w:t>
        </w:r>
      </w:hyperlink>
      <w:r w:rsidRPr="00596162">
        <w:rPr>
          <w:rFonts w:eastAsia="Garamond" w:cs="Garamond"/>
          <w:sz w:val="20"/>
          <w:szCs w:val="20"/>
        </w:rPr>
        <w:t xml:space="preserve"> (last visited Jan. 23, 2016).</w:t>
      </w:r>
    </w:p>
  </w:footnote>
  <w:footnote w:id="81">
    <w:p w14:paraId="497171BE" w14:textId="77777777" w:rsidR="000C24E7" w:rsidRPr="00596162" w:rsidRDefault="000C24E7" w:rsidP="00435C8E">
      <w:pPr>
        <w:spacing w:after="0" w:line="240" w:lineRule="auto"/>
        <w:rPr>
          <w:rFonts w:eastAsia="Garamond" w:cs="Garamond"/>
          <w:i/>
          <w:sz w:val="20"/>
          <w:szCs w:val="20"/>
        </w:rPr>
      </w:pPr>
      <w:r w:rsidRPr="00596162">
        <w:rPr>
          <w:sz w:val="20"/>
          <w:szCs w:val="20"/>
          <w:vertAlign w:val="superscript"/>
        </w:rPr>
        <w:footnoteRef/>
      </w:r>
      <w:r w:rsidRPr="00596162">
        <w:rPr>
          <w:rFonts w:eastAsia="Garamond" w:cs="Garamond"/>
          <w:sz w:val="20"/>
          <w:szCs w:val="20"/>
        </w:rPr>
        <w:t xml:space="preserve"> </w:t>
      </w:r>
      <w:r w:rsidRPr="00596162">
        <w:rPr>
          <w:rFonts w:eastAsia="Garamond" w:cs="Garamond"/>
          <w:i/>
          <w:sz w:val="20"/>
          <w:szCs w:val="20"/>
        </w:rPr>
        <w:t>Id.</w:t>
      </w:r>
    </w:p>
  </w:footnote>
  <w:footnote w:id="82">
    <w:p w14:paraId="20255347" w14:textId="77777777" w:rsidR="000C24E7" w:rsidRPr="00596162" w:rsidRDefault="000C24E7" w:rsidP="00435C8E">
      <w:pPr>
        <w:spacing w:after="0" w:line="240" w:lineRule="auto"/>
        <w:rPr>
          <w:rFonts w:eastAsia="Garamond" w:cs="Garamond"/>
          <w:sz w:val="20"/>
          <w:szCs w:val="20"/>
        </w:rPr>
      </w:pPr>
      <w:r w:rsidRPr="00596162">
        <w:rPr>
          <w:rStyle w:val="FootnoteReference"/>
          <w:sz w:val="20"/>
          <w:szCs w:val="20"/>
        </w:rPr>
        <w:footnoteRef/>
      </w:r>
      <w:r w:rsidRPr="00596162">
        <w:rPr>
          <w:sz w:val="20"/>
          <w:szCs w:val="20"/>
        </w:rPr>
        <w:t xml:space="preserve"> </w:t>
      </w:r>
      <w:r w:rsidRPr="00596162">
        <w:rPr>
          <w:rFonts w:eastAsia="Garamond" w:cs="Garamond"/>
          <w:sz w:val="20"/>
          <w:szCs w:val="20"/>
        </w:rPr>
        <w:t xml:space="preserve">United Nations Committee on Economic, Social, and Cultural Rights, General Comment No. 14, </w:t>
      </w:r>
      <w:r w:rsidRPr="00596162">
        <w:rPr>
          <w:rFonts w:eastAsia="Garamond" w:cs="Garamond"/>
          <w:i/>
          <w:sz w:val="20"/>
          <w:szCs w:val="20"/>
        </w:rPr>
        <w:t>Substantive Issues Arising in the Implementation of the International Covenant on Economic, Social, and Cultural Rights: The Right to the Highest Attainable Standard of Health</w:t>
      </w:r>
      <w:r w:rsidRPr="00596162">
        <w:rPr>
          <w:rFonts w:eastAsia="Garamond" w:cs="Garamond"/>
          <w:sz w:val="20"/>
          <w:szCs w:val="20"/>
        </w:rPr>
        <w:t xml:space="preserve"> at ¶ 8, Doc. E/C. 12/2000/4 (Aug. 11, 2000).</w:t>
      </w:r>
    </w:p>
  </w:footnote>
  <w:footnote w:id="83">
    <w:p w14:paraId="52F888AF" w14:textId="77777777" w:rsidR="000C24E7" w:rsidRPr="00596162" w:rsidRDefault="000C24E7" w:rsidP="00435C8E">
      <w:pPr>
        <w:pStyle w:val="FootnoteText"/>
      </w:pPr>
      <w:r w:rsidRPr="00596162">
        <w:rPr>
          <w:rStyle w:val="FootnoteReference"/>
        </w:rPr>
        <w:footnoteRef/>
      </w:r>
      <w:r w:rsidRPr="00596162">
        <w:t xml:space="preserve"> </w:t>
      </w:r>
      <w:r w:rsidRPr="00596162">
        <w:rPr>
          <w:rFonts w:eastAsia="Garamond" w:cs="Garamond"/>
          <w:i/>
        </w:rPr>
        <w:t xml:space="preserve">Id. </w:t>
      </w:r>
      <w:r w:rsidRPr="00596162">
        <w:rPr>
          <w:rFonts w:eastAsia="Garamond" w:cs="Garamond"/>
        </w:rPr>
        <w:t>at 20, ¶ 14, n. 12.</w:t>
      </w:r>
    </w:p>
  </w:footnote>
  <w:footnote w:id="84">
    <w:p w14:paraId="23A07CC4" w14:textId="77777777" w:rsidR="000C24E7" w:rsidRPr="00596162" w:rsidRDefault="000C24E7" w:rsidP="00435C8E">
      <w:pPr>
        <w:pBdr>
          <w:top w:val="nil"/>
        </w:pBdr>
        <w:spacing w:after="0" w:line="240" w:lineRule="auto"/>
        <w:rPr>
          <w:rFonts w:eastAsia="Garamond" w:cs="Garamond"/>
          <w:sz w:val="20"/>
          <w:szCs w:val="20"/>
        </w:rPr>
      </w:pPr>
      <w:r w:rsidRPr="00596162">
        <w:rPr>
          <w:sz w:val="20"/>
          <w:szCs w:val="20"/>
          <w:vertAlign w:val="superscript"/>
        </w:rPr>
        <w:footnoteRef/>
      </w:r>
      <w:r w:rsidRPr="00596162">
        <w:rPr>
          <w:rFonts w:eastAsia="Garamond" w:cs="Garamond"/>
          <w:sz w:val="20"/>
          <w:szCs w:val="20"/>
        </w:rPr>
        <w:t xml:space="preserve"> I/A Court H.R., </w:t>
      </w:r>
      <w:proofErr w:type="spellStart"/>
      <w:r w:rsidRPr="00596162">
        <w:rPr>
          <w:rFonts w:eastAsia="Garamond" w:cs="Garamond"/>
          <w:i/>
          <w:sz w:val="20"/>
          <w:szCs w:val="20"/>
        </w:rPr>
        <w:t>Artavia</w:t>
      </w:r>
      <w:proofErr w:type="spellEnd"/>
      <w:r w:rsidRPr="00596162">
        <w:rPr>
          <w:rFonts w:eastAsia="Garamond" w:cs="Garamond"/>
          <w:i/>
          <w:sz w:val="20"/>
          <w:szCs w:val="20"/>
        </w:rPr>
        <w:t xml:space="preserve"> Murillo et al. v. Costa Rica</w:t>
      </w:r>
      <w:r w:rsidRPr="00596162">
        <w:rPr>
          <w:rFonts w:eastAsia="Garamond" w:cs="Garamond"/>
          <w:sz w:val="20"/>
          <w:szCs w:val="20"/>
        </w:rPr>
        <w:t xml:space="preserve"> case, Judgment of November 28, 2012, Series C, No. 257, ¶ 146, </w:t>
      </w:r>
      <w:hyperlink r:id="rId32" w:history="1">
        <w:r w:rsidRPr="00596162">
          <w:rPr>
            <w:rStyle w:val="Hyperlink"/>
            <w:rFonts w:eastAsia="Garamond" w:cs="Garamond"/>
            <w:sz w:val="20"/>
            <w:szCs w:val="20"/>
          </w:rPr>
          <w:t>http://www.corteidh.or.cr/docs/casos/articulos/seriec_257_ing.pdf</w:t>
        </w:r>
      </w:hyperlink>
      <w:r w:rsidRPr="00596162">
        <w:rPr>
          <w:rFonts w:eastAsia="Garamond" w:cs="Garamond"/>
          <w:sz w:val="20"/>
          <w:szCs w:val="20"/>
        </w:rPr>
        <w:t xml:space="preserve"> (last visited 14 Dec. 2017).</w:t>
      </w:r>
    </w:p>
  </w:footnote>
  <w:footnote w:id="85">
    <w:p w14:paraId="5EDF20DA" w14:textId="471B8843" w:rsidR="000C24E7" w:rsidRPr="00596162" w:rsidRDefault="000C24E7" w:rsidP="00435C8E">
      <w:pPr>
        <w:pStyle w:val="FootnoteText"/>
      </w:pPr>
      <w:r w:rsidRPr="00596162">
        <w:rPr>
          <w:rStyle w:val="FootnoteReference"/>
        </w:rPr>
        <w:footnoteRef/>
      </w:r>
      <w:r w:rsidRPr="00596162">
        <w:t xml:space="preserve"> </w:t>
      </w:r>
      <w:r w:rsidR="003D266C">
        <w:rPr>
          <w:i/>
        </w:rPr>
        <w:t xml:space="preserve">See </w:t>
      </w:r>
      <w:r w:rsidR="003D266C" w:rsidRPr="00596162">
        <w:rPr>
          <w:i/>
        </w:rPr>
        <w:t>Artificial Insemination and Embryo Protection Act</w:t>
      </w:r>
      <w:r w:rsidR="003D266C" w:rsidRPr="00596162">
        <w:t>, art. 1</w:t>
      </w:r>
      <w:r w:rsidR="003D266C">
        <w:t>-6.</w:t>
      </w:r>
    </w:p>
  </w:footnote>
  <w:footnote w:id="86">
    <w:p w14:paraId="30FC2722" w14:textId="776ABC14" w:rsidR="000C24E7" w:rsidRPr="003D266C" w:rsidRDefault="000C24E7" w:rsidP="00435C8E">
      <w:pPr>
        <w:pStyle w:val="FootnoteText"/>
      </w:pPr>
      <w:r w:rsidRPr="00596162">
        <w:rPr>
          <w:rStyle w:val="FootnoteReference"/>
        </w:rPr>
        <w:footnoteRef/>
      </w:r>
      <w:r w:rsidRPr="00596162">
        <w:t xml:space="preserve"> </w:t>
      </w:r>
      <w:r w:rsidR="003D266C">
        <w:rPr>
          <w:i/>
        </w:rPr>
        <w:t>Id.</w:t>
      </w:r>
    </w:p>
  </w:footnote>
  <w:footnote w:id="87">
    <w:p w14:paraId="54761852" w14:textId="77777777" w:rsidR="000C24E7" w:rsidRPr="00596162" w:rsidRDefault="000C24E7" w:rsidP="00435C8E">
      <w:pPr>
        <w:pStyle w:val="FootnoteText"/>
      </w:pPr>
      <w:r w:rsidRPr="00596162">
        <w:rPr>
          <w:rStyle w:val="FootnoteReference"/>
        </w:rPr>
        <w:footnoteRef/>
      </w:r>
      <w:r w:rsidRPr="00596162">
        <w:t xml:space="preserve"> World Congress for Freedom of Scientific Research, </w:t>
      </w:r>
      <w:r w:rsidRPr="00596162">
        <w:rPr>
          <w:i/>
        </w:rPr>
        <w:t>Abortion</w:t>
      </w:r>
      <w:r w:rsidRPr="00596162">
        <w:t>, Research and Self-Determination Index, (http://www.freedomofresearch.org/issue/abortion?page=1) (last visited 14 Dec. 2017).</w:t>
      </w:r>
    </w:p>
  </w:footnote>
  <w:footnote w:id="88">
    <w:p w14:paraId="424A2BB8" w14:textId="77777777" w:rsidR="000C24E7" w:rsidRPr="00596162" w:rsidRDefault="000C24E7" w:rsidP="00435C8E">
      <w:pPr>
        <w:pStyle w:val="FootnoteText"/>
      </w:pPr>
      <w:r w:rsidRPr="00596162">
        <w:rPr>
          <w:rStyle w:val="FootnoteReference"/>
        </w:rPr>
        <w:footnoteRef/>
      </w:r>
      <w:r w:rsidRPr="00596162">
        <w:t xml:space="preserve"> </w:t>
      </w:r>
      <w:proofErr w:type="gramStart"/>
      <w:r w:rsidRPr="00596162">
        <w:t xml:space="preserve">U.N. Economic and Social Council, </w:t>
      </w:r>
      <w:r w:rsidRPr="00596162">
        <w:rPr>
          <w:i/>
        </w:rPr>
        <w:t>Third Periodic Report Submitted by Estonia under articles 16 and 17 of the Covenant, due in 2016</w:t>
      </w:r>
      <w:r w:rsidRPr="00596162">
        <w:t xml:space="preserve">, UN Doc. E/C.12/EST/3, (29 Sep. 2017); U.N. Economic and Social Council, </w:t>
      </w:r>
      <w:r w:rsidRPr="00596162">
        <w:rPr>
          <w:i/>
        </w:rPr>
        <w:t>Third Periodic Report Submitted by Estonia under articles 16 and 17 of the Covenant, due in 2016: Annex</w:t>
      </w:r>
      <w:r w:rsidRPr="00596162">
        <w:t>, UN Doc. E/C.12/EST/3, (29 Sep. 2017).</w:t>
      </w:r>
      <w:proofErr w:type="gramEnd"/>
      <w:r w:rsidRPr="00596162">
        <w:t xml:space="preserve"> </w:t>
      </w:r>
      <w:hyperlink r:id="rId33" w:history="1">
        <w:r w:rsidRPr="00596162">
          <w:rPr>
            <w:rStyle w:val="Hyperlink"/>
          </w:rPr>
          <w:t>http://tbinternet.ohchr.org/_layouts/treatybodyexternal/Download.aspx?symbolno=INT%2fCESCR%2fADR%2fEST%2f28826&amp;Lang=en</w:t>
        </w:r>
      </w:hyperlink>
      <w:r w:rsidRPr="00596162">
        <w:t xml:space="preserve"> (last visited 13 Dec. 2017). </w:t>
      </w:r>
    </w:p>
  </w:footnote>
  <w:footnote w:id="89">
    <w:p w14:paraId="327BFA73" w14:textId="77777777" w:rsidR="000C24E7" w:rsidRPr="00596162" w:rsidRDefault="000C24E7" w:rsidP="00435C8E">
      <w:pPr>
        <w:pStyle w:val="FootnoteText"/>
      </w:pPr>
      <w:r w:rsidRPr="00596162">
        <w:rPr>
          <w:rStyle w:val="FootnoteReference"/>
        </w:rPr>
        <w:footnoteRef/>
      </w:r>
      <w:r w:rsidRPr="00596162">
        <w:t xml:space="preserve"> U.N. Economic and Social Council, </w:t>
      </w:r>
      <w:r w:rsidRPr="00596162">
        <w:rPr>
          <w:i/>
        </w:rPr>
        <w:t>Third Periodic Report Submitted by Estonia under articles 16 and 17 of the Covenant, due in 2016</w:t>
      </w:r>
      <w:r w:rsidRPr="00596162">
        <w:t>, UN Doc. E/C.12/EST/3, ¶ 162, (29 Sep. 2017).</w:t>
      </w:r>
    </w:p>
  </w:footnote>
  <w:footnote w:id="90">
    <w:p w14:paraId="5943E7FD"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 163.</w:t>
      </w:r>
    </w:p>
  </w:footnote>
  <w:footnote w:id="91">
    <w:p w14:paraId="1D27C96D" w14:textId="77777777" w:rsidR="000C24E7" w:rsidRPr="00596162" w:rsidRDefault="000C24E7" w:rsidP="00435C8E">
      <w:pPr>
        <w:pStyle w:val="FootnoteText"/>
      </w:pPr>
      <w:r w:rsidRPr="00596162">
        <w:rPr>
          <w:rStyle w:val="FootnoteReference"/>
        </w:rPr>
        <w:footnoteRef/>
      </w:r>
      <w:r w:rsidRPr="00596162">
        <w:t xml:space="preserve"> Committee on the Elimination on the Elimination of Discrimination against Women, </w:t>
      </w:r>
      <w:r w:rsidRPr="00596162">
        <w:rPr>
          <w:i/>
        </w:rPr>
        <w:t>Concluding comments of the Committee on the Elimination of Discrimination against Women: Estonia</w:t>
      </w:r>
      <w:r w:rsidRPr="00596162">
        <w:t xml:space="preserve">, 10 Aug. 2007, CEDAW/C/EST/CO/4. , para. 24. </w:t>
      </w:r>
      <w:hyperlink r:id="rId34" w:history="1">
        <w:r w:rsidRPr="00596162">
          <w:rPr>
            <w:rStyle w:val="Hyperlink"/>
          </w:rPr>
          <w:t>http://uhri.ohchr.org/Document/File/e8646a30-17a7-419c-ae8a-437add254266/44ddb928-5853-42eb-95c9-d695dafaeada</w:t>
        </w:r>
      </w:hyperlink>
      <w:r w:rsidRPr="00596162">
        <w:t xml:space="preserve"> (last visited 13 Dec. 2017).</w:t>
      </w:r>
    </w:p>
  </w:footnote>
  <w:footnote w:id="92">
    <w:p w14:paraId="1A671F62" w14:textId="77777777" w:rsidR="000C24E7" w:rsidRPr="00596162" w:rsidRDefault="000C24E7" w:rsidP="00435C8E">
      <w:pPr>
        <w:pStyle w:val="FootnoteText"/>
      </w:pPr>
      <w:r w:rsidRPr="00596162">
        <w:rPr>
          <w:rStyle w:val="FootnoteReference"/>
        </w:rPr>
        <w:footnoteRef/>
      </w:r>
      <w:r w:rsidRPr="00596162">
        <w:t xml:space="preserve"> Wm. Robert Johnston, </w:t>
      </w:r>
      <w:r w:rsidRPr="00596162">
        <w:rPr>
          <w:i/>
        </w:rPr>
        <w:t>Historical abortion statistics, Estonia</w:t>
      </w:r>
      <w:r w:rsidRPr="00596162">
        <w:t xml:space="preserve">, Johnston’s Archive (24 Feb. 2017), </w:t>
      </w:r>
      <w:hyperlink r:id="rId35" w:history="1">
        <w:r w:rsidRPr="00596162">
          <w:rPr>
            <w:rStyle w:val="Hyperlink"/>
          </w:rPr>
          <w:t>http://www.johnstonsarchive.net/policy/abortion/ab-estonia.html</w:t>
        </w:r>
      </w:hyperlink>
      <w:r w:rsidRPr="00596162">
        <w:t xml:space="preserve"> (last visited 14 Dec. 2017).</w:t>
      </w:r>
    </w:p>
  </w:footnote>
  <w:footnote w:id="93">
    <w:p w14:paraId="012BC2B4" w14:textId="77777777" w:rsidR="000C24E7" w:rsidRPr="00596162" w:rsidRDefault="000C24E7" w:rsidP="00435C8E">
      <w:pPr>
        <w:pStyle w:val="FootnoteText"/>
      </w:pPr>
      <w:r w:rsidRPr="00596162">
        <w:rPr>
          <w:rStyle w:val="FootnoteReference"/>
        </w:rPr>
        <w:footnoteRef/>
      </w:r>
      <w:r w:rsidRPr="00596162">
        <w:t xml:space="preserve"> Pregnancy Abatement and Sterilization Act – 25 Nov. 1998 – RT I 1998, 107, 1766 (E.I.F. 21 Dec. 1998). </w:t>
      </w:r>
      <w:hyperlink r:id="rId36" w:history="1">
        <w:r w:rsidRPr="00596162">
          <w:rPr>
            <w:rStyle w:val="Hyperlink"/>
          </w:rPr>
          <w:t>https://www.riigiteataja.ee/akt/13243384</w:t>
        </w:r>
      </w:hyperlink>
      <w:r w:rsidRPr="00596162">
        <w:t xml:space="preserve"> (last visited 13 Dec. 2017).</w:t>
      </w:r>
    </w:p>
  </w:footnote>
  <w:footnote w:id="94">
    <w:p w14:paraId="3422D2F3" w14:textId="0BF00224"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w:t>
      </w:r>
      <w:proofErr w:type="gramStart"/>
      <w:r w:rsidRPr="00596162">
        <w:t>6</w:t>
      </w:r>
      <w:proofErr w:type="gramEnd"/>
      <w:r w:rsidRPr="00596162">
        <w:t xml:space="preserve">, para. 1. </w:t>
      </w:r>
    </w:p>
  </w:footnote>
  <w:footnote w:id="95">
    <w:p w14:paraId="37038C18" w14:textId="46BE68B3"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w:t>
      </w:r>
      <w:proofErr w:type="gramStart"/>
      <w:r w:rsidRPr="00596162">
        <w:t>6</w:t>
      </w:r>
      <w:proofErr w:type="gramEnd"/>
      <w:r w:rsidRPr="00596162">
        <w:t xml:space="preserve">, para. </w:t>
      </w:r>
      <w:proofErr w:type="gramStart"/>
      <w:r w:rsidRPr="00596162">
        <w:t>2</w:t>
      </w:r>
      <w:proofErr w:type="gramEnd"/>
      <w:r w:rsidRPr="00596162">
        <w:t xml:space="preserve">, subsections 1-5. </w:t>
      </w:r>
    </w:p>
  </w:footnote>
  <w:footnote w:id="96">
    <w:p w14:paraId="1E224A11" w14:textId="11EE7FC1"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w:t>
      </w:r>
      <w:proofErr w:type="gramStart"/>
      <w:r w:rsidRPr="00596162">
        <w:t>11</w:t>
      </w:r>
      <w:proofErr w:type="gramEnd"/>
      <w:r w:rsidRPr="00596162">
        <w:t xml:space="preserve">, para. 1. </w:t>
      </w:r>
    </w:p>
  </w:footnote>
  <w:footnote w:id="97">
    <w:p w14:paraId="24801D62" w14:textId="0948B472"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w:t>
      </w:r>
      <w:proofErr w:type="gramStart"/>
      <w:r w:rsidRPr="00596162">
        <w:t>11</w:t>
      </w:r>
      <w:proofErr w:type="gramEnd"/>
      <w:r w:rsidRPr="00596162">
        <w:t xml:space="preserve">, para. 2. </w:t>
      </w:r>
    </w:p>
  </w:footnote>
  <w:footnote w:id="98">
    <w:p w14:paraId="61F3FCB6"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w:t>
      </w:r>
    </w:p>
  </w:footnote>
  <w:footnote w:id="99">
    <w:p w14:paraId="1B64CC46" w14:textId="24CC4B71"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w:t>
      </w:r>
      <w:proofErr w:type="gramStart"/>
      <w:r w:rsidRPr="00596162">
        <w:t>12</w:t>
      </w:r>
      <w:proofErr w:type="gramEnd"/>
      <w:r w:rsidRPr="00596162">
        <w:t xml:space="preserve">, para. 1. </w:t>
      </w:r>
    </w:p>
  </w:footnote>
  <w:footnote w:id="100">
    <w:p w14:paraId="04FD4C76" w14:textId="0882E089"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xml:space="preserve">., art. </w:t>
      </w:r>
      <w:proofErr w:type="gramStart"/>
      <w:r w:rsidRPr="00596162">
        <w:t>12</w:t>
      </w:r>
      <w:proofErr w:type="gramEnd"/>
      <w:r w:rsidRPr="00596162">
        <w:t>, para. 1</w:t>
      </w:r>
      <w:r w:rsidRPr="00596162">
        <w:rPr>
          <w:vertAlign w:val="superscript"/>
        </w:rPr>
        <w:t>1</w:t>
      </w:r>
      <w:r w:rsidRPr="00596162">
        <w:t xml:space="preserve">. </w:t>
      </w:r>
    </w:p>
  </w:footnote>
  <w:footnote w:id="101">
    <w:p w14:paraId="688EDEA4" w14:textId="77777777" w:rsidR="000C24E7" w:rsidRPr="00596162" w:rsidRDefault="000C24E7" w:rsidP="00435C8E">
      <w:pPr>
        <w:pStyle w:val="FootnoteText"/>
      </w:pPr>
      <w:r w:rsidRPr="00596162">
        <w:rPr>
          <w:rStyle w:val="FootnoteReference"/>
        </w:rPr>
        <w:footnoteRef/>
      </w:r>
      <w:r w:rsidRPr="00596162">
        <w:t xml:space="preserve"> Committee on the Elimination on the Elimination of Discrimination against Women, </w:t>
      </w:r>
      <w:r w:rsidRPr="00596162">
        <w:rPr>
          <w:i/>
        </w:rPr>
        <w:t>Concluding comments of the Committee on the Elimination of Discrimination against Women: Estonia</w:t>
      </w:r>
      <w:r w:rsidRPr="00596162">
        <w:t>, (18 Nov. 16), CEDAW/C/EST/CO/5-6.</w:t>
      </w:r>
    </w:p>
  </w:footnote>
  <w:footnote w:id="102">
    <w:p w14:paraId="4C002BFE"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 30.</w:t>
      </w:r>
    </w:p>
  </w:footnote>
  <w:footnote w:id="103">
    <w:p w14:paraId="3DA49720"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104">
    <w:p w14:paraId="6E467705"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 ¶ 31.</w:t>
      </w:r>
    </w:p>
  </w:footnote>
  <w:footnote w:id="105">
    <w:p w14:paraId="5D282715" w14:textId="77777777" w:rsidR="000C24E7" w:rsidRPr="00596162" w:rsidRDefault="000C24E7" w:rsidP="00435C8E">
      <w:pPr>
        <w:pStyle w:val="FootnoteText"/>
      </w:pPr>
      <w:r w:rsidRPr="00596162">
        <w:rPr>
          <w:rStyle w:val="FootnoteReference"/>
        </w:rPr>
        <w:footnoteRef/>
      </w:r>
      <w:r w:rsidRPr="00596162">
        <w:t xml:space="preserve"> </w:t>
      </w:r>
      <w:proofErr w:type="gramStart"/>
      <w:r w:rsidRPr="00596162">
        <w:t xml:space="preserve">Department of Obstetrics and Gynecology, University of Tartu, Tartu, Estonia, “Contraceptive use among young women in Estonia: Association with contraceptive services,” The European Journal of Contraception and Reproductive Health Care, 2015, June 2015, DOI: 10.3109/13625187.2015.1057699, </w:t>
      </w:r>
      <w:hyperlink r:id="rId37" w:history="1">
        <w:r w:rsidRPr="00596162">
          <w:rPr>
            <w:rStyle w:val="Hyperlink"/>
          </w:rPr>
          <w:t>https://www.researchgate.net/publication/279066205_Contraceptive_use_among_young_women_in_Estonia_Association_with_contraceptive_services</w:t>
        </w:r>
      </w:hyperlink>
      <w:r w:rsidRPr="00596162">
        <w:t xml:space="preserve">; European Consortium for Emergency Contraception (ECEC) – Estonia </w:t>
      </w:r>
      <w:hyperlink r:id="rId38" w:history="1">
        <w:r w:rsidRPr="00596162">
          <w:rPr>
            <w:rStyle w:val="Hyperlink"/>
          </w:rPr>
          <w:t>http://www.ec-ec.org/emergency-contraception-in-europe/country-by-country-information-2/estonia/</w:t>
        </w:r>
      </w:hyperlink>
      <w:r w:rsidRPr="00596162">
        <w:t xml:space="preserve"> (last visited 12 Dec. 2017).</w:t>
      </w:r>
      <w:proofErr w:type="gramEnd"/>
    </w:p>
  </w:footnote>
  <w:footnote w:id="106">
    <w:p w14:paraId="68703C60" w14:textId="77777777" w:rsidR="000C24E7" w:rsidRPr="00596162" w:rsidRDefault="000C24E7" w:rsidP="00435C8E">
      <w:pPr>
        <w:pStyle w:val="FootnoteText"/>
      </w:pPr>
      <w:r w:rsidRPr="00596162">
        <w:rPr>
          <w:rStyle w:val="FootnoteReference"/>
        </w:rPr>
        <w:footnoteRef/>
      </w:r>
      <w:r w:rsidRPr="00596162">
        <w:t xml:space="preserve"> The conditions and procedure for the issue of prescriptions for medicinal products and for the dispensation of medicinal products by pharmacies and the format of the prescription” Act (</w:t>
      </w:r>
      <w:proofErr w:type="spellStart"/>
      <w:r w:rsidRPr="00596162">
        <w:t>Ravimite</w:t>
      </w:r>
      <w:proofErr w:type="spellEnd"/>
      <w:r w:rsidRPr="00596162">
        <w:t xml:space="preserve"> </w:t>
      </w:r>
      <w:proofErr w:type="spellStart"/>
      <w:r w:rsidRPr="00596162">
        <w:t>väljakirjutamise</w:t>
      </w:r>
      <w:proofErr w:type="spellEnd"/>
      <w:r w:rsidRPr="00596162">
        <w:t xml:space="preserve"> </w:t>
      </w:r>
      <w:proofErr w:type="gramStart"/>
      <w:r w:rsidRPr="00596162">
        <w:t>ja</w:t>
      </w:r>
      <w:proofErr w:type="gramEnd"/>
      <w:r w:rsidRPr="00596162">
        <w:t xml:space="preserve"> </w:t>
      </w:r>
      <w:proofErr w:type="spellStart"/>
      <w:r w:rsidRPr="00596162">
        <w:t>apteekidest</w:t>
      </w:r>
      <w:proofErr w:type="spellEnd"/>
      <w:r w:rsidRPr="00596162">
        <w:t xml:space="preserve"> </w:t>
      </w:r>
      <w:proofErr w:type="spellStart"/>
      <w:r w:rsidRPr="00596162">
        <w:t>väljastamise</w:t>
      </w:r>
      <w:proofErr w:type="spellEnd"/>
      <w:r w:rsidRPr="00596162">
        <w:t xml:space="preserve"> </w:t>
      </w:r>
      <w:proofErr w:type="spellStart"/>
      <w:r w:rsidRPr="00596162">
        <w:t>tingimused</w:t>
      </w:r>
      <w:proofErr w:type="spellEnd"/>
      <w:r w:rsidRPr="00596162">
        <w:t xml:space="preserve"> ja </w:t>
      </w:r>
      <w:proofErr w:type="spellStart"/>
      <w:r w:rsidRPr="00596162">
        <w:t>kord</w:t>
      </w:r>
      <w:proofErr w:type="spellEnd"/>
      <w:r w:rsidRPr="00596162">
        <w:t xml:space="preserve"> </w:t>
      </w:r>
      <w:proofErr w:type="spellStart"/>
      <w:r w:rsidRPr="00596162">
        <w:t>ning</w:t>
      </w:r>
      <w:proofErr w:type="spellEnd"/>
      <w:r w:rsidRPr="00596162">
        <w:t xml:space="preserve"> </w:t>
      </w:r>
      <w:proofErr w:type="spellStart"/>
      <w:r w:rsidRPr="00596162">
        <w:t>retsepti</w:t>
      </w:r>
      <w:proofErr w:type="spellEnd"/>
      <w:r w:rsidRPr="00596162">
        <w:t xml:space="preserve"> </w:t>
      </w:r>
      <w:proofErr w:type="spellStart"/>
      <w:r w:rsidRPr="00596162">
        <w:t>vorm</w:t>
      </w:r>
      <w:proofErr w:type="spellEnd"/>
      <w:r w:rsidRPr="00596162">
        <w:t xml:space="preserve">), RTL 2005, 23, 315, (E.I.F. 3 Jan. 2005). </w:t>
      </w:r>
      <w:hyperlink r:id="rId39" w:history="1">
        <w:r w:rsidRPr="00596162">
          <w:rPr>
            <w:rStyle w:val="Hyperlink"/>
          </w:rPr>
          <w:t>https://www.riigiteataja.ee/en/eli/ee/507092016002/consolide/current</w:t>
        </w:r>
      </w:hyperlink>
      <w:r w:rsidRPr="00596162">
        <w:t xml:space="preserve"> (last visited 14 Dec. 2017).</w:t>
      </w:r>
    </w:p>
  </w:footnote>
  <w:footnote w:id="107">
    <w:p w14:paraId="34C9105C" w14:textId="59DEB6A5" w:rsidR="000C24E7" w:rsidRPr="00596162" w:rsidRDefault="000C24E7" w:rsidP="00435C8E">
      <w:pPr>
        <w:pStyle w:val="FootnoteText"/>
        <w:rPr>
          <w:rFonts w:cs="Arial"/>
          <w:bdr w:val="none" w:sz="0" w:space="0" w:color="auto" w:frame="1"/>
          <w:shd w:val="clear" w:color="auto" w:fill="FFFFFF"/>
        </w:rPr>
      </w:pPr>
      <w:r w:rsidRPr="00596162">
        <w:rPr>
          <w:rStyle w:val="FootnoteReference"/>
        </w:rPr>
        <w:footnoteRef/>
      </w:r>
      <w:r w:rsidRPr="00596162">
        <w:t xml:space="preserve"> </w:t>
      </w:r>
      <w:bookmarkStart w:id="16" w:name="para2lg3b1"/>
      <w:bookmarkStart w:id="17" w:name="para2lg3b1p6"/>
      <w:r w:rsidRPr="00596162">
        <w:rPr>
          <w:rFonts w:cs="Arial"/>
          <w:bdr w:val="none" w:sz="0" w:space="0" w:color="auto" w:frame="1"/>
          <w:shd w:val="clear" w:color="auto" w:fill="FFFFFF"/>
        </w:rPr>
        <w:t> </w:t>
      </w:r>
      <w:bookmarkEnd w:id="16"/>
      <w:r w:rsidRPr="00596162">
        <w:rPr>
          <w:rFonts w:cs="Arial"/>
          <w:i/>
          <w:bdr w:val="none" w:sz="0" w:space="0" w:color="auto" w:frame="1"/>
          <w:shd w:val="clear" w:color="auto" w:fill="FFFFFF"/>
        </w:rPr>
        <w:t>Id</w:t>
      </w:r>
      <w:r w:rsidRPr="00596162">
        <w:rPr>
          <w:rFonts w:cs="Arial"/>
          <w:bdr w:val="none" w:sz="0" w:space="0" w:color="auto" w:frame="1"/>
          <w:shd w:val="clear" w:color="auto" w:fill="FFFFFF"/>
        </w:rPr>
        <w:t xml:space="preserve">., art. </w:t>
      </w:r>
      <w:proofErr w:type="gramStart"/>
      <w:r w:rsidRPr="00596162">
        <w:rPr>
          <w:rFonts w:cs="Arial"/>
          <w:bdr w:val="none" w:sz="0" w:space="0" w:color="auto" w:frame="1"/>
          <w:shd w:val="clear" w:color="auto" w:fill="FFFFFF"/>
        </w:rPr>
        <w:t>2</w:t>
      </w:r>
      <w:proofErr w:type="gramEnd"/>
      <w:r w:rsidRPr="00596162">
        <w:rPr>
          <w:rFonts w:cs="Arial"/>
          <w:bdr w:val="none" w:sz="0" w:space="0" w:color="auto" w:frame="1"/>
          <w:shd w:val="clear" w:color="auto" w:fill="FFFFFF"/>
        </w:rPr>
        <w:t xml:space="preserve">, section 2; art. </w:t>
      </w:r>
      <w:proofErr w:type="gramStart"/>
      <w:r w:rsidRPr="00596162">
        <w:rPr>
          <w:rFonts w:cs="Arial"/>
          <w:bdr w:val="none" w:sz="0" w:space="0" w:color="auto" w:frame="1"/>
          <w:shd w:val="clear" w:color="auto" w:fill="FFFFFF"/>
        </w:rPr>
        <w:t>2</w:t>
      </w:r>
      <w:proofErr w:type="gramEnd"/>
      <w:r w:rsidRPr="00596162">
        <w:rPr>
          <w:rFonts w:cs="Arial"/>
          <w:bdr w:val="none" w:sz="0" w:space="0" w:color="auto" w:frame="1"/>
          <w:shd w:val="clear" w:color="auto" w:fill="FFFFFF"/>
        </w:rPr>
        <w:t>, section 3</w:t>
      </w:r>
      <w:r w:rsidRPr="00596162">
        <w:rPr>
          <w:rFonts w:cs="Arial"/>
          <w:bdr w:val="none" w:sz="0" w:space="0" w:color="auto" w:frame="1"/>
          <w:shd w:val="clear" w:color="auto" w:fill="FFFFFF"/>
          <w:vertAlign w:val="superscript"/>
        </w:rPr>
        <w:t>1</w:t>
      </w:r>
      <w:r w:rsidRPr="00596162">
        <w:rPr>
          <w:rFonts w:cs="Arial"/>
          <w:bdr w:val="none" w:sz="0" w:space="0" w:color="auto" w:frame="1"/>
          <w:shd w:val="clear" w:color="auto" w:fill="FFFFFF"/>
        </w:rPr>
        <w:t xml:space="preserve">, subsection 6-7; art. </w:t>
      </w:r>
      <w:proofErr w:type="gramStart"/>
      <w:r w:rsidRPr="00596162">
        <w:rPr>
          <w:rFonts w:cs="Arial"/>
          <w:bdr w:val="none" w:sz="0" w:space="0" w:color="auto" w:frame="1"/>
          <w:shd w:val="clear" w:color="auto" w:fill="FFFFFF"/>
        </w:rPr>
        <w:t>2</w:t>
      </w:r>
      <w:proofErr w:type="gramEnd"/>
      <w:r w:rsidRPr="00596162">
        <w:rPr>
          <w:rFonts w:cs="Arial"/>
          <w:bdr w:val="none" w:sz="0" w:space="0" w:color="auto" w:frame="1"/>
          <w:shd w:val="clear" w:color="auto" w:fill="FFFFFF"/>
        </w:rPr>
        <w:t>, section 3</w:t>
      </w:r>
      <w:r w:rsidRPr="00596162">
        <w:rPr>
          <w:rFonts w:cs="Arial"/>
          <w:bdr w:val="none" w:sz="0" w:space="0" w:color="auto" w:frame="1"/>
          <w:shd w:val="clear" w:color="auto" w:fill="FFFFFF"/>
          <w:vertAlign w:val="superscript"/>
        </w:rPr>
        <w:t>2</w:t>
      </w:r>
      <w:r w:rsidRPr="00596162">
        <w:rPr>
          <w:rFonts w:cs="Arial"/>
          <w:bdr w:val="none" w:sz="0" w:space="0" w:color="auto" w:frame="1"/>
          <w:shd w:val="clear" w:color="auto" w:fill="FFFFFF"/>
        </w:rPr>
        <w:t>, subsection 6</w:t>
      </w:r>
      <w:r>
        <w:rPr>
          <w:rFonts w:cs="Arial"/>
          <w:bdr w:val="none" w:sz="0" w:space="0" w:color="auto" w:frame="1"/>
          <w:shd w:val="clear" w:color="auto" w:fill="FFFFFF"/>
        </w:rPr>
        <w:t>.</w:t>
      </w:r>
      <w:r w:rsidRPr="00596162">
        <w:rPr>
          <w:rFonts w:cs="Arial"/>
          <w:bdr w:val="none" w:sz="0" w:space="0" w:color="auto" w:frame="1"/>
          <w:shd w:val="clear" w:color="auto" w:fill="FFFFFF"/>
        </w:rPr>
        <w:t xml:space="preserve"> </w:t>
      </w:r>
      <w:bookmarkEnd w:id="17"/>
    </w:p>
  </w:footnote>
  <w:footnote w:id="108">
    <w:p w14:paraId="208558F7" w14:textId="77777777" w:rsidR="000C24E7" w:rsidRPr="00596162" w:rsidRDefault="000C24E7" w:rsidP="00435C8E">
      <w:pPr>
        <w:pStyle w:val="FootnoteText"/>
      </w:pPr>
      <w:r w:rsidRPr="00596162">
        <w:rPr>
          <w:rStyle w:val="FootnoteReference"/>
        </w:rPr>
        <w:footnoteRef/>
      </w:r>
      <w:r w:rsidRPr="00596162">
        <w:t xml:space="preserve"> Department of Obstetrics and Gynecology, University of Tartu, Tartu, Estonia, “Contraceptive use among young women in Estonia: Association with contraceptive services,” The European Journal of Contraception and Reproductive Health Care, 2015, June 2015, DOI: 10.3109/13625187.2015.1057699, </w:t>
      </w:r>
      <w:hyperlink r:id="rId40" w:history="1">
        <w:r w:rsidRPr="00596162">
          <w:rPr>
            <w:rStyle w:val="Hyperlink"/>
          </w:rPr>
          <w:t>https://www.researchgate.net/publication/279066205_Contraceptive_use_among_young_women_in_Estonia_Association_with_contraceptive_services</w:t>
        </w:r>
      </w:hyperlink>
      <w:r w:rsidRPr="00596162">
        <w:t xml:space="preserve"> (last visited 13 Dec. 2017).</w:t>
      </w:r>
    </w:p>
  </w:footnote>
  <w:footnote w:id="109">
    <w:p w14:paraId="36B2B068" w14:textId="77777777" w:rsidR="000C24E7" w:rsidRPr="00596162" w:rsidRDefault="000C24E7" w:rsidP="00435C8E">
      <w:pPr>
        <w:pStyle w:val="FootnoteText"/>
      </w:pPr>
      <w:r w:rsidRPr="00596162">
        <w:rPr>
          <w:rStyle w:val="FootnoteReference"/>
        </w:rPr>
        <w:footnoteRef/>
      </w:r>
      <w:r w:rsidRPr="00596162">
        <w:t xml:space="preserve"> WHO Collaborating Centre for Drug Statistics Methodology, </w:t>
      </w:r>
      <w:r w:rsidRPr="00596162">
        <w:rPr>
          <w:i/>
        </w:rPr>
        <w:t>ATC/DDD Index 2017</w:t>
      </w:r>
      <w:r w:rsidRPr="00596162">
        <w:t xml:space="preserve">, </w:t>
      </w:r>
      <w:proofErr w:type="gramStart"/>
      <w:r w:rsidRPr="00596162">
        <w:t>Norwegian</w:t>
      </w:r>
      <w:proofErr w:type="gramEnd"/>
      <w:r w:rsidRPr="00596162">
        <w:t xml:space="preserve"> Institute of Public Health. </w:t>
      </w:r>
      <w:hyperlink r:id="rId41" w:history="1">
        <w:r w:rsidRPr="00596162">
          <w:rPr>
            <w:rStyle w:val="Hyperlink"/>
          </w:rPr>
          <w:t>https://www.whocc.no/atc_ddd_index/</w:t>
        </w:r>
      </w:hyperlink>
      <w:r w:rsidRPr="00596162">
        <w:t xml:space="preserve"> (last visited 14 Dec. 2017).</w:t>
      </w:r>
    </w:p>
  </w:footnote>
  <w:footnote w:id="110">
    <w:p w14:paraId="002653DC" w14:textId="77777777" w:rsidR="000C24E7" w:rsidRPr="00596162" w:rsidRDefault="000C24E7" w:rsidP="00435C8E">
      <w:pPr>
        <w:pStyle w:val="FootnoteText"/>
      </w:pPr>
      <w:r w:rsidRPr="00596162">
        <w:rPr>
          <w:rStyle w:val="FootnoteReference"/>
        </w:rPr>
        <w:footnoteRef/>
      </w:r>
      <w:r w:rsidRPr="00596162">
        <w:t xml:space="preserve"> “Worldwide use of intrauterine contraception: a review,” Contraception, Vol. 89, Issue 3, March 2014, pp. 162-173. </w:t>
      </w:r>
      <w:hyperlink r:id="rId42" w:history="1">
        <w:r w:rsidRPr="00596162">
          <w:rPr>
            <w:rStyle w:val="Hyperlink"/>
          </w:rPr>
          <w:t>https://doi.org/10.1016/j.contraception.2013.11.011</w:t>
        </w:r>
      </w:hyperlink>
      <w:r w:rsidRPr="00596162">
        <w:t xml:space="preserve"> </w:t>
      </w:r>
    </w:p>
  </w:footnote>
  <w:footnote w:id="111">
    <w:p w14:paraId="596BDCBD" w14:textId="77777777" w:rsidR="000C24E7" w:rsidRPr="00596162" w:rsidRDefault="000C24E7" w:rsidP="00435C8E">
      <w:pPr>
        <w:pStyle w:val="FootnoteText"/>
      </w:pPr>
      <w:r w:rsidRPr="00596162">
        <w:rPr>
          <w:rStyle w:val="FootnoteReference"/>
        </w:rPr>
        <w:footnoteRef/>
      </w:r>
      <w:r w:rsidRPr="00596162">
        <w:t xml:space="preserve"> Center for Reproductive Rights, </w:t>
      </w:r>
      <w:r w:rsidRPr="00596162">
        <w:rPr>
          <w:i/>
        </w:rPr>
        <w:t>European Standards on Subsidizing Contraceptives</w:t>
      </w:r>
      <w:r w:rsidRPr="00596162">
        <w:t xml:space="preserve">, </w:t>
      </w:r>
      <w:hyperlink r:id="rId43" w:history="1">
        <w:r w:rsidRPr="00596162">
          <w:rPr>
            <w:rStyle w:val="Hyperlink"/>
          </w:rPr>
          <w:t>www.reproductiverights.org</w:t>
        </w:r>
      </w:hyperlink>
      <w:r w:rsidRPr="00596162">
        <w:t xml:space="preserve">, </w:t>
      </w:r>
      <w:hyperlink r:id="rId44" w:history="1">
        <w:r w:rsidRPr="00596162">
          <w:rPr>
            <w:rStyle w:val="Hyperlink"/>
          </w:rPr>
          <w:t>https://www.reproductiverights.org/sites/crr.civicactions.net/files/documents/pub_fac_slovak_european%20standards_9%2008_WEB.pdf</w:t>
        </w:r>
      </w:hyperlink>
      <w:r w:rsidRPr="00596162">
        <w:t xml:space="preserve"> (last visited 13 Dec. 2017).</w:t>
      </w:r>
    </w:p>
  </w:footnote>
  <w:footnote w:id="112">
    <w:p w14:paraId="1A0012E2" w14:textId="77777777" w:rsidR="000C24E7" w:rsidRPr="00596162" w:rsidRDefault="000C24E7" w:rsidP="00435C8E">
      <w:pPr>
        <w:pStyle w:val="FootnoteText"/>
      </w:pPr>
      <w:r w:rsidRPr="00596162">
        <w:rPr>
          <w:rStyle w:val="FootnoteReference"/>
        </w:rPr>
        <w:footnoteRef/>
      </w:r>
      <w:r w:rsidRPr="00596162">
        <w:t xml:space="preserve"> Value-Added Tax Act (</w:t>
      </w:r>
      <w:proofErr w:type="spellStart"/>
      <w:r w:rsidRPr="00596162">
        <w:t>Käibemaksuseadus</w:t>
      </w:r>
      <w:proofErr w:type="spellEnd"/>
      <w:r w:rsidRPr="00596162">
        <w:t xml:space="preserve">), 10 Dec. 2003, RI I 2003, 82, 554, Art. 15(2), (E.I.F. 12 Dec. 2017), </w:t>
      </w:r>
      <w:hyperlink r:id="rId45" w:history="1">
        <w:r w:rsidRPr="00596162">
          <w:rPr>
            <w:rStyle w:val="Hyperlink"/>
          </w:rPr>
          <w:t>https://www.riigiteataja.ee/en/eli/ee/514072017001/consolide/current</w:t>
        </w:r>
      </w:hyperlink>
      <w:r w:rsidRPr="00596162">
        <w:t xml:space="preserve"> (last visited, 13 Dec. 2017).</w:t>
      </w:r>
    </w:p>
  </w:footnote>
  <w:footnote w:id="113">
    <w:p w14:paraId="0FE13043" w14:textId="23A42971" w:rsidR="000C24E7" w:rsidRPr="00596162" w:rsidRDefault="000C24E7" w:rsidP="00435C8E">
      <w:pPr>
        <w:pStyle w:val="FootnoteText"/>
      </w:pPr>
      <w:r w:rsidRPr="00596162">
        <w:rPr>
          <w:rStyle w:val="FootnoteReference"/>
        </w:rPr>
        <w:footnoteRef/>
      </w:r>
      <w:r w:rsidRPr="00596162">
        <w:t xml:space="preserve"> </w:t>
      </w:r>
      <w:r w:rsidRPr="00596162">
        <w:rPr>
          <w:i/>
        </w:rPr>
        <w:t>Supra</w:t>
      </w:r>
      <w:r w:rsidRPr="00596162">
        <w:t xml:space="preserve"> ¶ </w:t>
      </w:r>
      <w:r w:rsidR="005B775D">
        <w:t>46</w:t>
      </w:r>
      <w:r w:rsidRPr="00596162">
        <w:t>.</w:t>
      </w:r>
    </w:p>
  </w:footnote>
  <w:footnote w:id="114">
    <w:p w14:paraId="4D052ABE" w14:textId="77777777" w:rsidR="000C24E7" w:rsidRPr="00596162" w:rsidRDefault="000C24E7" w:rsidP="00435C8E">
      <w:pPr>
        <w:pStyle w:val="FootnoteText"/>
      </w:pPr>
      <w:r w:rsidRPr="00596162">
        <w:rPr>
          <w:rStyle w:val="FootnoteReference"/>
        </w:rPr>
        <w:footnoteRef/>
      </w:r>
      <w:r w:rsidRPr="00596162">
        <w:t xml:space="preserve"> </w:t>
      </w:r>
      <w:r w:rsidRPr="00596162">
        <w:rPr>
          <w:i/>
        </w:rPr>
        <w:t>Id</w:t>
      </w:r>
      <w:r w:rsidRPr="00596162">
        <w:t>.</w:t>
      </w:r>
    </w:p>
  </w:footnote>
  <w:footnote w:id="115">
    <w:p w14:paraId="6B1C905E" w14:textId="6D359C4A" w:rsidR="000C24E7" w:rsidRPr="00596162" w:rsidRDefault="000C24E7" w:rsidP="00435C8E">
      <w:pPr>
        <w:pBdr>
          <w:top w:val="nil"/>
        </w:pBdr>
        <w:spacing w:after="0" w:line="240" w:lineRule="auto"/>
        <w:rPr>
          <w:rFonts w:eastAsia="Garamond" w:cs="Garamond"/>
          <w:sz w:val="20"/>
          <w:szCs w:val="20"/>
        </w:rPr>
      </w:pPr>
      <w:r w:rsidRPr="00596162">
        <w:rPr>
          <w:rStyle w:val="FootnoteReference"/>
          <w:sz w:val="20"/>
          <w:szCs w:val="20"/>
        </w:rPr>
        <w:footnoteRef/>
      </w:r>
      <w:r w:rsidRPr="00596162">
        <w:rPr>
          <w:sz w:val="20"/>
          <w:szCs w:val="20"/>
        </w:rPr>
        <w:t xml:space="preserve"> </w:t>
      </w:r>
      <w:r w:rsidRPr="00596162">
        <w:rPr>
          <w:rFonts w:eastAsia="Garamond" w:cs="Garamond"/>
          <w:i/>
          <w:sz w:val="20"/>
          <w:szCs w:val="20"/>
        </w:rPr>
        <w:t xml:space="preserve">See </w:t>
      </w:r>
      <w:r w:rsidRPr="00596162">
        <w:rPr>
          <w:rFonts w:eastAsia="Garamond" w:cs="Garamond"/>
          <w:sz w:val="20"/>
          <w:szCs w:val="20"/>
        </w:rPr>
        <w:t xml:space="preserve">ECHR </w:t>
      </w:r>
      <w:r w:rsidRPr="00596162">
        <w:rPr>
          <w:rFonts w:eastAsia="Garamond" w:cs="Garamond"/>
          <w:i/>
          <w:sz w:val="20"/>
          <w:szCs w:val="20"/>
        </w:rPr>
        <w:t>Case of Evans v. United Kingdom</w:t>
      </w:r>
      <w:r w:rsidRPr="00596162">
        <w:rPr>
          <w:rFonts w:eastAsia="Garamond" w:cs="Garamond"/>
          <w:sz w:val="20"/>
          <w:szCs w:val="20"/>
        </w:rPr>
        <w:t>, (No. 6339/05), Judgement of 4 October 2007, ¶ 7172</w:t>
      </w:r>
      <w:r>
        <w:rPr>
          <w:rFonts w:eastAsia="Garamond" w:cs="Garamond"/>
          <w:sz w:val="20"/>
          <w:szCs w:val="20"/>
        </w:rPr>
        <w:t xml:space="preserve">, </w:t>
      </w:r>
      <w:hyperlink r:id="rId46">
        <w:r w:rsidRPr="00596162">
          <w:rPr>
            <w:rFonts w:eastAsia="Garamond" w:cs="Garamond"/>
            <w:sz w:val="20"/>
            <w:szCs w:val="20"/>
            <w:u w:val="single"/>
          </w:rPr>
          <w:t>http://hudoc.echr.coe.int/webservices/content/pdf/001-72684?TID=ihgdqbxnfi</w:t>
        </w:r>
      </w:hyperlink>
      <w:r w:rsidRPr="00596162">
        <w:rPr>
          <w:rFonts w:eastAsia="Garamond" w:cs="Garamond"/>
          <w:sz w:val="20"/>
          <w:szCs w:val="20"/>
          <w:u w:val="single"/>
        </w:rPr>
        <w:t>.</w:t>
      </w:r>
      <w:r w:rsidRPr="00596162">
        <w:rPr>
          <w:rFonts w:eastAsia="Garamond" w:cs="Garamond"/>
          <w:sz w:val="20"/>
          <w:szCs w:val="20"/>
        </w:rPr>
        <w:t xml:space="preserve"> (</w:t>
      </w:r>
      <w:proofErr w:type="gramStart"/>
      <w:r w:rsidRPr="00596162">
        <w:rPr>
          <w:rFonts w:eastAsia="Garamond" w:cs="Garamond"/>
          <w:sz w:val="20"/>
          <w:szCs w:val="20"/>
        </w:rPr>
        <w:t>last</w:t>
      </w:r>
      <w:proofErr w:type="gramEnd"/>
      <w:r w:rsidRPr="00596162">
        <w:rPr>
          <w:rFonts w:eastAsia="Garamond" w:cs="Garamond"/>
          <w:sz w:val="20"/>
          <w:szCs w:val="20"/>
        </w:rPr>
        <w:t xml:space="preserve"> visited 14 Dec. 2017).</w:t>
      </w:r>
    </w:p>
  </w:footnote>
  <w:footnote w:id="116">
    <w:p w14:paraId="41DB4F33" w14:textId="3A397A4C" w:rsidR="000C24E7" w:rsidRPr="00596162" w:rsidRDefault="000C24E7" w:rsidP="00435C8E">
      <w:pPr>
        <w:pStyle w:val="FootnoteText"/>
      </w:pPr>
      <w:r w:rsidRPr="00596162">
        <w:rPr>
          <w:rStyle w:val="FootnoteReference"/>
        </w:rPr>
        <w:footnoteRef/>
      </w:r>
      <w:r w:rsidRPr="00596162">
        <w:t xml:space="preserve"> </w:t>
      </w:r>
      <w:r w:rsidRPr="00596162">
        <w:rPr>
          <w:rFonts w:eastAsia="Garamond" w:cs="Garamond"/>
          <w:i/>
        </w:rPr>
        <w:t xml:space="preserve">See </w:t>
      </w:r>
      <w:r w:rsidRPr="00596162">
        <w:rPr>
          <w:rFonts w:eastAsia="Garamond" w:cs="Garamond"/>
        </w:rPr>
        <w:t xml:space="preserve">ECHR </w:t>
      </w:r>
      <w:r w:rsidRPr="00596162">
        <w:rPr>
          <w:rFonts w:eastAsia="Garamond" w:cs="Garamond"/>
          <w:i/>
        </w:rPr>
        <w:t>Case of Dickson v. United Kingdom</w:t>
      </w:r>
      <w:r w:rsidRPr="00596162">
        <w:rPr>
          <w:rFonts w:eastAsia="Garamond" w:cs="Garamond"/>
        </w:rPr>
        <w:t xml:space="preserve"> (No. 44362/04),</w:t>
      </w:r>
      <w:r w:rsidRPr="00596162">
        <w:rPr>
          <w:rFonts w:eastAsia="Arial" w:cs="Arial"/>
          <w:highlight w:val="white"/>
        </w:rPr>
        <w:t xml:space="preserve"> </w:t>
      </w:r>
      <w:r w:rsidRPr="00596162">
        <w:rPr>
          <w:rFonts w:eastAsia="Garamond" w:cs="Garamond"/>
        </w:rPr>
        <w:t>Judgement of 12 December 2007, ¶ 66</w:t>
      </w:r>
      <w:r>
        <w:rPr>
          <w:rFonts w:eastAsia="Garamond" w:cs="Garamond"/>
        </w:rPr>
        <w:t xml:space="preserve">, </w:t>
      </w:r>
      <w:hyperlink r:id="rId47">
        <w:r w:rsidRPr="00596162">
          <w:rPr>
            <w:rFonts w:eastAsia="Garamond" w:cs="Garamond"/>
            <w:u w:val="single"/>
          </w:rPr>
          <w:t>http://hudoc.echr.coe.int/webservices/content/pdf/003-2204926-2350295?TID=ihgdqbxnfi</w:t>
        </w:r>
      </w:hyperlink>
      <w:r w:rsidRPr="00596162">
        <w:rPr>
          <w:rFonts w:eastAsia="Garamond" w:cs="Garamond"/>
          <w:u w:val="single"/>
        </w:rPr>
        <w:t>.</w:t>
      </w:r>
      <w:r w:rsidRPr="00596162">
        <w:rPr>
          <w:rFonts w:eastAsia="Garamond" w:cs="Garamond"/>
        </w:rPr>
        <w:t xml:space="preserve"> (</w:t>
      </w:r>
      <w:proofErr w:type="gramStart"/>
      <w:r w:rsidRPr="00596162">
        <w:rPr>
          <w:rFonts w:eastAsia="Garamond" w:cs="Garamond"/>
        </w:rPr>
        <w:t>last</w:t>
      </w:r>
      <w:proofErr w:type="gramEnd"/>
      <w:r w:rsidRPr="00596162">
        <w:rPr>
          <w:rFonts w:eastAsia="Garamond" w:cs="Garamond"/>
        </w:rPr>
        <w:t xml:space="preserve"> visited 14 Dec. 2017).</w:t>
      </w:r>
    </w:p>
  </w:footnote>
  <w:footnote w:id="117">
    <w:p w14:paraId="157A247B" w14:textId="02508873" w:rsidR="000C24E7" w:rsidRPr="00596162" w:rsidRDefault="000C24E7" w:rsidP="00435C8E">
      <w:pPr>
        <w:pBdr>
          <w:top w:val="nil"/>
        </w:pBdr>
        <w:spacing w:after="0" w:line="240" w:lineRule="auto"/>
        <w:rPr>
          <w:rFonts w:eastAsia="Garamond" w:cs="Garamond"/>
          <w:sz w:val="20"/>
          <w:szCs w:val="20"/>
        </w:rPr>
      </w:pPr>
      <w:r w:rsidRPr="00596162">
        <w:rPr>
          <w:rStyle w:val="FootnoteReference"/>
          <w:sz w:val="20"/>
          <w:szCs w:val="20"/>
        </w:rPr>
        <w:footnoteRef/>
      </w:r>
      <w:r w:rsidRPr="00596162">
        <w:rPr>
          <w:sz w:val="20"/>
          <w:szCs w:val="20"/>
        </w:rPr>
        <w:t xml:space="preserve"> </w:t>
      </w:r>
      <w:r w:rsidRPr="00596162">
        <w:rPr>
          <w:rFonts w:eastAsia="Garamond" w:cs="Garamond"/>
          <w:i/>
          <w:sz w:val="20"/>
          <w:szCs w:val="20"/>
        </w:rPr>
        <w:t xml:space="preserve">See </w:t>
      </w:r>
      <w:r w:rsidRPr="00596162">
        <w:rPr>
          <w:rFonts w:eastAsia="Garamond" w:cs="Garamond"/>
          <w:sz w:val="20"/>
          <w:szCs w:val="20"/>
        </w:rPr>
        <w:t xml:space="preserve">ECHR </w:t>
      </w:r>
      <w:r w:rsidRPr="00596162">
        <w:rPr>
          <w:rFonts w:eastAsia="Garamond" w:cs="Garamond"/>
          <w:i/>
          <w:sz w:val="20"/>
          <w:szCs w:val="20"/>
        </w:rPr>
        <w:t>Case of S.H. and others v. Austria</w:t>
      </w:r>
      <w:r w:rsidRPr="00596162">
        <w:rPr>
          <w:rFonts w:eastAsia="Garamond" w:cs="Garamond"/>
          <w:sz w:val="20"/>
          <w:szCs w:val="20"/>
        </w:rPr>
        <w:t xml:space="preserve"> (No. 57813/00), Judgement of 3 November 2011, ¶ 82, </w:t>
      </w:r>
      <w:hyperlink r:id="rId48">
        <w:r w:rsidRPr="00596162">
          <w:rPr>
            <w:rFonts w:eastAsia="Garamond" w:cs="Garamond"/>
            <w:sz w:val="20"/>
            <w:szCs w:val="20"/>
            <w:u w:val="single"/>
          </w:rPr>
          <w:t>http://www.ieb-eib.org/en/pdf/cedh-shothers-c-austria-20100401.pdf</w:t>
        </w:r>
      </w:hyperlink>
      <w:r w:rsidRPr="00596162">
        <w:rPr>
          <w:rFonts w:eastAsia="Garamond" w:cs="Garamond"/>
          <w:sz w:val="20"/>
          <w:szCs w:val="20"/>
        </w:rPr>
        <w:t xml:space="preserve"> (last visited 14 Dec. 2017); </w:t>
      </w:r>
      <w:r w:rsidRPr="00596162">
        <w:rPr>
          <w:rFonts w:eastAsia="Garamond" w:cs="Garamond"/>
          <w:i/>
          <w:sz w:val="20"/>
          <w:szCs w:val="20"/>
        </w:rPr>
        <w:t>see also</w:t>
      </w:r>
      <w:r w:rsidRPr="00596162">
        <w:rPr>
          <w:rFonts w:eastAsia="Garamond" w:cs="Garamond"/>
          <w:sz w:val="20"/>
          <w:szCs w:val="20"/>
        </w:rPr>
        <w:t xml:space="preserve"> ECHR, </w:t>
      </w:r>
      <w:r w:rsidRPr="00596162">
        <w:rPr>
          <w:rFonts w:eastAsia="Garamond" w:cs="Garamond"/>
          <w:i/>
          <w:sz w:val="20"/>
          <w:szCs w:val="20"/>
        </w:rPr>
        <w:t xml:space="preserve">Case of P. and S. v. Poland </w:t>
      </w:r>
      <w:r w:rsidRPr="00596162">
        <w:rPr>
          <w:rFonts w:eastAsia="Garamond" w:cs="Garamond"/>
          <w:sz w:val="20"/>
          <w:szCs w:val="20"/>
        </w:rPr>
        <w:t xml:space="preserve">(No. 57375/08), Judgment of 30 October 2012, ¶ 96, </w:t>
      </w:r>
    </w:p>
    <w:p w14:paraId="09D64B11" w14:textId="77777777" w:rsidR="000C24E7" w:rsidRPr="00596162" w:rsidRDefault="00B70A6A" w:rsidP="00435C8E">
      <w:pPr>
        <w:pStyle w:val="FootnoteText"/>
      </w:pPr>
      <w:hyperlink r:id="rId49">
        <w:r w:rsidR="000C24E7" w:rsidRPr="00596162">
          <w:rPr>
            <w:rFonts w:eastAsia="Garamond" w:cs="Garamond"/>
            <w:u w:val="single"/>
          </w:rPr>
          <w:t>http://www.grocjusz.edu.pl/Materials/_archiwum/archiwum2012/js_16.11.2012.pdf</w:t>
        </w:r>
      </w:hyperlink>
      <w:r w:rsidR="000C24E7" w:rsidRPr="00596162">
        <w:rPr>
          <w:rFonts w:eastAsia="Garamond" w:cs="Garamond"/>
          <w:u w:val="single"/>
        </w:rPr>
        <w:t>.</w:t>
      </w:r>
      <w:r w:rsidR="000C24E7" w:rsidRPr="00596162">
        <w:rPr>
          <w:rFonts w:eastAsia="Garamond" w:cs="Garamond"/>
        </w:rPr>
        <w:t xml:space="preserve"> (</w:t>
      </w:r>
      <w:proofErr w:type="gramStart"/>
      <w:r w:rsidR="000C24E7" w:rsidRPr="00596162">
        <w:rPr>
          <w:rFonts w:eastAsia="Garamond" w:cs="Garamond"/>
        </w:rPr>
        <w:t>last</w:t>
      </w:r>
      <w:proofErr w:type="gramEnd"/>
      <w:r w:rsidR="000C24E7" w:rsidRPr="00596162">
        <w:rPr>
          <w:rFonts w:eastAsia="Garamond" w:cs="Garamond"/>
        </w:rPr>
        <w:t xml:space="preserve"> visited 14 Dec. 2017).</w:t>
      </w:r>
    </w:p>
  </w:footnote>
  <w:footnote w:id="118">
    <w:p w14:paraId="7D0A907B" w14:textId="7E528451" w:rsidR="000C24E7" w:rsidRPr="00596162" w:rsidRDefault="000C24E7" w:rsidP="00435C8E">
      <w:pPr>
        <w:pBdr>
          <w:top w:val="nil"/>
        </w:pBdr>
        <w:spacing w:after="0" w:line="240" w:lineRule="auto"/>
        <w:rPr>
          <w:rFonts w:eastAsia="Garamond" w:cs="Garamond"/>
          <w:sz w:val="20"/>
          <w:szCs w:val="20"/>
        </w:rPr>
      </w:pPr>
      <w:r w:rsidRPr="00596162">
        <w:rPr>
          <w:rStyle w:val="FootnoteReference"/>
          <w:sz w:val="20"/>
          <w:szCs w:val="20"/>
        </w:rPr>
        <w:footnoteRef/>
      </w:r>
      <w:r w:rsidRPr="00596162">
        <w:rPr>
          <w:sz w:val="20"/>
          <w:szCs w:val="20"/>
        </w:rPr>
        <w:t xml:space="preserve"> </w:t>
      </w:r>
      <w:r w:rsidRPr="00596162">
        <w:rPr>
          <w:rFonts w:eastAsia="Garamond" w:cs="Garamond"/>
          <w:i/>
          <w:sz w:val="20"/>
          <w:szCs w:val="20"/>
        </w:rPr>
        <w:t xml:space="preserve">Costa and </w:t>
      </w:r>
      <w:proofErr w:type="spellStart"/>
      <w:r w:rsidRPr="00596162">
        <w:rPr>
          <w:rFonts w:eastAsia="Garamond" w:cs="Garamond"/>
          <w:i/>
          <w:sz w:val="20"/>
          <w:szCs w:val="20"/>
        </w:rPr>
        <w:t>Pavan</w:t>
      </w:r>
      <w:proofErr w:type="spellEnd"/>
      <w:r w:rsidRPr="00596162">
        <w:rPr>
          <w:rFonts w:eastAsia="Garamond" w:cs="Garamond"/>
          <w:i/>
          <w:sz w:val="20"/>
          <w:szCs w:val="20"/>
        </w:rPr>
        <w:t xml:space="preserve"> v. Italy</w:t>
      </w:r>
      <w:r w:rsidRPr="00596162">
        <w:rPr>
          <w:rFonts w:eastAsia="Garamond" w:cs="Garamond"/>
          <w:sz w:val="20"/>
          <w:szCs w:val="20"/>
        </w:rPr>
        <w:t xml:space="preserve"> (No. 54270/10), Judgement of 28 August 2012</w:t>
      </w:r>
      <w:r>
        <w:rPr>
          <w:rFonts w:eastAsia="Garamond" w:cs="Garamond"/>
          <w:sz w:val="20"/>
          <w:szCs w:val="20"/>
        </w:rPr>
        <w:t>.</w:t>
      </w:r>
    </w:p>
  </w:footnote>
  <w:footnote w:id="119">
    <w:p w14:paraId="4FF60ABF" w14:textId="77777777" w:rsidR="005B775D" w:rsidRPr="00596162" w:rsidRDefault="000C24E7" w:rsidP="005B775D">
      <w:pPr>
        <w:pStyle w:val="FootnoteText"/>
      </w:pPr>
      <w:r w:rsidRPr="00596162">
        <w:rPr>
          <w:rStyle w:val="FootnoteReference"/>
        </w:rPr>
        <w:footnoteRef/>
      </w:r>
      <w:r w:rsidRPr="00596162">
        <w:rPr>
          <w:lang w:val="es-US"/>
        </w:rPr>
        <w:t xml:space="preserve"> </w:t>
      </w:r>
      <w:r w:rsidR="005B775D" w:rsidRPr="00596162">
        <w:t xml:space="preserve">Committee on the Elimination on the Elimination of Discrimination against Women, </w:t>
      </w:r>
      <w:r w:rsidR="005B775D" w:rsidRPr="00596162">
        <w:rPr>
          <w:i/>
        </w:rPr>
        <w:t>Concluding comments of the Committee on the Elimination of Discrimination against Women: Estonia</w:t>
      </w:r>
      <w:r w:rsidR="005B775D" w:rsidRPr="00596162">
        <w:t>, CEDAW/C/EST/CO/4, ¶ 25, (10 Aug. 2017).</w:t>
      </w:r>
    </w:p>
    <w:p w14:paraId="1955BF90" w14:textId="252A7D64" w:rsidR="000C24E7" w:rsidRPr="00596162" w:rsidRDefault="000C24E7" w:rsidP="00435C8E">
      <w:pPr>
        <w:pStyle w:val="FootnoteText"/>
        <w:tabs>
          <w:tab w:val="left" w:pos="8035"/>
        </w:tabs>
        <w:rPr>
          <w:lang w:val="es-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7AA20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A27FE7"/>
    <w:multiLevelType w:val="hybridMultilevel"/>
    <w:tmpl w:val="180289E8"/>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34C11"/>
    <w:multiLevelType w:val="hybridMultilevel"/>
    <w:tmpl w:val="4DC6F61A"/>
    <w:lvl w:ilvl="0" w:tplc="C64E391C">
      <w:start w:val="1"/>
      <w:numFmt w:val="decimal"/>
      <w:lvlText w:val="%1."/>
      <w:lvlJc w:val="left"/>
      <w:pPr>
        <w:ind w:left="720" w:hanging="360"/>
      </w:pPr>
      <w:rPr>
        <w:rFonts w:hint="default"/>
        <w:sz w:val="24"/>
        <w:szCs w:val="24"/>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F7D05"/>
    <w:multiLevelType w:val="hybridMultilevel"/>
    <w:tmpl w:val="0386848A"/>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75363"/>
    <w:multiLevelType w:val="hybridMultilevel"/>
    <w:tmpl w:val="38A46EA0"/>
    <w:lvl w:ilvl="0" w:tplc="0409000F">
      <w:start w:val="1"/>
      <w:numFmt w:val="decimal"/>
      <w:lvlText w:val="%1."/>
      <w:lvlJc w:val="left"/>
      <w:pPr>
        <w:ind w:left="720" w:hanging="360"/>
      </w:pPr>
      <w:rPr>
        <w:rFonts w:hint="default"/>
      </w:rPr>
    </w:lvl>
    <w:lvl w:ilvl="1" w:tplc="6EE85230">
      <w:start w:val="1"/>
      <w:numFmt w:val="lowerRoman"/>
      <w:lvlText w:val="%2."/>
      <w:lvlJc w:val="right"/>
      <w:pPr>
        <w:ind w:left="1440" w:hanging="360"/>
      </w:pPr>
      <w:rPr>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1612D0"/>
    <w:multiLevelType w:val="hybridMultilevel"/>
    <w:tmpl w:val="30D4B9E8"/>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0A6FE9"/>
    <w:multiLevelType w:val="hybridMultilevel"/>
    <w:tmpl w:val="A642E0F8"/>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360A9E"/>
    <w:multiLevelType w:val="hybridMultilevel"/>
    <w:tmpl w:val="332C975C"/>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1"/>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8E"/>
    <w:rsid w:val="00017353"/>
    <w:rsid w:val="00034078"/>
    <w:rsid w:val="0003426F"/>
    <w:rsid w:val="00035775"/>
    <w:rsid w:val="00043A76"/>
    <w:rsid w:val="000541BA"/>
    <w:rsid w:val="000716A0"/>
    <w:rsid w:val="00082A17"/>
    <w:rsid w:val="000A6B26"/>
    <w:rsid w:val="000B6FFE"/>
    <w:rsid w:val="000C24E7"/>
    <w:rsid w:val="000E152C"/>
    <w:rsid w:val="000F755C"/>
    <w:rsid w:val="00104CE0"/>
    <w:rsid w:val="00121B60"/>
    <w:rsid w:val="00127566"/>
    <w:rsid w:val="00144411"/>
    <w:rsid w:val="00167376"/>
    <w:rsid w:val="00171673"/>
    <w:rsid w:val="00191B21"/>
    <w:rsid w:val="001C251D"/>
    <w:rsid w:val="002042B5"/>
    <w:rsid w:val="00222DBD"/>
    <w:rsid w:val="002A0902"/>
    <w:rsid w:val="00322359"/>
    <w:rsid w:val="00343190"/>
    <w:rsid w:val="003538AB"/>
    <w:rsid w:val="003729A2"/>
    <w:rsid w:val="003D266C"/>
    <w:rsid w:val="003D5602"/>
    <w:rsid w:val="003E6A37"/>
    <w:rsid w:val="004230B7"/>
    <w:rsid w:val="00435C8E"/>
    <w:rsid w:val="004474E9"/>
    <w:rsid w:val="00476D69"/>
    <w:rsid w:val="00484D39"/>
    <w:rsid w:val="004C01BC"/>
    <w:rsid w:val="004C0A3D"/>
    <w:rsid w:val="004D28CD"/>
    <w:rsid w:val="004D35BF"/>
    <w:rsid w:val="004E2A4C"/>
    <w:rsid w:val="004F6F8B"/>
    <w:rsid w:val="005335E3"/>
    <w:rsid w:val="00596162"/>
    <w:rsid w:val="005B3DFA"/>
    <w:rsid w:val="005B775D"/>
    <w:rsid w:val="005E3C91"/>
    <w:rsid w:val="00614EA0"/>
    <w:rsid w:val="00630080"/>
    <w:rsid w:val="00667700"/>
    <w:rsid w:val="006859F4"/>
    <w:rsid w:val="006C0D46"/>
    <w:rsid w:val="006C173F"/>
    <w:rsid w:val="006D6F95"/>
    <w:rsid w:val="007074B3"/>
    <w:rsid w:val="00770DCB"/>
    <w:rsid w:val="00783AA3"/>
    <w:rsid w:val="007A6A62"/>
    <w:rsid w:val="00826D44"/>
    <w:rsid w:val="00883B44"/>
    <w:rsid w:val="00895A29"/>
    <w:rsid w:val="008B43A8"/>
    <w:rsid w:val="008C4963"/>
    <w:rsid w:val="008D060E"/>
    <w:rsid w:val="008E6639"/>
    <w:rsid w:val="008F05CE"/>
    <w:rsid w:val="009319B6"/>
    <w:rsid w:val="00947D25"/>
    <w:rsid w:val="00967C00"/>
    <w:rsid w:val="009734DA"/>
    <w:rsid w:val="00976F21"/>
    <w:rsid w:val="00985555"/>
    <w:rsid w:val="009A4C3D"/>
    <w:rsid w:val="009B60BE"/>
    <w:rsid w:val="009E7B5F"/>
    <w:rsid w:val="00A0469B"/>
    <w:rsid w:val="00A22B59"/>
    <w:rsid w:val="00A26CEC"/>
    <w:rsid w:val="00A32FE9"/>
    <w:rsid w:val="00A41650"/>
    <w:rsid w:val="00A82F53"/>
    <w:rsid w:val="00A847F3"/>
    <w:rsid w:val="00A97604"/>
    <w:rsid w:val="00AB1CF7"/>
    <w:rsid w:val="00B16633"/>
    <w:rsid w:val="00B1722A"/>
    <w:rsid w:val="00B247CF"/>
    <w:rsid w:val="00B4645C"/>
    <w:rsid w:val="00B70A6A"/>
    <w:rsid w:val="00BC49EA"/>
    <w:rsid w:val="00BD212D"/>
    <w:rsid w:val="00BE0AE0"/>
    <w:rsid w:val="00C139A9"/>
    <w:rsid w:val="00C8217B"/>
    <w:rsid w:val="00CC1BE4"/>
    <w:rsid w:val="00D04546"/>
    <w:rsid w:val="00D04803"/>
    <w:rsid w:val="00D55B4F"/>
    <w:rsid w:val="00DA55A7"/>
    <w:rsid w:val="00DD4883"/>
    <w:rsid w:val="00DF1708"/>
    <w:rsid w:val="00E87627"/>
    <w:rsid w:val="00E93DAF"/>
    <w:rsid w:val="00E97F63"/>
    <w:rsid w:val="00EA442C"/>
    <w:rsid w:val="00F117F9"/>
    <w:rsid w:val="00F1317C"/>
    <w:rsid w:val="00F4239E"/>
    <w:rsid w:val="00F62CF4"/>
    <w:rsid w:val="00F80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31FDB"/>
  <w15:chartTrackingRefBased/>
  <w15:docId w15:val="{8746CC0E-04AD-48CC-9BB2-D7C3382EA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CEC"/>
    <w:rPr>
      <w:rFonts w:ascii="Garamond" w:hAnsi="Garamond"/>
      <w:sz w:val="18"/>
    </w:rPr>
  </w:style>
  <w:style w:type="paragraph" w:styleId="Heading1">
    <w:name w:val="heading 1"/>
    <w:basedOn w:val="Normal"/>
    <w:next w:val="Normal"/>
    <w:link w:val="Heading1Char"/>
    <w:autoRedefine/>
    <w:uiPriority w:val="9"/>
    <w:qFormat/>
    <w:rsid w:val="00476D69"/>
    <w:pPr>
      <w:keepNext/>
      <w:keepLines/>
      <w:spacing w:before="100" w:beforeAutospacing="1" w:after="100" w:afterAutospacing="1" w:line="240" w:lineRule="auto"/>
      <w:ind w:firstLine="720"/>
      <w:jc w:val="both"/>
      <w:outlineLvl w:val="0"/>
    </w:pPr>
    <w:rPr>
      <w:rFonts w:eastAsiaTheme="majorEastAsia" w:cstheme="majorBidi"/>
      <w:b/>
      <w:sz w:val="28"/>
      <w:szCs w:val="28"/>
    </w:rPr>
  </w:style>
  <w:style w:type="paragraph" w:styleId="Heading2">
    <w:name w:val="heading 2"/>
    <w:basedOn w:val="Normal"/>
    <w:next w:val="Normal"/>
    <w:link w:val="Heading2Char"/>
    <w:autoRedefine/>
    <w:uiPriority w:val="9"/>
    <w:unhideWhenUsed/>
    <w:qFormat/>
    <w:rsid w:val="00596162"/>
    <w:pPr>
      <w:keepNext/>
      <w:keepLines/>
      <w:spacing w:before="100" w:beforeAutospacing="1" w:after="100" w:afterAutospacing="1" w:line="360" w:lineRule="auto"/>
      <w:ind w:left="720"/>
      <w:jc w:val="both"/>
      <w:outlineLvl w:val="1"/>
    </w:pPr>
    <w:rPr>
      <w:rFonts w:eastAsia="Garamond" w:cs="Garamond"/>
      <w:b/>
      <w:color w:val="000000"/>
      <w:sz w:val="28"/>
      <w:szCs w:val="28"/>
      <w:u w:val="single"/>
    </w:rPr>
  </w:style>
  <w:style w:type="paragraph" w:styleId="Heading3">
    <w:name w:val="heading 3"/>
    <w:basedOn w:val="Normal"/>
    <w:next w:val="Normal"/>
    <w:link w:val="Heading3Char"/>
    <w:autoRedefine/>
    <w:uiPriority w:val="9"/>
    <w:unhideWhenUsed/>
    <w:qFormat/>
    <w:rsid w:val="00171673"/>
    <w:pPr>
      <w:keepNext/>
      <w:keepLines/>
      <w:spacing w:before="40" w:after="0"/>
      <w:outlineLvl w:val="2"/>
    </w:pPr>
    <w:rPr>
      <w:rFonts w:asciiTheme="minorHAnsi" w:eastAsiaTheme="majorEastAsia" w:hAnsiTheme="minorHAnsi" w:cstheme="majorBidi"/>
      <w:i/>
      <w:sz w:val="28"/>
      <w:szCs w:val="24"/>
    </w:rPr>
  </w:style>
  <w:style w:type="paragraph" w:styleId="Heading4">
    <w:name w:val="heading 4"/>
    <w:basedOn w:val="Normal"/>
    <w:next w:val="Normal"/>
    <w:link w:val="Heading4Char"/>
    <w:uiPriority w:val="9"/>
    <w:unhideWhenUsed/>
    <w:qFormat/>
    <w:rsid w:val="00B1663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D69"/>
    <w:rPr>
      <w:rFonts w:ascii="Garamond" w:eastAsiaTheme="majorEastAsia" w:hAnsi="Garamond" w:cstheme="majorBidi"/>
      <w:b/>
      <w:sz w:val="28"/>
      <w:szCs w:val="28"/>
    </w:rPr>
  </w:style>
  <w:style w:type="character" w:customStyle="1" w:styleId="Heading2Char">
    <w:name w:val="Heading 2 Char"/>
    <w:basedOn w:val="DefaultParagraphFont"/>
    <w:link w:val="Heading2"/>
    <w:uiPriority w:val="9"/>
    <w:rsid w:val="00596162"/>
    <w:rPr>
      <w:rFonts w:ascii="Garamond" w:eastAsia="Garamond" w:hAnsi="Garamond" w:cs="Garamond"/>
      <w:b/>
      <w:color w:val="000000"/>
      <w:sz w:val="28"/>
      <w:szCs w:val="28"/>
      <w:u w:val="single"/>
    </w:rPr>
  </w:style>
  <w:style w:type="character" w:customStyle="1" w:styleId="Heading3Char">
    <w:name w:val="Heading 3 Char"/>
    <w:basedOn w:val="DefaultParagraphFont"/>
    <w:link w:val="Heading3"/>
    <w:uiPriority w:val="9"/>
    <w:rsid w:val="00171673"/>
    <w:rPr>
      <w:rFonts w:eastAsiaTheme="majorEastAsia" w:cstheme="majorBidi"/>
      <w:i/>
      <w:sz w:val="28"/>
      <w:szCs w:val="24"/>
    </w:rPr>
  </w:style>
  <w:style w:type="paragraph" w:styleId="TOCHeading">
    <w:name w:val="TOC Heading"/>
    <w:basedOn w:val="Heading1"/>
    <w:next w:val="Normal"/>
    <w:uiPriority w:val="39"/>
    <w:unhideWhenUsed/>
    <w:qFormat/>
    <w:rsid w:val="00A26CEC"/>
    <w:pPr>
      <w:outlineLvl w:val="9"/>
    </w:pPr>
  </w:style>
  <w:style w:type="character" w:styleId="Hyperlink">
    <w:name w:val="Hyperlink"/>
    <w:basedOn w:val="DefaultParagraphFont"/>
    <w:uiPriority w:val="99"/>
    <w:unhideWhenUsed/>
    <w:rsid w:val="00435C8E"/>
    <w:rPr>
      <w:color w:val="0563C1" w:themeColor="hyperlink"/>
      <w:u w:val="single"/>
    </w:rPr>
  </w:style>
  <w:style w:type="paragraph" w:styleId="ListParagraph">
    <w:name w:val="List Paragraph"/>
    <w:basedOn w:val="Normal"/>
    <w:uiPriority w:val="34"/>
    <w:qFormat/>
    <w:rsid w:val="00435C8E"/>
    <w:pPr>
      <w:ind w:left="720"/>
      <w:contextualSpacing/>
    </w:pPr>
  </w:style>
  <w:style w:type="paragraph" w:styleId="FootnoteText">
    <w:name w:val="footnote text"/>
    <w:aliases w:val="5_G"/>
    <w:basedOn w:val="Normal"/>
    <w:link w:val="FootnoteTextChar"/>
    <w:autoRedefine/>
    <w:uiPriority w:val="99"/>
    <w:unhideWhenUsed/>
    <w:rsid w:val="00435C8E"/>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35C8E"/>
    <w:rPr>
      <w:rFonts w:ascii="Garamond" w:hAnsi="Garamond"/>
      <w:sz w:val="20"/>
      <w:szCs w:val="20"/>
    </w:rPr>
  </w:style>
  <w:style w:type="character" w:styleId="FootnoteReference">
    <w:name w:val="footnote reference"/>
    <w:aliases w:val="4_G"/>
    <w:basedOn w:val="DefaultParagraphFont"/>
    <w:uiPriority w:val="99"/>
    <w:unhideWhenUsed/>
    <w:rsid w:val="00435C8E"/>
    <w:rPr>
      <w:vertAlign w:val="superscript"/>
    </w:rPr>
  </w:style>
  <w:style w:type="character" w:customStyle="1" w:styleId="c8df4230-e843-47b0-9d6f-a1974cc1f45b">
    <w:name w:val="c8df4230-e843-47b0-9d6f-a1974cc1f45b"/>
    <w:basedOn w:val="DefaultParagraphFont"/>
    <w:rsid w:val="00435C8E"/>
  </w:style>
  <w:style w:type="paragraph" w:styleId="TOC1">
    <w:name w:val="toc 1"/>
    <w:basedOn w:val="Normal"/>
    <w:next w:val="Normal"/>
    <w:autoRedefine/>
    <w:uiPriority w:val="39"/>
    <w:unhideWhenUsed/>
    <w:rsid w:val="00D55B4F"/>
    <w:pPr>
      <w:spacing w:after="100"/>
    </w:pPr>
  </w:style>
  <w:style w:type="paragraph" w:styleId="TOC2">
    <w:name w:val="toc 2"/>
    <w:basedOn w:val="Normal"/>
    <w:next w:val="Normal"/>
    <w:autoRedefine/>
    <w:uiPriority w:val="39"/>
    <w:unhideWhenUsed/>
    <w:rsid w:val="00D55B4F"/>
    <w:pPr>
      <w:spacing w:after="100"/>
      <w:ind w:left="220"/>
    </w:pPr>
  </w:style>
  <w:style w:type="paragraph" w:styleId="TOC3">
    <w:name w:val="toc 3"/>
    <w:basedOn w:val="Normal"/>
    <w:next w:val="Normal"/>
    <w:autoRedefine/>
    <w:uiPriority w:val="39"/>
    <w:unhideWhenUsed/>
    <w:rsid w:val="00D55B4F"/>
    <w:pPr>
      <w:spacing w:after="100"/>
      <w:ind w:left="440"/>
    </w:pPr>
  </w:style>
  <w:style w:type="paragraph" w:styleId="Header">
    <w:name w:val="header"/>
    <w:basedOn w:val="Normal"/>
    <w:link w:val="HeaderChar"/>
    <w:uiPriority w:val="99"/>
    <w:unhideWhenUsed/>
    <w:rsid w:val="00D55B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B4F"/>
    <w:rPr>
      <w:rFonts w:ascii="Garamond" w:hAnsi="Garamond"/>
      <w:sz w:val="18"/>
    </w:rPr>
  </w:style>
  <w:style w:type="paragraph" w:styleId="Footer">
    <w:name w:val="footer"/>
    <w:basedOn w:val="Normal"/>
    <w:link w:val="FooterChar"/>
    <w:uiPriority w:val="99"/>
    <w:unhideWhenUsed/>
    <w:rsid w:val="00D55B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B4F"/>
    <w:rPr>
      <w:rFonts w:ascii="Garamond" w:hAnsi="Garamond"/>
      <w:sz w:val="18"/>
    </w:rPr>
  </w:style>
  <w:style w:type="table" w:styleId="TableGrid">
    <w:name w:val="Table Grid"/>
    <w:basedOn w:val="TableNormal"/>
    <w:uiPriority w:val="39"/>
    <w:rsid w:val="00BC49E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6B26"/>
    <w:pPr>
      <w:spacing w:after="0" w:line="240" w:lineRule="auto"/>
    </w:pPr>
    <w:rPr>
      <w:rFonts w:ascii="Times New Roman" w:hAnsi="Times New Roman" w:cs="Times New Roman"/>
      <w:szCs w:val="18"/>
    </w:rPr>
  </w:style>
  <w:style w:type="character" w:customStyle="1" w:styleId="BalloonTextChar">
    <w:name w:val="Balloon Text Char"/>
    <w:basedOn w:val="DefaultParagraphFont"/>
    <w:link w:val="BalloonText"/>
    <w:uiPriority w:val="99"/>
    <w:semiHidden/>
    <w:rsid w:val="000A6B26"/>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0B6FFE"/>
    <w:rPr>
      <w:sz w:val="18"/>
      <w:szCs w:val="18"/>
    </w:rPr>
  </w:style>
  <w:style w:type="paragraph" w:styleId="CommentText">
    <w:name w:val="annotation text"/>
    <w:basedOn w:val="Normal"/>
    <w:link w:val="CommentTextChar"/>
    <w:uiPriority w:val="99"/>
    <w:semiHidden/>
    <w:unhideWhenUsed/>
    <w:rsid w:val="000B6FFE"/>
    <w:pPr>
      <w:spacing w:line="240" w:lineRule="auto"/>
    </w:pPr>
    <w:rPr>
      <w:sz w:val="24"/>
      <w:szCs w:val="24"/>
    </w:rPr>
  </w:style>
  <w:style w:type="character" w:customStyle="1" w:styleId="CommentTextChar">
    <w:name w:val="Comment Text Char"/>
    <w:basedOn w:val="DefaultParagraphFont"/>
    <w:link w:val="CommentText"/>
    <w:uiPriority w:val="99"/>
    <w:semiHidden/>
    <w:rsid w:val="000B6FFE"/>
    <w:rPr>
      <w:rFonts w:ascii="Garamond" w:hAnsi="Garamond"/>
      <w:sz w:val="24"/>
      <w:szCs w:val="24"/>
    </w:rPr>
  </w:style>
  <w:style w:type="paragraph" w:styleId="CommentSubject">
    <w:name w:val="annotation subject"/>
    <w:basedOn w:val="CommentText"/>
    <w:next w:val="CommentText"/>
    <w:link w:val="CommentSubjectChar"/>
    <w:uiPriority w:val="99"/>
    <w:semiHidden/>
    <w:unhideWhenUsed/>
    <w:rsid w:val="000B6FFE"/>
    <w:rPr>
      <w:b/>
      <w:bCs/>
      <w:sz w:val="20"/>
      <w:szCs w:val="20"/>
    </w:rPr>
  </w:style>
  <w:style w:type="character" w:customStyle="1" w:styleId="CommentSubjectChar">
    <w:name w:val="Comment Subject Char"/>
    <w:basedOn w:val="CommentTextChar"/>
    <w:link w:val="CommentSubject"/>
    <w:uiPriority w:val="99"/>
    <w:semiHidden/>
    <w:rsid w:val="000B6FFE"/>
    <w:rPr>
      <w:rFonts w:ascii="Garamond" w:hAnsi="Garamond"/>
      <w:b/>
      <w:bCs/>
      <w:sz w:val="20"/>
      <w:szCs w:val="20"/>
    </w:rPr>
  </w:style>
  <w:style w:type="paragraph" w:styleId="Revision">
    <w:name w:val="Revision"/>
    <w:hidden/>
    <w:uiPriority w:val="99"/>
    <w:semiHidden/>
    <w:rsid w:val="00AB1CF7"/>
    <w:pPr>
      <w:spacing w:after="0" w:line="240" w:lineRule="auto"/>
    </w:pPr>
    <w:rPr>
      <w:rFonts w:ascii="Garamond" w:hAnsi="Garamond"/>
      <w:sz w:val="18"/>
    </w:rPr>
  </w:style>
  <w:style w:type="character" w:styleId="FollowedHyperlink">
    <w:name w:val="FollowedHyperlink"/>
    <w:basedOn w:val="DefaultParagraphFont"/>
    <w:uiPriority w:val="99"/>
    <w:semiHidden/>
    <w:unhideWhenUsed/>
    <w:rsid w:val="003D266C"/>
    <w:rPr>
      <w:color w:val="954F72" w:themeColor="followedHyperlink"/>
      <w:u w:val="single"/>
    </w:rPr>
  </w:style>
  <w:style w:type="character" w:customStyle="1" w:styleId="Heading4Char">
    <w:name w:val="Heading 4 Char"/>
    <w:basedOn w:val="DefaultParagraphFont"/>
    <w:link w:val="Heading4"/>
    <w:uiPriority w:val="9"/>
    <w:rsid w:val="00B16633"/>
    <w:rPr>
      <w:rFonts w:asciiTheme="majorHAnsi" w:eastAsiaTheme="majorEastAsia" w:hAnsiTheme="majorHAnsi" w:cstheme="majorBidi"/>
      <w:i/>
      <w:iCs/>
      <w:color w:val="2F5496" w:themeColor="accent1" w:themeShade="B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are.romano@lls.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segretariocoscioni@gmail.com" TargetMode="External"/><Relationship Id="rId4" Type="http://schemas.openxmlformats.org/officeDocument/2006/relationships/settings" Target="settings.xml"/><Relationship Id="rId9" Type="http://schemas.openxmlformats.org/officeDocument/2006/relationships/hyperlink" Target="mailto:studiolegalegallo.f@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google.com/url?sa=t&amp;rct=j&amp;q=&amp;esrc=s&amp;source=web&amp;cd=7&amp;cad=rja&amp;uact=8&amp;ved=0ahUKEwjXsbzMpojYAhVKw2MKHR1bB-oQFghOMAY&amp;url=https%3A%2F%2Frio.jrc.ec.europa.eu%2Fen%2Ffile%2F8351%2Fdownload%3Ftoken%3D9F0mthhY&amp;usg=AOvVaw2WpA-yjmz0hROcyJw7R7Dv" TargetMode="External"/><Relationship Id="rId18" Type="http://schemas.openxmlformats.org/officeDocument/2006/relationships/hyperlink" Target="http://www.ohchr.org/Documents/ProfessionalInterest/cescr.pdf" TargetMode="External"/><Relationship Id="rId26" Type="http://schemas.openxmlformats.org/officeDocument/2006/relationships/hyperlink" Target="https://www.riigiteataja.ee/en/eli/ee/522012015002/consolide/current" TargetMode="External"/><Relationship Id="rId39" Type="http://schemas.openxmlformats.org/officeDocument/2006/relationships/hyperlink" Target="https://www.riigiteataja.ee/en/eli/ee/507092016002/consolide/current" TargetMode="External"/><Relationship Id="rId21" Type="http://schemas.openxmlformats.org/officeDocument/2006/relationships/hyperlink" Target="https://link.springer.com/content/pdf/10.1007%2F978-3-319-44667-7_14.pdf" TargetMode="External"/><Relationship Id="rId34" Type="http://schemas.openxmlformats.org/officeDocument/2006/relationships/hyperlink" Target="http://uhri.ohchr.org/Document/File/e8646a30-17a7-419c-ae8a-437add254266/44ddb928-5853-42eb-95c9-d695dafaeada" TargetMode="External"/><Relationship Id="rId42" Type="http://schemas.openxmlformats.org/officeDocument/2006/relationships/hyperlink" Target="https://doi.org/10.1016/j.contraception.2013.11.011" TargetMode="External"/><Relationship Id="rId47" Type="http://schemas.openxmlformats.org/officeDocument/2006/relationships/hyperlink" Target="http://hudoc.echr.coe.int/webservices/content/pdf/003-2204926-2350295?TID=ihgdqbxnfi" TargetMode="External"/><Relationship Id="rId7" Type="http://schemas.openxmlformats.org/officeDocument/2006/relationships/hyperlink" Target="https://www.google.com/url?sa=t&amp;rct=j&amp;q=&amp;esrc=s&amp;source=web&amp;cd=5&amp;ved=0ahUKEwiD5ou5yojYAhVRwmMKHachBsMQFghSMAQ&amp;url=https%3A%2F%2Fwww.stat.ee%2Fpopulation&amp;usg=AOvVaw2JV63nIm3ufPyRG0qAZjj6" TargetMode="External"/><Relationship Id="rId2" Type="http://schemas.openxmlformats.org/officeDocument/2006/relationships/hyperlink" Target="http://www.lls.edu/academics/experientiallearning/clinics/socialcriminaljusticeclinics/internationalhumanrightsclinic/" TargetMode="External"/><Relationship Id="rId16" Type="http://schemas.openxmlformats.org/officeDocument/2006/relationships/hyperlink" Target="https://doi.org/10.1093/humrep/deh142" TargetMode="External"/><Relationship Id="rId29" Type="http://schemas.openxmlformats.org/officeDocument/2006/relationships/hyperlink" Target="http://www.rmact.com/our-fertility-doctors/what-is-a-reproductive-endocrinologist" TargetMode="External"/><Relationship Id="rId11" Type="http://schemas.openxmlformats.org/officeDocument/2006/relationships/hyperlink" Target="https://ec.europa.eu/info/sites/info/files/2017-european-semester-country-report-estonia-en.pdf" TargetMode="External"/><Relationship Id="rId24" Type="http://schemas.openxmlformats.org/officeDocument/2006/relationships/hyperlink" Target="http://www.tai.ee/en/health-data/health-statistics-and-health-research-database/latest-updates/3966-ivf-procedures-2015" TargetMode="External"/><Relationship Id="rId32" Type="http://schemas.openxmlformats.org/officeDocument/2006/relationships/hyperlink" Target="http://www.corteidh.or.cr/docs/casos/articulos/seriec_257_ing.pdf" TargetMode="External"/><Relationship Id="rId37" Type="http://schemas.openxmlformats.org/officeDocument/2006/relationships/hyperlink" Target="https://www.researchgate.net/publication/279066205_Contraceptive_use_among_young_women_in_Estonia_Association_with_contraceptive_services" TargetMode="External"/><Relationship Id="rId40" Type="http://schemas.openxmlformats.org/officeDocument/2006/relationships/hyperlink" Target="https://www.researchgate.net/publication/279066205_Contraceptive_use_among_young_women_in_Estonia_Association_with_contraceptive_services" TargetMode="External"/><Relationship Id="rId45" Type="http://schemas.openxmlformats.org/officeDocument/2006/relationships/hyperlink" Target="https://www.riigiteataja.ee/en/eli/ee/514072017001/consolide/current" TargetMode="External"/><Relationship Id="rId5" Type="http://schemas.openxmlformats.org/officeDocument/2006/relationships/hyperlink" Target="https://www.eestipank.ee/en/statistics" TargetMode="External"/><Relationship Id="rId15" Type="http://schemas.openxmlformats.org/officeDocument/2006/relationships/hyperlink" Target="https://www.eurostemcell.org/regulation-stem-cell-research-estonia" TargetMode="External"/><Relationship Id="rId23" Type="http://schemas.openxmlformats.org/officeDocument/2006/relationships/hyperlink" Target="https://doi.org/10.1093/humrep/dev319" TargetMode="External"/><Relationship Id="rId28" Type="http://schemas.openxmlformats.org/officeDocument/2006/relationships/hyperlink" Target="http://www.ohchr.org/Documents/HRBodies/HRCouncil/RegularSession/Session20/A-HRC-20-26_en.pdf" TargetMode="External"/><Relationship Id="rId36" Type="http://schemas.openxmlformats.org/officeDocument/2006/relationships/hyperlink" Target="https://www.riigiteataja.ee/akt/13243384" TargetMode="External"/><Relationship Id="rId49" Type="http://schemas.openxmlformats.org/officeDocument/2006/relationships/hyperlink" Target="http://www.grocjusz.edu.pl/Materials/_archiwum/archiwum2012/js_16.11.2012.pdf" TargetMode="External"/><Relationship Id="rId10" Type="http://schemas.openxmlformats.org/officeDocument/2006/relationships/hyperlink" Target="https://www.stat.ee/news-release-2017-128" TargetMode="External"/><Relationship Id="rId19" Type="http://schemas.openxmlformats.org/officeDocument/2006/relationships/hyperlink" Target="http://unesdoc.unesco.org/images/0018/001855/185558e.pdf" TargetMode="External"/><Relationship Id="rId31" Type="http://schemas.openxmlformats.org/officeDocument/2006/relationships/hyperlink" Target="http://whqlibdoc.who.int/publications/2011/9789240685215_eng.pdf" TargetMode="External"/><Relationship Id="rId44" Type="http://schemas.openxmlformats.org/officeDocument/2006/relationships/hyperlink" Target="https://www.reproductiverights.org/sites/crr.civicactions.net/files/documents/pub_fac_slovak_european%20standards_9%2008_WEB.pdf" TargetMode="External"/><Relationship Id="rId4" Type="http://schemas.openxmlformats.org/officeDocument/2006/relationships/hyperlink" Target="http://www.stat.ee/en" TargetMode="External"/><Relationship Id="rId9" Type="http://schemas.openxmlformats.org/officeDocument/2006/relationships/hyperlink" Target="https://data.worldbank.org/country/estonia" TargetMode="External"/><Relationship Id="rId14" Type="http://schemas.openxmlformats.org/officeDocument/2006/relationships/hyperlink" Target="https://doi.org/10.1093/humrep/del235" TargetMode="External"/><Relationship Id="rId22" Type="http://schemas.openxmlformats.org/officeDocument/2006/relationships/hyperlink" Target="https://www.fertilityclinicsabroad.com/ivf-abroad/ivf-estonia/" TargetMode="External"/><Relationship Id="rId27" Type="http://schemas.openxmlformats.org/officeDocument/2006/relationships/hyperlink" Target="https://www.riigiteataja.ee/en/eli/522012015002/consolide" TargetMode="External"/><Relationship Id="rId30" Type="http://schemas.openxmlformats.org/officeDocument/2006/relationships/hyperlink" Target="http://www.who.int/reproductivehealth/topics/infertility/definitions/en/" TargetMode="External"/><Relationship Id="rId35" Type="http://schemas.openxmlformats.org/officeDocument/2006/relationships/hyperlink" Target="http://www.johnstonsarchive.net/policy/abortion/ab-estonia.html" TargetMode="External"/><Relationship Id="rId43" Type="http://schemas.openxmlformats.org/officeDocument/2006/relationships/hyperlink" Target="http://www.reproductiverights.org" TargetMode="External"/><Relationship Id="rId48" Type="http://schemas.openxmlformats.org/officeDocument/2006/relationships/hyperlink" Target="http://www.ieb-eib.org/en/pdf/cedh-shothers-c-austria-20100401.pdf" TargetMode="External"/><Relationship Id="rId8" Type="http://schemas.openxmlformats.org/officeDocument/2006/relationships/hyperlink" Target="https://www.imf.org/en/Publications/CR/Issues/2017/01/13/Republic-of-Estonia-Selected-Issues-44525" TargetMode="External"/><Relationship Id="rId3" Type="http://schemas.openxmlformats.org/officeDocument/2006/relationships/hyperlink" Target="http://www.freedomofresearch.org/research-and-self-determination-index" TargetMode="External"/><Relationship Id="rId12" Type="http://schemas.openxmlformats.org/officeDocument/2006/relationships/hyperlink" Target="https://www.mkm.ee/sites/default/files/inno_13.pdf" TargetMode="External"/><Relationship Id="rId17" Type="http://schemas.openxmlformats.org/officeDocument/2006/relationships/hyperlink" Target="http://eur-lex.europa.eu/legal-content/EN/ALL/?uri=CELEX:52014DC0355" TargetMode="External"/><Relationship Id="rId25" Type="http://schemas.openxmlformats.org/officeDocument/2006/relationships/hyperlink" Target="http://pxweb.tai.ee/esf/pxweb2008/Database_en/HCservices/04Diagnostics/04Diagnostics.asp" TargetMode="External"/><Relationship Id="rId33" Type="http://schemas.openxmlformats.org/officeDocument/2006/relationships/hyperlink" Target="http://tbinternet.ohchr.org/_layouts/treatybodyexternal/Download.aspx?symbolno=INT%2fCESCR%2fADR%2fEST%2f28826&amp;Lang=en" TargetMode="External"/><Relationship Id="rId38" Type="http://schemas.openxmlformats.org/officeDocument/2006/relationships/hyperlink" Target="http://www.ec-ec.org/emergency-contraception-in-europe/country-by-country-information-2/estonia/" TargetMode="External"/><Relationship Id="rId46" Type="http://schemas.openxmlformats.org/officeDocument/2006/relationships/hyperlink" Target="http://hudoc.echr.coe.int/webservices/content/pdf/001-72684?TID=ihgdqbxnfi" TargetMode="External"/><Relationship Id="rId20" Type="http://schemas.openxmlformats.org/officeDocument/2006/relationships/hyperlink" Target="http://www.ohchr.org/Documents/HRBodies/HRCouncil/RegularSession/Session20/A-HRC-20-26_en.pdf" TargetMode="External"/><Relationship Id="rId41" Type="http://schemas.openxmlformats.org/officeDocument/2006/relationships/hyperlink" Target="https://www.whocc.no/atc_ddd_index/" TargetMode="External"/><Relationship Id="rId1" Type="http://schemas.openxmlformats.org/officeDocument/2006/relationships/hyperlink" Target="https://treaties.un.org/Pages/ViewDetails.aspx?src=IND&amp;mtdsg_no=IV-3&amp;chapter=4&amp;clang=_en" TargetMode="External"/><Relationship Id="rId6" Type="http://schemas.openxmlformats.org/officeDocument/2006/relationships/hyperlink" Target="https://www.mkm.ee/sites/default/files/inno_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F980F-6AC8-4AA1-9F64-A6575B5B9015}"/>
</file>

<file path=customXml/itemProps2.xml><?xml version="1.0" encoding="utf-8"?>
<ds:datastoreItem xmlns:ds="http://schemas.openxmlformats.org/officeDocument/2006/customXml" ds:itemID="{0F152FBD-24C2-4EA0-BF52-2A986F15EE6D}"/>
</file>

<file path=customXml/itemProps3.xml><?xml version="1.0" encoding="utf-8"?>
<ds:datastoreItem xmlns:ds="http://schemas.openxmlformats.org/officeDocument/2006/customXml" ds:itemID="{877D2D66-867E-4760-B3B3-C1C84B16E347}"/>
</file>

<file path=customXml/itemProps4.xml><?xml version="1.0" encoding="utf-8"?>
<ds:datastoreItem xmlns:ds="http://schemas.openxmlformats.org/officeDocument/2006/customXml" ds:itemID="{C46A5689-5507-4036-B40F-EA8B3BC8EA41}"/>
</file>

<file path=docProps/app.xml><?xml version="1.0" encoding="utf-8"?>
<Properties xmlns="http://schemas.openxmlformats.org/officeDocument/2006/extended-properties" xmlns:vt="http://schemas.openxmlformats.org/officeDocument/2006/docPropsVTypes">
  <Template>Normal</Template>
  <TotalTime>15</TotalTime>
  <Pages>18</Pages>
  <Words>5662</Words>
  <Characters>32276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ALDA CAAN</dc:creator>
  <cp:keywords/>
  <dc:description/>
  <cp:lastModifiedBy>Romano, Cesare</cp:lastModifiedBy>
  <cp:revision>8</cp:revision>
  <dcterms:created xsi:type="dcterms:W3CDTF">2019-01-20T01:28:00Z</dcterms:created>
  <dcterms:modified xsi:type="dcterms:W3CDTF">2019-01-20T02:05:00Z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